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100D5" w:rsidP="00A17DFD">
            <w:pPr>
              <w:jc w:val="right"/>
            </w:pPr>
            <w:r w:rsidRPr="007D0282">
              <w:rPr>
                <w:sz w:val="40"/>
              </w:rPr>
              <w:t>CERD</w:t>
            </w:r>
            <w:r>
              <w:t>/C/IRL/3-4</w:t>
            </w:r>
          </w:p>
        </w:tc>
      </w:tr>
      <w:tr w:rsidR="002D5AAC">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2D5AAC" w:rsidRDefault="000100D5" w:rsidP="000100D5">
            <w:pPr>
              <w:spacing w:before="240"/>
            </w:pPr>
            <w:r>
              <w:t>Distr. general</w:t>
            </w:r>
          </w:p>
          <w:p w:rsidR="000100D5" w:rsidRDefault="000100D5" w:rsidP="00A17DFD">
            <w:r>
              <w:t>23 de septiembre de 2010</w:t>
            </w:r>
          </w:p>
          <w:p w:rsidR="000100D5" w:rsidRDefault="000100D5" w:rsidP="00A17DFD">
            <w:r>
              <w:t>Español</w:t>
            </w:r>
          </w:p>
          <w:p w:rsidR="000100D5" w:rsidRDefault="000100D5" w:rsidP="00A17DFD">
            <w:r>
              <w:t>Original: inglés</w:t>
            </w:r>
          </w:p>
        </w:tc>
      </w:tr>
    </w:tbl>
    <w:p w:rsidR="000100D5" w:rsidRPr="00892565" w:rsidRDefault="000100D5" w:rsidP="005928C5">
      <w:pPr>
        <w:spacing w:before="120"/>
        <w:rPr>
          <w:b/>
          <w:sz w:val="24"/>
          <w:szCs w:val="24"/>
        </w:rPr>
      </w:pPr>
      <w:r w:rsidRPr="00892565">
        <w:rPr>
          <w:b/>
          <w:sz w:val="24"/>
          <w:szCs w:val="24"/>
        </w:rPr>
        <w:t>Comité para la Eliminación de la Discriminación Racial</w:t>
      </w:r>
    </w:p>
    <w:p w:rsidR="000100D5" w:rsidRPr="00892565" w:rsidRDefault="000100D5" w:rsidP="000100D5">
      <w:pPr>
        <w:pStyle w:val="HMG"/>
      </w:pPr>
      <w:r w:rsidRPr="00892565">
        <w:tab/>
      </w:r>
      <w:r w:rsidRPr="00892565">
        <w:tab/>
      </w:r>
      <w:r>
        <w:t>Informes</w:t>
      </w:r>
      <w:r w:rsidRPr="00892565">
        <w:t xml:space="preserve"> presentados por los Estados partes en virtud del art</w:t>
      </w:r>
      <w:r>
        <w:t>í</w:t>
      </w:r>
      <w:r w:rsidRPr="00892565">
        <w:t>c</w:t>
      </w:r>
      <w:r>
        <w:t>u</w:t>
      </w:r>
      <w:r w:rsidRPr="00892565">
        <w:t>l</w:t>
      </w:r>
      <w:r>
        <w:t>o</w:t>
      </w:r>
      <w:r w:rsidRPr="00892565">
        <w:t xml:space="preserve"> 9 </w:t>
      </w:r>
      <w:r>
        <w:t>de la</w:t>
      </w:r>
      <w:r w:rsidRPr="00892565">
        <w:t xml:space="preserve"> Conven</w:t>
      </w:r>
      <w:r>
        <w:t>c</w:t>
      </w:r>
      <w:r w:rsidRPr="00892565">
        <w:t>i</w:t>
      </w:r>
      <w:r>
        <w:t>ó</w:t>
      </w:r>
      <w:r w:rsidRPr="00892565">
        <w:t>n</w:t>
      </w:r>
    </w:p>
    <w:p w:rsidR="000100D5" w:rsidRPr="00892565" w:rsidRDefault="000100D5" w:rsidP="000100D5">
      <w:pPr>
        <w:pStyle w:val="HChG"/>
        <w:rPr>
          <w:b w:val="0"/>
          <w:sz w:val="20"/>
        </w:rPr>
      </w:pPr>
      <w:r w:rsidRPr="00892565">
        <w:tab/>
      </w:r>
      <w:r w:rsidRPr="00892565">
        <w:tab/>
      </w:r>
      <w:r>
        <w:t>I</w:t>
      </w:r>
      <w:r w:rsidRPr="00892565">
        <w:t xml:space="preserve">nformes periódicos </w:t>
      </w:r>
      <w:r>
        <w:t xml:space="preserve">tercero y cuarto </w:t>
      </w:r>
      <w:r w:rsidRPr="00892565">
        <w:t xml:space="preserve">que los </w:t>
      </w:r>
      <w:r>
        <w:t>E</w:t>
      </w:r>
      <w:r w:rsidRPr="00892565">
        <w:t>stados partes de</w:t>
      </w:r>
      <w:r w:rsidR="00E03EF2">
        <w:t>bía</w:t>
      </w:r>
      <w:r>
        <w:t>n presentar</w:t>
      </w:r>
      <w:r w:rsidRPr="00892565">
        <w:t xml:space="preserve"> </w:t>
      </w:r>
      <w:r>
        <w:t>e</w:t>
      </w:r>
      <w:r w:rsidRPr="00892565">
        <w:t>n 2008</w:t>
      </w:r>
      <w:r w:rsidR="006F314E" w:rsidRPr="006F314E">
        <w:rPr>
          <w:rStyle w:val="FootnoteReference"/>
          <w:b w:val="0"/>
          <w:sz w:val="20"/>
          <w:vertAlign w:val="baseline"/>
        </w:rPr>
        <w:footnoteReference w:customMarkFollows="1" w:id="1"/>
        <w:t>*</w:t>
      </w:r>
    </w:p>
    <w:p w:rsidR="000100D5" w:rsidRPr="00892565" w:rsidRDefault="000100D5" w:rsidP="000100D5">
      <w:pPr>
        <w:pStyle w:val="SMG"/>
        <w:rPr>
          <w:b w:val="0"/>
          <w:sz w:val="20"/>
        </w:rPr>
      </w:pPr>
      <w:r w:rsidRPr="00892565">
        <w:t>Irlanda</w:t>
      </w:r>
      <w:r w:rsidR="006F314E" w:rsidRPr="006F314E">
        <w:rPr>
          <w:rStyle w:val="FootnoteReference"/>
          <w:b w:val="0"/>
          <w:sz w:val="20"/>
          <w:vertAlign w:val="baseline"/>
        </w:rPr>
        <w:footnoteReference w:customMarkFollows="1" w:id="2"/>
        <w:t>**</w:t>
      </w:r>
      <w:r w:rsidR="006F314E" w:rsidRPr="006F314E">
        <w:rPr>
          <w:b w:val="0"/>
          <w:sz w:val="20"/>
        </w:rPr>
        <w:t xml:space="preserve"> </w:t>
      </w:r>
      <w:r w:rsidR="006F314E" w:rsidRPr="006F314E">
        <w:rPr>
          <w:rStyle w:val="FootnoteReference"/>
          <w:b w:val="0"/>
          <w:sz w:val="20"/>
          <w:vertAlign w:val="baseline"/>
        </w:rPr>
        <w:footnoteReference w:customMarkFollows="1" w:id="3"/>
        <w:t>***</w:t>
      </w:r>
    </w:p>
    <w:p w:rsidR="000100D5" w:rsidRPr="00892565" w:rsidRDefault="000100D5" w:rsidP="00831244">
      <w:pPr>
        <w:pStyle w:val="SingleTxtG"/>
        <w:jc w:val="right"/>
      </w:pPr>
      <w:r w:rsidRPr="00892565">
        <w:t>[21 de diciembre de 2009]</w:t>
      </w:r>
    </w:p>
    <w:p w:rsidR="000100D5" w:rsidRPr="00892565" w:rsidRDefault="000100D5" w:rsidP="000100D5">
      <w:pPr>
        <w:rPr>
          <w:sz w:val="28"/>
        </w:rPr>
      </w:pPr>
      <w:r w:rsidRPr="00892565">
        <w:br w:type="page"/>
      </w:r>
      <w:r>
        <w:rPr>
          <w:sz w:val="28"/>
        </w:rPr>
        <w:t>Índice</w:t>
      </w:r>
    </w:p>
    <w:p w:rsidR="000100D5" w:rsidRPr="005269E5" w:rsidRDefault="000100D5" w:rsidP="000100D5">
      <w:pPr>
        <w:tabs>
          <w:tab w:val="right" w:pos="8929"/>
          <w:tab w:val="right" w:pos="9638"/>
        </w:tabs>
        <w:spacing w:after="120"/>
        <w:ind w:left="283"/>
      </w:pPr>
      <w:r w:rsidRPr="00892565">
        <w:rPr>
          <w:i/>
          <w:sz w:val="18"/>
        </w:rPr>
        <w:tab/>
      </w:r>
      <w:r w:rsidRPr="005269E5">
        <w:rPr>
          <w:i/>
          <w:sz w:val="18"/>
        </w:rPr>
        <w:t>P</w:t>
      </w:r>
      <w:r>
        <w:rPr>
          <w:i/>
          <w:sz w:val="18"/>
        </w:rPr>
        <w:t>árr</w:t>
      </w:r>
      <w:r w:rsidRPr="005269E5">
        <w:rPr>
          <w:i/>
          <w:sz w:val="18"/>
        </w:rPr>
        <w:t>a</w:t>
      </w:r>
      <w:r>
        <w:rPr>
          <w:i/>
          <w:sz w:val="18"/>
        </w:rPr>
        <w:t>fos</w:t>
      </w:r>
      <w:r w:rsidRPr="005269E5">
        <w:rPr>
          <w:i/>
          <w:sz w:val="18"/>
        </w:rPr>
        <w:tab/>
        <w:t>P</w:t>
      </w:r>
      <w:r>
        <w:rPr>
          <w:i/>
          <w:sz w:val="18"/>
        </w:rPr>
        <w:t>á</w:t>
      </w:r>
      <w:r w:rsidRPr="005269E5">
        <w:rPr>
          <w:i/>
          <w:sz w:val="18"/>
        </w:rPr>
        <w:t>g</w:t>
      </w:r>
      <w:r>
        <w:rPr>
          <w:i/>
          <w:sz w:val="18"/>
        </w:rPr>
        <w:t>ina</w:t>
      </w:r>
    </w:p>
    <w:p w:rsidR="000100D5" w:rsidRPr="005269E5" w:rsidRDefault="000100D5" w:rsidP="000100D5">
      <w:pPr>
        <w:tabs>
          <w:tab w:val="left" w:pos="-1000"/>
          <w:tab w:val="right" w:pos="850"/>
          <w:tab w:val="left" w:pos="1134"/>
          <w:tab w:val="left" w:pos="1559"/>
          <w:tab w:val="left" w:leader="dot" w:pos="7654"/>
          <w:tab w:val="right" w:pos="8929"/>
          <w:tab w:val="right" w:pos="9638"/>
        </w:tabs>
        <w:spacing w:after="120"/>
      </w:pPr>
      <w:r w:rsidRPr="005269E5">
        <w:tab/>
        <w:t>I.</w:t>
      </w:r>
      <w:r w:rsidRPr="005269E5">
        <w:tab/>
        <w:t>General</w:t>
      </w:r>
      <w:r>
        <w:t>idades</w:t>
      </w:r>
      <w:r w:rsidRPr="005269E5">
        <w:tab/>
      </w:r>
      <w:r w:rsidRPr="005269E5">
        <w:tab/>
        <w:t>1–46</w:t>
      </w:r>
      <w:r w:rsidRPr="005269E5">
        <w:tab/>
      </w:r>
      <w:r>
        <w:t>3</w:t>
      </w:r>
    </w:p>
    <w:p w:rsidR="000100D5" w:rsidRPr="005269E5" w:rsidRDefault="000100D5" w:rsidP="000100D5">
      <w:pPr>
        <w:tabs>
          <w:tab w:val="right" w:pos="850"/>
          <w:tab w:val="left" w:pos="1134"/>
          <w:tab w:val="left" w:pos="1559"/>
          <w:tab w:val="left" w:pos="1984"/>
          <w:tab w:val="left" w:leader="dot" w:pos="7654"/>
          <w:tab w:val="right" w:pos="8929"/>
          <w:tab w:val="right" w:pos="9638"/>
        </w:tabs>
        <w:spacing w:after="120"/>
      </w:pPr>
      <w:r>
        <w:tab/>
        <w:t>II.</w:t>
      </w:r>
      <w:r>
        <w:tab/>
        <w:t>Respue</w:t>
      </w:r>
      <w:r w:rsidRPr="005269E5">
        <w:t>s</w:t>
      </w:r>
      <w:r>
        <w:t>ta</w:t>
      </w:r>
      <w:r w:rsidRPr="005269E5">
        <w:t xml:space="preserve">s </w:t>
      </w:r>
      <w:r>
        <w:t>a las observaciones y</w:t>
      </w:r>
      <w:r w:rsidRPr="005269E5">
        <w:t xml:space="preserve"> recomenda</w:t>
      </w:r>
      <w:r>
        <w:t>c</w:t>
      </w:r>
      <w:r w:rsidRPr="005269E5">
        <w:t>ion</w:t>
      </w:r>
      <w:r>
        <w:t>e</w:t>
      </w:r>
      <w:r w:rsidRPr="005269E5">
        <w:t xml:space="preserve">s </w:t>
      </w:r>
      <w:r>
        <w:t>del</w:t>
      </w:r>
      <w:r w:rsidRPr="005269E5">
        <w:t xml:space="preserve"> </w:t>
      </w:r>
      <w:r>
        <w:t>C</w:t>
      </w:r>
      <w:r w:rsidRPr="005269E5">
        <w:t>oordina</w:t>
      </w:r>
      <w:r>
        <w:t>d</w:t>
      </w:r>
      <w:r w:rsidRPr="005269E5">
        <w:t>or</w:t>
      </w:r>
      <w:r w:rsidR="00DD3CCD">
        <w:t xml:space="preserve"> encargado</w:t>
      </w:r>
      <w:r>
        <w:br/>
      </w:r>
      <w:r>
        <w:tab/>
      </w:r>
      <w:r>
        <w:tab/>
      </w:r>
      <w:r w:rsidR="00DD3CCD">
        <w:t xml:space="preserve">del </w:t>
      </w:r>
      <w:r>
        <w:t>seguimiento del</w:t>
      </w:r>
      <w:r w:rsidRPr="005269E5">
        <w:t xml:space="preserve"> Comit</w:t>
      </w:r>
      <w:r>
        <w:t>é</w:t>
      </w:r>
      <w:r w:rsidRPr="005269E5">
        <w:t xml:space="preserve"> </w:t>
      </w:r>
      <w:r>
        <w:t>para la</w:t>
      </w:r>
      <w:r w:rsidRPr="005269E5">
        <w:t xml:space="preserve"> Elimina</w:t>
      </w:r>
      <w:r>
        <w:t>c</w:t>
      </w:r>
      <w:r w:rsidRPr="005269E5">
        <w:t>i</w:t>
      </w:r>
      <w:r>
        <w:t>ó</w:t>
      </w:r>
      <w:r w:rsidRPr="005269E5">
        <w:t xml:space="preserve">n </w:t>
      </w:r>
      <w:r>
        <w:t xml:space="preserve">de la </w:t>
      </w:r>
      <w:r w:rsidRPr="005269E5">
        <w:t>Discrimina</w:t>
      </w:r>
      <w:r>
        <w:t>c</w:t>
      </w:r>
      <w:r w:rsidRPr="005269E5">
        <w:t>i</w:t>
      </w:r>
      <w:r>
        <w:t>ó</w:t>
      </w:r>
      <w:r w:rsidRPr="005269E5">
        <w:t>n</w:t>
      </w:r>
      <w:r>
        <w:t xml:space="preserve"> Racial</w:t>
      </w:r>
      <w:r w:rsidRPr="005269E5">
        <w:tab/>
      </w:r>
      <w:r w:rsidRPr="005269E5">
        <w:tab/>
        <w:t>47–134</w:t>
      </w:r>
      <w:r w:rsidRPr="005269E5">
        <w:tab/>
      </w:r>
      <w:r>
        <w:t>11</w:t>
      </w:r>
    </w:p>
    <w:p w:rsidR="000100D5" w:rsidRPr="005269E5" w:rsidRDefault="000100D5" w:rsidP="000100D5">
      <w:pPr>
        <w:tabs>
          <w:tab w:val="right" w:pos="850"/>
          <w:tab w:val="left" w:pos="1134"/>
          <w:tab w:val="left" w:pos="1559"/>
          <w:tab w:val="left" w:pos="1984"/>
          <w:tab w:val="left" w:leader="dot" w:pos="7654"/>
          <w:tab w:val="right" w:pos="8929"/>
          <w:tab w:val="right" w:pos="9638"/>
        </w:tabs>
        <w:spacing w:after="120"/>
      </w:pPr>
      <w:r w:rsidRPr="005269E5">
        <w:tab/>
      </w:r>
      <w:r w:rsidRPr="005269E5">
        <w:tab/>
        <w:t>A.</w:t>
      </w:r>
      <w:r w:rsidRPr="005269E5">
        <w:tab/>
      </w:r>
      <w:r>
        <w:t>Aspectos jurídicos y</w:t>
      </w:r>
      <w:r w:rsidRPr="005269E5">
        <w:t xml:space="preserve"> t</w:t>
      </w:r>
      <w:r>
        <w:t>é</w:t>
      </w:r>
      <w:r w:rsidRPr="005269E5">
        <w:t>cnic</w:t>
      </w:r>
      <w:r>
        <w:t>os</w:t>
      </w:r>
      <w:r w:rsidRPr="005269E5">
        <w:tab/>
      </w:r>
      <w:r w:rsidRPr="005269E5">
        <w:tab/>
        <w:t>49–86</w:t>
      </w:r>
      <w:r w:rsidRPr="005269E5">
        <w:tab/>
      </w:r>
      <w:r>
        <w:t>11</w:t>
      </w:r>
    </w:p>
    <w:p w:rsidR="000100D5" w:rsidRPr="005269E5" w:rsidRDefault="000100D5" w:rsidP="000100D5">
      <w:pPr>
        <w:tabs>
          <w:tab w:val="right" w:pos="850"/>
          <w:tab w:val="left" w:pos="1134"/>
          <w:tab w:val="left" w:pos="1559"/>
          <w:tab w:val="left" w:pos="1984"/>
          <w:tab w:val="left" w:leader="dot" w:pos="7654"/>
          <w:tab w:val="right" w:pos="8929"/>
          <w:tab w:val="right" w:pos="9638"/>
        </w:tabs>
        <w:spacing w:after="120"/>
      </w:pPr>
      <w:r w:rsidRPr="005269E5">
        <w:tab/>
      </w:r>
      <w:r w:rsidRPr="005269E5">
        <w:tab/>
        <w:t>B.</w:t>
      </w:r>
      <w:r w:rsidRPr="005269E5">
        <w:tab/>
      </w:r>
      <w:r>
        <w:t>Grupos v</w:t>
      </w:r>
      <w:r w:rsidRPr="005269E5">
        <w:t>ulnerable</w:t>
      </w:r>
      <w:r>
        <w:t>s</w:t>
      </w:r>
      <w:r w:rsidRPr="005269E5">
        <w:tab/>
      </w:r>
      <w:r w:rsidRPr="005269E5">
        <w:tab/>
        <w:t>87–97</w:t>
      </w:r>
      <w:r w:rsidRPr="005269E5">
        <w:tab/>
      </w:r>
      <w:r>
        <w:t>18</w:t>
      </w:r>
    </w:p>
    <w:p w:rsidR="000100D5" w:rsidRPr="005269E5" w:rsidRDefault="000100D5" w:rsidP="000100D5">
      <w:pPr>
        <w:tabs>
          <w:tab w:val="right" w:pos="850"/>
          <w:tab w:val="left" w:pos="1134"/>
          <w:tab w:val="left" w:pos="1559"/>
          <w:tab w:val="left" w:pos="1984"/>
          <w:tab w:val="left" w:leader="dot" w:pos="7654"/>
          <w:tab w:val="right" w:pos="8929"/>
          <w:tab w:val="right" w:pos="9638"/>
        </w:tabs>
        <w:spacing w:after="120"/>
      </w:pPr>
      <w:r>
        <w:tab/>
      </w:r>
      <w:r>
        <w:tab/>
        <w:t>C.</w:t>
      </w:r>
      <w:r>
        <w:tab/>
        <w:t>Educac</w:t>
      </w:r>
      <w:r w:rsidRPr="005269E5">
        <w:t>i</w:t>
      </w:r>
      <w:r>
        <w:t>ó</w:t>
      </w:r>
      <w:r w:rsidRPr="005269E5">
        <w:t>n</w:t>
      </w:r>
      <w:r w:rsidRPr="005269E5">
        <w:tab/>
      </w:r>
      <w:r w:rsidRPr="005269E5">
        <w:tab/>
        <w:t>98–125</w:t>
      </w:r>
      <w:r w:rsidRPr="005269E5">
        <w:tab/>
      </w:r>
      <w:r>
        <w:t>20</w:t>
      </w:r>
    </w:p>
    <w:p w:rsidR="000100D5" w:rsidRPr="005269E5" w:rsidRDefault="000100D5" w:rsidP="000100D5">
      <w:pPr>
        <w:tabs>
          <w:tab w:val="right" w:pos="850"/>
          <w:tab w:val="left" w:pos="1134"/>
          <w:tab w:val="left" w:pos="1559"/>
          <w:tab w:val="left" w:pos="1984"/>
          <w:tab w:val="left" w:leader="dot" w:pos="7654"/>
          <w:tab w:val="right" w:pos="8929"/>
          <w:tab w:val="right" w:pos="9638"/>
        </w:tabs>
        <w:spacing w:after="120"/>
      </w:pPr>
      <w:r w:rsidRPr="005269E5">
        <w:tab/>
      </w:r>
      <w:r w:rsidRPr="005269E5">
        <w:tab/>
        <w:t>D.</w:t>
      </w:r>
      <w:r w:rsidRPr="005269E5">
        <w:tab/>
        <w:t>Consulta</w:t>
      </w:r>
      <w:r>
        <w:t xml:space="preserve"> y</w:t>
      </w:r>
      <w:r w:rsidRPr="005269E5">
        <w:t xml:space="preserve"> di</w:t>
      </w:r>
      <w:r>
        <w:t>á</w:t>
      </w:r>
      <w:r w:rsidRPr="005269E5">
        <w:t>log</w:t>
      </w:r>
      <w:r>
        <w:t>o permanente</w:t>
      </w:r>
      <w:r w:rsidRPr="005269E5">
        <w:tab/>
      </w:r>
      <w:r w:rsidRPr="005269E5">
        <w:tab/>
        <w:t>126–134</w:t>
      </w:r>
      <w:r w:rsidRPr="005269E5">
        <w:tab/>
      </w:r>
      <w:r>
        <w:t>27</w:t>
      </w:r>
    </w:p>
    <w:p w:rsidR="000100D5" w:rsidRPr="005269E5" w:rsidRDefault="000100D5" w:rsidP="000100D5">
      <w:pPr>
        <w:tabs>
          <w:tab w:val="right" w:pos="850"/>
          <w:tab w:val="left" w:pos="1134"/>
          <w:tab w:val="left" w:pos="1559"/>
          <w:tab w:val="left" w:pos="1984"/>
          <w:tab w:val="left" w:leader="dot" w:pos="7654"/>
          <w:tab w:val="right" w:pos="8929"/>
          <w:tab w:val="right" w:pos="9638"/>
        </w:tabs>
        <w:spacing w:after="120"/>
      </w:pPr>
      <w:r>
        <w:tab/>
        <w:t>III.</w:t>
      </w:r>
      <w:r>
        <w:tab/>
        <w:t>Informac</w:t>
      </w:r>
      <w:r w:rsidRPr="005269E5">
        <w:t>i</w:t>
      </w:r>
      <w:r>
        <w:t>ó</w:t>
      </w:r>
      <w:r w:rsidRPr="005269E5">
        <w:t xml:space="preserve">n </w:t>
      </w:r>
      <w:r>
        <w:t>s</w:t>
      </w:r>
      <w:r w:rsidRPr="005269E5">
        <w:t>o</w:t>
      </w:r>
      <w:r>
        <w:t>bre la a</w:t>
      </w:r>
      <w:r w:rsidRPr="005269E5">
        <w:t>pl</w:t>
      </w:r>
      <w:r>
        <w:t>ic</w:t>
      </w:r>
      <w:r w:rsidRPr="005269E5">
        <w:t>a</w:t>
      </w:r>
      <w:r>
        <w:t>c</w:t>
      </w:r>
      <w:r w:rsidRPr="005269E5">
        <w:t>i</w:t>
      </w:r>
      <w:r>
        <w:t>ó</w:t>
      </w:r>
      <w:r w:rsidRPr="005269E5">
        <w:t xml:space="preserve">n </w:t>
      </w:r>
      <w:r>
        <w:t>de los</w:t>
      </w:r>
      <w:r w:rsidRPr="005269E5">
        <w:t xml:space="preserve"> art</w:t>
      </w:r>
      <w:r>
        <w:t>í</w:t>
      </w:r>
      <w:r w:rsidRPr="005269E5">
        <w:t>c</w:t>
      </w:r>
      <w:r>
        <w:t>u</w:t>
      </w:r>
      <w:r w:rsidRPr="005269E5">
        <w:t>l</w:t>
      </w:r>
      <w:r>
        <w:t>o</w:t>
      </w:r>
      <w:r w:rsidRPr="005269E5">
        <w:t>s 1</w:t>
      </w:r>
      <w:r>
        <w:t xml:space="preserve"> a </w:t>
      </w:r>
      <w:r w:rsidRPr="005269E5">
        <w:t xml:space="preserve">7 </w:t>
      </w:r>
      <w:r>
        <w:t>de la</w:t>
      </w:r>
      <w:r w:rsidRPr="005269E5">
        <w:t xml:space="preserve"> Conven</w:t>
      </w:r>
      <w:r>
        <w:t>c</w:t>
      </w:r>
      <w:r w:rsidRPr="005269E5">
        <w:t>i</w:t>
      </w:r>
      <w:r>
        <w:t>ó</w:t>
      </w:r>
      <w:r w:rsidRPr="005269E5">
        <w:t>n</w:t>
      </w:r>
      <w:r w:rsidRPr="005269E5">
        <w:tab/>
      </w:r>
      <w:r w:rsidRPr="005269E5">
        <w:tab/>
        <w:t>135–475</w:t>
      </w:r>
      <w:r w:rsidRPr="005269E5">
        <w:tab/>
      </w:r>
      <w:r>
        <w:t>29</w:t>
      </w:r>
    </w:p>
    <w:p w:rsidR="000100D5" w:rsidRPr="005269E5" w:rsidRDefault="000100D5" w:rsidP="000100D5">
      <w:pPr>
        <w:tabs>
          <w:tab w:val="right" w:pos="850"/>
          <w:tab w:val="left" w:pos="1134"/>
          <w:tab w:val="left" w:pos="1559"/>
          <w:tab w:val="left" w:leader="dot" w:pos="7654"/>
          <w:tab w:val="right" w:pos="8929"/>
          <w:tab w:val="right" w:pos="9638"/>
        </w:tabs>
        <w:spacing w:after="120"/>
      </w:pPr>
      <w:r w:rsidRPr="005269E5">
        <w:tab/>
      </w:r>
      <w:r w:rsidRPr="005269E5">
        <w:tab/>
        <w:t>Art</w:t>
      </w:r>
      <w:r>
        <w:t>í</w:t>
      </w:r>
      <w:r w:rsidRPr="005269E5">
        <w:t>c</w:t>
      </w:r>
      <w:r>
        <w:t>u</w:t>
      </w:r>
      <w:r w:rsidRPr="005269E5">
        <w:t>l</w:t>
      </w:r>
      <w:r>
        <w:t>o</w:t>
      </w:r>
      <w:r w:rsidRPr="005269E5">
        <w:t xml:space="preserve"> 1</w:t>
      </w:r>
      <w:r w:rsidRPr="005269E5">
        <w:tab/>
      </w:r>
      <w:r w:rsidRPr="005269E5">
        <w:tab/>
        <w:t>135–146</w:t>
      </w:r>
      <w:r w:rsidRPr="005269E5">
        <w:tab/>
      </w:r>
      <w:r>
        <w:t>29</w:t>
      </w:r>
    </w:p>
    <w:p w:rsidR="000100D5" w:rsidRPr="005269E5" w:rsidRDefault="000100D5" w:rsidP="000100D5">
      <w:pPr>
        <w:tabs>
          <w:tab w:val="right" w:pos="850"/>
          <w:tab w:val="left" w:pos="1134"/>
          <w:tab w:val="left" w:pos="1559"/>
          <w:tab w:val="left" w:leader="dot" w:pos="7654"/>
          <w:tab w:val="right" w:pos="8929"/>
          <w:tab w:val="right" w:pos="9638"/>
        </w:tabs>
        <w:spacing w:after="120"/>
      </w:pPr>
      <w:r>
        <w:tab/>
      </w:r>
      <w:r>
        <w:tab/>
        <w:t>Artí</w:t>
      </w:r>
      <w:r w:rsidRPr="005269E5">
        <w:t>c</w:t>
      </w:r>
      <w:r>
        <w:t>u</w:t>
      </w:r>
      <w:r w:rsidRPr="005269E5">
        <w:t>l</w:t>
      </w:r>
      <w:r>
        <w:t>o</w:t>
      </w:r>
      <w:r w:rsidRPr="005269E5">
        <w:t xml:space="preserve"> 2</w:t>
      </w:r>
      <w:r w:rsidRPr="005269E5">
        <w:tab/>
      </w:r>
      <w:r w:rsidRPr="005269E5">
        <w:tab/>
        <w:t>147–203</w:t>
      </w:r>
      <w:r w:rsidRPr="005269E5">
        <w:tab/>
      </w:r>
      <w:r>
        <w:t>31</w:t>
      </w:r>
    </w:p>
    <w:p w:rsidR="000100D5" w:rsidRPr="005269E5" w:rsidRDefault="000100D5" w:rsidP="000100D5">
      <w:pPr>
        <w:tabs>
          <w:tab w:val="right" w:pos="850"/>
          <w:tab w:val="left" w:pos="1134"/>
          <w:tab w:val="left" w:pos="1559"/>
          <w:tab w:val="left" w:leader="dot" w:pos="7654"/>
          <w:tab w:val="right" w:pos="8929"/>
          <w:tab w:val="right" w:pos="9638"/>
        </w:tabs>
        <w:spacing w:after="120"/>
      </w:pPr>
      <w:r>
        <w:tab/>
      </w:r>
      <w:r>
        <w:tab/>
        <w:t>Artí</w:t>
      </w:r>
      <w:r w:rsidRPr="005269E5">
        <w:t>c</w:t>
      </w:r>
      <w:r>
        <w:t>u</w:t>
      </w:r>
      <w:r w:rsidRPr="005269E5">
        <w:t>l</w:t>
      </w:r>
      <w:r>
        <w:t>o</w:t>
      </w:r>
      <w:r w:rsidRPr="005269E5">
        <w:t xml:space="preserve"> 3</w:t>
      </w:r>
      <w:r w:rsidRPr="005269E5">
        <w:tab/>
      </w:r>
      <w:r w:rsidRPr="005269E5">
        <w:tab/>
        <w:t>204–207</w:t>
      </w:r>
      <w:r w:rsidRPr="005269E5">
        <w:tab/>
      </w:r>
      <w:r>
        <w:t>39</w:t>
      </w:r>
    </w:p>
    <w:p w:rsidR="000100D5" w:rsidRPr="005269E5" w:rsidRDefault="000100D5" w:rsidP="000100D5">
      <w:pPr>
        <w:tabs>
          <w:tab w:val="right" w:pos="850"/>
          <w:tab w:val="left" w:pos="1134"/>
          <w:tab w:val="left" w:pos="1559"/>
          <w:tab w:val="left" w:leader="dot" w:pos="7654"/>
          <w:tab w:val="right" w:pos="8929"/>
          <w:tab w:val="right" w:pos="9638"/>
        </w:tabs>
        <w:spacing w:after="120"/>
      </w:pPr>
      <w:r>
        <w:tab/>
      </w:r>
      <w:r>
        <w:tab/>
        <w:t>Artí</w:t>
      </w:r>
      <w:r w:rsidRPr="005269E5">
        <w:t>c</w:t>
      </w:r>
      <w:r>
        <w:t>u</w:t>
      </w:r>
      <w:r w:rsidRPr="005269E5">
        <w:t>l</w:t>
      </w:r>
      <w:r>
        <w:t>o</w:t>
      </w:r>
      <w:r w:rsidRPr="005269E5">
        <w:t xml:space="preserve"> 4</w:t>
      </w:r>
      <w:r w:rsidRPr="005269E5">
        <w:tab/>
      </w:r>
      <w:r w:rsidRPr="005269E5">
        <w:tab/>
        <w:t>208–226</w:t>
      </w:r>
      <w:r w:rsidRPr="005269E5">
        <w:tab/>
      </w:r>
      <w:r w:rsidR="00DD3CCD">
        <w:t>39</w:t>
      </w:r>
    </w:p>
    <w:p w:rsidR="000100D5" w:rsidRPr="005269E5" w:rsidRDefault="000100D5" w:rsidP="000100D5">
      <w:pPr>
        <w:tabs>
          <w:tab w:val="right" w:pos="850"/>
          <w:tab w:val="left" w:pos="1134"/>
          <w:tab w:val="left" w:pos="1559"/>
          <w:tab w:val="left" w:leader="dot" w:pos="7654"/>
          <w:tab w:val="right" w:pos="8929"/>
          <w:tab w:val="right" w:pos="9638"/>
        </w:tabs>
        <w:spacing w:after="120"/>
      </w:pPr>
      <w:r>
        <w:tab/>
      </w:r>
      <w:r>
        <w:tab/>
        <w:t>Artículo</w:t>
      </w:r>
      <w:r w:rsidRPr="005269E5">
        <w:t xml:space="preserve"> 5</w:t>
      </w:r>
      <w:r w:rsidRPr="005269E5">
        <w:tab/>
      </w:r>
      <w:r w:rsidRPr="005269E5">
        <w:tab/>
        <w:t>227–382</w:t>
      </w:r>
      <w:r w:rsidRPr="005269E5">
        <w:tab/>
      </w:r>
      <w:r>
        <w:t>42</w:t>
      </w:r>
    </w:p>
    <w:p w:rsidR="000100D5" w:rsidRPr="005269E5" w:rsidRDefault="000100D5" w:rsidP="000100D5">
      <w:pPr>
        <w:tabs>
          <w:tab w:val="right" w:pos="850"/>
          <w:tab w:val="left" w:pos="1134"/>
          <w:tab w:val="left" w:pos="1559"/>
          <w:tab w:val="left" w:leader="dot" w:pos="7654"/>
          <w:tab w:val="right" w:pos="8929"/>
          <w:tab w:val="right" w:pos="9638"/>
        </w:tabs>
        <w:spacing w:after="120"/>
      </w:pPr>
      <w:r>
        <w:tab/>
      </w:r>
      <w:r>
        <w:tab/>
        <w:t>Artí</w:t>
      </w:r>
      <w:r w:rsidRPr="005269E5">
        <w:t>c</w:t>
      </w:r>
      <w:r>
        <w:t>u</w:t>
      </w:r>
      <w:r w:rsidRPr="005269E5">
        <w:t>l</w:t>
      </w:r>
      <w:r>
        <w:t>o</w:t>
      </w:r>
      <w:r w:rsidRPr="005269E5">
        <w:t xml:space="preserve"> 6</w:t>
      </w:r>
      <w:r w:rsidRPr="005269E5">
        <w:tab/>
      </w:r>
      <w:r w:rsidRPr="005269E5">
        <w:tab/>
        <w:t>383–403</w:t>
      </w:r>
      <w:r w:rsidRPr="005269E5">
        <w:tab/>
      </w:r>
      <w:r>
        <w:t>73</w:t>
      </w:r>
    </w:p>
    <w:p w:rsidR="000100D5" w:rsidRPr="005269E5" w:rsidRDefault="000100D5" w:rsidP="000100D5">
      <w:pPr>
        <w:tabs>
          <w:tab w:val="right" w:pos="850"/>
          <w:tab w:val="left" w:pos="1134"/>
          <w:tab w:val="left" w:pos="1559"/>
          <w:tab w:val="left" w:leader="dot" w:pos="7654"/>
          <w:tab w:val="right" w:pos="8929"/>
          <w:tab w:val="right" w:pos="9638"/>
        </w:tabs>
        <w:spacing w:after="120"/>
      </w:pPr>
      <w:r>
        <w:tab/>
      </w:r>
      <w:r>
        <w:tab/>
        <w:t>Artí</w:t>
      </w:r>
      <w:r w:rsidRPr="005269E5">
        <w:t>c</w:t>
      </w:r>
      <w:r>
        <w:t>ulo</w:t>
      </w:r>
      <w:r w:rsidRPr="005269E5">
        <w:t xml:space="preserve"> 7</w:t>
      </w:r>
      <w:r w:rsidRPr="005269E5">
        <w:tab/>
      </w:r>
      <w:r w:rsidRPr="005269E5">
        <w:tab/>
        <w:t>404–475</w:t>
      </w:r>
      <w:r w:rsidRPr="005269E5">
        <w:tab/>
      </w:r>
      <w:r>
        <w:t>74</w:t>
      </w:r>
    </w:p>
    <w:p w:rsidR="000100D5" w:rsidRPr="005269E5" w:rsidRDefault="000100D5" w:rsidP="000100D5">
      <w:pPr>
        <w:tabs>
          <w:tab w:val="right" w:pos="850"/>
          <w:tab w:val="left" w:pos="1134"/>
          <w:tab w:val="left" w:pos="1559"/>
          <w:tab w:val="left" w:leader="dot" w:pos="7654"/>
          <w:tab w:val="right" w:pos="8929"/>
          <w:tab w:val="right" w:pos="9638"/>
        </w:tabs>
        <w:spacing w:after="120"/>
      </w:pPr>
      <w:r w:rsidRPr="005269E5">
        <w:tab/>
        <w:t>IV.</w:t>
      </w:r>
      <w:r w:rsidRPr="005269E5">
        <w:tab/>
        <w:t>Consulta</w:t>
      </w:r>
      <w:r w:rsidRPr="005269E5">
        <w:tab/>
      </w:r>
      <w:r w:rsidRPr="005269E5">
        <w:tab/>
        <w:t>476–545</w:t>
      </w:r>
      <w:r w:rsidRPr="005269E5">
        <w:tab/>
      </w:r>
      <w:r>
        <w:t>84</w:t>
      </w:r>
    </w:p>
    <w:p w:rsidR="000100D5" w:rsidRPr="005269E5" w:rsidRDefault="000100D5" w:rsidP="006F314E">
      <w:pPr>
        <w:numPr>
          <w:ilvl w:val="0"/>
          <w:numId w:val="19"/>
        </w:numPr>
        <w:tabs>
          <w:tab w:val="right" w:pos="850"/>
          <w:tab w:val="left" w:pos="1134"/>
          <w:tab w:val="left" w:leader="dot" w:pos="7654"/>
          <w:tab w:val="right" w:pos="8929"/>
          <w:tab w:val="right" w:pos="9638"/>
        </w:tabs>
        <w:suppressAutoHyphens/>
        <w:spacing w:after="120"/>
      </w:pPr>
      <w:r w:rsidRPr="00FB44E7">
        <w:t>Reunión de consulta celebrada el 25 de noviemb</w:t>
      </w:r>
      <w:r w:rsidR="006F314E">
        <w:t>re de 2008 con el sector de</w:t>
      </w:r>
      <w:r w:rsidR="006F314E">
        <w:br/>
        <w:t xml:space="preserve">las </w:t>
      </w:r>
      <w:r w:rsidR="00F87083">
        <w:t>organizaciones no</w:t>
      </w:r>
      <w:r w:rsidRPr="00FB44E7">
        <w:t xml:space="preserve"> gubernamental</w:t>
      </w:r>
      <w:r w:rsidR="006F314E">
        <w:t>es sobre los informes tercero y cuarto</w:t>
      </w:r>
      <w:r w:rsidR="006F314E">
        <w:br/>
      </w:r>
      <w:r w:rsidRPr="00FB44E7">
        <w:t>combinados de Irlanda</w:t>
      </w:r>
      <w:r w:rsidR="00DD3CCD">
        <w:t>,</w:t>
      </w:r>
      <w:r w:rsidRPr="00FB44E7">
        <w:t xml:space="preserve"> en virtud de la Convención</w:t>
      </w:r>
      <w:r>
        <w:t xml:space="preserve"> </w:t>
      </w:r>
      <w:r w:rsidR="006F314E">
        <w:t>de las</w:t>
      </w:r>
      <w:r w:rsidR="00DD3CCD">
        <w:t xml:space="preserve"> Naciones Unidas</w:t>
      </w:r>
      <w:r w:rsidR="006F314E">
        <w:br/>
      </w:r>
      <w:r>
        <w:t>sobre la</w:t>
      </w:r>
      <w:r w:rsidR="006F314E">
        <w:t xml:space="preserve"> </w:t>
      </w:r>
      <w:r w:rsidRPr="005269E5">
        <w:t>Elimina</w:t>
      </w:r>
      <w:r>
        <w:t>c</w:t>
      </w:r>
      <w:r w:rsidRPr="005269E5">
        <w:t>i</w:t>
      </w:r>
      <w:r>
        <w:t>ó</w:t>
      </w:r>
      <w:r w:rsidRPr="005269E5">
        <w:t xml:space="preserve">n </w:t>
      </w:r>
      <w:r>
        <w:t xml:space="preserve">de todas </w:t>
      </w:r>
      <w:r w:rsidRPr="005269E5">
        <w:t>l</w:t>
      </w:r>
      <w:r>
        <w:t>as</w:t>
      </w:r>
      <w:r w:rsidRPr="005269E5">
        <w:t xml:space="preserve"> Form</w:t>
      </w:r>
      <w:r>
        <w:t>a</w:t>
      </w:r>
      <w:r w:rsidRPr="005269E5">
        <w:t xml:space="preserve">s </w:t>
      </w:r>
      <w:r w:rsidR="00F87083">
        <w:t>de</w:t>
      </w:r>
      <w:r w:rsidR="00DD3CCD">
        <w:t xml:space="preserve"> </w:t>
      </w:r>
      <w:r>
        <w:t xml:space="preserve">Discriminación Racial </w:t>
      </w:r>
      <w:r w:rsidRPr="005269E5">
        <w:tab/>
      </w:r>
      <w:r w:rsidRPr="005269E5">
        <w:tab/>
        <w:t>476–483</w:t>
      </w:r>
      <w:r w:rsidRPr="005269E5">
        <w:tab/>
      </w:r>
      <w:r>
        <w:t>84</w:t>
      </w:r>
    </w:p>
    <w:p w:rsidR="000100D5" w:rsidRPr="005269E5" w:rsidRDefault="000100D5" w:rsidP="000100D5">
      <w:pPr>
        <w:tabs>
          <w:tab w:val="right" w:pos="850"/>
          <w:tab w:val="left" w:pos="1134"/>
          <w:tab w:val="left" w:pos="1559"/>
          <w:tab w:val="left" w:leader="dot" w:pos="7654"/>
          <w:tab w:val="right" w:pos="8929"/>
          <w:tab w:val="right" w:pos="9638"/>
        </w:tabs>
        <w:spacing w:after="120"/>
      </w:pPr>
      <w:r w:rsidRPr="005269E5">
        <w:tab/>
      </w:r>
      <w:r w:rsidRPr="005269E5">
        <w:tab/>
        <w:t>B.</w:t>
      </w:r>
      <w:r w:rsidRPr="005269E5">
        <w:tab/>
      </w:r>
      <w:r>
        <w:t>Comentarios g</w:t>
      </w:r>
      <w:r w:rsidRPr="005269E5">
        <w:t>eneral</w:t>
      </w:r>
      <w:r>
        <w:t>es</w:t>
      </w:r>
      <w:r w:rsidRPr="005269E5">
        <w:tab/>
      </w:r>
      <w:r w:rsidRPr="005269E5">
        <w:tab/>
        <w:t>484–545</w:t>
      </w:r>
      <w:r w:rsidRPr="005269E5">
        <w:tab/>
      </w:r>
      <w:r>
        <w:t>85</w:t>
      </w:r>
    </w:p>
    <w:p w:rsidR="000100D5" w:rsidRPr="005269E5" w:rsidRDefault="000100D5" w:rsidP="000100D5">
      <w:pPr>
        <w:tabs>
          <w:tab w:val="left" w:pos="-1134"/>
          <w:tab w:val="left" w:pos="-709"/>
          <w:tab w:val="right" w:pos="850"/>
          <w:tab w:val="left" w:leader="dot" w:pos="8787"/>
          <w:tab w:val="right" w:pos="9638"/>
        </w:tabs>
        <w:spacing w:after="120"/>
      </w:pPr>
      <w:r>
        <w:tab/>
      </w:r>
      <w:r w:rsidRPr="005269E5">
        <w:t>Bibliogra</w:t>
      </w:r>
      <w:r>
        <w:t>fía</w:t>
      </w:r>
      <w:r w:rsidRPr="005269E5">
        <w:tab/>
      </w:r>
      <w:r w:rsidRPr="005269E5">
        <w:tab/>
      </w:r>
      <w:r>
        <w:t>92</w:t>
      </w:r>
    </w:p>
    <w:p w:rsidR="000100D5" w:rsidRPr="005269E5" w:rsidRDefault="000100D5" w:rsidP="000100D5">
      <w:pPr>
        <w:pStyle w:val="HChG"/>
      </w:pPr>
      <w:r w:rsidRPr="005269E5">
        <w:br w:type="page"/>
      </w:r>
      <w:r w:rsidRPr="005269E5">
        <w:tab/>
        <w:t>I.</w:t>
      </w:r>
      <w:r w:rsidRPr="005269E5">
        <w:tab/>
        <w:t>General</w:t>
      </w:r>
      <w:r>
        <w:t>idades</w:t>
      </w:r>
    </w:p>
    <w:p w:rsidR="000100D5" w:rsidRPr="005269E5" w:rsidRDefault="000100D5" w:rsidP="000100D5">
      <w:pPr>
        <w:pStyle w:val="H1G"/>
      </w:pPr>
      <w:r w:rsidRPr="005269E5">
        <w:tab/>
        <w:t>1.</w:t>
      </w:r>
      <w:r w:rsidRPr="005269E5">
        <w:tab/>
        <w:t>Introduc</w:t>
      </w:r>
      <w:r>
        <w:t>c</w:t>
      </w:r>
      <w:r w:rsidRPr="005269E5">
        <w:t>i</w:t>
      </w:r>
      <w:r>
        <w:t>ó</w:t>
      </w:r>
      <w:r w:rsidRPr="005269E5">
        <w:t>n</w:t>
      </w:r>
    </w:p>
    <w:p w:rsidR="000100D5" w:rsidRPr="005269E5" w:rsidRDefault="000100D5" w:rsidP="000100D5">
      <w:pPr>
        <w:pStyle w:val="SingleTxtG"/>
      </w:pPr>
      <w:r w:rsidRPr="005269E5">
        <w:t>1.</w:t>
      </w:r>
      <w:r w:rsidRPr="005269E5">
        <w:tab/>
      </w:r>
      <w:r>
        <w:t>El</w:t>
      </w:r>
      <w:r w:rsidRPr="005269E5">
        <w:t xml:space="preserve"> Go</w:t>
      </w:r>
      <w:r>
        <w:t>bi</w:t>
      </w:r>
      <w:r w:rsidRPr="005269E5">
        <w:t>ern</w:t>
      </w:r>
      <w:r>
        <w:t>o de</w:t>
      </w:r>
      <w:r w:rsidRPr="005269E5">
        <w:t xml:space="preserve"> Irland</w:t>
      </w:r>
      <w:r>
        <w:t>a agradece la</w:t>
      </w:r>
      <w:r w:rsidRPr="005269E5">
        <w:t xml:space="preserve"> oportuni</w:t>
      </w:r>
      <w:r>
        <w:t>dad</w:t>
      </w:r>
      <w:r w:rsidRPr="005269E5">
        <w:t xml:space="preserve"> </w:t>
      </w:r>
      <w:r>
        <w:t>de transmitir</w:t>
      </w:r>
      <w:r w:rsidRPr="005269E5">
        <w:t xml:space="preserve"> </w:t>
      </w:r>
      <w:r>
        <w:t>al</w:t>
      </w:r>
      <w:r w:rsidRPr="005269E5">
        <w:t xml:space="preserve"> Comit</w:t>
      </w:r>
      <w:r>
        <w:t>é</w:t>
      </w:r>
      <w:r w:rsidRPr="005269E5">
        <w:t xml:space="preserve"> </w:t>
      </w:r>
      <w:r>
        <w:t>de las Naciones Unidas para la</w:t>
      </w:r>
      <w:r w:rsidRPr="005269E5">
        <w:t xml:space="preserve"> Elimina</w:t>
      </w:r>
      <w:r>
        <w:t>c</w:t>
      </w:r>
      <w:r w:rsidRPr="005269E5">
        <w:t>i</w:t>
      </w:r>
      <w:r>
        <w:t>ó</w:t>
      </w:r>
      <w:r w:rsidRPr="005269E5">
        <w:t xml:space="preserve">n </w:t>
      </w:r>
      <w:r>
        <w:t>de la</w:t>
      </w:r>
      <w:r w:rsidRPr="005269E5">
        <w:t xml:space="preserve"> Discrimina</w:t>
      </w:r>
      <w:r>
        <w:t>c</w:t>
      </w:r>
      <w:r w:rsidRPr="005269E5">
        <w:t>i</w:t>
      </w:r>
      <w:r>
        <w:t>ó</w:t>
      </w:r>
      <w:r w:rsidRPr="005269E5">
        <w:t>n</w:t>
      </w:r>
      <w:r>
        <w:t xml:space="preserve"> Racial</w:t>
      </w:r>
      <w:r w:rsidRPr="005269E5">
        <w:t xml:space="preserve"> </w:t>
      </w:r>
      <w:r>
        <w:t>un informe actualizado acerca de las</w:t>
      </w:r>
      <w:r w:rsidRPr="005269E5">
        <w:t xml:space="preserve"> me</w:t>
      </w:r>
      <w:r>
        <w:t>didas para hacer</w:t>
      </w:r>
      <w:r w:rsidRPr="005269E5">
        <w:t xml:space="preserve"> efect</w:t>
      </w:r>
      <w:r>
        <w:t>ivos los compromisos</w:t>
      </w:r>
      <w:r w:rsidRPr="005269E5">
        <w:t xml:space="preserve"> </w:t>
      </w:r>
      <w:r>
        <w:t>contraídos en virtud del</w:t>
      </w:r>
      <w:r w:rsidRPr="005269E5">
        <w:t xml:space="preserve"> </w:t>
      </w:r>
      <w:r>
        <w:t>artículo</w:t>
      </w:r>
      <w:r w:rsidRPr="005269E5">
        <w:t xml:space="preserve"> 9 </w:t>
      </w:r>
      <w:r>
        <w:t>de la Convención</w:t>
      </w:r>
      <w:r w:rsidRPr="005269E5">
        <w:t xml:space="preserve"> Interna</w:t>
      </w:r>
      <w:r>
        <w:t>c</w:t>
      </w:r>
      <w:r w:rsidRPr="005269E5">
        <w:t>io</w:t>
      </w:r>
      <w:r>
        <w:t>n</w:t>
      </w:r>
      <w:r w:rsidRPr="005269E5">
        <w:t xml:space="preserve">al </w:t>
      </w:r>
      <w:r>
        <w:t>s</w:t>
      </w:r>
      <w:r w:rsidRPr="005269E5">
        <w:t>o</w:t>
      </w:r>
      <w:r>
        <w:t>bre la</w:t>
      </w:r>
      <w:r w:rsidRPr="005269E5">
        <w:t xml:space="preserve"> Elimina</w:t>
      </w:r>
      <w:r>
        <w:t>c</w:t>
      </w:r>
      <w:r w:rsidRPr="005269E5">
        <w:t>i</w:t>
      </w:r>
      <w:r>
        <w:t>ó</w:t>
      </w:r>
      <w:r w:rsidRPr="005269E5">
        <w:t xml:space="preserve">n </w:t>
      </w:r>
      <w:r>
        <w:t xml:space="preserve">de todas </w:t>
      </w:r>
      <w:r w:rsidRPr="005269E5">
        <w:t>l</w:t>
      </w:r>
      <w:r>
        <w:t>as</w:t>
      </w:r>
      <w:r w:rsidRPr="005269E5">
        <w:t xml:space="preserve"> Form</w:t>
      </w:r>
      <w:r>
        <w:t>a</w:t>
      </w:r>
      <w:r w:rsidRPr="005269E5">
        <w:t xml:space="preserve">s </w:t>
      </w:r>
      <w:r>
        <w:t>de</w:t>
      </w:r>
      <w:r w:rsidR="005007D6">
        <w:t xml:space="preserve"> </w:t>
      </w:r>
      <w:r w:rsidRPr="005269E5">
        <w:t>Discrimina</w:t>
      </w:r>
      <w:r>
        <w:t>c</w:t>
      </w:r>
      <w:r w:rsidRPr="005269E5">
        <w:t>i</w:t>
      </w:r>
      <w:r>
        <w:t>ó</w:t>
      </w:r>
      <w:r w:rsidRPr="005269E5">
        <w:t>n</w:t>
      </w:r>
      <w:r>
        <w:t xml:space="preserve"> Racial y, como lo</w:t>
      </w:r>
      <w:r w:rsidRPr="005269E5">
        <w:t xml:space="preserve"> recomend</w:t>
      </w:r>
      <w:r>
        <w:t xml:space="preserve">ó </w:t>
      </w:r>
      <w:r w:rsidRPr="005269E5">
        <w:t>e</w:t>
      </w:r>
      <w:r>
        <w:t>l</w:t>
      </w:r>
      <w:r w:rsidRPr="005269E5">
        <w:t xml:space="preserve"> Comit</w:t>
      </w:r>
      <w:r>
        <w:t>é</w:t>
      </w:r>
      <w:r w:rsidRPr="005269E5">
        <w:t xml:space="preserve"> </w:t>
      </w:r>
      <w:r>
        <w:t>en sus</w:t>
      </w:r>
      <w:r w:rsidRPr="005269E5">
        <w:t xml:space="preserve"> observa</w:t>
      </w:r>
      <w:r>
        <w:t>c</w:t>
      </w:r>
      <w:r w:rsidRPr="005269E5">
        <w:t>ion</w:t>
      </w:r>
      <w:r>
        <w:t>e</w:t>
      </w:r>
      <w:r w:rsidRPr="005269E5">
        <w:t xml:space="preserve">s </w:t>
      </w:r>
      <w:r>
        <w:t>finales relativas al informe inicial y al segundo informe periódico</w:t>
      </w:r>
      <w:r w:rsidRPr="005269E5">
        <w:t xml:space="preserve"> </w:t>
      </w:r>
      <w:r>
        <w:t xml:space="preserve">de </w:t>
      </w:r>
      <w:r w:rsidRPr="005269E5">
        <w:t>Irland</w:t>
      </w:r>
      <w:r>
        <w:t>a</w:t>
      </w:r>
      <w:r w:rsidRPr="005269E5">
        <w:t xml:space="preserve">, </w:t>
      </w:r>
      <w:r>
        <w:t>el Estado parte</w:t>
      </w:r>
      <w:r w:rsidRPr="005269E5">
        <w:t xml:space="preserve"> ha</w:t>
      </w:r>
      <w:r>
        <w:t xml:space="preserve"> presentado sus informes periódicos</w:t>
      </w:r>
      <w:r w:rsidRPr="005269E5">
        <w:t xml:space="preserve"> t</w:t>
      </w:r>
      <w:r>
        <w:t>e</w:t>
      </w:r>
      <w:r w:rsidRPr="005269E5">
        <w:t>r</w:t>
      </w:r>
      <w:r>
        <w:t>cero y cuarto conjuntamente</w:t>
      </w:r>
      <w:r w:rsidRPr="005269E5">
        <w:t>.</w:t>
      </w:r>
    </w:p>
    <w:p w:rsidR="000100D5" w:rsidRPr="005269E5" w:rsidRDefault="000100D5" w:rsidP="000100D5">
      <w:pPr>
        <w:pStyle w:val="H1G"/>
      </w:pPr>
      <w:r w:rsidRPr="005269E5">
        <w:tab/>
        <w:t>2.</w:t>
      </w:r>
      <w:r w:rsidRPr="005269E5">
        <w:tab/>
      </w:r>
      <w:r>
        <w:t>Antecedentes</w:t>
      </w:r>
    </w:p>
    <w:p w:rsidR="000100D5" w:rsidRPr="00CF4967" w:rsidRDefault="000100D5" w:rsidP="000100D5">
      <w:pPr>
        <w:pStyle w:val="SingleTxtG"/>
      </w:pPr>
      <w:r>
        <w:t>2.</w:t>
      </w:r>
      <w:r>
        <w:tab/>
        <w:t>Ir</w:t>
      </w:r>
      <w:r w:rsidRPr="005269E5">
        <w:t>land</w:t>
      </w:r>
      <w:r>
        <w:t>a</w:t>
      </w:r>
      <w:r w:rsidRPr="005269E5">
        <w:t xml:space="preserve"> </w:t>
      </w:r>
      <w:r>
        <w:t>firmó la</w:t>
      </w:r>
      <w:r w:rsidRPr="005269E5">
        <w:t xml:space="preserve"> C</w:t>
      </w:r>
      <w:r>
        <w:t>onvención</w:t>
      </w:r>
      <w:r w:rsidRPr="005269E5">
        <w:t xml:space="preserve"> </w:t>
      </w:r>
      <w:r>
        <w:t>e</w:t>
      </w:r>
      <w:r w:rsidRPr="005269E5">
        <w:t xml:space="preserve">n 1968. </w:t>
      </w:r>
      <w:r w:rsidRPr="004C1AD1">
        <w:t xml:space="preserve">A raíz de la promulgación de la </w:t>
      </w:r>
      <w:r>
        <w:t>L</w:t>
      </w:r>
      <w:r w:rsidRPr="004C1AD1">
        <w:t>ey de igualdad en el empleo, de 1998, y de la Ley sobre la igualdad de condici</w:t>
      </w:r>
      <w:r>
        <w:t>ón, de</w:t>
      </w:r>
      <w:r w:rsidRPr="004C1AD1">
        <w:t xml:space="preserve"> 2000, </w:t>
      </w:r>
      <w:r>
        <w:t>Irlanda ratificó la</w:t>
      </w:r>
      <w:r w:rsidRPr="004C1AD1">
        <w:t xml:space="preserve"> Conven</w:t>
      </w:r>
      <w:r>
        <w:t>c</w:t>
      </w:r>
      <w:r w:rsidRPr="004C1AD1">
        <w:t>i</w:t>
      </w:r>
      <w:r>
        <w:t>ón, que</w:t>
      </w:r>
      <w:r w:rsidRPr="004C1AD1">
        <w:t xml:space="preserve"> entr</w:t>
      </w:r>
      <w:r>
        <w:t>ó e</w:t>
      </w:r>
      <w:r w:rsidRPr="004C1AD1">
        <w:t>n</w:t>
      </w:r>
      <w:r>
        <w:t xml:space="preserve"> vigor</w:t>
      </w:r>
      <w:r w:rsidRPr="004C1AD1">
        <w:t xml:space="preserve"> </w:t>
      </w:r>
      <w:r>
        <w:t>e</w:t>
      </w:r>
      <w:r w:rsidRPr="004C1AD1">
        <w:t xml:space="preserve">n </w:t>
      </w:r>
      <w:r>
        <w:t>enero de</w:t>
      </w:r>
      <w:r w:rsidRPr="004C1AD1">
        <w:t xml:space="preserve"> 2001. </w:t>
      </w:r>
      <w:r w:rsidRPr="00CF4967">
        <w:t xml:space="preserve">Ese instrumento engloba las medidas legislativas, judiciales, administrativas o de otra índole que es preciso aplicar a fin de dar cumplimiento a sus disposiciones y compromete a los Estados </w:t>
      </w:r>
      <w:r w:rsidR="00E03EF2">
        <w:t>"</w:t>
      </w:r>
      <w:r w:rsidRPr="00CF4967">
        <w:t>a seguir,</w:t>
      </w:r>
      <w:r w:rsidR="005007D6">
        <w:t xml:space="preserve"> </w:t>
      </w:r>
      <w:r w:rsidRPr="00CF4967">
        <w:t>p</w:t>
      </w:r>
      <w:r>
        <w:t>o</w:t>
      </w:r>
      <w:r w:rsidRPr="00CF4967">
        <w:t xml:space="preserve">r </w:t>
      </w:r>
      <w:r>
        <w:t>todos los medios</w:t>
      </w:r>
      <w:r w:rsidRPr="00CF4967">
        <w:t xml:space="preserve"> apropia</w:t>
      </w:r>
      <w:r>
        <w:t>dos</w:t>
      </w:r>
      <w:r w:rsidRPr="00CF4967">
        <w:t xml:space="preserve"> </w:t>
      </w:r>
      <w:r>
        <w:t>y sin dilaciones,</w:t>
      </w:r>
      <w:r w:rsidRPr="00CF4967">
        <w:t xml:space="preserve"> </w:t>
      </w:r>
      <w:r>
        <w:t>un</w:t>
      </w:r>
      <w:r w:rsidRPr="00CF4967">
        <w:t>a pol</w:t>
      </w:r>
      <w:r>
        <w:t>íti</w:t>
      </w:r>
      <w:r w:rsidRPr="00CF4967">
        <w:t>c</w:t>
      </w:r>
      <w:r>
        <w:t>a</w:t>
      </w:r>
      <w:r w:rsidRPr="00CF4967">
        <w:t xml:space="preserve"> </w:t>
      </w:r>
      <w:r>
        <w:t>encaminada a</w:t>
      </w:r>
      <w:r w:rsidRPr="00CF4967">
        <w:t xml:space="preserve"> elimina</w:t>
      </w:r>
      <w:r>
        <w:t>r</w:t>
      </w:r>
      <w:r w:rsidRPr="00CF4967">
        <w:t xml:space="preserve"> </w:t>
      </w:r>
      <w:r>
        <w:t>la</w:t>
      </w:r>
      <w:r w:rsidR="005007D6">
        <w:t xml:space="preserve"> </w:t>
      </w:r>
      <w:r>
        <w:t>discriminac</w:t>
      </w:r>
      <w:r w:rsidRPr="00CF4967">
        <w:t>i</w:t>
      </w:r>
      <w:r>
        <w:t>ó</w:t>
      </w:r>
      <w:r w:rsidRPr="00CF4967">
        <w:t xml:space="preserve">n </w:t>
      </w:r>
      <w:r>
        <w:t>racial e</w:t>
      </w:r>
      <w:r w:rsidRPr="00CF4967">
        <w:t xml:space="preserve">n </w:t>
      </w:r>
      <w:r>
        <w:t>todas su</w:t>
      </w:r>
      <w:r w:rsidRPr="00CF4967">
        <w:t>s form</w:t>
      </w:r>
      <w:r>
        <w:t>a</w:t>
      </w:r>
      <w:r w:rsidRPr="00CF4967">
        <w:t xml:space="preserve">s </w:t>
      </w:r>
      <w:r>
        <w:t>y a</w:t>
      </w:r>
      <w:r w:rsidRPr="00CF4967">
        <w:t xml:space="preserve"> promo</w:t>
      </w:r>
      <w:r>
        <w:t>ver</w:t>
      </w:r>
      <w:r w:rsidRPr="00CF4967">
        <w:t xml:space="preserve"> </w:t>
      </w:r>
      <w:r>
        <w:t>el ent</w:t>
      </w:r>
      <w:r w:rsidRPr="00CF4967">
        <w:t>endi</w:t>
      </w:r>
      <w:r>
        <w:t>mie</w:t>
      </w:r>
      <w:r w:rsidRPr="00CF4967">
        <w:t>n</w:t>
      </w:r>
      <w:r>
        <w:t>to</w:t>
      </w:r>
      <w:r w:rsidRPr="00CF4967">
        <w:t xml:space="preserve"> </w:t>
      </w:r>
      <w:r>
        <w:t xml:space="preserve">entre todas </w:t>
      </w:r>
      <w:r w:rsidRPr="00CF4967">
        <w:t>l</w:t>
      </w:r>
      <w:r>
        <w:t>as</w:t>
      </w:r>
      <w:r w:rsidRPr="00CF4967">
        <w:t xml:space="preserve"> ra</w:t>
      </w:r>
      <w:r>
        <w:t>za</w:t>
      </w:r>
      <w:r w:rsidRPr="00CF4967">
        <w:t>s</w:t>
      </w:r>
      <w:r w:rsidR="00E03EF2">
        <w:t>"</w:t>
      </w:r>
      <w:r w:rsidRPr="00CF4967">
        <w:t>.</w:t>
      </w:r>
    </w:p>
    <w:p w:rsidR="000100D5" w:rsidRPr="00D23FAF" w:rsidRDefault="000100D5" w:rsidP="000100D5">
      <w:pPr>
        <w:pStyle w:val="SingleTxtG"/>
      </w:pPr>
      <w:r w:rsidRPr="005269E5">
        <w:t>3.</w:t>
      </w:r>
      <w:r w:rsidRPr="005269E5">
        <w:tab/>
        <w:t>Irland</w:t>
      </w:r>
      <w:r>
        <w:t>a</w:t>
      </w:r>
      <w:r w:rsidRPr="005269E5">
        <w:t xml:space="preserve"> </w:t>
      </w:r>
      <w:r>
        <w:t xml:space="preserve">presentó </w:t>
      </w:r>
      <w:r w:rsidRPr="005269E5">
        <w:t>s</w:t>
      </w:r>
      <w:r>
        <w:t>u primer informe</w:t>
      </w:r>
      <w:r w:rsidRPr="005269E5">
        <w:t xml:space="preserve"> </w:t>
      </w:r>
      <w:r>
        <w:t>n</w:t>
      </w:r>
      <w:r w:rsidRPr="005269E5">
        <w:t>a</w:t>
      </w:r>
      <w:r>
        <w:t>c</w:t>
      </w:r>
      <w:r w:rsidRPr="005269E5">
        <w:t xml:space="preserve">ional </w:t>
      </w:r>
      <w:r>
        <w:t>e</w:t>
      </w:r>
      <w:r w:rsidRPr="005269E5">
        <w:t xml:space="preserve">n </w:t>
      </w:r>
      <w:r>
        <w:t>m</w:t>
      </w:r>
      <w:r w:rsidRPr="005269E5">
        <w:t>ar</w:t>
      </w:r>
      <w:r>
        <w:t>zo de</w:t>
      </w:r>
      <w:r w:rsidRPr="005269E5">
        <w:t xml:space="preserve"> 2004. </w:t>
      </w:r>
      <w:r w:rsidRPr="00D23FAF">
        <w:t xml:space="preserve">El Comité consideró </w:t>
      </w:r>
      <w:r>
        <w:t>ul</w:t>
      </w:r>
      <w:r w:rsidRPr="00D23FAF">
        <w:t>teriormente que ese documento constituía el informe inicial y el segundo informe</w:t>
      </w:r>
      <w:r>
        <w:t xml:space="preserve"> periódico de</w:t>
      </w:r>
      <w:r w:rsidRPr="00D23FAF">
        <w:t xml:space="preserve"> Irland</w:t>
      </w:r>
      <w:r>
        <w:t>a</w:t>
      </w:r>
      <w:r w:rsidRPr="005269E5">
        <w:rPr>
          <w:rStyle w:val="FootnoteReference"/>
        </w:rPr>
        <w:footnoteReference w:id="4"/>
      </w:r>
      <w:r w:rsidR="001F5C61">
        <w:t>.</w:t>
      </w:r>
      <w:r w:rsidRPr="00D23FAF">
        <w:t xml:space="preserve"> </w:t>
      </w:r>
      <w:r>
        <w:t>Se</w:t>
      </w:r>
      <w:r w:rsidRPr="00D23FAF">
        <w:t xml:space="preserve"> invitó también a las ONG a presentar un informe paralelo.</w:t>
      </w:r>
    </w:p>
    <w:p w:rsidR="000100D5" w:rsidRPr="0067548A" w:rsidRDefault="000100D5" w:rsidP="000100D5">
      <w:pPr>
        <w:pStyle w:val="SingleTxtG"/>
      </w:pPr>
      <w:r w:rsidRPr="005269E5">
        <w:t>4.</w:t>
      </w:r>
      <w:r w:rsidRPr="005269E5">
        <w:tab/>
      </w:r>
      <w:r>
        <w:t>E</w:t>
      </w:r>
      <w:r w:rsidRPr="005269E5">
        <w:t xml:space="preserve">n </w:t>
      </w:r>
      <w:r>
        <w:t>m</w:t>
      </w:r>
      <w:r w:rsidRPr="005269E5">
        <w:t>ar</w:t>
      </w:r>
      <w:r>
        <w:t>zo de</w:t>
      </w:r>
      <w:r w:rsidRPr="005269E5">
        <w:t xml:space="preserve"> 2005, </w:t>
      </w:r>
      <w:r>
        <w:t>el entonces</w:t>
      </w:r>
      <w:r w:rsidRPr="005269E5">
        <w:t xml:space="preserve"> Ministr</w:t>
      </w:r>
      <w:r>
        <w:t>o de</w:t>
      </w:r>
      <w:r w:rsidRPr="005269E5">
        <w:t xml:space="preserve"> </w:t>
      </w:r>
      <w:r>
        <w:t xml:space="preserve">Estado a cargo del Departamento de </w:t>
      </w:r>
      <w:r w:rsidRPr="005269E5">
        <w:t>Justic</w:t>
      </w:r>
      <w:r>
        <w:t>ia</w:t>
      </w:r>
      <w:r w:rsidRPr="005269E5">
        <w:t xml:space="preserve">, </w:t>
      </w:r>
      <w:r>
        <w:t>Igualdad y</w:t>
      </w:r>
      <w:r w:rsidRPr="005269E5">
        <w:t xml:space="preserve"> Reform</w:t>
      </w:r>
      <w:r>
        <w:t>a Jurídica</w:t>
      </w:r>
      <w:r w:rsidRPr="005269E5">
        <w:t xml:space="preserve">, </w:t>
      </w:r>
      <w:r>
        <w:t>S</w:t>
      </w:r>
      <w:r w:rsidRPr="005269E5">
        <w:t xml:space="preserve">r. Frank Fahey, T.D., </w:t>
      </w:r>
      <w:r>
        <w:t>presidió</w:t>
      </w:r>
      <w:r w:rsidRPr="005269E5">
        <w:t xml:space="preserve"> </w:t>
      </w:r>
      <w:r>
        <w:t>la</w:t>
      </w:r>
      <w:r w:rsidRPr="005269E5">
        <w:t xml:space="preserve"> delega</w:t>
      </w:r>
      <w:r>
        <w:t>c</w:t>
      </w:r>
      <w:r w:rsidRPr="005269E5">
        <w:t>i</w:t>
      </w:r>
      <w:r>
        <w:t>ó</w:t>
      </w:r>
      <w:r w:rsidRPr="005269E5">
        <w:t xml:space="preserve">n </w:t>
      </w:r>
      <w:r>
        <w:t>irlandesa ante las Naciones Unidas en Gi</w:t>
      </w:r>
      <w:r w:rsidRPr="005269E5">
        <w:t>ne</w:t>
      </w:r>
      <w:r>
        <w:t>br</w:t>
      </w:r>
      <w:r w:rsidRPr="005269E5">
        <w:t>a</w:t>
      </w:r>
      <w:r>
        <w:t xml:space="preserve"> para</w:t>
      </w:r>
      <w:r w:rsidRPr="005269E5">
        <w:t xml:space="preserve"> dialog</w:t>
      </w:r>
      <w:r>
        <w:t>ar con el</w:t>
      </w:r>
      <w:r w:rsidRPr="005269E5">
        <w:t xml:space="preserve"> C</w:t>
      </w:r>
      <w:r>
        <w:t>omité acerca del informe</w:t>
      </w:r>
      <w:r w:rsidRPr="005269E5">
        <w:t xml:space="preserve"> </w:t>
      </w:r>
      <w:r>
        <w:t>i</w:t>
      </w:r>
      <w:r w:rsidRPr="005269E5">
        <w:t>ni</w:t>
      </w:r>
      <w:r>
        <w:t>c</w:t>
      </w:r>
      <w:r w:rsidRPr="005269E5">
        <w:t xml:space="preserve">ial </w:t>
      </w:r>
      <w:r>
        <w:t>y el segundo informe</w:t>
      </w:r>
      <w:r w:rsidRPr="005269E5">
        <w:t xml:space="preserve"> </w:t>
      </w:r>
      <w:r>
        <w:t>p</w:t>
      </w:r>
      <w:r w:rsidRPr="005269E5">
        <w:t>eri</w:t>
      </w:r>
      <w:r>
        <w:t>ó</w:t>
      </w:r>
      <w:r w:rsidRPr="005269E5">
        <w:t>dic</w:t>
      </w:r>
      <w:r>
        <w:t>o de</w:t>
      </w:r>
      <w:r w:rsidRPr="005269E5">
        <w:t xml:space="preserve"> </w:t>
      </w:r>
      <w:r>
        <w:t>Irlanda</w:t>
      </w:r>
      <w:r w:rsidRPr="005269E5">
        <w:t xml:space="preserve">. </w:t>
      </w:r>
      <w:r w:rsidRPr="0067548A">
        <w:t>Posteriormente, ese mismo mes, el Comité publicó sus observaciones finales</w:t>
      </w:r>
      <w:r>
        <w:t xml:space="preserve"> </w:t>
      </w:r>
      <w:r w:rsidRPr="0067548A">
        <w:t>(CERD/C/IRL/CO/2)</w:t>
      </w:r>
      <w:r w:rsidRPr="005269E5">
        <w:rPr>
          <w:rStyle w:val="FootnoteReference"/>
        </w:rPr>
        <w:footnoteReference w:id="5"/>
      </w:r>
      <w:r w:rsidRPr="0067548A">
        <w:t xml:space="preserve"> relativas al informe inicial y al segund</w:t>
      </w:r>
      <w:r>
        <w:t>o informe periódico de Irlanda</w:t>
      </w:r>
      <w:r w:rsidRPr="0067548A">
        <w:t>. Las observaciones finales contenían una serie de recomendaciones res</w:t>
      </w:r>
      <w:r>
        <w:t>pecto de nuevas medidas e</w:t>
      </w:r>
      <w:r w:rsidRPr="0067548A">
        <w:t>n rela</w:t>
      </w:r>
      <w:r>
        <w:t>c</w:t>
      </w:r>
      <w:r w:rsidRPr="0067548A">
        <w:t>i</w:t>
      </w:r>
      <w:r>
        <w:t>ó</w:t>
      </w:r>
      <w:r w:rsidRPr="0067548A">
        <w:t xml:space="preserve">n </w:t>
      </w:r>
      <w:r>
        <w:t>con la aplicación por parte de Irlanda de la</w:t>
      </w:r>
      <w:r w:rsidRPr="0067548A">
        <w:t xml:space="preserve"> Conven</w:t>
      </w:r>
      <w:r>
        <w:t>c</w:t>
      </w:r>
      <w:r w:rsidRPr="0067548A">
        <w:t>i</w:t>
      </w:r>
      <w:r>
        <w:t>ón</w:t>
      </w:r>
      <w:r w:rsidRPr="0067548A">
        <w:t>.</w:t>
      </w:r>
    </w:p>
    <w:p w:rsidR="000100D5" w:rsidRPr="00506C13" w:rsidRDefault="000100D5" w:rsidP="000100D5">
      <w:pPr>
        <w:pStyle w:val="SingleTxtG"/>
      </w:pPr>
      <w:r>
        <w:t>5.</w:t>
      </w:r>
      <w:r>
        <w:tab/>
        <w:t>E</w:t>
      </w:r>
      <w:r w:rsidRPr="005269E5">
        <w:t xml:space="preserve">n </w:t>
      </w:r>
      <w:r>
        <w:t>j</w:t>
      </w:r>
      <w:r w:rsidRPr="005269E5">
        <w:t>un</w:t>
      </w:r>
      <w:r>
        <w:t>io</w:t>
      </w:r>
      <w:r w:rsidRPr="005269E5">
        <w:t xml:space="preserve"> </w:t>
      </w:r>
      <w:r>
        <w:t xml:space="preserve">de </w:t>
      </w:r>
      <w:r w:rsidRPr="005269E5">
        <w:t>2006, Irland</w:t>
      </w:r>
      <w:r>
        <w:t>a fue objeto de un proceso de seguimiento y, con miras a</w:t>
      </w:r>
      <w:r w:rsidRPr="005269E5">
        <w:t xml:space="preserve"> facilita</w:t>
      </w:r>
      <w:r>
        <w:t>rlo,</w:t>
      </w:r>
      <w:r w:rsidR="005007D6">
        <w:t xml:space="preserve"> </w:t>
      </w:r>
      <w:r>
        <w:t>preparó un informe adicional destinado al</w:t>
      </w:r>
      <w:r w:rsidRPr="005269E5">
        <w:t xml:space="preserve"> Coordina</w:t>
      </w:r>
      <w:r>
        <w:t>d</w:t>
      </w:r>
      <w:r w:rsidRPr="005269E5">
        <w:t xml:space="preserve">or </w:t>
      </w:r>
      <w:r w:rsidR="00E03EF2">
        <w:t>encargado d</w:t>
      </w:r>
      <w:r>
        <w:t>el seguimiento de las r</w:t>
      </w:r>
      <w:r w:rsidRPr="005269E5">
        <w:t>ecomenda</w:t>
      </w:r>
      <w:r>
        <w:t>c</w:t>
      </w:r>
      <w:r w:rsidRPr="005269E5">
        <w:t>ion</w:t>
      </w:r>
      <w:r>
        <w:t>e</w:t>
      </w:r>
      <w:r w:rsidRPr="005269E5">
        <w:t xml:space="preserve">s </w:t>
      </w:r>
      <w:r>
        <w:t xml:space="preserve">del Comité </w:t>
      </w:r>
      <w:r w:rsidR="00E03EF2">
        <w:t xml:space="preserve">contenidas </w:t>
      </w:r>
      <w:r>
        <w:t>e</w:t>
      </w:r>
      <w:r w:rsidRPr="005269E5">
        <w:t xml:space="preserve">n </w:t>
      </w:r>
      <w:r>
        <w:t>las</w:t>
      </w:r>
      <w:r w:rsidRPr="005269E5">
        <w:t xml:space="preserve"> </w:t>
      </w:r>
      <w:r>
        <w:t>o</w:t>
      </w:r>
      <w:r w:rsidRPr="005269E5">
        <w:t>bserva</w:t>
      </w:r>
      <w:r>
        <w:t>c</w:t>
      </w:r>
      <w:r w:rsidRPr="005269E5">
        <w:t>ion</w:t>
      </w:r>
      <w:r>
        <w:t>e</w:t>
      </w:r>
      <w:r w:rsidRPr="005269E5">
        <w:t xml:space="preserve">s </w:t>
      </w:r>
      <w:r>
        <w:t>finales sobre el informe</w:t>
      </w:r>
      <w:r w:rsidRPr="005269E5">
        <w:t xml:space="preserve"> </w:t>
      </w:r>
      <w:r>
        <w:t>i</w:t>
      </w:r>
      <w:r w:rsidRPr="005269E5">
        <w:t>ni</w:t>
      </w:r>
      <w:r>
        <w:t>c</w:t>
      </w:r>
      <w:r w:rsidRPr="005269E5">
        <w:t xml:space="preserve">ial </w:t>
      </w:r>
      <w:r>
        <w:t>y el</w:t>
      </w:r>
      <w:r w:rsidRPr="005269E5">
        <w:t xml:space="preserve"> </w:t>
      </w:r>
      <w:r>
        <w:t>s</w:t>
      </w:r>
      <w:r w:rsidRPr="005269E5">
        <w:t>e</w:t>
      </w:r>
      <w:r>
        <w:t>gu</w:t>
      </w:r>
      <w:r w:rsidRPr="005269E5">
        <w:t>nd</w:t>
      </w:r>
      <w:r>
        <w:t>o</w:t>
      </w:r>
      <w:r w:rsidRPr="005269E5">
        <w:t xml:space="preserve"> </w:t>
      </w:r>
      <w:r>
        <w:t>informe p</w:t>
      </w:r>
      <w:r w:rsidRPr="005269E5">
        <w:t>eri</w:t>
      </w:r>
      <w:r>
        <w:t>ó</w:t>
      </w:r>
      <w:r w:rsidRPr="005269E5">
        <w:t>dic</w:t>
      </w:r>
      <w:r>
        <w:t>o de Irlanda</w:t>
      </w:r>
      <w:r w:rsidRPr="005269E5">
        <w:rPr>
          <w:rStyle w:val="FootnoteReference"/>
        </w:rPr>
        <w:footnoteReference w:id="6"/>
      </w:r>
      <w:r w:rsidR="001F5C61">
        <w:t>.</w:t>
      </w:r>
      <w:r w:rsidRPr="005269E5">
        <w:t xml:space="preserve"> </w:t>
      </w:r>
      <w:r w:rsidRPr="00CF5431">
        <w:t>Tr</w:t>
      </w:r>
      <w:r>
        <w:t>as</w:t>
      </w:r>
      <w:r w:rsidRPr="00CF5431">
        <w:t xml:space="preserve"> su visita a este país, el Coordinador </w:t>
      </w:r>
      <w:r w:rsidR="00E03EF2">
        <w:t>encargado</w:t>
      </w:r>
      <w:r w:rsidRPr="00CF5431">
        <w:t xml:space="preserve"> </w:t>
      </w:r>
      <w:r w:rsidR="00E03EF2">
        <w:t>d</w:t>
      </w:r>
      <w:r w:rsidRPr="00CF5431">
        <w:t xml:space="preserve">el seguimiento, </w:t>
      </w:r>
      <w:r>
        <w:t>S</w:t>
      </w:r>
      <w:r w:rsidRPr="00CF5431">
        <w:t>r</w:t>
      </w:r>
      <w:r w:rsidR="001D101C">
        <w:t>.</w:t>
      </w:r>
      <w:r w:rsidRPr="00CF5431">
        <w:t xml:space="preserve"> Morten Kjaerum, </w:t>
      </w:r>
      <w:r>
        <w:t xml:space="preserve">presentó </w:t>
      </w:r>
      <w:r w:rsidRPr="00CF5431">
        <w:t>su</w:t>
      </w:r>
      <w:r>
        <w:t xml:space="preserve"> informe</w:t>
      </w:r>
      <w:r w:rsidRPr="00CF5431">
        <w:t xml:space="preserve"> (CERD/C/69/Misc.9)</w:t>
      </w:r>
      <w:r w:rsidRPr="005269E5">
        <w:rPr>
          <w:rStyle w:val="FootnoteReference"/>
        </w:rPr>
        <w:footnoteReference w:id="7"/>
      </w:r>
      <w:r w:rsidR="001F5C61">
        <w:t>.</w:t>
      </w:r>
      <w:r w:rsidRPr="00CF5431">
        <w:t xml:space="preserve"> El Comité aprobó oficialmente el informe del Coordinador </w:t>
      </w:r>
      <w:r w:rsidR="00E03EF2">
        <w:t>encargado</w:t>
      </w:r>
      <w:r w:rsidRPr="00CF5431">
        <w:t xml:space="preserve"> </w:t>
      </w:r>
      <w:r w:rsidR="00E03EF2">
        <w:t>d</w:t>
      </w:r>
      <w:r w:rsidRPr="00CF5431">
        <w:t>el seguimiento en su 69</w:t>
      </w:r>
      <w:r>
        <w:t>º</w:t>
      </w:r>
      <w:r w:rsidRPr="00CF5431">
        <w:t xml:space="preserve"> </w:t>
      </w:r>
      <w:r>
        <w:t xml:space="preserve">período de </w:t>
      </w:r>
      <w:r w:rsidRPr="00CF5431">
        <w:t>sesi</w:t>
      </w:r>
      <w:r>
        <w:t>o</w:t>
      </w:r>
      <w:r w:rsidRPr="00CF5431">
        <w:t>n</w:t>
      </w:r>
      <w:r>
        <w:t>es</w:t>
      </w:r>
      <w:r w:rsidRPr="00CF5431">
        <w:t xml:space="preserve"> (31 </w:t>
      </w:r>
      <w:r>
        <w:t>de j</w:t>
      </w:r>
      <w:r w:rsidRPr="00CF5431">
        <w:t>ul</w:t>
      </w:r>
      <w:r>
        <w:t>io</w:t>
      </w:r>
      <w:r w:rsidR="00067DCF">
        <w:t xml:space="preserve"> a </w:t>
      </w:r>
      <w:r w:rsidRPr="00CF5431">
        <w:t xml:space="preserve">18 </w:t>
      </w:r>
      <w:r>
        <w:t>de a</w:t>
      </w:r>
      <w:r w:rsidRPr="00CF5431">
        <w:t>g</w:t>
      </w:r>
      <w:r>
        <w:t>o</w:t>
      </w:r>
      <w:r w:rsidRPr="00CF5431">
        <w:t>st</w:t>
      </w:r>
      <w:r>
        <w:t>o de</w:t>
      </w:r>
      <w:r w:rsidR="000B3925">
        <w:t> </w:t>
      </w:r>
      <w:r w:rsidRPr="00CF5431">
        <w:t xml:space="preserve">2006). </w:t>
      </w:r>
      <w:r w:rsidRPr="00506C13">
        <w:t>En la Parte II de este informe se e</w:t>
      </w:r>
      <w:r>
        <w:t>xpone</w:t>
      </w:r>
      <w:r w:rsidRPr="00506C13">
        <w:t xml:space="preserve"> la postura actual de Irlanda en relación con las recomendaciones del Coordina</w:t>
      </w:r>
      <w:r>
        <w:t>d</w:t>
      </w:r>
      <w:r w:rsidRPr="00506C13">
        <w:t>or. La Parte II ofrece asimismo la información adicional solicitada por el Comité en sus observacione</w:t>
      </w:r>
      <w:r w:rsidR="000B3925">
        <w:t>s finales (CERD/C/IRL/CO/2). La </w:t>
      </w:r>
      <w:r w:rsidRPr="00506C13">
        <w:t>Parte III contiene información sobre la aplicaci</w:t>
      </w:r>
      <w:r>
        <w:t>ón de los</w:t>
      </w:r>
      <w:r w:rsidRPr="00506C13">
        <w:t xml:space="preserve"> </w:t>
      </w:r>
      <w:r>
        <w:t>a</w:t>
      </w:r>
      <w:r w:rsidRPr="00506C13">
        <w:t>rt</w:t>
      </w:r>
      <w:r>
        <w:t>í</w:t>
      </w:r>
      <w:r w:rsidRPr="00506C13">
        <w:t>c</w:t>
      </w:r>
      <w:r>
        <w:t>u</w:t>
      </w:r>
      <w:r w:rsidRPr="00506C13">
        <w:t>l</w:t>
      </w:r>
      <w:r>
        <w:t>o</w:t>
      </w:r>
      <w:r w:rsidRPr="00506C13">
        <w:t>s 1</w:t>
      </w:r>
      <w:r>
        <w:t xml:space="preserve"> a </w:t>
      </w:r>
      <w:r w:rsidRPr="00506C13">
        <w:t xml:space="preserve">7 </w:t>
      </w:r>
      <w:r>
        <w:t>de la</w:t>
      </w:r>
      <w:r w:rsidRPr="00506C13">
        <w:t xml:space="preserve"> Conven</w:t>
      </w:r>
      <w:r>
        <w:t>c</w:t>
      </w:r>
      <w:r w:rsidRPr="00506C13">
        <w:t>i</w:t>
      </w:r>
      <w:r>
        <w:t>ó</w:t>
      </w:r>
      <w:r w:rsidRPr="00506C13">
        <w:t>n.</w:t>
      </w:r>
    </w:p>
    <w:p w:rsidR="000100D5" w:rsidRPr="005269E5" w:rsidRDefault="000100D5" w:rsidP="000100D5">
      <w:pPr>
        <w:pStyle w:val="SingleTxtG"/>
      </w:pPr>
      <w:r w:rsidRPr="005269E5">
        <w:t>6.</w:t>
      </w:r>
      <w:r w:rsidRPr="005269E5">
        <w:tab/>
      </w:r>
      <w:r>
        <w:t>Todos los documentos menci</w:t>
      </w:r>
      <w:r w:rsidR="00E03EF2">
        <w:t>onados pueden descargarse d</w:t>
      </w:r>
      <w:r>
        <w:t>el sitio web del</w:t>
      </w:r>
      <w:r w:rsidRPr="005269E5">
        <w:t xml:space="preserve"> Depart</w:t>
      </w:r>
      <w:r>
        <w:t>a</w:t>
      </w:r>
      <w:r w:rsidRPr="005269E5">
        <w:t>ment</w:t>
      </w:r>
      <w:r>
        <w:t>o</w:t>
      </w:r>
      <w:r w:rsidRPr="005269E5">
        <w:t xml:space="preserve"> </w:t>
      </w:r>
      <w:r>
        <w:t>de</w:t>
      </w:r>
      <w:r w:rsidRPr="005269E5">
        <w:t xml:space="preserve"> Justic</w:t>
      </w:r>
      <w:r>
        <w:t>ia</w:t>
      </w:r>
      <w:r w:rsidRPr="005269E5">
        <w:t xml:space="preserve">, </w:t>
      </w:r>
      <w:r>
        <w:t>Igualdad y</w:t>
      </w:r>
      <w:r w:rsidRPr="005269E5">
        <w:t xml:space="preserve"> Reform</w:t>
      </w:r>
      <w:r>
        <w:t>a</w:t>
      </w:r>
      <w:r w:rsidRPr="005269E5">
        <w:t xml:space="preserve"> </w:t>
      </w:r>
      <w:r>
        <w:t>Jurídica y la</w:t>
      </w:r>
      <w:r w:rsidRPr="005269E5">
        <w:t xml:space="preserve"> Ofic</w:t>
      </w:r>
      <w:r>
        <w:t>ina del</w:t>
      </w:r>
      <w:r w:rsidRPr="005269E5">
        <w:t xml:space="preserve"> Ministr</w:t>
      </w:r>
      <w:r>
        <w:t>o</w:t>
      </w:r>
      <w:r w:rsidRPr="005269E5">
        <w:t xml:space="preserve"> </w:t>
      </w:r>
      <w:r>
        <w:t>de</w:t>
      </w:r>
      <w:r w:rsidRPr="005269E5">
        <w:t xml:space="preserve"> Integra</w:t>
      </w:r>
      <w:r>
        <w:t>c</w:t>
      </w:r>
      <w:r w:rsidRPr="005269E5">
        <w:t>i</w:t>
      </w:r>
      <w:r>
        <w:t>ó</w:t>
      </w:r>
      <w:r w:rsidRPr="005269E5">
        <w:t>n</w:t>
      </w:r>
      <w:r w:rsidRPr="005269E5">
        <w:rPr>
          <w:rStyle w:val="FootnoteReference"/>
        </w:rPr>
        <w:footnoteReference w:id="8"/>
      </w:r>
      <w:r w:rsidRPr="005269E5">
        <w:t xml:space="preserve"> </w:t>
      </w:r>
      <w:r>
        <w:t xml:space="preserve">en los sitios web citados en las </w:t>
      </w:r>
      <w:r w:rsidRPr="005269E5">
        <w:t>not</w:t>
      </w:r>
      <w:r>
        <w:t>a</w:t>
      </w:r>
      <w:r w:rsidRPr="005269E5">
        <w:t>s</w:t>
      </w:r>
      <w:r>
        <w:t xml:space="preserve"> </w:t>
      </w:r>
      <w:r w:rsidR="00E03EF2">
        <w:t>de</w:t>
      </w:r>
      <w:r>
        <w:t xml:space="preserve"> pie de página</w:t>
      </w:r>
      <w:r w:rsidRPr="005269E5">
        <w:t>.</w:t>
      </w:r>
    </w:p>
    <w:p w:rsidR="000100D5" w:rsidRPr="005269E5" w:rsidRDefault="000100D5" w:rsidP="000100D5">
      <w:pPr>
        <w:pStyle w:val="H1G"/>
      </w:pPr>
      <w:r>
        <w:tab/>
        <w:t>3.</w:t>
      </w:r>
      <w:r>
        <w:tab/>
        <w:t>N</w:t>
      </w:r>
      <w:r w:rsidRPr="005269E5">
        <w:t>ot</w:t>
      </w:r>
      <w:r>
        <w:t>a sobre el</w:t>
      </w:r>
      <w:r w:rsidRPr="005269E5">
        <w:t xml:space="preserve"> text</w:t>
      </w:r>
      <w:r>
        <w:t>o</w:t>
      </w:r>
    </w:p>
    <w:p w:rsidR="000100D5" w:rsidRPr="005269E5" w:rsidRDefault="000100D5" w:rsidP="000100D5">
      <w:pPr>
        <w:pStyle w:val="SingleTxtG"/>
      </w:pPr>
      <w:r w:rsidRPr="005269E5">
        <w:t>7.</w:t>
      </w:r>
      <w:r w:rsidRPr="005269E5">
        <w:tab/>
      </w:r>
      <w:r>
        <w:t>Los datos</w:t>
      </w:r>
      <w:r w:rsidRPr="005269E5">
        <w:t xml:space="preserve"> </w:t>
      </w:r>
      <w:r>
        <w:t>recogidos en el presente informe vienen a completar la</w:t>
      </w:r>
      <w:r w:rsidRPr="005269E5">
        <w:t xml:space="preserve"> informa</w:t>
      </w:r>
      <w:r>
        <w:t>c</w:t>
      </w:r>
      <w:r w:rsidRPr="005269E5">
        <w:t>i</w:t>
      </w:r>
      <w:r>
        <w:t>ó</w:t>
      </w:r>
      <w:r w:rsidRPr="005269E5">
        <w:t xml:space="preserve">n </w:t>
      </w:r>
      <w:r>
        <w:t>suministrada en los anteriores informes al</w:t>
      </w:r>
      <w:r w:rsidRPr="005269E5">
        <w:t xml:space="preserve"> Comit</w:t>
      </w:r>
      <w:r>
        <w:t>é</w:t>
      </w:r>
      <w:r w:rsidRPr="005269E5">
        <w:t>.</w:t>
      </w:r>
    </w:p>
    <w:p w:rsidR="000100D5" w:rsidRPr="001B1237" w:rsidRDefault="000100D5" w:rsidP="000100D5">
      <w:pPr>
        <w:pStyle w:val="SingleTxtG"/>
      </w:pPr>
      <w:r>
        <w:t>8.</w:t>
      </w:r>
      <w:r>
        <w:tab/>
        <w:t>E</w:t>
      </w:r>
      <w:r w:rsidRPr="005269E5">
        <w:t xml:space="preserve">n </w:t>
      </w:r>
      <w:r>
        <w:t>referencia al</w:t>
      </w:r>
      <w:r w:rsidRPr="005269E5">
        <w:t xml:space="preserve"> Ap</w:t>
      </w:r>
      <w:r>
        <w:t>é</w:t>
      </w:r>
      <w:r w:rsidRPr="005269E5">
        <w:t>ndi</w:t>
      </w:r>
      <w:r>
        <w:t>ce</w:t>
      </w:r>
      <w:r w:rsidRPr="005269E5">
        <w:t xml:space="preserve"> 1, </w:t>
      </w:r>
      <w:r>
        <w:t>es menester señalar que, como ya se indicó en el informe inicial y en el segundo informe periódico de Irlanda</w:t>
      </w:r>
      <w:r w:rsidRPr="005269E5">
        <w:t xml:space="preserve">, </w:t>
      </w:r>
      <w:r>
        <w:t>e</w:t>
      </w:r>
      <w:r w:rsidRPr="005269E5">
        <w:t xml:space="preserve">n </w:t>
      </w:r>
      <w:r>
        <w:t>los últimos años,</w:t>
      </w:r>
      <w:r w:rsidRPr="005269E5">
        <w:t xml:space="preserve"> </w:t>
      </w:r>
      <w:r>
        <w:t>algunos órganos que</w:t>
      </w:r>
      <w:r w:rsidRPr="005269E5">
        <w:t xml:space="preserve"> represent</w:t>
      </w:r>
      <w:r>
        <w:t>a</w:t>
      </w:r>
      <w:r w:rsidRPr="005269E5">
        <w:t>n</w:t>
      </w:r>
      <w:r>
        <w:t xml:space="preserve"> a los nómadas han solicitado que el Estado los reconozca</w:t>
      </w:r>
      <w:r w:rsidRPr="005269E5">
        <w:t xml:space="preserve"> expl</w:t>
      </w:r>
      <w:r>
        <w:t>í</w:t>
      </w:r>
      <w:r w:rsidRPr="005269E5">
        <w:t>cit</w:t>
      </w:r>
      <w:r>
        <w:t xml:space="preserve">amente </w:t>
      </w:r>
      <w:r w:rsidRPr="005269E5">
        <w:t>c</w:t>
      </w:r>
      <w:r>
        <w:t>omo una</w:t>
      </w:r>
      <w:r w:rsidRPr="005269E5">
        <w:t xml:space="preserve"> minor</w:t>
      </w:r>
      <w:r>
        <w:t>ía étnica</w:t>
      </w:r>
      <w:r w:rsidRPr="005269E5">
        <w:t xml:space="preserve">. </w:t>
      </w:r>
      <w:r w:rsidRPr="005F627F">
        <w:t>La base concreta sobre la que se apoya esta afirmaci</w:t>
      </w:r>
      <w:r>
        <w:t>ón no está clara</w:t>
      </w:r>
      <w:r w:rsidRPr="005F627F">
        <w:t xml:space="preserve">. La </w:t>
      </w:r>
      <w:r>
        <w:t>opinió</w:t>
      </w:r>
      <w:r w:rsidRPr="005F627F">
        <w:t>n del Gobierno irlandés es que los nómadas no constituyen un grup</w:t>
      </w:r>
      <w:r>
        <w:t>o</w:t>
      </w:r>
      <w:r w:rsidRPr="005F627F">
        <w:t xml:space="preserve"> </w:t>
      </w:r>
      <w:r>
        <w:t>diferenciado de la</w:t>
      </w:r>
      <w:r w:rsidRPr="005F627F">
        <w:t xml:space="preserve"> po</w:t>
      </w:r>
      <w:r>
        <w:t>b</w:t>
      </w:r>
      <w:r w:rsidRPr="005F627F">
        <w:t>la</w:t>
      </w:r>
      <w:r>
        <w:t>c</w:t>
      </w:r>
      <w:r w:rsidRPr="005F627F">
        <w:t>i</w:t>
      </w:r>
      <w:r>
        <w:t>ó</w:t>
      </w:r>
      <w:r w:rsidRPr="005F627F">
        <w:t xml:space="preserve">n </w:t>
      </w:r>
      <w:r>
        <w:t>en su conjunto</w:t>
      </w:r>
      <w:r w:rsidRPr="005F627F">
        <w:t xml:space="preserve"> </w:t>
      </w:r>
      <w:r>
        <w:t>e</w:t>
      </w:r>
      <w:r w:rsidRPr="005F627F">
        <w:t>n t</w:t>
      </w:r>
      <w:r>
        <w:t>é</w:t>
      </w:r>
      <w:r w:rsidRPr="005F627F">
        <w:t>rm</w:t>
      </w:r>
      <w:r>
        <w:t>ino</w:t>
      </w:r>
      <w:r w:rsidRPr="005F627F">
        <w:t xml:space="preserve">s </w:t>
      </w:r>
      <w:r>
        <w:t>de</w:t>
      </w:r>
      <w:r w:rsidRPr="005F627F">
        <w:t xml:space="preserve"> ra</w:t>
      </w:r>
      <w:r>
        <w:t>za</w:t>
      </w:r>
      <w:r w:rsidRPr="005F627F">
        <w:t xml:space="preserve">, color, </w:t>
      </w:r>
      <w:r>
        <w:t>a</w:t>
      </w:r>
      <w:r w:rsidRPr="005F627F">
        <w:t>scen</w:t>
      </w:r>
      <w:r>
        <w:t>dencia u</w:t>
      </w:r>
      <w:r w:rsidRPr="005F627F">
        <w:t xml:space="preserve"> orig</w:t>
      </w:r>
      <w:r>
        <w:t>e</w:t>
      </w:r>
      <w:r w:rsidRPr="005F627F">
        <w:t>n</w:t>
      </w:r>
      <w:r>
        <w:t xml:space="preserve"> étnico</w:t>
      </w:r>
      <w:r w:rsidRPr="005F627F">
        <w:t xml:space="preserve">. </w:t>
      </w:r>
      <w:r w:rsidRPr="006158D6">
        <w:t xml:space="preserve">No obstante, el Gobierno de Irlanda acepta el derecho de los nómadas a su identidad cultural, </w:t>
      </w:r>
      <w:r>
        <w:t>independientemente de si la</w:t>
      </w:r>
      <w:r w:rsidRPr="006158D6">
        <w:t xml:space="preserve"> comuni</w:t>
      </w:r>
      <w:r>
        <w:t>dad nómada deba ser descrita</w:t>
      </w:r>
      <w:r w:rsidRPr="006158D6">
        <w:t xml:space="preserve"> </w:t>
      </w:r>
      <w:r>
        <w:t>a</w:t>
      </w:r>
      <w:r w:rsidRPr="006158D6">
        <w:t>prop</w:t>
      </w:r>
      <w:r>
        <w:t>iadamente como</w:t>
      </w:r>
      <w:r w:rsidRPr="006158D6">
        <w:t xml:space="preserve"> grup</w:t>
      </w:r>
      <w:r>
        <w:t xml:space="preserve">o étnico. </w:t>
      </w:r>
      <w:r w:rsidRPr="006158D6">
        <w:t xml:space="preserve">Con arreglo a esta opinión, el Gobierno se compromete a aplicar igualmente a los nómadas todas las medidas de protección otorgadas a las minorías </w:t>
      </w:r>
      <w:r>
        <w:t>étnicas por la</w:t>
      </w:r>
      <w:r w:rsidRPr="006158D6">
        <w:t xml:space="preserve"> Conven</w:t>
      </w:r>
      <w:r>
        <w:t>c</w:t>
      </w:r>
      <w:r w:rsidRPr="006158D6">
        <w:t>i</w:t>
      </w:r>
      <w:r>
        <w:t>ó</w:t>
      </w:r>
      <w:r w:rsidRPr="006158D6">
        <w:t xml:space="preserve">n </w:t>
      </w:r>
      <w:r>
        <w:t>sobre la</w:t>
      </w:r>
      <w:r w:rsidRPr="006158D6">
        <w:t xml:space="preserve"> Elimina</w:t>
      </w:r>
      <w:r>
        <w:t>c</w:t>
      </w:r>
      <w:r w:rsidRPr="006158D6">
        <w:t>i</w:t>
      </w:r>
      <w:r>
        <w:t>ó</w:t>
      </w:r>
      <w:r w:rsidRPr="006158D6">
        <w:t xml:space="preserve">n </w:t>
      </w:r>
      <w:r>
        <w:t>de todas las</w:t>
      </w:r>
      <w:r w:rsidRPr="006158D6">
        <w:t xml:space="preserve"> Form</w:t>
      </w:r>
      <w:r>
        <w:t>a</w:t>
      </w:r>
      <w:r w:rsidRPr="006158D6">
        <w:t>s</w:t>
      </w:r>
      <w:r>
        <w:t xml:space="preserve"> de</w:t>
      </w:r>
      <w:r w:rsidR="005007D6">
        <w:t xml:space="preserve"> </w:t>
      </w:r>
      <w:r w:rsidRPr="006158D6">
        <w:t>Discrimina</w:t>
      </w:r>
      <w:r>
        <w:t>c</w:t>
      </w:r>
      <w:r w:rsidRPr="006158D6">
        <w:t>i</w:t>
      </w:r>
      <w:r>
        <w:t>ó</w:t>
      </w:r>
      <w:r w:rsidRPr="006158D6">
        <w:t xml:space="preserve">n </w:t>
      </w:r>
      <w:r>
        <w:t>Racial</w:t>
      </w:r>
      <w:r w:rsidRPr="006158D6">
        <w:t xml:space="preserve">. </w:t>
      </w:r>
      <w:r w:rsidRPr="001B1237">
        <w:t>Tal como se expuso en el informe de Irlanda relativo al Pacto Internacional de Derechos Civiles y Políticos, los nómadas de Irlanda, en virtud de la Constitución, tienen los mismos derechos civil</w:t>
      </w:r>
      <w:r>
        <w:t>es</w:t>
      </w:r>
      <w:r w:rsidRPr="001B1237">
        <w:t xml:space="preserve"> </w:t>
      </w:r>
      <w:r>
        <w:t>y</w:t>
      </w:r>
      <w:r w:rsidRPr="001B1237">
        <w:t xml:space="preserve"> pol</w:t>
      </w:r>
      <w:r>
        <w:t>í</w:t>
      </w:r>
      <w:r w:rsidRPr="001B1237">
        <w:t>tic</w:t>
      </w:r>
      <w:r>
        <w:t>os que</w:t>
      </w:r>
      <w:r w:rsidRPr="001B1237">
        <w:t xml:space="preserve"> otr</w:t>
      </w:r>
      <w:r>
        <w:t>os</w:t>
      </w:r>
      <w:r w:rsidRPr="001B1237">
        <w:t xml:space="preserve"> ci</w:t>
      </w:r>
      <w:r>
        <w:t>udada</w:t>
      </w:r>
      <w:r w:rsidRPr="001B1237">
        <w:t>n</w:t>
      </w:r>
      <w:r>
        <w:t>os y</w:t>
      </w:r>
      <w:r w:rsidRPr="001B1237">
        <w:t xml:space="preserve"> no</w:t>
      </w:r>
      <w:r>
        <w:t xml:space="preserve"> existen</w:t>
      </w:r>
      <w:r w:rsidRPr="001B1237">
        <w:t xml:space="preserve"> restric</w:t>
      </w:r>
      <w:r>
        <w:t>c</w:t>
      </w:r>
      <w:r w:rsidRPr="001B1237">
        <w:t>ion</w:t>
      </w:r>
      <w:r>
        <w:t>es a ningún</w:t>
      </w:r>
      <w:r w:rsidRPr="001B1237">
        <w:t xml:space="preserve"> grup</w:t>
      </w:r>
      <w:r>
        <w:t>o</w:t>
      </w:r>
      <w:r w:rsidRPr="001B1237">
        <w:t xml:space="preserve"> </w:t>
      </w:r>
      <w:r>
        <w:t xml:space="preserve">semejante en lo tocante al disfrute de su propia </w:t>
      </w:r>
      <w:r w:rsidRPr="001B1237">
        <w:t>cultur</w:t>
      </w:r>
      <w:r>
        <w:t>a</w:t>
      </w:r>
      <w:r w:rsidRPr="001B1237">
        <w:t xml:space="preserve">, </w:t>
      </w:r>
      <w:r>
        <w:t>a</w:t>
      </w:r>
      <w:r w:rsidRPr="001B1237">
        <w:t xml:space="preserve"> profes</w:t>
      </w:r>
      <w:r>
        <w:t>ar y</w:t>
      </w:r>
      <w:r w:rsidRPr="001B1237">
        <w:t xml:space="preserve"> practic</w:t>
      </w:r>
      <w:r>
        <w:t>ar su propia</w:t>
      </w:r>
      <w:r w:rsidRPr="001B1237">
        <w:t xml:space="preserve"> religi</w:t>
      </w:r>
      <w:r>
        <w:t>ó</w:t>
      </w:r>
      <w:r w:rsidRPr="001B1237">
        <w:t xml:space="preserve">n </w:t>
      </w:r>
      <w:r>
        <w:t>y a utilizar su propia</w:t>
      </w:r>
      <w:r w:rsidRPr="001B1237">
        <w:t xml:space="preserve"> l</w:t>
      </w:r>
      <w:r>
        <w:t>e</w:t>
      </w:r>
      <w:r w:rsidRPr="001B1237">
        <w:t>ngua.</w:t>
      </w:r>
    </w:p>
    <w:p w:rsidR="000100D5" w:rsidRPr="00E5670B" w:rsidRDefault="000100D5" w:rsidP="000100D5">
      <w:pPr>
        <w:pStyle w:val="SingleTxtG"/>
      </w:pPr>
      <w:r>
        <w:t>9.</w:t>
      </w:r>
      <w:r>
        <w:tab/>
        <w:t>E</w:t>
      </w:r>
      <w:r w:rsidRPr="005269E5">
        <w:t xml:space="preserve">n </w:t>
      </w:r>
      <w:r>
        <w:t>un</w:t>
      </w:r>
      <w:r w:rsidRPr="005269E5">
        <w:t xml:space="preserve">a </w:t>
      </w:r>
      <w:r>
        <w:t>serie de disposiciones</w:t>
      </w:r>
      <w:r w:rsidRPr="005269E5">
        <w:t xml:space="preserve"> legislativ</w:t>
      </w:r>
      <w:r>
        <w:t>as</w:t>
      </w:r>
      <w:r w:rsidRPr="005269E5">
        <w:t>, administrativ</w:t>
      </w:r>
      <w:r>
        <w:t>as e</w:t>
      </w:r>
      <w:r w:rsidRPr="005269E5">
        <w:t xml:space="preserve"> institu</w:t>
      </w:r>
      <w:r>
        <w:t>c</w:t>
      </w:r>
      <w:r w:rsidRPr="005269E5">
        <w:t>ional</w:t>
      </w:r>
      <w:r>
        <w:t>es</w:t>
      </w:r>
      <w:r w:rsidRPr="005269E5">
        <w:t xml:space="preserve"> </w:t>
      </w:r>
      <w:r>
        <w:t xml:space="preserve">de instrumentos de derechos </w:t>
      </w:r>
      <w:r w:rsidRPr="005269E5">
        <w:t>human</w:t>
      </w:r>
      <w:r>
        <w:t>os</w:t>
      </w:r>
      <w:r w:rsidRPr="005269E5">
        <w:t>, e</w:t>
      </w:r>
      <w:r>
        <w:t>l</w:t>
      </w:r>
      <w:r w:rsidRPr="005269E5">
        <w:t xml:space="preserve"> Go</w:t>
      </w:r>
      <w:r>
        <w:t>bi</w:t>
      </w:r>
      <w:r w:rsidRPr="005269E5">
        <w:t>ern</w:t>
      </w:r>
      <w:r>
        <w:t>o</w:t>
      </w:r>
      <w:r w:rsidRPr="005269E5">
        <w:t xml:space="preserve"> ha recon</w:t>
      </w:r>
      <w:r>
        <w:t>oc</w:t>
      </w:r>
      <w:r w:rsidRPr="005269E5">
        <w:t>id</w:t>
      </w:r>
      <w:r>
        <w:t>o</w:t>
      </w:r>
      <w:r w:rsidRPr="005269E5">
        <w:t xml:space="preserve"> </w:t>
      </w:r>
      <w:r>
        <w:t>la situación</w:t>
      </w:r>
      <w:r w:rsidRPr="005269E5">
        <w:t xml:space="preserve"> </w:t>
      </w:r>
      <w:r>
        <w:t>e</w:t>
      </w:r>
      <w:r w:rsidRPr="005269E5">
        <w:t>special</w:t>
      </w:r>
      <w:r>
        <w:t xml:space="preserve"> de la comunidad nómada de</w:t>
      </w:r>
      <w:r w:rsidRPr="005269E5">
        <w:t xml:space="preserve"> Irland</w:t>
      </w:r>
      <w:r>
        <w:t>a</w:t>
      </w:r>
      <w:r w:rsidRPr="005269E5">
        <w:t xml:space="preserve"> </w:t>
      </w:r>
      <w:r>
        <w:t>con miras a</w:t>
      </w:r>
      <w:r w:rsidRPr="005269E5">
        <w:t xml:space="preserve"> prote</w:t>
      </w:r>
      <w:r>
        <w:t>ger sus</w:t>
      </w:r>
      <w:r w:rsidRPr="005269E5">
        <w:t xml:space="preserve"> </w:t>
      </w:r>
      <w:r>
        <w:t>derechos y mejorar su condición</w:t>
      </w:r>
      <w:r w:rsidRPr="005269E5">
        <w:t xml:space="preserve">. </w:t>
      </w:r>
      <w:r w:rsidRPr="005E59E1">
        <w:t>Tanto si se consider</w:t>
      </w:r>
      <w:r>
        <w:t>a</w:t>
      </w:r>
      <w:r w:rsidRPr="005E59E1">
        <w:t xml:space="preserve"> que los nómadas constituyen un grupo étnico di</w:t>
      </w:r>
      <w:r>
        <w:t>ferenciado en la</w:t>
      </w:r>
      <w:r w:rsidRPr="005E59E1">
        <w:t xml:space="preserve"> socie</w:t>
      </w:r>
      <w:r>
        <w:t>dad irlandesa</w:t>
      </w:r>
      <w:r w:rsidRPr="005E59E1">
        <w:t xml:space="preserve"> </w:t>
      </w:r>
      <w:r>
        <w:t>como si no, el planteamiento carece de significado</w:t>
      </w:r>
      <w:r w:rsidRPr="005E59E1">
        <w:t xml:space="preserve"> </w:t>
      </w:r>
      <w:r>
        <w:t>jurídico a nivel nacional</w:t>
      </w:r>
      <w:r w:rsidRPr="005E59E1">
        <w:t xml:space="preserve">. </w:t>
      </w:r>
      <w:r w:rsidRPr="00525D2E">
        <w:t xml:space="preserve">Las medidas </w:t>
      </w:r>
      <w:r>
        <w:t xml:space="preserve">fundamentales </w:t>
      </w:r>
      <w:r w:rsidRPr="00525D2E">
        <w:t>antidiscriminación</w:t>
      </w:r>
      <w:r>
        <w:t>,</w:t>
      </w:r>
      <w:r w:rsidRPr="00525D2E">
        <w:t xml:space="preserve"> la Ley sobre la incitación al odio, 1989</w:t>
      </w:r>
      <w:r w:rsidRPr="005269E5">
        <w:rPr>
          <w:rStyle w:val="FootnoteReference"/>
        </w:rPr>
        <w:footnoteReference w:id="9"/>
      </w:r>
      <w:r w:rsidR="001F5C61">
        <w:t>,</w:t>
      </w:r>
      <w:r w:rsidRPr="00525D2E">
        <w:t xml:space="preserve"> </w:t>
      </w:r>
      <w:r>
        <w:t>las L</w:t>
      </w:r>
      <w:r w:rsidRPr="00525D2E">
        <w:t>eyes de 1997 sobre el despido improcedente</w:t>
      </w:r>
      <w:r w:rsidRPr="005269E5">
        <w:rPr>
          <w:rStyle w:val="FootnoteReference"/>
        </w:rPr>
        <w:footnoteReference w:id="10"/>
      </w:r>
      <w:r w:rsidR="001F5C61">
        <w:t>,</w:t>
      </w:r>
      <w:r w:rsidRPr="00525D2E">
        <w:t xml:space="preserve"> y las </w:t>
      </w:r>
      <w:r>
        <w:t>L</w:t>
      </w:r>
      <w:r w:rsidRPr="00525D2E">
        <w:t>eyes de igualdad en el empleo y sobre la igualdad de condici</w:t>
      </w:r>
      <w:r>
        <w:t>ón</w:t>
      </w:r>
      <w:r w:rsidRPr="00525D2E">
        <w:t xml:space="preserve"> </w:t>
      </w:r>
      <w:r>
        <w:t>identifican e</w:t>
      </w:r>
      <w:r w:rsidRPr="00525D2E">
        <w:t>spec</w:t>
      </w:r>
      <w:r>
        <w:t>í</w:t>
      </w:r>
      <w:r w:rsidRPr="00525D2E">
        <w:t>fica</w:t>
      </w:r>
      <w:r>
        <w:t>mente a los nómadas como un</w:t>
      </w:r>
      <w:r w:rsidRPr="00525D2E">
        <w:t xml:space="preserve"> grup</w:t>
      </w:r>
      <w:r>
        <w:t>o</w:t>
      </w:r>
      <w:r w:rsidRPr="00525D2E">
        <w:t xml:space="preserve"> </w:t>
      </w:r>
      <w:r>
        <w:t>cuyos</w:t>
      </w:r>
      <w:r w:rsidRPr="00525D2E">
        <w:t xml:space="preserve"> interes</w:t>
      </w:r>
      <w:r>
        <w:t>e</w:t>
      </w:r>
      <w:r w:rsidRPr="00525D2E">
        <w:t xml:space="preserve">s </w:t>
      </w:r>
      <w:r>
        <w:t>están</w:t>
      </w:r>
      <w:r w:rsidRPr="00525D2E">
        <w:t xml:space="preserve"> prote</w:t>
      </w:r>
      <w:r>
        <w:t>gidos por la</w:t>
      </w:r>
      <w:r w:rsidRPr="00525D2E">
        <w:t xml:space="preserve"> legisla</w:t>
      </w:r>
      <w:r>
        <w:t>c</w:t>
      </w:r>
      <w:r w:rsidRPr="00525D2E">
        <w:t>i</w:t>
      </w:r>
      <w:r>
        <w:t>ó</w:t>
      </w:r>
      <w:r w:rsidRPr="00525D2E">
        <w:t xml:space="preserve">n. </w:t>
      </w:r>
      <w:r w:rsidRPr="00E5670B">
        <w:t>La Ley de igualdad, de 2004</w:t>
      </w:r>
      <w:r w:rsidRPr="005269E5">
        <w:rPr>
          <w:rStyle w:val="FootnoteReference"/>
        </w:rPr>
        <w:footnoteReference w:id="11"/>
      </w:r>
      <w:r w:rsidRPr="00E5670B">
        <w:t xml:space="preserve"> (que transpone la Directiva </w:t>
      </w:r>
      <w:r>
        <w:t>relativa a la</w:t>
      </w:r>
      <w:r w:rsidRPr="00E5670B">
        <w:t xml:space="preserve"> Igualdad Racial de la UE) aplica todas las medidas de protección de dicha Directiv</w:t>
      </w:r>
      <w:r>
        <w:t>a</w:t>
      </w:r>
      <w:r w:rsidRPr="00E5670B">
        <w:t xml:space="preserve"> </w:t>
      </w:r>
      <w:r>
        <w:t>por los nueve motivos recogidos en la</w:t>
      </w:r>
      <w:r w:rsidRPr="00E5670B">
        <w:t xml:space="preserve"> legisla</w:t>
      </w:r>
      <w:r>
        <w:t>c</w:t>
      </w:r>
      <w:r w:rsidRPr="00E5670B">
        <w:t>i</w:t>
      </w:r>
      <w:r>
        <w:t>ó</w:t>
      </w:r>
      <w:r w:rsidRPr="00E5670B">
        <w:t>n, inclu</w:t>
      </w:r>
      <w:r>
        <w:t>ido el de pertenencia a la</w:t>
      </w:r>
      <w:r w:rsidR="005007D6">
        <w:t xml:space="preserve"> </w:t>
      </w:r>
      <w:r>
        <w:t>c</w:t>
      </w:r>
      <w:r w:rsidRPr="00E5670B">
        <w:t>omuni</w:t>
      </w:r>
      <w:r>
        <w:t>dad nómada</w:t>
      </w:r>
      <w:r w:rsidRPr="00E5670B">
        <w:t>.</w:t>
      </w:r>
    </w:p>
    <w:p w:rsidR="000100D5" w:rsidRPr="0054470C" w:rsidRDefault="000100D5" w:rsidP="000100D5">
      <w:pPr>
        <w:pStyle w:val="SingleTxtG"/>
      </w:pPr>
      <w:r w:rsidRPr="005269E5">
        <w:t>10.</w:t>
      </w:r>
      <w:r w:rsidRPr="005269E5">
        <w:tab/>
      </w:r>
      <w:r>
        <w:t>El</w:t>
      </w:r>
      <w:r w:rsidRPr="005269E5">
        <w:t xml:space="preserve"> Go</w:t>
      </w:r>
      <w:r>
        <w:t>bi</w:t>
      </w:r>
      <w:r w:rsidRPr="005269E5">
        <w:t>ern</w:t>
      </w:r>
      <w:r>
        <w:t>o de</w:t>
      </w:r>
      <w:r w:rsidRPr="005269E5">
        <w:t xml:space="preserve"> Irland</w:t>
      </w:r>
      <w:r>
        <w:t>a tiene la voluntad de combatir la</w:t>
      </w:r>
      <w:r w:rsidRPr="005269E5">
        <w:t xml:space="preserve"> discrimina</w:t>
      </w:r>
      <w:r>
        <w:t>c</w:t>
      </w:r>
      <w:r w:rsidRPr="005269E5">
        <w:t>i</w:t>
      </w:r>
      <w:r>
        <w:t>ó</w:t>
      </w:r>
      <w:r w:rsidRPr="005269E5">
        <w:t xml:space="preserve">n </w:t>
      </w:r>
      <w:r>
        <w:t>contra los nómadas y</w:t>
      </w:r>
      <w:r w:rsidRPr="005269E5">
        <w:t xml:space="preserve"> ha de</w:t>
      </w:r>
      <w:r>
        <w:t>terminado que la pertenencia a la comunidad nómada es uno de los posibles motivos particulares de</w:t>
      </w:r>
      <w:r w:rsidRPr="005269E5">
        <w:t xml:space="preserve"> discrimina</w:t>
      </w:r>
      <w:r>
        <w:t>ción ilegal previstos en la</w:t>
      </w:r>
      <w:r w:rsidRPr="005269E5">
        <w:t xml:space="preserve"> legisla</w:t>
      </w:r>
      <w:r>
        <w:t>c</w:t>
      </w:r>
      <w:r w:rsidRPr="005269E5">
        <w:t>i</w:t>
      </w:r>
      <w:r>
        <w:t>ó</w:t>
      </w:r>
      <w:r w:rsidRPr="005269E5">
        <w:t>n</w:t>
      </w:r>
      <w:r>
        <w:t xml:space="preserve"> de igualdad</w:t>
      </w:r>
      <w:r w:rsidRPr="005269E5">
        <w:t xml:space="preserve">. </w:t>
      </w:r>
      <w:r w:rsidRPr="00E1689B">
        <w:t>No se pretende con e</w:t>
      </w:r>
      <w:r w:rsidRPr="0054470C">
        <w:t>llo rebajar el grado de protecció</w:t>
      </w:r>
      <w:r>
        <w:t>n</w:t>
      </w:r>
      <w:r w:rsidRPr="0054470C">
        <w:t xml:space="preserve"> que reciben los nómadas en comparaci</w:t>
      </w:r>
      <w:r>
        <w:t>ón con la que reciben los integrantes de las</w:t>
      </w:r>
      <w:r w:rsidRPr="0054470C">
        <w:t xml:space="preserve"> minor</w:t>
      </w:r>
      <w:r>
        <w:t>ía</w:t>
      </w:r>
      <w:r w:rsidRPr="0054470C">
        <w:t>s</w:t>
      </w:r>
      <w:r>
        <w:t xml:space="preserve"> étnicas</w:t>
      </w:r>
      <w:r w:rsidRPr="0054470C">
        <w:t>. Al contrario, el hecho de que constituyan una categoría independiente en la legislaci</w:t>
      </w:r>
      <w:r>
        <w:t>ón de igualdad</w:t>
      </w:r>
      <w:r w:rsidRPr="0054470C">
        <w:t xml:space="preserve"> les garant</w:t>
      </w:r>
      <w:r>
        <w:t>iza una</w:t>
      </w:r>
      <w:r w:rsidRPr="0054470C">
        <w:t xml:space="preserve"> protec</w:t>
      </w:r>
      <w:r>
        <w:t>ción expresa</w:t>
      </w:r>
      <w:r w:rsidRPr="0054470C">
        <w:t>.</w:t>
      </w:r>
    </w:p>
    <w:p w:rsidR="000100D5" w:rsidRPr="00B53E65" w:rsidRDefault="000100D5" w:rsidP="000100D5">
      <w:pPr>
        <w:pStyle w:val="SingleTxtG"/>
      </w:pPr>
      <w:r w:rsidRPr="005269E5">
        <w:t>11.</w:t>
      </w:r>
      <w:r w:rsidRPr="005269E5">
        <w:tab/>
      </w:r>
      <w:r>
        <w:t>Cabe señalar también que en el informe de</w:t>
      </w:r>
      <w:r w:rsidRPr="005269E5">
        <w:t xml:space="preserve"> 1995 </w:t>
      </w:r>
      <w:r>
        <w:t>del Grupo de</w:t>
      </w:r>
      <w:r w:rsidRPr="005269E5">
        <w:t xml:space="preserve"> Ta</w:t>
      </w:r>
      <w:r>
        <w:t>rea</w:t>
      </w:r>
      <w:r w:rsidRPr="005269E5">
        <w:t>s</w:t>
      </w:r>
      <w:r>
        <w:t xml:space="preserve"> sobre la</w:t>
      </w:r>
      <w:r w:rsidRPr="005269E5">
        <w:t xml:space="preserve"> Comuni</w:t>
      </w:r>
      <w:r>
        <w:t>dad</w:t>
      </w:r>
      <w:r w:rsidRPr="005269E5">
        <w:t xml:space="preserve"> </w:t>
      </w:r>
      <w:r>
        <w:t>Nómada, en cuya elaboración participaron</w:t>
      </w:r>
      <w:r w:rsidRPr="005269E5">
        <w:t xml:space="preserve"> representa</w:t>
      </w:r>
      <w:r>
        <w:t>ntes de diversos departamentos del</w:t>
      </w:r>
      <w:r w:rsidRPr="005269E5">
        <w:t xml:space="preserve"> Go</w:t>
      </w:r>
      <w:r>
        <w:t>bi</w:t>
      </w:r>
      <w:r w:rsidRPr="005269E5">
        <w:t>ern</w:t>
      </w:r>
      <w:r>
        <w:t>o y representantes de la</w:t>
      </w:r>
      <w:r w:rsidRPr="005269E5">
        <w:t xml:space="preserve"> </w:t>
      </w:r>
      <w:r>
        <w:t xml:space="preserve">sociedad </w:t>
      </w:r>
      <w:r w:rsidRPr="005269E5">
        <w:t>civil</w:t>
      </w:r>
      <w:r>
        <w:t xml:space="preserve"> y de</w:t>
      </w:r>
      <w:r w:rsidRPr="005269E5">
        <w:t xml:space="preserve"> organi</w:t>
      </w:r>
      <w:r>
        <w:t>zac</w:t>
      </w:r>
      <w:r w:rsidRPr="005269E5">
        <w:t>ion</w:t>
      </w:r>
      <w:r>
        <w:t>e</w:t>
      </w:r>
      <w:r w:rsidRPr="005269E5">
        <w:t>s d</w:t>
      </w:r>
      <w:r>
        <w:t>e</w:t>
      </w:r>
      <w:r w:rsidRPr="005269E5">
        <w:t xml:space="preserve"> n</w:t>
      </w:r>
      <w:r>
        <w:t>ómadas,</w:t>
      </w:r>
      <w:r w:rsidRPr="005269E5">
        <w:t xml:space="preserve"> </w:t>
      </w:r>
      <w:r>
        <w:t xml:space="preserve">no se </w:t>
      </w:r>
      <w:r w:rsidRPr="005269E5">
        <w:t>recomend</w:t>
      </w:r>
      <w:r>
        <w:t>ó que se calificara a los nómadas de</w:t>
      </w:r>
      <w:r w:rsidRPr="005269E5">
        <w:t xml:space="preserve"> minor</w:t>
      </w:r>
      <w:r>
        <w:t>ía étnica</w:t>
      </w:r>
      <w:r w:rsidRPr="005269E5">
        <w:t xml:space="preserve">. </w:t>
      </w:r>
      <w:r w:rsidRPr="00B53E65">
        <w:t>Además, el Comité Consultivo del Convenio marco del Consejo de Europa para la protección de las minorías nacionales, en su segunda opini</w:t>
      </w:r>
      <w:r>
        <w:t>ó</w:t>
      </w:r>
      <w:r w:rsidRPr="00B53E65">
        <w:t>n sobre Irlanda (2006), determin</w:t>
      </w:r>
      <w:r>
        <w:t>ó</w:t>
      </w:r>
      <w:r w:rsidRPr="00B53E65">
        <w:t xml:space="preserve"> también </w:t>
      </w:r>
      <w:r>
        <w:t>que clasificar a los nómadas como grupo étnico</w:t>
      </w:r>
      <w:r w:rsidRPr="00B53E65">
        <w:t xml:space="preserve"> no</w:t>
      </w:r>
      <w:r>
        <w:t xml:space="preserve"> era el único </w:t>
      </w:r>
      <w:r w:rsidR="005C4174">
        <w:t>planteamiento</w:t>
      </w:r>
      <w:r>
        <w:t xml:space="preserve"> válido a la hora de adoptar las medidas pertinentes de protección de los derechos humanos</w:t>
      </w:r>
      <w:r w:rsidRPr="00B53E65">
        <w:t>.</w:t>
      </w:r>
    </w:p>
    <w:p w:rsidR="000100D5" w:rsidRPr="00294FBB" w:rsidRDefault="000100D5" w:rsidP="000100D5">
      <w:pPr>
        <w:pStyle w:val="SingleTxtG"/>
      </w:pPr>
      <w:r w:rsidRPr="005269E5">
        <w:t>12.</w:t>
      </w:r>
      <w:r w:rsidRPr="005269E5">
        <w:tab/>
      </w:r>
      <w:r>
        <w:t xml:space="preserve">El presente informe se ha redactado siguiendo la base de las </w:t>
      </w:r>
      <w:r w:rsidR="00E03EF2">
        <w:t>"</w:t>
      </w:r>
      <w:r>
        <w:t>Directrices de las Naciones Unidas relativas al documento específicamente destinado al Comité que deben presentar los Estados partes de conformidad con el párrafo 1 del a</w:t>
      </w:r>
      <w:r w:rsidRPr="005269E5">
        <w:t>rt</w:t>
      </w:r>
      <w:r>
        <w:t>í</w:t>
      </w:r>
      <w:r w:rsidRPr="005269E5">
        <w:t>c</w:t>
      </w:r>
      <w:r>
        <w:t>u</w:t>
      </w:r>
      <w:r w:rsidRPr="005269E5">
        <w:t>l</w:t>
      </w:r>
      <w:r>
        <w:t>o</w:t>
      </w:r>
      <w:r w:rsidRPr="005269E5">
        <w:t xml:space="preserve"> 9</w:t>
      </w:r>
      <w:r>
        <w:t xml:space="preserve"> de la</w:t>
      </w:r>
      <w:r w:rsidRPr="005269E5">
        <w:t xml:space="preserve"> Conven</w:t>
      </w:r>
      <w:r>
        <w:t>c</w:t>
      </w:r>
      <w:r w:rsidRPr="005269E5">
        <w:t>i</w:t>
      </w:r>
      <w:r>
        <w:t>ó</w:t>
      </w:r>
      <w:r w:rsidRPr="005269E5">
        <w:t>n</w:t>
      </w:r>
      <w:r w:rsidR="00E03EF2">
        <w:t>"</w:t>
      </w:r>
      <w:r w:rsidRPr="005269E5">
        <w:t xml:space="preserve"> (CERD/C/2007/1)</w:t>
      </w:r>
      <w:r w:rsidRPr="005269E5">
        <w:rPr>
          <w:rStyle w:val="FootnoteReference"/>
        </w:rPr>
        <w:footnoteReference w:id="12"/>
      </w:r>
      <w:r w:rsidR="001F5C61">
        <w:t>.</w:t>
      </w:r>
      <w:r w:rsidR="005007D6">
        <w:t xml:space="preserve"> </w:t>
      </w:r>
      <w:r w:rsidRPr="00294FBB">
        <w:t xml:space="preserve">Ha sido elaborado por la Oficina del Ministro </w:t>
      </w:r>
      <w:r>
        <w:t>para la</w:t>
      </w:r>
      <w:r w:rsidRPr="00294FBB">
        <w:t xml:space="preserve"> Integración, en estrecha colaboración con diversos departamentos del Gobiern</w:t>
      </w:r>
      <w:r>
        <w:t>o y otros organismos</w:t>
      </w:r>
      <w:r w:rsidRPr="00294FBB">
        <w:t xml:space="preserve"> y a ra</w:t>
      </w:r>
      <w:r>
        <w:t>íz de</w:t>
      </w:r>
      <w:r w:rsidRPr="00294FBB">
        <w:t xml:space="preserve"> consulta</w:t>
      </w:r>
      <w:r>
        <w:t>s con la</w:t>
      </w:r>
      <w:r w:rsidRPr="00294FBB">
        <w:t xml:space="preserve"> socie</w:t>
      </w:r>
      <w:r>
        <w:t xml:space="preserve">dad civil, tal como lo recomendó el </w:t>
      </w:r>
      <w:r w:rsidRPr="00294FBB">
        <w:t>Comit</w:t>
      </w:r>
      <w:r>
        <w:t>é</w:t>
      </w:r>
      <w:r w:rsidRPr="00294FBB">
        <w:t>. En la Parte IV de este documento figura un informe sobre la reuni</w:t>
      </w:r>
      <w:r>
        <w:t>ón de</w:t>
      </w:r>
      <w:r w:rsidRPr="00294FBB">
        <w:t xml:space="preserve"> consulta</w:t>
      </w:r>
      <w:r>
        <w:t xml:space="preserve"> con la</w:t>
      </w:r>
      <w:r w:rsidRPr="00294FBB">
        <w:t xml:space="preserve"> socie</w:t>
      </w:r>
      <w:r>
        <w:t>dad civil</w:t>
      </w:r>
      <w:r w:rsidRPr="00294FBB">
        <w:t>.</w:t>
      </w:r>
    </w:p>
    <w:p w:rsidR="000100D5" w:rsidRPr="005269E5" w:rsidRDefault="000100D5" w:rsidP="000100D5">
      <w:pPr>
        <w:pStyle w:val="SingleTxtG"/>
      </w:pPr>
      <w:r w:rsidRPr="005269E5">
        <w:t>13.</w:t>
      </w:r>
      <w:r w:rsidRPr="005269E5">
        <w:tab/>
      </w:r>
      <w:r>
        <w:t>El</w:t>
      </w:r>
      <w:r w:rsidRPr="005269E5">
        <w:t xml:space="preserve"> Go</w:t>
      </w:r>
      <w:r>
        <w:t>bi</w:t>
      </w:r>
      <w:r w:rsidRPr="005269E5">
        <w:t>ern</w:t>
      </w:r>
      <w:r>
        <w:t>o de Irlanda</w:t>
      </w:r>
      <w:r w:rsidRPr="005269E5">
        <w:t xml:space="preserve"> conf</w:t>
      </w:r>
      <w:r>
        <w:t>ía en que la presentación de este informe facilitará otro diálogo abierto</w:t>
      </w:r>
      <w:r w:rsidRPr="005269E5">
        <w:t xml:space="preserve">, </w:t>
      </w:r>
      <w:r>
        <w:t>sincero y</w:t>
      </w:r>
      <w:r w:rsidRPr="005269E5">
        <w:t xml:space="preserve"> constructiv</w:t>
      </w:r>
      <w:r>
        <w:t>o entre el</w:t>
      </w:r>
      <w:r w:rsidRPr="005269E5">
        <w:t xml:space="preserve"> </w:t>
      </w:r>
      <w:r>
        <w:t>Es</w:t>
      </w:r>
      <w:r w:rsidRPr="005269E5">
        <w:t>ta</w:t>
      </w:r>
      <w:r>
        <w:t>do p</w:t>
      </w:r>
      <w:r w:rsidRPr="005269E5">
        <w:t>art</w:t>
      </w:r>
      <w:r>
        <w:t xml:space="preserve">e </w:t>
      </w:r>
      <w:r w:rsidRPr="005269E5">
        <w:t xml:space="preserve">y </w:t>
      </w:r>
      <w:r>
        <w:t>el</w:t>
      </w:r>
      <w:r w:rsidRPr="005269E5">
        <w:t xml:space="preserve"> Comit</w:t>
      </w:r>
      <w:r>
        <w:t>é</w:t>
      </w:r>
      <w:r w:rsidRPr="005269E5">
        <w:t xml:space="preserve"> </w:t>
      </w:r>
      <w:r>
        <w:t>para la</w:t>
      </w:r>
      <w:r w:rsidRPr="005269E5">
        <w:t xml:space="preserve"> Elimina</w:t>
      </w:r>
      <w:r>
        <w:t>c</w:t>
      </w:r>
      <w:r w:rsidRPr="005269E5">
        <w:t>i</w:t>
      </w:r>
      <w:r>
        <w:t>ó</w:t>
      </w:r>
      <w:r w:rsidRPr="005269E5">
        <w:t xml:space="preserve">n </w:t>
      </w:r>
      <w:r>
        <w:t>de todas las</w:t>
      </w:r>
      <w:r w:rsidRPr="005269E5">
        <w:t xml:space="preserve"> Form</w:t>
      </w:r>
      <w:r>
        <w:t>a</w:t>
      </w:r>
      <w:r w:rsidRPr="005269E5">
        <w:t xml:space="preserve">s </w:t>
      </w:r>
      <w:r>
        <w:t>de</w:t>
      </w:r>
      <w:r w:rsidRPr="005269E5">
        <w:t xml:space="preserve"> Discrimina</w:t>
      </w:r>
      <w:r>
        <w:t>c</w:t>
      </w:r>
      <w:r w:rsidRPr="005269E5">
        <w:t>i</w:t>
      </w:r>
      <w:r>
        <w:t>ó</w:t>
      </w:r>
      <w:r w:rsidRPr="005269E5">
        <w:t xml:space="preserve">n </w:t>
      </w:r>
      <w:r>
        <w:t>Racial sobre los</w:t>
      </w:r>
      <w:r w:rsidRPr="005269E5">
        <w:t xml:space="preserve"> progres</w:t>
      </w:r>
      <w:r>
        <w:t>o</w:t>
      </w:r>
      <w:r w:rsidRPr="005269E5">
        <w:t xml:space="preserve">s </w:t>
      </w:r>
      <w:r>
        <w:t>realizados y los retos que llevará aparejados la lucha contra el</w:t>
      </w:r>
      <w:r w:rsidRPr="005269E5">
        <w:t xml:space="preserve"> racism</w:t>
      </w:r>
      <w:r>
        <w:t>o</w:t>
      </w:r>
      <w:r w:rsidRPr="005269E5">
        <w:t xml:space="preserve">. </w:t>
      </w:r>
    </w:p>
    <w:p w:rsidR="000100D5" w:rsidRPr="008D09EC" w:rsidRDefault="000100D5" w:rsidP="000100D5">
      <w:pPr>
        <w:pStyle w:val="SingleTxtG"/>
      </w:pPr>
      <w:r w:rsidRPr="005269E5">
        <w:t>14.</w:t>
      </w:r>
      <w:r w:rsidRPr="005269E5">
        <w:tab/>
      </w:r>
      <w:r>
        <w:t>El</w:t>
      </w:r>
      <w:r w:rsidRPr="005269E5">
        <w:t xml:space="preserve"> Go</w:t>
      </w:r>
      <w:r>
        <w:t>bi</w:t>
      </w:r>
      <w:r w:rsidRPr="005269E5">
        <w:t>ern</w:t>
      </w:r>
      <w:r>
        <w:t>o de Irlanda está</w:t>
      </w:r>
      <w:r w:rsidRPr="005269E5">
        <w:t xml:space="preserve"> firm</w:t>
      </w:r>
      <w:r>
        <w:t>emente decidido a</w:t>
      </w:r>
      <w:r w:rsidRPr="005269E5">
        <w:t xml:space="preserve"> promo</w:t>
      </w:r>
      <w:r>
        <w:t>ver una</w:t>
      </w:r>
      <w:r w:rsidRPr="005269E5">
        <w:t xml:space="preserve"> socie</w:t>
      </w:r>
      <w:r>
        <w:t>dad integrada y a</w:t>
      </w:r>
      <w:r w:rsidRPr="005269E5">
        <w:t xml:space="preserve"> elimina</w:t>
      </w:r>
      <w:r>
        <w:t>r todas las</w:t>
      </w:r>
      <w:r w:rsidRPr="005269E5">
        <w:t xml:space="preserve"> form</w:t>
      </w:r>
      <w:r>
        <w:t>a</w:t>
      </w:r>
      <w:r w:rsidRPr="005269E5">
        <w:t xml:space="preserve">s </w:t>
      </w:r>
      <w:r>
        <w:t>de</w:t>
      </w:r>
      <w:r w:rsidRPr="005269E5">
        <w:t xml:space="preserve"> discrimina</w:t>
      </w:r>
      <w:r>
        <w:t>c</w:t>
      </w:r>
      <w:r w:rsidRPr="005269E5">
        <w:t>i</w:t>
      </w:r>
      <w:r>
        <w:t>ó</w:t>
      </w:r>
      <w:r w:rsidRPr="005269E5">
        <w:t>n</w:t>
      </w:r>
      <w:r>
        <w:t xml:space="preserve"> racial</w:t>
      </w:r>
      <w:r w:rsidRPr="005269E5">
        <w:t xml:space="preserve">. </w:t>
      </w:r>
      <w:r w:rsidRPr="00451CAA">
        <w:t xml:space="preserve">El país ha experimentado un </w:t>
      </w:r>
      <w:r>
        <w:t xml:space="preserve">enorme </w:t>
      </w:r>
      <w:r w:rsidRPr="00451CAA">
        <w:t xml:space="preserve">cambio demográfico y social </w:t>
      </w:r>
      <w:r>
        <w:t>en un</w:t>
      </w:r>
      <w:r w:rsidRPr="00451CAA">
        <w:t xml:space="preserve"> per</w:t>
      </w:r>
      <w:r>
        <w:t>í</w:t>
      </w:r>
      <w:r w:rsidRPr="00451CAA">
        <w:t>od</w:t>
      </w:r>
      <w:r>
        <w:t>o muy breve de</w:t>
      </w:r>
      <w:r w:rsidRPr="00451CAA">
        <w:t xml:space="preserve"> ti</w:t>
      </w:r>
      <w:r>
        <w:t>e</w:t>
      </w:r>
      <w:r w:rsidRPr="00451CAA">
        <w:t>m</w:t>
      </w:r>
      <w:r>
        <w:t>po</w:t>
      </w:r>
      <w:r w:rsidRPr="00451CAA">
        <w:t xml:space="preserve">. </w:t>
      </w:r>
      <w:r>
        <w:t>Entre</w:t>
      </w:r>
      <w:r w:rsidRPr="002D5732">
        <w:t xml:space="preserve"> 2002 y 2006, la</w:t>
      </w:r>
      <w:r w:rsidR="005007D6">
        <w:t xml:space="preserve"> </w:t>
      </w:r>
      <w:r w:rsidRPr="002D5732">
        <w:t xml:space="preserve">población no irlandesa </w:t>
      </w:r>
      <w:r>
        <w:t>se elevó de</w:t>
      </w:r>
      <w:r w:rsidRPr="002D5732">
        <w:t xml:space="preserve"> 224</w:t>
      </w:r>
      <w:r>
        <w:t>.</w:t>
      </w:r>
      <w:r w:rsidRPr="002D5732">
        <w:t xml:space="preserve">000 </w:t>
      </w:r>
      <w:r>
        <w:t>a</w:t>
      </w:r>
      <w:r w:rsidRPr="002D5732">
        <w:t xml:space="preserve"> 420</w:t>
      </w:r>
      <w:r>
        <w:t>.</w:t>
      </w:r>
      <w:r w:rsidRPr="002D5732">
        <w:t>000</w:t>
      </w:r>
      <w:r>
        <w:t xml:space="preserve"> personas</w:t>
      </w:r>
      <w:r w:rsidRPr="002D5732">
        <w:t xml:space="preserve"> (+ 87%). Más del 10% de la población irlandesa actual está constituida por personas no</w:t>
      </w:r>
      <w:r>
        <w:t xml:space="preserve"> i</w:t>
      </w:r>
      <w:r w:rsidRPr="002D5732">
        <w:t>r</w:t>
      </w:r>
      <w:r>
        <w:t>landesas que provienen de</w:t>
      </w:r>
      <w:r w:rsidR="000B3925">
        <w:t> 188 </w:t>
      </w:r>
      <w:r>
        <w:t xml:space="preserve">países </w:t>
      </w:r>
      <w:r w:rsidRPr="002D5732">
        <w:t>diferent</w:t>
      </w:r>
      <w:r>
        <w:t>es</w:t>
      </w:r>
      <w:r w:rsidRPr="002D5732">
        <w:t>. Entre las categorías que muestran un crec</w:t>
      </w:r>
      <w:r>
        <w:t>imiento</w:t>
      </w:r>
      <w:r w:rsidRPr="002D5732">
        <w:t xml:space="preserve"> más rápido</w:t>
      </w:r>
      <w:r>
        <w:t xml:space="preserve"> se encuentran los ciudadanos de la UE</w:t>
      </w:r>
      <w:r w:rsidRPr="002D5732">
        <w:t xml:space="preserve">, </w:t>
      </w:r>
      <w:r>
        <w:t>en especial los de</w:t>
      </w:r>
      <w:r w:rsidRPr="002D5732">
        <w:t xml:space="preserve"> Europ</w:t>
      </w:r>
      <w:r>
        <w:t>a oriental y los Estados</w:t>
      </w:r>
      <w:r w:rsidRPr="002D5732">
        <w:t xml:space="preserve"> </w:t>
      </w:r>
      <w:r>
        <w:t>bá</w:t>
      </w:r>
      <w:r w:rsidRPr="002D5732">
        <w:t>ltic</w:t>
      </w:r>
      <w:r>
        <w:t>os,</w:t>
      </w:r>
      <w:r w:rsidRPr="002D5732">
        <w:t xml:space="preserve"> </w:t>
      </w:r>
      <w:r>
        <w:t>junto con las personas que proceden de</w:t>
      </w:r>
      <w:r w:rsidRPr="002D5732">
        <w:t xml:space="preserve"> </w:t>
      </w:r>
      <w:r>
        <w:t>Á</w:t>
      </w:r>
      <w:r w:rsidRPr="002D5732">
        <w:t xml:space="preserve">frica </w:t>
      </w:r>
      <w:r>
        <w:t>y de Asia (c</w:t>
      </w:r>
      <w:r w:rsidRPr="002D5732">
        <w:t>ens</w:t>
      </w:r>
      <w:r>
        <w:t>o de</w:t>
      </w:r>
      <w:r w:rsidRPr="002D5732">
        <w:t xml:space="preserve"> 2006). </w:t>
      </w:r>
      <w:r w:rsidR="000B3925">
        <w:t>A </w:t>
      </w:r>
      <w:r w:rsidRPr="008D09EC">
        <w:t>continuación se incluyen datos más detallados sobre los resultados del censo de 2006.</w:t>
      </w:r>
      <w:r w:rsidR="005007D6">
        <w:t xml:space="preserve"> </w:t>
      </w:r>
      <w:r>
        <w:t>Entre o</w:t>
      </w:r>
      <w:r w:rsidRPr="008D09EC">
        <w:t xml:space="preserve">tros desafíos con los que se enfrenta actualmente Irlanda, hay que citar la crisis económica, </w:t>
      </w:r>
      <w:r>
        <w:t xml:space="preserve">el número creciente de desempleados inscritos en el </w:t>
      </w:r>
      <w:r w:rsidRPr="008D09EC">
        <w:t>registr</w:t>
      </w:r>
      <w:r>
        <w:t>o y los importantes recortes del gasto</w:t>
      </w:r>
      <w:r w:rsidRPr="008D09EC">
        <w:t xml:space="preserve"> p</w:t>
      </w:r>
      <w:r>
        <w:t>ú</w:t>
      </w:r>
      <w:r w:rsidRPr="008D09EC">
        <w:t>blic</w:t>
      </w:r>
      <w:r>
        <w:t>o</w:t>
      </w:r>
      <w:r w:rsidRPr="008D09EC">
        <w:t>.</w:t>
      </w:r>
    </w:p>
    <w:p w:rsidR="000100D5" w:rsidRPr="005269E5" w:rsidRDefault="000100D5" w:rsidP="000100D5">
      <w:pPr>
        <w:pStyle w:val="H1G"/>
      </w:pPr>
      <w:r w:rsidRPr="008D09EC">
        <w:tab/>
      </w:r>
      <w:r>
        <w:t>4.</w:t>
      </w:r>
      <w:r>
        <w:tab/>
        <w:t>Censo de p</w:t>
      </w:r>
      <w:r w:rsidRPr="005269E5">
        <w:t>o</w:t>
      </w:r>
      <w:r>
        <w:t>b</w:t>
      </w:r>
      <w:r w:rsidRPr="005269E5">
        <w:t>la</w:t>
      </w:r>
      <w:r>
        <w:t>c</w:t>
      </w:r>
      <w:r w:rsidRPr="005269E5">
        <w:t>i</w:t>
      </w:r>
      <w:r>
        <w:t>ó</w:t>
      </w:r>
      <w:r w:rsidRPr="005269E5">
        <w:t xml:space="preserve">n </w:t>
      </w:r>
      <w:r>
        <w:t xml:space="preserve">de </w:t>
      </w:r>
      <w:r w:rsidRPr="005269E5">
        <w:t>2006</w:t>
      </w:r>
    </w:p>
    <w:p w:rsidR="000100D5" w:rsidRPr="005269E5" w:rsidRDefault="000100D5" w:rsidP="000100D5">
      <w:pPr>
        <w:pStyle w:val="SingleTxtG"/>
      </w:pPr>
      <w:r w:rsidRPr="005269E5">
        <w:t>15.</w:t>
      </w:r>
      <w:r w:rsidRPr="005269E5">
        <w:tab/>
      </w:r>
      <w:r>
        <w:t>La</w:t>
      </w:r>
      <w:r w:rsidRPr="005269E5">
        <w:t xml:space="preserve"> po</w:t>
      </w:r>
      <w:r>
        <w:t>b</w:t>
      </w:r>
      <w:r w:rsidRPr="005269E5">
        <w:t>la</w:t>
      </w:r>
      <w:r>
        <w:t>c</w:t>
      </w:r>
      <w:r w:rsidRPr="005269E5">
        <w:t>i</w:t>
      </w:r>
      <w:r>
        <w:t>ó</w:t>
      </w:r>
      <w:r w:rsidRPr="005269E5">
        <w:t xml:space="preserve">n </w:t>
      </w:r>
      <w:r>
        <w:t>contabilizada de</w:t>
      </w:r>
      <w:r w:rsidRPr="005269E5">
        <w:t xml:space="preserve"> Irland</w:t>
      </w:r>
      <w:r>
        <w:t>a</w:t>
      </w:r>
      <w:r w:rsidRPr="005269E5">
        <w:t xml:space="preserve"> </w:t>
      </w:r>
      <w:r>
        <w:t>e</w:t>
      </w:r>
      <w:r w:rsidRPr="005269E5">
        <w:t xml:space="preserve">n </w:t>
      </w:r>
      <w:r>
        <w:t>ab</w:t>
      </w:r>
      <w:r w:rsidRPr="005269E5">
        <w:t xml:space="preserve">ril </w:t>
      </w:r>
      <w:r>
        <w:t xml:space="preserve">de </w:t>
      </w:r>
      <w:r w:rsidRPr="005269E5">
        <w:t>2006 a</w:t>
      </w:r>
      <w:r>
        <w:t>scendía a</w:t>
      </w:r>
      <w:r w:rsidRPr="005269E5">
        <w:t xml:space="preserve"> 4</w:t>
      </w:r>
      <w:r>
        <w:t>,</w:t>
      </w:r>
      <w:r w:rsidRPr="005269E5">
        <w:t>24 millon</w:t>
      </w:r>
      <w:r>
        <w:t>es de</w:t>
      </w:r>
      <w:r w:rsidRPr="005269E5">
        <w:t xml:space="preserve"> person</w:t>
      </w:r>
      <w:r>
        <w:t>a</w:t>
      </w:r>
      <w:r w:rsidRPr="005269E5">
        <w:t>s</w:t>
      </w:r>
      <w:r>
        <w:t>, lo que</w:t>
      </w:r>
      <w:r w:rsidRPr="005269E5">
        <w:t xml:space="preserve"> represent</w:t>
      </w:r>
      <w:r>
        <w:t>a un</w:t>
      </w:r>
      <w:r w:rsidRPr="005269E5">
        <w:t xml:space="preserve"> incre</w:t>
      </w:r>
      <w:r>
        <w:t>mento de</w:t>
      </w:r>
      <w:r w:rsidRPr="005269E5">
        <w:t xml:space="preserve"> 323</w:t>
      </w:r>
      <w:r w:rsidR="000B3925">
        <w:t>.</w:t>
      </w:r>
      <w:r w:rsidRPr="005269E5">
        <w:t>000 person</w:t>
      </w:r>
      <w:r>
        <w:t>a</w:t>
      </w:r>
      <w:r w:rsidRPr="005269E5">
        <w:t xml:space="preserve">s o </w:t>
      </w:r>
      <w:r>
        <w:t xml:space="preserve">del </w:t>
      </w:r>
      <w:r w:rsidRPr="005269E5">
        <w:t>8</w:t>
      </w:r>
      <w:r>
        <w:t>,</w:t>
      </w:r>
      <w:r w:rsidRPr="005269E5">
        <w:t xml:space="preserve">2 </w:t>
      </w:r>
      <w:r>
        <w:t>%, en</w:t>
      </w:r>
      <w:r w:rsidRPr="005269E5">
        <w:t xml:space="preserve"> compar</w:t>
      </w:r>
      <w:r>
        <w:t>ación con las cifras del censo de</w:t>
      </w:r>
      <w:r w:rsidRPr="005269E5">
        <w:t xml:space="preserve"> </w:t>
      </w:r>
      <w:r>
        <w:t>ab</w:t>
      </w:r>
      <w:r w:rsidRPr="005269E5">
        <w:t xml:space="preserve">ril </w:t>
      </w:r>
      <w:r>
        <w:t xml:space="preserve">de </w:t>
      </w:r>
      <w:r w:rsidRPr="005269E5">
        <w:t xml:space="preserve">2002, </w:t>
      </w:r>
      <w:r>
        <w:t>cifra que marca el nivel más alto de</w:t>
      </w:r>
      <w:r w:rsidRPr="005269E5">
        <w:t xml:space="preserve"> po</w:t>
      </w:r>
      <w:r>
        <w:t>b</w:t>
      </w:r>
      <w:r w:rsidRPr="005269E5">
        <w:t>la</w:t>
      </w:r>
      <w:r>
        <w:t>c</w:t>
      </w:r>
      <w:r w:rsidRPr="005269E5">
        <w:t>i</w:t>
      </w:r>
      <w:r>
        <w:t>ó</w:t>
      </w:r>
      <w:r w:rsidRPr="005269E5">
        <w:t xml:space="preserve">n </w:t>
      </w:r>
      <w:r>
        <w:t>desde</w:t>
      </w:r>
      <w:r w:rsidRPr="005269E5">
        <w:t xml:space="preserve"> 1861.</w:t>
      </w:r>
    </w:p>
    <w:p w:rsidR="000100D5" w:rsidRPr="005269E5" w:rsidRDefault="000100D5" w:rsidP="000100D5">
      <w:pPr>
        <w:pStyle w:val="SingleTxtG"/>
      </w:pPr>
      <w:r w:rsidRPr="005269E5">
        <w:t>16.</w:t>
      </w:r>
      <w:r w:rsidRPr="005269E5">
        <w:tab/>
      </w:r>
      <w:r>
        <w:t>De los</w:t>
      </w:r>
      <w:r w:rsidRPr="005269E5">
        <w:t xml:space="preserve"> 4</w:t>
      </w:r>
      <w:r>
        <w:t>,</w:t>
      </w:r>
      <w:r w:rsidRPr="005269E5">
        <w:t>17 mill</w:t>
      </w:r>
      <w:r>
        <w:t>o</w:t>
      </w:r>
      <w:r w:rsidRPr="005269E5">
        <w:t>n</w:t>
      </w:r>
      <w:r>
        <w:t>es de</w:t>
      </w:r>
      <w:r w:rsidRPr="005269E5">
        <w:t xml:space="preserve"> resident</w:t>
      </w:r>
      <w:r>
        <w:t>es</w:t>
      </w:r>
      <w:r w:rsidRPr="005269E5">
        <w:t xml:space="preserve"> </w:t>
      </w:r>
      <w:r>
        <w:t>habituales</w:t>
      </w:r>
      <w:r w:rsidRPr="005269E5">
        <w:t xml:space="preserve"> </w:t>
      </w:r>
      <w:r>
        <w:t>e</w:t>
      </w:r>
      <w:r w:rsidRPr="005269E5">
        <w:t xml:space="preserve">n </w:t>
      </w:r>
      <w:r>
        <w:t>el</w:t>
      </w:r>
      <w:r w:rsidRPr="005269E5">
        <w:t xml:space="preserve"> </w:t>
      </w:r>
      <w:r>
        <w:t>Es</w:t>
      </w:r>
      <w:r w:rsidRPr="005269E5">
        <w:t>ta</w:t>
      </w:r>
      <w:r>
        <w:t>do el</w:t>
      </w:r>
      <w:r w:rsidRPr="005269E5">
        <w:t xml:space="preserve"> 23 </w:t>
      </w:r>
      <w:r>
        <w:t>de ab</w:t>
      </w:r>
      <w:r w:rsidRPr="005269E5">
        <w:t xml:space="preserve">ril </w:t>
      </w:r>
      <w:r w:rsidR="000B3925">
        <w:t>de 2006, </w:t>
      </w:r>
      <w:r w:rsidRPr="005269E5">
        <w:t>420</w:t>
      </w:r>
      <w:r w:rsidR="00E03EF2">
        <w:t>.</w:t>
      </w:r>
      <w:r w:rsidRPr="005269E5">
        <w:t>000 (o</w:t>
      </w:r>
      <w:r>
        <w:t xml:space="preserve"> sea el</w:t>
      </w:r>
      <w:r w:rsidRPr="005269E5">
        <w:t xml:space="preserve"> 10%) </w:t>
      </w:r>
      <w:r>
        <w:t>tenían una nac</w:t>
      </w:r>
      <w:r w:rsidRPr="005269E5">
        <w:t>ionali</w:t>
      </w:r>
      <w:r>
        <w:t>dad distinta de la</w:t>
      </w:r>
      <w:r w:rsidRPr="005269E5">
        <w:t xml:space="preserve"> </w:t>
      </w:r>
      <w:r>
        <w:t>i</w:t>
      </w:r>
      <w:r w:rsidRPr="005269E5">
        <w:t>r</w:t>
      </w:r>
      <w:r>
        <w:t>landesa,</w:t>
      </w:r>
      <w:r w:rsidRPr="005269E5">
        <w:t xml:space="preserve"> </w:t>
      </w:r>
      <w:r>
        <w:t>lo que significa un aumento de</w:t>
      </w:r>
      <w:r w:rsidRPr="005269E5">
        <w:t xml:space="preserve"> 224</w:t>
      </w:r>
      <w:r w:rsidR="00E03EF2">
        <w:t>.</w:t>
      </w:r>
      <w:r w:rsidRPr="005269E5">
        <w:t xml:space="preserve">000 </w:t>
      </w:r>
      <w:r>
        <w:t xml:space="preserve">personas </w:t>
      </w:r>
      <w:r w:rsidRPr="005269E5">
        <w:t>(o</w:t>
      </w:r>
      <w:r>
        <w:t xml:space="preserve"> del</w:t>
      </w:r>
      <w:r w:rsidRPr="005269E5">
        <w:t xml:space="preserve"> 5</w:t>
      </w:r>
      <w:r>
        <w:t>,</w:t>
      </w:r>
      <w:r w:rsidRPr="005269E5">
        <w:t xml:space="preserve">8%) </w:t>
      </w:r>
      <w:r>
        <w:t>frente a cuatro años antes</w:t>
      </w:r>
      <w:r w:rsidRPr="005269E5">
        <w:t>.</w:t>
      </w:r>
    </w:p>
    <w:p w:rsidR="000100D5" w:rsidRPr="00511D12" w:rsidRDefault="000100D5" w:rsidP="000100D5">
      <w:pPr>
        <w:pStyle w:val="SingleTxtG"/>
      </w:pPr>
      <w:r w:rsidRPr="005269E5">
        <w:t>17.</w:t>
      </w:r>
      <w:r w:rsidRPr="005269E5">
        <w:tab/>
      </w:r>
      <w:r>
        <w:t>C</w:t>
      </w:r>
      <w:r w:rsidRPr="005269E5">
        <w:t>ompar</w:t>
      </w:r>
      <w:r>
        <w:t>ando los</w:t>
      </w:r>
      <w:r w:rsidRPr="005269E5">
        <w:t xml:space="preserve"> result</w:t>
      </w:r>
      <w:r>
        <w:t>ado</w:t>
      </w:r>
      <w:r w:rsidRPr="005269E5">
        <w:t xml:space="preserve">s </w:t>
      </w:r>
      <w:r>
        <w:t>de los censos</w:t>
      </w:r>
      <w:r w:rsidRPr="005269E5">
        <w:t xml:space="preserve"> sucesiv</w:t>
      </w:r>
      <w:r>
        <w:t>os</w:t>
      </w:r>
      <w:r w:rsidRPr="005269E5">
        <w:t xml:space="preserve"> </w:t>
      </w:r>
      <w:r>
        <w:t>y teniendo debidamente en cuenta el</w:t>
      </w:r>
      <w:r w:rsidRPr="005269E5">
        <w:t xml:space="preserve"> n</w:t>
      </w:r>
      <w:r>
        <w:t>ú</w:t>
      </w:r>
      <w:r w:rsidRPr="005269E5">
        <w:t>mer</w:t>
      </w:r>
      <w:r>
        <w:t>o de nacimientos y defunciones registrado en ese</w:t>
      </w:r>
      <w:r w:rsidRPr="005269E5">
        <w:t xml:space="preserve"> per</w:t>
      </w:r>
      <w:r>
        <w:t>í</w:t>
      </w:r>
      <w:r w:rsidRPr="005269E5">
        <w:t>od</w:t>
      </w:r>
      <w:r>
        <w:t>o</w:t>
      </w:r>
      <w:r w:rsidRPr="005269E5">
        <w:t xml:space="preserve">, </w:t>
      </w:r>
      <w:r>
        <w:t>es</w:t>
      </w:r>
      <w:r w:rsidRPr="005269E5">
        <w:t xml:space="preserve"> </w:t>
      </w:r>
      <w:r>
        <w:t>posible obtener una</w:t>
      </w:r>
      <w:r w:rsidRPr="005269E5">
        <w:t xml:space="preserve"> me</w:t>
      </w:r>
      <w:r>
        <w:t>dida de la</w:t>
      </w:r>
      <w:r w:rsidRPr="005269E5">
        <w:t xml:space="preserve"> migra</w:t>
      </w:r>
      <w:r>
        <w:t>c</w:t>
      </w:r>
      <w:r w:rsidRPr="005269E5">
        <w:t>i</w:t>
      </w:r>
      <w:r>
        <w:t>ó</w:t>
      </w:r>
      <w:r w:rsidRPr="005269E5">
        <w:t>n</w:t>
      </w:r>
      <w:r>
        <w:t xml:space="preserve"> neta, es decir, de la diferencia entre la inmigración y la</w:t>
      </w:r>
      <w:r w:rsidR="005007D6">
        <w:t xml:space="preserve"> </w:t>
      </w:r>
      <w:r>
        <w:t>e</w:t>
      </w:r>
      <w:r w:rsidRPr="005269E5">
        <w:t>migra</w:t>
      </w:r>
      <w:r>
        <w:t>c</w:t>
      </w:r>
      <w:r w:rsidRPr="005269E5">
        <w:t>i</w:t>
      </w:r>
      <w:r>
        <w:t>ó</w:t>
      </w:r>
      <w:r w:rsidRPr="005269E5">
        <w:t xml:space="preserve">n. </w:t>
      </w:r>
      <w:r w:rsidRPr="00511D12">
        <w:t>Entre 2002 y 2006, la corriente neta estimada de inmigración</w:t>
      </w:r>
      <w:r w:rsidR="005007D6">
        <w:t xml:space="preserve"> </w:t>
      </w:r>
      <w:r w:rsidR="000B3925">
        <w:t>fue de </w:t>
      </w:r>
      <w:r w:rsidRPr="00511D12">
        <w:t>191</w:t>
      </w:r>
      <w:r w:rsidR="00E03EF2">
        <w:t>.</w:t>
      </w:r>
      <w:r w:rsidRPr="00511D12">
        <w:t>000</w:t>
      </w:r>
      <w:r w:rsidR="000B3925">
        <w:t> </w:t>
      </w:r>
      <w:r>
        <w:t>personas, lo que</w:t>
      </w:r>
      <w:r w:rsidRPr="00511D12">
        <w:t xml:space="preserve"> </w:t>
      </w:r>
      <w:r>
        <w:t>supone</w:t>
      </w:r>
      <w:r w:rsidRPr="00511D12">
        <w:t xml:space="preserve"> un</w:t>
      </w:r>
      <w:r>
        <w:t xml:space="preserve"> promedio anual de</w:t>
      </w:r>
      <w:r w:rsidRPr="00511D12">
        <w:t xml:space="preserve"> 48</w:t>
      </w:r>
      <w:r w:rsidR="00065F71">
        <w:t>.</w:t>
      </w:r>
      <w:r w:rsidRPr="00511D12">
        <w:t xml:space="preserve">000 </w:t>
      </w:r>
      <w:r>
        <w:t>personas</w:t>
      </w:r>
      <w:r w:rsidRPr="00511D12">
        <w:t>.</w:t>
      </w:r>
    </w:p>
    <w:p w:rsidR="000100D5" w:rsidRPr="005269E5" w:rsidRDefault="000100D5" w:rsidP="000100D5">
      <w:pPr>
        <w:pStyle w:val="SingleTxtG"/>
      </w:pPr>
      <w:r w:rsidRPr="005269E5">
        <w:t>18.</w:t>
      </w:r>
      <w:r w:rsidRPr="005269E5">
        <w:tab/>
      </w:r>
      <w:r>
        <w:t>Se</w:t>
      </w:r>
      <w:r w:rsidRPr="005269E5">
        <w:t xml:space="preserve"> </w:t>
      </w:r>
      <w:r>
        <w:t>considera que un poco más de dos tercios de esta entrada neta se produjo en los dos años posteriores a la adhesión a la UE de los diez nuevos Estados miembros, en mayo de 2</w:t>
      </w:r>
      <w:r w:rsidRPr="005269E5">
        <w:t>004.</w:t>
      </w:r>
    </w:p>
    <w:p w:rsidR="000100D5" w:rsidRPr="00787B8F" w:rsidRDefault="000100D5" w:rsidP="000100D5">
      <w:pPr>
        <w:pStyle w:val="SingleTxtG"/>
      </w:pPr>
      <w:r w:rsidRPr="005269E5">
        <w:t>19.</w:t>
      </w:r>
      <w:r w:rsidRPr="005269E5">
        <w:tab/>
      </w:r>
      <w:r>
        <w:t>Según el c</w:t>
      </w:r>
      <w:r w:rsidRPr="005269E5">
        <w:t>ens</w:t>
      </w:r>
      <w:r>
        <w:t>o, la población no irlandesa presenta un perfil demográfico muy diferente del irlandés</w:t>
      </w:r>
      <w:r w:rsidRPr="005269E5">
        <w:t xml:space="preserve">. </w:t>
      </w:r>
      <w:r w:rsidRPr="002674BD">
        <w:t xml:space="preserve">Entre los no irlandeses abundan las personas </w:t>
      </w:r>
      <w:r w:rsidR="00E03EF2">
        <w:t xml:space="preserve">de edades comprendidas </w:t>
      </w:r>
      <w:r w:rsidRPr="002674BD">
        <w:t>entre los 20 y los 40 años</w:t>
      </w:r>
      <w:r>
        <w:t>,</w:t>
      </w:r>
      <w:r w:rsidRPr="002674BD">
        <w:t xml:space="preserve"> con un </w:t>
      </w:r>
      <w:r>
        <w:t>fuerte</w:t>
      </w:r>
      <w:r w:rsidRPr="002674BD">
        <w:t xml:space="preserve"> predominio de los hombres sobre las mujeres. </w:t>
      </w:r>
      <w:r w:rsidR="000B3925">
        <w:t>La </w:t>
      </w:r>
      <w:r w:rsidRPr="008E4764">
        <w:t>desproporción entre los sexos resulta más marcada en los grupos más jóvenes, en los que se encuentran las cifras m</w:t>
      </w:r>
      <w:r>
        <w:t>ás elevadas</w:t>
      </w:r>
      <w:r w:rsidRPr="008E4764">
        <w:t xml:space="preserve">, </w:t>
      </w:r>
      <w:r>
        <w:t>aunque se observan siempre más hombres que mujeres en todos los grupos de edad menores de</w:t>
      </w:r>
      <w:r w:rsidRPr="008E4764">
        <w:t xml:space="preserve"> 70 </w:t>
      </w:r>
      <w:r>
        <w:t>años</w:t>
      </w:r>
      <w:r w:rsidRPr="008E4764">
        <w:t xml:space="preserve"> (except</w:t>
      </w:r>
      <w:r>
        <w:t xml:space="preserve">o para el grupo de </w:t>
      </w:r>
      <w:r w:rsidRPr="008E4764">
        <w:t>15</w:t>
      </w:r>
      <w:r>
        <w:t xml:space="preserve"> a</w:t>
      </w:r>
      <w:r w:rsidR="000B3925">
        <w:t> 19 </w:t>
      </w:r>
      <w:r>
        <w:t>años)</w:t>
      </w:r>
      <w:r w:rsidRPr="008E4764">
        <w:t>.</w:t>
      </w:r>
      <w:r>
        <w:t xml:space="preserve"> Hay pocos niños y ancianos entre los</w:t>
      </w:r>
      <w:r w:rsidRPr="00787B8F">
        <w:t xml:space="preserve"> no irlandeses. El predominio de personas en edad laboral justifica otras diferencias entre los grupos irlandeses y no ir</w:t>
      </w:r>
      <w:r>
        <w:t>landeses en sectores como las tasas de</w:t>
      </w:r>
      <w:r w:rsidRPr="00787B8F">
        <w:t xml:space="preserve"> participa</w:t>
      </w:r>
      <w:r>
        <w:t>c</w:t>
      </w:r>
      <w:r w:rsidRPr="00787B8F">
        <w:t>i</w:t>
      </w:r>
      <w:r>
        <w:t>ó</w:t>
      </w:r>
      <w:r w:rsidRPr="00787B8F">
        <w:t>n</w:t>
      </w:r>
      <w:r>
        <w:t xml:space="preserve"> de la población activa y los</w:t>
      </w:r>
      <w:r w:rsidRPr="00787B8F">
        <w:t xml:space="preserve"> </w:t>
      </w:r>
      <w:r>
        <w:t>ni</w:t>
      </w:r>
      <w:r w:rsidRPr="00787B8F">
        <w:t>vel</w:t>
      </w:r>
      <w:r>
        <w:t>e</w:t>
      </w:r>
      <w:r w:rsidRPr="00787B8F">
        <w:t xml:space="preserve">s </w:t>
      </w:r>
      <w:r>
        <w:t xml:space="preserve">de </w:t>
      </w:r>
      <w:r w:rsidR="00E03EF2">
        <w:t>educación alcanzados</w:t>
      </w:r>
      <w:r w:rsidRPr="005269E5">
        <w:rPr>
          <w:rStyle w:val="FootnoteReference"/>
        </w:rPr>
        <w:footnoteReference w:id="13"/>
      </w:r>
      <w:r w:rsidR="00E03EF2">
        <w:t>.</w:t>
      </w:r>
    </w:p>
    <w:p w:rsidR="000100D5" w:rsidRPr="005269E5" w:rsidRDefault="000100D5" w:rsidP="000100D5">
      <w:pPr>
        <w:pStyle w:val="H1G"/>
      </w:pPr>
      <w:r w:rsidRPr="00787B8F">
        <w:tab/>
      </w:r>
      <w:r w:rsidRPr="005269E5">
        <w:t>5.</w:t>
      </w:r>
      <w:r w:rsidRPr="005269E5">
        <w:tab/>
      </w:r>
      <w:r>
        <w:t>Datos de 2006 relativos a las estimaciones de p</w:t>
      </w:r>
      <w:r w:rsidRPr="005269E5">
        <w:t>o</w:t>
      </w:r>
      <w:r>
        <w:t>b</w:t>
      </w:r>
      <w:r w:rsidRPr="005269E5">
        <w:t>la</w:t>
      </w:r>
      <w:r>
        <w:t>c</w:t>
      </w:r>
      <w:r w:rsidRPr="005269E5">
        <w:t>i</w:t>
      </w:r>
      <w:r>
        <w:t>ó</w:t>
      </w:r>
      <w:r w:rsidRPr="005269E5">
        <w:t xml:space="preserve">n </w:t>
      </w:r>
      <w:r>
        <w:t xml:space="preserve">y </w:t>
      </w:r>
      <w:r w:rsidRPr="005269E5">
        <w:t>migra</w:t>
      </w:r>
      <w:r>
        <w:t>c</w:t>
      </w:r>
      <w:r w:rsidRPr="005269E5">
        <w:t>i</w:t>
      </w:r>
      <w:r>
        <w:t>ó</w:t>
      </w:r>
      <w:r w:rsidRPr="005269E5">
        <w:t>n</w:t>
      </w:r>
      <w:r w:rsidRPr="005269E5">
        <w:rPr>
          <w:rStyle w:val="FootnoteReference"/>
          <w:b w:val="0"/>
        </w:rPr>
        <w:footnoteReference w:id="14"/>
      </w:r>
    </w:p>
    <w:p w:rsidR="000100D5" w:rsidRPr="001F766E" w:rsidRDefault="000100D5" w:rsidP="000100D5">
      <w:pPr>
        <w:pStyle w:val="SingleTxtG"/>
      </w:pPr>
      <w:r w:rsidRPr="005269E5">
        <w:t>20.</w:t>
      </w:r>
      <w:r w:rsidRPr="005269E5">
        <w:tab/>
      </w:r>
      <w:r w:rsidRPr="0074232F">
        <w:t>Se estima que el número de inmigrantes llegados a Irlanda en los doce meses anteriores a abril de 2006 se elevó a 107</w:t>
      </w:r>
      <w:r w:rsidR="00E03EF2" w:rsidRPr="0074232F">
        <w:t>.</w:t>
      </w:r>
      <w:r w:rsidRPr="0074232F">
        <w:t>800, lo que constituye la cifra más alta registrada desde que se inició en 1987 la actual serie de estimaciones anuales de la migración. Durante este período, los hombres inmigrantes superaron en</w:t>
      </w:r>
      <w:r w:rsidR="00E03EF2" w:rsidRPr="0074232F">
        <w:t xml:space="preserve"> 13.</w:t>
      </w:r>
      <w:r w:rsidRPr="0074232F">
        <w:t>000 a las mujeres. En esa misma época, salieron de Irlanda 36</w:t>
      </w:r>
      <w:r w:rsidR="00E03EF2" w:rsidRPr="0074232F">
        <w:t>.</w:t>
      </w:r>
      <w:r w:rsidRPr="0074232F">
        <w:t>000 emigrantes, con un saldo migratorio neto de 71</w:t>
      </w:r>
      <w:r w:rsidR="00E03EF2" w:rsidRPr="0074232F">
        <w:t>.</w:t>
      </w:r>
      <w:r w:rsidRPr="0074232F">
        <w:t>800 personas.</w:t>
      </w:r>
    </w:p>
    <w:p w:rsidR="000100D5" w:rsidRPr="004A0B1E" w:rsidRDefault="000100D5" w:rsidP="000100D5">
      <w:pPr>
        <w:pStyle w:val="SingleTxtG"/>
      </w:pPr>
      <w:r w:rsidRPr="005269E5">
        <w:t>21.</w:t>
      </w:r>
      <w:r w:rsidRPr="005269E5">
        <w:tab/>
      </w:r>
      <w:r>
        <w:t>La migración representó alrededor de dos tercios del crecimiento de la población en el año que finalizó en</w:t>
      </w:r>
      <w:r w:rsidRPr="005269E5">
        <w:t xml:space="preserve"> </w:t>
      </w:r>
      <w:r>
        <w:t>ab</w:t>
      </w:r>
      <w:r w:rsidRPr="005269E5">
        <w:t xml:space="preserve">ril </w:t>
      </w:r>
      <w:r>
        <w:t xml:space="preserve">de </w:t>
      </w:r>
      <w:r w:rsidRPr="005269E5">
        <w:t xml:space="preserve">2006. </w:t>
      </w:r>
      <w:r w:rsidRPr="004A0B1E">
        <w:t>Prácticamente la mitad de los inmigrantes procedía de de los 12 Estados que se habían adherido recientemente a la U</w:t>
      </w:r>
      <w:r>
        <w:t>E</w:t>
      </w:r>
      <w:r w:rsidRPr="004A0B1E">
        <w:t xml:space="preserve">, </w:t>
      </w:r>
      <w:r>
        <w:t>diez de los cuales lo hicieron el 1º de</w:t>
      </w:r>
      <w:r w:rsidRPr="004A0B1E">
        <w:t xml:space="preserve"> </w:t>
      </w:r>
      <w:r>
        <w:t>m</w:t>
      </w:r>
      <w:r w:rsidRPr="004A0B1E">
        <w:t>ay</w:t>
      </w:r>
      <w:r>
        <w:t>o de</w:t>
      </w:r>
      <w:r w:rsidRPr="004A0B1E">
        <w:t xml:space="preserve"> 2004 </w:t>
      </w:r>
      <w:r>
        <w:t>y los dos restantes el 1º de enero de</w:t>
      </w:r>
      <w:r w:rsidRPr="004A0B1E">
        <w:t xml:space="preserve"> 2007.</w:t>
      </w:r>
    </w:p>
    <w:p w:rsidR="000100D5" w:rsidRPr="005269E5" w:rsidRDefault="000100D5" w:rsidP="000100D5">
      <w:pPr>
        <w:pStyle w:val="SingleTxtG"/>
      </w:pPr>
      <w:r w:rsidRPr="005269E5">
        <w:t>22.</w:t>
      </w:r>
      <w:r w:rsidRPr="005269E5">
        <w:tab/>
      </w:r>
      <w:r>
        <w:t xml:space="preserve">El </w:t>
      </w:r>
      <w:r w:rsidRPr="005269E5">
        <w:t xml:space="preserve">22% </w:t>
      </w:r>
      <w:r>
        <w:t>de todos los</w:t>
      </w:r>
      <w:r w:rsidRPr="005269E5">
        <w:t xml:space="preserve"> i</w:t>
      </w:r>
      <w:r>
        <w:t>n</w:t>
      </w:r>
      <w:r w:rsidRPr="005269E5">
        <w:t>migrant</w:t>
      </w:r>
      <w:r>
        <w:t>e</w:t>
      </w:r>
      <w:r w:rsidRPr="005269E5">
        <w:t xml:space="preserve">s </w:t>
      </w:r>
      <w:r>
        <w:t>provenía de fuera de la</w:t>
      </w:r>
      <w:r w:rsidRPr="005269E5">
        <w:t xml:space="preserve"> U</w:t>
      </w:r>
      <w:r>
        <w:t xml:space="preserve">E y </w:t>
      </w:r>
      <w:r w:rsidR="00E03EF2">
        <w:t xml:space="preserve">de </w:t>
      </w:r>
      <w:r>
        <w:t>los EE.UU</w:t>
      </w:r>
      <w:r w:rsidRPr="005269E5">
        <w:t>. M</w:t>
      </w:r>
      <w:r>
        <w:t>ás de la mitad de los</w:t>
      </w:r>
      <w:r w:rsidRPr="005269E5">
        <w:t xml:space="preserve"> i</w:t>
      </w:r>
      <w:r>
        <w:t>n</w:t>
      </w:r>
      <w:r w:rsidRPr="005269E5">
        <w:t>migrant</w:t>
      </w:r>
      <w:r>
        <w:t>e</w:t>
      </w:r>
      <w:r w:rsidRPr="005269E5">
        <w:t xml:space="preserve">s </w:t>
      </w:r>
      <w:r>
        <w:t>tenían entre</w:t>
      </w:r>
      <w:r w:rsidRPr="005269E5">
        <w:t xml:space="preserve"> 25</w:t>
      </w:r>
      <w:r>
        <w:t xml:space="preserve"> y </w:t>
      </w:r>
      <w:r w:rsidRPr="005269E5">
        <w:t xml:space="preserve">44 </w:t>
      </w:r>
      <w:r>
        <w:t>años de edad, mientras que otro</w:t>
      </w:r>
      <w:r w:rsidRPr="005269E5">
        <w:t xml:space="preserve"> 29% </w:t>
      </w:r>
      <w:r>
        <w:t>se encontraba entre los</w:t>
      </w:r>
      <w:r w:rsidRPr="005269E5">
        <w:t xml:space="preserve"> 15</w:t>
      </w:r>
      <w:r>
        <w:t xml:space="preserve"> y los </w:t>
      </w:r>
      <w:r w:rsidRPr="005269E5">
        <w:t>24</w:t>
      </w:r>
      <w:r>
        <w:t xml:space="preserve"> años</w:t>
      </w:r>
      <w:r w:rsidRPr="005269E5">
        <w:t>. Aproxima</w:t>
      </w:r>
      <w:r>
        <w:t>damente</w:t>
      </w:r>
      <w:r w:rsidRPr="005269E5">
        <w:t xml:space="preserve"> 1 </w:t>
      </w:r>
      <w:r>
        <w:t>de cada</w:t>
      </w:r>
      <w:r w:rsidRPr="005269E5">
        <w:t xml:space="preserve"> 10 i</w:t>
      </w:r>
      <w:r>
        <w:t>n</w:t>
      </w:r>
      <w:r w:rsidRPr="005269E5">
        <w:t>migrant</w:t>
      </w:r>
      <w:r>
        <w:t>e</w:t>
      </w:r>
      <w:r w:rsidRPr="005269E5">
        <w:t xml:space="preserve">s </w:t>
      </w:r>
      <w:r>
        <w:t>eran niños menores de</w:t>
      </w:r>
      <w:r w:rsidRPr="005269E5">
        <w:t xml:space="preserve"> 15</w:t>
      </w:r>
      <w:r>
        <w:t xml:space="preserve"> años</w:t>
      </w:r>
      <w:r w:rsidRPr="005269E5">
        <w:t>.</w:t>
      </w:r>
    </w:p>
    <w:p w:rsidR="000100D5" w:rsidRPr="001336AB" w:rsidRDefault="000100D5" w:rsidP="000100D5">
      <w:pPr>
        <w:pStyle w:val="SingleTxtG"/>
      </w:pPr>
      <w:r w:rsidRPr="005269E5">
        <w:t>23.</w:t>
      </w:r>
      <w:r w:rsidRPr="005269E5">
        <w:tab/>
      </w:r>
      <w:r>
        <w:t>Había</w:t>
      </w:r>
      <w:r w:rsidRPr="005269E5">
        <w:t xml:space="preserve"> 419</w:t>
      </w:r>
      <w:r w:rsidR="00E03EF2">
        <w:t>.</w:t>
      </w:r>
      <w:r w:rsidRPr="005269E5">
        <w:t>733 no</w:t>
      </w:r>
      <w:r>
        <w:t xml:space="preserve"> i</w:t>
      </w:r>
      <w:r w:rsidRPr="005269E5">
        <w:t>r</w:t>
      </w:r>
      <w:r>
        <w:t>landeses</w:t>
      </w:r>
      <w:r w:rsidRPr="005269E5">
        <w:t xml:space="preserve"> resid</w:t>
      </w:r>
      <w:r w:rsidR="00E03EF2">
        <w:t>entes</w:t>
      </w:r>
      <w:r>
        <w:t xml:space="preserve"> y presentes en el Estado la noche del censo, el</w:t>
      </w:r>
      <w:r w:rsidRPr="005269E5">
        <w:t xml:space="preserve"> 23 </w:t>
      </w:r>
      <w:r>
        <w:t>de ab</w:t>
      </w:r>
      <w:r w:rsidRPr="005269E5">
        <w:t xml:space="preserve">ril </w:t>
      </w:r>
      <w:r>
        <w:t xml:space="preserve">de </w:t>
      </w:r>
      <w:r w:rsidRPr="005269E5">
        <w:t xml:space="preserve">2006. </w:t>
      </w:r>
      <w:r w:rsidR="000B3925">
        <w:t>Alrededor de 276.</w:t>
      </w:r>
      <w:r w:rsidRPr="001336AB">
        <w:t>000 eran nacionales de un país de la UE</w:t>
      </w:r>
      <w:r w:rsidR="00E03EF2">
        <w:t>, 24.</w:t>
      </w:r>
      <w:r w:rsidRPr="001336AB">
        <w:t>000 del resto de pa</w:t>
      </w:r>
      <w:r>
        <w:t>íses de Europa</w:t>
      </w:r>
      <w:r w:rsidRPr="001336AB">
        <w:t>, 35</w:t>
      </w:r>
      <w:r w:rsidR="00E03EF2">
        <w:t>.</w:t>
      </w:r>
      <w:r w:rsidRPr="001336AB">
        <w:t xml:space="preserve">000 </w:t>
      </w:r>
      <w:r>
        <w:t>de</w:t>
      </w:r>
      <w:r w:rsidRPr="001336AB">
        <w:t xml:space="preserve"> </w:t>
      </w:r>
      <w:r>
        <w:t>Á</w:t>
      </w:r>
      <w:r w:rsidRPr="001336AB">
        <w:t>frica, 47</w:t>
      </w:r>
      <w:r w:rsidR="00E03EF2">
        <w:t>.</w:t>
      </w:r>
      <w:r w:rsidRPr="001336AB">
        <w:t xml:space="preserve">000 </w:t>
      </w:r>
      <w:r>
        <w:t>de</w:t>
      </w:r>
      <w:r w:rsidRPr="001336AB">
        <w:t xml:space="preserve"> Asia</w:t>
      </w:r>
      <w:r>
        <w:t xml:space="preserve"> y</w:t>
      </w:r>
      <w:r w:rsidR="00E03EF2">
        <w:t xml:space="preserve"> 2</w:t>
      </w:r>
      <w:r w:rsidR="00065F71">
        <w:t>1</w:t>
      </w:r>
      <w:r w:rsidR="00E03EF2">
        <w:t>.</w:t>
      </w:r>
      <w:r w:rsidRPr="001336AB">
        <w:t xml:space="preserve">000 </w:t>
      </w:r>
      <w:r>
        <w:t>de</w:t>
      </w:r>
      <w:r w:rsidRPr="001336AB">
        <w:t xml:space="preserve"> Am</w:t>
      </w:r>
      <w:r>
        <w:t>ér</w:t>
      </w:r>
      <w:r w:rsidRPr="001336AB">
        <w:t>ica.</w:t>
      </w:r>
    </w:p>
    <w:p w:rsidR="000100D5" w:rsidRPr="005269E5" w:rsidRDefault="000100D5" w:rsidP="000100D5">
      <w:pPr>
        <w:pStyle w:val="SingleTxtG"/>
      </w:pPr>
      <w:r w:rsidRPr="005269E5">
        <w:t>24.</w:t>
      </w:r>
      <w:r w:rsidRPr="005269E5">
        <w:tab/>
      </w:r>
      <w:r>
        <w:t xml:space="preserve">El </w:t>
      </w:r>
      <w:r w:rsidRPr="005269E5">
        <w:t>87</w:t>
      </w:r>
      <w:r>
        <w:t>,</w:t>
      </w:r>
      <w:r w:rsidRPr="005269E5">
        <w:t xml:space="preserve">4% </w:t>
      </w:r>
      <w:r>
        <w:t>de los residentes habit</w:t>
      </w:r>
      <w:r w:rsidRPr="005269E5">
        <w:t>ual</w:t>
      </w:r>
      <w:r>
        <w:t>es</w:t>
      </w:r>
      <w:r w:rsidRPr="005269E5">
        <w:t xml:space="preserve"> </w:t>
      </w:r>
      <w:r>
        <w:t>se clasificó por su adscripción cultural en la categoría</w:t>
      </w:r>
      <w:r w:rsidRPr="005269E5">
        <w:t xml:space="preserve"> </w:t>
      </w:r>
      <w:r>
        <w:t xml:space="preserve">de </w:t>
      </w:r>
      <w:r w:rsidR="00E03EF2">
        <w:t>"</w:t>
      </w:r>
      <w:r>
        <w:t>blanco irlandés</w:t>
      </w:r>
      <w:r w:rsidR="00E03EF2">
        <w:t>"</w:t>
      </w:r>
      <w:r w:rsidRPr="005269E5">
        <w:t xml:space="preserve">, </w:t>
      </w:r>
      <w:r>
        <w:t xml:space="preserve">el </w:t>
      </w:r>
      <w:r w:rsidRPr="005269E5">
        <w:t xml:space="preserve">1% </w:t>
      </w:r>
      <w:r>
        <w:t>en la de</w:t>
      </w:r>
      <w:r w:rsidRPr="005269E5">
        <w:t xml:space="preserve"> </w:t>
      </w:r>
      <w:r w:rsidR="00E03EF2">
        <w:t>"</w:t>
      </w:r>
      <w:r>
        <w:t>a</w:t>
      </w:r>
      <w:r w:rsidRPr="005269E5">
        <w:t>frican</w:t>
      </w:r>
      <w:r>
        <w:t>o</w:t>
      </w:r>
      <w:r w:rsidR="00E03EF2">
        <w:t>"</w:t>
      </w:r>
      <w:r w:rsidRPr="005269E5">
        <w:t xml:space="preserve">, </w:t>
      </w:r>
      <w:r>
        <w:t xml:space="preserve">el </w:t>
      </w:r>
      <w:r w:rsidRPr="005269E5">
        <w:t>0</w:t>
      </w:r>
      <w:r>
        <w:t>,</w:t>
      </w:r>
      <w:r w:rsidRPr="005269E5">
        <w:t xml:space="preserve">1% </w:t>
      </w:r>
      <w:r>
        <w:t>en la de</w:t>
      </w:r>
      <w:r w:rsidRPr="005269E5">
        <w:t xml:space="preserve"> </w:t>
      </w:r>
      <w:r w:rsidR="00E03EF2">
        <w:t>"</w:t>
      </w:r>
      <w:r>
        <w:t>negro de otra procedencia</w:t>
      </w:r>
      <w:r w:rsidR="00E03EF2">
        <w:t>"</w:t>
      </w:r>
      <w:r w:rsidRPr="005269E5">
        <w:t xml:space="preserve">, </w:t>
      </w:r>
      <w:r>
        <w:t xml:space="preserve">el </w:t>
      </w:r>
      <w:r w:rsidRPr="005269E5">
        <w:t>0</w:t>
      </w:r>
      <w:r>
        <w:t>,</w:t>
      </w:r>
      <w:r w:rsidRPr="005269E5">
        <w:t xml:space="preserve">4% </w:t>
      </w:r>
      <w:r>
        <w:t>en la de</w:t>
      </w:r>
      <w:r w:rsidRPr="005269E5">
        <w:t xml:space="preserve"> </w:t>
      </w:r>
      <w:r w:rsidR="00E03EF2">
        <w:t>"</w:t>
      </w:r>
      <w:r>
        <w:t>c</w:t>
      </w:r>
      <w:r w:rsidRPr="005269E5">
        <w:t>hin</w:t>
      </w:r>
      <w:r>
        <w:t>o</w:t>
      </w:r>
      <w:r w:rsidR="00E03EF2">
        <w:t>"</w:t>
      </w:r>
      <w:r w:rsidRPr="005269E5">
        <w:t xml:space="preserve">, </w:t>
      </w:r>
      <w:r>
        <w:t xml:space="preserve">el </w:t>
      </w:r>
      <w:r w:rsidRPr="005269E5">
        <w:t>0</w:t>
      </w:r>
      <w:r>
        <w:t>,</w:t>
      </w:r>
      <w:r w:rsidRPr="005269E5">
        <w:t xml:space="preserve">9% </w:t>
      </w:r>
      <w:r>
        <w:t>en la de</w:t>
      </w:r>
      <w:r w:rsidRPr="005269E5">
        <w:t xml:space="preserve"> </w:t>
      </w:r>
      <w:r w:rsidR="00E03EF2">
        <w:t>"</w:t>
      </w:r>
      <w:r>
        <w:t>asiático de otra procedencia</w:t>
      </w:r>
      <w:r w:rsidR="00E03EF2">
        <w:t>"</w:t>
      </w:r>
      <w:r>
        <w:t xml:space="preserve"> y el</w:t>
      </w:r>
      <w:r w:rsidR="000B3925">
        <w:t> </w:t>
      </w:r>
      <w:r w:rsidRPr="005269E5">
        <w:t>1</w:t>
      </w:r>
      <w:r>
        <w:t xml:space="preserve">, </w:t>
      </w:r>
      <w:r w:rsidRPr="005269E5">
        <w:t xml:space="preserve">1% </w:t>
      </w:r>
      <w:r>
        <w:t>en la de</w:t>
      </w:r>
      <w:r w:rsidRPr="005269E5">
        <w:t xml:space="preserve"> </w:t>
      </w:r>
      <w:r w:rsidR="00E03EF2">
        <w:t>"</w:t>
      </w:r>
      <w:r>
        <w:t>o</w:t>
      </w:r>
      <w:r w:rsidRPr="005269E5">
        <w:t>tr</w:t>
      </w:r>
      <w:r>
        <w:t>a,</w:t>
      </w:r>
      <w:r w:rsidRPr="005269E5">
        <w:t xml:space="preserve"> inclu</w:t>
      </w:r>
      <w:r>
        <w:t>ida una procedencia</w:t>
      </w:r>
      <w:r w:rsidRPr="005269E5">
        <w:t xml:space="preserve"> mix</w:t>
      </w:r>
      <w:r>
        <w:t>ta</w:t>
      </w:r>
      <w:r w:rsidR="00E03EF2">
        <w:t>"</w:t>
      </w:r>
      <w:r w:rsidRPr="005269E5">
        <w:t>.</w:t>
      </w:r>
    </w:p>
    <w:p w:rsidR="000100D5" w:rsidRPr="009E64B9" w:rsidRDefault="000100D5" w:rsidP="000100D5">
      <w:pPr>
        <w:pStyle w:val="SingleTxtG"/>
      </w:pPr>
      <w:r w:rsidRPr="005269E5">
        <w:t>25.</w:t>
      </w:r>
      <w:r w:rsidRPr="005269E5">
        <w:tab/>
      </w:r>
      <w:r>
        <w:t>Otra serie</w:t>
      </w:r>
      <w:r w:rsidRPr="005269E5">
        <w:t xml:space="preserve"> important</w:t>
      </w:r>
      <w:r>
        <w:t>e de cifras que debe</w:t>
      </w:r>
      <w:r w:rsidRPr="005269E5">
        <w:t xml:space="preserve"> examin</w:t>
      </w:r>
      <w:r>
        <w:t>arse</w:t>
      </w:r>
      <w:r w:rsidRPr="005269E5">
        <w:t xml:space="preserve"> </w:t>
      </w:r>
      <w:r>
        <w:t>e</w:t>
      </w:r>
      <w:r w:rsidRPr="005269E5">
        <w:t>n re</w:t>
      </w:r>
      <w:r>
        <w:t xml:space="preserve">lación con el tema de la </w:t>
      </w:r>
      <w:r w:rsidRPr="005269E5">
        <w:t>i</w:t>
      </w:r>
      <w:r>
        <w:t>n</w:t>
      </w:r>
      <w:r w:rsidRPr="005269E5">
        <w:t>migra</w:t>
      </w:r>
      <w:r>
        <w:t>c</w:t>
      </w:r>
      <w:r w:rsidRPr="005269E5">
        <w:t>i</w:t>
      </w:r>
      <w:r>
        <w:t>ó</w:t>
      </w:r>
      <w:r w:rsidRPr="005269E5">
        <w:t xml:space="preserve">n </w:t>
      </w:r>
      <w:r>
        <w:t>es la de los cambios</w:t>
      </w:r>
      <w:r w:rsidRPr="005269E5">
        <w:t xml:space="preserve"> </w:t>
      </w:r>
      <w:r>
        <w:t>habidos e</w:t>
      </w:r>
      <w:r w:rsidRPr="005269E5">
        <w:t xml:space="preserve">n </w:t>
      </w:r>
      <w:r>
        <w:t xml:space="preserve">la </w:t>
      </w:r>
      <w:r w:rsidRPr="005269E5">
        <w:t>po</w:t>
      </w:r>
      <w:r>
        <w:t>b</w:t>
      </w:r>
      <w:r w:rsidRPr="005269E5">
        <w:t>la</w:t>
      </w:r>
      <w:r>
        <w:t>c</w:t>
      </w:r>
      <w:r w:rsidRPr="005269E5">
        <w:t>i</w:t>
      </w:r>
      <w:r>
        <w:t>ó</w:t>
      </w:r>
      <w:r w:rsidRPr="005269E5">
        <w:t xml:space="preserve">n </w:t>
      </w:r>
      <w:r>
        <w:t>entre 2002 y 2006 por adscripciones religiosas</w:t>
      </w:r>
      <w:r w:rsidRPr="005269E5">
        <w:t xml:space="preserve">. </w:t>
      </w:r>
      <w:r w:rsidRPr="00937759">
        <w:t>Por ejemplo, se ha registrado un crecimiento del 70% en la p</w:t>
      </w:r>
      <w:r>
        <w:t>oblación</w:t>
      </w:r>
      <w:r w:rsidRPr="00937759">
        <w:t xml:space="preserve"> </w:t>
      </w:r>
      <w:r>
        <w:t>m</w:t>
      </w:r>
      <w:r w:rsidRPr="00937759">
        <w:t>us</w:t>
      </w:r>
      <w:r>
        <w:t>u</w:t>
      </w:r>
      <w:r w:rsidRPr="00937759">
        <w:t>lm</w:t>
      </w:r>
      <w:r>
        <w:t>ana y del</w:t>
      </w:r>
      <w:r w:rsidRPr="00937759">
        <w:t xml:space="preserve"> 100% </w:t>
      </w:r>
      <w:r>
        <w:t>en la población o</w:t>
      </w:r>
      <w:r w:rsidRPr="00937759">
        <w:t>rtodox</w:t>
      </w:r>
      <w:r>
        <w:t>a</w:t>
      </w:r>
      <w:r w:rsidRPr="005269E5">
        <w:rPr>
          <w:rStyle w:val="FootnoteReference"/>
        </w:rPr>
        <w:footnoteReference w:id="15"/>
      </w:r>
      <w:r w:rsidR="001F5C61">
        <w:t>.</w:t>
      </w:r>
      <w:r w:rsidRPr="00937759">
        <w:t xml:space="preserve"> </w:t>
      </w:r>
      <w:r w:rsidRPr="00B35B14">
        <w:t xml:space="preserve">En el sitio web de la Oficina Central de Estadística </w:t>
      </w:r>
      <w:r>
        <w:t>se</w:t>
      </w:r>
      <w:r w:rsidRPr="00B35B14">
        <w:t xml:space="preserve"> desglos</w:t>
      </w:r>
      <w:r>
        <w:t>a</w:t>
      </w:r>
      <w:r w:rsidRPr="00B35B14">
        <w:t xml:space="preserve"> </w:t>
      </w:r>
      <w:r>
        <w:t xml:space="preserve">de forma </w:t>
      </w:r>
      <w:r w:rsidRPr="00B35B14">
        <w:t>detallad</w:t>
      </w:r>
      <w:r>
        <w:t>a</w:t>
      </w:r>
      <w:r w:rsidRPr="00B35B14">
        <w:t xml:space="preserve"> la población</w:t>
      </w:r>
      <w:r>
        <w:t>,</w:t>
      </w:r>
      <w:r w:rsidRPr="00B35B14">
        <w:t xml:space="preserve"> clasificada </w:t>
      </w:r>
      <w:r>
        <w:t>por</w:t>
      </w:r>
      <w:r w:rsidRPr="00B35B14">
        <w:t xml:space="preserve"> religi</w:t>
      </w:r>
      <w:r>
        <w:t>ó</w:t>
      </w:r>
      <w:r w:rsidRPr="00B35B14">
        <w:t>n</w:t>
      </w:r>
      <w:r>
        <w:t xml:space="preserve"> y</w:t>
      </w:r>
      <w:r w:rsidR="005007D6">
        <w:t xml:space="preserve"> </w:t>
      </w:r>
      <w:r w:rsidRPr="00B35B14">
        <w:t>na</w:t>
      </w:r>
      <w:r>
        <w:t>c</w:t>
      </w:r>
      <w:r w:rsidRPr="00B35B14">
        <w:t>ionali</w:t>
      </w:r>
      <w:r>
        <w:t>dad en el censo de</w:t>
      </w:r>
      <w:r w:rsidRPr="00B35B14">
        <w:t xml:space="preserve"> 2006</w:t>
      </w:r>
      <w:r w:rsidRPr="005269E5">
        <w:rPr>
          <w:rStyle w:val="FootnoteReference"/>
        </w:rPr>
        <w:footnoteReference w:id="16"/>
      </w:r>
      <w:r w:rsidR="001F5C61">
        <w:t>.</w:t>
      </w:r>
    </w:p>
    <w:p w:rsidR="000100D5" w:rsidRPr="005269E5" w:rsidRDefault="000100D5" w:rsidP="000100D5">
      <w:pPr>
        <w:pStyle w:val="SingleTxtG"/>
      </w:pPr>
      <w:r w:rsidRPr="005269E5">
        <w:t>26.</w:t>
      </w:r>
      <w:r w:rsidRPr="005269E5">
        <w:tab/>
      </w:r>
      <w:r>
        <w:t>Esas cifras reflejan la</w:t>
      </w:r>
      <w:r w:rsidRPr="005269E5">
        <w:t xml:space="preserve"> comple</w:t>
      </w:r>
      <w:r>
        <w:t>jidad de la identidad</w:t>
      </w:r>
      <w:r w:rsidRPr="005269E5">
        <w:t xml:space="preserve"> </w:t>
      </w:r>
      <w:r>
        <w:t>é</w:t>
      </w:r>
      <w:r w:rsidRPr="005269E5">
        <w:t>tnic</w:t>
      </w:r>
      <w:r>
        <w:t>a</w:t>
      </w:r>
      <w:r w:rsidRPr="005269E5">
        <w:t xml:space="preserve"> </w:t>
      </w:r>
      <w:r>
        <w:t>y</w:t>
      </w:r>
      <w:r w:rsidRPr="005269E5">
        <w:t xml:space="preserve"> cultural </w:t>
      </w:r>
      <w:r>
        <w:t>e</w:t>
      </w:r>
      <w:r w:rsidRPr="005269E5">
        <w:t>n Irland</w:t>
      </w:r>
      <w:r>
        <w:t>a</w:t>
      </w:r>
      <w:r w:rsidRPr="005269E5">
        <w:t xml:space="preserve">, </w:t>
      </w:r>
      <w:r>
        <w:t>en la que pueden tener cabida todas o algunas de las siguientes categorías</w:t>
      </w:r>
      <w:r w:rsidRPr="005269E5">
        <w:t>: na</w:t>
      </w:r>
      <w:r>
        <w:t>c</w:t>
      </w:r>
      <w:r w:rsidRPr="005269E5">
        <w:t>ionali</w:t>
      </w:r>
      <w:r>
        <w:t>dad</w:t>
      </w:r>
      <w:r w:rsidRPr="005269E5">
        <w:t xml:space="preserve">, </w:t>
      </w:r>
      <w:r>
        <w:t>lugar de nacimiento</w:t>
      </w:r>
      <w:r w:rsidRPr="005269E5">
        <w:t xml:space="preserve">, </w:t>
      </w:r>
      <w:r>
        <w:t>idioma</w:t>
      </w:r>
      <w:r w:rsidRPr="005269E5">
        <w:t xml:space="preserve">, </w:t>
      </w:r>
      <w:r>
        <w:t xml:space="preserve">afinidad </w:t>
      </w:r>
      <w:r w:rsidRPr="005269E5">
        <w:t xml:space="preserve">regional </w:t>
      </w:r>
      <w:r>
        <w:t>y</w:t>
      </w:r>
      <w:r w:rsidRPr="005269E5">
        <w:t xml:space="preserve"> religi</w:t>
      </w:r>
      <w:r>
        <w:t>ó</w:t>
      </w:r>
      <w:r w:rsidRPr="005269E5">
        <w:t>n.</w:t>
      </w:r>
    </w:p>
    <w:p w:rsidR="000100D5" w:rsidRPr="005269E5" w:rsidRDefault="000100D5" w:rsidP="000100D5">
      <w:pPr>
        <w:pStyle w:val="H1G"/>
      </w:pPr>
      <w:r w:rsidRPr="005269E5">
        <w:tab/>
        <w:t>6.</w:t>
      </w:r>
      <w:r w:rsidRPr="005269E5">
        <w:tab/>
      </w:r>
      <w:r>
        <w:t>Datos de 2009 relativos a las estimaciones de la p</w:t>
      </w:r>
      <w:r w:rsidRPr="005269E5">
        <w:t>o</w:t>
      </w:r>
      <w:r>
        <w:t>b</w:t>
      </w:r>
      <w:r w:rsidRPr="005269E5">
        <w:t>la</w:t>
      </w:r>
      <w:r>
        <w:t>c</w:t>
      </w:r>
      <w:r w:rsidRPr="005269E5">
        <w:t>i</w:t>
      </w:r>
      <w:r>
        <w:t>ó</w:t>
      </w:r>
      <w:r w:rsidRPr="005269E5">
        <w:t xml:space="preserve">n </w:t>
      </w:r>
      <w:r>
        <w:t>y</w:t>
      </w:r>
      <w:r w:rsidRPr="005269E5">
        <w:t xml:space="preserve"> migra</w:t>
      </w:r>
      <w:r>
        <w:t>c</w:t>
      </w:r>
      <w:r w:rsidRPr="005269E5">
        <w:t>i</w:t>
      </w:r>
      <w:r>
        <w:t>ó</w:t>
      </w:r>
      <w:r w:rsidRPr="005269E5">
        <w:t>n</w:t>
      </w:r>
      <w:r w:rsidRPr="005269E5">
        <w:rPr>
          <w:rStyle w:val="FootnoteReference"/>
          <w:b w:val="0"/>
        </w:rPr>
        <w:footnoteReference w:id="17"/>
      </w:r>
    </w:p>
    <w:p w:rsidR="000100D5" w:rsidRPr="00AE30A8" w:rsidRDefault="000100D5" w:rsidP="000100D5">
      <w:pPr>
        <w:pStyle w:val="SingleTxtG"/>
      </w:pPr>
      <w:r w:rsidRPr="005269E5">
        <w:t>27.</w:t>
      </w:r>
      <w:r w:rsidRPr="005269E5">
        <w:tab/>
      </w:r>
      <w:r>
        <w:t>La Oficina</w:t>
      </w:r>
      <w:r w:rsidRPr="005269E5">
        <w:t xml:space="preserve"> Central </w:t>
      </w:r>
      <w:r>
        <w:t>de Es</w:t>
      </w:r>
      <w:r w:rsidRPr="005269E5">
        <w:t>ta</w:t>
      </w:r>
      <w:r>
        <w:t>dí</w:t>
      </w:r>
      <w:r w:rsidRPr="005269E5">
        <w:t>stic</w:t>
      </w:r>
      <w:r>
        <w:t>a</w:t>
      </w:r>
      <w:r w:rsidRPr="005269E5">
        <w:t xml:space="preserve"> publi</w:t>
      </w:r>
      <w:r>
        <w:t>có el 22 de septiembre de 2009 una serie de estimaciones de la población y la m</w:t>
      </w:r>
      <w:r w:rsidRPr="005269E5">
        <w:t>igra</w:t>
      </w:r>
      <w:r>
        <w:t>c</w:t>
      </w:r>
      <w:r w:rsidRPr="005269E5">
        <w:t>i</w:t>
      </w:r>
      <w:r>
        <w:t>ón,</w:t>
      </w:r>
      <w:r w:rsidRPr="005269E5">
        <w:t xml:space="preserve"> </w:t>
      </w:r>
      <w:r>
        <w:t>que</w:t>
      </w:r>
      <w:r w:rsidRPr="005269E5">
        <w:t xml:space="preserve"> indica </w:t>
      </w:r>
      <w:r>
        <w:t>que se ha reanudado actualmente la migración neta al exterior</w:t>
      </w:r>
      <w:r w:rsidRPr="005269E5">
        <w:t xml:space="preserve">. </w:t>
      </w:r>
      <w:r w:rsidRPr="00AE30A8">
        <w:t xml:space="preserve">Se estima que el número de emigrantes del país en el año que finalizó en abril de 2009 se incrementó en casi el 44%, </w:t>
      </w:r>
      <w:r>
        <w:t>pasando de</w:t>
      </w:r>
      <w:r w:rsidRPr="00AE30A8">
        <w:t xml:space="preserve"> 45</w:t>
      </w:r>
      <w:r w:rsidR="000B3925">
        <w:t>.</w:t>
      </w:r>
      <w:r w:rsidRPr="00AE30A8">
        <w:t xml:space="preserve">300 </w:t>
      </w:r>
      <w:r>
        <w:t>a</w:t>
      </w:r>
      <w:r w:rsidRPr="00AE30A8">
        <w:t xml:space="preserve"> 65</w:t>
      </w:r>
      <w:r w:rsidR="000B3925">
        <w:t>.</w:t>
      </w:r>
      <w:r w:rsidRPr="00AE30A8">
        <w:t>100</w:t>
      </w:r>
      <w:r>
        <w:t>, mientras que el</w:t>
      </w:r>
      <w:r w:rsidR="005007D6">
        <w:t xml:space="preserve"> </w:t>
      </w:r>
      <w:r w:rsidRPr="00AE30A8">
        <w:t>n</w:t>
      </w:r>
      <w:r>
        <w:t>úm</w:t>
      </w:r>
      <w:r w:rsidRPr="00AE30A8">
        <w:t>er</w:t>
      </w:r>
      <w:r>
        <w:t>o</w:t>
      </w:r>
      <w:r w:rsidRPr="00AE30A8">
        <w:t xml:space="preserve"> </w:t>
      </w:r>
      <w:r>
        <w:t>de</w:t>
      </w:r>
      <w:r w:rsidRPr="00AE30A8">
        <w:t xml:space="preserve"> i</w:t>
      </w:r>
      <w:r>
        <w:t>n</w:t>
      </w:r>
      <w:r w:rsidRPr="00AE30A8">
        <w:t>migrant</w:t>
      </w:r>
      <w:r>
        <w:t>e</w:t>
      </w:r>
      <w:r w:rsidRPr="00AE30A8">
        <w:t xml:space="preserve">s </w:t>
      </w:r>
      <w:r>
        <w:t>siguió bajando durante ese mismo</w:t>
      </w:r>
      <w:r w:rsidRPr="00AE30A8">
        <w:t xml:space="preserve"> per</w:t>
      </w:r>
      <w:r>
        <w:t>í</w:t>
      </w:r>
      <w:r w:rsidRPr="00AE30A8">
        <w:t>od</w:t>
      </w:r>
      <w:r>
        <w:t>o</w:t>
      </w:r>
      <w:r w:rsidRPr="00AE30A8">
        <w:t xml:space="preserve">, </w:t>
      </w:r>
      <w:r>
        <w:t>de</w:t>
      </w:r>
      <w:r w:rsidR="000B3925">
        <w:t> </w:t>
      </w:r>
      <w:r w:rsidRPr="00AE30A8">
        <w:t>83</w:t>
      </w:r>
      <w:r w:rsidR="000B3925">
        <w:t>.</w:t>
      </w:r>
      <w:r w:rsidRPr="00AE30A8">
        <w:t xml:space="preserve">800 </w:t>
      </w:r>
      <w:r>
        <w:t>a</w:t>
      </w:r>
      <w:r w:rsidRPr="00AE30A8">
        <w:t xml:space="preserve"> 57</w:t>
      </w:r>
      <w:r w:rsidR="000B3925">
        <w:t>.</w:t>
      </w:r>
      <w:r w:rsidRPr="00AE30A8">
        <w:t xml:space="preserve">300. </w:t>
      </w:r>
      <w:r>
        <w:t>La suma de estos cambios</w:t>
      </w:r>
      <w:r w:rsidRPr="00AE30A8">
        <w:t xml:space="preserve"> arroja una vuelta </w:t>
      </w:r>
      <w:r>
        <w:t xml:space="preserve">de Irlanda </w:t>
      </w:r>
      <w:r w:rsidRPr="00AE30A8">
        <w:t>a la migraci</w:t>
      </w:r>
      <w:r w:rsidR="000B3925">
        <w:t>ón neta (-</w:t>
      </w:r>
      <w:r w:rsidRPr="00AE30A8">
        <w:t>7</w:t>
      </w:r>
      <w:r w:rsidR="00F87083">
        <w:t>.</w:t>
      </w:r>
      <w:r w:rsidRPr="00AE30A8">
        <w:t>800</w:t>
      </w:r>
      <w:r>
        <w:t xml:space="preserve"> personas</w:t>
      </w:r>
      <w:r w:rsidRPr="00AE30A8">
        <w:t>)</w:t>
      </w:r>
      <w:r>
        <w:t>,</w:t>
      </w:r>
      <w:r w:rsidRPr="00AE30A8">
        <w:t xml:space="preserve"> </w:t>
      </w:r>
      <w:r>
        <w:t>p</w:t>
      </w:r>
      <w:r w:rsidRPr="00AE30A8">
        <w:t>or</w:t>
      </w:r>
      <w:r w:rsidR="005007D6">
        <w:t xml:space="preserve"> </w:t>
      </w:r>
      <w:r>
        <w:t>primera vez desde</w:t>
      </w:r>
      <w:r w:rsidRPr="00AE30A8">
        <w:t xml:space="preserve"> 1995.</w:t>
      </w:r>
    </w:p>
    <w:p w:rsidR="000100D5" w:rsidRPr="005269E5" w:rsidRDefault="000100D5" w:rsidP="000100D5">
      <w:pPr>
        <w:pStyle w:val="SingleTxtG"/>
      </w:pPr>
      <w:r w:rsidRPr="005269E5">
        <w:t>28.</w:t>
      </w:r>
      <w:r w:rsidRPr="005269E5">
        <w:tab/>
      </w:r>
      <w:r>
        <w:t>Entre las principales características de las cifras correspondientes a</w:t>
      </w:r>
      <w:r w:rsidRPr="005269E5">
        <w:t xml:space="preserve"> 2009</w:t>
      </w:r>
      <w:r>
        <w:t xml:space="preserve"> cabe citar</w:t>
      </w:r>
      <w:r w:rsidRPr="005269E5">
        <w:t>:</w:t>
      </w:r>
    </w:p>
    <w:p w:rsidR="000100D5" w:rsidRPr="00355D3C" w:rsidRDefault="000100D5" w:rsidP="00355D3C">
      <w:pPr>
        <w:pStyle w:val="Bullet1G"/>
      </w:pPr>
      <w:r w:rsidRPr="00326570">
        <w:t xml:space="preserve">De </w:t>
      </w:r>
      <w:r w:rsidR="00065F71">
        <w:t>las 65.</w:t>
      </w:r>
      <w:r w:rsidRPr="00355D3C">
        <w:t>100 personas que emigraron en el año que fi</w:t>
      </w:r>
      <w:r w:rsidR="00355D3C">
        <w:t>nalizó en abril de 2009, los 12 </w:t>
      </w:r>
      <w:r w:rsidRPr="00355D3C">
        <w:t>países de la Unión Europea</w:t>
      </w:r>
      <w:r w:rsidR="00355D3C">
        <w:t xml:space="preserve">, </w:t>
      </w:r>
      <w:r w:rsidRPr="00355D3C">
        <w:rPr>
          <w:rStyle w:val="FootnoteReference"/>
          <w:sz w:val="20"/>
          <w:vertAlign w:val="baseline"/>
        </w:rPr>
        <w:footnoteReference w:id="18"/>
      </w:r>
      <w:r w:rsidRPr="00355D3C">
        <w:t xml:space="preserve"> constituyeron, con gran diferencia, el origen del grupo más numeroso, del que procedían 30</w:t>
      </w:r>
      <w:r w:rsidR="000B3925" w:rsidRPr="00355D3C">
        <w:t>.</w:t>
      </w:r>
      <w:r w:rsidRPr="00355D3C">
        <w:t>100 personas, seguido de los irlandeses, con</w:t>
      </w:r>
      <w:r w:rsidR="00355D3C">
        <w:t xml:space="preserve"> </w:t>
      </w:r>
      <w:r w:rsidRPr="00355D3C">
        <w:t>18</w:t>
      </w:r>
      <w:r w:rsidR="000B3925" w:rsidRPr="00355D3C">
        <w:t>.</w:t>
      </w:r>
      <w:r w:rsidRPr="00355D3C">
        <w:t>400;</w:t>
      </w:r>
    </w:p>
    <w:p w:rsidR="000100D5" w:rsidRPr="007D0B48" w:rsidRDefault="000100D5" w:rsidP="00355D3C">
      <w:pPr>
        <w:pStyle w:val="Bullet1G"/>
      </w:pPr>
      <w:r w:rsidRPr="00355D3C">
        <w:t>La inmigración</w:t>
      </w:r>
      <w:r w:rsidRPr="007D0B48">
        <w:t xml:space="preserve"> de todos los grupos no irlandeses experimentó un descenso, que afect</w:t>
      </w:r>
      <w:r>
        <w:t>ó en mayor medida a los 12 países de la</w:t>
      </w:r>
      <w:r w:rsidRPr="007D0B48">
        <w:t xml:space="preserve"> </w:t>
      </w:r>
      <w:r>
        <w:t>U</w:t>
      </w:r>
      <w:r w:rsidRPr="007D0B48">
        <w:t>E</w:t>
      </w:r>
      <w:r w:rsidR="000B3925">
        <w:t>, que pasaron de 33.</w:t>
      </w:r>
      <w:r w:rsidRPr="007D0B48">
        <w:t xml:space="preserve">700 </w:t>
      </w:r>
      <w:r>
        <w:t>personas en</w:t>
      </w:r>
      <w:r w:rsidRPr="007D0B48">
        <w:t xml:space="preserve"> </w:t>
      </w:r>
      <w:r>
        <w:t>ab</w:t>
      </w:r>
      <w:r w:rsidRPr="007D0B48">
        <w:t xml:space="preserve">ril </w:t>
      </w:r>
      <w:r>
        <w:t xml:space="preserve">de </w:t>
      </w:r>
      <w:r w:rsidRPr="007D0B48">
        <w:t xml:space="preserve">2008 </w:t>
      </w:r>
      <w:r>
        <w:t>a</w:t>
      </w:r>
      <w:r w:rsidRPr="007D0B48">
        <w:t xml:space="preserve"> 13</w:t>
      </w:r>
      <w:r w:rsidR="000B3925">
        <w:t>.</w:t>
      </w:r>
      <w:r w:rsidRPr="007D0B48">
        <w:t xml:space="preserve">500 </w:t>
      </w:r>
      <w:r>
        <w:t>e</w:t>
      </w:r>
      <w:r w:rsidRPr="007D0B48">
        <w:t xml:space="preserve">n </w:t>
      </w:r>
      <w:r>
        <w:t>ab</w:t>
      </w:r>
      <w:r w:rsidRPr="007D0B48">
        <w:t xml:space="preserve">ril </w:t>
      </w:r>
      <w:r>
        <w:t xml:space="preserve">de </w:t>
      </w:r>
      <w:r w:rsidRPr="007D0B48">
        <w:t xml:space="preserve">2009, </w:t>
      </w:r>
      <w:r>
        <w:t>lo que supone una disminución de</w:t>
      </w:r>
      <w:r w:rsidRPr="007D0B48">
        <w:t xml:space="preserve"> 20</w:t>
      </w:r>
      <w:r w:rsidR="000B3925">
        <w:t>.</w:t>
      </w:r>
      <w:r w:rsidRPr="007D0B48">
        <w:t>200</w:t>
      </w:r>
      <w:r>
        <w:t>.</w:t>
      </w:r>
    </w:p>
    <w:p w:rsidR="000100D5" w:rsidRPr="005269E5" w:rsidRDefault="000100D5" w:rsidP="000100D5">
      <w:pPr>
        <w:pStyle w:val="H1G"/>
      </w:pPr>
      <w:r w:rsidRPr="007D0B48">
        <w:tab/>
      </w:r>
      <w:r w:rsidRPr="005269E5">
        <w:t>7.</w:t>
      </w:r>
      <w:r w:rsidRPr="005269E5">
        <w:tab/>
      </w:r>
      <w:r>
        <w:t>Es</w:t>
      </w:r>
      <w:r w:rsidRPr="005269E5">
        <w:t>ta</w:t>
      </w:r>
      <w:r>
        <w:t>dí</w:t>
      </w:r>
      <w:r w:rsidRPr="005269E5">
        <w:t>stic</w:t>
      </w:r>
      <w:r>
        <w:t>a</w:t>
      </w:r>
      <w:r w:rsidRPr="005269E5">
        <w:t xml:space="preserve">s </w:t>
      </w:r>
      <w:r>
        <w:t>relativas a los números de identificación p</w:t>
      </w:r>
      <w:r w:rsidRPr="005269E5">
        <w:t>erso</w:t>
      </w:r>
      <w:r>
        <w:t xml:space="preserve">nal de la administración </w:t>
      </w:r>
    </w:p>
    <w:p w:rsidR="000100D5" w:rsidRPr="00343F66" w:rsidRDefault="000100D5" w:rsidP="000100D5">
      <w:pPr>
        <w:pStyle w:val="SingleTxtG"/>
      </w:pPr>
      <w:r w:rsidRPr="005269E5">
        <w:t>29.</w:t>
      </w:r>
      <w:r w:rsidRPr="005269E5">
        <w:tab/>
      </w:r>
      <w:r>
        <w:t>El número</w:t>
      </w:r>
      <w:r w:rsidRPr="005269E5">
        <w:t xml:space="preserve"> </w:t>
      </w:r>
      <w:r>
        <w:t>p</w:t>
      </w:r>
      <w:r w:rsidRPr="005269E5">
        <w:t xml:space="preserve">ersonal </w:t>
      </w:r>
      <w:r>
        <w:t>de identificación de la administración</w:t>
      </w:r>
      <w:r w:rsidRPr="005269E5">
        <w:t xml:space="preserve"> </w:t>
      </w:r>
      <w:r>
        <w:t>e</w:t>
      </w:r>
      <w:r w:rsidRPr="005269E5">
        <w:t xml:space="preserve">s </w:t>
      </w:r>
      <w:r>
        <w:t>un número exclusivo de referencia</w:t>
      </w:r>
      <w:r w:rsidRPr="005269E5">
        <w:t xml:space="preserve"> </w:t>
      </w:r>
      <w:r>
        <w:t xml:space="preserve">para cada </w:t>
      </w:r>
      <w:r w:rsidRPr="005269E5">
        <w:t xml:space="preserve">persona. </w:t>
      </w:r>
      <w:r w:rsidRPr="004E4C54">
        <w:t xml:space="preserve">Es necesario para solicitar prestaciones y obtener </w:t>
      </w:r>
      <w:r>
        <w:t xml:space="preserve">rápida y fácilmente </w:t>
      </w:r>
      <w:r w:rsidRPr="004E4C54">
        <w:t>informa</w:t>
      </w:r>
      <w:r>
        <w:t>c</w:t>
      </w:r>
      <w:r w:rsidRPr="004E4C54">
        <w:t>i</w:t>
      </w:r>
      <w:r>
        <w:t>ó</w:t>
      </w:r>
      <w:r w:rsidRPr="004E4C54">
        <w:t xml:space="preserve">n </w:t>
      </w:r>
      <w:r>
        <w:t>de los órganos de la administración del Estado, lo que incluye servicios como los de seguridad</w:t>
      </w:r>
      <w:r w:rsidRPr="004E4C54">
        <w:t xml:space="preserve"> </w:t>
      </w:r>
      <w:r>
        <w:t>s</w:t>
      </w:r>
      <w:r w:rsidRPr="004E4C54">
        <w:t xml:space="preserve">ocial, </w:t>
      </w:r>
      <w:r>
        <w:t>hacienda</w:t>
      </w:r>
      <w:r w:rsidRPr="004E4C54">
        <w:t xml:space="preserve">, </w:t>
      </w:r>
      <w:r>
        <w:t>atención de salud y</w:t>
      </w:r>
      <w:r w:rsidRPr="004E4C54">
        <w:t xml:space="preserve"> </w:t>
      </w:r>
      <w:r>
        <w:t>e</w:t>
      </w:r>
      <w:r w:rsidRPr="004E4C54">
        <w:t>duca</w:t>
      </w:r>
      <w:r>
        <w:t>c</w:t>
      </w:r>
      <w:r w:rsidRPr="004E4C54">
        <w:t>i</w:t>
      </w:r>
      <w:r>
        <w:t>ó</w:t>
      </w:r>
      <w:r w:rsidRPr="004E4C54">
        <w:t xml:space="preserve">n. </w:t>
      </w:r>
      <w:r w:rsidRPr="00343F66">
        <w:t xml:space="preserve">Constituye también </w:t>
      </w:r>
      <w:r>
        <w:t>u</w:t>
      </w:r>
      <w:r w:rsidRPr="00343F66">
        <w:t>n buen indicador de</w:t>
      </w:r>
      <w:r>
        <w:t xml:space="preserve"> </w:t>
      </w:r>
      <w:r w:rsidRPr="00343F66">
        <w:t>l</w:t>
      </w:r>
      <w:r>
        <w:t>a</w:t>
      </w:r>
      <w:r w:rsidRPr="00343F66">
        <w:t xml:space="preserve"> </w:t>
      </w:r>
      <w:r>
        <w:t>cantidad</w:t>
      </w:r>
      <w:r w:rsidRPr="00343F66">
        <w:t xml:space="preserve"> de nuevos migrantes </w:t>
      </w:r>
      <w:r>
        <w:t>que han llegado a</w:t>
      </w:r>
      <w:r w:rsidRPr="00343F66">
        <w:t xml:space="preserve"> Irland</w:t>
      </w:r>
      <w:r>
        <w:t>a</w:t>
      </w:r>
      <w:r w:rsidRPr="00343F66">
        <w:t>.</w:t>
      </w:r>
    </w:p>
    <w:p w:rsidR="000100D5" w:rsidRPr="0096759A" w:rsidRDefault="000100D5" w:rsidP="000100D5">
      <w:pPr>
        <w:pStyle w:val="SingleTxtG"/>
      </w:pPr>
      <w:r w:rsidRPr="005269E5">
        <w:t>30.</w:t>
      </w:r>
      <w:r w:rsidRPr="005269E5">
        <w:tab/>
      </w:r>
      <w:r>
        <w:t>En 2008 se tramitaron</w:t>
      </w:r>
      <w:r w:rsidRPr="005269E5">
        <w:t xml:space="preserve"> 247</w:t>
      </w:r>
      <w:r w:rsidR="000B3925">
        <w:t>.</w:t>
      </w:r>
      <w:r w:rsidRPr="005269E5">
        <w:t xml:space="preserve">325 </w:t>
      </w:r>
      <w:r>
        <w:t>números personales de identificación.</w:t>
      </w:r>
      <w:r w:rsidRPr="005269E5">
        <w:t xml:space="preserve"> </w:t>
      </w:r>
      <w:r w:rsidR="000B3925">
        <w:t>Tras deducir los 91.</w:t>
      </w:r>
      <w:r w:rsidRPr="0096759A">
        <w:t>280 otorgados a ir</w:t>
      </w:r>
      <w:r w:rsidR="000B3925">
        <w:t>landeses, queda un total de 156.</w:t>
      </w:r>
      <w:r w:rsidRPr="0096759A">
        <w:t>045</w:t>
      </w:r>
      <w:r>
        <w:t>,</w:t>
      </w:r>
      <w:r w:rsidRPr="0096759A">
        <w:t xml:space="preserve"> </w:t>
      </w:r>
      <w:r>
        <w:t>asignados a beneficiarios de otros países</w:t>
      </w:r>
      <w:r w:rsidRPr="0096759A">
        <w:t>. En el mismo período de 12 meses en 2007, se co</w:t>
      </w:r>
      <w:r w:rsidR="000B3925">
        <w:t>ncedieron 218.</w:t>
      </w:r>
      <w:r w:rsidRPr="0096759A">
        <w:t xml:space="preserve">051 números </w:t>
      </w:r>
      <w:r>
        <w:t>de identificación a beneficiarios de otros países</w:t>
      </w:r>
      <w:r w:rsidRPr="0096759A">
        <w:t>.</w:t>
      </w:r>
    </w:p>
    <w:p w:rsidR="000100D5" w:rsidRPr="00025D12" w:rsidRDefault="000100D5" w:rsidP="000100D5">
      <w:pPr>
        <w:pStyle w:val="SingleTxtG"/>
      </w:pPr>
      <w:r>
        <w:t>31.</w:t>
      </w:r>
      <w:r>
        <w:tab/>
        <w:t>E</w:t>
      </w:r>
      <w:r w:rsidRPr="005269E5">
        <w:t xml:space="preserve">n </w:t>
      </w:r>
      <w:r>
        <w:t>s</w:t>
      </w:r>
      <w:r w:rsidRPr="005269E5">
        <w:t>ept</w:t>
      </w:r>
      <w:r>
        <w:t>i</w:t>
      </w:r>
      <w:r w:rsidRPr="005269E5">
        <w:t>embr</w:t>
      </w:r>
      <w:r>
        <w:t>e</w:t>
      </w:r>
      <w:r w:rsidRPr="005269E5">
        <w:t xml:space="preserve"> </w:t>
      </w:r>
      <w:r>
        <w:t xml:space="preserve">de </w:t>
      </w:r>
      <w:r w:rsidRPr="005269E5">
        <w:t xml:space="preserve">2009, </w:t>
      </w:r>
      <w:r>
        <w:t xml:space="preserve">se asignaron </w:t>
      </w:r>
      <w:r w:rsidRPr="005269E5">
        <w:t>6</w:t>
      </w:r>
      <w:r>
        <w:t xml:space="preserve"> </w:t>
      </w:r>
      <w:r w:rsidRPr="005269E5">
        <w:t>506 n</w:t>
      </w:r>
      <w:r>
        <w:t>ú</w:t>
      </w:r>
      <w:r w:rsidRPr="005269E5">
        <w:t>mer</w:t>
      </w:r>
      <w:r>
        <w:t>os personales de identificación a beneficiarios de otros países</w:t>
      </w:r>
      <w:r w:rsidRPr="005269E5">
        <w:t xml:space="preserve">. </w:t>
      </w:r>
      <w:r w:rsidRPr="00025D12">
        <w:t>Al cotejar esa cantidad con la cifra de a</w:t>
      </w:r>
      <w:r>
        <w:t>ltas</w:t>
      </w:r>
      <w:r w:rsidRPr="00025D12">
        <w:t xml:space="preserve"> en</w:t>
      </w:r>
      <w:r w:rsidR="005007D6">
        <w:t xml:space="preserve"> </w:t>
      </w:r>
      <w:r w:rsidRPr="00025D12">
        <w:t>septi</w:t>
      </w:r>
      <w:r>
        <w:t>emb</w:t>
      </w:r>
      <w:r w:rsidRPr="00025D12">
        <w:t>r</w:t>
      </w:r>
      <w:r>
        <w:t>e de</w:t>
      </w:r>
      <w:r w:rsidRPr="00025D12">
        <w:t xml:space="preserve"> 2008 (13</w:t>
      </w:r>
      <w:r w:rsidR="000B3925">
        <w:t>.</w:t>
      </w:r>
      <w:r w:rsidRPr="00025D12">
        <w:t xml:space="preserve">843), </w:t>
      </w:r>
      <w:r>
        <w:t>se observa una disminución del</w:t>
      </w:r>
      <w:r w:rsidRPr="00025D12">
        <w:t xml:space="preserve"> 53% </w:t>
      </w:r>
      <w:r>
        <w:t>en comparación con el mismo mes del</w:t>
      </w:r>
      <w:r w:rsidRPr="00025D12">
        <w:t xml:space="preserve"> </w:t>
      </w:r>
      <w:r>
        <w:t>año anterior</w:t>
      </w:r>
      <w:r w:rsidRPr="00025D12">
        <w:t>.</w:t>
      </w:r>
    </w:p>
    <w:p w:rsidR="000100D5" w:rsidRPr="005269E5" w:rsidRDefault="000100D5" w:rsidP="000100D5">
      <w:pPr>
        <w:pStyle w:val="H1G"/>
      </w:pPr>
      <w:r w:rsidRPr="00025D12">
        <w:tab/>
      </w:r>
      <w:r w:rsidRPr="005269E5">
        <w:t>8.</w:t>
      </w:r>
      <w:r w:rsidRPr="005269E5">
        <w:tab/>
      </w:r>
      <w:r>
        <w:t>Constitución de órganos</w:t>
      </w:r>
      <w:r w:rsidRPr="005269E5">
        <w:t xml:space="preserve"> na</w:t>
      </w:r>
      <w:r>
        <w:t>c</w:t>
      </w:r>
      <w:r w:rsidRPr="005269E5">
        <w:t>ionales</w:t>
      </w:r>
    </w:p>
    <w:p w:rsidR="000100D5" w:rsidRPr="007649A1" w:rsidRDefault="000100D5" w:rsidP="000100D5">
      <w:pPr>
        <w:pStyle w:val="H23G"/>
      </w:pPr>
      <w:r w:rsidRPr="005269E5">
        <w:tab/>
      </w:r>
      <w:r w:rsidRPr="005269E5">
        <w:tab/>
      </w:r>
      <w:r w:rsidRPr="007649A1">
        <w:t>Servicio Irlandés de Na</w:t>
      </w:r>
      <w:r>
        <w:t>turali</w:t>
      </w:r>
      <w:r w:rsidRPr="007649A1">
        <w:t>zación e Inmigración</w:t>
      </w:r>
      <w:r w:rsidRPr="005269E5">
        <w:rPr>
          <w:rStyle w:val="FootnoteReference"/>
          <w:b w:val="0"/>
        </w:rPr>
        <w:footnoteReference w:id="19"/>
      </w:r>
    </w:p>
    <w:p w:rsidR="000100D5" w:rsidRPr="005269E5" w:rsidRDefault="000100D5" w:rsidP="000100D5">
      <w:pPr>
        <w:pStyle w:val="SingleTxtG"/>
      </w:pPr>
      <w:r w:rsidRPr="005269E5">
        <w:t>32.</w:t>
      </w:r>
      <w:r w:rsidRPr="005269E5">
        <w:tab/>
      </w:r>
      <w:r>
        <w:t>El Servicio</w:t>
      </w:r>
      <w:r w:rsidRPr="005269E5">
        <w:t xml:space="preserve"> Ir</w:t>
      </w:r>
      <w:r>
        <w:t>landés de</w:t>
      </w:r>
      <w:r w:rsidRPr="005269E5">
        <w:t xml:space="preserve"> Na</w:t>
      </w:r>
      <w:r>
        <w:t>tura</w:t>
      </w:r>
      <w:r w:rsidRPr="005269E5">
        <w:t>li</w:t>
      </w:r>
      <w:r>
        <w:t>z</w:t>
      </w:r>
      <w:r w:rsidRPr="005269E5">
        <w:t>a</w:t>
      </w:r>
      <w:r>
        <w:t>c</w:t>
      </w:r>
      <w:r w:rsidRPr="005269E5">
        <w:t>i</w:t>
      </w:r>
      <w:r>
        <w:t>ó</w:t>
      </w:r>
      <w:r w:rsidRPr="005269E5">
        <w:t xml:space="preserve">n </w:t>
      </w:r>
      <w:r>
        <w:t>e</w:t>
      </w:r>
      <w:r w:rsidRPr="005269E5">
        <w:t xml:space="preserve"> I</w:t>
      </w:r>
      <w:r>
        <w:t>n</w:t>
      </w:r>
      <w:r w:rsidRPr="005269E5">
        <w:t>migra</w:t>
      </w:r>
      <w:r>
        <w:t>c</w:t>
      </w:r>
      <w:r w:rsidRPr="005269E5">
        <w:t>i</w:t>
      </w:r>
      <w:r>
        <w:t>ó</w:t>
      </w:r>
      <w:r w:rsidRPr="005269E5">
        <w:t xml:space="preserve">n </w:t>
      </w:r>
      <w:r>
        <w:t>se creó en</w:t>
      </w:r>
      <w:r w:rsidRPr="005269E5">
        <w:t xml:space="preserve"> </w:t>
      </w:r>
      <w:r>
        <w:t>ab</w:t>
      </w:r>
      <w:r w:rsidRPr="005269E5">
        <w:t xml:space="preserve">ril </w:t>
      </w:r>
      <w:r>
        <w:t xml:space="preserve">de </w:t>
      </w:r>
      <w:r w:rsidRPr="005269E5">
        <w:t>2005</w:t>
      </w:r>
      <w:r>
        <w:t xml:space="preserve">, con objeto de abrir una </w:t>
      </w:r>
      <w:r w:rsidR="00E03EF2">
        <w:t>"</w:t>
      </w:r>
      <w:r>
        <w:t>ventanilla única</w:t>
      </w:r>
      <w:r w:rsidR="00E03EF2">
        <w:t>"</w:t>
      </w:r>
      <w:r w:rsidRPr="005269E5">
        <w:t xml:space="preserve"> </w:t>
      </w:r>
      <w:r>
        <w:t>para tramitar las solicitudes de</w:t>
      </w:r>
      <w:r w:rsidRPr="005269E5">
        <w:t xml:space="preserve"> as</w:t>
      </w:r>
      <w:r>
        <w:t>i</w:t>
      </w:r>
      <w:r w:rsidRPr="005269E5">
        <w:t>l</w:t>
      </w:r>
      <w:r>
        <w:t>o</w:t>
      </w:r>
      <w:r w:rsidRPr="005269E5">
        <w:t>, i</w:t>
      </w:r>
      <w:r>
        <w:t>n</w:t>
      </w:r>
      <w:r w:rsidRPr="005269E5">
        <w:t>migra</w:t>
      </w:r>
      <w:r>
        <w:t>c</w:t>
      </w:r>
      <w:r w:rsidRPr="005269E5">
        <w:t>i</w:t>
      </w:r>
      <w:r>
        <w:t>ó</w:t>
      </w:r>
      <w:r w:rsidRPr="005269E5">
        <w:t xml:space="preserve">n, </w:t>
      </w:r>
      <w:r>
        <w:t>nacionalización y v</w:t>
      </w:r>
      <w:r w:rsidRPr="005269E5">
        <w:t>isa</w:t>
      </w:r>
      <w:r>
        <w:t>do</w:t>
      </w:r>
      <w:r w:rsidRPr="005269E5">
        <w:t>s.</w:t>
      </w:r>
    </w:p>
    <w:p w:rsidR="000100D5" w:rsidRPr="006E68CA" w:rsidRDefault="000100D5" w:rsidP="000100D5">
      <w:pPr>
        <w:pStyle w:val="SingleTxtG"/>
      </w:pPr>
      <w:r w:rsidRPr="005269E5">
        <w:t>33.</w:t>
      </w:r>
      <w:r w:rsidRPr="005269E5">
        <w:tab/>
      </w:r>
      <w:r>
        <w:t>Fue</w:t>
      </w:r>
      <w:r w:rsidRPr="005269E5">
        <w:t xml:space="preserve"> estable</w:t>
      </w:r>
      <w:r>
        <w:t>ci</w:t>
      </w:r>
      <w:r w:rsidRPr="005269E5">
        <w:t>d</w:t>
      </w:r>
      <w:r>
        <w:t>o</w:t>
      </w:r>
      <w:r w:rsidRPr="005269E5">
        <w:t xml:space="preserve"> </w:t>
      </w:r>
      <w:r>
        <w:t>por</w:t>
      </w:r>
      <w:r w:rsidRPr="005269E5">
        <w:t xml:space="preserve"> decisi</w:t>
      </w:r>
      <w:r>
        <w:t>ó</w:t>
      </w:r>
      <w:r w:rsidRPr="005269E5">
        <w:t xml:space="preserve">n </w:t>
      </w:r>
      <w:r>
        <w:t>del Gobierno con carácter</w:t>
      </w:r>
      <w:r w:rsidRPr="005269E5">
        <w:t xml:space="preserve"> </w:t>
      </w:r>
      <w:r>
        <w:t>no oficial</w:t>
      </w:r>
      <w:r w:rsidRPr="005269E5">
        <w:t xml:space="preserve">. </w:t>
      </w:r>
      <w:r w:rsidRPr="006E68CA">
        <w:t>El Servicio Irlandés de Na</w:t>
      </w:r>
      <w:r>
        <w:t>tura</w:t>
      </w:r>
      <w:r w:rsidRPr="006E68CA">
        <w:t>lización e Inmigración es una oficina ejecutiva en el seno del</w:t>
      </w:r>
      <w:r w:rsidR="005007D6">
        <w:t xml:space="preserve"> </w:t>
      </w:r>
      <w:r w:rsidRPr="006E68CA">
        <w:t xml:space="preserve">Departamento de Justicia, Igualdad y Reforma </w:t>
      </w:r>
      <w:r>
        <w:t>Jurídica y ha asumido ahora las funciones de asilo, inmigración y nacionalización de dicho</w:t>
      </w:r>
      <w:r w:rsidRPr="006E68CA">
        <w:t xml:space="preserve"> Depart</w:t>
      </w:r>
      <w:r>
        <w:t>a</w:t>
      </w:r>
      <w:r w:rsidRPr="006E68CA">
        <w:t>ment</w:t>
      </w:r>
      <w:r>
        <w:t>o</w:t>
      </w:r>
      <w:r w:rsidRPr="006E68CA">
        <w:t>.</w:t>
      </w:r>
    </w:p>
    <w:p w:rsidR="000100D5" w:rsidRPr="006E68CA" w:rsidRDefault="000100D5" w:rsidP="000100D5">
      <w:pPr>
        <w:pStyle w:val="H23G"/>
      </w:pPr>
      <w:r w:rsidRPr="006E68CA">
        <w:tab/>
      </w:r>
      <w:r w:rsidRPr="006E68CA">
        <w:tab/>
        <w:t>Oficina del Ministro para la Integración</w:t>
      </w:r>
      <w:r w:rsidRPr="005269E5">
        <w:rPr>
          <w:rStyle w:val="FootnoteReference"/>
          <w:b w:val="0"/>
        </w:rPr>
        <w:footnoteReference w:id="20"/>
      </w:r>
    </w:p>
    <w:p w:rsidR="000100D5" w:rsidRPr="00676843" w:rsidRDefault="000100D5" w:rsidP="000100D5">
      <w:pPr>
        <w:pStyle w:val="SingleTxtG"/>
      </w:pPr>
      <w:r w:rsidRPr="005269E5">
        <w:t>34.</w:t>
      </w:r>
      <w:r w:rsidRPr="005269E5">
        <w:tab/>
      </w:r>
      <w:r>
        <w:t>El</w:t>
      </w:r>
      <w:r w:rsidRPr="005269E5">
        <w:t xml:space="preserve"> Go</w:t>
      </w:r>
      <w:r>
        <w:t>bi</w:t>
      </w:r>
      <w:r w:rsidRPr="005269E5">
        <w:t>ern</w:t>
      </w:r>
      <w:r>
        <w:t>o de Irlanda</w:t>
      </w:r>
      <w:r w:rsidRPr="005269E5">
        <w:t xml:space="preserve"> </w:t>
      </w:r>
      <w:r>
        <w:t>nombró al primer</w:t>
      </w:r>
      <w:r w:rsidRPr="005269E5">
        <w:t xml:space="preserve"> Ministr</w:t>
      </w:r>
      <w:r>
        <w:t>o de</w:t>
      </w:r>
      <w:r w:rsidRPr="005269E5">
        <w:t xml:space="preserve"> </w:t>
      </w:r>
      <w:r>
        <w:t>Es</w:t>
      </w:r>
      <w:r w:rsidRPr="005269E5">
        <w:t>ta</w:t>
      </w:r>
      <w:r>
        <w:t>do para la</w:t>
      </w:r>
      <w:r w:rsidRPr="005269E5">
        <w:t xml:space="preserve"> Integra</w:t>
      </w:r>
      <w:r>
        <w:t>c</w:t>
      </w:r>
      <w:r w:rsidRPr="005269E5">
        <w:t>i</w:t>
      </w:r>
      <w:r>
        <w:t>ó</w:t>
      </w:r>
      <w:r w:rsidRPr="005269E5">
        <w:t xml:space="preserve">n </w:t>
      </w:r>
      <w:r>
        <w:t>en</w:t>
      </w:r>
      <w:r w:rsidRPr="005269E5">
        <w:t xml:space="preserve"> </w:t>
      </w:r>
      <w:r>
        <w:t>j</w:t>
      </w:r>
      <w:r w:rsidRPr="005269E5">
        <w:t>un</w:t>
      </w:r>
      <w:r>
        <w:t>io d</w:t>
      </w:r>
      <w:r w:rsidRPr="005269E5">
        <w:t>e 2007</w:t>
      </w:r>
      <w:r>
        <w:t>, con motivo de la creación de una nueva Oficina del</w:t>
      </w:r>
      <w:r w:rsidRPr="005269E5">
        <w:t xml:space="preserve"> Ministr</w:t>
      </w:r>
      <w:r>
        <w:t>o para la</w:t>
      </w:r>
      <w:r w:rsidRPr="005269E5">
        <w:t xml:space="preserve"> Integra</w:t>
      </w:r>
      <w:r>
        <w:t>c</w:t>
      </w:r>
      <w:r w:rsidRPr="005269E5">
        <w:t>i</w:t>
      </w:r>
      <w:r>
        <w:t>ón</w:t>
      </w:r>
      <w:r w:rsidRPr="005269E5">
        <w:t xml:space="preserve">. </w:t>
      </w:r>
      <w:r w:rsidRPr="008A368E">
        <w:t xml:space="preserve">El Ministro de Estado asume la responsabilidad especial de la política de integración en </w:t>
      </w:r>
      <w:r>
        <w:t>los</w:t>
      </w:r>
      <w:r w:rsidRPr="008A368E">
        <w:t xml:space="preserve"> Departamento</w:t>
      </w:r>
      <w:r>
        <w:t>s</w:t>
      </w:r>
      <w:r w:rsidRPr="008A368E">
        <w:t xml:space="preserve"> de Asuntos Comunit</w:t>
      </w:r>
      <w:r>
        <w:t>ar</w:t>
      </w:r>
      <w:r w:rsidRPr="008A368E">
        <w:t>i</w:t>
      </w:r>
      <w:r>
        <w:t>o</w:t>
      </w:r>
      <w:r w:rsidRPr="008A368E">
        <w:t>s</w:t>
      </w:r>
      <w:r>
        <w:t>, Rurales</w:t>
      </w:r>
      <w:r w:rsidRPr="008A368E">
        <w:t xml:space="preserve"> y de Expresi</w:t>
      </w:r>
      <w:r>
        <w:t>ón</w:t>
      </w:r>
      <w:r w:rsidRPr="008A368E">
        <w:t xml:space="preserve"> Ga</w:t>
      </w:r>
      <w:r>
        <w:t>é</w:t>
      </w:r>
      <w:r w:rsidRPr="008A368E">
        <w:t>l</w:t>
      </w:r>
      <w:r>
        <w:t>ic</w:t>
      </w:r>
      <w:r w:rsidRPr="008A368E">
        <w:t xml:space="preserve">a, </w:t>
      </w:r>
      <w:r>
        <w:t>de</w:t>
      </w:r>
      <w:r w:rsidR="005007D6">
        <w:t xml:space="preserve"> </w:t>
      </w:r>
      <w:r w:rsidRPr="008A368E">
        <w:t>Educa</w:t>
      </w:r>
      <w:r>
        <w:t>c</w:t>
      </w:r>
      <w:r w:rsidRPr="008A368E">
        <w:t>i</w:t>
      </w:r>
      <w:r>
        <w:t>ó</w:t>
      </w:r>
      <w:r w:rsidRPr="008A368E">
        <w:t xml:space="preserve">n </w:t>
      </w:r>
      <w:r>
        <w:t>y</w:t>
      </w:r>
      <w:r w:rsidRPr="008A368E">
        <w:t xml:space="preserve"> </w:t>
      </w:r>
      <w:r>
        <w:t>C</w:t>
      </w:r>
      <w:r w:rsidRPr="008A368E">
        <w:t>ienc</w:t>
      </w:r>
      <w:r>
        <w:t>ia, y de</w:t>
      </w:r>
      <w:r w:rsidRPr="008A368E">
        <w:t xml:space="preserve"> Justic</w:t>
      </w:r>
      <w:r>
        <w:t>ia</w:t>
      </w:r>
      <w:r w:rsidRPr="008A368E">
        <w:t xml:space="preserve">, </w:t>
      </w:r>
      <w:r>
        <w:t>Igualdad y</w:t>
      </w:r>
      <w:r w:rsidRPr="008A368E">
        <w:t xml:space="preserve"> Reform</w:t>
      </w:r>
      <w:r>
        <w:t>a Jurídica</w:t>
      </w:r>
      <w:r w:rsidRPr="008A368E">
        <w:t xml:space="preserve">. </w:t>
      </w:r>
      <w:r w:rsidRPr="00676843">
        <w:t xml:space="preserve">El Ministro </w:t>
      </w:r>
      <w:r w:rsidR="00A01A17">
        <w:t>tiene el</w:t>
      </w:r>
      <w:r w:rsidRPr="00676843">
        <w:t xml:space="preserve"> manda</w:t>
      </w:r>
      <w:r>
        <w:t>t</w:t>
      </w:r>
      <w:r w:rsidRPr="00676843">
        <w:t xml:space="preserve">o </w:t>
      </w:r>
      <w:r w:rsidR="00A01A17">
        <w:t>de</w:t>
      </w:r>
      <w:r>
        <w:t xml:space="preserve"> desarrollar, impulsar</w:t>
      </w:r>
      <w:r w:rsidRPr="00676843">
        <w:t xml:space="preserve"> </w:t>
      </w:r>
      <w:r>
        <w:t>y</w:t>
      </w:r>
      <w:r w:rsidRPr="00676843">
        <w:t xml:space="preserve"> coordina</w:t>
      </w:r>
      <w:r>
        <w:t>r</w:t>
      </w:r>
      <w:r w:rsidRPr="00676843">
        <w:t xml:space="preserve"> </w:t>
      </w:r>
      <w:r>
        <w:t xml:space="preserve">la política de </w:t>
      </w:r>
      <w:r w:rsidRPr="00676843">
        <w:t>integra</w:t>
      </w:r>
      <w:r>
        <w:t>ción</w:t>
      </w:r>
      <w:r w:rsidRPr="00676843">
        <w:t xml:space="preserve"> </w:t>
      </w:r>
      <w:r>
        <w:t>entre los departamentos, organismos y servicios del</w:t>
      </w:r>
      <w:r w:rsidRPr="00676843">
        <w:t xml:space="preserve"> Go</w:t>
      </w:r>
      <w:r>
        <w:t>bi</w:t>
      </w:r>
      <w:r w:rsidRPr="00676843">
        <w:t>ern</w:t>
      </w:r>
      <w:r>
        <w:t>o</w:t>
      </w:r>
      <w:r w:rsidRPr="00676843">
        <w:t>.</w:t>
      </w:r>
    </w:p>
    <w:p w:rsidR="000100D5" w:rsidRPr="007B30D4" w:rsidRDefault="000100D5" w:rsidP="000100D5">
      <w:pPr>
        <w:pStyle w:val="SingleTxtG"/>
      </w:pPr>
      <w:r w:rsidRPr="005269E5">
        <w:t>35.</w:t>
      </w:r>
      <w:r w:rsidRPr="005269E5">
        <w:tab/>
      </w:r>
      <w:r>
        <w:t>El</w:t>
      </w:r>
      <w:r w:rsidRPr="005269E5">
        <w:t xml:space="preserve"> 1</w:t>
      </w:r>
      <w:r>
        <w:t>º</w:t>
      </w:r>
      <w:r w:rsidRPr="005269E5">
        <w:t xml:space="preserve"> </w:t>
      </w:r>
      <w:r>
        <w:t>de m</w:t>
      </w:r>
      <w:r w:rsidRPr="005269E5">
        <w:t>ay</w:t>
      </w:r>
      <w:r>
        <w:t>o de</w:t>
      </w:r>
      <w:r w:rsidRPr="005269E5">
        <w:t xml:space="preserve"> 2008, e</w:t>
      </w:r>
      <w:r>
        <w:t>l</w:t>
      </w:r>
      <w:r w:rsidRPr="005269E5">
        <w:t xml:space="preserve"> en</w:t>
      </w:r>
      <w:r>
        <w:t>tonces</w:t>
      </w:r>
      <w:r w:rsidRPr="005269E5">
        <w:t xml:space="preserve"> Ministr</w:t>
      </w:r>
      <w:r>
        <w:t>o para la</w:t>
      </w:r>
      <w:r w:rsidRPr="005269E5">
        <w:t xml:space="preserve"> Integra</w:t>
      </w:r>
      <w:r>
        <w:t>c</w:t>
      </w:r>
      <w:r w:rsidRPr="005269E5">
        <w:t>i</w:t>
      </w:r>
      <w:r>
        <w:t>ó</w:t>
      </w:r>
      <w:r w:rsidRPr="005269E5">
        <w:t xml:space="preserve">n </w:t>
      </w:r>
      <w:r>
        <w:t xml:space="preserve">hizo </w:t>
      </w:r>
      <w:r w:rsidRPr="005269E5">
        <w:t>p</w:t>
      </w:r>
      <w:r>
        <w:t>ú</w:t>
      </w:r>
      <w:r w:rsidRPr="005269E5">
        <w:t>bli</w:t>
      </w:r>
      <w:r>
        <w:t>ca</w:t>
      </w:r>
      <w:r w:rsidRPr="005269E5">
        <w:t xml:space="preserve"> </w:t>
      </w:r>
      <w:r>
        <w:t>un</w:t>
      </w:r>
      <w:r w:rsidRPr="005269E5">
        <w:t xml:space="preserve">a </w:t>
      </w:r>
      <w:r>
        <w:t>declaración sobre la política de</w:t>
      </w:r>
      <w:r w:rsidRPr="005269E5">
        <w:t xml:space="preserve"> integra</w:t>
      </w:r>
      <w:r>
        <w:t>c</w:t>
      </w:r>
      <w:r w:rsidRPr="005269E5">
        <w:t>i</w:t>
      </w:r>
      <w:r>
        <w:t>ó</w:t>
      </w:r>
      <w:r w:rsidRPr="005269E5">
        <w:t>n</w:t>
      </w:r>
      <w:r>
        <w:t>, titulada</w:t>
      </w:r>
      <w:r w:rsidRPr="005269E5">
        <w:t xml:space="preserve"> </w:t>
      </w:r>
      <w:r w:rsidR="00E03EF2">
        <w:t>"</w:t>
      </w:r>
      <w:r w:rsidRPr="005269E5">
        <w:rPr>
          <w:i/>
        </w:rPr>
        <w:t>Migration Nation: Statement on Integration Strategy and Diversity Management</w:t>
      </w:r>
      <w:r w:rsidRPr="005269E5">
        <w:rPr>
          <w:rStyle w:val="FootnoteReference"/>
        </w:rPr>
        <w:footnoteReference w:id="21"/>
      </w:r>
      <w:r w:rsidR="001F5C61" w:rsidRPr="001F5C61">
        <w:t>"</w:t>
      </w:r>
      <w:r>
        <w:t xml:space="preserve"> (Nación de migración: Declaración sobre la estrategia de integración y gestión de la diversidad).</w:t>
      </w:r>
      <w:r w:rsidRPr="005269E5">
        <w:t xml:space="preserve"> </w:t>
      </w:r>
      <w:r w:rsidRPr="00A52621">
        <w:t>En ese documento se reconoce que el</w:t>
      </w:r>
      <w:r w:rsidR="005007D6">
        <w:t xml:space="preserve"> </w:t>
      </w:r>
      <w:r w:rsidRPr="00A52621">
        <w:t xml:space="preserve">Gobierno y la sociedad irlandesa han de afrontar el </w:t>
      </w:r>
      <w:r w:rsidR="00A01A17">
        <w:t>reto fundamental</w:t>
      </w:r>
      <w:r w:rsidRPr="00A52621">
        <w:t xml:space="preserve"> de integrar a las pe</w:t>
      </w:r>
      <w:r>
        <w:t>r</w:t>
      </w:r>
      <w:r w:rsidRPr="00A52621">
        <w:t>sonas de</w:t>
      </w:r>
      <w:r w:rsidR="005007D6">
        <w:t xml:space="preserve"> </w:t>
      </w:r>
      <w:r w:rsidRPr="00A52621">
        <w:t>diferentes cultur</w:t>
      </w:r>
      <w:r>
        <w:t>a</w:t>
      </w:r>
      <w:r w:rsidRPr="00A52621">
        <w:t xml:space="preserve">s, </w:t>
      </w:r>
      <w:r>
        <w:t>origen ét</w:t>
      </w:r>
      <w:r w:rsidRPr="00A52621">
        <w:t>nic</w:t>
      </w:r>
      <w:r>
        <w:t>o</w:t>
      </w:r>
      <w:r w:rsidRPr="00A52621">
        <w:t xml:space="preserve">, </w:t>
      </w:r>
      <w:r>
        <w:t>idioma y</w:t>
      </w:r>
      <w:r w:rsidRPr="00A52621">
        <w:t xml:space="preserve"> religi</w:t>
      </w:r>
      <w:r>
        <w:t>ó</w:t>
      </w:r>
      <w:r w:rsidRPr="00A52621">
        <w:t>n</w:t>
      </w:r>
      <w:r>
        <w:t>, a fin de que puedan convertirse en los nuevos ciudadanos</w:t>
      </w:r>
      <w:r w:rsidRPr="00A52621">
        <w:t xml:space="preserve"> </w:t>
      </w:r>
      <w:r>
        <w:t>i</w:t>
      </w:r>
      <w:r w:rsidRPr="00A52621">
        <w:t>r</w:t>
      </w:r>
      <w:r>
        <w:t>landeses del siglo XXI</w:t>
      </w:r>
      <w:r w:rsidRPr="00A52621">
        <w:t xml:space="preserve">. </w:t>
      </w:r>
      <w:r>
        <w:t>El eje de l</w:t>
      </w:r>
      <w:r w:rsidRPr="00A52621">
        <w:t xml:space="preserve">a nueva política de integración </w:t>
      </w:r>
      <w:r>
        <w:t>gira en torno al</w:t>
      </w:r>
      <w:r w:rsidRPr="00A52621">
        <w:t xml:space="preserve"> papel de las autoridades locales, organismos deportivos, confesiones religiosas</w:t>
      </w:r>
      <w:r>
        <w:t xml:space="preserve"> y partidos</w:t>
      </w:r>
      <w:r w:rsidRPr="00A52621">
        <w:t xml:space="preserve"> pol</w:t>
      </w:r>
      <w:r>
        <w:t>í</w:t>
      </w:r>
      <w:r w:rsidRPr="00A52621">
        <w:t>tic</w:t>
      </w:r>
      <w:r>
        <w:t>os,</w:t>
      </w:r>
      <w:r w:rsidRPr="00A52621">
        <w:t xml:space="preserve"> </w:t>
      </w:r>
      <w:r>
        <w:t>con miras a crear</w:t>
      </w:r>
      <w:r w:rsidRPr="00A52621">
        <w:t xml:space="preserve"> comuni</w:t>
      </w:r>
      <w:r>
        <w:t>dades integradas</w:t>
      </w:r>
      <w:r w:rsidRPr="00A52621">
        <w:t xml:space="preserve"> </w:t>
      </w:r>
      <w:r>
        <w:t>y su objetivo estriba en obtener financiación para esos sectores</w:t>
      </w:r>
      <w:r w:rsidRPr="00A52621">
        <w:t xml:space="preserve">. </w:t>
      </w:r>
      <w:r w:rsidRPr="007B30D4">
        <w:t xml:space="preserve">La declaración establece los principios clave que configurarán y </w:t>
      </w:r>
      <w:r>
        <w:t>sustentarán la política estatal en materia de</w:t>
      </w:r>
      <w:r w:rsidRPr="007B30D4">
        <w:t xml:space="preserve"> integra</w:t>
      </w:r>
      <w:r>
        <w:t>c</w:t>
      </w:r>
      <w:r w:rsidRPr="007B30D4">
        <w:t>i</w:t>
      </w:r>
      <w:r>
        <w:t>ó</w:t>
      </w:r>
      <w:r w:rsidRPr="007B30D4">
        <w:t>n.</w:t>
      </w:r>
    </w:p>
    <w:p w:rsidR="000100D5" w:rsidRPr="005269E5" w:rsidRDefault="000100D5" w:rsidP="000100D5">
      <w:pPr>
        <w:pStyle w:val="SingleTxtG"/>
      </w:pPr>
      <w:r w:rsidRPr="005269E5">
        <w:t>36.</w:t>
      </w:r>
      <w:r w:rsidRPr="005269E5">
        <w:tab/>
      </w:r>
      <w:r>
        <w:t>Esos principios clave son los siguientes</w:t>
      </w:r>
      <w:r w:rsidRPr="005269E5">
        <w:t>:</w:t>
      </w:r>
    </w:p>
    <w:p w:rsidR="000100D5" w:rsidRPr="007B30D4" w:rsidRDefault="000100D5" w:rsidP="00355D3C">
      <w:pPr>
        <w:pStyle w:val="Bullet1G"/>
      </w:pPr>
      <w:r w:rsidRPr="007B30D4">
        <w:t xml:space="preserve">Un enfoque basado en la </w:t>
      </w:r>
      <w:r>
        <w:t>colabor</w:t>
      </w:r>
      <w:r w:rsidRPr="007B30D4">
        <w:t xml:space="preserve">ación </w:t>
      </w:r>
      <w:r>
        <w:t>d</w:t>
      </w:r>
      <w:r w:rsidRPr="007B30D4">
        <w:t>el Gobierno y las organizaciones no gubernamentales, así</w:t>
      </w:r>
      <w:r>
        <w:t xml:space="preserve"> como los órganos de la sociedad</w:t>
      </w:r>
      <w:r w:rsidRPr="007B30D4">
        <w:t xml:space="preserve"> civil</w:t>
      </w:r>
      <w:r>
        <w:t>,</w:t>
      </w:r>
      <w:r w:rsidRPr="007B30D4">
        <w:t xml:space="preserve"> </w:t>
      </w:r>
      <w:r>
        <w:t>a fin de potenciar y promover las</w:t>
      </w:r>
      <w:r w:rsidRPr="007B30D4">
        <w:t xml:space="preserve"> oportuni</w:t>
      </w:r>
      <w:r>
        <w:t>dad</w:t>
      </w:r>
      <w:r w:rsidRPr="007B30D4">
        <w:t xml:space="preserve">es </w:t>
      </w:r>
      <w:r>
        <w:t>de</w:t>
      </w:r>
      <w:r w:rsidRPr="007B30D4">
        <w:t xml:space="preserve"> integra</w:t>
      </w:r>
      <w:r>
        <w:t>c</w:t>
      </w:r>
      <w:r w:rsidRPr="007B30D4">
        <w:t>i</w:t>
      </w:r>
      <w:r>
        <w:t>ó</w:t>
      </w:r>
      <w:r w:rsidRPr="007B30D4">
        <w:t>n</w:t>
      </w:r>
      <w:r>
        <w:t>;</w:t>
      </w:r>
    </w:p>
    <w:p w:rsidR="000100D5" w:rsidRPr="00355D3C" w:rsidRDefault="000100D5" w:rsidP="00355D3C">
      <w:pPr>
        <w:pStyle w:val="Bullet1G"/>
      </w:pPr>
      <w:r w:rsidRPr="00355D3C">
        <w:t>Un fuerte vínculo entre la política de integración y unas medidas, estrategias e iniciativas estatales más amplias de inclusión social;</w:t>
      </w:r>
    </w:p>
    <w:p w:rsidR="000100D5" w:rsidRPr="00355D3C" w:rsidRDefault="000100D5" w:rsidP="00355D3C">
      <w:pPr>
        <w:pStyle w:val="Bullet1G"/>
      </w:pPr>
      <w:r w:rsidRPr="00355D3C">
        <w:t>Una clara orientación de las políticas públicas que evite la aparición de sociedades</w:t>
      </w:r>
      <w:r w:rsidR="005007D6" w:rsidRPr="00355D3C">
        <w:t xml:space="preserve"> </w:t>
      </w:r>
      <w:r w:rsidRPr="00355D3C">
        <w:t>y comunidades paralelas y guetos urbanos, es decir, un enfoque integrador de la prestación de servicios a los migrantes;</w:t>
      </w:r>
    </w:p>
    <w:p w:rsidR="000100D5" w:rsidRPr="00A14E70" w:rsidRDefault="000100D5" w:rsidP="00355D3C">
      <w:pPr>
        <w:pStyle w:val="Bullet1G"/>
      </w:pPr>
      <w:r w:rsidRPr="00355D3C">
        <w:t>El</w:t>
      </w:r>
      <w:r w:rsidRPr="00A14E70">
        <w:t xml:space="preserve"> compromiso de adoptar mecanismos locales eficaces de prestación de servicios a los migrantes </w:t>
      </w:r>
      <w:r>
        <w:t>que los equiparen a los de las comunidades irlandesas.</w:t>
      </w:r>
    </w:p>
    <w:p w:rsidR="000100D5" w:rsidRPr="00A14E70" w:rsidRDefault="000100D5" w:rsidP="000100D5">
      <w:pPr>
        <w:pStyle w:val="H23G"/>
      </w:pPr>
      <w:r w:rsidRPr="00A14E70">
        <w:tab/>
      </w:r>
      <w:r w:rsidRPr="00A14E70">
        <w:tab/>
      </w:r>
      <w:r>
        <w:t>Dependencia de Lucha contra la Trata de Personas,</w:t>
      </w:r>
      <w:r w:rsidRPr="00A14E70">
        <w:t xml:space="preserve"> Departament</w:t>
      </w:r>
      <w:r>
        <w:t>o</w:t>
      </w:r>
      <w:r w:rsidRPr="00A14E70">
        <w:t xml:space="preserve"> </w:t>
      </w:r>
      <w:r>
        <w:t xml:space="preserve">de </w:t>
      </w:r>
      <w:r w:rsidRPr="00A14E70">
        <w:t>Justic</w:t>
      </w:r>
      <w:r>
        <w:t>ia</w:t>
      </w:r>
      <w:r w:rsidRPr="00A14E70">
        <w:t xml:space="preserve">, </w:t>
      </w:r>
      <w:r>
        <w:t>Igualdad y Reforma Jurídica</w:t>
      </w:r>
      <w:r w:rsidRPr="005269E5">
        <w:rPr>
          <w:rStyle w:val="FootnoteReference"/>
          <w:b w:val="0"/>
        </w:rPr>
        <w:footnoteReference w:id="22"/>
      </w:r>
    </w:p>
    <w:p w:rsidR="000100D5" w:rsidRPr="007D1274" w:rsidRDefault="000100D5" w:rsidP="000100D5">
      <w:pPr>
        <w:pStyle w:val="SingleTxtG"/>
        <w:rPr>
          <w:bCs/>
        </w:rPr>
      </w:pPr>
      <w:r w:rsidRPr="005269E5">
        <w:t>37.</w:t>
      </w:r>
      <w:r w:rsidRPr="005269E5">
        <w:rPr>
          <w:bCs/>
        </w:rPr>
        <w:tab/>
      </w:r>
      <w:r>
        <w:rPr>
          <w:bCs/>
        </w:rPr>
        <w:t>En el Departamento de Justicia, Igualdad y Reforma Jurídica se ha establecido una Dependencia de Lucha contra la Trata de Personas, gestionada por un Director Ejecutivo</w:t>
      </w:r>
      <w:r w:rsidRPr="005269E5">
        <w:rPr>
          <w:bCs/>
        </w:rPr>
        <w:t xml:space="preserve">. </w:t>
      </w:r>
      <w:r w:rsidRPr="007D1274">
        <w:rPr>
          <w:bCs/>
        </w:rPr>
        <w:t>La función de la Dependencia estriba en garantizar que la respuesta del Estado ante la trata de personas sea ef</w:t>
      </w:r>
      <w:r>
        <w:rPr>
          <w:bCs/>
        </w:rPr>
        <w:t>i</w:t>
      </w:r>
      <w:r w:rsidRPr="007D1274">
        <w:rPr>
          <w:bCs/>
        </w:rPr>
        <w:t>c</w:t>
      </w:r>
      <w:r>
        <w:rPr>
          <w:bCs/>
        </w:rPr>
        <w:t>az y</w:t>
      </w:r>
      <w:r w:rsidRPr="007D1274">
        <w:rPr>
          <w:bCs/>
        </w:rPr>
        <w:t xml:space="preserve"> propor</w:t>
      </w:r>
      <w:r>
        <w:rPr>
          <w:bCs/>
        </w:rPr>
        <w:t>c</w:t>
      </w:r>
      <w:r w:rsidRPr="007D1274">
        <w:rPr>
          <w:bCs/>
        </w:rPr>
        <w:t>iona</w:t>
      </w:r>
      <w:r>
        <w:rPr>
          <w:bCs/>
        </w:rPr>
        <w:t>da a la escala y el alcance del</w:t>
      </w:r>
      <w:r w:rsidRPr="007D1274">
        <w:rPr>
          <w:bCs/>
        </w:rPr>
        <w:t xml:space="preserve"> problem</w:t>
      </w:r>
      <w:r>
        <w:rPr>
          <w:bCs/>
        </w:rPr>
        <w:t>a</w:t>
      </w:r>
      <w:r w:rsidRPr="007D1274">
        <w:rPr>
          <w:bCs/>
        </w:rPr>
        <w:t xml:space="preserve"> </w:t>
      </w:r>
      <w:r>
        <w:rPr>
          <w:bCs/>
        </w:rPr>
        <w:t>e</w:t>
      </w:r>
      <w:r w:rsidRPr="007D1274">
        <w:rPr>
          <w:bCs/>
        </w:rPr>
        <w:t>n Irland</w:t>
      </w:r>
      <w:r>
        <w:rPr>
          <w:bCs/>
        </w:rPr>
        <w:t>a</w:t>
      </w:r>
      <w:r w:rsidRPr="007D1274">
        <w:rPr>
          <w:bCs/>
        </w:rPr>
        <w:t>. Sobre ella recae la responsabilidad fundamental de coordinar las políticas y la actuación de las organizaciones gubernamental</w:t>
      </w:r>
      <w:r>
        <w:rPr>
          <w:bCs/>
        </w:rPr>
        <w:t>es y</w:t>
      </w:r>
      <w:r w:rsidRPr="007D1274">
        <w:rPr>
          <w:bCs/>
        </w:rPr>
        <w:t xml:space="preserve"> no</w:t>
      </w:r>
      <w:r>
        <w:rPr>
          <w:bCs/>
        </w:rPr>
        <w:t xml:space="preserve"> </w:t>
      </w:r>
      <w:r w:rsidRPr="007D1274">
        <w:rPr>
          <w:bCs/>
        </w:rPr>
        <w:t>g</w:t>
      </w:r>
      <w:r>
        <w:rPr>
          <w:bCs/>
        </w:rPr>
        <w:t>ub</w:t>
      </w:r>
      <w:r w:rsidRPr="007D1274">
        <w:rPr>
          <w:bCs/>
        </w:rPr>
        <w:t>ern</w:t>
      </w:r>
      <w:r>
        <w:rPr>
          <w:bCs/>
        </w:rPr>
        <w:t>a</w:t>
      </w:r>
      <w:r w:rsidRPr="007D1274">
        <w:rPr>
          <w:bCs/>
        </w:rPr>
        <w:t>mental</w:t>
      </w:r>
      <w:r>
        <w:rPr>
          <w:bCs/>
        </w:rPr>
        <w:t>es, a fin de</w:t>
      </w:r>
      <w:r w:rsidRPr="007D1274">
        <w:rPr>
          <w:bCs/>
        </w:rPr>
        <w:t xml:space="preserve"> </w:t>
      </w:r>
      <w:r>
        <w:rPr>
          <w:bCs/>
        </w:rPr>
        <w:t xml:space="preserve">potenciar al </w:t>
      </w:r>
      <w:r w:rsidRPr="007D1274">
        <w:rPr>
          <w:bCs/>
        </w:rPr>
        <w:t>m</w:t>
      </w:r>
      <w:r>
        <w:rPr>
          <w:bCs/>
        </w:rPr>
        <w:t>á</w:t>
      </w:r>
      <w:r w:rsidRPr="007D1274">
        <w:rPr>
          <w:bCs/>
        </w:rPr>
        <w:t>xim</w:t>
      </w:r>
      <w:r>
        <w:rPr>
          <w:bCs/>
        </w:rPr>
        <w:t>o la eficiencia de las iniciativas</w:t>
      </w:r>
      <w:r w:rsidRPr="007D1274">
        <w:rPr>
          <w:bCs/>
        </w:rPr>
        <w:t xml:space="preserve"> na</w:t>
      </w:r>
      <w:r>
        <w:rPr>
          <w:bCs/>
        </w:rPr>
        <w:t>c</w:t>
      </w:r>
      <w:r w:rsidRPr="007D1274">
        <w:rPr>
          <w:bCs/>
        </w:rPr>
        <w:t>ional</w:t>
      </w:r>
      <w:r>
        <w:rPr>
          <w:bCs/>
        </w:rPr>
        <w:t>es e</w:t>
      </w:r>
      <w:r w:rsidRPr="007D1274">
        <w:rPr>
          <w:bCs/>
        </w:rPr>
        <w:t xml:space="preserve"> interna</w:t>
      </w:r>
      <w:r>
        <w:rPr>
          <w:bCs/>
        </w:rPr>
        <w:t>c</w:t>
      </w:r>
      <w:r w:rsidRPr="007D1274">
        <w:rPr>
          <w:bCs/>
        </w:rPr>
        <w:t>ional</w:t>
      </w:r>
      <w:r>
        <w:rPr>
          <w:bCs/>
        </w:rPr>
        <w:t>es</w:t>
      </w:r>
      <w:r w:rsidRPr="007D1274">
        <w:rPr>
          <w:bCs/>
        </w:rPr>
        <w:t>. Además de prestar apoyo a las partes interesadas y fomentar la cooperación entre las diversas organizaciones gubernamentales y no gubernamentales que combaten la trata de personas, la Dependencia desempeñar</w:t>
      </w:r>
      <w:r>
        <w:rPr>
          <w:bCs/>
        </w:rPr>
        <w:t>á así mismo un papel protagonista en la recopilación y análisis de los datos relativos a casos</w:t>
      </w:r>
      <w:r w:rsidRPr="007D1274">
        <w:rPr>
          <w:bCs/>
        </w:rPr>
        <w:t xml:space="preserve"> poten</w:t>
      </w:r>
      <w:r>
        <w:rPr>
          <w:bCs/>
        </w:rPr>
        <w:t>c</w:t>
      </w:r>
      <w:r w:rsidRPr="007D1274">
        <w:rPr>
          <w:bCs/>
        </w:rPr>
        <w:t>ial</w:t>
      </w:r>
      <w:r>
        <w:rPr>
          <w:bCs/>
        </w:rPr>
        <w:t>es</w:t>
      </w:r>
      <w:r w:rsidRPr="007D1274">
        <w:rPr>
          <w:bCs/>
        </w:rPr>
        <w:t>, s</w:t>
      </w:r>
      <w:r>
        <w:rPr>
          <w:bCs/>
        </w:rPr>
        <w:t>os</w:t>
      </w:r>
      <w:r w:rsidRPr="007D1274">
        <w:rPr>
          <w:bCs/>
        </w:rPr>
        <w:t>pec</w:t>
      </w:r>
      <w:r>
        <w:rPr>
          <w:bCs/>
        </w:rPr>
        <w:t>hosos y confirmados de trata de personas</w:t>
      </w:r>
      <w:r w:rsidRPr="007D1274">
        <w:rPr>
          <w:bCs/>
        </w:rPr>
        <w:t xml:space="preserve">. </w:t>
      </w:r>
    </w:p>
    <w:p w:rsidR="000100D5" w:rsidRPr="003851CC" w:rsidRDefault="000100D5" w:rsidP="000100D5">
      <w:pPr>
        <w:pStyle w:val="SingleTxtG"/>
      </w:pPr>
      <w:r>
        <w:t>38.</w:t>
      </w:r>
      <w:r>
        <w:tab/>
        <w:t>En junio de</w:t>
      </w:r>
      <w:r w:rsidRPr="005269E5">
        <w:t xml:space="preserve"> 2009, </w:t>
      </w:r>
      <w:r>
        <w:t>el</w:t>
      </w:r>
      <w:r w:rsidRPr="005269E5">
        <w:t xml:space="preserve"> Ministr</w:t>
      </w:r>
      <w:r>
        <w:t>o de</w:t>
      </w:r>
      <w:r w:rsidRPr="005269E5">
        <w:t xml:space="preserve"> Justic</w:t>
      </w:r>
      <w:r>
        <w:t>ia</w:t>
      </w:r>
      <w:r w:rsidRPr="005269E5">
        <w:t xml:space="preserve">, </w:t>
      </w:r>
      <w:r>
        <w:t>Ig</w:t>
      </w:r>
      <w:r w:rsidRPr="005269E5">
        <w:t>ual</w:t>
      </w:r>
      <w:r>
        <w:t>dad y</w:t>
      </w:r>
      <w:r w:rsidRPr="005269E5">
        <w:t xml:space="preserve"> Reform</w:t>
      </w:r>
      <w:r>
        <w:t>a Jurídica</w:t>
      </w:r>
      <w:r w:rsidRPr="005269E5">
        <w:t xml:space="preserve"> publi</w:t>
      </w:r>
      <w:r>
        <w:t>có un</w:t>
      </w:r>
      <w:r w:rsidR="005007D6">
        <w:t xml:space="preserve"> </w:t>
      </w:r>
      <w:r>
        <w:t xml:space="preserve">Plan de Acción </w:t>
      </w:r>
      <w:r w:rsidRPr="005269E5">
        <w:t>Na</w:t>
      </w:r>
      <w:r>
        <w:t>c</w:t>
      </w:r>
      <w:r w:rsidRPr="005269E5">
        <w:t>ional</w:t>
      </w:r>
      <w:r>
        <w:t xml:space="preserve"> destinado a</w:t>
      </w:r>
      <w:r w:rsidRPr="005269E5">
        <w:t xml:space="preserve"> </w:t>
      </w:r>
      <w:r>
        <w:t>p</w:t>
      </w:r>
      <w:r w:rsidRPr="005269E5">
        <w:t>reven</w:t>
      </w:r>
      <w:r>
        <w:t>ir y</w:t>
      </w:r>
      <w:r w:rsidRPr="005269E5">
        <w:t xml:space="preserve"> </w:t>
      </w:r>
      <w:r>
        <w:t>combatir la trata de personas en</w:t>
      </w:r>
      <w:r w:rsidRPr="005269E5">
        <w:t xml:space="preserve"> Irland</w:t>
      </w:r>
      <w:r>
        <w:t>a</w:t>
      </w:r>
      <w:r w:rsidRPr="005269E5">
        <w:t xml:space="preserve"> (2009</w:t>
      </w:r>
      <w:r w:rsidR="00067DCF">
        <w:t>-</w:t>
      </w:r>
      <w:r w:rsidRPr="005269E5">
        <w:t>2012)</w:t>
      </w:r>
      <w:r>
        <w:t>,</w:t>
      </w:r>
      <w:r w:rsidRPr="005269E5">
        <w:t xml:space="preserve"> </w:t>
      </w:r>
      <w:r>
        <w:t>que contiene un proyecto para la respuesta del Es</w:t>
      </w:r>
      <w:r w:rsidRPr="005269E5">
        <w:t>ta</w:t>
      </w:r>
      <w:r>
        <w:t>do a la trata de personas</w:t>
      </w:r>
      <w:r w:rsidRPr="005269E5">
        <w:t xml:space="preserve">. </w:t>
      </w:r>
      <w:r w:rsidRPr="003851CC">
        <w:t xml:space="preserve">El Plan establece las políticas y las estructuras que Irlanda necesita para luchar contra </w:t>
      </w:r>
      <w:r>
        <w:t>es</w:t>
      </w:r>
      <w:r w:rsidRPr="003851CC">
        <w:t xml:space="preserve">a </w:t>
      </w:r>
      <w:r>
        <w:t>lacra</w:t>
      </w:r>
      <w:r w:rsidRPr="003851CC">
        <w:t xml:space="preserve"> </w:t>
      </w:r>
      <w:r>
        <w:t>por lo que hace a la</w:t>
      </w:r>
      <w:r w:rsidRPr="003851CC">
        <w:t xml:space="preserve"> preven</w:t>
      </w:r>
      <w:r>
        <w:t>c</w:t>
      </w:r>
      <w:r w:rsidRPr="003851CC">
        <w:t>i</w:t>
      </w:r>
      <w:r>
        <w:t>ó</w:t>
      </w:r>
      <w:r w:rsidRPr="003851CC">
        <w:t xml:space="preserve">n, </w:t>
      </w:r>
      <w:r>
        <w:t xml:space="preserve">la </w:t>
      </w:r>
      <w:r w:rsidRPr="003851CC">
        <w:t>protec</w:t>
      </w:r>
      <w:r>
        <w:t>c</w:t>
      </w:r>
      <w:r w:rsidRPr="003851CC">
        <w:t>i</w:t>
      </w:r>
      <w:r>
        <w:t>ó</w:t>
      </w:r>
      <w:r w:rsidRPr="003851CC">
        <w:t xml:space="preserve">n </w:t>
      </w:r>
      <w:r>
        <w:t>de las</w:t>
      </w:r>
      <w:r w:rsidRPr="003851CC">
        <w:t xml:space="preserve"> v</w:t>
      </w:r>
      <w:r>
        <w:t>í</w:t>
      </w:r>
      <w:r w:rsidRPr="003851CC">
        <w:t>ctim</w:t>
      </w:r>
      <w:r>
        <w:t>a</w:t>
      </w:r>
      <w:r w:rsidRPr="003851CC">
        <w:t xml:space="preserve">s </w:t>
      </w:r>
      <w:r>
        <w:t>y el enjuiciamiento de los</w:t>
      </w:r>
      <w:r w:rsidRPr="003851CC">
        <w:t xml:space="preserve"> trafic</w:t>
      </w:r>
      <w:r>
        <w:t>ante</w:t>
      </w:r>
      <w:r w:rsidRPr="003851CC">
        <w:t xml:space="preserve">s. También se hace especial hincapié en </w:t>
      </w:r>
      <w:r>
        <w:t xml:space="preserve">el Plan en </w:t>
      </w:r>
      <w:r w:rsidRPr="003851CC">
        <w:t>combat</w:t>
      </w:r>
      <w:r>
        <w:t>i</w:t>
      </w:r>
      <w:r w:rsidRPr="003851CC">
        <w:t>r la trata de niños.</w:t>
      </w:r>
    </w:p>
    <w:p w:rsidR="000100D5" w:rsidRPr="00637396" w:rsidRDefault="000100D5" w:rsidP="000100D5">
      <w:pPr>
        <w:pStyle w:val="SingleTxtG"/>
      </w:pPr>
      <w:r w:rsidRPr="005269E5">
        <w:t>39.</w:t>
      </w:r>
      <w:r w:rsidRPr="005269E5">
        <w:tab/>
      </w:r>
      <w:r w:rsidR="00C67360">
        <w:t>"</w:t>
      </w:r>
      <w:r w:rsidRPr="005269E5">
        <w:t>Blue Blindfold</w:t>
      </w:r>
      <w:r w:rsidR="00C67360">
        <w:t>"</w:t>
      </w:r>
      <w:r w:rsidRPr="005269E5">
        <w:t xml:space="preserve"> </w:t>
      </w:r>
      <w:r>
        <w:t>(Venda azul para los ojos) es el nombre de la campaña desarrollada por el Centro del Reino Unido contra la Trata de Seres Humanos</w:t>
      </w:r>
      <w:r w:rsidRPr="005269E5">
        <w:t xml:space="preserve"> dur</w:t>
      </w:r>
      <w:r>
        <w:t>a</w:t>
      </w:r>
      <w:r w:rsidRPr="005269E5">
        <w:t>n</w:t>
      </w:r>
      <w:r>
        <w:t xml:space="preserve">te la </w:t>
      </w:r>
      <w:r w:rsidRPr="005269E5">
        <w:t>Opera</w:t>
      </w:r>
      <w:r>
        <w:t>c</w:t>
      </w:r>
      <w:r w:rsidRPr="005269E5">
        <w:t>i</w:t>
      </w:r>
      <w:r>
        <w:t>ó</w:t>
      </w:r>
      <w:r w:rsidRPr="005269E5">
        <w:t xml:space="preserve">n Pentameter. </w:t>
      </w:r>
      <w:r w:rsidRPr="00401BC0">
        <w:t xml:space="preserve">La campaña de sensibilización irlandesa </w:t>
      </w:r>
      <w:r w:rsidR="00C67360">
        <w:t>"</w:t>
      </w:r>
      <w:r w:rsidRPr="00401BC0">
        <w:t>Blue Blindfold</w:t>
      </w:r>
      <w:r w:rsidR="00C67360">
        <w:t>"</w:t>
      </w:r>
      <w:r w:rsidRPr="00401BC0">
        <w:t xml:space="preserve"> fue lanzada por el Comisionado de </w:t>
      </w:r>
      <w:r>
        <w:t xml:space="preserve">la </w:t>
      </w:r>
      <w:r w:rsidRPr="00401BC0">
        <w:t>An Garda Síochána (</w:t>
      </w:r>
      <w:r>
        <w:t>p</w:t>
      </w:r>
      <w:r w:rsidRPr="00401BC0">
        <w:t>olic</w:t>
      </w:r>
      <w:r>
        <w:t>ía irlandesa</w:t>
      </w:r>
      <w:r w:rsidRPr="00401BC0">
        <w:t xml:space="preserve">) </w:t>
      </w:r>
      <w:r>
        <w:t>el</w:t>
      </w:r>
      <w:r w:rsidRPr="00401BC0">
        <w:t xml:space="preserve"> 21 </w:t>
      </w:r>
      <w:r>
        <w:t>de o</w:t>
      </w:r>
      <w:r w:rsidRPr="00401BC0">
        <w:t>ct</w:t>
      </w:r>
      <w:r>
        <w:t>u</w:t>
      </w:r>
      <w:r w:rsidRPr="00401BC0">
        <w:t>br</w:t>
      </w:r>
      <w:r>
        <w:t>e de</w:t>
      </w:r>
      <w:r w:rsidRPr="00401BC0">
        <w:t xml:space="preserve"> 2008</w:t>
      </w:r>
      <w:r>
        <w:t>, con una duración de</w:t>
      </w:r>
      <w:r w:rsidRPr="00401BC0">
        <w:t xml:space="preserve"> tre</w:t>
      </w:r>
      <w:r>
        <w:t>s</w:t>
      </w:r>
      <w:r w:rsidRPr="00401BC0">
        <w:t xml:space="preserve"> </w:t>
      </w:r>
      <w:r>
        <w:t>semanas</w:t>
      </w:r>
      <w:r w:rsidRPr="00401BC0">
        <w:t xml:space="preserve">. </w:t>
      </w:r>
      <w:r w:rsidRPr="00E53553">
        <w:t xml:space="preserve">Se diseñó con la finalidad de que </w:t>
      </w:r>
      <w:r>
        <w:t xml:space="preserve">la opinión pública y </w:t>
      </w:r>
      <w:r w:rsidRPr="00E53553">
        <w:t xml:space="preserve">los organismos </w:t>
      </w:r>
      <w:r>
        <w:t>encargados de velar por el cumplimiento de la ley</w:t>
      </w:r>
      <w:r w:rsidRPr="00E53553">
        <w:t xml:space="preserve"> cobraran conciencia del problema de la trata de personas</w:t>
      </w:r>
      <w:r>
        <w:t xml:space="preserve"> y de desincentivar la demanda de los</w:t>
      </w:r>
      <w:r w:rsidRPr="00E53553">
        <w:t xml:space="preserve"> servic</w:t>
      </w:r>
      <w:r>
        <w:t>io</w:t>
      </w:r>
      <w:r w:rsidRPr="00E53553">
        <w:t xml:space="preserve">s </w:t>
      </w:r>
      <w:r>
        <w:t>de las</w:t>
      </w:r>
      <w:r w:rsidRPr="00E53553">
        <w:t xml:space="preserve"> v</w:t>
      </w:r>
      <w:r>
        <w:t>í</w:t>
      </w:r>
      <w:r w:rsidRPr="00E53553">
        <w:t>ctim</w:t>
      </w:r>
      <w:r>
        <w:t>a</w:t>
      </w:r>
      <w:r w:rsidRPr="00E53553">
        <w:t xml:space="preserve">s </w:t>
      </w:r>
      <w:r>
        <w:t>de</w:t>
      </w:r>
      <w:r w:rsidRPr="00E53553">
        <w:t xml:space="preserve"> explota</w:t>
      </w:r>
      <w:r>
        <w:t>c</w:t>
      </w:r>
      <w:r w:rsidRPr="00E53553">
        <w:t>i</w:t>
      </w:r>
      <w:r>
        <w:t>ó</w:t>
      </w:r>
      <w:r w:rsidRPr="00E53553">
        <w:t xml:space="preserve">n. </w:t>
      </w:r>
      <w:r w:rsidRPr="00637396">
        <w:t>Se publicaron anuncios en los periódicos al principio y al final de la campaña, se distribuyeron muchos cartel</w:t>
      </w:r>
      <w:r>
        <w:t>e</w:t>
      </w:r>
      <w:r w:rsidRPr="00637396">
        <w:t>s, folletos y tarjetas comerciales en las comisar</w:t>
      </w:r>
      <w:r>
        <w:t>ías de la</w:t>
      </w:r>
      <w:r w:rsidRPr="00637396">
        <w:t xml:space="preserve"> Garda (</w:t>
      </w:r>
      <w:r>
        <w:t>p</w:t>
      </w:r>
      <w:r w:rsidRPr="00637396">
        <w:t>olic</w:t>
      </w:r>
      <w:r>
        <w:t>ía</w:t>
      </w:r>
      <w:r w:rsidRPr="00637396">
        <w:t>)</w:t>
      </w:r>
      <w:r>
        <w:t>,</w:t>
      </w:r>
      <w:r w:rsidRPr="00637396">
        <w:t xml:space="preserve"> </w:t>
      </w:r>
      <w:r>
        <w:t>bibliotecas</w:t>
      </w:r>
      <w:r w:rsidRPr="00637396">
        <w:t xml:space="preserve">, </w:t>
      </w:r>
      <w:r>
        <w:t>c</w:t>
      </w:r>
      <w:r w:rsidRPr="00637396">
        <w:t>entr</w:t>
      </w:r>
      <w:r>
        <w:t>o</w:t>
      </w:r>
      <w:r w:rsidRPr="00637396">
        <w:t>s</w:t>
      </w:r>
      <w:r>
        <w:t xml:space="preserve"> de salud</w:t>
      </w:r>
      <w:r w:rsidRPr="00637396">
        <w:t xml:space="preserve">, </w:t>
      </w:r>
      <w:r>
        <w:t>h</w:t>
      </w:r>
      <w:r w:rsidRPr="00637396">
        <w:t>ospital</w:t>
      </w:r>
      <w:r>
        <w:t>e</w:t>
      </w:r>
      <w:r w:rsidRPr="00637396">
        <w:t xml:space="preserve">s, </w:t>
      </w:r>
      <w:r>
        <w:t>centros del Organismo de Recepc</w:t>
      </w:r>
      <w:r w:rsidRPr="00637396">
        <w:t>i</w:t>
      </w:r>
      <w:r>
        <w:t>ó</w:t>
      </w:r>
      <w:r w:rsidRPr="00637396">
        <w:t xml:space="preserve">n </w:t>
      </w:r>
      <w:r>
        <w:t>e</w:t>
      </w:r>
      <w:r w:rsidRPr="00637396">
        <w:t xml:space="preserve"> Integra</w:t>
      </w:r>
      <w:r>
        <w:t>c</w:t>
      </w:r>
      <w:r w:rsidRPr="00637396">
        <w:t>i</w:t>
      </w:r>
      <w:r>
        <w:t>ó</w:t>
      </w:r>
      <w:r w:rsidRPr="00637396">
        <w:t>n, etc</w:t>
      </w:r>
      <w:r>
        <w:t>.</w:t>
      </w:r>
      <w:r w:rsidRPr="00637396">
        <w:t>,</w:t>
      </w:r>
      <w:r>
        <w:t xml:space="preserve"> y se pusieron</w:t>
      </w:r>
      <w:r w:rsidRPr="00637396">
        <w:t xml:space="preserve"> a</w:t>
      </w:r>
      <w:r>
        <w:t>nuncios en los</w:t>
      </w:r>
      <w:r w:rsidRPr="00637396">
        <w:t xml:space="preserve"> Luas (tra</w:t>
      </w:r>
      <w:r>
        <w:t>nvías</w:t>
      </w:r>
      <w:r w:rsidRPr="00637396">
        <w:t>)</w:t>
      </w:r>
      <w:r>
        <w:t>, en el sitio web de la</w:t>
      </w:r>
      <w:r w:rsidRPr="00637396">
        <w:t xml:space="preserve"> Radio Teilifís</w:t>
      </w:r>
      <w:r>
        <w:t xml:space="preserve"> Éireann (RTE)</w:t>
      </w:r>
      <w:r w:rsidRPr="00637396">
        <w:t xml:space="preserve"> </w:t>
      </w:r>
      <w:r>
        <w:t>y en los</w:t>
      </w:r>
      <w:r w:rsidRPr="00637396">
        <w:t xml:space="preserve"> program</w:t>
      </w:r>
      <w:r>
        <w:t>a</w:t>
      </w:r>
      <w:r w:rsidRPr="00637396">
        <w:t>s/</w:t>
      </w:r>
      <w:r>
        <w:t>revistas de deportes</w:t>
      </w:r>
      <w:r w:rsidRPr="00637396">
        <w:t xml:space="preserve">, </w:t>
      </w:r>
      <w:r>
        <w:t>se creó una línea telefónica gratuita</w:t>
      </w:r>
      <w:r w:rsidRPr="00637396">
        <w:t xml:space="preserve"> </w:t>
      </w:r>
      <w:r>
        <w:t xml:space="preserve">atendida </w:t>
      </w:r>
      <w:r w:rsidRPr="00637396">
        <w:t>12 hor</w:t>
      </w:r>
      <w:r>
        <w:t>as al día</w:t>
      </w:r>
      <w:r w:rsidRPr="00637396">
        <w:t xml:space="preserve"> </w:t>
      </w:r>
      <w:r>
        <w:t>por miembros de la</w:t>
      </w:r>
      <w:r w:rsidRPr="00637396">
        <w:t xml:space="preserve"> An Garda Síochána (</w:t>
      </w:r>
      <w:r>
        <w:t>p</w:t>
      </w:r>
      <w:r w:rsidRPr="00637396">
        <w:t>olic</w:t>
      </w:r>
      <w:r>
        <w:t>ía irlandesa</w:t>
      </w:r>
      <w:r w:rsidRPr="00637396">
        <w:t xml:space="preserve">) </w:t>
      </w:r>
      <w:r>
        <w:t>y un sitio</w:t>
      </w:r>
      <w:r w:rsidRPr="00637396">
        <w:t xml:space="preserve"> web</w:t>
      </w:r>
      <w:r>
        <w:t>:</w:t>
      </w:r>
      <w:r w:rsidRPr="00637396">
        <w:t xml:space="preserve"> www.blueblindfold.gov.ie.</w:t>
      </w:r>
    </w:p>
    <w:p w:rsidR="000100D5" w:rsidRPr="005269E5" w:rsidRDefault="000100D5" w:rsidP="000100D5">
      <w:pPr>
        <w:pStyle w:val="H1G"/>
      </w:pPr>
      <w:r w:rsidRPr="00637396">
        <w:tab/>
      </w:r>
      <w:r>
        <w:t>9.</w:t>
      </w:r>
      <w:r>
        <w:tab/>
        <w:t>Ir</w:t>
      </w:r>
      <w:r w:rsidRPr="005269E5">
        <w:t>land</w:t>
      </w:r>
      <w:r>
        <w:t>a y los instrumentos</w:t>
      </w:r>
      <w:r w:rsidRPr="005269E5">
        <w:t xml:space="preserve"> interna</w:t>
      </w:r>
      <w:r>
        <w:t>c</w:t>
      </w:r>
      <w:r w:rsidRPr="005269E5">
        <w:t>ional</w:t>
      </w:r>
      <w:r>
        <w:t>es de derechos</w:t>
      </w:r>
      <w:r w:rsidRPr="005269E5">
        <w:t xml:space="preserve"> human</w:t>
      </w:r>
      <w:r>
        <w:t>os</w:t>
      </w:r>
    </w:p>
    <w:p w:rsidR="000100D5" w:rsidRPr="005269E5" w:rsidRDefault="000100D5" w:rsidP="000100D5">
      <w:pPr>
        <w:pStyle w:val="SingleTxtG"/>
      </w:pPr>
      <w:r>
        <w:t>40.</w:t>
      </w:r>
      <w:r>
        <w:tab/>
        <w:t>E</w:t>
      </w:r>
      <w:r w:rsidRPr="005269E5">
        <w:t>n 2007, Irland</w:t>
      </w:r>
      <w:r>
        <w:t>a</w:t>
      </w:r>
      <w:r w:rsidRPr="005269E5">
        <w:t xml:space="preserve"> </w:t>
      </w:r>
      <w:r>
        <w:t>firmó</w:t>
      </w:r>
      <w:r w:rsidRPr="005269E5">
        <w:t xml:space="preserve"> </w:t>
      </w:r>
      <w:r>
        <w:t>cinco</w:t>
      </w:r>
      <w:r w:rsidRPr="005269E5">
        <w:t xml:space="preserve"> n</w:t>
      </w:r>
      <w:r>
        <w:t>u</w:t>
      </w:r>
      <w:r w:rsidRPr="005269E5">
        <w:t>e</w:t>
      </w:r>
      <w:r>
        <w:t>vos</w:t>
      </w:r>
      <w:r w:rsidRPr="005269E5">
        <w:t xml:space="preserve"> instrument</w:t>
      </w:r>
      <w:r>
        <w:t>o</w:t>
      </w:r>
      <w:r w:rsidRPr="005269E5">
        <w:t xml:space="preserve">s, </w:t>
      </w:r>
      <w:r>
        <w:t>la</w:t>
      </w:r>
      <w:r w:rsidRPr="005269E5">
        <w:t xml:space="preserve"> Conven</w:t>
      </w:r>
      <w:r>
        <w:t>c</w:t>
      </w:r>
      <w:r w:rsidRPr="005269E5">
        <w:t>i</w:t>
      </w:r>
      <w:r>
        <w:t>ó</w:t>
      </w:r>
      <w:r w:rsidRPr="005269E5">
        <w:t xml:space="preserve">n </w:t>
      </w:r>
      <w:r>
        <w:t xml:space="preserve">de las Naciones Unidas sobre los Derechos de </w:t>
      </w:r>
      <w:r w:rsidRPr="005269E5">
        <w:t>l</w:t>
      </w:r>
      <w:r>
        <w:t>as</w:t>
      </w:r>
      <w:r w:rsidRPr="005269E5">
        <w:t xml:space="preserve"> Person</w:t>
      </w:r>
      <w:r>
        <w:t>a</w:t>
      </w:r>
      <w:r w:rsidRPr="005269E5">
        <w:t xml:space="preserve">s </w:t>
      </w:r>
      <w:r>
        <w:t>con</w:t>
      </w:r>
      <w:r w:rsidRPr="005269E5">
        <w:t xml:space="preserve"> Dis</w:t>
      </w:r>
      <w:r>
        <w:t>c</w:t>
      </w:r>
      <w:r w:rsidRPr="005269E5">
        <w:t>a</w:t>
      </w:r>
      <w:r>
        <w:t>pacidad</w:t>
      </w:r>
      <w:r w:rsidRPr="005269E5">
        <w:t xml:space="preserve">, </w:t>
      </w:r>
      <w:r>
        <w:t>la Convención de las Naciones</w:t>
      </w:r>
      <w:r w:rsidRPr="005269E5">
        <w:t xml:space="preserve"> Unid</w:t>
      </w:r>
      <w:r>
        <w:t>as</w:t>
      </w:r>
      <w:r w:rsidRPr="005269E5">
        <w:t xml:space="preserve"> </w:t>
      </w:r>
      <w:r>
        <w:t>para la</w:t>
      </w:r>
      <w:r w:rsidRPr="005269E5">
        <w:t xml:space="preserve"> Protec</w:t>
      </w:r>
      <w:r>
        <w:t>c</w:t>
      </w:r>
      <w:r w:rsidRPr="005269E5">
        <w:t>i</w:t>
      </w:r>
      <w:r>
        <w:t>ó</w:t>
      </w:r>
      <w:r w:rsidRPr="005269E5">
        <w:t xml:space="preserve">n </w:t>
      </w:r>
      <w:r>
        <w:t>de todas las</w:t>
      </w:r>
      <w:r w:rsidRPr="005269E5">
        <w:t xml:space="preserve"> Person</w:t>
      </w:r>
      <w:r>
        <w:t>a</w:t>
      </w:r>
      <w:r w:rsidRPr="005269E5">
        <w:t xml:space="preserve">s </w:t>
      </w:r>
      <w:r>
        <w:t>contra las</w:t>
      </w:r>
      <w:r w:rsidRPr="005269E5">
        <w:t xml:space="preserve"> D</w:t>
      </w:r>
      <w:r>
        <w:t>e</w:t>
      </w:r>
      <w:r w:rsidRPr="005269E5">
        <w:t>sapar</w:t>
      </w:r>
      <w:r>
        <w:t>iciones Forzadas</w:t>
      </w:r>
      <w:r w:rsidRPr="005269E5">
        <w:t xml:space="preserve">, </w:t>
      </w:r>
      <w:r>
        <w:t>el Protocolo Facultativo de la Convención de las Naciones</w:t>
      </w:r>
      <w:r w:rsidRPr="005269E5">
        <w:t xml:space="preserve"> Unid</w:t>
      </w:r>
      <w:r>
        <w:t>as</w:t>
      </w:r>
      <w:r w:rsidRPr="005269E5">
        <w:t xml:space="preserve"> </w:t>
      </w:r>
      <w:r>
        <w:t>c</w:t>
      </w:r>
      <w:r w:rsidRPr="005269E5">
        <w:t>on</w:t>
      </w:r>
      <w:r>
        <w:t>tra la</w:t>
      </w:r>
      <w:r w:rsidR="005007D6">
        <w:t xml:space="preserve"> </w:t>
      </w:r>
      <w:r w:rsidRPr="005269E5">
        <w:t>Tortur</w:t>
      </w:r>
      <w:r>
        <w:t>a y Otros Tratos o Penas</w:t>
      </w:r>
      <w:r w:rsidRPr="005269E5">
        <w:t xml:space="preserve"> Cruel</w:t>
      </w:r>
      <w:r>
        <w:t>es</w:t>
      </w:r>
      <w:r w:rsidRPr="005269E5">
        <w:t>, Inhuman</w:t>
      </w:r>
      <w:r>
        <w:t>os</w:t>
      </w:r>
      <w:r w:rsidRPr="005269E5">
        <w:t xml:space="preserve"> o Degrad</w:t>
      </w:r>
      <w:r>
        <w:t>antes</w:t>
      </w:r>
      <w:r w:rsidRPr="005269E5">
        <w:t xml:space="preserve">, </w:t>
      </w:r>
      <w:r>
        <w:t>el Convenio del</w:t>
      </w:r>
      <w:r w:rsidRPr="005269E5">
        <w:t xml:space="preserve"> Con</w:t>
      </w:r>
      <w:r>
        <w:t>sejo de</w:t>
      </w:r>
      <w:r w:rsidRPr="005269E5">
        <w:t xml:space="preserve"> Europ</w:t>
      </w:r>
      <w:r>
        <w:t>a sobre la Lucha contra la Trata de Seres Humanos y el Convenio del</w:t>
      </w:r>
      <w:r w:rsidRPr="005269E5">
        <w:t xml:space="preserve"> Con</w:t>
      </w:r>
      <w:r>
        <w:t>sejo de</w:t>
      </w:r>
      <w:r w:rsidRPr="005269E5">
        <w:t xml:space="preserve"> Europ</w:t>
      </w:r>
      <w:r>
        <w:t>a para la</w:t>
      </w:r>
      <w:r w:rsidRPr="005269E5">
        <w:t xml:space="preserve"> Protec</w:t>
      </w:r>
      <w:r>
        <w:t>c</w:t>
      </w:r>
      <w:r w:rsidRPr="005269E5">
        <w:t>i</w:t>
      </w:r>
      <w:r>
        <w:t>ó</w:t>
      </w:r>
      <w:r w:rsidRPr="005269E5">
        <w:t xml:space="preserve">n </w:t>
      </w:r>
      <w:r>
        <w:t>de los Niños contra la Explotación</w:t>
      </w:r>
      <w:r w:rsidRPr="005269E5">
        <w:t xml:space="preserve"> </w:t>
      </w:r>
      <w:r>
        <w:t xml:space="preserve">y el Abuso </w:t>
      </w:r>
      <w:r w:rsidRPr="005269E5">
        <w:t>Sexual</w:t>
      </w:r>
      <w:r w:rsidRPr="005269E5">
        <w:rPr>
          <w:rStyle w:val="FootnoteReference"/>
        </w:rPr>
        <w:footnoteReference w:id="23"/>
      </w:r>
      <w:r w:rsidR="001F5C61">
        <w:t>.</w:t>
      </w:r>
    </w:p>
    <w:p w:rsidR="000100D5" w:rsidRPr="005269E5" w:rsidRDefault="000100D5" w:rsidP="000100D5">
      <w:pPr>
        <w:pStyle w:val="H1G"/>
      </w:pPr>
      <w:r w:rsidRPr="005269E5">
        <w:tab/>
        <w:t>10.</w:t>
      </w:r>
      <w:r w:rsidRPr="005269E5">
        <w:tab/>
      </w:r>
      <w:r>
        <w:t xml:space="preserve">Comisión </w:t>
      </w:r>
      <w:r w:rsidRPr="005269E5">
        <w:t>Europea</w:t>
      </w:r>
      <w:r>
        <w:t xml:space="preserve"> contra el</w:t>
      </w:r>
      <w:r w:rsidRPr="005269E5">
        <w:t xml:space="preserve"> Racism</w:t>
      </w:r>
      <w:r>
        <w:t>o y la</w:t>
      </w:r>
      <w:r w:rsidRPr="005269E5">
        <w:t xml:space="preserve"> Intoleranc</w:t>
      </w:r>
      <w:r>
        <w:t>ia</w:t>
      </w:r>
    </w:p>
    <w:p w:rsidR="000100D5" w:rsidRPr="006060A0" w:rsidRDefault="000100D5" w:rsidP="000100D5">
      <w:pPr>
        <w:pStyle w:val="SingleTxtG"/>
      </w:pPr>
      <w:r w:rsidRPr="005269E5">
        <w:t>41.</w:t>
      </w:r>
      <w:r w:rsidRPr="005269E5">
        <w:tab/>
      </w:r>
      <w:r>
        <w:t>La</w:t>
      </w:r>
      <w:r w:rsidRPr="005269E5">
        <w:t xml:space="preserve"> Comisi</w:t>
      </w:r>
      <w:r>
        <w:t>ó</w:t>
      </w:r>
      <w:r w:rsidRPr="005269E5">
        <w:t xml:space="preserve">n </w:t>
      </w:r>
      <w:r>
        <w:t>Europea contra el</w:t>
      </w:r>
      <w:r w:rsidRPr="005269E5">
        <w:t xml:space="preserve"> Racism</w:t>
      </w:r>
      <w:r>
        <w:t>o y la</w:t>
      </w:r>
      <w:r w:rsidRPr="005269E5">
        <w:t xml:space="preserve"> Intoleranc</w:t>
      </w:r>
      <w:r>
        <w:t>ia</w:t>
      </w:r>
      <w:r w:rsidRPr="005269E5">
        <w:t xml:space="preserve"> (ECRI) publi</w:t>
      </w:r>
      <w:r>
        <w:t>có su tercer</w:t>
      </w:r>
      <w:r w:rsidR="005007D6">
        <w:t xml:space="preserve"> </w:t>
      </w:r>
      <w:r>
        <w:t>informe sobre</w:t>
      </w:r>
      <w:r w:rsidRPr="005269E5">
        <w:t xml:space="preserve"> Irland</w:t>
      </w:r>
      <w:r>
        <w:t>a</w:t>
      </w:r>
      <w:r w:rsidRPr="005269E5">
        <w:t xml:space="preserve"> </w:t>
      </w:r>
      <w:r>
        <w:t>el</w:t>
      </w:r>
      <w:r w:rsidRPr="005269E5">
        <w:t xml:space="preserve"> 24 </w:t>
      </w:r>
      <w:r>
        <w:t>de m</w:t>
      </w:r>
      <w:r w:rsidRPr="005269E5">
        <w:t>ay</w:t>
      </w:r>
      <w:r>
        <w:t>o</w:t>
      </w:r>
      <w:r w:rsidRPr="005269E5">
        <w:t xml:space="preserve"> </w:t>
      </w:r>
      <w:r>
        <w:t xml:space="preserve">de </w:t>
      </w:r>
      <w:r w:rsidRPr="005269E5">
        <w:t xml:space="preserve">2007. </w:t>
      </w:r>
      <w:r w:rsidRPr="006060A0">
        <w:t>En t</w:t>
      </w:r>
      <w:r>
        <w:t>é</w:t>
      </w:r>
      <w:r w:rsidRPr="006060A0">
        <w:t>rmin</w:t>
      </w:r>
      <w:r>
        <w:t>o</w:t>
      </w:r>
      <w:r w:rsidRPr="006060A0">
        <w:t xml:space="preserve">s generales, el informe </w:t>
      </w:r>
      <w:r>
        <w:t>era</w:t>
      </w:r>
      <w:r w:rsidRPr="006060A0">
        <w:t xml:space="preserve"> positiv</w:t>
      </w:r>
      <w:r>
        <w:t>o</w:t>
      </w:r>
      <w:r w:rsidRPr="006060A0">
        <w:t xml:space="preserve"> y reconoc</w:t>
      </w:r>
      <w:r>
        <w:t>ía</w:t>
      </w:r>
      <w:r w:rsidRPr="006060A0">
        <w:t xml:space="preserve"> los progresos </w:t>
      </w:r>
      <w:r>
        <w:t>logrados desde la elaboración del</w:t>
      </w:r>
      <w:r w:rsidRPr="006060A0">
        <w:t xml:space="preserve"> se</w:t>
      </w:r>
      <w:r>
        <w:t>gu</w:t>
      </w:r>
      <w:r w:rsidRPr="006060A0">
        <w:t>nd</w:t>
      </w:r>
      <w:r>
        <w:t>o</w:t>
      </w:r>
      <w:r w:rsidRPr="006060A0">
        <w:t xml:space="preserve"> </w:t>
      </w:r>
      <w:r>
        <w:t>informe e</w:t>
      </w:r>
      <w:r w:rsidR="000B3925">
        <w:t>n </w:t>
      </w:r>
      <w:r w:rsidRPr="006060A0">
        <w:t>2001.</w:t>
      </w:r>
    </w:p>
    <w:p w:rsidR="000100D5" w:rsidRPr="00EF393C" w:rsidRDefault="000100D5" w:rsidP="000100D5">
      <w:pPr>
        <w:pStyle w:val="SingleTxtG"/>
      </w:pPr>
      <w:r w:rsidRPr="005269E5">
        <w:t>42.</w:t>
      </w:r>
      <w:r w:rsidRPr="005269E5">
        <w:tab/>
      </w:r>
      <w:r>
        <w:t xml:space="preserve">La </w:t>
      </w:r>
      <w:r w:rsidRPr="005269E5">
        <w:t xml:space="preserve">ECRI </w:t>
      </w:r>
      <w:r>
        <w:t>celebró una</w:t>
      </w:r>
      <w:r w:rsidRPr="005269E5">
        <w:t xml:space="preserve"> </w:t>
      </w:r>
      <w:r>
        <w:t xml:space="preserve">Mesa </w:t>
      </w:r>
      <w:r w:rsidRPr="005269E5">
        <w:t>R</w:t>
      </w:r>
      <w:r>
        <w:t>ed</w:t>
      </w:r>
      <w:r w:rsidRPr="005269E5">
        <w:t>ond</w:t>
      </w:r>
      <w:r>
        <w:t>a en</w:t>
      </w:r>
      <w:r w:rsidRPr="005269E5">
        <w:t xml:space="preserve"> Dubl</w:t>
      </w:r>
      <w:r>
        <w:t>í</w:t>
      </w:r>
      <w:r w:rsidRPr="005269E5">
        <w:t xml:space="preserve">n </w:t>
      </w:r>
      <w:r>
        <w:t>el</w:t>
      </w:r>
      <w:r w:rsidRPr="005269E5">
        <w:t xml:space="preserve"> 15 </w:t>
      </w:r>
      <w:r>
        <w:t>de n</w:t>
      </w:r>
      <w:r w:rsidRPr="005269E5">
        <w:t>ov</w:t>
      </w:r>
      <w:r>
        <w:t>i</w:t>
      </w:r>
      <w:r w:rsidRPr="005269E5">
        <w:t>embr</w:t>
      </w:r>
      <w:r>
        <w:t>e de</w:t>
      </w:r>
      <w:r w:rsidRPr="005269E5">
        <w:t xml:space="preserve"> 2007. </w:t>
      </w:r>
      <w:r w:rsidRPr="00EF393C">
        <w:t>Entre los temas que se debatieron en esa ocasi</w:t>
      </w:r>
      <w:r>
        <w:t>ón figuran</w:t>
      </w:r>
      <w:r w:rsidRPr="00EF393C">
        <w:t>:</w:t>
      </w:r>
    </w:p>
    <w:p w:rsidR="000100D5" w:rsidRPr="00355D3C" w:rsidRDefault="000100D5" w:rsidP="00355D3C">
      <w:pPr>
        <w:pStyle w:val="Bullet1G"/>
      </w:pPr>
      <w:r w:rsidRPr="00EF393C">
        <w:t xml:space="preserve">El </w:t>
      </w:r>
      <w:r w:rsidRPr="00355D3C">
        <w:t>tercer informe de la ECRI sobre Irlanda;</w:t>
      </w:r>
    </w:p>
    <w:p w:rsidR="000100D5" w:rsidRPr="00355D3C" w:rsidRDefault="000100D5" w:rsidP="00355D3C">
      <w:pPr>
        <w:pStyle w:val="Bullet1G"/>
      </w:pPr>
      <w:r w:rsidRPr="00355D3C">
        <w:t>La promoción de la igualdad y la diversidad en el lugar de trabajo;</w:t>
      </w:r>
    </w:p>
    <w:p w:rsidR="000100D5" w:rsidRPr="00EF393C" w:rsidRDefault="000100D5" w:rsidP="00355D3C">
      <w:pPr>
        <w:pStyle w:val="Bullet1G"/>
      </w:pPr>
      <w:r w:rsidRPr="00355D3C">
        <w:t>La salvaguardia</w:t>
      </w:r>
      <w:r w:rsidRPr="00EF393C">
        <w:t xml:space="preserve"> de los derechos de la comunidad nómada en el contexto del Convenio </w:t>
      </w:r>
      <w:r>
        <w:t>marco para la</w:t>
      </w:r>
      <w:r w:rsidRPr="00EF393C">
        <w:t xml:space="preserve"> protec</w:t>
      </w:r>
      <w:r>
        <w:t>c</w:t>
      </w:r>
      <w:r w:rsidRPr="00EF393C">
        <w:t>i</w:t>
      </w:r>
      <w:r>
        <w:t>ón de las minorías</w:t>
      </w:r>
      <w:r w:rsidRPr="00EF393C">
        <w:t xml:space="preserve"> </w:t>
      </w:r>
      <w:r>
        <w:t>n</w:t>
      </w:r>
      <w:r w:rsidRPr="00EF393C">
        <w:t>a</w:t>
      </w:r>
      <w:r>
        <w:t>c</w:t>
      </w:r>
      <w:r w:rsidRPr="00EF393C">
        <w:t>ional</w:t>
      </w:r>
      <w:r>
        <w:t>es</w:t>
      </w:r>
      <w:r w:rsidR="000B3925">
        <w:t>.</w:t>
      </w:r>
    </w:p>
    <w:p w:rsidR="000100D5" w:rsidRPr="005269E5" w:rsidRDefault="000100D5" w:rsidP="000100D5">
      <w:pPr>
        <w:pStyle w:val="H1G"/>
      </w:pPr>
      <w:r w:rsidRPr="00EF393C">
        <w:tab/>
      </w:r>
      <w:r>
        <w:t>11.</w:t>
      </w:r>
      <w:r>
        <w:tab/>
        <w:t>Medidas adoptadas en la l</w:t>
      </w:r>
      <w:r w:rsidRPr="005269E5">
        <w:t>egisla</w:t>
      </w:r>
      <w:r>
        <w:t>ción nacional</w:t>
      </w:r>
    </w:p>
    <w:p w:rsidR="000100D5" w:rsidRPr="007D38C6" w:rsidRDefault="000100D5" w:rsidP="000100D5">
      <w:pPr>
        <w:pStyle w:val="H23G"/>
      </w:pPr>
      <w:r w:rsidRPr="005269E5">
        <w:tab/>
      </w:r>
      <w:r w:rsidRPr="005269E5">
        <w:tab/>
      </w:r>
      <w:r w:rsidRPr="007D38C6">
        <w:t xml:space="preserve">Ley de </w:t>
      </w:r>
      <w:r>
        <w:t>justicia</w:t>
      </w:r>
      <w:r w:rsidRPr="007D38C6">
        <w:t xml:space="preserve"> penal </w:t>
      </w:r>
      <w:r>
        <w:t>(T</w:t>
      </w:r>
      <w:r w:rsidRPr="007D38C6">
        <w:t xml:space="preserve">rata de </w:t>
      </w:r>
      <w:r>
        <w:t>seres humanos</w:t>
      </w:r>
      <w:r w:rsidRPr="007D38C6">
        <w:t>) de 2008</w:t>
      </w:r>
      <w:r w:rsidRPr="005269E5">
        <w:rPr>
          <w:rStyle w:val="FootnoteReference"/>
          <w:b w:val="0"/>
        </w:rPr>
        <w:footnoteReference w:id="24"/>
      </w:r>
    </w:p>
    <w:p w:rsidR="000100D5" w:rsidRPr="00FA668B" w:rsidRDefault="000100D5" w:rsidP="000100D5">
      <w:pPr>
        <w:pStyle w:val="SingleTxtG"/>
      </w:pPr>
      <w:r w:rsidRPr="005269E5">
        <w:t>43.</w:t>
      </w:r>
      <w:r w:rsidRPr="005269E5">
        <w:tab/>
        <w:t>La</w:t>
      </w:r>
      <w:r>
        <w:t xml:space="preserve"> Ley de justicia penal</w:t>
      </w:r>
      <w:r w:rsidRPr="005269E5">
        <w:t xml:space="preserve"> (</w:t>
      </w:r>
      <w:r>
        <w:t>T</w:t>
      </w:r>
      <w:r w:rsidRPr="005269E5">
        <w:t>ra</w:t>
      </w:r>
      <w:r>
        <w:t>ta de seres humanos</w:t>
      </w:r>
      <w:r w:rsidRPr="005269E5">
        <w:t xml:space="preserve">) </w:t>
      </w:r>
      <w:r>
        <w:t>de</w:t>
      </w:r>
      <w:r w:rsidRPr="005269E5">
        <w:t xml:space="preserve"> 2008 </w:t>
      </w:r>
      <w:r>
        <w:t>entró en vigor el</w:t>
      </w:r>
      <w:r w:rsidRPr="005269E5">
        <w:t xml:space="preserve"> 7 </w:t>
      </w:r>
      <w:r>
        <w:t>de j</w:t>
      </w:r>
      <w:r w:rsidRPr="005269E5">
        <w:t>un</w:t>
      </w:r>
      <w:r>
        <w:t>io de</w:t>
      </w:r>
      <w:r w:rsidR="005007D6">
        <w:t xml:space="preserve"> </w:t>
      </w:r>
      <w:r w:rsidRPr="005269E5">
        <w:t xml:space="preserve">2008 </w:t>
      </w:r>
      <w:r>
        <w:t>y tipifica el delito</w:t>
      </w:r>
      <w:r w:rsidRPr="005269E5">
        <w:t xml:space="preserve"> </w:t>
      </w:r>
      <w:r>
        <w:t>de</w:t>
      </w:r>
      <w:r w:rsidRPr="005269E5">
        <w:t xml:space="preserve"> </w:t>
      </w:r>
      <w:r>
        <w:t>captar</w:t>
      </w:r>
      <w:r w:rsidRPr="005269E5">
        <w:t>, transport</w:t>
      </w:r>
      <w:r>
        <w:t>ar</w:t>
      </w:r>
      <w:r w:rsidRPr="005269E5">
        <w:t xml:space="preserve">, </w:t>
      </w:r>
      <w:r>
        <w:t>trasladar a</w:t>
      </w:r>
      <w:r w:rsidRPr="005269E5">
        <w:t xml:space="preserve"> otr</w:t>
      </w:r>
      <w:r>
        <w:t>a</w:t>
      </w:r>
      <w:r w:rsidRPr="005269E5">
        <w:t xml:space="preserve"> person</w:t>
      </w:r>
      <w:r>
        <w:t>a</w:t>
      </w:r>
      <w:r w:rsidRPr="005269E5">
        <w:t xml:space="preserve">, </w:t>
      </w:r>
      <w:r>
        <w:t>acoger</w:t>
      </w:r>
      <w:r w:rsidRPr="005269E5">
        <w:t xml:space="preserve"> o </w:t>
      </w:r>
      <w:r>
        <w:t>facilitar la</w:t>
      </w:r>
      <w:r w:rsidRPr="005269E5">
        <w:t xml:space="preserve"> entr</w:t>
      </w:r>
      <w:r>
        <w:t>ada,</w:t>
      </w:r>
      <w:r w:rsidRPr="005269E5">
        <w:t xml:space="preserve"> </w:t>
      </w:r>
      <w:r>
        <w:t>el desplazamiento en su territorio o la salida de un</w:t>
      </w:r>
      <w:r w:rsidRPr="005269E5">
        <w:t xml:space="preserve"> </w:t>
      </w:r>
      <w:r>
        <w:t>Es</w:t>
      </w:r>
      <w:r w:rsidRPr="005269E5">
        <w:t>ta</w:t>
      </w:r>
      <w:r>
        <w:t>do de una</w:t>
      </w:r>
      <w:r w:rsidRPr="005269E5">
        <w:t xml:space="preserve"> person</w:t>
      </w:r>
      <w:r>
        <w:t>a</w:t>
      </w:r>
      <w:r w:rsidRPr="005269E5">
        <w:t xml:space="preserve"> </w:t>
      </w:r>
      <w:r>
        <w:t>con el fin</w:t>
      </w:r>
      <w:r w:rsidRPr="005269E5">
        <w:t xml:space="preserve"> </w:t>
      </w:r>
      <w:r>
        <w:t>e</w:t>
      </w:r>
      <w:r w:rsidRPr="005269E5">
        <w:t>spec</w:t>
      </w:r>
      <w:r>
        <w:t>í</w:t>
      </w:r>
      <w:r w:rsidRPr="005269E5">
        <w:t>fic</w:t>
      </w:r>
      <w:r>
        <w:t>o</w:t>
      </w:r>
      <w:r w:rsidRPr="005269E5">
        <w:t xml:space="preserve"> </w:t>
      </w:r>
      <w:r>
        <w:t>de su explotación</w:t>
      </w:r>
      <w:r w:rsidRPr="005269E5">
        <w:t xml:space="preserve"> sexual o labor</w:t>
      </w:r>
      <w:r>
        <w:t>al o de</w:t>
      </w:r>
      <w:r w:rsidRPr="005269E5">
        <w:t xml:space="preserve"> ext</w:t>
      </w:r>
      <w:r>
        <w:t>r</w:t>
      </w:r>
      <w:r w:rsidRPr="005269E5">
        <w:t>a</w:t>
      </w:r>
      <w:r>
        <w:t>cc</w:t>
      </w:r>
      <w:r w:rsidRPr="005269E5">
        <w:t>i</w:t>
      </w:r>
      <w:r>
        <w:t>ón de los</w:t>
      </w:r>
      <w:r w:rsidRPr="005269E5">
        <w:t xml:space="preserve"> </w:t>
      </w:r>
      <w:r>
        <w:t>ó</w:t>
      </w:r>
      <w:r w:rsidRPr="005269E5">
        <w:t>rgan</w:t>
      </w:r>
      <w:r>
        <w:t>o</w:t>
      </w:r>
      <w:r w:rsidRPr="005269E5">
        <w:t>s</w:t>
      </w:r>
      <w:r>
        <w:t xml:space="preserve"> de dicha persona</w:t>
      </w:r>
      <w:r w:rsidRPr="005269E5">
        <w:t xml:space="preserve">. </w:t>
      </w:r>
      <w:r w:rsidRPr="00FA668B">
        <w:t xml:space="preserve">Prevé sanciones que pueden llegar a la pena de cadena perpetua para todos los que trafiquen con otras personas </w:t>
      </w:r>
      <w:r>
        <w:t>a los efectos de explotación</w:t>
      </w:r>
      <w:r w:rsidRPr="00FA668B">
        <w:t xml:space="preserve"> labor</w:t>
      </w:r>
      <w:r>
        <w:t>al</w:t>
      </w:r>
      <w:r w:rsidRPr="00FA668B">
        <w:t xml:space="preserve"> o sexual</w:t>
      </w:r>
      <w:r>
        <w:t xml:space="preserve"> o de extracción de los órganos de una persona.</w:t>
      </w:r>
    </w:p>
    <w:p w:rsidR="000100D5" w:rsidRPr="00D343C2" w:rsidRDefault="00C67360" w:rsidP="000100D5">
      <w:pPr>
        <w:pStyle w:val="SingleTxtG"/>
      </w:pPr>
      <w:r>
        <w:t>44.</w:t>
      </w:r>
      <w:r>
        <w:tab/>
        <w:t>La l</w:t>
      </w:r>
      <w:r w:rsidR="000100D5">
        <w:t>ey tipifica como delito</w:t>
      </w:r>
      <w:r w:rsidR="000100D5" w:rsidRPr="005269E5">
        <w:t xml:space="preserve"> </w:t>
      </w:r>
      <w:r w:rsidR="000100D5">
        <w:t>requerir los servicios sexuales</w:t>
      </w:r>
      <w:r w:rsidR="000100D5" w:rsidRPr="005269E5">
        <w:t xml:space="preserve"> </w:t>
      </w:r>
      <w:r w:rsidR="000100D5">
        <w:t>de una</w:t>
      </w:r>
      <w:r w:rsidR="000100D5" w:rsidRPr="005269E5">
        <w:t xml:space="preserve"> </w:t>
      </w:r>
      <w:r w:rsidR="000100D5">
        <w:t>víctima de la trata si el que lo hace sabe, o tiene motivos razonables para saber, que dicha</w:t>
      </w:r>
      <w:r w:rsidR="000100D5" w:rsidRPr="005269E5">
        <w:t xml:space="preserve"> person</w:t>
      </w:r>
      <w:r w:rsidR="000100D5">
        <w:t>a ha sido objeto de trata</w:t>
      </w:r>
      <w:r w:rsidR="000100D5" w:rsidRPr="005269E5">
        <w:t xml:space="preserve">. </w:t>
      </w:r>
      <w:r w:rsidR="000100D5" w:rsidRPr="00DF3FCE">
        <w:t xml:space="preserve">El acto puede </w:t>
      </w:r>
      <w:r w:rsidR="000100D5">
        <w:t>darse</w:t>
      </w:r>
      <w:r w:rsidR="000100D5" w:rsidRPr="00DF3FCE">
        <w:t xml:space="preserve"> en cualquier parte, en público o</w:t>
      </w:r>
      <w:r w:rsidR="000100D5">
        <w:t xml:space="preserve"> en</w:t>
      </w:r>
      <w:r w:rsidR="000100D5" w:rsidRPr="00DF3FCE">
        <w:t xml:space="preserve"> priva</w:t>
      </w:r>
      <w:r w:rsidR="000100D5">
        <w:t>do</w:t>
      </w:r>
      <w:r w:rsidR="000100D5" w:rsidRPr="00DF3FCE">
        <w:t>. Todo aquél que acepte o acceda</w:t>
      </w:r>
      <w:r w:rsidR="005007D6">
        <w:t xml:space="preserve"> </w:t>
      </w:r>
      <w:r w:rsidR="000100D5" w:rsidRPr="00DF3FCE">
        <w:t xml:space="preserve">a aceptar cualquier tipo de pago por la prostitución de la </w:t>
      </w:r>
      <w:r w:rsidR="000100D5">
        <w:t>víctima</w:t>
      </w:r>
      <w:r w:rsidR="000100D5" w:rsidRPr="00DF3FCE">
        <w:t xml:space="preserve"> </w:t>
      </w:r>
      <w:r w:rsidR="000100D5">
        <w:t>de la</w:t>
      </w:r>
      <w:r w:rsidR="005007D6">
        <w:t xml:space="preserve"> </w:t>
      </w:r>
      <w:r w:rsidR="000100D5">
        <w:t>trata</w:t>
      </w:r>
      <w:r w:rsidR="000100D5" w:rsidRPr="00DF3FCE">
        <w:t xml:space="preserve"> com</w:t>
      </w:r>
      <w:r w:rsidR="000100D5">
        <w:t>e</w:t>
      </w:r>
      <w:r w:rsidR="000100D5" w:rsidRPr="00DF3FCE">
        <w:t>t</w:t>
      </w:r>
      <w:r w:rsidR="000100D5">
        <w:t>erá también un delito</w:t>
      </w:r>
      <w:r w:rsidR="000100D5" w:rsidRPr="00DF3FCE">
        <w:t xml:space="preserve">. </w:t>
      </w:r>
      <w:r w:rsidR="00A01A17">
        <w:t>Se impondrán multas de hasta 5.</w:t>
      </w:r>
      <w:r w:rsidR="000100D5" w:rsidRPr="00D343C2">
        <w:t xml:space="preserve">000 euros y penas de </w:t>
      </w:r>
      <w:r w:rsidR="00A01A17">
        <w:t xml:space="preserve">hasta </w:t>
      </w:r>
      <w:r w:rsidR="000100D5" w:rsidRPr="00D343C2">
        <w:t xml:space="preserve">12 meses de prisión si la persona </w:t>
      </w:r>
      <w:r w:rsidR="000100D5">
        <w:t>e</w:t>
      </w:r>
      <w:r w:rsidR="000100D5" w:rsidRPr="00D343C2">
        <w:t>s cond</w:t>
      </w:r>
      <w:r w:rsidR="000100D5">
        <w:t>enada en un juicio</w:t>
      </w:r>
      <w:r w:rsidR="000100D5" w:rsidRPr="00D343C2">
        <w:t xml:space="preserve"> sumari</w:t>
      </w:r>
      <w:r w:rsidR="000100D5">
        <w:t>o</w:t>
      </w:r>
      <w:r w:rsidR="000100D5" w:rsidRPr="00D343C2">
        <w:t xml:space="preserve"> </w:t>
      </w:r>
      <w:r w:rsidR="000100D5">
        <w:t>y una multa</w:t>
      </w:r>
      <w:r w:rsidR="000100D5" w:rsidRPr="00D343C2">
        <w:t xml:space="preserve"> </w:t>
      </w:r>
      <w:r w:rsidR="000100D5">
        <w:t>i</w:t>
      </w:r>
      <w:r w:rsidR="000100D5" w:rsidRPr="00D343C2">
        <w:t>limit</w:t>
      </w:r>
      <w:r w:rsidR="000100D5">
        <w:t>a</w:t>
      </w:r>
      <w:r w:rsidR="000100D5" w:rsidRPr="00D343C2">
        <w:t>d</w:t>
      </w:r>
      <w:r w:rsidR="000100D5">
        <w:t>a y una pena de hasta</w:t>
      </w:r>
      <w:r w:rsidR="000100D5" w:rsidRPr="00D343C2">
        <w:t xml:space="preserve"> 5 </w:t>
      </w:r>
      <w:r w:rsidR="000100D5">
        <w:t>años de prisión si el autor es</w:t>
      </w:r>
      <w:r w:rsidR="000100D5" w:rsidRPr="00D343C2">
        <w:t xml:space="preserve"> cond</w:t>
      </w:r>
      <w:r w:rsidR="000100D5">
        <w:t>enado</w:t>
      </w:r>
      <w:r w:rsidR="000100D5" w:rsidRPr="00D343C2">
        <w:t xml:space="preserve"> </w:t>
      </w:r>
      <w:r w:rsidR="000100D5">
        <w:t>en un juicio</w:t>
      </w:r>
      <w:r w:rsidR="00A01A17">
        <w:t xml:space="preserve"> celebrado tras la presentación de una acusación formal</w:t>
      </w:r>
      <w:r>
        <w:t>. La l</w:t>
      </w:r>
      <w:r w:rsidR="000100D5" w:rsidRPr="00D343C2">
        <w:t>ey prevé asimismo que si un ciudadano irlandés o un</w:t>
      </w:r>
      <w:r w:rsidR="000100D5">
        <w:t>a persona que</w:t>
      </w:r>
      <w:r w:rsidR="000100D5" w:rsidRPr="00D343C2">
        <w:t xml:space="preserve"> resid</w:t>
      </w:r>
      <w:r w:rsidR="000100D5">
        <w:t>a</w:t>
      </w:r>
      <w:r w:rsidR="000100D5" w:rsidRPr="00D343C2">
        <w:t xml:space="preserve"> habitual</w:t>
      </w:r>
      <w:r w:rsidR="000100D5">
        <w:t>mente</w:t>
      </w:r>
      <w:r w:rsidR="000100D5" w:rsidRPr="00D343C2">
        <w:t xml:space="preserve"> en Irlanda es acusado de haber cometid</w:t>
      </w:r>
      <w:r w:rsidR="000100D5">
        <w:t>o</w:t>
      </w:r>
      <w:r w:rsidR="000100D5" w:rsidRPr="00D343C2">
        <w:t xml:space="preserve"> </w:t>
      </w:r>
      <w:r w:rsidR="000100D5">
        <w:t>un delito de trata en el extranjero, el Estado parte</w:t>
      </w:r>
      <w:r w:rsidR="000100D5" w:rsidRPr="00D343C2">
        <w:t xml:space="preserve"> acept</w:t>
      </w:r>
      <w:r w:rsidR="000100D5">
        <w:t>ará</w:t>
      </w:r>
      <w:r w:rsidR="000100D5" w:rsidRPr="00D343C2">
        <w:t xml:space="preserve"> </w:t>
      </w:r>
      <w:r w:rsidR="000100D5">
        <w:t>la</w:t>
      </w:r>
      <w:r w:rsidR="000100D5" w:rsidRPr="00D343C2">
        <w:t xml:space="preserve"> </w:t>
      </w:r>
      <w:r w:rsidR="000100D5">
        <w:t>competencia</w:t>
      </w:r>
      <w:r w:rsidR="000100D5" w:rsidRPr="00D343C2">
        <w:t xml:space="preserve"> </w:t>
      </w:r>
      <w:r w:rsidR="000100D5">
        <w:t>para juzgar el delito allí</w:t>
      </w:r>
      <w:r w:rsidR="000100D5" w:rsidRPr="00D343C2">
        <w:t>. En ese caso también se aplican sanciones que pueden llegar hasta la cadena perpetua.</w:t>
      </w:r>
    </w:p>
    <w:p w:rsidR="000100D5" w:rsidRPr="005269E5" w:rsidRDefault="000100D5" w:rsidP="000100D5">
      <w:pPr>
        <w:pStyle w:val="SingleTxtG"/>
      </w:pPr>
      <w:r w:rsidRPr="005269E5">
        <w:t>45.</w:t>
      </w:r>
      <w:r w:rsidRPr="005269E5">
        <w:tab/>
      </w:r>
      <w:r w:rsidR="00C67360">
        <w:t>Con la promulgación de esa l</w:t>
      </w:r>
      <w:r>
        <w:t>ey,</w:t>
      </w:r>
      <w:r w:rsidRPr="005269E5">
        <w:t xml:space="preserve"> Irland</w:t>
      </w:r>
      <w:r>
        <w:t>a ajusta su legislación</w:t>
      </w:r>
      <w:r w:rsidRPr="005269E5">
        <w:t xml:space="preserve"> </w:t>
      </w:r>
      <w:r>
        <w:t xml:space="preserve">a los </w:t>
      </w:r>
      <w:r w:rsidR="00A01A17">
        <w:t>elementos de la legislación penal o de aplicación de esa legislación contenidos en</w:t>
      </w:r>
      <w:r w:rsidRPr="005269E5">
        <w:t>:</w:t>
      </w:r>
    </w:p>
    <w:p w:rsidR="000100D5" w:rsidRPr="005269E5" w:rsidRDefault="000100D5" w:rsidP="000100D5">
      <w:pPr>
        <w:pStyle w:val="SingleTxtG"/>
        <w:ind w:left="1701"/>
      </w:pPr>
      <w:r w:rsidRPr="005269E5">
        <w:t>i)</w:t>
      </w:r>
      <w:r w:rsidRPr="005269E5">
        <w:tab/>
      </w:r>
      <w:r w:rsidR="00C67360">
        <w:t>L</w:t>
      </w:r>
      <w:r>
        <w:t>a</w:t>
      </w:r>
      <w:r w:rsidRPr="005269E5">
        <w:t xml:space="preserve"> Decisi</w:t>
      </w:r>
      <w:r>
        <w:t>ó</w:t>
      </w:r>
      <w:r w:rsidRPr="005269E5">
        <w:t xml:space="preserve">n </w:t>
      </w:r>
      <w:r>
        <w:t xml:space="preserve">marco de la Comisión Europea </w:t>
      </w:r>
      <w:r w:rsidR="00A01A17">
        <w:t>relativa a</w:t>
      </w:r>
      <w:r>
        <w:t xml:space="preserve"> la lucha contra la</w:t>
      </w:r>
      <w:r w:rsidRPr="005269E5">
        <w:t xml:space="preserve"> tra</w:t>
      </w:r>
      <w:r>
        <w:t xml:space="preserve">ta de </w:t>
      </w:r>
      <w:r w:rsidR="00A01A17">
        <w:t>seres humanos</w:t>
      </w:r>
      <w:r>
        <w:t>;</w:t>
      </w:r>
      <w:r w:rsidRPr="005269E5">
        <w:t xml:space="preserve"> </w:t>
      </w:r>
    </w:p>
    <w:p w:rsidR="000100D5" w:rsidRPr="005269E5" w:rsidRDefault="000100D5" w:rsidP="000100D5">
      <w:pPr>
        <w:pStyle w:val="SingleTxtG"/>
        <w:ind w:left="1701"/>
      </w:pPr>
      <w:r w:rsidRPr="005269E5">
        <w:t>ii)</w:t>
      </w:r>
      <w:r w:rsidRPr="005269E5">
        <w:tab/>
      </w:r>
      <w:r w:rsidR="00C67360">
        <w:t>E</w:t>
      </w:r>
      <w:r>
        <w:t xml:space="preserve">l </w:t>
      </w:r>
      <w:r w:rsidRPr="005269E5">
        <w:t>Conveni</w:t>
      </w:r>
      <w:r>
        <w:t>o</w:t>
      </w:r>
      <w:r w:rsidRPr="005269E5">
        <w:t xml:space="preserve"> </w:t>
      </w:r>
      <w:r>
        <w:t xml:space="preserve">del Consejo de Europa </w:t>
      </w:r>
      <w:r w:rsidR="00A01A17">
        <w:t>sobre la lucha</w:t>
      </w:r>
      <w:r>
        <w:t xml:space="preserve"> contra la</w:t>
      </w:r>
      <w:r w:rsidR="00A01A17">
        <w:t xml:space="preserve"> t</w:t>
      </w:r>
      <w:r w:rsidRPr="005269E5">
        <w:t>ra</w:t>
      </w:r>
      <w:r>
        <w:t>ta</w:t>
      </w:r>
      <w:r w:rsidR="00A01A17">
        <w:t xml:space="preserve"> de p</w:t>
      </w:r>
      <w:r>
        <w:t>ersonas</w:t>
      </w:r>
      <w:r w:rsidRPr="005269E5">
        <w:t>;</w:t>
      </w:r>
    </w:p>
    <w:p w:rsidR="000100D5" w:rsidRPr="005269E5" w:rsidRDefault="000100D5" w:rsidP="000100D5">
      <w:pPr>
        <w:pStyle w:val="SingleTxtG"/>
        <w:ind w:left="1701"/>
      </w:pPr>
      <w:r w:rsidRPr="005269E5">
        <w:t>iii)</w:t>
      </w:r>
      <w:r w:rsidRPr="005269E5">
        <w:tab/>
      </w:r>
      <w:r w:rsidR="00C67360">
        <w:t>E</w:t>
      </w:r>
      <w:r>
        <w:t xml:space="preserve">l </w:t>
      </w:r>
      <w:r w:rsidRPr="005269E5">
        <w:t>Protocol</w:t>
      </w:r>
      <w:r>
        <w:t>o</w:t>
      </w:r>
      <w:r w:rsidRPr="005269E5">
        <w:t xml:space="preserve"> </w:t>
      </w:r>
      <w:r>
        <w:t>para</w:t>
      </w:r>
      <w:r w:rsidRPr="005269E5">
        <w:t xml:space="preserve"> </w:t>
      </w:r>
      <w:r>
        <w:t>p</w:t>
      </w:r>
      <w:r w:rsidRPr="005269E5">
        <w:t>reven</w:t>
      </w:r>
      <w:r>
        <w:t>ir</w:t>
      </w:r>
      <w:r w:rsidRPr="005269E5">
        <w:t xml:space="preserve">, </w:t>
      </w:r>
      <w:r>
        <w:t>reprimir y sancionar la trata de personas, especialmente mujeres y niños, que complementa la Convención de las Naciones Unidas</w:t>
      </w:r>
      <w:r w:rsidRPr="005269E5">
        <w:t xml:space="preserve"> </w:t>
      </w:r>
      <w:r>
        <w:t>contra la Delincuencia Organizada</w:t>
      </w:r>
      <w:r w:rsidRPr="005269E5">
        <w:t xml:space="preserve"> Transna</w:t>
      </w:r>
      <w:r>
        <w:t>c</w:t>
      </w:r>
      <w:r w:rsidRPr="005269E5">
        <w:t>ional.</w:t>
      </w:r>
    </w:p>
    <w:p w:rsidR="000100D5" w:rsidRPr="005269E5" w:rsidRDefault="000100D5" w:rsidP="000100D5">
      <w:pPr>
        <w:pStyle w:val="H1G"/>
      </w:pPr>
      <w:r w:rsidRPr="005269E5">
        <w:tab/>
        <w:t>12.</w:t>
      </w:r>
      <w:r w:rsidRPr="005269E5">
        <w:tab/>
      </w:r>
      <w:r>
        <w:t>Proyecto de ley de in</w:t>
      </w:r>
      <w:r w:rsidRPr="005269E5">
        <w:t>migra</w:t>
      </w:r>
      <w:r>
        <w:t>c</w:t>
      </w:r>
      <w:r w:rsidRPr="005269E5">
        <w:t>i</w:t>
      </w:r>
      <w:r>
        <w:t>ó</w:t>
      </w:r>
      <w:r w:rsidRPr="005269E5">
        <w:t xml:space="preserve">n </w:t>
      </w:r>
      <w:r>
        <w:t>y</w:t>
      </w:r>
      <w:r w:rsidRPr="005269E5">
        <w:t xml:space="preserve"> residenc</w:t>
      </w:r>
      <w:r>
        <w:t>ia</w:t>
      </w:r>
    </w:p>
    <w:p w:rsidR="000100D5" w:rsidRPr="003C2E19" w:rsidRDefault="000100D5" w:rsidP="000100D5">
      <w:pPr>
        <w:pStyle w:val="SingleTxtG"/>
      </w:pPr>
      <w:r w:rsidRPr="005269E5">
        <w:t>46.</w:t>
      </w:r>
      <w:r w:rsidRPr="005269E5">
        <w:tab/>
      </w:r>
      <w:r>
        <w:t>El proyecto de ley de in</w:t>
      </w:r>
      <w:r w:rsidRPr="005269E5">
        <w:t>migra</w:t>
      </w:r>
      <w:r>
        <w:t>c</w:t>
      </w:r>
      <w:r w:rsidRPr="005269E5">
        <w:t>i</w:t>
      </w:r>
      <w:r>
        <w:t>ó</w:t>
      </w:r>
      <w:r w:rsidRPr="005269E5">
        <w:t xml:space="preserve">n, </w:t>
      </w:r>
      <w:r>
        <w:t>r</w:t>
      </w:r>
      <w:r w:rsidRPr="005269E5">
        <w:t>esidenc</w:t>
      </w:r>
      <w:r>
        <w:t>ia y</w:t>
      </w:r>
      <w:r w:rsidRPr="005269E5">
        <w:t xml:space="preserve"> </w:t>
      </w:r>
      <w:r>
        <w:t>p</w:t>
      </w:r>
      <w:r w:rsidRPr="005269E5">
        <w:t>rotec</w:t>
      </w:r>
      <w:r>
        <w:t>c</w:t>
      </w:r>
      <w:r w:rsidRPr="005269E5">
        <w:t>i</w:t>
      </w:r>
      <w:r>
        <w:t>ó</w:t>
      </w:r>
      <w:r w:rsidRPr="005269E5">
        <w:t>n</w:t>
      </w:r>
      <w:r w:rsidRPr="005269E5">
        <w:rPr>
          <w:rStyle w:val="FootnoteReference"/>
        </w:rPr>
        <w:footnoteReference w:id="25"/>
      </w:r>
      <w:r w:rsidR="001F5C61">
        <w:t>,</w:t>
      </w:r>
      <w:r w:rsidRPr="005269E5">
        <w:t xml:space="preserve"> </w:t>
      </w:r>
      <w:r>
        <w:t xml:space="preserve">que se </w:t>
      </w:r>
      <w:r w:rsidRPr="005269E5">
        <w:t>publi</w:t>
      </w:r>
      <w:r>
        <w:t>có el</w:t>
      </w:r>
      <w:r w:rsidRPr="005269E5">
        <w:t xml:space="preserve"> 24</w:t>
      </w:r>
      <w:r>
        <w:t xml:space="preserve"> de enero de</w:t>
      </w:r>
      <w:r w:rsidRPr="005269E5">
        <w:t xml:space="preserve"> 2008, </w:t>
      </w:r>
      <w:r>
        <w:t>aporta un código</w:t>
      </w:r>
      <w:r w:rsidRPr="005269E5">
        <w:t xml:space="preserve"> unifi</w:t>
      </w:r>
      <w:r>
        <w:t>cado de</w:t>
      </w:r>
      <w:r w:rsidRPr="005269E5">
        <w:t xml:space="preserve"> </w:t>
      </w:r>
      <w:r>
        <w:t xml:space="preserve">disposiciones en materia de </w:t>
      </w:r>
      <w:r w:rsidRPr="005269E5">
        <w:t>i</w:t>
      </w:r>
      <w:r>
        <w:t>n</w:t>
      </w:r>
      <w:r w:rsidRPr="005269E5">
        <w:t>migra</w:t>
      </w:r>
      <w:r>
        <w:t>c</w:t>
      </w:r>
      <w:r w:rsidRPr="005269E5">
        <w:t>i</w:t>
      </w:r>
      <w:r>
        <w:t>ó</w:t>
      </w:r>
      <w:r w:rsidRPr="005269E5">
        <w:t xml:space="preserve">n </w:t>
      </w:r>
      <w:r>
        <w:t>que substituye a la actual</w:t>
      </w:r>
      <w:r w:rsidRPr="005269E5">
        <w:t xml:space="preserve"> legisla</w:t>
      </w:r>
      <w:r>
        <w:t>c</w:t>
      </w:r>
      <w:r w:rsidRPr="005269E5">
        <w:t>i</w:t>
      </w:r>
      <w:r>
        <w:t>ó</w:t>
      </w:r>
      <w:r w:rsidRPr="005269E5">
        <w:t xml:space="preserve">n, </w:t>
      </w:r>
      <w:r>
        <w:t>que se remonta en algunos casos a</w:t>
      </w:r>
      <w:r w:rsidRPr="005269E5">
        <w:t xml:space="preserve"> 1935. </w:t>
      </w:r>
      <w:r w:rsidRPr="005D147F">
        <w:t>Proporciona un marco integrado para desarrollar y aplicar las futur</w:t>
      </w:r>
      <w:r>
        <w:t>a</w:t>
      </w:r>
      <w:r w:rsidRPr="005D147F">
        <w:t>s políticas de i</w:t>
      </w:r>
      <w:r>
        <w:t>n</w:t>
      </w:r>
      <w:r w:rsidRPr="005D147F">
        <w:t>migra</w:t>
      </w:r>
      <w:r>
        <w:t>c</w:t>
      </w:r>
      <w:r w:rsidRPr="005D147F">
        <w:t>i</w:t>
      </w:r>
      <w:r>
        <w:t>ó</w:t>
      </w:r>
      <w:r w:rsidRPr="005D147F">
        <w:t xml:space="preserve">n </w:t>
      </w:r>
      <w:r>
        <w:t>del Gobierno</w:t>
      </w:r>
      <w:r w:rsidRPr="005D147F">
        <w:t>.</w:t>
      </w:r>
      <w:r>
        <w:t xml:space="preserve"> </w:t>
      </w:r>
      <w:r w:rsidRPr="003C2E19">
        <w:t xml:space="preserve">El proyecto de ley ha sido presentado ante ambas Cámaras del Oireachtas (Parlamento) </w:t>
      </w:r>
      <w:r>
        <w:t>para su examen</w:t>
      </w:r>
      <w:r w:rsidRPr="003C2E19">
        <w:t xml:space="preserve">. </w:t>
      </w:r>
      <w:r>
        <w:t>En los párrafos 168 y siguientes del presente informe figuran datos a</w:t>
      </w:r>
      <w:r w:rsidRPr="003C2E19">
        <w:t>dicional</w:t>
      </w:r>
      <w:r>
        <w:t>es</w:t>
      </w:r>
      <w:r w:rsidRPr="003C2E19">
        <w:t xml:space="preserve"> al respecto.</w:t>
      </w:r>
    </w:p>
    <w:p w:rsidR="000100D5" w:rsidRPr="005269E5" w:rsidRDefault="000100D5" w:rsidP="000100D5">
      <w:pPr>
        <w:pStyle w:val="HChG"/>
      </w:pPr>
      <w:r w:rsidRPr="003C2E19">
        <w:tab/>
      </w:r>
      <w:r w:rsidRPr="005269E5">
        <w:t>II.</w:t>
      </w:r>
      <w:r w:rsidRPr="005269E5">
        <w:tab/>
        <w:t>Resp</w:t>
      </w:r>
      <w:r>
        <w:t>uestas a las observaciones y</w:t>
      </w:r>
      <w:r w:rsidRPr="005269E5">
        <w:t xml:space="preserve"> recomenda</w:t>
      </w:r>
      <w:r>
        <w:t>c</w:t>
      </w:r>
      <w:r w:rsidRPr="005269E5">
        <w:t>ion</w:t>
      </w:r>
      <w:r>
        <w:t>e</w:t>
      </w:r>
      <w:r w:rsidRPr="005269E5">
        <w:t>s</w:t>
      </w:r>
      <w:r>
        <w:t xml:space="preserve"> del</w:t>
      </w:r>
      <w:r w:rsidRPr="005269E5">
        <w:t xml:space="preserve"> </w:t>
      </w:r>
      <w:r>
        <w:t>C</w:t>
      </w:r>
      <w:r w:rsidRPr="005269E5">
        <w:t>oordina</w:t>
      </w:r>
      <w:r>
        <w:t>d</w:t>
      </w:r>
      <w:r w:rsidRPr="005269E5">
        <w:t xml:space="preserve">or </w:t>
      </w:r>
      <w:r w:rsidR="00A01A17">
        <w:t>encargado del</w:t>
      </w:r>
      <w:r>
        <w:t xml:space="preserve"> seguimiento del</w:t>
      </w:r>
      <w:r w:rsidRPr="005269E5">
        <w:t xml:space="preserve"> Comit</w:t>
      </w:r>
      <w:r>
        <w:t>é</w:t>
      </w:r>
      <w:r w:rsidRPr="005269E5">
        <w:t xml:space="preserve"> </w:t>
      </w:r>
      <w:r>
        <w:t>para la Eliminació</w:t>
      </w:r>
      <w:r w:rsidRPr="005269E5">
        <w:t xml:space="preserve">n </w:t>
      </w:r>
      <w:r>
        <w:t>de la</w:t>
      </w:r>
      <w:r w:rsidRPr="005269E5">
        <w:t xml:space="preserve"> Discrimina</w:t>
      </w:r>
      <w:r>
        <w:t>c</w:t>
      </w:r>
      <w:r w:rsidRPr="005269E5">
        <w:t>i</w:t>
      </w:r>
      <w:r>
        <w:t>ó</w:t>
      </w:r>
      <w:r w:rsidRPr="005269E5">
        <w:t>n</w:t>
      </w:r>
      <w:r>
        <w:t xml:space="preserve"> Racial</w:t>
      </w:r>
      <w:r w:rsidRPr="00DD3CCD">
        <w:rPr>
          <w:rStyle w:val="FootnoteReference"/>
          <w:b w:val="0"/>
          <w:szCs w:val="18"/>
        </w:rPr>
        <w:footnoteReference w:id="26"/>
      </w:r>
    </w:p>
    <w:p w:rsidR="000100D5" w:rsidRPr="005269E5" w:rsidRDefault="000100D5" w:rsidP="000100D5">
      <w:pPr>
        <w:pStyle w:val="SingleTxtG"/>
      </w:pPr>
      <w:r w:rsidRPr="005269E5">
        <w:t>47.</w:t>
      </w:r>
      <w:r w:rsidRPr="005269E5">
        <w:tab/>
      </w:r>
      <w:r>
        <w:t>Las observaciones finales del</w:t>
      </w:r>
      <w:r w:rsidRPr="005269E5">
        <w:t xml:space="preserve"> </w:t>
      </w:r>
      <w:r w:rsidR="00466CA0">
        <w:t>Coordinador encargado del seguimiento</w:t>
      </w:r>
      <w:r>
        <w:t xml:space="preserve"> se han desglosado bajo los siguientes epígrafes</w:t>
      </w:r>
      <w:r w:rsidRPr="005269E5">
        <w:t>:</w:t>
      </w:r>
    </w:p>
    <w:p w:rsidR="000100D5" w:rsidRPr="005269E5" w:rsidRDefault="000100D5" w:rsidP="000100D5">
      <w:pPr>
        <w:pStyle w:val="SingleTxtG"/>
      </w:pPr>
      <w:r w:rsidRPr="005269E5">
        <w:tab/>
        <w:t>a)</w:t>
      </w:r>
      <w:r w:rsidRPr="005269E5">
        <w:tab/>
      </w:r>
      <w:r>
        <w:t>Aspectos jurídicos y</w:t>
      </w:r>
      <w:r w:rsidRPr="005269E5">
        <w:t xml:space="preserve"> t</w:t>
      </w:r>
      <w:r>
        <w:t>é</w:t>
      </w:r>
      <w:r w:rsidRPr="005269E5">
        <w:t>cnic</w:t>
      </w:r>
      <w:r>
        <w:t>os</w:t>
      </w:r>
      <w:r w:rsidRPr="005269E5">
        <w:t>;</w:t>
      </w:r>
    </w:p>
    <w:p w:rsidR="000100D5" w:rsidRPr="005269E5" w:rsidRDefault="000100D5" w:rsidP="000100D5">
      <w:pPr>
        <w:pStyle w:val="SingleTxtG"/>
      </w:pPr>
      <w:r w:rsidRPr="005269E5">
        <w:tab/>
        <w:t>b)</w:t>
      </w:r>
      <w:r>
        <w:tab/>
        <w:t>Grupos vulnerables</w:t>
      </w:r>
      <w:r w:rsidRPr="005269E5">
        <w:t>;</w:t>
      </w:r>
    </w:p>
    <w:p w:rsidR="000100D5" w:rsidRPr="005269E5" w:rsidRDefault="000100D5" w:rsidP="000100D5">
      <w:pPr>
        <w:pStyle w:val="SingleTxtG"/>
      </w:pPr>
      <w:r w:rsidRPr="005269E5">
        <w:tab/>
        <w:t>c)</w:t>
      </w:r>
      <w:r>
        <w:tab/>
        <w:t>Educac</w:t>
      </w:r>
      <w:r w:rsidRPr="005269E5">
        <w:t>i</w:t>
      </w:r>
      <w:r>
        <w:t>ón</w:t>
      </w:r>
      <w:r w:rsidRPr="005269E5">
        <w:t>;</w:t>
      </w:r>
    </w:p>
    <w:p w:rsidR="000100D5" w:rsidRPr="005269E5" w:rsidRDefault="000100D5" w:rsidP="000100D5">
      <w:pPr>
        <w:pStyle w:val="SingleTxtG"/>
      </w:pPr>
      <w:r w:rsidRPr="005269E5">
        <w:tab/>
        <w:t>d)</w:t>
      </w:r>
      <w:r w:rsidRPr="005269E5">
        <w:tab/>
        <w:t xml:space="preserve">Consulta </w:t>
      </w:r>
      <w:r>
        <w:t>y diálogo permanente</w:t>
      </w:r>
      <w:r w:rsidRPr="005269E5">
        <w:t>.</w:t>
      </w:r>
    </w:p>
    <w:p w:rsidR="000100D5" w:rsidRPr="003C2E19" w:rsidRDefault="000100D5" w:rsidP="000100D5">
      <w:pPr>
        <w:pStyle w:val="SingleTxtG"/>
      </w:pPr>
      <w:r w:rsidRPr="005269E5">
        <w:t>48.</w:t>
      </w:r>
      <w:r w:rsidRPr="005269E5">
        <w:tab/>
      </w:r>
      <w:r>
        <w:t>Las observaciones finales</w:t>
      </w:r>
      <w:r w:rsidRPr="005269E5">
        <w:t xml:space="preserve"> </w:t>
      </w:r>
      <w:r>
        <w:t>van desde</w:t>
      </w:r>
      <w:r w:rsidRPr="005269E5">
        <w:t xml:space="preserve"> recomenda</w:t>
      </w:r>
      <w:r>
        <w:t>c</w:t>
      </w:r>
      <w:r w:rsidRPr="005269E5">
        <w:t>ion</w:t>
      </w:r>
      <w:r>
        <w:t>e</w:t>
      </w:r>
      <w:r w:rsidRPr="005269E5">
        <w:t xml:space="preserve">s </w:t>
      </w:r>
      <w:r>
        <w:t>a</w:t>
      </w:r>
      <w:r w:rsidRPr="005269E5">
        <w:t xml:space="preserve"> </w:t>
      </w:r>
      <w:r>
        <w:t>c</w:t>
      </w:r>
      <w:r w:rsidRPr="005269E5">
        <w:t>oment</w:t>
      </w:r>
      <w:r>
        <w:t>ario</w:t>
      </w:r>
      <w:r w:rsidRPr="005269E5">
        <w:t xml:space="preserve">s </w:t>
      </w:r>
      <w:r>
        <w:t>y figuran en los</w:t>
      </w:r>
      <w:r w:rsidRPr="005269E5">
        <w:t xml:space="preserve"> p</w:t>
      </w:r>
      <w:r>
        <w:t>á</w:t>
      </w:r>
      <w:r w:rsidRPr="005269E5">
        <w:t>r</w:t>
      </w:r>
      <w:r>
        <w:t>r</w:t>
      </w:r>
      <w:r w:rsidRPr="005269E5">
        <w:t>a</w:t>
      </w:r>
      <w:r>
        <w:t>fos</w:t>
      </w:r>
      <w:r w:rsidRPr="005269E5">
        <w:t xml:space="preserve"> 5</w:t>
      </w:r>
      <w:r>
        <w:t xml:space="preserve"> a </w:t>
      </w:r>
      <w:r w:rsidRPr="005269E5">
        <w:t xml:space="preserve">26 </w:t>
      </w:r>
      <w:r>
        <w:t xml:space="preserve">del informe del Coordinador </w:t>
      </w:r>
      <w:r w:rsidR="00A01A17">
        <w:t>encargado del</w:t>
      </w:r>
      <w:r>
        <w:t xml:space="preserve"> seguimiento</w:t>
      </w:r>
      <w:r w:rsidRPr="005269E5">
        <w:t xml:space="preserve">. </w:t>
      </w:r>
      <w:r w:rsidRPr="003C2E19">
        <w:t>La Parte II del presente informe contiene las respuestas de Irlanda a las observaciones finales y ofrece un p</w:t>
      </w:r>
      <w:r>
        <w:t>anorama de las medidas tomadas para abordar cada una de las cuestiones planteadas.</w:t>
      </w:r>
    </w:p>
    <w:p w:rsidR="000100D5" w:rsidRPr="005269E5" w:rsidRDefault="000100D5" w:rsidP="000100D5">
      <w:pPr>
        <w:pStyle w:val="H1G"/>
      </w:pPr>
      <w:r w:rsidRPr="003C2E19">
        <w:tab/>
      </w:r>
      <w:r w:rsidRPr="005269E5">
        <w:t>A.</w:t>
      </w:r>
      <w:r w:rsidRPr="005269E5">
        <w:tab/>
      </w:r>
      <w:r>
        <w:t>Aspectos jurídicos y</w:t>
      </w:r>
      <w:r w:rsidRPr="005269E5">
        <w:t xml:space="preserve"> t</w:t>
      </w:r>
      <w:r>
        <w:t>é</w:t>
      </w:r>
      <w:r w:rsidRPr="005269E5">
        <w:t>cnic</w:t>
      </w:r>
      <w:r>
        <w:t>os</w:t>
      </w:r>
    </w:p>
    <w:p w:rsidR="000100D5" w:rsidRPr="001F5E88" w:rsidRDefault="000100D5" w:rsidP="000100D5">
      <w:pPr>
        <w:pStyle w:val="H23G"/>
      </w:pPr>
      <w:r w:rsidRPr="005269E5">
        <w:tab/>
      </w:r>
      <w:r w:rsidRPr="005269E5">
        <w:tab/>
      </w:r>
      <w:r w:rsidRPr="001F5E88">
        <w:t xml:space="preserve">Respuesta a las recomendaciones contenidas en el párrafo 5 del informe del Coordinador </w:t>
      </w:r>
      <w:r w:rsidR="00A01A17">
        <w:t>encargado</w:t>
      </w:r>
      <w:r>
        <w:t xml:space="preserve"> </w:t>
      </w:r>
      <w:r w:rsidR="00A01A17">
        <w:t>d</w:t>
      </w:r>
      <w:r>
        <w:t>el seguimiento</w:t>
      </w:r>
    </w:p>
    <w:p w:rsidR="000100D5" w:rsidRPr="0078664A" w:rsidRDefault="000100D5" w:rsidP="000100D5">
      <w:pPr>
        <w:pStyle w:val="SingleTxtG"/>
      </w:pPr>
      <w:r w:rsidRPr="005269E5">
        <w:t>49.</w:t>
      </w:r>
      <w:r w:rsidRPr="005269E5">
        <w:tab/>
      </w:r>
      <w:r>
        <w:t>El</w:t>
      </w:r>
      <w:r w:rsidRPr="005269E5">
        <w:t xml:space="preserve"> Go</w:t>
      </w:r>
      <w:r>
        <w:t>bi</w:t>
      </w:r>
      <w:r w:rsidRPr="005269E5">
        <w:t>ern</w:t>
      </w:r>
      <w:r>
        <w:t>o de</w:t>
      </w:r>
      <w:r w:rsidRPr="005269E5">
        <w:t xml:space="preserve"> Irland</w:t>
      </w:r>
      <w:r>
        <w:t>a</w:t>
      </w:r>
      <w:r w:rsidRPr="005269E5">
        <w:t xml:space="preserve"> </w:t>
      </w:r>
      <w:r>
        <w:t xml:space="preserve">toma </w:t>
      </w:r>
      <w:r w:rsidRPr="005269E5">
        <w:t>not</w:t>
      </w:r>
      <w:r>
        <w:t>a de la</w:t>
      </w:r>
      <w:r w:rsidRPr="005269E5">
        <w:t xml:space="preserve"> recomenda</w:t>
      </w:r>
      <w:r>
        <w:t>c</w:t>
      </w:r>
      <w:r w:rsidRPr="005269E5">
        <w:t>i</w:t>
      </w:r>
      <w:r>
        <w:t>ón del Coordinador, pero señala también que la</w:t>
      </w:r>
      <w:r w:rsidRPr="005269E5">
        <w:t xml:space="preserve"> Conven</w:t>
      </w:r>
      <w:r>
        <w:t>c</w:t>
      </w:r>
      <w:r w:rsidRPr="005269E5">
        <w:t>i</w:t>
      </w:r>
      <w:r>
        <w:t>ó</w:t>
      </w:r>
      <w:r w:rsidRPr="005269E5">
        <w:t xml:space="preserve">n </w:t>
      </w:r>
      <w:r>
        <w:t>no impone a los</w:t>
      </w:r>
      <w:r w:rsidRPr="005269E5">
        <w:t xml:space="preserve"> </w:t>
      </w:r>
      <w:r>
        <w:t>Es</w:t>
      </w:r>
      <w:r w:rsidRPr="005269E5">
        <w:t>ta</w:t>
      </w:r>
      <w:r>
        <w:t>dos</w:t>
      </w:r>
      <w:r w:rsidRPr="005269E5">
        <w:t xml:space="preserve"> Partes </w:t>
      </w:r>
      <w:r>
        <w:t>la obligación de</w:t>
      </w:r>
      <w:r w:rsidRPr="005269E5">
        <w:t xml:space="preserve"> incorpora</w:t>
      </w:r>
      <w:r>
        <w:t>r las</w:t>
      </w:r>
      <w:r w:rsidRPr="005269E5">
        <w:t xml:space="preserve"> </w:t>
      </w:r>
      <w:r>
        <w:t>disposiciones de ese instrumento</w:t>
      </w:r>
      <w:r w:rsidRPr="005269E5">
        <w:t xml:space="preserve"> </w:t>
      </w:r>
      <w:r>
        <w:t xml:space="preserve">a la legislación </w:t>
      </w:r>
      <w:r w:rsidRPr="005269E5">
        <w:t>int</w:t>
      </w:r>
      <w:r>
        <w:t>erna</w:t>
      </w:r>
      <w:r w:rsidRPr="005269E5">
        <w:t xml:space="preserve">. </w:t>
      </w:r>
      <w:r w:rsidRPr="00043C1C">
        <w:t xml:space="preserve">Irlanda considera que cuenta con medidas adecuadas para </w:t>
      </w:r>
      <w:r>
        <w:t>hacer frente</w:t>
      </w:r>
      <w:r w:rsidRPr="00043C1C">
        <w:t xml:space="preserve"> </w:t>
      </w:r>
      <w:r>
        <w:t>a</w:t>
      </w:r>
      <w:r w:rsidRPr="00043C1C">
        <w:t>l racismo y la discriminación racial en su legislación interna</w:t>
      </w:r>
      <w:r>
        <w:t>, que incluye la Ley de 2003 sobre el Convenio</w:t>
      </w:r>
      <w:r w:rsidRPr="00043C1C">
        <w:t xml:space="preserve"> Europe</w:t>
      </w:r>
      <w:r>
        <w:t>o de Derechos</w:t>
      </w:r>
      <w:r w:rsidRPr="00043C1C">
        <w:t xml:space="preserve"> Human</w:t>
      </w:r>
      <w:r>
        <w:t>os y la</w:t>
      </w:r>
      <w:r w:rsidRPr="00043C1C">
        <w:t xml:space="preserve"> Constitu</w:t>
      </w:r>
      <w:r>
        <w:t>c</w:t>
      </w:r>
      <w:r w:rsidRPr="00043C1C">
        <w:t>i</w:t>
      </w:r>
      <w:r>
        <w:t>ó</w:t>
      </w:r>
      <w:r w:rsidRPr="00043C1C">
        <w:t xml:space="preserve">n. </w:t>
      </w:r>
      <w:r>
        <w:t xml:space="preserve">Estima, por tanto, que no necesita </w:t>
      </w:r>
      <w:r w:rsidRPr="0078664A">
        <w:t>incorpora</w:t>
      </w:r>
      <w:r>
        <w:t xml:space="preserve">r </w:t>
      </w:r>
      <w:r w:rsidR="00A01A17">
        <w:t>la Convención</w:t>
      </w:r>
      <w:r w:rsidRPr="0078664A">
        <w:t xml:space="preserve"> </w:t>
      </w:r>
      <w:r>
        <w:t xml:space="preserve">a la </w:t>
      </w:r>
      <w:r w:rsidRPr="0078664A">
        <w:t>legisla</w:t>
      </w:r>
      <w:r>
        <w:t>c</w:t>
      </w:r>
      <w:r w:rsidRPr="0078664A">
        <w:t>i</w:t>
      </w:r>
      <w:r>
        <w:t>ó</w:t>
      </w:r>
      <w:r w:rsidRPr="0078664A">
        <w:t>n</w:t>
      </w:r>
      <w:r>
        <w:t xml:space="preserve"> interna</w:t>
      </w:r>
      <w:r w:rsidRPr="0078664A">
        <w:t>.</w:t>
      </w:r>
    </w:p>
    <w:p w:rsidR="000100D5" w:rsidRPr="005269E5" w:rsidRDefault="000100D5" w:rsidP="000100D5">
      <w:pPr>
        <w:pStyle w:val="SingleTxtG"/>
      </w:pPr>
      <w:r w:rsidRPr="005269E5">
        <w:t>50.</w:t>
      </w:r>
      <w:r w:rsidRPr="005269E5">
        <w:tab/>
      </w:r>
      <w:r>
        <w:t xml:space="preserve">En cuanto a la sensibilización de la opinión pública respecto </w:t>
      </w:r>
      <w:r w:rsidR="00A01A17">
        <w:t>de la Convención</w:t>
      </w:r>
      <w:r w:rsidRPr="005269E5">
        <w:t xml:space="preserve">, </w:t>
      </w:r>
      <w:r>
        <w:t>sírvanse consultar la</w:t>
      </w:r>
      <w:r w:rsidRPr="005269E5">
        <w:t xml:space="preserve"> resp</w:t>
      </w:r>
      <w:r>
        <w:t>uesta contenida en el</w:t>
      </w:r>
      <w:r w:rsidRPr="005269E5">
        <w:t xml:space="preserve"> p</w:t>
      </w:r>
      <w:r>
        <w:t>ár</w:t>
      </w:r>
      <w:r w:rsidRPr="005269E5">
        <w:t>ra</w:t>
      </w:r>
      <w:r>
        <w:t>fo</w:t>
      </w:r>
      <w:r w:rsidRPr="005269E5">
        <w:t xml:space="preserve"> 129 </w:t>
      </w:r>
      <w:r>
        <w:t>a la observación final que figura en el</w:t>
      </w:r>
      <w:r w:rsidRPr="005269E5">
        <w:t xml:space="preserve"> p</w:t>
      </w:r>
      <w:r>
        <w:t>ár</w:t>
      </w:r>
      <w:r w:rsidRPr="005269E5">
        <w:t>ra</w:t>
      </w:r>
      <w:r>
        <w:t>fo</w:t>
      </w:r>
      <w:r w:rsidRPr="005269E5">
        <w:t xml:space="preserve"> 23 </w:t>
      </w:r>
      <w:r>
        <w:t>de las observaciones del C</w:t>
      </w:r>
      <w:r w:rsidRPr="005269E5">
        <w:t>oordina</w:t>
      </w:r>
      <w:r>
        <w:t>d</w:t>
      </w:r>
      <w:r w:rsidRPr="005269E5">
        <w:t>or</w:t>
      </w:r>
      <w:r>
        <w:t xml:space="preserve"> </w:t>
      </w:r>
      <w:r w:rsidR="00A01A17">
        <w:t>encargado</w:t>
      </w:r>
      <w:r>
        <w:t xml:space="preserve"> </w:t>
      </w:r>
      <w:r w:rsidR="00A01A17">
        <w:t>d</w:t>
      </w:r>
      <w:r>
        <w:t>el seguimiento</w:t>
      </w:r>
      <w:r w:rsidRPr="005269E5">
        <w:t>.</w:t>
      </w:r>
    </w:p>
    <w:p w:rsidR="000100D5" w:rsidRPr="00AC1035" w:rsidRDefault="000100D5" w:rsidP="000100D5">
      <w:pPr>
        <w:pStyle w:val="H23G"/>
      </w:pPr>
      <w:r w:rsidRPr="005269E5">
        <w:tab/>
      </w:r>
      <w:r w:rsidRPr="005269E5">
        <w:tab/>
      </w:r>
      <w:r w:rsidR="00F87083">
        <w:t>Respuesta a la recomendación</w:t>
      </w:r>
      <w:r w:rsidRPr="00AC1035">
        <w:t xml:space="preserve"> contenida en el párrafo 6 del informe del Coordinador </w:t>
      </w:r>
      <w:r w:rsidR="00A01A17">
        <w:t>encargado</w:t>
      </w:r>
      <w:r w:rsidRPr="00AC1035">
        <w:t xml:space="preserve"> </w:t>
      </w:r>
      <w:r w:rsidR="00A01A17">
        <w:t>d</w:t>
      </w:r>
      <w:r w:rsidRPr="00AC1035">
        <w:t>el</w:t>
      </w:r>
      <w:r>
        <w:t xml:space="preserve"> seguimiento</w:t>
      </w:r>
    </w:p>
    <w:p w:rsidR="000100D5" w:rsidRPr="00895014" w:rsidRDefault="000100D5" w:rsidP="000100D5">
      <w:pPr>
        <w:pStyle w:val="SingleTxtG"/>
      </w:pPr>
      <w:r w:rsidRPr="005269E5">
        <w:t>51.</w:t>
      </w:r>
      <w:r w:rsidRPr="005269E5">
        <w:tab/>
      </w:r>
      <w:r>
        <w:t>No existe en la actualidad ninguna disposición de derecho penal que tipifique los delitos</w:t>
      </w:r>
      <w:r w:rsidRPr="005269E5">
        <w:t xml:space="preserve"> racist</w:t>
      </w:r>
      <w:r>
        <w:t>as e</w:t>
      </w:r>
      <w:r w:rsidRPr="005269E5">
        <w:t xml:space="preserve">n </w:t>
      </w:r>
      <w:r>
        <w:t>la legislación irlandesa</w:t>
      </w:r>
      <w:r w:rsidRPr="005269E5">
        <w:t xml:space="preserve">. </w:t>
      </w:r>
      <w:r w:rsidRPr="00AC1035">
        <w:t xml:space="preserve">El Centro de Investigación en materia de Derecho Penal </w:t>
      </w:r>
      <w:r>
        <w:t xml:space="preserve">de la Universidad de Limerick </w:t>
      </w:r>
      <w:r w:rsidRPr="00AC1035">
        <w:t>est</w:t>
      </w:r>
      <w:r>
        <w:t>uvo</w:t>
      </w:r>
      <w:r w:rsidRPr="00AC1035">
        <w:t xml:space="preserve"> estudiando es</w:t>
      </w:r>
      <w:r>
        <w:t>a cuestión</w:t>
      </w:r>
      <w:r w:rsidRPr="00AC1035">
        <w:t xml:space="preserve">. </w:t>
      </w:r>
      <w:r>
        <w:t>El</w:t>
      </w:r>
      <w:r w:rsidRPr="00895014">
        <w:t xml:space="preserve"> 18 de</w:t>
      </w:r>
      <w:r w:rsidR="005007D6">
        <w:t xml:space="preserve"> </w:t>
      </w:r>
      <w:r w:rsidRPr="00895014">
        <w:t xml:space="preserve">diciembre de 2008 publicó sus conclusiones. </w:t>
      </w:r>
    </w:p>
    <w:p w:rsidR="000100D5" w:rsidRPr="00895014" w:rsidRDefault="000100D5" w:rsidP="000100D5">
      <w:pPr>
        <w:pStyle w:val="SingleTxtG"/>
      </w:pPr>
      <w:r w:rsidRPr="005269E5">
        <w:t>52.</w:t>
      </w:r>
      <w:r w:rsidRPr="005269E5">
        <w:tab/>
      </w:r>
      <w:r>
        <w:t>El informe,</w:t>
      </w:r>
      <w:r w:rsidRPr="005269E5">
        <w:t xml:space="preserve"> tit</w:t>
      </w:r>
      <w:r>
        <w:t>u</w:t>
      </w:r>
      <w:r w:rsidRPr="005269E5">
        <w:t>l</w:t>
      </w:r>
      <w:r>
        <w:t>a</w:t>
      </w:r>
      <w:r w:rsidRPr="005269E5">
        <w:t>d</w:t>
      </w:r>
      <w:r>
        <w:t>o</w:t>
      </w:r>
      <w:r w:rsidRPr="005269E5">
        <w:t xml:space="preserve"> </w:t>
      </w:r>
      <w:r w:rsidR="00E03EF2">
        <w:t>"</w:t>
      </w:r>
      <w:r w:rsidRPr="005269E5">
        <w:t>Combating Racism and Xenophobia through the Criminal Law</w:t>
      </w:r>
      <w:r w:rsidR="00E03EF2">
        <w:t>"</w:t>
      </w:r>
      <w:r w:rsidRPr="005269E5">
        <w:t xml:space="preserve"> </w:t>
      </w:r>
      <w:r>
        <w:t>(Combatir el racismo y la xenofobia con el derecho penal) solicita, entre otros, a los jueces que</w:t>
      </w:r>
      <w:r w:rsidRPr="005269E5">
        <w:t xml:space="preserve"> impo</w:t>
      </w:r>
      <w:r>
        <w:t>ngan condenas más severas a los que cometan delitos en los que el racismo constituya una circunstancia agravante</w:t>
      </w:r>
      <w:r w:rsidRPr="005269E5">
        <w:t xml:space="preserve">. </w:t>
      </w:r>
      <w:r w:rsidRPr="00895014">
        <w:t>Los autores del informe de investigación afirmaron también que no bastaría con introduc</w:t>
      </w:r>
      <w:r>
        <w:t>i</w:t>
      </w:r>
      <w:r w:rsidRPr="00895014">
        <w:t>r modificaciones en la legislaci</w:t>
      </w:r>
      <w:r>
        <w:t>ón penal</w:t>
      </w:r>
      <w:r w:rsidRPr="00895014">
        <w:t xml:space="preserve">. </w:t>
      </w:r>
      <w:r w:rsidR="00A01A17">
        <w:t>Dijeron</w:t>
      </w:r>
      <w:r w:rsidRPr="00AF733E">
        <w:t xml:space="preserve"> que estaba claramente demostrado, tanto a nivel nacional como internacional, </w:t>
      </w:r>
      <w:r>
        <w:t>que sería mucho más rentable invertir recursos más cuantiosos en medidas sociales y</w:t>
      </w:r>
      <w:r w:rsidRPr="00AF733E">
        <w:t xml:space="preserve"> educati</w:t>
      </w:r>
      <w:r>
        <w:t>vas.</w:t>
      </w:r>
      <w:r w:rsidR="005007D6">
        <w:t xml:space="preserve"> </w:t>
      </w:r>
      <w:r w:rsidRPr="00895014">
        <w:t>Puede consultarse el informe en el sitio web de la Ofic</w:t>
      </w:r>
      <w:r>
        <w:t>ina</w:t>
      </w:r>
      <w:r w:rsidRPr="00895014">
        <w:t xml:space="preserve"> </w:t>
      </w:r>
      <w:r>
        <w:t>del</w:t>
      </w:r>
      <w:r w:rsidRPr="00895014">
        <w:t xml:space="preserve"> Ministr</w:t>
      </w:r>
      <w:r>
        <w:t>o para la</w:t>
      </w:r>
      <w:r w:rsidRPr="00895014">
        <w:t xml:space="preserve"> Integra</w:t>
      </w:r>
      <w:r>
        <w:t>c</w:t>
      </w:r>
      <w:r w:rsidRPr="00895014">
        <w:t>i</w:t>
      </w:r>
      <w:r>
        <w:t>ó</w:t>
      </w:r>
      <w:r w:rsidRPr="00895014">
        <w:t>n</w:t>
      </w:r>
      <w:r w:rsidRPr="005269E5">
        <w:rPr>
          <w:rStyle w:val="FootnoteReference"/>
        </w:rPr>
        <w:footnoteReference w:id="27"/>
      </w:r>
      <w:r w:rsidR="001F5C61">
        <w:t>.</w:t>
      </w:r>
    </w:p>
    <w:p w:rsidR="000100D5" w:rsidRPr="00AF733E" w:rsidRDefault="000100D5" w:rsidP="000100D5">
      <w:pPr>
        <w:pStyle w:val="SingleTxtG"/>
      </w:pPr>
      <w:r w:rsidRPr="005269E5">
        <w:t>53.</w:t>
      </w:r>
      <w:r w:rsidRPr="005269E5">
        <w:tab/>
      </w:r>
      <w:r>
        <w:t>Se están examinando las</w:t>
      </w:r>
      <w:r w:rsidRPr="005269E5">
        <w:t xml:space="preserve"> recomenda</w:t>
      </w:r>
      <w:r>
        <w:t>c</w:t>
      </w:r>
      <w:r w:rsidRPr="005269E5">
        <w:t>ion</w:t>
      </w:r>
      <w:r>
        <w:t>e</w:t>
      </w:r>
      <w:r w:rsidRPr="005269E5">
        <w:t xml:space="preserve">s </w:t>
      </w:r>
      <w:r>
        <w:t>del informe en el</w:t>
      </w:r>
      <w:r w:rsidRPr="005269E5">
        <w:t xml:space="preserve"> context</w:t>
      </w:r>
      <w:r>
        <w:t>o</w:t>
      </w:r>
      <w:r w:rsidRPr="005269E5">
        <w:t xml:space="preserve"> </w:t>
      </w:r>
      <w:r>
        <w:t>de la revisión en curso de la</w:t>
      </w:r>
      <w:r w:rsidRPr="005269E5">
        <w:t xml:space="preserve"> </w:t>
      </w:r>
      <w:r>
        <w:t>Ley de p</w:t>
      </w:r>
      <w:r w:rsidRPr="005269E5">
        <w:t>rohibi</w:t>
      </w:r>
      <w:r>
        <w:t>c</w:t>
      </w:r>
      <w:r w:rsidRPr="005269E5">
        <w:t>i</w:t>
      </w:r>
      <w:r>
        <w:t>ó</w:t>
      </w:r>
      <w:r w:rsidRPr="005269E5">
        <w:t xml:space="preserve">n </w:t>
      </w:r>
      <w:r>
        <w:t>de la</w:t>
      </w:r>
      <w:r w:rsidRPr="005269E5">
        <w:t xml:space="preserve"> </w:t>
      </w:r>
      <w:r>
        <w:t>i</w:t>
      </w:r>
      <w:r w:rsidRPr="005269E5">
        <w:t>ncit</w:t>
      </w:r>
      <w:r>
        <w:t>ación al odio, de</w:t>
      </w:r>
      <w:r w:rsidRPr="005269E5">
        <w:t xml:space="preserve"> 1989. </w:t>
      </w:r>
      <w:r w:rsidRPr="00AF733E">
        <w:t xml:space="preserve">Véase asimismo la respuesta de Irlanda </w:t>
      </w:r>
      <w:r>
        <w:t>relativa</w:t>
      </w:r>
      <w:r w:rsidRPr="00AF733E">
        <w:t xml:space="preserve"> al artículo 4 2) de la Convención sobre la Eliminaci</w:t>
      </w:r>
      <w:r>
        <w:t>ón de todas las Formas de Discriminación Racial</w:t>
      </w:r>
      <w:r w:rsidRPr="00AF733E">
        <w:t xml:space="preserve"> </w:t>
      </w:r>
      <w:r>
        <w:t xml:space="preserve">en los </w:t>
      </w:r>
      <w:r w:rsidRPr="00AF733E">
        <w:t>p</w:t>
      </w:r>
      <w:r>
        <w:t>ár</w:t>
      </w:r>
      <w:r w:rsidRPr="00AF733E">
        <w:t>ra</w:t>
      </w:r>
      <w:r>
        <w:t>fos</w:t>
      </w:r>
      <w:r w:rsidRPr="00AF733E">
        <w:t xml:space="preserve"> 210</w:t>
      </w:r>
      <w:r>
        <w:t xml:space="preserve"> a </w:t>
      </w:r>
      <w:r w:rsidRPr="00AF733E">
        <w:t xml:space="preserve">214 </w:t>
      </w:r>
      <w:r>
        <w:t>de la Parte</w:t>
      </w:r>
      <w:r w:rsidRPr="00AF733E">
        <w:t xml:space="preserve"> III </w:t>
      </w:r>
      <w:r>
        <w:t>del presente informe</w:t>
      </w:r>
      <w:r w:rsidRPr="00AF733E">
        <w:t>.</w:t>
      </w:r>
    </w:p>
    <w:p w:rsidR="000100D5" w:rsidRPr="00AA4F0B" w:rsidRDefault="000100D5" w:rsidP="000100D5">
      <w:pPr>
        <w:pStyle w:val="H23G"/>
      </w:pPr>
      <w:r w:rsidRPr="00AF733E">
        <w:tab/>
      </w:r>
      <w:r w:rsidRPr="00AF733E">
        <w:tab/>
      </w:r>
      <w:r w:rsidRPr="00AA4F0B">
        <w:t>Respuesta a la recomendación contenida en el párrafo 7 del informe del Coordina</w:t>
      </w:r>
      <w:r>
        <w:t>d</w:t>
      </w:r>
      <w:r w:rsidRPr="00AA4F0B">
        <w:t xml:space="preserve">or </w:t>
      </w:r>
      <w:r w:rsidR="00A01A17">
        <w:t>encargado</w:t>
      </w:r>
      <w:r>
        <w:t xml:space="preserve"> </w:t>
      </w:r>
      <w:r w:rsidR="00A01A17">
        <w:t>d</w:t>
      </w:r>
      <w:r>
        <w:t>el seguimiento</w:t>
      </w:r>
    </w:p>
    <w:p w:rsidR="000100D5" w:rsidRPr="005269E5" w:rsidRDefault="000100D5" w:rsidP="000100D5">
      <w:pPr>
        <w:pStyle w:val="H23G"/>
      </w:pPr>
      <w:r w:rsidRPr="00AA4F0B">
        <w:rPr>
          <w:i/>
        </w:rPr>
        <w:tab/>
      </w:r>
      <w:r w:rsidRPr="005269E5">
        <w:t>1.</w:t>
      </w:r>
      <w:r w:rsidRPr="005269E5">
        <w:tab/>
        <w:t>Of</w:t>
      </w:r>
      <w:r>
        <w:t>icina del Defensor de la</w:t>
      </w:r>
      <w:r w:rsidRPr="005269E5">
        <w:t xml:space="preserve"> Pre</w:t>
      </w:r>
      <w:r>
        <w:t>n</w:t>
      </w:r>
      <w:r w:rsidRPr="005269E5">
        <w:t>s</w:t>
      </w:r>
      <w:r>
        <w:t>a</w:t>
      </w:r>
      <w:r w:rsidRPr="005269E5">
        <w:t xml:space="preserve"> </w:t>
      </w:r>
      <w:r>
        <w:t>y del Consejo de la</w:t>
      </w:r>
      <w:r w:rsidRPr="005269E5">
        <w:t xml:space="preserve"> Pre</w:t>
      </w:r>
      <w:r>
        <w:t>n</w:t>
      </w:r>
      <w:r w:rsidRPr="005269E5">
        <w:t>s</w:t>
      </w:r>
      <w:r>
        <w:t>a de</w:t>
      </w:r>
      <w:r w:rsidRPr="005269E5">
        <w:t xml:space="preserve"> Irland</w:t>
      </w:r>
      <w:r>
        <w:t>a</w:t>
      </w:r>
      <w:r w:rsidRPr="005269E5">
        <w:rPr>
          <w:rStyle w:val="FootnoteReference"/>
          <w:b w:val="0"/>
        </w:rPr>
        <w:footnoteReference w:id="28"/>
      </w:r>
    </w:p>
    <w:p w:rsidR="000100D5" w:rsidRPr="00467FC3" w:rsidRDefault="000100D5" w:rsidP="000100D5">
      <w:pPr>
        <w:pStyle w:val="SingleTxtG"/>
      </w:pPr>
      <w:r w:rsidRPr="005269E5">
        <w:t>54.</w:t>
      </w:r>
      <w:r w:rsidRPr="005269E5">
        <w:tab/>
      </w:r>
      <w:r>
        <w:t>El</w:t>
      </w:r>
      <w:r w:rsidRPr="005269E5">
        <w:t xml:space="preserve"> 2 </w:t>
      </w:r>
      <w:r>
        <w:t>de enero de</w:t>
      </w:r>
      <w:r w:rsidRPr="005269E5">
        <w:t xml:space="preserve"> 2008 </w:t>
      </w:r>
      <w:r>
        <w:t>se creó</w:t>
      </w:r>
      <w:r w:rsidR="00A01A17">
        <w:t>, a iniciativa del sector de la prensa,</w:t>
      </w:r>
      <w:r>
        <w:t xml:space="preserve"> la</w:t>
      </w:r>
      <w:r w:rsidRPr="005269E5">
        <w:t xml:space="preserve"> Ofic</w:t>
      </w:r>
      <w:r>
        <w:t>ina del Defensor de la</w:t>
      </w:r>
      <w:r w:rsidRPr="005269E5">
        <w:t xml:space="preserve"> Pre</w:t>
      </w:r>
      <w:r>
        <w:t>n</w:t>
      </w:r>
      <w:r w:rsidRPr="005269E5">
        <w:t>s</w:t>
      </w:r>
      <w:r>
        <w:t>a</w:t>
      </w:r>
      <w:r w:rsidRPr="005269E5">
        <w:t xml:space="preserve"> </w:t>
      </w:r>
      <w:r>
        <w:t>y el Consejo de</w:t>
      </w:r>
      <w:r w:rsidRPr="005269E5">
        <w:t xml:space="preserve"> Pre</w:t>
      </w:r>
      <w:r>
        <w:t>n</w:t>
      </w:r>
      <w:r w:rsidRPr="005269E5">
        <w:t>s</w:t>
      </w:r>
      <w:r>
        <w:t>a</w:t>
      </w:r>
      <w:r w:rsidRPr="005269E5">
        <w:t xml:space="preserve"> </w:t>
      </w:r>
      <w:r>
        <w:t xml:space="preserve">de </w:t>
      </w:r>
      <w:r w:rsidRPr="005269E5">
        <w:t>Irland</w:t>
      </w:r>
      <w:r w:rsidR="00A01A17">
        <w:t>a</w:t>
      </w:r>
      <w:r w:rsidRPr="005269E5">
        <w:t xml:space="preserve">. </w:t>
      </w:r>
      <w:r w:rsidR="00A01A17">
        <w:t>Estos órganos a</w:t>
      </w:r>
      <w:r w:rsidRPr="00FA6EF6">
        <w:t xml:space="preserve">portan un nuevo sistema de normas independientes </w:t>
      </w:r>
      <w:r>
        <w:t>para los medios de comunicación impresos</w:t>
      </w:r>
      <w:r w:rsidRPr="00FA6EF6">
        <w:t xml:space="preserve"> </w:t>
      </w:r>
      <w:r>
        <w:t>e</w:t>
      </w:r>
      <w:r w:rsidRPr="00FA6EF6">
        <w:t>n Irland</w:t>
      </w:r>
      <w:r>
        <w:t>a</w:t>
      </w:r>
      <w:r w:rsidR="005E4658">
        <w:t>. El </w:t>
      </w:r>
      <w:r w:rsidRPr="00FA6EF6">
        <w:t>Consejo de Prensa de Irlanda es el órgano</w:t>
      </w:r>
      <w:r>
        <w:t xml:space="preserve"> que designa al Defensor de la</w:t>
      </w:r>
      <w:r w:rsidRPr="00FA6EF6">
        <w:t xml:space="preserve"> Pre</w:t>
      </w:r>
      <w:r>
        <w:t>n</w:t>
      </w:r>
      <w:r w:rsidRPr="00FA6EF6">
        <w:t>s</w:t>
      </w:r>
      <w:r>
        <w:t>a.</w:t>
      </w:r>
      <w:r w:rsidRPr="00FA6EF6">
        <w:t xml:space="preserve"> </w:t>
      </w:r>
      <w:r w:rsidRPr="000D0B92">
        <w:t>Toma</w:t>
      </w:r>
      <w:r w:rsidR="005007D6">
        <w:t xml:space="preserve"> </w:t>
      </w:r>
      <w:r w:rsidRPr="000D0B92">
        <w:t>decisiones en los casos de mayor repercusión o complejidad</w:t>
      </w:r>
      <w:r w:rsidR="005007D6">
        <w:t xml:space="preserve"> </w:t>
      </w:r>
      <w:r w:rsidRPr="000D0B92">
        <w:t>remitidos por el Defensor de la Prensa y</w:t>
      </w:r>
      <w:r>
        <w:t xml:space="preserve"> </w:t>
      </w:r>
      <w:r w:rsidRPr="000D0B92">
        <w:t>tambi</w:t>
      </w:r>
      <w:r>
        <w:t xml:space="preserve">én en </w:t>
      </w:r>
      <w:r w:rsidR="00A01A17">
        <w:t>los recursos contra decisiones del</w:t>
      </w:r>
      <w:r>
        <w:t xml:space="preserve"> Defensor.</w:t>
      </w:r>
      <w:r w:rsidRPr="000D0B92">
        <w:t xml:space="preserve"> </w:t>
      </w:r>
      <w:r w:rsidRPr="00467FC3">
        <w:t xml:space="preserve">La misión de este último consiste en investigar las </w:t>
      </w:r>
      <w:r>
        <w:t>quejas</w:t>
      </w:r>
      <w:r w:rsidRPr="00467FC3">
        <w:t xml:space="preserve"> por infracci</w:t>
      </w:r>
      <w:r>
        <w:t>ón del nuevo</w:t>
      </w:r>
      <w:r w:rsidRPr="00467FC3">
        <w:t xml:space="preserve"> C</w:t>
      </w:r>
      <w:r>
        <w:t>ó</w:t>
      </w:r>
      <w:r w:rsidRPr="00467FC3">
        <w:t>d</w:t>
      </w:r>
      <w:r>
        <w:t>igo</w:t>
      </w:r>
      <w:r w:rsidRPr="00467FC3">
        <w:t xml:space="preserve"> </w:t>
      </w:r>
      <w:r>
        <w:t>de</w:t>
      </w:r>
      <w:r w:rsidRPr="00467FC3">
        <w:t xml:space="preserve"> Pr</w:t>
      </w:r>
      <w:r>
        <w:t>á</w:t>
      </w:r>
      <w:r w:rsidRPr="00467FC3">
        <w:t>ctic</w:t>
      </w:r>
      <w:r>
        <w:t xml:space="preserve">as que </w:t>
      </w:r>
      <w:r w:rsidR="00A01A17">
        <w:t>el sector</w:t>
      </w:r>
      <w:r>
        <w:t xml:space="preserve"> de los medios de comunicación</w:t>
      </w:r>
      <w:r w:rsidRPr="00467FC3">
        <w:t xml:space="preserve"> </w:t>
      </w:r>
      <w:r>
        <w:t>escrita firmó en</w:t>
      </w:r>
      <w:r w:rsidRPr="00467FC3">
        <w:t xml:space="preserve"> 2007.</w:t>
      </w:r>
    </w:p>
    <w:p w:rsidR="000100D5" w:rsidRPr="006E53A7" w:rsidRDefault="000100D5" w:rsidP="000100D5">
      <w:pPr>
        <w:pStyle w:val="SingleTxtG"/>
      </w:pPr>
      <w:r w:rsidRPr="005269E5">
        <w:t>55.</w:t>
      </w:r>
      <w:r w:rsidRPr="005269E5">
        <w:tab/>
      </w:r>
      <w:r>
        <w:t>La</w:t>
      </w:r>
      <w:r w:rsidRPr="005269E5">
        <w:t xml:space="preserve"> Ofic</w:t>
      </w:r>
      <w:r>
        <w:t>ina del Defensor procurará, en primer lugar, resolver la cuestión mediante contactos directos con el editor de la</w:t>
      </w:r>
      <w:r w:rsidRPr="005269E5">
        <w:t xml:space="preserve"> publica</w:t>
      </w:r>
      <w:r>
        <w:t>c</w:t>
      </w:r>
      <w:r w:rsidRPr="005269E5">
        <w:t>i</w:t>
      </w:r>
      <w:r>
        <w:t>ó</w:t>
      </w:r>
      <w:r w:rsidRPr="005269E5">
        <w:t xml:space="preserve">n </w:t>
      </w:r>
      <w:r>
        <w:t>de que se trate</w:t>
      </w:r>
      <w:r w:rsidRPr="005269E5">
        <w:t xml:space="preserve">. </w:t>
      </w:r>
      <w:r w:rsidRPr="006E53A7">
        <w:t>Se encargará de la denuncia contra la publicación y tratar</w:t>
      </w:r>
      <w:r>
        <w:t xml:space="preserve">á de </w:t>
      </w:r>
      <w:r w:rsidRPr="006E53A7">
        <w:t>sol</w:t>
      </w:r>
      <w:r>
        <w:t>ucionar el problema mediante un</w:t>
      </w:r>
      <w:r w:rsidRPr="006E53A7">
        <w:t xml:space="preserve"> proces</w:t>
      </w:r>
      <w:r>
        <w:t>o</w:t>
      </w:r>
      <w:r w:rsidRPr="006E53A7">
        <w:t xml:space="preserve"> </w:t>
      </w:r>
      <w:r>
        <w:t>de</w:t>
      </w:r>
      <w:r w:rsidRPr="006E53A7">
        <w:t xml:space="preserve"> concilia</w:t>
      </w:r>
      <w:r>
        <w:t>c</w:t>
      </w:r>
      <w:r w:rsidRPr="006E53A7">
        <w:t>i</w:t>
      </w:r>
      <w:r>
        <w:t>ó</w:t>
      </w:r>
      <w:r w:rsidRPr="006E53A7">
        <w:t xml:space="preserve">n. </w:t>
      </w:r>
      <w:r>
        <w:t>Si la</w:t>
      </w:r>
      <w:r w:rsidRPr="006E53A7">
        <w:t xml:space="preserve"> conciliación no da resultados, el Defensor examinar</w:t>
      </w:r>
      <w:r>
        <w:t xml:space="preserve">á </w:t>
      </w:r>
      <w:r w:rsidRPr="006E53A7">
        <w:t>e</w:t>
      </w:r>
      <w:r>
        <w:t>l</w:t>
      </w:r>
      <w:r w:rsidRPr="006E53A7">
        <w:t xml:space="preserve"> cas</w:t>
      </w:r>
      <w:r>
        <w:t>o y adoptará una</w:t>
      </w:r>
      <w:r w:rsidRPr="006E53A7">
        <w:t xml:space="preserve"> decisi</w:t>
      </w:r>
      <w:r>
        <w:t>ó</w:t>
      </w:r>
      <w:r w:rsidRPr="006E53A7">
        <w:t>n. El nuevo mecanismo de quejas ofrece al público una vía rápida, justa y gratuita de resolver cualquier queja que pueda tener en relaci</w:t>
      </w:r>
      <w:r>
        <w:t>ón con los periódicos y demás publicaciones que infrinjan el Código</w:t>
      </w:r>
      <w:r w:rsidRPr="006E53A7">
        <w:t>.</w:t>
      </w:r>
    </w:p>
    <w:p w:rsidR="000100D5" w:rsidRPr="005269E5" w:rsidRDefault="000100D5" w:rsidP="000100D5">
      <w:pPr>
        <w:pStyle w:val="SingleTxtG"/>
      </w:pPr>
      <w:r w:rsidRPr="005269E5">
        <w:t>56.</w:t>
      </w:r>
      <w:r w:rsidRPr="005269E5">
        <w:tab/>
      </w:r>
      <w:r>
        <w:t xml:space="preserve">En 2008, la Oficina examinó un </w:t>
      </w:r>
      <w:r w:rsidRPr="005269E5">
        <w:t xml:space="preserve">total </w:t>
      </w:r>
      <w:r w:rsidR="00F80E33">
        <w:t>de</w:t>
      </w:r>
      <w:r w:rsidRPr="005269E5">
        <w:t xml:space="preserve"> 246 </w:t>
      </w:r>
      <w:r w:rsidR="00F80E33">
        <w:t>quejas</w:t>
      </w:r>
      <w:r>
        <w:t xml:space="preserve"> </w:t>
      </w:r>
      <w:r w:rsidRPr="005269E5">
        <w:t>admisible</w:t>
      </w:r>
      <w:r>
        <w:t>s</w:t>
      </w:r>
      <w:r w:rsidRPr="005269E5">
        <w:rPr>
          <w:rStyle w:val="FootnoteReference"/>
        </w:rPr>
        <w:footnoteReference w:id="29"/>
      </w:r>
      <w:r w:rsidR="001F5C61">
        <w:t>.</w:t>
      </w:r>
    </w:p>
    <w:p w:rsidR="000100D5" w:rsidRPr="005269E5" w:rsidRDefault="000100D5" w:rsidP="000100D5">
      <w:pPr>
        <w:pStyle w:val="SingleTxtG"/>
      </w:pPr>
      <w:r w:rsidRPr="005269E5">
        <w:t>57.</w:t>
      </w:r>
      <w:r w:rsidRPr="005269E5">
        <w:tab/>
      </w:r>
      <w:r>
        <w:t xml:space="preserve">En </w:t>
      </w:r>
      <w:r w:rsidRPr="005269E5">
        <w:t xml:space="preserve">113 </w:t>
      </w:r>
      <w:r>
        <w:t>de esos</w:t>
      </w:r>
      <w:r w:rsidRPr="005269E5">
        <w:t xml:space="preserve"> </w:t>
      </w:r>
      <w:r>
        <w:t>casos sólo se celebró una audiencia</w:t>
      </w:r>
      <w:r w:rsidRPr="005269E5">
        <w:t xml:space="preserve"> </w:t>
      </w:r>
      <w:r>
        <w:t xml:space="preserve">preliminar, ya que los </w:t>
      </w:r>
      <w:r w:rsidR="00F80E33">
        <w:t>reclamantes</w:t>
      </w:r>
      <w:r w:rsidRPr="005269E5">
        <w:t xml:space="preserve"> </w:t>
      </w:r>
      <w:r>
        <w:t xml:space="preserve">desistieron de su </w:t>
      </w:r>
      <w:r w:rsidR="00F80E33">
        <w:t>queja</w:t>
      </w:r>
      <w:r>
        <w:t xml:space="preserve"> en el plazo</w:t>
      </w:r>
      <w:r w:rsidRPr="005269E5">
        <w:t xml:space="preserve"> </w:t>
      </w:r>
      <w:r>
        <w:t>previsto</w:t>
      </w:r>
      <w:r w:rsidRPr="005269E5">
        <w:t xml:space="preserve"> (e</w:t>
      </w:r>
      <w:r>
        <w:t>s</w:t>
      </w:r>
      <w:r w:rsidRPr="005269E5">
        <w:t xml:space="preserve"> </w:t>
      </w:r>
      <w:r>
        <w:t>decir, tres meses a partir de la</w:t>
      </w:r>
      <w:r w:rsidRPr="005269E5">
        <w:t xml:space="preserve"> publica</w:t>
      </w:r>
      <w:r>
        <w:t>c</w:t>
      </w:r>
      <w:r w:rsidRPr="005269E5">
        <w:t>i</w:t>
      </w:r>
      <w:r>
        <w:t>ó</w:t>
      </w:r>
      <w:r w:rsidRPr="005269E5">
        <w:t xml:space="preserve">n </w:t>
      </w:r>
      <w:r>
        <w:t>del</w:t>
      </w:r>
      <w:r w:rsidRPr="005269E5">
        <w:t xml:space="preserve"> art</w:t>
      </w:r>
      <w:r>
        <w:t>í</w:t>
      </w:r>
      <w:r w:rsidRPr="005269E5">
        <w:t>c</w:t>
      </w:r>
      <w:r>
        <w:t>ulo</w:t>
      </w:r>
      <w:r w:rsidRPr="005269E5">
        <w:t xml:space="preserve"> o</w:t>
      </w:r>
      <w:r>
        <w:t xml:space="preserve"> de la actuación del</w:t>
      </w:r>
      <w:r w:rsidRPr="005269E5">
        <w:t xml:space="preserve"> </w:t>
      </w:r>
      <w:r>
        <w:t>periodista</w:t>
      </w:r>
      <w:r w:rsidRPr="005269E5">
        <w:t>).</w:t>
      </w:r>
    </w:p>
    <w:p w:rsidR="000100D5" w:rsidRPr="005269E5" w:rsidRDefault="000100D5" w:rsidP="000100D5">
      <w:pPr>
        <w:pStyle w:val="SingleTxtG"/>
      </w:pPr>
      <w:r w:rsidRPr="005269E5">
        <w:t>58.</w:t>
      </w:r>
      <w:r w:rsidRPr="005269E5">
        <w:tab/>
      </w:r>
      <w:r>
        <w:t>En los siguientes cuadros se indica la situación de las</w:t>
      </w:r>
      <w:r w:rsidRPr="005269E5">
        <w:t xml:space="preserve"> 133 </w:t>
      </w:r>
      <w:r w:rsidR="00F80E33">
        <w:t>quejas</w:t>
      </w:r>
      <w:r>
        <w:t xml:space="preserve"> que se estaban tramitando o ya se habían tramitado el</w:t>
      </w:r>
      <w:r w:rsidRPr="005269E5">
        <w:t xml:space="preserve"> 31 </w:t>
      </w:r>
      <w:r>
        <w:t>de di</w:t>
      </w:r>
      <w:r w:rsidRPr="005269E5">
        <w:t>c</w:t>
      </w:r>
      <w:r>
        <w:t>i</w:t>
      </w:r>
      <w:r w:rsidRPr="005269E5">
        <w:t>embr</w:t>
      </w:r>
      <w:r>
        <w:t>e</w:t>
      </w:r>
      <w:r w:rsidRPr="005269E5">
        <w:t xml:space="preserve"> </w:t>
      </w:r>
      <w:r>
        <w:t xml:space="preserve">de </w:t>
      </w:r>
      <w:r w:rsidRPr="005269E5">
        <w:t>2008:</w:t>
      </w:r>
    </w:p>
    <w:p w:rsidR="000100D5" w:rsidRPr="00EB0C5D" w:rsidRDefault="000100D5" w:rsidP="000100D5">
      <w:pPr>
        <w:pStyle w:val="Heading1"/>
      </w:pPr>
      <w:r w:rsidRPr="00EB0C5D">
        <w:t>Cuadro 1</w:t>
      </w:r>
    </w:p>
    <w:p w:rsidR="000100D5" w:rsidRPr="00EB0C5D" w:rsidRDefault="00F80E33" w:rsidP="00237030">
      <w:pPr>
        <w:pStyle w:val="SingleTxtG"/>
        <w:jc w:val="left"/>
        <w:rPr>
          <w:b/>
        </w:rPr>
      </w:pPr>
      <w:r>
        <w:rPr>
          <w:b/>
        </w:rPr>
        <w:t>Quejas a</w:t>
      </w:r>
      <w:r w:rsidR="000100D5" w:rsidRPr="00EB0C5D">
        <w:rPr>
          <w:b/>
        </w:rPr>
        <w:t>l Defensor de la Pre</w:t>
      </w:r>
      <w:r w:rsidR="000100D5">
        <w:rPr>
          <w:b/>
        </w:rPr>
        <w:t>nsa tramitadas en</w:t>
      </w:r>
      <w:r w:rsidR="000100D5" w:rsidRPr="00EB0C5D">
        <w:rPr>
          <w:b/>
        </w:rPr>
        <w:t xml:space="preserve"> 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48"/>
        <w:gridCol w:w="2322"/>
      </w:tblGrid>
      <w:tr w:rsidR="000100D5" w:rsidRPr="005269E5">
        <w:trPr>
          <w:tblHeader/>
        </w:trPr>
        <w:tc>
          <w:tcPr>
            <w:tcW w:w="5048"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00" w:lineRule="exact"/>
              <w:ind w:left="0" w:right="113"/>
              <w:jc w:val="left"/>
              <w:rPr>
                <w:i/>
                <w:sz w:val="16"/>
              </w:rPr>
            </w:pPr>
            <w:r>
              <w:rPr>
                <w:i/>
                <w:sz w:val="16"/>
              </w:rPr>
              <w:t>En tramitación</w:t>
            </w:r>
            <w:r w:rsidRPr="005269E5">
              <w:rPr>
                <w:i/>
                <w:sz w:val="16"/>
              </w:rPr>
              <w:t xml:space="preserve"> </w:t>
            </w:r>
          </w:p>
        </w:tc>
        <w:tc>
          <w:tcPr>
            <w:tcW w:w="2322"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00" w:lineRule="exact"/>
              <w:ind w:left="0" w:right="113"/>
              <w:jc w:val="right"/>
              <w:rPr>
                <w:i/>
                <w:sz w:val="16"/>
              </w:rPr>
            </w:pPr>
          </w:p>
        </w:tc>
      </w:tr>
      <w:tr w:rsidR="000100D5" w:rsidRPr="005269E5">
        <w:tc>
          <w:tcPr>
            <w:tcW w:w="5048" w:type="dxa"/>
            <w:tcBorders>
              <w:top w:val="single" w:sz="12" w:space="0" w:color="auto"/>
            </w:tcBorders>
            <w:shd w:val="clear" w:color="auto" w:fill="auto"/>
          </w:tcPr>
          <w:p w:rsidR="000100D5" w:rsidRPr="00EB0C5D" w:rsidRDefault="000100D5" w:rsidP="000100D5">
            <w:pPr>
              <w:pStyle w:val="SingleTxtG"/>
              <w:spacing w:before="40" w:after="40" w:line="220" w:lineRule="exact"/>
              <w:ind w:left="0" w:right="113"/>
              <w:jc w:val="left"/>
              <w:rPr>
                <w:sz w:val="18"/>
              </w:rPr>
            </w:pPr>
            <w:r w:rsidRPr="00EB0C5D">
              <w:rPr>
                <w:sz w:val="18"/>
              </w:rPr>
              <w:t xml:space="preserve">Lectores que escriben al editor para quejarse </w:t>
            </w:r>
          </w:p>
        </w:tc>
        <w:tc>
          <w:tcPr>
            <w:tcW w:w="2322"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28</w:t>
            </w:r>
          </w:p>
        </w:tc>
      </w:tr>
      <w:tr w:rsidR="000100D5" w:rsidRPr="005269E5">
        <w:tc>
          <w:tcPr>
            <w:tcW w:w="5048" w:type="dxa"/>
            <w:shd w:val="clear" w:color="auto" w:fill="auto"/>
          </w:tcPr>
          <w:p w:rsidR="000100D5" w:rsidRPr="005269E5" w:rsidRDefault="000100D5" w:rsidP="000100D5">
            <w:pPr>
              <w:pStyle w:val="SingleTxtG"/>
              <w:spacing w:before="40" w:after="40" w:line="220" w:lineRule="exact"/>
              <w:ind w:left="0" w:right="113"/>
              <w:jc w:val="left"/>
              <w:rPr>
                <w:sz w:val="18"/>
              </w:rPr>
            </w:pPr>
            <w:r>
              <w:rPr>
                <w:sz w:val="18"/>
              </w:rPr>
              <w:t xml:space="preserve">En fase de </w:t>
            </w:r>
            <w:r w:rsidRPr="005269E5">
              <w:rPr>
                <w:sz w:val="18"/>
              </w:rPr>
              <w:t>concilia</w:t>
            </w:r>
            <w:r>
              <w:rPr>
                <w:sz w:val="18"/>
              </w:rPr>
              <w:t>c</w:t>
            </w:r>
            <w:r w:rsidRPr="005269E5">
              <w:rPr>
                <w:sz w:val="18"/>
              </w:rPr>
              <w:t>i</w:t>
            </w:r>
            <w:r>
              <w:rPr>
                <w:sz w:val="18"/>
              </w:rPr>
              <w:t>ó</w:t>
            </w:r>
            <w:r w:rsidRPr="005269E5">
              <w:rPr>
                <w:sz w:val="18"/>
              </w:rPr>
              <w:t xml:space="preserve">n </w:t>
            </w:r>
          </w:p>
        </w:tc>
        <w:tc>
          <w:tcPr>
            <w:tcW w:w="2322"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12</w:t>
            </w:r>
          </w:p>
        </w:tc>
      </w:tr>
      <w:tr w:rsidR="000100D5" w:rsidRPr="005269E5">
        <w:tc>
          <w:tcPr>
            <w:tcW w:w="5048" w:type="dxa"/>
            <w:tcBorders>
              <w:bottom w:val="single" w:sz="4" w:space="0" w:color="auto"/>
            </w:tcBorders>
            <w:shd w:val="clear" w:color="auto" w:fill="auto"/>
          </w:tcPr>
          <w:p w:rsidR="000100D5" w:rsidRPr="00EB0C5D" w:rsidRDefault="000100D5" w:rsidP="000100D5">
            <w:pPr>
              <w:pStyle w:val="SingleTxtG"/>
              <w:spacing w:before="40" w:after="40" w:line="220" w:lineRule="exact"/>
              <w:ind w:left="0" w:right="113"/>
              <w:jc w:val="left"/>
              <w:rPr>
                <w:sz w:val="18"/>
              </w:rPr>
            </w:pPr>
            <w:r w:rsidRPr="00EB0C5D">
              <w:rPr>
                <w:sz w:val="18"/>
              </w:rPr>
              <w:t>Presentadas al Defensor de la Prensa para que adopte una decisi</w:t>
            </w:r>
            <w:r>
              <w:rPr>
                <w:sz w:val="18"/>
              </w:rPr>
              <w:t>ó</w:t>
            </w:r>
            <w:r w:rsidRPr="00EB0C5D">
              <w:rPr>
                <w:sz w:val="18"/>
              </w:rPr>
              <w:t xml:space="preserve">n </w:t>
            </w:r>
          </w:p>
        </w:tc>
        <w:tc>
          <w:tcPr>
            <w:tcW w:w="2322" w:type="dxa"/>
            <w:tcBorders>
              <w:bottom w:val="single" w:sz="4"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w:t>
            </w:r>
          </w:p>
        </w:tc>
      </w:tr>
      <w:tr w:rsidR="000100D5" w:rsidRPr="005269E5">
        <w:tc>
          <w:tcPr>
            <w:tcW w:w="5048" w:type="dxa"/>
            <w:tcBorders>
              <w:top w:val="single" w:sz="4" w:space="0" w:color="auto"/>
              <w:bottom w:val="single" w:sz="12" w:space="0" w:color="auto"/>
            </w:tcBorders>
            <w:shd w:val="clear" w:color="auto" w:fill="auto"/>
          </w:tcPr>
          <w:p w:rsidR="000100D5" w:rsidRPr="005269E5" w:rsidRDefault="000100D5" w:rsidP="000100D5">
            <w:pPr>
              <w:pStyle w:val="SingleTxtG"/>
              <w:spacing w:before="80" w:after="80" w:line="220" w:lineRule="exact"/>
              <w:ind w:left="284" w:right="113"/>
              <w:jc w:val="left"/>
              <w:rPr>
                <w:b/>
                <w:sz w:val="18"/>
              </w:rPr>
            </w:pPr>
            <w:r w:rsidRPr="005269E5">
              <w:rPr>
                <w:b/>
                <w:sz w:val="18"/>
              </w:rPr>
              <w:t>Total</w:t>
            </w:r>
          </w:p>
        </w:tc>
        <w:tc>
          <w:tcPr>
            <w:tcW w:w="2322"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20" w:lineRule="exact"/>
              <w:ind w:left="284" w:right="113"/>
              <w:jc w:val="right"/>
              <w:rPr>
                <w:b/>
                <w:sz w:val="18"/>
              </w:rPr>
            </w:pPr>
            <w:r w:rsidRPr="005269E5">
              <w:rPr>
                <w:b/>
                <w:sz w:val="18"/>
              </w:rPr>
              <w:t>41</w:t>
            </w:r>
          </w:p>
        </w:tc>
      </w:tr>
    </w:tbl>
    <w:p w:rsidR="000100D5" w:rsidRPr="005269E5" w:rsidRDefault="000100D5" w:rsidP="000100D5">
      <w:pPr>
        <w:pStyle w:val="Heading1"/>
        <w:spacing w:before="240"/>
      </w:pPr>
      <w:r>
        <w:t>Cuadro</w:t>
      </w:r>
      <w:r w:rsidRPr="005269E5">
        <w:t xml:space="preserve"> 2</w:t>
      </w:r>
    </w:p>
    <w:p w:rsidR="000100D5" w:rsidRPr="00F111D5" w:rsidRDefault="00F80E33" w:rsidP="00237030">
      <w:pPr>
        <w:pStyle w:val="SingleTxtG"/>
        <w:jc w:val="left"/>
      </w:pPr>
      <w:r>
        <w:rPr>
          <w:b/>
        </w:rPr>
        <w:t>Quejas</w:t>
      </w:r>
      <w:r w:rsidR="000100D5" w:rsidRPr="00F111D5">
        <w:rPr>
          <w:b/>
        </w:rPr>
        <w:t xml:space="preserve"> ya tramitadas por el Defensor de la Prensa </w:t>
      </w:r>
      <w:r w:rsidR="000100D5">
        <w:rPr>
          <w:b/>
        </w:rPr>
        <w:t>e</w:t>
      </w:r>
      <w:r w:rsidR="000100D5" w:rsidRPr="00F111D5">
        <w:rPr>
          <w:b/>
        </w:rPr>
        <w:t>n 2008</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048"/>
        <w:gridCol w:w="2322"/>
      </w:tblGrid>
      <w:tr w:rsidR="000100D5" w:rsidRPr="005269E5">
        <w:trPr>
          <w:tblHeader/>
        </w:trPr>
        <w:tc>
          <w:tcPr>
            <w:tcW w:w="5833"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00" w:lineRule="exact"/>
              <w:ind w:left="0" w:right="113"/>
              <w:jc w:val="left"/>
              <w:rPr>
                <w:i/>
                <w:sz w:val="16"/>
              </w:rPr>
            </w:pPr>
            <w:r>
              <w:rPr>
                <w:i/>
                <w:sz w:val="16"/>
              </w:rPr>
              <w:t>Ya tramitadas</w:t>
            </w:r>
            <w:r w:rsidRPr="005269E5">
              <w:rPr>
                <w:i/>
                <w:sz w:val="16"/>
              </w:rPr>
              <w:t xml:space="preserve"> </w:t>
            </w:r>
          </w:p>
        </w:tc>
        <w:tc>
          <w:tcPr>
            <w:tcW w:w="2681"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00" w:lineRule="exact"/>
              <w:ind w:left="0" w:right="113"/>
              <w:jc w:val="right"/>
              <w:rPr>
                <w:i/>
                <w:sz w:val="16"/>
              </w:rPr>
            </w:pPr>
          </w:p>
        </w:tc>
      </w:tr>
      <w:tr w:rsidR="000100D5" w:rsidRPr="005269E5">
        <w:tc>
          <w:tcPr>
            <w:tcW w:w="5833" w:type="dxa"/>
            <w:tcBorders>
              <w:top w:val="single" w:sz="12" w:space="0" w:color="auto"/>
            </w:tcBorders>
            <w:shd w:val="clear" w:color="auto" w:fill="auto"/>
          </w:tcPr>
          <w:p w:rsidR="000100D5" w:rsidRPr="005269E5" w:rsidRDefault="000100D5" w:rsidP="000100D5">
            <w:pPr>
              <w:pStyle w:val="SingleTxtG"/>
              <w:spacing w:before="40" w:after="40" w:line="220" w:lineRule="exact"/>
              <w:ind w:left="0" w:right="113"/>
              <w:jc w:val="left"/>
              <w:rPr>
                <w:sz w:val="18"/>
              </w:rPr>
            </w:pPr>
            <w:r>
              <w:rPr>
                <w:sz w:val="18"/>
              </w:rPr>
              <w:t>Desestimadas en primera lectura</w:t>
            </w:r>
            <w:r w:rsidRPr="005269E5">
              <w:rPr>
                <w:sz w:val="18"/>
              </w:rPr>
              <w:t xml:space="preserve"> </w:t>
            </w:r>
          </w:p>
        </w:tc>
        <w:tc>
          <w:tcPr>
            <w:tcW w:w="2681"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26</w:t>
            </w:r>
          </w:p>
        </w:tc>
      </w:tr>
      <w:tr w:rsidR="000100D5" w:rsidRPr="005269E5">
        <w:tc>
          <w:tcPr>
            <w:tcW w:w="5833" w:type="dxa"/>
            <w:shd w:val="clear" w:color="auto" w:fill="auto"/>
          </w:tcPr>
          <w:p w:rsidR="000100D5" w:rsidRPr="00F111D5" w:rsidRDefault="000100D5" w:rsidP="000100D5">
            <w:pPr>
              <w:pStyle w:val="SingleTxtG"/>
              <w:spacing w:before="40" w:after="40" w:line="220" w:lineRule="exact"/>
              <w:ind w:left="0" w:right="113"/>
              <w:jc w:val="left"/>
              <w:rPr>
                <w:sz w:val="18"/>
              </w:rPr>
            </w:pPr>
            <w:r w:rsidRPr="00F111D5">
              <w:rPr>
                <w:sz w:val="18"/>
              </w:rPr>
              <w:t xml:space="preserve">Resueltas gracias a la conciliación </w:t>
            </w:r>
          </w:p>
        </w:tc>
        <w:tc>
          <w:tcPr>
            <w:tcW w:w="2681"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12</w:t>
            </w:r>
          </w:p>
        </w:tc>
      </w:tr>
      <w:tr w:rsidR="000100D5" w:rsidRPr="005269E5">
        <w:tc>
          <w:tcPr>
            <w:tcW w:w="5833" w:type="dxa"/>
            <w:shd w:val="clear" w:color="auto" w:fill="auto"/>
          </w:tcPr>
          <w:p w:rsidR="000100D5" w:rsidRPr="005269E5" w:rsidRDefault="000100D5" w:rsidP="000100D5">
            <w:pPr>
              <w:pStyle w:val="SingleTxtG"/>
              <w:spacing w:before="40" w:after="40" w:line="220" w:lineRule="exact"/>
              <w:ind w:left="0" w:right="113"/>
              <w:jc w:val="left"/>
              <w:rPr>
                <w:sz w:val="18"/>
              </w:rPr>
            </w:pPr>
            <w:r>
              <w:rPr>
                <w:sz w:val="18"/>
              </w:rPr>
              <w:t xml:space="preserve">Retiradas por el </w:t>
            </w:r>
            <w:r w:rsidR="00F80E33">
              <w:rPr>
                <w:sz w:val="18"/>
              </w:rPr>
              <w:t>reclamante</w:t>
            </w:r>
            <w:r w:rsidRPr="005269E5">
              <w:rPr>
                <w:sz w:val="18"/>
              </w:rPr>
              <w:t xml:space="preserve"> </w:t>
            </w:r>
          </w:p>
        </w:tc>
        <w:tc>
          <w:tcPr>
            <w:tcW w:w="2681"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11</w:t>
            </w:r>
          </w:p>
        </w:tc>
      </w:tr>
      <w:tr w:rsidR="000100D5" w:rsidRPr="005269E5">
        <w:tc>
          <w:tcPr>
            <w:tcW w:w="5833" w:type="dxa"/>
            <w:shd w:val="clear" w:color="auto" w:fill="auto"/>
          </w:tcPr>
          <w:p w:rsidR="000100D5" w:rsidRPr="00F111D5" w:rsidRDefault="000100D5" w:rsidP="000100D5">
            <w:pPr>
              <w:pStyle w:val="SingleTxtG"/>
              <w:spacing w:before="40" w:after="40" w:line="220" w:lineRule="exact"/>
              <w:ind w:left="0" w:right="113"/>
              <w:jc w:val="left"/>
              <w:rPr>
                <w:sz w:val="18"/>
              </w:rPr>
            </w:pPr>
            <w:r w:rsidRPr="00F111D5">
              <w:rPr>
                <w:sz w:val="18"/>
              </w:rPr>
              <w:t xml:space="preserve">Aplazado su examen debido a actuaciones </w:t>
            </w:r>
            <w:r>
              <w:rPr>
                <w:sz w:val="18"/>
              </w:rPr>
              <w:t>proces</w:t>
            </w:r>
            <w:r w:rsidRPr="00F111D5">
              <w:rPr>
                <w:sz w:val="18"/>
              </w:rPr>
              <w:t xml:space="preserve">ales </w:t>
            </w:r>
          </w:p>
        </w:tc>
        <w:tc>
          <w:tcPr>
            <w:tcW w:w="2681"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6</w:t>
            </w:r>
          </w:p>
        </w:tc>
      </w:tr>
      <w:tr w:rsidR="000100D5" w:rsidRPr="005269E5">
        <w:tc>
          <w:tcPr>
            <w:tcW w:w="5833" w:type="dxa"/>
            <w:shd w:val="clear" w:color="auto" w:fill="auto"/>
          </w:tcPr>
          <w:p w:rsidR="000100D5" w:rsidRPr="00F111D5" w:rsidRDefault="00F80E33" w:rsidP="000100D5">
            <w:pPr>
              <w:pStyle w:val="SingleTxtG"/>
              <w:spacing w:before="40" w:after="40" w:line="220" w:lineRule="exact"/>
              <w:ind w:left="0" w:right="113"/>
              <w:jc w:val="left"/>
              <w:rPr>
                <w:sz w:val="18"/>
              </w:rPr>
            </w:pPr>
            <w:r>
              <w:rPr>
                <w:sz w:val="18"/>
              </w:rPr>
              <w:t>Decisiones</w:t>
            </w:r>
            <w:r w:rsidR="000100D5" w:rsidRPr="00F111D5">
              <w:rPr>
                <w:sz w:val="18"/>
              </w:rPr>
              <w:t xml:space="preserve"> adoptadas por el Defensor de la Prensa </w:t>
            </w:r>
          </w:p>
        </w:tc>
        <w:tc>
          <w:tcPr>
            <w:tcW w:w="2681"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35</w:t>
            </w:r>
          </w:p>
        </w:tc>
      </w:tr>
      <w:tr w:rsidR="000100D5" w:rsidRPr="005269E5">
        <w:tc>
          <w:tcPr>
            <w:tcW w:w="5833" w:type="dxa"/>
            <w:tcBorders>
              <w:bottom w:val="single" w:sz="4" w:space="0" w:color="auto"/>
            </w:tcBorders>
            <w:shd w:val="clear" w:color="auto" w:fill="auto"/>
          </w:tcPr>
          <w:p w:rsidR="000100D5" w:rsidRPr="00F111D5" w:rsidRDefault="000100D5" w:rsidP="000100D5">
            <w:pPr>
              <w:pStyle w:val="SingleTxtG"/>
              <w:spacing w:before="40" w:after="40" w:line="220" w:lineRule="exact"/>
              <w:ind w:left="0" w:right="113"/>
              <w:jc w:val="left"/>
              <w:rPr>
                <w:sz w:val="18"/>
              </w:rPr>
            </w:pPr>
            <w:r w:rsidRPr="00F111D5">
              <w:rPr>
                <w:sz w:val="18"/>
              </w:rPr>
              <w:t>Remi</w:t>
            </w:r>
            <w:r>
              <w:rPr>
                <w:sz w:val="18"/>
              </w:rPr>
              <w:t xml:space="preserve">tidas al Consejo de </w:t>
            </w:r>
            <w:r w:rsidRPr="00F111D5">
              <w:rPr>
                <w:sz w:val="18"/>
              </w:rPr>
              <w:t>Prensa por el Defensor de la Pre</w:t>
            </w:r>
            <w:r>
              <w:rPr>
                <w:sz w:val="18"/>
              </w:rPr>
              <w:t>n</w:t>
            </w:r>
            <w:r w:rsidRPr="00F111D5">
              <w:rPr>
                <w:sz w:val="18"/>
              </w:rPr>
              <w:t>s</w:t>
            </w:r>
            <w:r>
              <w:rPr>
                <w:sz w:val="18"/>
              </w:rPr>
              <w:t>a</w:t>
            </w:r>
            <w:r w:rsidRPr="00F111D5">
              <w:rPr>
                <w:sz w:val="18"/>
              </w:rPr>
              <w:t xml:space="preserve"> </w:t>
            </w:r>
          </w:p>
        </w:tc>
        <w:tc>
          <w:tcPr>
            <w:tcW w:w="2681" w:type="dxa"/>
            <w:tcBorders>
              <w:bottom w:val="single" w:sz="4"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2</w:t>
            </w:r>
          </w:p>
        </w:tc>
      </w:tr>
      <w:tr w:rsidR="000100D5" w:rsidRPr="005269E5">
        <w:tc>
          <w:tcPr>
            <w:tcW w:w="5833" w:type="dxa"/>
            <w:tcBorders>
              <w:top w:val="single" w:sz="4" w:space="0" w:color="auto"/>
              <w:bottom w:val="single" w:sz="12" w:space="0" w:color="auto"/>
            </w:tcBorders>
            <w:shd w:val="clear" w:color="auto" w:fill="auto"/>
          </w:tcPr>
          <w:p w:rsidR="000100D5" w:rsidRPr="005269E5" w:rsidRDefault="000100D5" w:rsidP="000100D5">
            <w:pPr>
              <w:pStyle w:val="SingleTxtG"/>
              <w:spacing w:before="80" w:after="80" w:line="220" w:lineRule="exact"/>
              <w:ind w:left="284" w:right="113"/>
              <w:jc w:val="left"/>
              <w:rPr>
                <w:b/>
                <w:sz w:val="18"/>
              </w:rPr>
            </w:pPr>
            <w:r w:rsidRPr="005269E5">
              <w:rPr>
                <w:b/>
                <w:sz w:val="18"/>
              </w:rPr>
              <w:t>Total</w:t>
            </w:r>
          </w:p>
        </w:tc>
        <w:tc>
          <w:tcPr>
            <w:tcW w:w="2681"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20" w:lineRule="exact"/>
              <w:ind w:left="284" w:right="113"/>
              <w:jc w:val="right"/>
              <w:rPr>
                <w:b/>
                <w:sz w:val="18"/>
              </w:rPr>
            </w:pPr>
            <w:r w:rsidRPr="005269E5">
              <w:rPr>
                <w:b/>
                <w:sz w:val="18"/>
              </w:rPr>
              <w:t>92</w:t>
            </w:r>
          </w:p>
        </w:tc>
      </w:tr>
    </w:tbl>
    <w:p w:rsidR="000100D5" w:rsidRPr="005269E5" w:rsidRDefault="000100D5" w:rsidP="000100D5">
      <w:pPr>
        <w:pStyle w:val="SingleTxtG"/>
        <w:spacing w:before="240"/>
      </w:pPr>
      <w:r w:rsidRPr="005269E5">
        <w:t>59.</w:t>
      </w:r>
      <w:r w:rsidRPr="005269E5">
        <w:tab/>
      </w:r>
      <w:r>
        <w:t>Entre enero y junio de</w:t>
      </w:r>
      <w:r w:rsidRPr="005269E5">
        <w:t xml:space="preserve"> 2009</w:t>
      </w:r>
      <w:r>
        <w:t xml:space="preserve"> se recibieron</w:t>
      </w:r>
      <w:r w:rsidRPr="005269E5">
        <w:t xml:space="preserve"> 164 </w:t>
      </w:r>
      <w:r>
        <w:t xml:space="preserve">quejas </w:t>
      </w:r>
      <w:r w:rsidRPr="005269E5">
        <w:t>admisible</w:t>
      </w:r>
      <w:r>
        <w:t>s</w:t>
      </w:r>
      <w:r w:rsidRPr="005269E5">
        <w:t xml:space="preserve">. </w:t>
      </w:r>
    </w:p>
    <w:p w:rsidR="000100D5" w:rsidRPr="005269E5" w:rsidRDefault="000100D5" w:rsidP="000100D5">
      <w:pPr>
        <w:pStyle w:val="SingleTxtG"/>
      </w:pPr>
      <w:r w:rsidRPr="005269E5">
        <w:t>60.</w:t>
      </w:r>
      <w:r w:rsidRPr="005269E5">
        <w:tab/>
      </w:r>
      <w:r>
        <w:t>E</w:t>
      </w:r>
      <w:r w:rsidRPr="005269E5">
        <w:t xml:space="preserve">n </w:t>
      </w:r>
      <w:r>
        <w:t>s</w:t>
      </w:r>
      <w:r w:rsidRPr="005269E5">
        <w:t>ept</w:t>
      </w:r>
      <w:r>
        <w:t>i</w:t>
      </w:r>
      <w:r w:rsidRPr="005269E5">
        <w:t>embr</w:t>
      </w:r>
      <w:r>
        <w:t>e de</w:t>
      </w:r>
      <w:r w:rsidRPr="005269E5">
        <w:t xml:space="preserve"> 2009, e</w:t>
      </w:r>
      <w:r>
        <w:t>l Defensor de la</w:t>
      </w:r>
      <w:r w:rsidRPr="005269E5">
        <w:t xml:space="preserve"> Pre</w:t>
      </w:r>
      <w:r>
        <w:t>n</w:t>
      </w:r>
      <w:r w:rsidRPr="005269E5">
        <w:t>s</w:t>
      </w:r>
      <w:r>
        <w:t>a</w:t>
      </w:r>
      <w:r w:rsidRPr="005269E5">
        <w:t xml:space="preserve"> </w:t>
      </w:r>
      <w:r>
        <w:t>declaró que las cifras correspondientes al primer semestre de</w:t>
      </w:r>
      <w:r w:rsidRPr="005269E5">
        <w:t xml:space="preserve"> 2009 </w:t>
      </w:r>
      <w:r>
        <w:t>reflejaban una mayor concienciación y comprensión de la función d</w:t>
      </w:r>
      <w:r w:rsidRPr="005269E5">
        <w:t>e</w:t>
      </w:r>
      <w:r>
        <w:t xml:space="preserve"> la</w:t>
      </w:r>
      <w:r w:rsidRPr="005269E5">
        <w:t xml:space="preserve"> Ofic</w:t>
      </w:r>
      <w:r>
        <w:t>ina</w:t>
      </w:r>
      <w:r w:rsidRPr="005269E5">
        <w:t>.</w:t>
      </w:r>
    </w:p>
    <w:p w:rsidR="000100D5" w:rsidRPr="003E01F6" w:rsidRDefault="000100D5" w:rsidP="000100D5">
      <w:pPr>
        <w:pStyle w:val="H23G"/>
      </w:pPr>
      <w:r w:rsidRPr="005269E5">
        <w:tab/>
      </w:r>
      <w:r w:rsidRPr="005269E5">
        <w:tab/>
      </w:r>
      <w:r w:rsidRPr="003E01F6">
        <w:t xml:space="preserve">Respuesta a la recomendación que figura en el párrafo 8 del informe del </w:t>
      </w:r>
      <w:r>
        <w:t>C</w:t>
      </w:r>
      <w:r w:rsidRPr="003E01F6">
        <w:t>oordina</w:t>
      </w:r>
      <w:r>
        <w:t>d</w:t>
      </w:r>
      <w:r w:rsidRPr="003E01F6">
        <w:t>or</w:t>
      </w:r>
      <w:r>
        <w:t xml:space="preserve"> </w:t>
      </w:r>
      <w:r w:rsidR="00F80E33">
        <w:t>encargado</w:t>
      </w:r>
      <w:r>
        <w:t xml:space="preserve"> </w:t>
      </w:r>
      <w:r w:rsidR="00F80E33">
        <w:t>d</w:t>
      </w:r>
      <w:r>
        <w:t>el seguimiento</w:t>
      </w:r>
    </w:p>
    <w:p w:rsidR="000100D5" w:rsidRPr="005269E5" w:rsidRDefault="000100D5" w:rsidP="000100D5">
      <w:pPr>
        <w:pStyle w:val="H23G"/>
      </w:pPr>
      <w:r w:rsidRPr="003E01F6">
        <w:tab/>
      </w:r>
      <w:r w:rsidRPr="005269E5">
        <w:t>2.</w:t>
      </w:r>
      <w:r w:rsidRPr="005269E5">
        <w:tab/>
      </w:r>
      <w:r>
        <w:t>El</w:t>
      </w:r>
      <w:r w:rsidRPr="005269E5">
        <w:t xml:space="preserve"> Tribunal</w:t>
      </w:r>
      <w:r>
        <w:t xml:space="preserve"> de la Igualdad</w:t>
      </w:r>
    </w:p>
    <w:p w:rsidR="000100D5" w:rsidRPr="00EF5AAE" w:rsidRDefault="000100D5" w:rsidP="000100D5">
      <w:pPr>
        <w:pStyle w:val="SingleTxtG"/>
      </w:pPr>
      <w:r>
        <w:t>61.</w:t>
      </w:r>
      <w:r>
        <w:tab/>
        <w:t>E</w:t>
      </w:r>
      <w:r w:rsidRPr="005269E5">
        <w:t xml:space="preserve">n 2007, </w:t>
      </w:r>
      <w:r>
        <w:t>habida cuenta de que la dotación de personal prevista en un principio para el Tribunal de</w:t>
      </w:r>
      <w:r w:rsidRPr="005269E5">
        <w:t xml:space="preserve"> </w:t>
      </w:r>
      <w:r>
        <w:t>la Ig</w:t>
      </w:r>
      <w:r w:rsidRPr="005269E5">
        <w:t>ual</w:t>
      </w:r>
      <w:r>
        <w:t>dad</w:t>
      </w:r>
      <w:r w:rsidRPr="005269E5">
        <w:t xml:space="preserve"> no </w:t>
      </w:r>
      <w:r>
        <w:t>se ajustaba a la demanda actual</w:t>
      </w:r>
      <w:r w:rsidRPr="005269E5">
        <w:t xml:space="preserve">, </w:t>
      </w:r>
      <w:r>
        <w:t>se aprobó la contratación de personal suplementario para</w:t>
      </w:r>
      <w:r w:rsidRPr="005269E5">
        <w:t xml:space="preserve"> </w:t>
      </w:r>
      <w:r>
        <w:t>agilizar la tramitación de los casos acumulados por dicho Tribunal</w:t>
      </w:r>
      <w:r w:rsidRPr="005269E5">
        <w:t xml:space="preserve">. </w:t>
      </w:r>
      <w:r w:rsidRPr="0029398F">
        <w:t xml:space="preserve">Se contrató y se formó para finales de 2008 a nueve empleados más. </w:t>
      </w:r>
      <w:r w:rsidRPr="00EF5AAE">
        <w:t>Además, el Tribunal ha logrado elevar considerablemente la productividad. En 2008, se dictaron cerca de 200 resoluciones (</w:t>
      </w:r>
      <w:r>
        <w:t xml:space="preserve">con un </w:t>
      </w:r>
      <w:r w:rsidRPr="00EF5AAE">
        <w:t xml:space="preserve">incremento del 16% en 2007) y </w:t>
      </w:r>
      <w:r>
        <w:t>el Tribunal resolvió más de</w:t>
      </w:r>
      <w:r w:rsidR="005E4658">
        <w:t> </w:t>
      </w:r>
      <w:r w:rsidRPr="00EF5AAE">
        <w:t xml:space="preserve">850 </w:t>
      </w:r>
      <w:r>
        <w:t>expedientes</w:t>
      </w:r>
      <w:r w:rsidRPr="00EF5AAE">
        <w:t xml:space="preserve"> (</w:t>
      </w:r>
      <w:r>
        <w:t>con un aumento del</w:t>
      </w:r>
      <w:r w:rsidRPr="00EF5AAE">
        <w:t xml:space="preserve"> 41% </w:t>
      </w:r>
      <w:r>
        <w:t xml:space="preserve">en </w:t>
      </w:r>
      <w:r w:rsidRPr="00EF5AAE">
        <w:t>compar</w:t>
      </w:r>
      <w:r>
        <w:t>ación con</w:t>
      </w:r>
      <w:r w:rsidRPr="00EF5AAE">
        <w:t xml:space="preserve"> 2007).</w:t>
      </w:r>
    </w:p>
    <w:p w:rsidR="000100D5" w:rsidRPr="005269E5" w:rsidRDefault="000100D5" w:rsidP="000100D5">
      <w:pPr>
        <w:pStyle w:val="H23G"/>
      </w:pPr>
      <w:r w:rsidRPr="00EF5AAE">
        <w:tab/>
      </w:r>
      <w:r w:rsidRPr="005269E5">
        <w:t>3.</w:t>
      </w:r>
      <w:r w:rsidRPr="005269E5">
        <w:tab/>
      </w:r>
      <w:r>
        <w:t xml:space="preserve">Comisión de Derechos </w:t>
      </w:r>
      <w:r w:rsidRPr="005269E5">
        <w:t>Human</w:t>
      </w:r>
      <w:r>
        <w:t>os</w:t>
      </w:r>
    </w:p>
    <w:p w:rsidR="000100D5" w:rsidRPr="00E4414B" w:rsidRDefault="000100D5" w:rsidP="000100D5">
      <w:pPr>
        <w:pStyle w:val="SingleTxtG"/>
      </w:pPr>
      <w:r w:rsidRPr="005269E5">
        <w:t>62.</w:t>
      </w:r>
      <w:r w:rsidRPr="005269E5">
        <w:tab/>
      </w:r>
      <w:r>
        <w:t>E</w:t>
      </w:r>
      <w:r w:rsidRPr="005269E5">
        <w:t xml:space="preserve">n </w:t>
      </w:r>
      <w:r>
        <w:t>el</w:t>
      </w:r>
      <w:r w:rsidRPr="005269E5">
        <w:t xml:space="preserve"> cas</w:t>
      </w:r>
      <w:r>
        <w:t>o de la Comisión irlandesa de D</w:t>
      </w:r>
      <w:r w:rsidRPr="005269E5">
        <w:t>e</w:t>
      </w:r>
      <w:r>
        <w:t>rechos</w:t>
      </w:r>
      <w:r w:rsidRPr="005269E5">
        <w:t xml:space="preserve"> Human</w:t>
      </w:r>
      <w:r>
        <w:t>os</w:t>
      </w:r>
      <w:r w:rsidRPr="005269E5">
        <w:t xml:space="preserve">, </w:t>
      </w:r>
      <w:r>
        <w:t>el</w:t>
      </w:r>
      <w:r w:rsidRPr="005269E5">
        <w:t xml:space="preserve"> Go</w:t>
      </w:r>
      <w:r>
        <w:t>bi</w:t>
      </w:r>
      <w:r w:rsidRPr="005269E5">
        <w:t>ern</w:t>
      </w:r>
      <w:r>
        <w:t>o de Irlanda seguirá apoyándola a fin de que pueda desempeñar sus</w:t>
      </w:r>
      <w:r w:rsidRPr="005269E5">
        <w:t xml:space="preserve"> funcion</w:t>
      </w:r>
      <w:r>
        <w:t>e</w:t>
      </w:r>
      <w:r w:rsidRPr="005269E5">
        <w:t xml:space="preserve">s </w:t>
      </w:r>
      <w:r>
        <w:t>reglamentarias y</w:t>
      </w:r>
      <w:r w:rsidRPr="005269E5">
        <w:t xml:space="preserve"> respet</w:t>
      </w:r>
      <w:r>
        <w:t>ará su</w:t>
      </w:r>
      <w:r w:rsidRPr="005269E5">
        <w:t xml:space="preserve"> independenc</w:t>
      </w:r>
      <w:r>
        <w:t>ia en el ejercicio de las</w:t>
      </w:r>
      <w:r w:rsidRPr="005269E5">
        <w:t xml:space="preserve"> funcion</w:t>
      </w:r>
      <w:r>
        <w:t>e</w:t>
      </w:r>
      <w:r w:rsidRPr="005269E5">
        <w:t xml:space="preserve">s </w:t>
      </w:r>
      <w:r>
        <w:t>establecidas en las Leyes de 2000 y 2001 relativas a la Comisión de Derechos</w:t>
      </w:r>
      <w:r w:rsidRPr="005269E5">
        <w:t xml:space="preserve"> Human</w:t>
      </w:r>
      <w:r>
        <w:t>os</w:t>
      </w:r>
      <w:r w:rsidRPr="005269E5">
        <w:t xml:space="preserve">. </w:t>
      </w:r>
      <w:r w:rsidRPr="00E4414B">
        <w:t xml:space="preserve">En lo tocante al nombramiento de cualquier </w:t>
      </w:r>
      <w:r>
        <w:t>n</w:t>
      </w:r>
      <w:r w:rsidRPr="00E4414B">
        <w:t xml:space="preserve">uevo miembro del personal, la Comisión </w:t>
      </w:r>
      <w:r w:rsidR="005C4174" w:rsidRPr="00E4414B">
        <w:t>requerirá</w:t>
      </w:r>
      <w:r w:rsidRPr="00E4414B">
        <w:t xml:space="preserve"> el consentimiento del Ministro </w:t>
      </w:r>
      <w:r>
        <w:t>de</w:t>
      </w:r>
      <w:r w:rsidRPr="00E4414B">
        <w:t xml:space="preserve"> Justic</w:t>
      </w:r>
      <w:r>
        <w:t>ia</w:t>
      </w:r>
      <w:r w:rsidRPr="00E4414B">
        <w:t xml:space="preserve">, </w:t>
      </w:r>
      <w:r>
        <w:t>Igualdad y</w:t>
      </w:r>
      <w:r w:rsidRPr="00E4414B">
        <w:t xml:space="preserve"> Reform</w:t>
      </w:r>
      <w:r>
        <w:t>a Jurídica y del</w:t>
      </w:r>
      <w:r w:rsidRPr="00E4414B">
        <w:t xml:space="preserve"> Ministr</w:t>
      </w:r>
      <w:r>
        <w:t>o</w:t>
      </w:r>
      <w:r w:rsidRPr="00E4414B">
        <w:t xml:space="preserve"> </w:t>
      </w:r>
      <w:r>
        <w:t>de</w:t>
      </w:r>
      <w:r w:rsidRPr="00E4414B">
        <w:t xml:space="preserve"> Finan</w:t>
      </w:r>
      <w:r>
        <w:t>zas,</w:t>
      </w:r>
      <w:r w:rsidRPr="00E4414B">
        <w:t xml:space="preserve"> </w:t>
      </w:r>
      <w:r>
        <w:t>como se indica en las</w:t>
      </w:r>
      <w:r w:rsidR="005007D6">
        <w:t xml:space="preserve"> </w:t>
      </w:r>
      <w:r>
        <w:t>disposiciones pertinentes</w:t>
      </w:r>
      <w:r w:rsidRPr="00E4414B">
        <w:t>.</w:t>
      </w:r>
    </w:p>
    <w:p w:rsidR="000100D5" w:rsidRPr="00870DD3" w:rsidRDefault="000100D5" w:rsidP="000100D5">
      <w:pPr>
        <w:pStyle w:val="H4G"/>
      </w:pPr>
      <w:r w:rsidRPr="00E4414B">
        <w:tab/>
      </w:r>
      <w:r w:rsidRPr="00E4414B">
        <w:tab/>
      </w:r>
      <w:r>
        <w:t>I</w:t>
      </w:r>
      <w:r w:rsidRPr="00870DD3">
        <w:t>nvestigación sobre los problemas y desafíos</w:t>
      </w:r>
      <w:r>
        <w:t xml:space="preserve"> de</w:t>
      </w:r>
      <w:r w:rsidRPr="00870DD3">
        <w:t xml:space="preserve"> la contratación y selección d</w:t>
      </w:r>
      <w:r>
        <w:t>e trabajadores</w:t>
      </w:r>
      <w:r w:rsidRPr="00870DD3">
        <w:t xml:space="preserve"> </w:t>
      </w:r>
      <w:r>
        <w:t>in</w:t>
      </w:r>
      <w:r w:rsidRPr="00870DD3">
        <w:t>migrant</w:t>
      </w:r>
      <w:r>
        <w:t>es en</w:t>
      </w:r>
      <w:r w:rsidRPr="00870DD3">
        <w:t xml:space="preserve"> Irland</w:t>
      </w:r>
      <w:r>
        <w:t>a</w:t>
      </w:r>
    </w:p>
    <w:p w:rsidR="000100D5" w:rsidRPr="005269E5" w:rsidRDefault="000100D5" w:rsidP="000100D5">
      <w:pPr>
        <w:pStyle w:val="SingleTxtG"/>
      </w:pPr>
      <w:r w:rsidRPr="005269E5">
        <w:t>63.</w:t>
      </w:r>
      <w:r w:rsidRPr="005269E5">
        <w:tab/>
      </w:r>
      <w:r>
        <w:t xml:space="preserve">En julio de 2009 se publicó un informe de investigación titulado </w:t>
      </w:r>
      <w:r w:rsidRPr="005269E5">
        <w:rPr>
          <w:i/>
        </w:rPr>
        <w:t>Issues and Challenges in the Recruitment and Selection of Immigrant Workers in Ireland</w:t>
      </w:r>
      <w:r>
        <w:rPr>
          <w:i/>
        </w:rPr>
        <w:t xml:space="preserve"> </w:t>
      </w:r>
      <w:r>
        <w:t>(Problemas y desafíos de la contratación y selección de trabajadores inmigrantes en Irlanda) que contó con la financiación parcial de la</w:t>
      </w:r>
      <w:r w:rsidRPr="005269E5">
        <w:t xml:space="preserve"> Ofic</w:t>
      </w:r>
      <w:r>
        <w:t>ina del</w:t>
      </w:r>
      <w:r w:rsidRPr="005269E5">
        <w:t xml:space="preserve"> Ministr</w:t>
      </w:r>
      <w:r>
        <w:t>o para la</w:t>
      </w:r>
      <w:r w:rsidRPr="005269E5">
        <w:t xml:space="preserve"> Integra</w:t>
      </w:r>
      <w:r>
        <w:t>c</w:t>
      </w:r>
      <w:r w:rsidRPr="005269E5">
        <w:t>i</w:t>
      </w:r>
      <w:r>
        <w:t>ón y de la Comisión de Nombramientos</w:t>
      </w:r>
      <w:r w:rsidRPr="005269E5">
        <w:t xml:space="preserve"> P</w:t>
      </w:r>
      <w:r>
        <w:t>ú</w:t>
      </w:r>
      <w:r w:rsidRPr="005269E5">
        <w:t>blic</w:t>
      </w:r>
      <w:r>
        <w:t>os</w:t>
      </w:r>
      <w:r w:rsidRPr="005269E5">
        <w:t xml:space="preserve">. </w:t>
      </w:r>
      <w:r w:rsidRPr="005D0767">
        <w:t xml:space="preserve">En la investigación se ha tenido </w:t>
      </w:r>
      <w:r>
        <w:t xml:space="preserve">en cuenta </w:t>
      </w:r>
      <w:r w:rsidRPr="005D0767">
        <w:t>a los solicitantes de empleo de una serie de minor</w:t>
      </w:r>
      <w:r>
        <w:t>ías</w:t>
      </w:r>
      <w:r w:rsidRPr="005D0767">
        <w:t xml:space="preserve"> </w:t>
      </w:r>
      <w:r>
        <w:t>é</w:t>
      </w:r>
      <w:r w:rsidRPr="005D0767">
        <w:t>tnic</w:t>
      </w:r>
      <w:r>
        <w:t>as</w:t>
      </w:r>
      <w:r w:rsidRPr="005D0767">
        <w:t xml:space="preserve">, </w:t>
      </w:r>
      <w:r>
        <w:t>se han analizado sus experiencia</w:t>
      </w:r>
      <w:r w:rsidRPr="005D0767">
        <w:t xml:space="preserve">s </w:t>
      </w:r>
      <w:r>
        <w:t>a la hora de buscar trabajo en Irlanda y se han identificado los retos y obstáculos concretos con que han tropezado</w:t>
      </w:r>
      <w:r w:rsidRPr="005D0767">
        <w:t xml:space="preserve">. </w:t>
      </w:r>
      <w:r w:rsidRPr="00590CB5">
        <w:t xml:space="preserve">La investigación se ha centrado específicamente en los grupos de Europa oriental, Asia/China y </w:t>
      </w:r>
      <w:r>
        <w:t>Á</w:t>
      </w:r>
      <w:r w:rsidRPr="00590CB5">
        <w:t>frica</w:t>
      </w:r>
      <w:r>
        <w:t xml:space="preserve"> que viven</w:t>
      </w:r>
      <w:r w:rsidRPr="00590CB5">
        <w:t xml:space="preserve"> </w:t>
      </w:r>
      <w:r>
        <w:t>e</w:t>
      </w:r>
      <w:r w:rsidRPr="00590CB5">
        <w:t>n Irland</w:t>
      </w:r>
      <w:r>
        <w:t>a</w:t>
      </w:r>
      <w:r w:rsidRPr="00590CB5">
        <w:t xml:space="preserve"> (</w:t>
      </w:r>
      <w:r>
        <w:t>para una</w:t>
      </w:r>
      <w:r w:rsidRPr="00590CB5">
        <w:t xml:space="preserve"> informa</w:t>
      </w:r>
      <w:r>
        <w:t>c</w:t>
      </w:r>
      <w:r w:rsidRPr="00590CB5">
        <w:t>i</w:t>
      </w:r>
      <w:r>
        <w:t>ó</w:t>
      </w:r>
      <w:r w:rsidRPr="00590CB5">
        <w:t xml:space="preserve">n </w:t>
      </w:r>
      <w:r>
        <w:t>más detallada sobre esa investigación, se ruega ver los párrs.</w:t>
      </w:r>
      <w:r w:rsidRPr="00590CB5">
        <w:t xml:space="preserve"> </w:t>
      </w:r>
      <w:r w:rsidRPr="005269E5">
        <w:t>382</w:t>
      </w:r>
      <w:r>
        <w:t xml:space="preserve"> a </w:t>
      </w:r>
      <w:r w:rsidRPr="005269E5">
        <w:t>384).</w:t>
      </w:r>
    </w:p>
    <w:p w:rsidR="000100D5" w:rsidRPr="00590CB5" w:rsidRDefault="000100D5" w:rsidP="000100D5">
      <w:pPr>
        <w:pStyle w:val="H23G"/>
      </w:pPr>
      <w:r w:rsidRPr="005269E5">
        <w:tab/>
      </w:r>
      <w:r w:rsidRPr="005269E5">
        <w:tab/>
      </w:r>
      <w:r w:rsidRPr="00590CB5">
        <w:t>Respuesta a la observación contenida en el párrafo 9 del informe del Coor</w:t>
      </w:r>
      <w:r>
        <w:t xml:space="preserve">dinador </w:t>
      </w:r>
      <w:r w:rsidR="00F80E33">
        <w:t>encargado</w:t>
      </w:r>
      <w:r>
        <w:t xml:space="preserve"> </w:t>
      </w:r>
      <w:r w:rsidR="00F80E33">
        <w:t>d</w:t>
      </w:r>
      <w:r>
        <w:t>el seguimiento</w:t>
      </w:r>
    </w:p>
    <w:p w:rsidR="000100D5" w:rsidRPr="00C52DDB" w:rsidRDefault="000100D5" w:rsidP="000100D5">
      <w:pPr>
        <w:pStyle w:val="SingleTxtG"/>
      </w:pPr>
      <w:r w:rsidRPr="005269E5">
        <w:t>64.</w:t>
      </w:r>
      <w:r w:rsidRPr="005269E5">
        <w:tab/>
      </w:r>
      <w:r>
        <w:t>Se ha llevado a cabo un es</w:t>
      </w:r>
      <w:r w:rsidRPr="005269E5">
        <w:t>tud</w:t>
      </w:r>
      <w:r>
        <w:t>io</w:t>
      </w:r>
      <w:r w:rsidRPr="005269E5">
        <w:t xml:space="preserve"> tit</w:t>
      </w:r>
      <w:r>
        <w:t>u</w:t>
      </w:r>
      <w:r w:rsidRPr="005269E5">
        <w:t>l</w:t>
      </w:r>
      <w:r>
        <w:t>a</w:t>
      </w:r>
      <w:r w:rsidRPr="005269E5">
        <w:t>d</w:t>
      </w:r>
      <w:r>
        <w:t>o</w:t>
      </w:r>
      <w:r w:rsidRPr="005269E5">
        <w:t xml:space="preserve"> </w:t>
      </w:r>
      <w:r w:rsidRPr="005269E5">
        <w:rPr>
          <w:i/>
        </w:rPr>
        <w:t>A Conceptual Framework and Principles to Guide Core Funding for Organisations Representing the New Communities in Ireland</w:t>
      </w:r>
      <w:r w:rsidRPr="005269E5">
        <w:t xml:space="preserve"> </w:t>
      </w:r>
      <w:r>
        <w:t>(Marco conceptual y principios con miras a orientar la financiación básica destinada a las organizaciones que representan a las nuevas comunidades en Irlanda) en torno a los mecanismos pertinentes de financiación para las organizaciones de minorías étnicas</w:t>
      </w:r>
      <w:r w:rsidRPr="005269E5">
        <w:t xml:space="preserve">. </w:t>
      </w:r>
      <w:r w:rsidR="005E4658">
        <w:t>El </w:t>
      </w:r>
      <w:r w:rsidRPr="0006313F">
        <w:t>informe es fruto de un encargo del Plan de Acción Nacional contra el Racismo</w:t>
      </w:r>
      <w:r>
        <w:t xml:space="preserve"> y ha sido realizado por</w:t>
      </w:r>
      <w:r w:rsidRPr="0006313F">
        <w:t xml:space="preserve"> Fitzpatrick Associates. </w:t>
      </w:r>
      <w:r w:rsidRPr="00C52DDB">
        <w:t>La Oficina del Ministr</w:t>
      </w:r>
      <w:r>
        <w:t>o para la</w:t>
      </w:r>
      <w:r w:rsidRPr="00C52DDB">
        <w:t xml:space="preserve"> Integración lo está examinando en el contexto general de las medidas de financiaci</w:t>
      </w:r>
      <w:r>
        <w:t>ón dirigidas a promover la</w:t>
      </w:r>
      <w:r w:rsidRPr="00C52DDB">
        <w:t xml:space="preserve"> integra</w:t>
      </w:r>
      <w:r>
        <w:t>c</w:t>
      </w:r>
      <w:r w:rsidRPr="00C52DDB">
        <w:t>i</w:t>
      </w:r>
      <w:r>
        <w:t>ó</w:t>
      </w:r>
      <w:r w:rsidRPr="00C52DDB">
        <w:t>n.</w:t>
      </w:r>
    </w:p>
    <w:p w:rsidR="000100D5" w:rsidRPr="00A4134E" w:rsidRDefault="000100D5" w:rsidP="000100D5">
      <w:pPr>
        <w:pStyle w:val="SingleTxtG"/>
      </w:pPr>
      <w:r w:rsidRPr="005269E5">
        <w:t>65.</w:t>
      </w:r>
      <w:r w:rsidRPr="005269E5">
        <w:tab/>
      </w:r>
      <w:r>
        <w:t>La</w:t>
      </w:r>
      <w:r w:rsidRPr="005269E5">
        <w:t xml:space="preserve"> Ofic</w:t>
      </w:r>
      <w:r>
        <w:t>ina del</w:t>
      </w:r>
      <w:r w:rsidRPr="005269E5">
        <w:t xml:space="preserve"> Ministr</w:t>
      </w:r>
      <w:r>
        <w:t>o para la</w:t>
      </w:r>
      <w:r w:rsidRPr="005269E5">
        <w:t xml:space="preserve"> Integra</w:t>
      </w:r>
      <w:r>
        <w:t>c</w:t>
      </w:r>
      <w:r w:rsidRPr="005269E5">
        <w:t>i</w:t>
      </w:r>
      <w:r>
        <w:t>ó</w:t>
      </w:r>
      <w:r w:rsidRPr="005269E5">
        <w:t xml:space="preserve">n </w:t>
      </w:r>
      <w:r>
        <w:t>sigue facilitando una financiación específica a las autoridades locales, organismos deportivos y grupos de confesiones religiosas</w:t>
      </w:r>
      <w:r w:rsidRPr="005269E5">
        <w:t xml:space="preserve">. </w:t>
      </w:r>
      <w:r w:rsidRPr="00A4134E">
        <w:t>Algunos de esos grupos financian posteriormente a una serie de organizaciones no gubernamental</w:t>
      </w:r>
      <w:r>
        <w:t>es y grupos comunitarios de su zona</w:t>
      </w:r>
      <w:r w:rsidRPr="00A4134E">
        <w:t xml:space="preserve">. </w:t>
      </w:r>
    </w:p>
    <w:p w:rsidR="000100D5" w:rsidRPr="00A4134E" w:rsidRDefault="000100D5" w:rsidP="000100D5">
      <w:pPr>
        <w:pStyle w:val="H23G"/>
      </w:pPr>
      <w:r w:rsidRPr="00A4134E">
        <w:tab/>
      </w:r>
      <w:r w:rsidRPr="00A4134E">
        <w:tab/>
        <w:t>Respuesta a la recomendación contenida en el párrafo 10 del informe del Coordinador</w:t>
      </w:r>
      <w:r>
        <w:t xml:space="preserve"> </w:t>
      </w:r>
      <w:r w:rsidR="00F80E33">
        <w:t>encargado</w:t>
      </w:r>
      <w:r>
        <w:t xml:space="preserve"> </w:t>
      </w:r>
      <w:r w:rsidR="00F80E33">
        <w:t>d</w:t>
      </w:r>
      <w:r>
        <w:t>el seguimiento</w:t>
      </w:r>
    </w:p>
    <w:p w:rsidR="000100D5" w:rsidRPr="00EE1D76" w:rsidRDefault="000100D5" w:rsidP="000100D5">
      <w:pPr>
        <w:pStyle w:val="SingleTxtG"/>
      </w:pPr>
      <w:r w:rsidRPr="005269E5">
        <w:t>66.</w:t>
      </w:r>
      <w:r w:rsidRPr="005269E5">
        <w:tab/>
      </w:r>
      <w:r>
        <w:t>La Ley de permisos de</w:t>
      </w:r>
      <w:r w:rsidRPr="005269E5">
        <w:t xml:space="preserve"> </w:t>
      </w:r>
      <w:r>
        <w:t>trabajo de</w:t>
      </w:r>
      <w:r w:rsidRPr="005269E5">
        <w:t xml:space="preserve"> 2006, </w:t>
      </w:r>
      <w:r>
        <w:t>que se puso en marcha en f</w:t>
      </w:r>
      <w:r w:rsidRPr="005269E5">
        <w:t>ebr</w:t>
      </w:r>
      <w:r>
        <w:t>ero de</w:t>
      </w:r>
      <w:r w:rsidRPr="005269E5">
        <w:t xml:space="preserve"> 2007, </w:t>
      </w:r>
      <w:r>
        <w:t xml:space="preserve">comprende una serie de </w:t>
      </w:r>
      <w:r w:rsidR="00F80E33">
        <w:t>garantías fundamentales</w:t>
      </w:r>
      <w:r>
        <w:t xml:space="preserve"> adicionales para los trabajadores</w:t>
      </w:r>
      <w:r w:rsidRPr="005269E5">
        <w:t xml:space="preserve"> migrant</w:t>
      </w:r>
      <w:r>
        <w:t xml:space="preserve">es. </w:t>
      </w:r>
      <w:r w:rsidRPr="00EE1D76">
        <w:t xml:space="preserve">La posibilidad de cambiar de empleador constituye un factor importante para luchar contra la explotación de los migrantes </w:t>
      </w:r>
      <w:r>
        <w:t>y</w:t>
      </w:r>
      <w:r w:rsidRPr="00EE1D76">
        <w:t xml:space="preserve">, </w:t>
      </w:r>
      <w:r>
        <w:t>e</w:t>
      </w:r>
      <w:r w:rsidRPr="00EE1D76">
        <w:t xml:space="preserve">n </w:t>
      </w:r>
      <w:r>
        <w:t xml:space="preserve">circunstancias </w:t>
      </w:r>
      <w:r w:rsidRPr="00EE1D76">
        <w:t>excep</w:t>
      </w:r>
      <w:r>
        <w:t>c</w:t>
      </w:r>
      <w:r w:rsidRPr="00EE1D76">
        <w:t>ional</w:t>
      </w:r>
      <w:r>
        <w:t>es,</w:t>
      </w:r>
      <w:r w:rsidRPr="00EE1D76">
        <w:t xml:space="preserve"> </w:t>
      </w:r>
      <w:r>
        <w:t>cabe anular la</w:t>
      </w:r>
      <w:r w:rsidRPr="00EE1D76">
        <w:t xml:space="preserve"> restric</w:t>
      </w:r>
      <w:r>
        <w:t>c</w:t>
      </w:r>
      <w:r w:rsidRPr="00EE1D76">
        <w:t>i</w:t>
      </w:r>
      <w:r>
        <w:t>ó</w:t>
      </w:r>
      <w:r w:rsidRPr="00EE1D76">
        <w:t>n</w:t>
      </w:r>
      <w:r>
        <w:t xml:space="preserve"> de un año</w:t>
      </w:r>
      <w:r w:rsidRPr="00EE1D76">
        <w:t>. En general, sin embargo, la duración del período durante el cual el trabajador migrante permanece vinculado a su primer empleador obedece a la necesidad de tener en cuenta el tiempo que tardar</w:t>
      </w:r>
      <w:r>
        <w:t>á este último en</w:t>
      </w:r>
      <w:r w:rsidRPr="00EE1D76">
        <w:t xml:space="preserve"> reco</w:t>
      </w:r>
      <w:r>
        <w:t>brar</w:t>
      </w:r>
      <w:r w:rsidRPr="00EE1D76">
        <w:t xml:space="preserve"> part</w:t>
      </w:r>
      <w:r>
        <w:t>e</w:t>
      </w:r>
      <w:r w:rsidRPr="00EE1D76">
        <w:t xml:space="preserve"> </w:t>
      </w:r>
      <w:r>
        <w:t>de la cantidad invertida en la</w:t>
      </w:r>
      <w:r w:rsidR="005007D6">
        <w:t xml:space="preserve"> </w:t>
      </w:r>
      <w:r>
        <w:t>contratación de dicho migrante</w:t>
      </w:r>
      <w:r w:rsidRPr="00EE1D76">
        <w:t>. Aunque ese p</w:t>
      </w:r>
      <w:r>
        <w:t>lazo</w:t>
      </w:r>
      <w:r w:rsidRPr="00EE1D76">
        <w:t xml:space="preserve"> puede variar en funci</w:t>
      </w:r>
      <w:r>
        <w:t>ó</w:t>
      </w:r>
      <w:r w:rsidRPr="00EE1D76">
        <w:t xml:space="preserve">n de los distintos casos, parece razonable </w:t>
      </w:r>
      <w:r>
        <w:t>calcular un período</w:t>
      </w:r>
      <w:r w:rsidRPr="00EE1D76">
        <w:t xml:space="preserve"> ini</w:t>
      </w:r>
      <w:r>
        <w:t>c</w:t>
      </w:r>
      <w:r w:rsidRPr="00EE1D76">
        <w:t xml:space="preserve">ial </w:t>
      </w:r>
      <w:r>
        <w:t>de un año</w:t>
      </w:r>
      <w:r w:rsidRPr="00EE1D76">
        <w:t>.</w:t>
      </w:r>
    </w:p>
    <w:p w:rsidR="000100D5" w:rsidRPr="005269E5" w:rsidRDefault="000100D5" w:rsidP="000100D5">
      <w:pPr>
        <w:pStyle w:val="SingleTxtG"/>
      </w:pPr>
      <w:r w:rsidRPr="005269E5">
        <w:t>67.</w:t>
      </w:r>
      <w:r w:rsidRPr="005269E5">
        <w:tab/>
      </w:r>
      <w:r>
        <w:t>En aras de una mayor</w:t>
      </w:r>
      <w:r w:rsidRPr="005269E5">
        <w:t xml:space="preserve"> clari</w:t>
      </w:r>
      <w:r>
        <w:t>dad</w:t>
      </w:r>
      <w:r w:rsidRPr="005269E5">
        <w:t xml:space="preserve">, </w:t>
      </w:r>
      <w:r>
        <w:t>y con arreglo a la Ley de</w:t>
      </w:r>
      <w:r w:rsidRPr="005269E5">
        <w:t xml:space="preserve"> </w:t>
      </w:r>
      <w:r>
        <w:t>ig</w:t>
      </w:r>
      <w:r w:rsidRPr="005269E5">
        <w:t>ual</w:t>
      </w:r>
      <w:r>
        <w:t>dad en el empleo de</w:t>
      </w:r>
      <w:r w:rsidR="005E4658">
        <w:t> </w:t>
      </w:r>
      <w:r w:rsidRPr="005269E5">
        <w:t>1998</w:t>
      </w:r>
      <w:r>
        <w:t>, modificada por la Ley de igualdad de</w:t>
      </w:r>
      <w:r w:rsidRPr="005269E5">
        <w:t xml:space="preserve"> 2004, </w:t>
      </w:r>
      <w:r>
        <w:t>el</w:t>
      </w:r>
      <w:r w:rsidRPr="005269E5">
        <w:t xml:space="preserve"> Go</w:t>
      </w:r>
      <w:r>
        <w:t>bi</w:t>
      </w:r>
      <w:r w:rsidRPr="005269E5">
        <w:t>ern</w:t>
      </w:r>
      <w:r>
        <w:t>o de</w:t>
      </w:r>
      <w:r w:rsidRPr="005269E5">
        <w:t xml:space="preserve"> Irland</w:t>
      </w:r>
      <w:r>
        <w:t>a</w:t>
      </w:r>
      <w:r w:rsidRPr="005269E5">
        <w:t xml:space="preserve"> </w:t>
      </w:r>
      <w:r>
        <w:t xml:space="preserve">está en condiciones de afirmar que la </w:t>
      </w:r>
      <w:r w:rsidRPr="005269E5">
        <w:t>protec</w:t>
      </w:r>
      <w:r>
        <w:t>c</w:t>
      </w:r>
      <w:r w:rsidRPr="005269E5">
        <w:t>i</w:t>
      </w:r>
      <w:r>
        <w:t>ón</w:t>
      </w:r>
      <w:r w:rsidRPr="005269E5">
        <w:t xml:space="preserve"> </w:t>
      </w:r>
      <w:r>
        <w:t>de los empleados del servicio doméstico</w:t>
      </w:r>
      <w:r w:rsidRPr="005269E5">
        <w:t xml:space="preserve"> migrant</w:t>
      </w:r>
      <w:r>
        <w:t>es es</w:t>
      </w:r>
      <w:r w:rsidRPr="005269E5">
        <w:t xml:space="preserve"> </w:t>
      </w:r>
      <w:r>
        <w:t>idéntica a la de los ciudadanos</w:t>
      </w:r>
      <w:r w:rsidRPr="005269E5">
        <w:t xml:space="preserve"> </w:t>
      </w:r>
      <w:r>
        <w:t>i</w:t>
      </w:r>
      <w:r w:rsidRPr="005269E5">
        <w:t>r</w:t>
      </w:r>
      <w:r>
        <w:t>landeses</w:t>
      </w:r>
      <w:r w:rsidRPr="005269E5">
        <w:t xml:space="preserve"> </w:t>
      </w:r>
      <w:r>
        <w:t>que desempeñan ese mismo trabajo</w:t>
      </w:r>
      <w:r w:rsidRPr="005269E5">
        <w:t>.</w:t>
      </w:r>
    </w:p>
    <w:p w:rsidR="000100D5" w:rsidRPr="005269E5" w:rsidRDefault="000100D5" w:rsidP="000100D5">
      <w:pPr>
        <w:pStyle w:val="H23G"/>
      </w:pPr>
      <w:r w:rsidRPr="005269E5">
        <w:tab/>
        <w:t>4.</w:t>
      </w:r>
      <w:r w:rsidRPr="005269E5">
        <w:tab/>
      </w:r>
      <w:r>
        <w:t>Dirección</w:t>
      </w:r>
      <w:r w:rsidRPr="005269E5">
        <w:t xml:space="preserve"> Na</w:t>
      </w:r>
      <w:r>
        <w:t>c</w:t>
      </w:r>
      <w:r w:rsidRPr="005269E5">
        <w:t xml:space="preserve">ional </w:t>
      </w:r>
      <w:r>
        <w:t>de Derechos de Empleo</w:t>
      </w:r>
      <w:r w:rsidRPr="005269E5">
        <w:rPr>
          <w:rStyle w:val="FootnoteReference"/>
          <w:b w:val="0"/>
        </w:rPr>
        <w:footnoteReference w:id="30"/>
      </w:r>
    </w:p>
    <w:p w:rsidR="000100D5" w:rsidRPr="005E6775" w:rsidRDefault="000100D5" w:rsidP="000100D5">
      <w:pPr>
        <w:pStyle w:val="SingleTxtG"/>
      </w:pPr>
      <w:r w:rsidRPr="005269E5">
        <w:t>68.</w:t>
      </w:r>
      <w:r w:rsidRPr="005269E5">
        <w:tab/>
      </w:r>
      <w:r>
        <w:t>En febrero de 2007 se creó la Dirección Nacional de Derechos de Empleo,</w:t>
      </w:r>
      <w:r w:rsidRPr="005269E5">
        <w:t xml:space="preserve"> </w:t>
      </w:r>
      <w:r>
        <w:t>con carácter</w:t>
      </w:r>
      <w:r w:rsidRPr="005269E5">
        <w:t xml:space="preserve"> </w:t>
      </w:r>
      <w:r>
        <w:t>provisional, a raíz del acuerdo de participación</w:t>
      </w:r>
      <w:r w:rsidRPr="005269E5">
        <w:t xml:space="preserve"> social </w:t>
      </w:r>
      <w:r w:rsidRPr="005269E5">
        <w:rPr>
          <w:i/>
        </w:rPr>
        <w:t>Towards 2016</w:t>
      </w:r>
      <w:r w:rsidRPr="005269E5">
        <w:t xml:space="preserve"> </w:t>
      </w:r>
      <w:r w:rsidR="005E4658">
        <w:t>(Hacia el </w:t>
      </w:r>
      <w:r>
        <w:t>2016) y de la necesidad de promover el cumplimiento de los derechos en materia de empleo</w:t>
      </w:r>
      <w:r w:rsidRPr="005269E5">
        <w:t xml:space="preserve">. </w:t>
      </w:r>
      <w:r w:rsidRPr="005E6775">
        <w:t>La Dirección se estableció bajo el patrocinio del Depart</w:t>
      </w:r>
      <w:r>
        <w:t>a</w:t>
      </w:r>
      <w:r w:rsidRPr="005E6775">
        <w:t>ment</w:t>
      </w:r>
      <w:r>
        <w:t>o de Em</w:t>
      </w:r>
      <w:r w:rsidRPr="005E6775">
        <w:t>pr</w:t>
      </w:r>
      <w:r>
        <w:t>e</w:t>
      </w:r>
      <w:r w:rsidRPr="005E6775">
        <w:t>s</w:t>
      </w:r>
      <w:r>
        <w:t>as</w:t>
      </w:r>
      <w:r w:rsidRPr="005E6775">
        <w:t xml:space="preserve">, </w:t>
      </w:r>
      <w:r>
        <w:t>Comercio y</w:t>
      </w:r>
      <w:r w:rsidRPr="005E6775">
        <w:t xml:space="preserve"> Empl</w:t>
      </w:r>
      <w:r>
        <w:t>e</w:t>
      </w:r>
      <w:r w:rsidRPr="005E6775">
        <w:t>o.</w:t>
      </w:r>
    </w:p>
    <w:p w:rsidR="000100D5" w:rsidRPr="00931302" w:rsidRDefault="000100D5" w:rsidP="000100D5">
      <w:pPr>
        <w:pStyle w:val="SingleTxtG"/>
      </w:pPr>
      <w:r>
        <w:t>69.</w:t>
      </w:r>
      <w:r>
        <w:tab/>
        <w:t>E</w:t>
      </w:r>
      <w:r w:rsidRPr="005269E5">
        <w:t xml:space="preserve">n </w:t>
      </w:r>
      <w:r>
        <w:t>ab</w:t>
      </w:r>
      <w:r w:rsidRPr="005269E5">
        <w:t xml:space="preserve">ril </w:t>
      </w:r>
      <w:r>
        <w:t xml:space="preserve">de </w:t>
      </w:r>
      <w:r w:rsidRPr="005269E5">
        <w:t xml:space="preserve">2008, </w:t>
      </w:r>
      <w:r>
        <w:t>el</w:t>
      </w:r>
      <w:r w:rsidRPr="005269E5">
        <w:t xml:space="preserve"> Ministr</w:t>
      </w:r>
      <w:r>
        <w:t>o de Asuntos</w:t>
      </w:r>
      <w:r w:rsidRPr="005269E5">
        <w:t xml:space="preserve"> Labor</w:t>
      </w:r>
      <w:r>
        <w:t>ales</w:t>
      </w:r>
      <w:r w:rsidRPr="005269E5">
        <w:t xml:space="preserve"> anunc</w:t>
      </w:r>
      <w:r>
        <w:t>ió</w:t>
      </w:r>
      <w:r w:rsidRPr="005269E5">
        <w:t xml:space="preserve"> </w:t>
      </w:r>
      <w:r>
        <w:t>el</w:t>
      </w:r>
      <w:r w:rsidRPr="005269E5">
        <w:t xml:space="preserve"> </w:t>
      </w:r>
      <w:r>
        <w:t>nombramiento del Consejo Asesor de la</w:t>
      </w:r>
      <w:r w:rsidRPr="005269E5">
        <w:t xml:space="preserve"> </w:t>
      </w:r>
      <w:r>
        <w:t xml:space="preserve">Dirección </w:t>
      </w:r>
      <w:r w:rsidRPr="005269E5">
        <w:t>Na</w:t>
      </w:r>
      <w:r>
        <w:t>c</w:t>
      </w:r>
      <w:r w:rsidRPr="005269E5">
        <w:t xml:space="preserve">ional </w:t>
      </w:r>
      <w:r>
        <w:t>de Derechos de Empleo</w:t>
      </w:r>
      <w:r w:rsidRPr="005269E5">
        <w:t xml:space="preserve">. </w:t>
      </w:r>
      <w:r w:rsidRPr="00931302">
        <w:t>La misión del Consejo estriba en ofrecer asesoramiento, insumos y sugerencias en materia de política a la Oficina por lo que hace a los aspectos de cumplimiento y aplicaci</w:t>
      </w:r>
      <w:r>
        <w:t>ón</w:t>
      </w:r>
      <w:r w:rsidRPr="00931302">
        <w:t>.</w:t>
      </w:r>
    </w:p>
    <w:p w:rsidR="000100D5" w:rsidRPr="005269E5" w:rsidRDefault="000100D5" w:rsidP="000100D5">
      <w:pPr>
        <w:pStyle w:val="SingleTxtG"/>
      </w:pPr>
      <w:r w:rsidRPr="005269E5">
        <w:t>70.</w:t>
      </w:r>
      <w:r w:rsidRPr="005269E5">
        <w:tab/>
      </w:r>
      <w:r>
        <w:t>Desde sus comienzos, la Dirección Nacional de Derechos de Empleo</w:t>
      </w:r>
      <w:r w:rsidRPr="005269E5">
        <w:t xml:space="preserve"> ha</w:t>
      </w:r>
      <w:r>
        <w:t xml:space="preserve"> logrado realizar grandes</w:t>
      </w:r>
      <w:r w:rsidRPr="005269E5">
        <w:t xml:space="preserve"> progres</w:t>
      </w:r>
      <w:r>
        <w:t>o</w:t>
      </w:r>
      <w:r w:rsidRPr="005269E5">
        <w:t xml:space="preserve">s </w:t>
      </w:r>
      <w:r>
        <w:t>e</w:t>
      </w:r>
      <w:r w:rsidRPr="005269E5">
        <w:t xml:space="preserve">n </w:t>
      </w:r>
      <w:r>
        <w:t>lo tocante a sus objetivos de garantizar el cumplimiento de la legislación laboral y de</w:t>
      </w:r>
      <w:r w:rsidRPr="005269E5">
        <w:t xml:space="preserve"> fo</w:t>
      </w:r>
      <w:r>
        <w:t>m</w:t>
      </w:r>
      <w:r w:rsidRPr="005269E5">
        <w:t>e</w:t>
      </w:r>
      <w:r>
        <w:t>nta</w:t>
      </w:r>
      <w:r w:rsidRPr="005269E5">
        <w:t xml:space="preserve">r </w:t>
      </w:r>
      <w:r>
        <w:t>un</w:t>
      </w:r>
      <w:r w:rsidRPr="005269E5">
        <w:t>a cultur</w:t>
      </w:r>
      <w:r>
        <w:t>a</w:t>
      </w:r>
      <w:r w:rsidRPr="005269E5">
        <w:t xml:space="preserve"> </w:t>
      </w:r>
      <w:r>
        <w:t>con tal fin en</w:t>
      </w:r>
      <w:r w:rsidRPr="005269E5">
        <w:t xml:space="preserve"> Irland</w:t>
      </w:r>
      <w:r>
        <w:t>a,</w:t>
      </w:r>
      <w:r w:rsidRPr="005269E5">
        <w:t xml:space="preserve"> </w:t>
      </w:r>
      <w:r>
        <w:t>basada en cinco ejes principales</w:t>
      </w:r>
      <w:r w:rsidRPr="005269E5">
        <w:t>:</w:t>
      </w:r>
    </w:p>
    <w:p w:rsidR="000100D5" w:rsidRPr="00355D3C" w:rsidRDefault="000100D5" w:rsidP="00355D3C">
      <w:pPr>
        <w:pStyle w:val="Bullet1G"/>
      </w:pPr>
      <w:r w:rsidRPr="00355D3C">
        <w:t>Información – El papel de la Dirección Nacional de Derechos de Empleo consiste en brindar una información gratuita y sin sesgos sobre los derechos laborales a los empleadores, empleados y otras partes interesadas.</w:t>
      </w:r>
    </w:p>
    <w:p w:rsidR="000100D5" w:rsidRPr="00355D3C" w:rsidRDefault="000100D5" w:rsidP="00355D3C">
      <w:pPr>
        <w:pStyle w:val="Bullet1G"/>
      </w:pPr>
      <w:r w:rsidRPr="00355D3C">
        <w:t>Inspección – Los inspectores de la Dirección Nacional de Derechos de Empleo están facultados por ley para examinar la documentación de los empleadores, fotocopiarla y entrevistar y solicitar información a cualquier persona implicada. Los inspectores</w:t>
      </w:r>
      <w:r w:rsidR="005007D6" w:rsidRPr="00355D3C">
        <w:t xml:space="preserve"> </w:t>
      </w:r>
      <w:r w:rsidRPr="00355D3C">
        <w:t>operan a escala regional en todo el país.</w:t>
      </w:r>
    </w:p>
    <w:p w:rsidR="000100D5" w:rsidRPr="00355D3C" w:rsidRDefault="000100D5" w:rsidP="00355D3C">
      <w:pPr>
        <w:pStyle w:val="Bullet1G"/>
      </w:pPr>
      <w:r w:rsidRPr="00355D3C">
        <w:t>Cumplimiento – En determinadas circunstancias, la Dependencia de Servicios de Cumplimiento puede intervenir para que se cumpla una resolución del Tribunal Laboral o del Tribunal de Apelación en materia de</w:t>
      </w:r>
      <w:r w:rsidR="005007D6" w:rsidRPr="00355D3C">
        <w:t xml:space="preserve"> </w:t>
      </w:r>
      <w:r w:rsidRPr="00355D3C">
        <w:t>Empleo a través del Servicio Judicial.</w:t>
      </w:r>
    </w:p>
    <w:p w:rsidR="000100D5" w:rsidRPr="00355D3C" w:rsidRDefault="000100D5" w:rsidP="00355D3C">
      <w:pPr>
        <w:pStyle w:val="Bullet1G"/>
      </w:pPr>
      <w:r w:rsidRPr="00355D3C">
        <w:t>Procedimiento – Cuando se detecta una infracción de los derechos laborales, el papel primordial de los Servicios de Inspección de la Dirección Nacional de Derechos de Empleo consiste en velar por la aplicación de la legislación y por corregir la situación, lo que incluye una reparación a los empleados afectados y el pago de cualquier atraso.</w:t>
      </w:r>
    </w:p>
    <w:p w:rsidR="000100D5" w:rsidRPr="00250796" w:rsidRDefault="000100D5" w:rsidP="00355D3C">
      <w:pPr>
        <w:pStyle w:val="Bullet1G"/>
      </w:pPr>
      <w:r w:rsidRPr="00355D3C">
        <w:t>Protección de</w:t>
      </w:r>
      <w:r w:rsidRPr="00250796">
        <w:t xml:space="preserve"> los jóvenes – El objetivo de la Ley de protección de los jóvenes (empleo), de 1996, consiste en velar por la salud</w:t>
      </w:r>
      <w:r>
        <w:t xml:space="preserve"> de los jóvenes</w:t>
      </w:r>
      <w:r w:rsidRPr="00250796">
        <w:t xml:space="preserve"> </w:t>
      </w:r>
      <w:r>
        <w:t>trabajadores</w:t>
      </w:r>
      <w:r w:rsidRPr="00250796">
        <w:t xml:space="preserve"> </w:t>
      </w:r>
      <w:r>
        <w:t>y en garantizar que el trabajo realizado durante los años de escolarización</w:t>
      </w:r>
      <w:r w:rsidRPr="00250796">
        <w:t xml:space="preserve"> </w:t>
      </w:r>
      <w:r>
        <w:t>no ponga en peligro su</w:t>
      </w:r>
      <w:r w:rsidRPr="00250796">
        <w:t xml:space="preserve"> educa</w:t>
      </w:r>
      <w:r>
        <w:t>c</w:t>
      </w:r>
      <w:r w:rsidRPr="00250796">
        <w:t>i</w:t>
      </w:r>
      <w:r>
        <w:t>ó</w:t>
      </w:r>
      <w:r w:rsidRPr="00250796">
        <w:t>n</w:t>
      </w:r>
      <w:r>
        <w:t>.</w:t>
      </w:r>
      <w:r w:rsidRPr="00250796">
        <w:t xml:space="preserve"> </w:t>
      </w:r>
    </w:p>
    <w:p w:rsidR="000100D5" w:rsidRPr="003E6D97" w:rsidRDefault="000100D5" w:rsidP="000100D5">
      <w:pPr>
        <w:pStyle w:val="SingleTxtG"/>
      </w:pPr>
      <w:r w:rsidRPr="005269E5">
        <w:t>71.</w:t>
      </w:r>
      <w:r w:rsidRPr="005269E5">
        <w:tab/>
      </w:r>
      <w:r>
        <w:t xml:space="preserve">El </w:t>
      </w:r>
      <w:r w:rsidRPr="005269E5">
        <w:t>n</w:t>
      </w:r>
      <w:r>
        <w:t>úm</w:t>
      </w:r>
      <w:r w:rsidRPr="005269E5">
        <w:t>er</w:t>
      </w:r>
      <w:r>
        <w:t>o de</w:t>
      </w:r>
      <w:r w:rsidRPr="005269E5">
        <w:t xml:space="preserve"> inspector</w:t>
      </w:r>
      <w:r>
        <w:t>e</w:t>
      </w:r>
      <w:r w:rsidRPr="005269E5">
        <w:t xml:space="preserve">s </w:t>
      </w:r>
      <w:r>
        <w:t>en activo en</w:t>
      </w:r>
      <w:r w:rsidRPr="005269E5">
        <w:t xml:space="preserve"> 2007, </w:t>
      </w:r>
      <w:r>
        <w:t>el año en que se creó la Dirección Nacional</w:t>
      </w:r>
      <w:r w:rsidRPr="005269E5">
        <w:t xml:space="preserve">, </w:t>
      </w:r>
      <w:r>
        <w:t>fue de</w:t>
      </w:r>
      <w:r w:rsidRPr="005269E5">
        <w:t xml:space="preserve"> 31. </w:t>
      </w:r>
      <w:r w:rsidRPr="002117BB">
        <w:t xml:space="preserve">La Dirección Nacional de Derechos </w:t>
      </w:r>
      <w:r>
        <w:t>de Empleo</w:t>
      </w:r>
      <w:r w:rsidRPr="002117BB">
        <w:t xml:space="preserve"> cuenta en la actualidad con 74 inspector</w:t>
      </w:r>
      <w:r>
        <w:t>e</w:t>
      </w:r>
      <w:r w:rsidRPr="002117BB">
        <w:t>s. Entre ellos, hay 9 que hablan con soltura una serie de lenguas de</w:t>
      </w:r>
      <w:r w:rsidR="005007D6">
        <w:t xml:space="preserve"> </w:t>
      </w:r>
      <w:r w:rsidRPr="002117BB">
        <w:t xml:space="preserve">Europa oriental. </w:t>
      </w:r>
      <w:r>
        <w:t>Los</w:t>
      </w:r>
      <w:r w:rsidRPr="002117BB">
        <w:t xml:space="preserve"> idiomas que dominan esos inspector</w:t>
      </w:r>
      <w:r>
        <w:t>e</w:t>
      </w:r>
      <w:r w:rsidRPr="002117BB">
        <w:t>s son el polaco, el lituano</w:t>
      </w:r>
      <w:r>
        <w:t>, el checo y el ruso</w:t>
      </w:r>
      <w:r w:rsidRPr="002117BB">
        <w:t xml:space="preserve">. </w:t>
      </w:r>
      <w:r w:rsidRPr="003E6D97">
        <w:t>Los inspectores de la Dirección Nacional han sido nombrados recientemente funcionarios autori</w:t>
      </w:r>
      <w:r>
        <w:t>zados en virtud de las Leyes de</w:t>
      </w:r>
      <w:r w:rsidRPr="003E6D97">
        <w:t xml:space="preserve"> </w:t>
      </w:r>
      <w:r>
        <w:t>permisos de trabajo</w:t>
      </w:r>
      <w:r w:rsidRPr="003E6D97">
        <w:t xml:space="preserve"> </w:t>
      </w:r>
      <w:r>
        <w:t>de</w:t>
      </w:r>
      <w:r w:rsidR="005E4658">
        <w:t> </w:t>
      </w:r>
      <w:r w:rsidRPr="003E6D97">
        <w:t xml:space="preserve">2003 </w:t>
      </w:r>
      <w:r>
        <w:t>y</w:t>
      </w:r>
      <w:r w:rsidRPr="003E6D97">
        <w:t xml:space="preserve"> 2006. Desde julio de 2009, </w:t>
      </w:r>
      <w:r>
        <w:t xml:space="preserve">entre sus tareas de inspección, </w:t>
      </w:r>
      <w:r w:rsidRPr="003E6D97">
        <w:t>se encargan de controlar el cumplimiento de las normas laborales.</w:t>
      </w:r>
    </w:p>
    <w:p w:rsidR="000100D5" w:rsidRPr="005269E5" w:rsidRDefault="000100D5" w:rsidP="000100D5">
      <w:pPr>
        <w:pStyle w:val="SingleTxtG"/>
      </w:pPr>
      <w:r w:rsidRPr="005269E5">
        <w:t>72.</w:t>
      </w:r>
      <w:r w:rsidRPr="005269E5">
        <w:tab/>
      </w:r>
      <w:r>
        <w:t>La Dirección</w:t>
      </w:r>
      <w:r w:rsidRPr="005269E5">
        <w:t xml:space="preserve"> Na</w:t>
      </w:r>
      <w:r>
        <w:t>c</w:t>
      </w:r>
      <w:r w:rsidRPr="005269E5">
        <w:t xml:space="preserve">ional </w:t>
      </w:r>
      <w:r>
        <w:t>tiene su sede</w:t>
      </w:r>
      <w:r w:rsidRPr="005269E5">
        <w:t xml:space="preserve"> </w:t>
      </w:r>
      <w:r>
        <w:t>e</w:t>
      </w:r>
      <w:r w:rsidRPr="005269E5">
        <w:t>n Carlow</w:t>
      </w:r>
      <w:r>
        <w:t>,</w:t>
      </w:r>
      <w:r w:rsidRPr="005269E5">
        <w:t xml:space="preserve"> </w:t>
      </w:r>
      <w:r>
        <w:t>con oficinas</w:t>
      </w:r>
      <w:r w:rsidRPr="005269E5">
        <w:t xml:space="preserve"> regional</w:t>
      </w:r>
      <w:r>
        <w:t>es</w:t>
      </w:r>
      <w:r w:rsidRPr="005269E5">
        <w:t xml:space="preserve"> </w:t>
      </w:r>
      <w:r>
        <w:t>e</w:t>
      </w:r>
      <w:r w:rsidRPr="005269E5">
        <w:t xml:space="preserve">n Cork, </w:t>
      </w:r>
      <w:r>
        <w:t>Dublí</w:t>
      </w:r>
      <w:r w:rsidRPr="005269E5">
        <w:t xml:space="preserve">n, Shannon </w:t>
      </w:r>
      <w:r>
        <w:t>y</w:t>
      </w:r>
      <w:r w:rsidRPr="005269E5">
        <w:t xml:space="preserve"> Sligo.</w:t>
      </w:r>
    </w:p>
    <w:p w:rsidR="000100D5" w:rsidRPr="003E3E9C" w:rsidRDefault="000100D5" w:rsidP="000100D5">
      <w:pPr>
        <w:pStyle w:val="SingleTxtG"/>
      </w:pPr>
      <w:r w:rsidRPr="005269E5">
        <w:t>73.</w:t>
      </w:r>
      <w:r w:rsidRPr="005269E5">
        <w:tab/>
      </w:r>
      <w:r>
        <w:t>El</w:t>
      </w:r>
      <w:r w:rsidRPr="005269E5">
        <w:t xml:space="preserve"> Minister</w:t>
      </w:r>
      <w:r>
        <w:t>io de</w:t>
      </w:r>
      <w:r w:rsidRPr="005269E5">
        <w:t xml:space="preserve"> E</w:t>
      </w:r>
      <w:r>
        <w:t>m</w:t>
      </w:r>
      <w:r w:rsidRPr="005269E5">
        <w:t>pr</w:t>
      </w:r>
      <w:r>
        <w:t>e</w:t>
      </w:r>
      <w:r w:rsidRPr="005269E5">
        <w:t>s</w:t>
      </w:r>
      <w:r>
        <w:t>as</w:t>
      </w:r>
      <w:r w:rsidRPr="005269E5">
        <w:t xml:space="preserve">, </w:t>
      </w:r>
      <w:r>
        <w:t>Comercio y</w:t>
      </w:r>
      <w:r w:rsidRPr="005269E5">
        <w:t xml:space="preserve"> Empl</w:t>
      </w:r>
      <w:r>
        <w:t>e</w:t>
      </w:r>
      <w:r w:rsidRPr="005269E5">
        <w:t>o lan</w:t>
      </w:r>
      <w:r>
        <w:t>zó</w:t>
      </w:r>
      <w:r w:rsidRPr="005269E5">
        <w:t xml:space="preserve"> </w:t>
      </w:r>
      <w:r>
        <w:t>en enero de 2008 un</w:t>
      </w:r>
      <w:r w:rsidRPr="005269E5">
        <w:t xml:space="preserve">a </w:t>
      </w:r>
      <w:r>
        <w:t>campaña de</w:t>
      </w:r>
      <w:r w:rsidRPr="005269E5">
        <w:t xml:space="preserve"> publici</w:t>
      </w:r>
      <w:r>
        <w:t>dad a gran escala, titulada</w:t>
      </w:r>
      <w:r w:rsidRPr="005269E5">
        <w:t xml:space="preserve"> </w:t>
      </w:r>
      <w:r w:rsidR="00E03EF2">
        <w:t>"</w:t>
      </w:r>
      <w:r>
        <w:t>Derechos de empleo que necesita conocer</w:t>
      </w:r>
      <w:r w:rsidR="00E03EF2">
        <w:t>"</w:t>
      </w:r>
      <w:r w:rsidRPr="005269E5">
        <w:t xml:space="preserve"> </w:t>
      </w:r>
      <w:r>
        <w:t>para</w:t>
      </w:r>
      <w:r w:rsidRPr="005269E5">
        <w:t xml:space="preserve"> inform</w:t>
      </w:r>
      <w:r>
        <w:t>ar de sus derechos a los</w:t>
      </w:r>
      <w:r w:rsidRPr="005269E5">
        <w:t xml:space="preserve"> </w:t>
      </w:r>
      <w:r>
        <w:t>trabajadores</w:t>
      </w:r>
      <w:r w:rsidRPr="005269E5">
        <w:t xml:space="preserve">. </w:t>
      </w:r>
      <w:r w:rsidRPr="00932871">
        <w:t xml:space="preserve">La finalidad de la campaña publicitaria en todos los medios de comunicación reside fundamentalmente en plantear la cuestión de los derechos laborales </w:t>
      </w:r>
      <w:r>
        <w:t>a</w:t>
      </w:r>
      <w:r w:rsidRPr="00932871">
        <w:t xml:space="preserve"> los empleadores y los empleados y en </w:t>
      </w:r>
      <w:r>
        <w:t>hacer hincapié en el papel de la Dirección Nacional</w:t>
      </w:r>
      <w:r w:rsidRPr="00932871">
        <w:t xml:space="preserve"> </w:t>
      </w:r>
      <w:r>
        <w:t>como fuente de</w:t>
      </w:r>
      <w:r w:rsidRPr="00932871">
        <w:t xml:space="preserve"> informa</w:t>
      </w:r>
      <w:r>
        <w:t>c</w:t>
      </w:r>
      <w:r w:rsidRPr="00932871">
        <w:t>i</w:t>
      </w:r>
      <w:r>
        <w:t>ó</w:t>
      </w:r>
      <w:r w:rsidRPr="00932871">
        <w:t xml:space="preserve">n. </w:t>
      </w:r>
      <w:r w:rsidRPr="003E3E9C">
        <w:t xml:space="preserve">La </w:t>
      </w:r>
      <w:r w:rsidR="005E4658">
        <w:t>campaña, con una duración de 12 </w:t>
      </w:r>
      <w:r w:rsidRPr="003E3E9C">
        <w:t>meses, inclu</w:t>
      </w:r>
      <w:r>
        <w:t>yó</w:t>
      </w:r>
      <w:r w:rsidRPr="003E3E9C">
        <w:t xml:space="preserve"> información en directo, a trav</w:t>
      </w:r>
      <w:r>
        <w:t>és de la</w:t>
      </w:r>
      <w:r w:rsidRPr="003E3E9C">
        <w:t xml:space="preserve"> radio </w:t>
      </w:r>
      <w:r>
        <w:t>y la</w:t>
      </w:r>
      <w:r w:rsidRPr="003E3E9C">
        <w:t xml:space="preserve"> televisi</w:t>
      </w:r>
      <w:r>
        <w:t>ó</w:t>
      </w:r>
      <w:r w:rsidRPr="003E3E9C">
        <w:t>n</w:t>
      </w:r>
      <w:r>
        <w:t>, así como en paneles publicitarios y en los medios de comunicación impresos</w:t>
      </w:r>
      <w:r w:rsidRPr="003E3E9C">
        <w:t>.</w:t>
      </w:r>
    </w:p>
    <w:p w:rsidR="000100D5" w:rsidRPr="001577E6" w:rsidRDefault="000100D5" w:rsidP="000100D5">
      <w:pPr>
        <w:pStyle w:val="SingleTxtG"/>
      </w:pPr>
      <w:r w:rsidRPr="005269E5">
        <w:t>74.</w:t>
      </w:r>
      <w:r w:rsidRPr="005269E5">
        <w:tab/>
      </w:r>
      <w:r>
        <w:t>Los servicios de información de la Dirección Nacional atendieron más de</w:t>
      </w:r>
      <w:r w:rsidRPr="005269E5">
        <w:t xml:space="preserve"> 73</w:t>
      </w:r>
      <w:r w:rsidR="005E4658">
        <w:t>.</w:t>
      </w:r>
      <w:r w:rsidRPr="005269E5">
        <w:t>000</w:t>
      </w:r>
      <w:r>
        <w:t xml:space="preserve"> consultas</w:t>
      </w:r>
      <w:r w:rsidRPr="005269E5">
        <w:t xml:space="preserve"> tele</w:t>
      </w:r>
      <w:r>
        <w:t>fó</w:t>
      </w:r>
      <w:r w:rsidRPr="005269E5">
        <w:t>n</w:t>
      </w:r>
      <w:r>
        <w:t>icas y</w:t>
      </w:r>
      <w:r w:rsidRPr="005269E5">
        <w:t xml:space="preserve"> 5</w:t>
      </w:r>
      <w:r w:rsidR="00F80E33">
        <w:t>.</w:t>
      </w:r>
      <w:r w:rsidRPr="005269E5">
        <w:t xml:space="preserve">973 </w:t>
      </w:r>
      <w:r>
        <w:t xml:space="preserve">correos </w:t>
      </w:r>
      <w:r w:rsidRPr="005269E5">
        <w:t>e</w:t>
      </w:r>
      <w:r>
        <w:t xml:space="preserve">lectrónicos </w:t>
      </w:r>
      <w:r w:rsidRPr="005269E5">
        <w:t>e</w:t>
      </w:r>
      <w:r>
        <w:t>n el</w:t>
      </w:r>
      <w:r w:rsidRPr="005269E5">
        <w:t xml:space="preserve"> per</w:t>
      </w:r>
      <w:r>
        <w:t>í</w:t>
      </w:r>
      <w:r w:rsidRPr="005269E5">
        <w:t>od</w:t>
      </w:r>
      <w:r>
        <w:t>o que media entre enero y j</w:t>
      </w:r>
      <w:r w:rsidRPr="005269E5">
        <w:t>un</w:t>
      </w:r>
      <w:r>
        <w:t>io de</w:t>
      </w:r>
      <w:r w:rsidRPr="005269E5">
        <w:t xml:space="preserve"> 2009. </w:t>
      </w:r>
      <w:r w:rsidRPr="001577E6">
        <w:t>En su</w:t>
      </w:r>
      <w:r w:rsidRPr="003E3E9C">
        <w:t xml:space="preserve"> sitio web (www.employmentrights.ie) </w:t>
      </w:r>
      <w:r>
        <w:t>figura</w:t>
      </w:r>
      <w:r w:rsidRPr="003E3E9C">
        <w:t xml:space="preserve"> información global y actualizada sobre los derechos </w:t>
      </w:r>
      <w:r>
        <w:t>de empleo</w:t>
      </w:r>
      <w:r w:rsidRPr="003E3E9C">
        <w:t xml:space="preserve"> y, durante ese mismo per</w:t>
      </w:r>
      <w:r>
        <w:t>íodo de</w:t>
      </w:r>
      <w:r w:rsidRPr="003E3E9C">
        <w:t xml:space="preserve"> s</w:t>
      </w:r>
      <w:r>
        <w:t>eis</w:t>
      </w:r>
      <w:r w:rsidRPr="003E3E9C">
        <w:t xml:space="preserve"> m</w:t>
      </w:r>
      <w:r>
        <w:t>eses,</w:t>
      </w:r>
      <w:r w:rsidRPr="003E3E9C">
        <w:t xml:space="preserve"> reci</w:t>
      </w:r>
      <w:r>
        <w:t>bió más de</w:t>
      </w:r>
      <w:r w:rsidRPr="003E3E9C">
        <w:t xml:space="preserve"> 840</w:t>
      </w:r>
      <w:r w:rsidR="005E4658">
        <w:t>.</w:t>
      </w:r>
      <w:r w:rsidRPr="003E3E9C">
        <w:t xml:space="preserve">000 </w:t>
      </w:r>
      <w:r>
        <w:t>visitas</w:t>
      </w:r>
      <w:r w:rsidRPr="003E3E9C">
        <w:t xml:space="preserve">. </w:t>
      </w:r>
      <w:r w:rsidRPr="001577E6">
        <w:t xml:space="preserve">Contiene </w:t>
      </w:r>
      <w:r>
        <w:t>datos</w:t>
      </w:r>
      <w:r w:rsidRPr="001577E6">
        <w:t xml:space="preserve"> en 13 idiomas distintos, incluido el chino, el</w:t>
      </w:r>
      <w:r w:rsidR="005007D6">
        <w:t xml:space="preserve"> </w:t>
      </w:r>
      <w:r>
        <w:t>es</w:t>
      </w:r>
      <w:r w:rsidRPr="001577E6">
        <w:t>pa</w:t>
      </w:r>
      <w:r>
        <w:t>ñol y el polaco</w:t>
      </w:r>
      <w:r w:rsidRPr="001577E6">
        <w:t xml:space="preserve">. </w:t>
      </w:r>
      <w:r>
        <w:t>Sus s</w:t>
      </w:r>
      <w:r w:rsidRPr="001577E6">
        <w:t>ervicios de</w:t>
      </w:r>
      <w:r>
        <w:t xml:space="preserve"> i</w:t>
      </w:r>
      <w:r w:rsidRPr="001577E6">
        <w:t>nformación han participado en 13 conferencias, exposiciones y seminarios nacionales y locales dur</w:t>
      </w:r>
      <w:r>
        <w:t>a</w:t>
      </w:r>
      <w:r w:rsidRPr="001577E6">
        <w:t>n</w:t>
      </w:r>
      <w:r>
        <w:t>te el primer semestre de</w:t>
      </w:r>
      <w:r w:rsidRPr="001577E6">
        <w:t xml:space="preserve"> 2009</w:t>
      </w:r>
      <w:r>
        <w:t>,</w:t>
      </w:r>
      <w:r w:rsidRPr="001577E6">
        <w:t xml:space="preserve"> inclu</w:t>
      </w:r>
      <w:r>
        <w:t>i</w:t>
      </w:r>
      <w:r w:rsidRPr="001577E6">
        <w:t>d</w:t>
      </w:r>
      <w:r>
        <w:t>a la</w:t>
      </w:r>
      <w:r w:rsidRPr="001577E6">
        <w:t xml:space="preserve"> Conferenc</w:t>
      </w:r>
      <w:r>
        <w:t>ia</w:t>
      </w:r>
      <w:r w:rsidRPr="001577E6">
        <w:t xml:space="preserve"> </w:t>
      </w:r>
      <w:r>
        <w:t>Nacional del Centro de Derechos de los</w:t>
      </w:r>
      <w:r w:rsidRPr="001577E6">
        <w:t xml:space="preserve"> Migrant</w:t>
      </w:r>
      <w:r>
        <w:t>es de</w:t>
      </w:r>
      <w:r w:rsidRPr="001577E6">
        <w:t xml:space="preserve"> Irland</w:t>
      </w:r>
      <w:r>
        <w:t>a</w:t>
      </w:r>
      <w:r w:rsidRPr="001577E6">
        <w:t>.</w:t>
      </w:r>
    </w:p>
    <w:p w:rsidR="000100D5" w:rsidRPr="001577E6" w:rsidRDefault="000100D5" w:rsidP="000100D5">
      <w:pPr>
        <w:pStyle w:val="H23G"/>
      </w:pPr>
      <w:r w:rsidRPr="001577E6">
        <w:tab/>
      </w:r>
      <w:r w:rsidRPr="001577E6">
        <w:tab/>
        <w:t>Respuesta a la observación contenida en el párrafo 11 del informe</w:t>
      </w:r>
      <w:r>
        <w:t xml:space="preserve"> del</w:t>
      </w:r>
      <w:r w:rsidRPr="001577E6">
        <w:t xml:space="preserve"> </w:t>
      </w:r>
      <w:r w:rsidR="00466CA0">
        <w:t>Coordinador encargado del seguimiento</w:t>
      </w:r>
    </w:p>
    <w:p w:rsidR="000100D5" w:rsidRPr="008B1C70" w:rsidRDefault="000100D5" w:rsidP="000100D5">
      <w:pPr>
        <w:pStyle w:val="SingleTxtG"/>
        <w:rPr>
          <w:u w:val="single"/>
        </w:rPr>
      </w:pPr>
      <w:r w:rsidRPr="005269E5">
        <w:t>75.</w:t>
      </w:r>
      <w:r w:rsidRPr="005269E5">
        <w:tab/>
      </w:r>
      <w:r>
        <w:t>De conformidad con la Ley de la</w:t>
      </w:r>
      <w:r w:rsidRPr="005269E5">
        <w:t xml:space="preserve"> Garda Síochána (Polic</w:t>
      </w:r>
      <w:r>
        <w:t>ía</w:t>
      </w:r>
      <w:r w:rsidRPr="005269E5">
        <w:t>)</w:t>
      </w:r>
      <w:r>
        <w:t xml:space="preserve"> de 2005,</w:t>
      </w:r>
      <w:r w:rsidRPr="005269E5">
        <w:t xml:space="preserve"> </w:t>
      </w:r>
      <w:r>
        <w:t>se ha creado un organismo independiente de quejas contra la policía,</w:t>
      </w:r>
      <w:r w:rsidRPr="005269E5">
        <w:t xml:space="preserve"> </w:t>
      </w:r>
      <w:r>
        <w:t xml:space="preserve">la </w:t>
      </w:r>
      <w:r w:rsidRPr="005269E5">
        <w:t>Comisi</w:t>
      </w:r>
      <w:r>
        <w:t>ó</w:t>
      </w:r>
      <w:r w:rsidRPr="005269E5">
        <w:t>n</w:t>
      </w:r>
      <w:r>
        <w:t xml:space="preserve"> del Ombudsman de la Garda Síochána</w:t>
      </w:r>
      <w:r w:rsidRPr="005269E5">
        <w:rPr>
          <w:rStyle w:val="FootnoteReference"/>
        </w:rPr>
        <w:footnoteReference w:id="31"/>
      </w:r>
      <w:r>
        <w:t xml:space="preserve"> (policía),</w:t>
      </w:r>
      <w:r w:rsidRPr="005269E5">
        <w:t xml:space="preserve"> </w:t>
      </w:r>
      <w:r>
        <w:t>que ha venido a substituir a la Junta</w:t>
      </w:r>
      <w:r w:rsidRPr="005269E5">
        <w:t xml:space="preserve"> </w:t>
      </w:r>
      <w:r>
        <w:t>de quejas de la</w:t>
      </w:r>
      <w:r w:rsidRPr="005269E5">
        <w:t xml:space="preserve"> Garda Síochána (</w:t>
      </w:r>
      <w:r>
        <w:t>p</w:t>
      </w:r>
      <w:r w:rsidRPr="005269E5">
        <w:t>olic</w:t>
      </w:r>
      <w:r>
        <w:t>ía)</w:t>
      </w:r>
      <w:r w:rsidRPr="005269E5">
        <w:t xml:space="preserve">. </w:t>
      </w:r>
      <w:r w:rsidRPr="00F6432C">
        <w:t xml:space="preserve">En 2007, la Comisión del </w:t>
      </w:r>
      <w:r>
        <w:t>Ombudsman</w:t>
      </w:r>
      <w:r w:rsidRPr="00F6432C">
        <w:t xml:space="preserve"> </w:t>
      </w:r>
      <w:r>
        <w:t>indic</w:t>
      </w:r>
      <w:r w:rsidRPr="00F6432C">
        <w:t xml:space="preserve">ó que eran 11 las quejas formuladas contra los miembros de la Garda en las que el autor había facilitado una descripción de la discriminación como el motivo </w:t>
      </w:r>
      <w:r>
        <w:t>percibido</w:t>
      </w:r>
      <w:r w:rsidRPr="00F6432C">
        <w:t xml:space="preserve"> </w:t>
      </w:r>
      <w:r>
        <w:t>de las supuestas faltas</w:t>
      </w:r>
      <w:r w:rsidRPr="00F6432C">
        <w:t xml:space="preserve">. </w:t>
      </w:r>
      <w:r>
        <w:t>Esa cifra representa</w:t>
      </w:r>
      <w:r w:rsidRPr="00F6432C">
        <w:t xml:space="preserve"> aproximadamente el 0,53 % del total </w:t>
      </w:r>
      <w:r>
        <w:t xml:space="preserve">de </w:t>
      </w:r>
      <w:r w:rsidRPr="00F6432C">
        <w:t>caso</w:t>
      </w:r>
      <w:r>
        <w:t>s</w:t>
      </w:r>
      <w:r w:rsidRPr="00F6432C">
        <w:t xml:space="preserve"> </w:t>
      </w:r>
      <w:r>
        <w:t>registrados ese año</w:t>
      </w:r>
      <w:r w:rsidRPr="00F6432C">
        <w:t xml:space="preserve">. </w:t>
      </w:r>
      <w:r w:rsidRPr="008B1C70">
        <w:t>(N.B. La</w:t>
      </w:r>
      <w:r w:rsidR="005E4658">
        <w:t> </w:t>
      </w:r>
      <w:r w:rsidRPr="008B1C70">
        <w:t xml:space="preserve">Comisión del </w:t>
      </w:r>
      <w:r>
        <w:t>Ombudsman</w:t>
      </w:r>
      <w:r w:rsidRPr="008B1C70">
        <w:t xml:space="preserve"> de la Garda Síochána empez</w:t>
      </w:r>
      <w:r>
        <w:t>ó a funcionar en m</w:t>
      </w:r>
      <w:r w:rsidRPr="008B1C70">
        <w:t>ay</w:t>
      </w:r>
      <w:r>
        <w:t>o de</w:t>
      </w:r>
      <w:r w:rsidRPr="008B1C70">
        <w:t xml:space="preserve"> 2007).</w:t>
      </w:r>
    </w:p>
    <w:p w:rsidR="000100D5" w:rsidRPr="008B1C70" w:rsidRDefault="000100D5" w:rsidP="000100D5">
      <w:pPr>
        <w:pStyle w:val="SingleTxtG"/>
      </w:pPr>
      <w:r>
        <w:t>76.</w:t>
      </w:r>
      <w:r>
        <w:tab/>
      </w:r>
      <w:r w:rsidRPr="00355D3C">
        <w:rPr>
          <w:spacing w:val="-2"/>
        </w:rPr>
        <w:t>En 2008, se presentaron 2</w:t>
      </w:r>
      <w:r w:rsidR="005E4658" w:rsidRPr="00355D3C">
        <w:rPr>
          <w:spacing w:val="-2"/>
        </w:rPr>
        <w:t>.</w:t>
      </w:r>
      <w:r w:rsidRPr="00355D3C">
        <w:rPr>
          <w:spacing w:val="-2"/>
        </w:rPr>
        <w:t>681 quejas a la Comisión del Ombudsman de la Garda Síochána (policía). El autor proporcionó una descripción del motivo percibido como causa de la supuesta falta en 477 casos, de los cuales 61 se calificaron como casos de discriminación.</w:t>
      </w:r>
    </w:p>
    <w:p w:rsidR="000100D5" w:rsidRPr="005269E5" w:rsidRDefault="000100D5" w:rsidP="000100D5">
      <w:pPr>
        <w:pStyle w:val="SingleTxtG"/>
      </w:pPr>
      <w:r w:rsidRPr="005269E5">
        <w:t>77.</w:t>
      </w:r>
      <w:r w:rsidRPr="005269E5">
        <w:tab/>
      </w:r>
      <w:r>
        <w:t>En los Cuadros</w:t>
      </w:r>
      <w:r w:rsidRPr="005269E5">
        <w:t xml:space="preserve"> 3 </w:t>
      </w:r>
      <w:r>
        <w:t>y</w:t>
      </w:r>
      <w:r w:rsidRPr="005269E5">
        <w:t xml:space="preserve"> 4</w:t>
      </w:r>
      <w:r>
        <w:t xml:space="preserve"> se indican los resultados de los casos</w:t>
      </w:r>
      <w:r w:rsidRPr="005269E5">
        <w:t>.</w:t>
      </w:r>
    </w:p>
    <w:p w:rsidR="000100D5" w:rsidRPr="005269E5" w:rsidRDefault="000100D5" w:rsidP="000100D5">
      <w:pPr>
        <w:pStyle w:val="Heading1"/>
      </w:pPr>
      <w:r>
        <w:t>Cuadro</w:t>
      </w:r>
      <w:r w:rsidRPr="005269E5">
        <w:t xml:space="preserve"> 3</w:t>
      </w:r>
    </w:p>
    <w:p w:rsidR="000100D5" w:rsidRPr="00E55244" w:rsidRDefault="000100D5" w:rsidP="00237030">
      <w:pPr>
        <w:pStyle w:val="SingleTxtG"/>
        <w:jc w:val="left"/>
        <w:rPr>
          <w:b/>
        </w:rPr>
      </w:pPr>
      <w:r w:rsidRPr="00E55244">
        <w:rPr>
          <w:b/>
        </w:rPr>
        <w:t xml:space="preserve">Resultados de las quejas presentadas a la Comisión del </w:t>
      </w:r>
      <w:r>
        <w:rPr>
          <w:b/>
        </w:rPr>
        <w:t>Ombudsman</w:t>
      </w:r>
      <w:r w:rsidRPr="00E55244">
        <w:rPr>
          <w:b/>
        </w:rPr>
        <w:t xml:space="preserve"> de la Garda Síochána (policía) </w:t>
      </w:r>
      <w:r>
        <w:rPr>
          <w:b/>
        </w:rPr>
        <w:t>en 2008 en las que se ha alegado como motivo la</w:t>
      </w:r>
      <w:r w:rsidRPr="00E55244">
        <w:rPr>
          <w:b/>
        </w:rPr>
        <w:t xml:space="preserve"> discrimina</w:t>
      </w:r>
      <w:r>
        <w:rPr>
          <w:b/>
        </w:rPr>
        <w:t>c</w:t>
      </w:r>
      <w:r w:rsidRPr="00E55244">
        <w:rPr>
          <w:b/>
        </w:rPr>
        <w:t>i</w:t>
      </w:r>
      <w:r>
        <w:rPr>
          <w:b/>
        </w:rPr>
        <w:t>ó</w:t>
      </w:r>
      <w:r w:rsidR="00F87083">
        <w:rPr>
          <w:b/>
        </w:rPr>
        <w:t>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866"/>
        <w:gridCol w:w="1504"/>
      </w:tblGrid>
      <w:tr w:rsidR="000100D5" w:rsidRPr="005269E5">
        <w:trPr>
          <w:tblHeader/>
        </w:trPr>
        <w:tc>
          <w:tcPr>
            <w:tcW w:w="5866"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00" w:lineRule="exact"/>
              <w:ind w:left="0" w:right="113"/>
              <w:jc w:val="left"/>
              <w:rPr>
                <w:i/>
                <w:sz w:val="16"/>
              </w:rPr>
            </w:pPr>
            <w:r>
              <w:rPr>
                <w:i/>
                <w:sz w:val="16"/>
              </w:rPr>
              <w:t>R</w:t>
            </w:r>
            <w:r w:rsidRPr="005269E5">
              <w:rPr>
                <w:i/>
                <w:sz w:val="16"/>
              </w:rPr>
              <w:t>ecomenda</w:t>
            </w:r>
            <w:r>
              <w:rPr>
                <w:i/>
                <w:sz w:val="16"/>
              </w:rPr>
              <w:t>c</w:t>
            </w:r>
            <w:r w:rsidRPr="005269E5">
              <w:rPr>
                <w:i/>
                <w:sz w:val="16"/>
              </w:rPr>
              <w:t>i</w:t>
            </w:r>
            <w:r>
              <w:rPr>
                <w:i/>
                <w:sz w:val="16"/>
              </w:rPr>
              <w:t>ó</w:t>
            </w:r>
            <w:r w:rsidRPr="005269E5">
              <w:rPr>
                <w:i/>
                <w:sz w:val="16"/>
              </w:rPr>
              <w:t>n</w:t>
            </w:r>
            <w:r>
              <w:rPr>
                <w:i/>
                <w:sz w:val="16"/>
              </w:rPr>
              <w:t xml:space="preserve"> oficial</w:t>
            </w:r>
            <w:r w:rsidRPr="005269E5">
              <w:rPr>
                <w:i/>
                <w:sz w:val="16"/>
              </w:rPr>
              <w:t xml:space="preserve"> </w:t>
            </w:r>
          </w:p>
        </w:tc>
        <w:tc>
          <w:tcPr>
            <w:tcW w:w="1504" w:type="dxa"/>
            <w:tcBorders>
              <w:top w:val="single" w:sz="4" w:space="0" w:color="auto"/>
              <w:bottom w:val="single" w:sz="12" w:space="0" w:color="auto"/>
            </w:tcBorders>
            <w:shd w:val="clear" w:color="auto" w:fill="auto"/>
            <w:vAlign w:val="bottom"/>
          </w:tcPr>
          <w:p w:rsidR="000100D5" w:rsidRPr="005269E5" w:rsidRDefault="00F5385B" w:rsidP="000100D5">
            <w:pPr>
              <w:pStyle w:val="SingleTxtG"/>
              <w:spacing w:before="80" w:after="80" w:line="200" w:lineRule="exact"/>
              <w:ind w:left="0" w:right="113"/>
              <w:jc w:val="right"/>
              <w:rPr>
                <w:i/>
                <w:sz w:val="16"/>
              </w:rPr>
            </w:pPr>
            <w:r>
              <w:rPr>
                <w:i/>
                <w:sz w:val="16"/>
              </w:rPr>
              <w:t>Nº</w:t>
            </w:r>
            <w:r w:rsidR="000100D5" w:rsidRPr="005269E5">
              <w:rPr>
                <w:i/>
                <w:sz w:val="16"/>
              </w:rPr>
              <w:t xml:space="preserve"> </w:t>
            </w:r>
            <w:r w:rsidR="000100D5">
              <w:rPr>
                <w:i/>
                <w:sz w:val="16"/>
              </w:rPr>
              <w:t>de</w:t>
            </w:r>
            <w:r w:rsidR="000100D5" w:rsidRPr="005269E5">
              <w:rPr>
                <w:i/>
                <w:sz w:val="16"/>
              </w:rPr>
              <w:t xml:space="preserve"> cas</w:t>
            </w:r>
            <w:r w:rsidR="000100D5">
              <w:rPr>
                <w:i/>
                <w:sz w:val="16"/>
              </w:rPr>
              <w:t>o</w:t>
            </w:r>
            <w:r w:rsidR="000100D5" w:rsidRPr="005269E5">
              <w:rPr>
                <w:i/>
                <w:sz w:val="16"/>
              </w:rPr>
              <w:t>s</w:t>
            </w:r>
          </w:p>
        </w:tc>
      </w:tr>
      <w:tr w:rsidR="000100D5" w:rsidRPr="005269E5">
        <w:tc>
          <w:tcPr>
            <w:tcW w:w="5866" w:type="dxa"/>
            <w:tcBorders>
              <w:top w:val="single" w:sz="12" w:space="0" w:color="auto"/>
            </w:tcBorders>
            <w:shd w:val="clear" w:color="auto" w:fill="auto"/>
          </w:tcPr>
          <w:p w:rsidR="000100D5" w:rsidRPr="005269E5" w:rsidRDefault="000100D5" w:rsidP="000100D5">
            <w:pPr>
              <w:pStyle w:val="SingleTxtG"/>
              <w:spacing w:before="40" w:after="40" w:line="220" w:lineRule="exact"/>
              <w:ind w:left="0" w:right="113"/>
              <w:jc w:val="left"/>
              <w:rPr>
                <w:sz w:val="18"/>
              </w:rPr>
            </w:pPr>
            <w:r w:rsidRPr="005269E5">
              <w:rPr>
                <w:sz w:val="18"/>
              </w:rPr>
              <w:t>Cas</w:t>
            </w:r>
            <w:r>
              <w:rPr>
                <w:sz w:val="18"/>
              </w:rPr>
              <w:t>o</w:t>
            </w:r>
            <w:r w:rsidRPr="005269E5">
              <w:rPr>
                <w:sz w:val="18"/>
              </w:rPr>
              <w:t xml:space="preserve">s </w:t>
            </w:r>
            <w:r>
              <w:rPr>
                <w:sz w:val="18"/>
              </w:rPr>
              <w:t>abiertos</w:t>
            </w:r>
            <w:r w:rsidRPr="005269E5">
              <w:rPr>
                <w:sz w:val="18"/>
              </w:rPr>
              <w:t xml:space="preserve"> </w:t>
            </w:r>
          </w:p>
        </w:tc>
        <w:tc>
          <w:tcPr>
            <w:tcW w:w="1504"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19</w:t>
            </w:r>
          </w:p>
        </w:tc>
      </w:tr>
      <w:tr w:rsidR="000100D5" w:rsidRPr="005269E5">
        <w:tc>
          <w:tcPr>
            <w:tcW w:w="5866" w:type="dxa"/>
            <w:shd w:val="clear" w:color="auto" w:fill="auto"/>
          </w:tcPr>
          <w:p w:rsidR="000100D5" w:rsidRPr="00E55244" w:rsidRDefault="000100D5" w:rsidP="000100D5">
            <w:pPr>
              <w:pStyle w:val="SingleTxtG"/>
              <w:spacing w:before="40" w:after="40" w:line="220" w:lineRule="exact"/>
              <w:ind w:left="0" w:right="113"/>
              <w:jc w:val="left"/>
              <w:rPr>
                <w:sz w:val="18"/>
              </w:rPr>
            </w:pPr>
            <w:r w:rsidRPr="00E55244">
              <w:rPr>
                <w:sz w:val="18"/>
              </w:rPr>
              <w:t xml:space="preserve">Asesoramiento ofrecido a los miembros de la Garda </w:t>
            </w:r>
          </w:p>
        </w:tc>
        <w:tc>
          <w:tcPr>
            <w:tcW w:w="150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w:t>
            </w:r>
          </w:p>
        </w:tc>
      </w:tr>
      <w:tr w:rsidR="000100D5" w:rsidRPr="005269E5">
        <w:tc>
          <w:tcPr>
            <w:tcW w:w="5866" w:type="dxa"/>
            <w:shd w:val="clear" w:color="auto" w:fill="auto"/>
          </w:tcPr>
          <w:p w:rsidR="000100D5" w:rsidRPr="0039372A" w:rsidRDefault="000100D5" w:rsidP="000100D5">
            <w:pPr>
              <w:pStyle w:val="SingleTxtG"/>
              <w:spacing w:before="40" w:after="40" w:line="220" w:lineRule="exact"/>
              <w:ind w:left="0" w:right="113"/>
              <w:jc w:val="left"/>
              <w:rPr>
                <w:sz w:val="18"/>
              </w:rPr>
            </w:pPr>
            <w:r w:rsidRPr="0039372A">
              <w:rPr>
                <w:sz w:val="18"/>
              </w:rPr>
              <w:t xml:space="preserve">No </w:t>
            </w:r>
            <w:r>
              <w:rPr>
                <w:sz w:val="18"/>
              </w:rPr>
              <w:t>resulta</w:t>
            </w:r>
            <w:r w:rsidRPr="0039372A">
              <w:rPr>
                <w:sz w:val="18"/>
              </w:rPr>
              <w:t xml:space="preserve"> necesario ni razonablemente </w:t>
            </w:r>
            <w:r>
              <w:rPr>
                <w:sz w:val="18"/>
              </w:rPr>
              <w:t xml:space="preserve">viable </w:t>
            </w:r>
            <w:r w:rsidRPr="0039372A">
              <w:rPr>
                <w:sz w:val="18"/>
              </w:rPr>
              <w:t xml:space="preserve">seguir investigando </w:t>
            </w:r>
          </w:p>
        </w:tc>
        <w:tc>
          <w:tcPr>
            <w:tcW w:w="150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17</w:t>
            </w:r>
          </w:p>
        </w:tc>
      </w:tr>
      <w:tr w:rsidR="000100D5" w:rsidRPr="005269E5">
        <w:tc>
          <w:tcPr>
            <w:tcW w:w="5866" w:type="dxa"/>
            <w:shd w:val="clear" w:color="auto" w:fill="auto"/>
          </w:tcPr>
          <w:p w:rsidR="000100D5" w:rsidRPr="0039372A" w:rsidRDefault="000100D5" w:rsidP="000100D5">
            <w:pPr>
              <w:pStyle w:val="SingleTxtG"/>
              <w:spacing w:before="40" w:after="40" w:line="220" w:lineRule="exact"/>
              <w:ind w:left="0" w:right="113"/>
              <w:jc w:val="left"/>
              <w:rPr>
                <w:sz w:val="18"/>
              </w:rPr>
            </w:pPr>
            <w:r w:rsidRPr="0039372A">
              <w:rPr>
                <w:sz w:val="18"/>
              </w:rPr>
              <w:t>No se ha detectado una infracci</w:t>
            </w:r>
            <w:r>
              <w:rPr>
                <w:sz w:val="18"/>
              </w:rPr>
              <w:t>ón</w:t>
            </w:r>
            <w:r w:rsidRPr="0039372A">
              <w:rPr>
                <w:sz w:val="18"/>
              </w:rPr>
              <w:t xml:space="preserve"> </w:t>
            </w:r>
            <w:r>
              <w:rPr>
                <w:sz w:val="18"/>
              </w:rPr>
              <w:t xml:space="preserve">de las normas </w:t>
            </w:r>
            <w:r w:rsidRPr="0039372A">
              <w:rPr>
                <w:sz w:val="18"/>
              </w:rPr>
              <w:t>disciplin</w:t>
            </w:r>
            <w:r>
              <w:rPr>
                <w:sz w:val="18"/>
              </w:rPr>
              <w:t>arias</w:t>
            </w:r>
            <w:r w:rsidRPr="0039372A">
              <w:rPr>
                <w:sz w:val="18"/>
              </w:rPr>
              <w:t xml:space="preserve"> </w:t>
            </w:r>
          </w:p>
        </w:tc>
        <w:tc>
          <w:tcPr>
            <w:tcW w:w="150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8</w:t>
            </w:r>
          </w:p>
        </w:tc>
      </w:tr>
      <w:tr w:rsidR="000100D5" w:rsidRPr="005269E5">
        <w:tc>
          <w:tcPr>
            <w:tcW w:w="5866" w:type="dxa"/>
            <w:shd w:val="clear" w:color="auto" w:fill="auto"/>
          </w:tcPr>
          <w:p w:rsidR="000100D5" w:rsidRPr="0039372A" w:rsidRDefault="000100D5" w:rsidP="000100D5">
            <w:pPr>
              <w:pStyle w:val="SingleTxtG"/>
              <w:spacing w:before="40" w:after="40" w:line="220" w:lineRule="exact"/>
              <w:ind w:left="0" w:right="113"/>
              <w:jc w:val="left"/>
              <w:rPr>
                <w:sz w:val="18"/>
              </w:rPr>
            </w:pPr>
            <w:r w:rsidRPr="0039372A">
              <w:rPr>
                <w:sz w:val="18"/>
              </w:rPr>
              <w:t>No se ha verificado en la investigaci</w:t>
            </w:r>
            <w:r>
              <w:rPr>
                <w:sz w:val="18"/>
              </w:rPr>
              <w:t>ón en virtud del artículo 98 que algún miembro haya cometido una falta</w:t>
            </w:r>
          </w:p>
        </w:tc>
        <w:tc>
          <w:tcPr>
            <w:tcW w:w="150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w:t>
            </w:r>
          </w:p>
        </w:tc>
      </w:tr>
      <w:tr w:rsidR="000100D5" w:rsidRPr="005269E5">
        <w:tc>
          <w:tcPr>
            <w:tcW w:w="5866" w:type="dxa"/>
            <w:shd w:val="clear" w:color="auto" w:fill="auto"/>
          </w:tcPr>
          <w:p w:rsidR="000100D5" w:rsidRPr="005269E5" w:rsidRDefault="000100D5" w:rsidP="000100D5">
            <w:pPr>
              <w:pStyle w:val="SingleTxtG"/>
              <w:spacing w:before="40" w:after="40" w:line="220" w:lineRule="exact"/>
              <w:ind w:left="0" w:right="113"/>
              <w:jc w:val="left"/>
              <w:rPr>
                <w:sz w:val="18"/>
              </w:rPr>
            </w:pPr>
            <w:r>
              <w:rPr>
                <w:sz w:val="18"/>
              </w:rPr>
              <w:t>Inadmis</w:t>
            </w:r>
            <w:r w:rsidRPr="005269E5">
              <w:rPr>
                <w:sz w:val="18"/>
              </w:rPr>
              <w:t>ible</w:t>
            </w:r>
            <w:r>
              <w:rPr>
                <w:sz w:val="18"/>
              </w:rPr>
              <w:t>s</w:t>
            </w:r>
            <w:r w:rsidRPr="005269E5">
              <w:rPr>
                <w:sz w:val="18"/>
              </w:rPr>
              <w:t xml:space="preserve"> </w:t>
            </w:r>
          </w:p>
        </w:tc>
        <w:tc>
          <w:tcPr>
            <w:tcW w:w="150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12</w:t>
            </w:r>
          </w:p>
        </w:tc>
      </w:tr>
      <w:tr w:rsidR="000100D5" w:rsidRPr="005269E5">
        <w:tc>
          <w:tcPr>
            <w:tcW w:w="5866" w:type="dxa"/>
            <w:tcBorders>
              <w:bottom w:val="single" w:sz="4" w:space="0" w:color="auto"/>
            </w:tcBorders>
            <w:shd w:val="clear" w:color="auto" w:fill="auto"/>
          </w:tcPr>
          <w:p w:rsidR="000100D5" w:rsidRPr="00552BC9" w:rsidRDefault="000100D5" w:rsidP="000100D5">
            <w:pPr>
              <w:pStyle w:val="SingleTxtG"/>
              <w:spacing w:before="40" w:after="40" w:line="220" w:lineRule="exact"/>
              <w:ind w:left="0" w:right="113"/>
              <w:jc w:val="left"/>
              <w:rPr>
                <w:sz w:val="18"/>
              </w:rPr>
            </w:pPr>
            <w:r w:rsidRPr="00552BC9">
              <w:rPr>
                <w:sz w:val="18"/>
              </w:rPr>
              <w:t>Reducción de la remuneración no superior a la pa</w:t>
            </w:r>
            <w:r>
              <w:rPr>
                <w:sz w:val="18"/>
              </w:rPr>
              <w:t>ga de</w:t>
            </w:r>
            <w:r w:rsidRPr="00552BC9">
              <w:rPr>
                <w:sz w:val="18"/>
              </w:rPr>
              <w:t xml:space="preserve"> 2 </w:t>
            </w:r>
            <w:r>
              <w:rPr>
                <w:sz w:val="18"/>
              </w:rPr>
              <w:t>semanas</w:t>
            </w:r>
            <w:r w:rsidRPr="00552BC9">
              <w:rPr>
                <w:sz w:val="18"/>
              </w:rPr>
              <w:t xml:space="preserve"> </w:t>
            </w:r>
          </w:p>
        </w:tc>
        <w:tc>
          <w:tcPr>
            <w:tcW w:w="1504" w:type="dxa"/>
            <w:tcBorders>
              <w:bottom w:val="single" w:sz="4"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3</w:t>
            </w:r>
          </w:p>
        </w:tc>
      </w:tr>
      <w:tr w:rsidR="000100D5" w:rsidRPr="005269E5">
        <w:tc>
          <w:tcPr>
            <w:tcW w:w="5866" w:type="dxa"/>
            <w:tcBorders>
              <w:top w:val="single" w:sz="4" w:space="0" w:color="auto"/>
              <w:bottom w:val="single" w:sz="12" w:space="0" w:color="auto"/>
            </w:tcBorders>
            <w:shd w:val="clear" w:color="auto" w:fill="auto"/>
          </w:tcPr>
          <w:p w:rsidR="000100D5" w:rsidRPr="005269E5" w:rsidRDefault="000100D5" w:rsidP="000100D5">
            <w:pPr>
              <w:pStyle w:val="SingleTxtG"/>
              <w:spacing w:before="80" w:after="80" w:line="220" w:lineRule="exact"/>
              <w:ind w:left="284" w:right="113"/>
              <w:jc w:val="left"/>
              <w:rPr>
                <w:b/>
                <w:sz w:val="18"/>
              </w:rPr>
            </w:pPr>
            <w:r w:rsidRPr="005269E5">
              <w:rPr>
                <w:b/>
                <w:sz w:val="18"/>
              </w:rPr>
              <w:t>Total</w:t>
            </w:r>
          </w:p>
        </w:tc>
        <w:tc>
          <w:tcPr>
            <w:tcW w:w="1504"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20" w:lineRule="exact"/>
              <w:ind w:left="284" w:right="113"/>
              <w:jc w:val="right"/>
              <w:rPr>
                <w:b/>
                <w:sz w:val="18"/>
              </w:rPr>
            </w:pPr>
            <w:r w:rsidRPr="005269E5">
              <w:rPr>
                <w:b/>
                <w:sz w:val="18"/>
              </w:rPr>
              <w:t>61</w:t>
            </w:r>
          </w:p>
        </w:tc>
      </w:tr>
    </w:tbl>
    <w:p w:rsidR="000100D5" w:rsidRPr="00F75146" w:rsidRDefault="000100D5" w:rsidP="000100D5">
      <w:pPr>
        <w:pStyle w:val="SingleTxtG"/>
        <w:spacing w:before="240"/>
      </w:pPr>
      <w:r>
        <w:t>78.</w:t>
      </w:r>
      <w:r>
        <w:tab/>
        <w:t>Hasta finales de agosto de</w:t>
      </w:r>
      <w:r w:rsidRPr="005269E5">
        <w:t xml:space="preserve"> 2009, </w:t>
      </w:r>
      <w:r>
        <w:t>la Comisión del Ombudsman de la</w:t>
      </w:r>
      <w:r w:rsidRPr="005269E5">
        <w:t xml:space="preserve"> Garda Síochána </w:t>
      </w:r>
      <w:r w:rsidR="00AF55B9">
        <w:t>había recibido 1.</w:t>
      </w:r>
      <w:r>
        <w:t>458 quejas</w:t>
      </w:r>
      <w:r w:rsidRPr="005269E5">
        <w:t xml:space="preserve">. </w:t>
      </w:r>
      <w:r w:rsidRPr="00F75146">
        <w:t>El autor facilitó una descripción del motivo percibido</w:t>
      </w:r>
      <w:r w:rsidR="00355D3C">
        <w:t xml:space="preserve"> en 672 </w:t>
      </w:r>
      <w:r>
        <w:t>casos</w:t>
      </w:r>
      <w:r w:rsidRPr="00F75146">
        <w:t xml:space="preserve">, de los que 82 </w:t>
      </w:r>
      <w:r>
        <w:t>fueron calificados de casos de</w:t>
      </w:r>
      <w:r w:rsidRPr="00F75146">
        <w:t xml:space="preserve"> discrimina</w:t>
      </w:r>
      <w:r>
        <w:t>c</w:t>
      </w:r>
      <w:r w:rsidRPr="00F75146">
        <w:t>i</w:t>
      </w:r>
      <w:r>
        <w:t>ó</w:t>
      </w:r>
      <w:r w:rsidRPr="00F75146">
        <w:t>n.</w:t>
      </w:r>
    </w:p>
    <w:p w:rsidR="000100D5" w:rsidRPr="005269E5" w:rsidRDefault="000100D5" w:rsidP="000100D5">
      <w:pPr>
        <w:pStyle w:val="Heading1"/>
      </w:pPr>
      <w:r>
        <w:t>Cuadro</w:t>
      </w:r>
      <w:r w:rsidRPr="005269E5">
        <w:t xml:space="preserve"> 4</w:t>
      </w:r>
    </w:p>
    <w:p w:rsidR="000100D5" w:rsidRPr="00F75146" w:rsidRDefault="000100D5" w:rsidP="00237030">
      <w:pPr>
        <w:pStyle w:val="SingleTxtG"/>
        <w:jc w:val="left"/>
        <w:rPr>
          <w:b/>
        </w:rPr>
      </w:pPr>
      <w:r w:rsidRPr="00F75146">
        <w:rPr>
          <w:b/>
        </w:rPr>
        <w:t xml:space="preserve">Resultados de las quejas presentadas a la Comisión del </w:t>
      </w:r>
      <w:r>
        <w:rPr>
          <w:b/>
        </w:rPr>
        <w:t>Ombudsman</w:t>
      </w:r>
      <w:r w:rsidRPr="00F75146">
        <w:rPr>
          <w:b/>
        </w:rPr>
        <w:t xml:space="preserve"> de la Garda Síochána (</w:t>
      </w:r>
      <w:r>
        <w:rPr>
          <w:b/>
        </w:rPr>
        <w:t>p</w:t>
      </w:r>
      <w:r w:rsidRPr="00F75146">
        <w:rPr>
          <w:b/>
        </w:rPr>
        <w:t>olic</w:t>
      </w:r>
      <w:r>
        <w:rPr>
          <w:b/>
        </w:rPr>
        <w:t>ía</w:t>
      </w:r>
      <w:r w:rsidRPr="00F75146">
        <w:rPr>
          <w:b/>
        </w:rPr>
        <w:t xml:space="preserve">) </w:t>
      </w:r>
      <w:r>
        <w:rPr>
          <w:b/>
        </w:rPr>
        <w:t>entre enero y agosto de 2009 en las que se ha indicado como motivo la</w:t>
      </w:r>
      <w:r w:rsidRPr="00F75146">
        <w:rPr>
          <w:b/>
        </w:rPr>
        <w:t xml:space="preserve"> discrimina</w:t>
      </w:r>
      <w:r>
        <w:rPr>
          <w:b/>
        </w:rPr>
        <w:t>c</w:t>
      </w:r>
      <w:r w:rsidRPr="00F75146">
        <w:rPr>
          <w:b/>
        </w:rPr>
        <w:t>i</w:t>
      </w:r>
      <w:r>
        <w:rPr>
          <w:b/>
        </w:rPr>
        <w:t>ó</w:t>
      </w:r>
      <w:r w:rsidRPr="00F75146">
        <w:rPr>
          <w:b/>
        </w:rPr>
        <w:t>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866"/>
        <w:gridCol w:w="1504"/>
      </w:tblGrid>
      <w:tr w:rsidR="000100D5" w:rsidRPr="005269E5">
        <w:trPr>
          <w:tblHeader/>
        </w:trPr>
        <w:tc>
          <w:tcPr>
            <w:tcW w:w="5866"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00" w:lineRule="exact"/>
              <w:ind w:left="0" w:right="113"/>
              <w:jc w:val="left"/>
              <w:rPr>
                <w:i/>
                <w:sz w:val="16"/>
              </w:rPr>
            </w:pPr>
            <w:r>
              <w:rPr>
                <w:i/>
                <w:sz w:val="16"/>
              </w:rPr>
              <w:t>R</w:t>
            </w:r>
            <w:r w:rsidRPr="005269E5">
              <w:rPr>
                <w:i/>
                <w:sz w:val="16"/>
              </w:rPr>
              <w:t>ecomenda</w:t>
            </w:r>
            <w:r>
              <w:rPr>
                <w:i/>
                <w:sz w:val="16"/>
              </w:rPr>
              <w:t>c</w:t>
            </w:r>
            <w:r w:rsidRPr="005269E5">
              <w:rPr>
                <w:i/>
                <w:sz w:val="16"/>
              </w:rPr>
              <w:t>i</w:t>
            </w:r>
            <w:r>
              <w:rPr>
                <w:i/>
                <w:sz w:val="16"/>
              </w:rPr>
              <w:t>ó</w:t>
            </w:r>
            <w:r w:rsidRPr="005269E5">
              <w:rPr>
                <w:i/>
                <w:sz w:val="16"/>
              </w:rPr>
              <w:t>n</w:t>
            </w:r>
            <w:r>
              <w:rPr>
                <w:i/>
                <w:sz w:val="16"/>
              </w:rPr>
              <w:t xml:space="preserve"> oficial</w:t>
            </w:r>
          </w:p>
        </w:tc>
        <w:tc>
          <w:tcPr>
            <w:tcW w:w="1504" w:type="dxa"/>
            <w:tcBorders>
              <w:top w:val="single" w:sz="4" w:space="0" w:color="auto"/>
              <w:bottom w:val="single" w:sz="12" w:space="0" w:color="auto"/>
            </w:tcBorders>
            <w:shd w:val="clear" w:color="auto" w:fill="auto"/>
            <w:vAlign w:val="bottom"/>
          </w:tcPr>
          <w:p w:rsidR="000100D5" w:rsidRPr="005269E5" w:rsidRDefault="00F5385B" w:rsidP="000100D5">
            <w:pPr>
              <w:pStyle w:val="SingleTxtG"/>
              <w:spacing w:before="80" w:after="80" w:line="200" w:lineRule="exact"/>
              <w:ind w:left="0" w:right="113"/>
              <w:jc w:val="right"/>
              <w:rPr>
                <w:i/>
                <w:sz w:val="16"/>
              </w:rPr>
            </w:pPr>
            <w:r>
              <w:rPr>
                <w:i/>
                <w:sz w:val="16"/>
              </w:rPr>
              <w:t xml:space="preserve">Nº </w:t>
            </w:r>
            <w:r w:rsidR="000100D5">
              <w:rPr>
                <w:i/>
                <w:sz w:val="16"/>
              </w:rPr>
              <w:t>de</w:t>
            </w:r>
            <w:r w:rsidR="000100D5" w:rsidRPr="005269E5">
              <w:rPr>
                <w:i/>
                <w:sz w:val="16"/>
              </w:rPr>
              <w:t xml:space="preserve"> cas</w:t>
            </w:r>
            <w:r w:rsidR="000100D5">
              <w:rPr>
                <w:i/>
                <w:sz w:val="16"/>
              </w:rPr>
              <w:t>o</w:t>
            </w:r>
            <w:r w:rsidR="000100D5" w:rsidRPr="005269E5">
              <w:rPr>
                <w:i/>
                <w:sz w:val="16"/>
              </w:rPr>
              <w:t>s</w:t>
            </w:r>
          </w:p>
        </w:tc>
      </w:tr>
      <w:tr w:rsidR="000100D5" w:rsidRPr="005269E5">
        <w:tc>
          <w:tcPr>
            <w:tcW w:w="5866" w:type="dxa"/>
            <w:tcBorders>
              <w:top w:val="single" w:sz="12" w:space="0" w:color="auto"/>
            </w:tcBorders>
            <w:shd w:val="clear" w:color="auto" w:fill="auto"/>
          </w:tcPr>
          <w:p w:rsidR="000100D5" w:rsidRPr="005269E5" w:rsidRDefault="000100D5" w:rsidP="000100D5">
            <w:pPr>
              <w:pStyle w:val="SingleTxtG"/>
              <w:spacing w:before="40" w:after="40" w:line="220" w:lineRule="exact"/>
              <w:ind w:left="0" w:right="113"/>
              <w:jc w:val="left"/>
              <w:rPr>
                <w:sz w:val="18"/>
              </w:rPr>
            </w:pPr>
            <w:r>
              <w:rPr>
                <w:sz w:val="18"/>
              </w:rPr>
              <w:t>Retirada de la queja</w:t>
            </w:r>
            <w:r w:rsidRPr="005269E5">
              <w:rPr>
                <w:sz w:val="18"/>
              </w:rPr>
              <w:t xml:space="preserve"> </w:t>
            </w:r>
          </w:p>
        </w:tc>
        <w:tc>
          <w:tcPr>
            <w:tcW w:w="1504"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w:t>
            </w:r>
          </w:p>
        </w:tc>
      </w:tr>
      <w:tr w:rsidR="000100D5" w:rsidRPr="005269E5">
        <w:tc>
          <w:tcPr>
            <w:tcW w:w="5866" w:type="dxa"/>
            <w:shd w:val="clear" w:color="auto" w:fill="auto"/>
          </w:tcPr>
          <w:p w:rsidR="000100D5" w:rsidRPr="00F75146" w:rsidRDefault="000100D5" w:rsidP="000100D5">
            <w:pPr>
              <w:pStyle w:val="SingleTxtG"/>
              <w:spacing w:before="40" w:after="40" w:line="220" w:lineRule="exact"/>
              <w:ind w:left="0" w:right="113"/>
              <w:jc w:val="left"/>
              <w:rPr>
                <w:sz w:val="18"/>
              </w:rPr>
            </w:pPr>
            <w:r w:rsidRPr="00F75146">
              <w:rPr>
                <w:sz w:val="18"/>
              </w:rPr>
              <w:t xml:space="preserve">Casos cerrados y resueltos extraoficialmente </w:t>
            </w:r>
          </w:p>
        </w:tc>
        <w:tc>
          <w:tcPr>
            <w:tcW w:w="150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w:t>
            </w:r>
          </w:p>
        </w:tc>
      </w:tr>
      <w:tr w:rsidR="000100D5" w:rsidRPr="005269E5">
        <w:tc>
          <w:tcPr>
            <w:tcW w:w="5866" w:type="dxa"/>
            <w:shd w:val="clear" w:color="auto" w:fill="auto"/>
          </w:tcPr>
          <w:p w:rsidR="000100D5" w:rsidRPr="00F75146" w:rsidRDefault="000100D5" w:rsidP="000100D5">
            <w:pPr>
              <w:pStyle w:val="SingleTxtG"/>
              <w:spacing w:before="40" w:after="40" w:line="220" w:lineRule="exact"/>
              <w:ind w:left="0" w:right="113"/>
              <w:jc w:val="left"/>
              <w:rPr>
                <w:sz w:val="18"/>
              </w:rPr>
            </w:pPr>
            <w:r w:rsidRPr="00F75146">
              <w:rPr>
                <w:sz w:val="18"/>
              </w:rPr>
              <w:t xml:space="preserve">No se requieren más investigaciones ni resultan </w:t>
            </w:r>
            <w:r>
              <w:rPr>
                <w:sz w:val="18"/>
              </w:rPr>
              <w:t xml:space="preserve">razonablemente </w:t>
            </w:r>
            <w:r w:rsidRPr="00F75146">
              <w:rPr>
                <w:sz w:val="18"/>
              </w:rPr>
              <w:t>v</w:t>
            </w:r>
            <w:r>
              <w:rPr>
                <w:sz w:val="18"/>
              </w:rPr>
              <w:t>i</w:t>
            </w:r>
            <w:r w:rsidRPr="00F75146">
              <w:rPr>
                <w:sz w:val="18"/>
              </w:rPr>
              <w:t>abl</w:t>
            </w:r>
            <w:r>
              <w:rPr>
                <w:sz w:val="18"/>
              </w:rPr>
              <w:t>es</w:t>
            </w:r>
            <w:r w:rsidR="005007D6">
              <w:rPr>
                <w:sz w:val="18"/>
              </w:rPr>
              <w:t xml:space="preserve"> </w:t>
            </w:r>
          </w:p>
        </w:tc>
        <w:tc>
          <w:tcPr>
            <w:tcW w:w="150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7</w:t>
            </w:r>
          </w:p>
        </w:tc>
      </w:tr>
      <w:tr w:rsidR="000100D5" w:rsidRPr="005269E5">
        <w:tc>
          <w:tcPr>
            <w:tcW w:w="5866" w:type="dxa"/>
            <w:shd w:val="clear" w:color="auto" w:fill="auto"/>
          </w:tcPr>
          <w:p w:rsidR="000100D5" w:rsidRPr="00F75146" w:rsidRDefault="000100D5" w:rsidP="000100D5">
            <w:pPr>
              <w:pStyle w:val="SingleTxtG"/>
              <w:spacing w:before="40" w:after="40" w:line="220" w:lineRule="exact"/>
              <w:ind w:left="0" w:right="113"/>
              <w:jc w:val="left"/>
              <w:rPr>
                <w:sz w:val="18"/>
              </w:rPr>
            </w:pPr>
            <w:r w:rsidRPr="00F75146">
              <w:rPr>
                <w:sz w:val="18"/>
              </w:rPr>
              <w:t xml:space="preserve">No se ha </w:t>
            </w:r>
            <w:r>
              <w:rPr>
                <w:sz w:val="18"/>
              </w:rPr>
              <w:t>verifica</w:t>
            </w:r>
            <w:r w:rsidRPr="00F75146">
              <w:rPr>
                <w:sz w:val="18"/>
              </w:rPr>
              <w:t xml:space="preserve">do </w:t>
            </w:r>
            <w:r>
              <w:rPr>
                <w:sz w:val="18"/>
              </w:rPr>
              <w:t xml:space="preserve">en la investigación en virtud del artículo 98 </w:t>
            </w:r>
            <w:r w:rsidRPr="00F75146">
              <w:rPr>
                <w:sz w:val="18"/>
              </w:rPr>
              <w:t xml:space="preserve">que </w:t>
            </w:r>
            <w:r>
              <w:rPr>
                <w:sz w:val="18"/>
              </w:rPr>
              <w:t>alg</w:t>
            </w:r>
            <w:r w:rsidRPr="00F75146">
              <w:rPr>
                <w:sz w:val="18"/>
              </w:rPr>
              <w:t>ún miembro haya cometido una falta</w:t>
            </w:r>
            <w:r w:rsidR="005007D6">
              <w:rPr>
                <w:sz w:val="18"/>
              </w:rPr>
              <w:t xml:space="preserve"> </w:t>
            </w:r>
          </w:p>
        </w:tc>
        <w:tc>
          <w:tcPr>
            <w:tcW w:w="150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5</w:t>
            </w:r>
          </w:p>
        </w:tc>
      </w:tr>
      <w:tr w:rsidR="000100D5" w:rsidRPr="005269E5">
        <w:tc>
          <w:tcPr>
            <w:tcW w:w="5866" w:type="dxa"/>
            <w:shd w:val="clear" w:color="auto" w:fill="auto"/>
          </w:tcPr>
          <w:p w:rsidR="000100D5" w:rsidRPr="005269E5" w:rsidRDefault="000100D5" w:rsidP="000100D5">
            <w:pPr>
              <w:pStyle w:val="SingleTxtG"/>
              <w:spacing w:before="40" w:after="40" w:line="220" w:lineRule="exact"/>
              <w:ind w:left="0" w:right="113"/>
              <w:jc w:val="left"/>
              <w:rPr>
                <w:sz w:val="18"/>
              </w:rPr>
            </w:pPr>
            <w:r>
              <w:rPr>
                <w:sz w:val="18"/>
              </w:rPr>
              <w:t>Inadmis</w:t>
            </w:r>
            <w:r w:rsidRPr="005269E5">
              <w:rPr>
                <w:sz w:val="18"/>
              </w:rPr>
              <w:t>ible</w:t>
            </w:r>
            <w:r>
              <w:rPr>
                <w:sz w:val="18"/>
              </w:rPr>
              <w:t>s</w:t>
            </w:r>
          </w:p>
        </w:tc>
        <w:tc>
          <w:tcPr>
            <w:tcW w:w="150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19</w:t>
            </w:r>
          </w:p>
        </w:tc>
      </w:tr>
      <w:tr w:rsidR="000100D5" w:rsidRPr="005269E5">
        <w:tc>
          <w:tcPr>
            <w:tcW w:w="5866" w:type="dxa"/>
            <w:tcBorders>
              <w:bottom w:val="single" w:sz="4" w:space="0" w:color="auto"/>
            </w:tcBorders>
            <w:shd w:val="clear" w:color="auto" w:fill="auto"/>
          </w:tcPr>
          <w:p w:rsidR="000100D5" w:rsidRPr="005269E5" w:rsidRDefault="000100D5" w:rsidP="000100D5">
            <w:pPr>
              <w:pStyle w:val="SingleTxtG"/>
              <w:spacing w:before="40" w:after="40" w:line="220" w:lineRule="exact"/>
              <w:ind w:left="0" w:right="113"/>
              <w:jc w:val="left"/>
              <w:rPr>
                <w:sz w:val="18"/>
              </w:rPr>
            </w:pPr>
            <w:r>
              <w:rPr>
                <w:sz w:val="18"/>
              </w:rPr>
              <w:t>Casos abiertos</w:t>
            </w:r>
            <w:r w:rsidRPr="005269E5">
              <w:rPr>
                <w:sz w:val="18"/>
              </w:rPr>
              <w:t xml:space="preserve"> </w:t>
            </w:r>
          </w:p>
        </w:tc>
        <w:tc>
          <w:tcPr>
            <w:tcW w:w="1504" w:type="dxa"/>
            <w:tcBorders>
              <w:bottom w:val="single" w:sz="4"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49</w:t>
            </w:r>
          </w:p>
        </w:tc>
      </w:tr>
      <w:tr w:rsidR="000100D5" w:rsidRPr="005269E5">
        <w:tc>
          <w:tcPr>
            <w:tcW w:w="5866" w:type="dxa"/>
            <w:tcBorders>
              <w:top w:val="single" w:sz="4" w:space="0" w:color="auto"/>
              <w:bottom w:val="single" w:sz="12" w:space="0" w:color="auto"/>
            </w:tcBorders>
            <w:shd w:val="clear" w:color="auto" w:fill="auto"/>
          </w:tcPr>
          <w:p w:rsidR="000100D5" w:rsidRPr="005269E5" w:rsidRDefault="000100D5" w:rsidP="000100D5">
            <w:pPr>
              <w:pStyle w:val="SingleTxtG"/>
              <w:spacing w:before="80" w:after="80" w:line="220" w:lineRule="exact"/>
              <w:ind w:left="284" w:right="113"/>
              <w:jc w:val="left"/>
              <w:rPr>
                <w:b/>
                <w:sz w:val="18"/>
              </w:rPr>
            </w:pPr>
            <w:r w:rsidRPr="005269E5">
              <w:rPr>
                <w:b/>
                <w:sz w:val="18"/>
              </w:rPr>
              <w:t>Total</w:t>
            </w:r>
          </w:p>
        </w:tc>
        <w:tc>
          <w:tcPr>
            <w:tcW w:w="1504"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20" w:lineRule="exact"/>
              <w:ind w:left="284" w:right="113"/>
              <w:jc w:val="right"/>
              <w:rPr>
                <w:b/>
                <w:sz w:val="18"/>
              </w:rPr>
            </w:pPr>
            <w:r w:rsidRPr="005269E5">
              <w:rPr>
                <w:b/>
                <w:sz w:val="18"/>
              </w:rPr>
              <w:t>82</w:t>
            </w:r>
          </w:p>
        </w:tc>
      </w:tr>
    </w:tbl>
    <w:p w:rsidR="000100D5" w:rsidRPr="0002424D" w:rsidRDefault="000100D5" w:rsidP="000100D5">
      <w:pPr>
        <w:pStyle w:val="SingleTxtG"/>
        <w:spacing w:before="240"/>
      </w:pPr>
      <w:r w:rsidRPr="005269E5">
        <w:t>79.</w:t>
      </w:r>
      <w:r w:rsidRPr="005269E5">
        <w:tab/>
      </w:r>
      <w:r>
        <w:t>La d</w:t>
      </w:r>
      <w:r w:rsidRPr="005269E5">
        <w:t>iscrimina</w:t>
      </w:r>
      <w:r>
        <w:t>c</w:t>
      </w:r>
      <w:r w:rsidRPr="005269E5">
        <w:t>i</w:t>
      </w:r>
      <w:r>
        <w:t>ó</w:t>
      </w:r>
      <w:r w:rsidRPr="005269E5">
        <w:t xml:space="preserve">n </w:t>
      </w:r>
      <w:r>
        <w:t>e</w:t>
      </w:r>
      <w:r w:rsidRPr="005269E5">
        <w:t xml:space="preserve">n </w:t>
      </w:r>
      <w:r>
        <w:t>es</w:t>
      </w:r>
      <w:r w:rsidRPr="005269E5">
        <w:t>t</w:t>
      </w:r>
      <w:r>
        <w:t>as circun</w:t>
      </w:r>
      <w:r w:rsidRPr="005269E5">
        <w:t>stanc</w:t>
      </w:r>
      <w:r>
        <w:t>ias</w:t>
      </w:r>
      <w:r w:rsidRPr="005269E5">
        <w:t xml:space="preserve"> </w:t>
      </w:r>
      <w:r>
        <w:t>comprende los nueve motivos</w:t>
      </w:r>
      <w:r w:rsidR="005007D6">
        <w:t xml:space="preserve"> </w:t>
      </w:r>
      <w:r>
        <w:t>enumerados en la Ley sobre la igualdad</w:t>
      </w:r>
      <w:r w:rsidRPr="005269E5">
        <w:t xml:space="preserve"> </w:t>
      </w:r>
      <w:r>
        <w:t>de condición, de</w:t>
      </w:r>
      <w:r w:rsidRPr="005269E5">
        <w:t xml:space="preserve"> 2000. </w:t>
      </w:r>
      <w:r w:rsidRPr="002A20E8">
        <w:t xml:space="preserve">En este momento, por desgracia, el sistema de gestión de los casos no permite </w:t>
      </w:r>
      <w:r>
        <w:t>determina</w:t>
      </w:r>
      <w:r w:rsidRPr="002A20E8">
        <w:t>r qué tipo de discriminación se ha alegado</w:t>
      </w:r>
      <w:r>
        <w:t>,</w:t>
      </w:r>
      <w:r w:rsidRPr="002A20E8">
        <w:t xml:space="preserve"> ya que los datos disponibles no han sido a</w:t>
      </w:r>
      <w:r>
        <w:t>ún objeto de un análisis lo suf</w:t>
      </w:r>
      <w:r w:rsidRPr="002A20E8">
        <w:t>icient</w:t>
      </w:r>
      <w:r>
        <w:t>emente minucioso</w:t>
      </w:r>
      <w:r w:rsidRPr="002A20E8">
        <w:t xml:space="preserve">. </w:t>
      </w:r>
      <w:r w:rsidRPr="0002424D">
        <w:t>Se está debatiendo la forma de de mejorar el sistema</w:t>
      </w:r>
      <w:r>
        <w:t>,</w:t>
      </w:r>
      <w:r w:rsidRPr="0002424D">
        <w:t xml:space="preserve"> a fin de ofrecer un desglose m</w:t>
      </w:r>
      <w:r>
        <w:t>ás detallado.</w:t>
      </w:r>
    </w:p>
    <w:p w:rsidR="000100D5" w:rsidRPr="005269E5" w:rsidRDefault="000100D5" w:rsidP="000100D5">
      <w:pPr>
        <w:pStyle w:val="H23G"/>
      </w:pPr>
      <w:r w:rsidRPr="0002424D">
        <w:tab/>
      </w:r>
      <w:r w:rsidRPr="005269E5">
        <w:t>5.</w:t>
      </w:r>
      <w:r w:rsidRPr="005269E5">
        <w:tab/>
      </w:r>
      <w:r>
        <w:t>Ampliación del alcance de la Ley sobre la igualdad de condición</w:t>
      </w:r>
    </w:p>
    <w:p w:rsidR="000100D5" w:rsidRPr="007F3BF7" w:rsidRDefault="000100D5" w:rsidP="000100D5">
      <w:pPr>
        <w:pStyle w:val="SingleTxtG"/>
      </w:pPr>
      <w:r w:rsidRPr="005269E5">
        <w:t>80.</w:t>
      </w:r>
      <w:r w:rsidRPr="005269E5">
        <w:tab/>
      </w:r>
      <w:r>
        <w:t>Como se indicó en la</w:t>
      </w:r>
      <w:r w:rsidRPr="005269E5">
        <w:t xml:space="preserve"> p</w:t>
      </w:r>
      <w:r>
        <w:t>á</w:t>
      </w:r>
      <w:r w:rsidRPr="005269E5">
        <w:t>g</w:t>
      </w:r>
      <w:r>
        <w:t>ina</w:t>
      </w:r>
      <w:r w:rsidRPr="005269E5">
        <w:t xml:space="preserve"> 3</w:t>
      </w:r>
      <w:r>
        <w:t>9</w:t>
      </w:r>
      <w:r w:rsidRPr="005269E5">
        <w:t xml:space="preserve"> </w:t>
      </w:r>
      <w:r>
        <w:t xml:space="preserve">del informe adicional de </w:t>
      </w:r>
      <w:r w:rsidRPr="005269E5">
        <w:t>Irland</w:t>
      </w:r>
      <w:r>
        <w:t>a</w:t>
      </w:r>
      <w:r w:rsidRPr="005269E5">
        <w:t xml:space="preserve"> (</w:t>
      </w:r>
      <w:r>
        <w:t>j</w:t>
      </w:r>
      <w:r w:rsidRPr="005269E5">
        <w:t>un</w:t>
      </w:r>
      <w:r>
        <w:t>io de</w:t>
      </w:r>
      <w:r w:rsidRPr="005269E5">
        <w:t xml:space="preserve"> 2006), </w:t>
      </w:r>
      <w:r>
        <w:t xml:space="preserve">el asunto de la ampliación del ámbito de aplicación de la Ley sobre la igualdad de condición para dar cabida a las </w:t>
      </w:r>
      <w:r w:rsidRPr="005269E5">
        <w:t>funcion</w:t>
      </w:r>
      <w:r>
        <w:t>e</w:t>
      </w:r>
      <w:r w:rsidRPr="005269E5">
        <w:t xml:space="preserve">s </w:t>
      </w:r>
      <w:r>
        <w:t>de control del</w:t>
      </w:r>
      <w:r w:rsidRPr="005269E5">
        <w:t xml:space="preserve"> </w:t>
      </w:r>
      <w:r>
        <w:t>Es</w:t>
      </w:r>
      <w:r w:rsidRPr="005269E5">
        <w:t>ta</w:t>
      </w:r>
      <w:r>
        <w:t>do</w:t>
      </w:r>
      <w:r w:rsidRPr="005269E5">
        <w:t xml:space="preserve"> </w:t>
      </w:r>
      <w:r>
        <w:t>plantea cuestiones</w:t>
      </w:r>
      <w:r w:rsidRPr="005269E5">
        <w:t xml:space="preserve"> fundamental</w:t>
      </w:r>
      <w:r>
        <w:t>es</w:t>
      </w:r>
      <w:r w:rsidRPr="005269E5">
        <w:t xml:space="preserve">. </w:t>
      </w:r>
      <w:r w:rsidR="00AF55B9">
        <w:t>Si </w:t>
      </w:r>
      <w:r w:rsidRPr="007F3BF7">
        <w:t xml:space="preserve">se </w:t>
      </w:r>
      <w:r>
        <w:t xml:space="preserve">admite esa idea entonces habría que </w:t>
      </w:r>
      <w:r w:rsidRPr="007F3BF7">
        <w:t>acepta</w:t>
      </w:r>
      <w:r>
        <w:t>r</w:t>
      </w:r>
      <w:r w:rsidRPr="007F3BF7">
        <w:t xml:space="preserve"> </w:t>
      </w:r>
      <w:r>
        <w:t>también</w:t>
      </w:r>
      <w:r w:rsidRPr="007F3BF7">
        <w:t xml:space="preserve"> las medidas </w:t>
      </w:r>
      <w:r>
        <w:t xml:space="preserve">que </w:t>
      </w:r>
      <w:r w:rsidRPr="007F3BF7">
        <w:t>adopta</w:t>
      </w:r>
      <w:r>
        <w:t>r</w:t>
      </w:r>
      <w:r w:rsidRPr="007F3BF7">
        <w:t>a</w:t>
      </w:r>
      <w:r>
        <w:t>n</w:t>
      </w:r>
      <w:r w:rsidRPr="007F3BF7">
        <w:t xml:space="preserve"> el </w:t>
      </w:r>
      <w:r>
        <w:t>Director del Ministerio Público</w:t>
      </w:r>
      <w:r w:rsidRPr="007F3BF7">
        <w:t xml:space="preserve"> y </w:t>
      </w:r>
      <w:r>
        <w:t>el poder</w:t>
      </w:r>
      <w:r w:rsidRPr="007F3BF7">
        <w:t xml:space="preserve"> judic</w:t>
      </w:r>
      <w:r>
        <w:t>ial, pero si se otorga a un funcionario encargado de cuestiones de igualdad la facultad de revisar las decisiones de detención, enjuiciamiento y condena, se atentará contra la independencia del Director y del poder citados</w:t>
      </w:r>
      <w:r w:rsidRPr="007F3BF7">
        <w:t>.</w:t>
      </w:r>
    </w:p>
    <w:p w:rsidR="000100D5" w:rsidRPr="005269E5" w:rsidRDefault="000100D5" w:rsidP="000100D5">
      <w:pPr>
        <w:pStyle w:val="SingleTxtG"/>
      </w:pPr>
      <w:r w:rsidRPr="005269E5">
        <w:t>81.</w:t>
      </w:r>
      <w:r w:rsidRPr="005269E5">
        <w:tab/>
      </w:r>
      <w:r>
        <w:t>La persona agraviada que denuncie haber sido víctima de discriminación por parte de los</w:t>
      </w:r>
      <w:r w:rsidRPr="005269E5">
        <w:t xml:space="preserve"> Gardaí (</w:t>
      </w:r>
      <w:r>
        <w:t>p</w:t>
      </w:r>
      <w:r w:rsidRPr="005269E5">
        <w:t>olic</w:t>
      </w:r>
      <w:r>
        <w:t>ía</w:t>
      </w:r>
      <w:r w:rsidRPr="005269E5">
        <w:t xml:space="preserve">) o </w:t>
      </w:r>
      <w:r>
        <w:t>de cualquier otro</w:t>
      </w:r>
      <w:r w:rsidRPr="005269E5">
        <w:t xml:space="preserve"> </w:t>
      </w:r>
      <w:r>
        <w:t>ó</w:t>
      </w:r>
      <w:r w:rsidRPr="005269E5">
        <w:t>rgan</w:t>
      </w:r>
      <w:r>
        <w:t>o del</w:t>
      </w:r>
      <w:r w:rsidRPr="005269E5">
        <w:t xml:space="preserve"> </w:t>
      </w:r>
      <w:r>
        <w:t>Estado será libre de impugnar</w:t>
      </w:r>
      <w:r w:rsidRPr="005269E5">
        <w:t xml:space="preserve"> </w:t>
      </w:r>
      <w:r>
        <w:t xml:space="preserve">una </w:t>
      </w:r>
      <w:r w:rsidR="005C4174">
        <w:t>decisión</w:t>
      </w:r>
      <w:r>
        <w:t>, interponiendo una demanda de inconstitucionalidad ante el Tribunal Superior o solicitando la revisión</w:t>
      </w:r>
      <w:r w:rsidRPr="005269E5">
        <w:t xml:space="preserve"> </w:t>
      </w:r>
      <w:r>
        <w:t xml:space="preserve">de las actuaciones </w:t>
      </w:r>
      <w:r w:rsidRPr="005269E5">
        <w:t>judicial</w:t>
      </w:r>
      <w:r>
        <w:t>es.</w:t>
      </w:r>
      <w:r w:rsidRPr="005269E5">
        <w:t xml:space="preserve"> </w:t>
      </w:r>
    </w:p>
    <w:p w:rsidR="000100D5" w:rsidRPr="005269E5" w:rsidRDefault="000100D5" w:rsidP="000100D5">
      <w:pPr>
        <w:pStyle w:val="SingleTxtG"/>
      </w:pPr>
      <w:r w:rsidRPr="005269E5">
        <w:t>82.</w:t>
      </w:r>
      <w:r w:rsidRPr="005269E5">
        <w:tab/>
      </w:r>
      <w:r>
        <w:t>El Ombudsman</w:t>
      </w:r>
      <w:r w:rsidRPr="005269E5">
        <w:rPr>
          <w:rStyle w:val="FootnoteReference"/>
        </w:rPr>
        <w:footnoteReference w:id="32"/>
      </w:r>
      <w:r w:rsidRPr="005269E5">
        <w:t xml:space="preserve"> </w:t>
      </w:r>
      <w:r>
        <w:t>puede</w:t>
      </w:r>
      <w:r w:rsidRPr="005269E5">
        <w:t xml:space="preserve"> investiga</w:t>
      </w:r>
      <w:r>
        <w:t>r</w:t>
      </w:r>
      <w:r w:rsidRPr="005269E5">
        <w:t xml:space="preserve"> </w:t>
      </w:r>
      <w:r>
        <w:t>cualquier medida adoptada por un órgano público específico o en su nombre y su actuación se define en el artículo</w:t>
      </w:r>
      <w:r w:rsidRPr="005269E5">
        <w:t xml:space="preserve"> 1</w:t>
      </w:r>
      <w:r>
        <w:t xml:space="preserve"> </w:t>
      </w:r>
      <w:r w:rsidRPr="005269E5">
        <w:t xml:space="preserve">1) </w:t>
      </w:r>
      <w:r>
        <w:t>de la Ley del Ombudsman, de 1980</w:t>
      </w:r>
      <w:r w:rsidRPr="005269E5">
        <w:rPr>
          <w:rStyle w:val="FootnoteReference"/>
        </w:rPr>
        <w:footnoteReference w:id="33"/>
      </w:r>
      <w:r w:rsidR="001F5C61">
        <w:t>:</w:t>
      </w:r>
    </w:p>
    <w:p w:rsidR="000100D5" w:rsidRPr="00CA6F43" w:rsidRDefault="000100D5" w:rsidP="000100D5">
      <w:pPr>
        <w:pStyle w:val="SingleTxtG"/>
        <w:ind w:left="1701"/>
      </w:pPr>
      <w:r w:rsidRPr="00CA6F43">
        <w:t xml:space="preserve">Por </w:t>
      </w:r>
      <w:r w:rsidR="00C67360">
        <w:t>"</w:t>
      </w:r>
      <w:r w:rsidRPr="00CA6F43">
        <w:t>actuación</w:t>
      </w:r>
      <w:r w:rsidR="00C67360">
        <w:t>"</w:t>
      </w:r>
      <w:r w:rsidRPr="00CA6F43">
        <w:t xml:space="preserve"> se entiende la decisión, la falta de acción y la omisión y se definir</w:t>
      </w:r>
      <w:r>
        <w:t>án</w:t>
      </w:r>
      <w:r w:rsidR="005007D6">
        <w:t xml:space="preserve"> </w:t>
      </w:r>
      <w:r>
        <w:t>los términos similares en consonancia con lo anterior</w:t>
      </w:r>
      <w:r w:rsidRPr="00CA6F43">
        <w:t>.</w:t>
      </w:r>
    </w:p>
    <w:p w:rsidR="000100D5" w:rsidRPr="005269E5" w:rsidRDefault="000100D5" w:rsidP="000100D5">
      <w:pPr>
        <w:pStyle w:val="SingleTxtG"/>
      </w:pPr>
      <w:r w:rsidRPr="005269E5">
        <w:t>83.</w:t>
      </w:r>
      <w:r w:rsidRPr="005269E5">
        <w:tab/>
      </w:r>
      <w:r>
        <w:t>La posible competencia del Ombudsman</w:t>
      </w:r>
      <w:r w:rsidRPr="005269E5">
        <w:t xml:space="preserve"> no</w:t>
      </w:r>
      <w:r>
        <w:t xml:space="preserve"> se limita, por tanto, a los servicios</w:t>
      </w:r>
      <w:r w:rsidRPr="005269E5">
        <w:t xml:space="preserve"> </w:t>
      </w:r>
      <w:r>
        <w:t>establecidos en la Ley sobre la igualdad de condición</w:t>
      </w:r>
      <w:r w:rsidRPr="005269E5">
        <w:t>.</w:t>
      </w:r>
    </w:p>
    <w:p w:rsidR="000100D5" w:rsidRPr="005269E5" w:rsidRDefault="000100D5" w:rsidP="000100D5">
      <w:pPr>
        <w:pStyle w:val="SingleTxtG"/>
      </w:pPr>
      <w:r w:rsidRPr="005269E5">
        <w:t>84.</w:t>
      </w:r>
      <w:r w:rsidRPr="005269E5">
        <w:tab/>
      </w:r>
      <w:r>
        <w:t>El artículo</w:t>
      </w:r>
      <w:r w:rsidRPr="005269E5">
        <w:t xml:space="preserve"> 5</w:t>
      </w:r>
      <w:r>
        <w:t xml:space="preserve"> </w:t>
      </w:r>
      <w:r w:rsidRPr="005269E5">
        <w:t>1)</w:t>
      </w:r>
      <w:r>
        <w:t xml:space="preserve"> </w:t>
      </w:r>
      <w:r w:rsidRPr="005269E5">
        <w:t>e)</w:t>
      </w:r>
      <w:r>
        <w:t xml:space="preserve"> </w:t>
      </w:r>
      <w:r w:rsidRPr="005269E5">
        <w:t xml:space="preserve">i) </w:t>
      </w:r>
      <w:r>
        <w:t>de la Ley del</w:t>
      </w:r>
      <w:r w:rsidRPr="005269E5">
        <w:t xml:space="preserve"> Ombudsman</w:t>
      </w:r>
      <w:r>
        <w:t xml:space="preserve"> de</w:t>
      </w:r>
      <w:r w:rsidRPr="005269E5">
        <w:t xml:space="preserve"> 1980 pr</w:t>
      </w:r>
      <w:r w:rsidR="00AF55B9">
        <w:t>evé que é</w:t>
      </w:r>
      <w:r>
        <w:t>ste no</w:t>
      </w:r>
      <w:r w:rsidRPr="005269E5">
        <w:t xml:space="preserve"> investiga</w:t>
      </w:r>
      <w:r>
        <w:t>rá</w:t>
      </w:r>
      <w:r w:rsidRPr="005269E5">
        <w:t xml:space="preserve"> </w:t>
      </w:r>
      <w:r>
        <w:t xml:space="preserve">las </w:t>
      </w:r>
      <w:r w:rsidRPr="005269E5">
        <w:t>act</w:t>
      </w:r>
      <w:r>
        <w:t>uaci</w:t>
      </w:r>
      <w:r w:rsidRPr="005269E5">
        <w:t>on</w:t>
      </w:r>
      <w:r>
        <w:t>e</w:t>
      </w:r>
      <w:r w:rsidRPr="005269E5">
        <w:t xml:space="preserve">s </w:t>
      </w:r>
      <w:r>
        <w:t>emprendidas e</w:t>
      </w:r>
      <w:r w:rsidRPr="005269E5">
        <w:t xml:space="preserve">n </w:t>
      </w:r>
      <w:r>
        <w:t>aplic</w:t>
      </w:r>
      <w:r w:rsidRPr="005269E5">
        <w:t>a</w:t>
      </w:r>
      <w:r>
        <w:t>c</w:t>
      </w:r>
      <w:r w:rsidRPr="005269E5">
        <w:t>i</w:t>
      </w:r>
      <w:r>
        <w:t>ó</w:t>
      </w:r>
      <w:r w:rsidRPr="005269E5">
        <w:t xml:space="preserve">n </w:t>
      </w:r>
      <w:r>
        <w:t>de la Ley</w:t>
      </w:r>
      <w:r w:rsidRPr="005269E5">
        <w:t xml:space="preserve"> </w:t>
      </w:r>
      <w:r>
        <w:t>de extranjería o de</w:t>
      </w:r>
      <w:r w:rsidR="005007D6">
        <w:t xml:space="preserve"> </w:t>
      </w:r>
      <w:r w:rsidRPr="005269E5">
        <w:t>naturali</w:t>
      </w:r>
      <w:r>
        <w:t>z</w:t>
      </w:r>
      <w:r w:rsidRPr="005269E5">
        <w:t>a</w:t>
      </w:r>
      <w:r>
        <w:t>c</w:t>
      </w:r>
      <w:r w:rsidRPr="005269E5">
        <w:t>i</w:t>
      </w:r>
      <w:r>
        <w:t>ó</w:t>
      </w:r>
      <w:r w:rsidRPr="005269E5">
        <w:t>n.</w:t>
      </w:r>
    </w:p>
    <w:p w:rsidR="000100D5" w:rsidRPr="00C210D3" w:rsidRDefault="000100D5" w:rsidP="000100D5">
      <w:pPr>
        <w:pStyle w:val="H23G"/>
      </w:pPr>
      <w:r w:rsidRPr="005269E5">
        <w:tab/>
      </w:r>
      <w:r w:rsidRPr="005269E5">
        <w:tab/>
      </w:r>
      <w:r w:rsidRPr="00C210D3">
        <w:t xml:space="preserve">Respuesta a la observación contenida en el párrafo 12 del informe del Coordinador </w:t>
      </w:r>
      <w:r w:rsidR="00F80E33">
        <w:t>encargado</w:t>
      </w:r>
      <w:r w:rsidRPr="00C210D3">
        <w:t xml:space="preserve"> </w:t>
      </w:r>
      <w:r w:rsidR="00F80E33">
        <w:t>d</w:t>
      </w:r>
      <w:r w:rsidRPr="00C210D3">
        <w:t>el seguimiento</w:t>
      </w:r>
    </w:p>
    <w:p w:rsidR="000100D5" w:rsidRPr="005269E5" w:rsidRDefault="000100D5" w:rsidP="000100D5">
      <w:pPr>
        <w:pStyle w:val="SingleTxtG"/>
      </w:pPr>
      <w:r w:rsidRPr="005269E5">
        <w:t>85.</w:t>
      </w:r>
      <w:r w:rsidRPr="005269E5">
        <w:tab/>
      </w:r>
      <w:r>
        <w:t>Sírvanse consultar la</w:t>
      </w:r>
      <w:r w:rsidRPr="005269E5">
        <w:t xml:space="preserve"> informa</w:t>
      </w:r>
      <w:r>
        <w:t>c</w:t>
      </w:r>
      <w:r w:rsidRPr="005269E5">
        <w:t>i</w:t>
      </w:r>
      <w:r>
        <w:t>ó</w:t>
      </w:r>
      <w:r w:rsidRPr="005269E5">
        <w:t xml:space="preserve">n </w:t>
      </w:r>
      <w:r>
        <w:t>sobre el proyecto de ley de in</w:t>
      </w:r>
      <w:r w:rsidRPr="005269E5">
        <w:t>migra</w:t>
      </w:r>
      <w:r>
        <w:t>c</w:t>
      </w:r>
      <w:r w:rsidRPr="005269E5">
        <w:t>i</w:t>
      </w:r>
      <w:r>
        <w:t>ó</w:t>
      </w:r>
      <w:r w:rsidRPr="005269E5">
        <w:t xml:space="preserve">n, </w:t>
      </w:r>
      <w:r>
        <w:t>r</w:t>
      </w:r>
      <w:r w:rsidRPr="005269E5">
        <w:t>esidenc</w:t>
      </w:r>
      <w:r>
        <w:t>ia y</w:t>
      </w:r>
      <w:r w:rsidRPr="005269E5">
        <w:t xml:space="preserve"> </w:t>
      </w:r>
      <w:r>
        <w:t>protecc</w:t>
      </w:r>
      <w:r w:rsidRPr="005269E5">
        <w:t>i</w:t>
      </w:r>
      <w:r>
        <w:t>ó</w:t>
      </w:r>
      <w:r w:rsidRPr="005269E5">
        <w:t>n</w:t>
      </w:r>
      <w:r>
        <w:t xml:space="preserve"> e</w:t>
      </w:r>
      <w:r w:rsidRPr="005269E5">
        <w:t xml:space="preserve">n </w:t>
      </w:r>
      <w:r>
        <w:t xml:space="preserve">los </w:t>
      </w:r>
      <w:r w:rsidRPr="005269E5">
        <w:t>p</w:t>
      </w:r>
      <w:r>
        <w:t>ár</w:t>
      </w:r>
      <w:r w:rsidRPr="005269E5">
        <w:t>ra</w:t>
      </w:r>
      <w:r>
        <w:t>fos</w:t>
      </w:r>
      <w:r w:rsidRPr="005269E5">
        <w:t xml:space="preserve"> 46, 268, 287 </w:t>
      </w:r>
      <w:r>
        <w:t>y</w:t>
      </w:r>
      <w:r w:rsidRPr="005269E5">
        <w:t xml:space="preserve"> 512</w:t>
      </w:r>
      <w:r>
        <w:t xml:space="preserve"> a </w:t>
      </w:r>
      <w:r w:rsidRPr="005269E5">
        <w:t xml:space="preserve">514 </w:t>
      </w:r>
      <w:r>
        <w:t>del presente informe</w:t>
      </w:r>
      <w:r w:rsidRPr="005269E5">
        <w:t>.</w:t>
      </w:r>
    </w:p>
    <w:p w:rsidR="000100D5" w:rsidRPr="001A42F4" w:rsidRDefault="000100D5" w:rsidP="000100D5">
      <w:pPr>
        <w:pStyle w:val="H23G"/>
      </w:pPr>
      <w:r w:rsidRPr="005269E5">
        <w:tab/>
      </w:r>
      <w:r w:rsidRPr="005269E5">
        <w:tab/>
      </w:r>
      <w:r w:rsidRPr="001A42F4">
        <w:t>Respuesta a la recomendación contenida en el párrafo 13 del informe del Coordina</w:t>
      </w:r>
      <w:r>
        <w:t>d</w:t>
      </w:r>
      <w:r w:rsidRPr="001A42F4">
        <w:t>or</w:t>
      </w:r>
      <w:r>
        <w:t xml:space="preserve"> </w:t>
      </w:r>
      <w:r w:rsidR="00F80E33">
        <w:t>encargado</w:t>
      </w:r>
      <w:r>
        <w:t xml:space="preserve"> </w:t>
      </w:r>
      <w:r w:rsidR="00F80E33">
        <w:t>d</w:t>
      </w:r>
      <w:r>
        <w:t>el</w:t>
      </w:r>
      <w:r w:rsidRPr="001A42F4">
        <w:t xml:space="preserve"> </w:t>
      </w:r>
      <w:r>
        <w:t>seguimiento</w:t>
      </w:r>
    </w:p>
    <w:p w:rsidR="000100D5" w:rsidRPr="005269E5" w:rsidRDefault="000100D5" w:rsidP="000100D5">
      <w:pPr>
        <w:pStyle w:val="SingleTxtG"/>
      </w:pPr>
      <w:r w:rsidRPr="005269E5">
        <w:t>86.</w:t>
      </w:r>
      <w:r w:rsidRPr="005269E5">
        <w:tab/>
      </w:r>
      <w:r>
        <w:t>Sírvanse</w:t>
      </w:r>
      <w:r w:rsidRPr="005269E5">
        <w:t xml:space="preserve"> </w:t>
      </w:r>
      <w:r>
        <w:t>consultar el</w:t>
      </w:r>
      <w:r w:rsidRPr="005269E5">
        <w:t xml:space="preserve"> p</w:t>
      </w:r>
      <w:r>
        <w:t>ár</w:t>
      </w:r>
      <w:r w:rsidRPr="005269E5">
        <w:t>ra</w:t>
      </w:r>
      <w:r>
        <w:t>fo</w:t>
      </w:r>
      <w:r w:rsidRPr="005269E5">
        <w:t xml:space="preserve"> 25 </w:t>
      </w:r>
      <w:r>
        <w:t xml:space="preserve">del informe adicional de </w:t>
      </w:r>
      <w:r w:rsidRPr="005269E5">
        <w:t>Irland</w:t>
      </w:r>
      <w:r>
        <w:t>a</w:t>
      </w:r>
      <w:r w:rsidRPr="005269E5">
        <w:t xml:space="preserve"> (</w:t>
      </w:r>
      <w:r>
        <w:t>j</w:t>
      </w:r>
      <w:r w:rsidRPr="005269E5">
        <w:t>un</w:t>
      </w:r>
      <w:r>
        <w:t>io de</w:t>
      </w:r>
      <w:r w:rsidRPr="005269E5">
        <w:t xml:space="preserve"> 2006) </w:t>
      </w:r>
      <w:r>
        <w:t>al respecto</w:t>
      </w:r>
      <w:r w:rsidRPr="005269E5">
        <w:t xml:space="preserve">. </w:t>
      </w:r>
      <w:r w:rsidRPr="007020B8">
        <w:t xml:space="preserve">No existe ningún indicio en la actualidad de la existencia de algún fallo </w:t>
      </w:r>
      <w:r>
        <w:t>d</w:t>
      </w:r>
      <w:r w:rsidRPr="007020B8">
        <w:t xml:space="preserve">e las medidas nacionales </w:t>
      </w:r>
      <w:r>
        <w:t>en</w:t>
      </w:r>
      <w:r w:rsidRPr="007020B8">
        <w:t xml:space="preserve"> este sector o </w:t>
      </w:r>
      <w:r>
        <w:t xml:space="preserve">de la necesidad urgente de que </w:t>
      </w:r>
      <w:r w:rsidRPr="007020B8">
        <w:t>Irland</w:t>
      </w:r>
      <w:r>
        <w:t>a</w:t>
      </w:r>
      <w:r w:rsidRPr="007020B8">
        <w:t xml:space="preserve"> </w:t>
      </w:r>
      <w:r>
        <w:t>modifique su</w:t>
      </w:r>
      <w:r w:rsidR="005007D6">
        <w:t xml:space="preserve"> </w:t>
      </w:r>
      <w:r w:rsidRPr="007020B8">
        <w:t>post</w:t>
      </w:r>
      <w:r>
        <w:t>ura anterior</w:t>
      </w:r>
      <w:r w:rsidRPr="007020B8">
        <w:t xml:space="preserve">. </w:t>
      </w:r>
      <w:r>
        <w:t>Hay que señalar que ningún</w:t>
      </w:r>
      <w:r w:rsidRPr="005269E5">
        <w:t xml:space="preserve"> E</w:t>
      </w:r>
      <w:r>
        <w:t>stado</w:t>
      </w:r>
      <w:r w:rsidRPr="005269E5">
        <w:t xml:space="preserve"> M</w:t>
      </w:r>
      <w:r>
        <w:t>i</w:t>
      </w:r>
      <w:r w:rsidRPr="005269E5">
        <w:t>embr</w:t>
      </w:r>
      <w:r>
        <w:t>o de la UE</w:t>
      </w:r>
      <w:r w:rsidRPr="005269E5">
        <w:t xml:space="preserve"> ha </w:t>
      </w:r>
      <w:r>
        <w:t>firmado o ratificado la</w:t>
      </w:r>
      <w:r w:rsidRPr="005269E5">
        <w:t xml:space="preserve"> Conven</w:t>
      </w:r>
      <w:r>
        <w:t>c</w:t>
      </w:r>
      <w:r w:rsidRPr="005269E5">
        <w:t>i</w:t>
      </w:r>
      <w:r>
        <w:t>ón</w:t>
      </w:r>
      <w:r w:rsidRPr="005269E5">
        <w:t xml:space="preserve"> </w:t>
      </w:r>
      <w:r>
        <w:t>Internacional sobre la p</w:t>
      </w:r>
      <w:r w:rsidRPr="005269E5">
        <w:t>rotec</w:t>
      </w:r>
      <w:r>
        <w:t>c</w:t>
      </w:r>
      <w:r w:rsidRPr="005269E5">
        <w:t>i</w:t>
      </w:r>
      <w:r>
        <w:t>ó</w:t>
      </w:r>
      <w:r w:rsidRPr="005269E5">
        <w:t xml:space="preserve">n </w:t>
      </w:r>
      <w:r>
        <w:t>de los derechos de todos los trabajadores m</w:t>
      </w:r>
      <w:r w:rsidRPr="005269E5">
        <w:t>igrat</w:t>
      </w:r>
      <w:r>
        <w:t>orios y de sus</w:t>
      </w:r>
      <w:r w:rsidRPr="005269E5">
        <w:t xml:space="preserve"> </w:t>
      </w:r>
      <w:r>
        <w:t>familiares y que sólo seis de sus actuales</w:t>
      </w:r>
      <w:r w:rsidRPr="005269E5">
        <w:t xml:space="preserve"> m</w:t>
      </w:r>
      <w:r>
        <w:t>i</w:t>
      </w:r>
      <w:r w:rsidRPr="005269E5">
        <w:t>embr</w:t>
      </w:r>
      <w:r>
        <w:t>o</w:t>
      </w:r>
      <w:r w:rsidRPr="005269E5">
        <w:t>s</w:t>
      </w:r>
      <w:r>
        <w:t xml:space="preserve"> han ratificado el</w:t>
      </w:r>
      <w:r w:rsidRPr="005269E5">
        <w:t xml:space="preserve"> Convenio </w:t>
      </w:r>
      <w:r w:rsidR="001A688E">
        <w:t>Nº</w:t>
      </w:r>
      <w:r w:rsidRPr="005269E5">
        <w:t xml:space="preserve"> 97 </w:t>
      </w:r>
      <w:r>
        <w:t>sobre</w:t>
      </w:r>
      <w:r w:rsidRPr="005269E5">
        <w:t xml:space="preserve"> </w:t>
      </w:r>
      <w:r>
        <w:t>los trabajadores m</w:t>
      </w:r>
      <w:r w:rsidRPr="005269E5">
        <w:t>igra</w:t>
      </w:r>
      <w:r>
        <w:t>torios</w:t>
      </w:r>
      <w:r w:rsidRPr="005269E5">
        <w:t xml:space="preserve"> (</w:t>
      </w:r>
      <w:r>
        <w:t>r</w:t>
      </w:r>
      <w:r w:rsidRPr="005269E5">
        <w:t>evis</w:t>
      </w:r>
      <w:r>
        <w:t>a</w:t>
      </w:r>
      <w:r w:rsidRPr="005269E5">
        <w:t>d</w:t>
      </w:r>
      <w:r>
        <w:t>o</w:t>
      </w:r>
      <w:r w:rsidRPr="005269E5">
        <w:t xml:space="preserve">) </w:t>
      </w:r>
      <w:r>
        <w:t>y que en los diez últimos años no se ha registrado ninguna de esas</w:t>
      </w:r>
      <w:r w:rsidRPr="005269E5">
        <w:t xml:space="preserve"> ratifica</w:t>
      </w:r>
      <w:r>
        <w:t>c</w:t>
      </w:r>
      <w:r w:rsidRPr="005269E5">
        <w:t>ion</w:t>
      </w:r>
      <w:r>
        <w:t>e</w:t>
      </w:r>
      <w:r w:rsidRPr="005269E5">
        <w:t>s</w:t>
      </w:r>
      <w:r>
        <w:t>.</w:t>
      </w:r>
      <w:r w:rsidRPr="005269E5">
        <w:t xml:space="preserve"> </w:t>
      </w:r>
      <w:r>
        <w:t>No obstante</w:t>
      </w:r>
      <w:r w:rsidRPr="005269E5">
        <w:t xml:space="preserve">, </w:t>
      </w:r>
      <w:r>
        <w:t>seguirá estudiando su postura</w:t>
      </w:r>
      <w:r w:rsidRPr="005269E5">
        <w:t>.</w:t>
      </w:r>
    </w:p>
    <w:p w:rsidR="000100D5" w:rsidRPr="005269E5" w:rsidRDefault="000100D5" w:rsidP="000100D5">
      <w:pPr>
        <w:pStyle w:val="H1G"/>
      </w:pPr>
      <w:r w:rsidRPr="005269E5">
        <w:tab/>
        <w:t>B.</w:t>
      </w:r>
      <w:r w:rsidRPr="005269E5">
        <w:tab/>
      </w:r>
      <w:r>
        <w:t>Grupos v</w:t>
      </w:r>
      <w:r w:rsidRPr="005269E5">
        <w:t>ulnerable</w:t>
      </w:r>
      <w:r>
        <w:t>s</w:t>
      </w:r>
    </w:p>
    <w:p w:rsidR="000100D5" w:rsidRPr="00807783" w:rsidRDefault="000100D5" w:rsidP="000100D5">
      <w:pPr>
        <w:pStyle w:val="H23G"/>
      </w:pPr>
      <w:r w:rsidRPr="005269E5">
        <w:tab/>
      </w:r>
      <w:r w:rsidRPr="005269E5">
        <w:tab/>
      </w:r>
      <w:r w:rsidRPr="00807783">
        <w:t xml:space="preserve">Respuesta a la recomendación contenida en el párrafo 14 del informe del Coordinador </w:t>
      </w:r>
      <w:r w:rsidR="00F80E33">
        <w:t>encargado</w:t>
      </w:r>
      <w:r w:rsidRPr="00807783">
        <w:t xml:space="preserve"> </w:t>
      </w:r>
      <w:r w:rsidR="00F80E33">
        <w:t>d</w:t>
      </w:r>
      <w:r w:rsidRPr="00807783">
        <w:t>el seguimiento</w:t>
      </w:r>
    </w:p>
    <w:p w:rsidR="000100D5" w:rsidRPr="00CA4822" w:rsidRDefault="000100D5" w:rsidP="000100D5">
      <w:pPr>
        <w:pStyle w:val="SingleTxtG"/>
      </w:pPr>
      <w:r w:rsidRPr="005269E5">
        <w:t>87.</w:t>
      </w:r>
      <w:r w:rsidRPr="005269E5">
        <w:tab/>
      </w:r>
      <w:r>
        <w:t>El</w:t>
      </w:r>
      <w:r w:rsidRPr="005269E5">
        <w:t xml:space="preserve"> Go</w:t>
      </w:r>
      <w:r>
        <w:t>bi</w:t>
      </w:r>
      <w:r w:rsidRPr="005269E5">
        <w:t>ern</w:t>
      </w:r>
      <w:r>
        <w:t>o de Irlanda</w:t>
      </w:r>
      <w:r w:rsidRPr="005269E5">
        <w:t xml:space="preserve"> no</w:t>
      </w:r>
      <w:r>
        <w:t xml:space="preserve"> </w:t>
      </w:r>
      <w:r w:rsidRPr="005269E5">
        <w:t>t</w:t>
      </w:r>
      <w:r>
        <w:t>iene intención de modificar las políticas actuales</w:t>
      </w:r>
      <w:r w:rsidRPr="005269E5">
        <w:t xml:space="preserve"> rela</w:t>
      </w:r>
      <w:r>
        <w:t>c</w:t>
      </w:r>
      <w:r w:rsidRPr="005269E5">
        <w:t>ion</w:t>
      </w:r>
      <w:r>
        <w:t>adas con la manutención directa o el</w:t>
      </w:r>
      <w:r w:rsidRPr="005269E5">
        <w:t xml:space="preserve"> acces</w:t>
      </w:r>
      <w:r>
        <w:t>o al mercado de trabajo</w:t>
      </w:r>
      <w:r w:rsidRPr="005269E5">
        <w:t xml:space="preserve"> </w:t>
      </w:r>
      <w:r>
        <w:t>de los solicitantes de</w:t>
      </w:r>
      <w:r w:rsidRPr="005269E5">
        <w:t xml:space="preserve"> as</w:t>
      </w:r>
      <w:r>
        <w:t>i</w:t>
      </w:r>
      <w:r w:rsidRPr="005269E5">
        <w:t>l</w:t>
      </w:r>
      <w:r>
        <w:t>o, mencionadas en detalle en las</w:t>
      </w:r>
      <w:r w:rsidRPr="005269E5">
        <w:t xml:space="preserve"> p</w:t>
      </w:r>
      <w:r>
        <w:t>á</w:t>
      </w:r>
      <w:r w:rsidRPr="005269E5">
        <w:t>g</w:t>
      </w:r>
      <w:r>
        <w:t>ina</w:t>
      </w:r>
      <w:r w:rsidRPr="005269E5">
        <w:t>s 12</w:t>
      </w:r>
      <w:r>
        <w:t xml:space="preserve"> a </w:t>
      </w:r>
      <w:r w:rsidRPr="005269E5">
        <w:t>1</w:t>
      </w:r>
      <w:r>
        <w:t>6</w:t>
      </w:r>
      <w:r w:rsidRPr="005269E5">
        <w:t xml:space="preserve"> </w:t>
      </w:r>
      <w:r>
        <w:t>del informe adicional de Irlanda</w:t>
      </w:r>
      <w:r w:rsidRPr="005269E5">
        <w:t xml:space="preserve"> (</w:t>
      </w:r>
      <w:r>
        <w:t>j</w:t>
      </w:r>
      <w:r w:rsidRPr="005269E5">
        <w:t>un</w:t>
      </w:r>
      <w:r>
        <w:t>io de</w:t>
      </w:r>
      <w:r w:rsidRPr="005269E5">
        <w:t xml:space="preserve"> 2006). </w:t>
      </w:r>
      <w:r w:rsidRPr="00FB21F7">
        <w:t xml:space="preserve">La política del Gobierno de </w:t>
      </w:r>
      <w:r>
        <w:t>manutención</w:t>
      </w:r>
      <w:r w:rsidRPr="00FB21F7">
        <w:t xml:space="preserve"> direct</w:t>
      </w:r>
      <w:r>
        <w:t>a</w:t>
      </w:r>
      <w:r w:rsidRPr="00FB21F7">
        <w:t xml:space="preserve"> surgió de la necesidad de proporcionar comida y vivienda a los solicitantes de asilo, </w:t>
      </w:r>
      <w:r>
        <w:t>en consonancia con las</w:t>
      </w:r>
      <w:r w:rsidRPr="00FB21F7">
        <w:t xml:space="preserve"> obliga</w:t>
      </w:r>
      <w:r>
        <w:t>c</w:t>
      </w:r>
      <w:r w:rsidRPr="00FB21F7">
        <w:t>ion</w:t>
      </w:r>
      <w:r>
        <w:t>e</w:t>
      </w:r>
      <w:r w:rsidRPr="00FB21F7">
        <w:t xml:space="preserve">s </w:t>
      </w:r>
      <w:r>
        <w:t>asumidas por el Estado en virtud de la Convenc</w:t>
      </w:r>
      <w:r w:rsidRPr="00FB21F7">
        <w:t>i</w:t>
      </w:r>
      <w:r>
        <w:t>ó</w:t>
      </w:r>
      <w:r w:rsidRPr="00FB21F7">
        <w:t xml:space="preserve">n </w:t>
      </w:r>
      <w:r>
        <w:t>de Ginebra de 1951 sobre el</w:t>
      </w:r>
      <w:r w:rsidRPr="00FB21F7">
        <w:t xml:space="preserve"> </w:t>
      </w:r>
      <w:r>
        <w:t>es</w:t>
      </w:r>
      <w:r w:rsidRPr="00FB21F7">
        <w:t>tatu</w:t>
      </w:r>
      <w:r>
        <w:t>to de los</w:t>
      </w:r>
      <w:r w:rsidRPr="00FB21F7">
        <w:t xml:space="preserve"> </w:t>
      </w:r>
      <w:r>
        <w:t>r</w:t>
      </w:r>
      <w:r w:rsidRPr="00FB21F7">
        <w:t>efug</w:t>
      </w:r>
      <w:r>
        <w:t>iados, modificada por su</w:t>
      </w:r>
      <w:r w:rsidRPr="00FB21F7">
        <w:t xml:space="preserve"> Protocol</w:t>
      </w:r>
      <w:r>
        <w:t>o de 1967</w:t>
      </w:r>
      <w:r w:rsidRPr="00FB21F7">
        <w:t xml:space="preserve">. El sistema de </w:t>
      </w:r>
      <w:r>
        <w:t>manutención</w:t>
      </w:r>
      <w:r w:rsidRPr="00FB21F7">
        <w:t xml:space="preserve"> direct</w:t>
      </w:r>
      <w:r>
        <w:t>a</w:t>
      </w:r>
      <w:r w:rsidRPr="00FB21F7">
        <w:t xml:space="preserve"> permite al Estado garantizar el mantenimiento de </w:t>
      </w:r>
      <w:r>
        <w:t>servicios</w:t>
      </w:r>
      <w:r w:rsidRPr="00FB21F7">
        <w:t xml:space="preserve"> adecuado</w:t>
      </w:r>
      <w:r>
        <w:t>s</w:t>
      </w:r>
      <w:r w:rsidRPr="00FB21F7">
        <w:t xml:space="preserve"> de alojamiento, alimentaci</w:t>
      </w:r>
      <w:r>
        <w:t>ón y de otra índole</w:t>
      </w:r>
      <w:r w:rsidRPr="00FB21F7">
        <w:t xml:space="preserve">. </w:t>
      </w:r>
      <w:r w:rsidRPr="00CA4822">
        <w:t xml:space="preserve">El Gobierno de Irlanda está convencido de que se trata de un sistema justo y humanitario para satisfacer las necesidades de los solicitantes de asilo y de que </w:t>
      </w:r>
      <w:r>
        <w:t>está a la altura de</w:t>
      </w:r>
      <w:r w:rsidRPr="00CA4822">
        <w:t xml:space="preserve"> las medidas adoptadas en ese ámbito por otros Estados miembros de la UE.</w:t>
      </w:r>
    </w:p>
    <w:p w:rsidR="000100D5" w:rsidRPr="00E70741" w:rsidRDefault="000100D5" w:rsidP="000100D5">
      <w:pPr>
        <w:pStyle w:val="SingleTxtG"/>
      </w:pPr>
      <w:r w:rsidRPr="005269E5">
        <w:t>88.</w:t>
      </w:r>
      <w:r w:rsidRPr="005269E5">
        <w:tab/>
      </w:r>
      <w:r>
        <w:t>En lo tocante al</w:t>
      </w:r>
      <w:r w:rsidRPr="005269E5">
        <w:t xml:space="preserve"> acces</w:t>
      </w:r>
      <w:r>
        <w:t>o al</w:t>
      </w:r>
      <w:r w:rsidRPr="005269E5">
        <w:t xml:space="preserve"> </w:t>
      </w:r>
      <w:r>
        <w:t>mercado de trabajo</w:t>
      </w:r>
      <w:r w:rsidRPr="005269E5">
        <w:t xml:space="preserve">, </w:t>
      </w:r>
      <w:r>
        <w:t xml:space="preserve">los solicitantes de </w:t>
      </w:r>
      <w:r w:rsidRPr="005269E5">
        <w:t>as</w:t>
      </w:r>
      <w:r>
        <w:t>i</w:t>
      </w:r>
      <w:r w:rsidRPr="005269E5">
        <w:t>l</w:t>
      </w:r>
      <w:r>
        <w:t>o no están autorizados a desempeñar un empleo remunerado hasta que no se tome una decisión definitiva sobre su solicitud</w:t>
      </w:r>
      <w:r w:rsidRPr="005269E5">
        <w:t xml:space="preserve">. </w:t>
      </w:r>
      <w:r w:rsidRPr="00E70741">
        <w:t>El motivo es que, seg</w:t>
      </w:r>
      <w:r>
        <w:t>ú</w:t>
      </w:r>
      <w:r w:rsidRPr="00E70741">
        <w:t>n la Ley de</w:t>
      </w:r>
      <w:r>
        <w:t xml:space="preserve">l </w:t>
      </w:r>
      <w:r w:rsidRPr="00E70741">
        <w:t>refugiado de 1996 (</w:t>
      </w:r>
      <w:r>
        <w:t>enmend</w:t>
      </w:r>
      <w:r w:rsidRPr="00E70741">
        <w:t>ada), los solicitantes de asilo s</w:t>
      </w:r>
      <w:r>
        <w:t>ó</w:t>
      </w:r>
      <w:r w:rsidRPr="00E70741">
        <w:t xml:space="preserve">lo cuentan con un permiso temporal para residir en el Estado </w:t>
      </w:r>
      <w:r>
        <w:t>hasta que se resuelva su</w:t>
      </w:r>
      <w:r w:rsidRPr="00E70741">
        <w:t xml:space="preserve"> </w:t>
      </w:r>
      <w:r>
        <w:t>solicitud.</w:t>
      </w:r>
      <w:r w:rsidRPr="00E70741">
        <w:t xml:space="preserve"> </w:t>
      </w:r>
      <w:r>
        <w:t>A l</w:t>
      </w:r>
      <w:r w:rsidRPr="00E70741">
        <w:t xml:space="preserve">os candidatos admitidos, es decir aquellos que consiguen obtener el estatuto de refugiado, les asisten fundamentalmente los mismos derechos que a los ciudadanos </w:t>
      </w:r>
      <w:r>
        <w:t>i</w:t>
      </w:r>
      <w:r w:rsidRPr="00E70741">
        <w:t>r</w:t>
      </w:r>
      <w:r>
        <w:t xml:space="preserve">landeses en todos los aspectos, </w:t>
      </w:r>
      <w:r w:rsidRPr="00E70741">
        <w:t>i</w:t>
      </w:r>
      <w:r>
        <w:t>ncluido el derecho a buscar un empleo</w:t>
      </w:r>
      <w:r w:rsidRPr="00E70741">
        <w:t>.</w:t>
      </w:r>
    </w:p>
    <w:p w:rsidR="000100D5" w:rsidRPr="00E70741" w:rsidRDefault="000100D5" w:rsidP="000100D5">
      <w:pPr>
        <w:pStyle w:val="H23G"/>
      </w:pPr>
      <w:r w:rsidRPr="00E70741">
        <w:tab/>
      </w:r>
      <w:r w:rsidRPr="00E70741">
        <w:tab/>
        <w:t xml:space="preserve">Respuesta a la recomendación contenida en el párrafo 15 del informe del </w:t>
      </w:r>
      <w:r>
        <w:t>Coordinad</w:t>
      </w:r>
      <w:r w:rsidRPr="00E70741">
        <w:t xml:space="preserve">or </w:t>
      </w:r>
      <w:r w:rsidR="00F80E33">
        <w:t>encargado</w:t>
      </w:r>
      <w:r>
        <w:t xml:space="preserve"> </w:t>
      </w:r>
      <w:r w:rsidR="00F80E33">
        <w:t>d</w:t>
      </w:r>
      <w:r>
        <w:t>el seguimie</w:t>
      </w:r>
      <w:r w:rsidRPr="00E70741">
        <w:t>n</w:t>
      </w:r>
      <w:r>
        <w:t>to</w:t>
      </w:r>
    </w:p>
    <w:p w:rsidR="000100D5" w:rsidRPr="00E668F0" w:rsidRDefault="000100D5" w:rsidP="000100D5">
      <w:pPr>
        <w:pStyle w:val="SingleTxtG"/>
      </w:pPr>
      <w:r w:rsidRPr="005269E5">
        <w:t>89.</w:t>
      </w:r>
      <w:r w:rsidRPr="005269E5">
        <w:tab/>
      </w:r>
      <w:r>
        <w:t>En la Estrategia</w:t>
      </w:r>
      <w:r w:rsidRPr="005269E5">
        <w:t xml:space="preserve"> Na</w:t>
      </w:r>
      <w:r>
        <w:t>c</w:t>
      </w:r>
      <w:r w:rsidRPr="005269E5">
        <w:t xml:space="preserve">ional </w:t>
      </w:r>
      <w:r>
        <w:t>de la Mujer</w:t>
      </w:r>
      <w:r w:rsidRPr="005269E5">
        <w:t xml:space="preserve"> 2007</w:t>
      </w:r>
      <w:r w:rsidR="00067DCF">
        <w:t>-</w:t>
      </w:r>
      <w:r w:rsidRPr="005269E5">
        <w:t>2016</w:t>
      </w:r>
      <w:r w:rsidRPr="005269E5">
        <w:rPr>
          <w:rStyle w:val="FootnoteReference"/>
        </w:rPr>
        <w:footnoteReference w:id="34"/>
      </w:r>
      <w:r w:rsidRPr="005269E5">
        <w:t xml:space="preserve"> </w:t>
      </w:r>
      <w:r>
        <w:t>se r</w:t>
      </w:r>
      <w:r w:rsidRPr="005269E5">
        <w:t>econ</w:t>
      </w:r>
      <w:r>
        <w:t>oce</w:t>
      </w:r>
      <w:r w:rsidRPr="005269E5">
        <w:t xml:space="preserve"> </w:t>
      </w:r>
      <w:r>
        <w:t>que</w:t>
      </w:r>
      <w:r w:rsidRPr="005269E5">
        <w:t xml:space="preserve"> </w:t>
      </w:r>
      <w:r>
        <w:t xml:space="preserve">en </w:t>
      </w:r>
      <w:r w:rsidRPr="005269E5">
        <w:t>Irland</w:t>
      </w:r>
      <w:r>
        <w:t>a existen unos grupos a los que cabría describir como grupos de necesidades e</w:t>
      </w:r>
      <w:r w:rsidRPr="005269E5">
        <w:t>special</w:t>
      </w:r>
      <w:r>
        <w:t>es o que son víctimas de mú</w:t>
      </w:r>
      <w:r w:rsidRPr="005269E5">
        <w:t>ltiple</w:t>
      </w:r>
      <w:r>
        <w:t>s</w:t>
      </w:r>
      <w:r w:rsidRPr="005269E5">
        <w:t xml:space="preserve"> discrimina</w:t>
      </w:r>
      <w:r>
        <w:t>c</w:t>
      </w:r>
      <w:r w:rsidRPr="005269E5">
        <w:t>ion</w:t>
      </w:r>
      <w:r>
        <w:t>e</w:t>
      </w:r>
      <w:r w:rsidRPr="005269E5">
        <w:t xml:space="preserve">s, </w:t>
      </w:r>
      <w:r>
        <w:t>a causa</w:t>
      </w:r>
      <w:r w:rsidRPr="005269E5">
        <w:t xml:space="preserve">, </w:t>
      </w:r>
      <w:r>
        <w:t>p</w:t>
      </w:r>
      <w:r w:rsidRPr="005269E5">
        <w:t>or e</w:t>
      </w:r>
      <w:r>
        <w:t>jemplo,</w:t>
      </w:r>
      <w:r w:rsidRPr="005269E5">
        <w:t xml:space="preserve"> </w:t>
      </w:r>
      <w:r>
        <w:t>de su</w:t>
      </w:r>
      <w:r w:rsidRPr="005269E5">
        <w:t xml:space="preserve"> cultur</w:t>
      </w:r>
      <w:r>
        <w:t>a</w:t>
      </w:r>
      <w:r w:rsidRPr="005269E5">
        <w:t>,</w:t>
      </w:r>
      <w:r w:rsidR="005007D6">
        <w:t xml:space="preserve"> </w:t>
      </w:r>
      <w:r w:rsidRPr="005269E5">
        <w:t>orienta</w:t>
      </w:r>
      <w:r>
        <w:t>c</w:t>
      </w:r>
      <w:r w:rsidRPr="005269E5">
        <w:t>i</w:t>
      </w:r>
      <w:r>
        <w:t>ó</w:t>
      </w:r>
      <w:r w:rsidRPr="005269E5">
        <w:t>n</w:t>
      </w:r>
      <w:r>
        <w:t xml:space="preserve"> sexual</w:t>
      </w:r>
      <w:r w:rsidRPr="005269E5">
        <w:t xml:space="preserve">, </w:t>
      </w:r>
      <w:r>
        <w:t xml:space="preserve">localización </w:t>
      </w:r>
      <w:r w:rsidRPr="005269E5">
        <w:t>geogr</w:t>
      </w:r>
      <w:r>
        <w:t>áf</w:t>
      </w:r>
      <w:r w:rsidRPr="005269E5">
        <w:t>ic</w:t>
      </w:r>
      <w:r>
        <w:t>a</w:t>
      </w:r>
      <w:r w:rsidRPr="005269E5">
        <w:t>, etni</w:t>
      </w:r>
      <w:r>
        <w:t>a</w:t>
      </w:r>
      <w:r w:rsidRPr="005269E5">
        <w:t>, o dis</w:t>
      </w:r>
      <w:r>
        <w:t>c</w:t>
      </w:r>
      <w:r w:rsidRPr="005269E5">
        <w:t>a</w:t>
      </w:r>
      <w:r>
        <w:t>pacidad</w:t>
      </w:r>
      <w:r w:rsidRPr="005269E5">
        <w:t xml:space="preserve">. </w:t>
      </w:r>
      <w:r w:rsidRPr="00E668F0">
        <w:t>Se señala que algunos de esos grupos han sido ya objeto de determinadas iniciativas gubernamentales en materia de políticas y se</w:t>
      </w:r>
      <w:r w:rsidR="005007D6">
        <w:t xml:space="preserve"> </w:t>
      </w:r>
      <w:r w:rsidRPr="00E668F0">
        <w:t>recomienda que, en el control de los progresos realizados en la aplicaci</w:t>
      </w:r>
      <w:r>
        <w:t>ón de la Estrategia</w:t>
      </w:r>
      <w:r w:rsidR="005007D6">
        <w:t xml:space="preserve"> </w:t>
      </w:r>
      <w:r w:rsidRPr="00E668F0">
        <w:t>Na</w:t>
      </w:r>
      <w:r>
        <w:t>c</w:t>
      </w:r>
      <w:r w:rsidRPr="00E668F0">
        <w:t xml:space="preserve">ional </w:t>
      </w:r>
      <w:r>
        <w:t>de la Mujer</w:t>
      </w:r>
      <w:r w:rsidRPr="00E668F0">
        <w:t xml:space="preserve">, </w:t>
      </w:r>
      <w:r>
        <w:t>de carácter</w:t>
      </w:r>
      <w:r w:rsidRPr="00E668F0">
        <w:t xml:space="preserve"> tr</w:t>
      </w:r>
      <w:r>
        <w:t>i</w:t>
      </w:r>
      <w:r w:rsidRPr="00E668F0">
        <w:t>e</w:t>
      </w:r>
      <w:r>
        <w:t>nal</w:t>
      </w:r>
      <w:r w:rsidRPr="00E668F0">
        <w:t>, s</w:t>
      </w:r>
      <w:r>
        <w:t>e tengan especialmente presentes</w:t>
      </w:r>
      <w:r w:rsidRPr="00E668F0">
        <w:t xml:space="preserve"> </w:t>
      </w:r>
      <w:r>
        <w:t>las</w:t>
      </w:r>
      <w:r w:rsidRPr="00E668F0">
        <w:t xml:space="preserve"> ne</w:t>
      </w:r>
      <w:r>
        <w:t>c</w:t>
      </w:r>
      <w:r w:rsidRPr="00E668F0">
        <w:t>e</w:t>
      </w:r>
      <w:r>
        <w:t>si</w:t>
      </w:r>
      <w:r w:rsidRPr="00E668F0">
        <w:t>d</w:t>
      </w:r>
      <w:r>
        <w:t>ade</w:t>
      </w:r>
      <w:r w:rsidRPr="00E668F0">
        <w:t>s</w:t>
      </w:r>
      <w:r>
        <w:t xml:space="preserve"> de esas mujeres</w:t>
      </w:r>
      <w:r w:rsidRPr="00E668F0">
        <w:t>.</w:t>
      </w:r>
    </w:p>
    <w:p w:rsidR="000100D5" w:rsidRPr="00FA1FC0" w:rsidRDefault="000100D5" w:rsidP="000100D5">
      <w:pPr>
        <w:pStyle w:val="SingleTxtG"/>
      </w:pPr>
      <w:r w:rsidRPr="005269E5">
        <w:t>90.</w:t>
      </w:r>
      <w:r w:rsidRPr="005269E5">
        <w:tab/>
      </w:r>
      <w:r>
        <w:t>Pasando a las m</w:t>
      </w:r>
      <w:r w:rsidRPr="005269E5">
        <w:t>igrant</w:t>
      </w:r>
      <w:r>
        <w:t>es, en la</w:t>
      </w:r>
      <w:r w:rsidRPr="005269E5">
        <w:t xml:space="preserve"> </w:t>
      </w:r>
      <w:r>
        <w:t>Es</w:t>
      </w:r>
      <w:r w:rsidRPr="005269E5">
        <w:t>trateg</w:t>
      </w:r>
      <w:r>
        <w:t>ia se</w:t>
      </w:r>
      <w:r w:rsidRPr="005269E5">
        <w:t xml:space="preserve"> i</w:t>
      </w:r>
      <w:r>
        <w:t>ndica que es imprescindible que los servicios sociales/de atención</w:t>
      </w:r>
      <w:r w:rsidRPr="005269E5">
        <w:t xml:space="preserve"> </w:t>
      </w:r>
      <w:r>
        <w:t>de</w:t>
      </w:r>
      <w:r w:rsidRPr="005269E5">
        <w:t xml:space="preserve"> Irland</w:t>
      </w:r>
      <w:r>
        <w:t>a</w:t>
      </w:r>
      <w:r w:rsidRPr="005269E5">
        <w:t xml:space="preserve"> contin</w:t>
      </w:r>
      <w:r>
        <w:t>ú</w:t>
      </w:r>
      <w:r w:rsidRPr="005269E5">
        <w:t>e</w:t>
      </w:r>
      <w:r>
        <w:t>n</w:t>
      </w:r>
      <w:r w:rsidRPr="005269E5">
        <w:t xml:space="preserve"> adapt</w:t>
      </w:r>
      <w:r>
        <w:t>ando sus</w:t>
      </w:r>
      <w:r w:rsidRPr="005269E5">
        <w:t xml:space="preserve"> </w:t>
      </w:r>
      <w:r>
        <w:t>folletos de</w:t>
      </w:r>
      <w:r w:rsidRPr="005269E5">
        <w:t xml:space="preserve"> informa</w:t>
      </w:r>
      <w:r>
        <w:t>c</w:t>
      </w:r>
      <w:r w:rsidRPr="005269E5">
        <w:t>i</w:t>
      </w:r>
      <w:r>
        <w:t>ó</w:t>
      </w:r>
      <w:r w:rsidRPr="005269E5">
        <w:t xml:space="preserve">n </w:t>
      </w:r>
      <w:r>
        <w:t>y otros instrumentos de apoyo a la nueva comunidad</w:t>
      </w:r>
      <w:r w:rsidRPr="005269E5">
        <w:t xml:space="preserve"> </w:t>
      </w:r>
      <w:r w:rsidR="005C4174">
        <w:t>multilingüística</w:t>
      </w:r>
      <w:r>
        <w:t xml:space="preserve"> irlandesa</w:t>
      </w:r>
      <w:r w:rsidRPr="005269E5">
        <w:t xml:space="preserve">. </w:t>
      </w:r>
      <w:r w:rsidR="00AF55B9">
        <w:t>El </w:t>
      </w:r>
      <w:r w:rsidRPr="00FA1FC0">
        <w:t>aislamiento puede ser un problema para las esposas dependientes</w:t>
      </w:r>
      <w:r>
        <w:t xml:space="preserve"> y que no han ingresado en el m</w:t>
      </w:r>
      <w:r w:rsidRPr="00FA1FC0">
        <w:t xml:space="preserve">ercado de trabajo. Se afirma también que debe alentarse </w:t>
      </w:r>
      <w:r>
        <w:t xml:space="preserve">a </w:t>
      </w:r>
      <w:r w:rsidRPr="00FA1FC0">
        <w:t>l</w:t>
      </w:r>
      <w:r>
        <w:t>os</w:t>
      </w:r>
      <w:r w:rsidRPr="00FA1FC0">
        <w:t xml:space="preserve"> grupos comunitarios a seguir prestando una asistencia específica a las migrant</w:t>
      </w:r>
      <w:r>
        <w:t>es, con miras a facilitarles la adquisición de las aptitudes</w:t>
      </w:r>
      <w:r w:rsidRPr="00FA1FC0">
        <w:t xml:space="preserve"> necesar</w:t>
      </w:r>
      <w:r>
        <w:t>ias, incluido el conocimiento de la lengua, a fin de</w:t>
      </w:r>
      <w:r w:rsidRPr="00FA1FC0">
        <w:t xml:space="preserve"> </w:t>
      </w:r>
      <w:r>
        <w:t>que puedan</w:t>
      </w:r>
      <w:r w:rsidRPr="00FA1FC0">
        <w:t xml:space="preserve"> integra</w:t>
      </w:r>
      <w:r>
        <w:t>rse</w:t>
      </w:r>
      <w:r w:rsidRPr="00FA1FC0">
        <w:t xml:space="preserve"> </w:t>
      </w:r>
      <w:r>
        <w:t xml:space="preserve">adecuadamente en su nueva </w:t>
      </w:r>
      <w:r w:rsidRPr="00FA1FC0">
        <w:t>comuni</w:t>
      </w:r>
      <w:r>
        <w:t>dad</w:t>
      </w:r>
      <w:r w:rsidRPr="00FA1FC0">
        <w:t>.</w:t>
      </w:r>
    </w:p>
    <w:p w:rsidR="000100D5" w:rsidRPr="001D5E99" w:rsidRDefault="000100D5" w:rsidP="000100D5">
      <w:pPr>
        <w:pStyle w:val="SingleTxtG"/>
      </w:pPr>
      <w:r w:rsidRPr="005269E5">
        <w:t>91.</w:t>
      </w:r>
      <w:r w:rsidRPr="005269E5">
        <w:tab/>
      </w:r>
      <w:r>
        <w:t>En cuanto a las nómadas,</w:t>
      </w:r>
      <w:r w:rsidRPr="005269E5">
        <w:t xml:space="preserve"> </w:t>
      </w:r>
      <w:r>
        <w:t>en la</w:t>
      </w:r>
      <w:r w:rsidRPr="005269E5">
        <w:t xml:space="preserve"> </w:t>
      </w:r>
      <w:r>
        <w:t>Es</w:t>
      </w:r>
      <w:r w:rsidRPr="005269E5">
        <w:t>trateg</w:t>
      </w:r>
      <w:r>
        <w:t>ia</w:t>
      </w:r>
      <w:r w:rsidRPr="005269E5">
        <w:t xml:space="preserve"> </w:t>
      </w:r>
      <w:r>
        <w:t>se hace</w:t>
      </w:r>
      <w:r w:rsidRPr="005269E5">
        <w:t xml:space="preserve"> referenc</w:t>
      </w:r>
      <w:r>
        <w:t>ia</w:t>
      </w:r>
      <w:r w:rsidRPr="005269E5">
        <w:t xml:space="preserve"> </w:t>
      </w:r>
      <w:r>
        <w:t>a las recomendaciones concretas del informe del</w:t>
      </w:r>
      <w:r w:rsidRPr="005269E5">
        <w:t xml:space="preserve"> </w:t>
      </w:r>
      <w:r>
        <w:t>Grupo de Tareas sobre los Nómadas</w:t>
      </w:r>
      <w:r w:rsidRPr="005269E5">
        <w:t xml:space="preserve"> (</w:t>
      </w:r>
      <w:r>
        <w:t>informe del Grupo de Tareas sobre la Comunidad Nómada,</w:t>
      </w:r>
      <w:r w:rsidRPr="005269E5">
        <w:t xml:space="preserve"> 1995</w:t>
      </w:r>
      <w:r>
        <w:t>,</w:t>
      </w:r>
      <w:r w:rsidRPr="005269E5">
        <w:t xml:space="preserve"> </w:t>
      </w:r>
      <w:r>
        <w:t>publicado por el</w:t>
      </w:r>
      <w:r w:rsidRPr="005269E5">
        <w:t xml:space="preserve"> Depart</w:t>
      </w:r>
      <w:r>
        <w:t>a</w:t>
      </w:r>
      <w:r w:rsidRPr="005269E5">
        <w:t>ment</w:t>
      </w:r>
      <w:r>
        <w:t>o</w:t>
      </w:r>
      <w:r w:rsidRPr="005269E5">
        <w:t xml:space="preserve"> </w:t>
      </w:r>
      <w:r>
        <w:t>de</w:t>
      </w:r>
      <w:r w:rsidRPr="005269E5">
        <w:t xml:space="preserve"> Justic</w:t>
      </w:r>
      <w:r>
        <w:t>ia</w:t>
      </w:r>
      <w:r w:rsidRPr="005269E5">
        <w:t xml:space="preserve">, </w:t>
      </w:r>
      <w:r>
        <w:t>Igualdad y</w:t>
      </w:r>
      <w:r w:rsidRPr="005269E5">
        <w:t xml:space="preserve"> Reform</w:t>
      </w:r>
      <w:r>
        <w:t>a Jurídica</w:t>
      </w:r>
      <w:r w:rsidRPr="005269E5">
        <w:t xml:space="preserve">). </w:t>
      </w:r>
      <w:r w:rsidRPr="001D5E99">
        <w:t>La Estrategia señala que la discriminación continúa siendo un grave problema para los miembros de la comunidad nómada y sugiere que se necesitar</w:t>
      </w:r>
      <w:r>
        <w:t>án esfuerzos</w:t>
      </w:r>
      <w:r w:rsidRPr="001D5E99">
        <w:t xml:space="preserve"> concert</w:t>
      </w:r>
      <w:r>
        <w:t>a</w:t>
      </w:r>
      <w:r w:rsidRPr="001D5E99">
        <w:t>d</w:t>
      </w:r>
      <w:r>
        <w:t>os para resolverlo y superar los obstáculos</w:t>
      </w:r>
      <w:r w:rsidRPr="001D5E99">
        <w:t xml:space="preserve"> exist</w:t>
      </w:r>
      <w:r>
        <w:t>entes</w:t>
      </w:r>
      <w:r w:rsidRPr="001D5E99">
        <w:t>.</w:t>
      </w:r>
    </w:p>
    <w:p w:rsidR="000100D5" w:rsidRPr="001D5E99" w:rsidRDefault="000100D5" w:rsidP="000100D5">
      <w:pPr>
        <w:pStyle w:val="H23G"/>
      </w:pPr>
      <w:r w:rsidRPr="001D5E99">
        <w:tab/>
      </w:r>
      <w:r w:rsidRPr="001D5E99">
        <w:tab/>
        <w:t xml:space="preserve">Respuesta a las recomendaciones contenidas en el párrafo 16 del informe del Coordinador </w:t>
      </w:r>
      <w:r w:rsidR="00F80E33">
        <w:t>encargado</w:t>
      </w:r>
      <w:r w:rsidRPr="001D5E99">
        <w:t xml:space="preserve"> </w:t>
      </w:r>
      <w:r w:rsidR="00F80E33">
        <w:t>d</w:t>
      </w:r>
      <w:r w:rsidRPr="001D5E99">
        <w:t>el</w:t>
      </w:r>
      <w:r>
        <w:t xml:space="preserve"> seguimiento</w:t>
      </w:r>
    </w:p>
    <w:p w:rsidR="000100D5" w:rsidRPr="005269E5" w:rsidRDefault="000100D5" w:rsidP="000100D5">
      <w:pPr>
        <w:pStyle w:val="SingleTxtG"/>
      </w:pPr>
      <w:r w:rsidRPr="005269E5">
        <w:t>92.</w:t>
      </w:r>
      <w:r w:rsidRPr="005269E5">
        <w:tab/>
      </w:r>
      <w:r>
        <w:t>Sírvanse consultar los</w:t>
      </w:r>
      <w:r w:rsidRPr="005269E5">
        <w:t xml:space="preserve"> p</w:t>
      </w:r>
      <w:r>
        <w:t>ár</w:t>
      </w:r>
      <w:r w:rsidRPr="005269E5">
        <w:t>ra</w:t>
      </w:r>
      <w:r>
        <w:t>fos</w:t>
      </w:r>
      <w:r w:rsidRPr="005269E5">
        <w:t xml:space="preserve"> 8</w:t>
      </w:r>
      <w:r>
        <w:t xml:space="preserve"> a </w:t>
      </w:r>
      <w:r w:rsidRPr="005269E5">
        <w:t xml:space="preserve">11 </w:t>
      </w:r>
      <w:r>
        <w:t>y el</w:t>
      </w:r>
      <w:r w:rsidRPr="005269E5">
        <w:t xml:space="preserve"> Ap</w:t>
      </w:r>
      <w:r>
        <w:t>é</w:t>
      </w:r>
      <w:r w:rsidRPr="005269E5">
        <w:t>ndi</w:t>
      </w:r>
      <w:r>
        <w:t>ce</w:t>
      </w:r>
      <w:r w:rsidRPr="005269E5">
        <w:t xml:space="preserve"> I </w:t>
      </w:r>
      <w:r>
        <w:t>de la</w:t>
      </w:r>
      <w:r w:rsidRPr="005269E5">
        <w:t xml:space="preserve"> </w:t>
      </w:r>
      <w:r>
        <w:t>n</w:t>
      </w:r>
      <w:r w:rsidRPr="005269E5">
        <w:t>ot</w:t>
      </w:r>
      <w:r>
        <w:t>a sobre el</w:t>
      </w:r>
      <w:r w:rsidRPr="005269E5">
        <w:t xml:space="preserve"> </w:t>
      </w:r>
      <w:r>
        <w:t>t</w:t>
      </w:r>
      <w:r w:rsidRPr="005269E5">
        <w:t>ext</w:t>
      </w:r>
      <w:r>
        <w:t>o</w:t>
      </w:r>
      <w:r w:rsidRPr="005269E5">
        <w:t xml:space="preserve"> </w:t>
      </w:r>
      <w:r>
        <w:t>e</w:t>
      </w:r>
      <w:r w:rsidRPr="005269E5">
        <w:t>n</w:t>
      </w:r>
      <w:r>
        <w:t xml:space="preserve"> los</w:t>
      </w:r>
      <w:r w:rsidRPr="005269E5">
        <w:t xml:space="preserve"> p</w:t>
      </w:r>
      <w:r>
        <w:t>ár</w:t>
      </w:r>
      <w:r w:rsidRPr="005269E5">
        <w:t>ra</w:t>
      </w:r>
      <w:r>
        <w:t>fos</w:t>
      </w:r>
      <w:r w:rsidRPr="005269E5">
        <w:t xml:space="preserve"> 7</w:t>
      </w:r>
      <w:r>
        <w:t xml:space="preserve"> a </w:t>
      </w:r>
      <w:r w:rsidRPr="005269E5">
        <w:t xml:space="preserve">14 </w:t>
      </w:r>
      <w:r>
        <w:t>del presente informe</w:t>
      </w:r>
      <w:r w:rsidRPr="005269E5">
        <w:t xml:space="preserve">. </w:t>
      </w:r>
    </w:p>
    <w:p w:rsidR="000100D5" w:rsidRPr="00C72F56" w:rsidRDefault="000100D5" w:rsidP="000100D5">
      <w:pPr>
        <w:pStyle w:val="H23G"/>
      </w:pPr>
      <w:r w:rsidRPr="005269E5">
        <w:tab/>
      </w:r>
      <w:r w:rsidRPr="005269E5">
        <w:tab/>
      </w:r>
      <w:r w:rsidRPr="00C72F56">
        <w:t xml:space="preserve">Respuesta a la recomendación contenida en el párrafo 17 del informe del Coordinador </w:t>
      </w:r>
      <w:r w:rsidR="00F80E33">
        <w:t>encargado</w:t>
      </w:r>
      <w:r w:rsidRPr="00C72F56">
        <w:t xml:space="preserve"> </w:t>
      </w:r>
      <w:r w:rsidR="00F80E33">
        <w:t>d</w:t>
      </w:r>
      <w:r w:rsidRPr="00C72F56">
        <w:t xml:space="preserve">el </w:t>
      </w:r>
      <w:r>
        <w:t>seguimiento</w:t>
      </w:r>
    </w:p>
    <w:p w:rsidR="000100D5" w:rsidRPr="005269E5" w:rsidRDefault="000100D5" w:rsidP="000100D5">
      <w:pPr>
        <w:pStyle w:val="H23G"/>
      </w:pPr>
      <w:r w:rsidRPr="00C72F56">
        <w:tab/>
      </w:r>
      <w:r w:rsidRPr="005269E5">
        <w:t>1.</w:t>
      </w:r>
      <w:r w:rsidRPr="005269E5">
        <w:tab/>
      </w:r>
      <w:r>
        <w:t>Formación</w:t>
      </w:r>
    </w:p>
    <w:p w:rsidR="000100D5" w:rsidRPr="00ED607A" w:rsidRDefault="000100D5" w:rsidP="000100D5">
      <w:pPr>
        <w:pStyle w:val="SingleTxtG"/>
      </w:pPr>
      <w:r w:rsidRPr="005269E5">
        <w:t>93.</w:t>
      </w:r>
      <w:r w:rsidRPr="005269E5">
        <w:tab/>
      </w:r>
      <w:r>
        <w:t>La salvaguardia de los derechos h</w:t>
      </w:r>
      <w:r w:rsidRPr="005269E5">
        <w:t>uman</w:t>
      </w:r>
      <w:r>
        <w:t>os ocupa un lugar destacado en la Estrategia</w:t>
      </w:r>
      <w:r w:rsidRPr="005269E5">
        <w:t xml:space="preserve"> </w:t>
      </w:r>
      <w:r>
        <w:t>Corporativa de la</w:t>
      </w:r>
      <w:r w:rsidRPr="005269E5">
        <w:t xml:space="preserve"> Garda Síochána </w:t>
      </w:r>
      <w:r w:rsidR="00E03EF2">
        <w:t>"</w:t>
      </w:r>
      <w:r w:rsidRPr="005269E5">
        <w:t>A Time for Change (2007–2009)</w:t>
      </w:r>
      <w:r w:rsidR="00E03EF2">
        <w:t>"</w:t>
      </w:r>
      <w:r>
        <w:t xml:space="preserve"> (La hora del cambio)</w:t>
      </w:r>
      <w:r w:rsidRPr="005269E5">
        <w:rPr>
          <w:rStyle w:val="FootnoteReference"/>
        </w:rPr>
        <w:footnoteReference w:id="35"/>
      </w:r>
      <w:r w:rsidR="001F5C61">
        <w:t>.</w:t>
      </w:r>
      <w:r w:rsidRPr="005269E5">
        <w:t xml:space="preserve"> </w:t>
      </w:r>
      <w:r w:rsidRPr="00C72F56">
        <w:t xml:space="preserve">Ese documento insta a </w:t>
      </w:r>
      <w:r>
        <w:t>los</w:t>
      </w:r>
      <w:r w:rsidRPr="00C72F56">
        <w:t xml:space="preserve"> Gardaí (</w:t>
      </w:r>
      <w:r>
        <w:t xml:space="preserve">agentes de </w:t>
      </w:r>
      <w:r w:rsidRPr="00C72F56">
        <w:t>policía) a comprometerse con una cultura del servicio público basada en la honradez, la integri</w:t>
      </w:r>
      <w:r>
        <w:t>dad</w:t>
      </w:r>
      <w:r w:rsidRPr="00C72F56">
        <w:t xml:space="preserve">, </w:t>
      </w:r>
      <w:r>
        <w:t xml:space="preserve">el </w:t>
      </w:r>
      <w:r w:rsidRPr="00C72F56">
        <w:t>respet</w:t>
      </w:r>
      <w:r>
        <w:t>o</w:t>
      </w:r>
      <w:r w:rsidRPr="00C72F56">
        <w:t xml:space="preserve">, </w:t>
      </w:r>
      <w:r>
        <w:t xml:space="preserve">la </w:t>
      </w:r>
      <w:r w:rsidRPr="00C72F56">
        <w:t>profesionali</w:t>
      </w:r>
      <w:r>
        <w:t>dad</w:t>
      </w:r>
      <w:r w:rsidRPr="00C72F56">
        <w:t xml:space="preserve"> </w:t>
      </w:r>
      <w:r>
        <w:t>y la</w:t>
      </w:r>
      <w:r w:rsidRPr="00C72F56">
        <w:t xml:space="preserve"> </w:t>
      </w:r>
      <w:r>
        <w:t>rendición de c</w:t>
      </w:r>
      <w:r w:rsidRPr="00C72F56">
        <w:t>u</w:t>
      </w:r>
      <w:r>
        <w:t>e</w:t>
      </w:r>
      <w:r w:rsidRPr="00C72F56">
        <w:t>nta</w:t>
      </w:r>
      <w:r>
        <w:t>s</w:t>
      </w:r>
      <w:r w:rsidRPr="00C72F56">
        <w:t xml:space="preserve">. </w:t>
      </w:r>
      <w:r w:rsidRPr="00ED607A">
        <w:t xml:space="preserve">Insta asimismo a cumplir las exigencias éticas más rigurosas de los derechos </w:t>
      </w:r>
      <w:r>
        <w:t xml:space="preserve">humanos </w:t>
      </w:r>
      <w:r w:rsidRPr="00ED607A">
        <w:t>y del servic</w:t>
      </w:r>
      <w:r>
        <w:t>io</w:t>
      </w:r>
      <w:r w:rsidRPr="00ED607A">
        <w:t>.</w:t>
      </w:r>
    </w:p>
    <w:p w:rsidR="000100D5" w:rsidRPr="00562B94" w:rsidRDefault="000100D5" w:rsidP="000100D5">
      <w:pPr>
        <w:pStyle w:val="SingleTxtG"/>
      </w:pPr>
      <w:r w:rsidRPr="005269E5">
        <w:t>94.</w:t>
      </w:r>
      <w:r w:rsidRPr="005269E5">
        <w:tab/>
      </w:r>
      <w:r>
        <w:t>Hay cuestiones como las relativas a los derechos</w:t>
      </w:r>
      <w:r w:rsidRPr="005269E5">
        <w:t xml:space="preserve"> human</w:t>
      </w:r>
      <w:r>
        <w:t>os</w:t>
      </w:r>
      <w:r w:rsidRPr="005269E5">
        <w:t xml:space="preserve"> </w:t>
      </w:r>
      <w:r>
        <w:t xml:space="preserve">y los aspectos </w:t>
      </w:r>
      <w:r w:rsidRPr="005269E5">
        <w:t>constitu</w:t>
      </w:r>
      <w:r>
        <w:t>c</w:t>
      </w:r>
      <w:r w:rsidRPr="005269E5">
        <w:t>ional</w:t>
      </w:r>
      <w:r>
        <w:t>es, que forman parte integrante de los</w:t>
      </w:r>
      <w:r w:rsidRPr="005269E5">
        <w:t xml:space="preserve"> princip</w:t>
      </w:r>
      <w:r>
        <w:t>io</w:t>
      </w:r>
      <w:r w:rsidRPr="005269E5">
        <w:t xml:space="preserve">s </w:t>
      </w:r>
      <w:r>
        <w:t>rectores del cuerpo de policía</w:t>
      </w:r>
      <w:r w:rsidRPr="005269E5">
        <w:t xml:space="preserve">. </w:t>
      </w:r>
      <w:r w:rsidRPr="00562B94">
        <w:t>Se imparte una formación en materia de derechos humanos en el contexto de la función y el papel de la Garda Síochána (</w:t>
      </w:r>
      <w:r>
        <w:t>cuerpo de p</w:t>
      </w:r>
      <w:r w:rsidRPr="00562B94">
        <w:t>olic</w:t>
      </w:r>
      <w:r>
        <w:t>ía</w:t>
      </w:r>
      <w:r w:rsidRPr="00562B94">
        <w:t xml:space="preserve">) </w:t>
      </w:r>
      <w:r>
        <w:t>y se hace hincapié en las normas indispensables en todas las actuaciones de la</w:t>
      </w:r>
      <w:r w:rsidRPr="00562B94">
        <w:t xml:space="preserve"> Garda (</w:t>
      </w:r>
      <w:r>
        <w:t>p</w:t>
      </w:r>
      <w:r w:rsidRPr="00562B94">
        <w:t>olic</w:t>
      </w:r>
      <w:r>
        <w:t>ía</w:t>
      </w:r>
      <w:r w:rsidRPr="00562B94">
        <w:t>).</w:t>
      </w:r>
    </w:p>
    <w:p w:rsidR="000100D5" w:rsidRPr="00B808E6" w:rsidRDefault="000100D5" w:rsidP="000100D5">
      <w:pPr>
        <w:pStyle w:val="SingleTxtG"/>
      </w:pPr>
      <w:r w:rsidRPr="005269E5">
        <w:t>95.</w:t>
      </w:r>
      <w:r w:rsidRPr="005269E5">
        <w:tab/>
      </w:r>
      <w:r>
        <w:t>La</w:t>
      </w:r>
      <w:r w:rsidRPr="005269E5">
        <w:t xml:space="preserve"> Garda Síochána (</w:t>
      </w:r>
      <w:r>
        <w:t>cuerpo de p</w:t>
      </w:r>
      <w:r w:rsidRPr="005269E5">
        <w:t>olic</w:t>
      </w:r>
      <w:r>
        <w:t>ía</w:t>
      </w:r>
      <w:r w:rsidRPr="005269E5">
        <w:t xml:space="preserve">) </w:t>
      </w:r>
      <w:r>
        <w:t>cuenta con un sistema global de</w:t>
      </w:r>
      <w:r w:rsidRPr="005269E5">
        <w:t xml:space="preserve"> e</w:t>
      </w:r>
      <w:r>
        <w:t>nseñanza</w:t>
      </w:r>
      <w:r w:rsidRPr="005269E5">
        <w:t xml:space="preserve">, </w:t>
      </w:r>
      <w:r>
        <w:t>capacitación e</w:t>
      </w:r>
      <w:r w:rsidRPr="005269E5">
        <w:t xml:space="preserve"> informa</w:t>
      </w:r>
      <w:r>
        <w:t>ción para el desarrollo</w:t>
      </w:r>
      <w:r w:rsidRPr="005269E5">
        <w:t xml:space="preserve"> profesional </w:t>
      </w:r>
      <w:r>
        <w:t>de todos sus miembros</w:t>
      </w:r>
      <w:r w:rsidRPr="005269E5">
        <w:t xml:space="preserve">. </w:t>
      </w:r>
      <w:r w:rsidR="00AF55B9">
        <w:t>Ese </w:t>
      </w:r>
      <w:r w:rsidRPr="00B808E6">
        <w:t>programa de desarrollo incorpora una formación en materia de derechos human</w:t>
      </w:r>
      <w:r>
        <w:t>os, que se imparte tanto a los estudiantes de la</w:t>
      </w:r>
      <w:r w:rsidRPr="00B808E6">
        <w:t xml:space="preserve"> Garda como a los cursos de supervis</w:t>
      </w:r>
      <w:r>
        <w:t>ión y fomento de la gestión</w:t>
      </w:r>
      <w:r w:rsidRPr="00B808E6">
        <w:t xml:space="preserve">. Además, se está elaborando un nuevo Código </w:t>
      </w:r>
      <w:r>
        <w:t>Deontológico de uso oficial</w:t>
      </w:r>
      <w:r w:rsidRPr="00B808E6">
        <w:t>.</w:t>
      </w:r>
    </w:p>
    <w:p w:rsidR="000100D5" w:rsidRPr="005269E5" w:rsidRDefault="000100D5" w:rsidP="000100D5">
      <w:pPr>
        <w:pStyle w:val="SingleTxtG"/>
      </w:pPr>
      <w:r w:rsidRPr="005269E5">
        <w:t>96.</w:t>
      </w:r>
      <w:r w:rsidRPr="005269E5">
        <w:tab/>
      </w:r>
      <w:r>
        <w:t>En el Apéndice II se incluyen detalles de los insumos de derechos humanos en los programas de formación impartidos en la Academia de la</w:t>
      </w:r>
      <w:r w:rsidRPr="005269E5">
        <w:t xml:space="preserve"> Garda (</w:t>
      </w:r>
      <w:r>
        <w:t>p</w:t>
      </w:r>
      <w:r w:rsidRPr="005269E5">
        <w:t>olic</w:t>
      </w:r>
      <w:r>
        <w:t>ía</w:t>
      </w:r>
      <w:r w:rsidRPr="005269E5">
        <w:t>).</w:t>
      </w:r>
    </w:p>
    <w:p w:rsidR="000100D5" w:rsidRPr="00036DC6" w:rsidRDefault="000100D5" w:rsidP="000100D5">
      <w:pPr>
        <w:pStyle w:val="H23G"/>
      </w:pPr>
      <w:r w:rsidRPr="005269E5">
        <w:tab/>
      </w:r>
      <w:r w:rsidRPr="005269E5">
        <w:tab/>
      </w:r>
      <w:r w:rsidRPr="00036DC6">
        <w:t>Respuesta a la recomendación contenida en el párrafo 18 del informe del Coordina</w:t>
      </w:r>
      <w:r>
        <w:t>d</w:t>
      </w:r>
      <w:r w:rsidRPr="00036DC6">
        <w:t xml:space="preserve">or </w:t>
      </w:r>
      <w:r w:rsidR="00F80E33">
        <w:t>encargado</w:t>
      </w:r>
      <w:r>
        <w:t xml:space="preserve"> </w:t>
      </w:r>
      <w:r w:rsidR="00F80E33">
        <w:t>d</w:t>
      </w:r>
      <w:r>
        <w:t>el seguimiento</w:t>
      </w:r>
    </w:p>
    <w:p w:rsidR="000100D5" w:rsidRPr="005269E5" w:rsidRDefault="000100D5" w:rsidP="000100D5">
      <w:pPr>
        <w:pStyle w:val="H23G"/>
      </w:pPr>
      <w:r w:rsidRPr="00036DC6">
        <w:tab/>
      </w:r>
      <w:r w:rsidRPr="005269E5">
        <w:t>2.</w:t>
      </w:r>
      <w:r w:rsidRPr="005269E5">
        <w:tab/>
      </w:r>
      <w:r>
        <w:t>Funcionarios de in</w:t>
      </w:r>
      <w:r w:rsidRPr="005269E5">
        <w:t>migra</w:t>
      </w:r>
      <w:r>
        <w:t>c</w:t>
      </w:r>
      <w:r w:rsidRPr="005269E5">
        <w:t>i</w:t>
      </w:r>
      <w:r>
        <w:t>ó</w:t>
      </w:r>
      <w:r w:rsidRPr="005269E5">
        <w:t>n</w:t>
      </w:r>
    </w:p>
    <w:p w:rsidR="000100D5" w:rsidRPr="0051162C" w:rsidRDefault="000100D5" w:rsidP="000100D5">
      <w:pPr>
        <w:pStyle w:val="SingleTxtG"/>
      </w:pPr>
      <w:r w:rsidRPr="005269E5">
        <w:t>97.</w:t>
      </w:r>
      <w:r w:rsidRPr="005269E5">
        <w:tab/>
      </w:r>
      <w:r>
        <w:t>En colaboración con el Alto Comisionado de las Naciones Unidas para los Refugiados (ACNUR) se elaboró un programa de capacitación en derechos</w:t>
      </w:r>
      <w:r w:rsidRPr="005269E5">
        <w:t xml:space="preserve"> </w:t>
      </w:r>
      <w:r>
        <w:t>h</w:t>
      </w:r>
      <w:r w:rsidRPr="005269E5">
        <w:t>uman</w:t>
      </w:r>
      <w:r>
        <w:t>os y refugiados,</w:t>
      </w:r>
      <w:r w:rsidRPr="005269E5">
        <w:t xml:space="preserve"> </w:t>
      </w:r>
      <w:r>
        <w:t xml:space="preserve">de un día de duración, para el personal de </w:t>
      </w:r>
      <w:r w:rsidRPr="005269E5">
        <w:t>i</w:t>
      </w:r>
      <w:r>
        <w:t>n</w:t>
      </w:r>
      <w:r w:rsidRPr="005269E5">
        <w:t>migra</w:t>
      </w:r>
      <w:r>
        <w:t>c</w:t>
      </w:r>
      <w:r w:rsidRPr="005269E5">
        <w:t>i</w:t>
      </w:r>
      <w:r>
        <w:t>ó</w:t>
      </w:r>
      <w:r w:rsidRPr="005269E5">
        <w:t xml:space="preserve">n. </w:t>
      </w:r>
      <w:r w:rsidRPr="00036DC6">
        <w:t>Ese programa se puso en marcha en 2006</w:t>
      </w:r>
      <w:r>
        <w:t>,</w:t>
      </w:r>
      <w:r w:rsidRPr="00036DC6">
        <w:t xml:space="preserve"> con objeto de formar a todo el personal de la Garda (policía)</w:t>
      </w:r>
      <w:r>
        <w:t xml:space="preserve"> en contacto con los</w:t>
      </w:r>
      <w:r w:rsidRPr="00036DC6">
        <w:t xml:space="preserve"> i</w:t>
      </w:r>
      <w:r>
        <w:t>n</w:t>
      </w:r>
      <w:r w:rsidRPr="00036DC6">
        <w:t>migrant</w:t>
      </w:r>
      <w:r>
        <w:t>e</w:t>
      </w:r>
      <w:r w:rsidRPr="00036DC6">
        <w:t xml:space="preserve">s. </w:t>
      </w:r>
      <w:r w:rsidRPr="00662CCC">
        <w:t>El programa se impartió en cooperación con un instructor del ACNUR y concluyó en diciembre de 2007, al finalizar la capacitaci</w:t>
      </w:r>
      <w:r>
        <w:t>ón de todos los funcionarios de inmigración a tiempo completo en la Oficina</w:t>
      </w:r>
      <w:r w:rsidRPr="00662CCC">
        <w:t xml:space="preserve"> Na</w:t>
      </w:r>
      <w:r>
        <w:t>c</w:t>
      </w:r>
      <w:r w:rsidRPr="00662CCC">
        <w:t xml:space="preserve">ional </w:t>
      </w:r>
      <w:r>
        <w:t xml:space="preserve">de </w:t>
      </w:r>
      <w:r w:rsidRPr="00662CCC">
        <w:t>I</w:t>
      </w:r>
      <w:r>
        <w:t>n</w:t>
      </w:r>
      <w:r w:rsidRPr="00662CCC">
        <w:t>migra</w:t>
      </w:r>
      <w:r>
        <w:t>c</w:t>
      </w:r>
      <w:r w:rsidRPr="00662CCC">
        <w:t>i</w:t>
      </w:r>
      <w:r>
        <w:t>ó</w:t>
      </w:r>
      <w:r w:rsidRPr="00662CCC">
        <w:t xml:space="preserve">n </w:t>
      </w:r>
      <w:r>
        <w:t>de la Garda y en todas las divisiones de la</w:t>
      </w:r>
      <w:r w:rsidRPr="00662CCC">
        <w:t xml:space="preserve"> </w:t>
      </w:r>
      <w:r>
        <w:t>p</w:t>
      </w:r>
      <w:r w:rsidRPr="00662CCC">
        <w:t>olic</w:t>
      </w:r>
      <w:r>
        <w:t>ía</w:t>
      </w:r>
      <w:r w:rsidRPr="00662CCC">
        <w:t xml:space="preserve"> (Garda). </w:t>
      </w:r>
      <w:r>
        <w:t>El personal c</w:t>
      </w:r>
      <w:r w:rsidRPr="0051162C">
        <w:t>ivil destinado en la Oficina Nacional de Inmigra</w:t>
      </w:r>
      <w:r>
        <w:t>c</w:t>
      </w:r>
      <w:r w:rsidRPr="0051162C">
        <w:t>i</w:t>
      </w:r>
      <w:r>
        <w:t>ó</w:t>
      </w:r>
      <w:r w:rsidRPr="0051162C">
        <w:t xml:space="preserve">n </w:t>
      </w:r>
      <w:r>
        <w:t>de la Garda ha recibido también esta formación</w:t>
      </w:r>
      <w:r w:rsidRPr="0051162C">
        <w:t>. Además, la Oficina Nacional de Inmigración</w:t>
      </w:r>
      <w:r>
        <w:t xml:space="preserve"> de la Garda</w:t>
      </w:r>
      <w:r w:rsidRPr="0051162C">
        <w:t xml:space="preserve">, junto con </w:t>
      </w:r>
      <w:r>
        <w:t>los representantes en Irlanda d</w:t>
      </w:r>
      <w:r w:rsidRPr="0051162C">
        <w:t>el Alto Comisionado de las Naciones Unidas para los Refug</w:t>
      </w:r>
      <w:r>
        <w:t>iados</w:t>
      </w:r>
      <w:r w:rsidRPr="0051162C">
        <w:t>, ha</w:t>
      </w:r>
      <w:r>
        <w:t xml:space="preserve"> capacitado a un</w:t>
      </w:r>
      <w:r w:rsidRPr="0051162C">
        <w:t xml:space="preserve"> m</w:t>
      </w:r>
      <w:r>
        <w:t>i</w:t>
      </w:r>
      <w:r w:rsidRPr="0051162C">
        <w:t>embr</w:t>
      </w:r>
      <w:r>
        <w:t>o</w:t>
      </w:r>
      <w:r w:rsidRPr="0051162C">
        <w:t xml:space="preserve"> </w:t>
      </w:r>
      <w:r>
        <w:t>de la</w:t>
      </w:r>
      <w:r w:rsidRPr="0051162C">
        <w:t xml:space="preserve"> An Garda Síochána (</w:t>
      </w:r>
      <w:r>
        <w:t>cuerpo de p</w:t>
      </w:r>
      <w:r w:rsidRPr="0051162C">
        <w:t>olic</w:t>
      </w:r>
      <w:r>
        <w:t>ía</w:t>
      </w:r>
      <w:r w:rsidRPr="0051162C">
        <w:t xml:space="preserve">) </w:t>
      </w:r>
      <w:r>
        <w:t>como instructor para impartir esa formación a todo el</w:t>
      </w:r>
      <w:r w:rsidRPr="0051162C">
        <w:t xml:space="preserve"> person</w:t>
      </w:r>
      <w:r>
        <w:t>a</w:t>
      </w:r>
      <w:r w:rsidRPr="0051162C">
        <w:t xml:space="preserve">l, </w:t>
      </w:r>
      <w:r>
        <w:t>tanto de la</w:t>
      </w:r>
      <w:r w:rsidRPr="0051162C">
        <w:t xml:space="preserve"> Garda (</w:t>
      </w:r>
      <w:r>
        <w:t>p</w:t>
      </w:r>
      <w:r w:rsidRPr="0051162C">
        <w:t>olic</w:t>
      </w:r>
      <w:r>
        <w:t>ía</w:t>
      </w:r>
      <w:r w:rsidRPr="0051162C">
        <w:t xml:space="preserve">) </w:t>
      </w:r>
      <w:r>
        <w:t>como</w:t>
      </w:r>
      <w:r w:rsidRPr="0051162C">
        <w:t xml:space="preserve"> civil, </w:t>
      </w:r>
      <w:r>
        <w:t>destinado a la Oficina Nacional de Inmigración de la</w:t>
      </w:r>
      <w:r w:rsidRPr="0051162C">
        <w:t xml:space="preserve"> Garda (</w:t>
      </w:r>
      <w:r>
        <w:t>p</w:t>
      </w:r>
      <w:r w:rsidRPr="0051162C">
        <w:t>olic</w:t>
      </w:r>
      <w:r>
        <w:t>ía</w:t>
      </w:r>
      <w:r w:rsidRPr="0051162C">
        <w:t>).</w:t>
      </w:r>
    </w:p>
    <w:p w:rsidR="000100D5" w:rsidRPr="005269E5" w:rsidRDefault="000100D5" w:rsidP="000100D5">
      <w:pPr>
        <w:pStyle w:val="H1G"/>
      </w:pPr>
      <w:r w:rsidRPr="0051162C">
        <w:tab/>
      </w:r>
      <w:r w:rsidRPr="005269E5">
        <w:t>C.</w:t>
      </w:r>
      <w:r w:rsidRPr="005269E5">
        <w:tab/>
        <w:t>Educa</w:t>
      </w:r>
      <w:r>
        <w:t>c</w:t>
      </w:r>
      <w:r w:rsidRPr="005269E5">
        <w:t>i</w:t>
      </w:r>
      <w:r>
        <w:t>ó</w:t>
      </w:r>
      <w:r w:rsidRPr="005269E5">
        <w:t>n</w:t>
      </w:r>
    </w:p>
    <w:p w:rsidR="000100D5" w:rsidRPr="0051162C" w:rsidRDefault="000100D5" w:rsidP="000100D5">
      <w:pPr>
        <w:pStyle w:val="H23G"/>
      </w:pPr>
      <w:r w:rsidRPr="005269E5">
        <w:tab/>
      </w:r>
      <w:r w:rsidRPr="005269E5">
        <w:tab/>
      </w:r>
      <w:r w:rsidRPr="0051162C">
        <w:t xml:space="preserve">Respuesta a la recomendación contenida en el párrafo 19 del informe del Coordinador </w:t>
      </w:r>
      <w:r w:rsidR="00F80E33">
        <w:t>encargado</w:t>
      </w:r>
      <w:r w:rsidRPr="0051162C">
        <w:t xml:space="preserve"> </w:t>
      </w:r>
      <w:r w:rsidR="00F80E33">
        <w:t>d</w:t>
      </w:r>
      <w:r w:rsidRPr="0051162C">
        <w:t>el seguimiento</w:t>
      </w:r>
    </w:p>
    <w:p w:rsidR="000100D5" w:rsidRPr="005269E5" w:rsidRDefault="000100D5" w:rsidP="000100D5">
      <w:pPr>
        <w:pStyle w:val="H23G"/>
      </w:pPr>
      <w:r w:rsidRPr="0051162C">
        <w:tab/>
      </w:r>
      <w:r>
        <w:t>1.</w:t>
      </w:r>
      <w:r>
        <w:tab/>
        <w:t>Promoc</w:t>
      </w:r>
      <w:r w:rsidRPr="005269E5">
        <w:t>i</w:t>
      </w:r>
      <w:r>
        <w:t>ó</w:t>
      </w:r>
      <w:r w:rsidRPr="005269E5">
        <w:t xml:space="preserve">n </w:t>
      </w:r>
      <w:r>
        <w:t>de la</w:t>
      </w:r>
      <w:r w:rsidRPr="005269E5">
        <w:t xml:space="preserve"> diversi</w:t>
      </w:r>
      <w:r>
        <w:t>dad</w:t>
      </w:r>
      <w:r w:rsidRPr="005269E5">
        <w:t xml:space="preserve"> </w:t>
      </w:r>
      <w:r>
        <w:t>y multi</w:t>
      </w:r>
      <w:r w:rsidRPr="005269E5">
        <w:t>culturalism</w:t>
      </w:r>
      <w:r>
        <w:t>o e</w:t>
      </w:r>
      <w:r w:rsidRPr="005269E5">
        <w:t xml:space="preserve">n </w:t>
      </w:r>
      <w:r>
        <w:t>las e</w:t>
      </w:r>
      <w:r w:rsidRPr="005269E5">
        <w:t>sc</w:t>
      </w:r>
      <w:r>
        <w:t>ue</w:t>
      </w:r>
      <w:r w:rsidRPr="005269E5">
        <w:t>l</w:t>
      </w:r>
      <w:r>
        <w:t>a</w:t>
      </w:r>
      <w:r w:rsidRPr="005269E5">
        <w:t>s</w:t>
      </w:r>
    </w:p>
    <w:p w:rsidR="000100D5" w:rsidRPr="000F2CF3" w:rsidRDefault="000100D5" w:rsidP="000100D5">
      <w:pPr>
        <w:pStyle w:val="SingleTxtG"/>
      </w:pPr>
      <w:r w:rsidRPr="005269E5">
        <w:t>98.</w:t>
      </w:r>
      <w:r w:rsidRPr="005269E5">
        <w:tab/>
      </w:r>
      <w:r>
        <w:t>Se cuenta con toda una serie de medidas</w:t>
      </w:r>
      <w:r w:rsidRPr="005269E5">
        <w:t>/re</w:t>
      </w:r>
      <w:r>
        <w:t>c</w:t>
      </w:r>
      <w:r w:rsidRPr="005269E5">
        <w:t>ur</w:t>
      </w:r>
      <w:r>
        <w:t>sos</w:t>
      </w:r>
      <w:r w:rsidRPr="005269E5">
        <w:t xml:space="preserve"> </w:t>
      </w:r>
      <w:r>
        <w:t>para</w:t>
      </w:r>
      <w:r w:rsidRPr="005269E5">
        <w:t xml:space="preserve"> promo</w:t>
      </w:r>
      <w:r>
        <w:t>v</w:t>
      </w:r>
      <w:r w:rsidRPr="005269E5">
        <w:t>e</w:t>
      </w:r>
      <w:r>
        <w:t>r</w:t>
      </w:r>
      <w:r w:rsidRPr="005269E5">
        <w:t xml:space="preserve"> </w:t>
      </w:r>
      <w:r>
        <w:t>el</w:t>
      </w:r>
      <w:r w:rsidR="005007D6">
        <w:t xml:space="preserve"> </w:t>
      </w:r>
      <w:r>
        <w:t>multi</w:t>
      </w:r>
      <w:r w:rsidRPr="005269E5">
        <w:t>culturalism</w:t>
      </w:r>
      <w:r>
        <w:t>o</w:t>
      </w:r>
      <w:r w:rsidRPr="005269E5">
        <w:t xml:space="preserve"> </w:t>
      </w:r>
      <w:r>
        <w:t>e</w:t>
      </w:r>
      <w:r w:rsidRPr="005269E5">
        <w:t xml:space="preserve">n </w:t>
      </w:r>
      <w:r>
        <w:t>las e</w:t>
      </w:r>
      <w:r w:rsidRPr="005269E5">
        <w:t>sc</w:t>
      </w:r>
      <w:r>
        <w:t>ue</w:t>
      </w:r>
      <w:r w:rsidRPr="005269E5">
        <w:t>l</w:t>
      </w:r>
      <w:r>
        <w:t>a</w:t>
      </w:r>
      <w:r w:rsidRPr="005269E5">
        <w:t xml:space="preserve">s. </w:t>
      </w:r>
      <w:r w:rsidRPr="00065873">
        <w:t>Algunos de ellos se enumera</w:t>
      </w:r>
      <w:r>
        <w:t>n</w:t>
      </w:r>
      <w:r w:rsidRPr="00065873">
        <w:t xml:space="preserve"> </w:t>
      </w:r>
      <w:r w:rsidRPr="00065873">
        <w:rPr>
          <w:i/>
        </w:rPr>
        <w:t>infra</w:t>
      </w:r>
      <w:r w:rsidRPr="00065873">
        <w:t xml:space="preserve">, mientras que otros </w:t>
      </w:r>
      <w:r>
        <w:t xml:space="preserve">se recogen en </w:t>
      </w:r>
      <w:r w:rsidRPr="00065873">
        <w:t>detal</w:t>
      </w:r>
      <w:r>
        <w:t>l</w:t>
      </w:r>
      <w:r w:rsidRPr="00065873">
        <w:t>e</w:t>
      </w:r>
      <w:r>
        <w:t xml:space="preserve"> e</w:t>
      </w:r>
      <w:r w:rsidRPr="00065873">
        <w:t xml:space="preserve">n </w:t>
      </w:r>
      <w:r>
        <w:t>las</w:t>
      </w:r>
      <w:r w:rsidRPr="00065873">
        <w:t xml:space="preserve"> resp</w:t>
      </w:r>
      <w:r>
        <w:t>uestas a los</w:t>
      </w:r>
      <w:r w:rsidRPr="00065873">
        <w:t xml:space="preserve"> </w:t>
      </w:r>
      <w:r>
        <w:t>a</w:t>
      </w:r>
      <w:r w:rsidRPr="00065873">
        <w:t>rt</w:t>
      </w:r>
      <w:r>
        <w:t>í</w:t>
      </w:r>
      <w:r w:rsidRPr="00065873">
        <w:t>c</w:t>
      </w:r>
      <w:r>
        <w:t>u</w:t>
      </w:r>
      <w:r w:rsidRPr="00065873">
        <w:t>l</w:t>
      </w:r>
      <w:r>
        <w:t>o</w:t>
      </w:r>
      <w:r w:rsidRPr="00065873">
        <w:t>s 5 E)</w:t>
      </w:r>
      <w:r>
        <w:t xml:space="preserve"> </w:t>
      </w:r>
      <w:r w:rsidRPr="00065873">
        <w:t xml:space="preserve">5) </w:t>
      </w:r>
      <w:r>
        <w:t>y</w:t>
      </w:r>
      <w:r w:rsidRPr="00065873">
        <w:t xml:space="preserve"> 7</w:t>
      </w:r>
      <w:r>
        <w:t xml:space="preserve"> </w:t>
      </w:r>
      <w:r w:rsidRPr="00065873">
        <w:t xml:space="preserve">A) </w:t>
      </w:r>
      <w:r>
        <w:t>e</w:t>
      </w:r>
      <w:r w:rsidRPr="00065873">
        <w:t xml:space="preserve">n </w:t>
      </w:r>
      <w:r>
        <w:t xml:space="preserve">la </w:t>
      </w:r>
      <w:r w:rsidRPr="00065873">
        <w:t>Part</w:t>
      </w:r>
      <w:r>
        <w:t>e</w:t>
      </w:r>
      <w:r w:rsidRPr="00065873">
        <w:t xml:space="preserve"> III. Debido al gran número de recursos disponibles, el Departamento de Educación y Ciencia elaboró el portal </w:t>
      </w:r>
      <w:r w:rsidR="00E03EF2">
        <w:t>"</w:t>
      </w:r>
      <w:r w:rsidRPr="00065873">
        <w:t>AIM</w:t>
      </w:r>
      <w:r w:rsidR="00E03EF2">
        <w:t>"</w:t>
      </w:r>
      <w:r w:rsidRPr="00065873">
        <w:t xml:space="preserve"> (Acceso al Material Intercultural), con miras a facilitar el acces</w:t>
      </w:r>
      <w:r>
        <w:t>o</w:t>
      </w:r>
      <w:r w:rsidRPr="00065873">
        <w:t xml:space="preserve"> </w:t>
      </w:r>
      <w:r>
        <w:t>a la</w:t>
      </w:r>
      <w:r w:rsidRPr="00065873">
        <w:t xml:space="preserve"> informa</w:t>
      </w:r>
      <w:r>
        <w:t>c</w:t>
      </w:r>
      <w:r w:rsidRPr="00065873">
        <w:t>i</w:t>
      </w:r>
      <w:r>
        <w:t>ó</w:t>
      </w:r>
      <w:r w:rsidRPr="00065873">
        <w:t xml:space="preserve">n </w:t>
      </w:r>
      <w:r>
        <w:t>relativa a los recursos</w:t>
      </w:r>
      <w:r w:rsidRPr="00065873">
        <w:t xml:space="preserve"> educati</w:t>
      </w:r>
      <w:r>
        <w:t>v</w:t>
      </w:r>
      <w:r w:rsidRPr="00065873">
        <w:t>o</w:t>
      </w:r>
      <w:r>
        <w:t>s para los recién llegados, ya sean</w:t>
      </w:r>
      <w:r w:rsidRPr="00065873">
        <w:t xml:space="preserve"> pa</w:t>
      </w:r>
      <w:r>
        <w:t>d</w:t>
      </w:r>
      <w:r w:rsidRPr="00065873">
        <w:t>res</w:t>
      </w:r>
      <w:r>
        <w:t>,</w:t>
      </w:r>
      <w:r w:rsidR="005007D6">
        <w:t xml:space="preserve"> </w:t>
      </w:r>
      <w:r>
        <w:t>estudia</w:t>
      </w:r>
      <w:r w:rsidRPr="00065873">
        <w:t>nt</w:t>
      </w:r>
      <w:r>
        <w:t>e</w:t>
      </w:r>
      <w:r w:rsidRPr="00065873">
        <w:t>s, educa</w:t>
      </w:r>
      <w:r>
        <w:t>d</w:t>
      </w:r>
      <w:r w:rsidRPr="00065873">
        <w:t>or</w:t>
      </w:r>
      <w:r>
        <w:t>es o</w:t>
      </w:r>
      <w:r w:rsidRPr="00065873">
        <w:t xml:space="preserve"> </w:t>
      </w:r>
      <w:r>
        <w:t>investigadores</w:t>
      </w:r>
      <w:r w:rsidRPr="00065873">
        <w:t xml:space="preserve"> </w:t>
      </w:r>
      <w:r>
        <w:t>y los</w:t>
      </w:r>
      <w:r w:rsidRPr="00065873">
        <w:t xml:space="preserve"> interes</w:t>
      </w:r>
      <w:r>
        <w:t>ados por el tema de la enseñanza a los recién llegados</w:t>
      </w:r>
      <w:r w:rsidRPr="00065873">
        <w:t xml:space="preserve">. </w:t>
      </w:r>
      <w:r w:rsidRPr="000F2CF3">
        <w:t xml:space="preserve">El portal se aloja en los sitios web del Departamento de Educación y Ciencia (www.education.ie) </w:t>
      </w:r>
      <w:r>
        <w:t>y de la</w:t>
      </w:r>
      <w:r w:rsidRPr="000F2CF3">
        <w:t xml:space="preserve"> Ofic</w:t>
      </w:r>
      <w:r>
        <w:t>ina</w:t>
      </w:r>
      <w:r w:rsidRPr="000F2CF3">
        <w:t xml:space="preserve"> </w:t>
      </w:r>
      <w:r>
        <w:t>del</w:t>
      </w:r>
      <w:r w:rsidRPr="000F2CF3">
        <w:t xml:space="preserve"> Min</w:t>
      </w:r>
      <w:r>
        <w:t>i</w:t>
      </w:r>
      <w:r w:rsidRPr="000F2CF3">
        <w:t>str</w:t>
      </w:r>
      <w:r>
        <w:t>o para la</w:t>
      </w:r>
      <w:r w:rsidRPr="000F2CF3">
        <w:t xml:space="preserve"> Integra</w:t>
      </w:r>
      <w:r>
        <w:t>c</w:t>
      </w:r>
      <w:r w:rsidRPr="000F2CF3">
        <w:t>i</w:t>
      </w:r>
      <w:r>
        <w:t>ó</w:t>
      </w:r>
      <w:r w:rsidRPr="000F2CF3">
        <w:t>n (www.integration.ie).</w:t>
      </w:r>
    </w:p>
    <w:p w:rsidR="000100D5" w:rsidRPr="005269E5" w:rsidRDefault="000100D5" w:rsidP="000100D5">
      <w:pPr>
        <w:pStyle w:val="H4G"/>
      </w:pPr>
      <w:r w:rsidRPr="000F2CF3">
        <w:tab/>
      </w:r>
      <w:r>
        <w:t>a)</w:t>
      </w:r>
      <w:r>
        <w:tab/>
        <w:t>Para escuelas primarias y post</w:t>
      </w:r>
      <w:r w:rsidRPr="005269E5">
        <w:t>primar</w:t>
      </w:r>
      <w:r>
        <w:t>ias</w:t>
      </w:r>
    </w:p>
    <w:p w:rsidR="000100D5" w:rsidRPr="000F6073" w:rsidRDefault="000100D5" w:rsidP="000100D5">
      <w:pPr>
        <w:pStyle w:val="SingleTxtG"/>
      </w:pPr>
      <w:r w:rsidRPr="005269E5">
        <w:t>99.</w:t>
      </w:r>
      <w:r w:rsidRPr="005269E5">
        <w:tab/>
      </w:r>
      <w:r>
        <w:t>Un recurso fundamental para las</w:t>
      </w:r>
      <w:r w:rsidRPr="005269E5">
        <w:t xml:space="preserve"> </w:t>
      </w:r>
      <w:r>
        <w:t>e</w:t>
      </w:r>
      <w:r w:rsidRPr="005269E5">
        <w:t>sc</w:t>
      </w:r>
      <w:r>
        <w:t>ue</w:t>
      </w:r>
      <w:r w:rsidRPr="005269E5">
        <w:t>l</w:t>
      </w:r>
      <w:r>
        <w:t>a</w:t>
      </w:r>
      <w:r w:rsidRPr="005269E5">
        <w:t>s s</w:t>
      </w:r>
      <w:r>
        <w:t>on los profesores de</w:t>
      </w:r>
      <w:r w:rsidRPr="005269E5">
        <w:t xml:space="preserve"> </w:t>
      </w:r>
      <w:r w:rsidR="00E03EF2">
        <w:t>"</w:t>
      </w:r>
      <w:r>
        <w:t>Inglés</w:t>
      </w:r>
      <w:r w:rsidRPr="005269E5">
        <w:t xml:space="preserve"> </w:t>
      </w:r>
      <w:r>
        <w:t>segunda le</w:t>
      </w:r>
      <w:r w:rsidRPr="005269E5">
        <w:t>ngua</w:t>
      </w:r>
      <w:r w:rsidR="00E03EF2">
        <w:t>"</w:t>
      </w:r>
      <w:r w:rsidRPr="005269E5">
        <w:t xml:space="preserve">. </w:t>
      </w:r>
      <w:r w:rsidR="00AF55B9">
        <w:t>En 2008/2009, había más de 2.</w:t>
      </w:r>
      <w:r w:rsidRPr="000F2CF3">
        <w:t>100 profesores de esa materia en las escuelas</w:t>
      </w:r>
      <w:r w:rsidR="005007D6">
        <w:t xml:space="preserve"> </w:t>
      </w:r>
      <w:r w:rsidRPr="000F2CF3">
        <w:t>primarias y</w:t>
      </w:r>
      <w:r>
        <w:t xml:space="preserve"> pos</w:t>
      </w:r>
      <w:r w:rsidRPr="000F2CF3">
        <w:t>primarias, con un costo de m</w:t>
      </w:r>
      <w:r>
        <w:t xml:space="preserve">ás de </w:t>
      </w:r>
      <w:r w:rsidRPr="000F2CF3">
        <w:t>120</w:t>
      </w:r>
      <w:r>
        <w:t xml:space="preserve"> </w:t>
      </w:r>
      <w:r w:rsidRPr="000F2CF3">
        <w:t>m</w:t>
      </w:r>
      <w:r>
        <w:t>illones de euros, lo que representa un aumento en comparación con los 262 profesores de</w:t>
      </w:r>
      <w:r w:rsidRPr="000F2CF3">
        <w:t xml:space="preserve"> 2001/2002. </w:t>
      </w:r>
      <w:r w:rsidRPr="000F6073">
        <w:t>Los profesores de Inglés segunda lengua ayudan a las escuelas a trabajar con los padres</w:t>
      </w:r>
      <w:r>
        <w:t xml:space="preserve"> y </w:t>
      </w:r>
      <w:r w:rsidRPr="000F6073">
        <w:t>los profesores de aula</w:t>
      </w:r>
      <w:r>
        <w:t>, a detectar a los alumnos que</w:t>
      </w:r>
      <w:r w:rsidRPr="000F6073">
        <w:t xml:space="preserve"> requi</w:t>
      </w:r>
      <w:r>
        <w:t>e</w:t>
      </w:r>
      <w:r w:rsidRPr="000F6073">
        <w:t>r</w:t>
      </w:r>
      <w:r>
        <w:t>e</w:t>
      </w:r>
      <w:r w:rsidRPr="000F6073">
        <w:t xml:space="preserve">n </w:t>
      </w:r>
      <w:r>
        <w:t xml:space="preserve">un apoyo </w:t>
      </w:r>
      <w:r w:rsidRPr="000F6073">
        <w:t>sup</w:t>
      </w:r>
      <w:r>
        <w:t>lementario</w:t>
      </w:r>
      <w:r w:rsidRPr="000F6073">
        <w:t xml:space="preserve">, </w:t>
      </w:r>
      <w:r>
        <w:t xml:space="preserve">a </w:t>
      </w:r>
      <w:r w:rsidRPr="000F6073">
        <w:t>administr</w:t>
      </w:r>
      <w:r>
        <w:t>ar</w:t>
      </w:r>
      <w:r w:rsidRPr="000F6073">
        <w:t xml:space="preserve"> </w:t>
      </w:r>
      <w:r>
        <w:t>el material de</w:t>
      </w:r>
      <w:r w:rsidRPr="000F6073">
        <w:t xml:space="preserve"> </w:t>
      </w:r>
      <w:r>
        <w:t>evaluación</w:t>
      </w:r>
      <w:r w:rsidRPr="000F6073">
        <w:t xml:space="preserve">, </w:t>
      </w:r>
      <w:r>
        <w:t>a elaborar programas adecuados de</w:t>
      </w:r>
      <w:r w:rsidRPr="000F6073">
        <w:t xml:space="preserve"> l</w:t>
      </w:r>
      <w:r>
        <w:t>e</w:t>
      </w:r>
      <w:r w:rsidRPr="000F6073">
        <w:t>ngua</w:t>
      </w:r>
      <w:r>
        <w:t>/socializ</w:t>
      </w:r>
      <w:r w:rsidRPr="000F6073">
        <w:t>a</w:t>
      </w:r>
      <w:r>
        <w:t>c</w:t>
      </w:r>
      <w:r w:rsidRPr="000F6073">
        <w:t>i</w:t>
      </w:r>
      <w:r>
        <w:t>ó</w:t>
      </w:r>
      <w:r w:rsidRPr="000F6073">
        <w:t>n,</w:t>
      </w:r>
      <w:r>
        <w:t xml:space="preserve"> a</w:t>
      </w:r>
      <w:r w:rsidRPr="000F6073">
        <w:t xml:space="preserve"> </w:t>
      </w:r>
      <w:r>
        <w:t>impartir los</w:t>
      </w:r>
      <w:r w:rsidRPr="000F6073">
        <w:t xml:space="preserve"> program</w:t>
      </w:r>
      <w:r>
        <w:t>as y</w:t>
      </w:r>
      <w:r w:rsidRPr="000F6073">
        <w:t xml:space="preserve"> re</w:t>
      </w:r>
      <w:r>
        <w:t>gistrar</w:t>
      </w:r>
      <w:r w:rsidRPr="000F6073">
        <w:t xml:space="preserve"> </w:t>
      </w:r>
      <w:r>
        <w:t>y controlar el progreso de los alumnos</w:t>
      </w:r>
      <w:r w:rsidRPr="000F6073">
        <w:t>.</w:t>
      </w:r>
    </w:p>
    <w:p w:rsidR="000100D5" w:rsidRPr="00CD2F06" w:rsidRDefault="000100D5" w:rsidP="000100D5">
      <w:pPr>
        <w:pStyle w:val="SingleTxtG"/>
      </w:pPr>
      <w:r w:rsidRPr="005269E5">
        <w:t>100.</w:t>
      </w:r>
      <w:r w:rsidRPr="005269E5">
        <w:tab/>
        <w:t>De</w:t>
      </w:r>
      <w:r>
        <w:t>bido a las actuales</w:t>
      </w:r>
      <w:r w:rsidRPr="005269E5">
        <w:t xml:space="preserve"> c</w:t>
      </w:r>
      <w:r>
        <w:t>i</w:t>
      </w:r>
      <w:r w:rsidRPr="005269E5">
        <w:t>r</w:t>
      </w:r>
      <w:r>
        <w:t>cunstancias</w:t>
      </w:r>
      <w:r w:rsidRPr="005269E5">
        <w:t xml:space="preserve"> econ</w:t>
      </w:r>
      <w:r>
        <w:t>ó</w:t>
      </w:r>
      <w:r w:rsidRPr="005269E5">
        <w:t>mic</w:t>
      </w:r>
      <w:r>
        <w:t>as</w:t>
      </w:r>
      <w:r w:rsidRPr="005269E5">
        <w:t xml:space="preserve">, </w:t>
      </w:r>
      <w:r>
        <w:t>la modificación de los criterios de distribución de los profesores de apoyo de Inglés segunda lengua para 2009/2010</w:t>
      </w:r>
      <w:r w:rsidRPr="005269E5">
        <w:t xml:space="preserve"> </w:t>
      </w:r>
      <w:r>
        <w:t>conllevará una reducción de esas plazas</w:t>
      </w:r>
      <w:r w:rsidRPr="005269E5">
        <w:t xml:space="preserve">. </w:t>
      </w:r>
      <w:r w:rsidRPr="005275C4">
        <w:t>Se trata, sin embargo, de un recurso importante y el reto está en utilizarlo de la manera más eficaz posible (v</w:t>
      </w:r>
      <w:r>
        <w:t>éanse también los</w:t>
      </w:r>
      <w:r w:rsidRPr="005275C4">
        <w:t xml:space="preserve"> p</w:t>
      </w:r>
      <w:r>
        <w:t>ár</w:t>
      </w:r>
      <w:r w:rsidRPr="005275C4">
        <w:t>r</w:t>
      </w:r>
      <w:r w:rsidR="00C67360">
        <w:t>afo</w:t>
      </w:r>
      <w:r w:rsidRPr="005275C4">
        <w:t xml:space="preserve">s </w:t>
      </w:r>
      <w:r w:rsidRPr="005269E5">
        <w:t xml:space="preserve">120 </w:t>
      </w:r>
      <w:r>
        <w:t>y</w:t>
      </w:r>
      <w:r w:rsidR="008E4BAE">
        <w:t> </w:t>
      </w:r>
      <w:r w:rsidRPr="005269E5">
        <w:t xml:space="preserve">124). </w:t>
      </w:r>
      <w:r w:rsidRPr="005275C4">
        <w:t xml:space="preserve">En virtud de las nuevas medidas anunciadas en el presupuesto de octubre de 2008, </w:t>
      </w:r>
      <w:r>
        <w:t>el número de</w:t>
      </w:r>
      <w:r w:rsidRPr="005275C4">
        <w:t xml:space="preserve"> profesores de apoyo de Inglés segunda lengua </w:t>
      </w:r>
      <w:r>
        <w:t>se</w:t>
      </w:r>
      <w:r w:rsidRPr="005275C4">
        <w:t xml:space="preserve"> limit</w:t>
      </w:r>
      <w:r>
        <w:t>arán a un máximo de dos</w:t>
      </w:r>
      <w:r w:rsidRPr="005275C4">
        <w:t xml:space="preserve"> p</w:t>
      </w:r>
      <w:r>
        <w:t>o</w:t>
      </w:r>
      <w:r w:rsidRPr="005275C4">
        <w:t xml:space="preserve">r </w:t>
      </w:r>
      <w:r>
        <w:t>e</w:t>
      </w:r>
      <w:r w:rsidRPr="005275C4">
        <w:t>sc</w:t>
      </w:r>
      <w:r>
        <w:t>uela</w:t>
      </w:r>
      <w:r w:rsidRPr="005275C4">
        <w:t xml:space="preserve">, </w:t>
      </w:r>
      <w:r>
        <w:t>salvo</w:t>
      </w:r>
      <w:r w:rsidRPr="005275C4">
        <w:t xml:space="preserve"> </w:t>
      </w:r>
      <w:r>
        <w:t xml:space="preserve">que las </w:t>
      </w:r>
      <w:r w:rsidRPr="005275C4">
        <w:t>circu</w:t>
      </w:r>
      <w:r>
        <w:t>n</w:t>
      </w:r>
      <w:r w:rsidRPr="005275C4">
        <w:t>stanc</w:t>
      </w:r>
      <w:r>
        <w:t>ia</w:t>
      </w:r>
      <w:r w:rsidRPr="005275C4">
        <w:t>s</w:t>
      </w:r>
      <w:r>
        <w:t xml:space="preserve"> aconsejen aumentarlo</w:t>
      </w:r>
      <w:r w:rsidRPr="005275C4">
        <w:t xml:space="preserve">. </w:t>
      </w:r>
      <w:r>
        <w:t>Si es así</w:t>
      </w:r>
      <w:r w:rsidRPr="00CD2F06">
        <w:t xml:space="preserve">, la escuela deberá </w:t>
      </w:r>
      <w:r>
        <w:t>exponer su caso</w:t>
      </w:r>
      <w:r w:rsidRPr="00CD2F06">
        <w:t xml:space="preserve"> al Departamento </w:t>
      </w:r>
      <w:r>
        <w:t xml:space="preserve">y solicitar </w:t>
      </w:r>
      <w:r w:rsidRPr="00CD2F06">
        <w:t xml:space="preserve">la </w:t>
      </w:r>
      <w:r>
        <w:t>amplia</w:t>
      </w:r>
      <w:r w:rsidRPr="00CD2F06">
        <w:t>ción de</w:t>
      </w:r>
      <w:r>
        <w:t xml:space="preserve"> las</w:t>
      </w:r>
      <w:r w:rsidRPr="00CD2F06">
        <w:t xml:space="preserve"> plazas docentes</w:t>
      </w:r>
      <w:r>
        <w:t xml:space="preserve"> </w:t>
      </w:r>
      <w:r w:rsidRPr="00CD2F06">
        <w:t>y pedirle también un</w:t>
      </w:r>
      <w:r>
        <w:t xml:space="preserve"> incremento</w:t>
      </w:r>
      <w:r w:rsidRPr="00CD2F06">
        <w:t xml:space="preserve"> del apoyo lingüístico que supere </w:t>
      </w:r>
      <w:r>
        <w:t>el plazo de</w:t>
      </w:r>
      <w:r w:rsidRPr="00CD2F06">
        <w:t xml:space="preserve"> dos años previsto y se </w:t>
      </w:r>
      <w:r>
        <w:t>contabilizará a los alumnos beneficiarios del apoyo superior a dos años sobre la base de tres por uno, a los efectos de satisfacer los criterios mínimos de distribución</w:t>
      </w:r>
      <w:r w:rsidRPr="00CD2F06">
        <w:t>.</w:t>
      </w:r>
    </w:p>
    <w:p w:rsidR="000100D5" w:rsidRPr="005269E5" w:rsidRDefault="000100D5" w:rsidP="000100D5">
      <w:pPr>
        <w:pStyle w:val="SingleTxtG"/>
      </w:pPr>
      <w:r w:rsidRPr="005269E5">
        <w:t>101.</w:t>
      </w:r>
      <w:r w:rsidRPr="005269E5">
        <w:tab/>
      </w:r>
      <w:r>
        <w:t>Entre otras iniciativas fundamentales en la esfera de la educación cabe citar</w:t>
      </w:r>
      <w:r w:rsidRPr="005269E5">
        <w:t>:</w:t>
      </w:r>
    </w:p>
    <w:p w:rsidR="000100D5" w:rsidRPr="005269E5" w:rsidRDefault="000100D5" w:rsidP="000100D5">
      <w:pPr>
        <w:pStyle w:val="SingleTxtG"/>
      </w:pPr>
      <w:r>
        <w:tab/>
      </w:r>
      <w:r w:rsidRPr="005269E5">
        <w:t>a)</w:t>
      </w:r>
      <w:r w:rsidRPr="005269E5">
        <w:tab/>
      </w:r>
      <w:r>
        <w:t>La i</w:t>
      </w:r>
      <w:r w:rsidRPr="005269E5">
        <w:t>nforma</w:t>
      </w:r>
      <w:r>
        <w:t>c</w:t>
      </w:r>
      <w:r w:rsidRPr="005269E5">
        <w:t>i</w:t>
      </w:r>
      <w:r>
        <w:t>ó</w:t>
      </w:r>
      <w:r w:rsidRPr="005269E5">
        <w:t xml:space="preserve">n </w:t>
      </w:r>
      <w:r>
        <w:t>sobre el sistema educativo</w:t>
      </w:r>
      <w:r w:rsidRPr="005269E5">
        <w:t xml:space="preserve"> </w:t>
      </w:r>
      <w:r>
        <w:t>i</w:t>
      </w:r>
      <w:r w:rsidRPr="005269E5">
        <w:t>r</w:t>
      </w:r>
      <w:r>
        <w:t>landés, que</w:t>
      </w:r>
      <w:r w:rsidRPr="005269E5">
        <w:t xml:space="preserve"> </w:t>
      </w:r>
      <w:r>
        <w:t>está disponible</w:t>
      </w:r>
      <w:r w:rsidRPr="005269E5">
        <w:t xml:space="preserve"> </w:t>
      </w:r>
      <w:r>
        <w:t>e</w:t>
      </w:r>
      <w:r w:rsidRPr="005269E5">
        <w:t xml:space="preserve">n </w:t>
      </w:r>
      <w:r>
        <w:t>el</w:t>
      </w:r>
      <w:r w:rsidRPr="005269E5">
        <w:t xml:space="preserve"> </w:t>
      </w:r>
      <w:r>
        <w:t xml:space="preserve">sitio web del </w:t>
      </w:r>
      <w:r w:rsidRPr="005269E5">
        <w:t>Depart</w:t>
      </w:r>
      <w:r>
        <w:t>a</w:t>
      </w:r>
      <w:r w:rsidRPr="005269E5">
        <w:t>ment</w:t>
      </w:r>
      <w:r>
        <w:t>o</w:t>
      </w:r>
      <w:r w:rsidRPr="005269E5">
        <w:t xml:space="preserve"> </w:t>
      </w:r>
      <w:r>
        <w:t>de</w:t>
      </w:r>
      <w:r w:rsidRPr="005269E5">
        <w:t xml:space="preserve"> Educa</w:t>
      </w:r>
      <w:r>
        <w:t>c</w:t>
      </w:r>
      <w:r w:rsidRPr="005269E5">
        <w:t>i</w:t>
      </w:r>
      <w:r>
        <w:t>ó</w:t>
      </w:r>
      <w:r w:rsidRPr="005269E5">
        <w:t xml:space="preserve">n </w:t>
      </w:r>
      <w:r>
        <w:t>y Ciencia,</w:t>
      </w:r>
      <w:r w:rsidRPr="005269E5">
        <w:t xml:space="preserve"> </w:t>
      </w:r>
      <w:hyperlink r:id="rId8" w:history="1">
        <w:r w:rsidRPr="005269E5">
          <w:rPr>
            <w:rStyle w:val="Hyperlink"/>
          </w:rPr>
          <w:t>www.education.ie</w:t>
        </w:r>
      </w:hyperlink>
      <w:r>
        <w:t>,</w:t>
      </w:r>
      <w:r w:rsidRPr="005269E5">
        <w:t xml:space="preserve"> </w:t>
      </w:r>
      <w:r>
        <w:t>en varios idiomas</w:t>
      </w:r>
      <w:r w:rsidRPr="005269E5">
        <w:t xml:space="preserve"> </w:t>
      </w:r>
      <w:r w:rsidR="005C4174" w:rsidRPr="005269E5">
        <w:t>inclu</w:t>
      </w:r>
      <w:r w:rsidR="005C4174">
        <w:t>i</w:t>
      </w:r>
      <w:r w:rsidR="005C4174" w:rsidRPr="005269E5">
        <w:t>d</w:t>
      </w:r>
      <w:r w:rsidR="005C4174">
        <w:t>o</w:t>
      </w:r>
      <w:r>
        <w:t xml:space="preserve"> el</w:t>
      </w:r>
      <w:r w:rsidRPr="005269E5">
        <w:t xml:space="preserve"> </w:t>
      </w:r>
      <w:r>
        <w:t>p</w:t>
      </w:r>
      <w:r w:rsidRPr="005269E5">
        <w:t>ol</w:t>
      </w:r>
      <w:r>
        <w:t>aco</w:t>
      </w:r>
      <w:r w:rsidRPr="005269E5">
        <w:t xml:space="preserve">, </w:t>
      </w:r>
      <w:r>
        <w:t>el letón</w:t>
      </w:r>
      <w:r w:rsidRPr="005269E5">
        <w:t xml:space="preserve">, </w:t>
      </w:r>
      <w:r>
        <w:t>el l</w:t>
      </w:r>
      <w:r w:rsidRPr="005269E5">
        <w:t>ituan</w:t>
      </w:r>
      <w:r>
        <w:t>o</w:t>
      </w:r>
      <w:r w:rsidRPr="005269E5">
        <w:t xml:space="preserve">, </w:t>
      </w:r>
      <w:r>
        <w:t>el r</w:t>
      </w:r>
      <w:r w:rsidRPr="005269E5">
        <w:t>us</w:t>
      </w:r>
      <w:r>
        <w:t>o</w:t>
      </w:r>
      <w:r w:rsidRPr="005269E5">
        <w:t xml:space="preserve">, </w:t>
      </w:r>
      <w:r>
        <w:t>el es</w:t>
      </w:r>
      <w:r w:rsidRPr="005269E5">
        <w:t>pa</w:t>
      </w:r>
      <w:r>
        <w:t>ñol</w:t>
      </w:r>
      <w:r w:rsidRPr="005269E5">
        <w:t xml:space="preserve"> </w:t>
      </w:r>
      <w:r>
        <w:t>y el</w:t>
      </w:r>
      <w:r w:rsidRPr="005269E5">
        <w:t xml:space="preserve"> </w:t>
      </w:r>
      <w:r>
        <w:t>alemán</w:t>
      </w:r>
      <w:r w:rsidRPr="005269E5">
        <w:t>;</w:t>
      </w:r>
    </w:p>
    <w:p w:rsidR="000100D5" w:rsidRPr="00EE1B7F" w:rsidRDefault="000100D5" w:rsidP="000100D5">
      <w:pPr>
        <w:pStyle w:val="SingleTxtG"/>
      </w:pPr>
      <w:r w:rsidRPr="005269E5">
        <w:tab/>
        <w:t>b)</w:t>
      </w:r>
      <w:r w:rsidRPr="005269E5">
        <w:tab/>
      </w:r>
      <w:r>
        <w:t>El Departamento de Educación y Ciencia está llevando a cabo un análisis de la rentabilidad de la inversión en Inglés segunda lengua</w:t>
      </w:r>
      <w:r w:rsidRPr="005269E5">
        <w:t xml:space="preserve">. </w:t>
      </w:r>
      <w:r w:rsidRPr="00EE1B7F">
        <w:t xml:space="preserve">Se trata de </w:t>
      </w:r>
      <w:r>
        <w:t>determina</w:t>
      </w:r>
      <w:r w:rsidRPr="00EE1B7F">
        <w:t xml:space="preserve">r si se cuenta con los apoyos necesarios para los </w:t>
      </w:r>
      <w:r>
        <w:t>alumno</w:t>
      </w:r>
      <w:r w:rsidRPr="00EE1B7F">
        <w:t xml:space="preserve">s de Inglés segunda lengua. </w:t>
      </w:r>
      <w:r>
        <w:t>El informe estará terminado a finales de</w:t>
      </w:r>
      <w:r w:rsidRPr="00EE1B7F">
        <w:t xml:space="preserve"> 2009;</w:t>
      </w:r>
    </w:p>
    <w:p w:rsidR="000100D5" w:rsidRPr="005269E5" w:rsidRDefault="000100D5" w:rsidP="000100D5">
      <w:pPr>
        <w:pStyle w:val="SingleTxtG"/>
      </w:pPr>
      <w:r w:rsidRPr="00EE1B7F">
        <w:tab/>
      </w:r>
      <w:r w:rsidRPr="005269E5">
        <w:t>c)</w:t>
      </w:r>
      <w:r w:rsidRPr="005269E5">
        <w:tab/>
      </w:r>
      <w:r>
        <w:t>La elaboración de una estrategia de educación multicultural,</w:t>
      </w:r>
      <w:r w:rsidRPr="005269E5">
        <w:t xml:space="preserve"> </w:t>
      </w:r>
      <w:r>
        <w:t>que se estudia más a fondo en la</w:t>
      </w:r>
      <w:r w:rsidRPr="005269E5">
        <w:t xml:space="preserve"> resp</w:t>
      </w:r>
      <w:r>
        <w:t>uesta a la observación final, que figura en el párrafo 21 del informe del</w:t>
      </w:r>
      <w:r w:rsidRPr="005269E5">
        <w:t xml:space="preserve"> </w:t>
      </w:r>
      <w:r w:rsidR="00466CA0">
        <w:t>Coordinador encargado del seguimiento</w:t>
      </w:r>
      <w:r w:rsidRPr="005269E5">
        <w:t>;</w:t>
      </w:r>
    </w:p>
    <w:p w:rsidR="000100D5" w:rsidRPr="005269E5" w:rsidRDefault="000100D5" w:rsidP="000100D5">
      <w:pPr>
        <w:pStyle w:val="SingleTxtG"/>
      </w:pPr>
      <w:r w:rsidRPr="005269E5">
        <w:tab/>
        <w:t>d)</w:t>
      </w:r>
      <w:r w:rsidRPr="005269E5">
        <w:tab/>
      </w:r>
      <w:r>
        <w:t>En 2008/2009 se ofreció a todos los profesores de Inglés segunda lengua un curso de desarrollo</w:t>
      </w:r>
      <w:r w:rsidRPr="005269E5">
        <w:t xml:space="preserve"> </w:t>
      </w:r>
      <w:r>
        <w:t>p</w:t>
      </w:r>
      <w:r w:rsidRPr="005269E5">
        <w:t xml:space="preserve">rofesional </w:t>
      </w:r>
      <w:r>
        <w:t>permanente</w:t>
      </w:r>
      <w:r w:rsidRPr="005269E5">
        <w:t xml:space="preserve"> </w:t>
      </w:r>
      <w:r>
        <w:t>y hay personal</w:t>
      </w:r>
      <w:r w:rsidRPr="005269E5">
        <w:t xml:space="preserve"> </w:t>
      </w:r>
      <w:r>
        <w:t>e</w:t>
      </w:r>
      <w:r w:rsidRPr="005269E5">
        <w:t>speciali</w:t>
      </w:r>
      <w:r>
        <w:t>zado</w:t>
      </w:r>
      <w:r w:rsidRPr="005269E5">
        <w:t xml:space="preserve"> </w:t>
      </w:r>
      <w:r>
        <w:t xml:space="preserve">que </w:t>
      </w:r>
      <w:r w:rsidRPr="005269E5">
        <w:t>visit</w:t>
      </w:r>
      <w:r>
        <w:t>a</w:t>
      </w:r>
      <w:r w:rsidRPr="005269E5">
        <w:t xml:space="preserve"> </w:t>
      </w:r>
      <w:r>
        <w:t>las e</w:t>
      </w:r>
      <w:r w:rsidRPr="005269E5">
        <w:t>sc</w:t>
      </w:r>
      <w:r>
        <w:t>ue</w:t>
      </w:r>
      <w:r w:rsidRPr="005269E5">
        <w:t>l</w:t>
      </w:r>
      <w:r>
        <w:t>a</w:t>
      </w:r>
      <w:r w:rsidRPr="005269E5">
        <w:t>s</w:t>
      </w:r>
      <w:r>
        <w:t xml:space="preserve"> para prestar un apoyo más intenso</w:t>
      </w:r>
      <w:r w:rsidRPr="005269E5">
        <w:t>;</w:t>
      </w:r>
    </w:p>
    <w:p w:rsidR="000100D5" w:rsidRPr="005269E5" w:rsidRDefault="000100D5" w:rsidP="000100D5">
      <w:pPr>
        <w:pStyle w:val="SingleTxtG"/>
      </w:pPr>
      <w:r w:rsidRPr="005269E5">
        <w:tab/>
        <w:t>e)</w:t>
      </w:r>
      <w:r w:rsidRPr="005269E5">
        <w:tab/>
      </w:r>
      <w:r>
        <w:t>Más de</w:t>
      </w:r>
      <w:r w:rsidRPr="005269E5">
        <w:t xml:space="preserve"> 1</w:t>
      </w:r>
      <w:r w:rsidR="00C67360">
        <w:t>.</w:t>
      </w:r>
      <w:r w:rsidRPr="005269E5">
        <w:t xml:space="preserve">600 </w:t>
      </w:r>
      <w:r>
        <w:t>profesores</w:t>
      </w:r>
      <w:r w:rsidRPr="005269E5">
        <w:t xml:space="preserve"> participa</w:t>
      </w:r>
      <w:r>
        <w:t>ron en un curso</w:t>
      </w:r>
      <w:r w:rsidRPr="005269E5">
        <w:t xml:space="preserve"> na</w:t>
      </w:r>
      <w:r>
        <w:t>cional e</w:t>
      </w:r>
      <w:r w:rsidRPr="005269E5">
        <w:t>n</w:t>
      </w:r>
      <w:r>
        <w:t xml:space="preserve"> </w:t>
      </w:r>
      <w:r w:rsidRPr="005269E5">
        <w:t>l</w:t>
      </w:r>
      <w:r>
        <w:t>í</w:t>
      </w:r>
      <w:r w:rsidRPr="005269E5">
        <w:t>ne</w:t>
      </w:r>
      <w:r w:rsidR="00C67360">
        <w:t>a sobre la enseñanza del i</w:t>
      </w:r>
      <w:r>
        <w:t>nglés segunda lengua en el verano de 2007</w:t>
      </w:r>
      <w:r w:rsidRPr="005269E5">
        <w:t xml:space="preserve">. </w:t>
      </w:r>
      <w:r>
        <w:t>En 2007/2008 se ofreció ese curso a otros 250 profesores</w:t>
      </w:r>
      <w:r w:rsidRPr="005269E5">
        <w:t>;</w:t>
      </w:r>
    </w:p>
    <w:p w:rsidR="000100D5" w:rsidRPr="005269E5" w:rsidRDefault="000100D5" w:rsidP="000100D5">
      <w:pPr>
        <w:pStyle w:val="SingleTxtG"/>
      </w:pPr>
      <w:r w:rsidRPr="005269E5">
        <w:tab/>
        <w:t>f)</w:t>
      </w:r>
      <w:r w:rsidRPr="005269E5">
        <w:tab/>
      </w:r>
      <w:r>
        <w:t>El Departamento de Educación y Ciencia financia una Asociación de profesores de apoyo de lengua inglesa</w:t>
      </w:r>
      <w:r w:rsidRPr="005269E5">
        <w:rPr>
          <w:rStyle w:val="FootnoteReference"/>
        </w:rPr>
        <w:footnoteReference w:id="36"/>
      </w:r>
      <w:r w:rsidRPr="005269E5">
        <w:t>;</w:t>
      </w:r>
    </w:p>
    <w:p w:rsidR="000100D5" w:rsidRPr="005269E5" w:rsidRDefault="000100D5" w:rsidP="000100D5">
      <w:pPr>
        <w:pStyle w:val="SingleTxtG"/>
      </w:pPr>
      <w:r w:rsidRPr="005269E5">
        <w:tab/>
        <w:t>g)</w:t>
      </w:r>
      <w:r w:rsidRPr="005269E5">
        <w:tab/>
      </w:r>
      <w:r>
        <w:t>El Organismo de</w:t>
      </w:r>
      <w:r w:rsidRPr="005269E5">
        <w:t xml:space="preserve"> Recep</w:t>
      </w:r>
      <w:r>
        <w:t>c</w:t>
      </w:r>
      <w:r w:rsidRPr="005269E5">
        <w:t>i</w:t>
      </w:r>
      <w:r>
        <w:t>ó</w:t>
      </w:r>
      <w:r w:rsidRPr="005269E5">
        <w:t xml:space="preserve">n </w:t>
      </w:r>
      <w:r>
        <w:t>e</w:t>
      </w:r>
      <w:r w:rsidRPr="005269E5">
        <w:t xml:space="preserve"> Integra</w:t>
      </w:r>
      <w:r>
        <w:t>c</w:t>
      </w:r>
      <w:r w:rsidRPr="005269E5">
        <w:t>i</w:t>
      </w:r>
      <w:r>
        <w:t>ó</w:t>
      </w:r>
      <w:r w:rsidRPr="005269E5">
        <w:t>n</w:t>
      </w:r>
      <w:r w:rsidRPr="005269E5">
        <w:rPr>
          <w:rStyle w:val="FootnoteReference"/>
        </w:rPr>
        <w:footnoteReference w:id="37"/>
      </w:r>
      <w:r w:rsidRPr="005269E5">
        <w:t xml:space="preserve"> a</w:t>
      </w:r>
      <w:r>
        <w:t>yuda a los solicitantes de</w:t>
      </w:r>
      <w:r w:rsidRPr="005269E5">
        <w:t xml:space="preserve"> </w:t>
      </w:r>
      <w:r>
        <w:t>asilo y la</w:t>
      </w:r>
      <w:r w:rsidRPr="005269E5">
        <w:t xml:space="preserve"> Ofic</w:t>
      </w:r>
      <w:r>
        <w:t>ina del</w:t>
      </w:r>
      <w:r w:rsidRPr="005269E5">
        <w:t xml:space="preserve"> Ministr</w:t>
      </w:r>
      <w:r>
        <w:t>o para la</w:t>
      </w:r>
      <w:r w:rsidRPr="005269E5">
        <w:t xml:space="preserve"> Integra</w:t>
      </w:r>
      <w:r>
        <w:t>c</w:t>
      </w:r>
      <w:r w:rsidRPr="005269E5">
        <w:t>i</w:t>
      </w:r>
      <w:r>
        <w:t>ón</w:t>
      </w:r>
      <w:r w:rsidRPr="005269E5">
        <w:rPr>
          <w:rStyle w:val="FootnoteReference"/>
        </w:rPr>
        <w:footnoteReference w:id="38"/>
      </w:r>
      <w:r w:rsidRPr="005269E5">
        <w:t xml:space="preserve"> </w:t>
      </w:r>
      <w:r>
        <w:t>hace lo propio con los refugiados acogidos al</w:t>
      </w:r>
      <w:r w:rsidRPr="005269E5">
        <w:t xml:space="preserve"> program</w:t>
      </w:r>
      <w:r>
        <w:t>a para</w:t>
      </w:r>
      <w:r w:rsidRPr="005269E5">
        <w:t xml:space="preserve"> </w:t>
      </w:r>
      <w:r>
        <w:t xml:space="preserve">su </w:t>
      </w:r>
      <w:r w:rsidRPr="005269E5">
        <w:t>integra</w:t>
      </w:r>
      <w:r>
        <w:t>ción en las</w:t>
      </w:r>
      <w:r w:rsidRPr="005269E5">
        <w:t xml:space="preserve"> </w:t>
      </w:r>
      <w:r>
        <w:t>e</w:t>
      </w:r>
      <w:r w:rsidRPr="005269E5">
        <w:t>sc</w:t>
      </w:r>
      <w:r>
        <w:t>uelas</w:t>
      </w:r>
      <w:r w:rsidRPr="005269E5">
        <w:t>.</w:t>
      </w:r>
    </w:p>
    <w:p w:rsidR="000100D5" w:rsidRPr="005269E5" w:rsidRDefault="000100D5" w:rsidP="000100D5">
      <w:pPr>
        <w:pStyle w:val="SingleTxtG"/>
      </w:pPr>
      <w:r w:rsidRPr="005269E5">
        <w:t>102.</w:t>
      </w:r>
      <w:r w:rsidRPr="005269E5">
        <w:tab/>
      </w:r>
      <w:r>
        <w:t>Entre el material más importante que se ha elaborado, se debe mencionar</w:t>
      </w:r>
      <w:r w:rsidRPr="005269E5">
        <w:t>:</w:t>
      </w:r>
    </w:p>
    <w:p w:rsidR="000100D5" w:rsidRPr="003E4D21" w:rsidRDefault="000100D5" w:rsidP="000100D5">
      <w:pPr>
        <w:pStyle w:val="SingleTxtG"/>
      </w:pPr>
      <w:r w:rsidRPr="005269E5">
        <w:tab/>
        <w:t>a)</w:t>
      </w:r>
      <w:r w:rsidRPr="005269E5">
        <w:tab/>
      </w:r>
      <w:r>
        <w:t>El</w:t>
      </w:r>
      <w:r w:rsidRPr="005269E5">
        <w:t xml:space="preserve"> </w:t>
      </w:r>
      <w:r>
        <w:t xml:space="preserve">Consejo </w:t>
      </w:r>
      <w:r w:rsidRPr="005269E5">
        <w:t>Na</w:t>
      </w:r>
      <w:r>
        <w:t>c</w:t>
      </w:r>
      <w:r w:rsidRPr="005269E5">
        <w:t xml:space="preserve">ional </w:t>
      </w:r>
      <w:r>
        <w:t>para el Plan de Estudios y la Evaluación ha redactado unas directrices multi</w:t>
      </w:r>
      <w:r w:rsidRPr="005269E5">
        <w:t>cultural</w:t>
      </w:r>
      <w:r>
        <w:t>es tanto para las escuelas</w:t>
      </w:r>
      <w:r w:rsidRPr="005269E5">
        <w:t xml:space="preserve"> primar</w:t>
      </w:r>
      <w:r>
        <w:t>ias como para las</w:t>
      </w:r>
      <w:r w:rsidRPr="005269E5">
        <w:t xml:space="preserve"> posprimar</w:t>
      </w:r>
      <w:r>
        <w:t>ias que brindan ejemplos de las mejores</w:t>
      </w:r>
      <w:r w:rsidRPr="005269E5">
        <w:t xml:space="preserve"> </w:t>
      </w:r>
      <w:r>
        <w:t xml:space="preserve">prácticas para configurar un aula </w:t>
      </w:r>
      <w:r w:rsidRPr="005269E5">
        <w:t>intercultural</w:t>
      </w:r>
      <w:r>
        <w:t xml:space="preserve"> y facilitan</w:t>
      </w:r>
      <w:r w:rsidRPr="005269E5">
        <w:t xml:space="preserve"> demostra</w:t>
      </w:r>
      <w:r>
        <w:t>c</w:t>
      </w:r>
      <w:r w:rsidRPr="005269E5">
        <w:t>ion</w:t>
      </w:r>
      <w:r>
        <w:t>e</w:t>
      </w:r>
      <w:r w:rsidRPr="005269E5">
        <w:t xml:space="preserve">s </w:t>
      </w:r>
      <w:r>
        <w:t>en línea en su sitio web</w:t>
      </w:r>
      <w:r w:rsidRPr="005269E5">
        <w:t xml:space="preserve"> (www.ncca.ie)</w:t>
      </w:r>
      <w:r>
        <w:t>;</w:t>
      </w:r>
      <w:r w:rsidRPr="005269E5">
        <w:t xml:space="preserve"> </w:t>
      </w:r>
      <w:r>
        <w:t>véase también la</w:t>
      </w:r>
      <w:r w:rsidRPr="005269E5">
        <w:t xml:space="preserve"> resp</w:t>
      </w:r>
      <w:r>
        <w:t>uesta ofrecida en el</w:t>
      </w:r>
      <w:r w:rsidRPr="005269E5">
        <w:t xml:space="preserve"> </w:t>
      </w:r>
      <w:r>
        <w:t>a</w:t>
      </w:r>
      <w:r w:rsidRPr="005269E5">
        <w:t>rt</w:t>
      </w:r>
      <w:r>
        <w:t>í</w:t>
      </w:r>
      <w:r w:rsidRPr="005269E5">
        <w:t>c</w:t>
      </w:r>
      <w:r>
        <w:t>u</w:t>
      </w:r>
      <w:r w:rsidRPr="005269E5">
        <w:t>l</w:t>
      </w:r>
      <w:r>
        <w:t>o</w:t>
      </w:r>
      <w:r w:rsidRPr="005269E5">
        <w:t xml:space="preserve"> 7 A)</w:t>
      </w:r>
      <w:r>
        <w:t xml:space="preserve"> </w:t>
      </w:r>
      <w:r w:rsidRPr="005269E5">
        <w:t xml:space="preserve">4) </w:t>
      </w:r>
      <w:r>
        <w:t>para más</w:t>
      </w:r>
      <w:r w:rsidRPr="005269E5">
        <w:t xml:space="preserve"> deta</w:t>
      </w:r>
      <w:r>
        <w:t>l</w:t>
      </w:r>
      <w:r w:rsidRPr="005269E5">
        <w:t>l</w:t>
      </w:r>
      <w:r>
        <w:t>e</w:t>
      </w:r>
      <w:r w:rsidRPr="005269E5">
        <w:t xml:space="preserve">s. </w:t>
      </w:r>
      <w:r w:rsidRPr="003E4D21">
        <w:t>Además de las directrices relativas al Inglés segunda lengua</w:t>
      </w:r>
      <w:r>
        <w:t>, destinadas a</w:t>
      </w:r>
      <w:r w:rsidRPr="003E4D21">
        <w:t xml:space="preserve"> los maestros de enseñanza primaria general, el Consejo Nacional para el Plan de estudios y la Evaluaci</w:t>
      </w:r>
      <w:r>
        <w:t>ón ha elaborado también un folleto y un</w:t>
      </w:r>
      <w:r w:rsidRPr="003E4D21">
        <w:t xml:space="preserve"> DVD </w:t>
      </w:r>
      <w:r>
        <w:t>para los</w:t>
      </w:r>
      <w:r w:rsidRPr="003E4D21">
        <w:t xml:space="preserve"> pa</w:t>
      </w:r>
      <w:r>
        <w:t>d</w:t>
      </w:r>
      <w:r w:rsidRPr="003E4D21">
        <w:t xml:space="preserve">res </w:t>
      </w:r>
      <w:r>
        <w:t>sobre el plan de estudios de la enseñanza primaria en varios idiomas</w:t>
      </w:r>
      <w:r w:rsidRPr="003E4D21">
        <w:t>;</w:t>
      </w:r>
    </w:p>
    <w:p w:rsidR="000100D5" w:rsidRPr="003E4D21" w:rsidRDefault="000100D5" w:rsidP="000100D5">
      <w:pPr>
        <w:pStyle w:val="SingleTxtG"/>
      </w:pPr>
      <w:r w:rsidRPr="003E4D21">
        <w:tab/>
      </w:r>
      <w:r w:rsidRPr="005269E5">
        <w:t>b)</w:t>
      </w:r>
      <w:r w:rsidRPr="005269E5">
        <w:tab/>
        <w:t xml:space="preserve">Integrate Ireland Language and Training </w:t>
      </w:r>
      <w:r>
        <w:t>(Capacitación integral en lengua irlandesa) ha redactado unas directrices para el Inglés segunda lengua dirigidas a los maestros de segundo nivel.</w:t>
      </w:r>
      <w:r w:rsidRPr="005269E5">
        <w:t xml:space="preserve"> </w:t>
      </w:r>
      <w:r w:rsidRPr="003E4D21">
        <w:t>En el sitio web de la</w:t>
      </w:r>
      <w:r w:rsidR="005007D6">
        <w:t xml:space="preserve"> </w:t>
      </w:r>
      <w:r w:rsidRPr="003E4D21">
        <w:t>NCCA (</w:t>
      </w:r>
      <w:hyperlink r:id="rId9" w:history="1">
        <w:r w:rsidRPr="003E4D21">
          <w:rPr>
            <w:rStyle w:val="Hyperlink"/>
          </w:rPr>
          <w:t>www.ncca.ie)</w:t>
        </w:r>
      </w:hyperlink>
      <w:r w:rsidRPr="003E4D21">
        <w:t xml:space="preserve"> </w:t>
      </w:r>
      <w:r>
        <w:t>se puede encontrar material auxiliar preparado por Integrate Ireland Language and Training</w:t>
      </w:r>
      <w:r w:rsidRPr="003E4D21">
        <w:t>;</w:t>
      </w:r>
    </w:p>
    <w:p w:rsidR="000100D5" w:rsidRPr="00464FA7" w:rsidRDefault="000100D5" w:rsidP="000100D5">
      <w:pPr>
        <w:pStyle w:val="SingleTxtG"/>
        <w:keepLines/>
      </w:pPr>
      <w:r w:rsidRPr="003E4D21">
        <w:tab/>
      </w:r>
      <w:r w:rsidRPr="005269E5">
        <w:t>c)</w:t>
      </w:r>
      <w:r w:rsidRPr="005269E5">
        <w:tab/>
      </w:r>
      <w:r>
        <w:t>Se han elaborado unas carpetas de evaluación de la lengua inglesa para las escuelas</w:t>
      </w:r>
      <w:r w:rsidRPr="005269E5">
        <w:t xml:space="preserve"> primar</w:t>
      </w:r>
      <w:r>
        <w:t>ias y</w:t>
      </w:r>
      <w:r w:rsidRPr="005269E5">
        <w:t xml:space="preserve"> posprimar</w:t>
      </w:r>
      <w:r>
        <w:t>ias, que se han enviado a todas los</w:t>
      </w:r>
      <w:r w:rsidRPr="005269E5">
        <w:t xml:space="preserve"> </w:t>
      </w:r>
      <w:r>
        <w:t>centros escolares</w:t>
      </w:r>
      <w:r w:rsidRPr="005269E5">
        <w:t xml:space="preserve">. </w:t>
      </w:r>
      <w:r w:rsidRPr="00464FA7">
        <w:t>Esas carpetas permiten a los maestros val</w:t>
      </w:r>
      <w:r>
        <w:t>or</w:t>
      </w:r>
      <w:r w:rsidRPr="00464FA7">
        <w:t xml:space="preserve">ar objetivamente la competencia lingüística de los alumnos y establecer planes de aprendizaje individualizados </w:t>
      </w:r>
      <w:r>
        <w:t>basados en el Marco común europeo de referencia para las lenguas</w:t>
      </w:r>
      <w:r w:rsidRPr="00464FA7">
        <w:t>;</w:t>
      </w:r>
    </w:p>
    <w:p w:rsidR="000100D5" w:rsidRPr="007501CF" w:rsidRDefault="000100D5" w:rsidP="000100D5">
      <w:pPr>
        <w:pStyle w:val="SingleTxtG"/>
      </w:pPr>
      <w:r w:rsidRPr="00464FA7">
        <w:tab/>
      </w:r>
      <w:r w:rsidRPr="005269E5">
        <w:t>d)</w:t>
      </w:r>
      <w:r w:rsidRPr="005269E5">
        <w:tab/>
      </w:r>
      <w:r>
        <w:t>El Departamento de Educación y Ciencia</w:t>
      </w:r>
      <w:r w:rsidR="005007D6">
        <w:t xml:space="preserve"> </w:t>
      </w:r>
      <w:r>
        <w:t>y las autoridades educativas de</w:t>
      </w:r>
      <w:r w:rsidR="005007D6">
        <w:t xml:space="preserve"> </w:t>
      </w:r>
      <w:r>
        <w:t xml:space="preserve">Irlanda del Norte elaboraron un </w:t>
      </w:r>
      <w:r>
        <w:rPr>
          <w:i/>
        </w:rPr>
        <w:t>Estuche de herramientas para la</w:t>
      </w:r>
      <w:r w:rsidRPr="005269E5">
        <w:rPr>
          <w:i/>
        </w:rPr>
        <w:t xml:space="preserve"> diversi</w:t>
      </w:r>
      <w:r>
        <w:rPr>
          <w:i/>
        </w:rPr>
        <w:t>dad en las escuelas</w:t>
      </w:r>
      <w:r w:rsidRPr="005269E5">
        <w:rPr>
          <w:i/>
        </w:rPr>
        <w:t xml:space="preserve"> primar</w:t>
      </w:r>
      <w:r>
        <w:rPr>
          <w:i/>
        </w:rPr>
        <w:t>ias</w:t>
      </w:r>
      <w:r w:rsidRPr="005269E5">
        <w:t xml:space="preserve"> – </w:t>
      </w:r>
      <w:r>
        <w:rPr>
          <w:i/>
        </w:rPr>
        <w:t>Juntos hacia la</w:t>
      </w:r>
      <w:r w:rsidRPr="005269E5">
        <w:rPr>
          <w:i/>
        </w:rPr>
        <w:t xml:space="preserve"> in</w:t>
      </w:r>
      <w:r>
        <w:rPr>
          <w:i/>
        </w:rPr>
        <w:t>tegrac</w:t>
      </w:r>
      <w:r w:rsidRPr="005269E5">
        <w:rPr>
          <w:i/>
        </w:rPr>
        <w:t>i</w:t>
      </w:r>
      <w:r>
        <w:rPr>
          <w:i/>
        </w:rPr>
        <w:t>ó</w:t>
      </w:r>
      <w:r w:rsidRPr="005269E5">
        <w:rPr>
          <w:i/>
        </w:rPr>
        <w:t>n</w:t>
      </w:r>
      <w:r w:rsidRPr="005269E5">
        <w:rPr>
          <w:rStyle w:val="FootnoteReference"/>
        </w:rPr>
        <w:footnoteReference w:id="39"/>
      </w:r>
      <w:r w:rsidRPr="005269E5">
        <w:t xml:space="preserve"> </w:t>
      </w:r>
      <w:r>
        <w:t>y lo enviaron en 2008 a todas las escuelas de la isla</w:t>
      </w:r>
      <w:r w:rsidRPr="005269E5">
        <w:t xml:space="preserve">. </w:t>
      </w:r>
      <w:r w:rsidRPr="007501CF">
        <w:t>Contribuye al fomento de la capacidad a nivel escolar en lo tocante al aprendizaje y a la docencia, el papel de los padres y la comunidad, la evaluaci</w:t>
      </w:r>
      <w:r>
        <w:t>ón y el control del progreso de los alumnos y la</w:t>
      </w:r>
      <w:r w:rsidRPr="007501CF">
        <w:t xml:space="preserve"> promo</w:t>
      </w:r>
      <w:r>
        <w:t>ción del principio de integración en las escuelas</w:t>
      </w:r>
      <w:r w:rsidRPr="007501CF">
        <w:t>.</w:t>
      </w:r>
    </w:p>
    <w:p w:rsidR="000100D5" w:rsidRPr="005269E5" w:rsidRDefault="000100D5" w:rsidP="000100D5">
      <w:pPr>
        <w:pStyle w:val="H4G"/>
      </w:pPr>
      <w:r w:rsidRPr="007501CF">
        <w:tab/>
      </w:r>
      <w:r w:rsidRPr="005269E5">
        <w:t>b)</w:t>
      </w:r>
      <w:r w:rsidRPr="005269E5">
        <w:tab/>
      </w:r>
      <w:r>
        <w:t>Para</w:t>
      </w:r>
      <w:r w:rsidRPr="005269E5">
        <w:t xml:space="preserve"> adult</w:t>
      </w:r>
      <w:r>
        <w:t>o</w:t>
      </w:r>
      <w:r w:rsidRPr="005269E5">
        <w:t>s</w:t>
      </w:r>
    </w:p>
    <w:p w:rsidR="000100D5" w:rsidRPr="005269E5" w:rsidRDefault="000100D5" w:rsidP="000100D5">
      <w:pPr>
        <w:pStyle w:val="SingleTxtG"/>
      </w:pPr>
      <w:r w:rsidRPr="005269E5">
        <w:t>103.</w:t>
      </w:r>
      <w:r w:rsidRPr="005269E5">
        <w:tab/>
      </w:r>
      <w:r>
        <w:t>Más de</w:t>
      </w:r>
      <w:r w:rsidRPr="005269E5">
        <w:t xml:space="preserve"> 12</w:t>
      </w:r>
      <w:r w:rsidR="00C67360">
        <w:t>.</w:t>
      </w:r>
      <w:r w:rsidRPr="005269E5">
        <w:t>000 migrant</w:t>
      </w:r>
      <w:r>
        <w:t>e</w:t>
      </w:r>
      <w:r w:rsidRPr="005269E5">
        <w:t xml:space="preserve">s </w:t>
      </w:r>
      <w:r>
        <w:t>están aprendiendo</w:t>
      </w:r>
      <w:r w:rsidRPr="005269E5">
        <w:t xml:space="preserve"> </w:t>
      </w:r>
      <w:r>
        <w:t>i</w:t>
      </w:r>
      <w:r w:rsidRPr="005269E5">
        <w:t>ngl</w:t>
      </w:r>
      <w:r>
        <w:t>és</w:t>
      </w:r>
      <w:r w:rsidRPr="005269E5">
        <w:t xml:space="preserve"> </w:t>
      </w:r>
      <w:r>
        <w:t>e</w:t>
      </w:r>
      <w:r w:rsidRPr="005269E5">
        <w:t xml:space="preserve">n </w:t>
      </w:r>
      <w:r>
        <w:t xml:space="preserve">las </w:t>
      </w:r>
      <w:r w:rsidRPr="005269E5">
        <w:t xml:space="preserve">clases </w:t>
      </w:r>
      <w:r>
        <w:t>impartidas por la red</w:t>
      </w:r>
      <w:r w:rsidRPr="005269E5">
        <w:t xml:space="preserve"> na</w:t>
      </w:r>
      <w:r>
        <w:t>c</w:t>
      </w:r>
      <w:r w:rsidRPr="005269E5">
        <w:t>ional</w:t>
      </w:r>
      <w:r>
        <w:t xml:space="preserve"> de Comités de</w:t>
      </w:r>
      <w:r w:rsidRPr="005269E5">
        <w:t xml:space="preserve"> E</w:t>
      </w:r>
      <w:r>
        <w:t xml:space="preserve">ducación Profesional con un coste superior en 2008 a </w:t>
      </w:r>
      <w:r w:rsidRPr="005269E5">
        <w:t>10 millon</w:t>
      </w:r>
      <w:r>
        <w:t>es de euros.</w:t>
      </w:r>
    </w:p>
    <w:p w:rsidR="000100D5" w:rsidRPr="005269E5" w:rsidRDefault="000100D5" w:rsidP="000100D5">
      <w:pPr>
        <w:pStyle w:val="H4G"/>
      </w:pPr>
      <w:r w:rsidRPr="005269E5">
        <w:tab/>
        <w:t>c)</w:t>
      </w:r>
      <w:r w:rsidRPr="005269E5">
        <w:tab/>
      </w:r>
      <w:r>
        <w:t>Es</w:t>
      </w:r>
      <w:r w:rsidRPr="005269E5">
        <w:t>c</w:t>
      </w:r>
      <w:r>
        <w:t>ue</w:t>
      </w:r>
      <w:r w:rsidRPr="005269E5">
        <w:t>l</w:t>
      </w:r>
      <w:r>
        <w:t>a</w:t>
      </w:r>
      <w:r w:rsidRPr="005269E5">
        <w:t xml:space="preserve">s </w:t>
      </w:r>
      <w:r>
        <w:t>y</w:t>
      </w:r>
      <w:r w:rsidRPr="005269E5">
        <w:t xml:space="preserve"> diversi</w:t>
      </w:r>
      <w:r>
        <w:t>dad</w:t>
      </w:r>
    </w:p>
    <w:p w:rsidR="000100D5" w:rsidRPr="005269E5" w:rsidRDefault="000100D5" w:rsidP="000100D5">
      <w:pPr>
        <w:pStyle w:val="SingleTxtG"/>
      </w:pPr>
      <w:r w:rsidRPr="005269E5">
        <w:t>104.</w:t>
      </w:r>
      <w:r w:rsidRPr="005269E5">
        <w:tab/>
      </w:r>
      <w:r>
        <w:t>Hay f</w:t>
      </w:r>
      <w:r w:rsidRPr="005269E5">
        <w:t>actor</w:t>
      </w:r>
      <w:r>
        <w:t>e</w:t>
      </w:r>
      <w:r w:rsidRPr="005269E5">
        <w:t xml:space="preserve">s </w:t>
      </w:r>
      <w:r>
        <w:t>como la tasa creciente de natalidad desde</w:t>
      </w:r>
      <w:r w:rsidRPr="005269E5">
        <w:t xml:space="preserve"> 1995, </w:t>
      </w:r>
      <w:r>
        <w:t>la</w:t>
      </w:r>
      <w:r w:rsidRPr="005269E5">
        <w:t xml:space="preserve"> migra</w:t>
      </w:r>
      <w:r>
        <w:t>c</w:t>
      </w:r>
      <w:r w:rsidRPr="005269E5">
        <w:t>i</w:t>
      </w:r>
      <w:r>
        <w:t>ó</w:t>
      </w:r>
      <w:r w:rsidRPr="005269E5">
        <w:t xml:space="preserve">n </w:t>
      </w:r>
      <w:r>
        <w:t>interna y el incremento de la</w:t>
      </w:r>
      <w:r w:rsidRPr="005269E5">
        <w:t xml:space="preserve"> participa</w:t>
      </w:r>
      <w:r>
        <w:t>c</w:t>
      </w:r>
      <w:r w:rsidRPr="005269E5">
        <w:t>i</w:t>
      </w:r>
      <w:r>
        <w:t>ó</w:t>
      </w:r>
      <w:r w:rsidRPr="005269E5">
        <w:t>n (</w:t>
      </w:r>
      <w:r>
        <w:t xml:space="preserve">en </w:t>
      </w:r>
      <w:r w:rsidRPr="005269E5">
        <w:t xml:space="preserve">especial </w:t>
      </w:r>
      <w:r>
        <w:t>una vez superada la edad de escolarización obligatoria</w:t>
      </w:r>
      <w:r w:rsidRPr="005269E5">
        <w:t>)</w:t>
      </w:r>
      <w:r>
        <w:t xml:space="preserve"> que </w:t>
      </w:r>
      <w:r w:rsidRPr="005269E5">
        <w:t>ha</w:t>
      </w:r>
      <w:r>
        <w:t>n</w:t>
      </w:r>
      <w:r w:rsidRPr="005269E5">
        <w:t xml:space="preserve"> re</w:t>
      </w:r>
      <w:r>
        <w:t>percutido</w:t>
      </w:r>
      <w:r w:rsidRPr="005269E5">
        <w:t xml:space="preserve"> </w:t>
      </w:r>
      <w:r>
        <w:t>e</w:t>
      </w:r>
      <w:r w:rsidRPr="005269E5">
        <w:t xml:space="preserve">n </w:t>
      </w:r>
      <w:r>
        <w:t>un aumento de la matrícula</w:t>
      </w:r>
      <w:r w:rsidRPr="005269E5">
        <w:t xml:space="preserve"> </w:t>
      </w:r>
      <w:r>
        <w:t>e</w:t>
      </w:r>
      <w:r w:rsidRPr="005269E5">
        <w:t>scol</w:t>
      </w:r>
      <w:r>
        <w:t>ar</w:t>
      </w:r>
      <w:r w:rsidRPr="005269E5">
        <w:t>.</w:t>
      </w:r>
    </w:p>
    <w:p w:rsidR="000100D5" w:rsidRPr="00245234" w:rsidRDefault="000100D5" w:rsidP="000100D5">
      <w:pPr>
        <w:pStyle w:val="SingleTxtG"/>
      </w:pPr>
      <w:r w:rsidRPr="005269E5">
        <w:t>105.</w:t>
      </w:r>
      <w:r w:rsidRPr="005269E5">
        <w:tab/>
      </w:r>
      <w:r>
        <w:t>Con miras a hacer frente al crecimiento de la</w:t>
      </w:r>
      <w:r w:rsidRPr="005269E5">
        <w:t xml:space="preserve"> demand</w:t>
      </w:r>
      <w:r>
        <w:t>a</w:t>
      </w:r>
      <w:r w:rsidRPr="005269E5">
        <w:t xml:space="preserve">, </w:t>
      </w:r>
      <w:r>
        <w:t>el</w:t>
      </w:r>
      <w:r w:rsidRPr="005269E5">
        <w:t xml:space="preserve"> Go</w:t>
      </w:r>
      <w:r>
        <w:t>bi</w:t>
      </w:r>
      <w:r w:rsidRPr="005269E5">
        <w:t>ern</w:t>
      </w:r>
      <w:r>
        <w:t>o va a facilitar</w:t>
      </w:r>
      <w:r w:rsidR="009B7B87">
        <w:t> </w:t>
      </w:r>
      <w:r>
        <w:t>4</w:t>
      </w:r>
      <w:r w:rsidR="009B7B87">
        <w:t>.</w:t>
      </w:r>
      <w:r>
        <w:t>500 millones de euros para</w:t>
      </w:r>
      <w:r w:rsidRPr="005269E5">
        <w:t xml:space="preserve"> infra</w:t>
      </w:r>
      <w:r>
        <w:t>e</w:t>
      </w:r>
      <w:r w:rsidRPr="005269E5">
        <w:t>structur</w:t>
      </w:r>
      <w:r>
        <w:t>as</w:t>
      </w:r>
      <w:r w:rsidRPr="005269E5">
        <w:t xml:space="preserve"> </w:t>
      </w:r>
      <w:r>
        <w:t>escolares durante la duración del Plan de Desarrollo N</w:t>
      </w:r>
      <w:r w:rsidRPr="005269E5">
        <w:t>a</w:t>
      </w:r>
      <w:r>
        <w:t>c</w:t>
      </w:r>
      <w:r w:rsidRPr="005269E5">
        <w:t>ional (2007</w:t>
      </w:r>
      <w:r w:rsidR="00067DCF">
        <w:t>-</w:t>
      </w:r>
      <w:r w:rsidRPr="005269E5">
        <w:t xml:space="preserve">2013). </w:t>
      </w:r>
      <w:r w:rsidRPr="00413817">
        <w:t>L</w:t>
      </w:r>
      <w:r>
        <w:t>os gastos de</w:t>
      </w:r>
      <w:r w:rsidRPr="00413817">
        <w:t xml:space="preserve"> capital en las escuelas en 2007 y 2008 se elev</w:t>
      </w:r>
      <w:r>
        <w:t>aron casi a</w:t>
      </w:r>
      <w:r w:rsidR="005007D6">
        <w:t xml:space="preserve"> </w:t>
      </w:r>
      <w:r w:rsidR="00C67360">
        <w:t>1.</w:t>
      </w:r>
      <w:r>
        <w:t>300 millones de euros</w:t>
      </w:r>
      <w:r w:rsidRPr="00413817">
        <w:t xml:space="preserve">. </w:t>
      </w:r>
      <w:r>
        <w:t>La partida para</w:t>
      </w:r>
      <w:r w:rsidRPr="00245234">
        <w:t xml:space="preserve"> 2009 asciende a 614 millones de euros.</w:t>
      </w:r>
    </w:p>
    <w:p w:rsidR="000100D5" w:rsidRPr="005269E5" w:rsidRDefault="000100D5" w:rsidP="000100D5">
      <w:pPr>
        <w:pStyle w:val="H4G"/>
      </w:pPr>
      <w:r w:rsidRPr="00245234">
        <w:tab/>
      </w:r>
      <w:r w:rsidRPr="005269E5">
        <w:t>d)</w:t>
      </w:r>
      <w:r w:rsidRPr="005269E5">
        <w:tab/>
      </w:r>
      <w:r>
        <w:t>Cifras escolares y</w:t>
      </w:r>
      <w:r w:rsidRPr="005269E5">
        <w:t xml:space="preserve"> patro</w:t>
      </w:r>
      <w:r>
        <w:t>cinio</w:t>
      </w:r>
    </w:p>
    <w:p w:rsidR="000100D5" w:rsidRPr="005269E5" w:rsidRDefault="000100D5" w:rsidP="000100D5">
      <w:pPr>
        <w:pStyle w:val="SingleTxtG"/>
      </w:pPr>
      <w:r w:rsidRPr="005269E5">
        <w:t>106.</w:t>
      </w:r>
      <w:r w:rsidRPr="005269E5">
        <w:tab/>
      </w:r>
      <w:r>
        <w:t>La Oficina Central de</w:t>
      </w:r>
      <w:r w:rsidRPr="005269E5">
        <w:t xml:space="preserve"> </w:t>
      </w:r>
      <w:r>
        <w:t>Es</w:t>
      </w:r>
      <w:r w:rsidRPr="005269E5">
        <w:t>ta</w:t>
      </w:r>
      <w:r>
        <w:t>dí</w:t>
      </w:r>
      <w:r w:rsidRPr="005269E5">
        <w:t>stic</w:t>
      </w:r>
      <w:r>
        <w:t>a</w:t>
      </w:r>
      <w:r w:rsidRPr="005269E5">
        <w:t xml:space="preserve"> ha pro</w:t>
      </w:r>
      <w:r>
        <w:t>y</w:t>
      </w:r>
      <w:r w:rsidRPr="005269E5">
        <w:t>ect</w:t>
      </w:r>
      <w:r>
        <w:t>a</w:t>
      </w:r>
      <w:r w:rsidRPr="005269E5">
        <w:t>d</w:t>
      </w:r>
      <w:r>
        <w:t>o</w:t>
      </w:r>
      <w:r w:rsidRPr="005269E5">
        <w:t xml:space="preserve"> </w:t>
      </w:r>
      <w:r>
        <w:t>un incremento anual por término medio, entre 2011 y 2026, del 1,5% de la población nacional</w:t>
      </w:r>
      <w:r w:rsidRPr="005269E5">
        <w:t xml:space="preserve">, </w:t>
      </w:r>
      <w:r>
        <w:t xml:space="preserve">que pasará, según las previsiones, de </w:t>
      </w:r>
      <w:r w:rsidRPr="005269E5">
        <w:t>4</w:t>
      </w:r>
      <w:r w:rsidR="009B7B87">
        <w:t>.</w:t>
      </w:r>
      <w:r w:rsidRPr="005269E5">
        <w:t>233</w:t>
      </w:r>
      <w:r w:rsidR="009B7B87">
        <w:t>.</w:t>
      </w:r>
      <w:r w:rsidRPr="005269E5">
        <w:t xml:space="preserve">000 </w:t>
      </w:r>
      <w:r>
        <w:t>a</w:t>
      </w:r>
      <w:r w:rsidRPr="005269E5">
        <w:t xml:space="preserve"> 5</w:t>
      </w:r>
      <w:r w:rsidR="009B7B87">
        <w:t>.</w:t>
      </w:r>
      <w:r w:rsidRPr="005269E5">
        <w:t>696</w:t>
      </w:r>
      <w:r w:rsidR="009B7B87">
        <w:t>.</w:t>
      </w:r>
      <w:r w:rsidRPr="005269E5">
        <w:t xml:space="preserve">000 </w:t>
      </w:r>
      <w:r>
        <w:t xml:space="preserve">personas </w:t>
      </w:r>
      <w:r w:rsidRPr="005269E5">
        <w:t>dur</w:t>
      </w:r>
      <w:r>
        <w:t>a</w:t>
      </w:r>
      <w:r w:rsidRPr="005269E5">
        <w:t>n</w:t>
      </w:r>
      <w:r>
        <w:t>te ese</w:t>
      </w:r>
      <w:r w:rsidRPr="005269E5">
        <w:t xml:space="preserve"> per</w:t>
      </w:r>
      <w:r>
        <w:t>í</w:t>
      </w:r>
      <w:r w:rsidRPr="005269E5">
        <w:t>od</w:t>
      </w:r>
      <w:r>
        <w:t>o</w:t>
      </w:r>
      <w:r w:rsidRPr="005269E5">
        <w:t>.</w:t>
      </w:r>
    </w:p>
    <w:p w:rsidR="000100D5" w:rsidRPr="00AA4162" w:rsidRDefault="000100D5" w:rsidP="000100D5">
      <w:pPr>
        <w:pStyle w:val="SingleTxtG"/>
      </w:pPr>
      <w:r w:rsidRPr="005269E5">
        <w:t>107.</w:t>
      </w:r>
      <w:r w:rsidRPr="005269E5">
        <w:tab/>
      </w:r>
      <w:r>
        <w:t xml:space="preserve">El Departamento de Educación y Ciencia está emprendiendo un examen exhaustivo de los criterios y procedimientos para reconocer y crear nuevas escuelas </w:t>
      </w:r>
      <w:r w:rsidRPr="005269E5">
        <w:t>primar</w:t>
      </w:r>
      <w:r>
        <w:t>ias</w:t>
      </w:r>
      <w:r w:rsidRPr="005269E5">
        <w:t xml:space="preserve">. </w:t>
      </w:r>
      <w:r w:rsidRPr="00AA4162">
        <w:t>Entre tanto, se están estableciendo nuevos centros y se mantiene el programa normal de moderni</w:t>
      </w:r>
      <w:r>
        <w:t>zación</w:t>
      </w:r>
      <w:r w:rsidRPr="00AA4162">
        <w:t xml:space="preserve">, </w:t>
      </w:r>
      <w:r>
        <w:t>substitución o ampliación de las</w:t>
      </w:r>
      <w:r w:rsidRPr="00AA4162">
        <w:t xml:space="preserve"> </w:t>
      </w:r>
      <w:r>
        <w:t>e</w:t>
      </w:r>
      <w:r w:rsidRPr="00AA4162">
        <w:t>sc</w:t>
      </w:r>
      <w:r>
        <w:t>ue</w:t>
      </w:r>
      <w:r w:rsidRPr="00AA4162">
        <w:t>l</w:t>
      </w:r>
      <w:r>
        <w:t>a</w:t>
      </w:r>
      <w:r w:rsidRPr="00AA4162">
        <w:t xml:space="preserve">s </w:t>
      </w:r>
      <w:r>
        <w:t>existentes</w:t>
      </w:r>
      <w:r w:rsidRPr="00AA4162">
        <w:t>.</w:t>
      </w:r>
    </w:p>
    <w:p w:rsidR="000100D5" w:rsidRPr="00AA4162" w:rsidRDefault="000100D5" w:rsidP="000100D5">
      <w:pPr>
        <w:pStyle w:val="SingleTxtG"/>
      </w:pPr>
      <w:r w:rsidRPr="005269E5">
        <w:t>108.</w:t>
      </w:r>
      <w:r w:rsidRPr="005269E5">
        <w:tab/>
      </w:r>
      <w:r>
        <w:t>Hay</w:t>
      </w:r>
      <w:r w:rsidRPr="005269E5">
        <w:t xml:space="preserve"> aproxima</w:t>
      </w:r>
      <w:r>
        <w:t>damente</w:t>
      </w:r>
      <w:r w:rsidRPr="005269E5">
        <w:t xml:space="preserve"> 3</w:t>
      </w:r>
      <w:r w:rsidR="00C67360">
        <w:t>.</w:t>
      </w:r>
      <w:r w:rsidRPr="005269E5">
        <w:t xml:space="preserve">300 </w:t>
      </w:r>
      <w:r>
        <w:t xml:space="preserve">escuelas </w:t>
      </w:r>
      <w:r w:rsidRPr="005269E5">
        <w:t>primar</w:t>
      </w:r>
      <w:r>
        <w:t>ias y</w:t>
      </w:r>
      <w:r w:rsidRPr="005269E5">
        <w:t xml:space="preserve"> 750 </w:t>
      </w:r>
      <w:r>
        <w:t xml:space="preserve">escuelas </w:t>
      </w:r>
      <w:r w:rsidRPr="005269E5">
        <w:t>posprimar</w:t>
      </w:r>
      <w:r>
        <w:t>ias</w:t>
      </w:r>
      <w:r w:rsidRPr="005269E5">
        <w:t xml:space="preserve"> </w:t>
      </w:r>
      <w:r>
        <w:t>e</w:t>
      </w:r>
      <w:r w:rsidRPr="005269E5">
        <w:t xml:space="preserve">n </w:t>
      </w:r>
      <w:r>
        <w:t>el país y la inmensa</w:t>
      </w:r>
      <w:r w:rsidRPr="005269E5">
        <w:t xml:space="preserve"> ma</w:t>
      </w:r>
      <w:r>
        <w:t>yoría son de propiedad y de gestión</w:t>
      </w:r>
      <w:r w:rsidRPr="005269E5">
        <w:t xml:space="preserve"> priva</w:t>
      </w:r>
      <w:r>
        <w:t>das, pero están financiadas</w:t>
      </w:r>
      <w:r w:rsidRPr="005269E5">
        <w:t xml:space="preserve"> </w:t>
      </w:r>
      <w:r>
        <w:t>por el</w:t>
      </w:r>
      <w:r w:rsidRPr="005269E5">
        <w:t xml:space="preserve"> </w:t>
      </w:r>
      <w:r>
        <w:t>Es</w:t>
      </w:r>
      <w:r w:rsidRPr="005269E5">
        <w:t>ta</w:t>
      </w:r>
      <w:r>
        <w:t>do</w:t>
      </w:r>
      <w:r w:rsidRPr="005269E5">
        <w:t xml:space="preserve">. </w:t>
      </w:r>
      <w:r w:rsidRPr="00AA4162">
        <w:t>El panorama actual del sistema escolar irlandés refleja la realidad histórica de que la gran mayoría de las escuelas primar</w:t>
      </w:r>
      <w:r>
        <w:t>ias de</w:t>
      </w:r>
      <w:r w:rsidRPr="00AA4162">
        <w:t xml:space="preserve"> Irland</w:t>
      </w:r>
      <w:r>
        <w:t>a</w:t>
      </w:r>
      <w:r w:rsidRPr="00AA4162">
        <w:t xml:space="preserve"> </w:t>
      </w:r>
      <w:r>
        <w:t>fueron fundadas por las autoridades</w:t>
      </w:r>
      <w:r w:rsidRPr="00AA4162">
        <w:t xml:space="preserve"> religios</w:t>
      </w:r>
      <w:r>
        <w:t>as</w:t>
      </w:r>
      <w:r w:rsidRPr="00AA4162">
        <w:t>. Esas escuelas han acogido tradicional</w:t>
      </w:r>
      <w:r>
        <w:t>mente a alumno</w:t>
      </w:r>
      <w:r w:rsidRPr="00AA4162">
        <w:t>s de todas las procedencias, incluid</w:t>
      </w:r>
      <w:r>
        <w:t>os los hijos de los</w:t>
      </w:r>
      <w:r w:rsidRPr="00AA4162">
        <w:t xml:space="preserve"> i</w:t>
      </w:r>
      <w:r>
        <w:t>n</w:t>
      </w:r>
      <w:r w:rsidRPr="00AA4162">
        <w:t>migrant</w:t>
      </w:r>
      <w:r>
        <w:t>e</w:t>
      </w:r>
      <w:r w:rsidRPr="00AA4162">
        <w:t xml:space="preserve">s </w:t>
      </w:r>
      <w:r>
        <w:t>y muchas cuentan con grandes cantidades de alumnos de otras confesiones</w:t>
      </w:r>
      <w:r w:rsidRPr="00AA4162">
        <w:t>.</w:t>
      </w:r>
    </w:p>
    <w:p w:rsidR="000100D5" w:rsidRPr="0056643A" w:rsidRDefault="000100D5" w:rsidP="000100D5">
      <w:pPr>
        <w:pStyle w:val="SingleTxtG"/>
      </w:pPr>
      <w:r w:rsidRPr="005269E5">
        <w:t>109.</w:t>
      </w:r>
      <w:r w:rsidRPr="005269E5">
        <w:tab/>
        <w:t>A</w:t>
      </w:r>
      <w:r>
        <w:t xml:space="preserve"> nivel</w:t>
      </w:r>
      <w:r w:rsidRPr="005269E5">
        <w:t xml:space="preserve"> </w:t>
      </w:r>
      <w:r>
        <w:t xml:space="preserve">de la enseñanza </w:t>
      </w:r>
      <w:r w:rsidRPr="005269E5">
        <w:t>primar</w:t>
      </w:r>
      <w:r>
        <w:t>ia</w:t>
      </w:r>
      <w:r w:rsidRPr="005269E5">
        <w:t xml:space="preserve">, </w:t>
      </w:r>
      <w:r>
        <w:t xml:space="preserve">el </w:t>
      </w:r>
      <w:r w:rsidRPr="005269E5">
        <w:t xml:space="preserve">92% </w:t>
      </w:r>
      <w:r>
        <w:t>de las escuelas está patrocinado por la iglesia</w:t>
      </w:r>
      <w:r w:rsidRPr="005269E5">
        <w:t xml:space="preserve"> </w:t>
      </w:r>
      <w:r>
        <w:t>católica</w:t>
      </w:r>
      <w:r w:rsidRPr="005269E5">
        <w:t xml:space="preserve">. </w:t>
      </w:r>
      <w:r w:rsidRPr="00503738">
        <w:t>En muchas escuelas católicas</w:t>
      </w:r>
      <w:r>
        <w:t>,</w:t>
      </w:r>
      <w:r w:rsidRPr="00503738">
        <w:t xml:space="preserve"> </w:t>
      </w:r>
      <w:r>
        <w:t>se ha elevado matrícula</w:t>
      </w:r>
      <w:r w:rsidRPr="00503738">
        <w:t xml:space="preserve"> de niños recién llegados, </w:t>
      </w:r>
      <w:r>
        <w:t>con una gran cantidad de confesiones religiosas</w:t>
      </w:r>
      <w:r w:rsidRPr="00503738">
        <w:t>. El Departamento de Educación y Ciencia sigue apoyando esa práctica</w:t>
      </w:r>
      <w:r>
        <w:t>,</w:t>
      </w:r>
      <w:r w:rsidRPr="00503738">
        <w:t xml:space="preserve"> ga</w:t>
      </w:r>
      <w:r>
        <w:t>rantizando la existencia de sufi</w:t>
      </w:r>
      <w:r w:rsidRPr="00503738">
        <w:t>cientes plazas escolares</w:t>
      </w:r>
      <w:r>
        <w:t xml:space="preserve"> e</w:t>
      </w:r>
      <w:r w:rsidRPr="00503738">
        <w:t xml:space="preserve">n </w:t>
      </w:r>
      <w:r>
        <w:t>todas partes</w:t>
      </w:r>
      <w:r w:rsidRPr="00503738">
        <w:t xml:space="preserve">. </w:t>
      </w:r>
      <w:r w:rsidRPr="0056643A">
        <w:t xml:space="preserve">La propia iglesia católica ha subrayado la necesidad de una mayor pluralidad </w:t>
      </w:r>
      <w:r>
        <w:t>escolar</w:t>
      </w:r>
      <w:r w:rsidRPr="0056643A">
        <w:t xml:space="preserve"> para hacer frente con eficacia</w:t>
      </w:r>
      <w:r>
        <w:t xml:space="preserve"> a la evolución de las necesidades</w:t>
      </w:r>
      <w:r w:rsidRPr="0056643A">
        <w:t xml:space="preserve"> social</w:t>
      </w:r>
      <w:r>
        <w:t>es</w:t>
      </w:r>
      <w:r w:rsidRPr="0056643A">
        <w:t>.</w:t>
      </w:r>
    </w:p>
    <w:p w:rsidR="000100D5" w:rsidRPr="0056643A" w:rsidRDefault="000100D5" w:rsidP="000100D5">
      <w:pPr>
        <w:pStyle w:val="SingleTxtG"/>
      </w:pPr>
      <w:r w:rsidRPr="005269E5">
        <w:t>110.</w:t>
      </w:r>
      <w:r w:rsidRPr="005269E5">
        <w:tab/>
      </w:r>
      <w:r>
        <w:t>El Instituto de Investigación</w:t>
      </w:r>
      <w:r w:rsidRPr="005269E5">
        <w:t xml:space="preserve"> Econ</w:t>
      </w:r>
      <w:r>
        <w:t>ó</w:t>
      </w:r>
      <w:r w:rsidRPr="005269E5">
        <w:t>mic</w:t>
      </w:r>
      <w:r>
        <w:t>a</w:t>
      </w:r>
      <w:r w:rsidRPr="005269E5">
        <w:t xml:space="preserve"> </w:t>
      </w:r>
      <w:r>
        <w:t>y</w:t>
      </w:r>
      <w:r w:rsidRPr="005269E5">
        <w:t xml:space="preserve"> Social (www.esri.ie) publi</w:t>
      </w:r>
      <w:r w:rsidR="009B7B87">
        <w:t>có en junio de </w:t>
      </w:r>
      <w:r>
        <w:t>2009 el informe</w:t>
      </w:r>
      <w:r w:rsidRPr="005269E5">
        <w:t xml:space="preserve"> </w:t>
      </w:r>
      <w:r w:rsidR="00E03EF2">
        <w:t>"</w:t>
      </w:r>
      <w:r w:rsidRPr="005269E5">
        <w:t>Adapting to Diversity: Irish schools and newcomer students</w:t>
      </w:r>
      <w:r w:rsidR="00E03EF2">
        <w:t>"</w:t>
      </w:r>
      <w:r w:rsidRPr="005269E5">
        <w:t xml:space="preserve"> </w:t>
      </w:r>
      <w:r>
        <w:t>(Adaptación a la diversidad: escuelas irlandesas y alumnos recién llegados)</w:t>
      </w:r>
      <w:r w:rsidRPr="005269E5">
        <w:t xml:space="preserve">. </w:t>
      </w:r>
      <w:r w:rsidRPr="0056643A">
        <w:t xml:space="preserve">Se trata de un </w:t>
      </w:r>
      <w:r>
        <w:t>e</w:t>
      </w:r>
      <w:r w:rsidRPr="0056643A">
        <w:t>studio g</w:t>
      </w:r>
      <w:r>
        <w:t>eneral</w:t>
      </w:r>
      <w:r w:rsidRPr="0056643A">
        <w:t>, a escala nacional</w:t>
      </w:r>
      <w:r>
        <w:t>,</w:t>
      </w:r>
      <w:r w:rsidRPr="0056643A">
        <w:t xml:space="preserve"> de las escuelas primarias y posprimarias. Uno de los resultados fundamentales ha sido la distribución </w:t>
      </w:r>
      <w:r>
        <w:t xml:space="preserve">entre las escuelas </w:t>
      </w:r>
      <w:r w:rsidRPr="0056643A">
        <w:t xml:space="preserve">de los nuevos </w:t>
      </w:r>
      <w:r>
        <w:t>alumnos</w:t>
      </w:r>
      <w:r w:rsidRPr="0056643A">
        <w:t xml:space="preserve">, </w:t>
      </w:r>
      <w:r>
        <w:t xml:space="preserve">como se indica en el gráfico </w:t>
      </w:r>
      <w:r>
        <w:rPr>
          <w:i/>
        </w:rPr>
        <w:t>infra</w:t>
      </w:r>
      <w:r w:rsidRPr="0056643A">
        <w:t>, t</w:t>
      </w:r>
      <w:r>
        <w:t>omado del informe</w:t>
      </w:r>
      <w:r w:rsidRPr="0056643A">
        <w:t>:</w:t>
      </w:r>
    </w:p>
    <w:p w:rsidR="000100D5" w:rsidRPr="0060469C" w:rsidRDefault="000100D5" w:rsidP="000100D5">
      <w:pPr>
        <w:pStyle w:val="Heading1"/>
      </w:pPr>
      <w:r w:rsidRPr="0060469C">
        <w:t>Figura 1</w:t>
      </w:r>
    </w:p>
    <w:p w:rsidR="000100D5" w:rsidRPr="0060469C" w:rsidRDefault="000100D5" w:rsidP="00A34DEB">
      <w:pPr>
        <w:pStyle w:val="SingleTxtG"/>
        <w:jc w:val="left"/>
      </w:pPr>
      <w:r w:rsidRPr="0060469C">
        <w:rPr>
          <w:b/>
        </w:rPr>
        <w:t>Representación de los recién llegados entre las esc</w:t>
      </w:r>
      <w:r>
        <w:rPr>
          <w:b/>
        </w:rPr>
        <w:t>ue</w:t>
      </w:r>
      <w:r w:rsidRPr="0060469C">
        <w:rPr>
          <w:b/>
        </w:rPr>
        <w:t>l</w:t>
      </w:r>
      <w:r>
        <w:rPr>
          <w:b/>
        </w:rPr>
        <w:t>a</w:t>
      </w:r>
      <w:r w:rsidRPr="0060469C">
        <w:rPr>
          <w:b/>
        </w:rPr>
        <w:t>s (I</w:t>
      </w:r>
      <w:r>
        <w:rPr>
          <w:b/>
        </w:rPr>
        <w:t>nstituto de Investigación Económica y Social</w:t>
      </w:r>
      <w:r w:rsidRPr="0060469C">
        <w:rPr>
          <w:b/>
        </w:rPr>
        <w:t>, 2009)</w:t>
      </w:r>
    </w:p>
    <w:p w:rsidR="000100D5" w:rsidRPr="0060469C" w:rsidRDefault="000100D5" w:rsidP="000100D5">
      <w:pPr>
        <w:pStyle w:val="SingleTxtG"/>
        <w:spacing w:before="240"/>
      </w:pPr>
      <w:r w:rsidRPr="005269E5">
        <w:object w:dxaOrig="8097" w:dyaOrig="3379">
          <v:shape id="_x0000_i1026" type="#_x0000_t75" style="width:405pt;height:168.75pt" o:ole="" filled="t">
            <v:fill o:detectmouseclick="t"/>
            <v:imagedata r:id="rId10" o:title="" cropleft="2870f"/>
          </v:shape>
          <o:OLEObject Type="Embed" ProgID="MSGraph.Chart.8" ShapeID="_x0000_i1026" DrawAspect="Content" ObjectID="_1395267286" r:id="rId11">
            <o:FieldCodes>\s</o:FieldCodes>
          </o:OLEObject>
        </w:object>
      </w:r>
      <w:r w:rsidRPr="005269E5">
        <w:t>111.</w:t>
      </w:r>
      <w:r w:rsidRPr="005269E5">
        <w:tab/>
      </w:r>
      <w:r>
        <w:t>Así pues, el</w:t>
      </w:r>
      <w:r w:rsidRPr="005269E5">
        <w:t xml:space="preserve"> 40% </w:t>
      </w:r>
      <w:r>
        <w:t xml:space="preserve">aproximadamente de las escuelas </w:t>
      </w:r>
      <w:r w:rsidRPr="005269E5">
        <w:t>primar</w:t>
      </w:r>
      <w:r>
        <w:t>ias y alrededor del 10%</w:t>
      </w:r>
      <w:r w:rsidR="005007D6">
        <w:t xml:space="preserve"> </w:t>
      </w:r>
      <w:r>
        <w:t>de las escuelas de segundo nivel no cuentan con alumnos recién llegados</w:t>
      </w:r>
      <w:r w:rsidRPr="005269E5">
        <w:t xml:space="preserve">. </w:t>
      </w:r>
      <w:r w:rsidRPr="0060469C">
        <w:t>Ello se debe al hecho de que en el país hay muchas escuelas rurales</w:t>
      </w:r>
      <w:r>
        <w:t xml:space="preserve"> pequeñas</w:t>
      </w:r>
      <w:r w:rsidRPr="0060469C">
        <w:t>, sobre un total de m</w:t>
      </w:r>
      <w:r>
        <w:t>ás de</w:t>
      </w:r>
      <w:r w:rsidR="00A34DEB">
        <w:t> </w:t>
      </w:r>
      <w:r>
        <w:t>3</w:t>
      </w:r>
      <w:r w:rsidR="00A34DEB">
        <w:t>.</w:t>
      </w:r>
      <w:r w:rsidRPr="0060469C">
        <w:t xml:space="preserve">000 </w:t>
      </w:r>
      <w:r>
        <w:t xml:space="preserve">escuelas </w:t>
      </w:r>
      <w:r w:rsidRPr="0060469C">
        <w:t>primar</w:t>
      </w:r>
      <w:r>
        <w:t>ias con</w:t>
      </w:r>
      <w:r w:rsidRPr="0060469C">
        <w:t xml:space="preserve"> zonas de captación muy reducidas. Además, los nuevos alumnos de se</w:t>
      </w:r>
      <w:r>
        <w:t>g</w:t>
      </w:r>
      <w:r w:rsidRPr="0060469C">
        <w:t>und</w:t>
      </w:r>
      <w:r>
        <w:t>o nivel</w:t>
      </w:r>
      <w:r w:rsidRPr="0060469C">
        <w:t xml:space="preserve"> asisten a menudo a escuelas m</w:t>
      </w:r>
      <w:r>
        <w:t>ás grandes,</w:t>
      </w:r>
      <w:r w:rsidRPr="0060469C">
        <w:t xml:space="preserve"> </w:t>
      </w:r>
      <w:r>
        <w:t>de carácter</w:t>
      </w:r>
      <w:r w:rsidRPr="0060469C">
        <w:t xml:space="preserve"> urban</w:t>
      </w:r>
      <w:r>
        <w:t>o</w:t>
      </w:r>
      <w:r w:rsidRPr="0060469C">
        <w:t xml:space="preserve">. </w:t>
      </w:r>
      <w:r w:rsidR="00A34DEB">
        <w:t>En </w:t>
      </w:r>
      <w:r>
        <w:t>ese nivel hay alrededor de 730 escuelas y, por ello,</w:t>
      </w:r>
      <w:r w:rsidRPr="0060469C">
        <w:t xml:space="preserve"> </w:t>
      </w:r>
      <w:r>
        <w:t>disponen de zonas de captación mucho mayores</w:t>
      </w:r>
      <w:r w:rsidRPr="0060469C">
        <w:t>.</w:t>
      </w:r>
    </w:p>
    <w:p w:rsidR="000100D5" w:rsidRPr="005269E5" w:rsidRDefault="000100D5" w:rsidP="000100D5">
      <w:pPr>
        <w:pStyle w:val="H4G"/>
      </w:pPr>
      <w:r w:rsidRPr="0060469C">
        <w:tab/>
      </w:r>
      <w:r w:rsidRPr="005269E5">
        <w:t>e)</w:t>
      </w:r>
      <w:r w:rsidRPr="005269E5">
        <w:tab/>
      </w:r>
      <w:r>
        <w:t>Mayor oferta de escuelas</w:t>
      </w:r>
    </w:p>
    <w:p w:rsidR="000100D5" w:rsidRPr="004F70FC" w:rsidRDefault="000100D5" w:rsidP="000100D5">
      <w:pPr>
        <w:pStyle w:val="SingleTxtG"/>
      </w:pPr>
      <w:r w:rsidRPr="005269E5">
        <w:t>112.</w:t>
      </w:r>
      <w:r w:rsidRPr="005269E5">
        <w:tab/>
      </w:r>
      <w:r>
        <w:t>Una característica creciente de la planificación educativa es la demanda p</w:t>
      </w:r>
      <w:r w:rsidRPr="005269E5">
        <w:t xml:space="preserve">arental </w:t>
      </w:r>
      <w:r>
        <w:t>de que sus hijos accedan a escuelas</w:t>
      </w:r>
      <w:r w:rsidRPr="005269E5">
        <w:t xml:space="preserve"> </w:t>
      </w:r>
      <w:r>
        <w:t>en donde las materias se impartan en irlandés y a escuelas</w:t>
      </w:r>
      <w:r w:rsidRPr="005269E5">
        <w:t xml:space="preserve"> </w:t>
      </w:r>
      <w:r>
        <w:t>pluriconfesionales</w:t>
      </w:r>
      <w:r w:rsidRPr="005269E5">
        <w:t xml:space="preserve"> o inter</w:t>
      </w:r>
      <w:r>
        <w:t>confesionales</w:t>
      </w:r>
      <w:r w:rsidRPr="005269E5">
        <w:t xml:space="preserve">. </w:t>
      </w:r>
      <w:r w:rsidRPr="004F70FC">
        <w:t xml:space="preserve">El criterio de atender a la diversidad y de permitir la elección ha sido una característica de la educación irlandesa desde el decenio de 1970, en particular </w:t>
      </w:r>
      <w:r>
        <w:t>e</w:t>
      </w:r>
      <w:r w:rsidRPr="004F70FC">
        <w:t xml:space="preserve">n las escuelas </w:t>
      </w:r>
      <w:r w:rsidR="005C4174" w:rsidRPr="004F70FC">
        <w:t>comunitarias</w:t>
      </w:r>
      <w:r>
        <w:t xml:space="preserve"> y </w:t>
      </w:r>
      <w:r w:rsidRPr="004F70FC">
        <w:t>de enseñanza profesional</w:t>
      </w:r>
      <w:r>
        <w:t xml:space="preserve"> </w:t>
      </w:r>
      <w:r w:rsidRPr="004F70FC">
        <w:t xml:space="preserve">y </w:t>
      </w:r>
      <w:r>
        <w:t>general,</w:t>
      </w:r>
      <w:r w:rsidRPr="004F70FC">
        <w:t xml:space="preserve"> </w:t>
      </w:r>
      <w:r>
        <w:t>y ahora forma parte integrante del panorama de</w:t>
      </w:r>
      <w:r w:rsidRPr="004F70FC">
        <w:t xml:space="preserve"> plani</w:t>
      </w:r>
      <w:r>
        <w:t>ficación escolar</w:t>
      </w:r>
      <w:r w:rsidRPr="004F70FC">
        <w:t>.</w:t>
      </w:r>
    </w:p>
    <w:p w:rsidR="000100D5" w:rsidRPr="00223AF5" w:rsidRDefault="000100D5" w:rsidP="000100D5">
      <w:pPr>
        <w:pStyle w:val="SingleTxtG"/>
      </w:pPr>
      <w:r w:rsidRPr="005269E5">
        <w:t>113.</w:t>
      </w:r>
      <w:r w:rsidRPr="005269E5">
        <w:tab/>
      </w:r>
      <w:r>
        <w:t>La evolución de la sociedad</w:t>
      </w:r>
      <w:r w:rsidRPr="005269E5">
        <w:t xml:space="preserve"> </w:t>
      </w:r>
      <w:r>
        <w:t>e</w:t>
      </w:r>
      <w:r w:rsidRPr="005269E5">
        <w:t>s</w:t>
      </w:r>
      <w:r>
        <w:t>tá planteando al sistema educativo irlandés exigencias</w:t>
      </w:r>
      <w:r w:rsidRPr="005269E5">
        <w:t xml:space="preserve"> n</w:t>
      </w:r>
      <w:r>
        <w:t>u</w:t>
      </w:r>
      <w:r w:rsidRPr="005269E5">
        <w:t>e</w:t>
      </w:r>
      <w:r>
        <w:t>vas y</w:t>
      </w:r>
      <w:r w:rsidRPr="005269E5">
        <w:t xml:space="preserve"> comple</w:t>
      </w:r>
      <w:r>
        <w:t>jas</w:t>
      </w:r>
      <w:r w:rsidRPr="005269E5">
        <w:t xml:space="preserve">. </w:t>
      </w:r>
      <w:r w:rsidRPr="00223AF5">
        <w:t>Los cuadros 4</w:t>
      </w:r>
      <w:r>
        <w:t xml:space="preserve"> y</w:t>
      </w:r>
      <w:r w:rsidRPr="00223AF5">
        <w:t xml:space="preserve"> 5 ofrecen información detallada sobre las nuevas escuelas </w:t>
      </w:r>
      <w:r>
        <w:t>creadas desde</w:t>
      </w:r>
      <w:r w:rsidRPr="00223AF5">
        <w:t xml:space="preserve"> 2003.</w:t>
      </w:r>
    </w:p>
    <w:p w:rsidR="000100D5" w:rsidRPr="005269E5" w:rsidRDefault="000100D5" w:rsidP="000100D5">
      <w:pPr>
        <w:pStyle w:val="H4G"/>
      </w:pPr>
      <w:r w:rsidRPr="00223AF5">
        <w:tab/>
      </w:r>
      <w:r w:rsidRPr="005269E5">
        <w:t>f)</w:t>
      </w:r>
      <w:r w:rsidRPr="005269E5">
        <w:tab/>
        <w:t>N</w:t>
      </w:r>
      <w:r>
        <w:t>uevo modelo de</w:t>
      </w:r>
      <w:r w:rsidRPr="005269E5">
        <w:t xml:space="preserve"> </w:t>
      </w:r>
      <w:r>
        <w:t>p</w:t>
      </w:r>
      <w:r w:rsidRPr="005269E5">
        <w:t>atro</w:t>
      </w:r>
      <w:r>
        <w:t>cinio</w:t>
      </w:r>
      <w:r w:rsidRPr="005269E5">
        <w:t xml:space="preserve"> </w:t>
      </w:r>
    </w:p>
    <w:p w:rsidR="000100D5" w:rsidRPr="00A369B3" w:rsidRDefault="000100D5" w:rsidP="000100D5">
      <w:pPr>
        <w:pStyle w:val="SingleTxtG"/>
      </w:pPr>
      <w:r w:rsidRPr="005269E5">
        <w:t>114.</w:t>
      </w:r>
      <w:r w:rsidRPr="005269E5">
        <w:tab/>
      </w:r>
      <w:r>
        <w:t>Como ya se ha indicado</w:t>
      </w:r>
      <w:r w:rsidRPr="005269E5">
        <w:t xml:space="preserve">, </w:t>
      </w:r>
      <w:r>
        <w:t>la evolución de la sociedad irlandesa somete a nuevas exigencias a la respuesta del sistema educativo</w:t>
      </w:r>
      <w:r w:rsidRPr="005269E5">
        <w:t xml:space="preserve">. </w:t>
      </w:r>
      <w:r w:rsidRPr="00821FFA">
        <w:t>Se estima que el papel tradicional de las iglesias en la enseñanza reviste un enorme valor, al igual que la funci</w:t>
      </w:r>
      <w:r>
        <w:t>ón cada vez más importante de otros</w:t>
      </w:r>
      <w:r w:rsidRPr="00821FFA">
        <w:t xml:space="preserve"> patro</w:t>
      </w:r>
      <w:r>
        <w:t>cinadores</w:t>
      </w:r>
      <w:r w:rsidRPr="00821FFA">
        <w:t xml:space="preserve">. </w:t>
      </w:r>
      <w:r w:rsidRPr="00A369B3">
        <w:t>La respuesta del Gobierno irlandés ha consistido en brindar la sede del Departamento de Educación y Ciencia para una conferencia sobre los</w:t>
      </w:r>
      <w:r w:rsidR="005007D6">
        <w:t xml:space="preserve"> </w:t>
      </w:r>
      <w:r w:rsidRPr="00A369B3">
        <w:rPr>
          <w:i/>
        </w:rPr>
        <w:t>Desafíos para la gobernabilidad de las necesidades futur</w:t>
      </w:r>
      <w:r>
        <w:rPr>
          <w:i/>
        </w:rPr>
        <w:t>a</w:t>
      </w:r>
      <w:r w:rsidRPr="00A369B3">
        <w:rPr>
          <w:i/>
        </w:rPr>
        <w:t>s de las escuelas primarias</w:t>
      </w:r>
      <w:r w:rsidR="00A34DEB">
        <w:t xml:space="preserve"> en </w:t>
      </w:r>
      <w:r w:rsidRPr="00A369B3">
        <w:t>2008, a fin de explorar el encaje entre el perfil de las necesidades escol</w:t>
      </w:r>
      <w:r>
        <w:t>ares y la configuración de las nuevas comunidades a las que trata de atender</w:t>
      </w:r>
      <w:r w:rsidRPr="00A369B3">
        <w:t>. El Ministro de Educación y Ciencia está celebrando consul</w:t>
      </w:r>
      <w:r>
        <w:t>tas oficiales al respecto con su</w:t>
      </w:r>
      <w:r w:rsidRPr="00A369B3">
        <w:t>s colaborad</w:t>
      </w:r>
      <w:r>
        <w:t>ore</w:t>
      </w:r>
      <w:r w:rsidRPr="00A369B3">
        <w:t>s</w:t>
      </w:r>
      <w:r>
        <w:t xml:space="preserve"> en materia de enseñanza</w:t>
      </w:r>
      <w:r w:rsidRPr="00A369B3">
        <w:t>. El Ministro sopesará cuidadosamente sus opinion</w:t>
      </w:r>
      <w:r>
        <w:t>e</w:t>
      </w:r>
      <w:r w:rsidRPr="00A369B3">
        <w:t>s a la hora de elaborar respuestas de polític</w:t>
      </w:r>
      <w:r>
        <w:t>a</w:t>
      </w:r>
      <w:r w:rsidRPr="00A369B3">
        <w:t>. Las novedades en ese ámbito habrán de tener asimismo en cuenta el incremento de la diversidad demográfica y la</w:t>
      </w:r>
      <w:r>
        <w:t>s</w:t>
      </w:r>
      <w:r w:rsidRPr="00A369B3">
        <w:t xml:space="preserve"> restricci</w:t>
      </w:r>
      <w:r>
        <w:t>ones económicas.</w:t>
      </w:r>
    </w:p>
    <w:p w:rsidR="000100D5" w:rsidRPr="005269E5" w:rsidRDefault="000100D5" w:rsidP="000100D5">
      <w:pPr>
        <w:pStyle w:val="SingleTxtG"/>
      </w:pPr>
      <w:r w:rsidRPr="005269E5">
        <w:t>115.</w:t>
      </w:r>
      <w:r w:rsidRPr="005269E5">
        <w:tab/>
      </w:r>
      <w:r>
        <w:t>El factor clave estriba en garantizar que todos los niños tengan acceso a una educación de la máxima</w:t>
      </w:r>
      <w:r w:rsidRPr="005269E5">
        <w:t xml:space="preserve"> </w:t>
      </w:r>
      <w:r>
        <w:t>c</w:t>
      </w:r>
      <w:r w:rsidRPr="005269E5">
        <w:t>ali</w:t>
      </w:r>
      <w:r>
        <w:t>dad</w:t>
      </w:r>
      <w:r w:rsidRPr="005269E5">
        <w:t>.</w:t>
      </w:r>
    </w:p>
    <w:p w:rsidR="000100D5" w:rsidRDefault="000100D5" w:rsidP="000100D5">
      <w:pPr>
        <w:pStyle w:val="SingleTxtG"/>
      </w:pPr>
      <w:r w:rsidRPr="005269E5">
        <w:t>116.</w:t>
      </w:r>
      <w:r w:rsidRPr="005269E5">
        <w:tab/>
      </w:r>
      <w:r>
        <w:t>En 2008 se inauguraron dos escuelas nacionales de la comunidad, la</w:t>
      </w:r>
      <w:r w:rsidRPr="005269E5">
        <w:t xml:space="preserve"> </w:t>
      </w:r>
      <w:r>
        <w:t xml:space="preserve">Scoil </w:t>
      </w:r>
      <w:r w:rsidRPr="005269E5">
        <w:t xml:space="preserve">Choilm Community National School, Porterstown </w:t>
      </w:r>
      <w:r>
        <w:t>y</w:t>
      </w:r>
      <w:r w:rsidRPr="005269E5">
        <w:t xml:space="preserve"> </w:t>
      </w:r>
      <w:r>
        <w:t xml:space="preserve">la </w:t>
      </w:r>
      <w:r w:rsidRPr="005269E5">
        <w:t xml:space="preserve">Scoil Ghráinne </w:t>
      </w:r>
      <w:r>
        <w:t>e</w:t>
      </w:r>
      <w:r w:rsidRPr="005269E5">
        <w:t xml:space="preserve">n Phibblestown, </w:t>
      </w:r>
      <w:r>
        <w:t>ambas en</w:t>
      </w:r>
      <w:r w:rsidRPr="005269E5">
        <w:t xml:space="preserve"> Dubl</w:t>
      </w:r>
      <w:r>
        <w:t>í</w:t>
      </w:r>
      <w:r w:rsidRPr="005269E5">
        <w:t xml:space="preserve">n. </w:t>
      </w:r>
      <w:r w:rsidRPr="00BF5E39">
        <w:t>Los nuevos centros son interconfesionales y plenamente integrados, lo que ofrece a los padres m</w:t>
      </w:r>
      <w:r>
        <w:t>ás posibilidades de elección.</w:t>
      </w:r>
    </w:p>
    <w:p w:rsidR="000100D5" w:rsidRDefault="000100D5" w:rsidP="000100D5">
      <w:pPr>
        <w:pStyle w:val="SingleTxtG"/>
        <w:ind w:left="0"/>
        <w:jc w:val="left"/>
      </w:pPr>
    </w:p>
    <w:p w:rsidR="000100D5" w:rsidRPr="00BF5E39" w:rsidRDefault="000100D5" w:rsidP="000100D5">
      <w:pPr>
        <w:pStyle w:val="SingleTxtG"/>
        <w:ind w:left="0"/>
        <w:jc w:val="left"/>
        <w:sectPr w:rsidR="000100D5" w:rsidRPr="00BF5E39" w:rsidSect="00B97132">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20"/>
          <w:titlePg/>
        </w:sectPr>
      </w:pPr>
    </w:p>
    <w:p w:rsidR="000100D5" w:rsidRPr="00BF5E39" w:rsidRDefault="000100D5" w:rsidP="000100D5">
      <w:pPr>
        <w:pStyle w:val="Heading1"/>
      </w:pPr>
      <w:r w:rsidRPr="00BF5E39">
        <w:t>Cuadro 4</w:t>
      </w:r>
    </w:p>
    <w:p w:rsidR="000100D5" w:rsidRPr="00BF5E39" w:rsidRDefault="000100D5" w:rsidP="00237030">
      <w:pPr>
        <w:pStyle w:val="SingleTxtG"/>
        <w:jc w:val="left"/>
        <w:rPr>
          <w:b/>
        </w:rPr>
      </w:pPr>
      <w:r w:rsidRPr="00BF5E39">
        <w:rPr>
          <w:b/>
        </w:rPr>
        <w:t>Tipos de escuelas primarias reconocidas entre 2003 y 2008</w:t>
      </w:r>
    </w:p>
    <w:tbl>
      <w:tblPr>
        <w:tblW w:w="12361" w:type="dxa"/>
        <w:tblInd w:w="28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68"/>
        <w:gridCol w:w="715"/>
        <w:gridCol w:w="1700"/>
        <w:gridCol w:w="2221"/>
        <w:gridCol w:w="2379"/>
        <w:gridCol w:w="1400"/>
        <w:gridCol w:w="1700"/>
        <w:gridCol w:w="689"/>
        <w:gridCol w:w="689"/>
      </w:tblGrid>
      <w:tr w:rsidR="000100D5" w:rsidRPr="005269E5">
        <w:trPr>
          <w:tblHeader/>
        </w:trPr>
        <w:tc>
          <w:tcPr>
            <w:tcW w:w="868" w:type="dxa"/>
            <w:tcBorders>
              <w:top w:val="single" w:sz="4" w:space="0" w:color="auto"/>
              <w:bottom w:val="single" w:sz="12" w:space="0" w:color="auto"/>
            </w:tcBorders>
            <w:shd w:val="clear" w:color="auto" w:fill="auto"/>
            <w:vAlign w:val="bottom"/>
          </w:tcPr>
          <w:p w:rsidR="000100D5" w:rsidRPr="00BF5E39" w:rsidRDefault="000100D5" w:rsidP="000100D5">
            <w:pPr>
              <w:spacing w:before="80" w:after="80" w:line="200" w:lineRule="exact"/>
              <w:rPr>
                <w:i/>
                <w:sz w:val="16"/>
              </w:rPr>
            </w:pPr>
          </w:p>
        </w:tc>
        <w:tc>
          <w:tcPr>
            <w:tcW w:w="715" w:type="dxa"/>
            <w:tcBorders>
              <w:top w:val="single" w:sz="4" w:space="0" w:color="auto"/>
              <w:bottom w:val="single" w:sz="12" w:space="0" w:color="auto"/>
            </w:tcBorders>
            <w:shd w:val="clear" w:color="auto" w:fill="auto"/>
            <w:vAlign w:val="bottom"/>
          </w:tcPr>
          <w:p w:rsidR="000100D5" w:rsidRPr="005269E5" w:rsidRDefault="000100D5" w:rsidP="00890D81">
            <w:pPr>
              <w:spacing w:before="80" w:after="80" w:line="200" w:lineRule="exact"/>
              <w:ind w:right="113"/>
              <w:jc w:val="right"/>
              <w:rPr>
                <w:i/>
                <w:sz w:val="16"/>
              </w:rPr>
            </w:pPr>
            <w:r w:rsidRPr="005269E5">
              <w:rPr>
                <w:i/>
                <w:sz w:val="16"/>
              </w:rPr>
              <w:t>Cat</w:t>
            </w:r>
            <w:r>
              <w:rPr>
                <w:i/>
                <w:sz w:val="16"/>
              </w:rPr>
              <w:t>ó</w:t>
            </w:r>
            <w:r w:rsidRPr="005269E5">
              <w:rPr>
                <w:i/>
                <w:sz w:val="16"/>
              </w:rPr>
              <w:t>lic</w:t>
            </w:r>
            <w:r>
              <w:rPr>
                <w:i/>
                <w:sz w:val="16"/>
              </w:rPr>
              <w:t>a</w:t>
            </w:r>
            <w:r w:rsidRPr="005269E5">
              <w:rPr>
                <w:i/>
                <w:sz w:val="16"/>
              </w:rPr>
              <w:t xml:space="preserve"> </w:t>
            </w:r>
          </w:p>
        </w:tc>
        <w:tc>
          <w:tcPr>
            <w:tcW w:w="17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Pr>
                <w:i/>
                <w:sz w:val="16"/>
              </w:rPr>
              <w:t>Gaelscoil c</w:t>
            </w:r>
            <w:r w:rsidRPr="005269E5">
              <w:rPr>
                <w:i/>
                <w:sz w:val="16"/>
              </w:rPr>
              <w:t>at</w:t>
            </w:r>
            <w:r>
              <w:rPr>
                <w:i/>
                <w:sz w:val="16"/>
              </w:rPr>
              <w:t>ó</w:t>
            </w:r>
            <w:r w:rsidRPr="005269E5">
              <w:rPr>
                <w:i/>
                <w:sz w:val="16"/>
              </w:rPr>
              <w:t>lic</w:t>
            </w:r>
            <w:r>
              <w:rPr>
                <w:i/>
                <w:sz w:val="16"/>
              </w:rPr>
              <w:t>a</w:t>
            </w:r>
            <w:r w:rsidRPr="005269E5">
              <w:rPr>
                <w:rStyle w:val="FootnoteReference"/>
              </w:rPr>
              <w:footnoteReference w:id="40"/>
            </w:r>
          </w:p>
        </w:tc>
        <w:tc>
          <w:tcPr>
            <w:tcW w:w="2221"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Gaelscoil</w:t>
            </w:r>
            <w:r>
              <w:rPr>
                <w:i/>
                <w:sz w:val="16"/>
              </w:rPr>
              <w:t xml:space="preserve"> interconfesional</w:t>
            </w:r>
            <w:r w:rsidRPr="005269E5">
              <w:rPr>
                <w:i/>
                <w:sz w:val="16"/>
              </w:rPr>
              <w:t xml:space="preserve"> </w:t>
            </w:r>
          </w:p>
        </w:tc>
        <w:tc>
          <w:tcPr>
            <w:tcW w:w="2379"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 xml:space="preserve"> Gaelscoil</w:t>
            </w:r>
            <w:r>
              <w:rPr>
                <w:i/>
                <w:sz w:val="16"/>
              </w:rPr>
              <w:t xml:space="preserve"> multiconfesional</w:t>
            </w:r>
          </w:p>
        </w:tc>
        <w:tc>
          <w:tcPr>
            <w:tcW w:w="14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Pr>
                <w:i/>
                <w:sz w:val="16"/>
              </w:rPr>
              <w:t>Iglesia de</w:t>
            </w:r>
            <w:r w:rsidRPr="005269E5">
              <w:rPr>
                <w:i/>
                <w:sz w:val="16"/>
              </w:rPr>
              <w:t xml:space="preserve"> Irland</w:t>
            </w:r>
            <w:r>
              <w:rPr>
                <w:i/>
                <w:sz w:val="16"/>
              </w:rPr>
              <w:t>a</w:t>
            </w:r>
            <w:r w:rsidRPr="005269E5">
              <w:rPr>
                <w:i/>
                <w:sz w:val="16"/>
              </w:rPr>
              <w:t xml:space="preserve"> </w:t>
            </w:r>
          </w:p>
        </w:tc>
        <w:tc>
          <w:tcPr>
            <w:tcW w:w="17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Multi</w:t>
            </w:r>
            <w:r>
              <w:rPr>
                <w:i/>
                <w:sz w:val="16"/>
              </w:rPr>
              <w:t>confesio</w:t>
            </w:r>
            <w:r w:rsidRPr="005269E5">
              <w:rPr>
                <w:i/>
                <w:sz w:val="16"/>
              </w:rPr>
              <w:t xml:space="preserve">nal </w:t>
            </w:r>
          </w:p>
        </w:tc>
        <w:tc>
          <w:tcPr>
            <w:tcW w:w="689"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Otr</w:t>
            </w:r>
            <w:r>
              <w:rPr>
                <w:i/>
                <w:sz w:val="16"/>
              </w:rPr>
              <w:t>a</w:t>
            </w:r>
            <w:r w:rsidRPr="005269E5">
              <w:rPr>
                <w:i/>
                <w:sz w:val="16"/>
              </w:rPr>
              <w:t xml:space="preserve">s </w:t>
            </w:r>
          </w:p>
        </w:tc>
        <w:tc>
          <w:tcPr>
            <w:tcW w:w="689"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b/>
                <w:i/>
                <w:sz w:val="16"/>
              </w:rPr>
            </w:pPr>
            <w:r w:rsidRPr="005269E5">
              <w:rPr>
                <w:b/>
                <w:i/>
                <w:sz w:val="16"/>
              </w:rPr>
              <w:t xml:space="preserve">Total </w:t>
            </w:r>
          </w:p>
        </w:tc>
      </w:tr>
      <w:tr w:rsidR="000100D5" w:rsidRPr="005269E5">
        <w:tc>
          <w:tcPr>
            <w:tcW w:w="868" w:type="dxa"/>
            <w:tcBorders>
              <w:top w:val="single" w:sz="12" w:space="0" w:color="auto"/>
            </w:tcBorders>
            <w:shd w:val="clear" w:color="auto" w:fill="auto"/>
          </w:tcPr>
          <w:p w:rsidR="000100D5" w:rsidRPr="005269E5" w:rsidRDefault="000100D5" w:rsidP="000100D5">
            <w:pPr>
              <w:spacing w:before="40" w:after="40" w:line="220" w:lineRule="exact"/>
              <w:ind w:right="113"/>
              <w:rPr>
                <w:sz w:val="18"/>
              </w:rPr>
            </w:pPr>
            <w:r w:rsidRPr="005269E5">
              <w:rPr>
                <w:sz w:val="18"/>
              </w:rPr>
              <w:t>2003</w:t>
            </w:r>
          </w:p>
        </w:tc>
        <w:tc>
          <w:tcPr>
            <w:tcW w:w="715"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2</w:t>
            </w:r>
          </w:p>
        </w:tc>
        <w:tc>
          <w:tcPr>
            <w:tcW w:w="17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2</w:t>
            </w:r>
          </w:p>
        </w:tc>
        <w:tc>
          <w:tcPr>
            <w:tcW w:w="2221"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p>
        </w:tc>
        <w:tc>
          <w:tcPr>
            <w:tcW w:w="2379"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p>
        </w:tc>
        <w:tc>
          <w:tcPr>
            <w:tcW w:w="14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p>
        </w:tc>
        <w:tc>
          <w:tcPr>
            <w:tcW w:w="17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6</w:t>
            </w:r>
          </w:p>
        </w:tc>
        <w:tc>
          <w:tcPr>
            <w:tcW w:w="689"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p>
        </w:tc>
        <w:tc>
          <w:tcPr>
            <w:tcW w:w="689"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b/>
                <w:sz w:val="18"/>
              </w:rPr>
            </w:pPr>
            <w:r w:rsidRPr="005269E5">
              <w:rPr>
                <w:b/>
                <w:sz w:val="18"/>
              </w:rPr>
              <w:t>10</w:t>
            </w:r>
          </w:p>
        </w:tc>
      </w:tr>
      <w:tr w:rsidR="000100D5" w:rsidRPr="005269E5">
        <w:tc>
          <w:tcPr>
            <w:tcW w:w="868" w:type="dxa"/>
            <w:shd w:val="clear" w:color="auto" w:fill="auto"/>
          </w:tcPr>
          <w:p w:rsidR="000100D5" w:rsidRPr="005269E5" w:rsidRDefault="000100D5" w:rsidP="000100D5">
            <w:pPr>
              <w:spacing w:before="40" w:after="40" w:line="220" w:lineRule="exact"/>
              <w:ind w:right="113"/>
              <w:rPr>
                <w:sz w:val="18"/>
              </w:rPr>
            </w:pPr>
            <w:r w:rsidRPr="005269E5">
              <w:rPr>
                <w:sz w:val="18"/>
              </w:rPr>
              <w:t>2004</w:t>
            </w:r>
          </w:p>
        </w:tc>
        <w:tc>
          <w:tcPr>
            <w:tcW w:w="715"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1700" w:type="dxa"/>
            <w:shd w:val="clear" w:color="auto" w:fill="auto"/>
            <w:vAlign w:val="bottom"/>
          </w:tcPr>
          <w:p w:rsidR="000100D5" w:rsidRPr="005269E5" w:rsidRDefault="000100D5" w:rsidP="000100D5">
            <w:pPr>
              <w:spacing w:before="40" w:after="40" w:line="220" w:lineRule="exact"/>
              <w:ind w:right="113"/>
              <w:jc w:val="right"/>
              <w:rPr>
                <w:sz w:val="18"/>
              </w:rPr>
            </w:pPr>
          </w:p>
        </w:tc>
        <w:tc>
          <w:tcPr>
            <w:tcW w:w="2221"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2379" w:type="dxa"/>
            <w:shd w:val="clear" w:color="auto" w:fill="auto"/>
            <w:vAlign w:val="bottom"/>
          </w:tcPr>
          <w:p w:rsidR="000100D5" w:rsidRPr="005269E5" w:rsidRDefault="000100D5" w:rsidP="000100D5">
            <w:pPr>
              <w:spacing w:before="40" w:after="40" w:line="220" w:lineRule="exact"/>
              <w:ind w:right="113"/>
              <w:jc w:val="right"/>
              <w:rPr>
                <w:sz w:val="18"/>
              </w:rPr>
            </w:pPr>
          </w:p>
        </w:tc>
        <w:tc>
          <w:tcPr>
            <w:tcW w:w="14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17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4</w:t>
            </w:r>
          </w:p>
        </w:tc>
        <w:tc>
          <w:tcPr>
            <w:tcW w:w="689" w:type="dxa"/>
            <w:shd w:val="clear" w:color="auto" w:fill="auto"/>
            <w:vAlign w:val="bottom"/>
          </w:tcPr>
          <w:p w:rsidR="000100D5" w:rsidRPr="005269E5" w:rsidRDefault="000100D5" w:rsidP="000100D5">
            <w:pPr>
              <w:spacing w:before="40" w:after="40" w:line="220" w:lineRule="exact"/>
              <w:ind w:right="113"/>
              <w:jc w:val="right"/>
              <w:rPr>
                <w:sz w:val="18"/>
              </w:rPr>
            </w:pPr>
          </w:p>
        </w:tc>
        <w:tc>
          <w:tcPr>
            <w:tcW w:w="689" w:type="dxa"/>
            <w:shd w:val="clear" w:color="auto" w:fill="auto"/>
            <w:vAlign w:val="bottom"/>
          </w:tcPr>
          <w:p w:rsidR="000100D5" w:rsidRPr="005269E5" w:rsidRDefault="000100D5" w:rsidP="000100D5">
            <w:pPr>
              <w:spacing w:before="40" w:after="40" w:line="220" w:lineRule="exact"/>
              <w:ind w:right="113"/>
              <w:jc w:val="right"/>
              <w:rPr>
                <w:b/>
                <w:sz w:val="18"/>
              </w:rPr>
            </w:pPr>
            <w:r w:rsidRPr="005269E5">
              <w:rPr>
                <w:b/>
                <w:sz w:val="18"/>
              </w:rPr>
              <w:t>7</w:t>
            </w:r>
          </w:p>
        </w:tc>
      </w:tr>
      <w:tr w:rsidR="000100D5" w:rsidRPr="005269E5">
        <w:tc>
          <w:tcPr>
            <w:tcW w:w="868" w:type="dxa"/>
            <w:shd w:val="clear" w:color="auto" w:fill="auto"/>
          </w:tcPr>
          <w:p w:rsidR="000100D5" w:rsidRPr="005269E5" w:rsidRDefault="000100D5" w:rsidP="000100D5">
            <w:pPr>
              <w:spacing w:before="40" w:after="40" w:line="220" w:lineRule="exact"/>
              <w:ind w:right="113"/>
              <w:rPr>
                <w:sz w:val="18"/>
              </w:rPr>
            </w:pPr>
            <w:r w:rsidRPr="005269E5">
              <w:rPr>
                <w:sz w:val="18"/>
              </w:rPr>
              <w:t>2005</w:t>
            </w:r>
          </w:p>
        </w:tc>
        <w:tc>
          <w:tcPr>
            <w:tcW w:w="715"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3</w:t>
            </w:r>
          </w:p>
        </w:tc>
        <w:tc>
          <w:tcPr>
            <w:tcW w:w="17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3</w:t>
            </w:r>
          </w:p>
        </w:tc>
        <w:tc>
          <w:tcPr>
            <w:tcW w:w="2221"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2379" w:type="dxa"/>
            <w:shd w:val="clear" w:color="auto" w:fill="auto"/>
            <w:vAlign w:val="bottom"/>
          </w:tcPr>
          <w:p w:rsidR="000100D5" w:rsidRPr="005269E5" w:rsidRDefault="000100D5" w:rsidP="000100D5">
            <w:pPr>
              <w:spacing w:before="40" w:after="40" w:line="220" w:lineRule="exact"/>
              <w:ind w:right="113"/>
              <w:jc w:val="right"/>
              <w:rPr>
                <w:sz w:val="18"/>
              </w:rPr>
            </w:pPr>
          </w:p>
        </w:tc>
        <w:tc>
          <w:tcPr>
            <w:tcW w:w="1400" w:type="dxa"/>
            <w:shd w:val="clear" w:color="auto" w:fill="auto"/>
            <w:vAlign w:val="bottom"/>
          </w:tcPr>
          <w:p w:rsidR="000100D5" w:rsidRPr="005269E5" w:rsidRDefault="000100D5" w:rsidP="000100D5">
            <w:pPr>
              <w:spacing w:before="40" w:after="40" w:line="220" w:lineRule="exact"/>
              <w:ind w:right="113"/>
              <w:jc w:val="right"/>
              <w:rPr>
                <w:sz w:val="18"/>
              </w:rPr>
            </w:pPr>
          </w:p>
        </w:tc>
        <w:tc>
          <w:tcPr>
            <w:tcW w:w="17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5</w:t>
            </w:r>
          </w:p>
        </w:tc>
        <w:tc>
          <w:tcPr>
            <w:tcW w:w="689" w:type="dxa"/>
            <w:shd w:val="clear" w:color="auto" w:fill="auto"/>
            <w:vAlign w:val="bottom"/>
          </w:tcPr>
          <w:p w:rsidR="000100D5" w:rsidRPr="005269E5" w:rsidRDefault="000100D5" w:rsidP="000100D5">
            <w:pPr>
              <w:spacing w:before="40" w:after="40" w:line="220" w:lineRule="exact"/>
              <w:ind w:right="113"/>
              <w:jc w:val="right"/>
              <w:rPr>
                <w:sz w:val="18"/>
              </w:rPr>
            </w:pPr>
          </w:p>
        </w:tc>
        <w:tc>
          <w:tcPr>
            <w:tcW w:w="689" w:type="dxa"/>
            <w:shd w:val="clear" w:color="auto" w:fill="auto"/>
            <w:vAlign w:val="bottom"/>
          </w:tcPr>
          <w:p w:rsidR="000100D5" w:rsidRPr="005269E5" w:rsidRDefault="000100D5" w:rsidP="000100D5">
            <w:pPr>
              <w:spacing w:before="40" w:after="40" w:line="220" w:lineRule="exact"/>
              <w:ind w:right="113"/>
              <w:jc w:val="right"/>
              <w:rPr>
                <w:b/>
                <w:sz w:val="18"/>
              </w:rPr>
            </w:pPr>
            <w:r w:rsidRPr="005269E5">
              <w:rPr>
                <w:b/>
                <w:sz w:val="18"/>
              </w:rPr>
              <w:t>12</w:t>
            </w:r>
          </w:p>
        </w:tc>
      </w:tr>
      <w:tr w:rsidR="000100D5" w:rsidRPr="005269E5">
        <w:tc>
          <w:tcPr>
            <w:tcW w:w="868" w:type="dxa"/>
            <w:shd w:val="clear" w:color="auto" w:fill="auto"/>
          </w:tcPr>
          <w:p w:rsidR="000100D5" w:rsidRPr="005269E5" w:rsidRDefault="000100D5" w:rsidP="000100D5">
            <w:pPr>
              <w:spacing w:before="40" w:after="40" w:line="220" w:lineRule="exact"/>
              <w:ind w:right="113"/>
              <w:rPr>
                <w:sz w:val="18"/>
              </w:rPr>
            </w:pPr>
            <w:r w:rsidRPr="005269E5">
              <w:rPr>
                <w:sz w:val="18"/>
              </w:rPr>
              <w:t>2006</w:t>
            </w:r>
          </w:p>
        </w:tc>
        <w:tc>
          <w:tcPr>
            <w:tcW w:w="715" w:type="dxa"/>
            <w:shd w:val="clear" w:color="auto" w:fill="auto"/>
            <w:vAlign w:val="bottom"/>
          </w:tcPr>
          <w:p w:rsidR="000100D5" w:rsidRPr="005269E5" w:rsidRDefault="000100D5" w:rsidP="000100D5">
            <w:pPr>
              <w:spacing w:before="40" w:after="40" w:line="220" w:lineRule="exact"/>
              <w:ind w:right="113"/>
              <w:jc w:val="right"/>
              <w:rPr>
                <w:sz w:val="18"/>
              </w:rPr>
            </w:pPr>
          </w:p>
        </w:tc>
        <w:tc>
          <w:tcPr>
            <w:tcW w:w="1700" w:type="dxa"/>
            <w:shd w:val="clear" w:color="auto" w:fill="auto"/>
            <w:vAlign w:val="bottom"/>
          </w:tcPr>
          <w:p w:rsidR="000100D5" w:rsidRPr="005269E5" w:rsidRDefault="000100D5" w:rsidP="000100D5">
            <w:pPr>
              <w:spacing w:before="40" w:after="40" w:line="220" w:lineRule="exact"/>
              <w:ind w:right="113"/>
              <w:jc w:val="right"/>
              <w:rPr>
                <w:sz w:val="18"/>
              </w:rPr>
            </w:pPr>
          </w:p>
        </w:tc>
        <w:tc>
          <w:tcPr>
            <w:tcW w:w="2221"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3</w:t>
            </w:r>
          </w:p>
        </w:tc>
        <w:tc>
          <w:tcPr>
            <w:tcW w:w="2379"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2</w:t>
            </w:r>
          </w:p>
        </w:tc>
        <w:tc>
          <w:tcPr>
            <w:tcW w:w="1400" w:type="dxa"/>
            <w:shd w:val="clear" w:color="auto" w:fill="auto"/>
            <w:vAlign w:val="bottom"/>
          </w:tcPr>
          <w:p w:rsidR="000100D5" w:rsidRPr="005269E5" w:rsidRDefault="000100D5" w:rsidP="000100D5">
            <w:pPr>
              <w:spacing w:before="40" w:after="40" w:line="220" w:lineRule="exact"/>
              <w:ind w:right="113"/>
              <w:jc w:val="right"/>
              <w:rPr>
                <w:sz w:val="18"/>
              </w:rPr>
            </w:pPr>
          </w:p>
        </w:tc>
        <w:tc>
          <w:tcPr>
            <w:tcW w:w="17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4</w:t>
            </w:r>
          </w:p>
        </w:tc>
        <w:tc>
          <w:tcPr>
            <w:tcW w:w="689" w:type="dxa"/>
            <w:shd w:val="clear" w:color="auto" w:fill="auto"/>
            <w:vAlign w:val="bottom"/>
          </w:tcPr>
          <w:p w:rsidR="000100D5" w:rsidRPr="005269E5" w:rsidRDefault="000100D5" w:rsidP="000100D5">
            <w:pPr>
              <w:spacing w:before="40" w:after="40" w:line="220" w:lineRule="exact"/>
              <w:ind w:right="113"/>
              <w:jc w:val="right"/>
              <w:rPr>
                <w:sz w:val="18"/>
              </w:rPr>
            </w:pPr>
          </w:p>
        </w:tc>
        <w:tc>
          <w:tcPr>
            <w:tcW w:w="689" w:type="dxa"/>
            <w:shd w:val="clear" w:color="auto" w:fill="auto"/>
            <w:vAlign w:val="bottom"/>
          </w:tcPr>
          <w:p w:rsidR="000100D5" w:rsidRPr="005269E5" w:rsidRDefault="000100D5" w:rsidP="000100D5">
            <w:pPr>
              <w:spacing w:before="40" w:after="40" w:line="220" w:lineRule="exact"/>
              <w:ind w:right="113"/>
              <w:jc w:val="right"/>
              <w:rPr>
                <w:b/>
                <w:sz w:val="18"/>
              </w:rPr>
            </w:pPr>
            <w:r w:rsidRPr="005269E5">
              <w:rPr>
                <w:b/>
                <w:sz w:val="18"/>
              </w:rPr>
              <w:t>9</w:t>
            </w:r>
          </w:p>
        </w:tc>
      </w:tr>
      <w:tr w:rsidR="000100D5" w:rsidRPr="005269E5">
        <w:tc>
          <w:tcPr>
            <w:tcW w:w="868" w:type="dxa"/>
            <w:shd w:val="clear" w:color="auto" w:fill="auto"/>
          </w:tcPr>
          <w:p w:rsidR="000100D5" w:rsidRPr="005269E5" w:rsidRDefault="000100D5" w:rsidP="000100D5">
            <w:pPr>
              <w:spacing w:before="40" w:after="40" w:line="220" w:lineRule="exact"/>
              <w:ind w:right="113"/>
              <w:rPr>
                <w:sz w:val="18"/>
              </w:rPr>
            </w:pPr>
            <w:r w:rsidRPr="005269E5">
              <w:rPr>
                <w:sz w:val="18"/>
              </w:rPr>
              <w:t>2007</w:t>
            </w:r>
          </w:p>
        </w:tc>
        <w:tc>
          <w:tcPr>
            <w:tcW w:w="715"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6</w:t>
            </w:r>
          </w:p>
        </w:tc>
        <w:tc>
          <w:tcPr>
            <w:tcW w:w="17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2</w:t>
            </w:r>
          </w:p>
        </w:tc>
        <w:tc>
          <w:tcPr>
            <w:tcW w:w="2221" w:type="dxa"/>
            <w:shd w:val="clear" w:color="auto" w:fill="auto"/>
            <w:vAlign w:val="bottom"/>
          </w:tcPr>
          <w:p w:rsidR="000100D5" w:rsidRPr="005269E5" w:rsidRDefault="000100D5" w:rsidP="000100D5">
            <w:pPr>
              <w:spacing w:before="40" w:after="40" w:line="220" w:lineRule="exact"/>
              <w:ind w:right="113"/>
              <w:jc w:val="right"/>
              <w:rPr>
                <w:sz w:val="18"/>
              </w:rPr>
            </w:pPr>
          </w:p>
        </w:tc>
        <w:tc>
          <w:tcPr>
            <w:tcW w:w="2379"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3</w:t>
            </w:r>
          </w:p>
        </w:tc>
        <w:tc>
          <w:tcPr>
            <w:tcW w:w="1400" w:type="dxa"/>
            <w:shd w:val="clear" w:color="auto" w:fill="auto"/>
            <w:vAlign w:val="bottom"/>
          </w:tcPr>
          <w:p w:rsidR="000100D5" w:rsidRPr="005269E5" w:rsidRDefault="000100D5" w:rsidP="000100D5">
            <w:pPr>
              <w:spacing w:before="40" w:after="40" w:line="220" w:lineRule="exact"/>
              <w:ind w:right="113"/>
              <w:jc w:val="right"/>
              <w:rPr>
                <w:sz w:val="18"/>
              </w:rPr>
            </w:pPr>
          </w:p>
        </w:tc>
        <w:tc>
          <w:tcPr>
            <w:tcW w:w="17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689"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689" w:type="dxa"/>
            <w:shd w:val="clear" w:color="auto" w:fill="auto"/>
            <w:vAlign w:val="bottom"/>
          </w:tcPr>
          <w:p w:rsidR="000100D5" w:rsidRPr="005269E5" w:rsidRDefault="000100D5" w:rsidP="000100D5">
            <w:pPr>
              <w:spacing w:before="40" w:after="40" w:line="220" w:lineRule="exact"/>
              <w:ind w:right="113"/>
              <w:jc w:val="right"/>
              <w:rPr>
                <w:b/>
                <w:sz w:val="18"/>
              </w:rPr>
            </w:pPr>
            <w:r w:rsidRPr="005269E5">
              <w:rPr>
                <w:b/>
                <w:sz w:val="18"/>
              </w:rPr>
              <w:t>13</w:t>
            </w:r>
          </w:p>
        </w:tc>
      </w:tr>
      <w:tr w:rsidR="000100D5" w:rsidRPr="005269E5">
        <w:tc>
          <w:tcPr>
            <w:tcW w:w="868" w:type="dxa"/>
            <w:tcBorders>
              <w:bottom w:val="single" w:sz="4" w:space="0" w:color="auto"/>
            </w:tcBorders>
            <w:shd w:val="clear" w:color="auto" w:fill="auto"/>
          </w:tcPr>
          <w:p w:rsidR="000100D5" w:rsidRPr="005269E5" w:rsidRDefault="000100D5" w:rsidP="000100D5">
            <w:pPr>
              <w:spacing w:before="40" w:after="40" w:line="220" w:lineRule="exact"/>
              <w:ind w:right="113"/>
              <w:rPr>
                <w:sz w:val="18"/>
              </w:rPr>
            </w:pPr>
            <w:r w:rsidRPr="005269E5">
              <w:rPr>
                <w:sz w:val="18"/>
              </w:rPr>
              <w:t>2008</w:t>
            </w:r>
          </w:p>
        </w:tc>
        <w:tc>
          <w:tcPr>
            <w:tcW w:w="715" w:type="dxa"/>
            <w:tcBorders>
              <w:bottom w:val="single" w:sz="4"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2</w:t>
            </w:r>
          </w:p>
        </w:tc>
        <w:tc>
          <w:tcPr>
            <w:tcW w:w="1700" w:type="dxa"/>
            <w:tcBorders>
              <w:bottom w:val="single" w:sz="4"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3</w:t>
            </w:r>
          </w:p>
        </w:tc>
        <w:tc>
          <w:tcPr>
            <w:tcW w:w="2221" w:type="dxa"/>
            <w:tcBorders>
              <w:bottom w:val="single" w:sz="4"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2379" w:type="dxa"/>
            <w:tcBorders>
              <w:bottom w:val="single" w:sz="4" w:space="0" w:color="auto"/>
            </w:tcBorders>
            <w:shd w:val="clear" w:color="auto" w:fill="auto"/>
            <w:vAlign w:val="bottom"/>
          </w:tcPr>
          <w:p w:rsidR="000100D5" w:rsidRPr="005269E5" w:rsidRDefault="000100D5" w:rsidP="000100D5">
            <w:pPr>
              <w:spacing w:before="40" w:after="40" w:line="220" w:lineRule="exact"/>
              <w:ind w:right="113"/>
              <w:jc w:val="right"/>
              <w:rPr>
                <w:sz w:val="18"/>
              </w:rPr>
            </w:pPr>
          </w:p>
        </w:tc>
        <w:tc>
          <w:tcPr>
            <w:tcW w:w="1400" w:type="dxa"/>
            <w:tcBorders>
              <w:bottom w:val="single" w:sz="4" w:space="0" w:color="auto"/>
            </w:tcBorders>
            <w:shd w:val="clear" w:color="auto" w:fill="auto"/>
            <w:vAlign w:val="bottom"/>
          </w:tcPr>
          <w:p w:rsidR="000100D5" w:rsidRPr="005269E5" w:rsidRDefault="000100D5" w:rsidP="000100D5">
            <w:pPr>
              <w:spacing w:before="40" w:after="40" w:line="220" w:lineRule="exact"/>
              <w:ind w:right="113"/>
              <w:jc w:val="right"/>
              <w:rPr>
                <w:sz w:val="18"/>
              </w:rPr>
            </w:pPr>
          </w:p>
        </w:tc>
        <w:tc>
          <w:tcPr>
            <w:tcW w:w="1700" w:type="dxa"/>
            <w:tcBorders>
              <w:bottom w:val="single" w:sz="4"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12</w:t>
            </w:r>
          </w:p>
        </w:tc>
        <w:tc>
          <w:tcPr>
            <w:tcW w:w="689" w:type="dxa"/>
            <w:tcBorders>
              <w:bottom w:val="single" w:sz="4"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5</w:t>
            </w:r>
          </w:p>
        </w:tc>
        <w:tc>
          <w:tcPr>
            <w:tcW w:w="689" w:type="dxa"/>
            <w:tcBorders>
              <w:bottom w:val="single" w:sz="4" w:space="0" w:color="auto"/>
            </w:tcBorders>
            <w:shd w:val="clear" w:color="auto" w:fill="auto"/>
            <w:vAlign w:val="bottom"/>
          </w:tcPr>
          <w:p w:rsidR="000100D5" w:rsidRPr="005269E5" w:rsidRDefault="000100D5" w:rsidP="000100D5">
            <w:pPr>
              <w:spacing w:before="40" w:after="40" w:line="220" w:lineRule="exact"/>
              <w:ind w:right="113"/>
              <w:jc w:val="right"/>
              <w:rPr>
                <w:b/>
                <w:sz w:val="18"/>
              </w:rPr>
            </w:pPr>
            <w:r w:rsidRPr="005269E5">
              <w:rPr>
                <w:b/>
                <w:sz w:val="18"/>
              </w:rPr>
              <w:t>23</w:t>
            </w:r>
          </w:p>
        </w:tc>
      </w:tr>
      <w:tr w:rsidR="000100D5" w:rsidRPr="005269E5">
        <w:tc>
          <w:tcPr>
            <w:tcW w:w="868" w:type="dxa"/>
            <w:tcBorders>
              <w:top w:val="single" w:sz="4" w:space="0" w:color="auto"/>
              <w:bottom w:val="single" w:sz="12" w:space="0" w:color="auto"/>
            </w:tcBorders>
            <w:shd w:val="clear" w:color="auto" w:fill="auto"/>
          </w:tcPr>
          <w:p w:rsidR="000100D5" w:rsidRPr="005269E5" w:rsidRDefault="000100D5" w:rsidP="000100D5">
            <w:pPr>
              <w:spacing w:before="80" w:after="80" w:line="220" w:lineRule="exact"/>
              <w:ind w:left="284" w:right="113"/>
              <w:rPr>
                <w:b/>
                <w:sz w:val="18"/>
              </w:rPr>
            </w:pPr>
            <w:r w:rsidRPr="005269E5">
              <w:rPr>
                <w:b/>
                <w:sz w:val="18"/>
              </w:rPr>
              <w:t>Total</w:t>
            </w:r>
          </w:p>
        </w:tc>
        <w:tc>
          <w:tcPr>
            <w:tcW w:w="715"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20" w:lineRule="exact"/>
              <w:ind w:right="113"/>
              <w:jc w:val="right"/>
              <w:rPr>
                <w:b/>
                <w:sz w:val="18"/>
              </w:rPr>
            </w:pPr>
            <w:r w:rsidRPr="005269E5">
              <w:rPr>
                <w:b/>
                <w:sz w:val="18"/>
              </w:rPr>
              <w:t>14</w:t>
            </w:r>
          </w:p>
        </w:tc>
        <w:tc>
          <w:tcPr>
            <w:tcW w:w="17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20" w:lineRule="exact"/>
              <w:ind w:right="113"/>
              <w:jc w:val="right"/>
              <w:rPr>
                <w:b/>
                <w:sz w:val="18"/>
              </w:rPr>
            </w:pPr>
            <w:r w:rsidRPr="005269E5">
              <w:rPr>
                <w:b/>
                <w:sz w:val="18"/>
              </w:rPr>
              <w:t>10</w:t>
            </w:r>
          </w:p>
        </w:tc>
        <w:tc>
          <w:tcPr>
            <w:tcW w:w="2221"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20" w:lineRule="exact"/>
              <w:ind w:right="113"/>
              <w:jc w:val="right"/>
              <w:rPr>
                <w:b/>
                <w:sz w:val="18"/>
              </w:rPr>
            </w:pPr>
            <w:r w:rsidRPr="005269E5">
              <w:rPr>
                <w:b/>
                <w:sz w:val="18"/>
              </w:rPr>
              <w:t>6</w:t>
            </w:r>
          </w:p>
        </w:tc>
        <w:tc>
          <w:tcPr>
            <w:tcW w:w="2379"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20" w:lineRule="exact"/>
              <w:ind w:right="113"/>
              <w:jc w:val="right"/>
              <w:rPr>
                <w:b/>
                <w:sz w:val="18"/>
              </w:rPr>
            </w:pPr>
            <w:r w:rsidRPr="005269E5">
              <w:rPr>
                <w:b/>
                <w:sz w:val="18"/>
              </w:rPr>
              <w:t>5</w:t>
            </w:r>
          </w:p>
        </w:tc>
        <w:tc>
          <w:tcPr>
            <w:tcW w:w="14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20" w:lineRule="exact"/>
              <w:ind w:right="113"/>
              <w:jc w:val="right"/>
              <w:rPr>
                <w:b/>
                <w:sz w:val="18"/>
              </w:rPr>
            </w:pPr>
            <w:r w:rsidRPr="005269E5">
              <w:rPr>
                <w:b/>
                <w:sz w:val="18"/>
              </w:rPr>
              <w:t>1</w:t>
            </w:r>
          </w:p>
        </w:tc>
        <w:tc>
          <w:tcPr>
            <w:tcW w:w="17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20" w:lineRule="exact"/>
              <w:ind w:right="113"/>
              <w:jc w:val="right"/>
              <w:rPr>
                <w:b/>
                <w:sz w:val="18"/>
              </w:rPr>
            </w:pPr>
            <w:r w:rsidRPr="005269E5">
              <w:rPr>
                <w:b/>
                <w:sz w:val="18"/>
              </w:rPr>
              <w:t>32</w:t>
            </w:r>
          </w:p>
        </w:tc>
        <w:tc>
          <w:tcPr>
            <w:tcW w:w="689"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20" w:lineRule="exact"/>
              <w:ind w:right="113"/>
              <w:jc w:val="right"/>
              <w:rPr>
                <w:b/>
                <w:sz w:val="18"/>
              </w:rPr>
            </w:pPr>
            <w:r w:rsidRPr="005269E5">
              <w:rPr>
                <w:b/>
                <w:sz w:val="18"/>
              </w:rPr>
              <w:t>6</w:t>
            </w:r>
          </w:p>
        </w:tc>
        <w:tc>
          <w:tcPr>
            <w:tcW w:w="689"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20" w:lineRule="exact"/>
              <w:ind w:right="113"/>
              <w:jc w:val="right"/>
              <w:rPr>
                <w:b/>
                <w:sz w:val="18"/>
              </w:rPr>
            </w:pPr>
            <w:r w:rsidRPr="005269E5">
              <w:rPr>
                <w:b/>
                <w:sz w:val="18"/>
              </w:rPr>
              <w:t>74</w:t>
            </w:r>
          </w:p>
        </w:tc>
      </w:tr>
    </w:tbl>
    <w:p w:rsidR="000100D5" w:rsidRPr="005269E5" w:rsidRDefault="000100D5" w:rsidP="000100D5">
      <w:pPr>
        <w:pStyle w:val="Heading1"/>
        <w:spacing w:before="240"/>
      </w:pPr>
      <w:r>
        <w:t>Cuadro</w:t>
      </w:r>
      <w:r w:rsidRPr="005269E5">
        <w:t xml:space="preserve"> 5</w:t>
      </w:r>
    </w:p>
    <w:p w:rsidR="000100D5" w:rsidRPr="00933E77" w:rsidRDefault="000100D5" w:rsidP="00237030">
      <w:pPr>
        <w:pStyle w:val="SingleTxtG"/>
        <w:jc w:val="left"/>
        <w:rPr>
          <w:b/>
        </w:rPr>
      </w:pPr>
      <w:r w:rsidRPr="00933E77">
        <w:rPr>
          <w:b/>
        </w:rPr>
        <w:t>Desglose del patrocinio/</w:t>
      </w:r>
      <w:r w:rsidR="005C4174" w:rsidRPr="00933E77">
        <w:rPr>
          <w:b/>
        </w:rPr>
        <w:t>idiosincrasia</w:t>
      </w:r>
      <w:r w:rsidRPr="00933E77">
        <w:rPr>
          <w:b/>
        </w:rPr>
        <w:t xml:space="preserve"> de las escuelas primarias en 2005 y 2008</w:t>
      </w:r>
    </w:p>
    <w:tbl>
      <w:tblPr>
        <w:tblW w:w="12361" w:type="dxa"/>
        <w:tblInd w:w="28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83"/>
        <w:gridCol w:w="700"/>
        <w:gridCol w:w="1333"/>
        <w:gridCol w:w="1100"/>
        <w:gridCol w:w="900"/>
        <w:gridCol w:w="1300"/>
        <w:gridCol w:w="1300"/>
        <w:gridCol w:w="1000"/>
        <w:gridCol w:w="800"/>
        <w:gridCol w:w="800"/>
        <w:gridCol w:w="1567"/>
        <w:gridCol w:w="678"/>
      </w:tblGrid>
      <w:tr w:rsidR="000100D5" w:rsidRPr="005269E5">
        <w:trPr>
          <w:tblHeader/>
        </w:trPr>
        <w:tc>
          <w:tcPr>
            <w:tcW w:w="883" w:type="dxa"/>
            <w:tcBorders>
              <w:top w:val="single" w:sz="4" w:space="0" w:color="auto"/>
              <w:bottom w:val="single" w:sz="12" w:space="0" w:color="auto"/>
            </w:tcBorders>
            <w:shd w:val="clear" w:color="auto" w:fill="auto"/>
            <w:vAlign w:val="bottom"/>
          </w:tcPr>
          <w:p w:rsidR="000100D5" w:rsidRPr="00933E77" w:rsidRDefault="000100D5" w:rsidP="000100D5">
            <w:pPr>
              <w:spacing w:before="80" w:after="80" w:line="200" w:lineRule="exact"/>
              <w:ind w:right="113"/>
              <w:rPr>
                <w:i/>
                <w:sz w:val="16"/>
              </w:rPr>
            </w:pPr>
          </w:p>
        </w:tc>
        <w:tc>
          <w:tcPr>
            <w:tcW w:w="7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Cat</w:t>
            </w:r>
            <w:r>
              <w:rPr>
                <w:i/>
                <w:sz w:val="16"/>
              </w:rPr>
              <w:t>ól</w:t>
            </w:r>
            <w:r w:rsidRPr="005269E5">
              <w:rPr>
                <w:i/>
                <w:sz w:val="16"/>
              </w:rPr>
              <w:t>ic</w:t>
            </w:r>
            <w:r>
              <w:rPr>
                <w:i/>
                <w:sz w:val="16"/>
              </w:rPr>
              <w:t>o</w:t>
            </w:r>
            <w:r w:rsidRPr="005269E5">
              <w:rPr>
                <w:i/>
                <w:sz w:val="16"/>
              </w:rPr>
              <w:t xml:space="preserve"> </w:t>
            </w:r>
          </w:p>
        </w:tc>
        <w:tc>
          <w:tcPr>
            <w:tcW w:w="1333"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Pr>
                <w:i/>
                <w:sz w:val="16"/>
              </w:rPr>
              <w:t>Iglesia de</w:t>
            </w:r>
            <w:r w:rsidRPr="005269E5">
              <w:rPr>
                <w:i/>
                <w:sz w:val="16"/>
              </w:rPr>
              <w:t xml:space="preserve"> Irland</w:t>
            </w:r>
            <w:r>
              <w:rPr>
                <w:i/>
                <w:sz w:val="16"/>
              </w:rPr>
              <w:t>a</w:t>
            </w:r>
            <w:r w:rsidRPr="005269E5">
              <w:rPr>
                <w:i/>
                <w:sz w:val="16"/>
              </w:rPr>
              <w:t xml:space="preserve"> </w:t>
            </w:r>
          </w:p>
        </w:tc>
        <w:tc>
          <w:tcPr>
            <w:tcW w:w="11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Presb</w:t>
            </w:r>
            <w:r w:rsidR="00BD5346">
              <w:rPr>
                <w:i/>
                <w:sz w:val="16"/>
              </w:rPr>
              <w:t>i</w:t>
            </w:r>
            <w:r w:rsidRPr="005269E5">
              <w:rPr>
                <w:i/>
                <w:sz w:val="16"/>
              </w:rPr>
              <w:t>terian</w:t>
            </w:r>
            <w:r>
              <w:rPr>
                <w:i/>
                <w:sz w:val="16"/>
              </w:rPr>
              <w:t>o</w:t>
            </w:r>
          </w:p>
        </w:tc>
        <w:tc>
          <w:tcPr>
            <w:tcW w:w="9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Metodist</w:t>
            </w:r>
            <w:r>
              <w:rPr>
                <w:i/>
                <w:sz w:val="16"/>
              </w:rPr>
              <w:t>a</w:t>
            </w:r>
          </w:p>
        </w:tc>
        <w:tc>
          <w:tcPr>
            <w:tcW w:w="13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Multi</w:t>
            </w:r>
            <w:r>
              <w:rPr>
                <w:i/>
                <w:sz w:val="16"/>
              </w:rPr>
              <w:t>confes</w:t>
            </w:r>
            <w:r w:rsidRPr="005269E5">
              <w:rPr>
                <w:i/>
                <w:sz w:val="16"/>
              </w:rPr>
              <w:t xml:space="preserve">ional </w:t>
            </w:r>
          </w:p>
        </w:tc>
        <w:tc>
          <w:tcPr>
            <w:tcW w:w="1300" w:type="dxa"/>
            <w:tcBorders>
              <w:top w:val="single" w:sz="4" w:space="0" w:color="auto"/>
              <w:bottom w:val="single" w:sz="12" w:space="0" w:color="auto"/>
            </w:tcBorders>
            <w:shd w:val="clear" w:color="auto" w:fill="auto"/>
            <w:vAlign w:val="bottom"/>
          </w:tcPr>
          <w:p w:rsidR="000100D5" w:rsidRPr="005269E5" w:rsidRDefault="00BD5346" w:rsidP="000100D5">
            <w:pPr>
              <w:spacing w:before="80" w:after="80" w:line="200" w:lineRule="exact"/>
              <w:ind w:right="113"/>
              <w:jc w:val="right"/>
              <w:rPr>
                <w:i/>
                <w:sz w:val="16"/>
              </w:rPr>
            </w:pPr>
            <w:r>
              <w:rPr>
                <w:i/>
                <w:sz w:val="16"/>
              </w:rPr>
              <w:t>Inter</w:t>
            </w:r>
            <w:r w:rsidR="000100D5">
              <w:rPr>
                <w:i/>
                <w:sz w:val="16"/>
              </w:rPr>
              <w:t>conf</w:t>
            </w:r>
            <w:r w:rsidR="000100D5" w:rsidRPr="005269E5">
              <w:rPr>
                <w:i/>
                <w:sz w:val="16"/>
              </w:rPr>
              <w:t>e</w:t>
            </w:r>
            <w:r w:rsidR="000100D5">
              <w:rPr>
                <w:i/>
                <w:sz w:val="16"/>
              </w:rPr>
              <w:t>sion</w:t>
            </w:r>
            <w:r w:rsidR="000100D5" w:rsidRPr="005269E5">
              <w:rPr>
                <w:i/>
                <w:sz w:val="16"/>
              </w:rPr>
              <w:t xml:space="preserve">al </w:t>
            </w:r>
          </w:p>
        </w:tc>
        <w:tc>
          <w:tcPr>
            <w:tcW w:w="10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Pr>
                <w:i/>
                <w:sz w:val="16"/>
              </w:rPr>
              <w:t>Musulmán</w:t>
            </w:r>
          </w:p>
        </w:tc>
        <w:tc>
          <w:tcPr>
            <w:tcW w:w="8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J</w:t>
            </w:r>
            <w:r>
              <w:rPr>
                <w:i/>
                <w:sz w:val="16"/>
              </w:rPr>
              <w:t>udío</w:t>
            </w:r>
            <w:r w:rsidRPr="005269E5">
              <w:rPr>
                <w:i/>
                <w:sz w:val="16"/>
              </w:rPr>
              <w:t xml:space="preserve"> </w:t>
            </w:r>
          </w:p>
        </w:tc>
        <w:tc>
          <w:tcPr>
            <w:tcW w:w="800"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i/>
                <w:sz w:val="16"/>
              </w:rPr>
            </w:pPr>
            <w:r w:rsidRPr="005269E5">
              <w:rPr>
                <w:i/>
                <w:sz w:val="16"/>
              </w:rPr>
              <w:t>Otr</w:t>
            </w:r>
            <w:r>
              <w:rPr>
                <w:i/>
                <w:sz w:val="16"/>
              </w:rPr>
              <w:t>o</w:t>
            </w:r>
            <w:r w:rsidRPr="005269E5">
              <w:rPr>
                <w:i/>
                <w:sz w:val="16"/>
              </w:rPr>
              <w:t xml:space="preserve"> </w:t>
            </w:r>
          </w:p>
        </w:tc>
        <w:tc>
          <w:tcPr>
            <w:tcW w:w="1567" w:type="dxa"/>
            <w:tcBorders>
              <w:top w:val="single" w:sz="4" w:space="0" w:color="auto"/>
              <w:bottom w:val="single" w:sz="12" w:space="0" w:color="auto"/>
            </w:tcBorders>
            <w:shd w:val="clear" w:color="auto" w:fill="auto"/>
            <w:vAlign w:val="bottom"/>
          </w:tcPr>
          <w:p w:rsidR="000100D5" w:rsidRPr="00933E77" w:rsidRDefault="000100D5" w:rsidP="000100D5">
            <w:pPr>
              <w:spacing w:before="80" w:after="80" w:line="200" w:lineRule="exact"/>
              <w:ind w:right="113"/>
              <w:jc w:val="right"/>
              <w:rPr>
                <w:i/>
                <w:sz w:val="16"/>
              </w:rPr>
            </w:pPr>
            <w:r w:rsidRPr="00933E77">
              <w:rPr>
                <w:i/>
                <w:sz w:val="16"/>
              </w:rPr>
              <w:t>Escuela nacional de</w:t>
            </w:r>
            <w:r>
              <w:rPr>
                <w:i/>
                <w:sz w:val="16"/>
              </w:rPr>
              <w:t xml:space="preserve"> los comités de educación profesional (VEC)</w:t>
            </w:r>
            <w:r w:rsidRPr="00933E77">
              <w:rPr>
                <w:i/>
                <w:sz w:val="16"/>
              </w:rPr>
              <w:t xml:space="preserve"> de la comunidad </w:t>
            </w:r>
          </w:p>
        </w:tc>
        <w:tc>
          <w:tcPr>
            <w:tcW w:w="678" w:type="dxa"/>
            <w:tcBorders>
              <w:top w:val="single" w:sz="4" w:space="0" w:color="auto"/>
              <w:bottom w:val="single" w:sz="12" w:space="0" w:color="auto"/>
            </w:tcBorders>
            <w:shd w:val="clear" w:color="auto" w:fill="auto"/>
            <w:vAlign w:val="bottom"/>
          </w:tcPr>
          <w:p w:rsidR="000100D5" w:rsidRPr="005269E5" w:rsidRDefault="000100D5" w:rsidP="000100D5">
            <w:pPr>
              <w:spacing w:before="80" w:after="80" w:line="200" w:lineRule="exact"/>
              <w:ind w:right="113"/>
              <w:jc w:val="right"/>
              <w:rPr>
                <w:b/>
                <w:i/>
                <w:sz w:val="16"/>
              </w:rPr>
            </w:pPr>
            <w:r w:rsidRPr="005269E5">
              <w:rPr>
                <w:b/>
                <w:i/>
                <w:sz w:val="16"/>
              </w:rPr>
              <w:t xml:space="preserve">Total </w:t>
            </w:r>
          </w:p>
        </w:tc>
      </w:tr>
      <w:tr w:rsidR="000100D5" w:rsidRPr="005269E5">
        <w:tc>
          <w:tcPr>
            <w:tcW w:w="883" w:type="dxa"/>
            <w:tcBorders>
              <w:top w:val="single" w:sz="12" w:space="0" w:color="auto"/>
            </w:tcBorders>
            <w:shd w:val="clear" w:color="auto" w:fill="auto"/>
          </w:tcPr>
          <w:p w:rsidR="000100D5" w:rsidRPr="005269E5" w:rsidRDefault="000100D5" w:rsidP="000100D5">
            <w:pPr>
              <w:spacing w:before="40" w:after="40" w:line="220" w:lineRule="exact"/>
              <w:ind w:right="113"/>
              <w:rPr>
                <w:sz w:val="18"/>
              </w:rPr>
            </w:pPr>
            <w:r w:rsidRPr="005269E5">
              <w:rPr>
                <w:sz w:val="18"/>
              </w:rPr>
              <w:t xml:space="preserve">2005 </w:t>
            </w:r>
          </w:p>
        </w:tc>
        <w:tc>
          <w:tcPr>
            <w:tcW w:w="7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3 039</w:t>
            </w:r>
          </w:p>
        </w:tc>
        <w:tc>
          <w:tcPr>
            <w:tcW w:w="1333"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183</w:t>
            </w:r>
          </w:p>
        </w:tc>
        <w:tc>
          <w:tcPr>
            <w:tcW w:w="11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14</w:t>
            </w:r>
          </w:p>
        </w:tc>
        <w:tc>
          <w:tcPr>
            <w:tcW w:w="9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13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34</w:t>
            </w:r>
          </w:p>
        </w:tc>
        <w:tc>
          <w:tcPr>
            <w:tcW w:w="13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5</w:t>
            </w:r>
          </w:p>
        </w:tc>
        <w:tc>
          <w:tcPr>
            <w:tcW w:w="10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2</w:t>
            </w:r>
          </w:p>
        </w:tc>
        <w:tc>
          <w:tcPr>
            <w:tcW w:w="8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800"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0</w:t>
            </w:r>
          </w:p>
        </w:tc>
        <w:tc>
          <w:tcPr>
            <w:tcW w:w="1567"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0</w:t>
            </w:r>
          </w:p>
        </w:tc>
        <w:tc>
          <w:tcPr>
            <w:tcW w:w="678" w:type="dxa"/>
            <w:tcBorders>
              <w:top w:val="single" w:sz="12" w:space="0" w:color="auto"/>
            </w:tcBorders>
            <w:shd w:val="clear" w:color="auto" w:fill="auto"/>
            <w:vAlign w:val="bottom"/>
          </w:tcPr>
          <w:p w:rsidR="000100D5" w:rsidRPr="005269E5" w:rsidRDefault="000100D5" w:rsidP="000100D5">
            <w:pPr>
              <w:spacing w:before="40" w:after="40" w:line="220" w:lineRule="exact"/>
              <w:ind w:right="113"/>
              <w:jc w:val="right"/>
              <w:rPr>
                <w:b/>
                <w:sz w:val="18"/>
              </w:rPr>
            </w:pPr>
            <w:r w:rsidRPr="005269E5">
              <w:rPr>
                <w:b/>
                <w:sz w:val="18"/>
              </w:rPr>
              <w:t>3 279</w:t>
            </w:r>
          </w:p>
        </w:tc>
      </w:tr>
      <w:tr w:rsidR="000100D5" w:rsidRPr="005269E5">
        <w:tc>
          <w:tcPr>
            <w:tcW w:w="883" w:type="dxa"/>
            <w:shd w:val="clear" w:color="auto" w:fill="auto"/>
          </w:tcPr>
          <w:p w:rsidR="000100D5" w:rsidRPr="005269E5" w:rsidRDefault="000100D5" w:rsidP="000100D5">
            <w:pPr>
              <w:spacing w:before="40" w:after="40" w:line="220" w:lineRule="exact"/>
              <w:ind w:right="113"/>
              <w:rPr>
                <w:sz w:val="18"/>
              </w:rPr>
            </w:pPr>
            <w:r w:rsidRPr="005269E5">
              <w:rPr>
                <w:sz w:val="18"/>
              </w:rPr>
              <w:t xml:space="preserve">2008 </w:t>
            </w:r>
          </w:p>
        </w:tc>
        <w:tc>
          <w:tcPr>
            <w:tcW w:w="7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3 027</w:t>
            </w:r>
          </w:p>
        </w:tc>
        <w:tc>
          <w:tcPr>
            <w:tcW w:w="1333"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183</w:t>
            </w:r>
          </w:p>
        </w:tc>
        <w:tc>
          <w:tcPr>
            <w:tcW w:w="11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14</w:t>
            </w:r>
          </w:p>
        </w:tc>
        <w:tc>
          <w:tcPr>
            <w:tcW w:w="9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13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58</w:t>
            </w:r>
          </w:p>
        </w:tc>
        <w:tc>
          <w:tcPr>
            <w:tcW w:w="13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9</w:t>
            </w:r>
          </w:p>
        </w:tc>
        <w:tc>
          <w:tcPr>
            <w:tcW w:w="10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2</w:t>
            </w:r>
          </w:p>
        </w:tc>
        <w:tc>
          <w:tcPr>
            <w:tcW w:w="8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1</w:t>
            </w:r>
          </w:p>
        </w:tc>
        <w:tc>
          <w:tcPr>
            <w:tcW w:w="800"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5</w:t>
            </w:r>
          </w:p>
        </w:tc>
        <w:tc>
          <w:tcPr>
            <w:tcW w:w="1567" w:type="dxa"/>
            <w:shd w:val="clear" w:color="auto" w:fill="auto"/>
            <w:vAlign w:val="bottom"/>
          </w:tcPr>
          <w:p w:rsidR="000100D5" w:rsidRPr="005269E5" w:rsidRDefault="000100D5" w:rsidP="000100D5">
            <w:pPr>
              <w:spacing w:before="40" w:after="40" w:line="220" w:lineRule="exact"/>
              <w:ind w:right="113"/>
              <w:jc w:val="right"/>
              <w:rPr>
                <w:sz w:val="18"/>
              </w:rPr>
            </w:pPr>
            <w:r w:rsidRPr="005269E5">
              <w:rPr>
                <w:sz w:val="18"/>
              </w:rPr>
              <w:t>2</w:t>
            </w:r>
          </w:p>
        </w:tc>
        <w:tc>
          <w:tcPr>
            <w:tcW w:w="678" w:type="dxa"/>
            <w:shd w:val="clear" w:color="auto" w:fill="auto"/>
            <w:vAlign w:val="bottom"/>
          </w:tcPr>
          <w:p w:rsidR="000100D5" w:rsidRPr="005269E5" w:rsidRDefault="000100D5" w:rsidP="000100D5">
            <w:pPr>
              <w:spacing w:before="40" w:after="40" w:line="220" w:lineRule="exact"/>
              <w:ind w:right="113"/>
              <w:jc w:val="right"/>
              <w:rPr>
                <w:b/>
                <w:sz w:val="18"/>
              </w:rPr>
            </w:pPr>
            <w:r w:rsidRPr="005269E5">
              <w:rPr>
                <w:b/>
                <w:sz w:val="18"/>
              </w:rPr>
              <w:t>3 302</w:t>
            </w:r>
          </w:p>
        </w:tc>
      </w:tr>
    </w:tbl>
    <w:p w:rsidR="000100D5" w:rsidRPr="00933E77" w:rsidRDefault="000100D5" w:rsidP="000100D5">
      <w:pPr>
        <w:pStyle w:val="SingleTxtG"/>
        <w:spacing w:before="120"/>
        <w:ind w:left="300" w:firstLine="170"/>
        <w:rPr>
          <w:sz w:val="18"/>
          <w:szCs w:val="18"/>
        </w:rPr>
      </w:pPr>
      <w:r w:rsidRPr="00C67360">
        <w:t>*</w:t>
      </w:r>
      <w:r w:rsidR="005007D6">
        <w:rPr>
          <w:i/>
        </w:rPr>
        <w:t xml:space="preserve"> </w:t>
      </w:r>
      <w:r w:rsidR="00C67360">
        <w:rPr>
          <w:i/>
        </w:rPr>
        <w:t xml:space="preserve"> </w:t>
      </w:r>
      <w:r w:rsidRPr="00933E77">
        <w:rPr>
          <w:sz w:val="18"/>
          <w:szCs w:val="18"/>
        </w:rPr>
        <w:t>En este grupo figuran las escuelas de Educate Together</w:t>
      </w:r>
      <w:r>
        <w:rPr>
          <w:sz w:val="18"/>
          <w:szCs w:val="18"/>
        </w:rPr>
        <w:t xml:space="preserve"> (E</w:t>
      </w:r>
      <w:r w:rsidRPr="00933E77">
        <w:rPr>
          <w:sz w:val="18"/>
          <w:szCs w:val="18"/>
        </w:rPr>
        <w:t>ducar juntos).</w:t>
      </w:r>
    </w:p>
    <w:p w:rsidR="000100D5" w:rsidRPr="00933E77" w:rsidRDefault="000100D5" w:rsidP="000100D5">
      <w:pPr>
        <w:pStyle w:val="SingleTxtG"/>
        <w:ind w:left="0" w:firstLine="170"/>
        <w:rPr>
          <w:sz w:val="16"/>
          <w:szCs w:val="16"/>
        </w:rPr>
        <w:sectPr w:rsidR="000100D5" w:rsidRPr="00933E77" w:rsidSect="000100D5">
          <w:headerReference w:type="even" r:id="rId17"/>
          <w:headerReference w:type="default" r:id="rId18"/>
          <w:footerReference w:type="even" r:id="rId19"/>
          <w:footerReference w:type="default" r:id="rId20"/>
          <w:pgSz w:w="16838" w:h="11906" w:orient="landscape" w:code="9"/>
          <w:pgMar w:top="1134" w:right="1701" w:bottom="1134" w:left="2268" w:header="567" w:footer="567" w:gutter="0"/>
          <w:cols w:space="720"/>
          <w:docGrid w:linePitch="272"/>
        </w:sectPr>
      </w:pPr>
    </w:p>
    <w:p w:rsidR="000100D5" w:rsidRPr="00933E77" w:rsidRDefault="000100D5" w:rsidP="000100D5">
      <w:pPr>
        <w:pStyle w:val="H23G"/>
      </w:pPr>
      <w:r w:rsidRPr="00933E77">
        <w:tab/>
      </w:r>
      <w:r w:rsidRPr="00933E77">
        <w:tab/>
        <w:t>Respuesta a la recomendación contenida en el párr</w:t>
      </w:r>
      <w:r>
        <w:t>a</w:t>
      </w:r>
      <w:r w:rsidRPr="00933E77">
        <w:t xml:space="preserve">fo 20 del informe del </w:t>
      </w:r>
      <w:r w:rsidR="00466CA0">
        <w:t>Coordinador encargado del seguimiento</w:t>
      </w:r>
    </w:p>
    <w:p w:rsidR="000100D5" w:rsidRPr="005269E5" w:rsidRDefault="000100D5" w:rsidP="000100D5">
      <w:pPr>
        <w:pStyle w:val="SingleTxtG"/>
      </w:pPr>
      <w:r w:rsidRPr="005269E5">
        <w:t>117.</w:t>
      </w:r>
      <w:r w:rsidRPr="005269E5">
        <w:tab/>
      </w:r>
      <w:r>
        <w:t>Sírvanse consultar el Apéndice dedicado a los nómadas</w:t>
      </w:r>
      <w:r w:rsidRPr="005269E5">
        <w:t xml:space="preserve"> (Ap</w:t>
      </w:r>
      <w:r>
        <w:t>é</w:t>
      </w:r>
      <w:r w:rsidRPr="005269E5">
        <w:t>ndi</w:t>
      </w:r>
      <w:r>
        <w:t>ce</w:t>
      </w:r>
      <w:r w:rsidRPr="005269E5">
        <w:t xml:space="preserve"> I).</w:t>
      </w:r>
    </w:p>
    <w:p w:rsidR="000100D5" w:rsidRPr="00272A1C" w:rsidRDefault="000100D5" w:rsidP="000100D5">
      <w:pPr>
        <w:pStyle w:val="H23G"/>
      </w:pPr>
      <w:r w:rsidRPr="005269E5">
        <w:tab/>
      </w:r>
      <w:r w:rsidRPr="005269E5">
        <w:tab/>
      </w:r>
      <w:r w:rsidRPr="00272A1C">
        <w:t xml:space="preserve">Respuesta a la recomendación contenida en el párrafo 21 del informe del </w:t>
      </w:r>
      <w:r w:rsidR="00466CA0">
        <w:t>Coordinador encargado del seguimiento</w:t>
      </w:r>
    </w:p>
    <w:p w:rsidR="000100D5" w:rsidRPr="005269E5" w:rsidRDefault="000100D5" w:rsidP="000100D5">
      <w:pPr>
        <w:pStyle w:val="SingleTxtG"/>
      </w:pPr>
      <w:r w:rsidRPr="005269E5">
        <w:t>118.</w:t>
      </w:r>
      <w:r w:rsidRPr="005269E5">
        <w:tab/>
      </w:r>
      <w:r>
        <w:t>Sírvanse consultar la</w:t>
      </w:r>
      <w:r w:rsidRPr="005269E5">
        <w:t xml:space="preserve"> informa</w:t>
      </w:r>
      <w:r>
        <w:t>c</w:t>
      </w:r>
      <w:r w:rsidRPr="005269E5">
        <w:t>i</w:t>
      </w:r>
      <w:r>
        <w:t>ó</w:t>
      </w:r>
      <w:r w:rsidRPr="005269E5">
        <w:t xml:space="preserve">n </w:t>
      </w:r>
      <w:r>
        <w:t>e</w:t>
      </w:r>
      <w:r w:rsidRPr="005269E5">
        <w:t xml:space="preserve">n </w:t>
      </w:r>
      <w:r>
        <w:t xml:space="preserve">los </w:t>
      </w:r>
      <w:r w:rsidRPr="005269E5">
        <w:t>p</w:t>
      </w:r>
      <w:r>
        <w:t>á</w:t>
      </w:r>
      <w:r w:rsidRPr="005269E5">
        <w:t>r</w:t>
      </w:r>
      <w:r>
        <w:t>r</w:t>
      </w:r>
      <w:r w:rsidRPr="005269E5">
        <w:t>a</w:t>
      </w:r>
      <w:r>
        <w:t>fos</w:t>
      </w:r>
      <w:r w:rsidRPr="005269E5">
        <w:t xml:space="preserve"> 101 </w:t>
      </w:r>
      <w:r>
        <w:t>y</w:t>
      </w:r>
      <w:r w:rsidRPr="005269E5">
        <w:t xml:space="preserve"> 450 relati</w:t>
      </w:r>
      <w:r>
        <w:t>va a los profesores de apoyo lingüístico</w:t>
      </w:r>
      <w:r w:rsidRPr="005269E5">
        <w:t>.</w:t>
      </w:r>
    </w:p>
    <w:p w:rsidR="000100D5" w:rsidRPr="005269E5" w:rsidRDefault="000100D5" w:rsidP="000100D5">
      <w:pPr>
        <w:pStyle w:val="H23G"/>
      </w:pPr>
      <w:r w:rsidRPr="005269E5">
        <w:tab/>
        <w:t>2.</w:t>
      </w:r>
      <w:r w:rsidRPr="005269E5">
        <w:tab/>
      </w:r>
      <w:r>
        <w:t>Educación integradora</w:t>
      </w:r>
    </w:p>
    <w:p w:rsidR="000100D5" w:rsidRPr="007F060C" w:rsidRDefault="000100D5" w:rsidP="000100D5">
      <w:pPr>
        <w:pStyle w:val="SingleTxtG"/>
      </w:pPr>
      <w:r w:rsidRPr="005269E5">
        <w:t>119.</w:t>
      </w:r>
      <w:r w:rsidRPr="005269E5">
        <w:tab/>
      </w:r>
      <w:r>
        <w:t>El</w:t>
      </w:r>
      <w:r w:rsidRPr="005269E5">
        <w:t xml:space="preserve"> Depart</w:t>
      </w:r>
      <w:r>
        <w:t>a</w:t>
      </w:r>
      <w:r w:rsidRPr="005269E5">
        <w:t>ment</w:t>
      </w:r>
      <w:r>
        <w:t>o de Educac</w:t>
      </w:r>
      <w:r w:rsidRPr="005269E5">
        <w:t>i</w:t>
      </w:r>
      <w:r>
        <w:t>ó</w:t>
      </w:r>
      <w:r w:rsidRPr="005269E5">
        <w:t xml:space="preserve">n </w:t>
      </w:r>
      <w:r>
        <w:t>y</w:t>
      </w:r>
      <w:r w:rsidRPr="005269E5">
        <w:t xml:space="preserve"> </w:t>
      </w:r>
      <w:r>
        <w:t>C</w:t>
      </w:r>
      <w:r w:rsidRPr="005269E5">
        <w:t>ienc</w:t>
      </w:r>
      <w:r>
        <w:t>ia</w:t>
      </w:r>
      <w:r w:rsidRPr="005269E5">
        <w:t xml:space="preserve"> </w:t>
      </w:r>
      <w:r>
        <w:t>está preparando una estrategia de educación</w:t>
      </w:r>
      <w:r w:rsidRPr="005269E5">
        <w:t xml:space="preserve"> </w:t>
      </w:r>
      <w:r>
        <w:t>multi</w:t>
      </w:r>
      <w:r w:rsidRPr="005269E5">
        <w:t xml:space="preserve">cultural. </w:t>
      </w:r>
      <w:r w:rsidRPr="00C763A2">
        <w:t>En 2008 se celebró una conferencia para iniciar el proceso de</w:t>
      </w:r>
      <w:r w:rsidR="005007D6">
        <w:t xml:space="preserve"> </w:t>
      </w:r>
      <w:r w:rsidRPr="00C763A2">
        <w:t xml:space="preserve">consultas. </w:t>
      </w:r>
      <w:r>
        <w:t>Posteriormente se organizaron siete foros de</w:t>
      </w:r>
      <w:r w:rsidRPr="00C763A2">
        <w:t xml:space="preserve"> consulta sectoriales</w:t>
      </w:r>
      <w:r>
        <w:t>,</w:t>
      </w:r>
      <w:r w:rsidRPr="00C763A2">
        <w:t xml:space="preserve"> a los que asistieron m</w:t>
      </w:r>
      <w:r>
        <w:t>ás de</w:t>
      </w:r>
      <w:r w:rsidRPr="00C763A2">
        <w:t xml:space="preserve"> 200 delega</w:t>
      </w:r>
      <w:r>
        <w:t>dos y en los que se recibieron más de</w:t>
      </w:r>
      <w:r w:rsidRPr="00C763A2">
        <w:t xml:space="preserve"> 50 </w:t>
      </w:r>
      <w:r>
        <w:t>comunicaciones escritas</w:t>
      </w:r>
      <w:r w:rsidRPr="00C763A2">
        <w:t xml:space="preserve">. </w:t>
      </w:r>
      <w:r w:rsidRPr="007F060C">
        <w:t xml:space="preserve">La estrategia de educación </w:t>
      </w:r>
      <w:r>
        <w:t>multi</w:t>
      </w:r>
      <w:r w:rsidRPr="007F060C">
        <w:t>cultural</w:t>
      </w:r>
      <w:r w:rsidR="005007D6">
        <w:t xml:space="preserve"> </w:t>
      </w:r>
      <w:r w:rsidRPr="007F060C">
        <w:t xml:space="preserve">estará </w:t>
      </w:r>
      <w:r>
        <w:t>conclui</w:t>
      </w:r>
      <w:r w:rsidRPr="007F060C">
        <w:t>da en 2010.</w:t>
      </w:r>
    </w:p>
    <w:p w:rsidR="000100D5" w:rsidRPr="006A7841" w:rsidRDefault="000100D5" w:rsidP="000100D5">
      <w:pPr>
        <w:pStyle w:val="SingleTxtG"/>
      </w:pPr>
      <w:r w:rsidRPr="005269E5">
        <w:t>120.</w:t>
      </w:r>
      <w:r w:rsidRPr="005269E5">
        <w:tab/>
      </w:r>
      <w:r>
        <w:t>El desarrollo de la estrategia se basa en varios documentos clave de investigación, entre los que figuran el estudio del Instituto de Investigación Económica y Social</w:t>
      </w:r>
      <w:r w:rsidRPr="005269E5">
        <w:t xml:space="preserve"> </w:t>
      </w:r>
      <w:r w:rsidR="00E03EF2">
        <w:t>"</w:t>
      </w:r>
      <w:r w:rsidRPr="005269E5">
        <w:t>Adapting to Diversity: Irish Schools and Newcomer Schools</w:t>
      </w:r>
      <w:r w:rsidR="00E03EF2">
        <w:t>"</w:t>
      </w:r>
      <w:r w:rsidRPr="005269E5">
        <w:t xml:space="preserve"> </w:t>
      </w:r>
      <w:r>
        <w:t>(Adaptación a la diversidad: escuelas irlandesas y escuelas para recién llegados)</w:t>
      </w:r>
      <w:r w:rsidRPr="005269E5">
        <w:t xml:space="preserve"> (</w:t>
      </w:r>
      <w:r>
        <w:t>véase la</w:t>
      </w:r>
      <w:r w:rsidRPr="005269E5">
        <w:t xml:space="preserve"> resp</w:t>
      </w:r>
      <w:r>
        <w:t xml:space="preserve">uesta </w:t>
      </w:r>
      <w:r w:rsidRPr="005269E5">
        <w:t>a</w:t>
      </w:r>
      <w:r>
        <w:t>l</w:t>
      </w:r>
      <w:r w:rsidRPr="005269E5">
        <w:t xml:space="preserve"> </w:t>
      </w:r>
      <w:r>
        <w:t xml:space="preserve">párr. </w:t>
      </w:r>
      <w:r w:rsidRPr="003A0F67">
        <w:t xml:space="preserve">19 del informe del </w:t>
      </w:r>
      <w:r w:rsidR="00466CA0">
        <w:t>Coordinador encargado del seguimiento</w:t>
      </w:r>
      <w:r w:rsidRPr="003A0F67">
        <w:t>) y una evaluación de la Inspección del Departamento de Educación y Ciencia de la calidad</w:t>
      </w:r>
      <w:r>
        <w:t xml:space="preserve"> de la enseñanza y aprendizaje del I</w:t>
      </w:r>
      <w:r w:rsidRPr="003A0F67">
        <w:t>ngl</w:t>
      </w:r>
      <w:r>
        <w:t>és</w:t>
      </w:r>
      <w:r w:rsidRPr="003A0F67">
        <w:t xml:space="preserve"> </w:t>
      </w:r>
      <w:r>
        <w:t>segunda lengua en las escuelas</w:t>
      </w:r>
      <w:r w:rsidRPr="003A0F67">
        <w:t xml:space="preserve">. </w:t>
      </w:r>
      <w:r w:rsidRPr="005269E5">
        <w:t>(</w:t>
      </w:r>
      <w:r>
        <w:t>El informe</w:t>
      </w:r>
      <w:r w:rsidRPr="005269E5">
        <w:t xml:space="preserve"> final </w:t>
      </w:r>
      <w:r>
        <w:t>sobre esta</w:t>
      </w:r>
      <w:r w:rsidRPr="005269E5">
        <w:t xml:space="preserve"> evalua</w:t>
      </w:r>
      <w:r>
        <w:t>c</w:t>
      </w:r>
      <w:r w:rsidRPr="005269E5">
        <w:t>i</w:t>
      </w:r>
      <w:r>
        <w:t>ó</w:t>
      </w:r>
      <w:r w:rsidRPr="005269E5">
        <w:t xml:space="preserve">n </w:t>
      </w:r>
      <w:r>
        <w:t>se</w:t>
      </w:r>
      <w:r w:rsidRPr="005269E5">
        <w:t xml:space="preserve"> publi</w:t>
      </w:r>
      <w:r>
        <w:t>cará</w:t>
      </w:r>
      <w:r w:rsidRPr="005269E5">
        <w:t xml:space="preserve"> </w:t>
      </w:r>
      <w:r>
        <w:t>e</w:t>
      </w:r>
      <w:r w:rsidRPr="005269E5">
        <w:t xml:space="preserve">n 2009). </w:t>
      </w:r>
      <w:r w:rsidRPr="00DF0F51">
        <w:t xml:space="preserve">Como se menciona asimismo en la respuesta al párrafo 19 del informe del </w:t>
      </w:r>
      <w:r w:rsidR="00466CA0">
        <w:t>Coordinador encargado del seguimiento</w:t>
      </w:r>
      <w:r w:rsidRPr="00DF0F51">
        <w:t>, el Departamento de Educación y Ciencia está llevando a cabo un análisis d</w:t>
      </w:r>
      <w:r>
        <w:t>e la rentabilidad del gasto en I</w:t>
      </w:r>
      <w:r w:rsidRPr="00DF0F51">
        <w:t>ngl</w:t>
      </w:r>
      <w:r>
        <w:t>és segunda lengua y las conclusiones se examinarán en el contexto de la es</w:t>
      </w:r>
      <w:r w:rsidRPr="00DF0F51">
        <w:t>trateg</w:t>
      </w:r>
      <w:r>
        <w:t>ia</w:t>
      </w:r>
      <w:r w:rsidRPr="00DF0F51">
        <w:t>. Irlanda es también uno de los seis participantes en un examen temático de la OCDE</w:t>
      </w:r>
      <w:r>
        <w:t xml:space="preserve"> acerca de la enseñanza a los m</w:t>
      </w:r>
      <w:r w:rsidRPr="00DF0F51">
        <w:t>igrant</w:t>
      </w:r>
      <w:r>
        <w:t>es</w:t>
      </w:r>
      <w:r w:rsidRPr="00DF0F51">
        <w:t xml:space="preserve">, </w:t>
      </w:r>
      <w:r>
        <w:t>sobre el que se publicará un informe conjunto en la primavera de</w:t>
      </w:r>
      <w:r w:rsidRPr="00DF0F51">
        <w:t xml:space="preserve"> 2010. </w:t>
      </w:r>
      <w:r w:rsidR="00DC5C74">
        <w:t>El </w:t>
      </w:r>
      <w:r w:rsidRPr="006A7841">
        <w:t>informe independiente de Irlanda se publicará a finales de 2009.</w:t>
      </w:r>
    </w:p>
    <w:p w:rsidR="000100D5" w:rsidRPr="005269E5" w:rsidRDefault="000100D5" w:rsidP="000100D5">
      <w:pPr>
        <w:pStyle w:val="SingleTxtG"/>
      </w:pPr>
      <w:r w:rsidRPr="005269E5">
        <w:t>121.</w:t>
      </w:r>
      <w:r w:rsidRPr="005269E5">
        <w:tab/>
      </w:r>
      <w:r>
        <w:t>El</w:t>
      </w:r>
      <w:r w:rsidRPr="005269E5">
        <w:t xml:space="preserve"> Depart</w:t>
      </w:r>
      <w:r>
        <w:t>a</w:t>
      </w:r>
      <w:r w:rsidRPr="005269E5">
        <w:t>ment</w:t>
      </w:r>
      <w:r>
        <w:t>o</w:t>
      </w:r>
      <w:r w:rsidRPr="005269E5">
        <w:t xml:space="preserve"> ha</w:t>
      </w:r>
      <w:r>
        <w:t xml:space="preserve"> hecho suyo un enfoque integrador para satisfacer las </w:t>
      </w:r>
      <w:r w:rsidRPr="005269E5">
        <w:t>ne</w:t>
      </w:r>
      <w:r>
        <w:t>c</w:t>
      </w:r>
      <w:r w:rsidRPr="005269E5">
        <w:t>e</w:t>
      </w:r>
      <w:r>
        <w:t>si</w:t>
      </w:r>
      <w:r w:rsidRPr="005269E5">
        <w:t>d</w:t>
      </w:r>
      <w:r>
        <w:t>ade</w:t>
      </w:r>
      <w:r w:rsidRPr="005269E5">
        <w:t xml:space="preserve">s </w:t>
      </w:r>
      <w:r>
        <w:t xml:space="preserve">de los que tienen </w:t>
      </w:r>
      <w:r w:rsidRPr="005269E5">
        <w:t>dis</w:t>
      </w:r>
      <w:r>
        <w:t>c</w:t>
      </w:r>
      <w:r w:rsidRPr="005269E5">
        <w:t>a</w:t>
      </w:r>
      <w:r>
        <w:t>pacidades y requisitos especiales</w:t>
      </w:r>
      <w:r w:rsidRPr="005269E5">
        <w:t xml:space="preserve">, </w:t>
      </w:r>
      <w:r>
        <w:t>los alumnos nómadas y los recién llegados</w:t>
      </w:r>
      <w:r w:rsidRPr="005269E5">
        <w:t xml:space="preserve">. </w:t>
      </w:r>
      <w:r w:rsidRPr="00DF65BC">
        <w:t xml:space="preserve">En la respuesta al párrafo 19 del informe del </w:t>
      </w:r>
      <w:r w:rsidR="00466CA0">
        <w:t>Coordinador encargado del seguimiento</w:t>
      </w:r>
      <w:r w:rsidRPr="00DF65BC">
        <w:t xml:space="preserve"> se esbozan una serie de iniciativas y recursos </w:t>
      </w:r>
      <w:r>
        <w:t>articulados en es</w:t>
      </w:r>
      <w:r w:rsidRPr="00DF65BC">
        <w:t>e</w:t>
      </w:r>
      <w:r>
        <w:t xml:space="preserve"> ámbito</w:t>
      </w:r>
      <w:r w:rsidRPr="00DF65BC">
        <w:t xml:space="preserve">. </w:t>
      </w:r>
      <w:r>
        <w:t>Incluyen, entre otras medidas</w:t>
      </w:r>
      <w:r w:rsidRPr="005269E5">
        <w:t>:</w:t>
      </w:r>
    </w:p>
    <w:p w:rsidR="000100D5" w:rsidRPr="005269E5" w:rsidRDefault="000100D5" w:rsidP="000100D5">
      <w:pPr>
        <w:pStyle w:val="SingleTxtG"/>
      </w:pPr>
      <w:r w:rsidRPr="005269E5">
        <w:tab/>
        <w:t>a)</w:t>
      </w:r>
      <w:r w:rsidRPr="005269E5">
        <w:tab/>
      </w:r>
      <w:r>
        <w:t>La</w:t>
      </w:r>
      <w:r w:rsidRPr="005269E5">
        <w:t xml:space="preserve"> </w:t>
      </w:r>
      <w:r>
        <w:t>di</w:t>
      </w:r>
      <w:r w:rsidRPr="005269E5">
        <w:t>v</w:t>
      </w:r>
      <w:r>
        <w:t>e</w:t>
      </w:r>
      <w:r w:rsidRPr="005269E5">
        <w:t>r</w:t>
      </w:r>
      <w:r>
        <w:t>s</w:t>
      </w:r>
      <w:r w:rsidRPr="005269E5">
        <w:t>i</w:t>
      </w:r>
      <w:r>
        <w:t>dad de</w:t>
      </w:r>
      <w:r w:rsidRPr="005269E5">
        <w:t xml:space="preserve"> </w:t>
      </w:r>
      <w:r>
        <w:t>temas de</w:t>
      </w:r>
      <w:r w:rsidRPr="005269E5">
        <w:t xml:space="preserve"> l</w:t>
      </w:r>
      <w:r>
        <w:t>e</w:t>
      </w:r>
      <w:r w:rsidRPr="005269E5">
        <w:t xml:space="preserve">ngua </w:t>
      </w:r>
      <w:r>
        <w:t>para los exámenes del ciclo elemental y del certificado de estudios de enseñanza secundaria</w:t>
      </w:r>
      <w:r w:rsidRPr="005269E5">
        <w:t>;</w:t>
      </w:r>
    </w:p>
    <w:p w:rsidR="000100D5" w:rsidRPr="005E5789" w:rsidRDefault="000100D5" w:rsidP="000100D5">
      <w:pPr>
        <w:pStyle w:val="SingleTxtG"/>
      </w:pPr>
      <w:r w:rsidRPr="005269E5">
        <w:tab/>
        <w:t>b)</w:t>
      </w:r>
      <w:r w:rsidRPr="005269E5">
        <w:tab/>
      </w:r>
      <w:r>
        <w:t>La opción de lengua, no incluida en el plan de estudios en el nivel superior del certificado de estudios de enseñanza secundaria</w:t>
      </w:r>
      <w:r w:rsidRPr="005269E5">
        <w:t xml:space="preserve">. </w:t>
      </w:r>
      <w:r w:rsidRPr="005E5789">
        <w:t xml:space="preserve">Se trata de lenguas que no forman parte del plan de estudios, </w:t>
      </w:r>
      <w:r>
        <w:t>aunque</w:t>
      </w:r>
      <w:r w:rsidRPr="005E5789">
        <w:t xml:space="preserve"> los alumn</w:t>
      </w:r>
      <w:r>
        <w:t>o</w:t>
      </w:r>
      <w:r w:rsidRPr="005E5789">
        <w:t xml:space="preserve">s pueden presentarse a ese examen si reúnen ciertos criterios. La lista de idiomas está en continua expansión y los textos se basan en el examen final escrito de la primera lengua extranjera del bachillerato europeo. </w:t>
      </w:r>
      <w:r>
        <w:t>E</w:t>
      </w:r>
      <w:r w:rsidR="00DC5C74">
        <w:t>n 2009, se </w:t>
      </w:r>
      <w:r w:rsidRPr="005E5789">
        <w:t xml:space="preserve">ofreció la posibilidad de examinarse en 16 lenguas y </w:t>
      </w:r>
      <w:r>
        <w:t xml:space="preserve">en 2008 </w:t>
      </w:r>
      <w:r w:rsidRPr="005E5789">
        <w:t>se presentaron a</w:t>
      </w:r>
      <w:r>
        <w:t xml:space="preserve"> esas pruebas </w:t>
      </w:r>
      <w:r w:rsidRPr="005E5789">
        <w:t>8</w:t>
      </w:r>
      <w:r>
        <w:t>86 alumnos, en</w:t>
      </w:r>
      <w:r w:rsidRPr="005E5789">
        <w:t xml:space="preserve"> compar</w:t>
      </w:r>
      <w:r>
        <w:t>ación con</w:t>
      </w:r>
      <w:r w:rsidRPr="005E5789">
        <w:t xml:space="preserve"> 254 </w:t>
      </w:r>
      <w:r>
        <w:t>e</w:t>
      </w:r>
      <w:r w:rsidRPr="005E5789">
        <w:t>n 2007.</w:t>
      </w:r>
    </w:p>
    <w:p w:rsidR="000100D5" w:rsidRPr="005269E5" w:rsidRDefault="000100D5" w:rsidP="000100D5">
      <w:pPr>
        <w:pStyle w:val="H23G"/>
      </w:pPr>
      <w:r w:rsidRPr="005E5789">
        <w:tab/>
      </w:r>
      <w:r w:rsidRPr="005269E5">
        <w:t>3.</w:t>
      </w:r>
      <w:r w:rsidRPr="005269E5">
        <w:tab/>
      </w:r>
      <w:r>
        <w:t>Enseñanza de la lengua materna</w:t>
      </w:r>
    </w:p>
    <w:p w:rsidR="000100D5" w:rsidRPr="005269E5" w:rsidRDefault="000100D5" w:rsidP="000100D5">
      <w:pPr>
        <w:pStyle w:val="SingleTxtG"/>
      </w:pPr>
      <w:r w:rsidRPr="005269E5">
        <w:t>122.</w:t>
      </w:r>
      <w:r w:rsidRPr="005269E5">
        <w:tab/>
      </w:r>
      <w:r>
        <w:t>La</w:t>
      </w:r>
      <w:r w:rsidRPr="005269E5">
        <w:t xml:space="preserve"> Directiv</w:t>
      </w:r>
      <w:r>
        <w:t>a</w:t>
      </w:r>
      <w:r w:rsidRPr="005269E5">
        <w:t xml:space="preserve"> 77/486/CEE</w:t>
      </w:r>
      <w:r w:rsidRPr="005269E5">
        <w:rPr>
          <w:rStyle w:val="FootnoteReference"/>
        </w:rPr>
        <w:footnoteReference w:id="41"/>
      </w:r>
      <w:r w:rsidR="005007D6">
        <w:t xml:space="preserve"> </w:t>
      </w:r>
      <w:r>
        <w:t>de la UE prevé que los Estados</w:t>
      </w:r>
      <w:r w:rsidRPr="005269E5">
        <w:t xml:space="preserve"> M</w:t>
      </w:r>
      <w:r>
        <w:t>i</w:t>
      </w:r>
      <w:r w:rsidRPr="005269E5">
        <w:t>embr</w:t>
      </w:r>
      <w:r>
        <w:t>os</w:t>
      </w:r>
      <w:r w:rsidRPr="005269E5">
        <w:t xml:space="preserve"> d</w:t>
      </w:r>
      <w:r>
        <w:t>eberán</w:t>
      </w:r>
      <w:r w:rsidRPr="005269E5">
        <w:t>:</w:t>
      </w:r>
    </w:p>
    <w:p w:rsidR="000100D5" w:rsidRPr="00355D3C" w:rsidRDefault="000100D5" w:rsidP="00355D3C">
      <w:pPr>
        <w:pStyle w:val="Bullet1G"/>
      </w:pPr>
      <w:r w:rsidRPr="00355D3C">
        <w:t xml:space="preserve">Ofrecer enseñanza gratuita en su territorio, adaptada a las necesidades específicas de esos niños y, en particular, la enseñanza de una lengua oficial </w:t>
      </w:r>
      <w:r w:rsidR="00DC5C74" w:rsidRPr="00355D3C">
        <w:t xml:space="preserve">del país de acogida; </w:t>
      </w:r>
      <w:r w:rsidRPr="00355D3C">
        <w:t>y</w:t>
      </w:r>
    </w:p>
    <w:p w:rsidR="000100D5" w:rsidRPr="00620973" w:rsidRDefault="000100D5" w:rsidP="00355D3C">
      <w:pPr>
        <w:pStyle w:val="Bullet1G"/>
      </w:pPr>
      <w:r w:rsidRPr="00355D3C">
        <w:t>Promover</w:t>
      </w:r>
      <w:r>
        <w:t>, en coordinación con la enseñanza normal,</w:t>
      </w:r>
      <w:r w:rsidRPr="00620973">
        <w:t xml:space="preserve"> </w:t>
      </w:r>
      <w:r>
        <w:t>un</w:t>
      </w:r>
      <w:r w:rsidRPr="00620973">
        <w:t xml:space="preserve">a enseñanza de la lengua materna y de la cultura del país de origen, </w:t>
      </w:r>
      <w:r>
        <w:t>en</w:t>
      </w:r>
      <w:r w:rsidRPr="00620973">
        <w:t xml:space="preserve"> coopera</w:t>
      </w:r>
      <w:r>
        <w:t>c</w:t>
      </w:r>
      <w:r w:rsidRPr="00620973">
        <w:t>i</w:t>
      </w:r>
      <w:r>
        <w:t>ó</w:t>
      </w:r>
      <w:r w:rsidRPr="00620973">
        <w:t xml:space="preserve">n </w:t>
      </w:r>
      <w:r>
        <w:t>con los Estados de</w:t>
      </w:r>
      <w:r w:rsidRPr="00620973">
        <w:t xml:space="preserve"> orig</w:t>
      </w:r>
      <w:r>
        <w:t>e</w:t>
      </w:r>
      <w:r w:rsidRPr="00620973">
        <w:t>n</w:t>
      </w:r>
      <w:r>
        <w:t>.</w:t>
      </w:r>
    </w:p>
    <w:p w:rsidR="000100D5" w:rsidRPr="0059200B" w:rsidRDefault="000100D5" w:rsidP="000100D5">
      <w:pPr>
        <w:pStyle w:val="SingleTxtG"/>
      </w:pPr>
      <w:r w:rsidRPr="005269E5">
        <w:t>123.</w:t>
      </w:r>
      <w:r w:rsidRPr="005269E5">
        <w:tab/>
      </w:r>
      <w:r>
        <w:t>En el Libro Verde de la Unión</w:t>
      </w:r>
      <w:r w:rsidRPr="005269E5">
        <w:t xml:space="preserve"> Europea </w:t>
      </w:r>
      <w:r>
        <w:rPr>
          <w:i/>
        </w:rPr>
        <w:t>Inmi</w:t>
      </w:r>
      <w:r w:rsidRPr="00215FA1">
        <w:rPr>
          <w:i/>
        </w:rPr>
        <w:t>gra</w:t>
      </w:r>
      <w:r>
        <w:rPr>
          <w:i/>
        </w:rPr>
        <w:t>c</w:t>
      </w:r>
      <w:r w:rsidRPr="00215FA1">
        <w:rPr>
          <w:i/>
        </w:rPr>
        <w:t>i</w:t>
      </w:r>
      <w:r>
        <w:rPr>
          <w:i/>
        </w:rPr>
        <w:t>ó</w:t>
      </w:r>
      <w:r w:rsidRPr="00215FA1">
        <w:rPr>
          <w:i/>
        </w:rPr>
        <w:t xml:space="preserve">n </w:t>
      </w:r>
      <w:r>
        <w:rPr>
          <w:i/>
        </w:rPr>
        <w:t>y</w:t>
      </w:r>
      <w:r w:rsidRPr="00215FA1">
        <w:rPr>
          <w:i/>
        </w:rPr>
        <w:t xml:space="preserve"> </w:t>
      </w:r>
      <w:r>
        <w:rPr>
          <w:i/>
        </w:rPr>
        <w:t>movi</w:t>
      </w:r>
      <w:r w:rsidRPr="00215FA1">
        <w:rPr>
          <w:i/>
        </w:rPr>
        <w:t>li</w:t>
      </w:r>
      <w:r>
        <w:rPr>
          <w:i/>
        </w:rPr>
        <w:t>dad</w:t>
      </w:r>
      <w:r w:rsidRPr="00215FA1">
        <w:rPr>
          <w:i/>
        </w:rPr>
        <w:t xml:space="preserve">: </w:t>
      </w:r>
      <w:r>
        <w:rPr>
          <w:i/>
        </w:rPr>
        <w:t>Retos y</w:t>
      </w:r>
      <w:r w:rsidRPr="00215FA1">
        <w:rPr>
          <w:i/>
        </w:rPr>
        <w:t xml:space="preserve"> </w:t>
      </w:r>
      <w:r>
        <w:rPr>
          <w:i/>
        </w:rPr>
        <w:t>o</w:t>
      </w:r>
      <w:r w:rsidRPr="00215FA1">
        <w:rPr>
          <w:i/>
        </w:rPr>
        <w:t>portuni</w:t>
      </w:r>
      <w:r>
        <w:rPr>
          <w:i/>
        </w:rPr>
        <w:t>dad</w:t>
      </w:r>
      <w:r w:rsidRPr="00215FA1">
        <w:rPr>
          <w:i/>
        </w:rPr>
        <w:t xml:space="preserve">es </w:t>
      </w:r>
      <w:r>
        <w:rPr>
          <w:i/>
        </w:rPr>
        <w:t>de los sistemas e</w:t>
      </w:r>
      <w:r w:rsidRPr="00215FA1">
        <w:rPr>
          <w:i/>
        </w:rPr>
        <w:t>ducati</w:t>
      </w:r>
      <w:r>
        <w:rPr>
          <w:i/>
        </w:rPr>
        <w:t>v</w:t>
      </w:r>
      <w:r w:rsidRPr="00215FA1">
        <w:rPr>
          <w:i/>
        </w:rPr>
        <w:t>o</w:t>
      </w:r>
      <w:r>
        <w:rPr>
          <w:i/>
        </w:rPr>
        <w:t>s de la UE</w:t>
      </w:r>
      <w:r w:rsidRPr="005269E5">
        <w:t xml:space="preserve"> (2008)</w:t>
      </w:r>
      <w:r w:rsidRPr="005269E5">
        <w:rPr>
          <w:rStyle w:val="FootnoteReference"/>
        </w:rPr>
        <w:footnoteReference w:id="42"/>
      </w:r>
      <w:r w:rsidRPr="005269E5">
        <w:t xml:space="preserve"> </w:t>
      </w:r>
      <w:r>
        <w:t xml:space="preserve">se advierte que </w:t>
      </w:r>
      <w:r w:rsidR="00E03EF2">
        <w:t>"</w:t>
      </w:r>
      <w:r>
        <w:t xml:space="preserve"> su aplicación [de la Directiva]</w:t>
      </w:r>
      <w:r w:rsidRPr="005269E5">
        <w:t xml:space="preserve"> ha </w:t>
      </w:r>
      <w:r>
        <w:t>sido desigual</w:t>
      </w:r>
      <w:r w:rsidR="00E03EF2">
        <w:t>"</w:t>
      </w:r>
      <w:r w:rsidRPr="005269E5">
        <w:t xml:space="preserve">. </w:t>
      </w:r>
      <w:r w:rsidRPr="0059200B">
        <w:t xml:space="preserve">El contenido de la Directiva formó parte del proceso de consulta para la elaboración del </w:t>
      </w:r>
      <w:r>
        <w:t>L</w:t>
      </w:r>
      <w:r w:rsidRPr="0059200B">
        <w:t xml:space="preserve">ibro </w:t>
      </w:r>
      <w:r>
        <w:t>V</w:t>
      </w:r>
      <w:r w:rsidRPr="0059200B">
        <w:t>erde en d</w:t>
      </w:r>
      <w:r>
        <w:t>i</w:t>
      </w:r>
      <w:r w:rsidRPr="0059200B">
        <w:t>ciembre de 2008</w:t>
      </w:r>
      <w:r w:rsidR="005007D6">
        <w:t xml:space="preserve"> </w:t>
      </w:r>
      <w:r>
        <w:t>y sus conclusiones se debatieron en una conferencia de las partes interesadas, cele</w:t>
      </w:r>
      <w:r w:rsidR="00DC5C74">
        <w:t>brada en Bruselas en octubre de </w:t>
      </w:r>
      <w:r>
        <w:t>2009</w:t>
      </w:r>
      <w:r w:rsidRPr="0059200B">
        <w:t>.</w:t>
      </w:r>
    </w:p>
    <w:p w:rsidR="000100D5" w:rsidRPr="008C08E1" w:rsidRDefault="000100D5" w:rsidP="000100D5">
      <w:pPr>
        <w:pStyle w:val="SingleTxtG"/>
      </w:pPr>
      <w:r w:rsidRPr="005269E5">
        <w:t>124.</w:t>
      </w:r>
      <w:r w:rsidRPr="005269E5">
        <w:tab/>
      </w:r>
      <w:r>
        <w:t xml:space="preserve">Los equipos permanentes de promoción </w:t>
      </w:r>
      <w:r w:rsidRPr="005269E5">
        <w:t>profesional de</w:t>
      </w:r>
      <w:r>
        <w:t>l</w:t>
      </w:r>
      <w:r w:rsidRPr="005269E5">
        <w:t xml:space="preserve"> Depart</w:t>
      </w:r>
      <w:r>
        <w:t>a</w:t>
      </w:r>
      <w:r w:rsidRPr="005269E5">
        <w:t>ment</w:t>
      </w:r>
      <w:r>
        <w:t>o de</w:t>
      </w:r>
      <w:r w:rsidRPr="005269E5">
        <w:t xml:space="preserve"> Educa</w:t>
      </w:r>
      <w:r>
        <w:t>c</w:t>
      </w:r>
      <w:r w:rsidRPr="005269E5">
        <w:t>i</w:t>
      </w:r>
      <w:r>
        <w:t>ó</w:t>
      </w:r>
      <w:r w:rsidRPr="005269E5">
        <w:t>n</w:t>
      </w:r>
      <w:r>
        <w:t xml:space="preserve"> y</w:t>
      </w:r>
      <w:r w:rsidRPr="005269E5">
        <w:t xml:space="preserve"> </w:t>
      </w:r>
      <w:r>
        <w:t>C</w:t>
      </w:r>
      <w:r w:rsidRPr="005269E5">
        <w:t>ienc</w:t>
      </w:r>
      <w:r>
        <w:t>ia han subrayado siempre la</w:t>
      </w:r>
      <w:r w:rsidRPr="005269E5">
        <w:t xml:space="preserve"> importanc</w:t>
      </w:r>
      <w:r>
        <w:t>ia de la lengua</w:t>
      </w:r>
      <w:r w:rsidRPr="005269E5">
        <w:t xml:space="preserve"> </w:t>
      </w:r>
      <w:r>
        <w:t>materna en su labor en las escuelas y específicamente con el Inglés segunda lengua</w:t>
      </w:r>
      <w:r w:rsidRPr="005269E5">
        <w:t xml:space="preserve">. </w:t>
      </w:r>
      <w:r w:rsidRPr="008C08E1">
        <w:t>La competencia lingüística en la lengua materna ayuda a los alumnos recién llegados a mejorar su desarrollo cognitivo</w:t>
      </w:r>
      <w:r>
        <w:t xml:space="preserve"> y contribuye a potenciar su</w:t>
      </w:r>
      <w:r w:rsidRPr="008C08E1">
        <w:t xml:space="preserve"> identi</w:t>
      </w:r>
      <w:r>
        <w:t>dad y autoestima</w:t>
      </w:r>
      <w:r w:rsidRPr="008C08E1">
        <w:t>.</w:t>
      </w:r>
    </w:p>
    <w:p w:rsidR="000100D5" w:rsidRPr="006845D6" w:rsidRDefault="000100D5" w:rsidP="000100D5">
      <w:pPr>
        <w:pStyle w:val="SingleTxtG"/>
        <w:rPr>
          <w:u w:val="single"/>
        </w:rPr>
      </w:pPr>
      <w:r w:rsidRPr="005269E5">
        <w:t>125.</w:t>
      </w:r>
      <w:r w:rsidRPr="005269E5">
        <w:tab/>
      </w:r>
      <w:r>
        <w:t>Hay, por eje</w:t>
      </w:r>
      <w:r w:rsidRPr="005269E5">
        <w:t>mpl</w:t>
      </w:r>
      <w:r>
        <w:t>o</w:t>
      </w:r>
      <w:r w:rsidRPr="005269E5">
        <w:t xml:space="preserve">, </w:t>
      </w:r>
      <w:r>
        <w:t>varias escuelas</w:t>
      </w:r>
      <w:r w:rsidRPr="005269E5">
        <w:t xml:space="preserve"> </w:t>
      </w:r>
      <w:r>
        <w:t>p</w:t>
      </w:r>
      <w:r w:rsidRPr="005269E5">
        <w:t>ol</w:t>
      </w:r>
      <w:r>
        <w:t>acas que ofrecen clases de lengua, historia y geografía polacas los fines de semana</w:t>
      </w:r>
      <w:r w:rsidRPr="005269E5">
        <w:t xml:space="preserve">. </w:t>
      </w:r>
      <w:r w:rsidRPr="006845D6">
        <w:t>La enseñanza abarca a alumn</w:t>
      </w:r>
      <w:r>
        <w:t>o</w:t>
      </w:r>
      <w:r w:rsidRPr="006845D6">
        <w:t>s de todas las edades, que tambi</w:t>
      </w:r>
      <w:r>
        <w:t>én asisten a escuelas irlandesas a tiempo completo.</w:t>
      </w:r>
      <w:r w:rsidRPr="006845D6">
        <w:t xml:space="preserve"> La mayoría de las clases son supervisadas por el Ministerio de Educación de Polonia y los alumn</w:t>
      </w:r>
      <w:r>
        <w:t>o</w:t>
      </w:r>
      <w:r w:rsidRPr="006845D6">
        <w:t xml:space="preserve">s reciben </w:t>
      </w:r>
      <w:r>
        <w:t>diplomas reco</w:t>
      </w:r>
      <w:r w:rsidRPr="006845D6">
        <w:t>n</w:t>
      </w:r>
      <w:r>
        <w:t>oc</w:t>
      </w:r>
      <w:r w:rsidRPr="006845D6">
        <w:t>id</w:t>
      </w:r>
      <w:r>
        <w:t>os por dicho</w:t>
      </w:r>
      <w:r w:rsidRPr="006845D6">
        <w:t xml:space="preserve"> Minist</w:t>
      </w:r>
      <w:r>
        <w:t>e</w:t>
      </w:r>
      <w:r w:rsidRPr="006845D6">
        <w:t>r</w:t>
      </w:r>
      <w:r>
        <w:t>io</w:t>
      </w:r>
      <w:r w:rsidRPr="006845D6">
        <w:t xml:space="preserve">. Otros países de </w:t>
      </w:r>
      <w:r>
        <w:t xml:space="preserve">origen de </w:t>
      </w:r>
      <w:r w:rsidRPr="006845D6">
        <w:t xml:space="preserve">alumnos residentes en Irlanda </w:t>
      </w:r>
      <w:r>
        <w:t>organizan también clases de otras lenguas</w:t>
      </w:r>
      <w:r w:rsidRPr="006845D6">
        <w:t xml:space="preserve">. </w:t>
      </w:r>
    </w:p>
    <w:p w:rsidR="000100D5" w:rsidRPr="005269E5" w:rsidRDefault="000100D5" w:rsidP="000100D5">
      <w:pPr>
        <w:pStyle w:val="H1G"/>
      </w:pPr>
      <w:r w:rsidRPr="006845D6">
        <w:tab/>
      </w:r>
      <w:r w:rsidRPr="005269E5">
        <w:t>D.</w:t>
      </w:r>
      <w:r w:rsidRPr="005269E5">
        <w:tab/>
        <w:t>Co</w:t>
      </w:r>
      <w:r>
        <w:t>nsulta y diálogo permanente</w:t>
      </w:r>
    </w:p>
    <w:p w:rsidR="000100D5" w:rsidRPr="006845D6" w:rsidRDefault="000100D5" w:rsidP="000100D5">
      <w:pPr>
        <w:pStyle w:val="H23G"/>
      </w:pPr>
      <w:r w:rsidRPr="005269E5">
        <w:tab/>
      </w:r>
      <w:r w:rsidRPr="005269E5">
        <w:tab/>
      </w:r>
      <w:r w:rsidRPr="006845D6">
        <w:t xml:space="preserve">Respuesta a las recomendaciones contenidas en el párrafo 22 del informe del </w:t>
      </w:r>
      <w:r w:rsidR="00466CA0">
        <w:t>Coordinador encargado del seguimiento</w:t>
      </w:r>
    </w:p>
    <w:p w:rsidR="000100D5" w:rsidRPr="005269E5" w:rsidRDefault="000100D5" w:rsidP="000100D5">
      <w:pPr>
        <w:pStyle w:val="H23G"/>
      </w:pPr>
      <w:r w:rsidRPr="006845D6">
        <w:tab/>
      </w:r>
      <w:r w:rsidRPr="005269E5">
        <w:t>1.</w:t>
      </w:r>
      <w:r w:rsidRPr="005269E5">
        <w:tab/>
        <w:t>Di</w:t>
      </w:r>
      <w:r>
        <w:t>á</w:t>
      </w:r>
      <w:r w:rsidRPr="005269E5">
        <w:t>log</w:t>
      </w:r>
      <w:r>
        <w:t>o con las</w:t>
      </w:r>
      <w:r w:rsidRPr="005269E5">
        <w:t xml:space="preserve"> </w:t>
      </w:r>
      <w:r>
        <w:t>O</w:t>
      </w:r>
      <w:r w:rsidRPr="005269E5">
        <w:t>NG</w:t>
      </w:r>
    </w:p>
    <w:p w:rsidR="000100D5" w:rsidRPr="002220CD" w:rsidRDefault="000100D5" w:rsidP="000100D5">
      <w:pPr>
        <w:pStyle w:val="SingleTxtG"/>
      </w:pPr>
      <w:r w:rsidRPr="005269E5">
        <w:t>126.</w:t>
      </w:r>
      <w:r w:rsidRPr="005269E5">
        <w:tab/>
      </w:r>
      <w:r>
        <w:t>Sírvanse consultar los</w:t>
      </w:r>
      <w:r w:rsidRPr="005269E5">
        <w:t xml:space="preserve"> p</w:t>
      </w:r>
      <w:r>
        <w:t>ár</w:t>
      </w:r>
      <w:r w:rsidRPr="005269E5">
        <w:t>ra</w:t>
      </w:r>
      <w:r>
        <w:t>fos</w:t>
      </w:r>
      <w:r w:rsidRPr="005269E5">
        <w:t xml:space="preserve"> 187 </w:t>
      </w:r>
      <w:r>
        <w:t>y ss.</w:t>
      </w:r>
      <w:r w:rsidRPr="005269E5">
        <w:t xml:space="preserve"> </w:t>
      </w:r>
      <w:r w:rsidRPr="002220CD">
        <w:t>(para alentar</w:t>
      </w:r>
      <w:r>
        <w:t>,</w:t>
      </w:r>
      <w:r w:rsidRPr="002220CD">
        <w:t xml:space="preserve"> cuando proceda</w:t>
      </w:r>
      <w:r>
        <w:t>,</w:t>
      </w:r>
      <w:r w:rsidRPr="002220CD">
        <w:t xml:space="preserve"> a las organizaciones no gubernamental</w:t>
      </w:r>
      <w:r>
        <w:t>es</w:t>
      </w:r>
      <w:r w:rsidRPr="002220CD">
        <w:t xml:space="preserve"> y a las instituciones que luchan contra la discrimina</w:t>
      </w:r>
      <w:r>
        <w:t>c</w:t>
      </w:r>
      <w:r w:rsidRPr="002220CD">
        <w:t>i</w:t>
      </w:r>
      <w:r>
        <w:t>ó</w:t>
      </w:r>
      <w:r w:rsidRPr="002220CD">
        <w:t xml:space="preserve">n </w:t>
      </w:r>
      <w:r>
        <w:t xml:space="preserve">racial y </w:t>
      </w:r>
      <w:r w:rsidRPr="002220CD">
        <w:t>fo</w:t>
      </w:r>
      <w:r>
        <w:t>mentan el entendimiento</w:t>
      </w:r>
      <w:r w:rsidRPr="002220CD">
        <w:t xml:space="preserve"> mutu</w:t>
      </w:r>
      <w:r>
        <w:t>o</w:t>
      </w:r>
      <w:r w:rsidRPr="002220CD">
        <w:t xml:space="preserve">) </w:t>
      </w:r>
      <w:r>
        <w:t>y los pá</w:t>
      </w:r>
      <w:r w:rsidRPr="002220CD">
        <w:t>r</w:t>
      </w:r>
      <w:r>
        <w:t>r</w:t>
      </w:r>
      <w:r w:rsidRPr="002220CD">
        <w:t>a</w:t>
      </w:r>
      <w:r>
        <w:t>fos</w:t>
      </w:r>
      <w:r w:rsidRPr="002220CD">
        <w:t xml:space="preserve"> 275 </w:t>
      </w:r>
      <w:r>
        <w:t>y ss</w:t>
      </w:r>
      <w:r w:rsidRPr="002220CD">
        <w:t xml:space="preserve">. (el grado en </w:t>
      </w:r>
      <w:r>
        <w:t xml:space="preserve">el </w:t>
      </w:r>
      <w:r w:rsidRPr="002220CD">
        <w:t>que los grupos de víctimas potenciales o reales de la discrimina</w:t>
      </w:r>
      <w:r>
        <w:t>c</w:t>
      </w:r>
      <w:r w:rsidRPr="002220CD">
        <w:t>i</w:t>
      </w:r>
      <w:r>
        <w:t>ón racial participan en el desarrollo y aplicación de las políticas y programas que les afectan).</w:t>
      </w:r>
    </w:p>
    <w:p w:rsidR="000100D5" w:rsidRPr="005269E5" w:rsidRDefault="000100D5" w:rsidP="000100D5">
      <w:pPr>
        <w:pStyle w:val="SingleTxtG"/>
      </w:pPr>
      <w:r w:rsidRPr="005269E5">
        <w:t>127.</w:t>
      </w:r>
      <w:r w:rsidRPr="005269E5">
        <w:tab/>
      </w:r>
      <w:r>
        <w:t>En el</w:t>
      </w:r>
      <w:r w:rsidRPr="005269E5">
        <w:t xml:space="preserve"> context</w:t>
      </w:r>
      <w:r>
        <w:t>o de la redacción de la estrategia</w:t>
      </w:r>
      <w:r w:rsidRPr="005269E5">
        <w:t xml:space="preserve"> </w:t>
      </w:r>
      <w:r>
        <w:t>n</w:t>
      </w:r>
      <w:r w:rsidRPr="005269E5">
        <w:t>a</w:t>
      </w:r>
      <w:r>
        <w:t>c</w:t>
      </w:r>
      <w:r w:rsidRPr="005269E5">
        <w:t xml:space="preserve">ional </w:t>
      </w:r>
      <w:r>
        <w:t>relativa a la violencia en el hogar,</w:t>
      </w:r>
      <w:r w:rsidRPr="005269E5">
        <w:t xml:space="preserve"> </w:t>
      </w:r>
      <w:r>
        <w:t>s</w:t>
      </w:r>
      <w:r w:rsidRPr="005269E5">
        <w:t xml:space="preserve">exual </w:t>
      </w:r>
      <w:r>
        <w:t>y de</w:t>
      </w:r>
      <w:r w:rsidRPr="005269E5">
        <w:t xml:space="preserve"> </w:t>
      </w:r>
      <w:r>
        <w:t>gé</w:t>
      </w:r>
      <w:r w:rsidRPr="005269E5">
        <w:t>ner</w:t>
      </w:r>
      <w:r>
        <w:t>o</w:t>
      </w:r>
      <w:r w:rsidRPr="005269E5">
        <w:t xml:space="preserve">, </w:t>
      </w:r>
      <w:r>
        <w:t>dos organizaciones no gubernamentales</w:t>
      </w:r>
      <w:r w:rsidRPr="005269E5">
        <w:t xml:space="preserve">, </w:t>
      </w:r>
      <w:r>
        <w:t>el Consejo de Inmigrantes de</w:t>
      </w:r>
      <w:r w:rsidRPr="005269E5">
        <w:t xml:space="preserve"> Irland</w:t>
      </w:r>
      <w:r>
        <w:t>a</w:t>
      </w:r>
      <w:r w:rsidRPr="005269E5">
        <w:t xml:space="preserve"> </w:t>
      </w:r>
      <w:r>
        <w:t>y</w:t>
      </w:r>
      <w:r w:rsidRPr="005269E5">
        <w:t xml:space="preserve"> Akidwa contribu</w:t>
      </w:r>
      <w:r>
        <w:t>yeron</w:t>
      </w:r>
      <w:r w:rsidRPr="005269E5">
        <w:t xml:space="preserve"> </w:t>
      </w:r>
      <w:r>
        <w:t>con ponencias escritas</w:t>
      </w:r>
      <w:r w:rsidRPr="005269E5">
        <w:t xml:space="preserve"> </w:t>
      </w:r>
      <w:r>
        <w:t xml:space="preserve">y </w:t>
      </w:r>
      <w:r w:rsidRPr="005269E5">
        <w:t xml:space="preserve">Akidwa </w:t>
      </w:r>
      <w:r>
        <w:t>está</w:t>
      </w:r>
      <w:r w:rsidRPr="005269E5">
        <w:t xml:space="preserve"> represent</w:t>
      </w:r>
      <w:r>
        <w:t>a</w:t>
      </w:r>
      <w:r w:rsidRPr="005269E5">
        <w:t>d</w:t>
      </w:r>
      <w:r>
        <w:t>a</w:t>
      </w:r>
      <w:r w:rsidRPr="005269E5">
        <w:t xml:space="preserve"> </w:t>
      </w:r>
      <w:r>
        <w:t>en el</w:t>
      </w:r>
      <w:r w:rsidRPr="005269E5">
        <w:t xml:space="preserve"> </w:t>
      </w:r>
      <w:r>
        <w:t>Comité Directivo Nac</w:t>
      </w:r>
      <w:r w:rsidRPr="005269E5">
        <w:t>ional</w:t>
      </w:r>
      <w:r>
        <w:t xml:space="preserve"> contra la</w:t>
      </w:r>
      <w:r w:rsidRPr="005269E5">
        <w:t xml:space="preserve"> Violenc</w:t>
      </w:r>
      <w:r>
        <w:t>ia de Género</w:t>
      </w:r>
      <w:r w:rsidRPr="005269E5">
        <w:t>.</w:t>
      </w:r>
    </w:p>
    <w:p w:rsidR="000100D5" w:rsidRPr="005269E5" w:rsidRDefault="000100D5" w:rsidP="000100D5">
      <w:pPr>
        <w:pStyle w:val="H4G"/>
      </w:pPr>
      <w:r w:rsidRPr="005269E5">
        <w:tab/>
        <w:t>a)</w:t>
      </w:r>
      <w:r w:rsidRPr="005269E5">
        <w:tab/>
        <w:t>Di</w:t>
      </w:r>
      <w:r>
        <w:t>á</w:t>
      </w:r>
      <w:r w:rsidRPr="005269E5">
        <w:t>log</w:t>
      </w:r>
      <w:r>
        <w:t>o con la</w:t>
      </w:r>
      <w:r w:rsidRPr="005269E5">
        <w:t xml:space="preserve"> comuni</w:t>
      </w:r>
      <w:r>
        <w:t>dad nómada</w:t>
      </w:r>
    </w:p>
    <w:p w:rsidR="000100D5" w:rsidRPr="005269E5" w:rsidRDefault="000100D5" w:rsidP="000100D5">
      <w:pPr>
        <w:pStyle w:val="SingleTxtG"/>
      </w:pPr>
      <w:r w:rsidRPr="005269E5">
        <w:t>128.</w:t>
      </w:r>
      <w:r w:rsidRPr="005269E5">
        <w:tab/>
      </w:r>
      <w:r>
        <w:t>Sírvanse consultar la</w:t>
      </w:r>
      <w:r w:rsidRPr="005269E5">
        <w:t xml:space="preserve"> Not</w:t>
      </w:r>
      <w:r>
        <w:t>a</w:t>
      </w:r>
      <w:r w:rsidRPr="005269E5">
        <w:t xml:space="preserve"> </w:t>
      </w:r>
      <w:r>
        <w:t>s</w:t>
      </w:r>
      <w:r w:rsidRPr="005269E5">
        <w:t>o</w:t>
      </w:r>
      <w:r>
        <w:t>bre el</w:t>
      </w:r>
      <w:r w:rsidRPr="005269E5">
        <w:t xml:space="preserve"> </w:t>
      </w:r>
      <w:r>
        <w:t>t</w:t>
      </w:r>
      <w:r w:rsidRPr="005269E5">
        <w:t>ext</w:t>
      </w:r>
      <w:r>
        <w:t>o</w:t>
      </w:r>
      <w:r w:rsidRPr="005269E5">
        <w:t xml:space="preserve">, </w:t>
      </w:r>
      <w:r>
        <w:t xml:space="preserve">en los </w:t>
      </w:r>
      <w:r w:rsidRPr="005269E5">
        <w:t>p</w:t>
      </w:r>
      <w:r>
        <w:t>ár</w:t>
      </w:r>
      <w:r w:rsidRPr="005269E5">
        <w:t>ra</w:t>
      </w:r>
      <w:r>
        <w:t>fos</w:t>
      </w:r>
      <w:r w:rsidRPr="005269E5">
        <w:t xml:space="preserve"> 8</w:t>
      </w:r>
      <w:r>
        <w:t xml:space="preserve"> a </w:t>
      </w:r>
      <w:r w:rsidRPr="005269E5">
        <w:t xml:space="preserve">11 </w:t>
      </w:r>
      <w:r>
        <w:t>del presente informe y el Apéndice e</w:t>
      </w:r>
      <w:r w:rsidRPr="005269E5">
        <w:t>spec</w:t>
      </w:r>
      <w:r>
        <w:t>í</w:t>
      </w:r>
      <w:r w:rsidRPr="005269E5">
        <w:t>fic</w:t>
      </w:r>
      <w:r>
        <w:t>o para</w:t>
      </w:r>
      <w:r w:rsidRPr="005269E5">
        <w:t xml:space="preserve"> </w:t>
      </w:r>
      <w:r>
        <w:t>los nómadas</w:t>
      </w:r>
      <w:r w:rsidRPr="005269E5">
        <w:t xml:space="preserve"> (Ap</w:t>
      </w:r>
      <w:r>
        <w:t>é</w:t>
      </w:r>
      <w:r w:rsidRPr="005269E5">
        <w:t>ndi</w:t>
      </w:r>
      <w:r>
        <w:t>ce</w:t>
      </w:r>
      <w:r w:rsidRPr="005269E5">
        <w:t xml:space="preserve"> I).</w:t>
      </w:r>
    </w:p>
    <w:p w:rsidR="000100D5" w:rsidRPr="007F733D" w:rsidRDefault="000100D5" w:rsidP="000100D5">
      <w:pPr>
        <w:pStyle w:val="H23G"/>
      </w:pPr>
      <w:r w:rsidRPr="005269E5">
        <w:tab/>
      </w:r>
      <w:r w:rsidRPr="005269E5">
        <w:tab/>
      </w:r>
      <w:r w:rsidRPr="007F733D">
        <w:t xml:space="preserve">Respuesta a la recomendación contenida en el párrafo 23 del informe del </w:t>
      </w:r>
      <w:r w:rsidR="00466CA0">
        <w:t>Coordinador encargado del seguimiento</w:t>
      </w:r>
    </w:p>
    <w:p w:rsidR="000100D5" w:rsidRPr="00AE2F1D" w:rsidRDefault="000100D5" w:rsidP="000100D5">
      <w:pPr>
        <w:pStyle w:val="SingleTxtG"/>
      </w:pPr>
      <w:r w:rsidRPr="005269E5">
        <w:t>129.</w:t>
      </w:r>
      <w:r w:rsidRPr="005269E5">
        <w:tab/>
      </w:r>
      <w:r>
        <w:t>El</w:t>
      </w:r>
      <w:r w:rsidRPr="005269E5">
        <w:t xml:space="preserve"> text</w:t>
      </w:r>
      <w:r>
        <w:t>o</w:t>
      </w:r>
      <w:r w:rsidRPr="005269E5">
        <w:t xml:space="preserve"> </w:t>
      </w:r>
      <w:r>
        <w:t>de la</w:t>
      </w:r>
      <w:r w:rsidRPr="005269E5">
        <w:t xml:space="preserve"> Conven</w:t>
      </w:r>
      <w:r>
        <w:t>c</w:t>
      </w:r>
      <w:r w:rsidRPr="005269E5">
        <w:t>i</w:t>
      </w:r>
      <w:r>
        <w:t>ó</w:t>
      </w:r>
      <w:r w:rsidRPr="005269E5">
        <w:t xml:space="preserve">n </w:t>
      </w:r>
      <w:r>
        <w:t>sobre la</w:t>
      </w:r>
      <w:r w:rsidRPr="005269E5">
        <w:t xml:space="preserve"> Elimina</w:t>
      </w:r>
      <w:r>
        <w:t>c</w:t>
      </w:r>
      <w:r w:rsidRPr="005269E5">
        <w:t>i</w:t>
      </w:r>
      <w:r>
        <w:t>ó</w:t>
      </w:r>
      <w:r w:rsidRPr="005269E5">
        <w:t xml:space="preserve">n </w:t>
      </w:r>
      <w:r>
        <w:t>de todas las</w:t>
      </w:r>
      <w:r w:rsidRPr="005269E5">
        <w:t xml:space="preserve"> Form</w:t>
      </w:r>
      <w:r>
        <w:t>a</w:t>
      </w:r>
      <w:r w:rsidRPr="005269E5">
        <w:t xml:space="preserve">s </w:t>
      </w:r>
      <w:r>
        <w:t>de Discriminación</w:t>
      </w:r>
      <w:r w:rsidRPr="005269E5">
        <w:t xml:space="preserve"> Racial </w:t>
      </w:r>
      <w:r>
        <w:t>e</w:t>
      </w:r>
      <w:r w:rsidRPr="005269E5">
        <w:t>s</w:t>
      </w:r>
      <w:r>
        <w:t>tá</w:t>
      </w:r>
      <w:r w:rsidRPr="005269E5">
        <w:t xml:space="preserve"> </w:t>
      </w:r>
      <w:r>
        <w:t>disponible en el sitio</w:t>
      </w:r>
      <w:r w:rsidRPr="005269E5">
        <w:t xml:space="preserve"> web</w:t>
      </w:r>
      <w:r>
        <w:t xml:space="preserve"> del</w:t>
      </w:r>
      <w:r w:rsidRPr="005269E5">
        <w:t xml:space="preserve"> Depart</w:t>
      </w:r>
      <w:r>
        <w:t>a</w:t>
      </w:r>
      <w:r w:rsidRPr="005269E5">
        <w:t>ment</w:t>
      </w:r>
      <w:r>
        <w:t>o de Relaciones Exteriores</w:t>
      </w:r>
      <w:r w:rsidRPr="005269E5">
        <w:t xml:space="preserve">, </w:t>
      </w:r>
      <w:r>
        <w:t>el</w:t>
      </w:r>
      <w:r w:rsidRPr="005269E5">
        <w:t xml:space="preserve"> Depart</w:t>
      </w:r>
      <w:r>
        <w:t>a</w:t>
      </w:r>
      <w:r w:rsidRPr="005269E5">
        <w:t>ment</w:t>
      </w:r>
      <w:r>
        <w:t>o de</w:t>
      </w:r>
      <w:r w:rsidRPr="005269E5">
        <w:t xml:space="preserve"> Justic</w:t>
      </w:r>
      <w:r>
        <w:t>ia</w:t>
      </w:r>
      <w:r w:rsidRPr="005269E5">
        <w:t xml:space="preserve">, </w:t>
      </w:r>
      <w:r>
        <w:t xml:space="preserve">Igualdad y </w:t>
      </w:r>
      <w:r w:rsidRPr="005269E5">
        <w:t>Reform</w:t>
      </w:r>
      <w:r>
        <w:t>a Jurídica y la</w:t>
      </w:r>
      <w:r w:rsidRPr="005269E5">
        <w:t xml:space="preserve"> Ofic</w:t>
      </w:r>
      <w:r>
        <w:t>ina del</w:t>
      </w:r>
      <w:r w:rsidRPr="005269E5">
        <w:t xml:space="preserve"> </w:t>
      </w:r>
      <w:r>
        <w:t>Ministro para la</w:t>
      </w:r>
      <w:r w:rsidRPr="005269E5">
        <w:t xml:space="preserve"> Integra</w:t>
      </w:r>
      <w:r>
        <w:t>c</w:t>
      </w:r>
      <w:r w:rsidRPr="005269E5">
        <w:t>i</w:t>
      </w:r>
      <w:r>
        <w:t>ó</w:t>
      </w:r>
      <w:r w:rsidRPr="005269E5">
        <w:t>n</w:t>
      </w:r>
      <w:r w:rsidRPr="005269E5">
        <w:rPr>
          <w:rStyle w:val="FootnoteReference"/>
        </w:rPr>
        <w:footnoteReference w:id="43"/>
      </w:r>
      <w:r w:rsidR="001F5C61">
        <w:t>.</w:t>
      </w:r>
      <w:r w:rsidRPr="005269E5">
        <w:t xml:space="preserve"> </w:t>
      </w:r>
      <w:r w:rsidRPr="00164D48">
        <w:t>Existe también un enlace de los sitios web del Departamento de Justicia, Igualdad y Reforma Jurídica, el Departamento de Relaciones Exteriores y la Oficina del Ministro para la Integrac</w:t>
      </w:r>
      <w:r>
        <w:t>i</w:t>
      </w:r>
      <w:r w:rsidRPr="00164D48">
        <w:t xml:space="preserve">ón </w:t>
      </w:r>
      <w:r>
        <w:t>con e</w:t>
      </w:r>
      <w:r w:rsidRPr="00164D48">
        <w:t xml:space="preserve">l sitio web de las </w:t>
      </w:r>
      <w:r>
        <w:t xml:space="preserve">Naciones </w:t>
      </w:r>
      <w:r w:rsidRPr="00164D48">
        <w:t>Unid</w:t>
      </w:r>
      <w:r>
        <w:t>as</w:t>
      </w:r>
      <w:r w:rsidRPr="00164D48">
        <w:t xml:space="preserve">. </w:t>
      </w:r>
      <w:r w:rsidRPr="00AE2F1D">
        <w:t>Todo el material relativo a la obligación de Irlanda de presentar informes de conformidad con la Convención</w:t>
      </w:r>
      <w:r>
        <w:t>,</w:t>
      </w:r>
      <w:r w:rsidRPr="00AE2F1D">
        <w:t xml:space="preserve"> </w:t>
      </w:r>
      <w:r>
        <w:t>así como estos últimos,</w:t>
      </w:r>
      <w:r w:rsidRPr="00AE2F1D">
        <w:t xml:space="preserve"> est</w:t>
      </w:r>
      <w:r>
        <w:t>án disponibles en el sitio</w:t>
      </w:r>
      <w:r w:rsidRPr="00AE2F1D">
        <w:t xml:space="preserve"> web</w:t>
      </w:r>
      <w:r>
        <w:t xml:space="preserve"> de</w:t>
      </w:r>
      <w:r w:rsidRPr="00AE2F1D">
        <w:t xml:space="preserve"> </w:t>
      </w:r>
      <w:r>
        <w:t xml:space="preserve">la </w:t>
      </w:r>
      <w:r w:rsidRPr="00AE2F1D">
        <w:t>Ofic</w:t>
      </w:r>
      <w:r>
        <w:t>ina del</w:t>
      </w:r>
      <w:r w:rsidRPr="00AE2F1D">
        <w:t xml:space="preserve"> Ministr</w:t>
      </w:r>
      <w:r>
        <w:t>o</w:t>
      </w:r>
      <w:r w:rsidRPr="00AE2F1D">
        <w:t xml:space="preserve"> </w:t>
      </w:r>
      <w:r>
        <w:t>para la</w:t>
      </w:r>
      <w:r w:rsidRPr="00AE2F1D">
        <w:t xml:space="preserve"> Integra</w:t>
      </w:r>
      <w:r>
        <w:t>c</w:t>
      </w:r>
      <w:r w:rsidRPr="00AE2F1D">
        <w:t>i</w:t>
      </w:r>
      <w:r>
        <w:t>ó</w:t>
      </w:r>
      <w:r w:rsidRPr="00AE2F1D">
        <w:t>n</w:t>
      </w:r>
      <w:r w:rsidRPr="005269E5">
        <w:rPr>
          <w:rStyle w:val="FootnoteReference"/>
        </w:rPr>
        <w:footnoteReference w:id="44"/>
      </w:r>
      <w:r>
        <w:t>,</w:t>
      </w:r>
      <w:r w:rsidRPr="00AE2F1D">
        <w:t xml:space="preserve"> </w:t>
      </w:r>
      <w:r>
        <w:t>a fin de potenciar un mayor entendimiento del compromiso contraído por el</w:t>
      </w:r>
      <w:r w:rsidRPr="00AE2F1D">
        <w:t xml:space="preserve"> </w:t>
      </w:r>
      <w:r>
        <w:t>Gobierno de</w:t>
      </w:r>
      <w:r w:rsidRPr="00AE2F1D">
        <w:t xml:space="preserve"> com</w:t>
      </w:r>
      <w:r>
        <w:t>batir el</w:t>
      </w:r>
      <w:r w:rsidRPr="00AE2F1D">
        <w:t xml:space="preserve"> racism</w:t>
      </w:r>
      <w:r>
        <w:t>o</w:t>
      </w:r>
      <w:r w:rsidRPr="00AE2F1D">
        <w:t>.</w:t>
      </w:r>
    </w:p>
    <w:p w:rsidR="000100D5" w:rsidRPr="005269E5" w:rsidRDefault="000100D5" w:rsidP="000100D5">
      <w:pPr>
        <w:pStyle w:val="H4G"/>
      </w:pPr>
      <w:r w:rsidRPr="00AE2F1D">
        <w:tab/>
      </w:r>
      <w:r w:rsidRPr="005269E5">
        <w:t>b)</w:t>
      </w:r>
      <w:r w:rsidRPr="005269E5">
        <w:tab/>
      </w:r>
      <w:r>
        <w:t>Información a</w:t>
      </w:r>
      <w:r w:rsidRPr="005269E5">
        <w:t>di</w:t>
      </w:r>
      <w:r>
        <w:t>c</w:t>
      </w:r>
      <w:r w:rsidRPr="005269E5">
        <w:t>ional so</w:t>
      </w:r>
      <w:r>
        <w:t>licitada por</w:t>
      </w:r>
      <w:r w:rsidRPr="005269E5">
        <w:t xml:space="preserve"> e</w:t>
      </w:r>
      <w:r>
        <w:t>l</w:t>
      </w:r>
      <w:r w:rsidRPr="005269E5">
        <w:t xml:space="preserve"> Comit</w:t>
      </w:r>
      <w:r>
        <w:t>é tras su examen del informe inicial y del segundo informe periódico de</w:t>
      </w:r>
      <w:r w:rsidRPr="005269E5">
        <w:t xml:space="preserve"> Irland</w:t>
      </w:r>
      <w:r>
        <w:t>a</w:t>
      </w:r>
      <w:r w:rsidRPr="005269E5">
        <w:t xml:space="preserve"> </w:t>
      </w:r>
      <w:r>
        <w:t>en su 66º período de</w:t>
      </w:r>
      <w:r w:rsidR="005007D6">
        <w:t xml:space="preserve"> </w:t>
      </w:r>
      <w:r w:rsidRPr="005269E5">
        <w:t>sesion</w:t>
      </w:r>
      <w:r>
        <w:t>es</w:t>
      </w:r>
    </w:p>
    <w:p w:rsidR="000100D5" w:rsidRPr="004975CD" w:rsidRDefault="000100D5" w:rsidP="000100D5">
      <w:pPr>
        <w:pStyle w:val="H23G"/>
      </w:pPr>
      <w:r w:rsidRPr="005269E5">
        <w:tab/>
      </w:r>
      <w:r w:rsidRPr="005269E5">
        <w:tab/>
      </w:r>
      <w:r w:rsidRPr="004975CD">
        <w:t>Respuesta a la recomendación contenida en el párrafo 15 de las observaciones finales anteriores del Comit</w:t>
      </w:r>
      <w:r>
        <w:t>é</w:t>
      </w:r>
      <w:r w:rsidRPr="004975CD">
        <w:t xml:space="preserve"> </w:t>
      </w:r>
      <w:r>
        <w:t>para la</w:t>
      </w:r>
      <w:r w:rsidRPr="004975CD">
        <w:t xml:space="preserve"> Elimina</w:t>
      </w:r>
      <w:r>
        <w:t>c</w:t>
      </w:r>
      <w:r w:rsidRPr="004975CD">
        <w:t>i</w:t>
      </w:r>
      <w:r>
        <w:t>ó</w:t>
      </w:r>
      <w:r w:rsidRPr="004975CD">
        <w:t xml:space="preserve">n </w:t>
      </w:r>
      <w:r>
        <w:t>de la</w:t>
      </w:r>
      <w:r w:rsidRPr="004975CD">
        <w:t xml:space="preserve"> Discrimina</w:t>
      </w:r>
      <w:r>
        <w:t>c</w:t>
      </w:r>
      <w:r w:rsidRPr="004975CD">
        <w:t>i</w:t>
      </w:r>
      <w:r>
        <w:t>ó</w:t>
      </w:r>
      <w:r w:rsidRPr="004975CD">
        <w:t xml:space="preserve">n </w:t>
      </w:r>
      <w:r>
        <w:t xml:space="preserve">Racial </w:t>
      </w:r>
      <w:r w:rsidRPr="004975CD">
        <w:t>(</w:t>
      </w:r>
      <w:r w:rsidRPr="004975CD">
        <w:rPr>
          <w:bCs/>
          <w:iCs/>
        </w:rPr>
        <w:t>CERD/C/IRL/CO/2)</w:t>
      </w:r>
    </w:p>
    <w:p w:rsidR="000100D5" w:rsidRPr="005269E5" w:rsidRDefault="000100D5" w:rsidP="000100D5">
      <w:pPr>
        <w:pStyle w:val="SingleTxtG"/>
      </w:pPr>
      <w:r w:rsidRPr="005269E5">
        <w:t>130.</w:t>
      </w:r>
      <w:r w:rsidRPr="005269E5">
        <w:tab/>
      </w:r>
      <w:r>
        <w:t>Sírvanse consultar al respecto el</w:t>
      </w:r>
      <w:r w:rsidRPr="005269E5">
        <w:t xml:space="preserve"> p</w:t>
      </w:r>
      <w:r>
        <w:t>ár</w:t>
      </w:r>
      <w:r w:rsidRPr="005269E5">
        <w:t>ra</w:t>
      </w:r>
      <w:r>
        <w:t>fo</w:t>
      </w:r>
      <w:r w:rsidRPr="005269E5">
        <w:t xml:space="preserve"> 15 </w:t>
      </w:r>
      <w:r>
        <w:t>del informe adicional de</w:t>
      </w:r>
      <w:r w:rsidRPr="005269E5">
        <w:t xml:space="preserve"> Irland</w:t>
      </w:r>
      <w:r>
        <w:t>a</w:t>
      </w:r>
      <w:r w:rsidRPr="005269E5">
        <w:t xml:space="preserve"> (</w:t>
      </w:r>
      <w:r>
        <w:t>j</w:t>
      </w:r>
      <w:r w:rsidRPr="005269E5">
        <w:t>un</w:t>
      </w:r>
      <w:r>
        <w:t>io de</w:t>
      </w:r>
      <w:r w:rsidRPr="005269E5">
        <w:t xml:space="preserve"> 2006)</w:t>
      </w:r>
      <w:r>
        <w:t>.</w:t>
      </w:r>
    </w:p>
    <w:p w:rsidR="000100D5" w:rsidRDefault="000100D5" w:rsidP="000100D5">
      <w:pPr>
        <w:pStyle w:val="SingleTxtG"/>
      </w:pPr>
      <w:r w:rsidRPr="005269E5">
        <w:t>131.</w:t>
      </w:r>
      <w:r w:rsidRPr="005269E5">
        <w:tab/>
      </w:r>
      <w:r>
        <w:t>El cuadro</w:t>
      </w:r>
      <w:r w:rsidRPr="005269E5">
        <w:t xml:space="preserve"> 6 ilustra </w:t>
      </w:r>
      <w:r>
        <w:t>el cómputo y el</w:t>
      </w:r>
      <w:r w:rsidRPr="005269E5">
        <w:t xml:space="preserve"> n</w:t>
      </w:r>
      <w:r>
        <w:t>ú</w:t>
      </w:r>
      <w:r w:rsidRPr="005269E5">
        <w:t>mer</w:t>
      </w:r>
      <w:r>
        <w:t>o de días</w:t>
      </w:r>
      <w:r w:rsidRPr="005269E5">
        <w:t xml:space="preserve"> </w:t>
      </w:r>
      <w:r>
        <w:t>que las personas han estado</w:t>
      </w:r>
      <w:r w:rsidRPr="005269E5">
        <w:t xml:space="preserve"> det</w:t>
      </w:r>
      <w:r>
        <w:t>e</w:t>
      </w:r>
      <w:r w:rsidRPr="005269E5">
        <w:t>n</w:t>
      </w:r>
      <w:r>
        <w:t>idas en los</w:t>
      </w:r>
      <w:r w:rsidRPr="005269E5">
        <w:t xml:space="preserve"> 6 </w:t>
      </w:r>
      <w:r>
        <w:t>últimos años por problemas de inmigración</w:t>
      </w:r>
      <w:r w:rsidRPr="005269E5">
        <w:t>.</w:t>
      </w:r>
    </w:p>
    <w:p w:rsidR="000100D5" w:rsidRDefault="000100D5" w:rsidP="000100D5">
      <w:pPr>
        <w:pStyle w:val="Heading1"/>
      </w:pPr>
      <w:r>
        <w:t>Cuadro 6</w:t>
      </w:r>
    </w:p>
    <w:p w:rsidR="000100D5" w:rsidRPr="009F14DC" w:rsidRDefault="000100D5" w:rsidP="00237030">
      <w:pPr>
        <w:pStyle w:val="SingleTxtG"/>
        <w:jc w:val="left"/>
      </w:pPr>
      <w:r w:rsidRPr="009F14DC">
        <w:rPr>
          <w:b/>
        </w:rPr>
        <w:t>C</w:t>
      </w:r>
      <w:r>
        <w:rPr>
          <w:b/>
        </w:rPr>
        <w:t>ómputo</w:t>
      </w:r>
      <w:r w:rsidRPr="009F14DC">
        <w:rPr>
          <w:b/>
        </w:rPr>
        <w:t xml:space="preserve"> y número de días que las person</w:t>
      </w:r>
      <w:r>
        <w:rPr>
          <w:b/>
        </w:rPr>
        <w:t>a</w:t>
      </w:r>
      <w:r w:rsidRPr="009F14DC">
        <w:rPr>
          <w:b/>
        </w:rPr>
        <w:t>s ha</w:t>
      </w:r>
      <w:r>
        <w:rPr>
          <w:b/>
        </w:rPr>
        <w:t>n estado</w:t>
      </w:r>
      <w:r w:rsidRPr="009F14DC">
        <w:rPr>
          <w:b/>
        </w:rPr>
        <w:t xml:space="preserve"> det</w:t>
      </w:r>
      <w:r>
        <w:rPr>
          <w:b/>
        </w:rPr>
        <w:t>e</w:t>
      </w:r>
      <w:r w:rsidRPr="009F14DC">
        <w:rPr>
          <w:b/>
        </w:rPr>
        <w:t>n</w:t>
      </w:r>
      <w:r>
        <w:rPr>
          <w:b/>
        </w:rPr>
        <w:t>idas</w:t>
      </w:r>
      <w:r w:rsidRPr="009F14DC">
        <w:rPr>
          <w:b/>
        </w:rPr>
        <w:t xml:space="preserve"> </w:t>
      </w:r>
      <w:r>
        <w:rPr>
          <w:b/>
        </w:rPr>
        <w:t xml:space="preserve">por problemas de </w:t>
      </w:r>
      <w:r w:rsidRPr="009F14DC">
        <w:rPr>
          <w:b/>
        </w:rPr>
        <w:t>i</w:t>
      </w:r>
      <w:r>
        <w:rPr>
          <w:b/>
        </w:rPr>
        <w:t>n</w:t>
      </w:r>
      <w:r w:rsidRPr="009F14DC">
        <w:rPr>
          <w:b/>
        </w:rPr>
        <w:t>migra</w:t>
      </w:r>
      <w:r>
        <w:rPr>
          <w:b/>
        </w:rPr>
        <w:t>c</w:t>
      </w:r>
      <w:r w:rsidRPr="009F14DC">
        <w:rPr>
          <w:b/>
        </w:rPr>
        <w:t>i</w:t>
      </w:r>
      <w:r>
        <w:rPr>
          <w:b/>
        </w:rPr>
        <w:t>ó</w:t>
      </w:r>
      <w:r w:rsidRPr="009F14DC">
        <w:rPr>
          <w:b/>
        </w:rPr>
        <w:t>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66"/>
        <w:gridCol w:w="943"/>
        <w:gridCol w:w="943"/>
        <w:gridCol w:w="944"/>
        <w:gridCol w:w="943"/>
        <w:gridCol w:w="944"/>
        <w:gridCol w:w="943"/>
        <w:gridCol w:w="944"/>
      </w:tblGrid>
      <w:tr w:rsidR="000100D5" w:rsidRPr="005269E5">
        <w:trPr>
          <w:tblHeader/>
        </w:trPr>
        <w:tc>
          <w:tcPr>
            <w:tcW w:w="766" w:type="dxa"/>
            <w:tcBorders>
              <w:top w:val="single" w:sz="4" w:space="0" w:color="auto"/>
              <w:bottom w:val="single" w:sz="12" w:space="0" w:color="auto"/>
            </w:tcBorders>
            <w:shd w:val="clear" w:color="auto" w:fill="auto"/>
            <w:vAlign w:val="bottom"/>
          </w:tcPr>
          <w:p w:rsidR="000100D5" w:rsidRPr="009F14DC" w:rsidRDefault="000100D5" w:rsidP="000100D5">
            <w:pPr>
              <w:pStyle w:val="SingleTxtG"/>
              <w:spacing w:before="80" w:after="80" w:line="200" w:lineRule="exact"/>
              <w:ind w:left="0" w:right="113"/>
              <w:jc w:val="left"/>
              <w:rPr>
                <w:i/>
                <w:sz w:val="16"/>
              </w:rPr>
            </w:pPr>
          </w:p>
        </w:tc>
        <w:tc>
          <w:tcPr>
            <w:tcW w:w="943" w:type="dxa"/>
            <w:tcBorders>
              <w:top w:val="single" w:sz="4" w:space="0" w:color="auto"/>
              <w:bottom w:val="single" w:sz="12" w:space="0" w:color="auto"/>
            </w:tcBorders>
            <w:shd w:val="clear" w:color="auto" w:fill="auto"/>
            <w:vAlign w:val="bottom"/>
          </w:tcPr>
          <w:p w:rsidR="000100D5" w:rsidRPr="005269E5" w:rsidRDefault="00C67360" w:rsidP="000100D5">
            <w:pPr>
              <w:pStyle w:val="SingleTxtG"/>
              <w:spacing w:before="80" w:after="80" w:line="200" w:lineRule="exact"/>
              <w:ind w:left="0" w:right="113"/>
              <w:jc w:val="right"/>
              <w:rPr>
                <w:i/>
                <w:sz w:val="16"/>
              </w:rPr>
            </w:pPr>
            <w:r>
              <w:rPr>
                <w:i/>
                <w:sz w:val="16"/>
              </w:rPr>
              <w:t xml:space="preserve">0 a </w:t>
            </w:r>
            <w:r w:rsidR="000100D5">
              <w:rPr>
                <w:i/>
                <w:sz w:val="16"/>
              </w:rPr>
              <w:t>3</w:t>
            </w:r>
            <w:r w:rsidR="000100D5" w:rsidRPr="005269E5">
              <w:rPr>
                <w:i/>
                <w:sz w:val="16"/>
              </w:rPr>
              <w:t xml:space="preserve"> </w:t>
            </w:r>
            <w:r w:rsidR="000100D5">
              <w:rPr>
                <w:i/>
                <w:sz w:val="16"/>
              </w:rPr>
              <w:t>día</w:t>
            </w:r>
            <w:r w:rsidR="000100D5" w:rsidRPr="005269E5">
              <w:rPr>
                <w:i/>
                <w:sz w:val="16"/>
              </w:rPr>
              <w:t>s</w:t>
            </w:r>
          </w:p>
        </w:tc>
        <w:tc>
          <w:tcPr>
            <w:tcW w:w="943"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00" w:lineRule="exact"/>
              <w:ind w:left="0" w:right="113"/>
              <w:jc w:val="right"/>
              <w:rPr>
                <w:i/>
                <w:sz w:val="16"/>
              </w:rPr>
            </w:pPr>
            <w:r>
              <w:rPr>
                <w:i/>
                <w:sz w:val="16"/>
              </w:rPr>
              <w:t>4</w:t>
            </w:r>
            <w:r w:rsidR="00C67360">
              <w:rPr>
                <w:i/>
                <w:sz w:val="16"/>
              </w:rPr>
              <w:t xml:space="preserve"> a </w:t>
            </w:r>
            <w:r w:rsidRPr="005269E5">
              <w:rPr>
                <w:i/>
                <w:sz w:val="16"/>
              </w:rPr>
              <w:t xml:space="preserve">7 </w:t>
            </w:r>
            <w:r>
              <w:rPr>
                <w:i/>
                <w:sz w:val="16"/>
              </w:rPr>
              <w:t>dí</w:t>
            </w:r>
            <w:r w:rsidRPr="005269E5">
              <w:rPr>
                <w:i/>
                <w:sz w:val="16"/>
              </w:rPr>
              <w:t>as</w:t>
            </w:r>
          </w:p>
        </w:tc>
        <w:tc>
          <w:tcPr>
            <w:tcW w:w="944" w:type="dxa"/>
            <w:tcBorders>
              <w:top w:val="single" w:sz="4" w:space="0" w:color="auto"/>
              <w:bottom w:val="single" w:sz="12" w:space="0" w:color="auto"/>
            </w:tcBorders>
            <w:shd w:val="clear" w:color="auto" w:fill="auto"/>
            <w:vAlign w:val="bottom"/>
          </w:tcPr>
          <w:p w:rsidR="000100D5" w:rsidRPr="005269E5" w:rsidRDefault="00C67360" w:rsidP="000100D5">
            <w:pPr>
              <w:pStyle w:val="SingleTxtG"/>
              <w:spacing w:before="80" w:after="80" w:line="200" w:lineRule="exact"/>
              <w:ind w:left="0" w:right="113"/>
              <w:jc w:val="right"/>
              <w:rPr>
                <w:i/>
                <w:sz w:val="16"/>
              </w:rPr>
            </w:pPr>
            <w:r>
              <w:rPr>
                <w:i/>
                <w:sz w:val="16"/>
              </w:rPr>
              <w:t xml:space="preserve">8 a </w:t>
            </w:r>
            <w:r w:rsidR="000100D5" w:rsidRPr="005269E5">
              <w:rPr>
                <w:i/>
                <w:sz w:val="16"/>
              </w:rPr>
              <w:t xml:space="preserve">14 </w:t>
            </w:r>
            <w:r w:rsidR="000100D5">
              <w:rPr>
                <w:i/>
                <w:sz w:val="16"/>
              </w:rPr>
              <w:t>dí</w:t>
            </w:r>
            <w:r w:rsidR="000100D5" w:rsidRPr="005269E5">
              <w:rPr>
                <w:i/>
                <w:sz w:val="16"/>
              </w:rPr>
              <w:t>as</w:t>
            </w:r>
          </w:p>
        </w:tc>
        <w:tc>
          <w:tcPr>
            <w:tcW w:w="943" w:type="dxa"/>
            <w:tcBorders>
              <w:top w:val="single" w:sz="4" w:space="0" w:color="auto"/>
              <w:bottom w:val="single" w:sz="12" w:space="0" w:color="auto"/>
            </w:tcBorders>
            <w:shd w:val="clear" w:color="auto" w:fill="auto"/>
            <w:vAlign w:val="bottom"/>
          </w:tcPr>
          <w:p w:rsidR="000100D5" w:rsidRPr="005269E5" w:rsidRDefault="00C67360" w:rsidP="000100D5">
            <w:pPr>
              <w:pStyle w:val="SingleTxtG"/>
              <w:spacing w:before="80" w:after="80" w:line="200" w:lineRule="exact"/>
              <w:ind w:left="0" w:right="113"/>
              <w:jc w:val="right"/>
              <w:rPr>
                <w:i/>
                <w:sz w:val="16"/>
              </w:rPr>
            </w:pPr>
            <w:r>
              <w:rPr>
                <w:i/>
                <w:sz w:val="16"/>
              </w:rPr>
              <w:t xml:space="preserve">15 a </w:t>
            </w:r>
            <w:r w:rsidR="000100D5" w:rsidRPr="005269E5">
              <w:rPr>
                <w:i/>
                <w:sz w:val="16"/>
              </w:rPr>
              <w:t xml:space="preserve">30 </w:t>
            </w:r>
            <w:r w:rsidR="000100D5">
              <w:rPr>
                <w:i/>
                <w:sz w:val="16"/>
              </w:rPr>
              <w:t>dí</w:t>
            </w:r>
            <w:r w:rsidR="000100D5" w:rsidRPr="005269E5">
              <w:rPr>
                <w:i/>
                <w:sz w:val="16"/>
              </w:rPr>
              <w:t>as</w:t>
            </w:r>
          </w:p>
        </w:tc>
        <w:tc>
          <w:tcPr>
            <w:tcW w:w="944"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00" w:lineRule="exact"/>
              <w:ind w:left="0" w:right="113"/>
              <w:jc w:val="right"/>
              <w:rPr>
                <w:i/>
                <w:sz w:val="16"/>
              </w:rPr>
            </w:pPr>
            <w:r w:rsidRPr="005269E5">
              <w:rPr>
                <w:i/>
                <w:sz w:val="16"/>
              </w:rPr>
              <w:t>31</w:t>
            </w:r>
            <w:r w:rsidR="00C67360">
              <w:rPr>
                <w:i/>
                <w:sz w:val="16"/>
              </w:rPr>
              <w:t xml:space="preserve"> a </w:t>
            </w:r>
            <w:r w:rsidRPr="005269E5">
              <w:rPr>
                <w:i/>
                <w:sz w:val="16"/>
              </w:rPr>
              <w:t xml:space="preserve">50 </w:t>
            </w:r>
            <w:r>
              <w:rPr>
                <w:i/>
                <w:sz w:val="16"/>
              </w:rPr>
              <w:t>día</w:t>
            </w:r>
            <w:r w:rsidRPr="005269E5">
              <w:rPr>
                <w:i/>
                <w:sz w:val="16"/>
              </w:rPr>
              <w:t>s</w:t>
            </w:r>
          </w:p>
        </w:tc>
        <w:tc>
          <w:tcPr>
            <w:tcW w:w="943" w:type="dxa"/>
            <w:tcBorders>
              <w:top w:val="single" w:sz="4" w:space="0" w:color="auto"/>
              <w:bottom w:val="single" w:sz="12" w:space="0" w:color="auto"/>
            </w:tcBorders>
            <w:shd w:val="clear" w:color="auto" w:fill="auto"/>
            <w:vAlign w:val="bottom"/>
          </w:tcPr>
          <w:p w:rsidR="000100D5" w:rsidRPr="005269E5" w:rsidRDefault="000100D5" w:rsidP="000100D5">
            <w:pPr>
              <w:pStyle w:val="SingleTxtG"/>
              <w:spacing w:before="80" w:after="80" w:line="200" w:lineRule="exact"/>
              <w:ind w:left="0" w:right="113"/>
              <w:jc w:val="right"/>
              <w:rPr>
                <w:i/>
                <w:sz w:val="16"/>
              </w:rPr>
            </w:pPr>
            <w:r w:rsidRPr="005269E5">
              <w:rPr>
                <w:i/>
                <w:sz w:val="16"/>
              </w:rPr>
              <w:t xml:space="preserve">51+ </w:t>
            </w:r>
            <w:r>
              <w:rPr>
                <w:i/>
                <w:sz w:val="16"/>
              </w:rPr>
              <w:t>día</w:t>
            </w:r>
            <w:r w:rsidRPr="005269E5">
              <w:rPr>
                <w:i/>
                <w:sz w:val="16"/>
              </w:rPr>
              <w:t>s</w:t>
            </w:r>
          </w:p>
        </w:tc>
        <w:tc>
          <w:tcPr>
            <w:tcW w:w="944" w:type="dxa"/>
            <w:tcBorders>
              <w:top w:val="single" w:sz="4" w:space="0" w:color="auto"/>
              <w:bottom w:val="single" w:sz="12" w:space="0" w:color="auto"/>
            </w:tcBorders>
            <w:shd w:val="clear" w:color="auto" w:fill="auto"/>
            <w:vAlign w:val="bottom"/>
          </w:tcPr>
          <w:p w:rsidR="000100D5" w:rsidRPr="009F4FBC" w:rsidRDefault="000100D5" w:rsidP="000100D5">
            <w:pPr>
              <w:pStyle w:val="SingleTxtG"/>
              <w:spacing w:before="80" w:after="80" w:line="200" w:lineRule="exact"/>
              <w:ind w:left="0" w:right="113"/>
              <w:jc w:val="right"/>
              <w:rPr>
                <w:b/>
                <w:i/>
                <w:sz w:val="16"/>
              </w:rPr>
            </w:pPr>
            <w:r w:rsidRPr="009F4FBC">
              <w:rPr>
                <w:b/>
                <w:i/>
                <w:sz w:val="16"/>
              </w:rPr>
              <w:t>Total</w:t>
            </w:r>
          </w:p>
        </w:tc>
      </w:tr>
      <w:tr w:rsidR="000100D5" w:rsidRPr="005269E5">
        <w:trPr>
          <w:trHeight w:val="330"/>
        </w:trPr>
        <w:tc>
          <w:tcPr>
            <w:tcW w:w="766" w:type="dxa"/>
            <w:tcBorders>
              <w:top w:val="single" w:sz="12" w:space="0" w:color="auto"/>
            </w:tcBorders>
            <w:shd w:val="clear" w:color="auto" w:fill="auto"/>
          </w:tcPr>
          <w:p w:rsidR="000100D5" w:rsidRPr="005269E5" w:rsidRDefault="000100D5" w:rsidP="000100D5">
            <w:pPr>
              <w:pStyle w:val="SingleTxtG"/>
              <w:spacing w:before="40" w:after="40" w:line="220" w:lineRule="exact"/>
              <w:ind w:left="0" w:right="113"/>
              <w:jc w:val="left"/>
              <w:rPr>
                <w:sz w:val="18"/>
              </w:rPr>
            </w:pPr>
            <w:r w:rsidRPr="005269E5">
              <w:rPr>
                <w:sz w:val="18"/>
              </w:rPr>
              <w:t>2003</w:t>
            </w:r>
          </w:p>
        </w:tc>
        <w:tc>
          <w:tcPr>
            <w:tcW w:w="943"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w:t>
            </w:r>
            <w:r>
              <w:rPr>
                <w:sz w:val="18"/>
              </w:rPr>
              <w:t xml:space="preserve"> </w:t>
            </w:r>
            <w:r w:rsidRPr="005269E5">
              <w:rPr>
                <w:sz w:val="18"/>
              </w:rPr>
              <w:t>140</w:t>
            </w:r>
          </w:p>
        </w:tc>
        <w:tc>
          <w:tcPr>
            <w:tcW w:w="943"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324</w:t>
            </w:r>
          </w:p>
        </w:tc>
        <w:tc>
          <w:tcPr>
            <w:tcW w:w="944"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6</w:t>
            </w:r>
          </w:p>
        </w:tc>
        <w:tc>
          <w:tcPr>
            <w:tcW w:w="943"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12</w:t>
            </w:r>
          </w:p>
        </w:tc>
        <w:tc>
          <w:tcPr>
            <w:tcW w:w="944"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3</w:t>
            </w:r>
          </w:p>
        </w:tc>
        <w:tc>
          <w:tcPr>
            <w:tcW w:w="943" w:type="dxa"/>
            <w:tcBorders>
              <w:top w:val="single" w:sz="12" w:space="0" w:color="auto"/>
            </w:tcBorders>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367</w:t>
            </w:r>
          </w:p>
        </w:tc>
        <w:tc>
          <w:tcPr>
            <w:tcW w:w="944" w:type="dxa"/>
            <w:tcBorders>
              <w:top w:val="single" w:sz="12" w:space="0" w:color="auto"/>
            </w:tcBorders>
            <w:shd w:val="clear" w:color="auto" w:fill="auto"/>
            <w:vAlign w:val="bottom"/>
          </w:tcPr>
          <w:p w:rsidR="000100D5" w:rsidRPr="009F4FBC" w:rsidRDefault="000100D5" w:rsidP="000100D5">
            <w:pPr>
              <w:pStyle w:val="SingleTxtG"/>
              <w:spacing w:before="40" w:after="40" w:line="220" w:lineRule="exact"/>
              <w:ind w:left="0" w:right="113"/>
              <w:jc w:val="right"/>
              <w:rPr>
                <w:b/>
                <w:sz w:val="18"/>
              </w:rPr>
            </w:pPr>
            <w:r w:rsidRPr="009F4FBC">
              <w:rPr>
                <w:b/>
                <w:sz w:val="18"/>
              </w:rPr>
              <w:t>1 852</w:t>
            </w:r>
          </w:p>
        </w:tc>
      </w:tr>
      <w:tr w:rsidR="000100D5" w:rsidRPr="005269E5">
        <w:trPr>
          <w:trHeight w:val="330"/>
        </w:trPr>
        <w:tc>
          <w:tcPr>
            <w:tcW w:w="766" w:type="dxa"/>
            <w:shd w:val="clear" w:color="auto" w:fill="auto"/>
          </w:tcPr>
          <w:p w:rsidR="000100D5" w:rsidRPr="005269E5" w:rsidRDefault="000100D5" w:rsidP="000100D5">
            <w:pPr>
              <w:pStyle w:val="SingleTxtG"/>
              <w:spacing w:before="40" w:after="40" w:line="220" w:lineRule="exact"/>
              <w:ind w:left="0" w:right="113"/>
              <w:jc w:val="left"/>
              <w:rPr>
                <w:sz w:val="18"/>
              </w:rPr>
            </w:pPr>
            <w:r w:rsidRPr="005269E5">
              <w:rPr>
                <w:sz w:val="18"/>
              </w:rPr>
              <w:t>2004</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414</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195</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127</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75</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65</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70</w:t>
            </w:r>
          </w:p>
        </w:tc>
        <w:tc>
          <w:tcPr>
            <w:tcW w:w="944" w:type="dxa"/>
            <w:shd w:val="clear" w:color="auto" w:fill="auto"/>
            <w:vAlign w:val="bottom"/>
          </w:tcPr>
          <w:p w:rsidR="000100D5" w:rsidRPr="009F4FBC" w:rsidRDefault="000100D5" w:rsidP="000100D5">
            <w:pPr>
              <w:pStyle w:val="SingleTxtG"/>
              <w:spacing w:before="40" w:after="40" w:line="220" w:lineRule="exact"/>
              <w:ind w:left="0" w:right="113"/>
              <w:jc w:val="right"/>
              <w:rPr>
                <w:b/>
                <w:sz w:val="18"/>
              </w:rPr>
            </w:pPr>
            <w:r w:rsidRPr="009F4FBC">
              <w:rPr>
                <w:b/>
                <w:sz w:val="18"/>
              </w:rPr>
              <w:t>946</w:t>
            </w:r>
          </w:p>
        </w:tc>
      </w:tr>
      <w:tr w:rsidR="000100D5" w:rsidRPr="005269E5">
        <w:trPr>
          <w:trHeight w:val="330"/>
        </w:trPr>
        <w:tc>
          <w:tcPr>
            <w:tcW w:w="766" w:type="dxa"/>
            <w:shd w:val="clear" w:color="auto" w:fill="auto"/>
          </w:tcPr>
          <w:p w:rsidR="000100D5" w:rsidRPr="005269E5" w:rsidRDefault="000100D5" w:rsidP="000100D5">
            <w:pPr>
              <w:pStyle w:val="SingleTxtG"/>
              <w:spacing w:before="40" w:after="40" w:line="220" w:lineRule="exact"/>
              <w:ind w:left="0" w:right="113"/>
              <w:jc w:val="left"/>
              <w:rPr>
                <w:sz w:val="18"/>
              </w:rPr>
            </w:pPr>
            <w:r w:rsidRPr="005269E5">
              <w:rPr>
                <w:sz w:val="18"/>
              </w:rPr>
              <w:t>2005</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484</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140</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88</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86</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43</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19</w:t>
            </w:r>
          </w:p>
        </w:tc>
        <w:tc>
          <w:tcPr>
            <w:tcW w:w="944" w:type="dxa"/>
            <w:shd w:val="clear" w:color="auto" w:fill="auto"/>
            <w:vAlign w:val="bottom"/>
          </w:tcPr>
          <w:p w:rsidR="000100D5" w:rsidRPr="009F4FBC" w:rsidRDefault="000100D5" w:rsidP="000100D5">
            <w:pPr>
              <w:pStyle w:val="SingleTxtG"/>
              <w:spacing w:before="40" w:after="40" w:line="220" w:lineRule="exact"/>
              <w:ind w:left="0" w:right="113"/>
              <w:jc w:val="right"/>
              <w:rPr>
                <w:b/>
                <w:sz w:val="18"/>
              </w:rPr>
            </w:pPr>
            <w:r w:rsidRPr="009F4FBC">
              <w:rPr>
                <w:b/>
                <w:sz w:val="18"/>
              </w:rPr>
              <w:t>860</w:t>
            </w:r>
          </w:p>
        </w:tc>
      </w:tr>
      <w:tr w:rsidR="000100D5" w:rsidRPr="005269E5">
        <w:trPr>
          <w:trHeight w:val="330"/>
        </w:trPr>
        <w:tc>
          <w:tcPr>
            <w:tcW w:w="766" w:type="dxa"/>
            <w:shd w:val="clear" w:color="auto" w:fill="auto"/>
          </w:tcPr>
          <w:p w:rsidR="000100D5" w:rsidRPr="005269E5" w:rsidRDefault="000100D5" w:rsidP="000100D5">
            <w:pPr>
              <w:pStyle w:val="SingleTxtG"/>
              <w:spacing w:before="40" w:after="40" w:line="220" w:lineRule="exact"/>
              <w:ind w:left="0" w:right="113"/>
              <w:jc w:val="left"/>
              <w:rPr>
                <w:sz w:val="18"/>
              </w:rPr>
            </w:pPr>
            <w:r w:rsidRPr="005269E5">
              <w:rPr>
                <w:sz w:val="18"/>
              </w:rPr>
              <w:t>2006</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439</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255</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167</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138</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55</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59</w:t>
            </w:r>
          </w:p>
        </w:tc>
        <w:tc>
          <w:tcPr>
            <w:tcW w:w="944" w:type="dxa"/>
            <w:shd w:val="clear" w:color="auto" w:fill="auto"/>
            <w:vAlign w:val="bottom"/>
          </w:tcPr>
          <w:p w:rsidR="000100D5" w:rsidRPr="009F4FBC" w:rsidRDefault="000100D5" w:rsidP="000100D5">
            <w:pPr>
              <w:pStyle w:val="SingleTxtG"/>
              <w:spacing w:before="40" w:after="40" w:line="220" w:lineRule="exact"/>
              <w:ind w:left="0" w:right="113"/>
              <w:jc w:val="right"/>
              <w:rPr>
                <w:b/>
                <w:sz w:val="18"/>
              </w:rPr>
            </w:pPr>
            <w:r w:rsidRPr="009F4FBC">
              <w:rPr>
                <w:b/>
                <w:sz w:val="18"/>
              </w:rPr>
              <w:t>1 113</w:t>
            </w:r>
          </w:p>
        </w:tc>
      </w:tr>
      <w:tr w:rsidR="000100D5" w:rsidRPr="005269E5">
        <w:trPr>
          <w:trHeight w:val="330"/>
        </w:trPr>
        <w:tc>
          <w:tcPr>
            <w:tcW w:w="766" w:type="dxa"/>
            <w:shd w:val="clear" w:color="auto" w:fill="auto"/>
          </w:tcPr>
          <w:p w:rsidR="000100D5" w:rsidRPr="005269E5" w:rsidRDefault="000100D5" w:rsidP="000100D5">
            <w:pPr>
              <w:pStyle w:val="SingleTxtG"/>
              <w:spacing w:before="40" w:after="40" w:line="220" w:lineRule="exact"/>
              <w:ind w:left="0" w:right="113"/>
              <w:jc w:val="left"/>
              <w:rPr>
                <w:sz w:val="18"/>
              </w:rPr>
            </w:pPr>
            <w:r w:rsidRPr="005269E5">
              <w:rPr>
                <w:sz w:val="18"/>
              </w:rPr>
              <w:t>2007</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632</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205</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89</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99</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67</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53</w:t>
            </w:r>
          </w:p>
        </w:tc>
        <w:tc>
          <w:tcPr>
            <w:tcW w:w="944" w:type="dxa"/>
            <w:shd w:val="clear" w:color="auto" w:fill="auto"/>
            <w:vAlign w:val="bottom"/>
          </w:tcPr>
          <w:p w:rsidR="000100D5" w:rsidRPr="009F4FBC" w:rsidRDefault="000100D5" w:rsidP="000100D5">
            <w:pPr>
              <w:pStyle w:val="SingleTxtG"/>
              <w:spacing w:before="40" w:after="40" w:line="220" w:lineRule="exact"/>
              <w:ind w:left="0" w:right="113"/>
              <w:jc w:val="right"/>
              <w:rPr>
                <w:b/>
                <w:sz w:val="18"/>
              </w:rPr>
            </w:pPr>
            <w:r w:rsidRPr="009F4FBC">
              <w:rPr>
                <w:b/>
                <w:sz w:val="18"/>
              </w:rPr>
              <w:t>1 145</w:t>
            </w:r>
          </w:p>
        </w:tc>
      </w:tr>
      <w:tr w:rsidR="000100D5" w:rsidRPr="005269E5">
        <w:trPr>
          <w:trHeight w:val="330"/>
        </w:trPr>
        <w:tc>
          <w:tcPr>
            <w:tcW w:w="766" w:type="dxa"/>
            <w:shd w:val="clear" w:color="auto" w:fill="auto"/>
          </w:tcPr>
          <w:p w:rsidR="000100D5" w:rsidRPr="005269E5" w:rsidRDefault="000100D5" w:rsidP="000100D5">
            <w:pPr>
              <w:pStyle w:val="SingleTxtG"/>
              <w:spacing w:before="40" w:after="40" w:line="220" w:lineRule="exact"/>
              <w:ind w:left="0" w:right="113"/>
              <w:jc w:val="left"/>
              <w:rPr>
                <w:sz w:val="18"/>
              </w:rPr>
            </w:pPr>
            <w:r w:rsidRPr="005269E5">
              <w:rPr>
                <w:sz w:val="18"/>
              </w:rPr>
              <w:t>2008</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513</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193</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89</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71</w:t>
            </w:r>
          </w:p>
        </w:tc>
        <w:tc>
          <w:tcPr>
            <w:tcW w:w="944"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52</w:t>
            </w:r>
          </w:p>
        </w:tc>
        <w:tc>
          <w:tcPr>
            <w:tcW w:w="943" w:type="dxa"/>
            <w:shd w:val="clear" w:color="auto" w:fill="auto"/>
            <w:vAlign w:val="bottom"/>
          </w:tcPr>
          <w:p w:rsidR="000100D5" w:rsidRPr="005269E5" w:rsidRDefault="000100D5" w:rsidP="000100D5">
            <w:pPr>
              <w:pStyle w:val="SingleTxtG"/>
              <w:spacing w:before="40" w:after="40" w:line="220" w:lineRule="exact"/>
              <w:ind w:left="0" w:right="113"/>
              <w:jc w:val="right"/>
              <w:rPr>
                <w:sz w:val="18"/>
              </w:rPr>
            </w:pPr>
            <w:r w:rsidRPr="005269E5">
              <w:rPr>
                <w:sz w:val="18"/>
              </w:rPr>
              <w:t>43</w:t>
            </w:r>
          </w:p>
        </w:tc>
        <w:tc>
          <w:tcPr>
            <w:tcW w:w="944" w:type="dxa"/>
            <w:shd w:val="clear" w:color="auto" w:fill="auto"/>
            <w:vAlign w:val="bottom"/>
          </w:tcPr>
          <w:p w:rsidR="000100D5" w:rsidRPr="009F4FBC" w:rsidRDefault="000100D5" w:rsidP="000100D5">
            <w:pPr>
              <w:pStyle w:val="SingleTxtG"/>
              <w:spacing w:before="40" w:after="40" w:line="220" w:lineRule="exact"/>
              <w:ind w:left="0" w:right="113"/>
              <w:jc w:val="right"/>
              <w:rPr>
                <w:b/>
                <w:sz w:val="18"/>
              </w:rPr>
            </w:pPr>
            <w:r w:rsidRPr="009F4FBC">
              <w:rPr>
                <w:b/>
                <w:sz w:val="18"/>
              </w:rPr>
              <w:t>961</w:t>
            </w:r>
          </w:p>
        </w:tc>
      </w:tr>
    </w:tbl>
    <w:p w:rsidR="000100D5" w:rsidRPr="00855D84" w:rsidRDefault="000100D5" w:rsidP="000100D5">
      <w:pPr>
        <w:pStyle w:val="SingleTxtG"/>
        <w:spacing w:before="240"/>
      </w:pPr>
      <w:r>
        <w:t>132.</w:t>
      </w:r>
      <w:r>
        <w:tab/>
        <w:t>E</w:t>
      </w:r>
      <w:r w:rsidRPr="005269E5">
        <w:t xml:space="preserve">n 2008, </w:t>
      </w:r>
      <w:r>
        <w:t>hubo</w:t>
      </w:r>
      <w:r w:rsidRPr="005269E5">
        <w:t xml:space="preserve"> 1</w:t>
      </w:r>
      <w:r w:rsidR="00E336FD">
        <w:t>.</w:t>
      </w:r>
      <w:r w:rsidRPr="005269E5">
        <w:t xml:space="preserve">034 </w:t>
      </w:r>
      <w:r>
        <w:t>autos de</w:t>
      </w:r>
      <w:r w:rsidRPr="005269E5">
        <w:t xml:space="preserve"> pris</w:t>
      </w:r>
      <w:r>
        <w:t>ió</w:t>
      </w:r>
      <w:r w:rsidRPr="005269E5">
        <w:t xml:space="preserve">n </w:t>
      </w:r>
      <w:r>
        <w:t>motivados por problemas de</w:t>
      </w:r>
      <w:r w:rsidRPr="005269E5">
        <w:t xml:space="preserve"> i</w:t>
      </w:r>
      <w:r>
        <w:t>n</w:t>
      </w:r>
      <w:r w:rsidRPr="005269E5">
        <w:t>migra</w:t>
      </w:r>
      <w:r>
        <w:t>c</w:t>
      </w:r>
      <w:r w:rsidRPr="005269E5">
        <w:t>i</w:t>
      </w:r>
      <w:r>
        <w:t>ó</w:t>
      </w:r>
      <w:r w:rsidRPr="005269E5">
        <w:t>n</w:t>
      </w:r>
      <w:r w:rsidR="00DC5C74">
        <w:t>, que </w:t>
      </w:r>
      <w:r>
        <w:t>afectaron a</w:t>
      </w:r>
      <w:r w:rsidRPr="005269E5">
        <w:t xml:space="preserve"> 961 det</w:t>
      </w:r>
      <w:r>
        <w:t>e</w:t>
      </w:r>
      <w:r w:rsidRPr="005269E5">
        <w:t>n</w:t>
      </w:r>
      <w:r>
        <w:t>ido</w:t>
      </w:r>
      <w:r w:rsidRPr="005269E5">
        <w:t>s</w:t>
      </w:r>
      <w:r>
        <w:t>, lo que</w:t>
      </w:r>
      <w:r w:rsidRPr="005269E5">
        <w:t xml:space="preserve"> represent</w:t>
      </w:r>
      <w:r>
        <w:t>a</w:t>
      </w:r>
      <w:r w:rsidRPr="005269E5">
        <w:t xml:space="preserve"> </w:t>
      </w:r>
      <w:r>
        <w:t>una</w:t>
      </w:r>
      <w:r w:rsidRPr="005269E5">
        <w:t xml:space="preserve"> d</w:t>
      </w:r>
      <w:r>
        <w:t>isminución del</w:t>
      </w:r>
      <w:r w:rsidRPr="005269E5">
        <w:t xml:space="preserve"> 16% </w:t>
      </w:r>
      <w:r>
        <w:t>respecto de los</w:t>
      </w:r>
      <w:r w:rsidR="00DC5C74">
        <w:t> </w:t>
      </w:r>
      <w:r w:rsidRPr="005269E5">
        <w:t>1</w:t>
      </w:r>
      <w:r w:rsidR="00DC5C74">
        <w:t>.</w:t>
      </w:r>
      <w:r w:rsidRPr="005269E5">
        <w:t>145</w:t>
      </w:r>
      <w:r>
        <w:t xml:space="preserve"> detenidos e</w:t>
      </w:r>
      <w:r w:rsidRPr="005269E5">
        <w:t>n 2007</w:t>
      </w:r>
      <w:r>
        <w:t xml:space="preserve"> por esa causa</w:t>
      </w:r>
      <w:r w:rsidRPr="005269E5">
        <w:t xml:space="preserve">. </w:t>
      </w:r>
      <w:r w:rsidRPr="00855D84">
        <w:t xml:space="preserve">De esos autos de prisión, 759, o sea el 73%, </w:t>
      </w:r>
      <w:r>
        <w:t>fueron inferiores a</w:t>
      </w:r>
      <w:r w:rsidRPr="00855D84">
        <w:t xml:space="preserve"> 8 d</w:t>
      </w:r>
      <w:r>
        <w:t>í</w:t>
      </w:r>
      <w:r w:rsidRPr="00855D84">
        <w:t xml:space="preserve">as. </w:t>
      </w:r>
      <w:r>
        <w:t>En 2008, el promedio diario de personas bajo</w:t>
      </w:r>
      <w:r w:rsidRPr="00855D84">
        <w:t xml:space="preserve"> custodia en esta categoría fue de 17. </w:t>
      </w:r>
    </w:p>
    <w:p w:rsidR="000100D5" w:rsidRPr="005269E5" w:rsidRDefault="000100D5" w:rsidP="000100D5">
      <w:pPr>
        <w:pStyle w:val="H23G"/>
      </w:pPr>
      <w:r w:rsidRPr="00855D84">
        <w:tab/>
      </w:r>
      <w:r w:rsidRPr="005269E5">
        <w:t>2.</w:t>
      </w:r>
      <w:r w:rsidRPr="005269E5">
        <w:tab/>
      </w:r>
      <w:r>
        <w:t>Programa de retorno voluntario asistido y re</w:t>
      </w:r>
      <w:r w:rsidRPr="005269E5">
        <w:t>integra</w:t>
      </w:r>
      <w:r>
        <w:t>c</w:t>
      </w:r>
      <w:r w:rsidRPr="005269E5">
        <w:t>i</w:t>
      </w:r>
      <w:r>
        <w:t>ó</w:t>
      </w:r>
      <w:r w:rsidRPr="005269E5">
        <w:t>n</w:t>
      </w:r>
    </w:p>
    <w:p w:rsidR="000100D5" w:rsidRPr="00F92F95" w:rsidRDefault="000100D5" w:rsidP="000100D5">
      <w:pPr>
        <w:pStyle w:val="SingleTxtG"/>
        <w:rPr>
          <w:bCs/>
        </w:rPr>
      </w:pPr>
      <w:r w:rsidRPr="005269E5">
        <w:t>133</w:t>
      </w:r>
      <w:r w:rsidRPr="005269E5">
        <w:rPr>
          <w:bCs/>
        </w:rPr>
        <w:t>.</w:t>
      </w:r>
      <w:r w:rsidRPr="005269E5">
        <w:rPr>
          <w:bCs/>
        </w:rPr>
        <w:tab/>
      </w:r>
      <w:r>
        <w:rPr>
          <w:bCs/>
        </w:rPr>
        <w:t xml:space="preserve">El principal instrumento para el regreso de los solicitantes de asilo y de los migrantes ilegales de países que no pertenecen a la </w:t>
      </w:r>
      <w:r w:rsidRPr="005269E5">
        <w:rPr>
          <w:bCs/>
        </w:rPr>
        <w:t>U</w:t>
      </w:r>
      <w:r>
        <w:rPr>
          <w:bCs/>
        </w:rPr>
        <w:t>E es el programa</w:t>
      </w:r>
      <w:r w:rsidRPr="005269E5">
        <w:rPr>
          <w:bCs/>
        </w:rPr>
        <w:t xml:space="preserve"> </w:t>
      </w:r>
      <w:r>
        <w:rPr>
          <w:bCs/>
        </w:rPr>
        <w:t>de retorno v</w:t>
      </w:r>
      <w:r w:rsidRPr="005269E5">
        <w:rPr>
          <w:bCs/>
        </w:rPr>
        <w:t>oluntar</w:t>
      </w:r>
      <w:r>
        <w:rPr>
          <w:bCs/>
        </w:rPr>
        <w:t>io asistido y de</w:t>
      </w:r>
      <w:r w:rsidRPr="005269E5">
        <w:rPr>
          <w:bCs/>
        </w:rPr>
        <w:t xml:space="preserve"> </w:t>
      </w:r>
      <w:r>
        <w:rPr>
          <w:bCs/>
        </w:rPr>
        <w:t>r</w:t>
      </w:r>
      <w:r w:rsidRPr="005269E5">
        <w:rPr>
          <w:bCs/>
        </w:rPr>
        <w:t>eintegra</w:t>
      </w:r>
      <w:r>
        <w:rPr>
          <w:bCs/>
        </w:rPr>
        <w:t>c</w:t>
      </w:r>
      <w:r w:rsidRPr="005269E5">
        <w:rPr>
          <w:bCs/>
        </w:rPr>
        <w:t>i</w:t>
      </w:r>
      <w:r>
        <w:rPr>
          <w:bCs/>
        </w:rPr>
        <w:t>ó</w:t>
      </w:r>
      <w:r w:rsidRPr="005269E5">
        <w:rPr>
          <w:bCs/>
        </w:rPr>
        <w:t>n</w:t>
      </w:r>
      <w:r>
        <w:rPr>
          <w:bCs/>
        </w:rPr>
        <w:t>, financiado por el</w:t>
      </w:r>
      <w:r w:rsidRPr="005269E5">
        <w:rPr>
          <w:bCs/>
        </w:rPr>
        <w:t xml:space="preserve"> Depart</w:t>
      </w:r>
      <w:r>
        <w:rPr>
          <w:bCs/>
        </w:rPr>
        <w:t>a</w:t>
      </w:r>
      <w:r w:rsidRPr="005269E5">
        <w:rPr>
          <w:bCs/>
        </w:rPr>
        <w:t>ment</w:t>
      </w:r>
      <w:r>
        <w:rPr>
          <w:bCs/>
        </w:rPr>
        <w:t>o</w:t>
      </w:r>
      <w:r w:rsidRPr="005269E5">
        <w:rPr>
          <w:bCs/>
        </w:rPr>
        <w:t xml:space="preserve"> </w:t>
      </w:r>
      <w:r>
        <w:rPr>
          <w:bCs/>
        </w:rPr>
        <w:t>de</w:t>
      </w:r>
      <w:r w:rsidRPr="005269E5">
        <w:rPr>
          <w:bCs/>
        </w:rPr>
        <w:t xml:space="preserve"> Justic</w:t>
      </w:r>
      <w:r>
        <w:rPr>
          <w:bCs/>
        </w:rPr>
        <w:t>ia</w:t>
      </w:r>
      <w:r w:rsidRPr="005269E5">
        <w:rPr>
          <w:bCs/>
        </w:rPr>
        <w:t xml:space="preserve">, </w:t>
      </w:r>
      <w:r>
        <w:rPr>
          <w:bCs/>
        </w:rPr>
        <w:t>Ig</w:t>
      </w:r>
      <w:r w:rsidRPr="005269E5">
        <w:rPr>
          <w:bCs/>
        </w:rPr>
        <w:t>ual</w:t>
      </w:r>
      <w:r>
        <w:rPr>
          <w:bCs/>
        </w:rPr>
        <w:t>dad</w:t>
      </w:r>
      <w:r w:rsidRPr="005269E5">
        <w:rPr>
          <w:bCs/>
        </w:rPr>
        <w:t xml:space="preserve"> </w:t>
      </w:r>
      <w:r>
        <w:rPr>
          <w:bCs/>
        </w:rPr>
        <w:t xml:space="preserve">y </w:t>
      </w:r>
      <w:r w:rsidRPr="005269E5">
        <w:rPr>
          <w:bCs/>
        </w:rPr>
        <w:t>Reform</w:t>
      </w:r>
      <w:r>
        <w:rPr>
          <w:bCs/>
        </w:rPr>
        <w:t>a</w:t>
      </w:r>
      <w:r w:rsidRPr="005269E5">
        <w:rPr>
          <w:bCs/>
        </w:rPr>
        <w:t xml:space="preserve"> </w:t>
      </w:r>
      <w:r>
        <w:rPr>
          <w:bCs/>
        </w:rPr>
        <w:t xml:space="preserve">Jurídica y </w:t>
      </w:r>
      <w:r w:rsidRPr="005269E5">
        <w:rPr>
          <w:bCs/>
        </w:rPr>
        <w:t>ge</w:t>
      </w:r>
      <w:r>
        <w:rPr>
          <w:bCs/>
        </w:rPr>
        <w:t>stionado por la Organización</w:t>
      </w:r>
      <w:r w:rsidRPr="005269E5">
        <w:rPr>
          <w:bCs/>
        </w:rPr>
        <w:t xml:space="preserve"> Interna</w:t>
      </w:r>
      <w:r>
        <w:rPr>
          <w:bCs/>
        </w:rPr>
        <w:t>c</w:t>
      </w:r>
      <w:r w:rsidRPr="005269E5">
        <w:rPr>
          <w:bCs/>
        </w:rPr>
        <w:t xml:space="preserve">ional </w:t>
      </w:r>
      <w:r>
        <w:rPr>
          <w:bCs/>
        </w:rPr>
        <w:t>de</w:t>
      </w:r>
      <w:r w:rsidRPr="005269E5">
        <w:rPr>
          <w:bCs/>
        </w:rPr>
        <w:t xml:space="preserve"> Migra</w:t>
      </w:r>
      <w:r>
        <w:rPr>
          <w:bCs/>
        </w:rPr>
        <w:t>c</w:t>
      </w:r>
      <w:r w:rsidRPr="005269E5">
        <w:rPr>
          <w:bCs/>
        </w:rPr>
        <w:t>i</w:t>
      </w:r>
      <w:r>
        <w:rPr>
          <w:bCs/>
        </w:rPr>
        <w:t>ó</w:t>
      </w:r>
      <w:r w:rsidRPr="005269E5">
        <w:rPr>
          <w:bCs/>
        </w:rPr>
        <w:t xml:space="preserve">n. </w:t>
      </w:r>
      <w:r w:rsidRPr="00F92F95">
        <w:rPr>
          <w:bCs/>
        </w:rPr>
        <w:t>El programa está abierto a los que de</w:t>
      </w:r>
      <w:r>
        <w:rPr>
          <w:bCs/>
        </w:rPr>
        <w:t>s</w:t>
      </w:r>
      <w:r w:rsidRPr="00F92F95">
        <w:rPr>
          <w:bCs/>
        </w:rPr>
        <w:t xml:space="preserve">ean </w:t>
      </w:r>
      <w:r>
        <w:rPr>
          <w:bCs/>
        </w:rPr>
        <w:t>volver</w:t>
      </w:r>
      <w:r w:rsidRPr="00F92F95">
        <w:rPr>
          <w:bCs/>
        </w:rPr>
        <w:t xml:space="preserve"> a su casa voluntariamente, pero que carecen de medios, incluida la documentación necesaria para hacerlo. </w:t>
      </w:r>
      <w:r>
        <w:rPr>
          <w:bCs/>
        </w:rPr>
        <w:t>La a</w:t>
      </w:r>
      <w:r w:rsidRPr="00F92F95">
        <w:rPr>
          <w:bCs/>
        </w:rPr>
        <w:t xml:space="preserve">sistencia prestada en virtud del programa puede incluir </w:t>
      </w:r>
      <w:r>
        <w:rPr>
          <w:bCs/>
        </w:rPr>
        <w:t xml:space="preserve">una </w:t>
      </w:r>
      <w:r w:rsidRPr="00F92F95">
        <w:rPr>
          <w:bCs/>
        </w:rPr>
        <w:t>ayuda para obtener documentos</w:t>
      </w:r>
      <w:r>
        <w:rPr>
          <w:bCs/>
        </w:rPr>
        <w:t xml:space="preserve"> de viaje válidos</w:t>
      </w:r>
      <w:r w:rsidRPr="00F92F95">
        <w:rPr>
          <w:bCs/>
        </w:rPr>
        <w:t xml:space="preserve">, </w:t>
      </w:r>
      <w:r>
        <w:rPr>
          <w:bCs/>
        </w:rPr>
        <w:t>gastos de viaje y acceso a la ayuda para la</w:t>
      </w:r>
      <w:r w:rsidRPr="00F92F95">
        <w:rPr>
          <w:bCs/>
        </w:rPr>
        <w:t xml:space="preserve"> reintegra</w:t>
      </w:r>
      <w:r>
        <w:rPr>
          <w:bCs/>
        </w:rPr>
        <w:t>c</w:t>
      </w:r>
      <w:r w:rsidRPr="00F92F95">
        <w:rPr>
          <w:bCs/>
        </w:rPr>
        <w:t>i</w:t>
      </w:r>
      <w:r>
        <w:rPr>
          <w:bCs/>
        </w:rPr>
        <w:t>ó</w:t>
      </w:r>
      <w:r w:rsidRPr="00F92F95">
        <w:rPr>
          <w:bCs/>
        </w:rPr>
        <w:t xml:space="preserve">n. Esta ayuda (normalmente </w:t>
      </w:r>
      <w:r w:rsidR="00DC5C74">
        <w:rPr>
          <w:bCs/>
        </w:rPr>
        <w:t>hasta 600 euros por persona o 1.</w:t>
      </w:r>
      <w:r w:rsidRPr="00F92F95">
        <w:rPr>
          <w:bCs/>
        </w:rPr>
        <w:t>200 por familia) se destina, por lo general,</w:t>
      </w:r>
      <w:r>
        <w:rPr>
          <w:bCs/>
        </w:rPr>
        <w:t xml:space="preserve"> a la creación de pequeñas empresas, formación profesional,</w:t>
      </w:r>
      <w:r w:rsidRPr="00F92F95">
        <w:rPr>
          <w:bCs/>
        </w:rPr>
        <w:t xml:space="preserve"> educa</w:t>
      </w:r>
      <w:r>
        <w:rPr>
          <w:bCs/>
        </w:rPr>
        <w:t>c</w:t>
      </w:r>
      <w:r w:rsidRPr="00F92F95">
        <w:rPr>
          <w:bCs/>
        </w:rPr>
        <w:t>i</w:t>
      </w:r>
      <w:r>
        <w:rPr>
          <w:bCs/>
        </w:rPr>
        <w:t>ó</w:t>
      </w:r>
      <w:r w:rsidRPr="00F92F95">
        <w:rPr>
          <w:bCs/>
        </w:rPr>
        <w:t>n</w:t>
      </w:r>
      <w:r>
        <w:rPr>
          <w:bCs/>
        </w:rPr>
        <w:t>,</w:t>
      </w:r>
      <w:r w:rsidRPr="00F92F95">
        <w:rPr>
          <w:bCs/>
        </w:rPr>
        <w:t xml:space="preserve"> etc.</w:t>
      </w:r>
    </w:p>
    <w:p w:rsidR="000100D5" w:rsidRPr="00AB1379" w:rsidRDefault="000100D5" w:rsidP="000100D5">
      <w:pPr>
        <w:pStyle w:val="SingleTxtG"/>
        <w:keepLines/>
      </w:pPr>
      <w:r w:rsidRPr="005269E5">
        <w:t>134.</w:t>
      </w:r>
      <w:r w:rsidRPr="005269E5">
        <w:tab/>
      </w:r>
      <w:r>
        <w:t>Desde</w:t>
      </w:r>
      <w:r w:rsidRPr="005269E5">
        <w:t xml:space="preserve"> 2001, aproxima</w:t>
      </w:r>
      <w:r>
        <w:t>damen</w:t>
      </w:r>
      <w:r w:rsidRPr="005269E5">
        <w:t>te 2</w:t>
      </w:r>
      <w:r w:rsidR="00DC5C74">
        <w:t>.</w:t>
      </w:r>
      <w:r w:rsidRPr="005269E5">
        <w:t>000 pe</w:t>
      </w:r>
      <w:r>
        <w:t>rsonas</w:t>
      </w:r>
      <w:r w:rsidRPr="005269E5">
        <w:t xml:space="preserve"> </w:t>
      </w:r>
      <w:r>
        <w:t xml:space="preserve">se </w:t>
      </w:r>
      <w:r w:rsidRPr="005269E5">
        <w:t>ha</w:t>
      </w:r>
      <w:r>
        <w:t>n</w:t>
      </w:r>
      <w:r w:rsidRPr="005269E5">
        <w:t xml:space="preserve"> ben</w:t>
      </w:r>
      <w:r>
        <w:t>eficiado de los programas de retorno v</w:t>
      </w:r>
      <w:r w:rsidRPr="005269E5">
        <w:t>oluntar</w:t>
      </w:r>
      <w:r>
        <w:t>io</w:t>
      </w:r>
      <w:r w:rsidRPr="005269E5">
        <w:t xml:space="preserve"> </w:t>
      </w:r>
      <w:r>
        <w:t>a</w:t>
      </w:r>
      <w:r w:rsidRPr="005269E5">
        <w:t>sist</w:t>
      </w:r>
      <w:r>
        <w:t>ido</w:t>
      </w:r>
      <w:r w:rsidRPr="005269E5">
        <w:t xml:space="preserve"> </w:t>
      </w:r>
      <w:r>
        <w:t xml:space="preserve">para regresar a su país de </w:t>
      </w:r>
      <w:r w:rsidRPr="005269E5">
        <w:t>orig</w:t>
      </w:r>
      <w:r>
        <w:t>e</w:t>
      </w:r>
      <w:r w:rsidRPr="005269E5">
        <w:t xml:space="preserve">n. </w:t>
      </w:r>
      <w:r w:rsidR="00DC5C74">
        <w:t>En 2009, se espera que unas </w:t>
      </w:r>
      <w:r w:rsidRPr="00AB1379">
        <w:t>450 personas que toman la decisión de volver voluntariamente a su país, recib</w:t>
      </w:r>
      <w:r>
        <w:t>an la ayuda de los programas de retorno voluntario asistido y</w:t>
      </w:r>
      <w:r w:rsidRPr="00AB1379">
        <w:t xml:space="preserve"> </w:t>
      </w:r>
      <w:r>
        <w:t>de r</w:t>
      </w:r>
      <w:r w:rsidRPr="00AB1379">
        <w:t>eintegra</w:t>
      </w:r>
      <w:r>
        <w:t>c</w:t>
      </w:r>
      <w:r w:rsidRPr="00AB1379">
        <w:t>i</w:t>
      </w:r>
      <w:r>
        <w:t>ó</w:t>
      </w:r>
      <w:r w:rsidRPr="00AB1379">
        <w:t>n.</w:t>
      </w:r>
    </w:p>
    <w:p w:rsidR="000100D5" w:rsidRPr="005269E5" w:rsidRDefault="000100D5" w:rsidP="000100D5">
      <w:pPr>
        <w:pStyle w:val="HChG"/>
      </w:pPr>
      <w:r w:rsidRPr="00AB1379">
        <w:tab/>
      </w:r>
      <w:r>
        <w:t>III.</w:t>
      </w:r>
      <w:r w:rsidRPr="005269E5">
        <w:tab/>
        <w:t>Informa</w:t>
      </w:r>
      <w:r>
        <w:t>c</w:t>
      </w:r>
      <w:r w:rsidRPr="005269E5">
        <w:t>i</w:t>
      </w:r>
      <w:r>
        <w:t>ó</w:t>
      </w:r>
      <w:r w:rsidRPr="005269E5">
        <w:t xml:space="preserve">n </w:t>
      </w:r>
      <w:r>
        <w:t>s</w:t>
      </w:r>
      <w:r w:rsidRPr="005269E5">
        <w:t>o</w:t>
      </w:r>
      <w:r>
        <w:t>bre la aplicación de los artículos 1 a 7 de la Convención</w:t>
      </w:r>
    </w:p>
    <w:p w:rsidR="000100D5" w:rsidRPr="005269E5" w:rsidRDefault="000100D5" w:rsidP="000100D5">
      <w:pPr>
        <w:pStyle w:val="H1G"/>
      </w:pPr>
      <w:r>
        <w:tab/>
      </w:r>
      <w:r>
        <w:tab/>
        <w:t>Artí</w:t>
      </w:r>
      <w:r w:rsidRPr="005269E5">
        <w:t>c</w:t>
      </w:r>
      <w:r>
        <w:t>u</w:t>
      </w:r>
      <w:r w:rsidRPr="005269E5">
        <w:t>l</w:t>
      </w:r>
      <w:r>
        <w:t>o</w:t>
      </w:r>
      <w:r w:rsidRPr="005269E5">
        <w:t xml:space="preserve"> 1</w:t>
      </w:r>
    </w:p>
    <w:p w:rsidR="000100D5" w:rsidRPr="000612F6" w:rsidRDefault="000100D5" w:rsidP="000100D5">
      <w:pPr>
        <w:pStyle w:val="SingleTxtG"/>
      </w:pPr>
      <w:r w:rsidRPr="005269E5">
        <w:t>135.</w:t>
      </w:r>
      <w:r w:rsidRPr="005269E5">
        <w:tab/>
      </w:r>
      <w:r>
        <w:t>En las Leyes de igualdad en el empleo de</w:t>
      </w:r>
      <w:r w:rsidRPr="005269E5">
        <w:t xml:space="preserve"> 1998 </w:t>
      </w:r>
      <w:r>
        <w:t>a</w:t>
      </w:r>
      <w:r w:rsidRPr="005269E5">
        <w:t xml:space="preserve"> 2008 </w:t>
      </w:r>
      <w:r>
        <w:t>y sobre la igualdad de condición, de</w:t>
      </w:r>
      <w:r w:rsidRPr="005269E5">
        <w:t xml:space="preserve"> 2000 </w:t>
      </w:r>
      <w:r>
        <w:t>a</w:t>
      </w:r>
      <w:r w:rsidRPr="005269E5">
        <w:t xml:space="preserve"> 2008, </w:t>
      </w:r>
      <w:r>
        <w:t xml:space="preserve">se prohíbe en términos generales la </w:t>
      </w:r>
      <w:r w:rsidRPr="005269E5">
        <w:t>discrimina</w:t>
      </w:r>
      <w:r>
        <w:t>c</w:t>
      </w:r>
      <w:r w:rsidRPr="005269E5">
        <w:t>i</w:t>
      </w:r>
      <w:r>
        <w:t>ó</w:t>
      </w:r>
      <w:r w:rsidRPr="005269E5">
        <w:t xml:space="preserve">n </w:t>
      </w:r>
      <w:r>
        <w:t>entre</w:t>
      </w:r>
      <w:r w:rsidRPr="005269E5">
        <w:t xml:space="preserve"> person</w:t>
      </w:r>
      <w:r>
        <w:t>a</w:t>
      </w:r>
      <w:r w:rsidRPr="005269E5">
        <w:t xml:space="preserve">s </w:t>
      </w:r>
      <w:r>
        <w:t>por nueve motivos,</w:t>
      </w:r>
      <w:r w:rsidRPr="005269E5">
        <w:t xml:space="preserve"> </w:t>
      </w:r>
      <w:r w:rsidR="005C4174" w:rsidRPr="005269E5">
        <w:t>inclu</w:t>
      </w:r>
      <w:r w:rsidR="005C4174">
        <w:t>ida</w:t>
      </w:r>
      <w:r>
        <w:t xml:space="preserve"> la</w:t>
      </w:r>
      <w:r w:rsidRPr="005269E5">
        <w:t xml:space="preserve"> ra</w:t>
      </w:r>
      <w:r>
        <w:t>za</w:t>
      </w:r>
      <w:r w:rsidRPr="005269E5">
        <w:t>, e</w:t>
      </w:r>
      <w:r>
        <w:t>s decir,</w:t>
      </w:r>
      <w:r w:rsidRPr="005269E5">
        <w:t xml:space="preserve"> </w:t>
      </w:r>
      <w:r>
        <w:t>que sean de</w:t>
      </w:r>
      <w:r w:rsidRPr="005269E5">
        <w:t xml:space="preserve"> diferent</w:t>
      </w:r>
      <w:r>
        <w:t>e</w:t>
      </w:r>
      <w:r w:rsidRPr="005269E5">
        <w:t xml:space="preserve"> ra</w:t>
      </w:r>
      <w:r>
        <w:t>za</w:t>
      </w:r>
      <w:r w:rsidRPr="005269E5">
        <w:t>, color, na</w:t>
      </w:r>
      <w:r>
        <w:t>c</w:t>
      </w:r>
      <w:r w:rsidRPr="005269E5">
        <w:t>ionali</w:t>
      </w:r>
      <w:r>
        <w:t>dad</w:t>
      </w:r>
      <w:r w:rsidRPr="005269E5">
        <w:t xml:space="preserve"> </w:t>
      </w:r>
      <w:r>
        <w:t>u</w:t>
      </w:r>
      <w:r w:rsidRPr="005269E5">
        <w:t xml:space="preserve"> </w:t>
      </w:r>
      <w:r>
        <w:t>origen é</w:t>
      </w:r>
      <w:r w:rsidRPr="005269E5">
        <w:t>tnic</w:t>
      </w:r>
      <w:r>
        <w:t>o</w:t>
      </w:r>
      <w:r w:rsidRPr="005269E5">
        <w:t xml:space="preserve"> o na</w:t>
      </w:r>
      <w:r>
        <w:t>c</w:t>
      </w:r>
      <w:r w:rsidRPr="005269E5">
        <w:t>ional</w:t>
      </w:r>
      <w:r>
        <w:t xml:space="preserve">. </w:t>
      </w:r>
      <w:r w:rsidRPr="000612F6">
        <w:t xml:space="preserve">En las </w:t>
      </w:r>
      <w:r>
        <w:t>L</w:t>
      </w:r>
      <w:r w:rsidRPr="000612F6">
        <w:t>eyes de pensiones de 1990 a 2004 se incluye una prohibición similar.</w:t>
      </w:r>
    </w:p>
    <w:p w:rsidR="000100D5" w:rsidRPr="005269E5" w:rsidRDefault="000100D5" w:rsidP="000100D5">
      <w:pPr>
        <w:pStyle w:val="SingleTxtG"/>
        <w:rPr>
          <w:b/>
        </w:rPr>
      </w:pPr>
      <w:r w:rsidRPr="005269E5">
        <w:rPr>
          <w:b/>
        </w:rPr>
        <w:t>Referenc</w:t>
      </w:r>
      <w:r>
        <w:rPr>
          <w:b/>
        </w:rPr>
        <w:t>ia</w:t>
      </w:r>
      <w:r w:rsidRPr="005269E5">
        <w:rPr>
          <w:b/>
        </w:rPr>
        <w:t>s:</w:t>
      </w:r>
    </w:p>
    <w:p w:rsidR="000100D5" w:rsidRPr="00355D3C" w:rsidRDefault="000100D5" w:rsidP="00355D3C">
      <w:pPr>
        <w:pStyle w:val="Bullet1G"/>
      </w:pPr>
      <w:r w:rsidRPr="00355D3C">
        <w:t>Artículo 6 2) h) de la Ley de igualdad en el empleo de 1998 (</w:t>
      </w:r>
      <w:r w:rsidR="001A688E" w:rsidRPr="00355D3C">
        <w:t>Nº</w:t>
      </w:r>
      <w:r w:rsidRPr="00355D3C">
        <w:t xml:space="preserve"> 21 de 1998);</w:t>
      </w:r>
    </w:p>
    <w:p w:rsidR="000100D5" w:rsidRPr="00355D3C" w:rsidRDefault="000100D5" w:rsidP="00355D3C">
      <w:pPr>
        <w:pStyle w:val="Bullet1G"/>
      </w:pPr>
      <w:r w:rsidRPr="00355D3C">
        <w:t>Artículo 3 2) h) de la Ley sobre la igualdad de condición de 2000 (</w:t>
      </w:r>
      <w:r w:rsidR="001A688E" w:rsidRPr="00355D3C">
        <w:t>Nº</w:t>
      </w:r>
      <w:r w:rsidRPr="00355D3C">
        <w:t xml:space="preserve"> 8 de 2000);</w:t>
      </w:r>
    </w:p>
    <w:p w:rsidR="000100D5" w:rsidRPr="00C7665B" w:rsidRDefault="000100D5" w:rsidP="00355D3C">
      <w:pPr>
        <w:pStyle w:val="Bullet1G"/>
      </w:pPr>
      <w:r w:rsidRPr="00355D3C">
        <w:t>Artículo</w:t>
      </w:r>
      <w:r w:rsidRPr="00C7665B">
        <w:t xml:space="preserve"> 66 de la Ley de pensiones de 1990, </w:t>
      </w:r>
      <w:r>
        <w:t>enmendada.</w:t>
      </w:r>
    </w:p>
    <w:p w:rsidR="000100D5" w:rsidRPr="005269E5" w:rsidRDefault="000100D5" w:rsidP="000100D5">
      <w:pPr>
        <w:pStyle w:val="SingleTxtG"/>
      </w:pPr>
      <w:r w:rsidRPr="005269E5">
        <w:t>136.</w:t>
      </w:r>
      <w:r w:rsidRPr="005269E5">
        <w:tab/>
      </w:r>
      <w:r>
        <w:t>Las Leyes de igualdad en el</w:t>
      </w:r>
      <w:r w:rsidRPr="005269E5">
        <w:t xml:space="preserve"> </w:t>
      </w:r>
      <w:r>
        <w:t>e</w:t>
      </w:r>
      <w:r w:rsidRPr="005269E5">
        <w:t>mpl</w:t>
      </w:r>
      <w:r>
        <w:t>e</w:t>
      </w:r>
      <w:r w:rsidRPr="005269E5">
        <w:t>o</w:t>
      </w:r>
      <w:r>
        <w:t xml:space="preserve"> de</w:t>
      </w:r>
      <w:r w:rsidRPr="005269E5">
        <w:t xml:space="preserve"> 1998 </w:t>
      </w:r>
      <w:r>
        <w:t>a</w:t>
      </w:r>
      <w:r w:rsidRPr="005269E5">
        <w:t xml:space="preserve"> 2008 </w:t>
      </w:r>
      <w:r>
        <w:t>y las Leyes sobre la igualdad de condición de</w:t>
      </w:r>
      <w:r w:rsidRPr="005269E5">
        <w:t xml:space="preserve"> 2000 </w:t>
      </w:r>
      <w:r>
        <w:t>a</w:t>
      </w:r>
      <w:r w:rsidRPr="005269E5">
        <w:t xml:space="preserve"> 2008 proh</w:t>
      </w:r>
      <w:r>
        <w:t>í</w:t>
      </w:r>
      <w:r w:rsidRPr="005269E5">
        <w:t>b</w:t>
      </w:r>
      <w:r>
        <w:t>en</w:t>
      </w:r>
      <w:r w:rsidRPr="005269E5">
        <w:t xml:space="preserve"> </w:t>
      </w:r>
      <w:r>
        <w:t>la</w:t>
      </w:r>
      <w:r w:rsidRPr="005269E5">
        <w:t xml:space="preserve"> discrimina</w:t>
      </w:r>
      <w:r>
        <w:t>c</w:t>
      </w:r>
      <w:r w:rsidRPr="005269E5">
        <w:t>i</w:t>
      </w:r>
      <w:r>
        <w:t>ó</w:t>
      </w:r>
      <w:r w:rsidRPr="005269E5">
        <w:t>n</w:t>
      </w:r>
      <w:r>
        <w:t xml:space="preserve"> directa</w:t>
      </w:r>
      <w:r w:rsidRPr="005269E5">
        <w:t>, indirect</w:t>
      </w:r>
      <w:r>
        <w:t>a o la</w:t>
      </w:r>
      <w:r w:rsidRPr="005269E5">
        <w:t xml:space="preserve"> discrimina</w:t>
      </w:r>
      <w:r>
        <w:t>c</w:t>
      </w:r>
      <w:r w:rsidRPr="005269E5">
        <w:t>i</w:t>
      </w:r>
      <w:r>
        <w:t>ó</w:t>
      </w:r>
      <w:r w:rsidRPr="005269E5">
        <w:t>n</w:t>
      </w:r>
      <w:r>
        <w:t xml:space="preserve"> contra las personas</w:t>
      </w:r>
      <w:r w:rsidRPr="005269E5">
        <w:t xml:space="preserve"> de</w:t>
      </w:r>
      <w:r>
        <w:t>bido a su</w:t>
      </w:r>
      <w:r w:rsidRPr="005269E5">
        <w:t xml:space="preserve"> asocia</w:t>
      </w:r>
      <w:r>
        <w:t>c</w:t>
      </w:r>
      <w:r w:rsidRPr="005269E5">
        <w:t>i</w:t>
      </w:r>
      <w:r>
        <w:t>ó</w:t>
      </w:r>
      <w:r w:rsidRPr="005269E5">
        <w:t xml:space="preserve">n </w:t>
      </w:r>
      <w:r>
        <w:t>con otra persona y el hostigamiento</w:t>
      </w:r>
      <w:r w:rsidRPr="005269E5">
        <w:t>.</w:t>
      </w:r>
    </w:p>
    <w:p w:rsidR="000100D5" w:rsidRPr="005269E5" w:rsidRDefault="000100D5" w:rsidP="000100D5">
      <w:pPr>
        <w:pStyle w:val="SingleTxtG"/>
      </w:pPr>
      <w:r w:rsidRPr="005269E5">
        <w:t>137.</w:t>
      </w:r>
      <w:r w:rsidRPr="005269E5">
        <w:tab/>
      </w:r>
      <w:r>
        <w:t>La</w:t>
      </w:r>
      <w:r w:rsidRPr="005269E5">
        <w:t xml:space="preserve"> defini</w:t>
      </w:r>
      <w:r>
        <w:t>c</w:t>
      </w:r>
      <w:r w:rsidRPr="005269E5">
        <w:t>i</w:t>
      </w:r>
      <w:r>
        <w:t>ó</w:t>
      </w:r>
      <w:r w:rsidRPr="005269E5">
        <w:t xml:space="preserve">n </w:t>
      </w:r>
      <w:r>
        <w:t>de</w:t>
      </w:r>
      <w:r w:rsidRPr="005269E5">
        <w:t xml:space="preserve"> discrimina</w:t>
      </w:r>
      <w:r>
        <w:t>c</w:t>
      </w:r>
      <w:r w:rsidRPr="005269E5">
        <w:t>i</w:t>
      </w:r>
      <w:r>
        <w:t>ó</w:t>
      </w:r>
      <w:r w:rsidRPr="005269E5">
        <w:t xml:space="preserve">n </w:t>
      </w:r>
      <w:r>
        <w:t>directa comprende las</w:t>
      </w:r>
      <w:r w:rsidRPr="005269E5">
        <w:t xml:space="preserve"> diferenc</w:t>
      </w:r>
      <w:r>
        <w:t>ia</w:t>
      </w:r>
      <w:r w:rsidRPr="005269E5">
        <w:t xml:space="preserve">s </w:t>
      </w:r>
      <w:r>
        <w:t>de</w:t>
      </w:r>
      <w:r w:rsidRPr="005269E5">
        <w:t xml:space="preserve"> trat</w:t>
      </w:r>
      <w:r>
        <w:t>o por uno de los</w:t>
      </w:r>
      <w:r w:rsidRPr="005269E5">
        <w:t xml:space="preserve"> n</w:t>
      </w:r>
      <w:r>
        <w:t>ueve motivos e</w:t>
      </w:r>
      <w:r w:rsidRPr="005269E5">
        <w:t>specifi</w:t>
      </w:r>
      <w:r>
        <w:t>cados</w:t>
      </w:r>
      <w:r w:rsidRPr="005269E5">
        <w:t xml:space="preserve"> (inclu</w:t>
      </w:r>
      <w:r>
        <w:t>i</w:t>
      </w:r>
      <w:r w:rsidRPr="005269E5">
        <w:t>d</w:t>
      </w:r>
      <w:r>
        <w:t>a la</w:t>
      </w:r>
      <w:r w:rsidRPr="005269E5">
        <w:t xml:space="preserve"> ra</w:t>
      </w:r>
      <w:r>
        <w:t>za</w:t>
      </w:r>
      <w:r w:rsidRPr="005269E5">
        <w:t xml:space="preserve">), </w:t>
      </w:r>
      <w:r>
        <w:t>que</w:t>
      </w:r>
      <w:r w:rsidRPr="005269E5">
        <w:t xml:space="preserve"> exist</w:t>
      </w:r>
      <w:r>
        <w:t>e</w:t>
      </w:r>
      <w:r w:rsidRPr="005269E5">
        <w:t>, exist</w:t>
      </w:r>
      <w:r>
        <w:t>ió</w:t>
      </w:r>
      <w:r w:rsidRPr="005269E5">
        <w:t xml:space="preserve"> </w:t>
      </w:r>
      <w:r>
        <w:t>pero ya no</w:t>
      </w:r>
      <w:r w:rsidRPr="005269E5">
        <w:t xml:space="preserve"> exist</w:t>
      </w:r>
      <w:r>
        <w:t>e</w:t>
      </w:r>
      <w:r w:rsidRPr="005269E5">
        <w:t xml:space="preserve">, </w:t>
      </w:r>
      <w:r>
        <w:t>puede</w:t>
      </w:r>
      <w:r w:rsidRPr="005269E5">
        <w:t xml:space="preserve"> exist</w:t>
      </w:r>
      <w:r>
        <w:t>ir e</w:t>
      </w:r>
      <w:r w:rsidRPr="005269E5">
        <w:t>n e</w:t>
      </w:r>
      <w:r>
        <w:t>l</w:t>
      </w:r>
      <w:r w:rsidRPr="005269E5">
        <w:t xml:space="preserve"> futur</w:t>
      </w:r>
      <w:r>
        <w:t>o</w:t>
      </w:r>
      <w:r w:rsidRPr="005269E5">
        <w:t>, o s</w:t>
      </w:r>
      <w:r>
        <w:t>e</w:t>
      </w:r>
      <w:r w:rsidRPr="005269E5">
        <w:t xml:space="preserve"> imput</w:t>
      </w:r>
      <w:r>
        <w:t>a a la</w:t>
      </w:r>
      <w:r w:rsidRPr="005269E5">
        <w:t xml:space="preserve"> person</w:t>
      </w:r>
      <w:r>
        <w:t>a</w:t>
      </w:r>
      <w:r w:rsidRPr="005269E5">
        <w:t xml:space="preserve"> </w:t>
      </w:r>
      <w:r>
        <w:t>de que se trate</w:t>
      </w:r>
      <w:r w:rsidRPr="005269E5">
        <w:t>.</w:t>
      </w:r>
    </w:p>
    <w:p w:rsidR="000100D5" w:rsidRPr="005269E5" w:rsidRDefault="000100D5" w:rsidP="000100D5">
      <w:pPr>
        <w:pStyle w:val="SingleTxtG"/>
      </w:pPr>
      <w:r w:rsidRPr="005269E5">
        <w:t>138.</w:t>
      </w:r>
      <w:r w:rsidRPr="005269E5">
        <w:tab/>
      </w:r>
      <w:r>
        <w:t>En la Ley de pensiones de 1990 enmendada figuran</w:t>
      </w:r>
      <w:r w:rsidRPr="005269E5">
        <w:t xml:space="preserve"> prohibi</w:t>
      </w:r>
      <w:r>
        <w:t>c</w:t>
      </w:r>
      <w:r w:rsidRPr="005269E5">
        <w:t>ion</w:t>
      </w:r>
      <w:r>
        <w:t>e</w:t>
      </w:r>
      <w:r w:rsidRPr="005269E5">
        <w:t xml:space="preserve">s </w:t>
      </w:r>
      <w:r>
        <w:t>similares</w:t>
      </w:r>
      <w:r w:rsidRPr="005269E5">
        <w:t>.</w:t>
      </w:r>
    </w:p>
    <w:p w:rsidR="000100D5" w:rsidRPr="005269E5" w:rsidRDefault="000100D5" w:rsidP="000100D5">
      <w:pPr>
        <w:pStyle w:val="SingleTxtG"/>
        <w:rPr>
          <w:b/>
        </w:rPr>
      </w:pPr>
      <w:r w:rsidRPr="005269E5">
        <w:rPr>
          <w:b/>
        </w:rPr>
        <w:t>Referenc</w:t>
      </w:r>
      <w:r>
        <w:rPr>
          <w:b/>
        </w:rPr>
        <w:t>ia</w:t>
      </w:r>
      <w:r w:rsidRPr="005269E5">
        <w:rPr>
          <w:b/>
        </w:rPr>
        <w:t>s:</w:t>
      </w:r>
    </w:p>
    <w:p w:rsidR="000100D5" w:rsidRPr="00355D3C" w:rsidRDefault="000100D5" w:rsidP="00355D3C">
      <w:pPr>
        <w:pStyle w:val="Bullet1G"/>
      </w:pPr>
      <w:r>
        <w:t>Artículo</w:t>
      </w:r>
      <w:r w:rsidRPr="005269E5">
        <w:t xml:space="preserve"> 6</w:t>
      </w:r>
      <w:r>
        <w:t xml:space="preserve"> </w:t>
      </w:r>
      <w:r w:rsidRPr="005269E5">
        <w:t>1)</w:t>
      </w:r>
      <w:r>
        <w:t xml:space="preserve"> </w:t>
      </w:r>
      <w:r w:rsidRPr="00355D3C">
        <w:t>a) y b) y el artículo 31 de la Ley de igualdad en el empleo de 1998 (</w:t>
      </w:r>
      <w:r w:rsidR="001A688E" w:rsidRPr="00355D3C">
        <w:t>Nº</w:t>
      </w:r>
      <w:r w:rsidR="00355D3C">
        <w:t> </w:t>
      </w:r>
      <w:r w:rsidRPr="00355D3C">
        <w:t>21 de 1998), enmendada;</w:t>
      </w:r>
    </w:p>
    <w:p w:rsidR="000100D5" w:rsidRPr="00355D3C" w:rsidRDefault="000100D5" w:rsidP="00355D3C">
      <w:pPr>
        <w:pStyle w:val="Bullet1G"/>
      </w:pPr>
      <w:r w:rsidRPr="00355D3C">
        <w:t>Artículo 3 1) a), b) y</w:t>
      </w:r>
      <w:r w:rsidR="005007D6" w:rsidRPr="00355D3C">
        <w:t xml:space="preserve"> </w:t>
      </w:r>
      <w:r w:rsidRPr="00355D3C">
        <w:t>c) de la Ley sobre la igualdad de condición de 2000 (</w:t>
      </w:r>
      <w:r w:rsidR="001A688E" w:rsidRPr="00355D3C">
        <w:t>Nº</w:t>
      </w:r>
      <w:r w:rsidR="00355D3C">
        <w:t xml:space="preserve"> 8 de </w:t>
      </w:r>
      <w:r w:rsidRPr="00355D3C">
        <w:t>2000), enmendada;</w:t>
      </w:r>
    </w:p>
    <w:p w:rsidR="000100D5" w:rsidRPr="00AA0CEE" w:rsidRDefault="000100D5" w:rsidP="00355D3C">
      <w:pPr>
        <w:pStyle w:val="Bullet1G"/>
      </w:pPr>
      <w:r w:rsidRPr="00355D3C">
        <w:t>Artículos 66 y</w:t>
      </w:r>
      <w:r w:rsidRPr="00AA0CEE">
        <w:t xml:space="preserve"> 68 de la Ley de pensiones de 1990, </w:t>
      </w:r>
      <w:r>
        <w:t>enmendada.</w:t>
      </w:r>
    </w:p>
    <w:p w:rsidR="000100D5" w:rsidRPr="00313114" w:rsidRDefault="000100D5" w:rsidP="000100D5">
      <w:pPr>
        <w:pStyle w:val="Bullet1G"/>
        <w:numPr>
          <w:ilvl w:val="0"/>
          <w:numId w:val="0"/>
        </w:numPr>
        <w:ind w:left="1134"/>
      </w:pPr>
      <w:r w:rsidRPr="005269E5">
        <w:t>139.</w:t>
      </w:r>
      <w:r w:rsidRPr="005269E5">
        <w:tab/>
      </w:r>
      <w:r>
        <w:t>La legislación irlandesa en material de igualdad cuenta con un campo de aplicación muy amplio</w:t>
      </w:r>
      <w:r w:rsidRPr="005269E5">
        <w:t xml:space="preserve">. </w:t>
      </w:r>
      <w:r w:rsidRPr="00AA0CEE">
        <w:t>Las Leyes de igualdad en el empleo</w:t>
      </w:r>
      <w:r>
        <w:t>,</w:t>
      </w:r>
      <w:r w:rsidRPr="00AA0CEE">
        <w:t xml:space="preserve"> de 1998 a 2008</w:t>
      </w:r>
      <w:r>
        <w:t>,</w:t>
      </w:r>
      <w:r w:rsidRPr="00AA0CEE">
        <w:t xml:space="preserve"> prohíben la</w:t>
      </w:r>
      <w:r w:rsidR="005007D6">
        <w:t xml:space="preserve"> </w:t>
      </w:r>
      <w:r w:rsidRPr="00AA0CEE">
        <w:t xml:space="preserve">discriminación en la esfera del empleo y la ocupación, las Leyes </w:t>
      </w:r>
      <w:r>
        <w:t>sobre la</w:t>
      </w:r>
      <w:r w:rsidRPr="00AA0CEE">
        <w:t xml:space="preserve"> igualdad de condición</w:t>
      </w:r>
      <w:r>
        <w:t>,</w:t>
      </w:r>
      <w:r w:rsidRPr="00AA0CEE">
        <w:t xml:space="preserve"> de 2000 a 2008</w:t>
      </w:r>
      <w:r>
        <w:t>,</w:t>
      </w:r>
      <w:r w:rsidRPr="00AA0CEE">
        <w:t xml:space="preserve"> prohíben la discrimina</w:t>
      </w:r>
      <w:r>
        <w:t>c</w:t>
      </w:r>
      <w:r w:rsidRPr="00AA0CEE">
        <w:t>i</w:t>
      </w:r>
      <w:r>
        <w:t>ó</w:t>
      </w:r>
      <w:r w:rsidRPr="00AA0CEE">
        <w:t xml:space="preserve">n </w:t>
      </w:r>
      <w:r>
        <w:t>e</w:t>
      </w:r>
      <w:r w:rsidRPr="00AA0CEE">
        <w:t xml:space="preserve">n </w:t>
      </w:r>
      <w:r>
        <w:t>el</w:t>
      </w:r>
      <w:r w:rsidRPr="00AA0CEE">
        <w:t xml:space="preserve"> acces</w:t>
      </w:r>
      <w:r>
        <w:t>o</w:t>
      </w:r>
      <w:r w:rsidRPr="00AA0CEE">
        <w:t xml:space="preserve"> </w:t>
      </w:r>
      <w:r>
        <w:t xml:space="preserve">y el suministro de bienes y </w:t>
      </w:r>
      <w:r w:rsidRPr="00AA0CEE">
        <w:t>servic</w:t>
      </w:r>
      <w:r>
        <w:t>io</w:t>
      </w:r>
      <w:r w:rsidRPr="00AA0CEE">
        <w:t xml:space="preserve">s, </w:t>
      </w:r>
      <w:r>
        <w:t>mientras que las Leyes de</w:t>
      </w:r>
      <w:r w:rsidRPr="00AA0CEE">
        <w:t xml:space="preserve"> </w:t>
      </w:r>
      <w:r>
        <w:t>p</w:t>
      </w:r>
      <w:r w:rsidRPr="00AA0CEE">
        <w:t>ension</w:t>
      </w:r>
      <w:r>
        <w:t>e</w:t>
      </w:r>
      <w:r w:rsidRPr="00AA0CEE">
        <w:t>s</w:t>
      </w:r>
      <w:r>
        <w:t>,</w:t>
      </w:r>
      <w:r w:rsidRPr="00AA0CEE">
        <w:t xml:space="preserve"> </w:t>
      </w:r>
      <w:r>
        <w:t>de</w:t>
      </w:r>
      <w:r w:rsidRPr="00AA0CEE">
        <w:t xml:space="preserve"> 1990 </w:t>
      </w:r>
      <w:r>
        <w:t>a</w:t>
      </w:r>
      <w:r w:rsidRPr="00AA0CEE">
        <w:t xml:space="preserve"> 2004</w:t>
      </w:r>
      <w:r>
        <w:t>,</w:t>
      </w:r>
      <w:r w:rsidRPr="00AA0CEE">
        <w:t xml:space="preserve"> proh</w:t>
      </w:r>
      <w:r>
        <w:t>í</w:t>
      </w:r>
      <w:r w:rsidRPr="00AA0CEE">
        <w:t>b</w:t>
      </w:r>
      <w:r>
        <w:t>en</w:t>
      </w:r>
      <w:r w:rsidRPr="00AA0CEE">
        <w:t xml:space="preserve"> </w:t>
      </w:r>
      <w:r>
        <w:t xml:space="preserve">la </w:t>
      </w:r>
      <w:r w:rsidRPr="00AA0CEE">
        <w:t>discrimina</w:t>
      </w:r>
      <w:r>
        <w:t>c</w:t>
      </w:r>
      <w:r w:rsidRPr="00AA0CEE">
        <w:t>i</w:t>
      </w:r>
      <w:r>
        <w:t>ó</w:t>
      </w:r>
      <w:r w:rsidRPr="00AA0CEE">
        <w:t xml:space="preserve">n </w:t>
      </w:r>
      <w:r>
        <w:t>en los planes de</w:t>
      </w:r>
      <w:r w:rsidRPr="00AA0CEE">
        <w:t xml:space="preserve"> pension</w:t>
      </w:r>
      <w:r>
        <w:t>es</w:t>
      </w:r>
      <w:r w:rsidRPr="00AA0CEE">
        <w:t xml:space="preserve"> </w:t>
      </w:r>
      <w:r>
        <w:t>ocupacionales</w:t>
      </w:r>
      <w:r w:rsidRPr="00AA0CEE">
        <w:t xml:space="preserve">. </w:t>
      </w:r>
      <w:r>
        <w:t>Esa</w:t>
      </w:r>
      <w:r w:rsidRPr="00313114">
        <w:t xml:space="preserve"> legislación se aplica tanto al sector público como al sector privado.</w:t>
      </w:r>
    </w:p>
    <w:p w:rsidR="000100D5" w:rsidRPr="005269E5" w:rsidRDefault="000100D5" w:rsidP="000100D5">
      <w:pPr>
        <w:pStyle w:val="SingleTxtG"/>
      </w:pPr>
      <w:r w:rsidRPr="005269E5">
        <w:t>140.</w:t>
      </w:r>
      <w:r w:rsidRPr="005269E5">
        <w:tab/>
      </w:r>
      <w:r>
        <w:t>Las e</w:t>
      </w:r>
      <w:r w:rsidRPr="005269E5">
        <w:t>xcep</w:t>
      </w:r>
      <w:r>
        <w:t>c</w:t>
      </w:r>
      <w:r w:rsidRPr="005269E5">
        <w:t>ion</w:t>
      </w:r>
      <w:r>
        <w:t>e</w:t>
      </w:r>
      <w:r w:rsidRPr="005269E5">
        <w:t xml:space="preserve">s </w:t>
      </w:r>
      <w:r>
        <w:t>a la prohibición</w:t>
      </w:r>
      <w:r w:rsidRPr="005269E5">
        <w:t xml:space="preserve"> general</w:t>
      </w:r>
      <w:r>
        <w:t xml:space="preserve"> de las</w:t>
      </w:r>
      <w:r w:rsidRPr="005269E5">
        <w:t xml:space="preserve"> diferenc</w:t>
      </w:r>
      <w:r>
        <w:t>ia</w:t>
      </w:r>
      <w:r w:rsidRPr="005269E5">
        <w:t xml:space="preserve">s </w:t>
      </w:r>
      <w:r>
        <w:t>de</w:t>
      </w:r>
      <w:r w:rsidRPr="005269E5">
        <w:t xml:space="preserve"> trat</w:t>
      </w:r>
      <w:r>
        <w:t>o</w:t>
      </w:r>
      <w:r w:rsidRPr="005269E5">
        <w:t xml:space="preserve"> inclu</w:t>
      </w:r>
      <w:r>
        <w:t>y</w:t>
      </w:r>
      <w:r w:rsidRPr="005269E5">
        <w:t>e</w:t>
      </w:r>
      <w:r>
        <w:t>n</w:t>
      </w:r>
      <w:r w:rsidRPr="005269E5">
        <w:t xml:space="preserve"> </w:t>
      </w:r>
      <w:r>
        <w:t>disposiciones para equilibrar</w:t>
      </w:r>
      <w:r w:rsidRPr="005269E5">
        <w:t xml:space="preserve"> </w:t>
      </w:r>
      <w:r>
        <w:t xml:space="preserve">los </w:t>
      </w:r>
      <w:r w:rsidRPr="005269E5">
        <w:t>requi</w:t>
      </w:r>
      <w:r>
        <w:t>sitos</w:t>
      </w:r>
      <w:r w:rsidRPr="005269E5">
        <w:t xml:space="preserve"> </w:t>
      </w:r>
      <w:r>
        <w:t>de</w:t>
      </w:r>
      <w:r w:rsidRPr="005269E5">
        <w:t xml:space="preserve"> combati</w:t>
      </w:r>
      <w:r>
        <w:t>r</w:t>
      </w:r>
      <w:r w:rsidRPr="005269E5">
        <w:t xml:space="preserve"> </w:t>
      </w:r>
      <w:r>
        <w:t xml:space="preserve">la </w:t>
      </w:r>
      <w:r w:rsidRPr="005269E5">
        <w:t>discrimina</w:t>
      </w:r>
      <w:r>
        <w:t>c</w:t>
      </w:r>
      <w:r w:rsidRPr="005269E5">
        <w:t>i</w:t>
      </w:r>
      <w:r>
        <w:t>ó</w:t>
      </w:r>
      <w:r w:rsidRPr="005269E5">
        <w:t xml:space="preserve">n </w:t>
      </w:r>
      <w:r>
        <w:t>con la</w:t>
      </w:r>
      <w:r w:rsidRPr="005269E5">
        <w:t xml:space="preserve"> protec</w:t>
      </w:r>
      <w:r>
        <w:t>c</w:t>
      </w:r>
      <w:r w:rsidRPr="005269E5">
        <w:t>i</w:t>
      </w:r>
      <w:r>
        <w:t>ó</w:t>
      </w:r>
      <w:r w:rsidRPr="005269E5">
        <w:t xml:space="preserve">n </w:t>
      </w:r>
      <w:r>
        <w:t>de otros derechos y</w:t>
      </w:r>
      <w:r w:rsidRPr="005269E5">
        <w:t xml:space="preserve"> </w:t>
      </w:r>
      <w:r>
        <w:t>libertades</w:t>
      </w:r>
      <w:r w:rsidRPr="005269E5">
        <w:t xml:space="preserve">, </w:t>
      </w:r>
      <w:r>
        <w:t>como la libertad de</w:t>
      </w:r>
      <w:r w:rsidRPr="005269E5">
        <w:t xml:space="preserve"> expresi</w:t>
      </w:r>
      <w:r>
        <w:t>ó</w:t>
      </w:r>
      <w:r w:rsidRPr="005269E5">
        <w:t xml:space="preserve">n, </w:t>
      </w:r>
      <w:r>
        <w:t>la libertad de</w:t>
      </w:r>
      <w:r w:rsidRPr="005269E5">
        <w:t xml:space="preserve"> asocia</w:t>
      </w:r>
      <w:r>
        <w:t>c</w:t>
      </w:r>
      <w:r w:rsidRPr="005269E5">
        <w:t>i</w:t>
      </w:r>
      <w:r>
        <w:t>ó</w:t>
      </w:r>
      <w:r w:rsidRPr="005269E5">
        <w:t>n</w:t>
      </w:r>
      <w:r>
        <w:t xml:space="preserve"> y el derecho a una vida</w:t>
      </w:r>
      <w:r w:rsidRPr="005269E5">
        <w:t xml:space="preserve"> priva</w:t>
      </w:r>
      <w:r>
        <w:t>da</w:t>
      </w:r>
      <w:r w:rsidRPr="005269E5">
        <w:t xml:space="preserve"> </w:t>
      </w:r>
      <w:r>
        <w:t>y</w:t>
      </w:r>
      <w:r w:rsidRPr="005269E5">
        <w:t xml:space="preserve"> famil</w:t>
      </w:r>
      <w:r>
        <w:t>iar</w:t>
      </w:r>
      <w:r w:rsidRPr="005269E5">
        <w:t>.</w:t>
      </w:r>
    </w:p>
    <w:p w:rsidR="000100D5" w:rsidRPr="005269E5" w:rsidRDefault="000100D5" w:rsidP="000100D5">
      <w:pPr>
        <w:pStyle w:val="SingleTxtG"/>
      </w:pPr>
      <w:r w:rsidRPr="005269E5">
        <w:t>141.</w:t>
      </w:r>
      <w:r w:rsidRPr="005269E5">
        <w:tab/>
      </w:r>
      <w:r>
        <w:t>La Ley de igualdad en el empleo prevé que la</w:t>
      </w:r>
      <w:r w:rsidRPr="005269E5">
        <w:t xml:space="preserve"> diferenc</w:t>
      </w:r>
      <w:r>
        <w:t>ia de</w:t>
      </w:r>
      <w:r w:rsidRPr="005269E5">
        <w:t xml:space="preserve"> trat</w:t>
      </w:r>
      <w:r>
        <w:t>o por motivos de raza</w:t>
      </w:r>
      <w:r w:rsidRPr="005269E5">
        <w:t xml:space="preserve"> no constitu</w:t>
      </w:r>
      <w:r>
        <w:t>ye</w:t>
      </w:r>
      <w:r w:rsidRPr="005269E5">
        <w:t xml:space="preserve"> un</w:t>
      </w:r>
      <w:r>
        <w:t xml:space="preserve">a </w:t>
      </w:r>
      <w:r w:rsidRPr="005269E5">
        <w:t>discrimina</w:t>
      </w:r>
      <w:r>
        <w:t>c</w:t>
      </w:r>
      <w:r w:rsidRPr="005269E5">
        <w:t>i</w:t>
      </w:r>
      <w:r>
        <w:t>ó</w:t>
      </w:r>
      <w:r w:rsidRPr="005269E5">
        <w:t xml:space="preserve">n </w:t>
      </w:r>
      <w:r>
        <w:t>ilegal e</w:t>
      </w:r>
      <w:r w:rsidRPr="005269E5">
        <w:t>n c</w:t>
      </w:r>
      <w:r>
        <w:t>i</w:t>
      </w:r>
      <w:r w:rsidRPr="005269E5">
        <w:t>erta</w:t>
      </w:r>
      <w:r>
        <w:t>s</w:t>
      </w:r>
      <w:r w:rsidRPr="005269E5">
        <w:t xml:space="preserve"> c</w:t>
      </w:r>
      <w:r>
        <w:t>ircun</w:t>
      </w:r>
      <w:r w:rsidRPr="005269E5">
        <w:t>stanc</w:t>
      </w:r>
      <w:r>
        <w:t>ias</w:t>
      </w:r>
      <w:r w:rsidRPr="005269E5">
        <w:t xml:space="preserve">, </w:t>
      </w:r>
      <w:r w:rsidR="005C4174" w:rsidRPr="005269E5">
        <w:t>inclu</w:t>
      </w:r>
      <w:r w:rsidR="005C4174">
        <w:t>i</w:t>
      </w:r>
      <w:r w:rsidR="005C4174" w:rsidRPr="005269E5">
        <w:t>d</w:t>
      </w:r>
      <w:r w:rsidR="005C4174">
        <w:t>as</w:t>
      </w:r>
      <w:r>
        <w:t xml:space="preserve"> l</w:t>
      </w:r>
      <w:r w:rsidRPr="005269E5">
        <w:t xml:space="preserve">as </w:t>
      </w:r>
      <w:r>
        <w:t>siguientes</w:t>
      </w:r>
      <w:r w:rsidRPr="005269E5">
        <w:t>:</w:t>
      </w:r>
    </w:p>
    <w:p w:rsidR="000100D5" w:rsidRPr="00355D3C" w:rsidRDefault="000100D5" w:rsidP="00355D3C">
      <w:pPr>
        <w:pStyle w:val="Bullet1G"/>
      </w:pPr>
      <w:r w:rsidRPr="00174FF0">
        <w:t xml:space="preserve">El </w:t>
      </w:r>
      <w:r w:rsidRPr="00355D3C">
        <w:t>acceso al empleo, para las personas que trabajan en el hogar de otra persona, suministrando servicios personales que afectan a la vida privada o familiar y que quedan excluidos de la aplicación de las Leyes de igualdad en el empleo, a fin de lograr un equilibrio justo y adecuado entre el derecho a la vida privada en las casas particulares y el derecho a la igualdad de trato. Una vez conseguido el empleo, éste queda plenamente cubierto por las Leyes.</w:t>
      </w:r>
    </w:p>
    <w:p w:rsidR="000100D5" w:rsidRPr="00355D3C" w:rsidRDefault="000100D5" w:rsidP="00355D3C">
      <w:pPr>
        <w:pStyle w:val="Bullet1G"/>
      </w:pPr>
      <w:r w:rsidRPr="00355D3C">
        <w:t xml:space="preserve">Los órganos de capacitación/formación </w:t>
      </w:r>
      <w:r w:rsidR="005C4174" w:rsidRPr="00355D3C">
        <w:t>profesional</w:t>
      </w:r>
      <w:r w:rsidRPr="00355D3C">
        <w:t xml:space="preserve"> permiten un trato distinto por lo que hace a la remuneración y la asignación de plazas a los nacionales de un Estado miembro de la UE y a la asistencia a determinadas categorías de personas a través de patrocinios, becas y bolsas de estudio, pero sólo en la medida en que esa asistencia esté razonablemente justificada, a tenor de consideraciones tradicionales e históricas.</w:t>
      </w:r>
    </w:p>
    <w:p w:rsidR="000100D5" w:rsidRPr="004F79E9" w:rsidRDefault="000100D5" w:rsidP="00355D3C">
      <w:pPr>
        <w:pStyle w:val="Bullet1G"/>
      </w:pPr>
      <w:r w:rsidRPr="00355D3C">
        <w:t xml:space="preserve">La Ley de permisos de trabajo de 2003 </w:t>
      </w:r>
      <w:r w:rsidR="005C4174" w:rsidRPr="00355D3C">
        <w:t>exceptúa</w:t>
      </w:r>
      <w:r w:rsidRPr="00355D3C">
        <w:t xml:space="preserve"> cualquier medida tomada sobre la base de la nacionalidad</w:t>
      </w:r>
      <w:r w:rsidRPr="004F79E9">
        <w:t>.</w:t>
      </w:r>
    </w:p>
    <w:p w:rsidR="000100D5" w:rsidRPr="005269E5" w:rsidRDefault="000100D5" w:rsidP="000100D5">
      <w:pPr>
        <w:pStyle w:val="SingleTxtG"/>
      </w:pPr>
      <w:r w:rsidRPr="005269E5">
        <w:t>142.</w:t>
      </w:r>
      <w:r w:rsidRPr="005269E5">
        <w:tab/>
      </w:r>
      <w:r>
        <w:t>La Ley sobre la igualdad de condición establece que la</w:t>
      </w:r>
      <w:r w:rsidRPr="005269E5">
        <w:t xml:space="preserve"> diferenc</w:t>
      </w:r>
      <w:r>
        <w:t>ia de</w:t>
      </w:r>
      <w:r w:rsidRPr="005269E5">
        <w:t xml:space="preserve"> trat</w:t>
      </w:r>
      <w:r>
        <w:t>o por el motivo es</w:t>
      </w:r>
      <w:r w:rsidRPr="005269E5">
        <w:t>pec</w:t>
      </w:r>
      <w:r>
        <w:t>í</w:t>
      </w:r>
      <w:r w:rsidRPr="005269E5">
        <w:t>fic</w:t>
      </w:r>
      <w:r>
        <w:t>o de la raza no</w:t>
      </w:r>
      <w:r w:rsidRPr="005269E5">
        <w:t xml:space="preserve"> constitu</w:t>
      </w:r>
      <w:r>
        <w:t>y</w:t>
      </w:r>
      <w:r w:rsidRPr="005269E5">
        <w:t>e un</w:t>
      </w:r>
      <w:r>
        <w:t xml:space="preserve">a </w:t>
      </w:r>
      <w:r w:rsidRPr="005269E5">
        <w:t>discrimina</w:t>
      </w:r>
      <w:r>
        <w:t>c</w:t>
      </w:r>
      <w:r w:rsidRPr="005269E5">
        <w:t>i</w:t>
      </w:r>
      <w:r>
        <w:t>ó</w:t>
      </w:r>
      <w:r w:rsidRPr="005269E5">
        <w:t xml:space="preserve">n </w:t>
      </w:r>
      <w:r>
        <w:t xml:space="preserve">ilegal en </w:t>
      </w:r>
      <w:r w:rsidRPr="005269E5">
        <w:t>c</w:t>
      </w:r>
      <w:r>
        <w:t>i</w:t>
      </w:r>
      <w:r w:rsidRPr="005269E5">
        <w:t>erta</w:t>
      </w:r>
      <w:r>
        <w:t>s</w:t>
      </w:r>
      <w:r w:rsidRPr="005269E5">
        <w:t xml:space="preserve"> circu</w:t>
      </w:r>
      <w:r>
        <w:t>n</w:t>
      </w:r>
      <w:r w:rsidRPr="005269E5">
        <w:t>stanc</w:t>
      </w:r>
      <w:r>
        <w:t>ia</w:t>
      </w:r>
      <w:r w:rsidRPr="005269E5">
        <w:t>s, inclu</w:t>
      </w:r>
      <w:r>
        <w:t>i</w:t>
      </w:r>
      <w:r w:rsidRPr="005269E5">
        <w:t>d</w:t>
      </w:r>
      <w:r>
        <w:t>as las siguientes</w:t>
      </w:r>
      <w:r w:rsidRPr="005269E5">
        <w:t>:</w:t>
      </w:r>
    </w:p>
    <w:p w:rsidR="000100D5" w:rsidRPr="00355D3C" w:rsidRDefault="000100D5" w:rsidP="00355D3C">
      <w:pPr>
        <w:pStyle w:val="Bullet1G"/>
      </w:pPr>
      <w:r>
        <w:t>El</w:t>
      </w:r>
      <w:r w:rsidRPr="004F79E9">
        <w:t xml:space="preserve"> principal </w:t>
      </w:r>
      <w:r>
        <w:t xml:space="preserve">supuesto viene determinado por </w:t>
      </w:r>
      <w:r w:rsidRPr="004F79E9">
        <w:t>lo</w:t>
      </w:r>
      <w:r>
        <w:t>s</w:t>
      </w:r>
      <w:r w:rsidRPr="004F79E9">
        <w:t xml:space="preserve"> </w:t>
      </w:r>
      <w:r>
        <w:t>casos requeridos</w:t>
      </w:r>
      <w:r w:rsidRPr="004F79E9">
        <w:t xml:space="preserve"> por la normativ</w:t>
      </w:r>
      <w:r>
        <w:t>a</w:t>
      </w:r>
      <w:r w:rsidRPr="004F79E9">
        <w:t xml:space="preserve"> o por la </w:t>
      </w:r>
      <w:r w:rsidRPr="00355D3C">
        <w:t xml:space="preserve">legislación de la UE. Esa excepción no cubre las circunstancias en que exista un elemento optativo o discrecional, relativo a la forma en que se prestan los servicios. </w:t>
      </w:r>
      <w:r w:rsidR="00DC5C74" w:rsidRPr="00355D3C">
        <w:t>Hay </w:t>
      </w:r>
      <w:r w:rsidRPr="00355D3C">
        <w:t>casos específicos por motivos de nacionalidad en lo tocante al trato dispensado por las autoridades públicas</w:t>
      </w:r>
      <w:r w:rsidR="005007D6" w:rsidRPr="00355D3C">
        <w:t xml:space="preserve"> </w:t>
      </w:r>
      <w:r w:rsidRPr="00355D3C">
        <w:t>a algunos no irlan</w:t>
      </w:r>
      <w:r w:rsidR="00DC5C74" w:rsidRPr="00355D3C">
        <w:t>deses.</w:t>
      </w:r>
    </w:p>
    <w:p w:rsidR="000100D5" w:rsidRPr="00355D3C" w:rsidRDefault="000100D5" w:rsidP="00355D3C">
      <w:pPr>
        <w:pStyle w:val="Bullet1G"/>
      </w:pPr>
      <w:r w:rsidRPr="00355D3C">
        <w:t xml:space="preserve">Las diferencias de trato que sea razonable exigir por razones de autenticidad, de estética, de tradición o de costumbre en relación con una representación teatral </w:t>
      </w:r>
      <w:r w:rsidR="00DC5C74" w:rsidRPr="00355D3C">
        <w:t>o cualquier tipo de espectáculo.</w:t>
      </w:r>
    </w:p>
    <w:p w:rsidR="000100D5" w:rsidRPr="00894994" w:rsidRDefault="000100D5" w:rsidP="00355D3C">
      <w:pPr>
        <w:pStyle w:val="Bullet1G"/>
      </w:pPr>
      <w:r w:rsidRPr="00355D3C">
        <w:t>Las diferencias</w:t>
      </w:r>
      <w:r w:rsidRPr="00894994">
        <w:t xml:space="preserve"> de trato basadas en la nacionalidad o en el origen nacional</w:t>
      </w:r>
      <w:r>
        <w:t>,</w:t>
      </w:r>
      <w:r w:rsidRPr="00894994">
        <w:t xml:space="preserve"> en relación con la celebración u organizaci</w:t>
      </w:r>
      <w:r>
        <w:t>ó</w:t>
      </w:r>
      <w:r w:rsidRPr="00894994">
        <w:t xml:space="preserve">n </w:t>
      </w:r>
      <w:r>
        <w:t>de un acto o acontecimiento deportivo, en la medida en que sean razonablemente necesarias, habida cuenta del carácter y finalidad d</w:t>
      </w:r>
      <w:r w:rsidRPr="00894994">
        <w:t>e</w:t>
      </w:r>
      <w:r>
        <w:t>l</w:t>
      </w:r>
      <w:r w:rsidRPr="00894994">
        <w:t xml:space="preserve"> </w:t>
      </w:r>
      <w:r>
        <w:t>acontecimiento</w:t>
      </w:r>
      <w:r w:rsidRPr="00894994">
        <w:t>.</w:t>
      </w:r>
    </w:p>
    <w:p w:rsidR="000100D5" w:rsidRPr="005269E5" w:rsidRDefault="000100D5" w:rsidP="000100D5">
      <w:pPr>
        <w:pStyle w:val="SingleTxtG"/>
      </w:pPr>
      <w:r w:rsidRPr="005269E5">
        <w:t>143.</w:t>
      </w:r>
      <w:r w:rsidRPr="005269E5">
        <w:tab/>
      </w:r>
      <w:r>
        <w:t xml:space="preserve">En </w:t>
      </w:r>
      <w:r w:rsidR="005C4174">
        <w:t>términos</w:t>
      </w:r>
      <w:r>
        <w:t xml:space="preserve"> más</w:t>
      </w:r>
      <w:r w:rsidRPr="005269E5">
        <w:t xml:space="preserve"> general</w:t>
      </w:r>
      <w:r>
        <w:t>es</w:t>
      </w:r>
      <w:r w:rsidRPr="005269E5">
        <w:t xml:space="preserve">, </w:t>
      </w:r>
      <w:r>
        <w:t>cabe permitir diferencias de trato en el ámbito de la Ley sobre la igualdad de condición</w:t>
      </w:r>
      <w:r w:rsidRPr="005269E5">
        <w:t>:</w:t>
      </w:r>
    </w:p>
    <w:p w:rsidR="000100D5" w:rsidRPr="00355D3C" w:rsidRDefault="000100D5" w:rsidP="00355D3C">
      <w:pPr>
        <w:pStyle w:val="Bullet1G"/>
      </w:pPr>
      <w:r w:rsidRPr="009C0B55">
        <w:t>En la esfera de los seguros</w:t>
      </w:r>
      <w:r w:rsidRPr="009C0B55">
        <w:rPr>
          <w:bCs/>
          <w:iCs/>
        </w:rPr>
        <w:t xml:space="preserve"> (que comprende la</w:t>
      </w:r>
      <w:r>
        <w:rPr>
          <w:bCs/>
          <w:iCs/>
        </w:rPr>
        <w:t xml:space="preserve"> renta vitalicia</w:t>
      </w:r>
      <w:r w:rsidRPr="009C0B55">
        <w:t xml:space="preserve">, las pensiones, las pólizas de </w:t>
      </w:r>
      <w:r w:rsidRPr="00355D3C">
        <w:t>seguros y otras cuestiones relacionadas con la evaluación de riesgos, pero sólo si las diferencias se basan en datos actuariales o estadísticos u otros factores pertinentes de suscripción o comerciales y resultan razonables a tenor de los datos o de otros factores procedentes);</w:t>
      </w:r>
    </w:p>
    <w:p w:rsidR="000100D5" w:rsidRPr="00355D3C" w:rsidRDefault="000100D5" w:rsidP="00355D3C">
      <w:pPr>
        <w:pStyle w:val="Bullet1G"/>
      </w:pPr>
      <w:r w:rsidRPr="00355D3C">
        <w:t>Cuando se dispone de bienes por vía de testamento o por donación;</w:t>
      </w:r>
    </w:p>
    <w:p w:rsidR="000100D5" w:rsidRPr="00355D3C" w:rsidRDefault="000100D5" w:rsidP="00355D3C">
      <w:pPr>
        <w:pStyle w:val="Bullet1G"/>
      </w:pPr>
      <w:r w:rsidRPr="00355D3C">
        <w:t xml:space="preserve">Cuando se prestan servicios con el objetivo primordial de promover con fines y procedimientos de buena fe, los intereses particulares de las personas de una determinada categoría, pero sólo en la medida en que el trato diferente sea razonablemente necesario y </w:t>
      </w:r>
    </w:p>
    <w:p w:rsidR="000100D5" w:rsidRPr="0015626F" w:rsidRDefault="000100D5" w:rsidP="00355D3C">
      <w:pPr>
        <w:pStyle w:val="Bullet1G"/>
      </w:pPr>
      <w:r w:rsidRPr="00355D3C">
        <w:t>Cuando se suministren</w:t>
      </w:r>
      <w:r w:rsidRPr="0015626F">
        <w:t xml:space="preserve"> bienes y servicios que puedan considerarse razonablemente adecuados a las necesidades </w:t>
      </w:r>
      <w:r>
        <w:t xml:space="preserve">exclusivas </w:t>
      </w:r>
      <w:r w:rsidRPr="0015626F">
        <w:t>de ciertas personas</w:t>
      </w:r>
      <w:r>
        <w:t>.</w:t>
      </w:r>
    </w:p>
    <w:p w:rsidR="000100D5" w:rsidRPr="005269E5" w:rsidRDefault="000100D5" w:rsidP="000100D5">
      <w:pPr>
        <w:pStyle w:val="SingleTxtG"/>
      </w:pPr>
      <w:r w:rsidRPr="005269E5">
        <w:t>144.</w:t>
      </w:r>
      <w:r w:rsidRPr="005269E5">
        <w:tab/>
      </w:r>
      <w:r>
        <w:t>Las Leyes de igualdad en el empleo y sobre la igualdad de condición establecen que las</w:t>
      </w:r>
      <w:r w:rsidRPr="005269E5">
        <w:t xml:space="preserve"> diferenc</w:t>
      </w:r>
      <w:r>
        <w:t>ias de</w:t>
      </w:r>
      <w:r w:rsidRPr="005269E5">
        <w:t xml:space="preserve"> trat</w:t>
      </w:r>
      <w:r>
        <w:t>o basadas en la ciudadanía o en la condición de inmigrante no constituyen una discriminación ilegal, según dichas Leyes, siempre que estén amparadas por la ley.</w:t>
      </w:r>
    </w:p>
    <w:p w:rsidR="000100D5" w:rsidRPr="005269E5" w:rsidRDefault="000100D5" w:rsidP="000100D5">
      <w:pPr>
        <w:pStyle w:val="SingleTxtG"/>
      </w:pPr>
      <w:r w:rsidRPr="005269E5">
        <w:t>145.</w:t>
      </w:r>
      <w:r w:rsidRPr="005269E5">
        <w:tab/>
      </w:r>
      <w:r>
        <w:t>Las Leyes de igualdad en el empleo, de</w:t>
      </w:r>
      <w:r w:rsidRPr="005269E5">
        <w:t xml:space="preserve"> 1998 </w:t>
      </w:r>
      <w:r>
        <w:t>a</w:t>
      </w:r>
      <w:r w:rsidRPr="005269E5">
        <w:t xml:space="preserve"> 2008</w:t>
      </w:r>
      <w:r>
        <w:t>,</w:t>
      </w:r>
      <w:r w:rsidRPr="005269E5">
        <w:t xml:space="preserve"> permit</w:t>
      </w:r>
      <w:r>
        <w:t>en adoptar medidas destinadas a garantizar en la práctica la plena igualdad entre los</w:t>
      </w:r>
      <w:r w:rsidRPr="005269E5">
        <w:t xml:space="preserve"> empl</w:t>
      </w:r>
      <w:r>
        <w:t>eados</w:t>
      </w:r>
      <w:r w:rsidRPr="005269E5">
        <w:t>, preven</w:t>
      </w:r>
      <w:r>
        <w:t>ir</w:t>
      </w:r>
      <w:r w:rsidRPr="005269E5">
        <w:t xml:space="preserve"> o compensa</w:t>
      </w:r>
      <w:r>
        <w:t>r las</w:t>
      </w:r>
      <w:r w:rsidRPr="005269E5">
        <w:t xml:space="preserve"> d</w:t>
      </w:r>
      <w:r>
        <w:t>e</w:t>
      </w:r>
      <w:r w:rsidRPr="005269E5">
        <w:t>sv</w:t>
      </w:r>
      <w:r>
        <w:t>e</w:t>
      </w:r>
      <w:r w:rsidRPr="005269E5">
        <w:t>nta</w:t>
      </w:r>
      <w:r>
        <w:t>ja</w:t>
      </w:r>
      <w:r w:rsidRPr="005269E5">
        <w:t xml:space="preserve">s </w:t>
      </w:r>
      <w:r>
        <w:t>derivadas de cualquiera de las causas de</w:t>
      </w:r>
      <w:r w:rsidRPr="005269E5">
        <w:t xml:space="preserve"> discrimina</w:t>
      </w:r>
      <w:r>
        <w:t>ción</w:t>
      </w:r>
      <w:r w:rsidRPr="005269E5">
        <w:t xml:space="preserve"> (</w:t>
      </w:r>
      <w:r>
        <w:t>como la</w:t>
      </w:r>
      <w:r w:rsidRPr="005269E5">
        <w:t xml:space="preserve"> ra</w:t>
      </w:r>
      <w:r>
        <w:t>za</w:t>
      </w:r>
      <w:r w:rsidRPr="005269E5">
        <w:t>) o crea</w:t>
      </w:r>
      <w:r>
        <w:t>r</w:t>
      </w:r>
      <w:r w:rsidRPr="005269E5">
        <w:t xml:space="preserve"> o mant</w:t>
      </w:r>
      <w:r>
        <w:t>ener</w:t>
      </w:r>
      <w:r w:rsidRPr="005269E5">
        <w:t xml:space="preserve"> </w:t>
      </w:r>
      <w:r>
        <w:t>servicios para</w:t>
      </w:r>
      <w:r w:rsidRPr="005269E5">
        <w:t xml:space="preserve"> sa</w:t>
      </w:r>
      <w:r>
        <w:t xml:space="preserve">lvaguardar </w:t>
      </w:r>
      <w:r w:rsidRPr="005269E5">
        <w:t xml:space="preserve">o </w:t>
      </w:r>
      <w:r>
        <w:t>promover</w:t>
      </w:r>
      <w:r w:rsidRPr="005269E5">
        <w:t xml:space="preserve"> </w:t>
      </w:r>
      <w:r>
        <w:t xml:space="preserve">la </w:t>
      </w:r>
      <w:r w:rsidRPr="005269E5">
        <w:t>integra</w:t>
      </w:r>
      <w:r>
        <w:t>c</w:t>
      </w:r>
      <w:r w:rsidRPr="005269E5">
        <w:t>i</w:t>
      </w:r>
      <w:r>
        <w:t>ó</w:t>
      </w:r>
      <w:r w:rsidRPr="005269E5">
        <w:t xml:space="preserve">n </w:t>
      </w:r>
      <w:r>
        <w:t>de dichas</w:t>
      </w:r>
      <w:r w:rsidR="005007D6">
        <w:t xml:space="preserve"> </w:t>
      </w:r>
      <w:r w:rsidRPr="005269E5">
        <w:t>person</w:t>
      </w:r>
      <w:r>
        <w:t>a</w:t>
      </w:r>
      <w:r w:rsidRPr="005269E5">
        <w:t xml:space="preserve">s </w:t>
      </w:r>
      <w:r>
        <w:t>en su</w:t>
      </w:r>
      <w:r w:rsidRPr="005269E5">
        <w:t xml:space="preserve"> en</w:t>
      </w:r>
      <w:r>
        <w:t>torno laboral</w:t>
      </w:r>
      <w:r w:rsidRPr="005269E5">
        <w:t xml:space="preserve"> (</w:t>
      </w:r>
      <w:r>
        <w:t>véase artículo</w:t>
      </w:r>
      <w:r w:rsidRPr="005269E5">
        <w:t xml:space="preserve"> 33).</w:t>
      </w:r>
    </w:p>
    <w:p w:rsidR="000100D5" w:rsidRPr="00266C6F" w:rsidRDefault="000100D5" w:rsidP="000100D5">
      <w:pPr>
        <w:pStyle w:val="SingleTxtG"/>
      </w:pPr>
      <w:r w:rsidRPr="005269E5">
        <w:t>146.</w:t>
      </w:r>
      <w:r w:rsidRPr="005269E5">
        <w:tab/>
      </w:r>
      <w:r>
        <w:t>Las Leyes sobre la igualdad de condición, de</w:t>
      </w:r>
      <w:r w:rsidRPr="005269E5">
        <w:t xml:space="preserve"> 2000 </w:t>
      </w:r>
      <w:r>
        <w:t>a</w:t>
      </w:r>
      <w:r w:rsidRPr="005269E5">
        <w:t xml:space="preserve"> 2008</w:t>
      </w:r>
      <w:r>
        <w:t>,</w:t>
      </w:r>
      <w:r w:rsidRPr="005269E5">
        <w:t xml:space="preserve"> </w:t>
      </w:r>
      <w:r>
        <w:t>autorizan un trato</w:t>
      </w:r>
      <w:r w:rsidRPr="005269E5">
        <w:t xml:space="preserve"> preferent</w:t>
      </w:r>
      <w:r>
        <w:t>e</w:t>
      </w:r>
      <w:r w:rsidRPr="005269E5">
        <w:t xml:space="preserve"> o </w:t>
      </w:r>
      <w:r>
        <w:t>la adopción de medidas</w:t>
      </w:r>
      <w:r w:rsidRPr="005269E5">
        <w:t xml:space="preserve"> positiv</w:t>
      </w:r>
      <w:r>
        <w:t>as con miras a fomentar de buena fe la igualdad de</w:t>
      </w:r>
      <w:r w:rsidRPr="005269E5">
        <w:t xml:space="preserve"> oportuni</w:t>
      </w:r>
      <w:r>
        <w:t>dades para las</w:t>
      </w:r>
      <w:r w:rsidRPr="005269E5">
        <w:t xml:space="preserve"> person</w:t>
      </w:r>
      <w:r>
        <w:t>a</w:t>
      </w:r>
      <w:r w:rsidRPr="005269E5">
        <w:t>s</w:t>
      </w:r>
      <w:r>
        <w:t xml:space="preserve"> que están en situación de desventaja,</w:t>
      </w:r>
      <w:r w:rsidRPr="005269E5">
        <w:t xml:space="preserve"> </w:t>
      </w:r>
      <w:r>
        <w:t>e</w:t>
      </w:r>
      <w:r w:rsidRPr="005269E5">
        <w:t>n rela</w:t>
      </w:r>
      <w:r>
        <w:t>c</w:t>
      </w:r>
      <w:r w:rsidRPr="005269E5">
        <w:t>i</w:t>
      </w:r>
      <w:r>
        <w:t>ó</w:t>
      </w:r>
      <w:r w:rsidRPr="005269E5">
        <w:t xml:space="preserve">n </w:t>
      </w:r>
      <w:r>
        <w:t>con</w:t>
      </w:r>
      <w:r w:rsidR="00914DB6">
        <w:t> </w:t>
      </w:r>
      <w:r w:rsidRPr="005269E5">
        <w:t>otr</w:t>
      </w:r>
      <w:r>
        <w:t>as</w:t>
      </w:r>
      <w:r w:rsidRPr="005269E5">
        <w:t>,</w:t>
      </w:r>
      <w:r>
        <w:t xml:space="preserve"> o que no han estado ni estarán probablemente</w:t>
      </w:r>
      <w:r w:rsidRPr="005269E5">
        <w:t xml:space="preserve"> </w:t>
      </w:r>
      <w:r>
        <w:t>e</w:t>
      </w:r>
      <w:r w:rsidR="00914DB6">
        <w:t>n condiciones de aprovechar las </w:t>
      </w:r>
      <w:r>
        <w:t>mismas</w:t>
      </w:r>
      <w:r w:rsidRPr="005269E5">
        <w:t xml:space="preserve"> oportuni</w:t>
      </w:r>
      <w:r>
        <w:t>dades que esas otras personas</w:t>
      </w:r>
      <w:r w:rsidRPr="005269E5">
        <w:t xml:space="preserve">. </w:t>
      </w:r>
      <w:r w:rsidRPr="00266C6F">
        <w:t>Tambié</w:t>
      </w:r>
      <w:r w:rsidR="00914DB6">
        <w:t>n se permiten esas medidas para </w:t>
      </w:r>
      <w:r w:rsidRPr="00266C6F">
        <w:t xml:space="preserve">atender las necesidades especiales de las personas o de una categoría de ellas que, debido a sus circunstancias, </w:t>
      </w:r>
      <w:r>
        <w:t>pueden necesitar instalaciones</w:t>
      </w:r>
      <w:r w:rsidRPr="00266C6F">
        <w:t xml:space="preserve">, </w:t>
      </w:r>
      <w:r>
        <w:t>estructuras</w:t>
      </w:r>
      <w:r w:rsidRPr="00266C6F">
        <w:t>, servic</w:t>
      </w:r>
      <w:r>
        <w:t>io</w:t>
      </w:r>
      <w:r w:rsidRPr="00266C6F">
        <w:t>s o asist</w:t>
      </w:r>
      <w:r>
        <w:t>encia</w:t>
      </w:r>
      <w:r w:rsidRPr="00266C6F">
        <w:t xml:space="preserve"> no requ</w:t>
      </w:r>
      <w:r>
        <w:t>e</w:t>
      </w:r>
      <w:r w:rsidRPr="00266C6F">
        <w:t>r</w:t>
      </w:r>
      <w:r>
        <w:t>i</w:t>
      </w:r>
      <w:r w:rsidRPr="00266C6F">
        <w:t>d</w:t>
      </w:r>
      <w:r>
        <w:t>os</w:t>
      </w:r>
      <w:r w:rsidRPr="00266C6F">
        <w:t xml:space="preserve"> </w:t>
      </w:r>
      <w:r>
        <w:t xml:space="preserve">por las </w:t>
      </w:r>
      <w:r w:rsidRPr="00266C6F">
        <w:t>person</w:t>
      </w:r>
      <w:r>
        <w:t>a</w:t>
      </w:r>
      <w:r w:rsidRPr="00266C6F">
        <w:t xml:space="preserve">s </w:t>
      </w:r>
      <w:r>
        <w:t>que no tienen esas necesidades</w:t>
      </w:r>
      <w:r w:rsidRPr="00266C6F">
        <w:t xml:space="preserve"> </w:t>
      </w:r>
      <w:r>
        <w:t>e</w:t>
      </w:r>
      <w:r w:rsidRPr="00266C6F">
        <w:t>special</w:t>
      </w:r>
      <w:r>
        <w:t>es</w:t>
      </w:r>
      <w:r w:rsidRPr="00266C6F">
        <w:t xml:space="preserve"> (</w:t>
      </w:r>
      <w:r>
        <w:t>véase artículo</w:t>
      </w:r>
      <w:r w:rsidR="00914DB6">
        <w:t> </w:t>
      </w:r>
      <w:r w:rsidRPr="00266C6F">
        <w:t>14</w:t>
      </w:r>
      <w:r w:rsidR="00914DB6">
        <w:t> </w:t>
      </w:r>
      <w:r w:rsidRPr="00266C6F">
        <w:t>1)</w:t>
      </w:r>
      <w:r w:rsidR="00914DB6">
        <w:t> </w:t>
      </w:r>
      <w:r w:rsidRPr="00266C6F">
        <w:t>b)).</w:t>
      </w:r>
    </w:p>
    <w:p w:rsidR="000100D5" w:rsidRPr="005269E5" w:rsidRDefault="000100D5" w:rsidP="000100D5">
      <w:pPr>
        <w:pStyle w:val="H1G"/>
      </w:pPr>
      <w:r w:rsidRPr="00266C6F">
        <w:tab/>
      </w:r>
      <w:r w:rsidRPr="00266C6F">
        <w:tab/>
      </w:r>
      <w:r w:rsidRPr="005269E5">
        <w:t>Art</w:t>
      </w:r>
      <w:r>
        <w:t>í</w:t>
      </w:r>
      <w:r w:rsidRPr="005269E5">
        <w:t>c</w:t>
      </w:r>
      <w:r>
        <w:t>u</w:t>
      </w:r>
      <w:r w:rsidRPr="005269E5">
        <w:t>l</w:t>
      </w:r>
      <w:r>
        <w:t>o</w:t>
      </w:r>
      <w:r w:rsidRPr="005269E5">
        <w:t xml:space="preserve"> 2</w:t>
      </w:r>
    </w:p>
    <w:p w:rsidR="000100D5" w:rsidRPr="0058064C" w:rsidRDefault="000100D5" w:rsidP="000100D5">
      <w:pPr>
        <w:pStyle w:val="SingleTxtG"/>
        <w:rPr>
          <w:bCs/>
        </w:rPr>
      </w:pPr>
      <w:r w:rsidRPr="005269E5">
        <w:t>147</w:t>
      </w:r>
      <w:r w:rsidRPr="005269E5">
        <w:rPr>
          <w:bCs/>
        </w:rPr>
        <w:t>.</w:t>
      </w:r>
      <w:r w:rsidRPr="005269E5">
        <w:rPr>
          <w:bCs/>
        </w:rPr>
        <w:tab/>
      </w:r>
      <w:r>
        <w:rPr>
          <w:bCs/>
        </w:rPr>
        <w:t>Las Leyes de igualdad en el empleo, de</w:t>
      </w:r>
      <w:r w:rsidRPr="005269E5">
        <w:rPr>
          <w:bCs/>
        </w:rPr>
        <w:t xml:space="preserve"> 1998</w:t>
      </w:r>
      <w:r>
        <w:rPr>
          <w:bCs/>
        </w:rPr>
        <w:t xml:space="preserve"> a </w:t>
      </w:r>
      <w:r w:rsidRPr="005269E5">
        <w:rPr>
          <w:bCs/>
        </w:rPr>
        <w:t>2008</w:t>
      </w:r>
      <w:r>
        <w:rPr>
          <w:bCs/>
        </w:rPr>
        <w:t>,</w:t>
      </w:r>
      <w:r w:rsidRPr="005269E5">
        <w:rPr>
          <w:bCs/>
        </w:rPr>
        <w:t xml:space="preserve"> proh</w:t>
      </w:r>
      <w:r>
        <w:rPr>
          <w:bCs/>
        </w:rPr>
        <w:t>í</w:t>
      </w:r>
      <w:r w:rsidRPr="005269E5">
        <w:rPr>
          <w:bCs/>
        </w:rPr>
        <w:t>b</w:t>
      </w:r>
      <w:r>
        <w:rPr>
          <w:bCs/>
        </w:rPr>
        <w:t>en la discriminación</w:t>
      </w:r>
      <w:r w:rsidRPr="005269E5">
        <w:rPr>
          <w:bCs/>
        </w:rPr>
        <w:t xml:space="preserve"> direct</w:t>
      </w:r>
      <w:r>
        <w:rPr>
          <w:bCs/>
        </w:rPr>
        <w:t>a</w:t>
      </w:r>
      <w:r w:rsidRPr="005269E5">
        <w:rPr>
          <w:bCs/>
        </w:rPr>
        <w:t xml:space="preserve"> </w:t>
      </w:r>
      <w:r>
        <w:rPr>
          <w:bCs/>
        </w:rPr>
        <w:t>e</w:t>
      </w:r>
      <w:r w:rsidRPr="005269E5">
        <w:rPr>
          <w:bCs/>
        </w:rPr>
        <w:t xml:space="preserve"> indirect</w:t>
      </w:r>
      <w:r>
        <w:rPr>
          <w:bCs/>
        </w:rPr>
        <w:t>a</w:t>
      </w:r>
      <w:r w:rsidRPr="005269E5">
        <w:rPr>
          <w:bCs/>
        </w:rPr>
        <w:t xml:space="preserve"> </w:t>
      </w:r>
      <w:r>
        <w:rPr>
          <w:bCs/>
        </w:rPr>
        <w:t>y el acoso laboral por nueve razones, que son</w:t>
      </w:r>
      <w:r w:rsidRPr="005269E5">
        <w:rPr>
          <w:bCs/>
        </w:rPr>
        <w:t xml:space="preserve"> </w:t>
      </w:r>
      <w:r>
        <w:rPr>
          <w:bCs/>
        </w:rPr>
        <w:t xml:space="preserve">el </w:t>
      </w:r>
      <w:r w:rsidRPr="005269E5">
        <w:rPr>
          <w:bCs/>
        </w:rPr>
        <w:t>g</w:t>
      </w:r>
      <w:r>
        <w:rPr>
          <w:bCs/>
        </w:rPr>
        <w:t>é</w:t>
      </w:r>
      <w:r w:rsidRPr="005269E5">
        <w:rPr>
          <w:bCs/>
        </w:rPr>
        <w:t>ner</w:t>
      </w:r>
      <w:r>
        <w:rPr>
          <w:bCs/>
        </w:rPr>
        <w:t>o</w:t>
      </w:r>
      <w:r w:rsidRPr="005269E5">
        <w:rPr>
          <w:bCs/>
        </w:rPr>
        <w:t xml:space="preserve">, </w:t>
      </w:r>
      <w:r>
        <w:rPr>
          <w:bCs/>
        </w:rPr>
        <w:t>la edad</w:t>
      </w:r>
      <w:r w:rsidRPr="005269E5">
        <w:rPr>
          <w:bCs/>
        </w:rPr>
        <w:t xml:space="preserve">, </w:t>
      </w:r>
      <w:r>
        <w:rPr>
          <w:bCs/>
        </w:rPr>
        <w:t>el estado civil</w:t>
      </w:r>
      <w:r w:rsidRPr="005269E5">
        <w:rPr>
          <w:bCs/>
        </w:rPr>
        <w:t xml:space="preserve">, </w:t>
      </w:r>
      <w:r>
        <w:rPr>
          <w:bCs/>
        </w:rPr>
        <w:t>la situación f</w:t>
      </w:r>
      <w:r w:rsidRPr="005269E5">
        <w:rPr>
          <w:bCs/>
        </w:rPr>
        <w:t>amil</w:t>
      </w:r>
      <w:r>
        <w:rPr>
          <w:bCs/>
        </w:rPr>
        <w:t>iar</w:t>
      </w:r>
      <w:r w:rsidRPr="005269E5">
        <w:rPr>
          <w:bCs/>
        </w:rPr>
        <w:t xml:space="preserve">, </w:t>
      </w:r>
      <w:r>
        <w:rPr>
          <w:bCs/>
        </w:rPr>
        <w:t xml:space="preserve">la orientación </w:t>
      </w:r>
      <w:r w:rsidRPr="005269E5">
        <w:rPr>
          <w:bCs/>
        </w:rPr>
        <w:t xml:space="preserve">sexual, </w:t>
      </w:r>
      <w:r>
        <w:rPr>
          <w:bCs/>
        </w:rPr>
        <w:t xml:space="preserve">las creencias </w:t>
      </w:r>
      <w:r w:rsidRPr="005269E5">
        <w:rPr>
          <w:bCs/>
        </w:rPr>
        <w:t>religios</w:t>
      </w:r>
      <w:r>
        <w:rPr>
          <w:bCs/>
        </w:rPr>
        <w:t>as</w:t>
      </w:r>
      <w:r w:rsidRPr="005269E5">
        <w:rPr>
          <w:bCs/>
        </w:rPr>
        <w:t xml:space="preserve">, </w:t>
      </w:r>
      <w:r>
        <w:rPr>
          <w:bCs/>
        </w:rPr>
        <w:t xml:space="preserve">la </w:t>
      </w:r>
      <w:r w:rsidRPr="005269E5">
        <w:rPr>
          <w:bCs/>
        </w:rPr>
        <w:t>dis</w:t>
      </w:r>
      <w:r>
        <w:rPr>
          <w:bCs/>
        </w:rPr>
        <w:t>c</w:t>
      </w:r>
      <w:r w:rsidRPr="005269E5">
        <w:rPr>
          <w:bCs/>
        </w:rPr>
        <w:t>a</w:t>
      </w:r>
      <w:r>
        <w:rPr>
          <w:bCs/>
        </w:rPr>
        <w:t>pacidad</w:t>
      </w:r>
      <w:r w:rsidRPr="005269E5">
        <w:rPr>
          <w:bCs/>
        </w:rPr>
        <w:t xml:space="preserve">, </w:t>
      </w:r>
      <w:r>
        <w:rPr>
          <w:bCs/>
        </w:rPr>
        <w:t>la raza y la pertenencia a la comunidad nómada</w:t>
      </w:r>
      <w:r w:rsidRPr="005269E5">
        <w:rPr>
          <w:bCs/>
        </w:rPr>
        <w:t xml:space="preserve">. </w:t>
      </w:r>
      <w:r w:rsidRPr="0058064C">
        <w:rPr>
          <w:bCs/>
        </w:rPr>
        <w:t>Las leyes con</w:t>
      </w:r>
      <w:r>
        <w:rPr>
          <w:bCs/>
        </w:rPr>
        <w:t>tienen una regulación exhaustiva</w:t>
      </w:r>
      <w:r w:rsidRPr="0058064C">
        <w:rPr>
          <w:bCs/>
        </w:rPr>
        <w:t xml:space="preserve"> y abordan todos los ámbitos relativos al empleo</w:t>
      </w:r>
      <w:r>
        <w:rPr>
          <w:bCs/>
        </w:rPr>
        <w:t>,</w:t>
      </w:r>
      <w:r w:rsidRPr="0058064C">
        <w:rPr>
          <w:bCs/>
        </w:rPr>
        <w:t xml:space="preserve"> </w:t>
      </w:r>
      <w:r w:rsidR="005C4174" w:rsidRPr="0058064C">
        <w:rPr>
          <w:bCs/>
        </w:rPr>
        <w:t>incluidos</w:t>
      </w:r>
      <w:r w:rsidRPr="0058064C">
        <w:rPr>
          <w:bCs/>
        </w:rPr>
        <w:t xml:space="preserve"> el acceso al empleo, las condi</w:t>
      </w:r>
      <w:r>
        <w:rPr>
          <w:bCs/>
        </w:rPr>
        <w:t>c</w:t>
      </w:r>
      <w:r w:rsidRPr="0058064C">
        <w:rPr>
          <w:bCs/>
        </w:rPr>
        <w:t>ion</w:t>
      </w:r>
      <w:r>
        <w:rPr>
          <w:bCs/>
        </w:rPr>
        <w:t>e</w:t>
      </w:r>
      <w:r w:rsidRPr="0058064C">
        <w:rPr>
          <w:bCs/>
        </w:rPr>
        <w:t xml:space="preserve">s </w:t>
      </w:r>
      <w:r>
        <w:rPr>
          <w:bCs/>
        </w:rPr>
        <w:t>de trabajo</w:t>
      </w:r>
      <w:r w:rsidRPr="0058064C">
        <w:rPr>
          <w:bCs/>
        </w:rPr>
        <w:t xml:space="preserve">, </w:t>
      </w:r>
      <w:r>
        <w:rPr>
          <w:bCs/>
        </w:rPr>
        <w:t xml:space="preserve">la </w:t>
      </w:r>
      <w:r w:rsidRPr="0058064C">
        <w:rPr>
          <w:bCs/>
        </w:rPr>
        <w:t>remunera</w:t>
      </w:r>
      <w:r>
        <w:rPr>
          <w:bCs/>
        </w:rPr>
        <w:t>c</w:t>
      </w:r>
      <w:r w:rsidRPr="0058064C">
        <w:rPr>
          <w:bCs/>
        </w:rPr>
        <w:t>i</w:t>
      </w:r>
      <w:r>
        <w:rPr>
          <w:bCs/>
        </w:rPr>
        <w:t>ó</w:t>
      </w:r>
      <w:r w:rsidRPr="0058064C">
        <w:rPr>
          <w:bCs/>
        </w:rPr>
        <w:t xml:space="preserve">n, </w:t>
      </w:r>
      <w:r>
        <w:rPr>
          <w:bCs/>
        </w:rPr>
        <w:t>los ascensos</w:t>
      </w:r>
      <w:r w:rsidRPr="0058064C">
        <w:rPr>
          <w:bCs/>
        </w:rPr>
        <w:t xml:space="preserve">, </w:t>
      </w:r>
      <w:r>
        <w:rPr>
          <w:bCs/>
        </w:rPr>
        <w:t>el despido del</w:t>
      </w:r>
      <w:r w:rsidRPr="0058064C">
        <w:rPr>
          <w:bCs/>
        </w:rPr>
        <w:t xml:space="preserve"> empl</w:t>
      </w:r>
      <w:r>
        <w:rPr>
          <w:bCs/>
        </w:rPr>
        <w:t>e</w:t>
      </w:r>
      <w:r w:rsidRPr="0058064C">
        <w:rPr>
          <w:bCs/>
        </w:rPr>
        <w:t>o</w:t>
      </w:r>
      <w:r>
        <w:rPr>
          <w:bCs/>
        </w:rPr>
        <w:t xml:space="preserve"> y la formación profesional</w:t>
      </w:r>
      <w:r w:rsidRPr="0058064C">
        <w:rPr>
          <w:bCs/>
        </w:rPr>
        <w:t>.</w:t>
      </w:r>
    </w:p>
    <w:p w:rsidR="000100D5" w:rsidRPr="005269E5" w:rsidRDefault="000100D5" w:rsidP="000100D5">
      <w:pPr>
        <w:pStyle w:val="SingleTxtG"/>
        <w:rPr>
          <w:bCs/>
        </w:rPr>
      </w:pPr>
      <w:r w:rsidRPr="005269E5">
        <w:t>148</w:t>
      </w:r>
      <w:r>
        <w:rPr>
          <w:bCs/>
        </w:rPr>
        <w:t>.</w:t>
      </w:r>
      <w:r>
        <w:rPr>
          <w:bCs/>
        </w:rPr>
        <w:tab/>
        <w:t xml:space="preserve">Las Leyes sobre la igualdad de condición, de 2000 a </w:t>
      </w:r>
      <w:r w:rsidRPr="005269E5">
        <w:rPr>
          <w:bCs/>
        </w:rPr>
        <w:t>2008</w:t>
      </w:r>
      <w:r>
        <w:rPr>
          <w:bCs/>
        </w:rPr>
        <w:t>,</w:t>
      </w:r>
      <w:r w:rsidRPr="005269E5">
        <w:rPr>
          <w:bCs/>
        </w:rPr>
        <w:t xml:space="preserve"> proh</w:t>
      </w:r>
      <w:r>
        <w:rPr>
          <w:bCs/>
        </w:rPr>
        <w:t>í</w:t>
      </w:r>
      <w:r w:rsidRPr="005269E5">
        <w:rPr>
          <w:bCs/>
        </w:rPr>
        <w:t>b</w:t>
      </w:r>
      <w:r>
        <w:rPr>
          <w:bCs/>
        </w:rPr>
        <w:t>en la</w:t>
      </w:r>
      <w:r w:rsidRPr="005269E5">
        <w:rPr>
          <w:bCs/>
        </w:rPr>
        <w:t xml:space="preserve"> discrimina</w:t>
      </w:r>
      <w:r>
        <w:rPr>
          <w:bCs/>
        </w:rPr>
        <w:t>c</w:t>
      </w:r>
      <w:r w:rsidRPr="005269E5">
        <w:rPr>
          <w:bCs/>
        </w:rPr>
        <w:t>i</w:t>
      </w:r>
      <w:r>
        <w:rPr>
          <w:bCs/>
        </w:rPr>
        <w:t>ó</w:t>
      </w:r>
      <w:r w:rsidRPr="005269E5">
        <w:rPr>
          <w:bCs/>
        </w:rPr>
        <w:t>n</w:t>
      </w:r>
      <w:r>
        <w:rPr>
          <w:bCs/>
        </w:rPr>
        <w:t xml:space="preserve"> por las mismas nueve razones, incluida la raza</w:t>
      </w:r>
      <w:r w:rsidRPr="005269E5">
        <w:rPr>
          <w:bCs/>
        </w:rPr>
        <w:t>.</w:t>
      </w:r>
    </w:p>
    <w:p w:rsidR="000100D5" w:rsidRPr="005269E5" w:rsidRDefault="000100D5" w:rsidP="000100D5">
      <w:pPr>
        <w:pStyle w:val="SingleTxtG"/>
        <w:rPr>
          <w:bCs/>
        </w:rPr>
      </w:pPr>
      <w:r w:rsidRPr="005269E5">
        <w:t>149</w:t>
      </w:r>
      <w:r w:rsidRPr="005269E5">
        <w:rPr>
          <w:bCs/>
        </w:rPr>
        <w:t>.</w:t>
      </w:r>
      <w:r w:rsidRPr="005269E5">
        <w:rPr>
          <w:bCs/>
        </w:rPr>
        <w:tab/>
      </w:r>
      <w:r>
        <w:rPr>
          <w:bCs/>
        </w:rPr>
        <w:t>Las Leyes sobre la igualdad de condición</w:t>
      </w:r>
      <w:r w:rsidRPr="005269E5">
        <w:rPr>
          <w:bCs/>
        </w:rPr>
        <w:t xml:space="preserve"> </w:t>
      </w:r>
      <w:r>
        <w:rPr>
          <w:bCs/>
        </w:rPr>
        <w:t xml:space="preserve">se </w:t>
      </w:r>
      <w:r w:rsidRPr="005269E5">
        <w:rPr>
          <w:bCs/>
        </w:rPr>
        <w:t>apl</w:t>
      </w:r>
      <w:r>
        <w:rPr>
          <w:bCs/>
        </w:rPr>
        <w:t>ican</w:t>
      </w:r>
      <w:r w:rsidRPr="005269E5">
        <w:rPr>
          <w:bCs/>
        </w:rPr>
        <w:t xml:space="preserve"> </w:t>
      </w:r>
      <w:r>
        <w:rPr>
          <w:bCs/>
        </w:rPr>
        <w:t>al</w:t>
      </w:r>
      <w:r w:rsidRPr="005269E5">
        <w:rPr>
          <w:bCs/>
        </w:rPr>
        <w:t xml:space="preserve"> acces</w:t>
      </w:r>
      <w:r>
        <w:rPr>
          <w:bCs/>
        </w:rPr>
        <w:t>o</w:t>
      </w:r>
      <w:r w:rsidRPr="005269E5">
        <w:rPr>
          <w:bCs/>
        </w:rPr>
        <w:t xml:space="preserve"> </w:t>
      </w:r>
      <w:r>
        <w:rPr>
          <w:bCs/>
        </w:rPr>
        <w:t>y suministro de los bienes y</w:t>
      </w:r>
      <w:r w:rsidRPr="005269E5">
        <w:rPr>
          <w:bCs/>
        </w:rPr>
        <w:t xml:space="preserve"> servic</w:t>
      </w:r>
      <w:r>
        <w:rPr>
          <w:bCs/>
        </w:rPr>
        <w:t>io</w:t>
      </w:r>
      <w:r w:rsidRPr="005269E5">
        <w:rPr>
          <w:bCs/>
        </w:rPr>
        <w:t>s</w:t>
      </w:r>
      <w:r>
        <w:rPr>
          <w:bCs/>
        </w:rPr>
        <w:t>,</w:t>
      </w:r>
      <w:r w:rsidRPr="005269E5">
        <w:rPr>
          <w:bCs/>
        </w:rPr>
        <w:t xml:space="preserve"> inclu</w:t>
      </w:r>
      <w:r>
        <w:rPr>
          <w:bCs/>
        </w:rPr>
        <w:t>i</w:t>
      </w:r>
      <w:r w:rsidRPr="005269E5">
        <w:rPr>
          <w:bCs/>
        </w:rPr>
        <w:t>d</w:t>
      </w:r>
      <w:r>
        <w:rPr>
          <w:bCs/>
        </w:rPr>
        <w:t xml:space="preserve">os los servicios </w:t>
      </w:r>
      <w:r w:rsidRPr="005269E5">
        <w:rPr>
          <w:bCs/>
        </w:rPr>
        <w:t>p</w:t>
      </w:r>
      <w:r>
        <w:rPr>
          <w:bCs/>
        </w:rPr>
        <w:t>ú</w:t>
      </w:r>
      <w:r w:rsidRPr="005269E5">
        <w:rPr>
          <w:bCs/>
        </w:rPr>
        <w:t>blic</w:t>
      </w:r>
      <w:r>
        <w:rPr>
          <w:bCs/>
        </w:rPr>
        <w:t>os</w:t>
      </w:r>
      <w:r w:rsidRPr="005269E5">
        <w:rPr>
          <w:bCs/>
        </w:rPr>
        <w:t xml:space="preserve">, </w:t>
      </w:r>
      <w:r>
        <w:rPr>
          <w:bCs/>
        </w:rPr>
        <w:t>la vivienda</w:t>
      </w:r>
      <w:r w:rsidRPr="005269E5">
        <w:rPr>
          <w:bCs/>
        </w:rPr>
        <w:t xml:space="preserve">, </w:t>
      </w:r>
      <w:r>
        <w:rPr>
          <w:bCs/>
        </w:rPr>
        <w:t>la atención de salud y la</w:t>
      </w:r>
      <w:r w:rsidR="005007D6">
        <w:rPr>
          <w:bCs/>
        </w:rPr>
        <w:t xml:space="preserve"> </w:t>
      </w:r>
      <w:r>
        <w:rPr>
          <w:bCs/>
        </w:rPr>
        <w:t>educación.</w:t>
      </w:r>
    </w:p>
    <w:p w:rsidR="000100D5" w:rsidRPr="005269E5" w:rsidRDefault="000100D5" w:rsidP="000100D5">
      <w:pPr>
        <w:pStyle w:val="SingleTxtG"/>
        <w:rPr>
          <w:bCs/>
        </w:rPr>
      </w:pPr>
      <w:r w:rsidRPr="005269E5">
        <w:t>150</w:t>
      </w:r>
      <w:r w:rsidRPr="005269E5">
        <w:rPr>
          <w:bCs/>
        </w:rPr>
        <w:t>.</w:t>
      </w:r>
      <w:r w:rsidRPr="005269E5">
        <w:rPr>
          <w:bCs/>
        </w:rPr>
        <w:tab/>
      </w:r>
      <w:r>
        <w:rPr>
          <w:bCs/>
        </w:rPr>
        <w:t xml:space="preserve">En las Leyes de igualdad en el empleo, de 1998 a </w:t>
      </w:r>
      <w:r w:rsidRPr="005269E5">
        <w:rPr>
          <w:bCs/>
        </w:rPr>
        <w:t>2008 (</w:t>
      </w:r>
      <w:r>
        <w:rPr>
          <w:bCs/>
        </w:rPr>
        <w:t>artículo</w:t>
      </w:r>
      <w:r w:rsidRPr="005269E5">
        <w:rPr>
          <w:bCs/>
        </w:rPr>
        <w:t xml:space="preserve"> 37</w:t>
      </w:r>
      <w:r>
        <w:rPr>
          <w:bCs/>
        </w:rPr>
        <w:t xml:space="preserve"> </w:t>
      </w:r>
      <w:r w:rsidRPr="005269E5">
        <w:rPr>
          <w:bCs/>
        </w:rPr>
        <w:t xml:space="preserve">2)) </w:t>
      </w:r>
      <w:r>
        <w:rPr>
          <w:bCs/>
        </w:rPr>
        <w:t xml:space="preserve">se </w:t>
      </w:r>
      <w:r w:rsidRPr="005269E5">
        <w:rPr>
          <w:bCs/>
        </w:rPr>
        <w:t>ex</w:t>
      </w:r>
      <w:r>
        <w:rPr>
          <w:bCs/>
        </w:rPr>
        <w:t>c</w:t>
      </w:r>
      <w:r w:rsidRPr="005269E5">
        <w:rPr>
          <w:bCs/>
        </w:rPr>
        <w:t>ept</w:t>
      </w:r>
      <w:r>
        <w:rPr>
          <w:bCs/>
        </w:rPr>
        <w:t>úan</w:t>
      </w:r>
      <w:r w:rsidRPr="005269E5">
        <w:rPr>
          <w:bCs/>
        </w:rPr>
        <w:t xml:space="preserve"> </w:t>
      </w:r>
      <w:r>
        <w:rPr>
          <w:bCs/>
        </w:rPr>
        <w:t xml:space="preserve">las </w:t>
      </w:r>
      <w:r w:rsidRPr="005269E5">
        <w:rPr>
          <w:bCs/>
        </w:rPr>
        <w:t>diferenc</w:t>
      </w:r>
      <w:r>
        <w:rPr>
          <w:bCs/>
        </w:rPr>
        <w:t>ias de tr</w:t>
      </w:r>
      <w:r w:rsidRPr="005269E5">
        <w:rPr>
          <w:bCs/>
        </w:rPr>
        <w:t>at</w:t>
      </w:r>
      <w:r>
        <w:rPr>
          <w:bCs/>
        </w:rPr>
        <w:t>o por motivos de raza cuando la</w:t>
      </w:r>
      <w:r w:rsidRPr="005269E5">
        <w:rPr>
          <w:bCs/>
        </w:rPr>
        <w:t xml:space="preserve"> ra</w:t>
      </w:r>
      <w:r>
        <w:rPr>
          <w:bCs/>
        </w:rPr>
        <w:t>za sea una calificación</w:t>
      </w:r>
      <w:r w:rsidRPr="005269E5">
        <w:rPr>
          <w:bCs/>
        </w:rPr>
        <w:t xml:space="preserve"> ocupa</w:t>
      </w:r>
      <w:r>
        <w:rPr>
          <w:bCs/>
        </w:rPr>
        <w:t>c</w:t>
      </w:r>
      <w:r w:rsidRPr="005269E5">
        <w:rPr>
          <w:bCs/>
        </w:rPr>
        <w:t>ional</w:t>
      </w:r>
      <w:r>
        <w:rPr>
          <w:bCs/>
        </w:rPr>
        <w:t xml:space="preserve"> para el puesto de que se</w:t>
      </w:r>
      <w:r w:rsidRPr="005269E5">
        <w:rPr>
          <w:bCs/>
        </w:rPr>
        <w:t xml:space="preserve"> </w:t>
      </w:r>
      <w:r>
        <w:rPr>
          <w:bCs/>
        </w:rPr>
        <w:t>trate</w:t>
      </w:r>
      <w:r w:rsidRPr="005269E5">
        <w:rPr>
          <w:bCs/>
        </w:rPr>
        <w:t xml:space="preserve">, </w:t>
      </w:r>
      <w:r>
        <w:rPr>
          <w:bCs/>
        </w:rPr>
        <w:t>p</w:t>
      </w:r>
      <w:r w:rsidRPr="005269E5">
        <w:rPr>
          <w:bCs/>
        </w:rPr>
        <w:t>or e</w:t>
      </w:r>
      <w:r>
        <w:rPr>
          <w:bCs/>
        </w:rPr>
        <w:t>jemplo</w:t>
      </w:r>
      <w:r w:rsidRPr="005269E5">
        <w:rPr>
          <w:bCs/>
        </w:rPr>
        <w:t xml:space="preserve">, </w:t>
      </w:r>
      <w:r>
        <w:rPr>
          <w:bCs/>
        </w:rPr>
        <w:t xml:space="preserve">por </w:t>
      </w:r>
      <w:r w:rsidRPr="005269E5">
        <w:rPr>
          <w:bCs/>
        </w:rPr>
        <w:t>ra</w:t>
      </w:r>
      <w:r>
        <w:rPr>
          <w:bCs/>
        </w:rPr>
        <w:t>z</w:t>
      </w:r>
      <w:r w:rsidRPr="005269E5">
        <w:rPr>
          <w:bCs/>
        </w:rPr>
        <w:t>on</w:t>
      </w:r>
      <w:r>
        <w:rPr>
          <w:bCs/>
        </w:rPr>
        <w:t>e</w:t>
      </w:r>
      <w:r w:rsidRPr="005269E5">
        <w:rPr>
          <w:bCs/>
        </w:rPr>
        <w:t xml:space="preserve">s </w:t>
      </w:r>
      <w:r>
        <w:rPr>
          <w:bCs/>
        </w:rPr>
        <w:t>de</w:t>
      </w:r>
      <w:r w:rsidRPr="005269E5">
        <w:rPr>
          <w:bCs/>
        </w:rPr>
        <w:t xml:space="preserve"> autentici</w:t>
      </w:r>
      <w:r>
        <w:rPr>
          <w:bCs/>
        </w:rPr>
        <w:t>dad</w:t>
      </w:r>
      <w:r w:rsidRPr="005269E5">
        <w:rPr>
          <w:bCs/>
        </w:rPr>
        <w:t xml:space="preserve">, </w:t>
      </w:r>
      <w:r>
        <w:rPr>
          <w:bCs/>
        </w:rPr>
        <w:t xml:space="preserve">de </w:t>
      </w:r>
      <w:r w:rsidRPr="005269E5">
        <w:rPr>
          <w:bCs/>
        </w:rPr>
        <w:t>est</w:t>
      </w:r>
      <w:r>
        <w:rPr>
          <w:bCs/>
        </w:rPr>
        <w:t>é</w:t>
      </w:r>
      <w:r w:rsidRPr="005269E5">
        <w:rPr>
          <w:bCs/>
        </w:rPr>
        <w:t>tic</w:t>
      </w:r>
      <w:r>
        <w:rPr>
          <w:bCs/>
        </w:rPr>
        <w:t>a</w:t>
      </w:r>
      <w:r w:rsidRPr="005269E5">
        <w:rPr>
          <w:bCs/>
        </w:rPr>
        <w:t xml:space="preserve">, </w:t>
      </w:r>
      <w:r>
        <w:rPr>
          <w:bCs/>
        </w:rPr>
        <w:t xml:space="preserve">de </w:t>
      </w:r>
      <w:r w:rsidRPr="005269E5">
        <w:rPr>
          <w:bCs/>
        </w:rPr>
        <w:t>tradi</w:t>
      </w:r>
      <w:r>
        <w:rPr>
          <w:bCs/>
        </w:rPr>
        <w:t>c</w:t>
      </w:r>
      <w:r w:rsidRPr="005269E5">
        <w:rPr>
          <w:bCs/>
        </w:rPr>
        <w:t>i</w:t>
      </w:r>
      <w:r>
        <w:rPr>
          <w:bCs/>
        </w:rPr>
        <w:t>ón</w:t>
      </w:r>
      <w:r w:rsidRPr="005269E5">
        <w:rPr>
          <w:bCs/>
        </w:rPr>
        <w:t xml:space="preserve"> o </w:t>
      </w:r>
      <w:r>
        <w:rPr>
          <w:bCs/>
        </w:rPr>
        <w:t xml:space="preserve">de </w:t>
      </w:r>
      <w:r w:rsidRPr="005269E5">
        <w:rPr>
          <w:bCs/>
        </w:rPr>
        <w:t>c</w:t>
      </w:r>
      <w:r>
        <w:rPr>
          <w:bCs/>
        </w:rPr>
        <w:t>o</w:t>
      </w:r>
      <w:r w:rsidRPr="005269E5">
        <w:rPr>
          <w:bCs/>
        </w:rPr>
        <w:t>st</w:t>
      </w:r>
      <w:r>
        <w:rPr>
          <w:bCs/>
        </w:rPr>
        <w:t>u</w:t>
      </w:r>
      <w:r w:rsidRPr="005269E5">
        <w:rPr>
          <w:bCs/>
        </w:rPr>
        <w:t>m</w:t>
      </w:r>
      <w:r>
        <w:rPr>
          <w:bCs/>
        </w:rPr>
        <w:t>bre</w:t>
      </w:r>
      <w:r w:rsidRPr="005269E5">
        <w:rPr>
          <w:bCs/>
        </w:rPr>
        <w:t xml:space="preserve"> </w:t>
      </w:r>
      <w:r>
        <w:rPr>
          <w:bCs/>
        </w:rPr>
        <w:t>e</w:t>
      </w:r>
      <w:r w:rsidRPr="005269E5">
        <w:rPr>
          <w:bCs/>
        </w:rPr>
        <w:t xml:space="preserve">n </w:t>
      </w:r>
      <w:r>
        <w:rPr>
          <w:bCs/>
        </w:rPr>
        <w:t xml:space="preserve">relación </w:t>
      </w:r>
      <w:r w:rsidRPr="005269E5">
        <w:rPr>
          <w:bCs/>
        </w:rPr>
        <w:t xml:space="preserve">con </w:t>
      </w:r>
      <w:r>
        <w:rPr>
          <w:bCs/>
        </w:rPr>
        <w:t>determinada obra teatral u otro espectáculo.</w:t>
      </w:r>
    </w:p>
    <w:p w:rsidR="000100D5" w:rsidRPr="000F5127" w:rsidRDefault="000100D5" w:rsidP="000100D5">
      <w:pPr>
        <w:pStyle w:val="SingleTxtG"/>
        <w:rPr>
          <w:bCs/>
        </w:rPr>
      </w:pPr>
      <w:r w:rsidRPr="005269E5">
        <w:t>151</w:t>
      </w:r>
      <w:r w:rsidRPr="005269E5">
        <w:rPr>
          <w:bCs/>
        </w:rPr>
        <w:t>.</w:t>
      </w:r>
      <w:r w:rsidRPr="005269E5">
        <w:rPr>
          <w:bCs/>
        </w:rPr>
        <w:tab/>
      </w:r>
      <w:r>
        <w:rPr>
          <w:bCs/>
        </w:rPr>
        <w:t>A finales de 2009 se examinará el impacto de la</w:t>
      </w:r>
      <w:r w:rsidRPr="005269E5">
        <w:rPr>
          <w:bCs/>
        </w:rPr>
        <w:t xml:space="preserve"> legisla</w:t>
      </w:r>
      <w:r>
        <w:rPr>
          <w:bCs/>
        </w:rPr>
        <w:t>c</w:t>
      </w:r>
      <w:r w:rsidRPr="005269E5">
        <w:rPr>
          <w:bCs/>
        </w:rPr>
        <w:t>i</w:t>
      </w:r>
      <w:r>
        <w:rPr>
          <w:bCs/>
        </w:rPr>
        <w:t>ó</w:t>
      </w:r>
      <w:r w:rsidRPr="005269E5">
        <w:rPr>
          <w:bCs/>
        </w:rPr>
        <w:t xml:space="preserve">n </w:t>
      </w:r>
      <w:r>
        <w:rPr>
          <w:bCs/>
        </w:rPr>
        <w:t>de Irlanda en materia de igualdad,</w:t>
      </w:r>
      <w:r w:rsidRPr="005269E5">
        <w:rPr>
          <w:bCs/>
        </w:rPr>
        <w:t xml:space="preserve"> t</w:t>
      </w:r>
      <w:r>
        <w:rPr>
          <w:bCs/>
        </w:rPr>
        <w:t>ras lo cual se celebrará una conferencia</w:t>
      </w:r>
      <w:r w:rsidRPr="005269E5">
        <w:rPr>
          <w:bCs/>
        </w:rPr>
        <w:t xml:space="preserve"> interna</w:t>
      </w:r>
      <w:r>
        <w:rPr>
          <w:bCs/>
        </w:rPr>
        <w:t>c</w:t>
      </w:r>
      <w:r w:rsidRPr="005269E5">
        <w:rPr>
          <w:bCs/>
        </w:rPr>
        <w:t xml:space="preserve">ional </w:t>
      </w:r>
      <w:r>
        <w:rPr>
          <w:bCs/>
        </w:rPr>
        <w:t>el año siguiente</w:t>
      </w:r>
      <w:r w:rsidRPr="005269E5">
        <w:rPr>
          <w:bCs/>
        </w:rPr>
        <w:t xml:space="preserve">. </w:t>
      </w:r>
      <w:r w:rsidR="00593DE9">
        <w:rPr>
          <w:bCs/>
        </w:rPr>
        <w:t>La </w:t>
      </w:r>
      <w:r w:rsidRPr="000F5127">
        <w:rPr>
          <w:bCs/>
        </w:rPr>
        <w:t>investigación estará</w:t>
      </w:r>
      <w:r>
        <w:rPr>
          <w:bCs/>
        </w:rPr>
        <w:t xml:space="preserve"> patrocinada conjuntamente por </w:t>
      </w:r>
      <w:r w:rsidRPr="000F5127">
        <w:rPr>
          <w:bCs/>
        </w:rPr>
        <w:t>l</w:t>
      </w:r>
      <w:r>
        <w:rPr>
          <w:bCs/>
        </w:rPr>
        <w:t>a</w:t>
      </w:r>
      <w:r w:rsidRPr="000F5127">
        <w:rPr>
          <w:bCs/>
        </w:rPr>
        <w:t xml:space="preserve"> </w:t>
      </w:r>
      <w:r>
        <w:rPr>
          <w:bCs/>
        </w:rPr>
        <w:t>Dirección</w:t>
      </w:r>
      <w:r w:rsidRPr="000F5127">
        <w:rPr>
          <w:bCs/>
        </w:rPr>
        <w:t xml:space="preserve"> de la Igualdad, </w:t>
      </w:r>
      <w:r>
        <w:rPr>
          <w:bCs/>
        </w:rPr>
        <w:t>el</w:t>
      </w:r>
      <w:r w:rsidR="005007D6">
        <w:rPr>
          <w:bCs/>
        </w:rPr>
        <w:t xml:space="preserve"> </w:t>
      </w:r>
      <w:r w:rsidRPr="000F5127">
        <w:rPr>
          <w:bCs/>
        </w:rPr>
        <w:t xml:space="preserve">Tribunal </w:t>
      </w:r>
      <w:r>
        <w:rPr>
          <w:bCs/>
        </w:rPr>
        <w:t>de la Igualdad y el</w:t>
      </w:r>
      <w:r w:rsidRPr="000F5127">
        <w:rPr>
          <w:bCs/>
        </w:rPr>
        <w:t xml:space="preserve"> Depart</w:t>
      </w:r>
      <w:r>
        <w:rPr>
          <w:bCs/>
        </w:rPr>
        <w:t>a</w:t>
      </w:r>
      <w:r w:rsidRPr="000F5127">
        <w:rPr>
          <w:bCs/>
        </w:rPr>
        <w:t>ment</w:t>
      </w:r>
      <w:r>
        <w:rPr>
          <w:bCs/>
        </w:rPr>
        <w:t>o de</w:t>
      </w:r>
      <w:r w:rsidRPr="000F5127">
        <w:rPr>
          <w:bCs/>
        </w:rPr>
        <w:t xml:space="preserve"> Justic</w:t>
      </w:r>
      <w:r>
        <w:rPr>
          <w:bCs/>
        </w:rPr>
        <w:t>ia</w:t>
      </w:r>
      <w:r w:rsidRPr="000F5127">
        <w:rPr>
          <w:bCs/>
        </w:rPr>
        <w:t xml:space="preserve">, </w:t>
      </w:r>
      <w:r>
        <w:rPr>
          <w:bCs/>
        </w:rPr>
        <w:t>Igualdad y</w:t>
      </w:r>
      <w:r w:rsidRPr="000F5127">
        <w:rPr>
          <w:bCs/>
        </w:rPr>
        <w:t xml:space="preserve"> Reform</w:t>
      </w:r>
      <w:r>
        <w:rPr>
          <w:bCs/>
        </w:rPr>
        <w:t>a Jurídica</w:t>
      </w:r>
      <w:r w:rsidRPr="000F5127">
        <w:rPr>
          <w:bCs/>
        </w:rPr>
        <w:t>.</w:t>
      </w:r>
    </w:p>
    <w:p w:rsidR="000100D5" w:rsidRPr="005269E5" w:rsidRDefault="000100D5" w:rsidP="000100D5">
      <w:pPr>
        <w:pStyle w:val="SingleTxtG"/>
      </w:pPr>
      <w:r w:rsidRPr="005269E5">
        <w:t>152.</w:t>
      </w:r>
      <w:r w:rsidRPr="005269E5">
        <w:tab/>
      </w:r>
      <w:r>
        <w:t>Desde que el Estado presentó su ultimo informe al Comité</w:t>
      </w:r>
      <w:r w:rsidRPr="005269E5">
        <w:t xml:space="preserve">, </w:t>
      </w:r>
      <w:r>
        <w:t>Irlanda ha adoptado una serie de medidas importantes para</w:t>
      </w:r>
      <w:r w:rsidRPr="005269E5">
        <w:t xml:space="preserve"> combat</w:t>
      </w:r>
      <w:r>
        <w:t>ir</w:t>
      </w:r>
      <w:r w:rsidRPr="005269E5">
        <w:t xml:space="preserve"> </w:t>
      </w:r>
      <w:r>
        <w:t>el racismo y potenciar la integración.</w:t>
      </w:r>
    </w:p>
    <w:p w:rsidR="000100D5" w:rsidRPr="005269E5" w:rsidRDefault="000100D5" w:rsidP="000100D5">
      <w:pPr>
        <w:pStyle w:val="H23G"/>
      </w:pPr>
      <w:r w:rsidRPr="005269E5">
        <w:tab/>
        <w:t>1.</w:t>
      </w:r>
      <w:r w:rsidRPr="005269E5">
        <w:tab/>
      </w:r>
      <w:r>
        <w:t xml:space="preserve">Plan de Acción </w:t>
      </w:r>
      <w:r w:rsidRPr="005269E5">
        <w:t>Na</w:t>
      </w:r>
      <w:r>
        <w:t>c</w:t>
      </w:r>
      <w:r w:rsidRPr="005269E5">
        <w:t xml:space="preserve">ional </w:t>
      </w:r>
      <w:r>
        <w:t>contra el</w:t>
      </w:r>
      <w:r w:rsidRPr="005269E5">
        <w:t xml:space="preserve"> Racism</w:t>
      </w:r>
      <w:r>
        <w:t>o</w:t>
      </w:r>
    </w:p>
    <w:p w:rsidR="000100D5" w:rsidRPr="00314CC0" w:rsidRDefault="000100D5" w:rsidP="000100D5">
      <w:pPr>
        <w:pStyle w:val="SingleTxtG"/>
      </w:pPr>
      <w:r w:rsidRPr="005269E5">
        <w:t>153.</w:t>
      </w:r>
      <w:r w:rsidRPr="005269E5">
        <w:tab/>
      </w:r>
      <w:r w:rsidR="00C67360">
        <w:t>"</w:t>
      </w:r>
      <w:r w:rsidRPr="005269E5">
        <w:t>Plani</w:t>
      </w:r>
      <w:r>
        <w:t>ficación de la</w:t>
      </w:r>
      <w:r w:rsidRPr="005269E5">
        <w:t xml:space="preserve"> </w:t>
      </w:r>
      <w:r>
        <w:t>d</w:t>
      </w:r>
      <w:r w:rsidRPr="005269E5">
        <w:t>iversi</w:t>
      </w:r>
      <w:r>
        <w:t>dad</w:t>
      </w:r>
      <w:r w:rsidR="00C67360">
        <w:t>"</w:t>
      </w:r>
      <w:r w:rsidRPr="005269E5">
        <w:t xml:space="preserve">, </w:t>
      </w:r>
      <w:r>
        <w:t>el Plan de</w:t>
      </w:r>
      <w:r w:rsidRPr="005269E5">
        <w:t xml:space="preserve"> Ac</w:t>
      </w:r>
      <w:r>
        <w:t>c</w:t>
      </w:r>
      <w:r w:rsidRPr="005269E5">
        <w:t>i</w:t>
      </w:r>
      <w:r>
        <w:t>ó</w:t>
      </w:r>
      <w:r w:rsidRPr="005269E5">
        <w:t xml:space="preserve">n </w:t>
      </w:r>
      <w:r>
        <w:t>Nacional contra el Racismo, de</w:t>
      </w:r>
      <w:r w:rsidR="00593DE9">
        <w:t> </w:t>
      </w:r>
      <w:r w:rsidRPr="005269E5">
        <w:t>2005</w:t>
      </w:r>
      <w:r>
        <w:t xml:space="preserve"> a </w:t>
      </w:r>
      <w:r w:rsidRPr="005269E5">
        <w:t>2008</w:t>
      </w:r>
      <w:r>
        <w:t>,</w:t>
      </w:r>
      <w:r w:rsidRPr="005269E5">
        <w:t xml:space="preserve"> </w:t>
      </w:r>
      <w:r>
        <w:t>fue lanzado en enero de</w:t>
      </w:r>
      <w:r w:rsidRPr="005269E5">
        <w:t xml:space="preserve"> 2005 </w:t>
      </w:r>
      <w:r>
        <w:t>por los entonces</w:t>
      </w:r>
      <w:r w:rsidRPr="005269E5">
        <w:t xml:space="preserve"> Taoiseach (Prime</w:t>
      </w:r>
      <w:r>
        <w:t>r</w:t>
      </w:r>
      <w:r w:rsidRPr="005269E5">
        <w:t xml:space="preserve"> Ministr</w:t>
      </w:r>
      <w:r>
        <w:t>o</w:t>
      </w:r>
      <w:r w:rsidRPr="005269E5">
        <w:t xml:space="preserve">) </w:t>
      </w:r>
      <w:r>
        <w:t>y el</w:t>
      </w:r>
      <w:r w:rsidRPr="005269E5">
        <w:t xml:space="preserve"> Ministr</w:t>
      </w:r>
      <w:r>
        <w:t>o de</w:t>
      </w:r>
      <w:r w:rsidRPr="005269E5">
        <w:t xml:space="preserve"> Justic</w:t>
      </w:r>
      <w:r>
        <w:t>ia</w:t>
      </w:r>
      <w:r w:rsidRPr="005269E5">
        <w:t xml:space="preserve">, </w:t>
      </w:r>
      <w:r>
        <w:t xml:space="preserve">Igualdad y </w:t>
      </w:r>
      <w:r w:rsidRPr="005269E5">
        <w:t>Reform</w:t>
      </w:r>
      <w:r>
        <w:t>a</w:t>
      </w:r>
      <w:r w:rsidRPr="005269E5">
        <w:t xml:space="preserve">. </w:t>
      </w:r>
      <w:r w:rsidRPr="00314CC0">
        <w:t>E</w:t>
      </w:r>
      <w:r>
        <w:t>n e</w:t>
      </w:r>
      <w:r w:rsidRPr="00314CC0">
        <w:t xml:space="preserve">l Plan </w:t>
      </w:r>
      <w:r>
        <w:t>se ofrecen</w:t>
      </w:r>
      <w:r w:rsidRPr="00314CC0">
        <w:t xml:space="preserve"> direc</w:t>
      </w:r>
      <w:r>
        <w:t>trices</w:t>
      </w:r>
      <w:r w:rsidRPr="00314CC0">
        <w:t xml:space="preserve"> estratégica</w:t>
      </w:r>
      <w:r>
        <w:t>s</w:t>
      </w:r>
      <w:r w:rsidRPr="00314CC0">
        <w:t xml:space="preserve"> para </w:t>
      </w:r>
      <w:r>
        <w:t xml:space="preserve">luchar </w:t>
      </w:r>
      <w:r w:rsidRPr="00314CC0">
        <w:t>co</w:t>
      </w:r>
      <w:r>
        <w:t>ntra</w:t>
      </w:r>
      <w:r w:rsidRPr="00314CC0">
        <w:t xml:space="preserve"> el racismo y </w:t>
      </w:r>
      <w:r>
        <w:t>favorecer la creación de una sociedad</w:t>
      </w:r>
      <w:r w:rsidRPr="00314CC0">
        <w:t xml:space="preserve"> m</w:t>
      </w:r>
      <w:r>
        <w:t>ás acogedora e</w:t>
      </w:r>
      <w:r w:rsidRPr="00314CC0">
        <w:t xml:space="preserve"> </w:t>
      </w:r>
      <w:r>
        <w:t>multi</w:t>
      </w:r>
      <w:r w:rsidRPr="00314CC0">
        <w:t xml:space="preserve">cultural </w:t>
      </w:r>
      <w:r>
        <w:t>en Ir</w:t>
      </w:r>
      <w:r w:rsidRPr="00314CC0">
        <w:t>land</w:t>
      </w:r>
      <w:r>
        <w:t>a</w:t>
      </w:r>
      <w:r w:rsidRPr="00314CC0">
        <w:t>.</w:t>
      </w:r>
    </w:p>
    <w:p w:rsidR="000100D5" w:rsidRPr="0030313D" w:rsidRDefault="000100D5" w:rsidP="000100D5">
      <w:pPr>
        <w:pStyle w:val="SingleTxtG"/>
      </w:pPr>
      <w:r w:rsidRPr="005269E5">
        <w:t>154.</w:t>
      </w:r>
      <w:r w:rsidRPr="005269E5">
        <w:tab/>
      </w:r>
      <w:r>
        <w:t>El Plan de</w:t>
      </w:r>
      <w:r w:rsidRPr="005269E5">
        <w:t xml:space="preserve"> Ac</w:t>
      </w:r>
      <w:r>
        <w:t>c</w:t>
      </w:r>
      <w:r w:rsidRPr="005269E5">
        <w:t>i</w:t>
      </w:r>
      <w:r>
        <w:t>ó</w:t>
      </w:r>
      <w:r w:rsidRPr="005269E5">
        <w:t xml:space="preserve">n </w:t>
      </w:r>
      <w:r>
        <w:t>Nacional contra el</w:t>
      </w:r>
      <w:r w:rsidRPr="005269E5">
        <w:t xml:space="preserve"> </w:t>
      </w:r>
      <w:r>
        <w:t>Racismo tuv</w:t>
      </w:r>
      <w:r w:rsidRPr="005269E5">
        <w:t>o</w:t>
      </w:r>
      <w:r>
        <w:t xml:space="preserve"> su o</w:t>
      </w:r>
      <w:r w:rsidRPr="005269E5">
        <w:t>rig</w:t>
      </w:r>
      <w:r>
        <w:t>e</w:t>
      </w:r>
      <w:r w:rsidRPr="005269E5">
        <w:t>n</w:t>
      </w:r>
      <w:r>
        <w:t xml:space="preserve"> en los</w:t>
      </w:r>
      <w:r w:rsidRPr="005269E5">
        <w:t xml:space="preserve"> com</w:t>
      </w:r>
      <w:r>
        <w:t>promisos</w:t>
      </w:r>
      <w:r w:rsidRPr="005269E5">
        <w:t xml:space="preserve"> </w:t>
      </w:r>
      <w:r>
        <w:t>contraídos por los Gobiernos en la</w:t>
      </w:r>
      <w:r w:rsidRPr="005269E5">
        <w:t xml:space="preserve"> Conferenc</w:t>
      </w:r>
      <w:r>
        <w:t>ia Mundial de las Naciones Unidas contra el</w:t>
      </w:r>
      <w:r w:rsidRPr="005269E5">
        <w:t xml:space="preserve"> Racism</w:t>
      </w:r>
      <w:r>
        <w:t>o, celebrada</w:t>
      </w:r>
      <w:r w:rsidRPr="005269E5">
        <w:t xml:space="preserve"> </w:t>
      </w:r>
      <w:r>
        <w:t>e</w:t>
      </w:r>
      <w:r w:rsidRPr="005269E5">
        <w:t>n Durban, Su</w:t>
      </w:r>
      <w:r>
        <w:t>dáfrica,</w:t>
      </w:r>
      <w:r w:rsidRPr="005269E5">
        <w:t xml:space="preserve"> </w:t>
      </w:r>
      <w:r>
        <w:t>e</w:t>
      </w:r>
      <w:r w:rsidRPr="005269E5">
        <w:t>n 2001</w:t>
      </w:r>
      <w:r>
        <w:t>,</w:t>
      </w:r>
      <w:r w:rsidRPr="005269E5">
        <w:t xml:space="preserve"> </w:t>
      </w:r>
      <w:r>
        <w:t xml:space="preserve">de que cada Estado </w:t>
      </w:r>
      <w:r w:rsidRPr="005269E5">
        <w:t>m</w:t>
      </w:r>
      <w:r>
        <w:t>i</w:t>
      </w:r>
      <w:r w:rsidRPr="005269E5">
        <w:t>emb</w:t>
      </w:r>
      <w:r>
        <w:t>ro</w:t>
      </w:r>
      <w:r w:rsidRPr="005269E5">
        <w:t xml:space="preserve"> de</w:t>
      </w:r>
      <w:r>
        <w:t xml:space="preserve"> la Organización elaborase y aplicase un plan de acción nacional</w:t>
      </w:r>
      <w:r w:rsidRPr="005269E5">
        <w:t xml:space="preserve">. </w:t>
      </w:r>
      <w:r w:rsidRPr="00E56050">
        <w:t xml:space="preserve">Irlanda fue uno de los primeros Estados en poner en marcha un Plan de Acción Nacional contra el Racismo. </w:t>
      </w:r>
      <w:r w:rsidR="00593DE9">
        <w:t>El </w:t>
      </w:r>
      <w:r>
        <w:t>Plan estuvo funcionando entre</w:t>
      </w:r>
      <w:r w:rsidRPr="00E56050">
        <w:t xml:space="preserve"> 2005 y 2008. Dado que el racismo es un grave obst</w:t>
      </w:r>
      <w:r>
        <w:t>áculo para la</w:t>
      </w:r>
      <w:r w:rsidRPr="00E56050">
        <w:t xml:space="preserve"> integra</w:t>
      </w:r>
      <w:r>
        <w:t>c</w:t>
      </w:r>
      <w:r w:rsidRPr="00E56050">
        <w:t>i</w:t>
      </w:r>
      <w:r>
        <w:t>ó</w:t>
      </w:r>
      <w:r w:rsidRPr="00E56050">
        <w:t xml:space="preserve">n, </w:t>
      </w:r>
      <w:r>
        <w:t>se mantendrá como uno de los ejes del programa global de</w:t>
      </w:r>
      <w:r w:rsidRPr="00E56050">
        <w:t xml:space="preserve"> integra</w:t>
      </w:r>
      <w:r>
        <w:t>c</w:t>
      </w:r>
      <w:r w:rsidRPr="00E56050">
        <w:t>i</w:t>
      </w:r>
      <w:r>
        <w:t>ó</w:t>
      </w:r>
      <w:r w:rsidRPr="00E56050">
        <w:t>n</w:t>
      </w:r>
      <w:r>
        <w:t>.</w:t>
      </w:r>
      <w:r w:rsidRPr="00E56050">
        <w:t xml:space="preserve"> En el informe final del grupo directivo </w:t>
      </w:r>
      <w:r>
        <w:t>establecido</w:t>
      </w:r>
      <w:r w:rsidRPr="00E56050">
        <w:t xml:space="preserve"> para supervisar la aplicación del plan figura un esbozo de las medidas empr</w:t>
      </w:r>
      <w:r>
        <w:t>e</w:t>
      </w:r>
      <w:r w:rsidRPr="00E56050">
        <w:t>ndidas durante el tiempo en que el Plan de Acci</w:t>
      </w:r>
      <w:r>
        <w:t>ón Nacional estuvo en vigor</w:t>
      </w:r>
      <w:r>
        <w:rPr>
          <w:rStyle w:val="FootnoteReference"/>
        </w:rPr>
        <w:footnoteReference w:id="45"/>
      </w:r>
      <w:r w:rsidR="001F5C61">
        <w:t>.</w:t>
      </w:r>
    </w:p>
    <w:p w:rsidR="000100D5" w:rsidRPr="005269E5" w:rsidRDefault="000100D5" w:rsidP="000100D5">
      <w:pPr>
        <w:pStyle w:val="H23G"/>
      </w:pPr>
      <w:r w:rsidRPr="00E56050">
        <w:tab/>
      </w:r>
      <w:r w:rsidRPr="005269E5">
        <w:t>2.</w:t>
      </w:r>
      <w:r w:rsidRPr="005269E5">
        <w:tab/>
      </w:r>
      <w:r>
        <w:t xml:space="preserve">Año </w:t>
      </w:r>
      <w:r w:rsidRPr="005269E5">
        <w:t>Europe</w:t>
      </w:r>
      <w:r>
        <w:t>o para el Diálogo</w:t>
      </w:r>
      <w:r w:rsidRPr="005269E5">
        <w:t xml:space="preserve"> Intercultural</w:t>
      </w:r>
    </w:p>
    <w:p w:rsidR="000100D5" w:rsidRPr="005269E5" w:rsidRDefault="000100D5" w:rsidP="000100D5">
      <w:pPr>
        <w:pStyle w:val="SingleTxtG"/>
      </w:pPr>
      <w:r w:rsidRPr="005269E5">
        <w:t>155.</w:t>
      </w:r>
      <w:r w:rsidRPr="005269E5">
        <w:tab/>
        <w:t>Irland</w:t>
      </w:r>
      <w:r>
        <w:t>a</w:t>
      </w:r>
      <w:r w:rsidRPr="005269E5">
        <w:t xml:space="preserve"> </w:t>
      </w:r>
      <w:r>
        <w:t xml:space="preserve">participó </w:t>
      </w:r>
      <w:r w:rsidRPr="005269E5">
        <w:t>activ</w:t>
      </w:r>
      <w:r>
        <w:t>amente en 2008 e</w:t>
      </w:r>
      <w:r w:rsidRPr="005269E5">
        <w:t xml:space="preserve">n </w:t>
      </w:r>
      <w:r>
        <w:t xml:space="preserve">la </w:t>
      </w:r>
      <w:r w:rsidRPr="005269E5">
        <w:t>promo</w:t>
      </w:r>
      <w:r>
        <w:t>ción del Año</w:t>
      </w:r>
      <w:r w:rsidRPr="005269E5">
        <w:t xml:space="preserve"> Europe</w:t>
      </w:r>
      <w:r>
        <w:t>o</w:t>
      </w:r>
      <w:r w:rsidRPr="005269E5">
        <w:t xml:space="preserve"> </w:t>
      </w:r>
      <w:r>
        <w:t>para el Diálogo</w:t>
      </w:r>
      <w:r w:rsidRPr="005269E5">
        <w:t xml:space="preserve"> Intercultural.</w:t>
      </w:r>
    </w:p>
    <w:p w:rsidR="000100D5" w:rsidRPr="005269E5" w:rsidRDefault="000100D5" w:rsidP="000100D5">
      <w:pPr>
        <w:pStyle w:val="H23G"/>
      </w:pPr>
      <w:r w:rsidRPr="005269E5">
        <w:tab/>
        <w:t>3.</w:t>
      </w:r>
      <w:r w:rsidRPr="005269E5">
        <w:tab/>
      </w:r>
      <w:r>
        <w:t xml:space="preserve">Semana </w:t>
      </w:r>
      <w:r w:rsidRPr="005269E5">
        <w:t>Intercu</w:t>
      </w:r>
      <w:r>
        <w:t xml:space="preserve">ltural y contra el </w:t>
      </w:r>
      <w:r w:rsidRPr="005269E5">
        <w:t>Racism</w:t>
      </w:r>
      <w:r>
        <w:t>o</w:t>
      </w:r>
    </w:p>
    <w:p w:rsidR="000100D5" w:rsidRPr="005269E5" w:rsidRDefault="000100D5" w:rsidP="000100D5">
      <w:pPr>
        <w:pStyle w:val="SingleTxtG"/>
      </w:pPr>
      <w:r>
        <w:t>156.</w:t>
      </w:r>
      <w:r>
        <w:tab/>
        <w:t>Véanse párrafos 361 y 362.</w:t>
      </w:r>
    </w:p>
    <w:p w:rsidR="000100D5" w:rsidRPr="005269E5" w:rsidRDefault="000100D5" w:rsidP="000100D5">
      <w:pPr>
        <w:pStyle w:val="H23G"/>
      </w:pPr>
      <w:r w:rsidRPr="005269E5">
        <w:tab/>
        <w:t>4.</w:t>
      </w:r>
      <w:r w:rsidRPr="005269E5">
        <w:tab/>
      </w:r>
      <w:r>
        <w:t>Estrategia de</w:t>
      </w:r>
      <w:r w:rsidRPr="005269E5">
        <w:t xml:space="preserve"> ac</w:t>
      </w:r>
      <w:r>
        <w:t>c</w:t>
      </w:r>
      <w:r w:rsidRPr="005269E5">
        <w:t>i</w:t>
      </w:r>
      <w:r>
        <w:t>ó</w:t>
      </w:r>
      <w:r w:rsidRPr="005269E5">
        <w:t>n</w:t>
      </w:r>
      <w:r w:rsidR="005007D6">
        <w:t xml:space="preserve"> </w:t>
      </w:r>
      <w:r>
        <w:t>para apoyar los lugares de trabajo integrados</w:t>
      </w:r>
    </w:p>
    <w:p w:rsidR="000100D5" w:rsidRPr="005269E5" w:rsidRDefault="000100D5" w:rsidP="000100D5">
      <w:pPr>
        <w:pStyle w:val="SingleTxtG"/>
      </w:pPr>
      <w:r w:rsidRPr="005269E5">
        <w:t>157</w:t>
      </w:r>
      <w:r>
        <w:t>.</w:t>
      </w:r>
      <w:r>
        <w:tab/>
        <w:t>Véanse párrafos 363 y ss.</w:t>
      </w:r>
    </w:p>
    <w:p w:rsidR="000100D5" w:rsidRPr="005269E5" w:rsidRDefault="000100D5" w:rsidP="000100D5">
      <w:pPr>
        <w:pStyle w:val="H23G"/>
      </w:pPr>
      <w:r>
        <w:tab/>
        <w:t>5.</w:t>
      </w:r>
      <w:r>
        <w:tab/>
        <w:t>Día de la Memoria del Holocausto</w:t>
      </w:r>
    </w:p>
    <w:p w:rsidR="000100D5" w:rsidRPr="00D6467E" w:rsidRDefault="000100D5" w:rsidP="000100D5">
      <w:pPr>
        <w:pStyle w:val="SingleTxtG"/>
      </w:pPr>
      <w:r w:rsidRPr="005269E5">
        <w:t>158.</w:t>
      </w:r>
      <w:r w:rsidRPr="005269E5">
        <w:tab/>
      </w:r>
      <w:r>
        <w:t>La</w:t>
      </w:r>
      <w:r w:rsidRPr="005269E5">
        <w:t xml:space="preserve"> Ofic</w:t>
      </w:r>
      <w:r>
        <w:t>ina del</w:t>
      </w:r>
      <w:r w:rsidRPr="005269E5">
        <w:t xml:space="preserve"> Ministr</w:t>
      </w:r>
      <w:r>
        <w:t>o para la</w:t>
      </w:r>
      <w:r w:rsidRPr="005269E5">
        <w:t xml:space="preserve"> Integra</w:t>
      </w:r>
      <w:r>
        <w:t>c</w:t>
      </w:r>
      <w:r w:rsidRPr="005269E5">
        <w:t>i</w:t>
      </w:r>
      <w:r>
        <w:t>ó</w:t>
      </w:r>
      <w:r w:rsidRPr="005269E5">
        <w:t xml:space="preserve">n </w:t>
      </w:r>
      <w:r>
        <w:t>facilita ayuda, inclusive de tipo financiero</w:t>
      </w:r>
      <w:r w:rsidRPr="005269E5">
        <w:t xml:space="preserve">, </w:t>
      </w:r>
      <w:r>
        <w:t>para conmemorar el</w:t>
      </w:r>
      <w:r w:rsidRPr="005269E5">
        <w:t xml:space="preserve"> </w:t>
      </w:r>
      <w:r>
        <w:t xml:space="preserve">Día de la Memoria del </w:t>
      </w:r>
      <w:r w:rsidRPr="005269E5">
        <w:t>Holocaust</w:t>
      </w:r>
      <w:r>
        <w:t>o, que se celebra en</w:t>
      </w:r>
      <w:r w:rsidRPr="005269E5">
        <w:t xml:space="preserve"> Irland</w:t>
      </w:r>
      <w:r>
        <w:t>a</w:t>
      </w:r>
      <w:r w:rsidRPr="005269E5">
        <w:t xml:space="preserve"> </w:t>
      </w:r>
      <w:r>
        <w:t>el domingo más próximo al</w:t>
      </w:r>
      <w:r w:rsidRPr="005269E5">
        <w:t xml:space="preserve"> 27 </w:t>
      </w:r>
      <w:r>
        <w:t xml:space="preserve">de enero, aniversario de </w:t>
      </w:r>
      <w:r w:rsidR="00593DE9">
        <w:t>la fecha en que se liberó en </w:t>
      </w:r>
      <w:r>
        <w:t>1945 el campo de concentración de</w:t>
      </w:r>
      <w:r w:rsidRPr="005269E5">
        <w:t xml:space="preserve"> Auschwitz </w:t>
      </w:r>
      <w:r>
        <w:t>–</w:t>
      </w:r>
      <w:r w:rsidRPr="005269E5">
        <w:t xml:space="preserve"> Birkenau</w:t>
      </w:r>
      <w:r>
        <w:t xml:space="preserve">. </w:t>
      </w:r>
      <w:r w:rsidRPr="00D6467E">
        <w:t>El Holocausto ofrece una plataforma que permite estudiar todas las</w:t>
      </w:r>
      <w:r>
        <w:t xml:space="preserve"> form</w:t>
      </w:r>
      <w:r w:rsidRPr="00D6467E">
        <w:t>as</w:t>
      </w:r>
      <w:r>
        <w:t xml:space="preserve"> de</w:t>
      </w:r>
      <w:r w:rsidRPr="00D6467E">
        <w:t xml:space="preserve"> discrimina</w:t>
      </w:r>
      <w:r>
        <w:t>c</w:t>
      </w:r>
      <w:r w:rsidRPr="00D6467E">
        <w:t>i</w:t>
      </w:r>
      <w:r>
        <w:t>ón</w:t>
      </w:r>
      <w:r w:rsidRPr="00D6467E">
        <w:t xml:space="preserve"> </w:t>
      </w:r>
      <w:r>
        <w:t>y</w:t>
      </w:r>
      <w:r w:rsidRPr="00D6467E">
        <w:t xml:space="preserve"> </w:t>
      </w:r>
      <w:r>
        <w:t xml:space="preserve">de </w:t>
      </w:r>
      <w:r w:rsidRPr="00D6467E">
        <w:t>prejuic</w:t>
      </w:r>
      <w:r>
        <w:t>ios</w:t>
      </w:r>
      <w:r w:rsidR="00593DE9">
        <w:t>. La </w:t>
      </w:r>
      <w:r w:rsidRPr="00D6467E">
        <w:t xml:space="preserve">experiencia del Holocausto no ha perdido un ápice de su vigencia en la sociedad de hoy y ocupa un lugar privilegiado en </w:t>
      </w:r>
      <w:r>
        <w:t xml:space="preserve">Irlanda entre </w:t>
      </w:r>
      <w:r w:rsidRPr="00D6467E">
        <w:t xml:space="preserve">las iniciativas para </w:t>
      </w:r>
      <w:r>
        <w:t>combati</w:t>
      </w:r>
      <w:r w:rsidRPr="00D6467E">
        <w:t>r el racismo y los prejuicios a todos los niveles.</w:t>
      </w:r>
    </w:p>
    <w:p w:rsidR="000100D5" w:rsidRPr="005269E5" w:rsidRDefault="000100D5" w:rsidP="000100D5">
      <w:pPr>
        <w:pStyle w:val="SingleTxtG"/>
      </w:pPr>
      <w:r>
        <w:t>159.</w:t>
      </w:r>
      <w:r>
        <w:tab/>
        <w:t>E</w:t>
      </w:r>
      <w:r w:rsidRPr="005269E5">
        <w:t xml:space="preserve">n 2008, </w:t>
      </w:r>
      <w:r>
        <w:t>la</w:t>
      </w:r>
      <w:r w:rsidRPr="005269E5">
        <w:t xml:space="preserve"> Ofic</w:t>
      </w:r>
      <w:r>
        <w:t>ina del</w:t>
      </w:r>
      <w:r w:rsidRPr="005269E5">
        <w:t xml:space="preserve"> Ministr</w:t>
      </w:r>
      <w:r>
        <w:t>o para la</w:t>
      </w:r>
      <w:r w:rsidRPr="005269E5">
        <w:t xml:space="preserve"> Integra</w:t>
      </w:r>
      <w:r>
        <w:t>c</w:t>
      </w:r>
      <w:r w:rsidRPr="005269E5">
        <w:t>i</w:t>
      </w:r>
      <w:r>
        <w:t>ó</w:t>
      </w:r>
      <w:r w:rsidRPr="005269E5">
        <w:t xml:space="preserve">n </w:t>
      </w:r>
      <w:r>
        <w:t>otorgó una subvención de</w:t>
      </w:r>
      <w:r w:rsidR="005007D6">
        <w:t> </w:t>
      </w:r>
      <w:r w:rsidRPr="005269E5">
        <w:t>90</w:t>
      </w:r>
      <w:r w:rsidR="005007D6">
        <w:t>.</w:t>
      </w:r>
      <w:r w:rsidRPr="005269E5">
        <w:t xml:space="preserve">000 </w:t>
      </w:r>
      <w:r>
        <w:t>euros al Fondo de Enseñanza del</w:t>
      </w:r>
      <w:r w:rsidRPr="005269E5">
        <w:t xml:space="preserve"> Holocaust</w:t>
      </w:r>
      <w:r>
        <w:t>o</w:t>
      </w:r>
      <w:r w:rsidRPr="005269E5">
        <w:t xml:space="preserve"> </w:t>
      </w:r>
      <w:r>
        <w:t>e</w:t>
      </w:r>
      <w:r w:rsidRPr="005269E5">
        <w:t>n Irland</w:t>
      </w:r>
      <w:r>
        <w:t>a</w:t>
      </w:r>
      <w:r w:rsidRPr="005269E5">
        <w:t xml:space="preserve"> </w:t>
      </w:r>
      <w:r>
        <w:t>para que pudiera seguir elaborando material educativo y actividades de sensibilización</w:t>
      </w:r>
      <w:r w:rsidRPr="005269E5">
        <w:t>.</w:t>
      </w:r>
    </w:p>
    <w:p w:rsidR="000100D5" w:rsidRPr="005269E5" w:rsidRDefault="000100D5" w:rsidP="000100D5">
      <w:pPr>
        <w:pStyle w:val="H23G"/>
      </w:pPr>
      <w:r w:rsidRPr="005269E5">
        <w:tab/>
        <w:t>6.</w:t>
      </w:r>
      <w:r w:rsidRPr="005269E5">
        <w:tab/>
      </w:r>
      <w:r>
        <w:t xml:space="preserve">Grupo </w:t>
      </w:r>
      <w:r w:rsidRPr="005269E5">
        <w:t>Interna</w:t>
      </w:r>
      <w:r>
        <w:t>c</w:t>
      </w:r>
      <w:r w:rsidRPr="005269E5">
        <w:t xml:space="preserve">ional </w:t>
      </w:r>
      <w:r>
        <w:t xml:space="preserve">de </w:t>
      </w:r>
      <w:r w:rsidRPr="005269E5">
        <w:t>Ta</w:t>
      </w:r>
      <w:r>
        <w:t>rea</w:t>
      </w:r>
      <w:r w:rsidRPr="005269E5">
        <w:t>s</w:t>
      </w:r>
    </w:p>
    <w:p w:rsidR="000100D5" w:rsidRPr="00C73235" w:rsidRDefault="000100D5" w:rsidP="000100D5">
      <w:pPr>
        <w:pStyle w:val="SingleTxtG"/>
      </w:pPr>
      <w:r w:rsidRPr="005269E5">
        <w:t>160.</w:t>
      </w:r>
      <w:r w:rsidRPr="005269E5">
        <w:tab/>
      </w:r>
      <w:r>
        <w:t>El Grupo</w:t>
      </w:r>
      <w:r w:rsidRPr="005269E5">
        <w:t xml:space="preserve"> Interna</w:t>
      </w:r>
      <w:r>
        <w:t>c</w:t>
      </w:r>
      <w:r w:rsidRPr="005269E5">
        <w:t xml:space="preserve">ional </w:t>
      </w:r>
      <w:r>
        <w:t xml:space="preserve">de </w:t>
      </w:r>
      <w:r w:rsidRPr="005269E5">
        <w:t>Ta</w:t>
      </w:r>
      <w:r>
        <w:t>rea</w:t>
      </w:r>
      <w:r w:rsidRPr="005269E5">
        <w:t xml:space="preserve">s, </w:t>
      </w:r>
      <w:r>
        <w:t>creado en 1998 por</w:t>
      </w:r>
      <w:r w:rsidRPr="005269E5">
        <w:t xml:space="preserve"> ini</w:t>
      </w:r>
      <w:r>
        <w:t>c</w:t>
      </w:r>
      <w:r w:rsidRPr="005269E5">
        <w:t>iativ</w:t>
      </w:r>
      <w:r>
        <w:t>a</w:t>
      </w:r>
      <w:r w:rsidRPr="005269E5">
        <w:t xml:space="preserve"> </w:t>
      </w:r>
      <w:r>
        <w:t>del Primer Ministro sueco, Goran Parson,</w:t>
      </w:r>
      <w:r w:rsidRPr="005269E5">
        <w:t xml:space="preserve"> const</w:t>
      </w:r>
      <w:r>
        <w:t>a</w:t>
      </w:r>
      <w:r w:rsidRPr="005269E5">
        <w:t xml:space="preserve"> </w:t>
      </w:r>
      <w:r>
        <w:t>de</w:t>
      </w:r>
      <w:r w:rsidRPr="005269E5">
        <w:t xml:space="preserve"> representa</w:t>
      </w:r>
      <w:r>
        <w:t>ntes de los gobiernos y de organizaciones</w:t>
      </w:r>
      <w:r w:rsidRPr="005269E5">
        <w:t xml:space="preserve"> </w:t>
      </w:r>
      <w:r>
        <w:t xml:space="preserve">no </w:t>
      </w:r>
      <w:r w:rsidRPr="005269E5">
        <w:t>g</w:t>
      </w:r>
      <w:r>
        <w:t>uber</w:t>
      </w:r>
      <w:r w:rsidRPr="005269E5">
        <w:t>n</w:t>
      </w:r>
      <w:r>
        <w:t>a</w:t>
      </w:r>
      <w:r w:rsidRPr="005269E5">
        <w:t>mental</w:t>
      </w:r>
      <w:r>
        <w:t>es</w:t>
      </w:r>
      <w:r w:rsidRPr="005269E5">
        <w:t xml:space="preserve">. </w:t>
      </w:r>
      <w:r w:rsidRPr="00C73235">
        <w:t xml:space="preserve">Su objetivo estriba en recabar el apoyo de los dirigentes </w:t>
      </w:r>
      <w:r w:rsidR="005C4174" w:rsidRPr="00C73235">
        <w:t>políticos</w:t>
      </w:r>
      <w:r w:rsidRPr="00C73235">
        <w:t xml:space="preserve"> y sociales a la enseñanza del Holocaust</w:t>
      </w:r>
      <w:r>
        <w:t>o</w:t>
      </w:r>
      <w:r w:rsidRPr="00C73235">
        <w:t xml:space="preserve">, </w:t>
      </w:r>
      <w:r>
        <w:t>a su memoria y a la investigación al respecto</w:t>
      </w:r>
      <w:r w:rsidRPr="00C73235">
        <w:t xml:space="preserve">, </w:t>
      </w:r>
      <w:r>
        <w:t>tanto a nivel</w:t>
      </w:r>
      <w:r w:rsidRPr="00C73235">
        <w:t xml:space="preserve"> na</w:t>
      </w:r>
      <w:r>
        <w:t>c</w:t>
      </w:r>
      <w:r w:rsidRPr="00C73235">
        <w:t>ional</w:t>
      </w:r>
      <w:r>
        <w:t xml:space="preserve"> como </w:t>
      </w:r>
      <w:r w:rsidRPr="00C73235">
        <w:t>interna</w:t>
      </w:r>
      <w:r>
        <w:t>c</w:t>
      </w:r>
      <w:r w:rsidRPr="00C73235">
        <w:t>ional.</w:t>
      </w:r>
    </w:p>
    <w:p w:rsidR="000100D5" w:rsidRPr="005C4D55" w:rsidRDefault="000100D5" w:rsidP="000100D5">
      <w:pPr>
        <w:pStyle w:val="SingleTxtG"/>
      </w:pPr>
      <w:r w:rsidRPr="005269E5">
        <w:t>161.</w:t>
      </w:r>
      <w:r w:rsidRPr="005269E5">
        <w:tab/>
      </w:r>
      <w:r>
        <w:t>La pertenencia al Grupo</w:t>
      </w:r>
      <w:r w:rsidRPr="005269E5">
        <w:t xml:space="preserve"> Inter</w:t>
      </w:r>
      <w:r>
        <w:t>nacional de Tareas entraña un proceso en tres etapas.</w:t>
      </w:r>
      <w:r w:rsidR="005007D6">
        <w:t xml:space="preserve"> </w:t>
      </w:r>
      <w:r w:rsidRPr="005C4D55">
        <w:t xml:space="preserve">Irlanda se convirtió en </w:t>
      </w:r>
      <w:r>
        <w:t xml:space="preserve">diciembre de </w:t>
      </w:r>
      <w:r w:rsidRPr="005C4D55">
        <w:t xml:space="preserve">2007 en país observador del Grupo de Tareas sobre Cooperación Internacional en </w:t>
      </w:r>
      <w:r>
        <w:t>materia</w:t>
      </w:r>
      <w:r w:rsidRPr="005C4D55">
        <w:t xml:space="preserve"> de </w:t>
      </w:r>
      <w:r>
        <w:t>enseñanza</w:t>
      </w:r>
      <w:r w:rsidRPr="005C4D55">
        <w:t xml:space="preserve">, </w:t>
      </w:r>
      <w:r>
        <w:t>memoria e investigación del Holocausto</w:t>
      </w:r>
      <w:r w:rsidRPr="005C4D55">
        <w:t xml:space="preserve">. </w:t>
      </w:r>
      <w:r>
        <w:t>En la reunió</w:t>
      </w:r>
      <w:r w:rsidRPr="005C4D55">
        <w:t>n plenaria del Grupo Internacional de Tareas, celebrada en Oslo en junio de 2009, Irlanda pasó de la situación de observador a la de enlace y est</w:t>
      </w:r>
      <w:r>
        <w:t>á esforzándose en la actualidad por lograr la condición de miembro de pleno derecho.</w:t>
      </w:r>
    </w:p>
    <w:p w:rsidR="000100D5" w:rsidRPr="005269E5" w:rsidRDefault="000100D5" w:rsidP="000100D5">
      <w:pPr>
        <w:pStyle w:val="H23G"/>
      </w:pPr>
      <w:r w:rsidRPr="005C4D55">
        <w:tab/>
      </w:r>
      <w:r w:rsidRPr="005269E5">
        <w:t>7.</w:t>
      </w:r>
      <w:r w:rsidRPr="005269E5">
        <w:tab/>
        <w:t>Ofic</w:t>
      </w:r>
      <w:r>
        <w:t>ina del</w:t>
      </w:r>
      <w:r w:rsidRPr="005269E5">
        <w:t xml:space="preserve"> Ministr</w:t>
      </w:r>
      <w:r>
        <w:t>o para la</w:t>
      </w:r>
      <w:r w:rsidRPr="005269E5">
        <w:t xml:space="preserve"> Integra</w:t>
      </w:r>
      <w:r>
        <w:t>ción</w:t>
      </w:r>
    </w:p>
    <w:p w:rsidR="000100D5" w:rsidRPr="005269E5" w:rsidRDefault="000100D5" w:rsidP="000100D5">
      <w:pPr>
        <w:pStyle w:val="SingleTxtG"/>
        <w:rPr>
          <w:bCs/>
        </w:rPr>
      </w:pPr>
      <w:r w:rsidRPr="005269E5">
        <w:t>162</w:t>
      </w:r>
      <w:r w:rsidRPr="005269E5">
        <w:rPr>
          <w:bCs/>
        </w:rPr>
        <w:t>.</w:t>
      </w:r>
      <w:r w:rsidRPr="005269E5">
        <w:rPr>
          <w:bCs/>
        </w:rPr>
        <w:tab/>
      </w:r>
      <w:r>
        <w:rPr>
          <w:bCs/>
        </w:rPr>
        <w:t>Sírvanse consultar la</w:t>
      </w:r>
      <w:r w:rsidRPr="005269E5">
        <w:rPr>
          <w:bCs/>
        </w:rPr>
        <w:t xml:space="preserve"> informa</w:t>
      </w:r>
      <w:r>
        <w:rPr>
          <w:bCs/>
        </w:rPr>
        <w:t>c</w:t>
      </w:r>
      <w:r w:rsidRPr="005269E5">
        <w:rPr>
          <w:bCs/>
        </w:rPr>
        <w:t>i</w:t>
      </w:r>
      <w:r>
        <w:rPr>
          <w:bCs/>
        </w:rPr>
        <w:t>ón</w:t>
      </w:r>
      <w:r w:rsidRPr="005269E5">
        <w:rPr>
          <w:bCs/>
        </w:rPr>
        <w:t xml:space="preserve"> </w:t>
      </w:r>
      <w:r>
        <w:rPr>
          <w:bCs/>
        </w:rPr>
        <w:t>sobre la creación de la</w:t>
      </w:r>
      <w:r w:rsidRPr="005269E5">
        <w:rPr>
          <w:bCs/>
        </w:rPr>
        <w:t xml:space="preserve"> Ofic</w:t>
      </w:r>
      <w:r>
        <w:rPr>
          <w:bCs/>
        </w:rPr>
        <w:t>ina del</w:t>
      </w:r>
      <w:r w:rsidRPr="005269E5">
        <w:rPr>
          <w:bCs/>
        </w:rPr>
        <w:t xml:space="preserve"> Ministr</w:t>
      </w:r>
      <w:r>
        <w:rPr>
          <w:bCs/>
        </w:rPr>
        <w:t>o</w:t>
      </w:r>
      <w:r w:rsidRPr="005269E5">
        <w:rPr>
          <w:bCs/>
        </w:rPr>
        <w:t xml:space="preserve"> </w:t>
      </w:r>
      <w:r>
        <w:rPr>
          <w:bCs/>
        </w:rPr>
        <w:t>para la</w:t>
      </w:r>
      <w:r w:rsidRPr="005269E5">
        <w:rPr>
          <w:bCs/>
        </w:rPr>
        <w:t xml:space="preserve"> I</w:t>
      </w:r>
      <w:r>
        <w:rPr>
          <w:bCs/>
        </w:rPr>
        <w:t>ntegración en los párrafos 34 y ss.</w:t>
      </w:r>
    </w:p>
    <w:p w:rsidR="000100D5" w:rsidRPr="005269E5" w:rsidRDefault="000100D5" w:rsidP="000100D5">
      <w:pPr>
        <w:pStyle w:val="H23G"/>
      </w:pPr>
      <w:r w:rsidRPr="005269E5">
        <w:tab/>
        <w:t>8.</w:t>
      </w:r>
      <w:r w:rsidRPr="005269E5">
        <w:tab/>
      </w:r>
      <w:r>
        <w:t>Dirección de la Ig</w:t>
      </w:r>
      <w:r w:rsidRPr="005269E5">
        <w:t>ual</w:t>
      </w:r>
      <w:r>
        <w:t>dad y Tribunal de la Igualdad</w:t>
      </w:r>
    </w:p>
    <w:p w:rsidR="000100D5" w:rsidRPr="008318D3" w:rsidRDefault="000100D5" w:rsidP="000100D5">
      <w:pPr>
        <w:pStyle w:val="SingleTxtG"/>
        <w:rPr>
          <w:bCs/>
        </w:rPr>
      </w:pPr>
      <w:r w:rsidRPr="005269E5">
        <w:t>163</w:t>
      </w:r>
      <w:r w:rsidRPr="005269E5">
        <w:rPr>
          <w:bCs/>
        </w:rPr>
        <w:t>.</w:t>
      </w:r>
      <w:r w:rsidRPr="005269E5">
        <w:rPr>
          <w:bCs/>
        </w:rPr>
        <w:tab/>
      </w:r>
      <w:r>
        <w:rPr>
          <w:bCs/>
        </w:rPr>
        <w:t xml:space="preserve">Se han establecido dos órganos al amparo de la legislación de igualdad </w:t>
      </w:r>
      <w:r w:rsidR="00067DCF">
        <w:rPr>
          <w:bCs/>
        </w:rPr>
        <w:t>—</w:t>
      </w:r>
      <w:r>
        <w:rPr>
          <w:bCs/>
        </w:rPr>
        <w:t>la Dirección de la</w:t>
      </w:r>
      <w:r w:rsidRPr="005269E5">
        <w:rPr>
          <w:bCs/>
        </w:rPr>
        <w:t xml:space="preserve"> </w:t>
      </w:r>
      <w:r>
        <w:rPr>
          <w:bCs/>
        </w:rPr>
        <w:t>Ig</w:t>
      </w:r>
      <w:r w:rsidRPr="005269E5">
        <w:rPr>
          <w:bCs/>
        </w:rPr>
        <w:t>ual</w:t>
      </w:r>
      <w:r>
        <w:rPr>
          <w:bCs/>
        </w:rPr>
        <w:t>dad</w:t>
      </w:r>
      <w:r>
        <w:rPr>
          <w:rStyle w:val="FootnoteReference"/>
          <w:bCs/>
        </w:rPr>
        <w:footnoteReference w:id="46"/>
      </w:r>
      <w:r w:rsidRPr="005269E5">
        <w:rPr>
          <w:bCs/>
        </w:rPr>
        <w:t xml:space="preserve"> </w:t>
      </w:r>
      <w:r>
        <w:rPr>
          <w:bCs/>
        </w:rPr>
        <w:t>y el</w:t>
      </w:r>
      <w:r w:rsidRPr="005269E5">
        <w:rPr>
          <w:bCs/>
        </w:rPr>
        <w:t xml:space="preserve"> Tribunal</w:t>
      </w:r>
      <w:r>
        <w:rPr>
          <w:bCs/>
        </w:rPr>
        <w:t xml:space="preserve"> de la Igualdad</w:t>
      </w:r>
      <w:r>
        <w:rPr>
          <w:rStyle w:val="FootnoteReference"/>
          <w:bCs/>
        </w:rPr>
        <w:footnoteReference w:id="47"/>
      </w:r>
      <w:r w:rsidR="001F5C61">
        <w:rPr>
          <w:bCs/>
        </w:rPr>
        <w:t>.</w:t>
      </w:r>
      <w:r w:rsidRPr="005269E5">
        <w:rPr>
          <w:bCs/>
        </w:rPr>
        <w:t xml:space="preserve"> </w:t>
      </w:r>
      <w:r w:rsidRPr="008B62BD">
        <w:rPr>
          <w:bCs/>
        </w:rPr>
        <w:t xml:space="preserve">Las funciones de la Dirección de la Igualdad consisten en luchar contra la discriminación y </w:t>
      </w:r>
      <w:r>
        <w:rPr>
          <w:bCs/>
        </w:rPr>
        <w:t>fomenta</w:t>
      </w:r>
      <w:r w:rsidRPr="008B62BD">
        <w:rPr>
          <w:bCs/>
        </w:rPr>
        <w:t>r la igualdad de oportunidades en los ámbitos cubiertos por las Leyes, a fin de proporcionar informa</w:t>
      </w:r>
      <w:r>
        <w:rPr>
          <w:bCs/>
        </w:rPr>
        <w:t>ción sobre éstas</w:t>
      </w:r>
      <w:r w:rsidRPr="008B62BD">
        <w:rPr>
          <w:bCs/>
        </w:rPr>
        <w:t xml:space="preserve">, </w:t>
      </w:r>
      <w:r>
        <w:rPr>
          <w:bCs/>
        </w:rPr>
        <w:t>supervisarlas y</w:t>
      </w:r>
      <w:r w:rsidRPr="008B62BD">
        <w:rPr>
          <w:bCs/>
        </w:rPr>
        <w:t xml:space="preserve"> </w:t>
      </w:r>
      <w:r>
        <w:rPr>
          <w:bCs/>
        </w:rPr>
        <w:t>velar por ellas, así como formular reco</w:t>
      </w:r>
      <w:r w:rsidRPr="008B62BD">
        <w:rPr>
          <w:bCs/>
        </w:rPr>
        <w:t>menda</w:t>
      </w:r>
      <w:r>
        <w:rPr>
          <w:bCs/>
        </w:rPr>
        <w:t>c</w:t>
      </w:r>
      <w:r w:rsidRPr="008B62BD">
        <w:rPr>
          <w:bCs/>
        </w:rPr>
        <w:t>ion</w:t>
      </w:r>
      <w:r>
        <w:rPr>
          <w:bCs/>
        </w:rPr>
        <w:t>e</w:t>
      </w:r>
      <w:r w:rsidRPr="008B62BD">
        <w:rPr>
          <w:bCs/>
        </w:rPr>
        <w:t xml:space="preserve">s </w:t>
      </w:r>
      <w:r>
        <w:rPr>
          <w:bCs/>
        </w:rPr>
        <w:t>al</w:t>
      </w:r>
      <w:r w:rsidRPr="008B62BD">
        <w:rPr>
          <w:bCs/>
        </w:rPr>
        <w:t xml:space="preserve"> Ministr</w:t>
      </w:r>
      <w:r>
        <w:rPr>
          <w:bCs/>
        </w:rPr>
        <w:t>o de</w:t>
      </w:r>
      <w:r w:rsidRPr="008B62BD">
        <w:rPr>
          <w:bCs/>
        </w:rPr>
        <w:t xml:space="preserve"> Justic</w:t>
      </w:r>
      <w:r>
        <w:rPr>
          <w:bCs/>
        </w:rPr>
        <w:t>ia</w:t>
      </w:r>
      <w:r w:rsidRPr="008B62BD">
        <w:rPr>
          <w:bCs/>
        </w:rPr>
        <w:t xml:space="preserve">, </w:t>
      </w:r>
      <w:r>
        <w:rPr>
          <w:bCs/>
        </w:rPr>
        <w:t>Igualdad</w:t>
      </w:r>
      <w:r w:rsidRPr="008B62BD">
        <w:rPr>
          <w:bCs/>
        </w:rPr>
        <w:t xml:space="preserve"> </w:t>
      </w:r>
      <w:r>
        <w:rPr>
          <w:bCs/>
        </w:rPr>
        <w:t>y Reforma Jurídica</w:t>
      </w:r>
      <w:r w:rsidRPr="008B62BD">
        <w:rPr>
          <w:bCs/>
        </w:rPr>
        <w:t xml:space="preserve"> </w:t>
      </w:r>
      <w:r>
        <w:rPr>
          <w:bCs/>
        </w:rPr>
        <w:t>con miras a su modificación</w:t>
      </w:r>
      <w:r w:rsidRPr="008B62BD">
        <w:rPr>
          <w:bCs/>
        </w:rPr>
        <w:t xml:space="preserve">. </w:t>
      </w:r>
      <w:r w:rsidRPr="001A3D66">
        <w:rPr>
          <w:bCs/>
        </w:rPr>
        <w:t xml:space="preserve">Entre las </w:t>
      </w:r>
      <w:r>
        <w:rPr>
          <w:bCs/>
        </w:rPr>
        <w:t>atribuciones</w:t>
      </w:r>
      <w:r w:rsidRPr="001A3D66">
        <w:rPr>
          <w:bCs/>
        </w:rPr>
        <w:t xml:space="preserve"> de la Dirección de </w:t>
      </w:r>
      <w:r>
        <w:rPr>
          <w:bCs/>
        </w:rPr>
        <w:t xml:space="preserve">la </w:t>
      </w:r>
      <w:r w:rsidRPr="001A3D66">
        <w:rPr>
          <w:bCs/>
        </w:rPr>
        <w:t>Igualdad hay que mencionar la de revis</w:t>
      </w:r>
      <w:r>
        <w:rPr>
          <w:bCs/>
        </w:rPr>
        <w:t>a</w:t>
      </w:r>
      <w:r w:rsidRPr="001A3D66">
        <w:rPr>
          <w:bCs/>
        </w:rPr>
        <w:t>r desde el punto de vista de la igualdad los planes de acci</w:t>
      </w:r>
      <w:r>
        <w:rPr>
          <w:bCs/>
        </w:rPr>
        <w:t>ón</w:t>
      </w:r>
      <w:r w:rsidRPr="001A3D66">
        <w:rPr>
          <w:bCs/>
        </w:rPr>
        <w:t>, prepar</w:t>
      </w:r>
      <w:r>
        <w:rPr>
          <w:bCs/>
        </w:rPr>
        <w:t>ar</w:t>
      </w:r>
      <w:r w:rsidRPr="001A3D66">
        <w:rPr>
          <w:bCs/>
        </w:rPr>
        <w:t xml:space="preserve"> c</w:t>
      </w:r>
      <w:r>
        <w:rPr>
          <w:bCs/>
        </w:rPr>
        <w:t>ó</w:t>
      </w:r>
      <w:r w:rsidRPr="001A3D66">
        <w:rPr>
          <w:bCs/>
        </w:rPr>
        <w:t>d</w:t>
      </w:r>
      <w:r>
        <w:rPr>
          <w:bCs/>
        </w:rPr>
        <w:t>igo</w:t>
      </w:r>
      <w:r w:rsidRPr="001A3D66">
        <w:rPr>
          <w:bCs/>
        </w:rPr>
        <w:t xml:space="preserve">s </w:t>
      </w:r>
      <w:r>
        <w:rPr>
          <w:bCs/>
        </w:rPr>
        <w:t>de</w:t>
      </w:r>
      <w:r w:rsidRPr="001A3D66">
        <w:rPr>
          <w:bCs/>
        </w:rPr>
        <w:t xml:space="preserve"> pr</w:t>
      </w:r>
      <w:r>
        <w:rPr>
          <w:bCs/>
        </w:rPr>
        <w:t>á</w:t>
      </w:r>
      <w:r w:rsidRPr="001A3D66">
        <w:rPr>
          <w:bCs/>
        </w:rPr>
        <w:t>ctic</w:t>
      </w:r>
      <w:r>
        <w:rPr>
          <w:bCs/>
        </w:rPr>
        <w:t>as</w:t>
      </w:r>
      <w:r w:rsidRPr="001A3D66">
        <w:rPr>
          <w:bCs/>
        </w:rPr>
        <w:t xml:space="preserve">, </w:t>
      </w:r>
      <w:r>
        <w:rPr>
          <w:bCs/>
        </w:rPr>
        <w:t>realizar investigaciones</w:t>
      </w:r>
      <w:r w:rsidRPr="001A3D66">
        <w:rPr>
          <w:bCs/>
        </w:rPr>
        <w:t>, pro</w:t>
      </w:r>
      <w:r>
        <w:rPr>
          <w:bCs/>
        </w:rPr>
        <w:t>porcionar</w:t>
      </w:r>
      <w:r w:rsidRPr="001A3D66">
        <w:rPr>
          <w:bCs/>
        </w:rPr>
        <w:t xml:space="preserve"> asist</w:t>
      </w:r>
      <w:r>
        <w:rPr>
          <w:bCs/>
        </w:rPr>
        <w:t>e</w:t>
      </w:r>
      <w:r w:rsidRPr="001A3D66">
        <w:rPr>
          <w:bCs/>
        </w:rPr>
        <w:t>nc</w:t>
      </w:r>
      <w:r>
        <w:rPr>
          <w:bCs/>
        </w:rPr>
        <w:t>ia jurídica a los denunciantes de conformidad con las Leyes y llevar a cabo investigaciones sobre las cuestiones relacionadas con la igualdad</w:t>
      </w:r>
      <w:r w:rsidRPr="001A3D66">
        <w:rPr>
          <w:bCs/>
        </w:rPr>
        <w:t xml:space="preserve">. </w:t>
      </w:r>
      <w:r w:rsidRPr="008318D3">
        <w:rPr>
          <w:bCs/>
        </w:rPr>
        <w:t xml:space="preserve">También puede hacerse cargo de casos por </w:t>
      </w:r>
      <w:r>
        <w:rPr>
          <w:bCs/>
        </w:rPr>
        <w:t>iniciativa propia</w:t>
      </w:r>
      <w:r w:rsidRPr="008318D3">
        <w:rPr>
          <w:bCs/>
        </w:rPr>
        <w:t xml:space="preserve"> en cierta</w:t>
      </w:r>
      <w:r>
        <w:rPr>
          <w:bCs/>
        </w:rPr>
        <w:t>s</w:t>
      </w:r>
      <w:r w:rsidRPr="008318D3">
        <w:rPr>
          <w:bCs/>
        </w:rPr>
        <w:t xml:space="preserve"> circu</w:t>
      </w:r>
      <w:r>
        <w:rPr>
          <w:bCs/>
        </w:rPr>
        <w:t>n</w:t>
      </w:r>
      <w:r w:rsidRPr="008318D3">
        <w:rPr>
          <w:bCs/>
        </w:rPr>
        <w:t>stanc</w:t>
      </w:r>
      <w:r>
        <w:rPr>
          <w:bCs/>
        </w:rPr>
        <w:t>ia</w:t>
      </w:r>
      <w:r w:rsidRPr="008318D3">
        <w:rPr>
          <w:bCs/>
        </w:rPr>
        <w:t>s.</w:t>
      </w:r>
    </w:p>
    <w:p w:rsidR="000100D5" w:rsidRPr="008318D3" w:rsidRDefault="000100D5" w:rsidP="000100D5">
      <w:pPr>
        <w:pStyle w:val="SingleTxtG"/>
        <w:rPr>
          <w:bCs/>
        </w:rPr>
      </w:pPr>
      <w:r w:rsidRPr="005269E5">
        <w:t>164</w:t>
      </w:r>
      <w:r w:rsidRPr="005269E5">
        <w:rPr>
          <w:bCs/>
        </w:rPr>
        <w:t>.</w:t>
      </w:r>
      <w:r w:rsidRPr="005269E5">
        <w:rPr>
          <w:bCs/>
        </w:rPr>
        <w:tab/>
      </w:r>
      <w:r>
        <w:rPr>
          <w:bCs/>
        </w:rPr>
        <w:t>El</w:t>
      </w:r>
      <w:r w:rsidRPr="005269E5">
        <w:rPr>
          <w:bCs/>
        </w:rPr>
        <w:t xml:space="preserve"> Tribunal </w:t>
      </w:r>
      <w:r>
        <w:rPr>
          <w:bCs/>
        </w:rPr>
        <w:t xml:space="preserve">de la Igualdad es el foro </w:t>
      </w:r>
      <w:r w:rsidR="005C4174">
        <w:rPr>
          <w:bCs/>
        </w:rPr>
        <w:t>accesible</w:t>
      </w:r>
      <w:r>
        <w:rPr>
          <w:bCs/>
        </w:rPr>
        <w:t xml:space="preserve"> e</w:t>
      </w:r>
      <w:r w:rsidRPr="005269E5">
        <w:rPr>
          <w:bCs/>
        </w:rPr>
        <w:t xml:space="preserve"> impar</w:t>
      </w:r>
      <w:r>
        <w:rPr>
          <w:bCs/>
        </w:rPr>
        <w:t>c</w:t>
      </w:r>
      <w:r w:rsidRPr="005269E5">
        <w:rPr>
          <w:bCs/>
        </w:rPr>
        <w:t xml:space="preserve">ial </w:t>
      </w:r>
      <w:r>
        <w:rPr>
          <w:bCs/>
        </w:rPr>
        <w:t>para remediar una</w:t>
      </w:r>
      <w:r w:rsidRPr="005269E5">
        <w:rPr>
          <w:bCs/>
        </w:rPr>
        <w:t xml:space="preserve"> discrimina</w:t>
      </w:r>
      <w:r>
        <w:rPr>
          <w:bCs/>
        </w:rPr>
        <w:t>c</w:t>
      </w:r>
      <w:r w:rsidRPr="005269E5">
        <w:rPr>
          <w:bCs/>
        </w:rPr>
        <w:t>i</w:t>
      </w:r>
      <w:r>
        <w:rPr>
          <w:bCs/>
        </w:rPr>
        <w:t>ó</w:t>
      </w:r>
      <w:r w:rsidRPr="005269E5">
        <w:rPr>
          <w:bCs/>
        </w:rPr>
        <w:t>n</w:t>
      </w:r>
      <w:r>
        <w:rPr>
          <w:bCs/>
        </w:rPr>
        <w:t xml:space="preserve"> ilícita</w:t>
      </w:r>
      <w:r w:rsidRPr="005269E5">
        <w:rPr>
          <w:bCs/>
        </w:rPr>
        <w:t xml:space="preserve">. </w:t>
      </w:r>
      <w:r w:rsidRPr="008318D3">
        <w:rPr>
          <w:bCs/>
        </w:rPr>
        <w:t>Se trata de una oficina creada por ley e independiente</w:t>
      </w:r>
      <w:r>
        <w:rPr>
          <w:bCs/>
        </w:rPr>
        <w:t>,</w:t>
      </w:r>
      <w:r w:rsidRPr="008318D3">
        <w:rPr>
          <w:bCs/>
        </w:rPr>
        <w:t xml:space="preserve"> que investiga o media en las quejas </w:t>
      </w:r>
      <w:r>
        <w:rPr>
          <w:bCs/>
        </w:rPr>
        <w:t xml:space="preserve">por </w:t>
      </w:r>
      <w:r w:rsidRPr="008318D3">
        <w:rPr>
          <w:bCs/>
        </w:rPr>
        <w:t>discrimina</w:t>
      </w:r>
      <w:r>
        <w:rPr>
          <w:bCs/>
        </w:rPr>
        <w:t>c</w:t>
      </w:r>
      <w:r w:rsidRPr="008318D3">
        <w:rPr>
          <w:bCs/>
        </w:rPr>
        <w:t>i</w:t>
      </w:r>
      <w:r>
        <w:rPr>
          <w:bCs/>
        </w:rPr>
        <w:t>ó</w:t>
      </w:r>
      <w:r w:rsidRPr="008318D3">
        <w:rPr>
          <w:bCs/>
        </w:rPr>
        <w:t>n</w:t>
      </w:r>
      <w:r>
        <w:rPr>
          <w:bCs/>
        </w:rPr>
        <w:t xml:space="preserve"> ilícita</w:t>
      </w:r>
      <w:r w:rsidRPr="008318D3">
        <w:rPr>
          <w:bCs/>
        </w:rPr>
        <w:t xml:space="preserve">. </w:t>
      </w:r>
      <w:r>
        <w:rPr>
          <w:bCs/>
        </w:rPr>
        <w:t>Funciona de conformidad con los</w:t>
      </w:r>
      <w:r w:rsidRPr="008318D3">
        <w:rPr>
          <w:bCs/>
        </w:rPr>
        <w:t xml:space="preserve"> principios de justicia natural </w:t>
      </w:r>
      <w:r>
        <w:rPr>
          <w:bCs/>
        </w:rPr>
        <w:t>y sus</w:t>
      </w:r>
      <w:r w:rsidRPr="008318D3">
        <w:rPr>
          <w:bCs/>
        </w:rPr>
        <w:t xml:space="preserve"> val</w:t>
      </w:r>
      <w:r>
        <w:rPr>
          <w:bCs/>
        </w:rPr>
        <w:t>or</w:t>
      </w:r>
      <w:r w:rsidRPr="008318D3">
        <w:rPr>
          <w:bCs/>
        </w:rPr>
        <w:t xml:space="preserve">es </w:t>
      </w:r>
      <w:r>
        <w:rPr>
          <w:bCs/>
        </w:rPr>
        <w:t>básicos son la</w:t>
      </w:r>
      <w:r w:rsidRPr="008318D3">
        <w:rPr>
          <w:bCs/>
        </w:rPr>
        <w:t xml:space="preserve"> impar</w:t>
      </w:r>
      <w:r>
        <w:rPr>
          <w:bCs/>
        </w:rPr>
        <w:t>c</w:t>
      </w:r>
      <w:r w:rsidRPr="008318D3">
        <w:rPr>
          <w:bCs/>
        </w:rPr>
        <w:t>iali</w:t>
      </w:r>
      <w:r>
        <w:rPr>
          <w:bCs/>
        </w:rPr>
        <w:t>dad</w:t>
      </w:r>
      <w:r w:rsidRPr="008318D3">
        <w:rPr>
          <w:bCs/>
        </w:rPr>
        <w:t xml:space="preserve"> </w:t>
      </w:r>
      <w:r>
        <w:rPr>
          <w:bCs/>
        </w:rPr>
        <w:t>y la</w:t>
      </w:r>
      <w:r w:rsidRPr="008318D3">
        <w:rPr>
          <w:bCs/>
        </w:rPr>
        <w:t xml:space="preserve"> profesionali</w:t>
      </w:r>
      <w:r>
        <w:rPr>
          <w:bCs/>
        </w:rPr>
        <w:t>dad</w:t>
      </w:r>
      <w:r w:rsidRPr="008318D3">
        <w:rPr>
          <w:bCs/>
        </w:rPr>
        <w:t xml:space="preserve">, </w:t>
      </w:r>
      <w:r>
        <w:rPr>
          <w:bCs/>
        </w:rPr>
        <w:t xml:space="preserve">la </w:t>
      </w:r>
      <w:r w:rsidRPr="008318D3">
        <w:rPr>
          <w:bCs/>
        </w:rPr>
        <w:t>accesibili</w:t>
      </w:r>
      <w:r>
        <w:rPr>
          <w:bCs/>
        </w:rPr>
        <w:t>dad y la oportunidad</w:t>
      </w:r>
      <w:r w:rsidRPr="008318D3">
        <w:rPr>
          <w:bCs/>
        </w:rPr>
        <w:t>.</w:t>
      </w:r>
    </w:p>
    <w:p w:rsidR="000100D5" w:rsidRPr="00512DD2" w:rsidRDefault="000100D5" w:rsidP="000100D5">
      <w:pPr>
        <w:pStyle w:val="SingleTxtG"/>
        <w:rPr>
          <w:bCs/>
        </w:rPr>
      </w:pPr>
      <w:r w:rsidRPr="005269E5">
        <w:t>165</w:t>
      </w:r>
      <w:r w:rsidRPr="005269E5">
        <w:rPr>
          <w:bCs/>
        </w:rPr>
        <w:t>.</w:t>
      </w:r>
      <w:r w:rsidRPr="005269E5">
        <w:rPr>
          <w:bCs/>
        </w:rPr>
        <w:tab/>
      </w:r>
      <w:r>
        <w:rPr>
          <w:bCs/>
        </w:rPr>
        <w:t>La función principal del</w:t>
      </w:r>
      <w:r w:rsidRPr="005269E5">
        <w:rPr>
          <w:bCs/>
        </w:rPr>
        <w:t xml:space="preserve"> Tribunal</w:t>
      </w:r>
      <w:r>
        <w:rPr>
          <w:bCs/>
        </w:rPr>
        <w:t xml:space="preserve"> de la Igualdad</w:t>
      </w:r>
      <w:r w:rsidRPr="005269E5">
        <w:rPr>
          <w:bCs/>
        </w:rPr>
        <w:t xml:space="preserve"> </w:t>
      </w:r>
      <w:r>
        <w:rPr>
          <w:bCs/>
        </w:rPr>
        <w:t>consiste en</w:t>
      </w:r>
      <w:r w:rsidRPr="005269E5">
        <w:rPr>
          <w:bCs/>
        </w:rPr>
        <w:t xml:space="preserve"> investiga</w:t>
      </w:r>
      <w:r>
        <w:rPr>
          <w:bCs/>
        </w:rPr>
        <w:t>r</w:t>
      </w:r>
      <w:r w:rsidRPr="005269E5">
        <w:rPr>
          <w:bCs/>
        </w:rPr>
        <w:t xml:space="preserve"> </w:t>
      </w:r>
      <w:r>
        <w:rPr>
          <w:bCs/>
        </w:rPr>
        <w:t>y</w:t>
      </w:r>
      <w:r w:rsidRPr="005269E5">
        <w:rPr>
          <w:bCs/>
        </w:rPr>
        <w:t xml:space="preserve"> media</w:t>
      </w:r>
      <w:r>
        <w:rPr>
          <w:bCs/>
        </w:rPr>
        <w:t>r en caso de reclamaciones</w:t>
      </w:r>
      <w:r w:rsidRPr="005269E5">
        <w:rPr>
          <w:bCs/>
        </w:rPr>
        <w:t xml:space="preserve"> </w:t>
      </w:r>
      <w:r>
        <w:rPr>
          <w:bCs/>
        </w:rPr>
        <w:t>por discriminación relacionadas con el empleo y con el</w:t>
      </w:r>
      <w:r w:rsidRPr="005269E5">
        <w:rPr>
          <w:bCs/>
        </w:rPr>
        <w:t xml:space="preserve"> acces</w:t>
      </w:r>
      <w:r>
        <w:rPr>
          <w:bCs/>
        </w:rPr>
        <w:t>o a bienes y servicios</w:t>
      </w:r>
      <w:r w:rsidRPr="005269E5">
        <w:rPr>
          <w:bCs/>
        </w:rPr>
        <w:t>, dispos</w:t>
      </w:r>
      <w:r>
        <w:rPr>
          <w:bCs/>
        </w:rPr>
        <w:t>ición de bienes</w:t>
      </w:r>
      <w:r w:rsidRPr="005269E5">
        <w:rPr>
          <w:bCs/>
        </w:rPr>
        <w:t xml:space="preserve"> </w:t>
      </w:r>
      <w:r>
        <w:rPr>
          <w:bCs/>
        </w:rPr>
        <w:t>y algunos</w:t>
      </w:r>
      <w:r w:rsidRPr="005269E5">
        <w:rPr>
          <w:bCs/>
        </w:rPr>
        <w:t xml:space="preserve"> aspect</w:t>
      </w:r>
      <w:r>
        <w:rPr>
          <w:bCs/>
        </w:rPr>
        <w:t>o</w:t>
      </w:r>
      <w:r w:rsidRPr="005269E5">
        <w:rPr>
          <w:bCs/>
        </w:rPr>
        <w:t xml:space="preserve">s </w:t>
      </w:r>
      <w:r>
        <w:rPr>
          <w:bCs/>
        </w:rPr>
        <w:t>de la</w:t>
      </w:r>
      <w:r w:rsidRPr="005269E5">
        <w:rPr>
          <w:bCs/>
        </w:rPr>
        <w:t xml:space="preserve"> educa</w:t>
      </w:r>
      <w:r>
        <w:rPr>
          <w:bCs/>
        </w:rPr>
        <w:t>c</w:t>
      </w:r>
      <w:r w:rsidRPr="005269E5">
        <w:rPr>
          <w:bCs/>
        </w:rPr>
        <w:t>i</w:t>
      </w:r>
      <w:r>
        <w:rPr>
          <w:bCs/>
        </w:rPr>
        <w:t>ó</w:t>
      </w:r>
      <w:r w:rsidRPr="005269E5">
        <w:rPr>
          <w:bCs/>
        </w:rPr>
        <w:t xml:space="preserve">n. </w:t>
      </w:r>
      <w:r w:rsidRPr="0097754B">
        <w:rPr>
          <w:bCs/>
        </w:rPr>
        <w:t>Esta protección contra la discriminación se aplica a los nueve motivos por los que se proh</w:t>
      </w:r>
      <w:r>
        <w:rPr>
          <w:bCs/>
        </w:rPr>
        <w:t>íbe la</w:t>
      </w:r>
      <w:r w:rsidRPr="0097754B">
        <w:rPr>
          <w:bCs/>
        </w:rPr>
        <w:t xml:space="preserve"> discrimina</w:t>
      </w:r>
      <w:r>
        <w:rPr>
          <w:bCs/>
        </w:rPr>
        <w:t>c</w:t>
      </w:r>
      <w:r w:rsidRPr="0097754B">
        <w:rPr>
          <w:bCs/>
        </w:rPr>
        <w:t>i</w:t>
      </w:r>
      <w:r>
        <w:rPr>
          <w:bCs/>
        </w:rPr>
        <w:t>ón en virtud de la nueva</w:t>
      </w:r>
      <w:r w:rsidRPr="0097754B">
        <w:rPr>
          <w:bCs/>
        </w:rPr>
        <w:t xml:space="preserve"> legisla</w:t>
      </w:r>
      <w:r>
        <w:rPr>
          <w:bCs/>
        </w:rPr>
        <w:t>c</w:t>
      </w:r>
      <w:r w:rsidRPr="0097754B">
        <w:rPr>
          <w:bCs/>
        </w:rPr>
        <w:t>i</w:t>
      </w:r>
      <w:r>
        <w:rPr>
          <w:bCs/>
        </w:rPr>
        <w:t>ó</w:t>
      </w:r>
      <w:r w:rsidRPr="0097754B">
        <w:rPr>
          <w:bCs/>
        </w:rPr>
        <w:t>n</w:t>
      </w:r>
      <w:r>
        <w:rPr>
          <w:bCs/>
        </w:rPr>
        <w:t xml:space="preserve"> sobre igualdad</w:t>
      </w:r>
      <w:r w:rsidRPr="0097754B">
        <w:rPr>
          <w:bCs/>
        </w:rPr>
        <w:t xml:space="preserve">. </w:t>
      </w:r>
      <w:r>
        <w:rPr>
          <w:bCs/>
        </w:rPr>
        <w:t>Cuando se hace lugar a una queja por</w:t>
      </w:r>
      <w:r w:rsidRPr="00512DD2">
        <w:rPr>
          <w:bCs/>
        </w:rPr>
        <w:t xml:space="preserve"> discriminació</w:t>
      </w:r>
      <w:r>
        <w:rPr>
          <w:bCs/>
        </w:rPr>
        <w:t>n</w:t>
      </w:r>
      <w:r w:rsidRPr="00512DD2">
        <w:rPr>
          <w:bCs/>
        </w:rPr>
        <w:t>, se debe fijar una reparaci</w:t>
      </w:r>
      <w:r>
        <w:rPr>
          <w:bCs/>
        </w:rPr>
        <w:t>ón</w:t>
      </w:r>
      <w:r w:rsidRPr="00512DD2">
        <w:rPr>
          <w:bCs/>
        </w:rPr>
        <w:t>.</w:t>
      </w:r>
    </w:p>
    <w:p w:rsidR="000100D5" w:rsidRPr="005269E5" w:rsidRDefault="000100D5" w:rsidP="000100D5">
      <w:pPr>
        <w:pStyle w:val="SingleTxtG"/>
        <w:rPr>
          <w:bCs/>
        </w:rPr>
      </w:pPr>
      <w:r w:rsidRPr="005269E5">
        <w:t>166</w:t>
      </w:r>
      <w:r w:rsidRPr="005269E5">
        <w:rPr>
          <w:bCs/>
        </w:rPr>
        <w:t>.</w:t>
      </w:r>
      <w:r w:rsidRPr="005269E5">
        <w:rPr>
          <w:bCs/>
        </w:rPr>
        <w:tab/>
      </w:r>
      <w:r>
        <w:rPr>
          <w:bCs/>
        </w:rPr>
        <w:t>El</w:t>
      </w:r>
      <w:r w:rsidRPr="005269E5">
        <w:rPr>
          <w:bCs/>
        </w:rPr>
        <w:t xml:space="preserve"> Tribunal </w:t>
      </w:r>
      <w:r>
        <w:rPr>
          <w:bCs/>
        </w:rPr>
        <w:t>puede</w:t>
      </w:r>
      <w:r w:rsidRPr="005269E5">
        <w:rPr>
          <w:bCs/>
        </w:rPr>
        <w:t xml:space="preserve"> investiga</w:t>
      </w:r>
      <w:r>
        <w:rPr>
          <w:bCs/>
        </w:rPr>
        <w:t>r</w:t>
      </w:r>
      <w:r w:rsidRPr="005269E5">
        <w:rPr>
          <w:bCs/>
        </w:rPr>
        <w:t xml:space="preserve"> </w:t>
      </w:r>
      <w:r>
        <w:rPr>
          <w:bCs/>
        </w:rPr>
        <w:t>también las quejas por</w:t>
      </w:r>
      <w:r w:rsidRPr="005269E5">
        <w:rPr>
          <w:bCs/>
        </w:rPr>
        <w:t xml:space="preserve"> discrimina</w:t>
      </w:r>
      <w:r>
        <w:rPr>
          <w:bCs/>
        </w:rPr>
        <w:t>c</w:t>
      </w:r>
      <w:r w:rsidRPr="005269E5">
        <w:rPr>
          <w:bCs/>
        </w:rPr>
        <w:t>i</w:t>
      </w:r>
      <w:r>
        <w:rPr>
          <w:bCs/>
        </w:rPr>
        <w:t>ón</w:t>
      </w:r>
      <w:r w:rsidRPr="005269E5">
        <w:rPr>
          <w:bCs/>
        </w:rPr>
        <w:t xml:space="preserve"> </w:t>
      </w:r>
      <w:r>
        <w:rPr>
          <w:bCs/>
        </w:rPr>
        <w:t>basadas en los mismos nueve motivos enumerados en la Ley de</w:t>
      </w:r>
      <w:r w:rsidRPr="005269E5">
        <w:rPr>
          <w:bCs/>
        </w:rPr>
        <w:t xml:space="preserve"> </w:t>
      </w:r>
      <w:r>
        <w:rPr>
          <w:bCs/>
        </w:rPr>
        <w:t>p</w:t>
      </w:r>
      <w:r w:rsidRPr="005269E5">
        <w:rPr>
          <w:bCs/>
        </w:rPr>
        <w:t>ension</w:t>
      </w:r>
      <w:r>
        <w:rPr>
          <w:bCs/>
        </w:rPr>
        <w:t>e</w:t>
      </w:r>
      <w:r w:rsidRPr="005269E5">
        <w:rPr>
          <w:bCs/>
        </w:rPr>
        <w:t>s</w:t>
      </w:r>
      <w:r>
        <w:rPr>
          <w:bCs/>
        </w:rPr>
        <w:t xml:space="preserve"> de</w:t>
      </w:r>
      <w:r w:rsidRPr="005269E5">
        <w:rPr>
          <w:bCs/>
        </w:rPr>
        <w:t xml:space="preserve"> 1990</w:t>
      </w:r>
      <w:r>
        <w:rPr>
          <w:bCs/>
        </w:rPr>
        <w:t>, cuando un</w:t>
      </w:r>
      <w:r w:rsidRPr="005269E5">
        <w:rPr>
          <w:bCs/>
        </w:rPr>
        <w:t xml:space="preserve"> empl</w:t>
      </w:r>
      <w:r>
        <w:rPr>
          <w:bCs/>
        </w:rPr>
        <w:t>ead</w:t>
      </w:r>
      <w:r w:rsidRPr="005269E5">
        <w:rPr>
          <w:bCs/>
        </w:rPr>
        <w:t xml:space="preserve">or </w:t>
      </w:r>
      <w:r>
        <w:rPr>
          <w:bCs/>
        </w:rPr>
        <w:t>no respeta el</w:t>
      </w:r>
      <w:r w:rsidRPr="005269E5">
        <w:rPr>
          <w:bCs/>
        </w:rPr>
        <w:t xml:space="preserve"> princip</w:t>
      </w:r>
      <w:r>
        <w:rPr>
          <w:bCs/>
        </w:rPr>
        <w:t>io de igualdad de trato</w:t>
      </w:r>
      <w:r w:rsidRPr="005269E5">
        <w:rPr>
          <w:bCs/>
        </w:rPr>
        <w:t xml:space="preserve"> </w:t>
      </w:r>
      <w:r>
        <w:rPr>
          <w:bCs/>
        </w:rPr>
        <w:t>e</w:t>
      </w:r>
      <w:r w:rsidRPr="005269E5">
        <w:rPr>
          <w:bCs/>
        </w:rPr>
        <w:t>n rela</w:t>
      </w:r>
      <w:r>
        <w:rPr>
          <w:bCs/>
        </w:rPr>
        <w:t>c</w:t>
      </w:r>
      <w:r w:rsidRPr="005269E5">
        <w:rPr>
          <w:bCs/>
        </w:rPr>
        <w:t>i</w:t>
      </w:r>
      <w:r>
        <w:rPr>
          <w:bCs/>
        </w:rPr>
        <w:t>ón con las prestaciones ocupacionales o los planes de pensiones.</w:t>
      </w:r>
    </w:p>
    <w:p w:rsidR="000100D5" w:rsidRPr="00D80D7E" w:rsidRDefault="000100D5" w:rsidP="000100D5">
      <w:pPr>
        <w:pStyle w:val="SingleTxtG"/>
        <w:rPr>
          <w:bCs/>
        </w:rPr>
      </w:pPr>
      <w:r w:rsidRPr="005269E5">
        <w:t>167</w:t>
      </w:r>
      <w:r w:rsidRPr="005269E5">
        <w:rPr>
          <w:bCs/>
        </w:rPr>
        <w:t>.</w:t>
      </w:r>
      <w:r w:rsidRPr="005269E5">
        <w:rPr>
          <w:bCs/>
        </w:rPr>
        <w:tab/>
      </w:r>
      <w:r>
        <w:rPr>
          <w:bCs/>
        </w:rPr>
        <w:t>El</w:t>
      </w:r>
      <w:r w:rsidRPr="005269E5">
        <w:t xml:space="preserve"> Tribunal </w:t>
      </w:r>
      <w:r>
        <w:t>tiene competencia en todos los ámbitos</w:t>
      </w:r>
      <w:r w:rsidRPr="005269E5">
        <w:t xml:space="preserve"> c</w:t>
      </w:r>
      <w:r>
        <w:t>ubiertos por la legislación en materia de</w:t>
      </w:r>
      <w:r w:rsidRPr="005269E5">
        <w:t xml:space="preserve"> </w:t>
      </w:r>
      <w:r>
        <w:t>ig</w:t>
      </w:r>
      <w:r w:rsidRPr="005269E5">
        <w:t>ual</w:t>
      </w:r>
      <w:r>
        <w:t>dad</w:t>
      </w:r>
      <w:r w:rsidRPr="005269E5">
        <w:t xml:space="preserve"> </w:t>
      </w:r>
      <w:r>
        <w:t>con la excepc</w:t>
      </w:r>
      <w:r w:rsidRPr="005269E5">
        <w:t>i</w:t>
      </w:r>
      <w:r>
        <w:t>ó</w:t>
      </w:r>
      <w:r w:rsidRPr="005269E5">
        <w:t xml:space="preserve">n </w:t>
      </w:r>
      <w:r>
        <w:t>del</w:t>
      </w:r>
      <w:r w:rsidRPr="005269E5">
        <w:t xml:space="preserve"> servic</w:t>
      </w:r>
      <w:r>
        <w:t xml:space="preserve">io </w:t>
      </w:r>
      <w:r w:rsidRPr="005269E5">
        <w:t>en l</w:t>
      </w:r>
      <w:r>
        <w:t>ocales autorizados en los que pueden formularse quejas de</w:t>
      </w:r>
      <w:r w:rsidRPr="005269E5">
        <w:t xml:space="preserve"> discrimina</w:t>
      </w:r>
      <w:r>
        <w:t>c</w:t>
      </w:r>
      <w:r w:rsidRPr="005269E5">
        <w:t>i</w:t>
      </w:r>
      <w:r>
        <w:t>ó</w:t>
      </w:r>
      <w:r w:rsidRPr="005269E5">
        <w:t xml:space="preserve">n </w:t>
      </w:r>
      <w:r>
        <w:t>ante un tribunal de</w:t>
      </w:r>
      <w:r w:rsidRPr="005269E5">
        <w:t xml:space="preserve"> </w:t>
      </w:r>
      <w:r>
        <w:t>d</w:t>
      </w:r>
      <w:r w:rsidRPr="005269E5">
        <w:t>istrit</w:t>
      </w:r>
      <w:r>
        <w:t>o, de conformidad con la Ley de bebidas alcohólicas, de</w:t>
      </w:r>
      <w:r w:rsidRPr="005269E5">
        <w:t xml:space="preserve"> 2003. </w:t>
      </w:r>
      <w:r w:rsidRPr="00FA4D61">
        <w:t>Además, con arreglo a la infraestructura de igualdad de Irlanda y, como se indicó anteriormente, tanto la Dirección de la Igual</w:t>
      </w:r>
      <w:r>
        <w:t>dad como el</w:t>
      </w:r>
      <w:r w:rsidRPr="00FA4D61">
        <w:t xml:space="preserve"> Tribunal</w:t>
      </w:r>
      <w:r>
        <w:t xml:space="preserve"> de la Igualdad tienen un papel que desempeñar en la lucha contra la</w:t>
      </w:r>
      <w:r w:rsidRPr="00FA4D61">
        <w:t xml:space="preserve"> discrimina</w:t>
      </w:r>
      <w:r>
        <w:t>c</w:t>
      </w:r>
      <w:r w:rsidRPr="00FA4D61">
        <w:t>i</w:t>
      </w:r>
      <w:r>
        <w:t>ó</w:t>
      </w:r>
      <w:r w:rsidRPr="00FA4D61">
        <w:t>n</w:t>
      </w:r>
      <w:r>
        <w:t xml:space="preserve"> racial</w:t>
      </w:r>
      <w:r w:rsidRPr="00FA4D61">
        <w:t xml:space="preserve">. En 2008, el Tribunal de la Igualdad </w:t>
      </w:r>
      <w:r>
        <w:t>dict</w:t>
      </w:r>
      <w:r w:rsidRPr="00FA4D61">
        <w:t xml:space="preserve">ó 18 resoluciones en </w:t>
      </w:r>
      <w:r>
        <w:t>los casos de</w:t>
      </w:r>
      <w:r w:rsidRPr="00FA4D61">
        <w:t xml:space="preserve"> quejas de discriminación por motivos de raza, 14 </w:t>
      </w:r>
      <w:r>
        <w:t>e</w:t>
      </w:r>
      <w:r w:rsidRPr="00FA4D61">
        <w:t xml:space="preserve">n </w:t>
      </w:r>
      <w:r>
        <w:t>el ámbito del</w:t>
      </w:r>
      <w:r w:rsidRPr="00FA4D61">
        <w:t xml:space="preserve"> empl</w:t>
      </w:r>
      <w:r>
        <w:t>e</w:t>
      </w:r>
      <w:r w:rsidRPr="00FA4D61">
        <w:t>o</w:t>
      </w:r>
      <w:r>
        <w:t xml:space="preserve"> </w:t>
      </w:r>
      <w:r w:rsidRPr="00FA4D61">
        <w:t xml:space="preserve">y 4 </w:t>
      </w:r>
      <w:r>
        <w:t>respecto del a</w:t>
      </w:r>
      <w:r w:rsidRPr="00FA4D61">
        <w:t>cces</w:t>
      </w:r>
      <w:r>
        <w:t>o</w:t>
      </w:r>
      <w:r w:rsidRPr="00FA4D61">
        <w:t xml:space="preserve"> </w:t>
      </w:r>
      <w:r>
        <w:t>a bienes y</w:t>
      </w:r>
      <w:r w:rsidRPr="00FA4D61">
        <w:t xml:space="preserve"> servic</w:t>
      </w:r>
      <w:r>
        <w:t>io</w:t>
      </w:r>
      <w:r w:rsidRPr="00FA4D61">
        <w:t xml:space="preserve">s. Cabe encontrar más información sobre los detalles de los casos presentados ante el Tribunal </w:t>
      </w:r>
      <w:r>
        <w:t>de la Igualdad en el sitio</w:t>
      </w:r>
      <w:r w:rsidRPr="00FA4D61">
        <w:t xml:space="preserve"> web</w:t>
      </w:r>
      <w:r>
        <w:t xml:space="preserve"> de dicha institución en la sección de revisiones jurídicas anuales</w:t>
      </w:r>
      <w:r>
        <w:rPr>
          <w:rStyle w:val="FootnoteReference"/>
        </w:rPr>
        <w:footnoteReference w:id="48"/>
      </w:r>
      <w:r w:rsidR="001F5C61">
        <w:t>.</w:t>
      </w:r>
    </w:p>
    <w:p w:rsidR="000100D5" w:rsidRPr="005269E5" w:rsidRDefault="000100D5" w:rsidP="000100D5">
      <w:pPr>
        <w:pStyle w:val="H23G"/>
      </w:pPr>
      <w:r w:rsidRPr="00FA4D61">
        <w:tab/>
      </w:r>
      <w:r w:rsidRPr="005269E5">
        <w:t>9.</w:t>
      </w:r>
      <w:r w:rsidRPr="005269E5">
        <w:tab/>
      </w:r>
      <w:r>
        <w:t>Formación para sensibilizar contra el racismo –</w:t>
      </w:r>
      <w:r w:rsidRPr="005269E5">
        <w:t xml:space="preserve"> Depart</w:t>
      </w:r>
      <w:r>
        <w:t>a</w:t>
      </w:r>
      <w:r w:rsidRPr="005269E5">
        <w:t>ment</w:t>
      </w:r>
      <w:r>
        <w:t>o de Asuntos</w:t>
      </w:r>
      <w:r w:rsidRPr="005269E5">
        <w:t xml:space="preserve"> Social</w:t>
      </w:r>
      <w:r>
        <w:t>es</w:t>
      </w:r>
      <w:r w:rsidRPr="005269E5">
        <w:t xml:space="preserve"> </w:t>
      </w:r>
      <w:r>
        <w:t>y</w:t>
      </w:r>
      <w:r w:rsidRPr="005269E5">
        <w:t xml:space="preserve"> </w:t>
      </w:r>
      <w:r>
        <w:t xml:space="preserve">de la </w:t>
      </w:r>
      <w:r w:rsidRPr="005269E5">
        <w:t>Famil</w:t>
      </w:r>
      <w:r>
        <w:t>ia</w:t>
      </w:r>
      <w:r w:rsidRPr="005269E5">
        <w:t xml:space="preserve"> </w:t>
      </w:r>
    </w:p>
    <w:p w:rsidR="000100D5" w:rsidRPr="005269E5" w:rsidRDefault="000100D5" w:rsidP="000100D5">
      <w:pPr>
        <w:pStyle w:val="SingleTxtG"/>
      </w:pPr>
      <w:r w:rsidRPr="005269E5">
        <w:t>168.</w:t>
      </w:r>
      <w:r w:rsidRPr="005269E5">
        <w:tab/>
      </w:r>
      <w:r>
        <w:t>En el</w:t>
      </w:r>
      <w:r w:rsidRPr="005269E5">
        <w:t xml:space="preserve"> Depart</w:t>
      </w:r>
      <w:r>
        <w:t>a</w:t>
      </w:r>
      <w:r w:rsidRPr="005269E5">
        <w:t>ment</w:t>
      </w:r>
      <w:r>
        <w:t>o de Asuntos</w:t>
      </w:r>
      <w:r w:rsidRPr="005269E5">
        <w:t xml:space="preserve"> Social</w:t>
      </w:r>
      <w:r>
        <w:t>es</w:t>
      </w:r>
      <w:r w:rsidRPr="005269E5">
        <w:t xml:space="preserve"> </w:t>
      </w:r>
      <w:r>
        <w:t>y</w:t>
      </w:r>
      <w:r w:rsidRPr="005269E5">
        <w:t xml:space="preserve"> </w:t>
      </w:r>
      <w:r>
        <w:t xml:space="preserve">de la </w:t>
      </w:r>
      <w:r w:rsidRPr="005269E5">
        <w:t>Famil</w:t>
      </w:r>
      <w:r>
        <w:t>ia se ha elaborado una amplia serie de programas de formación y concienciación, a fin de apoyar a su personal</w:t>
      </w:r>
      <w:r w:rsidRPr="005269E5">
        <w:t xml:space="preserve">, </w:t>
      </w:r>
      <w:r>
        <w:t>que mantiene un contacto activo con el público, entre los que cabe citar:</w:t>
      </w:r>
    </w:p>
    <w:p w:rsidR="000100D5" w:rsidRPr="00355D3C" w:rsidRDefault="000100D5" w:rsidP="00355D3C">
      <w:pPr>
        <w:pStyle w:val="Bullet1G"/>
      </w:pPr>
      <w:r w:rsidRPr="00BB6A9F">
        <w:t>Capacitaci</w:t>
      </w:r>
      <w:r>
        <w:t xml:space="preserve">ón para </w:t>
      </w:r>
      <w:r w:rsidRPr="00BB6A9F">
        <w:t>s</w:t>
      </w:r>
      <w:r w:rsidRPr="000B0D01">
        <w:t>ensibiliza</w:t>
      </w:r>
      <w:r>
        <w:t>r</w:t>
      </w:r>
      <w:r w:rsidRPr="000B0D01">
        <w:t xml:space="preserve"> contra la discriminación</w:t>
      </w:r>
      <w:r>
        <w:t>, que</w:t>
      </w:r>
      <w:r w:rsidRPr="000B0D01">
        <w:t xml:space="preserve"> ha </w:t>
      </w:r>
      <w:r>
        <w:t>constituido</w:t>
      </w:r>
      <w:r w:rsidRPr="000B0D01">
        <w:t xml:space="preserve"> parte desde 1998 de la </w:t>
      </w:r>
      <w:r w:rsidRPr="00355D3C">
        <w:t xml:space="preserve">formación integrada de los clientes del </w:t>
      </w:r>
      <w:r w:rsidR="005C4174" w:rsidRPr="00355D3C">
        <w:t>Departamento</w:t>
      </w:r>
      <w:r w:rsidRPr="00355D3C">
        <w:t>.</w:t>
      </w:r>
    </w:p>
    <w:p w:rsidR="000100D5" w:rsidRPr="00355D3C" w:rsidRDefault="000100D5" w:rsidP="00355D3C">
      <w:pPr>
        <w:pStyle w:val="Bullet1G"/>
      </w:pPr>
      <w:r w:rsidRPr="00355D3C">
        <w:t xml:space="preserve">Elaboración desde principios de 2002 de directrices internas para el personal del Departamento a la hora de tratar con clientes no irlandeses. Esas directrices se publicaron en un folleto titulado </w:t>
      </w:r>
      <w:r w:rsidR="00C67360">
        <w:t>"</w:t>
      </w:r>
      <w:r w:rsidRPr="00355D3C">
        <w:t>Clientes no nacionales: Directrices para el personal</w:t>
      </w:r>
      <w:r w:rsidR="00C67360">
        <w:t>"</w:t>
      </w:r>
      <w:r w:rsidRPr="00355D3C">
        <w:t>.</w:t>
      </w:r>
    </w:p>
    <w:p w:rsidR="000100D5" w:rsidRPr="00355D3C" w:rsidRDefault="000100D5" w:rsidP="00355D3C">
      <w:pPr>
        <w:pStyle w:val="Bullet1G"/>
      </w:pPr>
      <w:r w:rsidRPr="00355D3C">
        <w:t>Enseñanza de un módulo detallado de antidiscriminación y sensibilización en una serie de programas básicos de formación, incluidos los programas de inducción, atención al cliente y fomento de la gestión.</w:t>
      </w:r>
    </w:p>
    <w:p w:rsidR="000100D5" w:rsidRPr="00710A64" w:rsidRDefault="000100D5" w:rsidP="00355D3C">
      <w:pPr>
        <w:pStyle w:val="Bullet1G"/>
      </w:pPr>
      <w:r w:rsidRPr="00355D3C">
        <w:t>Realización de una campaña de carteles para promover la concienciación de la diversidad y de la lucha contra</w:t>
      </w:r>
      <w:r w:rsidRPr="00710A64">
        <w:t xml:space="preserve"> la discrimina</w:t>
      </w:r>
      <w:r>
        <w:t>c</w:t>
      </w:r>
      <w:r w:rsidRPr="00710A64">
        <w:t>i</w:t>
      </w:r>
      <w:r>
        <w:t>ó</w:t>
      </w:r>
      <w:r w:rsidRPr="00710A64">
        <w:t>n</w:t>
      </w:r>
      <w:r>
        <w:t>, tanto entre el personal del</w:t>
      </w:r>
      <w:r w:rsidRPr="00710A64">
        <w:t xml:space="preserve"> Depart</w:t>
      </w:r>
      <w:r>
        <w:t>a</w:t>
      </w:r>
      <w:r w:rsidRPr="00710A64">
        <w:t>ment</w:t>
      </w:r>
      <w:r>
        <w:t>o como entre sus</w:t>
      </w:r>
      <w:r w:rsidRPr="00710A64">
        <w:t xml:space="preserve"> c</w:t>
      </w:r>
      <w:r>
        <w:t>lien</w:t>
      </w:r>
      <w:r w:rsidRPr="00710A64">
        <w:t>tes.</w:t>
      </w:r>
    </w:p>
    <w:p w:rsidR="000100D5" w:rsidRPr="005269E5" w:rsidRDefault="000100D5" w:rsidP="000100D5">
      <w:pPr>
        <w:pStyle w:val="SingleTxtG"/>
      </w:pPr>
      <w:r w:rsidRPr="005269E5">
        <w:t>169.</w:t>
      </w:r>
      <w:r w:rsidRPr="005269E5">
        <w:tab/>
      </w:r>
      <w:r>
        <w:t>En el Apéndice II cabe encontrar más</w:t>
      </w:r>
      <w:r w:rsidRPr="005269E5">
        <w:t xml:space="preserve"> informa</w:t>
      </w:r>
      <w:r>
        <w:t>c</w:t>
      </w:r>
      <w:r w:rsidRPr="005269E5">
        <w:t>i</w:t>
      </w:r>
      <w:r>
        <w:t>ó</w:t>
      </w:r>
      <w:r w:rsidRPr="005269E5">
        <w:t xml:space="preserve">n </w:t>
      </w:r>
      <w:r>
        <w:t>sobre la capacitación en materia de sensibilización respecto de la</w:t>
      </w:r>
      <w:r w:rsidRPr="005269E5">
        <w:t xml:space="preserve"> diversi</w:t>
      </w:r>
      <w:r>
        <w:t>dad, emprendida por el</w:t>
      </w:r>
      <w:r w:rsidRPr="005269E5">
        <w:t xml:space="preserve"> Depart</w:t>
      </w:r>
      <w:r>
        <w:t>a</w:t>
      </w:r>
      <w:r w:rsidRPr="005269E5">
        <w:t>ment</w:t>
      </w:r>
      <w:r>
        <w:t>o de Asuntos</w:t>
      </w:r>
      <w:r w:rsidRPr="005269E5">
        <w:t xml:space="preserve"> Social</w:t>
      </w:r>
      <w:r>
        <w:t>es</w:t>
      </w:r>
      <w:r w:rsidRPr="005269E5">
        <w:t xml:space="preserve"> </w:t>
      </w:r>
      <w:r>
        <w:t>y</w:t>
      </w:r>
      <w:r w:rsidRPr="005269E5">
        <w:t xml:space="preserve"> </w:t>
      </w:r>
      <w:r>
        <w:t xml:space="preserve">de la </w:t>
      </w:r>
      <w:r w:rsidRPr="005269E5">
        <w:t>Famil</w:t>
      </w:r>
      <w:r>
        <w:t>ia.</w:t>
      </w:r>
    </w:p>
    <w:p w:rsidR="000100D5" w:rsidRPr="00710A64" w:rsidRDefault="000100D5" w:rsidP="000100D5">
      <w:pPr>
        <w:pStyle w:val="H4G"/>
      </w:pPr>
      <w:r w:rsidRPr="005269E5">
        <w:tab/>
      </w:r>
      <w:r w:rsidRPr="005269E5">
        <w:tab/>
      </w:r>
      <w:r w:rsidRPr="00710A64">
        <w:t xml:space="preserve">Formación sobre racismo </w:t>
      </w:r>
      <w:r>
        <w:t>y</w:t>
      </w:r>
      <w:r w:rsidRPr="00710A64">
        <w:t xml:space="preserve"> </w:t>
      </w:r>
      <w:r>
        <w:t>multi</w:t>
      </w:r>
      <w:r w:rsidRPr="00710A64">
        <w:t xml:space="preserve">culturalismo en la Oficina del Comisionado para las Solicitudes </w:t>
      </w:r>
      <w:r>
        <w:t>del Estatuto d</w:t>
      </w:r>
      <w:r w:rsidRPr="00710A64">
        <w:t>e Refug</w:t>
      </w:r>
      <w:r>
        <w:t>iado</w:t>
      </w:r>
      <w:r w:rsidRPr="00710A64">
        <w:t xml:space="preserve"> (ORAC)</w:t>
      </w:r>
      <w:r>
        <w:t xml:space="preserve"> y en el </w:t>
      </w:r>
      <w:r w:rsidRPr="00710A64">
        <w:t>Tribunal</w:t>
      </w:r>
      <w:r>
        <w:t xml:space="preserve"> de Apelación para asuntos relacionados con el estatuto de refugiado</w:t>
      </w:r>
      <w:r w:rsidRPr="00710A64">
        <w:t xml:space="preserve"> </w:t>
      </w:r>
    </w:p>
    <w:p w:rsidR="000100D5" w:rsidRPr="00CD4B80" w:rsidRDefault="000100D5" w:rsidP="000100D5">
      <w:pPr>
        <w:pStyle w:val="SingleTxtG"/>
      </w:pPr>
      <w:r w:rsidRPr="005269E5">
        <w:t>170.</w:t>
      </w:r>
      <w:r w:rsidRPr="005269E5">
        <w:tab/>
      </w:r>
      <w:r>
        <w:t>E</w:t>
      </w:r>
      <w:r w:rsidRPr="005269E5">
        <w:t xml:space="preserve">n </w:t>
      </w:r>
      <w:r>
        <w:t>sintonía con la sensibilidad de la Oficina del Comisionado para las Solicitudes del Estatuto de</w:t>
      </w:r>
      <w:r w:rsidRPr="005269E5">
        <w:t xml:space="preserve"> Refug</w:t>
      </w:r>
      <w:r>
        <w:t>iados ante las cuestiones de</w:t>
      </w:r>
      <w:r w:rsidRPr="005269E5">
        <w:t xml:space="preserve"> </w:t>
      </w:r>
      <w:r>
        <w:t>ig</w:t>
      </w:r>
      <w:r w:rsidRPr="005269E5">
        <w:t>ual</w:t>
      </w:r>
      <w:r>
        <w:t>dad</w:t>
      </w:r>
      <w:r w:rsidRPr="005269E5">
        <w:t>/</w:t>
      </w:r>
      <w:r>
        <w:t xml:space="preserve">diversidad </w:t>
      </w:r>
      <w:r w:rsidRPr="005269E5">
        <w:t>cultural</w:t>
      </w:r>
      <w:r>
        <w:t>, y teniendo en cuenta la base de clientes de la</w:t>
      </w:r>
      <w:r w:rsidRPr="005269E5">
        <w:t xml:space="preserve"> organi</w:t>
      </w:r>
      <w:r>
        <w:t>z</w:t>
      </w:r>
      <w:r w:rsidRPr="005269E5">
        <w:t>a</w:t>
      </w:r>
      <w:r>
        <w:t>c</w:t>
      </w:r>
      <w:r w:rsidRPr="005269E5">
        <w:t>i</w:t>
      </w:r>
      <w:r>
        <w:t>ó</w:t>
      </w:r>
      <w:r w:rsidRPr="005269E5">
        <w:t xml:space="preserve">n, </w:t>
      </w:r>
      <w:r>
        <w:t>un equipo de educadores de la</w:t>
      </w:r>
      <w:r w:rsidRPr="005269E5">
        <w:t xml:space="preserve"> Ofic</w:t>
      </w:r>
      <w:r>
        <w:t>ina del Comisionado para las Solicitudes del Estatuto de</w:t>
      </w:r>
      <w:r w:rsidRPr="005269E5">
        <w:t xml:space="preserve"> Refug</w:t>
      </w:r>
      <w:r>
        <w:t>iado</w:t>
      </w:r>
      <w:r w:rsidRPr="005269E5">
        <w:t xml:space="preserve"> rec</w:t>
      </w:r>
      <w:r>
        <w:t>ibió un curso de capacitación del Comité Consultivo</w:t>
      </w:r>
      <w:r w:rsidRPr="005269E5">
        <w:t xml:space="preserve"> Na</w:t>
      </w:r>
      <w:r>
        <w:t>c</w:t>
      </w:r>
      <w:r w:rsidRPr="005269E5">
        <w:t xml:space="preserve">ional </w:t>
      </w:r>
      <w:r>
        <w:t>sobre el</w:t>
      </w:r>
      <w:r w:rsidRPr="005269E5">
        <w:t xml:space="preserve"> Racism</w:t>
      </w:r>
      <w:r>
        <w:t>o y el</w:t>
      </w:r>
      <w:r w:rsidRPr="005269E5">
        <w:t xml:space="preserve"> </w:t>
      </w:r>
      <w:r>
        <w:t>Multiculturalismo</w:t>
      </w:r>
      <w:r w:rsidRPr="005269E5">
        <w:t xml:space="preserve">. </w:t>
      </w:r>
      <w:r w:rsidR="00593DE9">
        <w:t>En </w:t>
      </w:r>
      <w:r w:rsidRPr="00CD4B80">
        <w:t>2009 se organizó asimismo un curso de Formar al Formador junto con el Servicio de Libertad Condicional y Bienestar. Se celebran anualmente una serie de cursos para garantizar que los nuevos miembros del personal reciban esa capacitaci</w:t>
      </w:r>
      <w:r>
        <w:t>ón</w:t>
      </w:r>
      <w:r w:rsidRPr="00CD4B80">
        <w:t xml:space="preserve"> (</w:t>
      </w:r>
      <w:r>
        <w:t>para</w:t>
      </w:r>
      <w:r w:rsidRPr="00CD4B80">
        <w:t xml:space="preserve"> m</w:t>
      </w:r>
      <w:r>
        <w:t>ás</w:t>
      </w:r>
      <w:r w:rsidRPr="00CD4B80">
        <w:t xml:space="preserve"> informa</w:t>
      </w:r>
      <w:r>
        <w:t>c</w:t>
      </w:r>
      <w:r w:rsidRPr="00CD4B80">
        <w:t>i</w:t>
      </w:r>
      <w:r>
        <w:t>ó</w:t>
      </w:r>
      <w:r w:rsidRPr="00CD4B80">
        <w:t>n</w:t>
      </w:r>
      <w:r>
        <w:t>, sírvanse consultar el</w:t>
      </w:r>
      <w:r w:rsidRPr="00CD4B80">
        <w:t xml:space="preserve"> Ap</w:t>
      </w:r>
      <w:r>
        <w:t>é</w:t>
      </w:r>
      <w:r w:rsidRPr="00CD4B80">
        <w:t>ndi</w:t>
      </w:r>
      <w:r>
        <w:t>ce</w:t>
      </w:r>
      <w:r w:rsidRPr="00CD4B80">
        <w:t xml:space="preserve"> II).</w:t>
      </w:r>
    </w:p>
    <w:p w:rsidR="000100D5" w:rsidRPr="005269E5" w:rsidRDefault="000100D5" w:rsidP="000100D5">
      <w:pPr>
        <w:pStyle w:val="SingleTxtG"/>
      </w:pPr>
      <w:r w:rsidRPr="005269E5">
        <w:t>171.</w:t>
      </w:r>
      <w:r w:rsidRPr="005269E5">
        <w:tab/>
      </w:r>
      <w:r>
        <w:t>El Tribunal se creó en</w:t>
      </w:r>
      <w:r w:rsidRPr="005269E5">
        <w:t xml:space="preserve"> </w:t>
      </w:r>
      <w:r>
        <w:t>n</w:t>
      </w:r>
      <w:r w:rsidRPr="005269E5">
        <w:t>ov</w:t>
      </w:r>
      <w:r>
        <w:t>i</w:t>
      </w:r>
      <w:r w:rsidRPr="005269E5">
        <w:t>embr</w:t>
      </w:r>
      <w:r>
        <w:t>e de</w:t>
      </w:r>
      <w:r w:rsidRPr="005269E5">
        <w:t xml:space="preserve"> 2000</w:t>
      </w:r>
      <w:r>
        <w:t>, en virtud de la Ley del</w:t>
      </w:r>
      <w:r w:rsidRPr="005269E5">
        <w:t xml:space="preserve"> </w:t>
      </w:r>
      <w:r>
        <w:t>r</w:t>
      </w:r>
      <w:r w:rsidRPr="005269E5">
        <w:t>efug</w:t>
      </w:r>
      <w:r>
        <w:t>iado, de</w:t>
      </w:r>
      <w:r w:rsidR="00593DE9">
        <w:t> </w:t>
      </w:r>
      <w:r w:rsidRPr="005269E5">
        <w:t>1996 (</w:t>
      </w:r>
      <w:r>
        <w:t>enmendada</w:t>
      </w:r>
      <w:r w:rsidRPr="005269E5">
        <w:t>)</w:t>
      </w:r>
      <w:r>
        <w:t>, para resolver las apelaciones formuladas por los solicitantes de asilo contra las</w:t>
      </w:r>
      <w:r w:rsidRPr="005269E5">
        <w:t xml:space="preserve"> recomenda</w:t>
      </w:r>
      <w:r>
        <w:t>c</w:t>
      </w:r>
      <w:r w:rsidRPr="005269E5">
        <w:t>ion</w:t>
      </w:r>
      <w:r>
        <w:t>es</w:t>
      </w:r>
      <w:r w:rsidRPr="005269E5">
        <w:t xml:space="preserve"> </w:t>
      </w:r>
      <w:r>
        <w:t>del Comisionado para las Solicitudes del Estatuto de</w:t>
      </w:r>
      <w:r w:rsidRPr="005269E5">
        <w:t xml:space="preserve"> Refug</w:t>
      </w:r>
      <w:r>
        <w:t>iados de no otorgar a un solicitante de</w:t>
      </w:r>
      <w:r w:rsidRPr="005269E5">
        <w:t xml:space="preserve"> </w:t>
      </w:r>
      <w:r>
        <w:t>asilo</w:t>
      </w:r>
      <w:r w:rsidRPr="005269E5">
        <w:t xml:space="preserve"> </w:t>
      </w:r>
      <w:r>
        <w:t>la condición de</w:t>
      </w:r>
      <w:r w:rsidRPr="005269E5">
        <w:t xml:space="preserve"> refug</w:t>
      </w:r>
      <w:r>
        <w:t xml:space="preserve">iado y está formado por un Presidente y 34 </w:t>
      </w:r>
      <w:r w:rsidRPr="005269E5">
        <w:t>m</w:t>
      </w:r>
      <w:r>
        <w:t>i</w:t>
      </w:r>
      <w:r w:rsidRPr="005269E5">
        <w:t>embr</w:t>
      </w:r>
      <w:r>
        <w:t>o</w:t>
      </w:r>
      <w:r w:rsidRPr="005269E5">
        <w:t xml:space="preserve">s </w:t>
      </w:r>
      <w:r>
        <w:t>a tiempo parcial, que son abogados y letrados con</w:t>
      </w:r>
      <w:r w:rsidRPr="005269E5">
        <w:t xml:space="preserve"> experienc</w:t>
      </w:r>
      <w:r>
        <w:t>ia</w:t>
      </w:r>
      <w:r w:rsidRPr="005269E5">
        <w:t xml:space="preserve">, </w:t>
      </w:r>
      <w:r>
        <w:t>independientes, pero nombrados por el</w:t>
      </w:r>
      <w:r w:rsidRPr="005269E5">
        <w:t xml:space="preserve"> Ministr</w:t>
      </w:r>
      <w:r>
        <w:t>o de</w:t>
      </w:r>
      <w:r w:rsidRPr="005269E5">
        <w:t xml:space="preserve"> Justic</w:t>
      </w:r>
      <w:r>
        <w:t>ia</w:t>
      </w:r>
      <w:r w:rsidRPr="005269E5">
        <w:t xml:space="preserve">, </w:t>
      </w:r>
      <w:r>
        <w:t>Ig</w:t>
      </w:r>
      <w:r w:rsidRPr="005269E5">
        <w:t>ual</w:t>
      </w:r>
      <w:r>
        <w:t>dad y Reforma Jurídica.</w:t>
      </w:r>
    </w:p>
    <w:p w:rsidR="000100D5" w:rsidRPr="00D24423" w:rsidRDefault="000100D5" w:rsidP="000100D5">
      <w:pPr>
        <w:pStyle w:val="SingleTxtG"/>
      </w:pPr>
      <w:r w:rsidRPr="005269E5">
        <w:t>172.</w:t>
      </w:r>
      <w:r w:rsidRPr="005269E5">
        <w:tab/>
      </w:r>
      <w:r>
        <w:t>Todos los nuevos</w:t>
      </w:r>
      <w:r w:rsidRPr="005269E5">
        <w:t xml:space="preserve"> </w:t>
      </w:r>
      <w:r>
        <w:t>mi</w:t>
      </w:r>
      <w:r w:rsidRPr="005269E5">
        <w:t>embr</w:t>
      </w:r>
      <w:r>
        <w:t>o</w:t>
      </w:r>
      <w:r w:rsidRPr="005269E5">
        <w:t xml:space="preserve">s </w:t>
      </w:r>
      <w:r>
        <w:t>del</w:t>
      </w:r>
      <w:r w:rsidRPr="005269E5">
        <w:t xml:space="preserve"> Tribunal </w:t>
      </w:r>
      <w:r>
        <w:t>están obligados a seguir un curso de capacitación impartido por el ACNUR antes de tomar posesión de sus cargos</w:t>
      </w:r>
      <w:r w:rsidRPr="005269E5">
        <w:t xml:space="preserve">. </w:t>
      </w:r>
      <w:r w:rsidRPr="00D24423">
        <w:t xml:space="preserve">Además, todos los miembros del Tribunal de Apelación para asuntos relacionados con el estatuto de refugiado reciben </w:t>
      </w:r>
      <w:r>
        <w:t>una formación periódica a cargo de personal del ACNUR</w:t>
      </w:r>
      <w:r w:rsidRPr="00D24423">
        <w:t xml:space="preserve"> </w:t>
      </w:r>
      <w:r>
        <w:t>e</w:t>
      </w:r>
      <w:r w:rsidRPr="00D24423">
        <w:t>n Dubl</w:t>
      </w:r>
      <w:r>
        <w:t>í</w:t>
      </w:r>
      <w:r w:rsidRPr="00D24423">
        <w:t>n (</w:t>
      </w:r>
      <w:r>
        <w:t>para mayor</w:t>
      </w:r>
      <w:r w:rsidRPr="00D24423">
        <w:t xml:space="preserve"> informa</w:t>
      </w:r>
      <w:r>
        <w:t>c</w:t>
      </w:r>
      <w:r w:rsidRPr="00D24423">
        <w:t>i</w:t>
      </w:r>
      <w:r>
        <w:t>ó</w:t>
      </w:r>
      <w:r w:rsidRPr="00D24423">
        <w:t xml:space="preserve">n, </w:t>
      </w:r>
      <w:r>
        <w:t>sírvanse consultar el</w:t>
      </w:r>
      <w:r w:rsidRPr="00D24423">
        <w:t xml:space="preserve"> ap</w:t>
      </w:r>
      <w:r>
        <w:t>é</w:t>
      </w:r>
      <w:r w:rsidRPr="00D24423">
        <w:t>ndi</w:t>
      </w:r>
      <w:r>
        <w:t>ce</w:t>
      </w:r>
      <w:r w:rsidRPr="00D24423">
        <w:t xml:space="preserve"> II).</w:t>
      </w:r>
    </w:p>
    <w:p w:rsidR="000100D5" w:rsidRPr="00A05620" w:rsidRDefault="000100D5" w:rsidP="000100D5">
      <w:pPr>
        <w:pStyle w:val="SingleTxtG"/>
        <w:rPr>
          <w:bCs/>
        </w:rPr>
      </w:pPr>
      <w:r w:rsidRPr="005269E5">
        <w:t>173</w:t>
      </w:r>
      <w:r w:rsidRPr="005269E5">
        <w:rPr>
          <w:bCs/>
        </w:rPr>
        <w:t>.</w:t>
      </w:r>
      <w:r w:rsidRPr="005269E5">
        <w:rPr>
          <w:bCs/>
        </w:rPr>
        <w:tab/>
      </w:r>
      <w:r>
        <w:rPr>
          <w:bCs/>
        </w:rPr>
        <w:t>El Estado,</w:t>
      </w:r>
      <w:r w:rsidRPr="005269E5">
        <w:rPr>
          <w:bCs/>
        </w:rPr>
        <w:t xml:space="preserve"> </w:t>
      </w:r>
      <w:r>
        <w:rPr>
          <w:bCs/>
        </w:rPr>
        <w:t xml:space="preserve">el </w:t>
      </w:r>
      <w:r w:rsidRPr="005269E5">
        <w:rPr>
          <w:bCs/>
        </w:rPr>
        <w:t>Go</w:t>
      </w:r>
      <w:r>
        <w:rPr>
          <w:bCs/>
        </w:rPr>
        <w:t>bi</w:t>
      </w:r>
      <w:r w:rsidRPr="005269E5">
        <w:rPr>
          <w:bCs/>
        </w:rPr>
        <w:t>ern</w:t>
      </w:r>
      <w:r>
        <w:rPr>
          <w:bCs/>
        </w:rPr>
        <w:t>o y los organismos</w:t>
      </w:r>
      <w:r w:rsidRPr="005269E5">
        <w:rPr>
          <w:bCs/>
        </w:rPr>
        <w:t xml:space="preserve"> </w:t>
      </w:r>
      <w:r>
        <w:rPr>
          <w:bCs/>
        </w:rPr>
        <w:t>públicos en su calidad de empleadores</w:t>
      </w:r>
      <w:r w:rsidRPr="005269E5">
        <w:rPr>
          <w:bCs/>
        </w:rPr>
        <w:t xml:space="preserve"> </w:t>
      </w:r>
      <w:r>
        <w:rPr>
          <w:bCs/>
        </w:rPr>
        <w:t>están obligados legalmente por las Leyes de igualdad en el empleo, de</w:t>
      </w:r>
      <w:r w:rsidRPr="005269E5">
        <w:rPr>
          <w:bCs/>
        </w:rPr>
        <w:t xml:space="preserve"> 1998 </w:t>
      </w:r>
      <w:r>
        <w:rPr>
          <w:bCs/>
        </w:rPr>
        <w:t>a</w:t>
      </w:r>
      <w:r w:rsidRPr="005269E5">
        <w:rPr>
          <w:bCs/>
        </w:rPr>
        <w:t xml:space="preserve"> 2008 (</w:t>
      </w:r>
      <w:r>
        <w:rPr>
          <w:bCs/>
        </w:rPr>
        <w:t>véase el artículo</w:t>
      </w:r>
      <w:r w:rsidRPr="005269E5">
        <w:rPr>
          <w:bCs/>
        </w:rPr>
        <w:t xml:space="preserve"> 2</w:t>
      </w:r>
      <w:r>
        <w:rPr>
          <w:bCs/>
        </w:rPr>
        <w:t xml:space="preserve"> </w:t>
      </w:r>
      <w:r w:rsidRPr="005269E5">
        <w:rPr>
          <w:bCs/>
        </w:rPr>
        <w:t xml:space="preserve">3) </w:t>
      </w:r>
      <w:r>
        <w:rPr>
          <w:bCs/>
        </w:rPr>
        <w:t>de la Ley de igualdad en el empleo de 1998</w:t>
      </w:r>
      <w:r w:rsidRPr="005269E5">
        <w:rPr>
          <w:bCs/>
        </w:rPr>
        <w:t xml:space="preserve">). </w:t>
      </w:r>
      <w:r w:rsidRPr="00A05620">
        <w:rPr>
          <w:bCs/>
        </w:rPr>
        <w:t>En el artículo 2 de la Ley sobre la igualdad de condición</w:t>
      </w:r>
      <w:r>
        <w:rPr>
          <w:bCs/>
        </w:rPr>
        <w:t>,</w:t>
      </w:r>
      <w:r w:rsidRPr="00A05620">
        <w:rPr>
          <w:bCs/>
        </w:rPr>
        <w:t xml:space="preserve"> de 2000 a 2004, se define a las organizaciones, órganos públicos y otras entidades como </w:t>
      </w:r>
      <w:r w:rsidR="00E03EF2">
        <w:rPr>
          <w:bCs/>
        </w:rPr>
        <w:t>"</w:t>
      </w:r>
      <w:r w:rsidRPr="00A05620">
        <w:rPr>
          <w:bCs/>
        </w:rPr>
        <w:t>person</w:t>
      </w:r>
      <w:r>
        <w:rPr>
          <w:bCs/>
        </w:rPr>
        <w:t>a</w:t>
      </w:r>
      <w:r w:rsidRPr="00A05620">
        <w:rPr>
          <w:bCs/>
        </w:rPr>
        <w:t>s</w:t>
      </w:r>
      <w:r w:rsidR="00E03EF2">
        <w:rPr>
          <w:bCs/>
        </w:rPr>
        <w:t>"</w:t>
      </w:r>
      <w:r w:rsidRPr="00A05620">
        <w:rPr>
          <w:bCs/>
        </w:rPr>
        <w:t xml:space="preserve"> </w:t>
      </w:r>
      <w:r>
        <w:rPr>
          <w:bCs/>
        </w:rPr>
        <w:t>y tienen prohibido</w:t>
      </w:r>
      <w:r w:rsidRPr="00A05620">
        <w:rPr>
          <w:bCs/>
        </w:rPr>
        <w:t xml:space="preserve"> discrimina</w:t>
      </w:r>
      <w:r>
        <w:rPr>
          <w:bCs/>
        </w:rPr>
        <w:t>r por motivos de raza o de otra índole</w:t>
      </w:r>
      <w:r w:rsidRPr="00A05620">
        <w:rPr>
          <w:bCs/>
        </w:rPr>
        <w:t>.</w:t>
      </w:r>
    </w:p>
    <w:p w:rsidR="000100D5" w:rsidRPr="002E3794" w:rsidRDefault="000100D5" w:rsidP="000100D5">
      <w:pPr>
        <w:pStyle w:val="SingleTxtG"/>
        <w:rPr>
          <w:bCs/>
        </w:rPr>
      </w:pPr>
      <w:r w:rsidRPr="005269E5">
        <w:t>174</w:t>
      </w:r>
      <w:r w:rsidRPr="005269E5">
        <w:rPr>
          <w:bCs/>
        </w:rPr>
        <w:t>.</w:t>
      </w:r>
      <w:r w:rsidRPr="005269E5">
        <w:rPr>
          <w:bCs/>
        </w:rPr>
        <w:tab/>
      </w:r>
      <w:r>
        <w:rPr>
          <w:bCs/>
        </w:rPr>
        <w:t>En el artículo</w:t>
      </w:r>
      <w:r w:rsidRPr="005269E5">
        <w:rPr>
          <w:bCs/>
        </w:rPr>
        <w:t xml:space="preserve"> 14 </w:t>
      </w:r>
      <w:r>
        <w:rPr>
          <w:bCs/>
        </w:rPr>
        <w:t>de las Leyes de igualdad en el empleo, de 1998 a</w:t>
      </w:r>
      <w:r w:rsidRPr="005269E5">
        <w:rPr>
          <w:bCs/>
        </w:rPr>
        <w:t xml:space="preserve"> 2008</w:t>
      </w:r>
      <w:r>
        <w:rPr>
          <w:bCs/>
        </w:rPr>
        <w:t>,</w:t>
      </w:r>
      <w:r w:rsidRPr="005269E5">
        <w:rPr>
          <w:bCs/>
        </w:rPr>
        <w:t xml:space="preserve"> </w:t>
      </w:r>
      <w:r>
        <w:rPr>
          <w:bCs/>
        </w:rPr>
        <w:t>y en el artículo</w:t>
      </w:r>
      <w:r w:rsidRPr="005269E5">
        <w:rPr>
          <w:bCs/>
        </w:rPr>
        <w:t xml:space="preserve"> 13 </w:t>
      </w:r>
      <w:r>
        <w:rPr>
          <w:bCs/>
        </w:rPr>
        <w:t>de las Leyes refundidas sobre la igualdad de condición se tipifica como delito el hecho de lograr o intentar una p</w:t>
      </w:r>
      <w:r w:rsidRPr="005269E5">
        <w:rPr>
          <w:bCs/>
        </w:rPr>
        <w:t>erson</w:t>
      </w:r>
      <w:r>
        <w:rPr>
          <w:bCs/>
        </w:rPr>
        <w:t>a</w:t>
      </w:r>
      <w:r w:rsidRPr="005269E5">
        <w:rPr>
          <w:bCs/>
        </w:rPr>
        <w:t xml:space="preserve"> (</w:t>
      </w:r>
      <w:r>
        <w:rPr>
          <w:bCs/>
        </w:rPr>
        <w:t>o incluso un órgano</w:t>
      </w:r>
      <w:r w:rsidRPr="005269E5">
        <w:rPr>
          <w:bCs/>
        </w:rPr>
        <w:t xml:space="preserve"> p</w:t>
      </w:r>
      <w:r>
        <w:rPr>
          <w:bCs/>
        </w:rPr>
        <w:t>ú</w:t>
      </w:r>
      <w:r w:rsidRPr="005269E5">
        <w:rPr>
          <w:bCs/>
        </w:rPr>
        <w:t>blic</w:t>
      </w:r>
      <w:r>
        <w:rPr>
          <w:bCs/>
        </w:rPr>
        <w:t>o</w:t>
      </w:r>
      <w:r w:rsidRPr="005269E5">
        <w:rPr>
          <w:bCs/>
        </w:rPr>
        <w:t xml:space="preserve">) </w:t>
      </w:r>
      <w:r>
        <w:rPr>
          <w:bCs/>
        </w:rPr>
        <w:t>que otra</w:t>
      </w:r>
      <w:r w:rsidRPr="005269E5">
        <w:rPr>
          <w:bCs/>
        </w:rPr>
        <w:t xml:space="preserve"> person</w:t>
      </w:r>
      <w:r>
        <w:rPr>
          <w:bCs/>
        </w:rPr>
        <w:t>a</w:t>
      </w:r>
      <w:r w:rsidRPr="005269E5">
        <w:rPr>
          <w:bCs/>
        </w:rPr>
        <w:t xml:space="preserve"> </w:t>
      </w:r>
      <w:r>
        <w:rPr>
          <w:bCs/>
        </w:rPr>
        <w:t>incurra en cualquier acto que</w:t>
      </w:r>
      <w:r w:rsidRPr="005269E5">
        <w:rPr>
          <w:bCs/>
        </w:rPr>
        <w:t xml:space="preserve"> constitu</w:t>
      </w:r>
      <w:r>
        <w:rPr>
          <w:bCs/>
        </w:rPr>
        <w:t>ya</w:t>
      </w:r>
      <w:r w:rsidRPr="005269E5">
        <w:rPr>
          <w:bCs/>
        </w:rPr>
        <w:t xml:space="preserve"> discrimina</w:t>
      </w:r>
      <w:r>
        <w:rPr>
          <w:bCs/>
        </w:rPr>
        <w:t>c</w:t>
      </w:r>
      <w:r w:rsidRPr="005269E5">
        <w:rPr>
          <w:bCs/>
        </w:rPr>
        <w:t>i</w:t>
      </w:r>
      <w:r>
        <w:rPr>
          <w:bCs/>
        </w:rPr>
        <w:t>ó</w:t>
      </w:r>
      <w:r w:rsidRPr="005269E5">
        <w:rPr>
          <w:bCs/>
        </w:rPr>
        <w:t xml:space="preserve">n </w:t>
      </w:r>
      <w:r>
        <w:rPr>
          <w:bCs/>
        </w:rPr>
        <w:t>racial, conforme a la ley.</w:t>
      </w:r>
      <w:r w:rsidRPr="005269E5">
        <w:rPr>
          <w:bCs/>
        </w:rPr>
        <w:t xml:space="preserve">. </w:t>
      </w:r>
      <w:r w:rsidRPr="002E3794">
        <w:rPr>
          <w:bCs/>
        </w:rPr>
        <w:t>La Ley de prohibición de la incitación al odio, de 1989</w:t>
      </w:r>
      <w:r>
        <w:rPr>
          <w:bCs/>
        </w:rPr>
        <w:t>,</w:t>
      </w:r>
      <w:r w:rsidRPr="002E3794">
        <w:rPr>
          <w:bCs/>
        </w:rPr>
        <w:t xml:space="preserve"> proh</w:t>
      </w:r>
      <w:r>
        <w:rPr>
          <w:bCs/>
        </w:rPr>
        <w:t>í</w:t>
      </w:r>
      <w:r w:rsidRPr="002E3794">
        <w:rPr>
          <w:bCs/>
        </w:rPr>
        <w:t>b</w:t>
      </w:r>
      <w:r>
        <w:rPr>
          <w:bCs/>
        </w:rPr>
        <w:t>e</w:t>
      </w:r>
      <w:r w:rsidRPr="002E3794">
        <w:rPr>
          <w:bCs/>
        </w:rPr>
        <w:t xml:space="preserve"> </w:t>
      </w:r>
      <w:r>
        <w:rPr>
          <w:bCs/>
        </w:rPr>
        <w:t xml:space="preserve">las </w:t>
      </w:r>
      <w:r w:rsidRPr="002E3794">
        <w:rPr>
          <w:bCs/>
        </w:rPr>
        <w:t>acti</w:t>
      </w:r>
      <w:r>
        <w:rPr>
          <w:bCs/>
        </w:rPr>
        <w:t>vidades de las personas</w:t>
      </w:r>
      <w:r w:rsidRPr="002E3794">
        <w:rPr>
          <w:bCs/>
        </w:rPr>
        <w:t xml:space="preserve"> natural</w:t>
      </w:r>
      <w:r>
        <w:rPr>
          <w:bCs/>
        </w:rPr>
        <w:t>es</w:t>
      </w:r>
      <w:r w:rsidRPr="002E3794">
        <w:rPr>
          <w:bCs/>
        </w:rPr>
        <w:t xml:space="preserve"> o </w:t>
      </w:r>
      <w:r>
        <w:rPr>
          <w:bCs/>
        </w:rPr>
        <w:t>jurídicas capaces de incitar al odio</w:t>
      </w:r>
      <w:r w:rsidRPr="002E3794">
        <w:rPr>
          <w:bCs/>
        </w:rPr>
        <w:t xml:space="preserve"> racial.</w:t>
      </w:r>
    </w:p>
    <w:p w:rsidR="000100D5" w:rsidRPr="000E5AF0" w:rsidRDefault="000100D5" w:rsidP="000100D5">
      <w:pPr>
        <w:pStyle w:val="SingleTxtG"/>
        <w:rPr>
          <w:bCs/>
        </w:rPr>
      </w:pPr>
      <w:r w:rsidRPr="005269E5">
        <w:t>175</w:t>
      </w:r>
      <w:r w:rsidRPr="005269E5">
        <w:rPr>
          <w:bCs/>
        </w:rPr>
        <w:t>.</w:t>
      </w:r>
      <w:r w:rsidRPr="005269E5">
        <w:rPr>
          <w:bCs/>
        </w:rPr>
        <w:tab/>
      </w:r>
      <w:r>
        <w:rPr>
          <w:bCs/>
        </w:rPr>
        <w:t xml:space="preserve">Las Leyes de igualdad en el empleo, de 1998 a </w:t>
      </w:r>
      <w:r w:rsidRPr="005269E5">
        <w:rPr>
          <w:bCs/>
        </w:rPr>
        <w:t>2008</w:t>
      </w:r>
      <w:r>
        <w:rPr>
          <w:bCs/>
        </w:rPr>
        <w:t>,</w:t>
      </w:r>
      <w:r w:rsidRPr="005269E5">
        <w:rPr>
          <w:bCs/>
        </w:rPr>
        <w:t xml:space="preserve"> proh</w:t>
      </w:r>
      <w:r>
        <w:rPr>
          <w:bCs/>
        </w:rPr>
        <w:t>í</w:t>
      </w:r>
      <w:r w:rsidRPr="005269E5">
        <w:rPr>
          <w:bCs/>
        </w:rPr>
        <w:t>b</w:t>
      </w:r>
      <w:r>
        <w:rPr>
          <w:bCs/>
        </w:rPr>
        <w:t>en</w:t>
      </w:r>
      <w:r w:rsidRPr="005269E5">
        <w:rPr>
          <w:bCs/>
        </w:rPr>
        <w:t xml:space="preserve"> direct</w:t>
      </w:r>
      <w:r>
        <w:rPr>
          <w:bCs/>
        </w:rPr>
        <w:t>a</w:t>
      </w:r>
      <w:r w:rsidRPr="005269E5">
        <w:rPr>
          <w:bCs/>
        </w:rPr>
        <w:t xml:space="preserve"> </w:t>
      </w:r>
      <w:r>
        <w:rPr>
          <w:bCs/>
        </w:rPr>
        <w:t>e</w:t>
      </w:r>
      <w:r w:rsidRPr="005269E5">
        <w:rPr>
          <w:bCs/>
        </w:rPr>
        <w:t xml:space="preserve"> indirect</w:t>
      </w:r>
      <w:r>
        <w:rPr>
          <w:bCs/>
        </w:rPr>
        <w:t>amente la</w:t>
      </w:r>
      <w:r w:rsidRPr="005269E5">
        <w:rPr>
          <w:bCs/>
        </w:rPr>
        <w:t xml:space="preserve"> discrimina</w:t>
      </w:r>
      <w:r>
        <w:rPr>
          <w:bCs/>
        </w:rPr>
        <w:t>c</w:t>
      </w:r>
      <w:r w:rsidRPr="005269E5">
        <w:rPr>
          <w:bCs/>
        </w:rPr>
        <w:t>i</w:t>
      </w:r>
      <w:r>
        <w:rPr>
          <w:bCs/>
        </w:rPr>
        <w:t>ó</w:t>
      </w:r>
      <w:r w:rsidRPr="005269E5">
        <w:rPr>
          <w:bCs/>
        </w:rPr>
        <w:t xml:space="preserve">n </w:t>
      </w:r>
      <w:r>
        <w:rPr>
          <w:bCs/>
        </w:rPr>
        <w:t>y el acoso</w:t>
      </w:r>
      <w:r w:rsidRPr="005269E5">
        <w:rPr>
          <w:bCs/>
        </w:rPr>
        <w:t xml:space="preserve"> </w:t>
      </w:r>
      <w:r>
        <w:rPr>
          <w:bCs/>
        </w:rPr>
        <w:t>e</w:t>
      </w:r>
      <w:r w:rsidRPr="005269E5">
        <w:rPr>
          <w:bCs/>
        </w:rPr>
        <w:t>n rela</w:t>
      </w:r>
      <w:r>
        <w:rPr>
          <w:bCs/>
        </w:rPr>
        <w:t>c</w:t>
      </w:r>
      <w:r w:rsidRPr="005269E5">
        <w:rPr>
          <w:bCs/>
        </w:rPr>
        <w:t>i</w:t>
      </w:r>
      <w:r>
        <w:rPr>
          <w:bCs/>
        </w:rPr>
        <w:t>ón c</w:t>
      </w:r>
      <w:r w:rsidRPr="005269E5">
        <w:rPr>
          <w:bCs/>
        </w:rPr>
        <w:t xml:space="preserve">on </w:t>
      </w:r>
      <w:r>
        <w:rPr>
          <w:bCs/>
        </w:rPr>
        <w:t xml:space="preserve">el </w:t>
      </w:r>
      <w:r w:rsidRPr="005269E5">
        <w:rPr>
          <w:bCs/>
        </w:rPr>
        <w:t>empl</w:t>
      </w:r>
      <w:r>
        <w:rPr>
          <w:bCs/>
        </w:rPr>
        <w:t>e</w:t>
      </w:r>
      <w:r w:rsidRPr="005269E5">
        <w:rPr>
          <w:bCs/>
        </w:rPr>
        <w:t xml:space="preserve">o </w:t>
      </w:r>
      <w:r>
        <w:rPr>
          <w:bCs/>
        </w:rPr>
        <w:t>por nueve motivos</w:t>
      </w:r>
      <w:r w:rsidRPr="005269E5">
        <w:rPr>
          <w:bCs/>
        </w:rPr>
        <w:t>,</w:t>
      </w:r>
      <w:r>
        <w:rPr>
          <w:bCs/>
        </w:rPr>
        <w:t xml:space="preserve"> a saber, el</w:t>
      </w:r>
      <w:r w:rsidRPr="005269E5">
        <w:rPr>
          <w:bCs/>
        </w:rPr>
        <w:t xml:space="preserve"> g</w:t>
      </w:r>
      <w:r>
        <w:rPr>
          <w:bCs/>
        </w:rPr>
        <w:t>é</w:t>
      </w:r>
      <w:r w:rsidRPr="005269E5">
        <w:rPr>
          <w:bCs/>
        </w:rPr>
        <w:t>ner</w:t>
      </w:r>
      <w:r>
        <w:rPr>
          <w:bCs/>
        </w:rPr>
        <w:t>o</w:t>
      </w:r>
      <w:r w:rsidRPr="005269E5">
        <w:rPr>
          <w:bCs/>
        </w:rPr>
        <w:t xml:space="preserve">, </w:t>
      </w:r>
      <w:r>
        <w:rPr>
          <w:bCs/>
        </w:rPr>
        <w:t>la edad</w:t>
      </w:r>
      <w:r w:rsidRPr="005269E5">
        <w:rPr>
          <w:bCs/>
        </w:rPr>
        <w:t xml:space="preserve">, </w:t>
      </w:r>
      <w:r>
        <w:rPr>
          <w:bCs/>
        </w:rPr>
        <w:t>el estado civil</w:t>
      </w:r>
      <w:r w:rsidRPr="005269E5">
        <w:rPr>
          <w:bCs/>
        </w:rPr>
        <w:t xml:space="preserve">, </w:t>
      </w:r>
      <w:r>
        <w:rPr>
          <w:bCs/>
        </w:rPr>
        <w:t xml:space="preserve">la situación </w:t>
      </w:r>
      <w:r w:rsidRPr="005269E5">
        <w:rPr>
          <w:bCs/>
        </w:rPr>
        <w:t>famil</w:t>
      </w:r>
      <w:r>
        <w:rPr>
          <w:bCs/>
        </w:rPr>
        <w:t>iar</w:t>
      </w:r>
      <w:r w:rsidRPr="005269E5">
        <w:rPr>
          <w:bCs/>
        </w:rPr>
        <w:t xml:space="preserve">, </w:t>
      </w:r>
      <w:r>
        <w:rPr>
          <w:bCs/>
        </w:rPr>
        <w:t>la</w:t>
      </w:r>
      <w:r w:rsidRPr="005269E5">
        <w:rPr>
          <w:bCs/>
        </w:rPr>
        <w:t xml:space="preserve"> orienta</w:t>
      </w:r>
      <w:r>
        <w:rPr>
          <w:bCs/>
        </w:rPr>
        <w:t>c</w:t>
      </w:r>
      <w:r w:rsidRPr="005269E5">
        <w:rPr>
          <w:bCs/>
        </w:rPr>
        <w:t>i</w:t>
      </w:r>
      <w:r>
        <w:rPr>
          <w:bCs/>
        </w:rPr>
        <w:t>ó</w:t>
      </w:r>
      <w:r w:rsidRPr="005269E5">
        <w:rPr>
          <w:bCs/>
        </w:rPr>
        <w:t>n</w:t>
      </w:r>
      <w:r>
        <w:rPr>
          <w:bCs/>
        </w:rPr>
        <w:t xml:space="preserve"> sexual</w:t>
      </w:r>
      <w:r w:rsidRPr="005269E5">
        <w:rPr>
          <w:bCs/>
        </w:rPr>
        <w:t xml:space="preserve">, </w:t>
      </w:r>
      <w:r>
        <w:rPr>
          <w:bCs/>
        </w:rPr>
        <w:t xml:space="preserve">las creencias </w:t>
      </w:r>
      <w:r w:rsidRPr="005269E5">
        <w:rPr>
          <w:bCs/>
        </w:rPr>
        <w:t>religios</w:t>
      </w:r>
      <w:r>
        <w:rPr>
          <w:bCs/>
        </w:rPr>
        <w:t>as</w:t>
      </w:r>
      <w:r w:rsidRPr="005269E5">
        <w:rPr>
          <w:bCs/>
        </w:rPr>
        <w:t xml:space="preserve">, </w:t>
      </w:r>
      <w:r>
        <w:rPr>
          <w:bCs/>
        </w:rPr>
        <w:t xml:space="preserve">la </w:t>
      </w:r>
      <w:r w:rsidRPr="005269E5">
        <w:rPr>
          <w:bCs/>
        </w:rPr>
        <w:t>dis</w:t>
      </w:r>
      <w:r>
        <w:rPr>
          <w:bCs/>
        </w:rPr>
        <w:t>c</w:t>
      </w:r>
      <w:r w:rsidRPr="005269E5">
        <w:rPr>
          <w:bCs/>
        </w:rPr>
        <w:t>a</w:t>
      </w:r>
      <w:r>
        <w:rPr>
          <w:bCs/>
        </w:rPr>
        <w:t>pacidad</w:t>
      </w:r>
      <w:r w:rsidRPr="005269E5">
        <w:rPr>
          <w:bCs/>
        </w:rPr>
        <w:t xml:space="preserve">, </w:t>
      </w:r>
      <w:r>
        <w:rPr>
          <w:bCs/>
        </w:rPr>
        <w:t xml:space="preserve">la </w:t>
      </w:r>
      <w:r w:rsidRPr="005269E5">
        <w:rPr>
          <w:bCs/>
        </w:rPr>
        <w:t>ra</w:t>
      </w:r>
      <w:r>
        <w:rPr>
          <w:bCs/>
        </w:rPr>
        <w:t>za y la pertenencia a la comunidad nómada</w:t>
      </w:r>
      <w:r w:rsidRPr="005269E5">
        <w:rPr>
          <w:bCs/>
        </w:rPr>
        <w:t xml:space="preserve">. </w:t>
      </w:r>
      <w:r w:rsidR="00593DE9">
        <w:rPr>
          <w:bCs/>
        </w:rPr>
        <w:t>Las </w:t>
      </w:r>
      <w:r w:rsidRPr="000E5AF0">
        <w:rPr>
          <w:bCs/>
        </w:rPr>
        <w:t>leyes contienen una regulación exhaustiv</w:t>
      </w:r>
      <w:r>
        <w:rPr>
          <w:bCs/>
        </w:rPr>
        <w:t>a</w:t>
      </w:r>
      <w:r w:rsidRPr="000E5AF0">
        <w:rPr>
          <w:bCs/>
        </w:rPr>
        <w:t xml:space="preserve"> de todos los ámbitos relativos al empleo, incluido el acceso al empleo, las </w:t>
      </w:r>
      <w:r>
        <w:rPr>
          <w:bCs/>
        </w:rPr>
        <w:t>condic</w:t>
      </w:r>
      <w:r w:rsidRPr="000E5AF0">
        <w:rPr>
          <w:bCs/>
        </w:rPr>
        <w:t>ion</w:t>
      </w:r>
      <w:r>
        <w:rPr>
          <w:bCs/>
        </w:rPr>
        <w:t>e</w:t>
      </w:r>
      <w:r w:rsidRPr="000E5AF0">
        <w:rPr>
          <w:bCs/>
        </w:rPr>
        <w:t xml:space="preserve">s </w:t>
      </w:r>
      <w:r>
        <w:rPr>
          <w:bCs/>
        </w:rPr>
        <w:t>de trabajo</w:t>
      </w:r>
      <w:r w:rsidRPr="000E5AF0">
        <w:rPr>
          <w:bCs/>
        </w:rPr>
        <w:t xml:space="preserve">, </w:t>
      </w:r>
      <w:r>
        <w:rPr>
          <w:bCs/>
        </w:rPr>
        <w:t xml:space="preserve">la </w:t>
      </w:r>
      <w:r w:rsidRPr="000E5AF0">
        <w:rPr>
          <w:bCs/>
        </w:rPr>
        <w:t>remunera</w:t>
      </w:r>
      <w:r>
        <w:rPr>
          <w:bCs/>
        </w:rPr>
        <w:t>c</w:t>
      </w:r>
      <w:r w:rsidRPr="000E5AF0">
        <w:rPr>
          <w:bCs/>
        </w:rPr>
        <w:t>i</w:t>
      </w:r>
      <w:r>
        <w:rPr>
          <w:bCs/>
        </w:rPr>
        <w:t>ó</w:t>
      </w:r>
      <w:r w:rsidRPr="000E5AF0">
        <w:rPr>
          <w:bCs/>
        </w:rPr>
        <w:t xml:space="preserve">n, </w:t>
      </w:r>
      <w:r>
        <w:rPr>
          <w:bCs/>
        </w:rPr>
        <w:t>los ascensos</w:t>
      </w:r>
      <w:r w:rsidRPr="000E5AF0">
        <w:rPr>
          <w:bCs/>
        </w:rPr>
        <w:t xml:space="preserve">, </w:t>
      </w:r>
      <w:r>
        <w:rPr>
          <w:bCs/>
        </w:rPr>
        <w:t xml:space="preserve">el despido </w:t>
      </w:r>
      <w:r w:rsidRPr="000E5AF0">
        <w:rPr>
          <w:bCs/>
        </w:rPr>
        <w:t>y</w:t>
      </w:r>
      <w:r>
        <w:rPr>
          <w:bCs/>
        </w:rPr>
        <w:t xml:space="preserve"> la formación profesional</w:t>
      </w:r>
      <w:r w:rsidRPr="000E5AF0">
        <w:rPr>
          <w:bCs/>
        </w:rPr>
        <w:t>.</w:t>
      </w:r>
    </w:p>
    <w:p w:rsidR="000100D5" w:rsidRPr="005269E5" w:rsidRDefault="000100D5" w:rsidP="000100D5">
      <w:pPr>
        <w:pStyle w:val="SingleTxtG"/>
        <w:rPr>
          <w:bCs/>
        </w:rPr>
      </w:pPr>
      <w:r w:rsidRPr="005269E5">
        <w:t>176</w:t>
      </w:r>
      <w:r>
        <w:rPr>
          <w:bCs/>
        </w:rPr>
        <w:t>.</w:t>
      </w:r>
      <w:r>
        <w:rPr>
          <w:bCs/>
        </w:rPr>
        <w:tab/>
        <w:t xml:space="preserve">Las Leyes sobre la igualdad de condición, de 2000 a </w:t>
      </w:r>
      <w:r w:rsidRPr="005269E5">
        <w:rPr>
          <w:bCs/>
        </w:rPr>
        <w:t>2008</w:t>
      </w:r>
      <w:r>
        <w:rPr>
          <w:bCs/>
        </w:rPr>
        <w:t>,</w:t>
      </w:r>
      <w:r w:rsidRPr="005269E5">
        <w:rPr>
          <w:bCs/>
        </w:rPr>
        <w:t xml:space="preserve"> proh</w:t>
      </w:r>
      <w:r>
        <w:rPr>
          <w:bCs/>
        </w:rPr>
        <w:t>í</w:t>
      </w:r>
      <w:r w:rsidRPr="005269E5">
        <w:rPr>
          <w:bCs/>
        </w:rPr>
        <w:t>b</w:t>
      </w:r>
      <w:r>
        <w:rPr>
          <w:bCs/>
        </w:rPr>
        <w:t>en la</w:t>
      </w:r>
      <w:r w:rsidRPr="005269E5">
        <w:rPr>
          <w:bCs/>
        </w:rPr>
        <w:t xml:space="preserve"> discrimina</w:t>
      </w:r>
      <w:r>
        <w:rPr>
          <w:bCs/>
        </w:rPr>
        <w:t>c</w:t>
      </w:r>
      <w:r w:rsidRPr="005269E5">
        <w:rPr>
          <w:bCs/>
        </w:rPr>
        <w:t>i</w:t>
      </w:r>
      <w:r>
        <w:rPr>
          <w:bCs/>
        </w:rPr>
        <w:t>ón</w:t>
      </w:r>
      <w:r w:rsidRPr="005269E5">
        <w:rPr>
          <w:bCs/>
        </w:rPr>
        <w:t xml:space="preserve"> </w:t>
      </w:r>
      <w:r>
        <w:rPr>
          <w:bCs/>
        </w:rPr>
        <w:t>por los mismos nueve motivos</w:t>
      </w:r>
      <w:r w:rsidRPr="005269E5">
        <w:rPr>
          <w:bCs/>
        </w:rPr>
        <w:t>, i</w:t>
      </w:r>
      <w:r>
        <w:rPr>
          <w:bCs/>
        </w:rPr>
        <w:t>ncluido el de la raza.</w:t>
      </w:r>
    </w:p>
    <w:p w:rsidR="000100D5" w:rsidRPr="005269E5" w:rsidRDefault="000100D5" w:rsidP="000100D5">
      <w:pPr>
        <w:pStyle w:val="SingleTxtG"/>
        <w:rPr>
          <w:bCs/>
        </w:rPr>
      </w:pPr>
      <w:r w:rsidRPr="005269E5">
        <w:t>177</w:t>
      </w:r>
      <w:r w:rsidRPr="005269E5">
        <w:rPr>
          <w:bCs/>
        </w:rPr>
        <w:t>.</w:t>
      </w:r>
      <w:r w:rsidRPr="005269E5">
        <w:rPr>
          <w:bCs/>
        </w:rPr>
        <w:tab/>
      </w:r>
      <w:r>
        <w:rPr>
          <w:bCs/>
        </w:rPr>
        <w:t>Las Leyes sobre la igualdad de condición se aplican al acceso y al suministro de bienes y servicios, incluidos los servicios públicos</w:t>
      </w:r>
      <w:r w:rsidRPr="005269E5">
        <w:rPr>
          <w:bCs/>
        </w:rPr>
        <w:t xml:space="preserve">, </w:t>
      </w:r>
      <w:r>
        <w:rPr>
          <w:bCs/>
        </w:rPr>
        <w:t>la vivienda, la atención de salud y la</w:t>
      </w:r>
      <w:r w:rsidR="005007D6">
        <w:rPr>
          <w:bCs/>
        </w:rPr>
        <w:t xml:space="preserve"> </w:t>
      </w:r>
      <w:r>
        <w:rPr>
          <w:bCs/>
        </w:rPr>
        <w:t>educación.</w:t>
      </w:r>
    </w:p>
    <w:p w:rsidR="000100D5" w:rsidRPr="005269E5" w:rsidRDefault="000100D5" w:rsidP="000100D5">
      <w:pPr>
        <w:pStyle w:val="SingleTxtG"/>
        <w:rPr>
          <w:bCs/>
        </w:rPr>
      </w:pPr>
      <w:r w:rsidRPr="005269E5">
        <w:t>178</w:t>
      </w:r>
      <w:r w:rsidRPr="005269E5">
        <w:rPr>
          <w:bCs/>
        </w:rPr>
        <w:t>.</w:t>
      </w:r>
      <w:r w:rsidRPr="005269E5">
        <w:rPr>
          <w:bCs/>
        </w:rPr>
        <w:tab/>
      </w:r>
      <w:r>
        <w:rPr>
          <w:bCs/>
        </w:rPr>
        <w:t>La</w:t>
      </w:r>
      <w:r w:rsidRPr="005269E5">
        <w:rPr>
          <w:bCs/>
        </w:rPr>
        <w:t xml:space="preserve"> Directiv</w:t>
      </w:r>
      <w:r>
        <w:rPr>
          <w:bCs/>
        </w:rPr>
        <w:t>a de la UE relativa a la igualdad racial</w:t>
      </w:r>
      <w:r w:rsidRPr="005269E5">
        <w:rPr>
          <w:bCs/>
        </w:rPr>
        <w:t xml:space="preserve">, </w:t>
      </w:r>
      <w:r>
        <w:rPr>
          <w:bCs/>
        </w:rPr>
        <w:t>que aplica el principio de igualdad de trato entre las personas, independientemente de su origen</w:t>
      </w:r>
      <w:r w:rsidRPr="005269E5">
        <w:rPr>
          <w:bCs/>
        </w:rPr>
        <w:t xml:space="preserve"> racial o </w:t>
      </w:r>
      <w:r>
        <w:rPr>
          <w:bCs/>
        </w:rPr>
        <w:t>é</w:t>
      </w:r>
      <w:r w:rsidRPr="005269E5">
        <w:rPr>
          <w:bCs/>
        </w:rPr>
        <w:t>tnic</w:t>
      </w:r>
      <w:r>
        <w:rPr>
          <w:bCs/>
        </w:rPr>
        <w:t>o, se incorporó a la legislación irlandesa el</w:t>
      </w:r>
      <w:r w:rsidRPr="005269E5">
        <w:rPr>
          <w:bCs/>
        </w:rPr>
        <w:t xml:space="preserve"> 19 </w:t>
      </w:r>
      <w:r>
        <w:rPr>
          <w:bCs/>
        </w:rPr>
        <w:t>de julio de</w:t>
      </w:r>
      <w:r w:rsidRPr="005269E5">
        <w:rPr>
          <w:bCs/>
        </w:rPr>
        <w:t xml:space="preserve"> 2004 </w:t>
      </w:r>
      <w:r>
        <w:rPr>
          <w:bCs/>
        </w:rPr>
        <w:t xml:space="preserve">por la Ley de igualdad de ese mismo año, que </w:t>
      </w:r>
      <w:r w:rsidRPr="005269E5">
        <w:rPr>
          <w:bCs/>
        </w:rPr>
        <w:t>m</w:t>
      </w:r>
      <w:r>
        <w:rPr>
          <w:bCs/>
        </w:rPr>
        <w:t xml:space="preserve">odificó las Leyes </w:t>
      </w:r>
      <w:r w:rsidRPr="005269E5">
        <w:rPr>
          <w:bCs/>
        </w:rPr>
        <w:t>de</w:t>
      </w:r>
      <w:r>
        <w:rPr>
          <w:bCs/>
        </w:rPr>
        <w:t xml:space="preserve"> igualdad en el empleo y sobre la igualdad de condición.</w:t>
      </w:r>
    </w:p>
    <w:p w:rsidR="000100D5" w:rsidRPr="005269E5" w:rsidRDefault="000100D5" w:rsidP="000100D5">
      <w:pPr>
        <w:pStyle w:val="SingleTxtG"/>
        <w:rPr>
          <w:bCs/>
          <w:u w:val="single"/>
        </w:rPr>
      </w:pPr>
      <w:r w:rsidRPr="005269E5">
        <w:t>179</w:t>
      </w:r>
      <w:r w:rsidRPr="005269E5">
        <w:rPr>
          <w:bCs/>
        </w:rPr>
        <w:t>.</w:t>
      </w:r>
      <w:r w:rsidRPr="005269E5">
        <w:rPr>
          <w:bCs/>
        </w:rPr>
        <w:tab/>
      </w:r>
      <w:r>
        <w:rPr>
          <w:bCs/>
        </w:rPr>
        <w:t>Como se indicaba en el último informe de</w:t>
      </w:r>
      <w:r w:rsidRPr="005269E5">
        <w:rPr>
          <w:bCs/>
        </w:rPr>
        <w:t xml:space="preserve"> Irland</w:t>
      </w:r>
      <w:r>
        <w:rPr>
          <w:bCs/>
        </w:rPr>
        <w:t>a</w:t>
      </w:r>
      <w:r w:rsidRPr="005269E5">
        <w:rPr>
          <w:bCs/>
        </w:rPr>
        <w:t xml:space="preserve">, </w:t>
      </w:r>
      <w:r>
        <w:rPr>
          <w:bCs/>
        </w:rPr>
        <w:t>existen tres mecanismos para revisar la legislación o las políticas:</w:t>
      </w:r>
    </w:p>
    <w:p w:rsidR="000100D5" w:rsidRPr="005269E5" w:rsidRDefault="000100D5" w:rsidP="000100D5">
      <w:pPr>
        <w:pStyle w:val="H4G"/>
        <w:rPr>
          <w:b/>
          <w:u w:val="single"/>
        </w:rPr>
      </w:pPr>
      <w:r w:rsidRPr="005269E5">
        <w:rPr>
          <w:b/>
        </w:rPr>
        <w:tab/>
      </w:r>
      <w:r w:rsidRPr="005269E5">
        <w:t>a)</w:t>
      </w:r>
      <w:r w:rsidRPr="005269E5">
        <w:tab/>
      </w:r>
      <w:r>
        <w:t>El Defensor del Pueblo</w:t>
      </w:r>
      <w:r w:rsidRPr="000B09E3">
        <w:rPr>
          <w:rStyle w:val="FootnoteReference"/>
          <w:i w:val="0"/>
        </w:rPr>
        <w:footnoteReference w:id="49"/>
      </w:r>
    </w:p>
    <w:p w:rsidR="000100D5" w:rsidRPr="005269E5" w:rsidRDefault="000100D5" w:rsidP="000100D5">
      <w:pPr>
        <w:pStyle w:val="SingleTxtG"/>
        <w:rPr>
          <w:bCs/>
        </w:rPr>
      </w:pPr>
      <w:r w:rsidRPr="005269E5">
        <w:t>180</w:t>
      </w:r>
      <w:r w:rsidRPr="005269E5">
        <w:rPr>
          <w:bCs/>
        </w:rPr>
        <w:t>.</w:t>
      </w:r>
      <w:r w:rsidRPr="005269E5">
        <w:rPr>
          <w:bCs/>
        </w:rPr>
        <w:tab/>
      </w:r>
      <w:r>
        <w:rPr>
          <w:bCs/>
        </w:rPr>
        <w:t>Sírvanse consultar el</w:t>
      </w:r>
      <w:r w:rsidRPr="005269E5">
        <w:rPr>
          <w:bCs/>
        </w:rPr>
        <w:t xml:space="preserve"> p</w:t>
      </w:r>
      <w:r>
        <w:rPr>
          <w:bCs/>
        </w:rPr>
        <w:t>á</w:t>
      </w:r>
      <w:r w:rsidRPr="005269E5">
        <w:rPr>
          <w:bCs/>
        </w:rPr>
        <w:t>r</w:t>
      </w:r>
      <w:r>
        <w:rPr>
          <w:bCs/>
        </w:rPr>
        <w:t>r</w:t>
      </w:r>
      <w:r w:rsidRPr="005269E5">
        <w:rPr>
          <w:bCs/>
        </w:rPr>
        <w:t>a</w:t>
      </w:r>
      <w:r>
        <w:rPr>
          <w:bCs/>
        </w:rPr>
        <w:t>fo</w:t>
      </w:r>
      <w:r w:rsidRPr="005269E5">
        <w:rPr>
          <w:bCs/>
        </w:rPr>
        <w:t xml:space="preserve"> 207 </w:t>
      </w:r>
      <w:r>
        <w:rPr>
          <w:bCs/>
        </w:rPr>
        <w:t>del informe inicial y el segundo informe periódico de</w:t>
      </w:r>
      <w:r w:rsidRPr="005269E5">
        <w:rPr>
          <w:bCs/>
        </w:rPr>
        <w:t xml:space="preserve"> Irland</w:t>
      </w:r>
      <w:r>
        <w:rPr>
          <w:bCs/>
        </w:rPr>
        <w:t>a</w:t>
      </w:r>
      <w:r w:rsidRPr="005269E5">
        <w:rPr>
          <w:bCs/>
        </w:rPr>
        <w:t xml:space="preserve"> </w:t>
      </w:r>
      <w:r>
        <w:rPr>
          <w:bCs/>
        </w:rPr>
        <w:t>y la respuesta a la observación final</w:t>
      </w:r>
      <w:r w:rsidRPr="005269E5">
        <w:rPr>
          <w:bCs/>
        </w:rPr>
        <w:t xml:space="preserve"> cont</w:t>
      </w:r>
      <w:r>
        <w:rPr>
          <w:bCs/>
        </w:rPr>
        <w:t>e</w:t>
      </w:r>
      <w:r w:rsidRPr="005269E5">
        <w:rPr>
          <w:bCs/>
        </w:rPr>
        <w:t>n</w:t>
      </w:r>
      <w:r>
        <w:rPr>
          <w:bCs/>
        </w:rPr>
        <w:t>i</w:t>
      </w:r>
      <w:r w:rsidRPr="005269E5">
        <w:rPr>
          <w:bCs/>
        </w:rPr>
        <w:t>d</w:t>
      </w:r>
      <w:r>
        <w:rPr>
          <w:bCs/>
        </w:rPr>
        <w:t>a</w:t>
      </w:r>
      <w:r w:rsidRPr="005269E5">
        <w:rPr>
          <w:bCs/>
        </w:rPr>
        <w:t xml:space="preserve"> </w:t>
      </w:r>
      <w:r>
        <w:rPr>
          <w:bCs/>
        </w:rPr>
        <w:t>e</w:t>
      </w:r>
      <w:r w:rsidRPr="005269E5">
        <w:rPr>
          <w:bCs/>
        </w:rPr>
        <w:t xml:space="preserve">n </w:t>
      </w:r>
      <w:r>
        <w:rPr>
          <w:bCs/>
        </w:rPr>
        <w:t xml:space="preserve">el </w:t>
      </w:r>
      <w:r w:rsidRPr="005269E5">
        <w:rPr>
          <w:bCs/>
        </w:rPr>
        <w:t>p</w:t>
      </w:r>
      <w:r>
        <w:rPr>
          <w:bCs/>
        </w:rPr>
        <w:t>ár</w:t>
      </w:r>
      <w:r w:rsidRPr="005269E5">
        <w:rPr>
          <w:bCs/>
        </w:rPr>
        <w:t>ra</w:t>
      </w:r>
      <w:r>
        <w:rPr>
          <w:bCs/>
        </w:rPr>
        <w:t>fo</w:t>
      </w:r>
      <w:r w:rsidRPr="005269E5">
        <w:rPr>
          <w:bCs/>
        </w:rPr>
        <w:t xml:space="preserve"> 11 </w:t>
      </w:r>
      <w:r>
        <w:rPr>
          <w:bCs/>
        </w:rPr>
        <w:t xml:space="preserve">del informe del </w:t>
      </w:r>
      <w:r w:rsidR="00466CA0">
        <w:rPr>
          <w:bCs/>
        </w:rPr>
        <w:t>Coordinador encargado del seguimiento</w:t>
      </w:r>
      <w:r w:rsidRPr="005269E5">
        <w:rPr>
          <w:bCs/>
        </w:rPr>
        <w:t xml:space="preserve"> (</w:t>
      </w:r>
      <w:r>
        <w:rPr>
          <w:bCs/>
        </w:rPr>
        <w:t>ampliación del alcance de la Ley sobre la igualdad de condición).</w:t>
      </w:r>
      <w:r w:rsidRPr="005269E5">
        <w:rPr>
          <w:bCs/>
        </w:rPr>
        <w:t xml:space="preserve"> </w:t>
      </w:r>
    </w:p>
    <w:p w:rsidR="000100D5" w:rsidRPr="005269E5" w:rsidRDefault="000100D5" w:rsidP="000100D5">
      <w:pPr>
        <w:pStyle w:val="H4G"/>
      </w:pPr>
      <w:r>
        <w:tab/>
        <w:t>b)</w:t>
      </w:r>
      <w:r>
        <w:tab/>
        <w:t>Revisión judicial</w:t>
      </w:r>
    </w:p>
    <w:p w:rsidR="000100D5" w:rsidRPr="005269E5" w:rsidRDefault="000100D5" w:rsidP="000100D5">
      <w:pPr>
        <w:pStyle w:val="SingleTxtG"/>
        <w:rPr>
          <w:bCs/>
        </w:rPr>
      </w:pPr>
      <w:r w:rsidRPr="005269E5">
        <w:t>181</w:t>
      </w:r>
      <w:r w:rsidRPr="005269E5">
        <w:rPr>
          <w:bCs/>
        </w:rPr>
        <w:t>.</w:t>
      </w:r>
      <w:r w:rsidRPr="005269E5">
        <w:rPr>
          <w:bCs/>
        </w:rPr>
        <w:tab/>
      </w:r>
      <w:r>
        <w:rPr>
          <w:bCs/>
        </w:rPr>
        <w:t>Sírvanse consultar el</w:t>
      </w:r>
      <w:r w:rsidRPr="005269E5">
        <w:rPr>
          <w:bCs/>
        </w:rPr>
        <w:t xml:space="preserve"> p</w:t>
      </w:r>
      <w:r>
        <w:rPr>
          <w:bCs/>
        </w:rPr>
        <w:t>ár</w:t>
      </w:r>
      <w:r w:rsidRPr="005269E5">
        <w:rPr>
          <w:bCs/>
        </w:rPr>
        <w:t>ra</w:t>
      </w:r>
      <w:r>
        <w:rPr>
          <w:bCs/>
        </w:rPr>
        <w:t>fo</w:t>
      </w:r>
      <w:r w:rsidRPr="005269E5">
        <w:rPr>
          <w:bCs/>
        </w:rPr>
        <w:t xml:space="preserve"> 208 </w:t>
      </w:r>
      <w:r>
        <w:rPr>
          <w:bCs/>
        </w:rPr>
        <w:t>del informe inicial y el segundo informe periódico de</w:t>
      </w:r>
      <w:r w:rsidRPr="005269E5">
        <w:rPr>
          <w:bCs/>
        </w:rPr>
        <w:t xml:space="preserve"> Irland</w:t>
      </w:r>
      <w:r>
        <w:rPr>
          <w:bCs/>
        </w:rPr>
        <w:t>a</w:t>
      </w:r>
      <w:r w:rsidRPr="005269E5">
        <w:rPr>
          <w:bCs/>
        </w:rPr>
        <w:t xml:space="preserve">. </w:t>
      </w:r>
    </w:p>
    <w:p w:rsidR="000100D5" w:rsidRPr="005269E5" w:rsidRDefault="000100D5" w:rsidP="000100D5">
      <w:pPr>
        <w:pStyle w:val="H4G"/>
      </w:pPr>
      <w:r w:rsidRPr="005269E5">
        <w:tab/>
        <w:t>c)</w:t>
      </w:r>
      <w:r w:rsidRPr="005269E5">
        <w:tab/>
      </w:r>
      <w:r>
        <w:t>Revisión c</w:t>
      </w:r>
      <w:r w:rsidRPr="005269E5">
        <w:t>onstitu</w:t>
      </w:r>
      <w:r>
        <w:t>c</w:t>
      </w:r>
      <w:r w:rsidRPr="005269E5">
        <w:t>ional</w:t>
      </w:r>
      <w:r>
        <w:t xml:space="preserve"> de actos</w:t>
      </w:r>
      <w:r w:rsidRPr="005269E5">
        <w:t xml:space="preserve"> </w:t>
      </w:r>
      <w:r>
        <w:t>a</w:t>
      </w:r>
      <w:r w:rsidRPr="005269E5">
        <w:t>dm</w:t>
      </w:r>
      <w:r>
        <w:t>inistrativos o del ejecutivo</w:t>
      </w:r>
    </w:p>
    <w:p w:rsidR="000100D5" w:rsidRPr="005269E5" w:rsidRDefault="000100D5" w:rsidP="000100D5">
      <w:pPr>
        <w:pStyle w:val="SingleTxtG"/>
        <w:rPr>
          <w:bCs/>
        </w:rPr>
      </w:pPr>
      <w:r w:rsidRPr="005269E5">
        <w:t>182</w:t>
      </w:r>
      <w:r w:rsidRPr="005269E5">
        <w:rPr>
          <w:bCs/>
        </w:rPr>
        <w:t>.</w:t>
      </w:r>
      <w:r w:rsidRPr="005269E5">
        <w:rPr>
          <w:bCs/>
        </w:rPr>
        <w:tab/>
      </w:r>
      <w:r>
        <w:rPr>
          <w:bCs/>
        </w:rPr>
        <w:t>Sírvanse consultar el</w:t>
      </w:r>
      <w:r w:rsidRPr="005269E5">
        <w:rPr>
          <w:bCs/>
        </w:rPr>
        <w:t xml:space="preserve"> p</w:t>
      </w:r>
      <w:r>
        <w:rPr>
          <w:bCs/>
        </w:rPr>
        <w:t>ár</w:t>
      </w:r>
      <w:r w:rsidRPr="005269E5">
        <w:rPr>
          <w:bCs/>
        </w:rPr>
        <w:t>ra</w:t>
      </w:r>
      <w:r>
        <w:rPr>
          <w:bCs/>
        </w:rPr>
        <w:t>fo</w:t>
      </w:r>
      <w:r w:rsidRPr="005269E5">
        <w:rPr>
          <w:bCs/>
        </w:rPr>
        <w:t xml:space="preserve"> 209 </w:t>
      </w:r>
      <w:r>
        <w:rPr>
          <w:bCs/>
        </w:rPr>
        <w:t>del informe inicial y el segundo informe periódico de</w:t>
      </w:r>
      <w:r w:rsidRPr="005269E5">
        <w:rPr>
          <w:bCs/>
        </w:rPr>
        <w:t xml:space="preserve"> Ir</w:t>
      </w:r>
      <w:r>
        <w:rPr>
          <w:bCs/>
        </w:rPr>
        <w:t>landa.</w:t>
      </w:r>
    </w:p>
    <w:p w:rsidR="000100D5" w:rsidRPr="005269E5" w:rsidRDefault="000100D5" w:rsidP="000100D5">
      <w:pPr>
        <w:pStyle w:val="SingleTxtG"/>
        <w:rPr>
          <w:bCs/>
        </w:rPr>
      </w:pPr>
      <w:r w:rsidRPr="005269E5">
        <w:t>183</w:t>
      </w:r>
      <w:r w:rsidRPr="005269E5">
        <w:rPr>
          <w:bCs/>
        </w:rPr>
        <w:t>.</w:t>
      </w:r>
      <w:r w:rsidRPr="005269E5">
        <w:rPr>
          <w:bCs/>
        </w:rPr>
        <w:tab/>
      </w:r>
      <w:r>
        <w:rPr>
          <w:bCs/>
        </w:rPr>
        <w:t>No hay leyes o normas explícitas contra la</w:t>
      </w:r>
      <w:r w:rsidRPr="005269E5">
        <w:rPr>
          <w:bCs/>
        </w:rPr>
        <w:t xml:space="preserve"> discrimina</w:t>
      </w:r>
      <w:r>
        <w:rPr>
          <w:bCs/>
        </w:rPr>
        <w:t>ción racial que amparen la</w:t>
      </w:r>
      <w:r w:rsidR="005007D6">
        <w:rPr>
          <w:bCs/>
        </w:rPr>
        <w:t xml:space="preserve"> </w:t>
      </w:r>
      <w:r w:rsidRPr="005269E5">
        <w:rPr>
          <w:bCs/>
        </w:rPr>
        <w:t>discrim</w:t>
      </w:r>
      <w:r>
        <w:rPr>
          <w:bCs/>
        </w:rPr>
        <w:t>inación por motivos de raza.</w:t>
      </w:r>
    </w:p>
    <w:p w:rsidR="000100D5" w:rsidRPr="005269E5" w:rsidRDefault="000100D5" w:rsidP="000100D5">
      <w:pPr>
        <w:pStyle w:val="H23G"/>
      </w:pPr>
      <w:r>
        <w:tab/>
        <w:t>10.</w:t>
      </w:r>
      <w:r>
        <w:tab/>
        <w:t>Ot</w:t>
      </w:r>
      <w:r w:rsidRPr="005269E5">
        <w:t>r</w:t>
      </w:r>
      <w:r>
        <w:t>as</w:t>
      </w:r>
      <w:r w:rsidRPr="005269E5">
        <w:t xml:space="preserve"> me</w:t>
      </w:r>
      <w:r>
        <w:t>didas</w:t>
      </w:r>
    </w:p>
    <w:p w:rsidR="000100D5" w:rsidRPr="005269E5" w:rsidRDefault="000100D5" w:rsidP="000100D5">
      <w:pPr>
        <w:pStyle w:val="SingleTxtG"/>
        <w:rPr>
          <w:bCs/>
        </w:rPr>
      </w:pPr>
      <w:r w:rsidRPr="005269E5">
        <w:t>184</w:t>
      </w:r>
      <w:r w:rsidRPr="005269E5">
        <w:rPr>
          <w:bCs/>
        </w:rPr>
        <w:t>.</w:t>
      </w:r>
      <w:r w:rsidRPr="005269E5">
        <w:rPr>
          <w:bCs/>
        </w:rPr>
        <w:tab/>
      </w:r>
      <w:r>
        <w:rPr>
          <w:bCs/>
        </w:rPr>
        <w:t>Además de las</w:t>
      </w:r>
      <w:r w:rsidRPr="005269E5">
        <w:rPr>
          <w:bCs/>
        </w:rPr>
        <w:t xml:space="preserve"> me</w:t>
      </w:r>
      <w:r>
        <w:rPr>
          <w:bCs/>
        </w:rPr>
        <w:t>didas</w:t>
      </w:r>
      <w:r w:rsidRPr="005269E5">
        <w:rPr>
          <w:bCs/>
        </w:rPr>
        <w:t xml:space="preserve"> </w:t>
      </w:r>
      <w:r>
        <w:rPr>
          <w:bCs/>
        </w:rPr>
        <w:t xml:space="preserve">esbozadas </w:t>
      </w:r>
      <w:r>
        <w:rPr>
          <w:bCs/>
          <w:i/>
        </w:rPr>
        <w:t>supra</w:t>
      </w:r>
      <w:r w:rsidRPr="005269E5">
        <w:rPr>
          <w:bCs/>
        </w:rPr>
        <w:t xml:space="preserve">, </w:t>
      </w:r>
      <w:r>
        <w:rPr>
          <w:bCs/>
        </w:rPr>
        <w:t>el</w:t>
      </w:r>
      <w:r w:rsidRPr="005269E5">
        <w:rPr>
          <w:bCs/>
        </w:rPr>
        <w:t xml:space="preserve"> Go</w:t>
      </w:r>
      <w:r>
        <w:rPr>
          <w:bCs/>
        </w:rPr>
        <w:t>bi</w:t>
      </w:r>
      <w:r w:rsidRPr="005269E5">
        <w:rPr>
          <w:bCs/>
        </w:rPr>
        <w:t>ern</w:t>
      </w:r>
      <w:r>
        <w:rPr>
          <w:bCs/>
        </w:rPr>
        <w:t>o ha elaborado así mismo las siguientes:</w:t>
      </w:r>
    </w:p>
    <w:p w:rsidR="000100D5" w:rsidRPr="005269E5" w:rsidRDefault="00914DB6" w:rsidP="000100D5">
      <w:pPr>
        <w:pStyle w:val="H4G"/>
      </w:pPr>
      <w:r>
        <w:tab/>
      </w:r>
      <w:r w:rsidR="000100D5">
        <w:t>a)</w:t>
      </w:r>
      <w:r w:rsidR="000100D5">
        <w:tab/>
      </w:r>
      <w:r w:rsidR="000100D5" w:rsidRPr="005269E5">
        <w:t>Progra</w:t>
      </w:r>
      <w:r w:rsidR="000100D5">
        <w:t>ma concertado para el</w:t>
      </w:r>
      <w:r w:rsidR="000100D5" w:rsidRPr="005269E5">
        <w:t xml:space="preserve"> Go</w:t>
      </w:r>
      <w:r w:rsidR="000100D5">
        <w:t>bi</w:t>
      </w:r>
      <w:r w:rsidR="000100D5" w:rsidRPr="005269E5">
        <w:t>ern</w:t>
      </w:r>
      <w:r w:rsidR="000100D5">
        <w:t xml:space="preserve">o – </w:t>
      </w:r>
      <w:r w:rsidR="00E03EF2">
        <w:t>"</w:t>
      </w:r>
      <w:r w:rsidR="000100D5">
        <w:t>Un proyecto para el futuro de</w:t>
      </w:r>
      <w:r w:rsidR="000100D5" w:rsidRPr="005269E5">
        <w:t xml:space="preserve"> Irland</w:t>
      </w:r>
      <w:r w:rsidR="000100D5">
        <w:t>a</w:t>
      </w:r>
      <w:r w:rsidR="000100D5" w:rsidRPr="005269E5">
        <w:t xml:space="preserve"> 2007</w:t>
      </w:r>
      <w:r w:rsidR="00067DCF">
        <w:noBreakHyphen/>
      </w:r>
      <w:r w:rsidR="000100D5" w:rsidRPr="005269E5">
        <w:t>2012</w:t>
      </w:r>
      <w:r w:rsidR="000100D5" w:rsidRPr="00FE4365">
        <w:rPr>
          <w:rStyle w:val="FootnoteReference"/>
          <w:i w:val="0"/>
        </w:rPr>
        <w:footnoteReference w:id="50"/>
      </w:r>
      <w:r w:rsidR="001F5C61">
        <w:t>"</w:t>
      </w:r>
    </w:p>
    <w:p w:rsidR="000100D5" w:rsidRPr="005269E5" w:rsidRDefault="000100D5" w:rsidP="000100D5">
      <w:pPr>
        <w:pStyle w:val="SingleTxtG"/>
        <w:rPr>
          <w:bCs/>
        </w:rPr>
      </w:pPr>
      <w:r w:rsidRPr="005269E5">
        <w:t>185</w:t>
      </w:r>
      <w:r w:rsidRPr="005269E5">
        <w:rPr>
          <w:bCs/>
        </w:rPr>
        <w:t>.</w:t>
      </w:r>
      <w:r w:rsidRPr="005269E5">
        <w:rPr>
          <w:bCs/>
        </w:rPr>
        <w:tab/>
      </w:r>
      <w:r>
        <w:rPr>
          <w:bCs/>
        </w:rPr>
        <w:t>En virtud de su actual</w:t>
      </w:r>
      <w:r w:rsidRPr="005269E5">
        <w:rPr>
          <w:bCs/>
        </w:rPr>
        <w:t xml:space="preserve"> Progra</w:t>
      </w:r>
      <w:r>
        <w:rPr>
          <w:bCs/>
        </w:rPr>
        <w:t>ma,</w:t>
      </w:r>
      <w:r w:rsidRPr="005269E5">
        <w:rPr>
          <w:bCs/>
        </w:rPr>
        <w:t xml:space="preserve"> </w:t>
      </w:r>
      <w:r>
        <w:rPr>
          <w:bCs/>
        </w:rPr>
        <w:t>el</w:t>
      </w:r>
      <w:r w:rsidRPr="005269E5">
        <w:rPr>
          <w:bCs/>
        </w:rPr>
        <w:t xml:space="preserve"> Go</w:t>
      </w:r>
      <w:r>
        <w:rPr>
          <w:bCs/>
        </w:rPr>
        <w:t>bi</w:t>
      </w:r>
      <w:r w:rsidRPr="005269E5">
        <w:rPr>
          <w:bCs/>
        </w:rPr>
        <w:t>ern</w:t>
      </w:r>
      <w:r>
        <w:rPr>
          <w:bCs/>
        </w:rPr>
        <w:t>o tiene la firme voluntad</w:t>
      </w:r>
      <w:r w:rsidRPr="005269E5">
        <w:rPr>
          <w:bCs/>
        </w:rPr>
        <w:t xml:space="preserve"> </w:t>
      </w:r>
      <w:r>
        <w:rPr>
          <w:bCs/>
        </w:rPr>
        <w:t>de seguir promoviendo campañas</w:t>
      </w:r>
      <w:r w:rsidRPr="005269E5">
        <w:rPr>
          <w:bCs/>
        </w:rPr>
        <w:t xml:space="preserve"> na</w:t>
      </w:r>
      <w:r>
        <w:rPr>
          <w:bCs/>
        </w:rPr>
        <w:t>c</w:t>
      </w:r>
      <w:r w:rsidRPr="005269E5">
        <w:rPr>
          <w:bCs/>
        </w:rPr>
        <w:t>ional</w:t>
      </w:r>
      <w:r>
        <w:rPr>
          <w:bCs/>
        </w:rPr>
        <w:t>es</w:t>
      </w:r>
      <w:r w:rsidRPr="005269E5">
        <w:rPr>
          <w:bCs/>
        </w:rPr>
        <w:t xml:space="preserve"> </w:t>
      </w:r>
      <w:r>
        <w:rPr>
          <w:bCs/>
        </w:rPr>
        <w:t>que eduquen al público</w:t>
      </w:r>
      <w:r w:rsidRPr="005269E5">
        <w:rPr>
          <w:bCs/>
        </w:rPr>
        <w:t xml:space="preserve"> </w:t>
      </w:r>
      <w:r>
        <w:rPr>
          <w:bCs/>
        </w:rPr>
        <w:t>i</w:t>
      </w:r>
      <w:r w:rsidRPr="005269E5">
        <w:rPr>
          <w:bCs/>
        </w:rPr>
        <w:t>r</w:t>
      </w:r>
      <w:r>
        <w:rPr>
          <w:bCs/>
        </w:rPr>
        <w:t>landés acerca del papel de la</w:t>
      </w:r>
      <w:r w:rsidRPr="005269E5">
        <w:rPr>
          <w:bCs/>
        </w:rPr>
        <w:t xml:space="preserve"> </w:t>
      </w:r>
      <w:r>
        <w:rPr>
          <w:bCs/>
        </w:rPr>
        <w:t>in</w:t>
      </w:r>
      <w:r w:rsidRPr="005269E5">
        <w:rPr>
          <w:bCs/>
        </w:rPr>
        <w:t>migra</w:t>
      </w:r>
      <w:r>
        <w:rPr>
          <w:bCs/>
        </w:rPr>
        <w:t>c</w:t>
      </w:r>
      <w:r w:rsidRPr="005269E5">
        <w:rPr>
          <w:bCs/>
        </w:rPr>
        <w:t>i</w:t>
      </w:r>
      <w:r>
        <w:rPr>
          <w:bCs/>
        </w:rPr>
        <w:t>ó</w:t>
      </w:r>
      <w:r w:rsidRPr="005269E5">
        <w:rPr>
          <w:bCs/>
        </w:rPr>
        <w:t xml:space="preserve">n </w:t>
      </w:r>
      <w:r>
        <w:rPr>
          <w:bCs/>
        </w:rPr>
        <w:t>e</w:t>
      </w:r>
      <w:r w:rsidRPr="005269E5">
        <w:rPr>
          <w:bCs/>
        </w:rPr>
        <w:t xml:space="preserve"> integra</w:t>
      </w:r>
      <w:r>
        <w:rPr>
          <w:bCs/>
        </w:rPr>
        <w:t>c</w:t>
      </w:r>
      <w:r w:rsidRPr="005269E5">
        <w:rPr>
          <w:bCs/>
        </w:rPr>
        <w:t>i</w:t>
      </w:r>
      <w:r>
        <w:rPr>
          <w:bCs/>
        </w:rPr>
        <w:t>ó</w:t>
      </w:r>
      <w:r w:rsidRPr="005269E5">
        <w:rPr>
          <w:bCs/>
        </w:rPr>
        <w:t xml:space="preserve">n </w:t>
      </w:r>
      <w:r>
        <w:rPr>
          <w:bCs/>
        </w:rPr>
        <w:t>e</w:t>
      </w:r>
      <w:r w:rsidRPr="005269E5">
        <w:rPr>
          <w:bCs/>
        </w:rPr>
        <w:t xml:space="preserve">n </w:t>
      </w:r>
      <w:r>
        <w:rPr>
          <w:bCs/>
        </w:rPr>
        <w:t>la sociedad irlandesa</w:t>
      </w:r>
      <w:r w:rsidRPr="005269E5">
        <w:rPr>
          <w:bCs/>
        </w:rPr>
        <w:t xml:space="preserve">. </w:t>
      </w:r>
      <w:r>
        <w:rPr>
          <w:bCs/>
        </w:rPr>
        <w:t>En él se declara que el Gobierno:</w:t>
      </w:r>
    </w:p>
    <w:p w:rsidR="000100D5" w:rsidRPr="009E5295" w:rsidRDefault="000100D5" w:rsidP="000100D5">
      <w:pPr>
        <w:pStyle w:val="SingleTxtG"/>
        <w:ind w:left="1701"/>
        <w:rPr>
          <w:bCs/>
          <w:i/>
        </w:rPr>
      </w:pPr>
      <w:r w:rsidRPr="009E5295">
        <w:rPr>
          <w:bCs/>
          <w:i/>
        </w:rPr>
        <w:t>Seguirá promoviendo campañas nacionales destinadas a combatir el racismo y fomentar el entendimiento de la diversidad y f</w:t>
      </w:r>
      <w:r>
        <w:rPr>
          <w:bCs/>
          <w:i/>
        </w:rPr>
        <w:t>i</w:t>
      </w:r>
      <w:r w:rsidRPr="009E5295">
        <w:rPr>
          <w:bCs/>
          <w:i/>
        </w:rPr>
        <w:t>n</w:t>
      </w:r>
      <w:r>
        <w:rPr>
          <w:bCs/>
          <w:i/>
        </w:rPr>
        <w:t>anciar</w:t>
      </w:r>
      <w:r w:rsidRPr="009E5295">
        <w:rPr>
          <w:bCs/>
          <w:i/>
        </w:rPr>
        <w:t xml:space="preserve"> campa</w:t>
      </w:r>
      <w:r>
        <w:rPr>
          <w:bCs/>
          <w:i/>
        </w:rPr>
        <w:t>ñas</w:t>
      </w:r>
      <w:r w:rsidRPr="009E5295">
        <w:rPr>
          <w:bCs/>
          <w:i/>
        </w:rPr>
        <w:t xml:space="preserve"> </w:t>
      </w:r>
      <w:r>
        <w:rPr>
          <w:bCs/>
          <w:i/>
        </w:rPr>
        <w:t>que</w:t>
      </w:r>
      <w:r w:rsidRPr="009E5295">
        <w:rPr>
          <w:bCs/>
          <w:i/>
        </w:rPr>
        <w:t xml:space="preserve"> edu</w:t>
      </w:r>
      <w:r>
        <w:rPr>
          <w:bCs/>
          <w:i/>
        </w:rPr>
        <w:t xml:space="preserve">quen al </w:t>
      </w:r>
      <w:r w:rsidRPr="009E5295">
        <w:rPr>
          <w:bCs/>
          <w:i/>
        </w:rPr>
        <w:t>p</w:t>
      </w:r>
      <w:r>
        <w:rPr>
          <w:bCs/>
          <w:i/>
        </w:rPr>
        <w:t>ú</w:t>
      </w:r>
      <w:r w:rsidRPr="009E5295">
        <w:rPr>
          <w:bCs/>
          <w:i/>
        </w:rPr>
        <w:t>blic</w:t>
      </w:r>
      <w:r>
        <w:rPr>
          <w:bCs/>
          <w:i/>
        </w:rPr>
        <w:t>o irlandés</w:t>
      </w:r>
      <w:r w:rsidRPr="009E5295">
        <w:rPr>
          <w:bCs/>
          <w:i/>
        </w:rPr>
        <w:t xml:space="preserve"> a</w:t>
      </w:r>
      <w:r>
        <w:rPr>
          <w:bCs/>
          <w:i/>
        </w:rPr>
        <w:t>cerca del papel de la</w:t>
      </w:r>
      <w:r w:rsidRPr="009E5295">
        <w:rPr>
          <w:bCs/>
          <w:i/>
        </w:rPr>
        <w:t xml:space="preserve"> i</w:t>
      </w:r>
      <w:r>
        <w:rPr>
          <w:bCs/>
          <w:i/>
        </w:rPr>
        <w:t>n</w:t>
      </w:r>
      <w:r w:rsidRPr="009E5295">
        <w:rPr>
          <w:bCs/>
          <w:i/>
        </w:rPr>
        <w:t>migra</w:t>
      </w:r>
      <w:r>
        <w:rPr>
          <w:bCs/>
          <w:i/>
        </w:rPr>
        <w:t>c</w:t>
      </w:r>
      <w:r w:rsidRPr="009E5295">
        <w:rPr>
          <w:bCs/>
          <w:i/>
        </w:rPr>
        <w:t>i</w:t>
      </w:r>
      <w:r>
        <w:rPr>
          <w:bCs/>
          <w:i/>
        </w:rPr>
        <w:t>ó</w:t>
      </w:r>
      <w:r w:rsidRPr="009E5295">
        <w:rPr>
          <w:bCs/>
          <w:i/>
        </w:rPr>
        <w:t xml:space="preserve">n </w:t>
      </w:r>
      <w:r>
        <w:rPr>
          <w:bCs/>
          <w:i/>
        </w:rPr>
        <w:t>e</w:t>
      </w:r>
      <w:r w:rsidRPr="009E5295">
        <w:rPr>
          <w:bCs/>
          <w:i/>
        </w:rPr>
        <w:t xml:space="preserve">n </w:t>
      </w:r>
      <w:r>
        <w:rPr>
          <w:bCs/>
          <w:i/>
        </w:rPr>
        <w:t>la</w:t>
      </w:r>
      <w:r w:rsidRPr="009E5295">
        <w:rPr>
          <w:bCs/>
          <w:i/>
        </w:rPr>
        <w:t xml:space="preserve"> socie</w:t>
      </w:r>
      <w:r>
        <w:rPr>
          <w:bCs/>
          <w:i/>
        </w:rPr>
        <w:t>dad irlandesa</w:t>
      </w:r>
      <w:r w:rsidRPr="009E5295">
        <w:rPr>
          <w:bCs/>
          <w:i/>
        </w:rPr>
        <w:t>.</w:t>
      </w:r>
    </w:p>
    <w:p w:rsidR="000100D5" w:rsidRPr="005269E5" w:rsidRDefault="000100D5" w:rsidP="000100D5">
      <w:pPr>
        <w:pStyle w:val="H4G"/>
      </w:pPr>
      <w:r w:rsidRPr="009E5295">
        <w:tab/>
      </w:r>
      <w:r w:rsidRPr="005269E5">
        <w:t>b)</w:t>
      </w:r>
      <w:r w:rsidRPr="005269E5">
        <w:tab/>
      </w:r>
      <w:r>
        <w:t>Hacia</w:t>
      </w:r>
      <w:r w:rsidRPr="005269E5">
        <w:t xml:space="preserve"> 2016 </w:t>
      </w:r>
    </w:p>
    <w:p w:rsidR="000100D5" w:rsidRPr="005269E5" w:rsidRDefault="000100D5" w:rsidP="000100D5">
      <w:pPr>
        <w:pStyle w:val="SingleTxtG"/>
        <w:rPr>
          <w:bCs/>
        </w:rPr>
      </w:pPr>
      <w:r w:rsidRPr="005269E5">
        <w:t>186</w:t>
      </w:r>
      <w:r w:rsidRPr="005269E5">
        <w:rPr>
          <w:bCs/>
        </w:rPr>
        <w:t>.</w:t>
      </w:r>
      <w:r w:rsidRPr="005269E5">
        <w:rPr>
          <w:bCs/>
        </w:rPr>
        <w:tab/>
      </w:r>
      <w:r>
        <w:rPr>
          <w:bCs/>
        </w:rPr>
        <w:t>De conformidad con el acuerdo actual de colaboración</w:t>
      </w:r>
      <w:r w:rsidRPr="005269E5">
        <w:rPr>
          <w:bCs/>
        </w:rPr>
        <w:t xml:space="preserve"> social</w:t>
      </w:r>
      <w:r>
        <w:rPr>
          <w:bCs/>
        </w:rPr>
        <w:t>,</w:t>
      </w:r>
      <w:r w:rsidRPr="005269E5">
        <w:rPr>
          <w:bCs/>
        </w:rPr>
        <w:t xml:space="preserve"> tit</w:t>
      </w:r>
      <w:r>
        <w:rPr>
          <w:bCs/>
        </w:rPr>
        <w:t>u</w:t>
      </w:r>
      <w:r w:rsidRPr="005269E5">
        <w:rPr>
          <w:bCs/>
        </w:rPr>
        <w:t>l</w:t>
      </w:r>
      <w:r>
        <w:rPr>
          <w:bCs/>
        </w:rPr>
        <w:t>a</w:t>
      </w:r>
      <w:r w:rsidRPr="005269E5">
        <w:rPr>
          <w:bCs/>
        </w:rPr>
        <w:t>d</w:t>
      </w:r>
      <w:r>
        <w:rPr>
          <w:bCs/>
        </w:rPr>
        <w:t>o</w:t>
      </w:r>
      <w:r w:rsidRPr="005269E5">
        <w:rPr>
          <w:bCs/>
        </w:rPr>
        <w:t xml:space="preserve"> </w:t>
      </w:r>
      <w:r w:rsidR="00E03EF2">
        <w:rPr>
          <w:bCs/>
        </w:rPr>
        <w:t>"</w:t>
      </w:r>
      <w:r>
        <w:rPr>
          <w:bCs/>
        </w:rPr>
        <w:t>Hacia</w:t>
      </w:r>
      <w:r w:rsidRPr="005269E5">
        <w:rPr>
          <w:bCs/>
        </w:rPr>
        <w:t xml:space="preserve"> </w:t>
      </w:r>
      <w:r w:rsidR="00593DE9">
        <w:rPr>
          <w:bCs/>
        </w:rPr>
        <w:t>el </w:t>
      </w:r>
      <w:r w:rsidRPr="005269E5">
        <w:rPr>
          <w:bCs/>
        </w:rPr>
        <w:t>2016</w:t>
      </w:r>
      <w:r w:rsidR="00E03EF2">
        <w:rPr>
          <w:bCs/>
        </w:rPr>
        <w:t>"</w:t>
      </w:r>
      <w:r>
        <w:rPr>
          <w:rStyle w:val="FootnoteReference"/>
          <w:bCs/>
        </w:rPr>
        <w:footnoteReference w:id="51"/>
      </w:r>
      <w:r w:rsidR="001F5C61">
        <w:rPr>
          <w:bCs/>
        </w:rPr>
        <w:t>,</w:t>
      </w:r>
      <w:r w:rsidRPr="005269E5">
        <w:rPr>
          <w:bCs/>
        </w:rPr>
        <w:t xml:space="preserve"> </w:t>
      </w:r>
      <w:r>
        <w:rPr>
          <w:bCs/>
        </w:rPr>
        <w:t>los asociados</w:t>
      </w:r>
      <w:r w:rsidRPr="005269E5">
        <w:rPr>
          <w:bCs/>
        </w:rPr>
        <w:t xml:space="preserve"> </w:t>
      </w:r>
      <w:r>
        <w:rPr>
          <w:bCs/>
        </w:rPr>
        <w:t>han asumido el</w:t>
      </w:r>
      <w:r w:rsidRPr="005269E5">
        <w:rPr>
          <w:bCs/>
        </w:rPr>
        <w:t xml:space="preserve"> </w:t>
      </w:r>
      <w:r>
        <w:rPr>
          <w:bCs/>
        </w:rPr>
        <w:t>compromiso de</w:t>
      </w:r>
      <w:r w:rsidRPr="005269E5">
        <w:rPr>
          <w:bCs/>
        </w:rPr>
        <w:t xml:space="preserve"> revi</w:t>
      </w:r>
      <w:r>
        <w:rPr>
          <w:bCs/>
        </w:rPr>
        <w:t>sar</w:t>
      </w:r>
      <w:r w:rsidRPr="005269E5">
        <w:rPr>
          <w:bCs/>
        </w:rPr>
        <w:t xml:space="preserve">, </w:t>
      </w:r>
      <w:r>
        <w:rPr>
          <w:bCs/>
        </w:rPr>
        <w:t>según proceda</w:t>
      </w:r>
      <w:r w:rsidRPr="005269E5">
        <w:rPr>
          <w:bCs/>
        </w:rPr>
        <w:t xml:space="preserve">, </w:t>
      </w:r>
      <w:r>
        <w:rPr>
          <w:bCs/>
        </w:rPr>
        <w:t>la</w:t>
      </w:r>
      <w:r w:rsidRPr="005269E5">
        <w:rPr>
          <w:bCs/>
        </w:rPr>
        <w:t xml:space="preserve"> legisla</w:t>
      </w:r>
      <w:r>
        <w:rPr>
          <w:bCs/>
        </w:rPr>
        <w:t>c</w:t>
      </w:r>
      <w:r w:rsidRPr="005269E5">
        <w:rPr>
          <w:bCs/>
        </w:rPr>
        <w:t>i</w:t>
      </w:r>
      <w:r>
        <w:rPr>
          <w:bCs/>
        </w:rPr>
        <w:t>ó</w:t>
      </w:r>
      <w:r w:rsidRPr="005269E5">
        <w:rPr>
          <w:bCs/>
        </w:rPr>
        <w:t xml:space="preserve">n </w:t>
      </w:r>
      <w:r>
        <w:rPr>
          <w:bCs/>
        </w:rPr>
        <w:t>en vigor en materia de igualdad, con miras a determinar las mejores prá</w:t>
      </w:r>
      <w:r w:rsidRPr="005269E5">
        <w:rPr>
          <w:bCs/>
        </w:rPr>
        <w:t>ctic</w:t>
      </w:r>
      <w:r>
        <w:rPr>
          <w:bCs/>
        </w:rPr>
        <w:t>as</w:t>
      </w:r>
      <w:r w:rsidRPr="005269E5">
        <w:rPr>
          <w:bCs/>
        </w:rPr>
        <w:t xml:space="preserve"> </w:t>
      </w:r>
      <w:r>
        <w:rPr>
          <w:bCs/>
        </w:rPr>
        <w:t>e</w:t>
      </w:r>
      <w:r w:rsidRPr="005269E5">
        <w:rPr>
          <w:bCs/>
        </w:rPr>
        <w:t>n rela</w:t>
      </w:r>
      <w:r>
        <w:rPr>
          <w:bCs/>
        </w:rPr>
        <w:t>c</w:t>
      </w:r>
      <w:r w:rsidRPr="005269E5">
        <w:rPr>
          <w:bCs/>
        </w:rPr>
        <w:t>i</w:t>
      </w:r>
      <w:r>
        <w:rPr>
          <w:bCs/>
        </w:rPr>
        <w:t>ó</w:t>
      </w:r>
      <w:r w:rsidRPr="005269E5">
        <w:rPr>
          <w:bCs/>
        </w:rPr>
        <w:t xml:space="preserve">n </w:t>
      </w:r>
      <w:r>
        <w:rPr>
          <w:bCs/>
        </w:rPr>
        <w:t>con</w:t>
      </w:r>
      <w:r w:rsidRPr="005269E5">
        <w:rPr>
          <w:bCs/>
        </w:rPr>
        <w:t xml:space="preserve"> </w:t>
      </w:r>
      <w:r>
        <w:rPr>
          <w:bCs/>
        </w:rPr>
        <w:t xml:space="preserve">las medidas </w:t>
      </w:r>
      <w:r w:rsidRPr="005269E5">
        <w:rPr>
          <w:bCs/>
        </w:rPr>
        <w:t>positiv</w:t>
      </w:r>
      <w:r>
        <w:rPr>
          <w:bCs/>
        </w:rPr>
        <w:t>as y</w:t>
      </w:r>
      <w:r w:rsidRPr="005269E5">
        <w:rPr>
          <w:bCs/>
        </w:rPr>
        <w:t>,</w:t>
      </w:r>
      <w:r>
        <w:rPr>
          <w:bCs/>
        </w:rPr>
        <w:t xml:space="preserve"> en particular, con el</w:t>
      </w:r>
      <w:r w:rsidRPr="005269E5">
        <w:rPr>
          <w:bCs/>
        </w:rPr>
        <w:t xml:space="preserve"> acces</w:t>
      </w:r>
      <w:r>
        <w:rPr>
          <w:bCs/>
        </w:rPr>
        <w:t>o</w:t>
      </w:r>
      <w:r w:rsidRPr="005269E5">
        <w:rPr>
          <w:bCs/>
        </w:rPr>
        <w:t xml:space="preserve"> </w:t>
      </w:r>
      <w:r>
        <w:rPr>
          <w:bCs/>
        </w:rPr>
        <w:t>al</w:t>
      </w:r>
      <w:r w:rsidRPr="005269E5">
        <w:rPr>
          <w:bCs/>
        </w:rPr>
        <w:t xml:space="preserve"> empl</w:t>
      </w:r>
      <w:r>
        <w:rPr>
          <w:bCs/>
        </w:rPr>
        <w:t>e</w:t>
      </w:r>
      <w:r w:rsidRPr="005269E5">
        <w:rPr>
          <w:bCs/>
        </w:rPr>
        <w:t>o</w:t>
      </w:r>
      <w:r>
        <w:rPr>
          <w:bCs/>
        </w:rPr>
        <w:t>, por los nueve motivos citados.</w:t>
      </w:r>
    </w:p>
    <w:p w:rsidR="000100D5" w:rsidRPr="00C6109F" w:rsidRDefault="000100D5" w:rsidP="000100D5">
      <w:pPr>
        <w:pStyle w:val="SingleTxtG"/>
      </w:pPr>
      <w:r w:rsidRPr="005269E5">
        <w:t>187.</w:t>
      </w:r>
      <w:r w:rsidRPr="005269E5">
        <w:tab/>
      </w:r>
      <w:r>
        <w:t>El</w:t>
      </w:r>
      <w:r w:rsidRPr="005269E5">
        <w:t xml:space="preserve"> </w:t>
      </w:r>
      <w:r>
        <w:t xml:space="preserve">Comité Consultivo </w:t>
      </w:r>
      <w:r w:rsidRPr="005269E5">
        <w:t>Na</w:t>
      </w:r>
      <w:r>
        <w:t>c</w:t>
      </w:r>
      <w:r w:rsidRPr="005269E5">
        <w:t xml:space="preserve">ional </w:t>
      </w:r>
      <w:r>
        <w:t>sobre el</w:t>
      </w:r>
      <w:r w:rsidRPr="005269E5">
        <w:t xml:space="preserve"> Racism</w:t>
      </w:r>
      <w:r>
        <w:t>o y el</w:t>
      </w:r>
      <w:r w:rsidRPr="005269E5">
        <w:t xml:space="preserve"> </w:t>
      </w:r>
      <w:r>
        <w:t>Multi</w:t>
      </w:r>
      <w:r w:rsidRPr="005269E5">
        <w:t>culturalism</w:t>
      </w:r>
      <w:r>
        <w:t>o</w:t>
      </w:r>
      <w:r w:rsidRPr="005269E5">
        <w:t xml:space="preserve"> </w:t>
      </w:r>
      <w:r>
        <w:t>era un órgano de expertos</w:t>
      </w:r>
      <w:r w:rsidRPr="005269E5">
        <w:t xml:space="preserve"> independ</w:t>
      </w:r>
      <w:r>
        <w:t>i</w:t>
      </w:r>
      <w:r w:rsidRPr="005269E5">
        <w:t>ent</w:t>
      </w:r>
      <w:r>
        <w:t>e que ayudaba al</w:t>
      </w:r>
      <w:r w:rsidRPr="005269E5">
        <w:t xml:space="preserve"> Go</w:t>
      </w:r>
      <w:r>
        <w:t>bi</w:t>
      </w:r>
      <w:r w:rsidRPr="005269E5">
        <w:t>ern</w:t>
      </w:r>
      <w:r>
        <w:t>o de Irlanda a aplicar el Plan de Acción</w:t>
      </w:r>
      <w:r w:rsidRPr="005269E5">
        <w:t xml:space="preserve"> Na</w:t>
      </w:r>
      <w:r>
        <w:t>c</w:t>
      </w:r>
      <w:r w:rsidRPr="005269E5">
        <w:t>ional</w:t>
      </w:r>
      <w:r>
        <w:t xml:space="preserve"> contra el</w:t>
      </w:r>
      <w:r w:rsidRPr="005269E5">
        <w:t xml:space="preserve"> Racism</w:t>
      </w:r>
      <w:r>
        <w:t>o, de</w:t>
      </w:r>
      <w:r w:rsidRPr="005269E5">
        <w:t xml:space="preserve"> 2005</w:t>
      </w:r>
      <w:r>
        <w:t xml:space="preserve"> a </w:t>
      </w:r>
      <w:r w:rsidRPr="005269E5">
        <w:t xml:space="preserve">2008. </w:t>
      </w:r>
      <w:r w:rsidRPr="00C6109F">
        <w:t xml:space="preserve">Patrocinaba un enfoque asociativo respecto de las iniciativas antirracistas </w:t>
      </w:r>
      <w:r>
        <w:t>y</w:t>
      </w:r>
      <w:r w:rsidRPr="00C6109F">
        <w:t xml:space="preserve"> </w:t>
      </w:r>
      <w:r>
        <w:t>multi</w:t>
      </w:r>
      <w:r w:rsidRPr="00C6109F">
        <w:t>culturales y recibía gran parte</w:t>
      </w:r>
      <w:r>
        <w:t xml:space="preserve"> </w:t>
      </w:r>
      <w:r w:rsidRPr="00C6109F">
        <w:t>de</w:t>
      </w:r>
      <w:r>
        <w:t xml:space="preserve"> su financiación básica del</w:t>
      </w:r>
      <w:r w:rsidRPr="00C6109F">
        <w:t xml:space="preserve"> Go</w:t>
      </w:r>
      <w:r>
        <w:t>bi</w:t>
      </w:r>
      <w:r w:rsidRPr="00C6109F">
        <w:t>ern</w:t>
      </w:r>
      <w:r>
        <w:t>o</w:t>
      </w:r>
      <w:r w:rsidRPr="00C6109F">
        <w:t>.</w:t>
      </w:r>
    </w:p>
    <w:p w:rsidR="000100D5" w:rsidRPr="005269E5" w:rsidRDefault="000100D5" w:rsidP="000100D5">
      <w:pPr>
        <w:pStyle w:val="SingleTxtG"/>
      </w:pPr>
      <w:r w:rsidRPr="005269E5">
        <w:t>188.</w:t>
      </w:r>
      <w:r w:rsidRPr="005269E5">
        <w:tab/>
      </w:r>
      <w:r>
        <w:t>El Comité Consultivo Nac</w:t>
      </w:r>
      <w:r w:rsidRPr="005269E5">
        <w:t xml:space="preserve">ional </w:t>
      </w:r>
      <w:r>
        <w:t>sobre el</w:t>
      </w:r>
      <w:r w:rsidRPr="005269E5">
        <w:t xml:space="preserve"> Racism</w:t>
      </w:r>
      <w:r>
        <w:t>o</w:t>
      </w:r>
      <w:r w:rsidRPr="005269E5">
        <w:t xml:space="preserve"> </w:t>
      </w:r>
      <w:r>
        <w:t>y el</w:t>
      </w:r>
      <w:r w:rsidRPr="005269E5">
        <w:t xml:space="preserve"> </w:t>
      </w:r>
      <w:r>
        <w:t>Multi</w:t>
      </w:r>
      <w:r w:rsidRPr="005269E5">
        <w:t>culturalism</w:t>
      </w:r>
      <w:r>
        <w:t>o fue designado Órgano de</w:t>
      </w:r>
      <w:r w:rsidRPr="005269E5">
        <w:t xml:space="preserve"> </w:t>
      </w:r>
      <w:r>
        <w:t>Coordinación</w:t>
      </w:r>
      <w:r w:rsidRPr="005269E5">
        <w:t xml:space="preserve"> Na</w:t>
      </w:r>
      <w:r>
        <w:t>c</w:t>
      </w:r>
      <w:r w:rsidRPr="005269E5">
        <w:t>ional</w:t>
      </w:r>
      <w:r>
        <w:t xml:space="preserve"> para</w:t>
      </w:r>
      <w:r w:rsidRPr="005269E5">
        <w:t xml:space="preserve"> 2008</w:t>
      </w:r>
      <w:r>
        <w:t>, Año del Diálogo</w:t>
      </w:r>
      <w:r w:rsidRPr="005269E5">
        <w:t xml:space="preserve"> </w:t>
      </w:r>
      <w:r>
        <w:t>Intercultural de la Unión Europea en Irlanda.</w:t>
      </w:r>
    </w:p>
    <w:p w:rsidR="000100D5" w:rsidRPr="005269E5" w:rsidRDefault="000100D5" w:rsidP="000100D5">
      <w:pPr>
        <w:pStyle w:val="SingleTxtG"/>
      </w:pPr>
      <w:r w:rsidRPr="005269E5">
        <w:t>189.</w:t>
      </w:r>
      <w:r w:rsidRPr="005269E5">
        <w:tab/>
      </w:r>
      <w:r>
        <w:t>En la declaración política sobre la estrategia de integración y gestión de la diversidad, titulada</w:t>
      </w:r>
      <w:r w:rsidRPr="005269E5">
        <w:t xml:space="preserve"> </w:t>
      </w:r>
      <w:r w:rsidRPr="005269E5">
        <w:rPr>
          <w:i/>
        </w:rPr>
        <w:t>Migration Nation</w:t>
      </w:r>
      <w:r w:rsidRPr="005269E5">
        <w:t xml:space="preserve"> </w:t>
      </w:r>
      <w:r>
        <w:t>(Nación de migración), que se puso en marcha en</w:t>
      </w:r>
      <w:r w:rsidRPr="005269E5">
        <w:t xml:space="preserve"> </w:t>
      </w:r>
      <w:r>
        <w:t>m</w:t>
      </w:r>
      <w:r w:rsidRPr="005269E5">
        <w:t>ay</w:t>
      </w:r>
      <w:r>
        <w:t>o de</w:t>
      </w:r>
      <w:r w:rsidRPr="005269E5">
        <w:t xml:space="preserve"> 2008</w:t>
      </w:r>
      <w:r>
        <w:t>,</w:t>
      </w:r>
      <w:r w:rsidRPr="005269E5">
        <w:t xml:space="preserve"> </w:t>
      </w:r>
      <w:r>
        <w:t xml:space="preserve">se indicó que se producirían cambios en las estructuras de integración. </w:t>
      </w:r>
    </w:p>
    <w:p w:rsidR="000100D5" w:rsidRPr="00E11A0B" w:rsidRDefault="000100D5" w:rsidP="000100D5">
      <w:pPr>
        <w:pStyle w:val="SingleTxtG"/>
      </w:pPr>
      <w:r w:rsidRPr="005269E5">
        <w:t>190.</w:t>
      </w:r>
      <w:r w:rsidRPr="005269E5">
        <w:tab/>
      </w:r>
      <w:r>
        <w:t>Más tarde, y a tenor de la política de</w:t>
      </w:r>
      <w:r w:rsidRPr="005269E5">
        <w:t xml:space="preserve"> ra</w:t>
      </w:r>
      <w:r>
        <w:t>c</w:t>
      </w:r>
      <w:r w:rsidRPr="005269E5">
        <w:t>ionali</w:t>
      </w:r>
      <w:r>
        <w:t>z</w:t>
      </w:r>
      <w:r w:rsidRPr="005269E5">
        <w:t>a</w:t>
      </w:r>
      <w:r>
        <w:t>ción de los organismos financiados por el Es</w:t>
      </w:r>
      <w:r w:rsidRPr="005269E5">
        <w:t>ta</w:t>
      </w:r>
      <w:r>
        <w:t>do,</w:t>
      </w:r>
      <w:r w:rsidRPr="005269E5">
        <w:t xml:space="preserve"> </w:t>
      </w:r>
      <w:r>
        <w:t>e</w:t>
      </w:r>
      <w:r w:rsidRPr="005269E5">
        <w:t>n e</w:t>
      </w:r>
      <w:r>
        <w:t>l</w:t>
      </w:r>
      <w:r w:rsidRPr="005269E5">
        <w:t xml:space="preserve"> context</w:t>
      </w:r>
      <w:r>
        <w:t>o del presupuesto de</w:t>
      </w:r>
      <w:r w:rsidRPr="005269E5">
        <w:t xml:space="preserve"> 2009, </w:t>
      </w:r>
      <w:r>
        <w:t>el</w:t>
      </w:r>
      <w:r w:rsidRPr="005269E5">
        <w:t xml:space="preserve"> Go</w:t>
      </w:r>
      <w:r>
        <w:t>bi</w:t>
      </w:r>
      <w:r w:rsidRPr="005269E5">
        <w:t>ern</w:t>
      </w:r>
      <w:r>
        <w:t>o</w:t>
      </w:r>
      <w:r w:rsidRPr="005269E5">
        <w:t xml:space="preserve"> decid</w:t>
      </w:r>
      <w:r>
        <w:t>ió dejar de financiar al Comité Consultivo</w:t>
      </w:r>
      <w:r w:rsidRPr="005269E5">
        <w:t xml:space="preserve"> Na</w:t>
      </w:r>
      <w:r>
        <w:t>c</w:t>
      </w:r>
      <w:r w:rsidRPr="005269E5">
        <w:t xml:space="preserve">ional </w:t>
      </w:r>
      <w:r>
        <w:t>sobre el</w:t>
      </w:r>
      <w:r w:rsidRPr="005269E5">
        <w:t xml:space="preserve"> Racism</w:t>
      </w:r>
      <w:r>
        <w:t>o y el Multi</w:t>
      </w:r>
      <w:r w:rsidRPr="005269E5">
        <w:t>culturalism</w:t>
      </w:r>
      <w:r>
        <w:t>o</w:t>
      </w:r>
      <w:r w:rsidRPr="005269E5">
        <w:t xml:space="preserve"> </w:t>
      </w:r>
      <w:r>
        <w:t>a partir de</w:t>
      </w:r>
      <w:r w:rsidRPr="005269E5">
        <w:t xml:space="preserve"> 2009. </w:t>
      </w:r>
      <w:r w:rsidRPr="00E11A0B">
        <w:t xml:space="preserve">Parte de las funciones del Comité Consultivo Nacional sobre el Racismo y el </w:t>
      </w:r>
      <w:r>
        <w:t>Multi</w:t>
      </w:r>
      <w:r w:rsidRPr="00E11A0B">
        <w:t>culturalismo fueron absorbidas posteriormente por la Oficina del</w:t>
      </w:r>
      <w:r w:rsidR="005007D6">
        <w:t xml:space="preserve"> </w:t>
      </w:r>
      <w:r w:rsidRPr="00E11A0B">
        <w:t>Ministro para la Integración.</w:t>
      </w:r>
    </w:p>
    <w:p w:rsidR="000100D5" w:rsidRPr="005269E5" w:rsidRDefault="000100D5" w:rsidP="000100D5">
      <w:pPr>
        <w:pStyle w:val="H23G"/>
      </w:pPr>
      <w:r w:rsidRPr="00E11A0B">
        <w:tab/>
      </w:r>
      <w:r w:rsidRPr="005269E5">
        <w:t>11.</w:t>
      </w:r>
      <w:r w:rsidRPr="005269E5">
        <w:tab/>
      </w:r>
      <w:r>
        <w:t>Proceso de c</w:t>
      </w:r>
      <w:r w:rsidRPr="005269E5">
        <w:t>onsulta</w:t>
      </w:r>
    </w:p>
    <w:p w:rsidR="000100D5" w:rsidRPr="005269E5" w:rsidRDefault="000100D5" w:rsidP="000100D5">
      <w:pPr>
        <w:pStyle w:val="SingleTxtG"/>
      </w:pPr>
      <w:r w:rsidRPr="005269E5">
        <w:t>191.</w:t>
      </w:r>
      <w:r w:rsidRPr="005269E5">
        <w:tab/>
      </w:r>
      <w:r>
        <w:t>En el</w:t>
      </w:r>
      <w:r w:rsidRPr="005269E5">
        <w:t xml:space="preserve"> proces</w:t>
      </w:r>
      <w:r>
        <w:t>o</w:t>
      </w:r>
      <w:r w:rsidRPr="005269E5">
        <w:t xml:space="preserve"> </w:t>
      </w:r>
      <w:r>
        <w:t>de</w:t>
      </w:r>
      <w:r w:rsidRPr="005269E5">
        <w:t xml:space="preserve"> </w:t>
      </w:r>
      <w:r>
        <w:t>re</w:t>
      </w:r>
      <w:r w:rsidRPr="005269E5">
        <w:t>copil</w:t>
      </w:r>
      <w:r>
        <w:t>ación de este informe</w:t>
      </w:r>
      <w:r w:rsidRPr="005269E5">
        <w:t xml:space="preserve">, </w:t>
      </w:r>
      <w:r>
        <w:t xml:space="preserve">se invitó a los </w:t>
      </w:r>
      <w:r w:rsidRPr="005269E5">
        <w:t>m</w:t>
      </w:r>
      <w:r>
        <w:t>i</w:t>
      </w:r>
      <w:r w:rsidRPr="005269E5">
        <w:t>embr</w:t>
      </w:r>
      <w:r>
        <w:t>o</w:t>
      </w:r>
      <w:r w:rsidRPr="005269E5">
        <w:t xml:space="preserve">s </w:t>
      </w:r>
      <w:r>
        <w:t>de la</w:t>
      </w:r>
      <w:r w:rsidRPr="005269E5">
        <w:t xml:space="preserve"> socie</w:t>
      </w:r>
      <w:r>
        <w:t>dad civil, así como a los miembros</w:t>
      </w:r>
      <w:r w:rsidRPr="005269E5">
        <w:t xml:space="preserve"> </w:t>
      </w:r>
      <w:r>
        <w:t>del público en general,</w:t>
      </w:r>
      <w:r w:rsidRPr="005269E5">
        <w:t xml:space="preserve"> a </w:t>
      </w:r>
      <w:r>
        <w:t xml:space="preserve">entablar </w:t>
      </w:r>
      <w:r w:rsidRPr="005269E5">
        <w:t>consulta</w:t>
      </w:r>
      <w:r>
        <w:t>s con la</w:t>
      </w:r>
      <w:r w:rsidRPr="005269E5">
        <w:t xml:space="preserve"> Ofic</w:t>
      </w:r>
      <w:r>
        <w:t>ina</w:t>
      </w:r>
      <w:r w:rsidRPr="005269E5">
        <w:t xml:space="preserve"> </w:t>
      </w:r>
      <w:r>
        <w:t>del Ministro para la Integración.</w:t>
      </w:r>
    </w:p>
    <w:p w:rsidR="000100D5" w:rsidRPr="00E829CE" w:rsidRDefault="000100D5" w:rsidP="000100D5">
      <w:pPr>
        <w:pStyle w:val="SingleTxtG"/>
      </w:pPr>
      <w:r w:rsidRPr="005269E5">
        <w:t>192.</w:t>
      </w:r>
      <w:r w:rsidRPr="005269E5">
        <w:tab/>
      </w:r>
      <w:r>
        <w:t>A finales de 2008 se invitó también a los mi</w:t>
      </w:r>
      <w:r w:rsidRPr="005269E5">
        <w:t>embr</w:t>
      </w:r>
      <w:r>
        <w:t>o</w:t>
      </w:r>
      <w:r w:rsidRPr="005269E5">
        <w:t xml:space="preserve">s </w:t>
      </w:r>
      <w:r>
        <w:t>de los grupos pertinentes de la sociedad civil a asistir a una reunión de consulta con la Oficina del Ministro para la Integración, presidida por una personalidad</w:t>
      </w:r>
      <w:r w:rsidRPr="005269E5">
        <w:t xml:space="preserve"> independ</w:t>
      </w:r>
      <w:r>
        <w:t>i</w:t>
      </w:r>
      <w:r w:rsidRPr="005269E5">
        <w:t>ent</w:t>
      </w:r>
      <w:r>
        <w:t>e y sobre la que se presentó un informe</w:t>
      </w:r>
      <w:r w:rsidRPr="005269E5">
        <w:t xml:space="preserve">. </w:t>
      </w:r>
      <w:r w:rsidRPr="00E829CE">
        <w:t>Se ha adjuntado en la Parte IV un infor</w:t>
      </w:r>
      <w:r>
        <w:t>m</w:t>
      </w:r>
      <w:r w:rsidRPr="00E829CE">
        <w:t>e de esa reuni</w:t>
      </w:r>
      <w:r>
        <w:t>ó</w:t>
      </w:r>
      <w:r w:rsidRPr="00E829CE">
        <w:t xml:space="preserve">n y un resumen de los temas que se </w:t>
      </w:r>
      <w:r>
        <w:t>trata</w:t>
      </w:r>
      <w:r w:rsidRPr="00E829CE">
        <w:t>ron.</w:t>
      </w:r>
    </w:p>
    <w:p w:rsidR="000100D5" w:rsidRPr="005269E5" w:rsidRDefault="000100D5" w:rsidP="000100D5">
      <w:pPr>
        <w:pStyle w:val="SingleTxtG"/>
      </w:pPr>
      <w:r w:rsidRPr="005269E5">
        <w:t>193.</w:t>
      </w:r>
      <w:r w:rsidRPr="005269E5">
        <w:tab/>
      </w:r>
      <w:r>
        <w:t>Véase también la</w:t>
      </w:r>
      <w:r w:rsidRPr="005269E5">
        <w:t xml:space="preserve"> resp</w:t>
      </w:r>
      <w:r>
        <w:t>uesta a la observación final contenida e</w:t>
      </w:r>
      <w:r w:rsidRPr="005269E5">
        <w:t xml:space="preserve">n </w:t>
      </w:r>
      <w:r>
        <w:t xml:space="preserve">el </w:t>
      </w:r>
      <w:r w:rsidRPr="005269E5">
        <w:t>p</w:t>
      </w:r>
      <w:r>
        <w:t>ár</w:t>
      </w:r>
      <w:r w:rsidRPr="005269E5">
        <w:t>ra</w:t>
      </w:r>
      <w:r>
        <w:t>fo</w:t>
      </w:r>
      <w:r w:rsidRPr="005269E5">
        <w:t xml:space="preserve"> 22 </w:t>
      </w:r>
      <w:r>
        <w:t xml:space="preserve">del informe del </w:t>
      </w:r>
      <w:r w:rsidR="00466CA0">
        <w:t>Coordinador encargado del seguimiento</w:t>
      </w:r>
      <w:r w:rsidRPr="005269E5">
        <w:t xml:space="preserve"> </w:t>
      </w:r>
      <w:r>
        <w:t>e</w:t>
      </w:r>
      <w:r w:rsidRPr="005269E5">
        <w:t xml:space="preserve">n </w:t>
      </w:r>
      <w:r>
        <w:t xml:space="preserve">los </w:t>
      </w:r>
      <w:r w:rsidRPr="005269E5">
        <w:t>p</w:t>
      </w:r>
      <w:r>
        <w:t>árrafos 126 y ss. del presente informe.</w:t>
      </w:r>
    </w:p>
    <w:p w:rsidR="000100D5" w:rsidRPr="005269E5" w:rsidRDefault="000100D5" w:rsidP="000100D5">
      <w:pPr>
        <w:pStyle w:val="SingleTxtG"/>
      </w:pPr>
      <w:r w:rsidRPr="005269E5">
        <w:t>194.</w:t>
      </w:r>
      <w:r w:rsidRPr="005269E5">
        <w:tab/>
      </w:r>
      <w:r>
        <w:t>Véase la</w:t>
      </w:r>
      <w:r w:rsidRPr="005269E5">
        <w:t xml:space="preserve"> informa</w:t>
      </w:r>
      <w:r>
        <w:t>c</w:t>
      </w:r>
      <w:r w:rsidRPr="005269E5">
        <w:t>i</w:t>
      </w:r>
      <w:r>
        <w:t>ó</w:t>
      </w:r>
      <w:r w:rsidRPr="005269E5">
        <w:t xml:space="preserve">n </w:t>
      </w:r>
      <w:r>
        <w:t>sobre la creación de órganos nacionales en Ir</w:t>
      </w:r>
      <w:r w:rsidRPr="005269E5">
        <w:t>land</w:t>
      </w:r>
      <w:r>
        <w:t>a</w:t>
      </w:r>
      <w:r w:rsidRPr="005269E5">
        <w:t xml:space="preserve"> </w:t>
      </w:r>
      <w:r>
        <w:t>e</w:t>
      </w:r>
      <w:r w:rsidRPr="005269E5">
        <w:t xml:space="preserve">n </w:t>
      </w:r>
      <w:r>
        <w:t xml:space="preserve">la </w:t>
      </w:r>
      <w:r w:rsidRPr="005269E5">
        <w:t>Part</w:t>
      </w:r>
      <w:r>
        <w:t>e</w:t>
      </w:r>
      <w:r w:rsidR="00593DE9">
        <w:t> </w:t>
      </w:r>
      <w:r w:rsidRPr="005269E5">
        <w:t xml:space="preserve">II </w:t>
      </w:r>
      <w:r>
        <w:t>del informe inicial de Ir</w:t>
      </w:r>
      <w:r w:rsidRPr="005269E5">
        <w:t>land</w:t>
      </w:r>
      <w:r>
        <w:t>a</w:t>
      </w:r>
      <w:r w:rsidRPr="005269E5">
        <w:t>.</w:t>
      </w:r>
    </w:p>
    <w:p w:rsidR="000100D5" w:rsidRPr="005269E5" w:rsidRDefault="000100D5" w:rsidP="000100D5">
      <w:pPr>
        <w:pStyle w:val="SingleTxtG"/>
      </w:pPr>
      <w:r w:rsidRPr="005269E5">
        <w:t>195.</w:t>
      </w:r>
      <w:r w:rsidRPr="005269E5">
        <w:tab/>
      </w:r>
      <w:r>
        <w:t>Siempre que lo estime necesario</w:t>
      </w:r>
      <w:r w:rsidRPr="005269E5">
        <w:t>, e</w:t>
      </w:r>
      <w:r>
        <w:t>l</w:t>
      </w:r>
      <w:r w:rsidRPr="005269E5">
        <w:t xml:space="preserve"> Go</w:t>
      </w:r>
      <w:r>
        <w:t>bi</w:t>
      </w:r>
      <w:r w:rsidRPr="005269E5">
        <w:t>ern</w:t>
      </w:r>
      <w:r>
        <w:t>o</w:t>
      </w:r>
      <w:r w:rsidRPr="005269E5">
        <w:t xml:space="preserve"> adopt</w:t>
      </w:r>
      <w:r>
        <w:t>a</w:t>
      </w:r>
      <w:r w:rsidRPr="005269E5">
        <w:t xml:space="preserve"> </w:t>
      </w:r>
      <w:r>
        <w:t xml:space="preserve">medidas de acción </w:t>
      </w:r>
      <w:r w:rsidRPr="005269E5">
        <w:t>positiv</w:t>
      </w:r>
      <w:r>
        <w:t>as para fomentar la igualdad de</w:t>
      </w:r>
      <w:r w:rsidRPr="005269E5">
        <w:t xml:space="preserve"> oportuni</w:t>
      </w:r>
      <w:r>
        <w:t>dades</w:t>
      </w:r>
      <w:r w:rsidRPr="005269E5">
        <w:t>.</w:t>
      </w:r>
    </w:p>
    <w:p w:rsidR="000100D5" w:rsidRPr="005269E5" w:rsidRDefault="000100D5" w:rsidP="000100D5">
      <w:pPr>
        <w:pStyle w:val="H23G"/>
      </w:pPr>
      <w:r w:rsidRPr="005269E5">
        <w:tab/>
        <w:t>12.</w:t>
      </w:r>
      <w:r w:rsidRPr="005269E5">
        <w:tab/>
        <w:t>Plan</w:t>
      </w:r>
      <w:r>
        <w:t xml:space="preserve"> de Acción Nacional para la Integración Social, 2007</w:t>
      </w:r>
      <w:r w:rsidR="00067DCF">
        <w:t>-</w:t>
      </w:r>
      <w:r w:rsidRPr="005269E5">
        <w:t>2</w:t>
      </w:r>
      <w:r>
        <w:t>016</w:t>
      </w:r>
    </w:p>
    <w:p w:rsidR="000100D5" w:rsidRPr="00BA19BC" w:rsidRDefault="000100D5" w:rsidP="000100D5">
      <w:pPr>
        <w:pStyle w:val="SingleTxtG"/>
      </w:pPr>
      <w:r w:rsidRPr="005269E5">
        <w:t>196.</w:t>
      </w:r>
      <w:r w:rsidRPr="005269E5">
        <w:tab/>
      </w:r>
      <w:r>
        <w:t>Un objetivo fundamental e</w:t>
      </w:r>
      <w:r w:rsidRPr="005269E5">
        <w:t xml:space="preserve">n </w:t>
      </w:r>
      <w:r>
        <w:t>el</w:t>
      </w:r>
      <w:r w:rsidRPr="005269E5">
        <w:t xml:space="preserve"> </w:t>
      </w:r>
      <w:r>
        <w:t xml:space="preserve">Plan de Acción </w:t>
      </w:r>
      <w:r w:rsidRPr="005269E5">
        <w:t>Na</w:t>
      </w:r>
      <w:r>
        <w:t>c</w:t>
      </w:r>
      <w:r w:rsidRPr="005269E5">
        <w:t xml:space="preserve">ional </w:t>
      </w:r>
      <w:r>
        <w:t>para la Integración</w:t>
      </w:r>
      <w:r w:rsidRPr="005269E5">
        <w:t xml:space="preserve"> Social</w:t>
      </w:r>
      <w:r>
        <w:t>,</w:t>
      </w:r>
      <w:r w:rsidR="00593DE9">
        <w:t> </w:t>
      </w:r>
      <w:r w:rsidRPr="005269E5">
        <w:t>2007</w:t>
      </w:r>
      <w:r w:rsidR="00067DCF">
        <w:t>-</w:t>
      </w:r>
      <w:r w:rsidRPr="005269E5">
        <w:t>2016</w:t>
      </w:r>
      <w:r>
        <w:rPr>
          <w:rStyle w:val="FootnoteReference"/>
        </w:rPr>
        <w:footnoteReference w:id="52"/>
      </w:r>
      <w:r w:rsidRPr="005269E5">
        <w:t xml:space="preserve"> </w:t>
      </w:r>
      <w:r>
        <w:t>consiste en</w:t>
      </w:r>
      <w:r w:rsidRPr="005269E5">
        <w:t xml:space="preserve"> </w:t>
      </w:r>
      <w:r>
        <w:t xml:space="preserve">reducir para 2012 </w:t>
      </w:r>
      <w:r w:rsidRPr="005269E5">
        <w:t>e</w:t>
      </w:r>
      <w:r>
        <w:t>l</w:t>
      </w:r>
      <w:r w:rsidRPr="005269E5">
        <w:t xml:space="preserve"> n</w:t>
      </w:r>
      <w:r>
        <w:t>ú</w:t>
      </w:r>
      <w:r w:rsidRPr="005269E5">
        <w:t>mer</w:t>
      </w:r>
      <w:r>
        <w:t>o de los que son</w:t>
      </w:r>
      <w:r w:rsidRPr="005269E5">
        <w:t xml:space="preserve"> </w:t>
      </w:r>
      <w:r w:rsidR="00C67360">
        <w:t>"</w:t>
      </w:r>
      <w:r>
        <w:t>persistentemente</w:t>
      </w:r>
      <w:r w:rsidRPr="005269E5">
        <w:t xml:space="preserve"> po</w:t>
      </w:r>
      <w:r>
        <w:t>b</w:t>
      </w:r>
      <w:r w:rsidRPr="005269E5">
        <w:t>r</w:t>
      </w:r>
      <w:r>
        <w:t>es</w:t>
      </w:r>
      <w:r w:rsidR="00C67360">
        <w:t>"</w:t>
      </w:r>
      <w:r w:rsidRPr="005269E5">
        <w:t xml:space="preserve"> </w:t>
      </w:r>
      <w:r>
        <w:t>hasta un nivel entre un</w:t>
      </w:r>
      <w:r w:rsidRPr="005269E5">
        <w:t xml:space="preserve"> 2% </w:t>
      </w:r>
      <w:r>
        <w:t>y un</w:t>
      </w:r>
      <w:r w:rsidRPr="005269E5">
        <w:t xml:space="preserve"> 4% </w:t>
      </w:r>
      <w:r>
        <w:t xml:space="preserve">y aspirar a </w:t>
      </w:r>
      <w:r w:rsidRPr="005269E5">
        <w:t>elimina</w:t>
      </w:r>
      <w:r>
        <w:t>rlo para</w:t>
      </w:r>
      <w:r w:rsidR="00593DE9">
        <w:t> </w:t>
      </w:r>
      <w:r w:rsidRPr="005269E5">
        <w:t xml:space="preserve">2016. </w:t>
      </w:r>
      <w:r w:rsidRPr="000C4811">
        <w:t>Para cumplir ese objetivo s</w:t>
      </w:r>
      <w:r w:rsidRPr="00BA19BC">
        <w:t>e está prestando una atención específica a ciertos grupos vulnerables, incluidos los nómadas, migrantes y miembr</w:t>
      </w:r>
      <w:r>
        <w:t>o</w:t>
      </w:r>
      <w:r w:rsidRPr="00BA19BC">
        <w:t xml:space="preserve">s </w:t>
      </w:r>
      <w:r>
        <w:t xml:space="preserve">de </w:t>
      </w:r>
      <w:r w:rsidRPr="00BA19BC">
        <w:t>minor</w:t>
      </w:r>
      <w:r>
        <w:t>ías étnicas</w:t>
      </w:r>
      <w:r w:rsidRPr="00BA19BC">
        <w:t>.</w:t>
      </w:r>
    </w:p>
    <w:p w:rsidR="000100D5" w:rsidRPr="00194ACB" w:rsidRDefault="000100D5" w:rsidP="000100D5">
      <w:pPr>
        <w:pStyle w:val="SingleTxtG"/>
      </w:pPr>
      <w:r w:rsidRPr="005269E5">
        <w:t>197.</w:t>
      </w:r>
      <w:r w:rsidRPr="005269E5">
        <w:tab/>
      </w:r>
      <w:r>
        <w:t>En el Informe anual de integración social 2006/2007 se han comunicado p</w:t>
      </w:r>
      <w:r w:rsidRPr="005269E5">
        <w:t>rogres</w:t>
      </w:r>
      <w:r>
        <w:t>o</w:t>
      </w:r>
      <w:r w:rsidRPr="005269E5">
        <w:t xml:space="preserve">s </w:t>
      </w:r>
      <w:r>
        <w:t>en relac</w:t>
      </w:r>
      <w:r w:rsidRPr="005269E5">
        <w:t>i</w:t>
      </w:r>
      <w:r>
        <w:t>ó</w:t>
      </w:r>
      <w:r w:rsidRPr="005269E5">
        <w:t xml:space="preserve">n </w:t>
      </w:r>
      <w:r>
        <w:t>con esas metas/</w:t>
      </w:r>
      <w:r w:rsidRPr="005269E5">
        <w:t>acti</w:t>
      </w:r>
      <w:r>
        <w:t>vidades, que son parte de las</w:t>
      </w:r>
      <w:r w:rsidRPr="005269E5">
        <w:t xml:space="preserve"> respons</w:t>
      </w:r>
      <w:r>
        <w:t>a</w:t>
      </w:r>
      <w:r w:rsidRPr="005269E5">
        <w:t>bili</w:t>
      </w:r>
      <w:r>
        <w:t>dades de una serie de</w:t>
      </w:r>
      <w:r w:rsidRPr="005269E5">
        <w:t xml:space="preserve"> Depart</w:t>
      </w:r>
      <w:r>
        <w:t>a</w:t>
      </w:r>
      <w:r w:rsidRPr="005269E5">
        <w:t>ment</w:t>
      </w:r>
      <w:r>
        <w:t>o</w:t>
      </w:r>
      <w:r w:rsidRPr="005269E5">
        <w:t>s/</w:t>
      </w:r>
      <w:r>
        <w:t>Organismos</w:t>
      </w:r>
      <w:r>
        <w:rPr>
          <w:rStyle w:val="FootnoteReference"/>
        </w:rPr>
        <w:footnoteReference w:id="53"/>
      </w:r>
      <w:r>
        <w:t xml:space="preserve"> y que se seguirán supervisando y notificando</w:t>
      </w:r>
      <w:r w:rsidRPr="005269E5">
        <w:t xml:space="preserve">. </w:t>
      </w:r>
      <w:r w:rsidRPr="00194ACB">
        <w:t xml:space="preserve">El Informe </w:t>
      </w:r>
      <w:r w:rsidR="005C4174" w:rsidRPr="00194ACB">
        <w:t>anual</w:t>
      </w:r>
      <w:r w:rsidRPr="00194ACB">
        <w:t xml:space="preserve"> de integración social de 2008 se publicará antes de finales de 2009.</w:t>
      </w:r>
    </w:p>
    <w:p w:rsidR="000100D5" w:rsidRPr="005269E5" w:rsidRDefault="000100D5" w:rsidP="000100D5">
      <w:pPr>
        <w:pStyle w:val="H23G"/>
      </w:pPr>
      <w:r w:rsidRPr="00194ACB">
        <w:tab/>
      </w:r>
      <w:r>
        <w:t>13.</w:t>
      </w:r>
      <w:r>
        <w:tab/>
        <w:t>Estrategia en materia de datos</w:t>
      </w:r>
    </w:p>
    <w:p w:rsidR="000100D5" w:rsidRPr="004156DC" w:rsidRDefault="000100D5" w:rsidP="000100D5">
      <w:pPr>
        <w:pStyle w:val="SingleTxtG"/>
      </w:pPr>
      <w:r w:rsidRPr="005269E5">
        <w:t>198.</w:t>
      </w:r>
      <w:r w:rsidRPr="005269E5">
        <w:tab/>
      </w:r>
      <w:r>
        <w:t>La carencia de datos</w:t>
      </w:r>
      <w:r w:rsidRPr="005269E5">
        <w:t xml:space="preserve"> sector</w:t>
      </w:r>
      <w:r>
        <w:t>i</w:t>
      </w:r>
      <w:r w:rsidRPr="005269E5">
        <w:t>al</w:t>
      </w:r>
      <w:r>
        <w:t>es</w:t>
      </w:r>
      <w:r w:rsidRPr="005269E5">
        <w:t xml:space="preserve"> </w:t>
      </w:r>
      <w:r>
        <w:t>a</w:t>
      </w:r>
      <w:r w:rsidRPr="005269E5">
        <w:t>d</w:t>
      </w:r>
      <w:r>
        <w:t>ecu</w:t>
      </w:r>
      <w:r w:rsidRPr="005269E5">
        <w:t>a</w:t>
      </w:r>
      <w:r>
        <w:t>dos</w:t>
      </w:r>
      <w:r w:rsidRPr="005269E5">
        <w:t xml:space="preserve"> no permit</w:t>
      </w:r>
      <w:r>
        <w:t>e medir el ni</w:t>
      </w:r>
      <w:r w:rsidRPr="005269E5">
        <w:t xml:space="preserve">vel </w:t>
      </w:r>
      <w:r>
        <w:t>de pobreza en el que viven ciertos grupos</w:t>
      </w:r>
      <w:r w:rsidRPr="005269E5">
        <w:t xml:space="preserve"> vulnerable</w:t>
      </w:r>
      <w:r>
        <w:t>s</w:t>
      </w:r>
      <w:r w:rsidRPr="005269E5">
        <w:t xml:space="preserve"> </w:t>
      </w:r>
      <w:r>
        <w:t>y plantea</w:t>
      </w:r>
      <w:r w:rsidRPr="005269E5">
        <w:t xml:space="preserve"> problem</w:t>
      </w:r>
      <w:r>
        <w:t>a</w:t>
      </w:r>
      <w:r w:rsidRPr="005269E5">
        <w:t xml:space="preserve">s </w:t>
      </w:r>
      <w:r>
        <w:t>para evaluar el</w:t>
      </w:r>
      <w:r w:rsidRPr="005269E5">
        <w:t xml:space="preserve"> impact</w:t>
      </w:r>
      <w:r>
        <w:t>o</w:t>
      </w:r>
      <w:r w:rsidRPr="005269E5">
        <w:t xml:space="preserve"> </w:t>
      </w:r>
      <w:r>
        <w:t>de las</w:t>
      </w:r>
      <w:r w:rsidRPr="005269E5">
        <w:t xml:space="preserve"> pol</w:t>
      </w:r>
      <w:r>
        <w:t>ít</w:t>
      </w:r>
      <w:r w:rsidRPr="005269E5">
        <w:t>ic</w:t>
      </w:r>
      <w:r>
        <w:t>as</w:t>
      </w:r>
      <w:r w:rsidRPr="005269E5">
        <w:t xml:space="preserve">. </w:t>
      </w:r>
      <w:r w:rsidRPr="00F24A9A">
        <w:t>Se trata de una cuestión que la Oficina de Integración Social</w:t>
      </w:r>
      <w:r>
        <w:rPr>
          <w:rStyle w:val="FootnoteReference"/>
        </w:rPr>
        <w:footnoteReference w:id="54"/>
      </w:r>
      <w:r w:rsidRPr="00F24A9A">
        <w:t xml:space="preserve"> está abordando como parte de su labor permanente sobre los datos</w:t>
      </w:r>
      <w:r>
        <w:t>,</w:t>
      </w:r>
      <w:r w:rsidRPr="00F24A9A">
        <w:t xml:space="preserve"> con el apoyo de un Grupo T</w:t>
      </w:r>
      <w:r>
        <w:t>écnico de Asesoramiento, constituido por</w:t>
      </w:r>
      <w:r w:rsidRPr="00F24A9A">
        <w:t xml:space="preserve"> </w:t>
      </w:r>
      <w:r>
        <w:t>e</w:t>
      </w:r>
      <w:r w:rsidRPr="00F24A9A">
        <w:t>specialist</w:t>
      </w:r>
      <w:r>
        <w:t>a</w:t>
      </w:r>
      <w:r w:rsidRPr="00F24A9A">
        <w:t xml:space="preserve">s </w:t>
      </w:r>
      <w:r>
        <w:t>en recopilación e investigación de datos</w:t>
      </w:r>
      <w:r w:rsidRPr="00F24A9A">
        <w:t>. Como contribución a ese proceso, el Instituto de Investigación Económica y Social est</w:t>
      </w:r>
      <w:r>
        <w:t>á elaborando una</w:t>
      </w:r>
      <w:r w:rsidRPr="00F24A9A">
        <w:t xml:space="preserve"> serie </w:t>
      </w:r>
      <w:r>
        <w:t>de Retratos Sociales</w:t>
      </w:r>
      <w:r w:rsidRPr="00F24A9A">
        <w:t xml:space="preserve"> </w:t>
      </w:r>
      <w:r>
        <w:t>E</w:t>
      </w:r>
      <w:r w:rsidRPr="00F24A9A">
        <w:t>sta</w:t>
      </w:r>
      <w:r>
        <w:t>dí</w:t>
      </w:r>
      <w:r w:rsidRPr="00F24A9A">
        <w:t>stic</w:t>
      </w:r>
      <w:r>
        <w:t>os</w:t>
      </w:r>
      <w:r w:rsidRPr="00F24A9A">
        <w:t xml:space="preserve">, </w:t>
      </w:r>
      <w:r>
        <w:t>encargados por la División de Integración</w:t>
      </w:r>
      <w:r w:rsidRPr="00F24A9A">
        <w:t xml:space="preserve"> Social</w:t>
      </w:r>
      <w:r>
        <w:t xml:space="preserve"> del</w:t>
      </w:r>
      <w:r w:rsidRPr="00F24A9A">
        <w:t xml:space="preserve"> Depart</w:t>
      </w:r>
      <w:r>
        <w:t>a</w:t>
      </w:r>
      <w:r w:rsidRPr="00F24A9A">
        <w:t>ment</w:t>
      </w:r>
      <w:r>
        <w:t>o de Asuntos</w:t>
      </w:r>
      <w:r w:rsidRPr="00F24A9A">
        <w:t xml:space="preserve"> Social</w:t>
      </w:r>
      <w:r>
        <w:t>es y de la</w:t>
      </w:r>
      <w:r w:rsidRPr="00F24A9A">
        <w:t xml:space="preserve"> Famil</w:t>
      </w:r>
      <w:r>
        <w:t>ia</w:t>
      </w:r>
      <w:r w:rsidRPr="00F24A9A">
        <w:t xml:space="preserve">. </w:t>
      </w:r>
      <w:r w:rsidRPr="004156DC">
        <w:t xml:space="preserve">El cuarto de la serie, </w:t>
      </w:r>
      <w:r w:rsidRPr="004156DC">
        <w:rPr>
          <w:i/>
        </w:rPr>
        <w:t>Comunidades</w:t>
      </w:r>
      <w:r w:rsidRPr="004156DC">
        <w:t xml:space="preserve"> (incluidos los nómadas, migrantes </w:t>
      </w:r>
      <w:r>
        <w:t>y</w:t>
      </w:r>
      <w:r w:rsidRPr="004156DC">
        <w:t xml:space="preserve"> minor</w:t>
      </w:r>
      <w:r>
        <w:t xml:space="preserve">ías </w:t>
      </w:r>
      <w:r w:rsidR="005C4174">
        <w:t>é</w:t>
      </w:r>
      <w:r w:rsidR="005C4174" w:rsidRPr="004156DC">
        <w:t>t</w:t>
      </w:r>
      <w:r w:rsidR="005C4174">
        <w:t>n</w:t>
      </w:r>
      <w:r w:rsidR="005C4174" w:rsidRPr="004156DC">
        <w:t>i</w:t>
      </w:r>
      <w:r w:rsidR="005C4174">
        <w:t>ca</w:t>
      </w:r>
      <w:r w:rsidR="005C4174" w:rsidRPr="004156DC">
        <w:t>s</w:t>
      </w:r>
      <w:r w:rsidRPr="004156DC">
        <w:t xml:space="preserve">) </w:t>
      </w:r>
      <w:r>
        <w:t xml:space="preserve">se </w:t>
      </w:r>
      <w:r w:rsidRPr="004156DC">
        <w:t>publi</w:t>
      </w:r>
      <w:r>
        <w:t>có en el primer trimestre de</w:t>
      </w:r>
      <w:r w:rsidRPr="004156DC">
        <w:t xml:space="preserve"> 2009</w:t>
      </w:r>
      <w:r>
        <w:rPr>
          <w:rStyle w:val="FootnoteReference"/>
        </w:rPr>
        <w:footnoteReference w:id="55"/>
      </w:r>
      <w:r w:rsidR="00C67360">
        <w:t>.</w:t>
      </w:r>
    </w:p>
    <w:p w:rsidR="000100D5" w:rsidRPr="005269E5" w:rsidRDefault="000100D5" w:rsidP="000100D5">
      <w:pPr>
        <w:pStyle w:val="SingleTxtG"/>
      </w:pPr>
      <w:r w:rsidRPr="005269E5">
        <w:t>199.</w:t>
      </w:r>
      <w:r w:rsidRPr="005269E5">
        <w:tab/>
        <w:t>Me</w:t>
      </w:r>
      <w:r>
        <w:t>dir los</w:t>
      </w:r>
      <w:r w:rsidRPr="005269E5">
        <w:t xml:space="preserve"> benefi</w:t>
      </w:r>
      <w:r>
        <w:t>cio</w:t>
      </w:r>
      <w:r w:rsidRPr="005269E5">
        <w:t xml:space="preserve">s </w:t>
      </w:r>
      <w:r>
        <w:t>y resultados de las</w:t>
      </w:r>
      <w:r w:rsidRPr="005269E5">
        <w:t xml:space="preserve"> pol</w:t>
      </w:r>
      <w:r>
        <w:t>ít</w:t>
      </w:r>
      <w:r w:rsidRPr="005269E5">
        <w:t>ic</w:t>
      </w:r>
      <w:r>
        <w:t>a</w:t>
      </w:r>
      <w:r w:rsidRPr="005269E5">
        <w:t xml:space="preserve">s </w:t>
      </w:r>
      <w:r>
        <w:t>destinadas a los grupos</w:t>
      </w:r>
      <w:r w:rsidRPr="005269E5">
        <w:t xml:space="preserve"> vulnerable</w:t>
      </w:r>
      <w:r>
        <w:t>s</w:t>
      </w:r>
      <w:r w:rsidRPr="005269E5">
        <w:t xml:space="preserve"> </w:t>
      </w:r>
      <w:r>
        <w:t>puede ser una tarea difícil debido a una serie de</w:t>
      </w:r>
      <w:r w:rsidRPr="005269E5">
        <w:t xml:space="preserve"> factor</w:t>
      </w:r>
      <w:r>
        <w:t>e</w:t>
      </w:r>
      <w:r w:rsidRPr="005269E5">
        <w:t>s, inclu</w:t>
      </w:r>
      <w:r>
        <w:t>ida</w:t>
      </w:r>
      <w:r w:rsidRPr="005269E5">
        <w:t xml:space="preserve"> la</w:t>
      </w:r>
      <w:r>
        <w:t xml:space="preserve"> falta de disponibilidad de datos, el carácter multi</w:t>
      </w:r>
      <w:r w:rsidRPr="005269E5">
        <w:t xml:space="preserve">dimensional </w:t>
      </w:r>
      <w:r>
        <w:t>de la</w:t>
      </w:r>
      <w:r w:rsidRPr="005269E5">
        <w:t xml:space="preserve"> po</w:t>
      </w:r>
      <w:r>
        <w:t>breza</w:t>
      </w:r>
      <w:r w:rsidRPr="005269E5">
        <w:t xml:space="preserve"> </w:t>
      </w:r>
      <w:r>
        <w:t>y de la</w:t>
      </w:r>
      <w:r w:rsidRPr="005269E5">
        <w:t xml:space="preserve"> </w:t>
      </w:r>
      <w:r>
        <w:t xml:space="preserve">exclusión social y el hecho de que los impactos no son </w:t>
      </w:r>
      <w:r w:rsidRPr="005269E5">
        <w:t>f</w:t>
      </w:r>
      <w:r>
        <w:t>á</w:t>
      </w:r>
      <w:r w:rsidRPr="005269E5">
        <w:t>c</w:t>
      </w:r>
      <w:r>
        <w:t>iles de calcular a corto plazo.</w:t>
      </w:r>
    </w:p>
    <w:p w:rsidR="000100D5" w:rsidRPr="002D1D58" w:rsidRDefault="000100D5" w:rsidP="000100D5">
      <w:pPr>
        <w:pStyle w:val="SingleTxtG"/>
      </w:pPr>
      <w:r w:rsidRPr="005269E5">
        <w:t>200.</w:t>
      </w:r>
      <w:r w:rsidRPr="005269E5">
        <w:tab/>
      </w:r>
      <w:r>
        <w:t>La información y los datos o</w:t>
      </w:r>
      <w:r w:rsidRPr="005269E5">
        <w:t>bjetiv</w:t>
      </w:r>
      <w:r>
        <w:t>os y</w:t>
      </w:r>
      <w:r w:rsidRPr="005269E5">
        <w:t xml:space="preserve"> verifi</w:t>
      </w:r>
      <w:r>
        <w:t>c</w:t>
      </w:r>
      <w:r w:rsidRPr="005269E5">
        <w:t>able</w:t>
      </w:r>
      <w:r>
        <w:t>s acerca de la</w:t>
      </w:r>
      <w:r w:rsidRPr="005269E5">
        <w:t xml:space="preserve"> po</w:t>
      </w:r>
      <w:r>
        <w:t>breza</w:t>
      </w:r>
      <w:r w:rsidRPr="005269E5">
        <w:t xml:space="preserve"> </w:t>
      </w:r>
      <w:r>
        <w:t xml:space="preserve">son un factor fundamental para la elaboración y aplicación de las políticas. </w:t>
      </w:r>
      <w:r w:rsidRPr="00C66EE0">
        <w:t>En es</w:t>
      </w:r>
      <w:r>
        <w:t>a esfera</w:t>
      </w:r>
      <w:r w:rsidRPr="00C66EE0">
        <w:t xml:space="preserve"> prosiguen los trabajos para reforzar la recopilación y el an</w:t>
      </w:r>
      <w:r>
        <w:t>álisis de los datos</w:t>
      </w:r>
      <w:r w:rsidRPr="00C66EE0">
        <w:t>, de conformidad, por ejemplo, con el Grupo Técnico de A</w:t>
      </w:r>
      <w:r>
        <w:t>se</w:t>
      </w:r>
      <w:r w:rsidRPr="00C66EE0">
        <w:t>sor</w:t>
      </w:r>
      <w:r>
        <w:t>amiento, en el marco del Plan de Acción</w:t>
      </w:r>
      <w:r w:rsidRPr="00C66EE0">
        <w:t xml:space="preserve"> Na</w:t>
      </w:r>
      <w:r>
        <w:t>c</w:t>
      </w:r>
      <w:r w:rsidRPr="00C66EE0">
        <w:t xml:space="preserve">ional </w:t>
      </w:r>
      <w:r>
        <w:t>para la Integración</w:t>
      </w:r>
      <w:r w:rsidRPr="00C66EE0">
        <w:t xml:space="preserve"> Social</w:t>
      </w:r>
      <w:r>
        <w:t>.</w:t>
      </w:r>
      <w:r w:rsidRPr="00C66EE0">
        <w:t xml:space="preserve"> Aquí se contemplan aspectos como las estrategias y los indicadores en materia de dat</w:t>
      </w:r>
      <w:r>
        <w:t>os, a fin de medir los avances en la esfera de la lucha contra la</w:t>
      </w:r>
      <w:r w:rsidRPr="00C66EE0">
        <w:t xml:space="preserve"> po</w:t>
      </w:r>
      <w:r>
        <w:t>b</w:t>
      </w:r>
      <w:r w:rsidRPr="00C66EE0">
        <w:t>r</w:t>
      </w:r>
      <w:r>
        <w:t>eza</w:t>
      </w:r>
      <w:r w:rsidRPr="00C66EE0">
        <w:t xml:space="preserve">. </w:t>
      </w:r>
      <w:r w:rsidRPr="00FC6659">
        <w:t>Se dispone de un marco global de políticas para afrontar la pobreza y promover la integraci</w:t>
      </w:r>
      <w:r>
        <w:t xml:space="preserve">ón </w:t>
      </w:r>
      <w:r w:rsidRPr="00FC6659">
        <w:t xml:space="preserve">social, </w:t>
      </w:r>
      <w:r>
        <w:t>en el que tienen cabida</w:t>
      </w:r>
      <w:r w:rsidRPr="00FC6659">
        <w:t xml:space="preserve"> </w:t>
      </w:r>
      <w:r>
        <w:t>la</w:t>
      </w:r>
      <w:r w:rsidRPr="00FC6659">
        <w:t xml:space="preserve"> </w:t>
      </w:r>
      <w:r>
        <w:t>integración de la Estrategia Nacional de Lucha contra la Pobreza</w:t>
      </w:r>
      <w:r w:rsidRPr="00FC6659">
        <w:t xml:space="preserve">, </w:t>
      </w:r>
      <w:r>
        <w:t>el capítulo de integración</w:t>
      </w:r>
      <w:r w:rsidRPr="00FC6659">
        <w:t xml:space="preserve"> social</w:t>
      </w:r>
      <w:r>
        <w:t xml:space="preserve"> en el Plan</w:t>
      </w:r>
      <w:r w:rsidRPr="00FC6659">
        <w:t xml:space="preserve"> Na</w:t>
      </w:r>
      <w:r>
        <w:t>c</w:t>
      </w:r>
      <w:r w:rsidRPr="00FC6659">
        <w:t xml:space="preserve">ional </w:t>
      </w:r>
      <w:r>
        <w:t xml:space="preserve">de </w:t>
      </w:r>
      <w:r w:rsidRPr="00FC6659">
        <w:t>De</w:t>
      </w:r>
      <w:r>
        <w:t>sarrol</w:t>
      </w:r>
      <w:r w:rsidRPr="00FC6659">
        <w:t>lo</w:t>
      </w:r>
      <w:r>
        <w:t xml:space="preserve"> de</w:t>
      </w:r>
      <w:r w:rsidR="00593DE9">
        <w:t> </w:t>
      </w:r>
      <w:r w:rsidRPr="00FC6659">
        <w:t>2007</w:t>
      </w:r>
      <w:r>
        <w:t xml:space="preserve"> a </w:t>
      </w:r>
      <w:r w:rsidRPr="00FC6659">
        <w:t xml:space="preserve">2014 </w:t>
      </w:r>
      <w:r>
        <w:t xml:space="preserve">y el acuerdo </w:t>
      </w:r>
      <w:r w:rsidRPr="00FC6659">
        <w:t>d</w:t>
      </w:r>
      <w:r>
        <w:t>e</w:t>
      </w:r>
      <w:r w:rsidRPr="00FC6659">
        <w:t xml:space="preserve"> </w:t>
      </w:r>
      <w:r>
        <w:t>colaboración</w:t>
      </w:r>
      <w:r w:rsidRPr="00FC6659">
        <w:t xml:space="preserve"> social </w:t>
      </w:r>
      <w:r>
        <w:rPr>
          <w:i/>
        </w:rPr>
        <w:t>Hacia el</w:t>
      </w:r>
      <w:r w:rsidRPr="00FC6659">
        <w:rPr>
          <w:i/>
        </w:rPr>
        <w:t xml:space="preserve"> 2016</w:t>
      </w:r>
      <w:r w:rsidRPr="00FC6659">
        <w:t xml:space="preserve">. En ese contexto, no se escatiman esfuerzos para consolidar la aplicación local de las </w:t>
      </w:r>
      <w:r>
        <w:t>directrices</w:t>
      </w:r>
      <w:r w:rsidRPr="00FC6659">
        <w:t xml:space="preserve"> na</w:t>
      </w:r>
      <w:r>
        <w:t>c</w:t>
      </w:r>
      <w:r w:rsidRPr="00FC6659">
        <w:t>ional</w:t>
      </w:r>
      <w:r>
        <w:t>es</w:t>
      </w:r>
      <w:r w:rsidRPr="00FC6659">
        <w:t xml:space="preserve"> </w:t>
      </w:r>
      <w:r>
        <w:t xml:space="preserve">y </w:t>
      </w:r>
      <w:r w:rsidRPr="00FC6659">
        <w:t>p</w:t>
      </w:r>
      <w:r>
        <w:t>ara</w:t>
      </w:r>
      <w:r w:rsidRPr="00FC6659">
        <w:t xml:space="preserve"> </w:t>
      </w:r>
      <w:r>
        <w:t>sacar partido de la experiencia del país y aprovecharla en el ciclo de desarrollo de las políticas</w:t>
      </w:r>
      <w:r w:rsidRPr="00FC6659">
        <w:t xml:space="preserve">. </w:t>
      </w:r>
      <w:r w:rsidRPr="002D1D58">
        <w:t>La Evaluación del Impacto de la Pobreza es el proceso por el cual los Departamentos del Gobierno, las autoridades locales y los organismos del Estado evalúan las políticas y los programas en las etapas de diseño, aplicaci</w:t>
      </w:r>
      <w:r>
        <w:t>ón y</w:t>
      </w:r>
      <w:r w:rsidRPr="002D1D58">
        <w:t xml:space="preserve"> revi</w:t>
      </w:r>
      <w:r>
        <w:t>sión,</w:t>
      </w:r>
      <w:r w:rsidRPr="002D1D58">
        <w:t xml:space="preserve"> </w:t>
      </w:r>
      <w:r>
        <w:t>e</w:t>
      </w:r>
      <w:r w:rsidRPr="002D1D58">
        <w:t>n rela</w:t>
      </w:r>
      <w:r>
        <w:t>c</w:t>
      </w:r>
      <w:r w:rsidRPr="002D1D58">
        <w:t>i</w:t>
      </w:r>
      <w:r>
        <w:t>ón c</w:t>
      </w:r>
      <w:r w:rsidRPr="002D1D58">
        <w:t xml:space="preserve">on </w:t>
      </w:r>
      <w:r>
        <w:t>el</w:t>
      </w:r>
      <w:r w:rsidRPr="002D1D58">
        <w:t xml:space="preserve"> </w:t>
      </w:r>
      <w:r>
        <w:t xml:space="preserve">probable </w:t>
      </w:r>
      <w:r w:rsidRPr="002D1D58">
        <w:t>impact</w:t>
      </w:r>
      <w:r>
        <w:t>o</w:t>
      </w:r>
      <w:r w:rsidRPr="002D1D58">
        <w:t xml:space="preserve"> </w:t>
      </w:r>
      <w:r>
        <w:t>que puedan tener o hayan tenido en la</w:t>
      </w:r>
      <w:r w:rsidRPr="002D1D58">
        <w:t xml:space="preserve"> po</w:t>
      </w:r>
      <w:r>
        <w:t>breza y en las</w:t>
      </w:r>
      <w:r w:rsidRPr="002D1D58">
        <w:t xml:space="preserve"> </w:t>
      </w:r>
      <w:r>
        <w:t>desig</w:t>
      </w:r>
      <w:r w:rsidRPr="002D1D58">
        <w:t>ual</w:t>
      </w:r>
      <w:r>
        <w:t>dad</w:t>
      </w:r>
      <w:r w:rsidRPr="002D1D58">
        <w:t xml:space="preserve">es </w:t>
      </w:r>
      <w:r>
        <w:t>susceptibles de desembocar en la pobreza, con miras a luchar contra ese fenómeno</w:t>
      </w:r>
      <w:r w:rsidRPr="002D1D58">
        <w:t xml:space="preserve">. Si bien los Departamentos del Gobierno </w:t>
      </w:r>
      <w:r>
        <w:t>están aplicando desde 1999 políticas de protección contra</w:t>
      </w:r>
      <w:r w:rsidRPr="002D1D58">
        <w:t xml:space="preserve"> la pobreza, </w:t>
      </w:r>
      <w:r>
        <w:t>ahora se han elaborado otras directrices nuevas y de mayor alcance en materia de la Evaluación del Impacto de la Pobreza</w:t>
      </w:r>
      <w:r>
        <w:rPr>
          <w:rStyle w:val="FootnoteReference"/>
        </w:rPr>
        <w:footnoteReference w:id="56"/>
      </w:r>
      <w:r w:rsidRPr="002D1D58">
        <w:t xml:space="preserve"> </w:t>
      </w:r>
      <w:r>
        <w:t>y ya se ha puesto en marcha el</w:t>
      </w:r>
      <w:r w:rsidRPr="002D1D58">
        <w:t xml:space="preserve"> proces</w:t>
      </w:r>
      <w:r>
        <w:t>o de aplicación</w:t>
      </w:r>
      <w:r w:rsidRPr="002D1D58">
        <w:t xml:space="preserve">. </w:t>
      </w:r>
    </w:p>
    <w:p w:rsidR="000100D5" w:rsidRPr="005269E5" w:rsidRDefault="000100D5" w:rsidP="000100D5">
      <w:pPr>
        <w:pStyle w:val="H23G"/>
      </w:pPr>
      <w:r w:rsidRPr="002D1D58">
        <w:tab/>
      </w:r>
      <w:r>
        <w:t>14.</w:t>
      </w:r>
      <w:r>
        <w:tab/>
        <w:t>Dependencias de integración social de las a</w:t>
      </w:r>
      <w:r w:rsidRPr="005269E5">
        <w:t>utori</w:t>
      </w:r>
      <w:r>
        <w:t>dades</w:t>
      </w:r>
      <w:r w:rsidRPr="005269E5">
        <w:t xml:space="preserve"> </w:t>
      </w:r>
      <w:r>
        <w:t>locales</w:t>
      </w:r>
    </w:p>
    <w:p w:rsidR="000100D5" w:rsidRPr="00EC509C" w:rsidRDefault="000100D5" w:rsidP="000100D5">
      <w:pPr>
        <w:pStyle w:val="SingleTxtG"/>
      </w:pPr>
      <w:r w:rsidRPr="005269E5">
        <w:t>201.</w:t>
      </w:r>
      <w:r w:rsidRPr="005269E5">
        <w:tab/>
      </w:r>
      <w:r>
        <w:t>A las</w:t>
      </w:r>
      <w:r w:rsidRPr="005269E5">
        <w:t xml:space="preserve"> autori</w:t>
      </w:r>
      <w:r>
        <w:t>dad</w:t>
      </w:r>
      <w:r w:rsidRPr="005269E5">
        <w:t>es</w:t>
      </w:r>
      <w:r>
        <w:t xml:space="preserve"> locales</w:t>
      </w:r>
      <w:r w:rsidRPr="005269E5">
        <w:t xml:space="preserve">, </w:t>
      </w:r>
      <w:r>
        <w:t>como organismo esencial de la administración</w:t>
      </w:r>
      <w:r w:rsidRPr="005269E5">
        <w:t xml:space="preserve"> a </w:t>
      </w:r>
      <w:r>
        <w:t>dicho nivel, les corresponde desempeñar un papel importante en la prestación de</w:t>
      </w:r>
      <w:r w:rsidRPr="005269E5">
        <w:t xml:space="preserve"> servic</w:t>
      </w:r>
      <w:r>
        <w:t>ios a los</w:t>
      </w:r>
      <w:r w:rsidRPr="005269E5">
        <w:t xml:space="preserve"> i</w:t>
      </w:r>
      <w:r>
        <w:t>n</w:t>
      </w:r>
      <w:r w:rsidRPr="005269E5">
        <w:t>migrant</w:t>
      </w:r>
      <w:r>
        <w:t>e</w:t>
      </w:r>
      <w:r w:rsidRPr="005269E5">
        <w:t xml:space="preserve">s </w:t>
      </w:r>
      <w:r>
        <w:t>en sectores como la vivienda,</w:t>
      </w:r>
      <w:r w:rsidRPr="005269E5">
        <w:t xml:space="preserve"> </w:t>
      </w:r>
      <w:r>
        <w:t xml:space="preserve">la </w:t>
      </w:r>
      <w:r w:rsidRPr="005269E5">
        <w:t>plani</w:t>
      </w:r>
      <w:r>
        <w:t>ficació</w:t>
      </w:r>
      <w:r w:rsidRPr="005269E5">
        <w:t xml:space="preserve">n, </w:t>
      </w:r>
      <w:r>
        <w:t xml:space="preserve">el desarrollo </w:t>
      </w:r>
      <w:r w:rsidRPr="005269E5">
        <w:t>comunit</w:t>
      </w:r>
      <w:r>
        <w:t>ario y la</w:t>
      </w:r>
      <w:r w:rsidRPr="005269E5">
        <w:t xml:space="preserve"> </w:t>
      </w:r>
      <w:r>
        <w:t>integración</w:t>
      </w:r>
      <w:r w:rsidRPr="005269E5">
        <w:t xml:space="preserve"> social. </w:t>
      </w:r>
      <w:r w:rsidRPr="004F3249">
        <w:t>L</w:t>
      </w:r>
      <w:r>
        <w:t>a</w:t>
      </w:r>
      <w:r w:rsidRPr="004F3249">
        <w:t xml:space="preserve">s </w:t>
      </w:r>
      <w:r>
        <w:t>Juntas</w:t>
      </w:r>
      <w:r w:rsidRPr="004F3249">
        <w:t xml:space="preserve"> de Desarrollo de los condados y ciudades pueden realizar asimismo una </w:t>
      </w:r>
      <w:r>
        <w:t>funció</w:t>
      </w:r>
      <w:r w:rsidRPr="004F3249">
        <w:t xml:space="preserve">n </w:t>
      </w:r>
      <w:r>
        <w:t>importante</w:t>
      </w:r>
      <w:r w:rsidRPr="004F3249">
        <w:t xml:space="preserve"> en la coordinación de la prestaci</w:t>
      </w:r>
      <w:r>
        <w:t>ón de los servicios destinados a atender las</w:t>
      </w:r>
      <w:r w:rsidRPr="004F3249">
        <w:t xml:space="preserve"> ne</w:t>
      </w:r>
      <w:r>
        <w:t>c</w:t>
      </w:r>
      <w:r w:rsidRPr="004F3249">
        <w:t>e</w:t>
      </w:r>
      <w:r>
        <w:t>si</w:t>
      </w:r>
      <w:r w:rsidRPr="004F3249">
        <w:t>d</w:t>
      </w:r>
      <w:r>
        <w:t>ade</w:t>
      </w:r>
      <w:r w:rsidRPr="004F3249">
        <w:t xml:space="preserve">s </w:t>
      </w:r>
      <w:r>
        <w:t>de las comunidades de</w:t>
      </w:r>
      <w:r w:rsidRPr="004F3249">
        <w:t xml:space="preserve"> i</w:t>
      </w:r>
      <w:r>
        <w:t>n</w:t>
      </w:r>
      <w:r w:rsidRPr="004F3249">
        <w:t>migrant</w:t>
      </w:r>
      <w:r>
        <w:t>es</w:t>
      </w:r>
      <w:r w:rsidRPr="004F3249">
        <w:t xml:space="preserve">. </w:t>
      </w:r>
      <w:r w:rsidRPr="00EA22D4">
        <w:t xml:space="preserve">Se han identificado algunos modelos de buenas prácticas </w:t>
      </w:r>
      <w:r>
        <w:t>para hacer frente a</w:t>
      </w:r>
      <w:r w:rsidRPr="00EA22D4">
        <w:t xml:space="preserve"> las nece</w:t>
      </w:r>
      <w:r>
        <w:t>si</w:t>
      </w:r>
      <w:r w:rsidRPr="00EA22D4">
        <w:t>d</w:t>
      </w:r>
      <w:r>
        <w:t>ade</w:t>
      </w:r>
      <w:r w:rsidRPr="00EA22D4">
        <w:t xml:space="preserve">s </w:t>
      </w:r>
      <w:r>
        <w:t>de los</w:t>
      </w:r>
      <w:r w:rsidRPr="00EA22D4">
        <w:t xml:space="preserve"> </w:t>
      </w:r>
      <w:r>
        <w:t>inmigrantes a través de la labor de las dependencias experimentales de integración social de las aut</w:t>
      </w:r>
      <w:r w:rsidRPr="00EA22D4">
        <w:t>ori</w:t>
      </w:r>
      <w:r>
        <w:t>dades locales</w:t>
      </w:r>
      <w:r w:rsidRPr="00EA22D4">
        <w:t xml:space="preserve">. Esas dependencias experimentales han </w:t>
      </w:r>
      <w:r>
        <w:t>adquirido ahora</w:t>
      </w:r>
      <w:r w:rsidRPr="00EA22D4">
        <w:t xml:space="preserve"> </w:t>
      </w:r>
      <w:r>
        <w:t xml:space="preserve">un </w:t>
      </w:r>
      <w:r w:rsidRPr="00EA22D4">
        <w:t>car</w:t>
      </w:r>
      <w:r>
        <w:t>á</w:t>
      </w:r>
      <w:r w:rsidRPr="00EA22D4">
        <w:t xml:space="preserve">cter permanente y se han ampliado </w:t>
      </w:r>
      <w:r>
        <w:t xml:space="preserve">los programas </w:t>
      </w:r>
      <w:r w:rsidRPr="00EA22D4">
        <w:t>para cubrir la</w:t>
      </w:r>
      <w:r>
        <w:t>s competencias en ese ámbito de la</w:t>
      </w:r>
      <w:r w:rsidRPr="00EA22D4">
        <w:t xml:space="preserve"> mitad de las autoridades </w:t>
      </w:r>
      <w:r>
        <w:t xml:space="preserve">de </w:t>
      </w:r>
      <w:r w:rsidRPr="00EA22D4">
        <w:t>lo</w:t>
      </w:r>
      <w:r>
        <w:t>s condados</w:t>
      </w:r>
      <w:r w:rsidRPr="00EA22D4">
        <w:t xml:space="preserve"> </w:t>
      </w:r>
      <w:r>
        <w:t>y ciudades, a fin de cumplir el</w:t>
      </w:r>
      <w:r w:rsidRPr="00EA22D4">
        <w:t xml:space="preserve"> com</w:t>
      </w:r>
      <w:r>
        <w:t xml:space="preserve">promiso </w:t>
      </w:r>
      <w:r w:rsidR="005C4174">
        <w:t>contraído</w:t>
      </w:r>
      <w:r>
        <w:t xml:space="preserve"> en el acuerdo de colaboración</w:t>
      </w:r>
      <w:r w:rsidRPr="00EA22D4">
        <w:t xml:space="preserve"> social </w:t>
      </w:r>
      <w:r>
        <w:rPr>
          <w:i/>
        </w:rPr>
        <w:t>Hacia el</w:t>
      </w:r>
      <w:r w:rsidRPr="00EA22D4">
        <w:rPr>
          <w:i/>
        </w:rPr>
        <w:t xml:space="preserve"> 2016</w:t>
      </w:r>
      <w:r w:rsidRPr="00EA22D4">
        <w:t xml:space="preserve">. </w:t>
      </w:r>
      <w:r>
        <w:t>Entre los ejemplos de buenas prácticas cabe citar</w:t>
      </w:r>
      <w:r w:rsidRPr="00EC509C">
        <w:t>:</w:t>
      </w:r>
    </w:p>
    <w:p w:rsidR="000100D5" w:rsidRPr="00355D3C" w:rsidRDefault="000100D5" w:rsidP="00355D3C">
      <w:pPr>
        <w:pStyle w:val="Bullet1G"/>
      </w:pPr>
      <w:r w:rsidRPr="00803816">
        <w:t>La Dependencia de Integración Social</w:t>
      </w:r>
      <w:r>
        <w:t xml:space="preserve"> del Consejo del C</w:t>
      </w:r>
      <w:r w:rsidRPr="00803816">
        <w:t xml:space="preserve">ondado de Dublín meridional </w:t>
      </w:r>
      <w:r>
        <w:t xml:space="preserve">ha </w:t>
      </w:r>
      <w:r w:rsidRPr="00803816">
        <w:t>procur</w:t>
      </w:r>
      <w:r>
        <w:t>ado</w:t>
      </w:r>
      <w:r w:rsidRPr="00803816">
        <w:t xml:space="preserve"> </w:t>
      </w:r>
      <w:r w:rsidRPr="00355D3C">
        <w:t>alentar y promover los beneficios de la participación en el proceso de consulta que desembocará en el nuevo Plan de Desarrollo del Condado. Ha localizado y financiado la presencia de intérpretes de francés, ruso y árabe para dos períodos de sesiones específicos.</w:t>
      </w:r>
    </w:p>
    <w:p w:rsidR="000100D5" w:rsidRPr="00355D3C" w:rsidRDefault="000100D5" w:rsidP="00355D3C">
      <w:pPr>
        <w:pStyle w:val="Bullet1G"/>
      </w:pPr>
      <w:r w:rsidRPr="00355D3C">
        <w:t>También en el Consejo del Condado de Dublín meridional, la Dependencia de Integración Social organizó un día de capacitación para el personal sobre técnicas de comunicación efectivas con hablantes de inglés no nativos.</w:t>
      </w:r>
    </w:p>
    <w:p w:rsidR="000100D5" w:rsidRPr="00355D3C" w:rsidRDefault="000100D5" w:rsidP="00355D3C">
      <w:pPr>
        <w:pStyle w:val="Bullet1G"/>
      </w:pPr>
      <w:r w:rsidRPr="00355D3C">
        <w:t>El Consejo de la Ciudad de Waterford buscó a personas que pudieran traducir la información sobre el plan de exención del pago del servicio de eliminación de residuos. Colaboraron con el Ejecutivo local del Servicio de Salud a fin de determinar cuáles eran las familias que pudieran beneficiarse de esa información.</w:t>
      </w:r>
    </w:p>
    <w:p w:rsidR="000100D5" w:rsidRPr="00BC2007" w:rsidRDefault="000100D5" w:rsidP="00355D3C">
      <w:pPr>
        <w:pStyle w:val="Bullet1G"/>
      </w:pPr>
      <w:r w:rsidRPr="00355D3C">
        <w:t>La dependencia experimental</w:t>
      </w:r>
      <w:r w:rsidRPr="00BC2007">
        <w:t xml:space="preserve"> de integración social en el Consejo del Condado de Dun Laoghaire/Rathdown</w:t>
      </w:r>
      <w:r>
        <w:t xml:space="preserve"> participa en</w:t>
      </w:r>
      <w:r w:rsidRPr="00BC2007">
        <w:t xml:space="preserve"> la organización de su Festival </w:t>
      </w:r>
      <w:r>
        <w:t>an</w:t>
      </w:r>
      <w:r w:rsidRPr="00BC2007">
        <w:t>ual de las culturas del mundo</w:t>
      </w:r>
      <w:r>
        <w:rPr>
          <w:rStyle w:val="FootnoteReference"/>
        </w:rPr>
        <w:footnoteReference w:id="57"/>
      </w:r>
      <w:r w:rsidR="001F5C61">
        <w:t>.</w:t>
      </w:r>
    </w:p>
    <w:p w:rsidR="000100D5" w:rsidRPr="005269E5" w:rsidRDefault="000100D5" w:rsidP="000100D5">
      <w:pPr>
        <w:pStyle w:val="SingleTxtG"/>
        <w:rPr>
          <w:bCs/>
          <w:u w:val="single"/>
        </w:rPr>
      </w:pPr>
      <w:r w:rsidRPr="005269E5">
        <w:t>202</w:t>
      </w:r>
      <w:r w:rsidRPr="005269E5">
        <w:rPr>
          <w:bCs/>
        </w:rPr>
        <w:t>.</w:t>
      </w:r>
      <w:r w:rsidRPr="005269E5">
        <w:rPr>
          <w:bCs/>
        </w:rPr>
        <w:tab/>
      </w:r>
      <w:r>
        <w:rPr>
          <w:bCs/>
        </w:rPr>
        <w:t xml:space="preserve">La publicación de la </w:t>
      </w:r>
      <w:r w:rsidRPr="005269E5">
        <w:t>Ofic</w:t>
      </w:r>
      <w:r>
        <w:t>ina</w:t>
      </w:r>
      <w:r w:rsidRPr="005269E5">
        <w:t xml:space="preserve"> </w:t>
      </w:r>
      <w:r>
        <w:t>del</w:t>
      </w:r>
      <w:r w:rsidRPr="005269E5">
        <w:t xml:space="preserve"> Ministr</w:t>
      </w:r>
      <w:r>
        <w:t>o</w:t>
      </w:r>
      <w:r w:rsidRPr="005269E5">
        <w:t xml:space="preserve"> </w:t>
      </w:r>
      <w:r>
        <w:t>para la</w:t>
      </w:r>
      <w:r w:rsidRPr="005269E5">
        <w:t xml:space="preserve"> Integra</w:t>
      </w:r>
      <w:r>
        <w:t>c</w:t>
      </w:r>
      <w:r w:rsidRPr="005269E5">
        <w:t>i</w:t>
      </w:r>
      <w:r>
        <w:t>ó</w:t>
      </w:r>
      <w:r w:rsidRPr="005269E5">
        <w:t xml:space="preserve">n </w:t>
      </w:r>
      <w:r w:rsidR="00E03EF2">
        <w:t>"</w:t>
      </w:r>
      <w:r w:rsidRPr="005269E5">
        <w:t>Migration Nation: Statement on Integration Strategy and Diversity Management</w:t>
      </w:r>
      <w:r w:rsidR="00E03EF2">
        <w:t>"</w:t>
      </w:r>
      <w:r w:rsidRPr="005269E5">
        <w:t xml:space="preserve"> </w:t>
      </w:r>
      <w:r>
        <w:t xml:space="preserve">(Nación de migración: declaración sobre la estrategia de integración y gestión de la diversidad) </w:t>
      </w:r>
      <w:r w:rsidRPr="005269E5">
        <w:t>recon</w:t>
      </w:r>
      <w:r>
        <w:t>oce</w:t>
      </w:r>
      <w:r w:rsidRPr="005269E5">
        <w:t xml:space="preserve"> </w:t>
      </w:r>
      <w:r>
        <w:t>la</w:t>
      </w:r>
      <w:r w:rsidRPr="005269E5">
        <w:t xml:space="preserve"> importanc</w:t>
      </w:r>
      <w:r>
        <w:t>ia de las</w:t>
      </w:r>
      <w:r w:rsidRPr="005269E5">
        <w:t xml:space="preserve"> autori</w:t>
      </w:r>
      <w:r>
        <w:t>dades locales en el fomento de la</w:t>
      </w:r>
      <w:r w:rsidRPr="005269E5">
        <w:t xml:space="preserve"> integra</w:t>
      </w:r>
      <w:r>
        <w:t>c</w:t>
      </w:r>
      <w:r w:rsidRPr="005269E5">
        <w:t>i</w:t>
      </w:r>
      <w:r>
        <w:t>ón; la</w:t>
      </w:r>
      <w:r w:rsidRPr="005269E5">
        <w:t xml:space="preserve"> Ofic</w:t>
      </w:r>
      <w:r>
        <w:t>ina ha facilitado</w:t>
      </w:r>
      <w:r w:rsidRPr="005269E5">
        <w:t xml:space="preserve"> </w:t>
      </w:r>
      <w:r>
        <w:t>la</w:t>
      </w:r>
      <w:r w:rsidRPr="005269E5">
        <w:t xml:space="preserve"> f</w:t>
      </w:r>
      <w:r>
        <w:t xml:space="preserve">inanciación inicial a los consejos de los condados </w:t>
      </w:r>
      <w:r w:rsidRPr="005269E5">
        <w:t>(autori</w:t>
      </w:r>
      <w:r>
        <w:t>dades locales</w:t>
      </w:r>
      <w:r w:rsidRPr="005269E5">
        <w:t xml:space="preserve">) </w:t>
      </w:r>
      <w:r>
        <w:t>en las zonas en</w:t>
      </w:r>
      <w:r w:rsidRPr="005269E5">
        <w:t xml:space="preserve"> </w:t>
      </w:r>
      <w:r>
        <w:t>las que residen bastantes miembros de</w:t>
      </w:r>
      <w:r w:rsidRPr="005269E5">
        <w:t xml:space="preserve"> minor</w:t>
      </w:r>
      <w:r>
        <w:t>ías étnicas, a fin de organizar actividades de integración.</w:t>
      </w:r>
    </w:p>
    <w:p w:rsidR="000100D5" w:rsidRPr="005269E5" w:rsidRDefault="000100D5" w:rsidP="000100D5">
      <w:pPr>
        <w:pStyle w:val="SingleTxtG"/>
        <w:rPr>
          <w:bCs/>
          <w:u w:val="single"/>
        </w:rPr>
      </w:pPr>
      <w:r w:rsidRPr="005269E5">
        <w:t>203</w:t>
      </w:r>
      <w:r w:rsidRPr="005269E5">
        <w:rPr>
          <w:bCs/>
        </w:rPr>
        <w:t>.</w:t>
      </w:r>
      <w:r w:rsidRPr="005269E5">
        <w:rPr>
          <w:bCs/>
        </w:rPr>
        <w:tab/>
      </w:r>
      <w:r>
        <w:rPr>
          <w:bCs/>
        </w:rPr>
        <w:t>Sírvanse consultar la</w:t>
      </w:r>
      <w:r w:rsidRPr="005269E5">
        <w:t xml:space="preserve"> informa</w:t>
      </w:r>
      <w:r>
        <w:t>c</w:t>
      </w:r>
      <w:r w:rsidRPr="005269E5">
        <w:t>i</w:t>
      </w:r>
      <w:r>
        <w:t>ó</w:t>
      </w:r>
      <w:r w:rsidRPr="005269E5">
        <w:t xml:space="preserve">n </w:t>
      </w:r>
      <w:r>
        <w:t>sobre la Iniciativa en pro de los votantes migrantes en los párrafos 279 y ss. del presente informe.</w:t>
      </w:r>
    </w:p>
    <w:p w:rsidR="000100D5" w:rsidRPr="005269E5" w:rsidRDefault="000100D5" w:rsidP="000100D5">
      <w:pPr>
        <w:pStyle w:val="H1G"/>
      </w:pPr>
      <w:r w:rsidRPr="005269E5">
        <w:tab/>
      </w:r>
      <w:r w:rsidRPr="005269E5">
        <w:tab/>
        <w:t>Art</w:t>
      </w:r>
      <w:r>
        <w:t>í</w:t>
      </w:r>
      <w:r w:rsidRPr="005269E5">
        <w:t>c</w:t>
      </w:r>
      <w:r>
        <w:t>u</w:t>
      </w:r>
      <w:r w:rsidRPr="005269E5">
        <w:t>l</w:t>
      </w:r>
      <w:r>
        <w:t>o</w:t>
      </w:r>
      <w:r w:rsidRPr="005269E5">
        <w:t xml:space="preserve"> 3</w:t>
      </w:r>
    </w:p>
    <w:p w:rsidR="000100D5" w:rsidRPr="00347747" w:rsidRDefault="000100D5" w:rsidP="000100D5">
      <w:pPr>
        <w:pStyle w:val="SingleTxtG"/>
      </w:pPr>
      <w:r w:rsidRPr="005269E5">
        <w:t>204.</w:t>
      </w:r>
      <w:r w:rsidRPr="005269E5">
        <w:tab/>
      </w:r>
      <w:r>
        <w:t>Como ya se indicó anteriormente en el párrafo 2</w:t>
      </w:r>
      <w:r w:rsidRPr="005269E5">
        <w:t>2</w:t>
      </w:r>
      <w:r>
        <w:t xml:space="preserve">1 (pág. 59) del informe inicial y el segundo informe periódico de </w:t>
      </w:r>
      <w:r w:rsidRPr="005269E5">
        <w:t>Irland</w:t>
      </w:r>
      <w:r>
        <w:t>a</w:t>
      </w:r>
      <w:r w:rsidRPr="005269E5">
        <w:t xml:space="preserve">, </w:t>
      </w:r>
      <w:r>
        <w:t>no hay</w:t>
      </w:r>
      <w:r w:rsidRPr="005269E5">
        <w:t xml:space="preserve"> segrega</w:t>
      </w:r>
      <w:r>
        <w:t>c</w:t>
      </w:r>
      <w:r w:rsidRPr="005269E5">
        <w:t>i</w:t>
      </w:r>
      <w:r>
        <w:t>ó</w:t>
      </w:r>
      <w:r w:rsidRPr="005269E5">
        <w:t>n</w:t>
      </w:r>
      <w:r>
        <w:t xml:space="preserve"> racial o</w:t>
      </w:r>
      <w:r w:rsidRPr="005269E5">
        <w:t xml:space="preserve"> </w:t>
      </w:r>
      <w:r>
        <w:rPr>
          <w:i/>
        </w:rPr>
        <w:t>apartheid</w:t>
      </w:r>
      <w:r>
        <w:t xml:space="preserve"> e</w:t>
      </w:r>
      <w:r w:rsidRPr="005269E5">
        <w:t xml:space="preserve">n </w:t>
      </w:r>
      <w:r>
        <w:t>el país</w:t>
      </w:r>
      <w:r w:rsidRPr="005269E5">
        <w:t xml:space="preserve">. </w:t>
      </w:r>
      <w:r w:rsidRPr="00920BFB">
        <w:t>Durante muchos años, la política de Irlanda ha sido condenatoria de esas pr</w:t>
      </w:r>
      <w:r>
        <w:t>ácticas</w:t>
      </w:r>
      <w:r w:rsidRPr="00920BFB">
        <w:t xml:space="preserve">. </w:t>
      </w:r>
      <w:r w:rsidRPr="00347747">
        <w:t>Irlanda condena sin reservas toda política, práctica</w:t>
      </w:r>
      <w:r>
        <w:t xml:space="preserve"> o</w:t>
      </w:r>
      <w:r w:rsidRPr="00347747">
        <w:t xml:space="preserve"> ideología que conduzca a la intolerancia o al odio raciales.</w:t>
      </w:r>
    </w:p>
    <w:p w:rsidR="000100D5" w:rsidRPr="005269E5" w:rsidRDefault="000100D5" w:rsidP="000100D5">
      <w:pPr>
        <w:pStyle w:val="H23G"/>
      </w:pPr>
      <w:r w:rsidRPr="00347747">
        <w:tab/>
      </w:r>
      <w:r>
        <w:t>1.</w:t>
      </w:r>
      <w:r>
        <w:tab/>
        <w:t>Comunidades migrantes</w:t>
      </w:r>
    </w:p>
    <w:p w:rsidR="000100D5" w:rsidRPr="00347747" w:rsidRDefault="000100D5" w:rsidP="000100D5">
      <w:pPr>
        <w:pStyle w:val="SingleTxtG"/>
        <w:rPr>
          <w:bCs/>
        </w:rPr>
      </w:pPr>
      <w:r w:rsidRPr="005269E5">
        <w:t>205</w:t>
      </w:r>
      <w:r w:rsidRPr="005269E5">
        <w:rPr>
          <w:bCs/>
        </w:rPr>
        <w:t>.</w:t>
      </w:r>
      <w:r w:rsidRPr="005269E5">
        <w:rPr>
          <w:bCs/>
        </w:rPr>
        <w:tab/>
      </w:r>
      <w:r>
        <w:rPr>
          <w:bCs/>
        </w:rPr>
        <w:t>Como se mencionó anteriormente</w:t>
      </w:r>
      <w:r w:rsidRPr="005269E5">
        <w:rPr>
          <w:bCs/>
        </w:rPr>
        <w:t>, e</w:t>
      </w:r>
      <w:r>
        <w:rPr>
          <w:bCs/>
        </w:rPr>
        <w:t>l</w:t>
      </w:r>
      <w:r w:rsidRPr="005269E5">
        <w:rPr>
          <w:bCs/>
        </w:rPr>
        <w:t xml:space="preserve"> Ministr</w:t>
      </w:r>
      <w:r>
        <w:rPr>
          <w:bCs/>
        </w:rPr>
        <w:t>o</w:t>
      </w:r>
      <w:r w:rsidRPr="005269E5">
        <w:rPr>
          <w:bCs/>
        </w:rPr>
        <w:t xml:space="preserve"> </w:t>
      </w:r>
      <w:r>
        <w:rPr>
          <w:bCs/>
        </w:rPr>
        <w:t>para la</w:t>
      </w:r>
      <w:r w:rsidRPr="005269E5">
        <w:rPr>
          <w:bCs/>
        </w:rPr>
        <w:t xml:space="preserve"> Integra</w:t>
      </w:r>
      <w:r>
        <w:rPr>
          <w:bCs/>
        </w:rPr>
        <w:t>c</w:t>
      </w:r>
      <w:r w:rsidRPr="005269E5">
        <w:rPr>
          <w:bCs/>
        </w:rPr>
        <w:t>i</w:t>
      </w:r>
      <w:r>
        <w:rPr>
          <w:bCs/>
        </w:rPr>
        <w:t>ó</w:t>
      </w:r>
      <w:r w:rsidRPr="005269E5">
        <w:rPr>
          <w:bCs/>
        </w:rPr>
        <w:t>n publi</w:t>
      </w:r>
      <w:r>
        <w:rPr>
          <w:bCs/>
        </w:rPr>
        <w:t xml:space="preserve">có una declaración relativa a la estrategia de </w:t>
      </w:r>
      <w:r w:rsidRPr="005269E5">
        <w:rPr>
          <w:bCs/>
        </w:rPr>
        <w:t>integra</w:t>
      </w:r>
      <w:r>
        <w:rPr>
          <w:bCs/>
        </w:rPr>
        <w:t>c</w:t>
      </w:r>
      <w:r w:rsidRPr="005269E5">
        <w:rPr>
          <w:bCs/>
        </w:rPr>
        <w:t>i</w:t>
      </w:r>
      <w:r>
        <w:rPr>
          <w:bCs/>
        </w:rPr>
        <w:t>ó</w:t>
      </w:r>
      <w:r w:rsidRPr="005269E5">
        <w:rPr>
          <w:bCs/>
        </w:rPr>
        <w:t xml:space="preserve">n </w:t>
      </w:r>
      <w:r>
        <w:rPr>
          <w:bCs/>
        </w:rPr>
        <w:t xml:space="preserve">y gestión de la </w:t>
      </w:r>
      <w:r w:rsidRPr="005269E5">
        <w:rPr>
          <w:bCs/>
        </w:rPr>
        <w:t>diversi</w:t>
      </w:r>
      <w:r>
        <w:rPr>
          <w:bCs/>
        </w:rPr>
        <w:t>dad</w:t>
      </w:r>
      <w:r w:rsidRPr="005269E5">
        <w:rPr>
          <w:bCs/>
        </w:rPr>
        <w:t xml:space="preserve">, </w:t>
      </w:r>
      <w:r>
        <w:rPr>
          <w:bCs/>
        </w:rPr>
        <w:t>denominada</w:t>
      </w:r>
      <w:r w:rsidRPr="005269E5">
        <w:rPr>
          <w:bCs/>
        </w:rPr>
        <w:t xml:space="preserve"> </w:t>
      </w:r>
      <w:r w:rsidR="00C67360">
        <w:rPr>
          <w:bCs/>
        </w:rPr>
        <w:t>"</w:t>
      </w:r>
      <w:r w:rsidRPr="005269E5">
        <w:rPr>
          <w:bCs/>
        </w:rPr>
        <w:t>Migration Nation</w:t>
      </w:r>
      <w:r w:rsidR="00C67360">
        <w:rPr>
          <w:bCs/>
        </w:rPr>
        <w:t>"</w:t>
      </w:r>
      <w:r w:rsidRPr="005269E5">
        <w:rPr>
          <w:bCs/>
        </w:rPr>
        <w:t xml:space="preserve"> </w:t>
      </w:r>
      <w:r>
        <w:rPr>
          <w:bCs/>
        </w:rPr>
        <w:t>e</w:t>
      </w:r>
      <w:r w:rsidRPr="005269E5">
        <w:rPr>
          <w:bCs/>
        </w:rPr>
        <w:t xml:space="preserve">n </w:t>
      </w:r>
      <w:r>
        <w:rPr>
          <w:bCs/>
        </w:rPr>
        <w:t>m</w:t>
      </w:r>
      <w:r w:rsidRPr="005269E5">
        <w:rPr>
          <w:bCs/>
        </w:rPr>
        <w:t>ay</w:t>
      </w:r>
      <w:r>
        <w:rPr>
          <w:bCs/>
        </w:rPr>
        <w:t>o de</w:t>
      </w:r>
      <w:r w:rsidRPr="005269E5">
        <w:rPr>
          <w:bCs/>
        </w:rPr>
        <w:t xml:space="preserve"> 2008</w:t>
      </w:r>
      <w:r>
        <w:rPr>
          <w:rStyle w:val="FootnoteReference"/>
          <w:bCs/>
        </w:rPr>
        <w:footnoteReference w:id="58"/>
      </w:r>
      <w:r w:rsidR="001F5C61">
        <w:rPr>
          <w:bCs/>
        </w:rPr>
        <w:t>.</w:t>
      </w:r>
      <w:r w:rsidRPr="005269E5">
        <w:rPr>
          <w:bCs/>
        </w:rPr>
        <w:t xml:space="preserve"> </w:t>
      </w:r>
      <w:r w:rsidRPr="00347747">
        <w:rPr>
          <w:bCs/>
        </w:rPr>
        <w:t xml:space="preserve">El documento fija el marco para la elaboración de la política de integración en Irlanda </w:t>
      </w:r>
      <w:r>
        <w:rPr>
          <w:bCs/>
        </w:rPr>
        <w:t>y esboza los</w:t>
      </w:r>
      <w:r w:rsidRPr="00347747">
        <w:rPr>
          <w:bCs/>
        </w:rPr>
        <w:t xml:space="preserve"> princip</w:t>
      </w:r>
      <w:r>
        <w:rPr>
          <w:bCs/>
        </w:rPr>
        <w:t>io</w:t>
      </w:r>
      <w:r w:rsidRPr="00347747">
        <w:rPr>
          <w:bCs/>
        </w:rPr>
        <w:t xml:space="preserve">s </w:t>
      </w:r>
      <w:r>
        <w:rPr>
          <w:bCs/>
        </w:rPr>
        <w:t>clave que sustentarán y configurarán la política estatal en ese ámbito</w:t>
      </w:r>
      <w:r w:rsidRPr="00347747">
        <w:rPr>
          <w:bCs/>
        </w:rPr>
        <w:t>.</w:t>
      </w:r>
    </w:p>
    <w:p w:rsidR="000100D5" w:rsidRPr="001B0D00" w:rsidRDefault="000100D5" w:rsidP="000100D5">
      <w:pPr>
        <w:pStyle w:val="SingleTxtG"/>
        <w:rPr>
          <w:bCs/>
        </w:rPr>
      </w:pPr>
      <w:r w:rsidRPr="005269E5">
        <w:t>206</w:t>
      </w:r>
      <w:r w:rsidRPr="005269E5">
        <w:rPr>
          <w:bCs/>
        </w:rPr>
        <w:t>.</w:t>
      </w:r>
      <w:r w:rsidRPr="005269E5">
        <w:rPr>
          <w:bCs/>
        </w:rPr>
        <w:tab/>
        <w:t>Irland</w:t>
      </w:r>
      <w:r>
        <w:rPr>
          <w:bCs/>
        </w:rPr>
        <w:t>a ha</w:t>
      </w:r>
      <w:r w:rsidRPr="005269E5">
        <w:rPr>
          <w:bCs/>
        </w:rPr>
        <w:t xml:space="preserve"> adopt</w:t>
      </w:r>
      <w:r>
        <w:rPr>
          <w:bCs/>
        </w:rPr>
        <w:t>ado</w:t>
      </w:r>
      <w:r w:rsidRPr="005269E5">
        <w:rPr>
          <w:bCs/>
        </w:rPr>
        <w:t xml:space="preserve"> </w:t>
      </w:r>
      <w:r>
        <w:rPr>
          <w:bCs/>
        </w:rPr>
        <w:t>un</w:t>
      </w:r>
      <w:r w:rsidRPr="005269E5">
        <w:rPr>
          <w:bCs/>
        </w:rPr>
        <w:t>a pol</w:t>
      </w:r>
      <w:r>
        <w:rPr>
          <w:bCs/>
        </w:rPr>
        <w:t>ítica global de suministro de</w:t>
      </w:r>
      <w:r w:rsidRPr="005269E5">
        <w:rPr>
          <w:bCs/>
        </w:rPr>
        <w:t xml:space="preserve"> servic</w:t>
      </w:r>
      <w:r>
        <w:rPr>
          <w:bCs/>
        </w:rPr>
        <w:t>ios</w:t>
      </w:r>
      <w:r w:rsidRPr="005269E5">
        <w:rPr>
          <w:bCs/>
        </w:rPr>
        <w:t xml:space="preserve"> </w:t>
      </w:r>
      <w:r>
        <w:rPr>
          <w:bCs/>
        </w:rPr>
        <w:t>en la esfera de la</w:t>
      </w:r>
      <w:r w:rsidRPr="005269E5">
        <w:rPr>
          <w:bCs/>
        </w:rPr>
        <w:t xml:space="preserve"> integra</w:t>
      </w:r>
      <w:r>
        <w:rPr>
          <w:bCs/>
        </w:rPr>
        <w:t>c</w:t>
      </w:r>
      <w:r w:rsidRPr="005269E5">
        <w:rPr>
          <w:bCs/>
        </w:rPr>
        <w:t>i</w:t>
      </w:r>
      <w:r>
        <w:rPr>
          <w:bCs/>
        </w:rPr>
        <w:t>ó</w:t>
      </w:r>
      <w:r w:rsidRPr="005269E5">
        <w:rPr>
          <w:bCs/>
        </w:rPr>
        <w:t>n</w:t>
      </w:r>
      <w:r>
        <w:rPr>
          <w:bCs/>
        </w:rPr>
        <w:t>, no sin dejar de</w:t>
      </w:r>
      <w:r w:rsidRPr="005269E5">
        <w:rPr>
          <w:bCs/>
        </w:rPr>
        <w:t xml:space="preserve"> recon</w:t>
      </w:r>
      <w:r>
        <w:rPr>
          <w:bCs/>
        </w:rPr>
        <w:t>ocer la</w:t>
      </w:r>
      <w:r w:rsidRPr="005269E5">
        <w:rPr>
          <w:bCs/>
        </w:rPr>
        <w:t xml:space="preserve"> ne</w:t>
      </w:r>
      <w:r>
        <w:rPr>
          <w:bCs/>
        </w:rPr>
        <w:t>c</w:t>
      </w:r>
      <w:r w:rsidRPr="005269E5">
        <w:rPr>
          <w:bCs/>
        </w:rPr>
        <w:t>e</w:t>
      </w:r>
      <w:r>
        <w:rPr>
          <w:bCs/>
        </w:rPr>
        <w:t>sida</w:t>
      </w:r>
      <w:r w:rsidRPr="005269E5">
        <w:rPr>
          <w:bCs/>
        </w:rPr>
        <w:t xml:space="preserve">d </w:t>
      </w:r>
      <w:r>
        <w:rPr>
          <w:bCs/>
        </w:rPr>
        <w:t>de</w:t>
      </w:r>
      <w:r w:rsidRPr="005269E5">
        <w:rPr>
          <w:bCs/>
        </w:rPr>
        <w:t xml:space="preserve"> ini</w:t>
      </w:r>
      <w:r>
        <w:rPr>
          <w:bCs/>
        </w:rPr>
        <w:t>ciativas específicas con miras a satisfacer necesidades concretas a corto plazo</w:t>
      </w:r>
      <w:r w:rsidRPr="005269E5">
        <w:rPr>
          <w:bCs/>
        </w:rPr>
        <w:t xml:space="preserve">. </w:t>
      </w:r>
      <w:r w:rsidRPr="00B9708F">
        <w:rPr>
          <w:bCs/>
        </w:rPr>
        <w:t xml:space="preserve">En general, la responsabilidad de la prestación </w:t>
      </w:r>
      <w:r>
        <w:rPr>
          <w:bCs/>
        </w:rPr>
        <w:t>efectiva</w:t>
      </w:r>
      <w:r w:rsidRPr="00B9708F">
        <w:rPr>
          <w:bCs/>
        </w:rPr>
        <w:t xml:space="preserve"> de los servicios de integración </w:t>
      </w:r>
      <w:r>
        <w:rPr>
          <w:bCs/>
        </w:rPr>
        <w:t>recae sobre los d</w:t>
      </w:r>
      <w:r w:rsidRPr="00B9708F">
        <w:rPr>
          <w:bCs/>
        </w:rPr>
        <w:t xml:space="preserve">epartamentos </w:t>
      </w:r>
      <w:r>
        <w:rPr>
          <w:bCs/>
        </w:rPr>
        <w:t xml:space="preserve">principales </w:t>
      </w:r>
      <w:r w:rsidRPr="00B9708F">
        <w:rPr>
          <w:bCs/>
        </w:rPr>
        <w:t>del Gobierno, que siguen respondiendo a las necesidades de los reci</w:t>
      </w:r>
      <w:r>
        <w:rPr>
          <w:bCs/>
        </w:rPr>
        <w:t>én llegados.</w:t>
      </w:r>
      <w:r w:rsidRPr="00B9708F">
        <w:rPr>
          <w:bCs/>
        </w:rPr>
        <w:t xml:space="preserve"> </w:t>
      </w:r>
      <w:r w:rsidRPr="001B0D00">
        <w:rPr>
          <w:bCs/>
        </w:rPr>
        <w:t xml:space="preserve">Dado que existe un gran número de </w:t>
      </w:r>
      <w:r>
        <w:rPr>
          <w:bCs/>
        </w:rPr>
        <w:t>d</w:t>
      </w:r>
      <w:r w:rsidRPr="001B0D00">
        <w:rPr>
          <w:bCs/>
        </w:rPr>
        <w:t>epartamentos dedicados a abordar los problemas de la integración, se ha</w:t>
      </w:r>
      <w:r>
        <w:rPr>
          <w:bCs/>
        </w:rPr>
        <w:t xml:space="preserve"> </w:t>
      </w:r>
      <w:r w:rsidRPr="001B0D00">
        <w:rPr>
          <w:bCs/>
        </w:rPr>
        <w:t xml:space="preserve">creado </w:t>
      </w:r>
      <w:r>
        <w:rPr>
          <w:bCs/>
        </w:rPr>
        <w:t>un Grupo Interdepartamental para garantizar un enfoque global del Gobierno respecto de los problemas de la</w:t>
      </w:r>
      <w:r w:rsidRPr="001B0D00">
        <w:rPr>
          <w:bCs/>
        </w:rPr>
        <w:t xml:space="preserve"> integra</w:t>
      </w:r>
      <w:r>
        <w:rPr>
          <w:bCs/>
        </w:rPr>
        <w:t>c</w:t>
      </w:r>
      <w:r w:rsidRPr="001B0D00">
        <w:rPr>
          <w:bCs/>
        </w:rPr>
        <w:t>i</w:t>
      </w:r>
      <w:r>
        <w:rPr>
          <w:bCs/>
        </w:rPr>
        <w:t>ón</w:t>
      </w:r>
      <w:r w:rsidRPr="001B0D00">
        <w:rPr>
          <w:bCs/>
        </w:rPr>
        <w:t>. El Grupo está presidido por el Ministro para la Integración.</w:t>
      </w:r>
    </w:p>
    <w:p w:rsidR="000100D5" w:rsidRPr="005269E5" w:rsidRDefault="000100D5" w:rsidP="000100D5">
      <w:pPr>
        <w:pStyle w:val="SingleTxtG"/>
      </w:pPr>
      <w:r w:rsidRPr="005269E5">
        <w:t>207.</w:t>
      </w:r>
      <w:r w:rsidRPr="005269E5">
        <w:tab/>
      </w:r>
      <w:r>
        <w:t>El</w:t>
      </w:r>
      <w:r w:rsidRPr="005269E5">
        <w:rPr>
          <w:bCs/>
        </w:rPr>
        <w:t xml:space="preserve"> Ministr</w:t>
      </w:r>
      <w:r>
        <w:rPr>
          <w:bCs/>
        </w:rPr>
        <w:t>o está estudiando también la posibilidad de crear un Consejo Ministerial de</w:t>
      </w:r>
      <w:r w:rsidRPr="005269E5">
        <w:rPr>
          <w:bCs/>
        </w:rPr>
        <w:t xml:space="preserve"> Integra</w:t>
      </w:r>
      <w:r>
        <w:rPr>
          <w:bCs/>
        </w:rPr>
        <w:t>c</w:t>
      </w:r>
      <w:r w:rsidRPr="005269E5">
        <w:rPr>
          <w:bCs/>
        </w:rPr>
        <w:t>i</w:t>
      </w:r>
      <w:r>
        <w:rPr>
          <w:bCs/>
        </w:rPr>
        <w:t>ó</w:t>
      </w:r>
      <w:r w:rsidRPr="005269E5">
        <w:rPr>
          <w:bCs/>
        </w:rPr>
        <w:t>n</w:t>
      </w:r>
      <w:r>
        <w:rPr>
          <w:bCs/>
        </w:rPr>
        <w:t>, que le asesorará sobre las cuestiones que han de afrontar los</w:t>
      </w:r>
      <w:r w:rsidRPr="005269E5">
        <w:rPr>
          <w:bCs/>
        </w:rPr>
        <w:t xml:space="preserve"> i</w:t>
      </w:r>
      <w:r>
        <w:rPr>
          <w:bCs/>
        </w:rPr>
        <w:t>n</w:t>
      </w:r>
      <w:r w:rsidRPr="005269E5">
        <w:rPr>
          <w:bCs/>
        </w:rPr>
        <w:t>migrant</w:t>
      </w:r>
      <w:r>
        <w:rPr>
          <w:bCs/>
        </w:rPr>
        <w:t>e</w:t>
      </w:r>
      <w:r w:rsidRPr="005269E5">
        <w:rPr>
          <w:bCs/>
        </w:rPr>
        <w:t xml:space="preserve">s, </w:t>
      </w:r>
      <w:r>
        <w:rPr>
          <w:bCs/>
        </w:rPr>
        <w:t>examinar e informar acerca de los aspectos y desafíos derivados de la</w:t>
      </w:r>
      <w:r w:rsidRPr="005269E5">
        <w:rPr>
          <w:bCs/>
        </w:rPr>
        <w:t xml:space="preserve"> integra</w:t>
      </w:r>
      <w:r>
        <w:rPr>
          <w:bCs/>
        </w:rPr>
        <w:t>c</w:t>
      </w:r>
      <w:r w:rsidRPr="005269E5">
        <w:rPr>
          <w:bCs/>
        </w:rPr>
        <w:t>i</w:t>
      </w:r>
      <w:r>
        <w:rPr>
          <w:bCs/>
        </w:rPr>
        <w:t>ó</w:t>
      </w:r>
      <w:r w:rsidRPr="005269E5">
        <w:rPr>
          <w:bCs/>
        </w:rPr>
        <w:t xml:space="preserve">n </w:t>
      </w:r>
      <w:r>
        <w:rPr>
          <w:bCs/>
        </w:rPr>
        <w:t>y analizar periódicamente los progresos alcanzados en ese sentido</w:t>
      </w:r>
      <w:r w:rsidRPr="005269E5">
        <w:rPr>
          <w:bCs/>
        </w:rPr>
        <w:t>.</w:t>
      </w:r>
    </w:p>
    <w:p w:rsidR="000100D5" w:rsidRPr="00411FE2" w:rsidRDefault="000100D5" w:rsidP="000100D5">
      <w:pPr>
        <w:pStyle w:val="SingleTxtG"/>
        <w:rPr>
          <w:i/>
        </w:rPr>
      </w:pPr>
      <w:r w:rsidRPr="00411FE2">
        <w:rPr>
          <w:bCs/>
          <w:i/>
        </w:rPr>
        <w:t xml:space="preserve">Educación – Sírvanse consultar la respuesta </w:t>
      </w:r>
      <w:r>
        <w:rPr>
          <w:bCs/>
          <w:i/>
        </w:rPr>
        <w:t>relativa</w:t>
      </w:r>
      <w:r w:rsidRPr="00411FE2">
        <w:rPr>
          <w:bCs/>
          <w:i/>
        </w:rPr>
        <w:t xml:space="preserve"> </w:t>
      </w:r>
      <w:r>
        <w:rPr>
          <w:bCs/>
          <w:i/>
        </w:rPr>
        <w:t>a</w:t>
      </w:r>
      <w:r w:rsidRPr="00411FE2">
        <w:rPr>
          <w:bCs/>
          <w:i/>
        </w:rPr>
        <w:t>l</w:t>
      </w:r>
      <w:r w:rsidRPr="00411FE2">
        <w:rPr>
          <w:i/>
        </w:rPr>
        <w:t xml:space="preserve"> Art</w:t>
      </w:r>
      <w:r>
        <w:rPr>
          <w:i/>
        </w:rPr>
        <w:t>í</w:t>
      </w:r>
      <w:r w:rsidRPr="00411FE2">
        <w:rPr>
          <w:i/>
        </w:rPr>
        <w:t>c</w:t>
      </w:r>
      <w:r>
        <w:rPr>
          <w:i/>
        </w:rPr>
        <w:t>u</w:t>
      </w:r>
      <w:r w:rsidRPr="00411FE2">
        <w:rPr>
          <w:i/>
        </w:rPr>
        <w:t>l</w:t>
      </w:r>
      <w:r>
        <w:rPr>
          <w:i/>
        </w:rPr>
        <w:t>o</w:t>
      </w:r>
      <w:r w:rsidRPr="00411FE2">
        <w:rPr>
          <w:i/>
        </w:rPr>
        <w:t xml:space="preserve"> 5 </w:t>
      </w:r>
      <w:r>
        <w:rPr>
          <w:i/>
        </w:rPr>
        <w:t>en el presente informe</w:t>
      </w:r>
      <w:r w:rsidRPr="00411FE2">
        <w:rPr>
          <w:i/>
        </w:rPr>
        <w:t>.</w:t>
      </w:r>
    </w:p>
    <w:p w:rsidR="000100D5" w:rsidRPr="00411FE2" w:rsidRDefault="000100D5" w:rsidP="000100D5">
      <w:pPr>
        <w:pStyle w:val="SingleTxtG"/>
        <w:rPr>
          <w:i/>
          <w:u w:val="single"/>
        </w:rPr>
      </w:pPr>
      <w:r w:rsidRPr="00411FE2">
        <w:rPr>
          <w:bCs/>
          <w:i/>
        </w:rPr>
        <w:t>Nómadas – Sírvanse consultar el</w:t>
      </w:r>
      <w:r w:rsidRPr="00411FE2">
        <w:rPr>
          <w:i/>
        </w:rPr>
        <w:t xml:space="preserve"> Apéndice específico para los n</w:t>
      </w:r>
      <w:r>
        <w:rPr>
          <w:i/>
        </w:rPr>
        <w:t>ómadas</w:t>
      </w:r>
      <w:r w:rsidRPr="00411FE2">
        <w:rPr>
          <w:i/>
        </w:rPr>
        <w:t xml:space="preserve"> (Ap</w:t>
      </w:r>
      <w:r>
        <w:rPr>
          <w:i/>
        </w:rPr>
        <w:t>é</w:t>
      </w:r>
      <w:r w:rsidRPr="00411FE2">
        <w:rPr>
          <w:i/>
        </w:rPr>
        <w:t>ndi</w:t>
      </w:r>
      <w:r>
        <w:rPr>
          <w:i/>
        </w:rPr>
        <w:t>ce</w:t>
      </w:r>
      <w:r w:rsidRPr="00411FE2">
        <w:rPr>
          <w:i/>
        </w:rPr>
        <w:t xml:space="preserve"> 1).</w:t>
      </w:r>
    </w:p>
    <w:p w:rsidR="000100D5" w:rsidRPr="005269E5" w:rsidRDefault="000100D5" w:rsidP="000100D5">
      <w:pPr>
        <w:pStyle w:val="H1G"/>
      </w:pPr>
      <w:r w:rsidRPr="00411FE2">
        <w:tab/>
      </w:r>
      <w:r w:rsidRPr="00411FE2">
        <w:tab/>
      </w:r>
      <w:r>
        <w:t>Artí</w:t>
      </w:r>
      <w:r w:rsidRPr="005269E5">
        <w:t>c</w:t>
      </w:r>
      <w:r>
        <w:t>u</w:t>
      </w:r>
      <w:r w:rsidRPr="005269E5">
        <w:t>l</w:t>
      </w:r>
      <w:r>
        <w:t>o</w:t>
      </w:r>
      <w:r w:rsidRPr="005269E5">
        <w:t xml:space="preserve"> 4</w:t>
      </w:r>
    </w:p>
    <w:p w:rsidR="000100D5" w:rsidRPr="005269E5" w:rsidRDefault="000100D5" w:rsidP="000100D5">
      <w:pPr>
        <w:pStyle w:val="SingleTxtG"/>
        <w:rPr>
          <w:bCs/>
        </w:rPr>
      </w:pPr>
      <w:r w:rsidRPr="005269E5">
        <w:t>208</w:t>
      </w:r>
      <w:r w:rsidRPr="005269E5">
        <w:rPr>
          <w:bCs/>
        </w:rPr>
        <w:t>.</w:t>
      </w:r>
      <w:r w:rsidRPr="005269E5">
        <w:rPr>
          <w:bCs/>
        </w:rPr>
        <w:tab/>
      </w:r>
      <w:r>
        <w:rPr>
          <w:bCs/>
        </w:rPr>
        <w:t>Sírvanse consultar los</w:t>
      </w:r>
      <w:r w:rsidRPr="005269E5">
        <w:rPr>
          <w:bCs/>
        </w:rPr>
        <w:t xml:space="preserve"> p</w:t>
      </w:r>
      <w:r>
        <w:rPr>
          <w:bCs/>
        </w:rPr>
        <w:t>ár</w:t>
      </w:r>
      <w:r w:rsidRPr="005269E5">
        <w:rPr>
          <w:bCs/>
        </w:rPr>
        <w:t>ra</w:t>
      </w:r>
      <w:r>
        <w:rPr>
          <w:bCs/>
        </w:rPr>
        <w:t>fos</w:t>
      </w:r>
      <w:r w:rsidRPr="005269E5">
        <w:rPr>
          <w:bCs/>
        </w:rPr>
        <w:t xml:space="preserve"> 222 </w:t>
      </w:r>
      <w:r>
        <w:rPr>
          <w:bCs/>
        </w:rPr>
        <w:t>a</w:t>
      </w:r>
      <w:r w:rsidRPr="005269E5">
        <w:rPr>
          <w:bCs/>
        </w:rPr>
        <w:t xml:space="preserve"> 230 </w:t>
      </w:r>
      <w:r>
        <w:rPr>
          <w:bCs/>
        </w:rPr>
        <w:t xml:space="preserve">del informe inicial y el segundo informe periódico de </w:t>
      </w:r>
      <w:r w:rsidRPr="005269E5">
        <w:rPr>
          <w:bCs/>
        </w:rPr>
        <w:t>Ir</w:t>
      </w:r>
      <w:r>
        <w:rPr>
          <w:bCs/>
        </w:rPr>
        <w:t>landa.</w:t>
      </w:r>
    </w:p>
    <w:p w:rsidR="000100D5" w:rsidRPr="005269E5" w:rsidRDefault="000100D5" w:rsidP="000100D5">
      <w:pPr>
        <w:pStyle w:val="SingleTxtG"/>
      </w:pPr>
      <w:r w:rsidRPr="005269E5">
        <w:t>209.</w:t>
      </w:r>
      <w:r w:rsidRPr="005269E5">
        <w:tab/>
      </w:r>
      <w:r>
        <w:t>Inducir a una persona a cometer un acto de violencia contra otra es un delito en el</w:t>
      </w:r>
      <w:r w:rsidRPr="005269E5">
        <w:rPr>
          <w:i/>
        </w:rPr>
        <w:t xml:space="preserve"> common law</w:t>
      </w:r>
      <w:r w:rsidR="00197004">
        <w:rPr>
          <w:i/>
        </w:rPr>
        <w:t>.</w:t>
      </w:r>
    </w:p>
    <w:p w:rsidR="000100D5" w:rsidRPr="005269E5" w:rsidRDefault="000100D5" w:rsidP="000100D5">
      <w:pPr>
        <w:pStyle w:val="SingleTxtG"/>
        <w:keepLines/>
      </w:pPr>
      <w:r w:rsidRPr="005269E5">
        <w:t>210.</w:t>
      </w:r>
      <w:r w:rsidRPr="005269E5">
        <w:tab/>
      </w:r>
      <w:r>
        <w:t>La Ley de p</w:t>
      </w:r>
      <w:r w:rsidRPr="005269E5">
        <w:t>rohibi</w:t>
      </w:r>
      <w:r>
        <w:t>c</w:t>
      </w:r>
      <w:r w:rsidRPr="005269E5">
        <w:t>i</w:t>
      </w:r>
      <w:r>
        <w:t>ó</w:t>
      </w:r>
      <w:r w:rsidRPr="005269E5">
        <w:t xml:space="preserve">n </w:t>
      </w:r>
      <w:r>
        <w:t>de la</w:t>
      </w:r>
      <w:r w:rsidRPr="005269E5">
        <w:t xml:space="preserve"> </w:t>
      </w:r>
      <w:r>
        <w:t>i</w:t>
      </w:r>
      <w:r w:rsidRPr="005269E5">
        <w:t>ncit</w:t>
      </w:r>
      <w:r>
        <w:t>ación al odio, de</w:t>
      </w:r>
      <w:r w:rsidRPr="005269E5">
        <w:t xml:space="preserve"> 1989</w:t>
      </w:r>
      <w:r>
        <w:t>, tipifica como delito</w:t>
      </w:r>
      <w:r w:rsidRPr="005269E5">
        <w:t xml:space="preserve"> publi</w:t>
      </w:r>
      <w:r>
        <w:t>car o</w:t>
      </w:r>
      <w:r w:rsidRPr="005269E5">
        <w:t xml:space="preserve"> distribu</w:t>
      </w:r>
      <w:r>
        <w:t>ir</w:t>
      </w:r>
      <w:r w:rsidRPr="005269E5">
        <w:t xml:space="preserve"> material </w:t>
      </w:r>
      <w:r>
        <w:t xml:space="preserve">escrito </w:t>
      </w:r>
      <w:r w:rsidRPr="005269E5">
        <w:t>o us</w:t>
      </w:r>
      <w:r>
        <w:t>ar</w:t>
      </w:r>
      <w:r w:rsidRPr="005269E5">
        <w:t xml:space="preserve"> </w:t>
      </w:r>
      <w:r>
        <w:t>palabras,</w:t>
      </w:r>
      <w:r w:rsidRPr="005269E5">
        <w:t xml:space="preserve"> </w:t>
      </w:r>
      <w:r>
        <w:t xml:space="preserve">comportarse o exhibir </w:t>
      </w:r>
      <w:r w:rsidRPr="005269E5">
        <w:t xml:space="preserve">material </w:t>
      </w:r>
      <w:r>
        <w:t>escrito fuera de un domicilio</w:t>
      </w:r>
      <w:r w:rsidRPr="005269E5">
        <w:t xml:space="preserve"> priva</w:t>
      </w:r>
      <w:r>
        <w:t>do</w:t>
      </w:r>
      <w:r w:rsidRPr="005269E5">
        <w:t xml:space="preserve"> (o</w:t>
      </w:r>
      <w:r>
        <w:t xml:space="preserve"> dentro de un domicilio</w:t>
      </w:r>
      <w:r w:rsidRPr="005269E5">
        <w:t xml:space="preserve"> priva</w:t>
      </w:r>
      <w:r>
        <w:t>do</w:t>
      </w:r>
      <w:r w:rsidRPr="005269E5">
        <w:t xml:space="preserve"> </w:t>
      </w:r>
      <w:r>
        <w:t>si puede ser visto o escuchado por personas que estén fuera</w:t>
      </w:r>
      <w:r w:rsidRPr="005269E5">
        <w:t xml:space="preserve">) o </w:t>
      </w:r>
      <w:r>
        <w:t>d</w:t>
      </w:r>
      <w:r w:rsidRPr="005269E5">
        <w:t>istribu</w:t>
      </w:r>
      <w:r>
        <w:t>ir</w:t>
      </w:r>
      <w:r w:rsidRPr="005269E5">
        <w:t xml:space="preserve">, </w:t>
      </w:r>
      <w:r>
        <w:t>mostrar o enseñar una grabación de imágenes</w:t>
      </w:r>
      <w:r w:rsidRPr="005269E5">
        <w:t xml:space="preserve"> visual</w:t>
      </w:r>
      <w:r>
        <w:t>es</w:t>
      </w:r>
      <w:r w:rsidRPr="005269E5">
        <w:t xml:space="preserve"> o son</w:t>
      </w:r>
      <w:r>
        <w:t>i</w:t>
      </w:r>
      <w:r w:rsidRPr="005269E5">
        <w:t>d</w:t>
      </w:r>
      <w:r>
        <w:t>os que sean amenazantes,</w:t>
      </w:r>
      <w:r w:rsidRPr="005269E5">
        <w:t xml:space="preserve"> insult</w:t>
      </w:r>
      <w:r>
        <w:t xml:space="preserve">antes u ofensivos y que </w:t>
      </w:r>
      <w:r w:rsidRPr="005269E5">
        <w:t>ten</w:t>
      </w:r>
      <w:r>
        <w:t>gan por objeto o puedan tener, habida cuenta de las circunstancias, la incitación al odio.</w:t>
      </w:r>
      <w:r w:rsidRPr="005269E5">
        <w:t xml:space="preserve"> </w:t>
      </w:r>
    </w:p>
    <w:p w:rsidR="000100D5" w:rsidRPr="00E93910" w:rsidRDefault="000100D5" w:rsidP="000100D5">
      <w:pPr>
        <w:pStyle w:val="SingleTxtG"/>
      </w:pPr>
      <w:r w:rsidRPr="005269E5">
        <w:t>211.</w:t>
      </w:r>
      <w:r w:rsidRPr="005269E5">
        <w:tab/>
      </w:r>
      <w:r>
        <w:t>La Ley de delitos contra el Est</w:t>
      </w:r>
      <w:r w:rsidRPr="005269E5">
        <w:t>a</w:t>
      </w:r>
      <w:r>
        <w:t>do, de 1939 y, en especial, el artículo</w:t>
      </w:r>
      <w:r w:rsidRPr="005269E5">
        <w:t xml:space="preserve"> 18</w:t>
      </w:r>
      <w:r>
        <w:t xml:space="preserve"> </w:t>
      </w:r>
      <w:r w:rsidRPr="005269E5">
        <w:t xml:space="preserve">d) </w:t>
      </w:r>
      <w:r>
        <w:t>y</w:t>
      </w:r>
      <w:r w:rsidRPr="005269E5">
        <w:t xml:space="preserve"> e), </w:t>
      </w:r>
      <w:r>
        <w:t>prevé</w:t>
      </w:r>
      <w:r w:rsidRPr="005269E5">
        <w:t xml:space="preserve"> declar</w:t>
      </w:r>
      <w:r>
        <w:t>ar</w:t>
      </w:r>
      <w:r w:rsidRPr="005269E5">
        <w:t xml:space="preserve"> ilegal</w:t>
      </w:r>
      <w:r>
        <w:t>es y</w:t>
      </w:r>
      <w:r w:rsidRPr="005269E5">
        <w:t xml:space="preserve"> prohibi</w:t>
      </w:r>
      <w:r>
        <w:t>r las</w:t>
      </w:r>
      <w:r w:rsidRPr="005269E5">
        <w:t xml:space="preserve"> organi</w:t>
      </w:r>
      <w:r>
        <w:t>z</w:t>
      </w:r>
      <w:r w:rsidRPr="005269E5">
        <w:t>a</w:t>
      </w:r>
      <w:r>
        <w:t>c</w:t>
      </w:r>
      <w:r w:rsidRPr="005269E5">
        <w:t>ion</w:t>
      </w:r>
      <w:r>
        <w:t>e</w:t>
      </w:r>
      <w:r w:rsidRPr="005269E5">
        <w:t xml:space="preserve">s </w:t>
      </w:r>
      <w:r>
        <w:t>que fomentan las actividades</w:t>
      </w:r>
      <w:r w:rsidRPr="005269E5">
        <w:t xml:space="preserve"> ilegal</w:t>
      </w:r>
      <w:r>
        <w:t>es, como por ejemplo, la</w:t>
      </w:r>
      <w:r w:rsidRPr="005269E5">
        <w:t xml:space="preserve"> incit</w:t>
      </w:r>
      <w:r>
        <w:t>ac</w:t>
      </w:r>
      <w:r w:rsidRPr="005269E5">
        <w:t>i</w:t>
      </w:r>
      <w:r>
        <w:t>ón</w:t>
      </w:r>
      <w:r w:rsidRPr="005269E5">
        <w:t xml:space="preserve"> </w:t>
      </w:r>
      <w:r>
        <w:t xml:space="preserve">al odio </w:t>
      </w:r>
      <w:r w:rsidRPr="005269E5">
        <w:t>racial</w:t>
      </w:r>
      <w:r>
        <w:t>.</w:t>
      </w:r>
      <w:r w:rsidRPr="005269E5">
        <w:t xml:space="preserve"> </w:t>
      </w:r>
      <w:r w:rsidRPr="00E93910">
        <w:t>El artículo 21 de la Ley tipifica como delito la pertenencia a esas organizaciones.</w:t>
      </w:r>
    </w:p>
    <w:p w:rsidR="000100D5" w:rsidRPr="00293300" w:rsidRDefault="000100D5" w:rsidP="000100D5">
      <w:pPr>
        <w:pStyle w:val="SingleTxtG"/>
      </w:pPr>
      <w:r w:rsidRPr="005269E5">
        <w:t>212.</w:t>
      </w:r>
      <w:r w:rsidRPr="005269E5">
        <w:tab/>
      </w:r>
      <w:r>
        <w:t>En la Ley de prohibición de la incitación al odio, de 1989, se prohíben</w:t>
      </w:r>
      <w:r w:rsidRPr="005269E5">
        <w:t xml:space="preserve"> </w:t>
      </w:r>
      <w:r>
        <w:t xml:space="preserve">el </w:t>
      </w:r>
      <w:r w:rsidRPr="005269E5">
        <w:t>us</w:t>
      </w:r>
      <w:r>
        <w:t>o de palabras, el comportamiento o la</w:t>
      </w:r>
      <w:r w:rsidRPr="005269E5">
        <w:t xml:space="preserve"> publica</w:t>
      </w:r>
      <w:r>
        <w:t>c</w:t>
      </w:r>
      <w:r w:rsidRPr="005269E5">
        <w:t>i</w:t>
      </w:r>
      <w:r>
        <w:t>ó</w:t>
      </w:r>
      <w:r w:rsidRPr="005269E5">
        <w:t>n o distribu</w:t>
      </w:r>
      <w:r>
        <w:t>c</w:t>
      </w:r>
      <w:r w:rsidRPr="005269E5">
        <w:t>i</w:t>
      </w:r>
      <w:r>
        <w:t>ón de</w:t>
      </w:r>
      <w:r w:rsidRPr="005269E5">
        <w:t xml:space="preserve"> material</w:t>
      </w:r>
      <w:r>
        <w:t xml:space="preserve">es que sean amenazantes, insultantes u ofensivos y que </w:t>
      </w:r>
      <w:r w:rsidRPr="005269E5">
        <w:t>ten</w:t>
      </w:r>
      <w:r>
        <w:t>gan por objeto</w:t>
      </w:r>
      <w:r w:rsidRPr="005269E5">
        <w:t xml:space="preserve"> o</w:t>
      </w:r>
      <w:r>
        <w:t xml:space="preserve"> que puedan incitar al odio contra cualquier</w:t>
      </w:r>
      <w:r w:rsidRPr="005269E5">
        <w:t xml:space="preserve"> grup</w:t>
      </w:r>
      <w:r>
        <w:t>o de</w:t>
      </w:r>
      <w:r w:rsidRPr="005269E5">
        <w:t xml:space="preserve"> person</w:t>
      </w:r>
      <w:r>
        <w:t>a</w:t>
      </w:r>
      <w:r w:rsidRPr="005269E5">
        <w:t xml:space="preserve">s </w:t>
      </w:r>
      <w:r>
        <w:t>e</w:t>
      </w:r>
      <w:r w:rsidRPr="005269E5">
        <w:t xml:space="preserve">n </w:t>
      </w:r>
      <w:r>
        <w:t>el</w:t>
      </w:r>
      <w:r w:rsidRPr="005269E5">
        <w:t xml:space="preserve"> </w:t>
      </w:r>
      <w:r>
        <w:t>Es</w:t>
      </w:r>
      <w:r w:rsidRPr="005269E5">
        <w:t>ta</w:t>
      </w:r>
      <w:r>
        <w:t>do</w:t>
      </w:r>
      <w:r w:rsidRPr="005269E5">
        <w:t xml:space="preserve"> o </w:t>
      </w:r>
      <w:r>
        <w:t>en cualquier otro lugar por motivos de raza</w:t>
      </w:r>
      <w:r w:rsidRPr="005269E5">
        <w:t>, color, na</w:t>
      </w:r>
      <w:r>
        <w:t>c</w:t>
      </w:r>
      <w:r w:rsidRPr="005269E5">
        <w:t>ionali</w:t>
      </w:r>
      <w:r>
        <w:t>dad</w:t>
      </w:r>
      <w:r w:rsidRPr="005269E5">
        <w:t>, religi</w:t>
      </w:r>
      <w:r>
        <w:t>ón</w:t>
      </w:r>
      <w:r w:rsidRPr="005269E5">
        <w:t xml:space="preserve">, </w:t>
      </w:r>
      <w:r>
        <w:t>origen é</w:t>
      </w:r>
      <w:r w:rsidRPr="005269E5">
        <w:t>tnic</w:t>
      </w:r>
      <w:r>
        <w:t>o</w:t>
      </w:r>
      <w:r w:rsidRPr="005269E5">
        <w:t xml:space="preserve"> o na</w:t>
      </w:r>
      <w:r>
        <w:t>c</w:t>
      </w:r>
      <w:r w:rsidRPr="005269E5">
        <w:t>ional, orienta</w:t>
      </w:r>
      <w:r>
        <w:t>c</w:t>
      </w:r>
      <w:r w:rsidRPr="005269E5">
        <w:t>i</w:t>
      </w:r>
      <w:r>
        <w:t>ó</w:t>
      </w:r>
      <w:r w:rsidRPr="005269E5">
        <w:t xml:space="preserve">n </w:t>
      </w:r>
      <w:r>
        <w:t xml:space="preserve">sexual </w:t>
      </w:r>
      <w:r w:rsidRPr="005269E5">
        <w:t xml:space="preserve">o </w:t>
      </w:r>
      <w:r>
        <w:t>pertenencia a la comunidad nómada</w:t>
      </w:r>
      <w:r w:rsidRPr="005269E5">
        <w:t xml:space="preserve">. </w:t>
      </w:r>
      <w:r w:rsidRPr="00293300">
        <w:t>El Departamento de Justicia, Igualdad y Reforma Jurídi</w:t>
      </w:r>
      <w:r>
        <w:t>ca está revisando</w:t>
      </w:r>
      <w:r w:rsidRPr="00293300">
        <w:t xml:space="preserve"> la Ley </w:t>
      </w:r>
      <w:r>
        <w:t>de prohibición de la</w:t>
      </w:r>
      <w:r w:rsidRPr="00293300">
        <w:t xml:space="preserve"> incitación al odio, con </w:t>
      </w:r>
      <w:r>
        <w:t>el propósito de mejo</w:t>
      </w:r>
      <w:r w:rsidRPr="00293300">
        <w:t>ra</w:t>
      </w:r>
      <w:r>
        <w:t>r su</w:t>
      </w:r>
      <w:r w:rsidRPr="00293300">
        <w:t xml:space="preserve"> eficacia.</w:t>
      </w:r>
    </w:p>
    <w:p w:rsidR="000100D5" w:rsidRPr="005269E5" w:rsidRDefault="000100D5" w:rsidP="000100D5">
      <w:pPr>
        <w:pStyle w:val="SingleTxtG"/>
      </w:pPr>
      <w:r w:rsidRPr="005269E5">
        <w:t>213.</w:t>
      </w:r>
      <w:r w:rsidRPr="005269E5">
        <w:tab/>
      </w:r>
      <w:r>
        <w:t xml:space="preserve">En esa revisión permanente se tiene en cuenta el </w:t>
      </w:r>
      <w:r w:rsidRPr="005269E5">
        <w:t>Protocol</w:t>
      </w:r>
      <w:r>
        <w:t>o adicional al Convenio sobre Delito</w:t>
      </w:r>
      <w:r w:rsidRPr="005269E5">
        <w:t xml:space="preserve"> C</w:t>
      </w:r>
      <w:r>
        <w:t>i</w:t>
      </w:r>
      <w:r w:rsidRPr="005269E5">
        <w:t>ber</w:t>
      </w:r>
      <w:r>
        <w:t>nético</w:t>
      </w:r>
      <w:r w:rsidRPr="005269E5">
        <w:t xml:space="preserve"> </w:t>
      </w:r>
      <w:r>
        <w:t>relativo a la penalización de actos de naturaleza</w:t>
      </w:r>
      <w:r w:rsidRPr="005269E5">
        <w:t xml:space="preserve"> racis</w:t>
      </w:r>
      <w:r>
        <w:t>ta y</w:t>
      </w:r>
      <w:r w:rsidRPr="005269E5">
        <w:t xml:space="preserve"> xen</w:t>
      </w:r>
      <w:r>
        <w:t>ófoba por medio de sistemas informáticos y la</w:t>
      </w:r>
      <w:r w:rsidRPr="005269E5">
        <w:t xml:space="preserve"> Decisi</w:t>
      </w:r>
      <w:r>
        <w:t>ó</w:t>
      </w:r>
      <w:r w:rsidRPr="005269E5">
        <w:t xml:space="preserve">n </w:t>
      </w:r>
      <w:r>
        <w:t>marco de la UE relativa a la lucha contra el</w:t>
      </w:r>
      <w:r w:rsidRPr="005269E5">
        <w:t xml:space="preserve"> racism</w:t>
      </w:r>
      <w:r>
        <w:t>o</w:t>
      </w:r>
      <w:r w:rsidRPr="005269E5">
        <w:t xml:space="preserve"> </w:t>
      </w:r>
      <w:r>
        <w:t>y la</w:t>
      </w:r>
      <w:r w:rsidRPr="005269E5">
        <w:t xml:space="preserve"> xeno</w:t>
      </w:r>
      <w:r>
        <w:t>fobia</w:t>
      </w:r>
      <w:r w:rsidRPr="005269E5">
        <w:t xml:space="preserve"> </w:t>
      </w:r>
      <w:r>
        <w:t>por medio del derecho penal</w:t>
      </w:r>
      <w:r w:rsidRPr="005269E5">
        <w:t xml:space="preserve"> </w:t>
      </w:r>
      <w:r>
        <w:t>Se tomarán también en consideración las principales investigaciones</w:t>
      </w:r>
      <w:r w:rsidRPr="005269E5">
        <w:t xml:space="preserve"> </w:t>
      </w:r>
      <w:r>
        <w:t>realizadas sobre la</w:t>
      </w:r>
      <w:r w:rsidRPr="005269E5">
        <w:t xml:space="preserve"> ef</w:t>
      </w:r>
      <w:r>
        <w:t>i</w:t>
      </w:r>
      <w:r w:rsidRPr="005269E5">
        <w:t>c</w:t>
      </w:r>
      <w:r>
        <w:t>acia</w:t>
      </w:r>
      <w:r w:rsidRPr="005269E5">
        <w:t xml:space="preserve"> </w:t>
      </w:r>
      <w:r>
        <w:t>de la actual</w:t>
      </w:r>
      <w:r w:rsidRPr="005269E5">
        <w:t xml:space="preserve"> legisla</w:t>
      </w:r>
      <w:r>
        <w:t>c</w:t>
      </w:r>
      <w:r w:rsidRPr="005269E5">
        <w:t>i</w:t>
      </w:r>
      <w:r>
        <w:t>ón</w:t>
      </w:r>
      <w:r w:rsidRPr="005269E5">
        <w:t xml:space="preserve"> </w:t>
      </w:r>
      <w:r>
        <w:t>e</w:t>
      </w:r>
      <w:r w:rsidRPr="005269E5">
        <w:t>n Irland</w:t>
      </w:r>
      <w:r>
        <w:t>a</w:t>
      </w:r>
      <w:r w:rsidRPr="005269E5">
        <w:t xml:space="preserve"> </w:t>
      </w:r>
      <w:r>
        <w:t xml:space="preserve">para combatir los delitos </w:t>
      </w:r>
      <w:r w:rsidRPr="005269E5">
        <w:t>motiva</w:t>
      </w:r>
      <w:r>
        <w:t>dos por el</w:t>
      </w:r>
      <w:r w:rsidRPr="005269E5">
        <w:t xml:space="preserve"> racism</w:t>
      </w:r>
      <w:r>
        <w:t>o; en ese sentido</w:t>
      </w:r>
      <w:r w:rsidRPr="005269E5">
        <w:t xml:space="preserve">, </w:t>
      </w:r>
      <w:r>
        <w:t xml:space="preserve">sírvanse consultar también la respuesta a la observación final contenida en el párrafo 6 del informe del </w:t>
      </w:r>
      <w:r w:rsidR="00466CA0">
        <w:t>Coordinador encargado del seguimiento</w:t>
      </w:r>
      <w:r w:rsidRPr="005269E5">
        <w:t xml:space="preserve">. </w:t>
      </w:r>
    </w:p>
    <w:p w:rsidR="000100D5" w:rsidRPr="005269E5" w:rsidRDefault="000100D5" w:rsidP="000100D5">
      <w:pPr>
        <w:pStyle w:val="SingleTxtG"/>
      </w:pPr>
      <w:r w:rsidRPr="005269E5">
        <w:t>214.</w:t>
      </w:r>
      <w:r w:rsidRPr="005269E5">
        <w:tab/>
      </w:r>
      <w:r>
        <w:t>La Ley de justicia penal</w:t>
      </w:r>
      <w:r w:rsidRPr="005269E5">
        <w:t xml:space="preserve"> (</w:t>
      </w:r>
      <w:r>
        <w:t>Ley sobre el orden pú</w:t>
      </w:r>
      <w:r w:rsidRPr="005269E5">
        <w:t>blic</w:t>
      </w:r>
      <w:r>
        <w:t>o</w:t>
      </w:r>
      <w:r w:rsidRPr="005269E5">
        <w:t xml:space="preserve">) </w:t>
      </w:r>
      <w:r>
        <w:t xml:space="preserve">de </w:t>
      </w:r>
      <w:r w:rsidRPr="005269E5">
        <w:t xml:space="preserve">1994 </w:t>
      </w:r>
      <w:r>
        <w:t>puede utilizarse en algunos</w:t>
      </w:r>
      <w:r w:rsidRPr="005269E5">
        <w:t xml:space="preserve"> cas</w:t>
      </w:r>
      <w:r>
        <w:t>o</w:t>
      </w:r>
      <w:r w:rsidRPr="005269E5">
        <w:t xml:space="preserve">s </w:t>
      </w:r>
      <w:r>
        <w:t>para luchar contra los actos</w:t>
      </w:r>
      <w:r w:rsidRPr="005269E5">
        <w:t xml:space="preserve"> racis</w:t>
      </w:r>
      <w:r>
        <w:t>tas por motivos de orden público.</w:t>
      </w:r>
    </w:p>
    <w:p w:rsidR="000100D5" w:rsidRPr="000A1B68" w:rsidRDefault="000100D5" w:rsidP="000100D5">
      <w:pPr>
        <w:pStyle w:val="SingleTxtG"/>
      </w:pPr>
      <w:r w:rsidRPr="005269E5">
        <w:t>215.</w:t>
      </w:r>
      <w:r w:rsidRPr="005269E5">
        <w:tab/>
      </w:r>
      <w:r>
        <w:t>Cualquier</w:t>
      </w:r>
      <w:r w:rsidRPr="005269E5">
        <w:t xml:space="preserve"> activi</w:t>
      </w:r>
      <w:r>
        <w:t>dad</w:t>
      </w:r>
      <w:r w:rsidRPr="005269E5">
        <w:t xml:space="preserve"> </w:t>
      </w:r>
      <w:r>
        <w:t>que</w:t>
      </w:r>
      <w:r w:rsidRPr="005269E5">
        <w:t xml:space="preserve"> incite </w:t>
      </w:r>
      <w:r>
        <w:t xml:space="preserve">al odio </w:t>
      </w:r>
      <w:r w:rsidRPr="005269E5">
        <w:t>racial</w:t>
      </w:r>
      <w:r>
        <w:t xml:space="preserve"> es un delito penal</w:t>
      </w:r>
      <w:r w:rsidRPr="005269E5">
        <w:t xml:space="preserve"> </w:t>
      </w:r>
      <w:r>
        <w:t>sancionado en la legislación</w:t>
      </w:r>
      <w:r w:rsidRPr="005269E5">
        <w:t xml:space="preserve"> </w:t>
      </w:r>
      <w:r>
        <w:t>i</w:t>
      </w:r>
      <w:r w:rsidRPr="005269E5">
        <w:t>r</w:t>
      </w:r>
      <w:r>
        <w:t>landesa</w:t>
      </w:r>
      <w:r w:rsidRPr="005269E5">
        <w:t xml:space="preserve">. </w:t>
      </w:r>
      <w:r w:rsidRPr="008D033C">
        <w:t>Le corresponde a los tribunal</w:t>
      </w:r>
      <w:r>
        <w:t>e</w:t>
      </w:r>
      <w:r w:rsidRPr="008D033C">
        <w:t>s decid</w:t>
      </w:r>
      <w:r>
        <w:t>i</w:t>
      </w:r>
      <w:r w:rsidRPr="008D033C">
        <w:t xml:space="preserve">r en unas circunstancias determinadas si la divulgación de ideas basadas en la superioridad o el odio raciales constituye un delito. </w:t>
      </w:r>
      <w:r w:rsidRPr="0093306D">
        <w:t>De conformidad con la Ley de prohibici</w:t>
      </w:r>
      <w:r w:rsidR="00197004">
        <w:t>ón de la incitación al odio, de </w:t>
      </w:r>
      <w:r w:rsidRPr="0093306D">
        <w:t>1989, es un delito publicar o distribuir material escrito o us</w:t>
      </w:r>
      <w:r>
        <w:t>ar</w:t>
      </w:r>
      <w:r w:rsidRPr="0093306D">
        <w:t xml:space="preserve"> palabras</w:t>
      </w:r>
      <w:r>
        <w:t>, comportarse</w:t>
      </w:r>
      <w:r w:rsidRPr="0093306D">
        <w:t xml:space="preserve"> </w:t>
      </w:r>
      <w:r>
        <w:t>o</w:t>
      </w:r>
      <w:r w:rsidRPr="0093306D">
        <w:t xml:space="preserve"> </w:t>
      </w:r>
      <w:r>
        <w:t>mostrar</w:t>
      </w:r>
      <w:r w:rsidRPr="0093306D">
        <w:t xml:space="preserve"> material </w:t>
      </w:r>
      <w:r>
        <w:t>escrito si resulta amenazante,</w:t>
      </w:r>
      <w:r w:rsidRPr="0093306D">
        <w:t xml:space="preserve"> </w:t>
      </w:r>
      <w:r>
        <w:t>ofensivo o</w:t>
      </w:r>
      <w:r w:rsidRPr="0093306D">
        <w:t xml:space="preserve"> insult</w:t>
      </w:r>
      <w:r>
        <w:t>a</w:t>
      </w:r>
      <w:r w:rsidRPr="0093306D">
        <w:t>n</w:t>
      </w:r>
      <w:r>
        <w:t>te y tiene por objeto o puede incitar al odio</w:t>
      </w:r>
      <w:r w:rsidRPr="0093306D">
        <w:t xml:space="preserve">. </w:t>
      </w:r>
      <w:r>
        <w:t xml:space="preserve">Por </w:t>
      </w:r>
      <w:r w:rsidR="00E03EF2">
        <w:t>"</w:t>
      </w:r>
      <w:r w:rsidRPr="000A1B68">
        <w:t>publicar</w:t>
      </w:r>
      <w:r w:rsidR="00E03EF2">
        <w:t>"</w:t>
      </w:r>
      <w:r w:rsidRPr="000A1B68">
        <w:t xml:space="preserve"> se podría entender también publicar en Internet.</w:t>
      </w:r>
    </w:p>
    <w:p w:rsidR="000100D5" w:rsidRPr="00ED6652" w:rsidRDefault="000100D5" w:rsidP="000100D5">
      <w:pPr>
        <w:pStyle w:val="SingleTxtG"/>
      </w:pPr>
      <w:r w:rsidRPr="005269E5">
        <w:t>216.</w:t>
      </w:r>
      <w:r w:rsidRPr="005269E5">
        <w:tab/>
      </w:r>
      <w:r>
        <w:t>La legislación i</w:t>
      </w:r>
      <w:r w:rsidRPr="005269E5">
        <w:t>r</w:t>
      </w:r>
      <w:r>
        <w:t>landesa tipifica como delito la pertenencia a una</w:t>
      </w:r>
      <w:r w:rsidRPr="005269E5">
        <w:t xml:space="preserve"> organi</w:t>
      </w:r>
      <w:r>
        <w:t>z</w:t>
      </w:r>
      <w:r w:rsidRPr="005269E5">
        <w:t>a</w:t>
      </w:r>
      <w:r>
        <w:t>c</w:t>
      </w:r>
      <w:r w:rsidRPr="005269E5">
        <w:t>i</w:t>
      </w:r>
      <w:r>
        <w:t>ó</w:t>
      </w:r>
      <w:r w:rsidRPr="005269E5">
        <w:t xml:space="preserve">n </w:t>
      </w:r>
      <w:r>
        <w:t>que</w:t>
      </w:r>
      <w:r w:rsidRPr="005269E5">
        <w:t xml:space="preserve"> </w:t>
      </w:r>
      <w:r>
        <w:t>participe,</w:t>
      </w:r>
      <w:r w:rsidRPr="005269E5">
        <w:t xml:space="preserve"> prom</w:t>
      </w:r>
      <w:r>
        <w:t>ueva</w:t>
      </w:r>
      <w:r w:rsidRPr="005269E5">
        <w:t xml:space="preserve">, </w:t>
      </w:r>
      <w:r>
        <w:t>aliente</w:t>
      </w:r>
      <w:r w:rsidRPr="005269E5">
        <w:t xml:space="preserve"> o </w:t>
      </w:r>
      <w:r>
        <w:t>preconice la</w:t>
      </w:r>
      <w:r w:rsidRPr="005269E5">
        <w:t xml:space="preserve"> comisi</w:t>
      </w:r>
      <w:r>
        <w:t>ó</w:t>
      </w:r>
      <w:r w:rsidRPr="005269E5">
        <w:t xml:space="preserve">n </w:t>
      </w:r>
      <w:r>
        <w:t>de un delito penal</w:t>
      </w:r>
      <w:r w:rsidRPr="005269E5">
        <w:t xml:space="preserve"> (inclu</w:t>
      </w:r>
      <w:r>
        <w:t>ida la</w:t>
      </w:r>
      <w:r w:rsidRPr="005269E5">
        <w:t xml:space="preserve"> incit</w:t>
      </w:r>
      <w:r>
        <w:t>ación al odio</w:t>
      </w:r>
      <w:r w:rsidRPr="005269E5">
        <w:t xml:space="preserve"> racial). </w:t>
      </w:r>
      <w:r w:rsidRPr="00ED6652">
        <w:t xml:space="preserve">De ahí se desprende que es un delito en la legislación </w:t>
      </w:r>
      <w:r>
        <w:t xml:space="preserve">irlandesa </w:t>
      </w:r>
      <w:r w:rsidRPr="00ED6652">
        <w:t>en vigor pertenecer a una organización que se dedique a cometer actos de violencia contra grupos a causa de su raza, o a incit</w:t>
      </w:r>
      <w:r>
        <w:t>a</w:t>
      </w:r>
      <w:r w:rsidRPr="00ED6652">
        <w:t>r a otr</w:t>
      </w:r>
      <w:r>
        <w:t>o</w:t>
      </w:r>
      <w:r w:rsidRPr="00ED6652">
        <w:t xml:space="preserve">s </w:t>
      </w:r>
      <w:r>
        <w:t>a odiar esos</w:t>
      </w:r>
      <w:r w:rsidRPr="00ED6652">
        <w:t xml:space="preserve"> grup</w:t>
      </w:r>
      <w:r>
        <w:t>o</w:t>
      </w:r>
      <w:r w:rsidRPr="00ED6652">
        <w:t>s.</w:t>
      </w:r>
    </w:p>
    <w:p w:rsidR="000100D5" w:rsidRPr="004D74F5" w:rsidRDefault="000100D5" w:rsidP="000100D5">
      <w:pPr>
        <w:pStyle w:val="SingleTxtG"/>
      </w:pPr>
      <w:r w:rsidRPr="005269E5">
        <w:t>217.</w:t>
      </w:r>
      <w:r w:rsidRPr="005269E5">
        <w:tab/>
      </w:r>
      <w:r>
        <w:t>El artículo</w:t>
      </w:r>
      <w:r w:rsidRPr="005269E5">
        <w:t xml:space="preserve"> 7</w:t>
      </w:r>
      <w:r>
        <w:t xml:space="preserve"> </w:t>
      </w:r>
      <w:r w:rsidRPr="005269E5">
        <w:t xml:space="preserve">1) </w:t>
      </w:r>
      <w:r>
        <w:t>de la Ley de justicia penal de 1</w:t>
      </w:r>
      <w:r w:rsidRPr="005269E5">
        <w:t xml:space="preserve">997 </w:t>
      </w:r>
      <w:r>
        <w:t>establece que toda</w:t>
      </w:r>
      <w:r w:rsidRPr="005269E5">
        <w:t xml:space="preserve"> person</w:t>
      </w:r>
      <w:r>
        <w:t>a</w:t>
      </w:r>
      <w:r w:rsidRPr="005269E5">
        <w:t xml:space="preserve"> </w:t>
      </w:r>
      <w:r>
        <w:t>que ayude a la</w:t>
      </w:r>
      <w:r w:rsidRPr="005269E5">
        <w:t xml:space="preserve"> comisi</w:t>
      </w:r>
      <w:r>
        <w:t>ó</w:t>
      </w:r>
      <w:r w:rsidRPr="005269E5">
        <w:t xml:space="preserve">n </w:t>
      </w:r>
      <w:r>
        <w:t>de un delito que pueda ser juzgado en un juicio con jurado, la instigue, preste asesoramiento para ello o la propicie, podrá ser procesada, juzgada o castigada</w:t>
      </w:r>
      <w:r w:rsidRPr="005269E5">
        <w:t xml:space="preserve"> </w:t>
      </w:r>
      <w:r>
        <w:t>como autor principal</w:t>
      </w:r>
      <w:r w:rsidRPr="005269E5">
        <w:t xml:space="preserve">. </w:t>
      </w:r>
      <w:r w:rsidRPr="004D74F5">
        <w:t>Los delitos tipificados en la Ley de prohibición de la incit</w:t>
      </w:r>
      <w:r>
        <w:t>ación al odio, de</w:t>
      </w:r>
      <w:r w:rsidR="00197004">
        <w:t> </w:t>
      </w:r>
      <w:r w:rsidRPr="004D74F5">
        <w:t>1989</w:t>
      </w:r>
      <w:r>
        <w:t>,</w:t>
      </w:r>
      <w:r w:rsidRPr="004D74F5">
        <w:t xml:space="preserve"> </w:t>
      </w:r>
      <w:r>
        <w:t>son delitos procesables</w:t>
      </w:r>
      <w:r>
        <w:rPr>
          <w:rStyle w:val="FootnoteReference"/>
        </w:rPr>
        <w:footnoteReference w:id="59"/>
      </w:r>
      <w:r w:rsidR="001F5C61">
        <w:t>.</w:t>
      </w:r>
    </w:p>
    <w:p w:rsidR="000100D5" w:rsidRPr="005269E5" w:rsidRDefault="000100D5" w:rsidP="000100D5">
      <w:pPr>
        <w:pStyle w:val="SingleTxtG"/>
      </w:pPr>
      <w:r w:rsidRPr="005269E5">
        <w:t>218.</w:t>
      </w:r>
      <w:r w:rsidRPr="005269E5">
        <w:tab/>
      </w:r>
      <w:r>
        <w:t>En cuanto a la</w:t>
      </w:r>
      <w:r w:rsidRPr="005269E5">
        <w:t xml:space="preserve"> prohibi</w:t>
      </w:r>
      <w:r>
        <w:t>c</w:t>
      </w:r>
      <w:r w:rsidRPr="005269E5">
        <w:t>i</w:t>
      </w:r>
      <w:r>
        <w:t>ó</w:t>
      </w:r>
      <w:r w:rsidRPr="005269E5">
        <w:t>n</w:t>
      </w:r>
      <w:r>
        <w:t>,</w:t>
      </w:r>
      <w:r w:rsidRPr="005269E5">
        <w:t xml:space="preserve"> </w:t>
      </w:r>
      <w:r>
        <w:t>que figura en la legislación irlandesa sobre igualdad, de propiciar la</w:t>
      </w:r>
      <w:r w:rsidRPr="005269E5">
        <w:t xml:space="preserve"> discrimina</w:t>
      </w:r>
      <w:r>
        <w:t>c</w:t>
      </w:r>
      <w:r w:rsidRPr="005269E5">
        <w:t>i</w:t>
      </w:r>
      <w:r>
        <w:t>ó</w:t>
      </w:r>
      <w:r w:rsidRPr="005269E5">
        <w:t xml:space="preserve">n </w:t>
      </w:r>
      <w:r>
        <w:t>racial en el</w:t>
      </w:r>
      <w:r w:rsidRPr="005269E5">
        <w:t xml:space="preserve"> empl</w:t>
      </w:r>
      <w:r>
        <w:t>e</w:t>
      </w:r>
      <w:r w:rsidRPr="005269E5">
        <w:t xml:space="preserve">o o </w:t>
      </w:r>
      <w:r>
        <w:t>e</w:t>
      </w:r>
      <w:r w:rsidRPr="005269E5">
        <w:t xml:space="preserve">n </w:t>
      </w:r>
      <w:r>
        <w:t xml:space="preserve">el </w:t>
      </w:r>
      <w:r w:rsidRPr="005269E5">
        <w:t>acces</w:t>
      </w:r>
      <w:r>
        <w:t>o y suministro</w:t>
      </w:r>
      <w:r w:rsidRPr="005269E5">
        <w:t xml:space="preserve"> </w:t>
      </w:r>
      <w:r>
        <w:t>de bienes y</w:t>
      </w:r>
      <w:r w:rsidRPr="005269E5">
        <w:t xml:space="preserve"> servic</w:t>
      </w:r>
      <w:r>
        <w:t>ios</w:t>
      </w:r>
      <w:r w:rsidRPr="005269E5">
        <w:t xml:space="preserve">, </w:t>
      </w:r>
      <w:r>
        <w:t>sírvanse consultar el</w:t>
      </w:r>
      <w:r w:rsidRPr="005269E5">
        <w:t xml:space="preserve"> p</w:t>
      </w:r>
      <w:r>
        <w:t>ár</w:t>
      </w:r>
      <w:r w:rsidRPr="005269E5">
        <w:t>ra</w:t>
      </w:r>
      <w:r>
        <w:t>fo</w:t>
      </w:r>
      <w:r w:rsidRPr="005269E5">
        <w:t xml:space="preserve"> 173.</w:t>
      </w:r>
    </w:p>
    <w:p w:rsidR="000100D5" w:rsidRPr="005269E5" w:rsidRDefault="000100D5" w:rsidP="000100D5">
      <w:pPr>
        <w:pStyle w:val="SingleTxtG"/>
      </w:pPr>
      <w:r w:rsidRPr="005269E5">
        <w:t>219.</w:t>
      </w:r>
      <w:r w:rsidRPr="005269E5">
        <w:tab/>
      </w:r>
      <w:r>
        <w:t>Se ruega consultar el</w:t>
      </w:r>
      <w:r w:rsidRPr="005269E5">
        <w:t xml:space="preserve"> p</w:t>
      </w:r>
      <w:r>
        <w:t>ár</w:t>
      </w:r>
      <w:r w:rsidRPr="005269E5">
        <w:t>ra</w:t>
      </w:r>
      <w:r>
        <w:t>fo</w:t>
      </w:r>
      <w:r w:rsidRPr="005269E5">
        <w:t xml:space="preserve"> 230 </w:t>
      </w:r>
      <w:r>
        <w:t>del in</w:t>
      </w:r>
      <w:r w:rsidRPr="005269E5">
        <w:t>f</w:t>
      </w:r>
      <w:r>
        <w:t>orme inicial y del segundo informe periódico de</w:t>
      </w:r>
      <w:r w:rsidRPr="005269E5">
        <w:t xml:space="preserve"> Irland</w:t>
      </w:r>
      <w:r>
        <w:t>a</w:t>
      </w:r>
      <w:r w:rsidRPr="005269E5">
        <w:t>.</w:t>
      </w:r>
    </w:p>
    <w:p w:rsidR="000100D5" w:rsidRPr="005269E5" w:rsidRDefault="000100D5" w:rsidP="000100D5">
      <w:pPr>
        <w:pStyle w:val="SingleTxtG"/>
      </w:pPr>
      <w:r w:rsidRPr="005269E5">
        <w:t>220.</w:t>
      </w:r>
      <w:r w:rsidRPr="005269E5">
        <w:tab/>
      </w:r>
      <w:r>
        <w:t>Sírvanse consultar la</w:t>
      </w:r>
      <w:r w:rsidRPr="005269E5">
        <w:t xml:space="preserve"> resp</w:t>
      </w:r>
      <w:r>
        <w:t>uesta</w:t>
      </w:r>
      <w:r w:rsidRPr="005269E5">
        <w:t xml:space="preserve"> cont</w:t>
      </w:r>
      <w:r>
        <w:t>e</w:t>
      </w:r>
      <w:r w:rsidRPr="005269E5">
        <w:t>n</w:t>
      </w:r>
      <w:r>
        <w:t>ida</w:t>
      </w:r>
      <w:r w:rsidRPr="005269E5">
        <w:t xml:space="preserve"> </w:t>
      </w:r>
      <w:r>
        <w:t>en</w:t>
      </w:r>
      <w:r w:rsidRPr="005269E5">
        <w:t xml:space="preserve"> </w:t>
      </w:r>
      <w:r>
        <w:t xml:space="preserve">los </w:t>
      </w:r>
      <w:r w:rsidRPr="005269E5">
        <w:t>p</w:t>
      </w:r>
      <w:r>
        <w:t>ár</w:t>
      </w:r>
      <w:r w:rsidRPr="005269E5">
        <w:t>ra</w:t>
      </w:r>
      <w:r>
        <w:t>fos</w:t>
      </w:r>
      <w:r w:rsidRPr="005269E5">
        <w:t xml:space="preserve"> 51 </w:t>
      </w:r>
      <w:r>
        <w:t>y ss.</w:t>
      </w:r>
      <w:r w:rsidRPr="005269E5">
        <w:t xml:space="preserve"> </w:t>
      </w:r>
      <w:r>
        <w:t>del presente informe a la observación final del</w:t>
      </w:r>
      <w:r w:rsidRPr="005269E5">
        <w:t xml:space="preserve"> </w:t>
      </w:r>
      <w:r>
        <w:t>C</w:t>
      </w:r>
      <w:r w:rsidRPr="005269E5">
        <w:t>oordina</w:t>
      </w:r>
      <w:r>
        <w:t>d</w:t>
      </w:r>
      <w:r w:rsidRPr="005269E5">
        <w:t xml:space="preserve">or </w:t>
      </w:r>
      <w:r>
        <w:t>e</w:t>
      </w:r>
      <w:r w:rsidRPr="005269E5">
        <w:t xml:space="preserve">n </w:t>
      </w:r>
      <w:r>
        <w:t xml:space="preserve">el </w:t>
      </w:r>
      <w:r w:rsidRPr="005269E5">
        <w:t>p</w:t>
      </w:r>
      <w:r>
        <w:t>ár</w:t>
      </w:r>
      <w:r w:rsidRPr="005269E5">
        <w:t>ra</w:t>
      </w:r>
      <w:r>
        <w:t>fo</w:t>
      </w:r>
      <w:r w:rsidRPr="005269E5">
        <w:t xml:space="preserve"> 6 </w:t>
      </w:r>
      <w:r>
        <w:t>de su informe</w:t>
      </w:r>
      <w:r w:rsidRPr="005269E5">
        <w:t>.</w:t>
      </w:r>
    </w:p>
    <w:p w:rsidR="000100D5" w:rsidRPr="005269E5" w:rsidRDefault="000100D5" w:rsidP="000100D5">
      <w:pPr>
        <w:pStyle w:val="SingleTxtG"/>
      </w:pPr>
      <w:r w:rsidRPr="005269E5">
        <w:t>221.</w:t>
      </w:r>
      <w:r w:rsidRPr="005269E5">
        <w:tab/>
      </w:r>
      <w:r>
        <w:t>En virtud de la Ley de p</w:t>
      </w:r>
      <w:r w:rsidRPr="005269E5">
        <w:t>rohibi</w:t>
      </w:r>
      <w:r>
        <w:t>c</w:t>
      </w:r>
      <w:r w:rsidRPr="005269E5">
        <w:t>i</w:t>
      </w:r>
      <w:r>
        <w:t>ón</w:t>
      </w:r>
      <w:r w:rsidRPr="005269E5">
        <w:t xml:space="preserve"> </w:t>
      </w:r>
      <w:r>
        <w:t>de la</w:t>
      </w:r>
      <w:r w:rsidRPr="005269E5">
        <w:t xml:space="preserve"> </w:t>
      </w:r>
      <w:r>
        <w:t>i</w:t>
      </w:r>
      <w:r w:rsidRPr="005269E5">
        <w:t>ncit</w:t>
      </w:r>
      <w:r>
        <w:t>ación al odio, de</w:t>
      </w:r>
      <w:r w:rsidRPr="005269E5">
        <w:t xml:space="preserve"> 1989, </w:t>
      </w:r>
      <w:r>
        <w:t>constituye un delito</w:t>
      </w:r>
      <w:r w:rsidRPr="005269E5">
        <w:t xml:space="preserve"> </w:t>
      </w:r>
    </w:p>
    <w:p w:rsidR="000100D5" w:rsidRPr="005269E5" w:rsidRDefault="000100D5" w:rsidP="000100D5">
      <w:pPr>
        <w:pStyle w:val="SingleTxtG"/>
      </w:pPr>
      <w:r>
        <w:tab/>
      </w:r>
      <w:r w:rsidRPr="005269E5">
        <w:t>a)</w:t>
      </w:r>
      <w:r w:rsidRPr="005269E5">
        <w:tab/>
        <w:t>publi</w:t>
      </w:r>
      <w:r>
        <w:t>car o distribuir material escrito;</w:t>
      </w:r>
    </w:p>
    <w:p w:rsidR="000100D5" w:rsidRPr="005269E5" w:rsidRDefault="000100D5" w:rsidP="000100D5">
      <w:pPr>
        <w:pStyle w:val="SingleTxtG"/>
      </w:pPr>
      <w:r w:rsidRPr="005269E5">
        <w:tab/>
        <w:t>b)</w:t>
      </w:r>
      <w:r w:rsidRPr="005269E5">
        <w:tab/>
        <w:t>us</w:t>
      </w:r>
      <w:r>
        <w:t>ar palabras</w:t>
      </w:r>
      <w:r w:rsidRPr="005269E5">
        <w:t xml:space="preserve">, </w:t>
      </w:r>
      <w:r>
        <w:t>comportarse</w:t>
      </w:r>
      <w:r w:rsidRPr="005269E5">
        <w:t xml:space="preserve"> o </w:t>
      </w:r>
      <w:r>
        <w:t>exhibir</w:t>
      </w:r>
      <w:r w:rsidRPr="005269E5">
        <w:t xml:space="preserve"> material </w:t>
      </w:r>
      <w:r>
        <w:t>escrito e</w:t>
      </w:r>
      <w:r w:rsidRPr="005269E5">
        <w:t xml:space="preserve">n </w:t>
      </w:r>
      <w:r>
        <w:t>cualquier lugar excepto en un domicilio privado</w:t>
      </w:r>
      <w:r w:rsidRPr="005269E5">
        <w:t>, o</w:t>
      </w:r>
      <w:r>
        <w:t xml:space="preserve"> en su</w:t>
      </w:r>
      <w:r w:rsidRPr="005269E5">
        <w:t xml:space="preserve"> in</w:t>
      </w:r>
      <w:r>
        <w:t>terior</w:t>
      </w:r>
      <w:r w:rsidRPr="005269E5">
        <w:t xml:space="preserve"> s</w:t>
      </w:r>
      <w:r>
        <w:t>i las palabras, conductas</w:t>
      </w:r>
      <w:r w:rsidRPr="005269E5">
        <w:t xml:space="preserve"> o material </w:t>
      </w:r>
      <w:r>
        <w:t>pueden ser escuchados o vistos por</w:t>
      </w:r>
      <w:r w:rsidRPr="005269E5">
        <w:t xml:space="preserve"> pe</w:t>
      </w:r>
      <w:r>
        <w:t>rsonas de fuera del domicilio; o</w:t>
      </w:r>
    </w:p>
    <w:p w:rsidR="000100D5" w:rsidRPr="005269E5" w:rsidRDefault="000100D5" w:rsidP="000100D5">
      <w:pPr>
        <w:pStyle w:val="SingleTxtG"/>
      </w:pPr>
      <w:r>
        <w:tab/>
      </w:r>
      <w:r w:rsidRPr="005269E5">
        <w:t>c)</w:t>
      </w:r>
      <w:r w:rsidRPr="005269E5">
        <w:tab/>
        <w:t>distribu</w:t>
      </w:r>
      <w:r>
        <w:t>ir</w:t>
      </w:r>
      <w:r w:rsidRPr="005269E5">
        <w:t xml:space="preserve">, </w:t>
      </w:r>
      <w:r>
        <w:t xml:space="preserve">mostrar </w:t>
      </w:r>
      <w:r w:rsidRPr="005269E5">
        <w:t xml:space="preserve">o </w:t>
      </w:r>
      <w:r>
        <w:t>exhibir una grabación de imágenes visuales o sonidos,</w:t>
      </w:r>
      <w:r w:rsidR="005007D6">
        <w:t xml:space="preserve"> </w:t>
      </w:r>
      <w:r>
        <w:t>si cualquier elemento del</w:t>
      </w:r>
      <w:r w:rsidRPr="005269E5">
        <w:t xml:space="preserve"> material</w:t>
      </w:r>
      <w:r>
        <w:t xml:space="preserve"> escrito</w:t>
      </w:r>
      <w:r w:rsidRPr="005269E5">
        <w:t xml:space="preserve">, </w:t>
      </w:r>
      <w:r>
        <w:t>palabras</w:t>
      </w:r>
      <w:r w:rsidRPr="005269E5">
        <w:t xml:space="preserve">, </w:t>
      </w:r>
      <w:r>
        <w:t>conductas</w:t>
      </w:r>
      <w:r w:rsidRPr="005269E5">
        <w:t xml:space="preserve">, </w:t>
      </w:r>
      <w:r>
        <w:t xml:space="preserve">imágenes </w:t>
      </w:r>
      <w:r w:rsidRPr="005269E5">
        <w:t>visual</w:t>
      </w:r>
      <w:r>
        <w:t>es</w:t>
      </w:r>
      <w:r w:rsidRPr="005269E5">
        <w:t xml:space="preserve"> o son</w:t>
      </w:r>
      <w:r>
        <w:t>i</w:t>
      </w:r>
      <w:r w:rsidRPr="005269E5">
        <w:t>d</w:t>
      </w:r>
      <w:r>
        <w:t>o</w:t>
      </w:r>
      <w:r w:rsidRPr="005269E5">
        <w:t>s</w:t>
      </w:r>
      <w:r>
        <w:t xml:space="preserve"> es</w:t>
      </w:r>
      <w:r w:rsidRPr="005269E5">
        <w:t xml:space="preserve"> a</w:t>
      </w:r>
      <w:r>
        <w:t>menazante, insultante u ofensivo</w:t>
      </w:r>
      <w:r w:rsidRPr="005269E5">
        <w:t xml:space="preserve"> </w:t>
      </w:r>
      <w:r>
        <w:t xml:space="preserve">y tiene por objeto o puede tener, habida cuenta de todas las circunstancias, la incitación al </w:t>
      </w:r>
      <w:r w:rsidRPr="005269E5">
        <w:t>o</w:t>
      </w:r>
      <w:r>
        <w:t>dio.</w:t>
      </w:r>
    </w:p>
    <w:p w:rsidR="000100D5" w:rsidRPr="00533FA1" w:rsidRDefault="000100D5" w:rsidP="000100D5">
      <w:pPr>
        <w:pStyle w:val="SingleTxtG"/>
      </w:pPr>
      <w:r w:rsidRPr="005269E5">
        <w:t>222.</w:t>
      </w:r>
      <w:r w:rsidRPr="005269E5">
        <w:tab/>
      </w:r>
      <w:r>
        <w:t xml:space="preserve">En el </w:t>
      </w:r>
      <w:r>
        <w:rPr>
          <w:i/>
        </w:rPr>
        <w:t>common law</w:t>
      </w:r>
      <w:r>
        <w:t xml:space="preserve"> se tipifica como delito </w:t>
      </w:r>
      <w:r w:rsidRPr="005269E5">
        <w:t>in</w:t>
      </w:r>
      <w:r>
        <w:t>s</w:t>
      </w:r>
      <w:r w:rsidRPr="005269E5">
        <w:t>t</w:t>
      </w:r>
      <w:r>
        <w:t>igar</w:t>
      </w:r>
      <w:r w:rsidRPr="005269E5">
        <w:t xml:space="preserve"> a </w:t>
      </w:r>
      <w:r>
        <w:t xml:space="preserve">una </w:t>
      </w:r>
      <w:r w:rsidRPr="005269E5">
        <w:t>person</w:t>
      </w:r>
      <w:r>
        <w:t>a</w:t>
      </w:r>
      <w:r w:rsidRPr="005269E5">
        <w:t xml:space="preserve"> </w:t>
      </w:r>
      <w:r>
        <w:t>a</w:t>
      </w:r>
      <w:r w:rsidRPr="005269E5">
        <w:t xml:space="preserve"> com</w:t>
      </w:r>
      <w:r>
        <w:t>eter delito</w:t>
      </w:r>
      <w:r w:rsidRPr="005269E5">
        <w:t>.</w:t>
      </w:r>
      <w:r>
        <w:t xml:space="preserve"> </w:t>
      </w:r>
      <w:r w:rsidR="00197004">
        <w:t>Un </w:t>
      </w:r>
      <w:r w:rsidRPr="00533FA1">
        <w:t>acto de violencia constituiría un delito de esa índole.</w:t>
      </w:r>
    </w:p>
    <w:p w:rsidR="000100D5" w:rsidRPr="005269E5" w:rsidRDefault="000100D5" w:rsidP="000100D5">
      <w:pPr>
        <w:pStyle w:val="SingleTxtG"/>
      </w:pPr>
      <w:r w:rsidRPr="005269E5">
        <w:t>223.</w:t>
      </w:r>
      <w:r w:rsidRPr="005269E5">
        <w:tab/>
        <w:t>L</w:t>
      </w:r>
      <w:r>
        <w:t>a l</w:t>
      </w:r>
      <w:r w:rsidRPr="005269E5">
        <w:t>egisla</w:t>
      </w:r>
      <w:r>
        <w:t>c</w:t>
      </w:r>
      <w:r w:rsidRPr="005269E5">
        <w:t>i</w:t>
      </w:r>
      <w:r>
        <w:t>ó</w:t>
      </w:r>
      <w:r w:rsidRPr="005269E5">
        <w:t xml:space="preserve">n </w:t>
      </w:r>
      <w:r>
        <w:t>relativa a la</w:t>
      </w:r>
      <w:r w:rsidRPr="005269E5">
        <w:t xml:space="preserve"> prohibi</w:t>
      </w:r>
      <w:r>
        <w:t>c</w:t>
      </w:r>
      <w:r w:rsidRPr="005269E5">
        <w:t>i</w:t>
      </w:r>
      <w:r>
        <w:t>ón</w:t>
      </w:r>
      <w:r w:rsidRPr="005269E5">
        <w:t xml:space="preserve"> </w:t>
      </w:r>
      <w:r>
        <w:t>de la</w:t>
      </w:r>
      <w:r w:rsidRPr="005269E5">
        <w:t xml:space="preserve"> incit</w:t>
      </w:r>
      <w:r>
        <w:t>ación al odio</w:t>
      </w:r>
      <w:r w:rsidRPr="005269E5">
        <w:t xml:space="preserve"> </w:t>
      </w:r>
      <w:r>
        <w:t>fue redactada con la</w:t>
      </w:r>
      <w:r w:rsidRPr="005269E5">
        <w:t xml:space="preserve"> inten</w:t>
      </w:r>
      <w:r>
        <w:t>ción de ajustarse a las</w:t>
      </w:r>
      <w:r w:rsidRPr="005269E5">
        <w:t xml:space="preserve"> garant</w:t>
      </w:r>
      <w:r>
        <w:t>ías</w:t>
      </w:r>
      <w:r w:rsidRPr="005269E5">
        <w:t xml:space="preserve"> con</w:t>
      </w:r>
      <w:r>
        <w:t>sagradas en la</w:t>
      </w:r>
      <w:r w:rsidRPr="005269E5">
        <w:t xml:space="preserve"> Constitu</w:t>
      </w:r>
      <w:r>
        <w:t>c</w:t>
      </w:r>
      <w:r w:rsidRPr="005269E5">
        <w:t>i</w:t>
      </w:r>
      <w:r>
        <w:t>ó</w:t>
      </w:r>
      <w:r w:rsidRPr="005269E5">
        <w:t xml:space="preserve">n </w:t>
      </w:r>
      <w:r>
        <w:t>de Irlanda en materia de libertad de</w:t>
      </w:r>
      <w:r w:rsidRPr="005269E5">
        <w:t xml:space="preserve"> expresi</w:t>
      </w:r>
      <w:r>
        <w:t>ó</w:t>
      </w:r>
      <w:r w:rsidRPr="005269E5">
        <w:t>n, as</w:t>
      </w:r>
      <w:r>
        <w:t xml:space="preserve">ociación y </w:t>
      </w:r>
      <w:r w:rsidR="005C4174">
        <w:t>reunión</w:t>
      </w:r>
      <w:r>
        <w:t xml:space="preserve"> pacífica.</w:t>
      </w:r>
    </w:p>
    <w:p w:rsidR="000100D5" w:rsidRPr="005269E5" w:rsidRDefault="000100D5" w:rsidP="000100D5">
      <w:pPr>
        <w:pStyle w:val="SingleTxtG"/>
      </w:pPr>
      <w:r w:rsidRPr="005269E5">
        <w:t>224.</w:t>
      </w:r>
      <w:r w:rsidRPr="005269E5">
        <w:tab/>
      </w:r>
      <w:r>
        <w:t>El</w:t>
      </w:r>
      <w:r w:rsidRPr="005269E5">
        <w:t xml:space="preserve"> </w:t>
      </w:r>
      <w:r>
        <w:t>Cuadro</w:t>
      </w:r>
      <w:r w:rsidRPr="005269E5">
        <w:t xml:space="preserve"> 8 </w:t>
      </w:r>
      <w:r>
        <w:t>ofrece un desglose de las estadísticas</w:t>
      </w:r>
      <w:r w:rsidRPr="005269E5">
        <w:t xml:space="preserve"> oficial</w:t>
      </w:r>
      <w:r>
        <w:t>es</w:t>
      </w:r>
      <w:r w:rsidRPr="005269E5">
        <w:t xml:space="preserve"> </w:t>
      </w:r>
      <w:r>
        <w:t>registradas por la Oficina</w:t>
      </w:r>
      <w:r w:rsidRPr="005269E5">
        <w:t xml:space="preserve"> Central </w:t>
      </w:r>
      <w:r>
        <w:t>de Estadística</w:t>
      </w:r>
      <w:r w:rsidRPr="005269E5">
        <w:t xml:space="preserve"> </w:t>
      </w:r>
      <w:r>
        <w:t>e</w:t>
      </w:r>
      <w:r w:rsidRPr="005269E5">
        <w:t>n rela</w:t>
      </w:r>
      <w:r>
        <w:t>c</w:t>
      </w:r>
      <w:r w:rsidRPr="005269E5">
        <w:t>i</w:t>
      </w:r>
      <w:r>
        <w:t>ó</w:t>
      </w:r>
      <w:r w:rsidRPr="005269E5">
        <w:t xml:space="preserve">n </w:t>
      </w:r>
      <w:r>
        <w:t>con los delitos de</w:t>
      </w:r>
      <w:r w:rsidRPr="005269E5">
        <w:t xml:space="preserve"> motiv</w:t>
      </w:r>
      <w:r>
        <w:t>ación racial.</w:t>
      </w:r>
    </w:p>
    <w:p w:rsidR="000100D5" w:rsidRDefault="000100D5" w:rsidP="000100D5">
      <w:pPr>
        <w:pStyle w:val="Heading1"/>
      </w:pPr>
      <w:r>
        <w:t>Cuadro</w:t>
      </w:r>
      <w:r w:rsidRPr="00062914">
        <w:t xml:space="preserve"> 8</w:t>
      </w:r>
    </w:p>
    <w:p w:rsidR="000100D5" w:rsidRPr="00533FA1" w:rsidRDefault="000100D5" w:rsidP="00237030">
      <w:pPr>
        <w:pStyle w:val="SingleTxtG"/>
        <w:jc w:val="left"/>
      </w:pPr>
      <w:r w:rsidRPr="005D0F78">
        <w:rPr>
          <w:b/>
        </w:rPr>
        <w:t>Notificación anual de in</w:t>
      </w:r>
      <w:r>
        <w:rPr>
          <w:b/>
        </w:rPr>
        <w:t xml:space="preserve">cidentes </w:t>
      </w:r>
      <w:r w:rsidRPr="005D0F78">
        <w:rPr>
          <w:b/>
        </w:rPr>
        <w:t>de motivaci</w:t>
      </w:r>
      <w:r>
        <w:rPr>
          <w:b/>
        </w:rPr>
        <w:t>ón</w:t>
      </w:r>
      <w:r w:rsidRPr="005D0F78">
        <w:rPr>
          <w:b/>
        </w:rPr>
        <w:t xml:space="preserve"> racial</w:t>
      </w:r>
      <w:r>
        <w:rPr>
          <w:b/>
        </w:rPr>
        <w:t xml:space="preserve"> registrados en el país,</w:t>
      </w:r>
      <w:r w:rsidR="00237030">
        <w:rPr>
          <w:b/>
        </w:rPr>
        <w:t xml:space="preserve"> 2003</w:t>
      </w:r>
      <w:r w:rsidR="00237030">
        <w:rPr>
          <w:b/>
        </w:rPr>
        <w:noBreakHyphen/>
      </w:r>
      <w:r w:rsidRPr="005D0F78">
        <w:rPr>
          <w:b/>
        </w:rPr>
        <w:t>2008</w:t>
      </w:r>
      <w:r w:rsidRPr="00062914">
        <w:rPr>
          <w:rStyle w:val="FootnoteReference"/>
        </w:rPr>
        <w:footnoteReference w:id="60"/>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66"/>
        <w:gridCol w:w="567"/>
        <w:gridCol w:w="567"/>
        <w:gridCol w:w="568"/>
        <w:gridCol w:w="567"/>
        <w:gridCol w:w="567"/>
        <w:gridCol w:w="568"/>
      </w:tblGrid>
      <w:tr w:rsidR="000100D5" w:rsidRPr="00392CA1">
        <w:trPr>
          <w:tblHeader/>
        </w:trPr>
        <w:tc>
          <w:tcPr>
            <w:tcW w:w="3966" w:type="dxa"/>
            <w:tcBorders>
              <w:top w:val="single" w:sz="4" w:space="0" w:color="auto"/>
              <w:bottom w:val="single" w:sz="12" w:space="0" w:color="auto"/>
            </w:tcBorders>
            <w:shd w:val="clear" w:color="auto" w:fill="auto"/>
            <w:vAlign w:val="bottom"/>
          </w:tcPr>
          <w:p w:rsidR="000100D5" w:rsidRPr="00392CA1" w:rsidRDefault="000100D5" w:rsidP="000100D5">
            <w:pPr>
              <w:pStyle w:val="SingleTxtG"/>
              <w:spacing w:before="80" w:after="80" w:line="200" w:lineRule="exact"/>
              <w:ind w:left="0" w:right="113"/>
              <w:jc w:val="left"/>
              <w:rPr>
                <w:i/>
                <w:sz w:val="16"/>
              </w:rPr>
            </w:pPr>
            <w:r>
              <w:rPr>
                <w:i/>
                <w:sz w:val="16"/>
              </w:rPr>
              <w:t>Año</w:t>
            </w:r>
            <w:r w:rsidRPr="00392CA1">
              <w:rPr>
                <w:i/>
                <w:sz w:val="16"/>
              </w:rPr>
              <w:t xml:space="preserve"> </w:t>
            </w:r>
          </w:p>
        </w:tc>
        <w:tc>
          <w:tcPr>
            <w:tcW w:w="567" w:type="dxa"/>
            <w:tcBorders>
              <w:top w:val="single" w:sz="4" w:space="0" w:color="auto"/>
              <w:bottom w:val="single" w:sz="12" w:space="0" w:color="auto"/>
            </w:tcBorders>
            <w:shd w:val="clear" w:color="auto" w:fill="auto"/>
            <w:vAlign w:val="bottom"/>
          </w:tcPr>
          <w:p w:rsidR="000100D5" w:rsidRPr="00392CA1" w:rsidRDefault="000100D5" w:rsidP="000100D5">
            <w:pPr>
              <w:pStyle w:val="SingleTxtG"/>
              <w:spacing w:before="80" w:after="80" w:line="200" w:lineRule="exact"/>
              <w:ind w:left="0" w:right="113"/>
              <w:jc w:val="right"/>
              <w:rPr>
                <w:i/>
                <w:sz w:val="16"/>
              </w:rPr>
            </w:pPr>
            <w:r w:rsidRPr="00392CA1">
              <w:rPr>
                <w:i/>
                <w:sz w:val="16"/>
              </w:rPr>
              <w:t>2003</w:t>
            </w:r>
          </w:p>
        </w:tc>
        <w:tc>
          <w:tcPr>
            <w:tcW w:w="567" w:type="dxa"/>
            <w:tcBorders>
              <w:top w:val="single" w:sz="4" w:space="0" w:color="auto"/>
              <w:bottom w:val="single" w:sz="12" w:space="0" w:color="auto"/>
            </w:tcBorders>
            <w:shd w:val="clear" w:color="auto" w:fill="auto"/>
            <w:vAlign w:val="bottom"/>
          </w:tcPr>
          <w:p w:rsidR="000100D5" w:rsidRPr="00392CA1" w:rsidRDefault="000100D5" w:rsidP="000100D5">
            <w:pPr>
              <w:pStyle w:val="SingleTxtG"/>
              <w:spacing w:before="80" w:after="80" w:line="200" w:lineRule="exact"/>
              <w:ind w:left="0" w:right="113"/>
              <w:jc w:val="right"/>
              <w:rPr>
                <w:i/>
                <w:sz w:val="16"/>
              </w:rPr>
            </w:pPr>
            <w:r w:rsidRPr="00392CA1">
              <w:rPr>
                <w:i/>
                <w:sz w:val="16"/>
              </w:rPr>
              <w:t>2004</w:t>
            </w:r>
          </w:p>
        </w:tc>
        <w:tc>
          <w:tcPr>
            <w:tcW w:w="568" w:type="dxa"/>
            <w:tcBorders>
              <w:top w:val="single" w:sz="4" w:space="0" w:color="auto"/>
              <w:bottom w:val="single" w:sz="12" w:space="0" w:color="auto"/>
            </w:tcBorders>
            <w:shd w:val="clear" w:color="auto" w:fill="auto"/>
            <w:vAlign w:val="bottom"/>
          </w:tcPr>
          <w:p w:rsidR="000100D5" w:rsidRPr="00392CA1" w:rsidRDefault="000100D5" w:rsidP="000100D5">
            <w:pPr>
              <w:pStyle w:val="SingleTxtG"/>
              <w:spacing w:before="80" w:after="80" w:line="200" w:lineRule="exact"/>
              <w:ind w:left="0" w:right="113"/>
              <w:jc w:val="right"/>
              <w:rPr>
                <w:i/>
                <w:sz w:val="16"/>
              </w:rPr>
            </w:pPr>
            <w:r w:rsidRPr="00392CA1">
              <w:rPr>
                <w:i/>
                <w:sz w:val="16"/>
              </w:rPr>
              <w:t>2005</w:t>
            </w:r>
          </w:p>
        </w:tc>
        <w:tc>
          <w:tcPr>
            <w:tcW w:w="567" w:type="dxa"/>
            <w:tcBorders>
              <w:top w:val="single" w:sz="4" w:space="0" w:color="auto"/>
              <w:bottom w:val="single" w:sz="12" w:space="0" w:color="auto"/>
            </w:tcBorders>
            <w:shd w:val="clear" w:color="auto" w:fill="auto"/>
            <w:vAlign w:val="bottom"/>
          </w:tcPr>
          <w:p w:rsidR="000100D5" w:rsidRPr="00392CA1" w:rsidRDefault="000100D5" w:rsidP="000100D5">
            <w:pPr>
              <w:pStyle w:val="SingleTxtG"/>
              <w:spacing w:before="80" w:after="80" w:line="200" w:lineRule="exact"/>
              <w:ind w:left="0" w:right="113"/>
              <w:jc w:val="right"/>
              <w:rPr>
                <w:i/>
                <w:sz w:val="16"/>
              </w:rPr>
            </w:pPr>
            <w:r w:rsidRPr="00392CA1">
              <w:rPr>
                <w:i/>
                <w:sz w:val="16"/>
              </w:rPr>
              <w:t>2006</w:t>
            </w:r>
          </w:p>
        </w:tc>
        <w:tc>
          <w:tcPr>
            <w:tcW w:w="567" w:type="dxa"/>
            <w:tcBorders>
              <w:top w:val="single" w:sz="4" w:space="0" w:color="auto"/>
              <w:bottom w:val="single" w:sz="12" w:space="0" w:color="auto"/>
            </w:tcBorders>
            <w:shd w:val="clear" w:color="auto" w:fill="auto"/>
            <w:vAlign w:val="bottom"/>
          </w:tcPr>
          <w:p w:rsidR="000100D5" w:rsidRPr="00392CA1" w:rsidRDefault="000100D5" w:rsidP="000100D5">
            <w:pPr>
              <w:pStyle w:val="SingleTxtG"/>
              <w:spacing w:before="80" w:after="80" w:line="200" w:lineRule="exact"/>
              <w:ind w:left="0" w:right="113"/>
              <w:jc w:val="right"/>
              <w:rPr>
                <w:i/>
                <w:sz w:val="16"/>
              </w:rPr>
            </w:pPr>
            <w:r w:rsidRPr="00392CA1">
              <w:rPr>
                <w:i/>
                <w:sz w:val="16"/>
              </w:rPr>
              <w:t>2007</w:t>
            </w:r>
          </w:p>
        </w:tc>
        <w:tc>
          <w:tcPr>
            <w:tcW w:w="568" w:type="dxa"/>
            <w:tcBorders>
              <w:top w:val="single" w:sz="4" w:space="0" w:color="auto"/>
              <w:bottom w:val="single" w:sz="12" w:space="0" w:color="auto"/>
            </w:tcBorders>
            <w:shd w:val="clear" w:color="auto" w:fill="auto"/>
            <w:vAlign w:val="bottom"/>
          </w:tcPr>
          <w:p w:rsidR="000100D5" w:rsidRPr="00392CA1" w:rsidRDefault="000100D5" w:rsidP="000100D5">
            <w:pPr>
              <w:pStyle w:val="SingleTxtG"/>
              <w:spacing w:before="80" w:after="80" w:line="200" w:lineRule="exact"/>
              <w:ind w:left="0" w:right="113"/>
              <w:jc w:val="right"/>
              <w:rPr>
                <w:i/>
                <w:sz w:val="16"/>
              </w:rPr>
            </w:pPr>
            <w:r w:rsidRPr="00392CA1">
              <w:rPr>
                <w:i/>
                <w:sz w:val="16"/>
              </w:rPr>
              <w:t>2008</w:t>
            </w:r>
          </w:p>
        </w:tc>
      </w:tr>
      <w:tr w:rsidR="000100D5" w:rsidRPr="00392CA1">
        <w:tc>
          <w:tcPr>
            <w:tcW w:w="3966" w:type="dxa"/>
            <w:tcBorders>
              <w:top w:val="single" w:sz="12" w:space="0" w:color="auto"/>
            </w:tcBorders>
            <w:shd w:val="clear" w:color="auto" w:fill="auto"/>
          </w:tcPr>
          <w:p w:rsidR="000100D5" w:rsidRPr="005D0F78" w:rsidRDefault="000100D5" w:rsidP="000100D5">
            <w:pPr>
              <w:pStyle w:val="SingleTxtG"/>
              <w:spacing w:before="40" w:after="40" w:line="220" w:lineRule="exact"/>
              <w:ind w:left="0" w:right="113"/>
              <w:jc w:val="left"/>
              <w:rPr>
                <w:sz w:val="18"/>
              </w:rPr>
            </w:pPr>
            <w:r w:rsidRPr="005D0F78">
              <w:rPr>
                <w:sz w:val="18"/>
              </w:rPr>
              <w:t>Número de casos registrados por la policía (notificados)</w:t>
            </w:r>
          </w:p>
        </w:tc>
        <w:tc>
          <w:tcPr>
            <w:tcW w:w="567" w:type="dxa"/>
            <w:tcBorders>
              <w:top w:val="single" w:sz="12" w:space="0" w:color="auto"/>
            </w:tcBorders>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64</w:t>
            </w:r>
          </w:p>
        </w:tc>
        <w:tc>
          <w:tcPr>
            <w:tcW w:w="567" w:type="dxa"/>
            <w:tcBorders>
              <w:top w:val="single" w:sz="12" w:space="0" w:color="auto"/>
            </w:tcBorders>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68</w:t>
            </w:r>
          </w:p>
        </w:tc>
        <w:tc>
          <w:tcPr>
            <w:tcW w:w="568" w:type="dxa"/>
            <w:tcBorders>
              <w:top w:val="single" w:sz="12" w:space="0" w:color="auto"/>
            </w:tcBorders>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100</w:t>
            </w:r>
          </w:p>
        </w:tc>
        <w:tc>
          <w:tcPr>
            <w:tcW w:w="567" w:type="dxa"/>
            <w:tcBorders>
              <w:top w:val="single" w:sz="12" w:space="0" w:color="auto"/>
            </w:tcBorders>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172</w:t>
            </w:r>
          </w:p>
        </w:tc>
        <w:tc>
          <w:tcPr>
            <w:tcW w:w="567" w:type="dxa"/>
            <w:tcBorders>
              <w:top w:val="single" w:sz="12" w:space="0" w:color="auto"/>
            </w:tcBorders>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214</w:t>
            </w:r>
          </w:p>
        </w:tc>
        <w:tc>
          <w:tcPr>
            <w:tcW w:w="568" w:type="dxa"/>
            <w:tcBorders>
              <w:top w:val="single" w:sz="12" w:space="0" w:color="auto"/>
            </w:tcBorders>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172</w:t>
            </w:r>
          </w:p>
        </w:tc>
      </w:tr>
      <w:tr w:rsidR="000100D5" w:rsidRPr="00392CA1">
        <w:tc>
          <w:tcPr>
            <w:tcW w:w="3966" w:type="dxa"/>
            <w:shd w:val="clear" w:color="auto" w:fill="auto"/>
          </w:tcPr>
          <w:p w:rsidR="000100D5" w:rsidRPr="00392CA1" w:rsidRDefault="000100D5" w:rsidP="000100D5">
            <w:pPr>
              <w:pStyle w:val="SingleTxtG"/>
              <w:spacing w:before="40" w:after="40" w:line="220" w:lineRule="exact"/>
              <w:ind w:left="0" w:right="113"/>
              <w:jc w:val="left"/>
              <w:rPr>
                <w:sz w:val="18"/>
              </w:rPr>
            </w:pPr>
            <w:r w:rsidRPr="00392CA1">
              <w:rPr>
                <w:sz w:val="18"/>
              </w:rPr>
              <w:t>N</w:t>
            </w:r>
            <w:r>
              <w:rPr>
                <w:sz w:val="18"/>
              </w:rPr>
              <w:t>úm</w:t>
            </w:r>
            <w:r w:rsidRPr="00392CA1">
              <w:rPr>
                <w:sz w:val="18"/>
              </w:rPr>
              <w:t>er</w:t>
            </w:r>
            <w:r>
              <w:rPr>
                <w:sz w:val="18"/>
              </w:rPr>
              <w:t>o de</w:t>
            </w:r>
            <w:r w:rsidRPr="00392CA1">
              <w:rPr>
                <w:sz w:val="18"/>
              </w:rPr>
              <w:t xml:space="preserve"> cas</w:t>
            </w:r>
            <w:r>
              <w:rPr>
                <w:sz w:val="18"/>
              </w:rPr>
              <w:t>o</w:t>
            </w:r>
            <w:r w:rsidRPr="00392CA1">
              <w:rPr>
                <w:sz w:val="18"/>
              </w:rPr>
              <w:t>s (detect</w:t>
            </w:r>
            <w:r>
              <w:rPr>
                <w:sz w:val="18"/>
              </w:rPr>
              <w:t>a</w:t>
            </w:r>
            <w:r w:rsidRPr="00392CA1">
              <w:rPr>
                <w:sz w:val="18"/>
              </w:rPr>
              <w:t>d</w:t>
            </w:r>
            <w:r>
              <w:rPr>
                <w:sz w:val="18"/>
              </w:rPr>
              <w:t>os</w:t>
            </w:r>
            <w:r w:rsidRPr="00392CA1">
              <w:rPr>
                <w:sz w:val="18"/>
              </w:rPr>
              <w:t>)</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29</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28</w:t>
            </w:r>
          </w:p>
        </w:tc>
        <w:tc>
          <w:tcPr>
            <w:tcW w:w="568"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56</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91</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135</w:t>
            </w:r>
          </w:p>
        </w:tc>
        <w:tc>
          <w:tcPr>
            <w:tcW w:w="568"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98</w:t>
            </w:r>
          </w:p>
        </w:tc>
      </w:tr>
      <w:tr w:rsidR="000100D5" w:rsidRPr="00392CA1">
        <w:tc>
          <w:tcPr>
            <w:tcW w:w="3966" w:type="dxa"/>
            <w:shd w:val="clear" w:color="auto" w:fill="auto"/>
          </w:tcPr>
          <w:p w:rsidR="000100D5" w:rsidRPr="005D0F78" w:rsidRDefault="000100D5" w:rsidP="000100D5">
            <w:pPr>
              <w:pStyle w:val="SingleTxtG"/>
              <w:spacing w:before="40" w:after="40" w:line="220" w:lineRule="exact"/>
              <w:ind w:left="0" w:right="113"/>
              <w:jc w:val="left"/>
              <w:rPr>
                <w:sz w:val="18"/>
              </w:rPr>
            </w:pPr>
            <w:r w:rsidRPr="005D0F78">
              <w:rPr>
                <w:sz w:val="18"/>
              </w:rPr>
              <w:t>Número de casos enjuiciados (iniciado el procedimiento)</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21</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16</w:t>
            </w:r>
          </w:p>
        </w:tc>
        <w:tc>
          <w:tcPr>
            <w:tcW w:w="568"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47</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70</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85</w:t>
            </w:r>
          </w:p>
        </w:tc>
        <w:tc>
          <w:tcPr>
            <w:tcW w:w="568"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50</w:t>
            </w:r>
          </w:p>
        </w:tc>
      </w:tr>
      <w:tr w:rsidR="000100D5" w:rsidRPr="00392CA1">
        <w:tc>
          <w:tcPr>
            <w:tcW w:w="3966" w:type="dxa"/>
            <w:shd w:val="clear" w:color="auto" w:fill="auto"/>
          </w:tcPr>
          <w:p w:rsidR="000100D5" w:rsidRPr="005D0F78" w:rsidRDefault="000100D5" w:rsidP="000100D5">
            <w:pPr>
              <w:pStyle w:val="SingleTxtG"/>
              <w:spacing w:before="40" w:after="40" w:line="220" w:lineRule="exact"/>
              <w:ind w:left="0" w:right="113"/>
              <w:jc w:val="left"/>
              <w:rPr>
                <w:sz w:val="18"/>
              </w:rPr>
            </w:pPr>
            <w:r w:rsidRPr="005D0F78">
              <w:rPr>
                <w:sz w:val="18"/>
              </w:rPr>
              <w:t>Númer</w:t>
            </w:r>
            <w:r>
              <w:rPr>
                <w:sz w:val="18"/>
              </w:rPr>
              <w:t xml:space="preserve">o de casos en que </w:t>
            </w:r>
            <w:r w:rsidRPr="005D0F78">
              <w:rPr>
                <w:sz w:val="18"/>
              </w:rPr>
              <w:t>h</w:t>
            </w:r>
            <w:r>
              <w:rPr>
                <w:sz w:val="18"/>
              </w:rPr>
              <w:t>a</w:t>
            </w:r>
            <w:r w:rsidRPr="005D0F78">
              <w:rPr>
                <w:sz w:val="18"/>
              </w:rPr>
              <w:t xml:space="preserve">n sido sentenciados </w:t>
            </w:r>
            <w:r>
              <w:rPr>
                <w:sz w:val="18"/>
              </w:rPr>
              <w:t>sus autores</w:t>
            </w:r>
            <w:r w:rsidRPr="005D0F78">
              <w:rPr>
                <w:sz w:val="18"/>
              </w:rPr>
              <w:t xml:space="preserve"> (con</w:t>
            </w:r>
            <w:r>
              <w:rPr>
                <w:sz w:val="18"/>
              </w:rPr>
              <w:t>denas</w:t>
            </w:r>
            <w:r w:rsidRPr="005D0F78">
              <w:rPr>
                <w:sz w:val="18"/>
              </w:rPr>
              <w:t>)</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4</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9</w:t>
            </w:r>
          </w:p>
        </w:tc>
        <w:tc>
          <w:tcPr>
            <w:tcW w:w="568"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20</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26</w:t>
            </w:r>
          </w:p>
        </w:tc>
        <w:tc>
          <w:tcPr>
            <w:tcW w:w="567"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29</w:t>
            </w:r>
          </w:p>
        </w:tc>
        <w:tc>
          <w:tcPr>
            <w:tcW w:w="568" w:type="dxa"/>
            <w:shd w:val="clear" w:color="auto" w:fill="auto"/>
            <w:vAlign w:val="bottom"/>
          </w:tcPr>
          <w:p w:rsidR="000100D5" w:rsidRPr="00392CA1" w:rsidRDefault="000100D5" w:rsidP="000100D5">
            <w:pPr>
              <w:pStyle w:val="SingleTxtG"/>
              <w:spacing w:before="40" w:after="40" w:line="220" w:lineRule="exact"/>
              <w:ind w:left="0" w:right="113"/>
              <w:jc w:val="right"/>
              <w:rPr>
                <w:sz w:val="18"/>
              </w:rPr>
            </w:pPr>
            <w:r w:rsidRPr="00392CA1">
              <w:rPr>
                <w:sz w:val="18"/>
              </w:rPr>
              <w:t>3</w:t>
            </w:r>
          </w:p>
        </w:tc>
      </w:tr>
    </w:tbl>
    <w:p w:rsidR="000100D5" w:rsidRPr="001F7FBB" w:rsidRDefault="000100D5" w:rsidP="00197004">
      <w:pPr>
        <w:pStyle w:val="SingleTxtG"/>
        <w:spacing w:before="120" w:after="240"/>
        <w:ind w:firstLine="170"/>
        <w:jc w:val="left"/>
        <w:rPr>
          <w:i/>
          <w:sz w:val="18"/>
          <w:szCs w:val="18"/>
        </w:rPr>
      </w:pPr>
      <w:r w:rsidRPr="00C13AA9">
        <w:rPr>
          <w:i/>
          <w:sz w:val="18"/>
          <w:szCs w:val="18"/>
        </w:rPr>
        <w:t xml:space="preserve">N.B. </w:t>
      </w:r>
      <w:r>
        <w:rPr>
          <w:i/>
          <w:sz w:val="18"/>
          <w:szCs w:val="18"/>
        </w:rPr>
        <w:t>Todos los</w:t>
      </w:r>
      <w:r w:rsidRPr="00C13AA9">
        <w:rPr>
          <w:i/>
          <w:sz w:val="18"/>
          <w:szCs w:val="18"/>
        </w:rPr>
        <w:t xml:space="preserve"> incidentes son provisionales y pueden ser objeto de revisión. No todos los casos son </w:t>
      </w:r>
      <w:r>
        <w:rPr>
          <w:i/>
          <w:sz w:val="18"/>
          <w:szCs w:val="18"/>
        </w:rPr>
        <w:t>citados</w:t>
      </w:r>
      <w:r w:rsidRPr="00C13AA9">
        <w:rPr>
          <w:i/>
          <w:sz w:val="18"/>
          <w:szCs w:val="18"/>
        </w:rPr>
        <w:t xml:space="preserve"> </w:t>
      </w:r>
      <w:r>
        <w:rPr>
          <w:i/>
          <w:sz w:val="18"/>
          <w:szCs w:val="18"/>
        </w:rPr>
        <w:t xml:space="preserve">a la vista </w:t>
      </w:r>
      <w:r w:rsidRPr="00C13AA9">
        <w:rPr>
          <w:i/>
          <w:sz w:val="18"/>
          <w:szCs w:val="18"/>
        </w:rPr>
        <w:t>ante un tribunal en el mismo año en que se p</w:t>
      </w:r>
      <w:r>
        <w:rPr>
          <w:i/>
          <w:sz w:val="18"/>
          <w:szCs w:val="18"/>
        </w:rPr>
        <w:t>lantean</w:t>
      </w:r>
      <w:r w:rsidRPr="00C13AA9">
        <w:rPr>
          <w:i/>
          <w:sz w:val="18"/>
          <w:szCs w:val="18"/>
        </w:rPr>
        <w:t xml:space="preserve">. </w:t>
      </w:r>
      <w:r w:rsidRPr="001F7FBB">
        <w:rPr>
          <w:i/>
          <w:sz w:val="18"/>
          <w:szCs w:val="18"/>
        </w:rPr>
        <w:t>Las cifras supra están sujetas a revisión a medida que se v</w:t>
      </w:r>
      <w:r>
        <w:rPr>
          <w:i/>
          <w:sz w:val="18"/>
          <w:szCs w:val="18"/>
        </w:rPr>
        <w:t>aya</w:t>
      </w:r>
      <w:r w:rsidRPr="001F7FBB">
        <w:rPr>
          <w:i/>
          <w:sz w:val="18"/>
          <w:szCs w:val="18"/>
        </w:rPr>
        <w:t xml:space="preserve">n </w:t>
      </w:r>
      <w:r>
        <w:rPr>
          <w:i/>
          <w:sz w:val="18"/>
          <w:szCs w:val="18"/>
        </w:rPr>
        <w:t xml:space="preserve">realizando las </w:t>
      </w:r>
      <w:r w:rsidRPr="001F7FBB">
        <w:rPr>
          <w:i/>
          <w:sz w:val="18"/>
          <w:szCs w:val="18"/>
        </w:rPr>
        <w:t>c</w:t>
      </w:r>
      <w:r>
        <w:rPr>
          <w:i/>
          <w:sz w:val="18"/>
          <w:szCs w:val="18"/>
        </w:rPr>
        <w:t>it</w:t>
      </w:r>
      <w:r w:rsidRPr="001F7FBB">
        <w:rPr>
          <w:i/>
          <w:sz w:val="18"/>
          <w:szCs w:val="18"/>
        </w:rPr>
        <w:t>a</w:t>
      </w:r>
      <w:r>
        <w:rPr>
          <w:i/>
          <w:sz w:val="18"/>
          <w:szCs w:val="18"/>
        </w:rPr>
        <w:t>cione</w:t>
      </w:r>
      <w:r w:rsidRPr="001F7FBB">
        <w:rPr>
          <w:i/>
          <w:sz w:val="18"/>
          <w:szCs w:val="18"/>
        </w:rPr>
        <w:t>s</w:t>
      </w:r>
      <w:r>
        <w:rPr>
          <w:i/>
          <w:sz w:val="18"/>
          <w:szCs w:val="18"/>
        </w:rPr>
        <w:t xml:space="preserve"> antedichas</w:t>
      </w:r>
      <w:r w:rsidRPr="001F7FBB">
        <w:rPr>
          <w:i/>
          <w:sz w:val="18"/>
          <w:szCs w:val="18"/>
        </w:rPr>
        <w:t>.</w:t>
      </w:r>
    </w:p>
    <w:p w:rsidR="000100D5" w:rsidRPr="005269E5" w:rsidRDefault="000100D5" w:rsidP="000100D5">
      <w:pPr>
        <w:pStyle w:val="SingleTxtG"/>
      </w:pPr>
      <w:r w:rsidRPr="005269E5">
        <w:t>225.</w:t>
      </w:r>
      <w:r w:rsidRPr="005269E5">
        <w:tab/>
      </w:r>
      <w:r>
        <w:t>La Comisión del Ombudsman de la</w:t>
      </w:r>
      <w:r w:rsidRPr="005269E5">
        <w:t xml:space="preserve"> Garda Síochána (</w:t>
      </w:r>
      <w:r>
        <w:t>p</w:t>
      </w:r>
      <w:r w:rsidRPr="005269E5">
        <w:t>olic</w:t>
      </w:r>
      <w:r>
        <w:t>ía</w:t>
      </w:r>
      <w:r w:rsidRPr="005269E5">
        <w:t>)</w:t>
      </w:r>
      <w:r>
        <w:t xml:space="preserve"> y</w:t>
      </w:r>
      <w:r w:rsidRPr="005269E5">
        <w:t xml:space="preserve"> </w:t>
      </w:r>
      <w:r>
        <w:t xml:space="preserve">el </w:t>
      </w:r>
      <w:r w:rsidRPr="005269E5">
        <w:t xml:space="preserve">Tribunal </w:t>
      </w:r>
      <w:r>
        <w:t>de la Igualdad también recopilan</w:t>
      </w:r>
      <w:r w:rsidRPr="005269E5">
        <w:t xml:space="preserve"> </w:t>
      </w:r>
      <w:r>
        <w:t>e</w:t>
      </w:r>
      <w:r w:rsidRPr="005269E5">
        <w:t>sta</w:t>
      </w:r>
      <w:r>
        <w:t>dí</w:t>
      </w:r>
      <w:r w:rsidRPr="005269E5">
        <w:t>stic</w:t>
      </w:r>
      <w:r>
        <w:t>a</w:t>
      </w:r>
      <w:r w:rsidRPr="005269E5">
        <w:t xml:space="preserve">s </w:t>
      </w:r>
      <w:r>
        <w:t>e</w:t>
      </w:r>
      <w:r w:rsidRPr="005269E5">
        <w:t>n rela</w:t>
      </w:r>
      <w:r>
        <w:t>c</w:t>
      </w:r>
      <w:r w:rsidRPr="005269E5">
        <w:t>i</w:t>
      </w:r>
      <w:r>
        <w:t>ón con las quejas de discriminación racial; sírvanse consultar los</w:t>
      </w:r>
      <w:r w:rsidRPr="005269E5">
        <w:t xml:space="preserve"> p</w:t>
      </w:r>
      <w:r>
        <w:t>ár</w:t>
      </w:r>
      <w:r w:rsidRPr="005269E5">
        <w:t>ra</w:t>
      </w:r>
      <w:r>
        <w:t>fos</w:t>
      </w:r>
      <w:r w:rsidRPr="005269E5">
        <w:t xml:space="preserve"> 75 </w:t>
      </w:r>
      <w:r>
        <w:t>y ss. y</w:t>
      </w:r>
      <w:r w:rsidRPr="005269E5">
        <w:t xml:space="preserve"> 163 </w:t>
      </w:r>
      <w:r>
        <w:t>y ss.</w:t>
      </w:r>
      <w:r w:rsidRPr="005269E5">
        <w:t xml:space="preserve"> respectiv</w:t>
      </w:r>
      <w:r>
        <w:t>amente del presente informe.</w:t>
      </w:r>
    </w:p>
    <w:p w:rsidR="000100D5" w:rsidRPr="000315EC" w:rsidRDefault="000100D5" w:rsidP="000100D5">
      <w:pPr>
        <w:pStyle w:val="SingleTxtG"/>
      </w:pPr>
      <w:r w:rsidRPr="005269E5">
        <w:t>226.</w:t>
      </w:r>
      <w:r w:rsidRPr="005269E5">
        <w:tab/>
      </w:r>
      <w:r>
        <w:t>El Comité Consultivo</w:t>
      </w:r>
      <w:r w:rsidRPr="005269E5">
        <w:t xml:space="preserve"> Na</w:t>
      </w:r>
      <w:r>
        <w:t>c</w:t>
      </w:r>
      <w:r w:rsidRPr="005269E5">
        <w:t xml:space="preserve">ional </w:t>
      </w:r>
      <w:r>
        <w:t>sobre el</w:t>
      </w:r>
      <w:r w:rsidRPr="005269E5">
        <w:t xml:space="preserve"> Racism</w:t>
      </w:r>
      <w:r>
        <w:t>o y el</w:t>
      </w:r>
      <w:r w:rsidRPr="005269E5">
        <w:t xml:space="preserve"> </w:t>
      </w:r>
      <w:r>
        <w:t>Multi</w:t>
      </w:r>
      <w:r w:rsidRPr="005269E5">
        <w:t>culturalism</w:t>
      </w:r>
      <w:r>
        <w:t>o</w:t>
      </w:r>
      <w:r w:rsidRPr="005269E5">
        <w:t xml:space="preserve"> (</w:t>
      </w:r>
      <w:r>
        <w:t>véanse párrs</w:t>
      </w:r>
      <w:r w:rsidRPr="005269E5">
        <w:t xml:space="preserve">. 187 </w:t>
      </w:r>
      <w:r>
        <w:t>y ss.</w:t>
      </w:r>
      <w:r w:rsidRPr="005269E5">
        <w:t>) mant</w:t>
      </w:r>
      <w:r>
        <w:t>uvo</w:t>
      </w:r>
      <w:r w:rsidRPr="005269E5">
        <w:t xml:space="preserve"> </w:t>
      </w:r>
      <w:r>
        <w:t>e</w:t>
      </w:r>
      <w:r w:rsidRPr="005269E5">
        <w:t>sta</w:t>
      </w:r>
      <w:r>
        <w:t>dí</w:t>
      </w:r>
      <w:r w:rsidRPr="005269E5">
        <w:t>stic</w:t>
      </w:r>
      <w:r>
        <w:t>a</w:t>
      </w:r>
      <w:r w:rsidRPr="005269E5">
        <w:t xml:space="preserve">s </w:t>
      </w:r>
      <w:r>
        <w:t>extraoficiales de los incidentes</w:t>
      </w:r>
      <w:r w:rsidRPr="005269E5">
        <w:t xml:space="preserve"> racist</w:t>
      </w:r>
      <w:r>
        <w:t>as</w:t>
      </w:r>
      <w:r w:rsidRPr="005269E5">
        <w:t xml:space="preserve"> </w:t>
      </w:r>
      <w:r>
        <w:t>que se le</w:t>
      </w:r>
      <w:r w:rsidRPr="005269E5">
        <w:t xml:space="preserve"> </w:t>
      </w:r>
      <w:r>
        <w:t>notificaron durante el</w:t>
      </w:r>
      <w:r w:rsidRPr="005269E5">
        <w:t xml:space="preserve"> per</w:t>
      </w:r>
      <w:r>
        <w:t>í</w:t>
      </w:r>
      <w:r w:rsidRPr="005269E5">
        <w:t>od</w:t>
      </w:r>
      <w:r>
        <w:t>o de</w:t>
      </w:r>
      <w:r w:rsidRPr="005269E5">
        <w:t xml:space="preserve"> 2001 </w:t>
      </w:r>
      <w:r>
        <w:t>a</w:t>
      </w:r>
      <w:r w:rsidRPr="005269E5">
        <w:t xml:space="preserve"> 2008. </w:t>
      </w:r>
      <w:r w:rsidRPr="000315EC">
        <w:t xml:space="preserve">El número de incidentes comunicados experimentó un ligero aumento, de 99 </w:t>
      </w:r>
      <w:r>
        <w:t>e</w:t>
      </w:r>
      <w:r w:rsidRPr="000315EC">
        <w:t xml:space="preserve">n 2007 </w:t>
      </w:r>
      <w:r>
        <w:t xml:space="preserve">a </w:t>
      </w:r>
      <w:r w:rsidRPr="000315EC">
        <w:t xml:space="preserve">106 </w:t>
      </w:r>
      <w:r>
        <w:t>e</w:t>
      </w:r>
      <w:r w:rsidRPr="000315EC">
        <w:t>n 2008.</w:t>
      </w:r>
    </w:p>
    <w:p w:rsidR="000100D5" w:rsidRPr="005269E5" w:rsidRDefault="000100D5" w:rsidP="000100D5">
      <w:pPr>
        <w:pStyle w:val="H1G"/>
      </w:pPr>
      <w:r w:rsidRPr="000315EC">
        <w:tab/>
      </w:r>
      <w:r w:rsidRPr="000315EC">
        <w:tab/>
      </w:r>
      <w:r>
        <w:t>Artí</w:t>
      </w:r>
      <w:r w:rsidRPr="005269E5">
        <w:t>c</w:t>
      </w:r>
      <w:r>
        <w:t>u</w:t>
      </w:r>
      <w:r w:rsidRPr="005269E5">
        <w:t>l</w:t>
      </w:r>
      <w:r>
        <w:t>o</w:t>
      </w:r>
      <w:r w:rsidRPr="005269E5">
        <w:t xml:space="preserve"> 5</w:t>
      </w:r>
    </w:p>
    <w:p w:rsidR="000100D5" w:rsidRPr="005269E5" w:rsidRDefault="000100D5" w:rsidP="000100D5">
      <w:pPr>
        <w:pStyle w:val="H23G"/>
      </w:pPr>
      <w:r>
        <w:tab/>
        <w:t>1.</w:t>
      </w:r>
      <w:r>
        <w:tab/>
        <w:t>Informac</w:t>
      </w:r>
      <w:r w:rsidRPr="005269E5">
        <w:t>i</w:t>
      </w:r>
      <w:r>
        <w:t>ó</w:t>
      </w:r>
      <w:r w:rsidRPr="005269E5">
        <w:t xml:space="preserve">n </w:t>
      </w:r>
      <w:r>
        <w:t>agrupada</w:t>
      </w:r>
      <w:r w:rsidR="005007D6">
        <w:t xml:space="preserve"> </w:t>
      </w:r>
      <w:r>
        <w:t>en función de los distintos derechos</w:t>
      </w:r>
    </w:p>
    <w:p w:rsidR="000100D5" w:rsidRPr="005269E5" w:rsidRDefault="000100D5" w:rsidP="000100D5">
      <w:pPr>
        <w:pStyle w:val="SingleTxtG"/>
        <w:rPr>
          <w:bCs/>
        </w:rPr>
      </w:pPr>
      <w:r w:rsidRPr="005269E5">
        <w:t>227</w:t>
      </w:r>
      <w:r w:rsidRPr="005269E5">
        <w:rPr>
          <w:bCs/>
        </w:rPr>
        <w:t>.</w:t>
      </w:r>
      <w:r w:rsidRPr="005269E5">
        <w:rPr>
          <w:bCs/>
        </w:rPr>
        <w:tab/>
      </w:r>
      <w:r>
        <w:rPr>
          <w:bCs/>
        </w:rPr>
        <w:t>Para el derecho a la igualdad de tratamiento en los</w:t>
      </w:r>
      <w:r w:rsidRPr="005269E5">
        <w:t xml:space="preserve"> </w:t>
      </w:r>
      <w:r>
        <w:t>tribunales y todos los demás órganos que</w:t>
      </w:r>
      <w:r w:rsidRPr="005269E5">
        <w:t xml:space="preserve"> administr</w:t>
      </w:r>
      <w:r>
        <w:t>a</w:t>
      </w:r>
      <w:r w:rsidRPr="005269E5">
        <w:t>n justic</w:t>
      </w:r>
      <w:r>
        <w:t>ia</w:t>
      </w:r>
      <w:r w:rsidRPr="005269E5">
        <w:t>,</w:t>
      </w:r>
      <w:r w:rsidRPr="005269E5">
        <w:rPr>
          <w:bCs/>
        </w:rPr>
        <w:t xml:space="preserve"> </w:t>
      </w:r>
      <w:r>
        <w:rPr>
          <w:bCs/>
        </w:rPr>
        <w:t>sírvanse consultar los</w:t>
      </w:r>
      <w:r w:rsidRPr="005269E5">
        <w:rPr>
          <w:bCs/>
        </w:rPr>
        <w:t xml:space="preserve"> p</w:t>
      </w:r>
      <w:r>
        <w:rPr>
          <w:bCs/>
        </w:rPr>
        <w:t>ár</w:t>
      </w:r>
      <w:r w:rsidRPr="005269E5">
        <w:rPr>
          <w:bCs/>
        </w:rPr>
        <w:t>ra</w:t>
      </w:r>
      <w:r>
        <w:rPr>
          <w:bCs/>
        </w:rPr>
        <w:t>fos</w:t>
      </w:r>
      <w:r w:rsidRPr="005269E5">
        <w:rPr>
          <w:bCs/>
        </w:rPr>
        <w:t xml:space="preserve"> 231 </w:t>
      </w:r>
      <w:r>
        <w:rPr>
          <w:bCs/>
        </w:rPr>
        <w:t>a</w:t>
      </w:r>
      <w:r w:rsidRPr="005269E5">
        <w:rPr>
          <w:bCs/>
        </w:rPr>
        <w:t xml:space="preserve"> 234 </w:t>
      </w:r>
      <w:r>
        <w:rPr>
          <w:bCs/>
        </w:rPr>
        <w:t>del informe inicial y del segundo informe periódico de</w:t>
      </w:r>
      <w:r w:rsidRPr="005269E5">
        <w:rPr>
          <w:bCs/>
        </w:rPr>
        <w:t xml:space="preserve"> Irland</w:t>
      </w:r>
      <w:r>
        <w:rPr>
          <w:bCs/>
        </w:rPr>
        <w:t>a.</w:t>
      </w:r>
    </w:p>
    <w:p w:rsidR="000100D5" w:rsidRPr="00B126BA" w:rsidRDefault="000100D5" w:rsidP="000100D5">
      <w:pPr>
        <w:pStyle w:val="SingleTxtG"/>
      </w:pPr>
      <w:r w:rsidRPr="005269E5">
        <w:t>228.</w:t>
      </w:r>
      <w:r w:rsidRPr="005269E5">
        <w:tab/>
      </w:r>
      <w:r>
        <w:t>No existen leyes específicas en esta</w:t>
      </w:r>
      <w:r w:rsidRPr="005269E5">
        <w:t xml:space="preserve"> jurisdic</w:t>
      </w:r>
      <w:r>
        <w:t>c</w:t>
      </w:r>
      <w:r w:rsidRPr="005269E5">
        <w:t>i</w:t>
      </w:r>
      <w:r>
        <w:t>ó</w:t>
      </w:r>
      <w:r w:rsidRPr="005269E5">
        <w:t xml:space="preserve">n </w:t>
      </w:r>
      <w:r>
        <w:t>que</w:t>
      </w:r>
      <w:r w:rsidRPr="005269E5">
        <w:t xml:space="preserve"> proh</w:t>
      </w:r>
      <w:r>
        <w:t>í</w:t>
      </w:r>
      <w:r w:rsidRPr="005269E5">
        <w:t>b</w:t>
      </w:r>
      <w:r>
        <w:t>an la elaboración de perfiles</w:t>
      </w:r>
      <w:r w:rsidRPr="005269E5">
        <w:t xml:space="preserve"> racial</w:t>
      </w:r>
      <w:r>
        <w:t>es</w:t>
      </w:r>
      <w:r w:rsidRPr="005269E5">
        <w:t>.</w:t>
      </w:r>
      <w:r>
        <w:t xml:space="preserve"> </w:t>
      </w:r>
      <w:r w:rsidRPr="00B126BA">
        <w:t xml:space="preserve">No hay tampoco pruebas que sugieran que la An Garda Síochána (cuerpo de policía) </w:t>
      </w:r>
      <w:r>
        <w:t>se dedique a esa</w:t>
      </w:r>
      <w:r w:rsidRPr="00B126BA">
        <w:t xml:space="preserve"> pr</w:t>
      </w:r>
      <w:r>
        <w:t>á</w:t>
      </w:r>
      <w:r w:rsidRPr="00B126BA">
        <w:t>ctic</w:t>
      </w:r>
      <w:r>
        <w:t>a</w:t>
      </w:r>
      <w:r w:rsidRPr="00B126BA">
        <w:t>.</w:t>
      </w:r>
    </w:p>
    <w:p w:rsidR="000100D5" w:rsidRPr="00907D8D" w:rsidRDefault="000100D5" w:rsidP="000100D5">
      <w:pPr>
        <w:pStyle w:val="SingleTxtG"/>
      </w:pPr>
      <w:r w:rsidRPr="005269E5">
        <w:t>229.</w:t>
      </w:r>
      <w:r w:rsidRPr="005269E5">
        <w:tab/>
      </w:r>
      <w:r>
        <w:t>La Comisión del Ombudsman de la</w:t>
      </w:r>
      <w:r w:rsidRPr="005269E5">
        <w:t xml:space="preserve"> Garda Síochána (</w:t>
      </w:r>
      <w:r>
        <w:t>p</w:t>
      </w:r>
      <w:r w:rsidRPr="005269E5">
        <w:t>olic</w:t>
      </w:r>
      <w:r>
        <w:t>ía</w:t>
      </w:r>
      <w:r w:rsidRPr="005269E5">
        <w:t xml:space="preserve">) </w:t>
      </w:r>
      <w:r>
        <w:t>e</w:t>
      </w:r>
      <w:r w:rsidRPr="005269E5">
        <w:t xml:space="preserve">s </w:t>
      </w:r>
      <w:r>
        <w:t>un organismo</w:t>
      </w:r>
      <w:r w:rsidRPr="005269E5">
        <w:t xml:space="preserve"> independ</w:t>
      </w:r>
      <w:r>
        <w:t>i</w:t>
      </w:r>
      <w:r w:rsidRPr="005269E5">
        <w:t>ent</w:t>
      </w:r>
      <w:r>
        <w:t>e</w:t>
      </w:r>
      <w:r w:rsidRPr="005269E5">
        <w:t xml:space="preserve"> </w:t>
      </w:r>
      <w:r>
        <w:t xml:space="preserve">de quejas contra la </w:t>
      </w:r>
      <w:r w:rsidRPr="005269E5">
        <w:t>polic</w:t>
      </w:r>
      <w:r>
        <w:t>ía</w:t>
      </w:r>
      <w:r w:rsidRPr="005269E5">
        <w:t xml:space="preserve">. </w:t>
      </w:r>
      <w:r w:rsidRPr="00907D8D">
        <w:t>Est</w:t>
      </w:r>
      <w:r>
        <w:t>á facultada</w:t>
      </w:r>
      <w:r w:rsidRPr="00907D8D">
        <w:t xml:space="preserve"> para investigar </w:t>
      </w:r>
      <w:r>
        <w:t>con carácter</w:t>
      </w:r>
      <w:r w:rsidRPr="00907D8D">
        <w:t xml:space="preserve"> independiente las quejas </w:t>
      </w:r>
      <w:r>
        <w:t>por</w:t>
      </w:r>
      <w:r w:rsidRPr="00907D8D">
        <w:t xml:space="preserve"> conducta impropia formuladas contra miembros de la Garda Síochána (cuerpo de policía</w:t>
      </w:r>
      <w:r>
        <w:t>) de</w:t>
      </w:r>
      <w:r w:rsidRPr="00907D8D">
        <w:t xml:space="preserve"> </w:t>
      </w:r>
      <w:r>
        <w:t>forma</w:t>
      </w:r>
      <w:r w:rsidRPr="00907D8D">
        <w:t xml:space="preserve"> transparent</w:t>
      </w:r>
      <w:r>
        <w:t>e</w:t>
      </w:r>
      <w:r w:rsidRPr="00907D8D">
        <w:t xml:space="preserve"> </w:t>
      </w:r>
      <w:r>
        <w:t>y</w:t>
      </w:r>
      <w:r w:rsidRPr="00907D8D">
        <w:t xml:space="preserve"> equita</w:t>
      </w:r>
      <w:r>
        <w:t>tiva</w:t>
      </w:r>
      <w:r w:rsidRPr="00907D8D">
        <w:t xml:space="preserve"> </w:t>
      </w:r>
      <w:r>
        <w:t>y que refuerce la confianza</w:t>
      </w:r>
      <w:r w:rsidRPr="00907D8D">
        <w:t xml:space="preserve"> p</w:t>
      </w:r>
      <w:r>
        <w:t>ú</w:t>
      </w:r>
      <w:r w:rsidRPr="00907D8D">
        <w:t>blic</w:t>
      </w:r>
      <w:r>
        <w:t>a</w:t>
      </w:r>
      <w:r w:rsidRPr="00907D8D">
        <w:t xml:space="preserve"> </w:t>
      </w:r>
      <w:r>
        <w:t>en dicho cuerpo</w:t>
      </w:r>
      <w:r w:rsidRPr="00907D8D">
        <w:t>. Sírvanse asimismo consultar la información relativa al</w:t>
      </w:r>
      <w:r w:rsidR="005007D6">
        <w:t xml:space="preserve"> </w:t>
      </w:r>
      <w:r w:rsidRPr="00907D8D">
        <w:t>Tribunal de la Igualdad en los p</w:t>
      </w:r>
      <w:r>
        <w:t>árrafos</w:t>
      </w:r>
      <w:r w:rsidRPr="00907D8D">
        <w:t xml:space="preserve"> 163 </w:t>
      </w:r>
      <w:r>
        <w:t>y ss.</w:t>
      </w:r>
      <w:r w:rsidRPr="00907D8D">
        <w:t xml:space="preserve"> Sírvanse también consultar las estadísticas relativas a los casos tramitados por la </w:t>
      </w:r>
      <w:r>
        <w:t xml:space="preserve">Comisión del Ombudsman de la </w:t>
      </w:r>
      <w:r w:rsidRPr="00907D8D">
        <w:t>Garda Síochána (polic</w:t>
      </w:r>
      <w:r>
        <w:t>ía</w:t>
      </w:r>
      <w:r w:rsidRPr="00907D8D">
        <w:t xml:space="preserve">) </w:t>
      </w:r>
      <w:r>
        <w:t>e</w:t>
      </w:r>
      <w:r w:rsidRPr="00907D8D">
        <w:t xml:space="preserve">n </w:t>
      </w:r>
      <w:r>
        <w:t xml:space="preserve">los </w:t>
      </w:r>
      <w:r w:rsidRPr="00907D8D">
        <w:t>p</w:t>
      </w:r>
      <w:r>
        <w:t>ár</w:t>
      </w:r>
      <w:r w:rsidRPr="00907D8D">
        <w:t>ra</w:t>
      </w:r>
      <w:r>
        <w:t>fos</w:t>
      </w:r>
      <w:r w:rsidRPr="00907D8D">
        <w:t xml:space="preserve"> 75 </w:t>
      </w:r>
      <w:r>
        <w:t>y ss.</w:t>
      </w:r>
    </w:p>
    <w:p w:rsidR="000100D5" w:rsidRPr="005269E5" w:rsidRDefault="000100D5" w:rsidP="000100D5">
      <w:pPr>
        <w:pStyle w:val="H23G"/>
      </w:pPr>
      <w:r w:rsidRPr="00907D8D">
        <w:tab/>
      </w:r>
      <w:r w:rsidRPr="005269E5">
        <w:t>2.</w:t>
      </w:r>
      <w:r w:rsidRPr="005269E5">
        <w:tab/>
        <w:t>An Garda Síochána (</w:t>
      </w:r>
      <w:r>
        <w:t>cuerpo de p</w:t>
      </w:r>
      <w:r w:rsidRPr="005269E5">
        <w:t>olic</w:t>
      </w:r>
      <w:r>
        <w:t>ía</w:t>
      </w:r>
      <w:r w:rsidRPr="005269E5">
        <w:t>)</w:t>
      </w:r>
    </w:p>
    <w:p w:rsidR="000100D5" w:rsidRPr="005269E5" w:rsidRDefault="000100D5" w:rsidP="000100D5">
      <w:pPr>
        <w:pStyle w:val="SingleTxtG"/>
      </w:pPr>
      <w:r w:rsidRPr="005269E5">
        <w:t>230.</w:t>
      </w:r>
      <w:r w:rsidRPr="005269E5">
        <w:tab/>
      </w:r>
      <w:r>
        <w:t>Respecto de la aplicación de la</w:t>
      </w:r>
      <w:r w:rsidRPr="005269E5">
        <w:t xml:space="preserve"> reco</w:t>
      </w:r>
      <w:r>
        <w:t>mendac</w:t>
      </w:r>
      <w:r w:rsidRPr="005269E5">
        <w:t>i</w:t>
      </w:r>
      <w:r>
        <w:t>ó</w:t>
      </w:r>
      <w:r w:rsidRPr="005269E5">
        <w:t xml:space="preserve">n </w:t>
      </w:r>
      <w:r>
        <w:t xml:space="preserve">general </w:t>
      </w:r>
      <w:r w:rsidR="001A688E">
        <w:t>Nº</w:t>
      </w:r>
      <w:r w:rsidRPr="005269E5">
        <w:t xml:space="preserve"> 31 (2005), </w:t>
      </w:r>
      <w:r>
        <w:t>sírvanse consultar la</w:t>
      </w:r>
      <w:r w:rsidRPr="005269E5">
        <w:t xml:space="preserve"> informa</w:t>
      </w:r>
      <w:r>
        <w:t>c</w:t>
      </w:r>
      <w:r w:rsidRPr="005269E5">
        <w:t>i</w:t>
      </w:r>
      <w:r>
        <w:t>ón sobre la capacitación de la</w:t>
      </w:r>
      <w:r w:rsidRPr="005269E5">
        <w:t xml:space="preserve"> polic</w:t>
      </w:r>
      <w:r>
        <w:t>ía,</w:t>
      </w:r>
      <w:r w:rsidRPr="005269E5">
        <w:t xml:space="preserve"> cont</w:t>
      </w:r>
      <w:r>
        <w:t>e</w:t>
      </w:r>
      <w:r w:rsidRPr="005269E5">
        <w:t>n</w:t>
      </w:r>
      <w:r>
        <w:t>i</w:t>
      </w:r>
      <w:r w:rsidRPr="005269E5">
        <w:t>d</w:t>
      </w:r>
      <w:r>
        <w:t>a</w:t>
      </w:r>
      <w:r w:rsidRPr="005269E5">
        <w:t xml:space="preserve"> </w:t>
      </w:r>
      <w:r>
        <w:t xml:space="preserve">en los </w:t>
      </w:r>
      <w:r w:rsidRPr="005269E5">
        <w:t>p</w:t>
      </w:r>
      <w:r>
        <w:t>ár</w:t>
      </w:r>
      <w:r w:rsidRPr="005269E5">
        <w:t>ra</w:t>
      </w:r>
      <w:r>
        <w:t>fos</w:t>
      </w:r>
      <w:r w:rsidRPr="005269E5">
        <w:t xml:space="preserve"> 97 </w:t>
      </w:r>
      <w:r>
        <w:t>y ss</w:t>
      </w:r>
      <w:r w:rsidRPr="005269E5">
        <w:t xml:space="preserve">. </w:t>
      </w:r>
      <w:r>
        <w:t>y el A</w:t>
      </w:r>
      <w:r w:rsidRPr="005269E5">
        <w:t>p</w:t>
      </w:r>
      <w:r>
        <w:t>é</w:t>
      </w:r>
      <w:r w:rsidRPr="005269E5">
        <w:t>ndi</w:t>
      </w:r>
      <w:r>
        <w:t>ce</w:t>
      </w:r>
      <w:r w:rsidRPr="005269E5">
        <w:t xml:space="preserve"> II. </w:t>
      </w:r>
    </w:p>
    <w:p w:rsidR="000100D5" w:rsidRPr="005269E5" w:rsidRDefault="000100D5" w:rsidP="000100D5">
      <w:pPr>
        <w:pStyle w:val="H23G"/>
      </w:pPr>
      <w:r>
        <w:tab/>
        <w:t>3.</w:t>
      </w:r>
      <w:r>
        <w:tab/>
        <w:t>Servicio Penitenciario irlandés</w:t>
      </w:r>
    </w:p>
    <w:p w:rsidR="000100D5" w:rsidRPr="005315AD" w:rsidRDefault="000100D5" w:rsidP="000100D5">
      <w:pPr>
        <w:pStyle w:val="SingleTxtG"/>
      </w:pPr>
      <w:r w:rsidRPr="005269E5">
        <w:t>231.</w:t>
      </w:r>
      <w:r w:rsidRPr="005269E5">
        <w:tab/>
      </w:r>
      <w:r>
        <w:t>El Servicio Penitenciario irlandés</w:t>
      </w:r>
      <w:r w:rsidRPr="005269E5">
        <w:t xml:space="preserve"> ha</w:t>
      </w:r>
      <w:r>
        <w:t xml:space="preserve"> elaborado unas directrices globales administrativas y de capacitación</w:t>
      </w:r>
      <w:r w:rsidRPr="005269E5">
        <w:t xml:space="preserve"> </w:t>
      </w:r>
      <w:r>
        <w:t>que incorporan los principios de lucha contra el racismo</w:t>
      </w:r>
      <w:r w:rsidRPr="005269E5">
        <w:t xml:space="preserve"> </w:t>
      </w:r>
      <w:r>
        <w:t>Está prohibida la d</w:t>
      </w:r>
      <w:r w:rsidRPr="005269E5">
        <w:t>iscrimina</w:t>
      </w:r>
      <w:r>
        <w:t>c</w:t>
      </w:r>
      <w:r w:rsidRPr="005269E5">
        <w:t>i</w:t>
      </w:r>
      <w:r>
        <w:t>ón por ningún motivo, incluida la</w:t>
      </w:r>
      <w:r w:rsidRPr="005269E5">
        <w:t xml:space="preserve"> </w:t>
      </w:r>
      <w:r w:rsidR="00C67360">
        <w:t>"</w:t>
      </w:r>
      <w:r>
        <w:t>r</w:t>
      </w:r>
      <w:r w:rsidRPr="005269E5">
        <w:t>a</w:t>
      </w:r>
      <w:r>
        <w:t>za</w:t>
      </w:r>
      <w:r w:rsidR="00C67360">
        <w:t>"</w:t>
      </w:r>
      <w:r w:rsidRPr="005269E5">
        <w:t xml:space="preserve">. </w:t>
      </w:r>
      <w:r w:rsidRPr="005315AD">
        <w:t xml:space="preserve">La formación </w:t>
      </w:r>
      <w:r>
        <w:t xml:space="preserve">tiene por objeto </w:t>
      </w:r>
      <w:r w:rsidRPr="005315AD">
        <w:t>hace</w:t>
      </w:r>
      <w:r>
        <w:t>r</w:t>
      </w:r>
      <w:r w:rsidRPr="005315AD">
        <w:t xml:space="preserve"> efectivos los derechos humanos bási</w:t>
      </w:r>
      <w:r>
        <w:t>c</w:t>
      </w:r>
      <w:r w:rsidRPr="005315AD">
        <w:t xml:space="preserve">os de los presos en el </w:t>
      </w:r>
      <w:r>
        <w:t>ámbito</w:t>
      </w:r>
      <w:r w:rsidRPr="005315AD">
        <w:t xml:space="preserve"> de la legislación nacional e internacional en que han sido plasmados y </w:t>
      </w:r>
      <w:r>
        <w:t>aborda</w:t>
      </w:r>
      <w:r w:rsidRPr="005315AD">
        <w:t xml:space="preserve"> element</w:t>
      </w:r>
      <w:r>
        <w:t>o</w:t>
      </w:r>
      <w:r w:rsidRPr="005315AD">
        <w:t xml:space="preserve">s </w:t>
      </w:r>
      <w:r>
        <w:t>del</w:t>
      </w:r>
      <w:r w:rsidRPr="005315AD">
        <w:t xml:space="preserve"> context</w:t>
      </w:r>
      <w:r>
        <w:t>o ético del trabajo carcelario</w:t>
      </w:r>
      <w:r w:rsidRPr="005315AD">
        <w:t>. La formación permite a los funcionarios penitenciarios promover los derechos humanos en su establecimient</w:t>
      </w:r>
      <w:r>
        <w:t>o, garantizando que los que se encuentran bajo su</w:t>
      </w:r>
      <w:r w:rsidRPr="005315AD">
        <w:t xml:space="preserve"> custod</w:t>
      </w:r>
      <w:r>
        <w:t>ia</w:t>
      </w:r>
      <w:r w:rsidRPr="005315AD">
        <w:t xml:space="preserve"> </w:t>
      </w:r>
      <w:r>
        <w:t>sean</w:t>
      </w:r>
      <w:r w:rsidRPr="005315AD">
        <w:t xml:space="preserve"> trat</w:t>
      </w:r>
      <w:r>
        <w:t>a</w:t>
      </w:r>
      <w:r w:rsidRPr="005315AD">
        <w:t>d</w:t>
      </w:r>
      <w:r>
        <w:t>os con</w:t>
      </w:r>
      <w:r w:rsidRPr="005315AD">
        <w:t xml:space="preserve"> digni</w:t>
      </w:r>
      <w:r>
        <w:t>dad</w:t>
      </w:r>
      <w:r w:rsidRPr="005315AD">
        <w:t>, respet</w:t>
      </w:r>
      <w:r>
        <w:t>o y</w:t>
      </w:r>
      <w:r w:rsidRPr="005315AD">
        <w:t xml:space="preserve"> justic</w:t>
      </w:r>
      <w:r>
        <w:t>ia</w:t>
      </w:r>
      <w:r w:rsidRPr="005315AD">
        <w:t>.</w:t>
      </w:r>
    </w:p>
    <w:p w:rsidR="000100D5" w:rsidRPr="005269E5" w:rsidRDefault="000100D5" w:rsidP="000100D5">
      <w:pPr>
        <w:pStyle w:val="H23G"/>
      </w:pPr>
      <w:r w:rsidRPr="005315AD">
        <w:tab/>
      </w:r>
      <w:r>
        <w:t>4.</w:t>
      </w:r>
      <w:r>
        <w:tab/>
        <w:t>Servicio de Tribunales de Irlanda</w:t>
      </w:r>
    </w:p>
    <w:p w:rsidR="000100D5" w:rsidRPr="005269E5" w:rsidRDefault="000100D5" w:rsidP="000100D5">
      <w:pPr>
        <w:pStyle w:val="SingleTxtG"/>
      </w:pPr>
      <w:r w:rsidRPr="005269E5">
        <w:t>232.</w:t>
      </w:r>
      <w:r w:rsidRPr="005269E5">
        <w:tab/>
      </w:r>
      <w:r>
        <w:t>Todo el personal del Servicio de Tribunales de Irlanda está</w:t>
      </w:r>
      <w:r w:rsidRPr="005269E5">
        <w:t xml:space="preserve"> inform</w:t>
      </w:r>
      <w:r>
        <w:t>a</w:t>
      </w:r>
      <w:r w:rsidRPr="005269E5">
        <w:t>d</w:t>
      </w:r>
      <w:r>
        <w:t>o de las</w:t>
      </w:r>
      <w:r w:rsidRPr="005269E5">
        <w:t xml:space="preserve"> pol</w:t>
      </w:r>
      <w:r>
        <w:t>ít</w:t>
      </w:r>
      <w:r w:rsidRPr="005269E5">
        <w:t>ic</w:t>
      </w:r>
      <w:r>
        <w:t>a</w:t>
      </w:r>
      <w:r w:rsidRPr="005269E5">
        <w:t>s cont</w:t>
      </w:r>
      <w:r>
        <w:t>e</w:t>
      </w:r>
      <w:r w:rsidRPr="005269E5">
        <w:t>n</w:t>
      </w:r>
      <w:r>
        <w:t>i</w:t>
      </w:r>
      <w:r w:rsidRPr="005269E5">
        <w:t>d</w:t>
      </w:r>
      <w:r>
        <w:t>as</w:t>
      </w:r>
      <w:r w:rsidRPr="005269E5">
        <w:t xml:space="preserve"> </w:t>
      </w:r>
      <w:r>
        <w:t>e</w:t>
      </w:r>
      <w:r w:rsidRPr="005269E5">
        <w:t xml:space="preserve">n </w:t>
      </w:r>
      <w:r>
        <w:t>el Código de Normas de Comportamiento y la Carta de Clientes del</w:t>
      </w:r>
      <w:r w:rsidR="005007D6">
        <w:t xml:space="preserve"> </w:t>
      </w:r>
      <w:r>
        <w:t>Servicio de Tribunales, que</w:t>
      </w:r>
      <w:r w:rsidRPr="005269E5">
        <w:t xml:space="preserve"> </w:t>
      </w:r>
      <w:r>
        <w:t>e</w:t>
      </w:r>
      <w:r w:rsidRPr="005269E5">
        <w:t>specifi</w:t>
      </w:r>
      <w:r>
        <w:t>ca que todos los usuarios de la justicia deberán ser tratados</w:t>
      </w:r>
      <w:r w:rsidRPr="005269E5">
        <w:t xml:space="preserve"> </w:t>
      </w:r>
      <w:r>
        <w:t>de un modo justo y transparente,</w:t>
      </w:r>
      <w:r w:rsidRPr="005269E5">
        <w:t xml:space="preserve"> </w:t>
      </w:r>
      <w:r>
        <w:t>sin distinción de raza, género, situación socioeconómica</w:t>
      </w:r>
      <w:r w:rsidRPr="005269E5">
        <w:t>, l</w:t>
      </w:r>
      <w:r>
        <w:t>e</w:t>
      </w:r>
      <w:r w:rsidRPr="005269E5">
        <w:t>ngua, dis</w:t>
      </w:r>
      <w:r>
        <w:t>c</w:t>
      </w:r>
      <w:r w:rsidRPr="005269E5">
        <w:t>a</w:t>
      </w:r>
      <w:r>
        <w:t>pacidad</w:t>
      </w:r>
      <w:r w:rsidRPr="005269E5">
        <w:t xml:space="preserve">, </w:t>
      </w:r>
      <w:r>
        <w:t>y</w:t>
      </w:r>
      <w:r w:rsidRPr="005269E5">
        <w:t>/</w:t>
      </w:r>
      <w:r>
        <w:t>u</w:t>
      </w:r>
      <w:r w:rsidRPr="005269E5">
        <w:t xml:space="preserve"> otr</w:t>
      </w:r>
      <w:r>
        <w:t>os</w:t>
      </w:r>
      <w:r w:rsidRPr="005269E5">
        <w:t xml:space="preserve"> atribut</w:t>
      </w:r>
      <w:r>
        <w:t>o</w:t>
      </w:r>
      <w:r w:rsidRPr="005269E5">
        <w:t>s</w:t>
      </w:r>
      <w:r>
        <w:t xml:space="preserve"> sociales</w:t>
      </w:r>
      <w:r w:rsidRPr="005269E5">
        <w:t xml:space="preserve">. </w:t>
      </w:r>
    </w:p>
    <w:p w:rsidR="000100D5" w:rsidRPr="005269E5" w:rsidRDefault="000100D5" w:rsidP="000100D5">
      <w:pPr>
        <w:pStyle w:val="H23G"/>
      </w:pPr>
      <w:r w:rsidRPr="005269E5">
        <w:tab/>
        <w:t>5.</w:t>
      </w:r>
      <w:r w:rsidRPr="005269E5">
        <w:tab/>
      </w:r>
      <w:r>
        <w:t>Capacitación j</w:t>
      </w:r>
      <w:r w:rsidRPr="005269E5">
        <w:t xml:space="preserve">udicial </w:t>
      </w:r>
      <w:r>
        <w:t>en materia de</w:t>
      </w:r>
      <w:r w:rsidRPr="005269E5">
        <w:t xml:space="preserve"> discrimina</w:t>
      </w:r>
      <w:r>
        <w:t>c</w:t>
      </w:r>
      <w:r w:rsidRPr="005269E5">
        <w:t>i</w:t>
      </w:r>
      <w:r>
        <w:t>ó</w:t>
      </w:r>
      <w:r w:rsidRPr="005269E5">
        <w:t>n</w:t>
      </w:r>
      <w:r>
        <w:t xml:space="preserve"> racial</w:t>
      </w:r>
      <w:r w:rsidRPr="005269E5">
        <w:t>/</w:t>
      </w:r>
      <w:r>
        <w:t xml:space="preserve">Instituto de Estudios </w:t>
      </w:r>
      <w:r w:rsidRPr="005269E5">
        <w:t>Judicial</w:t>
      </w:r>
      <w:r>
        <w:t>es</w:t>
      </w:r>
    </w:p>
    <w:p w:rsidR="000100D5" w:rsidRPr="005269E5" w:rsidRDefault="000100D5" w:rsidP="000100D5">
      <w:pPr>
        <w:pStyle w:val="SingleTxtG"/>
      </w:pPr>
      <w:r w:rsidRPr="005269E5">
        <w:t>233.</w:t>
      </w:r>
      <w:r w:rsidRPr="005269E5">
        <w:tab/>
      </w:r>
      <w:r>
        <w:t>El artículo 19 de la Ley</w:t>
      </w:r>
      <w:r w:rsidRPr="005269E5">
        <w:t xml:space="preserve"> </w:t>
      </w:r>
      <w:r>
        <w:t>sobre los tribunales y los ofici</w:t>
      </w:r>
      <w:r w:rsidR="00656EE4">
        <w:t>ales de justicia, de1995, prevé </w:t>
      </w:r>
      <w:r>
        <w:t>que:</w:t>
      </w:r>
    </w:p>
    <w:p w:rsidR="000100D5" w:rsidRPr="0089087B" w:rsidRDefault="00E03EF2" w:rsidP="000100D5">
      <w:pPr>
        <w:pStyle w:val="SingleTxtG"/>
        <w:ind w:left="1701"/>
      </w:pPr>
      <w:r>
        <w:t>"</w:t>
      </w:r>
      <w:r w:rsidR="000100D5" w:rsidRPr="0089087B">
        <w:t>Toda persona que desee ser nombrada a un cargo judicial deberá aceptar, si resulta nombrada, participar en el curso o los cursos de formación o educación que le señalen</w:t>
      </w:r>
      <w:r w:rsidR="000100D5">
        <w:t xml:space="preserve"> el Presidente del Tribunal Sup</w:t>
      </w:r>
      <w:r w:rsidR="000100D5" w:rsidRPr="0089087B">
        <w:t>r</w:t>
      </w:r>
      <w:r w:rsidR="000100D5">
        <w:t>em</w:t>
      </w:r>
      <w:r w:rsidR="000100D5" w:rsidRPr="0089087B">
        <w:t>o o el Presidente del Tribunal al que sea nombrada.</w:t>
      </w:r>
      <w:r>
        <w:t>"</w:t>
      </w:r>
    </w:p>
    <w:p w:rsidR="000100D5" w:rsidRPr="005269E5" w:rsidRDefault="000100D5" w:rsidP="000100D5">
      <w:pPr>
        <w:pStyle w:val="SingleTxtG"/>
      </w:pPr>
      <w:r w:rsidRPr="005269E5">
        <w:t>234.</w:t>
      </w:r>
      <w:r w:rsidRPr="005269E5">
        <w:tab/>
      </w:r>
      <w:r>
        <w:t>El artículo</w:t>
      </w:r>
      <w:r w:rsidRPr="005269E5">
        <w:t xml:space="preserve"> 48 pr</w:t>
      </w:r>
      <w:r>
        <w:t xml:space="preserve">evé que </w:t>
      </w:r>
      <w:r w:rsidR="00E03EF2">
        <w:t>"</w:t>
      </w:r>
      <w:r>
        <w:t>El</w:t>
      </w:r>
      <w:r w:rsidRPr="005269E5">
        <w:t xml:space="preserve"> Ministr</w:t>
      </w:r>
      <w:r>
        <w:t>o</w:t>
      </w:r>
      <w:r w:rsidRPr="005269E5">
        <w:t xml:space="preserve"> (</w:t>
      </w:r>
      <w:r>
        <w:t>de</w:t>
      </w:r>
      <w:r w:rsidRPr="005269E5">
        <w:t xml:space="preserve"> Justic</w:t>
      </w:r>
      <w:r>
        <w:t>ia</w:t>
      </w:r>
      <w:r w:rsidRPr="005269E5">
        <w:t xml:space="preserve">, </w:t>
      </w:r>
      <w:r>
        <w:t>Igualdad y Reforma Jurídica) podrá facilitar,</w:t>
      </w:r>
      <w:r w:rsidRPr="005269E5">
        <w:t xml:space="preserve"> </w:t>
      </w:r>
      <w:r>
        <w:t>con el</w:t>
      </w:r>
      <w:r w:rsidRPr="005269E5">
        <w:t xml:space="preserve"> </w:t>
      </w:r>
      <w:r>
        <w:t>a</w:t>
      </w:r>
      <w:r w:rsidRPr="005269E5">
        <w:t>sent</w:t>
      </w:r>
      <w:r>
        <w:t>imiento del</w:t>
      </w:r>
      <w:r w:rsidRPr="005269E5">
        <w:t xml:space="preserve"> Ministr</w:t>
      </w:r>
      <w:r>
        <w:t>o de Finanzas,</w:t>
      </w:r>
      <w:r w:rsidRPr="005269E5">
        <w:t xml:space="preserve"> f</w:t>
      </w:r>
      <w:r>
        <w:t>o</w:t>
      </w:r>
      <w:r w:rsidRPr="005269E5">
        <w:t>nd</w:t>
      </w:r>
      <w:r>
        <w:t>o</w:t>
      </w:r>
      <w:r w:rsidRPr="005269E5">
        <w:t xml:space="preserve">s </w:t>
      </w:r>
      <w:r>
        <w:t>para la formación y la educación de los jueces</w:t>
      </w:r>
      <w:r w:rsidR="00E03EF2">
        <w:t>"</w:t>
      </w:r>
      <w:r>
        <w:t>.</w:t>
      </w:r>
    </w:p>
    <w:p w:rsidR="000100D5" w:rsidRPr="00B24878" w:rsidRDefault="000100D5" w:rsidP="000100D5">
      <w:pPr>
        <w:pStyle w:val="SingleTxtG"/>
      </w:pPr>
      <w:r w:rsidRPr="005269E5">
        <w:t>235.</w:t>
      </w:r>
      <w:r w:rsidRPr="005269E5">
        <w:tab/>
        <w:t>A</w:t>
      </w:r>
      <w:r>
        <w:t xml:space="preserve"> raíz de la entrada en vigor de dichos artículos de la Ley sobre los tribunales y los oficiales de justicia</w:t>
      </w:r>
      <w:r w:rsidRPr="005269E5">
        <w:t xml:space="preserve">, </w:t>
      </w:r>
      <w:r>
        <w:t xml:space="preserve">el entonces Presidente del Tribunal Supremo, el </w:t>
      </w:r>
      <w:r w:rsidR="005C4174">
        <w:t>Excmo</w:t>
      </w:r>
      <w:r>
        <w:t>. Sr. Juez Liam Hamilton, creó a mediados de 1996 el Instituto de Estudios</w:t>
      </w:r>
      <w:r w:rsidRPr="005269E5">
        <w:t xml:space="preserve"> Judicial</w:t>
      </w:r>
      <w:r>
        <w:t>es, para hacerse cargo de la formación y la</w:t>
      </w:r>
      <w:r w:rsidRPr="005269E5">
        <w:t xml:space="preserve"> educa</w:t>
      </w:r>
      <w:r>
        <w:t>c</w:t>
      </w:r>
      <w:r w:rsidRPr="005269E5">
        <w:t>i</w:t>
      </w:r>
      <w:r>
        <w:t>ó</w:t>
      </w:r>
      <w:r w:rsidRPr="005269E5">
        <w:t xml:space="preserve">n </w:t>
      </w:r>
      <w:r>
        <w:t>permanente de la</w:t>
      </w:r>
      <w:r w:rsidRPr="005269E5">
        <w:t xml:space="preserve"> </w:t>
      </w:r>
      <w:r>
        <w:t>judicatura.</w:t>
      </w:r>
      <w:r w:rsidRPr="005269E5">
        <w:t xml:space="preserve"> </w:t>
      </w:r>
      <w:r w:rsidRPr="00B24878">
        <w:t xml:space="preserve">Los recursos iniciales para hacer efectivos esos artículos fueron suministrados por el Ministro de Justicia, </w:t>
      </w:r>
      <w:r>
        <w:t>Igualdad y Reforma Jurídica</w:t>
      </w:r>
      <w:r w:rsidRPr="00B24878">
        <w:t>.</w:t>
      </w:r>
    </w:p>
    <w:p w:rsidR="000100D5" w:rsidRPr="006E30E5" w:rsidRDefault="000100D5" w:rsidP="000100D5">
      <w:pPr>
        <w:pStyle w:val="SingleTxtG"/>
      </w:pPr>
      <w:r>
        <w:t>236.</w:t>
      </w:r>
      <w:r>
        <w:tab/>
        <w:t>La func</w:t>
      </w:r>
      <w:r w:rsidRPr="005269E5">
        <w:t>i</w:t>
      </w:r>
      <w:r>
        <w:t>ó</w:t>
      </w:r>
      <w:r w:rsidRPr="005269E5">
        <w:t xml:space="preserve">n </w:t>
      </w:r>
      <w:r>
        <w:t>del Instituto de Estudios</w:t>
      </w:r>
      <w:r w:rsidRPr="005269E5">
        <w:t xml:space="preserve"> Judicial</w:t>
      </w:r>
      <w:r>
        <w:t>es</w:t>
      </w:r>
      <w:r w:rsidRPr="005269E5">
        <w:t xml:space="preserve"> </w:t>
      </w:r>
      <w:r>
        <w:t>e</w:t>
      </w:r>
      <w:r w:rsidRPr="005269E5">
        <w:t>st</w:t>
      </w:r>
      <w:r>
        <w:t>riba en</w:t>
      </w:r>
      <w:r w:rsidRPr="005269E5">
        <w:t xml:space="preserve"> organi</w:t>
      </w:r>
      <w:r>
        <w:t>zar conferencia</w:t>
      </w:r>
      <w:r w:rsidRPr="005269E5">
        <w:t>s, seminar</w:t>
      </w:r>
      <w:r>
        <w:t>io</w:t>
      </w:r>
      <w:r w:rsidRPr="005269E5">
        <w:t xml:space="preserve">s </w:t>
      </w:r>
      <w:r>
        <w:t>y</w:t>
      </w:r>
      <w:r w:rsidRPr="005269E5">
        <w:t xml:space="preserve"> </w:t>
      </w:r>
      <w:r>
        <w:t>charlas sobre temas jurídicos para los</w:t>
      </w:r>
      <w:r w:rsidRPr="005269E5">
        <w:t xml:space="preserve"> m</w:t>
      </w:r>
      <w:r>
        <w:t>i</w:t>
      </w:r>
      <w:r w:rsidRPr="005269E5">
        <w:t>embr</w:t>
      </w:r>
      <w:r>
        <w:t>o</w:t>
      </w:r>
      <w:r w:rsidRPr="005269E5">
        <w:t xml:space="preserve">s </w:t>
      </w:r>
      <w:r>
        <w:t>de la</w:t>
      </w:r>
      <w:r w:rsidRPr="005269E5">
        <w:t xml:space="preserve"> judica</w:t>
      </w:r>
      <w:r>
        <w:t>tu</w:t>
      </w:r>
      <w:r w:rsidRPr="005269E5">
        <w:t>r</w:t>
      </w:r>
      <w:r>
        <w:t>a</w:t>
      </w:r>
      <w:r w:rsidRPr="005269E5">
        <w:t xml:space="preserve">. </w:t>
      </w:r>
      <w:r w:rsidRPr="00C607A2">
        <w:t>El objetivo consiste en ampliar los conocimientos y la comprensión de la ley y los principios jurídicos entre los jueces, haciendo especial hincapié en las novedades</w:t>
      </w:r>
      <w:r>
        <w:t xml:space="preserve"> en ese ámbito</w:t>
      </w:r>
      <w:r w:rsidRPr="00C607A2">
        <w:t>, incluid</w:t>
      </w:r>
      <w:r>
        <w:t>a la</w:t>
      </w:r>
      <w:r w:rsidRPr="00C607A2">
        <w:t xml:space="preserve"> legisla</w:t>
      </w:r>
      <w:r>
        <w:t>c</w:t>
      </w:r>
      <w:r w:rsidRPr="00C607A2">
        <w:t>i</w:t>
      </w:r>
      <w:r>
        <w:t>ó</w:t>
      </w:r>
      <w:r w:rsidRPr="00C607A2">
        <w:t>n. Entre sus principales actividades</w:t>
      </w:r>
      <w:r>
        <w:t xml:space="preserve"> </w:t>
      </w:r>
      <w:r w:rsidRPr="00C607A2">
        <w:t>hay que citar la organización de conferencias judiciales anuales para los jueces de los Tribunales Superiores</w:t>
      </w:r>
      <w:r>
        <w:t>,</w:t>
      </w:r>
      <w:r w:rsidRPr="00C607A2">
        <w:t xml:space="preserve"> </w:t>
      </w:r>
      <w:r>
        <w:t>el tribunal de</w:t>
      </w:r>
      <w:r w:rsidRPr="00C607A2">
        <w:t xml:space="preserve"> </w:t>
      </w:r>
      <w:r>
        <w:t>c</w:t>
      </w:r>
      <w:r w:rsidRPr="00C607A2">
        <w:t>ircuit</w:t>
      </w:r>
      <w:r>
        <w:t>o y el tribunal de d</w:t>
      </w:r>
      <w:r w:rsidRPr="00C607A2">
        <w:t>istrit</w:t>
      </w:r>
      <w:r>
        <w:t>o</w:t>
      </w:r>
      <w:r w:rsidRPr="00C607A2">
        <w:t xml:space="preserve"> respectiv</w:t>
      </w:r>
      <w:r>
        <w:t>amente</w:t>
      </w:r>
      <w:r w:rsidRPr="00C607A2">
        <w:t xml:space="preserve"> </w:t>
      </w:r>
      <w:r>
        <w:t xml:space="preserve">y una conferencia </w:t>
      </w:r>
      <w:r w:rsidRPr="00C607A2">
        <w:t>anual na</w:t>
      </w:r>
      <w:r>
        <w:t>c</w:t>
      </w:r>
      <w:r w:rsidRPr="00C607A2">
        <w:t xml:space="preserve">ional </w:t>
      </w:r>
      <w:r>
        <w:t>para los</w:t>
      </w:r>
      <w:r w:rsidRPr="00C607A2">
        <w:t xml:space="preserve"> ju</w:t>
      </w:r>
      <w:r>
        <w:t>ec</w:t>
      </w:r>
      <w:r w:rsidRPr="00C607A2">
        <w:t xml:space="preserve">es </w:t>
      </w:r>
      <w:r>
        <w:t>de todos los</w:t>
      </w:r>
      <w:r w:rsidRPr="00C607A2">
        <w:t xml:space="preserve"> </w:t>
      </w:r>
      <w:r>
        <w:t>tribunales</w:t>
      </w:r>
      <w:r w:rsidRPr="00C607A2">
        <w:t xml:space="preserve">. </w:t>
      </w:r>
      <w:r w:rsidRPr="006E30E5">
        <w:t>Se organizan también para cada jurisdicción seminarios so</w:t>
      </w:r>
      <w:r>
        <w:t>bre</w:t>
      </w:r>
      <w:r w:rsidRPr="006E30E5">
        <w:t xml:space="preserve"> </w:t>
      </w:r>
      <w:r>
        <w:t>temas específicos</w:t>
      </w:r>
      <w:r w:rsidRPr="006E30E5">
        <w:t>. El Instituto designa</w:t>
      </w:r>
      <w:r>
        <w:t>, cuando procede,</w:t>
      </w:r>
      <w:r w:rsidRPr="006E30E5">
        <w:t xml:space="preserve"> a los jueces que asistirán a conferencias internacionales sobre temas jur</w:t>
      </w:r>
      <w:r>
        <w:t>ídicos</w:t>
      </w:r>
      <w:r w:rsidRPr="006E30E5">
        <w:t>.</w:t>
      </w:r>
    </w:p>
    <w:p w:rsidR="000100D5" w:rsidRPr="005269E5" w:rsidRDefault="000100D5" w:rsidP="000100D5">
      <w:pPr>
        <w:pStyle w:val="SingleTxtG"/>
      </w:pPr>
      <w:r w:rsidRPr="005269E5">
        <w:t>237.</w:t>
      </w:r>
      <w:r w:rsidRPr="005269E5">
        <w:tab/>
      </w:r>
      <w:r>
        <w:t>Para más</w:t>
      </w:r>
      <w:r w:rsidRPr="005269E5">
        <w:t xml:space="preserve"> informa</w:t>
      </w:r>
      <w:r>
        <w:t>c</w:t>
      </w:r>
      <w:r w:rsidRPr="005269E5">
        <w:t>i</w:t>
      </w:r>
      <w:r>
        <w:t>ó</w:t>
      </w:r>
      <w:r w:rsidRPr="005269E5">
        <w:t>n so</w:t>
      </w:r>
      <w:r>
        <w:t>bre algunos de los</w:t>
      </w:r>
      <w:r w:rsidRPr="005269E5">
        <w:t xml:space="preserve"> t</w:t>
      </w:r>
      <w:r>
        <w:t>emas</w:t>
      </w:r>
      <w:r w:rsidRPr="005269E5">
        <w:t xml:space="preserve"> c</w:t>
      </w:r>
      <w:r>
        <w:t>ubiertos en las</w:t>
      </w:r>
      <w:r w:rsidRPr="005269E5">
        <w:t xml:space="preserve"> conferenc</w:t>
      </w:r>
      <w:r>
        <w:t>ias</w:t>
      </w:r>
      <w:r w:rsidRPr="005269E5">
        <w:t xml:space="preserve"> relati</w:t>
      </w:r>
      <w:r>
        <w:t>vas a la</w:t>
      </w:r>
      <w:r w:rsidRPr="005269E5">
        <w:t xml:space="preserve"> discrimina</w:t>
      </w:r>
      <w:r>
        <w:t>c</w:t>
      </w:r>
      <w:r w:rsidRPr="005269E5">
        <w:t>i</w:t>
      </w:r>
      <w:r>
        <w:t>ó</w:t>
      </w:r>
      <w:r w:rsidRPr="005269E5">
        <w:t xml:space="preserve">n </w:t>
      </w:r>
      <w:r>
        <w:t>racial desde</w:t>
      </w:r>
      <w:r w:rsidRPr="005269E5">
        <w:t xml:space="preserve"> 2</w:t>
      </w:r>
      <w:r>
        <w:t>000, sírvanse consultar el Apéndice III.</w:t>
      </w:r>
    </w:p>
    <w:p w:rsidR="000100D5" w:rsidRPr="005D4F20" w:rsidRDefault="000100D5" w:rsidP="000100D5">
      <w:pPr>
        <w:pStyle w:val="SingleTxtG"/>
      </w:pPr>
      <w:r w:rsidRPr="005269E5">
        <w:t>238.</w:t>
      </w:r>
      <w:r w:rsidRPr="005269E5">
        <w:tab/>
      </w:r>
      <w:r>
        <w:t>La asistencia media a las</w:t>
      </w:r>
      <w:r w:rsidRPr="005269E5">
        <w:t xml:space="preserve"> conferenc</w:t>
      </w:r>
      <w:r>
        <w:t>ias</w:t>
      </w:r>
      <w:r w:rsidRPr="005269E5">
        <w:t xml:space="preserve"> organi</w:t>
      </w:r>
      <w:r>
        <w:t>zadas por el Instituto de Estudios</w:t>
      </w:r>
      <w:r w:rsidRPr="005269E5">
        <w:t xml:space="preserve"> Judicial</w:t>
      </w:r>
      <w:r>
        <w:t>es ha rondado el</w:t>
      </w:r>
      <w:r w:rsidRPr="005269E5">
        <w:t xml:space="preserve"> 95%</w:t>
      </w:r>
      <w:r>
        <w:t>, llegando incluso en algunas ocasiones, al</w:t>
      </w:r>
      <w:r w:rsidRPr="005269E5">
        <w:t xml:space="preserve"> 100%</w:t>
      </w:r>
      <w:r>
        <w:t>.</w:t>
      </w:r>
      <w:r w:rsidRPr="005269E5">
        <w:t xml:space="preserve"> </w:t>
      </w:r>
      <w:r w:rsidR="00197004">
        <w:t>Los </w:t>
      </w:r>
      <w:r w:rsidRPr="005D4F20">
        <w:t>miembros de la judicatura asisten así mismo frecuentemente o participan en conferencias, seminarios y charlas relativas a temas jurídicos organizados por organismos externos como universi</w:t>
      </w:r>
      <w:r>
        <w:t>dades</w:t>
      </w:r>
      <w:r w:rsidRPr="005D4F20">
        <w:t>, asocia</w:t>
      </w:r>
      <w:r>
        <w:t>c</w:t>
      </w:r>
      <w:r w:rsidRPr="005D4F20">
        <w:t>ion</w:t>
      </w:r>
      <w:r>
        <w:t>e</w:t>
      </w:r>
      <w:r w:rsidRPr="005D4F20">
        <w:t xml:space="preserve">s </w:t>
      </w:r>
      <w:r>
        <w:t>jurídicas y otros grupos i</w:t>
      </w:r>
      <w:r w:rsidRPr="005D4F20">
        <w:t>nteres</w:t>
      </w:r>
      <w:r>
        <w:t>ados</w:t>
      </w:r>
      <w:r w:rsidRPr="005D4F20">
        <w:t>.</w:t>
      </w:r>
    </w:p>
    <w:p w:rsidR="000100D5" w:rsidRPr="005269E5" w:rsidRDefault="000100D5" w:rsidP="000100D5">
      <w:pPr>
        <w:pStyle w:val="SingleTxtG"/>
      </w:pPr>
      <w:r w:rsidRPr="005269E5">
        <w:t>239.</w:t>
      </w:r>
      <w:r w:rsidRPr="005269E5">
        <w:tab/>
      </w:r>
      <w:r>
        <w:t>El Instituto de Estudios</w:t>
      </w:r>
      <w:r w:rsidRPr="005269E5">
        <w:t xml:space="preserve"> Judicial</w:t>
      </w:r>
      <w:r>
        <w:t>es</w:t>
      </w:r>
      <w:r w:rsidRPr="005269E5">
        <w:t xml:space="preserve"> </w:t>
      </w:r>
      <w:r>
        <w:t>mantiene contactos con muchos órganos similares, tanto en Europa como a nivel internacional.</w:t>
      </w:r>
    </w:p>
    <w:p w:rsidR="000100D5" w:rsidRPr="007D4847" w:rsidRDefault="000100D5" w:rsidP="000100D5">
      <w:pPr>
        <w:pStyle w:val="SingleTxtG"/>
      </w:pPr>
      <w:r w:rsidRPr="005269E5">
        <w:t>240.</w:t>
      </w:r>
      <w:r w:rsidRPr="005269E5">
        <w:tab/>
      </w:r>
      <w:r>
        <w:t>El Instituto de Estudios</w:t>
      </w:r>
      <w:r w:rsidRPr="005269E5">
        <w:t xml:space="preserve"> Judicial</w:t>
      </w:r>
      <w:r>
        <w:t>es</w:t>
      </w:r>
      <w:r w:rsidRPr="005269E5">
        <w:t xml:space="preserve"> </w:t>
      </w:r>
      <w:r>
        <w:t>ha impulsado a la</w:t>
      </w:r>
      <w:r w:rsidRPr="005269E5">
        <w:t xml:space="preserve"> Universi</w:t>
      </w:r>
      <w:r>
        <w:t>dad de</w:t>
      </w:r>
      <w:r w:rsidRPr="005269E5">
        <w:t xml:space="preserve"> Limerick </w:t>
      </w:r>
      <w:r>
        <w:t xml:space="preserve">a iniciar un </w:t>
      </w:r>
      <w:r w:rsidRPr="005269E5">
        <w:t>proces</w:t>
      </w:r>
      <w:r>
        <w:t>o de</w:t>
      </w:r>
      <w:r w:rsidRPr="005269E5">
        <w:t xml:space="preserve"> evalua</w:t>
      </w:r>
      <w:r>
        <w:t>c</w:t>
      </w:r>
      <w:r w:rsidRPr="005269E5">
        <w:t>i</w:t>
      </w:r>
      <w:r>
        <w:t>ó</w:t>
      </w:r>
      <w:r w:rsidRPr="005269E5">
        <w:t>n, asist</w:t>
      </w:r>
      <w:r>
        <w:t>e</w:t>
      </w:r>
      <w:r w:rsidRPr="005269E5">
        <w:t>nc</w:t>
      </w:r>
      <w:r>
        <w:t>ia y revisión</w:t>
      </w:r>
      <w:r w:rsidRPr="005269E5">
        <w:t xml:space="preserve"> </w:t>
      </w:r>
      <w:r>
        <w:t>e</w:t>
      </w:r>
      <w:r w:rsidRPr="005269E5">
        <w:t>strat</w:t>
      </w:r>
      <w:r>
        <w:t>é</w:t>
      </w:r>
      <w:r w:rsidRPr="005269E5">
        <w:t>gic</w:t>
      </w:r>
      <w:r>
        <w:t>a</w:t>
      </w:r>
      <w:r w:rsidRPr="005269E5">
        <w:t xml:space="preserve"> </w:t>
      </w:r>
      <w:r>
        <w:t>del</w:t>
      </w:r>
      <w:r w:rsidRPr="005269E5">
        <w:t xml:space="preserve"> </w:t>
      </w:r>
      <w:r>
        <w:t>mismo</w:t>
      </w:r>
      <w:r w:rsidRPr="005269E5">
        <w:t xml:space="preserve">. </w:t>
      </w:r>
      <w:r w:rsidRPr="007D4847">
        <w:t>Se ha recibido ya el informe final, que se está examinando en el Departament</w:t>
      </w:r>
      <w:r>
        <w:t>o</w:t>
      </w:r>
      <w:r w:rsidRPr="007D4847">
        <w:t xml:space="preserve"> </w:t>
      </w:r>
      <w:r>
        <w:t>de</w:t>
      </w:r>
      <w:r w:rsidRPr="007D4847">
        <w:t xml:space="preserve"> Justic</w:t>
      </w:r>
      <w:r>
        <w:t>ia</w:t>
      </w:r>
      <w:r w:rsidRPr="007D4847">
        <w:t xml:space="preserve">, </w:t>
      </w:r>
      <w:r>
        <w:t>Ig</w:t>
      </w:r>
      <w:r w:rsidRPr="007D4847">
        <w:t>ual</w:t>
      </w:r>
      <w:r>
        <w:t xml:space="preserve">dad y </w:t>
      </w:r>
      <w:r w:rsidRPr="007D4847">
        <w:t>Reform</w:t>
      </w:r>
      <w:r>
        <w:t>a Jurídica</w:t>
      </w:r>
      <w:r w:rsidRPr="007D4847">
        <w:t>.</w:t>
      </w:r>
    </w:p>
    <w:p w:rsidR="000100D5" w:rsidRPr="002E19CA" w:rsidRDefault="000100D5" w:rsidP="000100D5">
      <w:pPr>
        <w:pStyle w:val="SingleTxtG"/>
      </w:pPr>
      <w:r w:rsidRPr="005269E5">
        <w:t>241.</w:t>
      </w:r>
      <w:r w:rsidRPr="005269E5">
        <w:tab/>
      </w:r>
      <w:r>
        <w:t>El derecho a la</w:t>
      </w:r>
      <w:r w:rsidRPr="005269E5">
        <w:t xml:space="preserve"> se</w:t>
      </w:r>
      <w:r>
        <w:t>g</w:t>
      </w:r>
      <w:r w:rsidRPr="005269E5">
        <w:t>uri</w:t>
      </w:r>
      <w:r>
        <w:t>dad</w:t>
      </w:r>
      <w:r w:rsidRPr="005269E5">
        <w:t xml:space="preserve"> person</w:t>
      </w:r>
      <w:r>
        <w:t>al y a la</w:t>
      </w:r>
      <w:r w:rsidRPr="005269E5">
        <w:t xml:space="preserve"> protec</w:t>
      </w:r>
      <w:r>
        <w:t>c</w:t>
      </w:r>
      <w:r w:rsidRPr="005269E5">
        <w:t>i</w:t>
      </w:r>
      <w:r>
        <w:t>ó</w:t>
      </w:r>
      <w:r w:rsidRPr="005269E5">
        <w:t xml:space="preserve">n </w:t>
      </w:r>
      <w:r>
        <w:t>del</w:t>
      </w:r>
      <w:r w:rsidRPr="005269E5">
        <w:t xml:space="preserve"> </w:t>
      </w:r>
      <w:r>
        <w:t>Es</w:t>
      </w:r>
      <w:r w:rsidRPr="005269E5">
        <w:t>ta</w:t>
      </w:r>
      <w:r>
        <w:t>do contra todo acto de</w:t>
      </w:r>
      <w:r w:rsidRPr="005269E5">
        <w:t xml:space="preserve"> violenc</w:t>
      </w:r>
      <w:r>
        <w:t>ia</w:t>
      </w:r>
      <w:r w:rsidRPr="005269E5">
        <w:t xml:space="preserve"> o</w:t>
      </w:r>
      <w:r>
        <w:t xml:space="preserve"> atentado contra la integridad personal cometido por funcionarios públicos o por cualquier individuo,</w:t>
      </w:r>
      <w:r w:rsidRPr="005269E5">
        <w:t xml:space="preserve"> grup</w:t>
      </w:r>
      <w:r>
        <w:t>o</w:t>
      </w:r>
      <w:r w:rsidRPr="005269E5">
        <w:t xml:space="preserve"> o institu</w:t>
      </w:r>
      <w:r>
        <w:t>c</w:t>
      </w:r>
      <w:r w:rsidRPr="005269E5">
        <w:t>i</w:t>
      </w:r>
      <w:r>
        <w:t>ó</w:t>
      </w:r>
      <w:r w:rsidRPr="005269E5">
        <w:t>n</w:t>
      </w:r>
      <w:r>
        <w:t xml:space="preserve"> se enmarca</w:t>
      </w:r>
      <w:r w:rsidRPr="002E19CA">
        <w:t xml:space="preserve"> en la protección general de los derechos, consagrad</w:t>
      </w:r>
      <w:r>
        <w:t>a</w:t>
      </w:r>
      <w:r w:rsidRPr="002E19CA">
        <w:t xml:space="preserve"> en el artículo 40 de la Constitu</w:t>
      </w:r>
      <w:r>
        <w:t>c</w:t>
      </w:r>
      <w:r w:rsidRPr="002E19CA">
        <w:t>i</w:t>
      </w:r>
      <w:r>
        <w:t>ó</w:t>
      </w:r>
      <w:r w:rsidRPr="002E19CA">
        <w:t xml:space="preserve">n </w:t>
      </w:r>
      <w:r>
        <w:t>de</w:t>
      </w:r>
      <w:r w:rsidRPr="002E19CA">
        <w:t xml:space="preserve"> Irland</w:t>
      </w:r>
      <w:r>
        <w:t>a</w:t>
      </w:r>
      <w:r w:rsidRPr="002E19CA">
        <w:t xml:space="preserve">, </w:t>
      </w:r>
      <w:r>
        <w:t>que establece que</w:t>
      </w:r>
      <w:r w:rsidRPr="002E19CA">
        <w:t>:</w:t>
      </w:r>
    </w:p>
    <w:p w:rsidR="000100D5" w:rsidRPr="00AB5B8A" w:rsidRDefault="000100D5" w:rsidP="000100D5">
      <w:pPr>
        <w:pStyle w:val="SingleTxtG"/>
        <w:ind w:left="1701" w:hanging="567"/>
      </w:pPr>
      <w:r w:rsidRPr="002E19CA">
        <w:rPr>
          <w:i/>
        </w:rPr>
        <w:tab/>
      </w:r>
      <w:r w:rsidR="00E03EF2">
        <w:rPr>
          <w:i/>
        </w:rPr>
        <w:t>"</w:t>
      </w:r>
      <w:r w:rsidRPr="00AB5B8A">
        <w:t>1.</w:t>
      </w:r>
      <w:r w:rsidRPr="00AB5B8A">
        <w:tab/>
        <w:t>El Estado garantiza</w:t>
      </w:r>
      <w:r>
        <w:t>rá</w:t>
      </w:r>
      <w:r w:rsidRPr="00AB5B8A">
        <w:t xml:space="preserve"> en su</w:t>
      </w:r>
      <w:r>
        <w:t>s</w:t>
      </w:r>
      <w:r w:rsidRPr="00AB5B8A">
        <w:t xml:space="preserve"> le</w:t>
      </w:r>
      <w:r>
        <w:t>yes</w:t>
      </w:r>
      <w:r w:rsidRPr="00AB5B8A">
        <w:t xml:space="preserve"> </w:t>
      </w:r>
      <w:r>
        <w:t xml:space="preserve">el </w:t>
      </w:r>
      <w:r w:rsidRPr="00AB5B8A">
        <w:t>respet</w:t>
      </w:r>
      <w:r>
        <w:t>o de los derechos personales del ciudadano y</w:t>
      </w:r>
      <w:r w:rsidRPr="00AB5B8A">
        <w:t xml:space="preserve">, en la medida de lo posible, </w:t>
      </w:r>
      <w:r>
        <w:t xml:space="preserve">los </w:t>
      </w:r>
      <w:r w:rsidRPr="00AB5B8A">
        <w:t>defend</w:t>
      </w:r>
      <w:r>
        <w:t>erá y protegerá mediante sus leyes</w:t>
      </w:r>
      <w:r w:rsidRPr="00AB5B8A">
        <w:t>.</w:t>
      </w:r>
    </w:p>
    <w:p w:rsidR="000100D5" w:rsidRPr="00AB5B8A" w:rsidRDefault="000100D5" w:rsidP="000100D5">
      <w:pPr>
        <w:pStyle w:val="SingleTxtG"/>
        <w:ind w:left="1701" w:hanging="567"/>
      </w:pPr>
      <w:r w:rsidRPr="00AB5B8A">
        <w:tab/>
        <w:t>2.</w:t>
      </w:r>
      <w:r w:rsidRPr="00AB5B8A">
        <w:tab/>
        <w:t>E</w:t>
      </w:r>
      <w:r>
        <w:t>n particular, e</w:t>
      </w:r>
      <w:r w:rsidRPr="00AB5B8A">
        <w:t>l Estado protegerá</w:t>
      </w:r>
      <w:r>
        <w:t xml:space="preserve"> con</w:t>
      </w:r>
      <w:r w:rsidRPr="00AB5B8A">
        <w:t xml:space="preserve"> sus leyes, e</w:t>
      </w:r>
      <w:r>
        <w:t>n</w:t>
      </w:r>
      <w:r w:rsidRPr="00AB5B8A">
        <w:t xml:space="preserve"> la ma</w:t>
      </w:r>
      <w:r>
        <w:t>y</w:t>
      </w:r>
      <w:r w:rsidRPr="00AB5B8A">
        <w:t>or m</w:t>
      </w:r>
      <w:r>
        <w:t>edida</w:t>
      </w:r>
      <w:r w:rsidRPr="00AB5B8A">
        <w:t xml:space="preserve"> posible,</w:t>
      </w:r>
      <w:r>
        <w:t xml:space="preserve"> el derecho</w:t>
      </w:r>
      <w:r w:rsidRPr="00AB5B8A">
        <w:t xml:space="preserve"> de </w:t>
      </w:r>
      <w:r>
        <w:t>sus nacionales a la vida</w:t>
      </w:r>
      <w:r w:rsidRPr="00AB5B8A">
        <w:t xml:space="preserve">, </w:t>
      </w:r>
      <w:r>
        <w:t xml:space="preserve">la </w:t>
      </w:r>
      <w:r w:rsidRPr="00AB5B8A">
        <w:t>person</w:t>
      </w:r>
      <w:r>
        <w:t>alidad</w:t>
      </w:r>
      <w:r w:rsidRPr="00AB5B8A">
        <w:t xml:space="preserve">, </w:t>
      </w:r>
      <w:r>
        <w:t>el buen nombre y la</w:t>
      </w:r>
      <w:r w:rsidRPr="00AB5B8A">
        <w:t xml:space="preserve"> prop</w:t>
      </w:r>
      <w:r>
        <w:t>i</w:t>
      </w:r>
      <w:r w:rsidRPr="00AB5B8A">
        <w:t>e</w:t>
      </w:r>
      <w:r>
        <w:t>dad frente a todo ataque injusto y los defenderá en caso de que se cometa una injusticia</w:t>
      </w:r>
      <w:r w:rsidRPr="00AB5B8A">
        <w:t>.</w:t>
      </w:r>
      <w:r w:rsidR="00E03EF2">
        <w:t>"</w:t>
      </w:r>
    </w:p>
    <w:p w:rsidR="000100D5" w:rsidRPr="00152CF6" w:rsidRDefault="000100D5" w:rsidP="000100D5">
      <w:pPr>
        <w:pStyle w:val="H23G"/>
      </w:pPr>
      <w:r w:rsidRPr="00AB5B8A">
        <w:tab/>
      </w:r>
      <w:r w:rsidRPr="00152CF6">
        <w:t>6.</w:t>
      </w:r>
      <w:r w:rsidRPr="00152CF6">
        <w:tab/>
        <w:t>An Garda Síochána (cuerpo de policía)</w:t>
      </w:r>
    </w:p>
    <w:p w:rsidR="000100D5" w:rsidRPr="007E28D7" w:rsidRDefault="000100D5" w:rsidP="000100D5">
      <w:pPr>
        <w:pStyle w:val="SingleTxtG"/>
      </w:pPr>
      <w:r w:rsidRPr="00152CF6">
        <w:t>242.</w:t>
      </w:r>
      <w:r w:rsidRPr="00152CF6">
        <w:tab/>
        <w:t>Estos derechos están, además, recogidos en la legislación p</w:t>
      </w:r>
      <w:r>
        <w:t>ertinente</w:t>
      </w:r>
      <w:r w:rsidRPr="00152CF6">
        <w:t>. Irlanda cuenta con un cuerpo único de policía, la Garda Síochána, estableci</w:t>
      </w:r>
      <w:r>
        <w:t xml:space="preserve">da por </w:t>
      </w:r>
      <w:r w:rsidRPr="00152CF6">
        <w:t>le</w:t>
      </w:r>
      <w:r>
        <w:t>y</w:t>
      </w:r>
      <w:r w:rsidRPr="00152CF6">
        <w:t>. Su organización interna se halla sujeta a las disposiciones aprobadas por el Ministr</w:t>
      </w:r>
      <w:r>
        <w:t>o de</w:t>
      </w:r>
      <w:r w:rsidRPr="00152CF6">
        <w:t xml:space="preserve"> Justic</w:t>
      </w:r>
      <w:r>
        <w:t>ia</w:t>
      </w:r>
      <w:r w:rsidRPr="00152CF6">
        <w:t xml:space="preserve">, </w:t>
      </w:r>
      <w:r>
        <w:t>Ig</w:t>
      </w:r>
      <w:r w:rsidRPr="00152CF6">
        <w:t>ual</w:t>
      </w:r>
      <w:r>
        <w:t>dad y Reforma Jurídica</w:t>
      </w:r>
      <w:r w:rsidRPr="00152CF6">
        <w:t xml:space="preserve">. </w:t>
      </w:r>
      <w:r w:rsidRPr="007E28D7">
        <w:t xml:space="preserve">La Garda Síochána (policía) funciona de manera independiente con </w:t>
      </w:r>
      <w:r w:rsidR="005C4174" w:rsidRPr="007E28D7">
        <w:t>sujeció</w:t>
      </w:r>
      <w:r w:rsidR="005C4174">
        <w:t>n</w:t>
      </w:r>
      <w:r>
        <w:t xml:space="preserve"> al marco</w:t>
      </w:r>
      <w:r w:rsidRPr="007E28D7">
        <w:t xml:space="preserve"> general </w:t>
      </w:r>
      <w:r>
        <w:t xml:space="preserve">normativo y </w:t>
      </w:r>
      <w:r w:rsidRPr="007E28D7">
        <w:t>financi</w:t>
      </w:r>
      <w:r>
        <w:t>ero</w:t>
      </w:r>
      <w:r w:rsidRPr="007E28D7">
        <w:t xml:space="preserve"> </w:t>
      </w:r>
      <w:r>
        <w:t>establecido por el</w:t>
      </w:r>
      <w:r w:rsidRPr="007E28D7">
        <w:t xml:space="preserve"> Ministr</w:t>
      </w:r>
      <w:r>
        <w:t>o</w:t>
      </w:r>
      <w:r w:rsidRPr="007E28D7">
        <w:t>.</w:t>
      </w:r>
    </w:p>
    <w:p w:rsidR="000100D5" w:rsidRPr="007E28D7" w:rsidRDefault="000100D5" w:rsidP="000100D5">
      <w:pPr>
        <w:pStyle w:val="SingleTxtG"/>
      </w:pPr>
      <w:r w:rsidRPr="007E28D7">
        <w:t>243.</w:t>
      </w:r>
      <w:r w:rsidRPr="007E28D7">
        <w:tab/>
        <w:t>El artículo 7 de la Ley de la Garda Síochána, de 2005, determina que la Garda Síochána (cuerpo de policía) tendr</w:t>
      </w:r>
      <w:r>
        <w:t>á las siguientes funciones</w:t>
      </w:r>
      <w:r w:rsidRPr="007E28D7">
        <w:t>:</w:t>
      </w:r>
    </w:p>
    <w:p w:rsidR="000100D5" w:rsidRPr="007E251E" w:rsidRDefault="000100D5" w:rsidP="007E251E">
      <w:pPr>
        <w:pStyle w:val="Bullet1G"/>
      </w:pPr>
      <w:r w:rsidRPr="007E28D7">
        <w:t xml:space="preserve">Mantener la paz y </w:t>
      </w:r>
      <w:r w:rsidRPr="007E251E">
        <w:t>el orden público</w:t>
      </w:r>
      <w:r w:rsidR="00197004" w:rsidRPr="007E251E">
        <w:t>;</w:t>
      </w:r>
    </w:p>
    <w:p w:rsidR="000100D5" w:rsidRPr="007E251E" w:rsidRDefault="000100D5" w:rsidP="007E251E">
      <w:pPr>
        <w:pStyle w:val="Bullet1G"/>
      </w:pPr>
      <w:r w:rsidRPr="007E251E">
        <w:t>Proteger la vida y los bienes de las personas</w:t>
      </w:r>
      <w:r w:rsidR="00197004" w:rsidRPr="007E251E">
        <w:t>;</w:t>
      </w:r>
    </w:p>
    <w:p w:rsidR="000100D5" w:rsidRPr="007E251E" w:rsidRDefault="000100D5" w:rsidP="007E251E">
      <w:pPr>
        <w:pStyle w:val="Bullet1G"/>
      </w:pPr>
      <w:r w:rsidRPr="007E251E">
        <w:t>Defender los derechos humanos de las personas</w:t>
      </w:r>
      <w:r w:rsidR="00197004" w:rsidRPr="007E251E">
        <w:t>;</w:t>
      </w:r>
    </w:p>
    <w:p w:rsidR="000100D5" w:rsidRPr="007E251E" w:rsidRDefault="000100D5" w:rsidP="007E251E">
      <w:pPr>
        <w:pStyle w:val="Bullet1G"/>
      </w:pPr>
      <w:r w:rsidRPr="007E251E">
        <w:t>Proteger la seguridad del Estado</w:t>
      </w:r>
      <w:r w:rsidR="00197004" w:rsidRPr="007E251E">
        <w:t>;</w:t>
      </w:r>
    </w:p>
    <w:p w:rsidR="000100D5" w:rsidRPr="007E251E" w:rsidRDefault="000100D5" w:rsidP="007E251E">
      <w:pPr>
        <w:pStyle w:val="Bullet1G"/>
      </w:pPr>
      <w:r w:rsidRPr="007E251E">
        <w:t>Prevenir la delincuencia</w:t>
      </w:r>
      <w:r w:rsidR="00197004" w:rsidRPr="007E251E">
        <w:t>;</w:t>
      </w:r>
    </w:p>
    <w:p w:rsidR="000100D5" w:rsidRPr="007E251E" w:rsidRDefault="000100D5" w:rsidP="007E251E">
      <w:pPr>
        <w:pStyle w:val="Bullet1G"/>
      </w:pPr>
      <w:r w:rsidRPr="007E251E">
        <w:t>Descubrir e investigar la comisión de delitos y poner a sus autores a disposición de la justicia</w:t>
      </w:r>
      <w:r w:rsidR="00197004" w:rsidRPr="007E251E">
        <w:t>;</w:t>
      </w:r>
    </w:p>
    <w:p w:rsidR="000100D5" w:rsidRPr="007E251E" w:rsidRDefault="000100D5" w:rsidP="007E251E">
      <w:pPr>
        <w:pStyle w:val="Bullet1G"/>
      </w:pPr>
      <w:r w:rsidRPr="007E251E">
        <w:t>Regular y controlar el tráfico rodado y mejorar la seguridad vial</w:t>
      </w:r>
      <w:r w:rsidR="00197004" w:rsidRPr="007E251E">
        <w:t>;</w:t>
      </w:r>
      <w:r w:rsidRPr="007E251E">
        <w:t xml:space="preserve"> y</w:t>
      </w:r>
    </w:p>
    <w:p w:rsidR="000100D5" w:rsidRPr="00436C9B" w:rsidRDefault="000100D5" w:rsidP="007E251E">
      <w:pPr>
        <w:pStyle w:val="Bullet1G"/>
      </w:pPr>
      <w:r w:rsidRPr="007E251E">
        <w:t>Otras funciones qu</w:t>
      </w:r>
      <w:r w:rsidRPr="00436C9B">
        <w:t>e les asigne la ley, incluidas las relativas a la inmigra</w:t>
      </w:r>
      <w:r>
        <w:t>c</w:t>
      </w:r>
      <w:r w:rsidRPr="00436C9B">
        <w:t>i</w:t>
      </w:r>
      <w:r>
        <w:t>ó</w:t>
      </w:r>
      <w:r w:rsidRPr="00436C9B">
        <w:t>n</w:t>
      </w:r>
      <w:r w:rsidR="00197004">
        <w:t>.</w:t>
      </w:r>
    </w:p>
    <w:p w:rsidR="000100D5" w:rsidRPr="00436C9B" w:rsidRDefault="000100D5" w:rsidP="000100D5">
      <w:pPr>
        <w:pStyle w:val="SingleTxtG"/>
      </w:pPr>
      <w:r w:rsidRPr="00436C9B">
        <w:t>244.</w:t>
      </w:r>
      <w:r w:rsidRPr="00436C9B">
        <w:tab/>
        <w:t>Las facultades de la Garda Síochána (policía) se establecen en las leyes y todas sus actuacion</w:t>
      </w:r>
      <w:r>
        <w:t>e</w:t>
      </w:r>
      <w:r w:rsidRPr="00436C9B">
        <w:t xml:space="preserve">s </w:t>
      </w:r>
      <w:r>
        <w:t>están</w:t>
      </w:r>
      <w:r w:rsidRPr="00436C9B">
        <w:t xml:space="preserve"> sujet</w:t>
      </w:r>
      <w:r>
        <w:t>as a la</w:t>
      </w:r>
      <w:r w:rsidRPr="00436C9B">
        <w:t xml:space="preserve"> revi</w:t>
      </w:r>
      <w:r>
        <w:t>sión de un poder judicial activo y constitucionalmente</w:t>
      </w:r>
      <w:r w:rsidRPr="00436C9B">
        <w:t xml:space="preserve"> independ</w:t>
      </w:r>
      <w:r>
        <w:t>i</w:t>
      </w:r>
      <w:r w:rsidRPr="00436C9B">
        <w:t>ent</w:t>
      </w:r>
      <w:r>
        <w:t>e</w:t>
      </w:r>
      <w:r w:rsidRPr="00436C9B">
        <w:t>. Existe también un organismo independiente de quejas contra la policía, la Comisión del Ombudsman de la Garda Síochána (policía)</w:t>
      </w:r>
      <w:r>
        <w:t>;</w:t>
      </w:r>
      <w:r w:rsidRPr="00436C9B">
        <w:t xml:space="preserve"> </w:t>
      </w:r>
      <w:r>
        <w:t>véase la</w:t>
      </w:r>
      <w:r w:rsidRPr="00436C9B">
        <w:t xml:space="preserve"> resp</w:t>
      </w:r>
      <w:r>
        <w:t>uesta a la observación final que figura en el</w:t>
      </w:r>
      <w:r w:rsidRPr="00436C9B">
        <w:t xml:space="preserve"> p</w:t>
      </w:r>
      <w:r>
        <w:t>ár</w:t>
      </w:r>
      <w:r w:rsidRPr="00436C9B">
        <w:t>ra</w:t>
      </w:r>
      <w:r>
        <w:t>fo</w:t>
      </w:r>
      <w:r w:rsidRPr="00436C9B">
        <w:t xml:space="preserve"> 11 </w:t>
      </w:r>
      <w:r>
        <w:t>del informe del</w:t>
      </w:r>
      <w:r w:rsidRPr="00436C9B">
        <w:t xml:space="preserve"> </w:t>
      </w:r>
      <w:r w:rsidR="00466CA0">
        <w:t>Coordinador encargado del seguimiento</w:t>
      </w:r>
      <w:r w:rsidRPr="00436C9B">
        <w:t xml:space="preserve">. Sírvanse consultar también los párrafos 75 y ss. </w:t>
      </w:r>
      <w:r>
        <w:t>para más</w:t>
      </w:r>
      <w:r w:rsidRPr="00436C9B">
        <w:t xml:space="preserve"> informa</w:t>
      </w:r>
      <w:r>
        <w:t>c</w:t>
      </w:r>
      <w:r w:rsidRPr="00436C9B">
        <w:t>i</w:t>
      </w:r>
      <w:r>
        <w:t>ó</w:t>
      </w:r>
      <w:r w:rsidRPr="00436C9B">
        <w:t xml:space="preserve">n. </w:t>
      </w:r>
    </w:p>
    <w:p w:rsidR="000100D5" w:rsidRPr="00B97B7A" w:rsidRDefault="000100D5" w:rsidP="000100D5">
      <w:pPr>
        <w:pStyle w:val="H4G"/>
      </w:pPr>
      <w:r w:rsidRPr="00436C9B">
        <w:tab/>
      </w:r>
      <w:r w:rsidRPr="00436C9B">
        <w:tab/>
      </w:r>
      <w:r>
        <w:t>Legislación relativa a la i</w:t>
      </w:r>
      <w:r w:rsidRPr="00B97B7A">
        <w:t>ncitación al odio</w:t>
      </w:r>
    </w:p>
    <w:p w:rsidR="000100D5" w:rsidRPr="00B97B7A" w:rsidRDefault="000100D5" w:rsidP="000100D5">
      <w:pPr>
        <w:pStyle w:val="SingleTxtG"/>
      </w:pPr>
      <w:r w:rsidRPr="00B97B7A">
        <w:t>245.</w:t>
      </w:r>
      <w:r w:rsidRPr="00B97B7A">
        <w:tab/>
        <w:t>Se ruega consultar la información contenida en la respuesta de Irlanda de conformidad con el artícul</w:t>
      </w:r>
      <w:r>
        <w:t>o</w:t>
      </w:r>
      <w:r w:rsidRPr="00B97B7A">
        <w:t xml:space="preserve"> 4 </w:t>
      </w:r>
      <w:r>
        <w:t>de la</w:t>
      </w:r>
      <w:r w:rsidRPr="00B97B7A">
        <w:t xml:space="preserve"> Conven</w:t>
      </w:r>
      <w:r>
        <w:t>c</w:t>
      </w:r>
      <w:r w:rsidRPr="00B97B7A">
        <w:t>i</w:t>
      </w:r>
      <w:r>
        <w:t>ó</w:t>
      </w:r>
      <w:r w:rsidRPr="00B97B7A">
        <w:t xml:space="preserve">n. </w:t>
      </w:r>
    </w:p>
    <w:p w:rsidR="000100D5" w:rsidRPr="003B5842" w:rsidRDefault="000100D5" w:rsidP="000100D5">
      <w:pPr>
        <w:pStyle w:val="H23G"/>
      </w:pPr>
      <w:r w:rsidRPr="00B97B7A">
        <w:tab/>
      </w:r>
      <w:r w:rsidRPr="003B5842">
        <w:t>7.</w:t>
      </w:r>
      <w:r w:rsidRPr="003B5842">
        <w:tab/>
        <w:t>Actuaciones policiales comunitarias</w:t>
      </w:r>
    </w:p>
    <w:p w:rsidR="000100D5" w:rsidRPr="00B97B7A" w:rsidRDefault="000100D5" w:rsidP="000100D5">
      <w:pPr>
        <w:pStyle w:val="SingleTxtG"/>
        <w:rPr>
          <w:u w:val="single"/>
        </w:rPr>
      </w:pPr>
      <w:r w:rsidRPr="00B97B7A">
        <w:t>246.</w:t>
      </w:r>
      <w:r w:rsidRPr="00B97B7A">
        <w:tab/>
        <w:t xml:space="preserve">Se está reforzando la estrategia </w:t>
      </w:r>
      <w:r>
        <w:t xml:space="preserve">comunitaria </w:t>
      </w:r>
      <w:r w:rsidRPr="00B97B7A">
        <w:t xml:space="preserve">en materia de </w:t>
      </w:r>
      <w:r>
        <w:t>actuaciones policiales</w:t>
      </w:r>
      <w:r w:rsidRPr="00B97B7A">
        <w:t xml:space="preserve"> comunit</w:t>
      </w:r>
      <w:r>
        <w:t>arias y se</w:t>
      </w:r>
      <w:r w:rsidRPr="00B97B7A">
        <w:t xml:space="preserve"> va a</w:t>
      </w:r>
      <w:r>
        <w:t>cumulando</w:t>
      </w:r>
      <w:r w:rsidRPr="00B97B7A">
        <w:t xml:space="preserve"> experiencia mediante la participación activa y el diálogo con las comunidades </w:t>
      </w:r>
      <w:r>
        <w:t>é</w:t>
      </w:r>
      <w:r w:rsidRPr="00B97B7A">
        <w:t>tnic</w:t>
      </w:r>
      <w:r>
        <w:t>as y</w:t>
      </w:r>
      <w:r w:rsidRPr="00B97B7A">
        <w:t xml:space="preserve"> cultural</w:t>
      </w:r>
      <w:r>
        <w:t>es, con miras a comprender y ofrecer una respuesta</w:t>
      </w:r>
      <w:r w:rsidRPr="00B97B7A">
        <w:t xml:space="preserve"> positiv</w:t>
      </w:r>
      <w:r>
        <w:t>a</w:t>
      </w:r>
      <w:r w:rsidRPr="00B97B7A">
        <w:t xml:space="preserve"> </w:t>
      </w:r>
      <w:r>
        <w:t>a sus necesidades y a las relativas a la</w:t>
      </w:r>
      <w:r w:rsidRPr="00B97B7A">
        <w:t xml:space="preserve"> s</w:t>
      </w:r>
      <w:r>
        <w:t>eguridad</w:t>
      </w:r>
      <w:r w:rsidRPr="00B97B7A">
        <w:t xml:space="preserve">. </w:t>
      </w:r>
    </w:p>
    <w:p w:rsidR="000100D5" w:rsidRPr="008D247A" w:rsidRDefault="000100D5" w:rsidP="000100D5">
      <w:pPr>
        <w:pStyle w:val="SingleTxtG"/>
        <w:rPr>
          <w:u w:val="single"/>
        </w:rPr>
      </w:pPr>
      <w:r w:rsidRPr="008D247A">
        <w:t>247.</w:t>
      </w:r>
      <w:r w:rsidRPr="008D247A">
        <w:tab/>
        <w:t>Con tal fin, desde enero de 2006, los oficiales de distrito locales de la Garda (policía) celebran reuniones trimestrales con representantes de las minor</w:t>
      </w:r>
      <w:r>
        <w:t>ía</w:t>
      </w:r>
      <w:r w:rsidRPr="008D247A">
        <w:t xml:space="preserve"> </w:t>
      </w:r>
      <w:r>
        <w:t>é</w:t>
      </w:r>
      <w:r w:rsidRPr="008D247A">
        <w:t>tnic</w:t>
      </w:r>
      <w:r>
        <w:t>as y grupos de nómadas que</w:t>
      </w:r>
      <w:r w:rsidRPr="008D247A">
        <w:t xml:space="preserve"> resid</w:t>
      </w:r>
      <w:r>
        <w:t>e</w:t>
      </w:r>
      <w:r w:rsidRPr="008D247A">
        <w:t xml:space="preserve">n </w:t>
      </w:r>
      <w:r>
        <w:t>y</w:t>
      </w:r>
      <w:r w:rsidRPr="008D247A">
        <w:t xml:space="preserve">/o </w:t>
      </w:r>
      <w:r>
        <w:t>desarrollan sus actividades en el distrito de</w:t>
      </w:r>
      <w:r w:rsidRPr="008D247A">
        <w:t xml:space="preserve"> polic</w:t>
      </w:r>
      <w:r>
        <w:t>ía</w:t>
      </w:r>
      <w:r w:rsidRPr="008D247A">
        <w:t>. Además, los oficiales de división mantienen reuniones trimestrales con representantes de las minor</w:t>
      </w:r>
      <w:r>
        <w:t>ías</w:t>
      </w:r>
      <w:r w:rsidRPr="008D247A">
        <w:t xml:space="preserve"> </w:t>
      </w:r>
      <w:r>
        <w:t>é</w:t>
      </w:r>
      <w:r w:rsidRPr="008D247A">
        <w:t>tnic</w:t>
      </w:r>
      <w:r>
        <w:t>as y grupos de nómadas que</w:t>
      </w:r>
      <w:r w:rsidRPr="008D247A">
        <w:t xml:space="preserve"> resid</w:t>
      </w:r>
      <w:r>
        <w:t>e</w:t>
      </w:r>
      <w:r w:rsidRPr="008D247A">
        <w:t xml:space="preserve">n </w:t>
      </w:r>
      <w:r>
        <w:t>y</w:t>
      </w:r>
      <w:r w:rsidRPr="008D247A">
        <w:t>/o</w:t>
      </w:r>
      <w:r>
        <w:t xml:space="preserve"> desarrollan sus actividades en el </w:t>
      </w:r>
      <w:r w:rsidRPr="008D247A">
        <w:t>distrit</w:t>
      </w:r>
      <w:r>
        <w:t>o</w:t>
      </w:r>
      <w:r w:rsidRPr="008D247A">
        <w:t xml:space="preserve">. </w:t>
      </w:r>
    </w:p>
    <w:p w:rsidR="000100D5" w:rsidRPr="00611689" w:rsidRDefault="000100D5" w:rsidP="000100D5">
      <w:pPr>
        <w:pStyle w:val="SingleTxtG"/>
      </w:pPr>
      <w:r w:rsidRPr="00611689">
        <w:t>248.</w:t>
      </w:r>
      <w:r w:rsidRPr="00611689">
        <w:tab/>
        <w:t xml:space="preserve">El Superintendente </w:t>
      </w:r>
      <w:r>
        <w:t>en J</w:t>
      </w:r>
      <w:r w:rsidRPr="00611689">
        <w:t>efe de Relaciones de la Garda (</w:t>
      </w:r>
      <w:r>
        <w:t>p</w:t>
      </w:r>
      <w:r w:rsidRPr="00611689">
        <w:t>olic</w:t>
      </w:r>
      <w:r>
        <w:t>ía</w:t>
      </w:r>
      <w:r w:rsidRPr="00611689">
        <w:t>)</w:t>
      </w:r>
      <w:r>
        <w:t xml:space="preserve"> con la Comunidad/ Oficina de</w:t>
      </w:r>
      <w:r w:rsidRPr="00611689">
        <w:t xml:space="preserve"> </w:t>
      </w:r>
      <w:r>
        <w:t>Asuntos R</w:t>
      </w:r>
      <w:r w:rsidRPr="00611689">
        <w:t>acial</w:t>
      </w:r>
      <w:r>
        <w:t>es</w:t>
      </w:r>
      <w:r w:rsidRPr="00611689">
        <w:t xml:space="preserve"> </w:t>
      </w:r>
      <w:r>
        <w:t>e I</w:t>
      </w:r>
      <w:r w:rsidRPr="00611689">
        <w:t>ntercultural</w:t>
      </w:r>
      <w:r>
        <w:t>es</w:t>
      </w:r>
      <w:r w:rsidRPr="00611689">
        <w:t xml:space="preserve"> </w:t>
      </w:r>
      <w:r>
        <w:t>de la Garda (policía) se reúne con los</w:t>
      </w:r>
      <w:r w:rsidRPr="00611689">
        <w:t xml:space="preserve"> representa</w:t>
      </w:r>
      <w:r>
        <w:t>n</w:t>
      </w:r>
      <w:r w:rsidRPr="00611689">
        <w:t>tes</w:t>
      </w:r>
      <w:r>
        <w:t xml:space="preserve"> nacionales de las minorías</w:t>
      </w:r>
      <w:r w:rsidRPr="00611689">
        <w:t xml:space="preserve"> </w:t>
      </w:r>
      <w:r>
        <w:t>é</w:t>
      </w:r>
      <w:r w:rsidRPr="00611689">
        <w:t>tnic</w:t>
      </w:r>
      <w:r>
        <w:t>as y los grupos nómadas dos veces al año</w:t>
      </w:r>
      <w:r w:rsidRPr="00611689">
        <w:t xml:space="preserve">. </w:t>
      </w:r>
    </w:p>
    <w:p w:rsidR="000100D5" w:rsidRPr="00943F30" w:rsidRDefault="000100D5" w:rsidP="000100D5">
      <w:pPr>
        <w:pStyle w:val="SingleTxtG"/>
      </w:pPr>
      <w:r w:rsidRPr="00943F30">
        <w:t>249.</w:t>
      </w:r>
      <w:r w:rsidRPr="00943F30">
        <w:tab/>
        <w:t xml:space="preserve">La División North Central de la An Garda Síochána (cuerpo de policía) ha creado un sitio web de las </w:t>
      </w:r>
      <w:r>
        <w:t xml:space="preserve">nuevas </w:t>
      </w:r>
      <w:r w:rsidRPr="00943F30">
        <w:t>comunidades de North Inner City</w:t>
      </w:r>
      <w:r>
        <w:rPr>
          <w:rStyle w:val="FootnoteReference"/>
          <w:lang w:val="en-IE"/>
        </w:rPr>
        <w:footnoteReference w:id="61"/>
      </w:r>
      <w:r w:rsidRPr="00943F30">
        <w:t xml:space="preserve"> para apoyar y </w:t>
      </w:r>
      <w:r>
        <w:t>elogiar</w:t>
      </w:r>
      <w:r w:rsidRPr="00943F30">
        <w:t xml:space="preserve"> la labor del Foro de Consulta con las nuevas </w:t>
      </w:r>
      <w:r>
        <w:t>c</w:t>
      </w:r>
      <w:r w:rsidRPr="00943F30">
        <w:t>omunidades de la Divisi</w:t>
      </w:r>
      <w:r>
        <w:t>ón</w:t>
      </w:r>
      <w:r w:rsidRPr="00943F30">
        <w:t xml:space="preserve"> North Central </w:t>
      </w:r>
      <w:r>
        <w:t>en la zona</w:t>
      </w:r>
      <w:r w:rsidRPr="00943F30">
        <w:t xml:space="preserve">. El Foro es una alianza entre los representantes de las nuevas comunidades, la An Garda Síochána </w:t>
      </w:r>
      <w:r>
        <w:t xml:space="preserve">y el Consejo de la Ciudad de </w:t>
      </w:r>
      <w:r w:rsidRPr="00943F30">
        <w:t>Dubl</w:t>
      </w:r>
      <w:r>
        <w:t>í</w:t>
      </w:r>
      <w:r w:rsidRPr="00943F30">
        <w:t xml:space="preserve">n. </w:t>
      </w:r>
    </w:p>
    <w:p w:rsidR="000100D5" w:rsidRPr="00943F30" w:rsidRDefault="000100D5" w:rsidP="000100D5">
      <w:pPr>
        <w:pStyle w:val="SingleTxtG"/>
      </w:pPr>
      <w:r w:rsidRPr="00943F30">
        <w:t>250.</w:t>
      </w:r>
      <w:r w:rsidRPr="00943F30">
        <w:tab/>
        <w:t>El objetivo del Foro consiste en facilitar a los miembros de las nuevas comunidades que viven y trabajan en la zona canales de comunica</w:t>
      </w:r>
      <w:r>
        <w:t>c</w:t>
      </w:r>
      <w:r w:rsidRPr="00943F30">
        <w:t>i</w:t>
      </w:r>
      <w:r>
        <w:t>ó</w:t>
      </w:r>
      <w:r w:rsidRPr="00943F30">
        <w:t xml:space="preserve">n </w:t>
      </w:r>
      <w:r>
        <w:t>para expresar sus opiniones y entablar</w:t>
      </w:r>
      <w:r w:rsidRPr="00943F30">
        <w:t xml:space="preserve"> rela</w:t>
      </w:r>
      <w:r>
        <w:t>c</w:t>
      </w:r>
      <w:r w:rsidRPr="00943F30">
        <w:t>ion</w:t>
      </w:r>
      <w:r>
        <w:t>e</w:t>
      </w:r>
      <w:r w:rsidRPr="00943F30">
        <w:t>s</w:t>
      </w:r>
      <w:r>
        <w:t xml:space="preserve"> entre ellas</w:t>
      </w:r>
      <w:r w:rsidRPr="00943F30">
        <w:t xml:space="preserve">, </w:t>
      </w:r>
      <w:r>
        <w:t xml:space="preserve">la </w:t>
      </w:r>
      <w:r w:rsidRPr="00943F30">
        <w:t>An Garda Síochána (</w:t>
      </w:r>
      <w:r>
        <w:t>cuerpo de policía</w:t>
      </w:r>
      <w:r w:rsidRPr="00943F30">
        <w:t xml:space="preserve">) </w:t>
      </w:r>
      <w:r>
        <w:t>y el Consejo de la Ciudad de</w:t>
      </w:r>
      <w:r w:rsidRPr="00943F30">
        <w:t xml:space="preserve"> Dubl</w:t>
      </w:r>
      <w:r>
        <w:t>í</w:t>
      </w:r>
      <w:r w:rsidRPr="00943F30">
        <w:t xml:space="preserve">n. </w:t>
      </w:r>
    </w:p>
    <w:p w:rsidR="000100D5" w:rsidRPr="007961B6" w:rsidRDefault="000100D5" w:rsidP="000100D5">
      <w:pPr>
        <w:pStyle w:val="H23G"/>
      </w:pPr>
      <w:r w:rsidRPr="00943F30">
        <w:tab/>
      </w:r>
      <w:r w:rsidRPr="007961B6">
        <w:t>8.</w:t>
      </w:r>
      <w:r w:rsidRPr="007961B6">
        <w:tab/>
        <w:t>Oficina de Asuntos Raciales e Interculturales de la Garda (polic</w:t>
      </w:r>
      <w:r>
        <w:t>ía)</w:t>
      </w:r>
    </w:p>
    <w:p w:rsidR="000100D5" w:rsidRPr="00214C86" w:rsidRDefault="000100D5" w:rsidP="000100D5">
      <w:pPr>
        <w:pStyle w:val="SingleTxtG"/>
      </w:pPr>
      <w:r w:rsidRPr="00214C86">
        <w:t>251.</w:t>
      </w:r>
      <w:r w:rsidRPr="00214C86">
        <w:tab/>
        <w:t xml:space="preserve">La Oficina de Asuntos Raciales e Interculturales </w:t>
      </w:r>
      <w:r>
        <w:t xml:space="preserve">de la Garda (policía) </w:t>
      </w:r>
      <w:r w:rsidRPr="00214C86">
        <w:t xml:space="preserve">puede considerar necesario ponerse en contacto con las víctimas </w:t>
      </w:r>
      <w:r>
        <w:t>de delitos</w:t>
      </w:r>
      <w:r w:rsidRPr="00214C86">
        <w:t xml:space="preserve"> racist</w:t>
      </w:r>
      <w:r>
        <w:t>as</w:t>
      </w:r>
      <w:r w:rsidRPr="00214C86">
        <w:t xml:space="preserve"> </w:t>
      </w:r>
      <w:r>
        <w:t>e</w:t>
      </w:r>
      <w:r w:rsidRPr="00214C86">
        <w:t xml:space="preserve">n </w:t>
      </w:r>
      <w:r>
        <w:t>determinados</w:t>
      </w:r>
      <w:r w:rsidRPr="00214C86">
        <w:t xml:space="preserve"> cas</w:t>
      </w:r>
      <w:r>
        <w:t>o</w:t>
      </w:r>
      <w:r w:rsidRPr="00214C86">
        <w:t xml:space="preserve">s. El personal trabaja con el </w:t>
      </w:r>
      <w:r>
        <w:t>o</w:t>
      </w:r>
      <w:r w:rsidRPr="00214C86">
        <w:t>ficial de la Garda (polic</w:t>
      </w:r>
      <w:r>
        <w:t xml:space="preserve">ía) </w:t>
      </w:r>
      <w:r w:rsidRPr="00214C86">
        <w:t xml:space="preserve">encargado de la investigación, </w:t>
      </w:r>
      <w:r>
        <w:t>cuando procede,</w:t>
      </w:r>
      <w:r w:rsidRPr="00214C86">
        <w:t xml:space="preserve"> </w:t>
      </w:r>
      <w:r>
        <w:t>a fin de garantizar que la</w:t>
      </w:r>
      <w:r w:rsidRPr="00214C86">
        <w:t xml:space="preserve"> v</w:t>
      </w:r>
      <w:r>
        <w:t>í</w:t>
      </w:r>
      <w:r w:rsidRPr="00214C86">
        <w:t>ctim</w:t>
      </w:r>
      <w:r>
        <w:t>a</w:t>
      </w:r>
      <w:r w:rsidRPr="00214C86">
        <w:t xml:space="preserve"> reci</w:t>
      </w:r>
      <w:r>
        <w:t>ba todo el apoyo</w:t>
      </w:r>
      <w:r w:rsidRPr="00214C86">
        <w:t xml:space="preserve"> profesional </w:t>
      </w:r>
      <w:r>
        <w:t xml:space="preserve">de la </w:t>
      </w:r>
      <w:r w:rsidRPr="00214C86">
        <w:t xml:space="preserve">Garda </w:t>
      </w:r>
      <w:r>
        <w:t>a lo largo de la</w:t>
      </w:r>
      <w:r w:rsidRPr="00214C86">
        <w:t xml:space="preserve"> investiga</w:t>
      </w:r>
      <w:r>
        <w:t>c</w:t>
      </w:r>
      <w:r w:rsidRPr="00214C86">
        <w:t>i</w:t>
      </w:r>
      <w:r>
        <w:t>ó</w:t>
      </w:r>
      <w:r w:rsidRPr="00214C86">
        <w:t xml:space="preserve">n. </w:t>
      </w:r>
    </w:p>
    <w:p w:rsidR="000100D5" w:rsidRPr="0026597B" w:rsidRDefault="000100D5" w:rsidP="000100D5">
      <w:pPr>
        <w:pStyle w:val="SingleTxtG"/>
      </w:pPr>
      <w:r w:rsidRPr="0026597B">
        <w:t>252.</w:t>
      </w:r>
      <w:r w:rsidRPr="0026597B">
        <w:tab/>
        <w:t xml:space="preserve">La Oficina de Asuntos Raciales e Interculturales de la Garda (policía) acude a veces a </w:t>
      </w:r>
      <w:r>
        <w:t xml:space="preserve">petición de los interesados, </w:t>
      </w:r>
      <w:r w:rsidR="005C4174">
        <w:t xml:space="preserve">a </w:t>
      </w:r>
      <w:r w:rsidR="005C4174" w:rsidRPr="0026597B">
        <w:t>ofrecer</w:t>
      </w:r>
      <w:r w:rsidRPr="0026597B">
        <w:t xml:space="preserve"> asesoramiento o a </w:t>
      </w:r>
      <w:r>
        <w:t>atender</w:t>
      </w:r>
      <w:r w:rsidRPr="0026597B">
        <w:t xml:space="preserve"> quejas </w:t>
      </w:r>
      <w:r>
        <w:t>menores por cuestiones de susceptibilidad. El personal se esfuerza por resolver, siempre que puede,</w:t>
      </w:r>
      <w:r w:rsidRPr="0026597B">
        <w:t xml:space="preserve"> </w:t>
      </w:r>
      <w:r>
        <w:t>esos problemas</w:t>
      </w:r>
      <w:r w:rsidRPr="0026597B">
        <w:t xml:space="preserve">. No obstante, el personal informará siempre a las personas de su derecho a </w:t>
      </w:r>
      <w:r>
        <w:t>formular</w:t>
      </w:r>
      <w:r w:rsidRPr="0026597B">
        <w:t xml:space="preserve"> directamente su queja ante la Comisión del</w:t>
      </w:r>
      <w:r>
        <w:t xml:space="preserve"> Ombudsman de la</w:t>
      </w:r>
      <w:r w:rsidRPr="0026597B">
        <w:t xml:space="preserve"> Garda Síochána </w:t>
      </w:r>
      <w:r>
        <w:t>(policía)</w:t>
      </w:r>
      <w:r w:rsidRPr="0026597B">
        <w:t xml:space="preserve">. </w:t>
      </w:r>
    </w:p>
    <w:p w:rsidR="000100D5" w:rsidRPr="00127FF2" w:rsidRDefault="000100D5" w:rsidP="000100D5">
      <w:pPr>
        <w:pStyle w:val="SingleTxtG"/>
      </w:pPr>
      <w:r w:rsidRPr="00B90524">
        <w:t>253.</w:t>
      </w:r>
      <w:r w:rsidRPr="00B90524">
        <w:tab/>
        <w:t xml:space="preserve">La Oficina de </w:t>
      </w:r>
      <w:r>
        <w:t>Asuntos Raciales e Interculturales de</w:t>
      </w:r>
      <w:r w:rsidRPr="00B90524">
        <w:t xml:space="preserve"> la Garda (</w:t>
      </w:r>
      <w:r>
        <w:t>p</w:t>
      </w:r>
      <w:r w:rsidRPr="00B90524">
        <w:t>olic</w:t>
      </w:r>
      <w:r>
        <w:t>ía</w:t>
      </w:r>
      <w:r w:rsidRPr="00B90524">
        <w:t xml:space="preserve">) ha </w:t>
      </w:r>
      <w:r>
        <w:t>publicado también un folleto titulado</w:t>
      </w:r>
      <w:r w:rsidRPr="00B90524">
        <w:t xml:space="preserve"> </w:t>
      </w:r>
      <w:r w:rsidR="00C67360">
        <w:t>"</w:t>
      </w:r>
      <w:r>
        <w:t>Su servicio de policía en la Irlanda</w:t>
      </w:r>
      <w:r w:rsidRPr="00B90524">
        <w:t xml:space="preserve"> Intercultural</w:t>
      </w:r>
      <w:r w:rsidR="00C67360">
        <w:t>"</w:t>
      </w:r>
      <w:r>
        <w:rPr>
          <w:rStyle w:val="FootnoteReference"/>
          <w:lang w:val="en-IE"/>
        </w:rPr>
        <w:footnoteReference w:id="62"/>
      </w:r>
      <w:r w:rsidR="001F5C61" w:rsidRPr="000B3925">
        <w:t>.</w:t>
      </w:r>
      <w:r w:rsidRPr="00B90524">
        <w:t xml:space="preserve"> </w:t>
      </w:r>
      <w:r w:rsidRPr="00127FF2">
        <w:t xml:space="preserve">Ese folleto </w:t>
      </w:r>
      <w:r w:rsidR="00067DCF">
        <w:t>está disponible en 12 idiomas —</w:t>
      </w:r>
      <w:r w:rsidRPr="00127FF2">
        <w:t>inglés, irlandés, letón, lituano, polaco, ruso, rumano, franc</w:t>
      </w:r>
      <w:r>
        <w:t>és</w:t>
      </w:r>
      <w:r w:rsidRPr="00127FF2">
        <w:t xml:space="preserve">, </w:t>
      </w:r>
      <w:r>
        <w:t>p</w:t>
      </w:r>
      <w:r w:rsidRPr="00127FF2">
        <w:t>ortugu</w:t>
      </w:r>
      <w:r>
        <w:t>é</w:t>
      </w:r>
      <w:r w:rsidRPr="00127FF2">
        <w:t xml:space="preserve">s, </w:t>
      </w:r>
      <w:r>
        <w:t>c</w:t>
      </w:r>
      <w:r w:rsidRPr="00127FF2">
        <w:t>hin</w:t>
      </w:r>
      <w:r>
        <w:t>o</w:t>
      </w:r>
      <w:r w:rsidRPr="00127FF2">
        <w:t xml:space="preserve">, </w:t>
      </w:r>
      <w:r>
        <w:t>á</w:t>
      </w:r>
      <w:r w:rsidRPr="00127FF2">
        <w:t>rab</w:t>
      </w:r>
      <w:r>
        <w:t>e y</w:t>
      </w:r>
      <w:r w:rsidRPr="00127FF2">
        <w:t xml:space="preserve"> </w:t>
      </w:r>
      <w:r>
        <w:t>es</w:t>
      </w:r>
      <w:r w:rsidRPr="00127FF2">
        <w:t>pa</w:t>
      </w:r>
      <w:r>
        <w:t>ñol</w:t>
      </w:r>
      <w:r w:rsidRPr="00127FF2">
        <w:t xml:space="preserve">. </w:t>
      </w:r>
    </w:p>
    <w:p w:rsidR="000100D5" w:rsidRPr="00AF0680" w:rsidRDefault="000100D5" w:rsidP="000100D5">
      <w:pPr>
        <w:pStyle w:val="H23G"/>
      </w:pPr>
      <w:r w:rsidRPr="00127FF2">
        <w:tab/>
      </w:r>
      <w:r w:rsidRPr="00AF0680">
        <w:t>9.</w:t>
      </w:r>
      <w:r w:rsidRPr="00AF0680">
        <w:tab/>
        <w:t xml:space="preserve">Comités de Mantenimiento Conjunto del Orden </w:t>
      </w:r>
    </w:p>
    <w:p w:rsidR="000100D5" w:rsidRPr="008F78A6" w:rsidRDefault="000100D5" w:rsidP="000100D5">
      <w:pPr>
        <w:pStyle w:val="SingleTxtG"/>
      </w:pPr>
      <w:r w:rsidRPr="00127FF2">
        <w:t>254.</w:t>
      </w:r>
      <w:r w:rsidRPr="00127FF2">
        <w:tab/>
        <w:t>La L</w:t>
      </w:r>
      <w:r>
        <w:t>e</w:t>
      </w:r>
      <w:r w:rsidRPr="00127FF2">
        <w:t>y de la Garda Síochána (policía) de 2005 prevé la creación de Comit</w:t>
      </w:r>
      <w:r>
        <w:t>és de Mantenimiento Conjunto del Orden</w:t>
      </w:r>
      <w:r w:rsidRPr="00127FF2">
        <w:t xml:space="preserve">. </w:t>
      </w:r>
      <w:r w:rsidRPr="008F78A6">
        <w:t xml:space="preserve">Su objetivo estriba en proporcionar un foro </w:t>
      </w:r>
      <w:r>
        <w:t>donde pueda</w:t>
      </w:r>
      <w:r w:rsidRPr="008F78A6">
        <w:t>n reunirse la An Garda Síochána (cuerpo de policía) y la</w:t>
      </w:r>
      <w:r>
        <w:t>s</w:t>
      </w:r>
      <w:r w:rsidRPr="008F78A6">
        <w:t xml:space="preserve"> autoridad</w:t>
      </w:r>
      <w:r>
        <w:t>es</w:t>
      </w:r>
      <w:r w:rsidRPr="008F78A6">
        <w:t xml:space="preserve"> local</w:t>
      </w:r>
      <w:r>
        <w:t>es, que son</w:t>
      </w:r>
      <w:r w:rsidRPr="008F78A6">
        <w:t xml:space="preserve"> las dos organizaciones que aportan la contribución m</w:t>
      </w:r>
      <w:r>
        <w:t>ás importante a la prevención y a la lucha contra la delincuencia en una zona determinada</w:t>
      </w:r>
      <w:r w:rsidRPr="008F78A6">
        <w:t xml:space="preserve">, </w:t>
      </w:r>
      <w:r>
        <w:t xml:space="preserve">con la </w:t>
      </w:r>
      <w:r w:rsidRPr="008F78A6">
        <w:t>participa</w:t>
      </w:r>
      <w:r>
        <w:t>c</w:t>
      </w:r>
      <w:r w:rsidRPr="008F78A6">
        <w:t>i</w:t>
      </w:r>
      <w:r>
        <w:t>ó</w:t>
      </w:r>
      <w:r w:rsidRPr="008F78A6">
        <w:t xml:space="preserve">n </w:t>
      </w:r>
      <w:r>
        <w:t>de los miembros del</w:t>
      </w:r>
      <w:r w:rsidRPr="008F78A6">
        <w:t xml:space="preserve"> Oireachtas (Parlament</w:t>
      </w:r>
      <w:r>
        <w:t>o</w:t>
      </w:r>
      <w:r w:rsidRPr="008F78A6">
        <w:t>)</w:t>
      </w:r>
      <w:r>
        <w:t xml:space="preserve"> y de las partes interesadas de la</w:t>
      </w:r>
      <w:r w:rsidRPr="008F78A6">
        <w:t xml:space="preserve"> comuni</w:t>
      </w:r>
      <w:r>
        <w:t xml:space="preserve">dad </w:t>
      </w:r>
      <w:r w:rsidRPr="008F78A6">
        <w:t xml:space="preserve">y </w:t>
      </w:r>
      <w:r>
        <w:t>de asociaciones de vol</w:t>
      </w:r>
      <w:r w:rsidRPr="008F78A6">
        <w:t>untar</w:t>
      </w:r>
      <w:r>
        <w:t>ios</w:t>
      </w:r>
      <w:r w:rsidRPr="008F78A6">
        <w:t xml:space="preserve">, </w:t>
      </w:r>
      <w:r>
        <w:t>para tratar de las cuestiones que</w:t>
      </w:r>
      <w:r w:rsidRPr="008F78A6">
        <w:t xml:space="preserve"> afect</w:t>
      </w:r>
      <w:r>
        <w:t>a</w:t>
      </w:r>
      <w:r w:rsidRPr="008F78A6">
        <w:t>n</w:t>
      </w:r>
      <w:r>
        <w:t xml:space="preserve"> a la</w:t>
      </w:r>
      <w:r w:rsidRPr="008F78A6">
        <w:t xml:space="preserve"> </w:t>
      </w:r>
      <w:r>
        <w:t>zona</w:t>
      </w:r>
      <w:r w:rsidRPr="008F78A6">
        <w:t xml:space="preserve">. </w:t>
      </w:r>
    </w:p>
    <w:p w:rsidR="000100D5" w:rsidRPr="009A2CFC" w:rsidRDefault="000100D5" w:rsidP="000100D5">
      <w:pPr>
        <w:pStyle w:val="SingleTxtG"/>
      </w:pPr>
      <w:r w:rsidRPr="008F78A6">
        <w:t>255.</w:t>
      </w:r>
      <w:r w:rsidRPr="008F78A6">
        <w:tab/>
        <w:t xml:space="preserve">En un principio, se crearon </w:t>
      </w:r>
      <w:r>
        <w:t xml:space="preserve">en 2006 y 2007 </w:t>
      </w:r>
      <w:r w:rsidRPr="008F78A6">
        <w:t>a escala nacional 2</w:t>
      </w:r>
      <w:r>
        <w:t>9 comunidades</w:t>
      </w:r>
      <w:r w:rsidRPr="008F78A6">
        <w:t xml:space="preserve"> en una </w:t>
      </w:r>
      <w:r>
        <w:t>fase experimental</w:t>
      </w:r>
      <w:r w:rsidRPr="008F78A6">
        <w:t xml:space="preserve">. </w:t>
      </w:r>
      <w:r w:rsidRPr="009A2CFC">
        <w:t>Tras una evalua</w:t>
      </w:r>
      <w:r>
        <w:t>ción de esa fase</w:t>
      </w:r>
      <w:r w:rsidRPr="009A2CFC">
        <w:t>, se modificaron</w:t>
      </w:r>
      <w:r>
        <w:t xml:space="preserve"> las directrices para los</w:t>
      </w:r>
      <w:r w:rsidRPr="009A2CFC">
        <w:t xml:space="preserve"> Comit</w:t>
      </w:r>
      <w:r>
        <w:t>é</w:t>
      </w:r>
      <w:r w:rsidRPr="009A2CFC">
        <w:t xml:space="preserve">s. El 24 de septiembre de 2008, los Ministros de Justicia, Igualdad y Reforma Jurídica y Medio Ambiente, Patrimonio y Gobierno </w:t>
      </w:r>
      <w:r>
        <w:t>L</w:t>
      </w:r>
      <w:r w:rsidRPr="009A2CFC">
        <w:t xml:space="preserve">ocal </w:t>
      </w:r>
      <w:r>
        <w:t>pusieron en marcha el proyecto completo del</w:t>
      </w:r>
      <w:r w:rsidRPr="009A2CFC">
        <w:t xml:space="preserve"> Comit</w:t>
      </w:r>
      <w:r>
        <w:t>é de Mantenimiento Conjunto del Orden y lo enviaron a las</w:t>
      </w:r>
      <w:r w:rsidRPr="009A2CFC">
        <w:t xml:space="preserve"> 114</w:t>
      </w:r>
      <w:r>
        <w:t xml:space="preserve"> zonas de las autoridades</w:t>
      </w:r>
      <w:r w:rsidRPr="009A2CFC">
        <w:t xml:space="preserve"> local</w:t>
      </w:r>
      <w:r>
        <w:t>es</w:t>
      </w:r>
      <w:r w:rsidRPr="009A2CFC">
        <w:t xml:space="preserve">. </w:t>
      </w:r>
    </w:p>
    <w:p w:rsidR="000100D5" w:rsidRPr="00E0795D" w:rsidRDefault="000100D5" w:rsidP="000100D5">
      <w:pPr>
        <w:pStyle w:val="H23G"/>
      </w:pPr>
      <w:r w:rsidRPr="009A2CFC">
        <w:tab/>
      </w:r>
      <w:r w:rsidRPr="00E0795D">
        <w:t>10.</w:t>
      </w:r>
      <w:r w:rsidRPr="00E0795D">
        <w:tab/>
        <w:t>Estrategia de la Diversidad y Plan de Aplicación 2009</w:t>
      </w:r>
      <w:r w:rsidR="00067DCF">
        <w:t>-</w:t>
      </w:r>
      <w:r w:rsidRPr="00E0795D">
        <w:t>2012</w:t>
      </w:r>
    </w:p>
    <w:p w:rsidR="000100D5" w:rsidRPr="00E80C79" w:rsidRDefault="000100D5" w:rsidP="000100D5">
      <w:pPr>
        <w:pStyle w:val="SingleTxtG"/>
      </w:pPr>
      <w:r w:rsidRPr="00E0795D">
        <w:t>256.</w:t>
      </w:r>
      <w:r w:rsidRPr="00E0795D">
        <w:tab/>
      </w:r>
      <w:r>
        <w:t>En mayo de 2009, l</w:t>
      </w:r>
      <w:r w:rsidRPr="00E0795D">
        <w:t xml:space="preserve">a An Garda Síochána (cuerpo de policía) publicó </w:t>
      </w:r>
      <w:r>
        <w:t>una Estrategia de</w:t>
      </w:r>
      <w:r w:rsidRPr="00E0795D">
        <w:t xml:space="preserve"> </w:t>
      </w:r>
      <w:r>
        <w:t>l</w:t>
      </w:r>
      <w:r w:rsidRPr="00E0795D">
        <w:t>a Diversi</w:t>
      </w:r>
      <w:r>
        <w:t>dad y un plan de aplicación</w:t>
      </w:r>
      <w:r w:rsidRPr="00E0795D">
        <w:t xml:space="preserve"> 2009</w:t>
      </w:r>
      <w:r w:rsidR="00067DCF">
        <w:t>-</w:t>
      </w:r>
      <w:r w:rsidRPr="00E0795D">
        <w:t>2010</w:t>
      </w:r>
      <w:r>
        <w:t>,</w:t>
      </w:r>
      <w:r w:rsidRPr="00E0795D">
        <w:t xml:space="preserve"> tit</w:t>
      </w:r>
      <w:r>
        <w:t>u</w:t>
      </w:r>
      <w:r w:rsidRPr="00E0795D">
        <w:t>l</w:t>
      </w:r>
      <w:r>
        <w:t>a</w:t>
      </w:r>
      <w:r w:rsidRPr="00E0795D">
        <w:t>d</w:t>
      </w:r>
      <w:r>
        <w:t>o</w:t>
      </w:r>
      <w:r w:rsidRPr="00E0795D">
        <w:t xml:space="preserve"> </w:t>
      </w:r>
      <w:r w:rsidR="00E03EF2">
        <w:t>"</w:t>
      </w:r>
      <w:r>
        <w:t>Más allá del cumplimiento legal</w:t>
      </w:r>
      <w:r>
        <w:rPr>
          <w:rStyle w:val="FootnoteReference"/>
          <w:lang w:val="en-IE"/>
        </w:rPr>
        <w:footnoteReference w:id="63"/>
      </w:r>
      <w:r w:rsidR="001F5C61">
        <w:rPr>
          <w:lang w:val="en-IE"/>
        </w:rPr>
        <w:t>".</w:t>
      </w:r>
      <w:r w:rsidRPr="00E0795D">
        <w:t xml:space="preserve"> </w:t>
      </w:r>
      <w:r w:rsidRPr="004D0D58">
        <w:t>En el Plan se establece la forma en que la Garda Síochána (cuerpo de policía) cumplir</w:t>
      </w:r>
      <w:r>
        <w:t>á su compromiso de dar cabida a todos los</w:t>
      </w:r>
      <w:r w:rsidRPr="004D0D58">
        <w:t xml:space="preserve"> aspect</w:t>
      </w:r>
      <w:r>
        <w:t>o</w:t>
      </w:r>
      <w:r w:rsidRPr="004D0D58">
        <w:t xml:space="preserve">s </w:t>
      </w:r>
      <w:r>
        <w:t>del mantenimiento del orden y a la atención a la</w:t>
      </w:r>
      <w:r w:rsidRPr="004D0D58">
        <w:t xml:space="preserve"> diversi</w:t>
      </w:r>
      <w:r>
        <w:t>dad</w:t>
      </w:r>
      <w:r w:rsidRPr="004D0D58">
        <w:t xml:space="preserve">. </w:t>
      </w:r>
      <w:r>
        <w:t>La e</w:t>
      </w:r>
      <w:r w:rsidRPr="004D0D58">
        <w:t xml:space="preserve">strategia de la </w:t>
      </w:r>
      <w:r>
        <w:t>d</w:t>
      </w:r>
      <w:r w:rsidRPr="004D0D58">
        <w:t xml:space="preserve">iversidad se elaboró a raíz de una investigación exhaustiva y una amplia consulta </w:t>
      </w:r>
      <w:r>
        <w:t>con las principales partes interesadas, no sólo del interior sino también</w:t>
      </w:r>
      <w:r w:rsidRPr="004D0D58">
        <w:t xml:space="preserve"> </w:t>
      </w:r>
      <w:r>
        <w:t xml:space="preserve">del </w:t>
      </w:r>
      <w:r w:rsidRPr="004D0D58">
        <w:t>exter</w:t>
      </w:r>
      <w:r>
        <w:t>ior.</w:t>
      </w:r>
      <w:r w:rsidR="005007D6">
        <w:t xml:space="preserve"> </w:t>
      </w:r>
      <w:r w:rsidRPr="00E80C79">
        <w:t xml:space="preserve">Esa estrategia </w:t>
      </w:r>
      <w:r>
        <w:t>obedece a</w:t>
      </w:r>
      <w:r w:rsidRPr="00E80C79">
        <w:t xml:space="preserve"> una doble finalidad, ya que fija un orden de prioridades de organización para gestionar la diversi</w:t>
      </w:r>
      <w:r>
        <w:t>dad, tanto dentro del lugar de trabajo de la</w:t>
      </w:r>
      <w:r w:rsidRPr="00E80C79">
        <w:t xml:space="preserve"> Garda (</w:t>
      </w:r>
      <w:r>
        <w:t>p</w:t>
      </w:r>
      <w:r w:rsidRPr="00E80C79">
        <w:t>olic</w:t>
      </w:r>
      <w:r>
        <w:t>ía</w:t>
      </w:r>
      <w:r w:rsidRPr="00E80C79">
        <w:t xml:space="preserve">) </w:t>
      </w:r>
      <w:r>
        <w:t>como en las</w:t>
      </w:r>
      <w:r w:rsidRPr="00E80C79">
        <w:t xml:space="preserve"> comuni</w:t>
      </w:r>
      <w:r>
        <w:t>dades a cuyo servicio está</w:t>
      </w:r>
      <w:r w:rsidRPr="00E80C79">
        <w:t xml:space="preserve">. </w:t>
      </w:r>
    </w:p>
    <w:p w:rsidR="000100D5" w:rsidRPr="00194827" w:rsidRDefault="000100D5" w:rsidP="000100D5">
      <w:pPr>
        <w:pStyle w:val="SingleTxtG"/>
      </w:pPr>
      <w:r w:rsidRPr="00E80C79">
        <w:t>257.</w:t>
      </w:r>
      <w:r w:rsidRPr="00E80C79">
        <w:tab/>
        <w:t>El Gobierno de Irlanda desea reiterar su firme voluntad de prevenir y detectar, cuando se produzca, cualquier tipo de vulneraci</w:t>
      </w:r>
      <w:r>
        <w:t>ón de los derechos de las</w:t>
      </w:r>
      <w:r w:rsidRPr="00E80C79">
        <w:t xml:space="preserve"> person</w:t>
      </w:r>
      <w:r>
        <w:t>a</w:t>
      </w:r>
      <w:r w:rsidRPr="00E80C79">
        <w:t>s</w:t>
      </w:r>
      <w:r>
        <w:t xml:space="preserve"> bajo custodia de la</w:t>
      </w:r>
      <w:r w:rsidRPr="00E80C79">
        <w:t xml:space="preserve"> Garda (</w:t>
      </w:r>
      <w:r>
        <w:t>p</w:t>
      </w:r>
      <w:r w:rsidRPr="00E80C79">
        <w:t>olic</w:t>
      </w:r>
      <w:r>
        <w:t>ía</w:t>
      </w:r>
      <w:r w:rsidRPr="00E80C79">
        <w:t xml:space="preserve">). </w:t>
      </w:r>
      <w:r w:rsidRPr="00194827">
        <w:t>Esos derechos han sido plasmados en detalle en la Ley de justicia penal, de 1984 (Reglamento del trato d</w:t>
      </w:r>
      <w:r>
        <w:t>e</w:t>
      </w:r>
      <w:r w:rsidRPr="00194827">
        <w:t xml:space="preserve"> las personas </w:t>
      </w:r>
      <w:r>
        <w:t>detenidas en comisarías de la</w:t>
      </w:r>
      <w:r w:rsidRPr="00194827">
        <w:t xml:space="preserve"> Garda Síochána (</w:t>
      </w:r>
      <w:r>
        <w:t>p</w:t>
      </w:r>
      <w:r w:rsidRPr="00194827">
        <w:t>olic</w:t>
      </w:r>
      <w:r>
        <w:t>ía</w:t>
      </w:r>
      <w:r w:rsidRPr="00194827">
        <w:t xml:space="preserve">)), </w:t>
      </w:r>
      <w:r>
        <w:t xml:space="preserve">de </w:t>
      </w:r>
      <w:r w:rsidRPr="00194827">
        <w:t>1987</w:t>
      </w:r>
      <w:r>
        <w:t>,</w:t>
      </w:r>
      <w:r w:rsidRPr="00194827">
        <w:t xml:space="preserve"> </w:t>
      </w:r>
      <w:r>
        <w:t>enmendada</w:t>
      </w:r>
      <w:r w:rsidRPr="00194827">
        <w:t>. Además, el Código de la Garda Síochána (policía) obliga a todos los Gardaí (</w:t>
      </w:r>
      <w:r>
        <w:t xml:space="preserve">agentes de </w:t>
      </w:r>
      <w:r w:rsidRPr="00194827">
        <w:t xml:space="preserve">policía) a respetar las normas </w:t>
      </w:r>
      <w:r>
        <w:t xml:space="preserve">profesionales </w:t>
      </w:r>
      <w:r w:rsidRPr="00194827">
        <w:t>m</w:t>
      </w:r>
      <w:r>
        <w:t>ás rigurosas, en lo tocante a la atención a los</w:t>
      </w:r>
      <w:r w:rsidRPr="00194827">
        <w:t xml:space="preserve"> det</w:t>
      </w:r>
      <w:r>
        <w:t>e</w:t>
      </w:r>
      <w:r w:rsidRPr="00194827">
        <w:t>n</w:t>
      </w:r>
      <w:r>
        <w:t>idos</w:t>
      </w:r>
      <w:r w:rsidRPr="00194827">
        <w:t xml:space="preserve">, </w:t>
      </w:r>
      <w:r>
        <w:t>s</w:t>
      </w:r>
      <w:r w:rsidRPr="00194827">
        <w:t>o p</w:t>
      </w:r>
      <w:r>
        <w:t>ena</w:t>
      </w:r>
      <w:r w:rsidRPr="00194827">
        <w:t xml:space="preserve"> </w:t>
      </w:r>
      <w:r>
        <w:t>de medidas disciplinarias</w:t>
      </w:r>
      <w:r w:rsidRPr="00194827">
        <w:t xml:space="preserve">. </w:t>
      </w:r>
    </w:p>
    <w:p w:rsidR="000100D5" w:rsidRPr="00D021C6" w:rsidRDefault="000100D5" w:rsidP="000100D5">
      <w:pPr>
        <w:pStyle w:val="SingleTxtG"/>
      </w:pPr>
      <w:r w:rsidRPr="00D021C6">
        <w:t>258.</w:t>
      </w:r>
      <w:r w:rsidRPr="00D021C6">
        <w:tab/>
        <w:t>El Gobierno de Irlanda hace también hincapié en la importancia adicional de las medidas adoptadas en relaci</w:t>
      </w:r>
      <w:r>
        <w:t xml:space="preserve">ón con el Reglamento Disciplinario de la </w:t>
      </w:r>
      <w:r w:rsidRPr="00D021C6">
        <w:t>Garda (</w:t>
      </w:r>
      <w:r>
        <w:t>p</w:t>
      </w:r>
      <w:r w:rsidRPr="00D021C6">
        <w:t>olic</w:t>
      </w:r>
      <w:r>
        <w:t>ía)</w:t>
      </w:r>
      <w:r>
        <w:rPr>
          <w:rStyle w:val="FootnoteReference"/>
          <w:lang w:val="en-IE"/>
        </w:rPr>
        <w:footnoteReference w:id="64"/>
      </w:r>
      <w:r w:rsidR="001F5C61">
        <w:rPr>
          <w:lang w:val="en-IE"/>
        </w:rPr>
        <w:t>,</w:t>
      </w:r>
      <w:r w:rsidRPr="00D021C6">
        <w:t xml:space="preserve"> </w:t>
      </w:r>
      <w:r>
        <w:t>el Reglamento sobre</w:t>
      </w:r>
      <w:r w:rsidRPr="00D021C6">
        <w:t xml:space="preserve"> </w:t>
      </w:r>
      <w:r>
        <w:t>c</w:t>
      </w:r>
      <w:r w:rsidRPr="00D021C6">
        <w:t>onfiden</w:t>
      </w:r>
      <w:r>
        <w:t>c</w:t>
      </w:r>
      <w:r w:rsidRPr="00D021C6">
        <w:t>ial</w:t>
      </w:r>
      <w:r>
        <w:t>idad</w:t>
      </w:r>
      <w:r w:rsidRPr="00D021C6">
        <w:t xml:space="preserve"> </w:t>
      </w:r>
      <w:r>
        <w:t>en las denuncias de c</w:t>
      </w:r>
      <w:r w:rsidRPr="00D021C6">
        <w:t>orrup</w:t>
      </w:r>
      <w:r>
        <w:t>c</w:t>
      </w:r>
      <w:r w:rsidRPr="00D021C6">
        <w:t>i</w:t>
      </w:r>
      <w:r>
        <w:t>ó</w:t>
      </w:r>
      <w:r w:rsidRPr="00D021C6">
        <w:t xml:space="preserve">n o </w:t>
      </w:r>
      <w:r>
        <w:t>conducta inapropiada</w:t>
      </w:r>
      <w:r>
        <w:rPr>
          <w:rStyle w:val="FootnoteReference"/>
          <w:lang w:val="en-IE"/>
        </w:rPr>
        <w:footnoteReference w:id="65"/>
      </w:r>
      <w:r w:rsidRPr="00D021C6">
        <w:t xml:space="preserve"> </w:t>
      </w:r>
      <w:r>
        <w:t>y la creación de la Comisión independiente del Ombudsman de la</w:t>
      </w:r>
      <w:r w:rsidRPr="00D021C6">
        <w:t xml:space="preserve"> Garda Síochána (</w:t>
      </w:r>
      <w:r>
        <w:t>p</w:t>
      </w:r>
      <w:r w:rsidRPr="00D021C6">
        <w:t>olic</w:t>
      </w:r>
      <w:r>
        <w:t>ía</w:t>
      </w:r>
      <w:r w:rsidRPr="00D021C6">
        <w:t>)</w:t>
      </w:r>
      <w:r>
        <w:t>.</w:t>
      </w:r>
      <w:r w:rsidR="005007D6">
        <w:t xml:space="preserve"> </w:t>
      </w:r>
    </w:p>
    <w:p w:rsidR="000100D5" w:rsidRPr="0094722F" w:rsidRDefault="000100D5" w:rsidP="000100D5">
      <w:pPr>
        <w:pStyle w:val="SingleTxtG"/>
      </w:pPr>
      <w:r w:rsidRPr="00522F39">
        <w:t>259.</w:t>
      </w:r>
      <w:r w:rsidRPr="00522F39">
        <w:tab/>
        <w:t xml:space="preserve">El Gobierno de Irlanda </w:t>
      </w:r>
      <w:r>
        <w:t>destaca</w:t>
      </w:r>
      <w:r w:rsidRPr="00522F39">
        <w:t xml:space="preserve"> que todos los miembros en activo o alumnos</w:t>
      </w:r>
      <w:r>
        <w:t xml:space="preserve"> de la Academia</w:t>
      </w:r>
      <w:r w:rsidRPr="00522F39">
        <w:t>/</w:t>
      </w:r>
      <w:r>
        <w:t>agentes en período de prueba</w:t>
      </w:r>
      <w:r w:rsidRPr="00522F39">
        <w:t xml:space="preserve"> de la Garda Síochána (cuerpo de policía) conocen </w:t>
      </w:r>
      <w:r>
        <w:t>los</w:t>
      </w:r>
      <w:r w:rsidRPr="00522F39">
        <w:t xml:space="preserve"> deberes y respons</w:t>
      </w:r>
      <w:r>
        <w:t>a</w:t>
      </w:r>
      <w:r w:rsidRPr="00522F39">
        <w:t>bili</w:t>
      </w:r>
      <w:r>
        <w:t>dades que les incumben, de c</w:t>
      </w:r>
      <w:r w:rsidR="00C71011">
        <w:t>onformidad con el Reglamento de </w:t>
      </w:r>
      <w:r>
        <w:t>1987 y sus enmiendas, de la Ley de j</w:t>
      </w:r>
      <w:r w:rsidRPr="00522F39">
        <w:t>ustic</w:t>
      </w:r>
      <w:r>
        <w:t>ia</w:t>
      </w:r>
      <w:r w:rsidRPr="00522F39">
        <w:t xml:space="preserve"> </w:t>
      </w:r>
      <w:r>
        <w:t>penal de</w:t>
      </w:r>
      <w:r w:rsidRPr="00522F39">
        <w:t xml:space="preserve"> 1984 (Trat</w:t>
      </w:r>
      <w:r>
        <w:t>o de las</w:t>
      </w:r>
      <w:r w:rsidRPr="00522F39">
        <w:t xml:space="preserve"> </w:t>
      </w:r>
      <w:r>
        <w:t>p</w:t>
      </w:r>
      <w:r w:rsidRPr="00522F39">
        <w:t>erson</w:t>
      </w:r>
      <w:r>
        <w:t>a</w:t>
      </w:r>
      <w:r w:rsidRPr="00522F39">
        <w:t xml:space="preserve">s </w:t>
      </w:r>
      <w:r>
        <w:t>detenidas en</w:t>
      </w:r>
      <w:r w:rsidR="005007D6">
        <w:t xml:space="preserve"> </w:t>
      </w:r>
      <w:r>
        <w:t>comisarías de la</w:t>
      </w:r>
      <w:r w:rsidRPr="00522F39">
        <w:t xml:space="preserve"> Garda Síochána)</w:t>
      </w:r>
      <w:r>
        <w:t>.</w:t>
      </w:r>
      <w:r w:rsidRPr="00522F39">
        <w:t xml:space="preserve"> Ese Reglamento forma parte también del Programa Básico de Formación Profesional Continua</w:t>
      </w:r>
      <w:r>
        <w:t xml:space="preserve"> para todos los miembros en activo del cuerpo.</w:t>
      </w:r>
      <w:r w:rsidRPr="00522F39">
        <w:t xml:space="preserve"> </w:t>
      </w:r>
      <w:r w:rsidRPr="00441651">
        <w:t xml:space="preserve">Cualquier </w:t>
      </w:r>
      <w:r>
        <w:t>caso</w:t>
      </w:r>
      <w:r w:rsidRPr="00441651">
        <w:t xml:space="preserve"> </w:t>
      </w:r>
      <w:r>
        <w:t>planteado</w:t>
      </w:r>
      <w:r w:rsidRPr="00441651">
        <w:t xml:space="preserve"> ante los tribunales o notificad</w:t>
      </w:r>
      <w:r>
        <w:t>o</w:t>
      </w:r>
      <w:r w:rsidRPr="00441651">
        <w:t xml:space="preserve"> por la Fiscalía</w:t>
      </w:r>
      <w:r>
        <w:t xml:space="preserve"> y</w:t>
      </w:r>
      <w:r w:rsidRPr="00441651">
        <w:t xml:space="preserve"> que influya en la manera </w:t>
      </w:r>
      <w:r>
        <w:t>d</w:t>
      </w:r>
      <w:r w:rsidRPr="00441651">
        <w:t>e apli</w:t>
      </w:r>
      <w:r>
        <w:t>car</w:t>
      </w:r>
      <w:r w:rsidRPr="00441651">
        <w:t xml:space="preserve"> el Reglamento</w:t>
      </w:r>
      <w:r>
        <w:t>,</w:t>
      </w:r>
      <w:r w:rsidRPr="00441651">
        <w:t xml:space="preserve"> </w:t>
      </w:r>
      <w:r>
        <w:t>se comunica a los</w:t>
      </w:r>
      <w:r w:rsidRPr="00441651">
        <w:t xml:space="preserve"> m</w:t>
      </w:r>
      <w:r>
        <w:t>i</w:t>
      </w:r>
      <w:r w:rsidRPr="00441651">
        <w:t>embr</w:t>
      </w:r>
      <w:r>
        <w:t>os del Cuerpo a través de una</w:t>
      </w:r>
      <w:r w:rsidRPr="00441651">
        <w:t xml:space="preserve"> direct</w:t>
      </w:r>
      <w:r>
        <w:t>r</w:t>
      </w:r>
      <w:r w:rsidRPr="00441651">
        <w:t>i</w:t>
      </w:r>
      <w:r>
        <w:t>z</w:t>
      </w:r>
      <w:r w:rsidRPr="00441651">
        <w:t xml:space="preserve"> </w:t>
      </w:r>
      <w:r>
        <w:t xml:space="preserve">de la Sede de la </w:t>
      </w:r>
      <w:r w:rsidRPr="00441651">
        <w:t>Garda (</w:t>
      </w:r>
      <w:r>
        <w:t>p</w:t>
      </w:r>
      <w:r w:rsidRPr="00441651">
        <w:t>olic</w:t>
      </w:r>
      <w:r>
        <w:t>ía</w:t>
      </w:r>
      <w:r w:rsidRPr="00441651">
        <w:t xml:space="preserve">) </w:t>
      </w:r>
      <w:r>
        <w:t>para</w:t>
      </w:r>
      <w:r w:rsidRPr="00441651">
        <w:t xml:space="preserve"> informa</w:t>
      </w:r>
      <w:r>
        <w:t>c</w:t>
      </w:r>
      <w:r w:rsidRPr="00441651">
        <w:t>i</w:t>
      </w:r>
      <w:r>
        <w:t>ón y</w:t>
      </w:r>
      <w:r w:rsidRPr="00441651">
        <w:t xml:space="preserve"> c</w:t>
      </w:r>
      <w:r>
        <w:t>u</w:t>
      </w:r>
      <w:r w:rsidRPr="00441651">
        <w:t>mpli</w:t>
      </w:r>
      <w:r>
        <w:t>miento de todos los</w:t>
      </w:r>
      <w:r w:rsidRPr="00441651">
        <w:t xml:space="preserve"> m</w:t>
      </w:r>
      <w:r>
        <w:t>i</w:t>
      </w:r>
      <w:r w:rsidRPr="00441651">
        <w:t>embr</w:t>
      </w:r>
      <w:r>
        <w:t>o</w:t>
      </w:r>
      <w:r w:rsidRPr="00441651">
        <w:t xml:space="preserve">s. </w:t>
      </w:r>
      <w:r w:rsidRPr="0094722F">
        <w:t xml:space="preserve">Además, se recuerda periódicamente a todos los miembros de la An Garda Síochána (cuerpo de policía) que el uso de la fuerza en el ejercicio de sus deberes debe </w:t>
      </w:r>
      <w:r>
        <w:t>limitarse a lo estrictamente necesario a tenor de las</w:t>
      </w:r>
      <w:r w:rsidRPr="0094722F">
        <w:t xml:space="preserve"> circu</w:t>
      </w:r>
      <w:r>
        <w:t>n</w:t>
      </w:r>
      <w:r w:rsidRPr="0094722F">
        <w:t>stanc</w:t>
      </w:r>
      <w:r>
        <w:t>ia</w:t>
      </w:r>
      <w:r w:rsidRPr="0094722F">
        <w:t>s</w:t>
      </w:r>
      <w:r>
        <w:t xml:space="preserve"> del caso y se exige a todos los</w:t>
      </w:r>
      <w:r w:rsidRPr="0094722F">
        <w:t xml:space="preserve"> m</w:t>
      </w:r>
      <w:r>
        <w:t>iembros que estén familiarizados con el Código de la</w:t>
      </w:r>
      <w:r w:rsidRPr="0094722F">
        <w:t xml:space="preserve"> Garda Síochána (</w:t>
      </w:r>
      <w:r>
        <w:t>p</w:t>
      </w:r>
      <w:r w:rsidRPr="0094722F">
        <w:t>olic</w:t>
      </w:r>
      <w:r>
        <w:t>ía</w:t>
      </w:r>
      <w:r w:rsidRPr="0094722F">
        <w:t>)</w:t>
      </w:r>
      <w:r>
        <w:t xml:space="preserve"> y lo respeten</w:t>
      </w:r>
      <w:r w:rsidRPr="0094722F">
        <w:t xml:space="preserve">. </w:t>
      </w:r>
    </w:p>
    <w:p w:rsidR="000100D5" w:rsidRPr="0094722F" w:rsidRDefault="000100D5" w:rsidP="000100D5">
      <w:pPr>
        <w:pStyle w:val="H23G"/>
      </w:pPr>
      <w:r w:rsidRPr="0094722F">
        <w:tab/>
        <w:t>11.</w:t>
      </w:r>
      <w:r w:rsidRPr="0094722F">
        <w:tab/>
      </w:r>
      <w:r>
        <w:t>Interrogatorios</w:t>
      </w:r>
      <w:r w:rsidRPr="0094722F">
        <w:t xml:space="preserve"> a </w:t>
      </w:r>
      <w:r>
        <w:t xml:space="preserve">las </w:t>
      </w:r>
      <w:r w:rsidRPr="0094722F">
        <w:t>personas bajo la custodia de la Garda (polic</w:t>
      </w:r>
      <w:r>
        <w:t>ía</w:t>
      </w:r>
      <w:r w:rsidRPr="0094722F">
        <w:t xml:space="preserve">) </w:t>
      </w:r>
    </w:p>
    <w:p w:rsidR="000100D5" w:rsidRPr="0094722F" w:rsidRDefault="000100D5" w:rsidP="000100D5">
      <w:pPr>
        <w:pStyle w:val="SingleTxtG"/>
      </w:pPr>
      <w:r w:rsidRPr="0094722F">
        <w:t>260.</w:t>
      </w:r>
      <w:r w:rsidRPr="0094722F">
        <w:tab/>
      </w:r>
      <w:r>
        <w:t>Lo</w:t>
      </w:r>
      <w:r w:rsidRPr="0094722F">
        <w:t xml:space="preserve">s </w:t>
      </w:r>
      <w:r>
        <w:t>i</w:t>
      </w:r>
      <w:r w:rsidRPr="0094722F">
        <w:t>nte</w:t>
      </w:r>
      <w:r>
        <w:t>rrogatorios de</w:t>
      </w:r>
      <w:r w:rsidRPr="0094722F">
        <w:t xml:space="preserve"> las personas </w:t>
      </w:r>
      <w:r>
        <w:t>detenidas por</w:t>
      </w:r>
      <w:r w:rsidRPr="0094722F">
        <w:t xml:space="preserve"> la Garda (policía) </w:t>
      </w:r>
      <w:r>
        <w:t>se rigen por el Reglamento de 1997 de la Ley</w:t>
      </w:r>
      <w:r w:rsidRPr="0094722F">
        <w:t xml:space="preserve"> </w:t>
      </w:r>
      <w:r>
        <w:t>de justicia penal de</w:t>
      </w:r>
      <w:r w:rsidRPr="0094722F">
        <w:t xml:space="preserve"> 1984 (</w:t>
      </w:r>
      <w:r>
        <w:t>grabación e</w:t>
      </w:r>
      <w:r w:rsidRPr="0094722F">
        <w:t>lectr</w:t>
      </w:r>
      <w:r>
        <w:t>ó</w:t>
      </w:r>
      <w:r w:rsidRPr="0094722F">
        <w:t>nic</w:t>
      </w:r>
      <w:r>
        <w:t>a de los interrogatorios</w:t>
      </w:r>
      <w:r w:rsidRPr="0094722F">
        <w:t>)</w:t>
      </w:r>
      <w:r>
        <w:t>.</w:t>
      </w:r>
      <w:r w:rsidR="005007D6">
        <w:t xml:space="preserve"> </w:t>
      </w:r>
    </w:p>
    <w:p w:rsidR="000100D5" w:rsidRPr="00B46592" w:rsidRDefault="000100D5" w:rsidP="000100D5">
      <w:pPr>
        <w:pStyle w:val="SingleTxtG"/>
      </w:pPr>
      <w:r w:rsidRPr="00B46592">
        <w:t>261.</w:t>
      </w:r>
      <w:r w:rsidRPr="00B46592">
        <w:tab/>
        <w:t xml:space="preserve">El Cuadro 9, que contiene las últimas cifras disponibles, indica que el porcentaje de </w:t>
      </w:r>
      <w:r>
        <w:t>i</w:t>
      </w:r>
      <w:r w:rsidRPr="00B46592">
        <w:t>nte</w:t>
      </w:r>
      <w:r>
        <w:t>rrogatorios grabado</w:t>
      </w:r>
      <w:r w:rsidRPr="00B46592">
        <w:t>s por m</w:t>
      </w:r>
      <w:r>
        <w:t>étodos</w:t>
      </w:r>
      <w:r w:rsidRPr="00B46592">
        <w:t xml:space="preserve"> electr</w:t>
      </w:r>
      <w:r>
        <w:t>ó</w:t>
      </w:r>
      <w:r w:rsidRPr="00B46592">
        <w:t>nic</w:t>
      </w:r>
      <w:r>
        <w:t>os ha seguido creciendo, por lo que el porcentaje de interrogatorios que no se grabaron por métodos electrónicos</w:t>
      </w:r>
      <w:r w:rsidRPr="00B46592">
        <w:t xml:space="preserve"> </w:t>
      </w:r>
      <w:r>
        <w:t xml:space="preserve">ha </w:t>
      </w:r>
      <w:r w:rsidRPr="00B46592">
        <w:t>de</w:t>
      </w:r>
      <w:r>
        <w:t>scendido al</w:t>
      </w:r>
      <w:r w:rsidR="00C71011">
        <w:t> </w:t>
      </w:r>
      <w:r w:rsidRPr="00B46592">
        <w:t>0</w:t>
      </w:r>
      <w:r>
        <w:t>,</w:t>
      </w:r>
      <w:r w:rsidRPr="00B46592">
        <w:t>7%. Entre los motivos de que no se graben algun</w:t>
      </w:r>
      <w:r>
        <w:t>o</w:t>
      </w:r>
      <w:r w:rsidRPr="00B46592">
        <w:t xml:space="preserve">s </w:t>
      </w:r>
      <w:r>
        <w:t>i</w:t>
      </w:r>
      <w:r w:rsidRPr="00B46592">
        <w:t>nte</w:t>
      </w:r>
      <w:r>
        <w:t>rrogatorios</w:t>
      </w:r>
      <w:r w:rsidRPr="00B46592">
        <w:t xml:space="preserve"> figuran los casos en que el detenido se niega a dar su consentimiento a la grabaci</w:t>
      </w:r>
      <w:r>
        <w:t>ón y los casos en que el material de grabación está inservible o no disponible</w:t>
      </w:r>
      <w:r w:rsidRPr="00B46592">
        <w:t xml:space="preserve">. </w:t>
      </w:r>
    </w:p>
    <w:p w:rsidR="000100D5" w:rsidRDefault="000100D5" w:rsidP="00BD5346">
      <w:pPr>
        <w:pStyle w:val="Heading1"/>
        <w:rPr>
          <w:lang w:val="en-IE"/>
        </w:rPr>
      </w:pPr>
      <w:r>
        <w:rPr>
          <w:lang w:val="en-IE"/>
        </w:rPr>
        <w:t>Cuadro</w:t>
      </w:r>
      <w:r w:rsidRPr="006B35C1">
        <w:rPr>
          <w:lang w:val="en-IE"/>
        </w:rPr>
        <w:t xml:space="preserve"> 9</w:t>
      </w:r>
    </w:p>
    <w:p w:rsidR="000100D5" w:rsidRPr="00B46592" w:rsidRDefault="000100D5" w:rsidP="00BD5346">
      <w:pPr>
        <w:pStyle w:val="SingleTxtG"/>
        <w:keepNext/>
        <w:jc w:val="left"/>
        <w:rPr>
          <w:b/>
        </w:rPr>
      </w:pPr>
      <w:r w:rsidRPr="00B46592">
        <w:rPr>
          <w:b/>
        </w:rPr>
        <w:t>Grabación electrónic</w:t>
      </w:r>
      <w:r>
        <w:rPr>
          <w:b/>
        </w:rPr>
        <w:t>a de lo</w:t>
      </w:r>
      <w:r w:rsidRPr="00B46592">
        <w:rPr>
          <w:b/>
        </w:rPr>
        <w:t xml:space="preserve">s </w:t>
      </w:r>
      <w:r>
        <w:rPr>
          <w:b/>
        </w:rPr>
        <w:t>i</w:t>
      </w:r>
      <w:r w:rsidRPr="00B46592">
        <w:rPr>
          <w:b/>
        </w:rPr>
        <w:t>nte</w:t>
      </w:r>
      <w:r>
        <w:rPr>
          <w:b/>
        </w:rPr>
        <w:t>rrogatorios</w:t>
      </w:r>
      <w:r w:rsidRPr="00B46592">
        <w:rPr>
          <w:b/>
        </w:rPr>
        <w:t xml:space="preserve"> a personas </w:t>
      </w:r>
      <w:r>
        <w:rPr>
          <w:b/>
        </w:rPr>
        <w:t>bajo</w:t>
      </w:r>
      <w:r w:rsidRPr="00B46592">
        <w:rPr>
          <w:b/>
        </w:rPr>
        <w:t xml:space="preserve"> custod</w:t>
      </w:r>
      <w:r>
        <w:rPr>
          <w:b/>
        </w:rPr>
        <w:t>ia de la Garda</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6"/>
        <w:gridCol w:w="1500"/>
        <w:gridCol w:w="1561"/>
        <w:gridCol w:w="1843"/>
      </w:tblGrid>
      <w:tr w:rsidR="000100D5" w:rsidRPr="00C67360" w:rsidTr="00780DFE">
        <w:tc>
          <w:tcPr>
            <w:tcW w:w="2466" w:type="dxa"/>
            <w:tcBorders>
              <w:top w:val="single" w:sz="4" w:space="0" w:color="auto"/>
              <w:bottom w:val="single" w:sz="12" w:space="0" w:color="auto"/>
            </w:tcBorders>
            <w:shd w:val="clear" w:color="auto" w:fill="auto"/>
            <w:vAlign w:val="bottom"/>
          </w:tcPr>
          <w:p w:rsidR="000100D5" w:rsidRPr="003A6F97" w:rsidRDefault="000100D5" w:rsidP="000100D5">
            <w:pPr>
              <w:spacing w:before="80" w:after="80" w:line="200" w:lineRule="exact"/>
              <w:ind w:right="113"/>
              <w:rPr>
                <w:i/>
                <w:sz w:val="16"/>
                <w:lang w:val="en-IE"/>
              </w:rPr>
            </w:pPr>
            <w:r>
              <w:rPr>
                <w:i/>
                <w:sz w:val="16"/>
                <w:lang w:val="en-IE"/>
              </w:rPr>
              <w:t>Año</w:t>
            </w:r>
          </w:p>
        </w:tc>
        <w:tc>
          <w:tcPr>
            <w:tcW w:w="1500" w:type="dxa"/>
            <w:tcBorders>
              <w:top w:val="single" w:sz="4" w:space="0" w:color="auto"/>
              <w:bottom w:val="single" w:sz="12" w:space="0" w:color="auto"/>
            </w:tcBorders>
            <w:shd w:val="clear" w:color="auto" w:fill="auto"/>
            <w:vAlign w:val="bottom"/>
          </w:tcPr>
          <w:p w:rsidR="000100D5" w:rsidRPr="00140DD2" w:rsidRDefault="000100D5" w:rsidP="000100D5">
            <w:pPr>
              <w:spacing w:before="80" w:after="80" w:line="200" w:lineRule="exact"/>
              <w:ind w:right="113"/>
              <w:jc w:val="right"/>
              <w:rPr>
                <w:i/>
                <w:sz w:val="16"/>
              </w:rPr>
            </w:pPr>
            <w:r>
              <w:rPr>
                <w:i/>
                <w:sz w:val="16"/>
              </w:rPr>
              <w:t>Nº</w:t>
            </w:r>
            <w:r w:rsidRPr="00140DD2">
              <w:rPr>
                <w:i/>
                <w:sz w:val="16"/>
              </w:rPr>
              <w:t xml:space="preserve"> </w:t>
            </w:r>
            <w:r>
              <w:rPr>
                <w:i/>
                <w:sz w:val="16"/>
              </w:rPr>
              <w:t>de interrogatorios realizado</w:t>
            </w:r>
            <w:r w:rsidRPr="00140DD2">
              <w:rPr>
                <w:i/>
                <w:sz w:val="16"/>
              </w:rPr>
              <w:t>s</w:t>
            </w:r>
            <w:r w:rsidR="005007D6">
              <w:rPr>
                <w:i/>
                <w:sz w:val="16"/>
              </w:rPr>
              <w:t xml:space="preserve"> </w:t>
            </w:r>
          </w:p>
        </w:tc>
        <w:tc>
          <w:tcPr>
            <w:tcW w:w="1561" w:type="dxa"/>
            <w:tcBorders>
              <w:top w:val="single" w:sz="4" w:space="0" w:color="auto"/>
              <w:bottom w:val="single" w:sz="12" w:space="0" w:color="auto"/>
            </w:tcBorders>
            <w:shd w:val="clear" w:color="auto" w:fill="auto"/>
            <w:vAlign w:val="bottom"/>
          </w:tcPr>
          <w:p w:rsidR="000100D5" w:rsidRPr="00140DD2" w:rsidRDefault="000100D5" w:rsidP="000100D5">
            <w:pPr>
              <w:spacing w:before="80" w:after="80" w:line="200" w:lineRule="exact"/>
              <w:ind w:right="113"/>
              <w:jc w:val="right"/>
              <w:rPr>
                <w:i/>
                <w:sz w:val="16"/>
              </w:rPr>
            </w:pPr>
            <w:r w:rsidRPr="00140DD2">
              <w:rPr>
                <w:i/>
                <w:sz w:val="16"/>
              </w:rPr>
              <w:t>N</w:t>
            </w:r>
            <w:r>
              <w:rPr>
                <w:i/>
                <w:sz w:val="16"/>
              </w:rPr>
              <w:t>º</w:t>
            </w:r>
            <w:r w:rsidRPr="00140DD2">
              <w:rPr>
                <w:i/>
                <w:sz w:val="16"/>
              </w:rPr>
              <w:t xml:space="preserve"> de</w:t>
            </w:r>
            <w:r>
              <w:rPr>
                <w:i/>
                <w:sz w:val="16"/>
              </w:rPr>
              <w:t xml:space="preserve"> i</w:t>
            </w:r>
            <w:r w:rsidRPr="00140DD2">
              <w:rPr>
                <w:i/>
                <w:sz w:val="16"/>
              </w:rPr>
              <w:t>nte</w:t>
            </w:r>
            <w:r>
              <w:rPr>
                <w:i/>
                <w:sz w:val="16"/>
              </w:rPr>
              <w:t>rroga</w:t>
            </w:r>
            <w:r w:rsidRPr="00140DD2">
              <w:rPr>
                <w:i/>
                <w:sz w:val="16"/>
              </w:rPr>
              <w:t>t</w:t>
            </w:r>
            <w:r w:rsidR="00C67360">
              <w:rPr>
                <w:i/>
                <w:sz w:val="16"/>
              </w:rPr>
              <w:t>orios</w:t>
            </w:r>
            <w:r w:rsidR="00C67360">
              <w:rPr>
                <w:i/>
                <w:sz w:val="16"/>
              </w:rPr>
              <w:br/>
            </w:r>
            <w:r>
              <w:rPr>
                <w:i/>
                <w:sz w:val="16"/>
              </w:rPr>
              <w:t xml:space="preserve"> </w:t>
            </w:r>
            <w:r w:rsidR="00C67360">
              <w:rPr>
                <w:i/>
                <w:sz w:val="16"/>
              </w:rPr>
              <w:t xml:space="preserve">no </w:t>
            </w:r>
            <w:r>
              <w:rPr>
                <w:i/>
                <w:sz w:val="16"/>
              </w:rPr>
              <w:t>grabado</w:t>
            </w:r>
            <w:r w:rsidRPr="00140DD2">
              <w:rPr>
                <w:i/>
                <w:sz w:val="16"/>
              </w:rPr>
              <w:t xml:space="preserve">s electrónicamente </w:t>
            </w:r>
          </w:p>
        </w:tc>
        <w:tc>
          <w:tcPr>
            <w:tcW w:w="1843" w:type="dxa"/>
            <w:tcBorders>
              <w:top w:val="single" w:sz="4" w:space="0" w:color="auto"/>
              <w:bottom w:val="single" w:sz="12" w:space="0" w:color="auto"/>
            </w:tcBorders>
            <w:shd w:val="clear" w:color="auto" w:fill="auto"/>
            <w:vAlign w:val="bottom"/>
          </w:tcPr>
          <w:p w:rsidR="000100D5" w:rsidRPr="00C67360" w:rsidRDefault="000100D5" w:rsidP="000100D5">
            <w:pPr>
              <w:spacing w:before="80" w:after="80" w:line="200" w:lineRule="exact"/>
              <w:ind w:right="113"/>
              <w:jc w:val="right"/>
              <w:rPr>
                <w:i/>
                <w:sz w:val="16"/>
              </w:rPr>
            </w:pPr>
            <w:r w:rsidRPr="00C67360">
              <w:rPr>
                <w:i/>
                <w:sz w:val="16"/>
              </w:rPr>
              <w:t>Porcentaje no grabado</w:t>
            </w:r>
          </w:p>
        </w:tc>
      </w:tr>
      <w:tr w:rsidR="000100D5" w:rsidRPr="00C67360" w:rsidTr="00780DFE">
        <w:tc>
          <w:tcPr>
            <w:tcW w:w="2466" w:type="dxa"/>
            <w:tcBorders>
              <w:top w:val="single" w:sz="12" w:space="0" w:color="auto"/>
            </w:tcBorders>
            <w:shd w:val="clear" w:color="auto" w:fill="auto"/>
            <w:vAlign w:val="bottom"/>
          </w:tcPr>
          <w:p w:rsidR="000100D5" w:rsidRPr="00C67360" w:rsidRDefault="000100D5" w:rsidP="000100D5">
            <w:pPr>
              <w:suppressAutoHyphens w:val="0"/>
              <w:spacing w:before="40" w:after="40" w:line="220" w:lineRule="exact"/>
              <w:ind w:right="113"/>
              <w:rPr>
                <w:sz w:val="18"/>
              </w:rPr>
            </w:pPr>
            <w:r w:rsidRPr="00C67360">
              <w:rPr>
                <w:sz w:val="18"/>
              </w:rPr>
              <w:t>2005</w:t>
            </w:r>
          </w:p>
        </w:tc>
        <w:tc>
          <w:tcPr>
            <w:tcW w:w="1500" w:type="dxa"/>
            <w:tcBorders>
              <w:top w:val="single" w:sz="12" w:space="0" w:color="auto"/>
            </w:tcBorders>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13 377</w:t>
            </w:r>
          </w:p>
        </w:tc>
        <w:tc>
          <w:tcPr>
            <w:tcW w:w="1561" w:type="dxa"/>
            <w:tcBorders>
              <w:top w:val="single" w:sz="12" w:space="0" w:color="auto"/>
            </w:tcBorders>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162</w:t>
            </w:r>
          </w:p>
        </w:tc>
        <w:tc>
          <w:tcPr>
            <w:tcW w:w="1843" w:type="dxa"/>
            <w:tcBorders>
              <w:top w:val="single" w:sz="12" w:space="0" w:color="auto"/>
            </w:tcBorders>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1,21</w:t>
            </w:r>
          </w:p>
        </w:tc>
      </w:tr>
      <w:tr w:rsidR="000100D5" w:rsidRPr="00C67360" w:rsidTr="00780DFE">
        <w:tc>
          <w:tcPr>
            <w:tcW w:w="2466" w:type="dxa"/>
            <w:shd w:val="clear" w:color="auto" w:fill="auto"/>
            <w:vAlign w:val="bottom"/>
          </w:tcPr>
          <w:p w:rsidR="000100D5" w:rsidRPr="00C67360" w:rsidRDefault="000100D5" w:rsidP="000100D5">
            <w:pPr>
              <w:suppressAutoHyphens w:val="0"/>
              <w:spacing w:before="40" w:after="40" w:line="220" w:lineRule="exact"/>
              <w:ind w:right="113"/>
              <w:rPr>
                <w:sz w:val="18"/>
              </w:rPr>
            </w:pPr>
            <w:r w:rsidRPr="00C67360">
              <w:rPr>
                <w:sz w:val="18"/>
              </w:rPr>
              <w:t>2006</w:t>
            </w:r>
          </w:p>
        </w:tc>
        <w:tc>
          <w:tcPr>
            <w:tcW w:w="1500" w:type="dxa"/>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13 438</w:t>
            </w:r>
          </w:p>
        </w:tc>
        <w:tc>
          <w:tcPr>
            <w:tcW w:w="1561" w:type="dxa"/>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126</w:t>
            </w:r>
          </w:p>
        </w:tc>
        <w:tc>
          <w:tcPr>
            <w:tcW w:w="1843" w:type="dxa"/>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0,94</w:t>
            </w:r>
          </w:p>
        </w:tc>
      </w:tr>
      <w:tr w:rsidR="000100D5" w:rsidRPr="00C67360" w:rsidTr="00780DFE">
        <w:tc>
          <w:tcPr>
            <w:tcW w:w="2466" w:type="dxa"/>
            <w:shd w:val="clear" w:color="auto" w:fill="auto"/>
            <w:vAlign w:val="bottom"/>
          </w:tcPr>
          <w:p w:rsidR="000100D5" w:rsidRPr="00C67360" w:rsidRDefault="000100D5" w:rsidP="000100D5">
            <w:pPr>
              <w:suppressAutoHyphens w:val="0"/>
              <w:spacing w:before="40" w:after="40" w:line="220" w:lineRule="exact"/>
              <w:ind w:right="113"/>
              <w:rPr>
                <w:sz w:val="18"/>
              </w:rPr>
            </w:pPr>
            <w:r w:rsidRPr="00C67360">
              <w:rPr>
                <w:sz w:val="18"/>
              </w:rPr>
              <w:t>2007</w:t>
            </w:r>
          </w:p>
        </w:tc>
        <w:tc>
          <w:tcPr>
            <w:tcW w:w="1500" w:type="dxa"/>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16 725</w:t>
            </w:r>
          </w:p>
        </w:tc>
        <w:tc>
          <w:tcPr>
            <w:tcW w:w="1561" w:type="dxa"/>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158</w:t>
            </w:r>
          </w:p>
        </w:tc>
        <w:tc>
          <w:tcPr>
            <w:tcW w:w="1843" w:type="dxa"/>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0,95</w:t>
            </w:r>
          </w:p>
        </w:tc>
      </w:tr>
      <w:tr w:rsidR="000100D5" w:rsidRPr="00C67360" w:rsidTr="00780DFE">
        <w:tc>
          <w:tcPr>
            <w:tcW w:w="2466" w:type="dxa"/>
            <w:shd w:val="clear" w:color="auto" w:fill="auto"/>
            <w:vAlign w:val="bottom"/>
          </w:tcPr>
          <w:p w:rsidR="000100D5" w:rsidRPr="00C67360" w:rsidRDefault="000100D5" w:rsidP="000100D5">
            <w:pPr>
              <w:suppressAutoHyphens w:val="0"/>
              <w:spacing w:before="40" w:after="40" w:line="220" w:lineRule="exact"/>
              <w:ind w:right="113"/>
              <w:rPr>
                <w:sz w:val="18"/>
              </w:rPr>
            </w:pPr>
            <w:r w:rsidRPr="00C67360">
              <w:rPr>
                <w:sz w:val="18"/>
              </w:rPr>
              <w:t>2008</w:t>
            </w:r>
          </w:p>
        </w:tc>
        <w:tc>
          <w:tcPr>
            <w:tcW w:w="1500" w:type="dxa"/>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19 758</w:t>
            </w:r>
          </w:p>
        </w:tc>
        <w:tc>
          <w:tcPr>
            <w:tcW w:w="1561" w:type="dxa"/>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252</w:t>
            </w:r>
          </w:p>
        </w:tc>
        <w:tc>
          <w:tcPr>
            <w:tcW w:w="1843" w:type="dxa"/>
            <w:shd w:val="clear" w:color="auto" w:fill="auto"/>
            <w:vAlign w:val="bottom"/>
          </w:tcPr>
          <w:p w:rsidR="000100D5" w:rsidRPr="00C67360" w:rsidRDefault="000100D5" w:rsidP="000100D5">
            <w:pPr>
              <w:suppressAutoHyphens w:val="0"/>
              <w:spacing w:before="40" w:after="40" w:line="220" w:lineRule="exact"/>
              <w:ind w:right="113"/>
              <w:jc w:val="right"/>
              <w:rPr>
                <w:sz w:val="18"/>
              </w:rPr>
            </w:pPr>
            <w:r w:rsidRPr="00C67360">
              <w:rPr>
                <w:sz w:val="18"/>
              </w:rPr>
              <w:t>1,27</w:t>
            </w:r>
          </w:p>
        </w:tc>
      </w:tr>
      <w:tr w:rsidR="000100D5" w:rsidRPr="003A6F97" w:rsidTr="00780DFE">
        <w:tc>
          <w:tcPr>
            <w:tcW w:w="2466" w:type="dxa"/>
            <w:tcBorders>
              <w:bottom w:val="single" w:sz="12" w:space="0" w:color="auto"/>
            </w:tcBorders>
            <w:shd w:val="clear" w:color="auto" w:fill="auto"/>
            <w:vAlign w:val="bottom"/>
          </w:tcPr>
          <w:p w:rsidR="000100D5" w:rsidRPr="003A6F97" w:rsidRDefault="000100D5" w:rsidP="000100D5">
            <w:pPr>
              <w:suppressAutoHyphens w:val="0"/>
              <w:spacing w:before="40" w:after="40" w:line="220" w:lineRule="exact"/>
              <w:ind w:right="113"/>
              <w:rPr>
                <w:sz w:val="18"/>
                <w:lang w:val="en-IE"/>
              </w:rPr>
            </w:pPr>
            <w:r w:rsidRPr="00C67360">
              <w:rPr>
                <w:sz w:val="18"/>
              </w:rPr>
              <w:t xml:space="preserve">2009 (1º </w:t>
            </w:r>
            <w:r w:rsidR="00780DFE">
              <w:rPr>
                <w:sz w:val="18"/>
              </w:rPr>
              <w:t xml:space="preserve">de </w:t>
            </w:r>
            <w:r w:rsidRPr="00C67360">
              <w:rPr>
                <w:sz w:val="18"/>
              </w:rPr>
              <w:t xml:space="preserve">enero </w:t>
            </w:r>
            <w:r w:rsidR="00C67360">
              <w:rPr>
                <w:sz w:val="18"/>
              </w:rPr>
              <w:t>a</w:t>
            </w:r>
            <w:r w:rsidRPr="00C67360">
              <w:rPr>
                <w:sz w:val="18"/>
              </w:rPr>
              <w:t xml:space="preserve"> </w:t>
            </w:r>
            <w:r>
              <w:rPr>
                <w:sz w:val="18"/>
                <w:lang w:val="en-IE"/>
              </w:rPr>
              <w:t xml:space="preserve">31 </w:t>
            </w:r>
            <w:r w:rsidR="00780DFE">
              <w:rPr>
                <w:sz w:val="18"/>
                <w:lang w:val="en-IE"/>
              </w:rPr>
              <w:t xml:space="preserve">de </w:t>
            </w:r>
            <w:r>
              <w:rPr>
                <w:sz w:val="18"/>
                <w:lang w:val="en-IE"/>
              </w:rPr>
              <w:t>mayo)</w:t>
            </w:r>
          </w:p>
        </w:tc>
        <w:tc>
          <w:tcPr>
            <w:tcW w:w="1500" w:type="dxa"/>
            <w:tcBorders>
              <w:bottom w:val="single" w:sz="12" w:space="0" w:color="auto"/>
            </w:tcBorders>
            <w:shd w:val="clear" w:color="auto" w:fill="auto"/>
            <w:vAlign w:val="bottom"/>
          </w:tcPr>
          <w:p w:rsidR="000100D5" w:rsidRPr="003A6F97" w:rsidRDefault="000100D5" w:rsidP="000100D5">
            <w:pPr>
              <w:suppressAutoHyphens w:val="0"/>
              <w:spacing w:before="40" w:after="40" w:line="220" w:lineRule="exact"/>
              <w:ind w:right="113"/>
              <w:jc w:val="right"/>
              <w:rPr>
                <w:sz w:val="18"/>
                <w:lang w:val="en-IE"/>
              </w:rPr>
            </w:pPr>
            <w:r>
              <w:rPr>
                <w:sz w:val="18"/>
                <w:lang w:val="en-IE"/>
              </w:rPr>
              <w:t>8 935</w:t>
            </w:r>
          </w:p>
        </w:tc>
        <w:tc>
          <w:tcPr>
            <w:tcW w:w="1561" w:type="dxa"/>
            <w:tcBorders>
              <w:bottom w:val="single" w:sz="12" w:space="0" w:color="auto"/>
            </w:tcBorders>
            <w:shd w:val="clear" w:color="auto" w:fill="auto"/>
            <w:vAlign w:val="bottom"/>
          </w:tcPr>
          <w:p w:rsidR="000100D5" w:rsidRPr="003A6F97" w:rsidRDefault="000100D5" w:rsidP="000100D5">
            <w:pPr>
              <w:suppressAutoHyphens w:val="0"/>
              <w:spacing w:before="40" w:after="40" w:line="220" w:lineRule="exact"/>
              <w:ind w:right="113"/>
              <w:jc w:val="right"/>
              <w:rPr>
                <w:sz w:val="18"/>
                <w:lang w:val="en-IE"/>
              </w:rPr>
            </w:pPr>
            <w:r>
              <w:rPr>
                <w:sz w:val="18"/>
                <w:lang w:val="en-IE"/>
              </w:rPr>
              <w:t>81</w:t>
            </w:r>
          </w:p>
        </w:tc>
        <w:tc>
          <w:tcPr>
            <w:tcW w:w="1843" w:type="dxa"/>
            <w:tcBorders>
              <w:bottom w:val="single" w:sz="12" w:space="0" w:color="auto"/>
            </w:tcBorders>
            <w:shd w:val="clear" w:color="auto" w:fill="auto"/>
            <w:vAlign w:val="bottom"/>
          </w:tcPr>
          <w:p w:rsidR="000100D5" w:rsidRPr="003A6F97" w:rsidRDefault="000100D5" w:rsidP="000100D5">
            <w:pPr>
              <w:suppressAutoHyphens w:val="0"/>
              <w:spacing w:before="40" w:after="40" w:line="220" w:lineRule="exact"/>
              <w:ind w:right="113"/>
              <w:jc w:val="right"/>
              <w:rPr>
                <w:sz w:val="18"/>
                <w:lang w:val="en-IE"/>
              </w:rPr>
            </w:pPr>
            <w:r>
              <w:rPr>
                <w:sz w:val="18"/>
                <w:lang w:val="en-IE"/>
              </w:rPr>
              <w:t>0,91</w:t>
            </w:r>
          </w:p>
        </w:tc>
      </w:tr>
    </w:tbl>
    <w:p w:rsidR="000100D5" w:rsidRPr="00B13630" w:rsidRDefault="000100D5" w:rsidP="000100D5">
      <w:pPr>
        <w:pStyle w:val="SingleTxtG"/>
        <w:spacing w:before="240"/>
      </w:pPr>
      <w:r w:rsidRPr="00B13630">
        <w:t>262.</w:t>
      </w:r>
      <w:r w:rsidRPr="00B13630">
        <w:tab/>
      </w:r>
      <w:r>
        <w:t>Entre los objetivos de l</w:t>
      </w:r>
      <w:r w:rsidRPr="00B13630">
        <w:t xml:space="preserve">a </w:t>
      </w:r>
      <w:r>
        <w:t>e</w:t>
      </w:r>
      <w:r w:rsidRPr="00B13630">
        <w:t xml:space="preserve">strategia </w:t>
      </w:r>
      <w:r>
        <w:t>social</w:t>
      </w:r>
      <w:r w:rsidRPr="00B13630">
        <w:t xml:space="preserve"> de la Garda (policía) 2007</w:t>
      </w:r>
      <w:r w:rsidR="00067DCF">
        <w:t>-</w:t>
      </w:r>
      <w:r w:rsidRPr="00B13630">
        <w:t>2009</w:t>
      </w:r>
      <w:r>
        <w:rPr>
          <w:rStyle w:val="FootnoteReference"/>
        </w:rPr>
        <w:footnoteReference w:id="66"/>
      </w:r>
      <w:r>
        <w:t>, la diversidad étnica y cultural ocupa el quinto lugar, con el com</w:t>
      </w:r>
      <w:r w:rsidRPr="00B13630">
        <w:t>prom</w:t>
      </w:r>
      <w:r>
        <w:t>iso</w:t>
      </w:r>
      <w:r w:rsidRPr="00B13630">
        <w:t xml:space="preserve"> </w:t>
      </w:r>
      <w:r>
        <w:t>de brindarle la misma</w:t>
      </w:r>
      <w:r w:rsidRPr="00B13630">
        <w:t xml:space="preserve"> protec</w:t>
      </w:r>
      <w:r>
        <w:t>ció</w:t>
      </w:r>
      <w:r w:rsidRPr="00B13630">
        <w:t xml:space="preserve">n </w:t>
      </w:r>
      <w:r>
        <w:t>y los servicios</w:t>
      </w:r>
      <w:r w:rsidRPr="00B13630">
        <w:t xml:space="preserve"> apropia</w:t>
      </w:r>
      <w:r>
        <w:t>dos, fomentando al propio tiempo la confianza y el respeto</w:t>
      </w:r>
      <w:r w:rsidRPr="00B13630">
        <w:t xml:space="preserve"> mutu</w:t>
      </w:r>
      <w:r>
        <w:t>os</w:t>
      </w:r>
      <w:r w:rsidRPr="00B13630">
        <w:t xml:space="preserve">. Desde la presentación del informe inicial y del </w:t>
      </w:r>
      <w:r>
        <w:t>s</w:t>
      </w:r>
      <w:r w:rsidRPr="00B13630">
        <w:t>egundo informe</w:t>
      </w:r>
      <w:r>
        <w:t xml:space="preserve"> periódico de Irlanda</w:t>
      </w:r>
      <w:r w:rsidRPr="00B13630">
        <w:t xml:space="preserve">, </w:t>
      </w:r>
      <w:r>
        <w:t>el Comisionado de la</w:t>
      </w:r>
      <w:r w:rsidRPr="00B13630">
        <w:t xml:space="preserve"> Garda (</w:t>
      </w:r>
      <w:r>
        <w:t>p</w:t>
      </w:r>
      <w:r w:rsidRPr="00B13630">
        <w:t>olic</w:t>
      </w:r>
      <w:r>
        <w:t>ía</w:t>
      </w:r>
      <w:r w:rsidRPr="00B13630">
        <w:t xml:space="preserve">) </w:t>
      </w:r>
      <w:r>
        <w:t>ha</w:t>
      </w:r>
      <w:r w:rsidRPr="00B13630">
        <w:t xml:space="preserve"> apro</w:t>
      </w:r>
      <w:r>
        <w:t>ba</w:t>
      </w:r>
      <w:r w:rsidRPr="00B13630">
        <w:t>d</w:t>
      </w:r>
      <w:r>
        <w:t>o</w:t>
      </w:r>
      <w:r w:rsidRPr="00B13630">
        <w:t xml:space="preserve"> </w:t>
      </w:r>
      <w:r>
        <w:t>las siguientes políticas aplicadas</w:t>
      </w:r>
      <w:r w:rsidRPr="00B13630">
        <w:t>:</w:t>
      </w:r>
    </w:p>
    <w:p w:rsidR="000100D5" w:rsidRPr="00E87649" w:rsidRDefault="000100D5" w:rsidP="000100D5">
      <w:pPr>
        <w:pStyle w:val="SingleTxtG"/>
      </w:pPr>
      <w:r w:rsidRPr="00B13630">
        <w:rPr>
          <w:i/>
        </w:rPr>
        <w:tab/>
      </w:r>
      <w:r w:rsidRPr="00B13630">
        <w:t>a)</w:t>
      </w:r>
      <w:r w:rsidRPr="00B13630">
        <w:tab/>
      </w:r>
      <w:r>
        <w:t>Organización de c</w:t>
      </w:r>
      <w:r w:rsidRPr="00B13630">
        <w:t>onsultas con las comunidades nuevas y/o étnicas que vi</w:t>
      </w:r>
      <w:r>
        <w:t>ve</w:t>
      </w:r>
      <w:r w:rsidRPr="00B13630">
        <w:t xml:space="preserve">n </w:t>
      </w:r>
      <w:r>
        <w:t>y trabajan en las divisiones y distritos de la</w:t>
      </w:r>
      <w:r w:rsidRPr="00B13630">
        <w:t xml:space="preserve"> Garda (</w:t>
      </w:r>
      <w:r>
        <w:t>p</w:t>
      </w:r>
      <w:r w:rsidRPr="00B13630">
        <w:t>olic</w:t>
      </w:r>
      <w:r>
        <w:t>ía</w:t>
      </w:r>
      <w:r w:rsidRPr="00B13630">
        <w:t xml:space="preserve">). </w:t>
      </w:r>
      <w:r w:rsidRPr="00E87649">
        <w:t>El objetivo del foro de consulta</w:t>
      </w:r>
      <w:r>
        <w:t>s</w:t>
      </w:r>
      <w:r w:rsidRPr="00E87649">
        <w:t xml:space="preserve"> estriba en lograr un intercambio de información entre la An Garda Síochána (cuerpo de policía) y las comunidades étnicas y en </w:t>
      </w:r>
      <w:r>
        <w:t>servi</w:t>
      </w:r>
      <w:r w:rsidRPr="00E87649">
        <w:t>r de plataform</w:t>
      </w:r>
      <w:r>
        <w:t>a</w:t>
      </w:r>
      <w:r w:rsidRPr="00E87649">
        <w:t xml:space="preserve"> </w:t>
      </w:r>
      <w:r>
        <w:t>para que los grupos</w:t>
      </w:r>
      <w:r w:rsidRPr="00E87649">
        <w:t xml:space="preserve"> </w:t>
      </w:r>
      <w:r>
        <w:t>é</w:t>
      </w:r>
      <w:r w:rsidRPr="00E87649">
        <w:t>tnic</w:t>
      </w:r>
      <w:r>
        <w:t>os planteen y debatan</w:t>
      </w:r>
      <w:r w:rsidRPr="00E87649">
        <w:t xml:space="preserve"> </w:t>
      </w:r>
      <w:r>
        <w:t>aspectos de las actuaciones policiales y también de mecanismo de rendición de cuentas de la</w:t>
      </w:r>
      <w:r w:rsidRPr="00E87649">
        <w:t xml:space="preserve"> Garda a</w:t>
      </w:r>
      <w:r>
        <w:t xml:space="preserve"> la comunidad</w:t>
      </w:r>
      <w:r w:rsidRPr="00E87649">
        <w:t xml:space="preserve"> </w:t>
      </w:r>
      <w:r>
        <w:t>é</w:t>
      </w:r>
      <w:r w:rsidRPr="00E87649">
        <w:t>tnic</w:t>
      </w:r>
      <w:r>
        <w:t>a</w:t>
      </w:r>
      <w:r w:rsidRPr="00E87649">
        <w:t xml:space="preserve">. </w:t>
      </w:r>
      <w:r>
        <w:t>El foro de</w:t>
      </w:r>
      <w:r w:rsidRPr="00E87649">
        <w:t xml:space="preserve"> </w:t>
      </w:r>
      <w:r>
        <w:t>c</w:t>
      </w:r>
      <w:r w:rsidRPr="00E87649">
        <w:t>onsultas de la</w:t>
      </w:r>
      <w:r>
        <w:t>s d</w:t>
      </w:r>
      <w:r w:rsidRPr="00E87649">
        <w:t>ivisi</w:t>
      </w:r>
      <w:r>
        <w:t>o</w:t>
      </w:r>
      <w:r w:rsidRPr="00E87649">
        <w:t>n</w:t>
      </w:r>
      <w:r>
        <w:t>es</w:t>
      </w:r>
      <w:r w:rsidR="00C71011">
        <w:t xml:space="preserve"> se celebra 4 veces al año.</w:t>
      </w:r>
    </w:p>
    <w:p w:rsidR="000100D5" w:rsidRPr="00E87649" w:rsidRDefault="000100D5" w:rsidP="000100D5">
      <w:pPr>
        <w:pStyle w:val="SingleTxtG"/>
      </w:pPr>
      <w:r w:rsidRPr="00E87649">
        <w:rPr>
          <w:i/>
        </w:rPr>
        <w:tab/>
      </w:r>
      <w:r w:rsidRPr="00E87649">
        <w:t>b)</w:t>
      </w:r>
      <w:r w:rsidRPr="00E87649">
        <w:tab/>
      </w:r>
      <w:r>
        <w:t>Supervisión de la aplicación de la política por parte de l</w:t>
      </w:r>
      <w:r w:rsidRPr="00E87649">
        <w:t xml:space="preserve">a Oficina de Asuntos Raciales </w:t>
      </w:r>
      <w:r>
        <w:t>y</w:t>
      </w:r>
      <w:r w:rsidRPr="00E87649">
        <w:t xml:space="preserve"> </w:t>
      </w:r>
      <w:r>
        <w:t>Multi</w:t>
      </w:r>
      <w:r w:rsidR="00C71011">
        <w:t>culturales.</w:t>
      </w:r>
    </w:p>
    <w:p w:rsidR="000100D5" w:rsidRPr="006E5FF6" w:rsidRDefault="000100D5" w:rsidP="000100D5">
      <w:pPr>
        <w:pStyle w:val="SingleTxtG"/>
      </w:pPr>
      <w:r w:rsidRPr="00E87649">
        <w:tab/>
      </w:r>
      <w:r w:rsidRPr="006E5FF6">
        <w:t>c)</w:t>
      </w:r>
      <w:r w:rsidRPr="006E5FF6">
        <w:tab/>
      </w:r>
      <w:r>
        <w:t>A</w:t>
      </w:r>
      <w:r w:rsidRPr="006E5FF6">
        <w:t>umento</w:t>
      </w:r>
      <w:r>
        <w:t xml:space="preserve"> constante</w:t>
      </w:r>
      <w:r w:rsidRPr="006E5FF6">
        <w:t xml:space="preserve"> </w:t>
      </w:r>
      <w:r>
        <w:t>d</w:t>
      </w:r>
      <w:r w:rsidRPr="006E5FF6">
        <w:t xml:space="preserve">el número de Gardaí (policías) formados y </w:t>
      </w:r>
      <w:r>
        <w:t>nombrados</w:t>
      </w:r>
      <w:r w:rsidRPr="006E5FF6">
        <w:t xml:space="preserve"> Oficiales de Enlace </w:t>
      </w:r>
      <w:r>
        <w:t>Étnico</w:t>
      </w:r>
      <w:r w:rsidRPr="006E5FF6">
        <w:t xml:space="preserve"> (400 </w:t>
      </w:r>
      <w:r>
        <w:t>en</w:t>
      </w:r>
      <w:r w:rsidRPr="006E5FF6">
        <w:t xml:space="preserve"> </w:t>
      </w:r>
      <w:r>
        <w:t>s</w:t>
      </w:r>
      <w:r w:rsidRPr="006E5FF6">
        <w:t>ept</w:t>
      </w:r>
      <w:r>
        <w:t>i</w:t>
      </w:r>
      <w:r w:rsidRPr="006E5FF6">
        <w:t>embr</w:t>
      </w:r>
      <w:r>
        <w:t>e de</w:t>
      </w:r>
      <w:r w:rsidR="00C71011">
        <w:t xml:space="preserve"> 2009).</w:t>
      </w:r>
    </w:p>
    <w:p w:rsidR="000100D5" w:rsidRPr="006E5FF6" w:rsidRDefault="000100D5" w:rsidP="000100D5">
      <w:pPr>
        <w:pStyle w:val="SingleTxtG"/>
      </w:pPr>
      <w:r w:rsidRPr="006E5FF6">
        <w:tab/>
        <w:t>d)</w:t>
      </w:r>
      <w:r w:rsidRPr="006E5FF6">
        <w:tab/>
      </w:r>
      <w:r>
        <w:t>C</w:t>
      </w:r>
      <w:r w:rsidRPr="006E5FF6">
        <w:t xml:space="preserve">ursos de formación en derechos humanos, </w:t>
      </w:r>
      <w:r>
        <w:t xml:space="preserve">en la región metropolitana de Dublín, </w:t>
      </w:r>
      <w:r w:rsidRPr="006E5FF6">
        <w:t>centrados en la participaci</w:t>
      </w:r>
      <w:r>
        <w:t>ón de la</w:t>
      </w:r>
      <w:r w:rsidRPr="006E5FF6">
        <w:t xml:space="preserve"> comuni</w:t>
      </w:r>
      <w:r>
        <w:t>dad</w:t>
      </w:r>
      <w:r w:rsidRPr="006E5FF6">
        <w:t xml:space="preserve"> </w:t>
      </w:r>
      <w:r>
        <w:t>e</w:t>
      </w:r>
      <w:r w:rsidRPr="006E5FF6">
        <w:t xml:space="preserve">n </w:t>
      </w:r>
      <w:r>
        <w:t xml:space="preserve">las divisiones </w:t>
      </w:r>
      <w:r w:rsidRPr="006E5FF6">
        <w:t xml:space="preserve">North </w:t>
      </w:r>
      <w:r>
        <w:t>y</w:t>
      </w:r>
      <w:r w:rsidRPr="006E5FF6">
        <w:t xml:space="preserve"> South Central </w:t>
      </w:r>
      <w:r>
        <w:t xml:space="preserve">de la </w:t>
      </w:r>
      <w:r w:rsidRPr="006E5FF6">
        <w:t>Garda (</w:t>
      </w:r>
      <w:r>
        <w:t>p</w:t>
      </w:r>
      <w:r w:rsidRPr="006E5FF6">
        <w:t>olic</w:t>
      </w:r>
      <w:r>
        <w:t>ía</w:t>
      </w:r>
      <w:r w:rsidRPr="006E5FF6">
        <w:t xml:space="preserve">). La formación </w:t>
      </w:r>
      <w:r>
        <w:t>impartida comprende</w:t>
      </w:r>
      <w:r w:rsidRPr="006E5FF6">
        <w:t xml:space="preserve"> un módul</w:t>
      </w:r>
      <w:r>
        <w:t>o</w:t>
      </w:r>
      <w:r w:rsidRPr="006E5FF6">
        <w:t xml:space="preserve"> </w:t>
      </w:r>
      <w:r>
        <w:t>sobre diversidad</w:t>
      </w:r>
      <w:r w:rsidRPr="006E5FF6">
        <w:t xml:space="preserve"> </w:t>
      </w:r>
      <w:r>
        <w:t>é</w:t>
      </w:r>
      <w:r w:rsidRPr="006E5FF6">
        <w:t>tnic</w:t>
      </w:r>
      <w:r>
        <w:t>a</w:t>
      </w:r>
      <w:r w:rsidRPr="006E5FF6">
        <w:t xml:space="preserve"> </w:t>
      </w:r>
      <w:r>
        <w:t>y de</w:t>
      </w:r>
      <w:r w:rsidRPr="006E5FF6">
        <w:t xml:space="preserve"> g</w:t>
      </w:r>
      <w:r>
        <w:t>é</w:t>
      </w:r>
      <w:r w:rsidRPr="006E5FF6">
        <w:t>ner</w:t>
      </w:r>
      <w:r>
        <w:t>o</w:t>
      </w:r>
      <w:r w:rsidRPr="006E5FF6">
        <w:t xml:space="preserve">. También se cursó una invitación a los participantes en el Foro </w:t>
      </w:r>
      <w:r>
        <w:t>É</w:t>
      </w:r>
      <w:r w:rsidRPr="006E5FF6">
        <w:t>tnic</w:t>
      </w:r>
      <w:r>
        <w:t>o en la División</w:t>
      </w:r>
      <w:r w:rsidR="005007D6">
        <w:t xml:space="preserve"> </w:t>
      </w:r>
      <w:r w:rsidR="00C71011">
        <w:t>North Central.</w:t>
      </w:r>
    </w:p>
    <w:p w:rsidR="000100D5" w:rsidRPr="00FF417F" w:rsidRDefault="000100D5" w:rsidP="000100D5">
      <w:pPr>
        <w:pStyle w:val="SingleTxtG"/>
      </w:pPr>
      <w:r w:rsidRPr="006E5FF6">
        <w:tab/>
      </w:r>
      <w:r w:rsidRPr="00FF417F">
        <w:t>e)</w:t>
      </w:r>
      <w:r w:rsidRPr="00FF417F">
        <w:tab/>
      </w:r>
      <w:r>
        <w:t>Reedición para los miembros de l</w:t>
      </w:r>
      <w:r w:rsidRPr="00FF417F">
        <w:t>a An Garda Síochána (cuerpo de policía)</w:t>
      </w:r>
      <w:r w:rsidR="005007D6">
        <w:t xml:space="preserve"> </w:t>
      </w:r>
      <w:r w:rsidRPr="00FF417F">
        <w:t>de los folletos de información sobre diversidad cultural</w:t>
      </w:r>
      <w:r>
        <w:t xml:space="preserve"> y de otro folleto para los mi</w:t>
      </w:r>
      <w:r w:rsidRPr="00FF417F">
        <w:t>embr</w:t>
      </w:r>
      <w:r>
        <w:t>o</w:t>
      </w:r>
      <w:r w:rsidRPr="00FF417F">
        <w:t>s</w:t>
      </w:r>
      <w:r>
        <w:t xml:space="preserve"> de las</w:t>
      </w:r>
      <w:r w:rsidRPr="00FF417F">
        <w:t xml:space="preserve"> </w:t>
      </w:r>
      <w:r>
        <w:t>c</w:t>
      </w:r>
      <w:r w:rsidRPr="00FF417F">
        <w:t>omuni</w:t>
      </w:r>
      <w:r>
        <w:t>dades étnicas</w:t>
      </w:r>
      <w:r w:rsidRPr="00FF417F">
        <w:t xml:space="preserve">. El segundo folleto se ha distribuido a través de los Oficiales de Enlace </w:t>
      </w:r>
      <w:r>
        <w:t>Étnico de las d</w:t>
      </w:r>
      <w:r w:rsidRPr="00FF417F">
        <w:t>ivision</w:t>
      </w:r>
      <w:r>
        <w:t>es</w:t>
      </w:r>
      <w:r w:rsidR="00C71011">
        <w:t>.</w:t>
      </w:r>
    </w:p>
    <w:p w:rsidR="000100D5" w:rsidRPr="009F7F5C" w:rsidRDefault="000100D5" w:rsidP="000100D5">
      <w:pPr>
        <w:pStyle w:val="SingleTxtG"/>
      </w:pPr>
      <w:r w:rsidRPr="00FF417F">
        <w:tab/>
        <w:t>f)</w:t>
      </w:r>
      <w:r w:rsidRPr="00FF417F">
        <w:tab/>
      </w:r>
      <w:r>
        <w:t>C</w:t>
      </w:r>
      <w:r w:rsidRPr="00FF417F">
        <w:t>elebra</w:t>
      </w:r>
      <w:r>
        <w:t>ción de</w:t>
      </w:r>
      <w:r w:rsidRPr="00FF417F">
        <w:t xml:space="preserve"> </w:t>
      </w:r>
      <w:r>
        <w:t>dos s</w:t>
      </w:r>
      <w:r w:rsidRPr="00FF417F">
        <w:t>eminar</w:t>
      </w:r>
      <w:r>
        <w:t>io</w:t>
      </w:r>
      <w:r w:rsidRPr="00FF417F">
        <w:t xml:space="preserve">s </w:t>
      </w:r>
      <w:r>
        <w:t>de información anuales según la costumbre de la Garda (policía)</w:t>
      </w:r>
      <w:r w:rsidRPr="00FF417F">
        <w:t xml:space="preserve">. Estos seminarios están destinados a los dirigentes de las comunidades </w:t>
      </w:r>
      <w:r w:rsidR="005C4174" w:rsidRPr="00FF417F">
        <w:t>étnicas</w:t>
      </w:r>
      <w:r w:rsidRPr="00FF417F">
        <w:t xml:space="preserve"> y a los Oficiales de Enlace </w:t>
      </w:r>
      <w:r>
        <w:t>Étnico de la</w:t>
      </w:r>
      <w:r w:rsidRPr="00FF417F">
        <w:t xml:space="preserve"> Garda (</w:t>
      </w:r>
      <w:r>
        <w:t>p</w:t>
      </w:r>
      <w:r w:rsidRPr="00FF417F">
        <w:t>olic</w:t>
      </w:r>
      <w:r>
        <w:t>ía</w:t>
      </w:r>
      <w:r w:rsidRPr="00FF417F">
        <w:t xml:space="preserve">). </w:t>
      </w:r>
      <w:r w:rsidRPr="009F7F5C">
        <w:t xml:space="preserve">Los oradores invitados brindan su experiencia personal y de organización, </w:t>
      </w:r>
      <w:r>
        <w:t xml:space="preserve">así como </w:t>
      </w:r>
      <w:r w:rsidRPr="009F7F5C">
        <w:t>debates abiertos y comparten nuevas ideas y pr</w:t>
      </w:r>
      <w:r>
        <w:t>ácticas del Reino Unido y de otros países</w:t>
      </w:r>
      <w:r w:rsidR="00C71011">
        <w:t>.</w:t>
      </w:r>
    </w:p>
    <w:p w:rsidR="000100D5" w:rsidRPr="00233D2F" w:rsidRDefault="000100D5" w:rsidP="000100D5">
      <w:pPr>
        <w:pStyle w:val="SingleTxtG"/>
      </w:pPr>
      <w:r w:rsidRPr="009F7F5C">
        <w:tab/>
      </w:r>
      <w:r w:rsidRPr="00233D2F">
        <w:t>g)</w:t>
      </w:r>
      <w:r w:rsidRPr="00233D2F">
        <w:tab/>
      </w:r>
      <w:r>
        <w:t xml:space="preserve">La </w:t>
      </w:r>
      <w:r w:rsidRPr="00233D2F">
        <w:t xml:space="preserve">Estrategia </w:t>
      </w:r>
      <w:r>
        <w:t>Social</w:t>
      </w:r>
      <w:r w:rsidRPr="00233D2F">
        <w:t xml:space="preserve"> 2007</w:t>
      </w:r>
      <w:r w:rsidR="00067DCF">
        <w:t>-</w:t>
      </w:r>
      <w:r w:rsidRPr="00233D2F">
        <w:t xml:space="preserve">2009 y </w:t>
      </w:r>
      <w:r>
        <w:t xml:space="preserve">el </w:t>
      </w:r>
      <w:r w:rsidRPr="00233D2F">
        <w:t>Plan de actuación policial para</w:t>
      </w:r>
      <w:r w:rsidR="005007D6">
        <w:t xml:space="preserve"> </w:t>
      </w:r>
      <w:r w:rsidRPr="00233D2F">
        <w:t>2009</w:t>
      </w:r>
      <w:r>
        <w:rPr>
          <w:rStyle w:val="FootnoteReference"/>
        </w:rPr>
        <w:footnoteReference w:id="67"/>
      </w:r>
      <w:r w:rsidRPr="00233D2F">
        <w:t xml:space="preserve"> plasman el objetivo de super</w:t>
      </w:r>
      <w:r>
        <w:t>visar la</w:t>
      </w:r>
      <w:r w:rsidRPr="00233D2F">
        <w:t xml:space="preserve"> informa</w:t>
      </w:r>
      <w:r>
        <w:t>c</w:t>
      </w:r>
      <w:r w:rsidRPr="00233D2F">
        <w:t>i</w:t>
      </w:r>
      <w:r>
        <w:t>ó</w:t>
      </w:r>
      <w:r w:rsidRPr="00233D2F">
        <w:t xml:space="preserve">n </w:t>
      </w:r>
      <w:r>
        <w:t>sobre los</w:t>
      </w:r>
      <w:r w:rsidRPr="00233D2F">
        <w:t xml:space="preserve"> incident</w:t>
      </w:r>
      <w:r>
        <w:t>e</w:t>
      </w:r>
      <w:r w:rsidRPr="00233D2F">
        <w:t xml:space="preserve">s </w:t>
      </w:r>
      <w:r>
        <w:t>de motivación racial registrados en cada</w:t>
      </w:r>
      <w:r w:rsidRPr="00233D2F">
        <w:t xml:space="preserve"> </w:t>
      </w:r>
      <w:r>
        <w:t>d</w:t>
      </w:r>
      <w:r w:rsidRPr="00233D2F">
        <w:t>istrit</w:t>
      </w:r>
      <w:r>
        <w:t>o y</w:t>
      </w:r>
      <w:r w:rsidRPr="00233D2F">
        <w:t xml:space="preserve"> </w:t>
      </w:r>
      <w:r>
        <w:t>d</w:t>
      </w:r>
      <w:r w:rsidRPr="00233D2F">
        <w:t>ivisi</w:t>
      </w:r>
      <w:r>
        <w:t>ó</w:t>
      </w:r>
      <w:r w:rsidRPr="00233D2F">
        <w:t>n.</w:t>
      </w:r>
    </w:p>
    <w:p w:rsidR="000100D5" w:rsidRPr="00961E6E" w:rsidRDefault="000100D5" w:rsidP="000100D5">
      <w:pPr>
        <w:pStyle w:val="SingleTxtG"/>
      </w:pPr>
      <w:r w:rsidRPr="00233D2F">
        <w:t>263.</w:t>
      </w:r>
      <w:r w:rsidRPr="00233D2F">
        <w:tab/>
        <w:t xml:space="preserve">La An Garda Síochána (cuerpo de policía) está reclutando activamente a </w:t>
      </w:r>
      <w:r>
        <w:t>miembros de las</w:t>
      </w:r>
      <w:r w:rsidRPr="00233D2F">
        <w:t xml:space="preserve"> minor</w:t>
      </w:r>
      <w:r>
        <w:t>ías étnicas</w:t>
      </w:r>
      <w:r w:rsidRPr="00233D2F">
        <w:t xml:space="preserve">. </w:t>
      </w:r>
      <w:r w:rsidRPr="003C4F26">
        <w:t>La contratación de Gardaí (oficiales de policía) a tiempo completo se rige por el reglamento de la Garda Síochána (ingres</w:t>
      </w:r>
      <w:r w:rsidR="00C71011">
        <w:t>os y nombramientos) de 1988. En </w:t>
      </w:r>
      <w:r w:rsidRPr="003C4F26">
        <w:t>2005, se modificó el reglamento para potenciar una mayor diversidad en la composici</w:t>
      </w:r>
      <w:r>
        <w:t>ón de los</w:t>
      </w:r>
      <w:r w:rsidRPr="003C4F26">
        <w:t xml:space="preserve"> m</w:t>
      </w:r>
      <w:r>
        <w:t>i</w:t>
      </w:r>
      <w:r w:rsidRPr="003C4F26">
        <w:t>embr</w:t>
      </w:r>
      <w:r>
        <w:t>o</w:t>
      </w:r>
      <w:r w:rsidRPr="003C4F26">
        <w:t>s</w:t>
      </w:r>
      <w:r>
        <w:t xml:space="preserve"> de la</w:t>
      </w:r>
      <w:r w:rsidRPr="003C4F26">
        <w:t xml:space="preserve"> An Garda Síochána (</w:t>
      </w:r>
      <w:r>
        <w:t>cuerpo de p</w:t>
      </w:r>
      <w:r w:rsidRPr="003C4F26">
        <w:t>olic</w:t>
      </w:r>
      <w:r>
        <w:t>ía</w:t>
      </w:r>
      <w:r w:rsidRPr="003C4F26">
        <w:t>). Se ha facilitado l</w:t>
      </w:r>
      <w:r>
        <w:t>a contratación</w:t>
      </w:r>
      <w:r w:rsidR="005007D6">
        <w:t xml:space="preserve"> </w:t>
      </w:r>
      <w:r w:rsidRPr="003C4F26">
        <w:t>de extranjeros mediante la modifi</w:t>
      </w:r>
      <w:r>
        <w:t>cació</w:t>
      </w:r>
      <w:r w:rsidRPr="003C4F26">
        <w:t xml:space="preserve">n </w:t>
      </w:r>
      <w:r>
        <w:t>del</w:t>
      </w:r>
      <w:r w:rsidRPr="003C4F26">
        <w:t xml:space="preserve"> requi</w:t>
      </w:r>
      <w:r>
        <w:t>sito de poseer la titulación de graduado escolar</w:t>
      </w:r>
      <w:r w:rsidRPr="003C4F26">
        <w:t xml:space="preserve"> </w:t>
      </w:r>
      <w:r>
        <w:t>con el certif</w:t>
      </w:r>
      <w:r w:rsidRPr="003C4F26">
        <w:t>i</w:t>
      </w:r>
      <w:r>
        <w:t>cado de aptitud en inglés e irlandés</w:t>
      </w:r>
      <w:r w:rsidRPr="003C4F26">
        <w:t xml:space="preserve">. </w:t>
      </w:r>
      <w:r w:rsidRPr="00961E6E">
        <w:t>Ahora los reclutas s</w:t>
      </w:r>
      <w:r>
        <w:t>ó</w:t>
      </w:r>
      <w:r w:rsidRPr="00961E6E">
        <w:t xml:space="preserve">lo necesitan tener el equivalente de un certificado de aptitud en uno de los dos idiomas. Además de los candidatos de la UE, </w:t>
      </w:r>
      <w:r>
        <w:t>e</w:t>
      </w:r>
      <w:r w:rsidRPr="00961E6E">
        <w:t>l EE</w:t>
      </w:r>
      <w:r>
        <w:t>E</w:t>
      </w:r>
      <w:r w:rsidRPr="00961E6E">
        <w:t xml:space="preserve"> y Suiza, pueden presentarse tambi</w:t>
      </w:r>
      <w:r>
        <w:t>én candidatos no europeos que lleven residiendo en</w:t>
      </w:r>
      <w:r w:rsidRPr="00961E6E">
        <w:t xml:space="preserve"> Irland</w:t>
      </w:r>
      <w:r>
        <w:t>a</w:t>
      </w:r>
      <w:r w:rsidRPr="00961E6E">
        <w:t xml:space="preserve"> </w:t>
      </w:r>
      <w:r>
        <w:t>cinco años</w:t>
      </w:r>
      <w:r w:rsidRPr="00961E6E">
        <w:t xml:space="preserve">. </w:t>
      </w:r>
    </w:p>
    <w:p w:rsidR="000100D5" w:rsidRPr="00961E6E" w:rsidRDefault="000100D5" w:rsidP="000100D5">
      <w:pPr>
        <w:pStyle w:val="SingleTxtG"/>
      </w:pPr>
      <w:r w:rsidRPr="00961E6E">
        <w:t>264.</w:t>
      </w:r>
      <w:r w:rsidRPr="00961E6E">
        <w:tab/>
        <w:t xml:space="preserve">Un total de 46 alumnos y de miembros </w:t>
      </w:r>
      <w:r>
        <w:t>autorizados</w:t>
      </w:r>
      <w:r w:rsidRPr="00961E6E">
        <w:t xml:space="preserve"> a tiempo completo del cuerpo de policía irland</w:t>
      </w:r>
      <w:r>
        <w:t>és son extranjeros que proceden de los siguientes países:</w:t>
      </w:r>
      <w:r w:rsidRPr="00961E6E">
        <w:t xml:space="preserve"> A</w:t>
      </w:r>
      <w:r>
        <w:t>lemania, Bosnia</w:t>
      </w:r>
      <w:r w:rsidRPr="00961E6E">
        <w:t>, Canad</w:t>
      </w:r>
      <w:r>
        <w:t>á</w:t>
      </w:r>
      <w:r w:rsidRPr="00961E6E">
        <w:t>, China, D</w:t>
      </w:r>
      <w:r>
        <w:t>i</w:t>
      </w:r>
      <w:r w:rsidRPr="00961E6E">
        <w:t>n</w:t>
      </w:r>
      <w:r>
        <w:t>a</w:t>
      </w:r>
      <w:r w:rsidRPr="00961E6E">
        <w:t>mar</w:t>
      </w:r>
      <w:r>
        <w:t>ca</w:t>
      </w:r>
      <w:r w:rsidRPr="00961E6E">
        <w:t xml:space="preserve">, </w:t>
      </w:r>
      <w:r>
        <w:t xml:space="preserve">Estados Unidos de América, </w:t>
      </w:r>
      <w:r w:rsidRPr="00961E6E">
        <w:t>Holand</w:t>
      </w:r>
      <w:r>
        <w:t>a</w:t>
      </w:r>
      <w:r w:rsidRPr="00961E6E">
        <w:t xml:space="preserve">, </w:t>
      </w:r>
      <w:r>
        <w:t xml:space="preserve">Lituania, </w:t>
      </w:r>
      <w:r w:rsidRPr="00961E6E">
        <w:t>Pol</w:t>
      </w:r>
      <w:r>
        <w:t>o</w:t>
      </w:r>
      <w:r w:rsidRPr="00961E6E">
        <w:t>n</w:t>
      </w:r>
      <w:r>
        <w:t xml:space="preserve">ia, </w:t>
      </w:r>
      <w:r w:rsidRPr="00961E6E">
        <w:t>R</w:t>
      </w:r>
      <w:r>
        <w:t>umania</w:t>
      </w:r>
      <w:r w:rsidRPr="00961E6E">
        <w:t xml:space="preserve"> </w:t>
      </w:r>
      <w:r>
        <w:t xml:space="preserve">y Sudáfrica </w:t>
      </w:r>
      <w:r w:rsidRPr="00961E6E">
        <w:t>(</w:t>
      </w:r>
      <w:r>
        <w:t>j</w:t>
      </w:r>
      <w:r w:rsidRPr="00961E6E">
        <w:t>un</w:t>
      </w:r>
      <w:r>
        <w:t>io de</w:t>
      </w:r>
      <w:r w:rsidRPr="00961E6E">
        <w:t xml:space="preserve"> 2009). </w:t>
      </w:r>
    </w:p>
    <w:p w:rsidR="000100D5" w:rsidRPr="00D37C0E" w:rsidRDefault="000100D5" w:rsidP="000100D5">
      <w:pPr>
        <w:pStyle w:val="SingleTxtG"/>
      </w:pPr>
      <w:r w:rsidRPr="00733092">
        <w:t>265.</w:t>
      </w:r>
      <w:r w:rsidRPr="00733092">
        <w:tab/>
        <w:t>La Reserva de la Gardaí (policía) está constituida por voluntarios (no remunerados), miembros de la An Garda Síochána (cuerpo de policía) que prestan apoyo a los miembros a tiempo completo y ayudan a reforzar los v</w:t>
      </w:r>
      <w:r>
        <w:t>ínculos entre el cuerpo y las</w:t>
      </w:r>
      <w:r w:rsidRPr="00733092">
        <w:t xml:space="preserve"> comuni</w:t>
      </w:r>
      <w:r>
        <w:t>dades locales en todo el país</w:t>
      </w:r>
      <w:r w:rsidRPr="00733092">
        <w:t xml:space="preserve">. </w:t>
      </w:r>
      <w:r w:rsidRPr="00D37C0E">
        <w:t xml:space="preserve">Realizan una serie limitada de actividades como: vigilar </w:t>
      </w:r>
      <w:r>
        <w:t>la televisión de circuito cerrado</w:t>
      </w:r>
      <w:r w:rsidRPr="00D37C0E">
        <w:t xml:space="preserve">; patrullar a pie; controlar la circulación vial y asistir a los principales acontecimientos como festivales </w:t>
      </w:r>
      <w:r>
        <w:t>y grandes encuentros</w:t>
      </w:r>
      <w:r w:rsidRPr="00D37C0E">
        <w:t xml:space="preserve"> </w:t>
      </w:r>
      <w:r>
        <w:t>de</w:t>
      </w:r>
      <w:r w:rsidRPr="00D37C0E">
        <w:t>port</w:t>
      </w:r>
      <w:r>
        <w:t>ivo</w:t>
      </w:r>
      <w:r w:rsidRPr="00D37C0E">
        <w:t xml:space="preserve">s. </w:t>
      </w:r>
    </w:p>
    <w:p w:rsidR="000100D5" w:rsidRPr="004B7D32" w:rsidRDefault="000100D5" w:rsidP="000100D5">
      <w:pPr>
        <w:pStyle w:val="SingleTxtG"/>
      </w:pPr>
      <w:r w:rsidRPr="004B7D32">
        <w:t>266.</w:t>
      </w:r>
      <w:r w:rsidRPr="004B7D32">
        <w:tab/>
        <w:t xml:space="preserve">En la actualidad (junio de 2009) hay </w:t>
      </w:r>
      <w:r>
        <w:t>39</w:t>
      </w:r>
      <w:r w:rsidRPr="004B7D32">
        <w:t xml:space="preserve"> no irlandeses en la Reserva de la Garda (policía)</w:t>
      </w:r>
      <w:r>
        <w:t>,</w:t>
      </w:r>
      <w:r w:rsidRPr="004B7D32">
        <w:t xml:space="preserve"> inclu</w:t>
      </w:r>
      <w:r>
        <w:t>i</w:t>
      </w:r>
      <w:r w:rsidRPr="004B7D32">
        <w:t>d</w:t>
      </w:r>
      <w:r>
        <w:t>os</w:t>
      </w:r>
      <w:r w:rsidRPr="004B7D32">
        <w:t xml:space="preserve"> 12 </w:t>
      </w:r>
      <w:r>
        <w:t>miembros autorizados y</w:t>
      </w:r>
      <w:r w:rsidRPr="004B7D32">
        <w:t xml:space="preserve"> 27 </w:t>
      </w:r>
      <w:r>
        <w:t>en período de formación, que proceden de los siguientes países:</w:t>
      </w:r>
      <w:r w:rsidRPr="004B7D32">
        <w:t xml:space="preserve"> Alemania, Argentina, Austria, Belarús, Bulgaria, Camerún, China, India, Jap</w:t>
      </w:r>
      <w:r>
        <w:t>ó</w:t>
      </w:r>
      <w:r w:rsidRPr="004B7D32">
        <w:t>n, Kurdist</w:t>
      </w:r>
      <w:r>
        <w:t>án, Ma</w:t>
      </w:r>
      <w:r w:rsidRPr="004B7D32">
        <w:t>r</w:t>
      </w:r>
      <w:r>
        <w:t>rue</w:t>
      </w:r>
      <w:r w:rsidRPr="004B7D32">
        <w:t>co</w:t>
      </w:r>
      <w:r>
        <w:t>s</w:t>
      </w:r>
      <w:r w:rsidRPr="004B7D32">
        <w:t>, Nigeria, Pakist</w:t>
      </w:r>
      <w:r>
        <w:t>á</w:t>
      </w:r>
      <w:r w:rsidRPr="004B7D32">
        <w:t>n, Pol</w:t>
      </w:r>
      <w:r>
        <w:t>o</w:t>
      </w:r>
      <w:r w:rsidRPr="004B7D32">
        <w:t>n</w:t>
      </w:r>
      <w:r>
        <w:t>ia</w:t>
      </w:r>
      <w:r w:rsidRPr="004B7D32">
        <w:t>, U</w:t>
      </w:r>
      <w:r>
        <w:t>c</w:t>
      </w:r>
      <w:r w:rsidRPr="004B7D32">
        <w:t>ran</w:t>
      </w:r>
      <w:r>
        <w:t>ia</w:t>
      </w:r>
      <w:r w:rsidRPr="004B7D32">
        <w:t xml:space="preserve"> </w:t>
      </w:r>
      <w:r>
        <w:t>y</w:t>
      </w:r>
      <w:r w:rsidRPr="004B7D32">
        <w:t xml:space="preserve"> Zimbabwe. </w:t>
      </w:r>
    </w:p>
    <w:p w:rsidR="000100D5" w:rsidRPr="004B7D32" w:rsidRDefault="000100D5" w:rsidP="000100D5">
      <w:pPr>
        <w:pStyle w:val="SingleTxtG"/>
        <w:rPr>
          <w:bCs/>
        </w:rPr>
      </w:pPr>
      <w:r w:rsidRPr="004B7D32">
        <w:t>267</w:t>
      </w:r>
      <w:r w:rsidRPr="004B7D32">
        <w:rPr>
          <w:bCs/>
        </w:rPr>
        <w:t>.</w:t>
      </w:r>
      <w:r w:rsidRPr="004B7D32">
        <w:rPr>
          <w:bCs/>
        </w:rPr>
        <w:tab/>
        <w:t>El proceso de tr</w:t>
      </w:r>
      <w:r>
        <w:rPr>
          <w:bCs/>
        </w:rPr>
        <w:t>a</w:t>
      </w:r>
      <w:r w:rsidRPr="004B7D32">
        <w:rPr>
          <w:bCs/>
        </w:rPr>
        <w:t>mi</w:t>
      </w:r>
      <w:r>
        <w:rPr>
          <w:bCs/>
        </w:rPr>
        <w:t>t</w:t>
      </w:r>
      <w:r w:rsidRPr="004B7D32">
        <w:rPr>
          <w:bCs/>
        </w:rPr>
        <w:t>ación de la concesión de asilo en Irlanda puede compararse con l</w:t>
      </w:r>
      <w:r>
        <w:rPr>
          <w:bCs/>
        </w:rPr>
        <w:t>os</w:t>
      </w:r>
      <w:r w:rsidRPr="004B7D32">
        <w:rPr>
          <w:bCs/>
        </w:rPr>
        <w:t xml:space="preserve"> mejor</w:t>
      </w:r>
      <w:r>
        <w:rPr>
          <w:bCs/>
        </w:rPr>
        <w:t>es</w:t>
      </w:r>
      <w:r w:rsidRPr="004B7D32">
        <w:rPr>
          <w:bCs/>
        </w:rPr>
        <w:t xml:space="preserve"> del mundo en términos de justicia, adopci</w:t>
      </w:r>
      <w:r>
        <w:rPr>
          <w:bCs/>
        </w:rPr>
        <w:t>ón de</w:t>
      </w:r>
      <w:r w:rsidRPr="004B7D32">
        <w:t xml:space="preserve"> decision</w:t>
      </w:r>
      <w:r>
        <w:t>es</w:t>
      </w:r>
      <w:r w:rsidRPr="004B7D32">
        <w:t xml:space="preserve">, </w:t>
      </w:r>
      <w:r>
        <w:t xml:space="preserve">fórmulas de </w:t>
      </w:r>
      <w:r w:rsidRPr="004B7D32">
        <w:t>determina</w:t>
      </w:r>
      <w:r>
        <w:t>c</w:t>
      </w:r>
      <w:r w:rsidRPr="004B7D32">
        <w:t>i</w:t>
      </w:r>
      <w:r>
        <w:t>ó</w:t>
      </w:r>
      <w:r w:rsidRPr="004B7D32">
        <w:t xml:space="preserve">n </w:t>
      </w:r>
      <w:r>
        <w:t>y</w:t>
      </w:r>
      <w:r w:rsidRPr="004B7D32">
        <w:t xml:space="preserve"> servic</w:t>
      </w:r>
      <w:r>
        <w:t>io</w:t>
      </w:r>
      <w:r w:rsidRPr="004B7D32">
        <w:t xml:space="preserve">s </w:t>
      </w:r>
      <w:r>
        <w:t>de apoyo a los solicitantes de</w:t>
      </w:r>
      <w:r w:rsidRPr="004B7D32">
        <w:t xml:space="preserve"> as</w:t>
      </w:r>
      <w:r>
        <w:t>i</w:t>
      </w:r>
      <w:r w:rsidRPr="004B7D32">
        <w:t>l</w:t>
      </w:r>
      <w:r>
        <w:t>o,</w:t>
      </w:r>
      <w:r w:rsidRPr="004B7D32">
        <w:t xml:space="preserve"> inclu</w:t>
      </w:r>
      <w:r>
        <w:t>i</w:t>
      </w:r>
      <w:r w:rsidRPr="004B7D32">
        <w:t>d</w:t>
      </w:r>
      <w:r>
        <w:t>o el</w:t>
      </w:r>
      <w:r w:rsidRPr="004B7D32">
        <w:t xml:space="preserve"> acces</w:t>
      </w:r>
      <w:r>
        <w:t>o al asesoramiento</w:t>
      </w:r>
      <w:r w:rsidRPr="004B7D32">
        <w:t xml:space="preserve"> </w:t>
      </w:r>
      <w:r>
        <w:t>jurídico</w:t>
      </w:r>
      <w:r w:rsidRPr="004B7D32">
        <w:t xml:space="preserve">. </w:t>
      </w:r>
    </w:p>
    <w:p w:rsidR="000100D5" w:rsidRPr="00FC51C7" w:rsidRDefault="000100D5" w:rsidP="000100D5">
      <w:pPr>
        <w:pStyle w:val="SingleTxtG"/>
      </w:pPr>
      <w:r w:rsidRPr="00092F49">
        <w:t>268.</w:t>
      </w:r>
      <w:r w:rsidRPr="00092F49">
        <w:tab/>
        <w:t>El marco normativo por el que se rige el proceso de determinación de la concesi</w:t>
      </w:r>
      <w:r>
        <w:t>ón de asilo</w:t>
      </w:r>
      <w:r w:rsidRPr="00092F49">
        <w:t xml:space="preserve"> </w:t>
      </w:r>
      <w:r>
        <w:t>e</w:t>
      </w:r>
      <w:r w:rsidRPr="00092F49">
        <w:t>n Irland</w:t>
      </w:r>
      <w:r>
        <w:t>a</w:t>
      </w:r>
      <w:r w:rsidRPr="00092F49">
        <w:t xml:space="preserve"> </w:t>
      </w:r>
      <w:r>
        <w:t>está recogido en la Ley del</w:t>
      </w:r>
      <w:r w:rsidRPr="00092F49">
        <w:t xml:space="preserve"> </w:t>
      </w:r>
      <w:r>
        <w:t>r</w:t>
      </w:r>
      <w:r w:rsidRPr="00092F49">
        <w:t>efug</w:t>
      </w:r>
      <w:r>
        <w:t>iado de</w:t>
      </w:r>
      <w:r w:rsidRPr="00092F49">
        <w:t xml:space="preserve"> 1996. La Ley de 1996 </w:t>
      </w:r>
      <w:r w:rsidR="005C4174" w:rsidRPr="00092F49">
        <w:t>dio</w:t>
      </w:r>
      <w:r w:rsidRPr="00092F49">
        <w:t xml:space="preserve"> lugar a la cre</w:t>
      </w:r>
      <w:r>
        <w:t>a</w:t>
      </w:r>
      <w:r w:rsidRPr="00092F49">
        <w:t>ción de dos instancias oficiales independientes</w:t>
      </w:r>
      <w:r>
        <w:t>,</w:t>
      </w:r>
      <w:r w:rsidRPr="00092F49">
        <w:t xml:space="preserve"> encargadas de tramitar las solicitudes y </w:t>
      </w:r>
      <w:r>
        <w:t xml:space="preserve">resolver </w:t>
      </w:r>
      <w:r w:rsidRPr="00092F49">
        <w:t>las apela</w:t>
      </w:r>
      <w:r>
        <w:t>cione</w:t>
      </w:r>
      <w:r w:rsidRPr="00092F49">
        <w:t xml:space="preserve">s </w:t>
      </w:r>
      <w:r>
        <w:t>e</w:t>
      </w:r>
      <w:r w:rsidRPr="00092F49">
        <w:t xml:space="preserve">n </w:t>
      </w:r>
      <w:r>
        <w:t>materia de concesión del estatuto de</w:t>
      </w:r>
      <w:r w:rsidRPr="00092F49">
        <w:t xml:space="preserve"> refug</w:t>
      </w:r>
      <w:r>
        <w:t>iado y de formular</w:t>
      </w:r>
      <w:r w:rsidRPr="00092F49">
        <w:t xml:space="preserve"> recomenda</w:t>
      </w:r>
      <w:r>
        <w:t>c</w:t>
      </w:r>
      <w:r w:rsidRPr="00092F49">
        <w:t>ion</w:t>
      </w:r>
      <w:r>
        <w:t>e</w:t>
      </w:r>
      <w:r w:rsidRPr="00092F49">
        <w:t xml:space="preserve">s </w:t>
      </w:r>
      <w:r>
        <w:t>al</w:t>
      </w:r>
      <w:r w:rsidRPr="00092F49">
        <w:t xml:space="preserve"> Ministr</w:t>
      </w:r>
      <w:r>
        <w:t>o de</w:t>
      </w:r>
      <w:r w:rsidRPr="00092F49">
        <w:t xml:space="preserve"> Justic</w:t>
      </w:r>
      <w:r>
        <w:t>ia</w:t>
      </w:r>
      <w:r w:rsidRPr="00092F49">
        <w:t xml:space="preserve">, </w:t>
      </w:r>
      <w:r>
        <w:t>Igualdad y</w:t>
      </w:r>
      <w:r w:rsidRPr="00092F49">
        <w:t xml:space="preserve"> Reform</w:t>
      </w:r>
      <w:r>
        <w:t>a</w:t>
      </w:r>
      <w:r w:rsidRPr="00092F49">
        <w:t xml:space="preserve"> </w:t>
      </w:r>
      <w:r>
        <w:t>Jurídica</w:t>
      </w:r>
      <w:r w:rsidRPr="00092F49">
        <w:t xml:space="preserve"> </w:t>
      </w:r>
      <w:r>
        <w:t>sobre la conveniencia de otorgar ese</w:t>
      </w:r>
      <w:r w:rsidRPr="00092F49">
        <w:t xml:space="preserve"> </w:t>
      </w:r>
      <w:r>
        <w:t>e</w:t>
      </w:r>
      <w:r w:rsidRPr="00092F49">
        <w:t>statu</w:t>
      </w:r>
      <w:r>
        <w:t>to</w:t>
      </w:r>
      <w:r w:rsidRPr="00092F49">
        <w:t>. Esas dos instancias son la Oficina del Comisionado para la</w:t>
      </w:r>
      <w:r>
        <w:t>s solicitudes de concesión del estatuto de</w:t>
      </w:r>
      <w:r w:rsidRPr="00092F49">
        <w:t xml:space="preserve"> </w:t>
      </w:r>
      <w:r>
        <w:t>r</w:t>
      </w:r>
      <w:r w:rsidRPr="00092F49">
        <w:t>efug</w:t>
      </w:r>
      <w:r>
        <w:t>iado</w:t>
      </w:r>
      <w:r>
        <w:rPr>
          <w:rStyle w:val="FootnoteReference"/>
          <w:lang w:val="en-IE"/>
        </w:rPr>
        <w:footnoteReference w:id="68"/>
      </w:r>
      <w:r w:rsidRPr="00092F49">
        <w:t xml:space="preserve"> </w:t>
      </w:r>
      <w:r>
        <w:t>y el Tribunal de Apelación para asuntos relacionados con el estatuto de</w:t>
      </w:r>
      <w:r w:rsidRPr="00092F49">
        <w:t xml:space="preserve"> </w:t>
      </w:r>
      <w:r>
        <w:t>r</w:t>
      </w:r>
      <w:r w:rsidRPr="00092F49">
        <w:t>efug</w:t>
      </w:r>
      <w:r>
        <w:t>iado</w:t>
      </w:r>
      <w:r>
        <w:rPr>
          <w:rStyle w:val="FootnoteReference"/>
          <w:lang w:val="en-IE"/>
        </w:rPr>
        <w:footnoteReference w:id="69"/>
      </w:r>
      <w:r w:rsidR="001F5C61">
        <w:rPr>
          <w:lang w:val="en-IE"/>
        </w:rPr>
        <w:t>.</w:t>
      </w:r>
      <w:r w:rsidRPr="00092F49">
        <w:t xml:space="preserve"> </w:t>
      </w:r>
      <w:r w:rsidRPr="00FC51C7">
        <w:t>(En virtud del proyecto de ley de inmigración, residencia y protección, las funciones desempeñadas en la actualidad por la Oficina del Comisionado para las solicitudes de concesi</w:t>
      </w:r>
      <w:r>
        <w:t>ón del estatuto de refugiado quedarán subsumidas en el Servicio irlandés de</w:t>
      </w:r>
      <w:r w:rsidRPr="00FC51C7">
        <w:t xml:space="preserve"> </w:t>
      </w:r>
      <w:r>
        <w:t>n</w:t>
      </w:r>
      <w:r w:rsidRPr="00FC51C7">
        <w:t>a</w:t>
      </w:r>
      <w:r>
        <w:t>c</w:t>
      </w:r>
      <w:r w:rsidRPr="00FC51C7">
        <w:t>ionali</w:t>
      </w:r>
      <w:r>
        <w:t>dad e</w:t>
      </w:r>
      <w:r w:rsidRPr="00FC51C7">
        <w:t xml:space="preserve"> </w:t>
      </w:r>
      <w:r w:rsidR="005C4174">
        <w:t>in</w:t>
      </w:r>
      <w:r w:rsidR="005C4174" w:rsidRPr="00FC51C7">
        <w:t>migrac</w:t>
      </w:r>
      <w:r w:rsidR="005C4174">
        <w:t>i</w:t>
      </w:r>
      <w:r w:rsidR="005C4174" w:rsidRPr="00FC51C7">
        <w:t>ó</w:t>
      </w:r>
      <w:r w:rsidR="005C4174">
        <w:t>n</w:t>
      </w:r>
      <w:r w:rsidRPr="00FC51C7">
        <w:t xml:space="preserve">, </w:t>
      </w:r>
      <w:r>
        <w:t xml:space="preserve">organismo </w:t>
      </w:r>
      <w:r w:rsidRPr="00FC51C7">
        <w:t>administrativ</w:t>
      </w:r>
      <w:r>
        <w:t>o del</w:t>
      </w:r>
      <w:r w:rsidRPr="00FC51C7">
        <w:t xml:space="preserve"> Depart</w:t>
      </w:r>
      <w:r>
        <w:t>a</w:t>
      </w:r>
      <w:r w:rsidRPr="00FC51C7">
        <w:t>ment</w:t>
      </w:r>
      <w:r>
        <w:t>o de</w:t>
      </w:r>
      <w:r w:rsidRPr="00FC51C7">
        <w:t xml:space="preserve"> Justic</w:t>
      </w:r>
      <w:r>
        <w:t>ia</w:t>
      </w:r>
      <w:r w:rsidRPr="00FC51C7">
        <w:t xml:space="preserve">, </w:t>
      </w:r>
      <w:r>
        <w:t>Ig</w:t>
      </w:r>
      <w:r w:rsidRPr="00FC51C7">
        <w:t>ual</w:t>
      </w:r>
      <w:r>
        <w:t>dad y</w:t>
      </w:r>
      <w:r w:rsidRPr="00FC51C7">
        <w:t xml:space="preserve"> Reform</w:t>
      </w:r>
      <w:r>
        <w:t>a Jurídica</w:t>
      </w:r>
      <w:r w:rsidRPr="00FC51C7">
        <w:t xml:space="preserve">). </w:t>
      </w:r>
    </w:p>
    <w:p w:rsidR="000100D5" w:rsidRPr="00E73B5D" w:rsidRDefault="000100D5" w:rsidP="000100D5">
      <w:pPr>
        <w:pStyle w:val="SingleTxtG"/>
      </w:pPr>
      <w:r w:rsidRPr="00DA0B66">
        <w:t>269.</w:t>
      </w:r>
      <w:r w:rsidRPr="00DA0B66">
        <w:tab/>
        <w:t xml:space="preserve">El Tribunal </w:t>
      </w:r>
      <w:r>
        <w:t>de Apelació</w:t>
      </w:r>
      <w:r w:rsidRPr="00DA0B66">
        <w:t>n para asuntos relacionados con el estatuto de refugiado será substituido por el Tribunal de revisi</w:t>
      </w:r>
      <w:r>
        <w:t>ón de las decisiones sobre</w:t>
      </w:r>
      <w:r w:rsidRPr="00DA0B66">
        <w:t xml:space="preserve"> </w:t>
      </w:r>
      <w:r>
        <w:t>p</w:t>
      </w:r>
      <w:r w:rsidRPr="00DA0B66">
        <w:t>rotec</w:t>
      </w:r>
      <w:r>
        <w:t>c</w:t>
      </w:r>
      <w:r w:rsidRPr="00DA0B66">
        <w:t>i</w:t>
      </w:r>
      <w:r>
        <w:t>ó</w:t>
      </w:r>
      <w:r w:rsidRPr="00DA0B66">
        <w:t>n</w:t>
      </w:r>
      <w:r>
        <w:t>, que será</w:t>
      </w:r>
      <w:r w:rsidR="005007D6">
        <w:t xml:space="preserve"> </w:t>
      </w:r>
      <w:r w:rsidRPr="00DA0B66">
        <w:t>independ</w:t>
      </w:r>
      <w:r>
        <w:t>i</w:t>
      </w:r>
      <w:r w:rsidRPr="00DA0B66">
        <w:t>ent</w:t>
      </w:r>
      <w:r>
        <w:t>e desde el punto de vista legal y que tramitará las apelaciones contra la denegación de la concesión del estatuto de refugiado o la protección subsidiaria en virtud de la Directiva de la UE sobre los requisitos para el reconocimiento del estatuto de refugiados</w:t>
      </w:r>
      <w:r w:rsidRPr="00DA0B66">
        <w:t xml:space="preserve">. </w:t>
      </w:r>
      <w:r w:rsidRPr="00E73B5D">
        <w:t xml:space="preserve">Esta </w:t>
      </w:r>
      <w:r>
        <w:t>ampliación de la competencia de</w:t>
      </w:r>
      <w:r w:rsidRPr="00E73B5D">
        <w:t>l órgano de apelación recoge el compromis</w:t>
      </w:r>
      <w:r>
        <w:t xml:space="preserve">o </w:t>
      </w:r>
      <w:r w:rsidRPr="00E73B5D">
        <w:t>del Esta</w:t>
      </w:r>
      <w:r>
        <w:t>do con los que necesitan</w:t>
      </w:r>
      <w:r w:rsidRPr="00E73B5D">
        <w:t xml:space="preserve"> protec</w:t>
      </w:r>
      <w:r>
        <w:t>c</w:t>
      </w:r>
      <w:r w:rsidRPr="00E73B5D">
        <w:t>i</w:t>
      </w:r>
      <w:r>
        <w:t>ó</w:t>
      </w:r>
      <w:r w:rsidRPr="00E73B5D">
        <w:t xml:space="preserve">n. Entre </w:t>
      </w:r>
      <w:r>
        <w:t>l</w:t>
      </w:r>
      <w:r w:rsidRPr="00E73B5D">
        <w:t xml:space="preserve">as </w:t>
      </w:r>
      <w:r>
        <w:t xml:space="preserve">demás </w:t>
      </w:r>
      <w:r w:rsidRPr="00E73B5D">
        <w:t xml:space="preserve">diferencias previstas en el proyecto de ley figuran disposiciones para </w:t>
      </w:r>
      <w:r>
        <w:t>promover</w:t>
      </w:r>
      <w:r w:rsidRPr="00E73B5D">
        <w:t xml:space="preserve"> la coherencia</w:t>
      </w:r>
      <w:r>
        <w:t xml:space="preserve"> del proceso de adopción de</w:t>
      </w:r>
      <w:r w:rsidRPr="00E73B5D">
        <w:t xml:space="preserve"> decision</w:t>
      </w:r>
      <w:r>
        <w:t>es y la</w:t>
      </w:r>
      <w:r w:rsidRPr="00E73B5D">
        <w:t xml:space="preserve"> posibili</w:t>
      </w:r>
      <w:r>
        <w:t>dad de contar con miembros del</w:t>
      </w:r>
      <w:r w:rsidRPr="00E73B5D">
        <w:t xml:space="preserve"> Tribunal</w:t>
      </w:r>
      <w:r>
        <w:t xml:space="preserve"> a tiempo completo</w:t>
      </w:r>
      <w:r w:rsidRPr="00E73B5D">
        <w:t xml:space="preserve">. </w:t>
      </w:r>
    </w:p>
    <w:p w:rsidR="000100D5" w:rsidRPr="00C71C22" w:rsidRDefault="000100D5" w:rsidP="000100D5">
      <w:pPr>
        <w:pStyle w:val="SingleTxtG"/>
      </w:pPr>
      <w:r w:rsidRPr="001C4564">
        <w:t>270.</w:t>
      </w:r>
      <w:r w:rsidRPr="001C4564">
        <w:tab/>
        <w:t xml:space="preserve">Cuando un solicitante de asilo no reúne las condiciones necesarias para obtener ese estatuto, puede solicitar al Ministro de Justicia, Igualdad y Reforma Jurídica una </w:t>
      </w:r>
      <w:r w:rsidR="00C67360">
        <w:t>"</w:t>
      </w:r>
      <w:r w:rsidRPr="001C4564">
        <w:t>protección subsidiaria</w:t>
      </w:r>
      <w:r w:rsidR="00C67360">
        <w:t>"</w:t>
      </w:r>
      <w:r w:rsidRPr="001C4564">
        <w:t xml:space="preserve"> con arreglo al Instrumento Legislativo </w:t>
      </w:r>
      <w:r w:rsidR="001A688E">
        <w:t>Nº</w:t>
      </w:r>
      <w:r w:rsidRPr="001C4564">
        <w:t xml:space="preserve"> 518 </w:t>
      </w:r>
      <w:r>
        <w:t>de</w:t>
      </w:r>
      <w:r w:rsidRPr="001C4564">
        <w:t xml:space="preserve"> 2006</w:t>
      </w:r>
      <w:r>
        <w:rPr>
          <w:rStyle w:val="FootnoteReference"/>
          <w:lang w:val="en-IE"/>
        </w:rPr>
        <w:footnoteReference w:id="70"/>
      </w:r>
      <w:r w:rsidR="001F5C61" w:rsidRPr="000B3925">
        <w:t>,</w:t>
      </w:r>
      <w:r w:rsidRPr="001C4564">
        <w:t xml:space="preserve"> </w:t>
      </w:r>
      <w:r>
        <w:t>que</w:t>
      </w:r>
      <w:r w:rsidRPr="001C4564">
        <w:t xml:space="preserve"> incorpora </w:t>
      </w:r>
      <w:r>
        <w:t>las disposiciones de la</w:t>
      </w:r>
      <w:r w:rsidRPr="001C4564">
        <w:t xml:space="preserve"> Directiv</w:t>
      </w:r>
      <w:r>
        <w:t>a</w:t>
      </w:r>
      <w:r w:rsidRPr="001C4564">
        <w:t xml:space="preserve"> 2004/83/</w:t>
      </w:r>
      <w:r>
        <w:t>C</w:t>
      </w:r>
      <w:r w:rsidRPr="001C4564">
        <w:t>E</w:t>
      </w:r>
      <w:r>
        <w:rPr>
          <w:rStyle w:val="FootnoteReference"/>
          <w:lang w:val="en-IE"/>
        </w:rPr>
        <w:footnoteReference w:id="71"/>
      </w:r>
      <w:r w:rsidRPr="00E40957">
        <w:t xml:space="preserve"> del Consejo de la UE</w:t>
      </w:r>
      <w:r>
        <w:t xml:space="preserve"> </w:t>
      </w:r>
      <w:r w:rsidR="00C67360">
        <w:t>"</w:t>
      </w:r>
      <w:r>
        <w:t>s</w:t>
      </w:r>
      <w:r w:rsidRPr="001C4564">
        <w:t>o</w:t>
      </w:r>
      <w:r>
        <w:t>bre las normas</w:t>
      </w:r>
      <w:r w:rsidRPr="001C4564">
        <w:t xml:space="preserve"> m</w:t>
      </w:r>
      <w:r>
        <w:t>í</w:t>
      </w:r>
      <w:r w:rsidRPr="001C4564">
        <w:t>nim</w:t>
      </w:r>
      <w:r>
        <w:t>as para conceder a los nacionales de terceros países o los apátridas la condición de</w:t>
      </w:r>
      <w:r w:rsidRPr="001C4564">
        <w:t xml:space="preserve"> refug</w:t>
      </w:r>
      <w:r>
        <w:t>iado o de</w:t>
      </w:r>
      <w:r w:rsidRPr="001C4564">
        <w:t xml:space="preserve"> person</w:t>
      </w:r>
      <w:r>
        <w:t>a que precisa protección</w:t>
      </w:r>
      <w:r w:rsidRPr="001C4564">
        <w:t xml:space="preserve"> interna</w:t>
      </w:r>
      <w:r>
        <w:t>c</w:t>
      </w:r>
      <w:r w:rsidRPr="001C4564">
        <w:t>ional</w:t>
      </w:r>
      <w:r>
        <w:t xml:space="preserve"> y también estipulan el contenido de la</w:t>
      </w:r>
      <w:r w:rsidRPr="001C4564">
        <w:t xml:space="preserve"> protec</w:t>
      </w:r>
      <w:r>
        <w:t>c</w:t>
      </w:r>
      <w:r w:rsidRPr="001C4564">
        <w:t>i</w:t>
      </w:r>
      <w:r>
        <w:t>ó</w:t>
      </w:r>
      <w:r w:rsidRPr="001C4564">
        <w:t xml:space="preserve">n </w:t>
      </w:r>
      <w:r>
        <w:t>otorgada</w:t>
      </w:r>
      <w:r w:rsidR="00C67360">
        <w:t>"</w:t>
      </w:r>
      <w:r w:rsidRPr="001C4564">
        <w:t xml:space="preserve"> (</w:t>
      </w:r>
      <w:r w:rsidR="00E03EF2">
        <w:t>"</w:t>
      </w:r>
      <w:r>
        <w:t>Directiva sobre los requisitos para el reconocimiento del estatuto de refugiados</w:t>
      </w:r>
      <w:r w:rsidR="00E03EF2">
        <w:t>"</w:t>
      </w:r>
      <w:r w:rsidRPr="001C4564">
        <w:t xml:space="preserve">). </w:t>
      </w:r>
      <w:r w:rsidRPr="00C71C22">
        <w:t xml:space="preserve">Si la persona no reúne tampoco las condiciones para obtener la </w:t>
      </w:r>
      <w:r w:rsidR="00C67360">
        <w:t>"</w:t>
      </w:r>
      <w:r w:rsidRPr="00C71C22">
        <w:t>protección subsidiaria</w:t>
      </w:r>
      <w:r w:rsidR="00C67360">
        <w:t>"</w:t>
      </w:r>
      <w:r w:rsidRPr="00C71C22">
        <w:t>, cualquier reclamación por escrito de por qué debe concedérsele autorización para permanecer en el Estado ser</w:t>
      </w:r>
      <w:r>
        <w:t>á examinada por el</w:t>
      </w:r>
      <w:r w:rsidRPr="00C71C22">
        <w:t xml:space="preserve"> Ministr</w:t>
      </w:r>
      <w:r>
        <w:t>o en virtud del artículo</w:t>
      </w:r>
      <w:r w:rsidRPr="00C71C22">
        <w:t xml:space="preserve"> 3</w:t>
      </w:r>
      <w:r>
        <w:t xml:space="preserve"> </w:t>
      </w:r>
      <w:r w:rsidRPr="00C71C22">
        <w:t xml:space="preserve">6) </w:t>
      </w:r>
      <w:r>
        <w:t>de la Ley de</w:t>
      </w:r>
      <w:r w:rsidRPr="00C71C22">
        <w:t xml:space="preserve"> </w:t>
      </w:r>
      <w:r>
        <w:t>in</w:t>
      </w:r>
      <w:r w:rsidRPr="00C71C22">
        <w:t>migra</w:t>
      </w:r>
      <w:r>
        <w:t>c</w:t>
      </w:r>
      <w:r w:rsidRPr="00C71C22">
        <w:t>i</w:t>
      </w:r>
      <w:r>
        <w:t>ó</w:t>
      </w:r>
      <w:r w:rsidRPr="00C71C22">
        <w:t xml:space="preserve">n </w:t>
      </w:r>
      <w:r>
        <w:t>de</w:t>
      </w:r>
      <w:r w:rsidRPr="00C71C22">
        <w:t xml:space="preserve"> 1999, </w:t>
      </w:r>
      <w:r>
        <w:t xml:space="preserve">antes de otorgarle un permiso </w:t>
      </w:r>
      <w:r w:rsidRPr="00C71C22">
        <w:t>tempora</w:t>
      </w:r>
      <w:r>
        <w:t>l para quedarse, o de dictar una orden de</w:t>
      </w:r>
      <w:r w:rsidRPr="00C71C22">
        <w:t xml:space="preserve"> deporta</w:t>
      </w:r>
      <w:r>
        <w:t>c</w:t>
      </w:r>
      <w:r w:rsidRPr="00C71C22">
        <w:t>i</w:t>
      </w:r>
      <w:r>
        <w:t>ó</w:t>
      </w:r>
      <w:r w:rsidRPr="00C71C22">
        <w:t>n</w:t>
      </w:r>
      <w:r>
        <w:t xml:space="preserve"> u organizar el retorno</w:t>
      </w:r>
      <w:r w:rsidRPr="00C71C22">
        <w:t xml:space="preserve"> voluntar</w:t>
      </w:r>
      <w:r>
        <w:t>io, cuando proceda</w:t>
      </w:r>
      <w:r w:rsidRPr="00C71C22">
        <w:t xml:space="preserve">. </w:t>
      </w:r>
    </w:p>
    <w:p w:rsidR="000100D5" w:rsidRPr="006B35C1" w:rsidRDefault="000100D5" w:rsidP="000100D5">
      <w:pPr>
        <w:pStyle w:val="H23G"/>
        <w:rPr>
          <w:lang w:val="en-IE"/>
        </w:rPr>
      </w:pPr>
      <w:r w:rsidRPr="00C71C22">
        <w:tab/>
      </w:r>
      <w:r w:rsidRPr="006B35C1">
        <w:rPr>
          <w:lang w:val="en-IE"/>
        </w:rPr>
        <w:t>12.</w:t>
      </w:r>
      <w:r w:rsidRPr="006B35C1">
        <w:rPr>
          <w:lang w:val="en-IE"/>
        </w:rPr>
        <w:tab/>
      </w:r>
      <w:r>
        <w:rPr>
          <w:lang w:val="en-IE"/>
        </w:rPr>
        <w:t>Derecho de</w:t>
      </w:r>
      <w:r w:rsidRPr="006B35C1">
        <w:rPr>
          <w:lang w:val="en-IE"/>
        </w:rPr>
        <w:t xml:space="preserve"> </w:t>
      </w:r>
      <w:r>
        <w:rPr>
          <w:lang w:val="en-IE"/>
        </w:rPr>
        <w:t>v</w:t>
      </w:r>
      <w:r w:rsidRPr="006B35C1">
        <w:rPr>
          <w:lang w:val="en-IE"/>
        </w:rPr>
        <w:t>ot</w:t>
      </w:r>
      <w:r>
        <w:rPr>
          <w:lang w:val="en-IE"/>
        </w:rPr>
        <w:t>o</w:t>
      </w:r>
    </w:p>
    <w:p w:rsidR="000100D5" w:rsidRPr="00E21AC5" w:rsidRDefault="000100D5" w:rsidP="000100D5">
      <w:pPr>
        <w:pStyle w:val="SingleTxtG"/>
      </w:pPr>
      <w:r w:rsidRPr="00C71C22">
        <w:t>271.</w:t>
      </w:r>
      <w:r w:rsidRPr="00C71C22">
        <w:tab/>
        <w:t>Todo ciudadano irlandés que haya cumplido los dieciocho años y no esté inhabilitado por ley tendr</w:t>
      </w:r>
      <w:r>
        <w:t>á derecho a votar</w:t>
      </w:r>
      <w:r w:rsidRPr="00C71C22">
        <w:t xml:space="preserve">. </w:t>
      </w:r>
      <w:r w:rsidRPr="00E21AC5">
        <w:t>Si se trata de una persona que reside habitualmente en Irlanda pero que no es un ciudadano irlandés, podr</w:t>
      </w:r>
      <w:r>
        <w:t>á tener también derecho a votar en algunas elecciones</w:t>
      </w:r>
      <w:r w:rsidRPr="00E21AC5">
        <w:t xml:space="preserve">. </w:t>
      </w:r>
    </w:p>
    <w:p w:rsidR="000100D5" w:rsidRPr="004F4FBD" w:rsidRDefault="000100D5" w:rsidP="007E251E">
      <w:pPr>
        <w:pStyle w:val="SingleTxtG"/>
      </w:pPr>
      <w:r w:rsidRPr="00E21AC5">
        <w:tab/>
      </w:r>
      <w:r>
        <w:t>El derecho de voto presenta las siguientes características</w:t>
      </w:r>
      <w:r w:rsidRPr="004F4FBD">
        <w:t xml:space="preserve">: </w:t>
      </w:r>
    </w:p>
    <w:p w:rsidR="000100D5" w:rsidRPr="007E251E" w:rsidRDefault="000100D5" w:rsidP="007E251E">
      <w:pPr>
        <w:pStyle w:val="Bullet1G"/>
      </w:pPr>
      <w:r w:rsidRPr="00E21AC5">
        <w:rPr>
          <w:bCs/>
        </w:rPr>
        <w:t>Los ciudadanos irlandeses pueden votar en todas las elecciones y refer</w:t>
      </w:r>
      <w:r>
        <w:rPr>
          <w:bCs/>
        </w:rPr>
        <w:t>éndums</w:t>
      </w:r>
      <w:r w:rsidRPr="00E21AC5">
        <w:t>.</w:t>
      </w:r>
      <w:r w:rsidRPr="00E21AC5">
        <w:rPr>
          <w:bCs/>
        </w:rPr>
        <w:t xml:space="preserve"> </w:t>
      </w:r>
      <w:r>
        <w:rPr>
          <w:bCs/>
        </w:rPr>
        <w:t>Sólo los</w:t>
      </w:r>
      <w:r w:rsidR="005007D6">
        <w:t xml:space="preserve"> </w:t>
      </w:r>
      <w:r w:rsidRPr="004F4FBD">
        <w:t xml:space="preserve">ciudadanos </w:t>
      </w:r>
      <w:r w:rsidRPr="007E251E">
        <w:t>irlandeses pueden votar en las elecciones presidenciales</w:t>
      </w:r>
      <w:r w:rsidR="00C71011" w:rsidRPr="007E251E">
        <w:t>.</w:t>
      </w:r>
    </w:p>
    <w:p w:rsidR="000100D5" w:rsidRPr="007E251E" w:rsidRDefault="000100D5" w:rsidP="007E251E">
      <w:pPr>
        <w:pStyle w:val="Bullet1G"/>
      </w:pPr>
      <w:r w:rsidRPr="007E251E">
        <w:t>Los ciudadanos británicos pueden votar en las elecciones del Dáil (Cámara Baja), en las elecciones europeas y en las elecciones locales</w:t>
      </w:r>
      <w:r w:rsidR="00C71011" w:rsidRPr="007E251E">
        <w:t>.</w:t>
      </w:r>
    </w:p>
    <w:p w:rsidR="000100D5" w:rsidRPr="007E251E" w:rsidRDefault="000100D5" w:rsidP="007E251E">
      <w:pPr>
        <w:pStyle w:val="Bullet1G"/>
      </w:pPr>
      <w:r w:rsidRPr="007E251E">
        <w:t>Otros ciudadanos de la Unión Europea (UE) pueden votar en las elecciones europeas y</w:t>
      </w:r>
      <w:r w:rsidR="005007D6" w:rsidRPr="007E251E">
        <w:t xml:space="preserve"> </w:t>
      </w:r>
      <w:r w:rsidRPr="007E251E">
        <w:t>locales</w:t>
      </w:r>
      <w:r w:rsidR="00C71011" w:rsidRPr="007E251E">
        <w:t>.</w:t>
      </w:r>
    </w:p>
    <w:p w:rsidR="000100D5" w:rsidRPr="00EE187E" w:rsidRDefault="000100D5" w:rsidP="007E251E">
      <w:pPr>
        <w:pStyle w:val="Bullet1G"/>
      </w:pPr>
      <w:r w:rsidRPr="007E251E">
        <w:t>Los no nacionales de</w:t>
      </w:r>
      <w:r w:rsidRPr="00EE187E">
        <w:rPr>
          <w:bCs/>
        </w:rPr>
        <w:t xml:space="preserve"> la UE sólo pueden</w:t>
      </w:r>
      <w:r w:rsidRPr="00EE187E">
        <w:t xml:space="preserve"> votar en las elecciones </w:t>
      </w:r>
      <w:r>
        <w:t>l</w:t>
      </w:r>
      <w:r w:rsidRPr="00EE187E">
        <w:t>o</w:t>
      </w:r>
      <w:r>
        <w:t>ca</w:t>
      </w:r>
      <w:r w:rsidRPr="00EE187E">
        <w:t>l</w:t>
      </w:r>
      <w:r>
        <w:t>es</w:t>
      </w:r>
      <w:r w:rsidR="00C71011">
        <w:t>.</w:t>
      </w:r>
    </w:p>
    <w:p w:rsidR="000100D5" w:rsidRPr="00EE187E" w:rsidRDefault="000100D5" w:rsidP="000100D5">
      <w:pPr>
        <w:pStyle w:val="SingleTxtG"/>
      </w:pPr>
      <w:r w:rsidRPr="00EE187E">
        <w:t>272.</w:t>
      </w:r>
      <w:r w:rsidR="005007D6">
        <w:tab/>
      </w:r>
      <w:r w:rsidRPr="00EE187E">
        <w:t>Si una persona posee la nacionalidad irlandesa, tiene derecho a votar en todos los refer</w:t>
      </w:r>
      <w:r>
        <w:t>éndums y</w:t>
      </w:r>
      <w:r w:rsidRPr="00EE187E">
        <w:t xml:space="preserve"> elec</w:t>
      </w:r>
      <w:r>
        <w:t>ciones</w:t>
      </w:r>
      <w:r w:rsidRPr="00EE187E">
        <w:t xml:space="preserve"> </w:t>
      </w:r>
      <w:r>
        <w:t>e</w:t>
      </w:r>
      <w:r w:rsidRPr="00EE187E">
        <w:t>n Irland</w:t>
      </w:r>
      <w:r>
        <w:t>a</w:t>
      </w:r>
      <w:r w:rsidRPr="00EE187E">
        <w:t>. Para ejercer ese derecho, debe comprobar que su nombre est</w:t>
      </w:r>
      <w:r>
        <w:t>á inscrito en el censo</w:t>
      </w:r>
      <w:r w:rsidRPr="00EE187E">
        <w:t xml:space="preserve"> </w:t>
      </w:r>
      <w:r>
        <w:t>e</w:t>
      </w:r>
      <w:r w:rsidRPr="00EE187E">
        <w:t xml:space="preserve">lectoral. </w:t>
      </w:r>
    </w:p>
    <w:p w:rsidR="000100D5" w:rsidRPr="00EE187E" w:rsidRDefault="000100D5" w:rsidP="000100D5">
      <w:pPr>
        <w:pStyle w:val="SingleTxtG"/>
      </w:pPr>
      <w:r>
        <w:t>2</w:t>
      </w:r>
      <w:r w:rsidRPr="00EE187E">
        <w:t>73.</w:t>
      </w:r>
      <w:r w:rsidRPr="00EE187E">
        <w:tab/>
        <w:t xml:space="preserve">La legislación electoral establece que la </w:t>
      </w:r>
      <w:r w:rsidR="00E03EF2">
        <w:t>"</w:t>
      </w:r>
      <w:r w:rsidRPr="00EE187E">
        <w:t>residencia habitual</w:t>
      </w:r>
      <w:r w:rsidR="00E03EF2">
        <w:t>"</w:t>
      </w:r>
      <w:r w:rsidRPr="00EE187E">
        <w:t xml:space="preserve"> en un distrito electoral en una fecha </w:t>
      </w:r>
      <w:r>
        <w:t>determinada es un requisito necesario para inscribirse en un</w:t>
      </w:r>
      <w:r w:rsidRPr="00EE187E">
        <w:t xml:space="preserve"> registr</w:t>
      </w:r>
      <w:r>
        <w:t>o y votar en los</w:t>
      </w:r>
      <w:r w:rsidRPr="00EE187E">
        <w:t xml:space="preserve"> refer</w:t>
      </w:r>
      <w:r>
        <w:t>é</w:t>
      </w:r>
      <w:r w:rsidRPr="00EE187E">
        <w:t>nd</w:t>
      </w:r>
      <w:r>
        <w:t xml:space="preserve">ums y en las </w:t>
      </w:r>
      <w:r w:rsidR="005C4174">
        <w:t>elecciones</w:t>
      </w:r>
      <w:r w:rsidRPr="00EE187E">
        <w:t xml:space="preserve"> </w:t>
      </w:r>
      <w:r>
        <w:t>presidencia</w:t>
      </w:r>
      <w:r w:rsidRPr="00EE187E">
        <w:t>l</w:t>
      </w:r>
      <w:r>
        <w:t>es</w:t>
      </w:r>
      <w:r w:rsidRPr="00EE187E">
        <w:t xml:space="preserve">, </w:t>
      </w:r>
      <w:r>
        <w:t>parlamentarias (</w:t>
      </w:r>
      <w:r w:rsidRPr="00EE187E">
        <w:t>Dáil</w:t>
      </w:r>
      <w:r>
        <w:t>)</w:t>
      </w:r>
      <w:r w:rsidRPr="00EE187E">
        <w:t xml:space="preserve">, </w:t>
      </w:r>
      <w:r>
        <w:t>e</w:t>
      </w:r>
      <w:r w:rsidRPr="00EE187E">
        <w:t>uropea</w:t>
      </w:r>
      <w:r>
        <w:t>s y</w:t>
      </w:r>
      <w:r w:rsidRPr="00EE187E">
        <w:t xml:space="preserve"> local</w:t>
      </w:r>
      <w:r>
        <w:t>es.</w:t>
      </w:r>
      <w:r w:rsidR="005007D6">
        <w:t xml:space="preserve"> </w:t>
      </w:r>
    </w:p>
    <w:p w:rsidR="000100D5" w:rsidRPr="00DA0D13" w:rsidRDefault="000100D5" w:rsidP="000100D5">
      <w:pPr>
        <w:pStyle w:val="H23G"/>
      </w:pPr>
      <w:r w:rsidRPr="00EE187E">
        <w:tab/>
      </w:r>
      <w:r w:rsidRPr="00DA0D13">
        <w:t>13.</w:t>
      </w:r>
      <w:r w:rsidRPr="00DA0D13">
        <w:tab/>
        <w:t>Derecho a presentarse a las elecciones</w:t>
      </w:r>
    </w:p>
    <w:p w:rsidR="000100D5" w:rsidRPr="00DA0D13" w:rsidRDefault="000100D5" w:rsidP="000100D5">
      <w:pPr>
        <w:pStyle w:val="SingleTxtG"/>
      </w:pPr>
      <w:r w:rsidRPr="00DA0D13">
        <w:t>274.</w:t>
      </w:r>
      <w:r w:rsidRPr="00DA0D13">
        <w:tab/>
        <w:t>Sírvanse consultar los párrafos 275 a 277 del informe inicial y del segundo informe peri</w:t>
      </w:r>
      <w:r>
        <w:t>ódico de Ir</w:t>
      </w:r>
      <w:r w:rsidRPr="00DA0D13">
        <w:t>land</w:t>
      </w:r>
      <w:r>
        <w:t>a</w:t>
      </w:r>
      <w:r w:rsidRPr="00DA0D13">
        <w:t>.</w:t>
      </w:r>
    </w:p>
    <w:p w:rsidR="000100D5" w:rsidRPr="009C5AC9" w:rsidRDefault="000100D5" w:rsidP="000100D5">
      <w:pPr>
        <w:pStyle w:val="SingleTxtG"/>
      </w:pPr>
      <w:r w:rsidRPr="009C5AC9">
        <w:t>275.</w:t>
      </w:r>
      <w:r w:rsidRPr="009C5AC9">
        <w:tab/>
        <w:t>El Plan de Acción Nacional contra el Racism</w:t>
      </w:r>
      <w:r>
        <w:t>o</w:t>
      </w:r>
      <w:r w:rsidRPr="009C5AC9">
        <w:t>, 2005</w:t>
      </w:r>
      <w:r w:rsidR="00067DCF">
        <w:t>-</w:t>
      </w:r>
      <w:r w:rsidRPr="009C5AC9">
        <w:t>2008, se configuró a partir de un proceso exhaustivo de consulta</w:t>
      </w:r>
      <w:r>
        <w:t xml:space="preserve">s públicas </w:t>
      </w:r>
      <w:r w:rsidRPr="009C5AC9">
        <w:t xml:space="preserve">que duró 12 meses, supervisado por un grupo directivo nacional establecido bajo </w:t>
      </w:r>
      <w:r>
        <w:t>los auspicios del</w:t>
      </w:r>
      <w:r w:rsidRPr="009C5AC9">
        <w:t xml:space="preserve"> Depart</w:t>
      </w:r>
      <w:r>
        <w:t>a</w:t>
      </w:r>
      <w:r w:rsidRPr="009C5AC9">
        <w:t>ment</w:t>
      </w:r>
      <w:r>
        <w:t>o de</w:t>
      </w:r>
      <w:r w:rsidRPr="009C5AC9">
        <w:t xml:space="preserve"> Justic</w:t>
      </w:r>
      <w:r>
        <w:t>ia</w:t>
      </w:r>
      <w:r w:rsidRPr="009C5AC9">
        <w:t xml:space="preserve">, </w:t>
      </w:r>
      <w:r>
        <w:t>Ig</w:t>
      </w:r>
      <w:r w:rsidRPr="009C5AC9">
        <w:t>ual</w:t>
      </w:r>
      <w:r>
        <w:t>dad y</w:t>
      </w:r>
      <w:r w:rsidRPr="009C5AC9">
        <w:t xml:space="preserve"> Reform</w:t>
      </w:r>
      <w:r>
        <w:t>a</w:t>
      </w:r>
      <w:r w:rsidRPr="009C5AC9">
        <w:t xml:space="preserve"> </w:t>
      </w:r>
      <w:r>
        <w:t>Jurídica, en el que intervino un nutrido equipo de participantes clave procedentes de órganos gubernamentales</w:t>
      </w:r>
      <w:r w:rsidRPr="009C5AC9">
        <w:t xml:space="preserve">, </w:t>
      </w:r>
      <w:r>
        <w:t>colaboradores</w:t>
      </w:r>
      <w:r w:rsidRPr="009C5AC9">
        <w:t xml:space="preserve"> social</w:t>
      </w:r>
      <w:r>
        <w:t>es y de la sociedad</w:t>
      </w:r>
      <w:r w:rsidRPr="009C5AC9">
        <w:t xml:space="preserve"> civil </w:t>
      </w:r>
      <w:r>
        <w:t>en su sentido más amplio, incluidas las minorías</w:t>
      </w:r>
      <w:r w:rsidRPr="009C5AC9">
        <w:t xml:space="preserve"> cultural</w:t>
      </w:r>
      <w:r>
        <w:t>es</w:t>
      </w:r>
      <w:r w:rsidRPr="009C5AC9">
        <w:t xml:space="preserve"> </w:t>
      </w:r>
      <w:r>
        <w:t>y</w:t>
      </w:r>
      <w:r w:rsidRPr="009C5AC9">
        <w:t xml:space="preserve"> </w:t>
      </w:r>
      <w:r>
        <w:t>é</w:t>
      </w:r>
      <w:r w:rsidRPr="009C5AC9">
        <w:t>tnic</w:t>
      </w:r>
      <w:r>
        <w:t>as</w:t>
      </w:r>
      <w:r w:rsidRPr="009C5AC9">
        <w:t xml:space="preserve">. </w:t>
      </w:r>
    </w:p>
    <w:p w:rsidR="000100D5" w:rsidRPr="009446B0" w:rsidRDefault="000100D5" w:rsidP="000100D5">
      <w:pPr>
        <w:pStyle w:val="SingleTxtG"/>
      </w:pPr>
      <w:r w:rsidRPr="009446B0">
        <w:t>276.</w:t>
      </w:r>
      <w:r w:rsidRPr="009446B0">
        <w:tab/>
        <w:t>Durante la fase de consultas se celebraron siete seminarios regionales y doce temáticos y unas 34 organizaciones y redes recibieron financiaci</w:t>
      </w:r>
      <w:r>
        <w:t>ón del</w:t>
      </w:r>
      <w:r w:rsidRPr="009446B0">
        <w:t xml:space="preserve"> Depart</w:t>
      </w:r>
      <w:r>
        <w:t>a</w:t>
      </w:r>
      <w:r w:rsidRPr="009446B0">
        <w:t>ment</w:t>
      </w:r>
      <w:r>
        <w:t>o de</w:t>
      </w:r>
      <w:r w:rsidRPr="009446B0">
        <w:t xml:space="preserve"> Justic</w:t>
      </w:r>
      <w:r>
        <w:t>ia</w:t>
      </w:r>
      <w:r w:rsidRPr="009446B0">
        <w:t xml:space="preserve">, </w:t>
      </w:r>
      <w:r>
        <w:t>Ig</w:t>
      </w:r>
      <w:r w:rsidRPr="009446B0">
        <w:t>ual</w:t>
      </w:r>
      <w:r>
        <w:t>dad y</w:t>
      </w:r>
      <w:r w:rsidRPr="009446B0">
        <w:t xml:space="preserve"> Reform</w:t>
      </w:r>
      <w:r>
        <w:t xml:space="preserve">a Jurídica a fin de </w:t>
      </w:r>
      <w:r w:rsidRPr="009446B0">
        <w:t>facilita</w:t>
      </w:r>
      <w:r>
        <w:t>r</w:t>
      </w:r>
      <w:r w:rsidRPr="009446B0">
        <w:t xml:space="preserve"> </w:t>
      </w:r>
      <w:r>
        <w:t>sus propias reuniones</w:t>
      </w:r>
      <w:r w:rsidRPr="009446B0">
        <w:t xml:space="preserve"> consultiv</w:t>
      </w:r>
      <w:r>
        <w:t>as.</w:t>
      </w:r>
      <w:r w:rsidR="00C71011">
        <w:t xml:space="preserve"> Se </w:t>
      </w:r>
      <w:r w:rsidRPr="009446B0">
        <w:t xml:space="preserve">recibieron en total 94 comunicaciones, que representan en algunos casos a una serie de organizaciones que se agruparon para presentar un documento conjunto. </w:t>
      </w:r>
    </w:p>
    <w:p w:rsidR="000100D5" w:rsidRPr="009446B0" w:rsidRDefault="000100D5" w:rsidP="000100D5">
      <w:pPr>
        <w:pStyle w:val="SingleTxtG"/>
      </w:pPr>
      <w:r w:rsidRPr="009446B0">
        <w:t>277.</w:t>
      </w:r>
      <w:r w:rsidRPr="009446B0">
        <w:tab/>
      </w:r>
      <w:r w:rsidRPr="00C71011">
        <w:rPr>
          <w:spacing w:val="-4"/>
        </w:rPr>
        <w:t>Para más información sobre el Plan de Acción Nacional contra el Racismo,</w:t>
      </w:r>
      <w:r w:rsidR="00C71011">
        <w:rPr>
          <w:spacing w:val="-4"/>
        </w:rPr>
        <w:t xml:space="preserve"> </w:t>
      </w:r>
      <w:r w:rsidRPr="00C71011">
        <w:rPr>
          <w:spacing w:val="-4"/>
        </w:rPr>
        <w:t>2005</w:t>
      </w:r>
      <w:r w:rsidR="00C71011" w:rsidRPr="00C71011">
        <w:rPr>
          <w:spacing w:val="-4"/>
        </w:rPr>
        <w:t>-</w:t>
      </w:r>
      <w:r w:rsidRPr="00C71011">
        <w:rPr>
          <w:spacing w:val="-4"/>
        </w:rPr>
        <w:t>2008, sírvanse consultar los párrafos 187 y ss. de este informe</w:t>
      </w:r>
      <w:r w:rsidRPr="009446B0">
        <w:t xml:space="preserve">. </w:t>
      </w:r>
    </w:p>
    <w:p w:rsidR="000100D5" w:rsidRPr="002B48C6" w:rsidRDefault="000100D5" w:rsidP="000100D5">
      <w:pPr>
        <w:pStyle w:val="H4G"/>
      </w:pPr>
      <w:r w:rsidRPr="009446B0">
        <w:tab/>
      </w:r>
      <w:r w:rsidRPr="009446B0">
        <w:tab/>
      </w:r>
      <w:r>
        <w:t xml:space="preserve">Creación de la Oficina de </w:t>
      </w:r>
      <w:r w:rsidRPr="002B48C6">
        <w:t>Víctimas de</w:t>
      </w:r>
      <w:r>
        <w:t xml:space="preserve"> </w:t>
      </w:r>
      <w:r w:rsidRPr="002B48C6">
        <w:t>l</w:t>
      </w:r>
      <w:r>
        <w:t>a</w:t>
      </w:r>
      <w:r w:rsidRPr="002B48C6">
        <w:t xml:space="preserve"> Deli</w:t>
      </w:r>
      <w:r>
        <w:t>ncuencia</w:t>
      </w:r>
      <w:r w:rsidRPr="00E640ED">
        <w:rPr>
          <w:rStyle w:val="FootnoteReference"/>
          <w:i w:val="0"/>
          <w:lang w:val="en-IE"/>
        </w:rPr>
        <w:footnoteReference w:id="72"/>
      </w:r>
    </w:p>
    <w:p w:rsidR="000100D5" w:rsidRPr="002B48C6" w:rsidRDefault="000100D5" w:rsidP="000100D5">
      <w:pPr>
        <w:pStyle w:val="SingleTxtG"/>
      </w:pPr>
      <w:r w:rsidRPr="002B48C6">
        <w:t>278.</w:t>
      </w:r>
      <w:r w:rsidRPr="002B48C6">
        <w:tab/>
        <w:t>En 2008 se creó la Oficina</w:t>
      </w:r>
      <w:r>
        <w:t xml:space="preserve"> de </w:t>
      </w:r>
      <w:r w:rsidRPr="002B48C6">
        <w:t>Víctimas de la Delincuencia, con el mandato básico de mejorar la continui</w:t>
      </w:r>
      <w:r>
        <w:t>dad y la c</w:t>
      </w:r>
      <w:r w:rsidRPr="002B48C6">
        <w:t>ali</w:t>
      </w:r>
      <w:r>
        <w:t>dad de los servicios prestados a las</w:t>
      </w:r>
      <w:r w:rsidRPr="002B48C6">
        <w:t xml:space="preserve"> v</w:t>
      </w:r>
      <w:r>
        <w:t>í</w:t>
      </w:r>
      <w:r w:rsidRPr="002B48C6">
        <w:t>ctim</w:t>
      </w:r>
      <w:r>
        <w:t>a</w:t>
      </w:r>
      <w:r w:rsidRPr="002B48C6">
        <w:t xml:space="preserve">s </w:t>
      </w:r>
      <w:r>
        <w:t>de la delincuencia por</w:t>
      </w:r>
      <w:r w:rsidRPr="002B48C6">
        <w:t xml:space="preserve"> </w:t>
      </w:r>
      <w:r>
        <w:t>los organismos es</w:t>
      </w:r>
      <w:r w:rsidRPr="002B48C6">
        <w:t>tat</w:t>
      </w:r>
      <w:r>
        <w:t>al</w:t>
      </w:r>
      <w:r w:rsidRPr="002B48C6">
        <w:t>e</w:t>
      </w:r>
      <w:r>
        <w:t>s</w:t>
      </w:r>
      <w:r w:rsidR="005007D6">
        <w:t xml:space="preserve"> </w:t>
      </w:r>
      <w:r>
        <w:t xml:space="preserve">y las organizaciones </w:t>
      </w:r>
      <w:r w:rsidRPr="002B48C6">
        <w:t>no</w:t>
      </w:r>
      <w:r>
        <w:t xml:space="preserve"> </w:t>
      </w:r>
      <w:r w:rsidRPr="002B48C6">
        <w:t>g</w:t>
      </w:r>
      <w:r>
        <w:t>ub</w:t>
      </w:r>
      <w:r w:rsidRPr="002B48C6">
        <w:t>ern</w:t>
      </w:r>
      <w:r>
        <w:t>a</w:t>
      </w:r>
      <w:r w:rsidRPr="002B48C6">
        <w:t>mental</w:t>
      </w:r>
      <w:r>
        <w:t>es de todo el país</w:t>
      </w:r>
      <w:r w:rsidRPr="002B48C6">
        <w:t xml:space="preserve">. </w:t>
      </w:r>
      <w:r>
        <w:t>Su objetivo reside en apoyar el desarrollo de servicios</w:t>
      </w:r>
      <w:r w:rsidRPr="002B48C6">
        <w:t xml:space="preserve"> competentes, </w:t>
      </w:r>
      <w:r>
        <w:t>atentos y</w:t>
      </w:r>
      <w:r w:rsidRPr="002B48C6">
        <w:t xml:space="preserve"> eficient</w:t>
      </w:r>
      <w:r>
        <w:t>es, destinados a las</w:t>
      </w:r>
      <w:r w:rsidRPr="002B48C6">
        <w:t xml:space="preserve"> v</w:t>
      </w:r>
      <w:r>
        <w:t>í</w:t>
      </w:r>
      <w:r w:rsidRPr="002B48C6">
        <w:t>ctim</w:t>
      </w:r>
      <w:r>
        <w:t>a</w:t>
      </w:r>
      <w:r w:rsidRPr="002B48C6">
        <w:t xml:space="preserve">s </w:t>
      </w:r>
      <w:r>
        <w:t>de la delincuencia</w:t>
      </w:r>
      <w:r w:rsidRPr="002B48C6">
        <w:t xml:space="preserve">. </w:t>
      </w:r>
    </w:p>
    <w:p w:rsidR="000100D5" w:rsidRPr="0092151F" w:rsidRDefault="000100D5" w:rsidP="000100D5">
      <w:pPr>
        <w:pStyle w:val="SingleTxtG"/>
      </w:pPr>
      <w:r w:rsidRPr="002B48C6">
        <w:tab/>
      </w:r>
      <w:r>
        <w:t>Entre sus principales actividades es menester citar</w:t>
      </w:r>
      <w:r w:rsidRPr="0092151F">
        <w:t xml:space="preserve">: </w:t>
      </w:r>
    </w:p>
    <w:p w:rsidR="000100D5" w:rsidRPr="007E251E" w:rsidRDefault="000100D5" w:rsidP="007E251E">
      <w:pPr>
        <w:pStyle w:val="Bullet1G"/>
      </w:pPr>
      <w:r>
        <w:t>La u</w:t>
      </w:r>
      <w:r w:rsidRPr="0092151F">
        <w:t>tiliza</w:t>
      </w:r>
      <w:r>
        <w:t>ción</w:t>
      </w:r>
      <w:r w:rsidRPr="0092151F">
        <w:t xml:space="preserve"> </w:t>
      </w:r>
      <w:r>
        <w:t xml:space="preserve">de </w:t>
      </w:r>
      <w:r w:rsidRPr="007E251E">
        <w:t>la Carta de Víctimas para lograr una mejora del trato dispensado a las víctimas por las organizaciones pertinentes del Estado y del sector de los voluntarios</w:t>
      </w:r>
      <w:r w:rsidR="00C71011" w:rsidRPr="007E251E">
        <w:t>;</w:t>
      </w:r>
    </w:p>
    <w:p w:rsidR="000100D5" w:rsidRPr="007E251E" w:rsidRDefault="000100D5" w:rsidP="007E251E">
      <w:pPr>
        <w:pStyle w:val="Bullet1G"/>
      </w:pPr>
      <w:r w:rsidRPr="007E251E">
        <w:t>La concienciación de las necesidades de las víctimas de la delincuencia y de los servicios de que pueden disponer</w:t>
      </w:r>
      <w:r w:rsidR="00C71011" w:rsidRPr="007E251E">
        <w:t>;</w:t>
      </w:r>
    </w:p>
    <w:p w:rsidR="000100D5" w:rsidRPr="007E251E" w:rsidRDefault="000100D5" w:rsidP="007E251E">
      <w:pPr>
        <w:pStyle w:val="Bullet1G"/>
      </w:pPr>
      <w:r w:rsidRPr="007E251E">
        <w:t>El asesoramiento al Ministro de Justicia, Igualdad y Reforma Jurídica respecto de los asuntos relacionados con las víctimas en Irlanda y de las novedades internacionales que atañen a las víctima</w:t>
      </w:r>
      <w:r w:rsidR="00C71011" w:rsidRPr="007E251E">
        <w:t>s;</w:t>
      </w:r>
    </w:p>
    <w:p w:rsidR="000100D5" w:rsidRPr="00750C80" w:rsidRDefault="000100D5" w:rsidP="007E251E">
      <w:pPr>
        <w:pStyle w:val="Bullet1G"/>
      </w:pPr>
      <w:r w:rsidRPr="007E251E">
        <w:t>El trabajo en colaboración con la COSC (Oficina Nacional para la prevención de la violencia familiar, sexual y de género), la Dependencia de Lucha contra la Trata de Personas, la División de Reforma de la Legislación Penal y otras secciones pertinentes del Departamento</w:t>
      </w:r>
      <w:r>
        <w:t xml:space="preserve"> de</w:t>
      </w:r>
      <w:r w:rsidRPr="00750C80">
        <w:t xml:space="preserve"> Justic</w:t>
      </w:r>
      <w:r>
        <w:t>ia</w:t>
      </w:r>
      <w:r w:rsidRPr="00750C80">
        <w:t xml:space="preserve">, </w:t>
      </w:r>
      <w:r>
        <w:t>Ig</w:t>
      </w:r>
      <w:r w:rsidRPr="00750C80">
        <w:t>ual</w:t>
      </w:r>
      <w:r>
        <w:t xml:space="preserve">dad </w:t>
      </w:r>
      <w:r w:rsidRPr="00750C80">
        <w:t>y Reform</w:t>
      </w:r>
      <w:r>
        <w:t>a</w:t>
      </w:r>
      <w:r w:rsidRPr="00750C80">
        <w:t xml:space="preserve"> </w:t>
      </w:r>
      <w:r>
        <w:t>Jurídica, a fin de garantizar la</w:t>
      </w:r>
      <w:r w:rsidRPr="00750C80">
        <w:t xml:space="preserve"> coordina</w:t>
      </w:r>
      <w:r>
        <w:t>ción</w:t>
      </w:r>
      <w:r w:rsidRPr="00750C80">
        <w:t xml:space="preserve"> </w:t>
      </w:r>
      <w:r>
        <w:t xml:space="preserve">de las </w:t>
      </w:r>
      <w:r w:rsidRPr="00750C80">
        <w:t>pol</w:t>
      </w:r>
      <w:r>
        <w:t>íti</w:t>
      </w:r>
      <w:r w:rsidRPr="00750C80">
        <w:t>c</w:t>
      </w:r>
      <w:r>
        <w:t>as</w:t>
      </w:r>
      <w:r w:rsidRPr="00750C80">
        <w:t xml:space="preserve"> </w:t>
      </w:r>
      <w:r>
        <w:t>del Departamento para atender los problemas</w:t>
      </w:r>
      <w:r w:rsidRPr="00750C80">
        <w:t xml:space="preserve"> rela</w:t>
      </w:r>
      <w:r>
        <w:t>c</w:t>
      </w:r>
      <w:r w:rsidRPr="00750C80">
        <w:t>ion</w:t>
      </w:r>
      <w:r>
        <w:t>ados con las</w:t>
      </w:r>
      <w:r w:rsidRPr="00750C80">
        <w:t xml:space="preserve"> v</w:t>
      </w:r>
      <w:r>
        <w:t>í</w:t>
      </w:r>
      <w:r w:rsidRPr="00750C80">
        <w:t>ctim</w:t>
      </w:r>
      <w:r>
        <w:t>a</w:t>
      </w:r>
      <w:r w:rsidRPr="00750C80">
        <w:t xml:space="preserve">s </w:t>
      </w:r>
      <w:r>
        <w:t>de la delincuencia</w:t>
      </w:r>
      <w:r w:rsidR="00C71011">
        <w:t>.</w:t>
      </w:r>
    </w:p>
    <w:p w:rsidR="000100D5" w:rsidRPr="008B4CD2" w:rsidRDefault="000100D5" w:rsidP="000100D5">
      <w:pPr>
        <w:pStyle w:val="H23G"/>
      </w:pPr>
      <w:r w:rsidRPr="00750C80">
        <w:tab/>
      </w:r>
      <w:r w:rsidRPr="008B4CD2">
        <w:t>14.</w:t>
      </w:r>
      <w:r w:rsidRPr="008B4CD2">
        <w:tab/>
        <w:t xml:space="preserve">Iniciativa en pro de los votantes migrantes </w:t>
      </w:r>
    </w:p>
    <w:p w:rsidR="000100D5" w:rsidRPr="0075061E" w:rsidRDefault="000100D5" w:rsidP="000100D5">
      <w:pPr>
        <w:pStyle w:val="SingleTxtG"/>
      </w:pPr>
      <w:r w:rsidRPr="008B4CD2">
        <w:t>279.</w:t>
      </w:r>
      <w:r w:rsidRPr="008B4CD2">
        <w:tab/>
      </w:r>
      <w:r>
        <w:t>En 2008 l</w:t>
      </w:r>
      <w:r w:rsidRPr="008B4CD2">
        <w:t>a Oficina del Ministro para la Integración asignó 250</w:t>
      </w:r>
      <w:r w:rsidR="00C71011">
        <w:t>.</w:t>
      </w:r>
      <w:r w:rsidRPr="008B4CD2">
        <w:t>000 euros al Consejo de la Ciudad de Dubl</w:t>
      </w:r>
      <w:r>
        <w:t>í</w:t>
      </w:r>
      <w:r w:rsidRPr="008B4CD2">
        <w:t xml:space="preserve">n </w:t>
      </w:r>
      <w:r>
        <w:t>para</w:t>
      </w:r>
      <w:r w:rsidRPr="008B4CD2">
        <w:t xml:space="preserve"> me</w:t>
      </w:r>
      <w:r>
        <w:t>didas destinadas a fomentar la</w:t>
      </w:r>
      <w:r w:rsidRPr="008B4CD2">
        <w:t xml:space="preserve"> integra</w:t>
      </w:r>
      <w:r>
        <w:t>c</w:t>
      </w:r>
      <w:r w:rsidRPr="008B4CD2">
        <w:t>i</w:t>
      </w:r>
      <w:r>
        <w:t>ó</w:t>
      </w:r>
      <w:r w:rsidRPr="008B4CD2">
        <w:t>n a</w:t>
      </w:r>
      <w:r>
        <w:t xml:space="preserve"> nivel de la ciudad</w:t>
      </w:r>
      <w:r w:rsidRPr="008B4CD2">
        <w:t xml:space="preserve">. </w:t>
      </w:r>
      <w:r w:rsidRPr="0075061E">
        <w:t xml:space="preserve">Una de las iniciativas emprendidas por el Consejo gracias a estos recursos fue </w:t>
      </w:r>
      <w:r w:rsidR="00C67360">
        <w:t>"</w:t>
      </w:r>
      <w:r>
        <w:t>la iniciativa en pro de los votantes migrantes</w:t>
      </w:r>
      <w:r w:rsidR="00C67360">
        <w:t>"</w:t>
      </w:r>
      <w:r>
        <w:t>, con los siguientes</w:t>
      </w:r>
      <w:r w:rsidRPr="0075061E">
        <w:t xml:space="preserve"> resultados:</w:t>
      </w:r>
    </w:p>
    <w:p w:rsidR="000100D5" w:rsidRPr="007E251E" w:rsidRDefault="000100D5" w:rsidP="007E251E">
      <w:pPr>
        <w:pStyle w:val="Bullet1G"/>
      </w:pPr>
      <w:r w:rsidRPr="0075061E">
        <w:t xml:space="preserve">Se </w:t>
      </w:r>
      <w:r w:rsidRPr="007E251E">
        <w:t xml:space="preserve">crearon lazos muy fuertes entre la ciudad y los </w:t>
      </w:r>
      <w:r w:rsidR="00C71011" w:rsidRPr="007E251E">
        <w:t>representantes de los migrantes;</w:t>
      </w:r>
    </w:p>
    <w:p w:rsidR="000100D5" w:rsidRPr="007E251E" w:rsidRDefault="000100D5" w:rsidP="007E251E">
      <w:pPr>
        <w:pStyle w:val="Bullet1G"/>
      </w:pPr>
      <w:r w:rsidRPr="007E251E">
        <w:t>Se demostró la viabilidad de movilizar a los dirigentes de la comunidad migrante en torno a un proyecto compartido y lo fácil que resulta de conseguir una vez que se han establecido relaciones de confianza y de respeto mutuo</w:t>
      </w:r>
      <w:r w:rsidR="00C71011" w:rsidRPr="007E251E">
        <w:t>;</w:t>
      </w:r>
    </w:p>
    <w:p w:rsidR="000100D5" w:rsidRPr="007E251E" w:rsidRDefault="000100D5" w:rsidP="007E251E">
      <w:pPr>
        <w:pStyle w:val="Bullet1G"/>
      </w:pPr>
      <w:r w:rsidRPr="007E251E">
        <w:t>Los participantes directos en la campaña pudieron inscribir personalmente a más de</w:t>
      </w:r>
      <w:r w:rsidR="007E251E">
        <w:t> </w:t>
      </w:r>
      <w:r w:rsidRPr="007E251E">
        <w:t>2</w:t>
      </w:r>
      <w:r w:rsidR="00C71011" w:rsidRPr="007E251E">
        <w:t>.</w:t>
      </w:r>
      <w:r w:rsidRPr="007E251E">
        <w:t>000 personas</w:t>
      </w:r>
      <w:r w:rsidR="00C71011" w:rsidRPr="007E251E">
        <w:t>;</w:t>
      </w:r>
    </w:p>
    <w:p w:rsidR="000100D5" w:rsidRPr="00B05DF7" w:rsidRDefault="000100D5" w:rsidP="007E251E">
      <w:pPr>
        <w:pStyle w:val="Bullet1G"/>
      </w:pPr>
      <w:r w:rsidRPr="007E251E">
        <w:t>El proyecto</w:t>
      </w:r>
      <w:r w:rsidRPr="00B05DF7">
        <w:t xml:space="preserve"> logró un</w:t>
      </w:r>
      <w:r>
        <w:t>a resonancia</w:t>
      </w:r>
      <w:r w:rsidRPr="00B05DF7">
        <w:t xml:space="preserve"> local, na</w:t>
      </w:r>
      <w:r>
        <w:t>c</w:t>
      </w:r>
      <w:r w:rsidRPr="00B05DF7">
        <w:t xml:space="preserve">ional </w:t>
      </w:r>
      <w:r>
        <w:t>e</w:t>
      </w:r>
      <w:r w:rsidRPr="00B05DF7">
        <w:t xml:space="preserve"> interna</w:t>
      </w:r>
      <w:r>
        <w:t>c</w:t>
      </w:r>
      <w:r w:rsidRPr="00B05DF7">
        <w:t>ional</w:t>
      </w:r>
      <w:r w:rsidR="00C71011">
        <w:t>.</w:t>
      </w:r>
    </w:p>
    <w:p w:rsidR="000100D5" w:rsidRPr="00B05DF7" w:rsidRDefault="000100D5" w:rsidP="000100D5">
      <w:pPr>
        <w:pStyle w:val="SingleTxtG"/>
      </w:pPr>
      <w:r w:rsidRPr="00B05DF7">
        <w:t>280.</w:t>
      </w:r>
      <w:r w:rsidRPr="00B05DF7">
        <w:tab/>
        <w:t xml:space="preserve">La Oficina del Ministro para la Integración facilitó también financiación a Dun Laoghaire/Consejo de la Ciudad de Rathdown </w:t>
      </w:r>
      <w:r>
        <w:t>a fin de emprender una campaña de movilización de los votantes m</w:t>
      </w:r>
      <w:r w:rsidRPr="00B05DF7">
        <w:t>igrant</w:t>
      </w:r>
      <w:r>
        <w:t>es entre enero y</w:t>
      </w:r>
      <w:r w:rsidRPr="00B05DF7">
        <w:t xml:space="preserve"> </w:t>
      </w:r>
      <w:r>
        <w:t>m</w:t>
      </w:r>
      <w:r w:rsidRPr="00B05DF7">
        <w:t>ay</w:t>
      </w:r>
      <w:r>
        <w:t>o de</w:t>
      </w:r>
      <w:r w:rsidRPr="00B05DF7">
        <w:t xml:space="preserve"> 2009. El objetivo de la campaña consistía en promover la democracia local para los extranjeros que residen en el Condado de Dublín y en fomentar un mensaje contra el racism</w:t>
      </w:r>
      <w:r>
        <w:t>o</w:t>
      </w:r>
      <w:r w:rsidRPr="00B05DF7">
        <w:t xml:space="preserve"> </w:t>
      </w:r>
      <w:r>
        <w:t>en las escuelas mediante una iniciativa denominada</w:t>
      </w:r>
      <w:r w:rsidRPr="00B05DF7">
        <w:t xml:space="preserve"> </w:t>
      </w:r>
      <w:r w:rsidR="00C67360">
        <w:t>"</w:t>
      </w:r>
      <w:r>
        <w:t>Enséñale tarjeta roja al</w:t>
      </w:r>
      <w:r w:rsidRPr="00B05DF7">
        <w:t xml:space="preserve"> </w:t>
      </w:r>
      <w:r>
        <w:t>r</w:t>
      </w:r>
      <w:r w:rsidRPr="00B05DF7">
        <w:t>acism</w:t>
      </w:r>
      <w:r>
        <w:t>o</w:t>
      </w:r>
      <w:r w:rsidR="00C67360">
        <w:t>"</w:t>
      </w:r>
      <w:r w:rsidRPr="00B05DF7">
        <w:t xml:space="preserve">. </w:t>
      </w:r>
    </w:p>
    <w:p w:rsidR="000100D5" w:rsidRPr="00D26053" w:rsidRDefault="000100D5" w:rsidP="000100D5">
      <w:pPr>
        <w:pStyle w:val="SingleTxtG"/>
      </w:pPr>
      <w:r w:rsidRPr="00D33A4F">
        <w:t>281.</w:t>
      </w:r>
      <w:r w:rsidRPr="00D33A4F">
        <w:tab/>
        <w:t xml:space="preserve">Tras sumar sus fuerzas a las del secretario del registro de votantes y a las de </w:t>
      </w:r>
      <w:r>
        <w:t xml:space="preserve">los </w:t>
      </w:r>
      <w:r w:rsidRPr="00D33A4F">
        <w:t>grupos de migrantes, la Dependencia de Integraci</w:t>
      </w:r>
      <w:r>
        <w:t>ón</w:t>
      </w:r>
      <w:r w:rsidRPr="00D33A4F">
        <w:t xml:space="preserve"> Social </w:t>
      </w:r>
      <w:r>
        <w:t>de</w:t>
      </w:r>
      <w:r w:rsidRPr="00D33A4F">
        <w:t xml:space="preserve"> Dun Laoghaire/</w:t>
      </w:r>
      <w:r>
        <w:t xml:space="preserve">Consejo de </w:t>
      </w:r>
      <w:r w:rsidRPr="00D33A4F">
        <w:t>Rathdown</w:t>
      </w:r>
      <w:r>
        <w:t xml:space="preserve"> envió un folleto en cinco lenguas</w:t>
      </w:r>
      <w:r w:rsidRPr="00D33A4F">
        <w:t xml:space="preserve"> </w:t>
      </w:r>
      <w:r>
        <w:t>a todos los hogares del país,</w:t>
      </w:r>
      <w:r w:rsidRPr="00D33A4F">
        <w:t xml:space="preserve"> inform</w:t>
      </w:r>
      <w:r>
        <w:t>a</w:t>
      </w:r>
      <w:r w:rsidRPr="00D33A4F">
        <w:t>n</w:t>
      </w:r>
      <w:r>
        <w:t>do a las</w:t>
      </w:r>
      <w:r w:rsidRPr="00D33A4F">
        <w:t xml:space="preserve"> pe</w:t>
      </w:r>
      <w:r>
        <w:t>rsonas de su derecho a votar</w:t>
      </w:r>
      <w:r w:rsidRPr="00D33A4F">
        <w:t xml:space="preserve">. </w:t>
      </w:r>
      <w:r>
        <w:t>El respaldo a esa iniciativa vino dado por una campaña de carteles en los</w:t>
      </w:r>
      <w:r w:rsidRPr="00D33A4F">
        <w:t xml:space="preserve"> servic</w:t>
      </w:r>
      <w:r>
        <w:t>ios de transport</w:t>
      </w:r>
      <w:r w:rsidRPr="00D33A4F">
        <w:t xml:space="preserve">es, </w:t>
      </w:r>
      <w:r>
        <w:t xml:space="preserve">un sitio </w:t>
      </w:r>
      <w:r w:rsidRPr="00D33A4F">
        <w:t>web</w:t>
      </w:r>
      <w:r>
        <w:t xml:space="preserve"> específico y simulacros de votaciones. Para más información, se ruega consultar el sitio web</w:t>
      </w:r>
      <w:r w:rsidRPr="00D26053">
        <w:t xml:space="preserve"> www.dlrcoco.ie/vote. </w:t>
      </w:r>
    </w:p>
    <w:p w:rsidR="000100D5" w:rsidRPr="001F5C61" w:rsidRDefault="000100D5" w:rsidP="000100D5">
      <w:pPr>
        <w:pStyle w:val="SingleTxtG"/>
        <w:rPr>
          <w:lang w:val="en-IE"/>
        </w:rPr>
      </w:pPr>
      <w:r w:rsidRPr="00D26053">
        <w:t>282.</w:t>
      </w:r>
      <w:r w:rsidRPr="00D26053">
        <w:tab/>
        <w:t>Pasando al respeto del derecho a la libertad de circulación y de residencia dentro de las fronteras del Estado, un ciudadano de Irlanda o</w:t>
      </w:r>
      <w:r>
        <w:t xml:space="preserve"> un</w:t>
      </w:r>
      <w:r w:rsidRPr="00D26053">
        <w:t>a person</w:t>
      </w:r>
      <w:r>
        <w:t>a</w:t>
      </w:r>
      <w:r w:rsidRPr="00D26053">
        <w:t xml:space="preserve"> </w:t>
      </w:r>
      <w:r>
        <w:t xml:space="preserve">que resida </w:t>
      </w:r>
      <w:r w:rsidRPr="00D26053">
        <w:t>l</w:t>
      </w:r>
      <w:r>
        <w:t>egalmente</w:t>
      </w:r>
      <w:r w:rsidRPr="00D26053">
        <w:t xml:space="preserve"> </w:t>
      </w:r>
      <w:r>
        <w:t>e</w:t>
      </w:r>
      <w:r w:rsidRPr="00D26053">
        <w:t xml:space="preserve">n </w:t>
      </w:r>
      <w:r>
        <w:t>el país</w:t>
      </w:r>
      <w:r w:rsidRPr="00D26053">
        <w:t xml:space="preserve"> no </w:t>
      </w:r>
      <w:r>
        <w:t>podrá ser objeto de</w:t>
      </w:r>
      <w:r w:rsidRPr="00D26053">
        <w:t xml:space="preserve"> restric</w:t>
      </w:r>
      <w:r>
        <w:t>c</w:t>
      </w:r>
      <w:r w:rsidRPr="00D26053">
        <w:t>ion</w:t>
      </w:r>
      <w:r>
        <w:t>e</w:t>
      </w:r>
      <w:r w:rsidRPr="00D26053">
        <w:t xml:space="preserve">s </w:t>
      </w:r>
      <w:r>
        <w:t xml:space="preserve">a la libertad de </w:t>
      </w:r>
      <w:r w:rsidRPr="00D26053">
        <w:t>mov</w:t>
      </w:r>
      <w:r>
        <w:t>i</w:t>
      </w:r>
      <w:r w:rsidRPr="00D26053">
        <w:t>m</w:t>
      </w:r>
      <w:r>
        <w:t>i</w:t>
      </w:r>
      <w:r w:rsidRPr="00D26053">
        <w:t>ent</w:t>
      </w:r>
      <w:r>
        <w:t>o y de residencia dentro del Es</w:t>
      </w:r>
      <w:r w:rsidRPr="00D26053">
        <w:t>ta</w:t>
      </w:r>
      <w:r>
        <w:t>do</w:t>
      </w:r>
      <w:r>
        <w:rPr>
          <w:rStyle w:val="FootnoteReference"/>
          <w:lang w:val="en-IE"/>
        </w:rPr>
        <w:footnoteReference w:id="73"/>
      </w:r>
      <w:r w:rsidR="001F5C61">
        <w:rPr>
          <w:lang w:val="en-IE"/>
        </w:rPr>
        <w:t>.</w:t>
      </w:r>
    </w:p>
    <w:p w:rsidR="000100D5" w:rsidRPr="00677622" w:rsidRDefault="000100D5" w:rsidP="000100D5">
      <w:pPr>
        <w:pStyle w:val="SingleTxtG"/>
      </w:pPr>
      <w:r w:rsidRPr="00677622">
        <w:t>283.</w:t>
      </w:r>
      <w:r w:rsidRPr="00677622">
        <w:tab/>
        <w:t>En cuanto al derecho a salir de cualquier país, incluso del propio y a volver a él, no pesa ninguna restricción sobre los ciudadanos irlandeses o</w:t>
      </w:r>
      <w:r>
        <w:t xml:space="preserve"> los que</w:t>
      </w:r>
      <w:r w:rsidRPr="00677622">
        <w:t xml:space="preserve"> residen</w:t>
      </w:r>
      <w:r>
        <w:t xml:space="preserve"> legalmente en el</w:t>
      </w:r>
      <w:r w:rsidRPr="00677622">
        <w:t xml:space="preserve"> </w:t>
      </w:r>
      <w:r>
        <w:t>Es</w:t>
      </w:r>
      <w:r w:rsidRPr="00677622">
        <w:t>ta</w:t>
      </w:r>
      <w:r>
        <w:t>do y desean viajar fuera de él</w:t>
      </w:r>
      <w:r w:rsidRPr="00677622">
        <w:t>. No se han</w:t>
      </w:r>
      <w:r>
        <w:t xml:space="preserve"> </w:t>
      </w:r>
      <w:r w:rsidRPr="00677622">
        <w:t xml:space="preserve">adoptado restricciones </w:t>
      </w:r>
      <w:r>
        <w:t>para e</w:t>
      </w:r>
      <w:r w:rsidRPr="00677622">
        <w:t xml:space="preserve">l retorno de los ciudadanos irlandeses al Estado. Los no nacionales que regresan al </w:t>
      </w:r>
      <w:r>
        <w:t>país</w:t>
      </w:r>
      <w:r w:rsidRPr="00677622">
        <w:t xml:space="preserve"> habrán de someterse a los controles normales de i</w:t>
      </w:r>
      <w:r>
        <w:t>n</w:t>
      </w:r>
      <w:r w:rsidRPr="00677622">
        <w:t>migra</w:t>
      </w:r>
      <w:r>
        <w:t>c</w:t>
      </w:r>
      <w:r w:rsidRPr="00677622">
        <w:t>i</w:t>
      </w:r>
      <w:r>
        <w:t>ó</w:t>
      </w:r>
      <w:r w:rsidRPr="00677622">
        <w:t>n inclu</w:t>
      </w:r>
      <w:r>
        <w:t>i</w:t>
      </w:r>
      <w:r w:rsidRPr="00677622">
        <w:t>d</w:t>
      </w:r>
      <w:r>
        <w:t>o</w:t>
      </w:r>
      <w:r w:rsidRPr="00677622">
        <w:t xml:space="preserve">, </w:t>
      </w:r>
      <w:r>
        <w:t>si procede</w:t>
      </w:r>
      <w:r w:rsidRPr="00677622">
        <w:t xml:space="preserve">, </w:t>
      </w:r>
      <w:r>
        <w:t>el</w:t>
      </w:r>
      <w:r w:rsidRPr="00677622">
        <w:t xml:space="preserve"> requi</w:t>
      </w:r>
      <w:r>
        <w:t>sito de estar en</w:t>
      </w:r>
      <w:r w:rsidRPr="00677622">
        <w:t xml:space="preserve"> posesi</w:t>
      </w:r>
      <w:r>
        <w:t>ó</w:t>
      </w:r>
      <w:r w:rsidRPr="00677622">
        <w:t xml:space="preserve">n </w:t>
      </w:r>
      <w:r>
        <w:t>de un visado de</w:t>
      </w:r>
      <w:r w:rsidRPr="00677622">
        <w:t xml:space="preserve"> reentr</w:t>
      </w:r>
      <w:r>
        <w:t>ada</w:t>
      </w:r>
      <w:r w:rsidRPr="00677622">
        <w:t xml:space="preserve">. </w:t>
      </w:r>
    </w:p>
    <w:p w:rsidR="000100D5" w:rsidRPr="006B35C1" w:rsidRDefault="000100D5" w:rsidP="000100D5">
      <w:pPr>
        <w:pStyle w:val="H23G"/>
        <w:rPr>
          <w:lang w:val="en-IE"/>
        </w:rPr>
      </w:pPr>
      <w:r w:rsidRPr="00677622">
        <w:tab/>
      </w:r>
      <w:r w:rsidRPr="006B35C1">
        <w:rPr>
          <w:lang w:val="en-IE"/>
        </w:rPr>
        <w:t>15.</w:t>
      </w:r>
      <w:r w:rsidRPr="006B35C1">
        <w:rPr>
          <w:lang w:val="en-IE"/>
        </w:rPr>
        <w:tab/>
        <w:t>Ci</w:t>
      </w:r>
      <w:r>
        <w:rPr>
          <w:lang w:val="en-IE"/>
        </w:rPr>
        <w:t>udadanía y</w:t>
      </w:r>
      <w:r w:rsidRPr="006B35C1">
        <w:rPr>
          <w:lang w:val="en-IE"/>
        </w:rPr>
        <w:t xml:space="preserve"> naturali</w:t>
      </w:r>
      <w:r>
        <w:rPr>
          <w:lang w:val="en-IE"/>
        </w:rPr>
        <w:t>z</w:t>
      </w:r>
      <w:r w:rsidRPr="006B35C1">
        <w:rPr>
          <w:lang w:val="en-IE"/>
        </w:rPr>
        <w:t>a</w:t>
      </w:r>
      <w:r>
        <w:rPr>
          <w:lang w:val="en-IE"/>
        </w:rPr>
        <w:t>c</w:t>
      </w:r>
      <w:r w:rsidRPr="006B35C1">
        <w:rPr>
          <w:lang w:val="en-IE"/>
        </w:rPr>
        <w:t>i</w:t>
      </w:r>
      <w:r>
        <w:rPr>
          <w:lang w:val="en-IE"/>
        </w:rPr>
        <w:t>ó</w:t>
      </w:r>
      <w:r w:rsidRPr="006B35C1">
        <w:rPr>
          <w:lang w:val="en-IE"/>
        </w:rPr>
        <w:t xml:space="preserve">n </w:t>
      </w:r>
    </w:p>
    <w:p w:rsidR="000100D5" w:rsidRPr="003C6072" w:rsidRDefault="000100D5" w:rsidP="000100D5">
      <w:pPr>
        <w:pStyle w:val="SingleTxtG"/>
      </w:pPr>
      <w:r w:rsidRPr="00280747">
        <w:t>284.</w:t>
      </w:r>
      <w:r w:rsidRPr="00280747">
        <w:tab/>
        <w:t xml:space="preserve">Por lo que hace al respeto de las medidas tomadas para garantizar </w:t>
      </w:r>
      <w:r>
        <w:t>la</w:t>
      </w:r>
      <w:r w:rsidRPr="00280747">
        <w:t xml:space="preserve"> no discrimin</w:t>
      </w:r>
      <w:r>
        <w:t>ación de</w:t>
      </w:r>
      <w:r w:rsidRPr="00280747">
        <w:t xml:space="preserve"> grupos concretos de no nacionales en lo tocante al acceso a la ciudadanía o a la naturalización, la Constitución de Irlanda </w:t>
      </w:r>
      <w:r>
        <w:t>otorga</w:t>
      </w:r>
      <w:r w:rsidRPr="00280747">
        <w:t xml:space="preserve"> un derecho constitucional de ciudadanía a </w:t>
      </w:r>
      <w:r>
        <w:t>toda</w:t>
      </w:r>
      <w:r w:rsidRPr="00280747">
        <w:t xml:space="preserve"> person</w:t>
      </w:r>
      <w:r>
        <w:t>a</w:t>
      </w:r>
      <w:r w:rsidRPr="00280747">
        <w:t xml:space="preserve"> </w:t>
      </w:r>
      <w:r>
        <w:t>nacida en la</w:t>
      </w:r>
      <w:r w:rsidRPr="00280747">
        <w:t xml:space="preserve"> isla</w:t>
      </w:r>
      <w:r>
        <w:t xml:space="preserve"> de</w:t>
      </w:r>
      <w:r w:rsidRPr="00280747">
        <w:t xml:space="preserve"> Irland</w:t>
      </w:r>
      <w:r>
        <w:t>a o en las demás</w:t>
      </w:r>
      <w:r w:rsidRPr="00280747">
        <w:t xml:space="preserve"> islas </w:t>
      </w:r>
      <w:r>
        <w:t>y</w:t>
      </w:r>
      <w:r w:rsidRPr="00280747">
        <w:t xml:space="preserve"> </w:t>
      </w:r>
      <w:r>
        <w:t>mare</w:t>
      </w:r>
      <w:r w:rsidRPr="00280747">
        <w:t>s</w:t>
      </w:r>
      <w:r>
        <w:t xml:space="preserve"> pertenecientes a su territorio</w:t>
      </w:r>
      <w:r w:rsidRPr="00280747">
        <w:t xml:space="preserve">, </w:t>
      </w:r>
      <w:r>
        <w:t>que</w:t>
      </w:r>
      <w:r w:rsidRPr="00280747">
        <w:t xml:space="preserve">, </w:t>
      </w:r>
      <w:r>
        <w:t>en el momento de su nacimiento tenga al menos un progenitor de nacionalidad irlandesa o que tenga derecho a ella</w:t>
      </w:r>
      <w:r w:rsidRPr="00280747">
        <w:t xml:space="preserve">. </w:t>
      </w:r>
      <w:r>
        <w:t>En las L</w:t>
      </w:r>
      <w:r w:rsidRPr="00F23A78">
        <w:t xml:space="preserve">eyes de nacionalidad y ciudadanía irlandesas, de 1956 a 2004, cabe hallar otras disposiciones </w:t>
      </w:r>
      <w:r>
        <w:t>r</w:t>
      </w:r>
      <w:r w:rsidRPr="00F23A78">
        <w:t>egl</w:t>
      </w:r>
      <w:r>
        <w:t>amentarias</w:t>
      </w:r>
      <w:r w:rsidRPr="00F23A78">
        <w:t xml:space="preserve"> al respecto. </w:t>
      </w:r>
      <w:r w:rsidRPr="00E87C58">
        <w:t xml:space="preserve">En general, toda persona que nace en la isla de Irlanda, o en las demás islas o mares pertenecientes a su territorio, </w:t>
      </w:r>
      <w:r>
        <w:t xml:space="preserve">no tendrá derecho, </w:t>
      </w:r>
      <w:r w:rsidRPr="00E87C58">
        <w:t>desde enero de 2005</w:t>
      </w:r>
      <w:r>
        <w:t>,</w:t>
      </w:r>
      <w:r w:rsidR="005007D6">
        <w:t xml:space="preserve"> </w:t>
      </w:r>
      <w:r w:rsidRPr="00E87C58">
        <w:t xml:space="preserve">a la nacionalidad irlandesa, a menos que al nacer, uno de sus progenitores tuviera esa nacionalidad, la nacionalidad británica, </w:t>
      </w:r>
      <w:r>
        <w:t>o fuera una persona con derecho a</w:t>
      </w:r>
      <w:r w:rsidRPr="00E87C58">
        <w:t xml:space="preserve"> resid</w:t>
      </w:r>
      <w:r>
        <w:t>ir</w:t>
      </w:r>
      <w:r w:rsidRPr="00E87C58">
        <w:t xml:space="preserve"> </w:t>
      </w:r>
      <w:r>
        <w:t>sin restricciones e</w:t>
      </w:r>
      <w:r w:rsidRPr="00E87C58">
        <w:t>n Irland</w:t>
      </w:r>
      <w:r>
        <w:t>a</w:t>
      </w:r>
      <w:r w:rsidRPr="00E87C58">
        <w:t xml:space="preserve"> o</w:t>
      </w:r>
      <w:r>
        <w:t xml:space="preserve"> en Irlanda del</w:t>
      </w:r>
      <w:r w:rsidRPr="00E87C58">
        <w:t xml:space="preserve"> Norte </w:t>
      </w:r>
      <w:r>
        <w:t>o un</w:t>
      </w:r>
      <w:r w:rsidRPr="00E87C58">
        <w:t xml:space="preserve"> no</w:t>
      </w:r>
      <w:r>
        <w:t xml:space="preserve"> </w:t>
      </w:r>
      <w:r w:rsidRPr="00E87C58">
        <w:t>na</w:t>
      </w:r>
      <w:r>
        <w:t>c</w:t>
      </w:r>
      <w:r w:rsidRPr="00E87C58">
        <w:t xml:space="preserve">ional </w:t>
      </w:r>
      <w:r>
        <w:t xml:space="preserve">que, </w:t>
      </w:r>
      <w:r w:rsidRPr="00E87C58">
        <w:t>dur</w:t>
      </w:r>
      <w:r>
        <w:t>a</w:t>
      </w:r>
      <w:r w:rsidRPr="00E87C58">
        <w:t>n</w:t>
      </w:r>
      <w:r>
        <w:t>te</w:t>
      </w:r>
      <w:r w:rsidRPr="00E87C58">
        <w:t xml:space="preserve"> </w:t>
      </w:r>
      <w:r>
        <w:t>los cuatro años</w:t>
      </w:r>
      <w:r w:rsidRPr="00E87C58">
        <w:t xml:space="preserve"> i</w:t>
      </w:r>
      <w:r>
        <w:t>n</w:t>
      </w:r>
      <w:r w:rsidRPr="00E87C58">
        <w:t>mediat</w:t>
      </w:r>
      <w:r>
        <w:t>amente</w:t>
      </w:r>
      <w:r w:rsidRPr="00E87C58">
        <w:t xml:space="preserve"> </w:t>
      </w:r>
      <w:r>
        <w:t>anteriores al nacimiento de esa</w:t>
      </w:r>
      <w:r w:rsidRPr="00E87C58">
        <w:t xml:space="preserve"> person</w:t>
      </w:r>
      <w:r>
        <w:t>a</w:t>
      </w:r>
      <w:r w:rsidRPr="00E87C58">
        <w:t xml:space="preserve"> ha</w:t>
      </w:r>
      <w:r>
        <w:t>ya estado residiendo legalmente en la</w:t>
      </w:r>
      <w:r w:rsidRPr="00E87C58">
        <w:t xml:space="preserve"> isla</w:t>
      </w:r>
      <w:r>
        <w:t xml:space="preserve"> de</w:t>
      </w:r>
      <w:r w:rsidRPr="00E87C58">
        <w:t xml:space="preserve"> Irland</w:t>
      </w:r>
      <w:r>
        <w:t>a</w:t>
      </w:r>
      <w:r w:rsidRPr="00E87C58">
        <w:t xml:space="preserve"> (</w:t>
      </w:r>
      <w:r>
        <w:t>que no sea a raíz de un permiso</w:t>
      </w:r>
      <w:r w:rsidRPr="00E87C58">
        <w:t xml:space="preserve"> tempora</w:t>
      </w:r>
      <w:r>
        <w:t>l a los efectos de solicitar la concesión del estatuto de</w:t>
      </w:r>
      <w:r w:rsidRPr="00E87C58">
        <w:t xml:space="preserve"> refug</w:t>
      </w:r>
      <w:r>
        <w:t>iado</w:t>
      </w:r>
      <w:r w:rsidRPr="00E87C58">
        <w:t xml:space="preserve"> o </w:t>
      </w:r>
      <w:r>
        <w:t>de emprender un</w:t>
      </w:r>
      <w:r w:rsidRPr="00E87C58">
        <w:t xml:space="preserve"> </w:t>
      </w:r>
      <w:r>
        <w:t>e</w:t>
      </w:r>
      <w:r w:rsidRPr="00E87C58">
        <w:t>stud</w:t>
      </w:r>
      <w:r>
        <w:t>io</w:t>
      </w:r>
      <w:r w:rsidRPr="00E87C58">
        <w:t xml:space="preserve">) </w:t>
      </w:r>
      <w:r>
        <w:t>p</w:t>
      </w:r>
      <w:r w:rsidRPr="00E87C58">
        <w:t xml:space="preserve">or </w:t>
      </w:r>
      <w:r>
        <w:t>un</w:t>
      </w:r>
      <w:r w:rsidRPr="00E87C58">
        <w:t xml:space="preserve"> per</w:t>
      </w:r>
      <w:r>
        <w:t>í</w:t>
      </w:r>
      <w:r w:rsidRPr="00E87C58">
        <w:t>od</w:t>
      </w:r>
      <w:r>
        <w:t>o</w:t>
      </w:r>
      <w:r w:rsidRPr="00E87C58">
        <w:t xml:space="preserve"> no</w:t>
      </w:r>
      <w:r>
        <w:t xml:space="preserve"> inferior a </w:t>
      </w:r>
      <w:r w:rsidRPr="00E87C58">
        <w:t>tre</w:t>
      </w:r>
      <w:r>
        <w:t>s</w:t>
      </w:r>
      <w:r w:rsidRPr="00E87C58">
        <w:t xml:space="preserve"> </w:t>
      </w:r>
      <w:r>
        <w:t>años</w:t>
      </w:r>
      <w:r w:rsidRPr="00E87C58">
        <w:t xml:space="preserve">. </w:t>
      </w:r>
      <w:r w:rsidRPr="003C6072">
        <w:t>Toda persona cuyo padre o cuya madre fueran irlandeses al nacer su hijo será ciudadano de Irlanda independientemente de</w:t>
      </w:r>
      <w:r>
        <w:t xml:space="preserve"> su</w:t>
      </w:r>
      <w:r w:rsidRPr="003C6072">
        <w:t xml:space="preserve"> lugar de nacimiento (pero sujeto a ciertos requisitos </w:t>
      </w:r>
      <w:r>
        <w:t>de mero procedimiento que deben formalizar los nacidos fuera de la isla de Irlanda a partir de la tercera generación</w:t>
      </w:r>
      <w:r w:rsidRPr="003C6072">
        <w:t xml:space="preserve">. </w:t>
      </w:r>
    </w:p>
    <w:p w:rsidR="000100D5" w:rsidRPr="00357EF7" w:rsidRDefault="000100D5" w:rsidP="000100D5">
      <w:pPr>
        <w:pStyle w:val="SingleTxtG"/>
      </w:pPr>
      <w:r w:rsidRPr="00357EF7">
        <w:t>285.</w:t>
      </w:r>
      <w:r w:rsidRPr="00357EF7">
        <w:tab/>
        <w:t>Sírvanse consultar también los párrafos 286 y 287 del informe inicial y del segu</w:t>
      </w:r>
      <w:r>
        <w:t>n</w:t>
      </w:r>
      <w:r w:rsidRPr="00357EF7">
        <w:t>do</w:t>
      </w:r>
      <w:r>
        <w:t xml:space="preserve"> informe periódico de</w:t>
      </w:r>
      <w:r w:rsidRPr="00357EF7">
        <w:t xml:space="preserve"> Irland</w:t>
      </w:r>
      <w:r>
        <w:t>a</w:t>
      </w:r>
      <w:r w:rsidRPr="00357EF7">
        <w:t>.</w:t>
      </w:r>
    </w:p>
    <w:p w:rsidR="000100D5" w:rsidRPr="006B35C1" w:rsidRDefault="000100D5" w:rsidP="000100D5">
      <w:pPr>
        <w:pStyle w:val="H23G"/>
        <w:rPr>
          <w:lang w:val="en-IE"/>
        </w:rPr>
      </w:pPr>
      <w:r w:rsidRPr="00357EF7">
        <w:tab/>
      </w:r>
      <w:r w:rsidRPr="006B35C1">
        <w:rPr>
          <w:lang w:val="en-IE"/>
        </w:rPr>
        <w:t>16.</w:t>
      </w:r>
      <w:r w:rsidRPr="006B35C1">
        <w:rPr>
          <w:lang w:val="en-IE"/>
        </w:rPr>
        <w:tab/>
      </w:r>
      <w:r>
        <w:rPr>
          <w:lang w:val="en-IE"/>
        </w:rPr>
        <w:t>Residencia de larga duración</w:t>
      </w:r>
      <w:r w:rsidRPr="006B35C1">
        <w:rPr>
          <w:lang w:val="en-IE"/>
        </w:rPr>
        <w:t xml:space="preserve"> </w:t>
      </w:r>
    </w:p>
    <w:p w:rsidR="000100D5" w:rsidRPr="0009689D" w:rsidRDefault="000100D5" w:rsidP="000100D5">
      <w:pPr>
        <w:pStyle w:val="SingleTxtG"/>
      </w:pPr>
      <w:r w:rsidRPr="00DE7C95">
        <w:t>286.</w:t>
      </w:r>
      <w:r w:rsidRPr="00DE7C95">
        <w:tab/>
        <w:t>En referencia a la situación específica de los residentes permanentes o de larga duración, los actuales requisitos administrativos para examinar las solicitudes de residen</w:t>
      </w:r>
      <w:r>
        <w:t>cia</w:t>
      </w:r>
      <w:r w:rsidRPr="00DE7C95">
        <w:t xml:space="preserve"> de larga duración, que se adoptaron en may</w:t>
      </w:r>
      <w:r>
        <w:t xml:space="preserve">o de </w:t>
      </w:r>
      <w:r w:rsidRPr="00DE7C95">
        <w:t xml:space="preserve">2004, </w:t>
      </w:r>
      <w:r>
        <w:t>se limitan a las personas que llevan residiendo en</w:t>
      </w:r>
      <w:r w:rsidRPr="00DE7C95">
        <w:t xml:space="preserve"> Irland</w:t>
      </w:r>
      <w:r>
        <w:t>a</w:t>
      </w:r>
      <w:r w:rsidRPr="00DE7C95">
        <w:t xml:space="preserve"> 5 </w:t>
      </w:r>
      <w:r>
        <w:t>años</w:t>
      </w:r>
      <w:r w:rsidRPr="00DE7C95">
        <w:t xml:space="preserve"> (60 m</w:t>
      </w:r>
      <w:r>
        <w:t>eses</w:t>
      </w:r>
      <w:r w:rsidRPr="00DE7C95">
        <w:t xml:space="preserve">) o </w:t>
      </w:r>
      <w:r>
        <w:t>más</w:t>
      </w:r>
      <w:r w:rsidRPr="00DE7C95">
        <w:t xml:space="preserve">. </w:t>
      </w:r>
      <w:r w:rsidRPr="0009689D">
        <w:t>A las personas que reúnen las condiciones necesarias se les concede una pr</w:t>
      </w:r>
      <w:r>
        <w:t>órroga quinquenal del permiso de</w:t>
      </w:r>
      <w:r w:rsidRPr="0009689D">
        <w:t xml:space="preserve"> residenc</w:t>
      </w:r>
      <w:r>
        <w:t>ia</w:t>
      </w:r>
      <w:r w:rsidRPr="0009689D">
        <w:t xml:space="preserve"> </w:t>
      </w:r>
      <w:r>
        <w:t>y quedan exentas de cumplir el requisito de estar en posesión de un permiso de trabajo</w:t>
      </w:r>
      <w:r w:rsidRPr="0009689D">
        <w:t xml:space="preserve">. </w:t>
      </w:r>
    </w:p>
    <w:p w:rsidR="000100D5" w:rsidRPr="009163B5" w:rsidRDefault="000100D5" w:rsidP="000100D5">
      <w:pPr>
        <w:pStyle w:val="SingleTxtG"/>
      </w:pPr>
      <w:r w:rsidRPr="0009689D">
        <w:t>287.</w:t>
      </w:r>
      <w:r w:rsidRPr="0009689D">
        <w:tab/>
        <w:t>El proyecto de ley de inmigración, residencia y protección, de 2008, publicado el 24</w:t>
      </w:r>
      <w:r w:rsidR="005007D6">
        <w:t xml:space="preserve"> </w:t>
      </w:r>
      <w:r w:rsidRPr="0009689D">
        <w:t xml:space="preserve">de enero de 2008 </w:t>
      </w:r>
      <w:r>
        <w:t>y que se encuentra en la actualidad ante el</w:t>
      </w:r>
      <w:r w:rsidRPr="0009689D">
        <w:t xml:space="preserve"> Parlament</w:t>
      </w:r>
      <w:r>
        <w:t>o irlandés</w:t>
      </w:r>
      <w:r w:rsidRPr="0009689D">
        <w:t>, pr</w:t>
      </w:r>
      <w:r>
        <w:t>e</w:t>
      </w:r>
      <w:r w:rsidRPr="0009689D">
        <w:t>v</w:t>
      </w:r>
      <w:r>
        <w:t xml:space="preserve">é un estatuto legal de </w:t>
      </w:r>
      <w:r w:rsidRPr="0009689D">
        <w:t>residenc</w:t>
      </w:r>
      <w:r>
        <w:t>ia</w:t>
      </w:r>
      <w:r w:rsidRPr="0009689D">
        <w:t xml:space="preserve"> </w:t>
      </w:r>
      <w:r>
        <w:t>de larga duración</w:t>
      </w:r>
      <w:r w:rsidRPr="0009689D">
        <w:t xml:space="preserve">. </w:t>
      </w:r>
      <w:r w:rsidRPr="009163B5">
        <w:t>Las condiciones para poder optar a ese estatuto dependen de una serie de requi</w:t>
      </w:r>
      <w:r>
        <w:t>sitos y, entre ellos,</w:t>
      </w:r>
      <w:r w:rsidRPr="009163B5">
        <w:t xml:space="preserve"> 5 </w:t>
      </w:r>
      <w:r>
        <w:t>años de residencia</w:t>
      </w:r>
      <w:r w:rsidRPr="009163B5">
        <w:t xml:space="preserve"> </w:t>
      </w:r>
      <w:r>
        <w:t>legal e</w:t>
      </w:r>
      <w:r w:rsidRPr="009163B5">
        <w:t xml:space="preserve">n </w:t>
      </w:r>
      <w:r>
        <w:t>el</w:t>
      </w:r>
      <w:r w:rsidRPr="009163B5">
        <w:t xml:space="preserve"> </w:t>
      </w:r>
      <w:r>
        <w:t>Es</w:t>
      </w:r>
      <w:r w:rsidRPr="009163B5">
        <w:t>ta</w:t>
      </w:r>
      <w:r>
        <w:t>do</w:t>
      </w:r>
      <w:r w:rsidRPr="009163B5">
        <w:t>. Haber pasado un período de tiempo en el Estado a raíz de de un permiso temporal o de duraci</w:t>
      </w:r>
      <w:r>
        <w:t xml:space="preserve">ón </w:t>
      </w:r>
      <w:r w:rsidRPr="009163B5">
        <w:t>limit</w:t>
      </w:r>
      <w:r>
        <w:t>a</w:t>
      </w:r>
      <w:r w:rsidRPr="009163B5">
        <w:t>d</w:t>
      </w:r>
      <w:r>
        <w:t>a para quedarse en el país no cuenta a esos efectos</w:t>
      </w:r>
      <w:r w:rsidRPr="009163B5">
        <w:t xml:space="preserve">. </w:t>
      </w:r>
    </w:p>
    <w:p w:rsidR="000100D5" w:rsidRPr="00BB7E22" w:rsidRDefault="000100D5" w:rsidP="000100D5">
      <w:pPr>
        <w:pStyle w:val="SingleTxtG"/>
      </w:pPr>
      <w:r w:rsidRPr="00BB7E22">
        <w:t>288.</w:t>
      </w:r>
      <w:r w:rsidRPr="00BB7E22">
        <w:tab/>
        <w:t xml:space="preserve">En relación con las medidas para reducir </w:t>
      </w:r>
      <w:r>
        <w:t xml:space="preserve">los casos de </w:t>
      </w:r>
      <w:r w:rsidRPr="00BB7E22">
        <w:t>ap</w:t>
      </w:r>
      <w:r>
        <w:t>a</w:t>
      </w:r>
      <w:r w:rsidRPr="00BB7E22">
        <w:t>trid</w:t>
      </w:r>
      <w:r>
        <w:t>ia</w:t>
      </w:r>
      <w:r w:rsidRPr="00BB7E22">
        <w:t xml:space="preserve">, el artículo 16 de la Ley de nacionalidad y ciudadanía irlandesas, de 1956 (enmendada) establece que el Ministro </w:t>
      </w:r>
      <w:r>
        <w:t>puede, a su</w:t>
      </w:r>
      <w:r w:rsidRPr="00BB7E22">
        <w:t xml:space="preserve"> absolut</w:t>
      </w:r>
      <w:r>
        <w:t>a</w:t>
      </w:r>
      <w:r w:rsidRPr="00BB7E22">
        <w:t xml:space="preserve"> discre</w:t>
      </w:r>
      <w:r>
        <w:t>c</w:t>
      </w:r>
      <w:r w:rsidRPr="00BB7E22">
        <w:t>i</w:t>
      </w:r>
      <w:r>
        <w:t>ó</w:t>
      </w:r>
      <w:r w:rsidRPr="00BB7E22">
        <w:t xml:space="preserve">n, </w:t>
      </w:r>
      <w:r>
        <w:t>eximir a un solicitante de naturalización de varias o de todas esas condiciones reglamentarias si se cumplen determinadas circunstancias, por ejemplo, si el solicit</w:t>
      </w:r>
      <w:r w:rsidRPr="00BB7E22">
        <w:t>ant</w:t>
      </w:r>
      <w:r>
        <w:t>e</w:t>
      </w:r>
      <w:r w:rsidRPr="00BB7E22">
        <w:t xml:space="preserve"> </w:t>
      </w:r>
      <w:r>
        <w:t>e</w:t>
      </w:r>
      <w:r w:rsidRPr="00BB7E22">
        <w:t xml:space="preserve">s </w:t>
      </w:r>
      <w:r>
        <w:t>un apátrida en el sentido de la Convención de las Naciones</w:t>
      </w:r>
      <w:r w:rsidRPr="00BB7E22">
        <w:t xml:space="preserve"> Unid</w:t>
      </w:r>
      <w:r>
        <w:t>as sobre el E</w:t>
      </w:r>
      <w:r w:rsidRPr="00BB7E22">
        <w:t>statu</w:t>
      </w:r>
      <w:r>
        <w:t>to de los Apátridas</w:t>
      </w:r>
      <w:r w:rsidRPr="00BB7E22">
        <w:t xml:space="preserve">. </w:t>
      </w:r>
    </w:p>
    <w:p w:rsidR="000100D5" w:rsidRPr="00E76A10" w:rsidRDefault="000100D5" w:rsidP="000100D5">
      <w:pPr>
        <w:pStyle w:val="SingleTxtG"/>
      </w:pPr>
      <w:r w:rsidRPr="00E76A10">
        <w:t>289.</w:t>
      </w:r>
      <w:r w:rsidRPr="00E76A10">
        <w:tab/>
        <w:t>En cuanto a los requisitos para acceder a la ciudadanía que se aplican a los esposos no nacionales (mujeres y hombres) de los ci</w:t>
      </w:r>
      <w:r>
        <w:t>udadanos</w:t>
      </w:r>
      <w:r w:rsidRPr="00E76A10">
        <w:t xml:space="preserve">, </w:t>
      </w:r>
      <w:r>
        <w:t>las solicitudes reciben el mismo tratamiento</w:t>
      </w:r>
      <w:r w:rsidRPr="00E76A10">
        <w:t xml:space="preserve"> </w:t>
      </w:r>
      <w:r>
        <w:t>tanto si proceden del esposo de una ciudadana o de la esposa de</w:t>
      </w:r>
      <w:r w:rsidRPr="00E76A10">
        <w:t xml:space="preserve"> </w:t>
      </w:r>
      <w:r>
        <w:t>un ciudadano</w:t>
      </w:r>
      <w:r w:rsidR="005007D6">
        <w:t xml:space="preserve"> </w:t>
      </w:r>
      <w:r>
        <w:t>irlandés</w:t>
      </w:r>
      <w:r w:rsidRPr="00E76A10">
        <w:t xml:space="preserve">. </w:t>
      </w:r>
    </w:p>
    <w:p w:rsidR="000100D5" w:rsidRPr="00395DCE" w:rsidRDefault="000100D5" w:rsidP="000100D5">
      <w:pPr>
        <w:pStyle w:val="SingleTxtG"/>
      </w:pPr>
      <w:r w:rsidRPr="00395DCE">
        <w:t>290.</w:t>
      </w:r>
      <w:r w:rsidRPr="00395DCE">
        <w:tab/>
        <w:t>Para el derecho al matrimonio y a la elección del cónyuge, el derecho a ser propietario</w:t>
      </w:r>
      <w:r>
        <w:t>,</w:t>
      </w:r>
      <w:r w:rsidRPr="00395DCE">
        <w:t xml:space="preserve"> individualmente y en asociación con otros y el dere</w:t>
      </w:r>
      <w:r>
        <w:t>c</w:t>
      </w:r>
      <w:r w:rsidRPr="00395DCE">
        <w:t>ho a heredar, s</w:t>
      </w:r>
      <w:r>
        <w:t>írvanse consultar el</w:t>
      </w:r>
      <w:r w:rsidRPr="00395DCE">
        <w:t xml:space="preserve"> p</w:t>
      </w:r>
      <w:r>
        <w:t>ár</w:t>
      </w:r>
      <w:r w:rsidRPr="00395DCE">
        <w:t>ra</w:t>
      </w:r>
      <w:r>
        <w:t>fo</w:t>
      </w:r>
      <w:r w:rsidRPr="00395DCE">
        <w:t xml:space="preserve"> 288 </w:t>
      </w:r>
      <w:r>
        <w:t xml:space="preserve">del informe inicial y el </w:t>
      </w:r>
      <w:r w:rsidRPr="00395DCE">
        <w:t>se</w:t>
      </w:r>
      <w:r>
        <w:t>gu</w:t>
      </w:r>
      <w:r w:rsidRPr="00395DCE">
        <w:t>nd</w:t>
      </w:r>
      <w:r>
        <w:t>o informe periódico de Irlanda</w:t>
      </w:r>
      <w:r w:rsidRPr="00395DCE">
        <w:t>.</w:t>
      </w:r>
    </w:p>
    <w:p w:rsidR="000100D5" w:rsidRPr="00F72D56" w:rsidRDefault="000100D5" w:rsidP="000100D5">
      <w:pPr>
        <w:pStyle w:val="SingleTxtG"/>
      </w:pPr>
      <w:r w:rsidRPr="00F72D56">
        <w:t>291.</w:t>
      </w:r>
      <w:r w:rsidRPr="00F72D56">
        <w:tab/>
        <w:t>Todos los ciudadanos tienen garantizado el derecho a la libertad de conciencia y a</w:t>
      </w:r>
      <w:r w:rsidR="005007D6">
        <w:t xml:space="preserve"> </w:t>
      </w:r>
      <w:r w:rsidRPr="00F72D56">
        <w:t>profesar y practicar su religi</w:t>
      </w:r>
      <w:r>
        <w:t>ó</w:t>
      </w:r>
      <w:r w:rsidRPr="00F72D56">
        <w:t>n</w:t>
      </w:r>
      <w:r>
        <w:t>,</w:t>
      </w:r>
      <w:r w:rsidRPr="00F72D56">
        <w:t xml:space="preserve"> </w:t>
      </w:r>
      <w:r>
        <w:t>dentro del respeto al orden público y a la</w:t>
      </w:r>
      <w:r w:rsidRPr="00F72D56">
        <w:t xml:space="preserve"> moral</w:t>
      </w:r>
      <w:r>
        <w:t>, de conformidad con el a</w:t>
      </w:r>
      <w:r w:rsidRPr="00F72D56">
        <w:t>rt</w:t>
      </w:r>
      <w:r>
        <w:t>í</w:t>
      </w:r>
      <w:r w:rsidRPr="00F72D56">
        <w:t>c</w:t>
      </w:r>
      <w:r>
        <w:t>u</w:t>
      </w:r>
      <w:r w:rsidRPr="00F72D56">
        <w:t>l</w:t>
      </w:r>
      <w:r>
        <w:t>o</w:t>
      </w:r>
      <w:r w:rsidRPr="00F72D56">
        <w:t xml:space="preserve"> 44 </w:t>
      </w:r>
      <w:r>
        <w:t>de la</w:t>
      </w:r>
      <w:r w:rsidRPr="00F72D56">
        <w:t xml:space="preserve"> Constitu</w:t>
      </w:r>
      <w:r>
        <w:t>c</w:t>
      </w:r>
      <w:r w:rsidRPr="00F72D56">
        <w:t>i</w:t>
      </w:r>
      <w:r>
        <w:t>ó</w:t>
      </w:r>
      <w:r w:rsidRPr="00F72D56">
        <w:t>n</w:t>
      </w:r>
      <w:r>
        <w:t xml:space="preserve"> irlandesa</w:t>
      </w:r>
      <w:r w:rsidRPr="00F72D56">
        <w:t xml:space="preserve">. </w:t>
      </w:r>
    </w:p>
    <w:p w:rsidR="000100D5" w:rsidRPr="00923BC8" w:rsidRDefault="000100D5" w:rsidP="000100D5">
      <w:pPr>
        <w:pStyle w:val="SingleTxtG"/>
      </w:pPr>
      <w:r w:rsidRPr="00923BC8">
        <w:t>292.</w:t>
      </w:r>
      <w:r w:rsidRPr="00923BC8">
        <w:tab/>
        <w:t>La discriminación por motivos religiosos está</w:t>
      </w:r>
      <w:r>
        <w:t xml:space="preserve"> prohibida</w:t>
      </w:r>
      <w:r w:rsidRPr="00923BC8">
        <w:t>, en general, en la esfera del</w:t>
      </w:r>
      <w:r w:rsidR="005007D6">
        <w:t xml:space="preserve"> </w:t>
      </w:r>
      <w:r w:rsidRPr="00923BC8">
        <w:t>empleo, incluido el acceso al empleo, por las Leyes de igualdad en el empleo</w:t>
      </w:r>
      <w:r>
        <w:t>, de</w:t>
      </w:r>
      <w:r w:rsidRPr="00923BC8">
        <w:t xml:space="preserve"> 1998 </w:t>
      </w:r>
      <w:r>
        <w:t>a</w:t>
      </w:r>
      <w:r w:rsidR="00D470F9">
        <w:t> </w:t>
      </w:r>
      <w:r w:rsidRPr="00923BC8">
        <w:t>2008</w:t>
      </w:r>
      <w:r>
        <w:t>, y en el suministro de bienes, instalaciones y</w:t>
      </w:r>
      <w:r w:rsidRPr="00923BC8">
        <w:t xml:space="preserve"> servic</w:t>
      </w:r>
      <w:r>
        <w:t>io</w:t>
      </w:r>
      <w:r w:rsidRPr="00923BC8">
        <w:t xml:space="preserve">s </w:t>
      </w:r>
      <w:r>
        <w:t>por las Leyes sobre la</w:t>
      </w:r>
      <w:r w:rsidR="005007D6">
        <w:t xml:space="preserve"> </w:t>
      </w:r>
      <w:r>
        <w:t>igualdad de condición, de</w:t>
      </w:r>
      <w:r w:rsidRPr="00923BC8">
        <w:t xml:space="preserve"> 2000 </w:t>
      </w:r>
      <w:r>
        <w:t>a</w:t>
      </w:r>
      <w:r w:rsidRPr="00923BC8">
        <w:t xml:space="preserve"> 2008. Esa prohibición se aplica igualmente a las personas que no tienen creencias religiosas y a las personas </w:t>
      </w:r>
      <w:r>
        <w:t>de</w:t>
      </w:r>
      <w:r w:rsidRPr="00923BC8">
        <w:t xml:space="preserve"> diferent</w:t>
      </w:r>
      <w:r>
        <w:t>es creencias</w:t>
      </w:r>
      <w:r w:rsidRPr="00923BC8">
        <w:t xml:space="preserve"> religios</w:t>
      </w:r>
      <w:r>
        <w:t>as</w:t>
      </w:r>
      <w:r w:rsidRPr="00923BC8">
        <w:t xml:space="preserve">. </w:t>
      </w:r>
    </w:p>
    <w:p w:rsidR="000100D5" w:rsidRPr="0047042C" w:rsidRDefault="000100D5" w:rsidP="000100D5">
      <w:pPr>
        <w:pStyle w:val="SingleTxtG"/>
      </w:pPr>
      <w:r w:rsidRPr="0047042C">
        <w:t>293.</w:t>
      </w:r>
      <w:r w:rsidRPr="0047042C">
        <w:tab/>
        <w:t xml:space="preserve">La Constitución </w:t>
      </w:r>
      <w:r>
        <w:t>prote</w:t>
      </w:r>
      <w:r w:rsidRPr="0047042C">
        <w:t>g</w:t>
      </w:r>
      <w:r>
        <w:t>e</w:t>
      </w:r>
      <w:r w:rsidRPr="0047042C">
        <w:t xml:space="preserve"> la libertad de expresión (artícul</w:t>
      </w:r>
      <w:r>
        <w:t>o</w:t>
      </w:r>
      <w:r w:rsidRPr="0047042C">
        <w:t xml:space="preserve"> 40.6.1)</w:t>
      </w:r>
      <w:r>
        <w:t>; sírvanse consultar al respecto el párrafo</w:t>
      </w:r>
      <w:r w:rsidRPr="0047042C">
        <w:t xml:space="preserve"> 289 </w:t>
      </w:r>
      <w:r>
        <w:t>del informe inicial y el</w:t>
      </w:r>
      <w:r w:rsidRPr="0047042C">
        <w:t xml:space="preserve"> </w:t>
      </w:r>
      <w:r>
        <w:t>s</w:t>
      </w:r>
      <w:r w:rsidRPr="0047042C">
        <w:t>e</w:t>
      </w:r>
      <w:r>
        <w:t>gu</w:t>
      </w:r>
      <w:r w:rsidRPr="0047042C">
        <w:t>nd</w:t>
      </w:r>
      <w:r>
        <w:t>o informe periódico de Irlanda</w:t>
      </w:r>
      <w:r w:rsidRPr="0047042C">
        <w:t>.</w:t>
      </w:r>
    </w:p>
    <w:p w:rsidR="000100D5" w:rsidRPr="0047042C" w:rsidRDefault="000100D5" w:rsidP="000100D5">
      <w:pPr>
        <w:pStyle w:val="SingleTxtG"/>
      </w:pPr>
      <w:r w:rsidRPr="0047042C">
        <w:t>294.</w:t>
      </w:r>
      <w:r w:rsidRPr="0047042C">
        <w:tab/>
        <w:t>La política del Gobierno irlandés reside en hacer frente en el mayor grado posible a las necesidades de efectivos laborales y de t</w:t>
      </w:r>
      <w:r>
        <w:t>écnicas con personal del Espacio Económico</w:t>
      </w:r>
      <w:r w:rsidRPr="0047042C">
        <w:t xml:space="preserve"> Europe</w:t>
      </w:r>
      <w:r>
        <w:t>o</w:t>
      </w:r>
      <w:r w:rsidRPr="0047042C">
        <w:t xml:space="preserve"> (EE</w:t>
      </w:r>
      <w:r>
        <w:t>E</w:t>
      </w:r>
      <w:r w:rsidRPr="0047042C">
        <w:t xml:space="preserve">) </w:t>
      </w:r>
      <w:r>
        <w:t>y en conceder permisos de trabajo a nacionales de fuera del EEE sólo cuando la oferta sea escasa</w:t>
      </w:r>
      <w:r w:rsidRPr="0047042C">
        <w:t xml:space="preserve">. </w:t>
      </w:r>
    </w:p>
    <w:p w:rsidR="000100D5" w:rsidRPr="00444AA9" w:rsidRDefault="000100D5" w:rsidP="000100D5">
      <w:pPr>
        <w:pStyle w:val="SingleTxtG"/>
      </w:pPr>
      <w:r w:rsidRPr="00694508">
        <w:t>295.</w:t>
      </w:r>
      <w:r w:rsidRPr="00694508">
        <w:tab/>
        <w:t xml:space="preserve">Un nacional de un país que no pertenezca al Espacio Económico Europeo, excepto en una serie de casos enumerados </w:t>
      </w:r>
      <w:r>
        <w:rPr>
          <w:i/>
        </w:rPr>
        <w:t>infra</w:t>
      </w:r>
      <w:r>
        <w:rPr>
          <w:rStyle w:val="FootnoteReference"/>
        </w:rPr>
        <w:footnoteReference w:id="74"/>
      </w:r>
      <w:r w:rsidR="001F5C61" w:rsidRPr="001F5C61">
        <w:t>,</w:t>
      </w:r>
      <w:r w:rsidRPr="00694508">
        <w:t xml:space="preserve"> requi</w:t>
      </w:r>
      <w:r>
        <w:t>e</w:t>
      </w:r>
      <w:r w:rsidRPr="00694508">
        <w:t xml:space="preserve">re </w:t>
      </w:r>
      <w:r>
        <w:t>u</w:t>
      </w:r>
      <w:r w:rsidRPr="00694508">
        <w:t>n permi</w:t>
      </w:r>
      <w:r>
        <w:t>so</w:t>
      </w:r>
      <w:r w:rsidRPr="00694508">
        <w:t xml:space="preserve"> </w:t>
      </w:r>
      <w:r>
        <w:t>de trabajo para poder acceder a un</w:t>
      </w:r>
      <w:r w:rsidRPr="00694508">
        <w:t xml:space="preserve"> empl</w:t>
      </w:r>
      <w:r>
        <w:t>e</w:t>
      </w:r>
      <w:r w:rsidRPr="00694508">
        <w:t xml:space="preserve">o </w:t>
      </w:r>
      <w:r>
        <w:t>e</w:t>
      </w:r>
      <w:r w:rsidRPr="00694508">
        <w:t>n Irland</w:t>
      </w:r>
      <w:r>
        <w:t>a</w:t>
      </w:r>
      <w:r w:rsidRPr="00694508">
        <w:t xml:space="preserve"> (</w:t>
      </w:r>
      <w:r>
        <w:t>el Espacio Económico</w:t>
      </w:r>
      <w:r w:rsidRPr="00694508">
        <w:t xml:space="preserve"> Europe</w:t>
      </w:r>
      <w:r>
        <w:t>o</w:t>
      </w:r>
      <w:r w:rsidRPr="00694508">
        <w:t xml:space="preserve"> compr</w:t>
      </w:r>
      <w:r>
        <w:t>ende los Estados</w:t>
      </w:r>
      <w:r w:rsidRPr="00694508">
        <w:t xml:space="preserve"> </w:t>
      </w:r>
      <w:r>
        <w:t>mi</w:t>
      </w:r>
      <w:r w:rsidRPr="00694508">
        <w:t>embr</w:t>
      </w:r>
      <w:r>
        <w:t>os de la Unión</w:t>
      </w:r>
      <w:r w:rsidRPr="00694508">
        <w:t xml:space="preserve"> Europea</w:t>
      </w:r>
      <w:r>
        <w:t>,</w:t>
      </w:r>
      <w:r w:rsidRPr="00694508">
        <w:t xml:space="preserve"> </w:t>
      </w:r>
      <w:r>
        <w:t>además de</w:t>
      </w:r>
      <w:r w:rsidRPr="00694508">
        <w:t xml:space="preserve"> I</w:t>
      </w:r>
      <w:r>
        <w:t>s</w:t>
      </w:r>
      <w:r w:rsidRPr="00694508">
        <w:t>land</w:t>
      </w:r>
      <w:r>
        <w:t>ia</w:t>
      </w:r>
      <w:r w:rsidRPr="00694508">
        <w:t>, Nor</w:t>
      </w:r>
      <w:r>
        <w:t>uega y</w:t>
      </w:r>
      <w:r w:rsidRPr="00694508">
        <w:t xml:space="preserve"> Liechtenstein). </w:t>
      </w:r>
      <w:r>
        <w:t>Es preciso señalar que, en virtud de las Leyes de permisos de trabajo de</w:t>
      </w:r>
      <w:r w:rsidRPr="00444AA9">
        <w:t xml:space="preserve"> 2003 y 2006, </w:t>
      </w:r>
      <w:r>
        <w:t>cometen delito tanto el</w:t>
      </w:r>
      <w:r w:rsidRPr="00444AA9">
        <w:t xml:space="preserve"> empl</w:t>
      </w:r>
      <w:r>
        <w:t>eado</w:t>
      </w:r>
      <w:r w:rsidRPr="00444AA9">
        <w:t xml:space="preserve">r </w:t>
      </w:r>
      <w:r>
        <w:t>como el</w:t>
      </w:r>
      <w:r w:rsidRPr="00444AA9">
        <w:t xml:space="preserve"> empl</w:t>
      </w:r>
      <w:r>
        <w:t>eado</w:t>
      </w:r>
      <w:r w:rsidRPr="00444AA9">
        <w:t xml:space="preserve"> </w:t>
      </w:r>
      <w:r>
        <w:t>si un nacional de un país que no pertenece al EEE</w:t>
      </w:r>
      <w:r w:rsidRPr="00444AA9">
        <w:t xml:space="preserve"> </w:t>
      </w:r>
      <w:r>
        <w:t>realiza un trabajo sin el correspondiente permiso</w:t>
      </w:r>
      <w:r w:rsidRPr="00444AA9">
        <w:t xml:space="preserve">. </w:t>
      </w:r>
    </w:p>
    <w:p w:rsidR="000100D5" w:rsidRPr="009D5D81" w:rsidRDefault="000100D5" w:rsidP="000100D5">
      <w:pPr>
        <w:pStyle w:val="SingleTxtG"/>
      </w:pPr>
      <w:r w:rsidRPr="009D5D81">
        <w:t>296.</w:t>
      </w:r>
      <w:r w:rsidRPr="009D5D81">
        <w:tab/>
        <w:t>Los titulares de un permiso de trabajo s</w:t>
      </w:r>
      <w:r>
        <w:t>ó</w:t>
      </w:r>
      <w:r w:rsidRPr="009D5D81">
        <w:t>lo pueden trabajar para el empleador y en la ocupación que</w:t>
      </w:r>
      <w:r>
        <w:t xml:space="preserve"> </w:t>
      </w:r>
      <w:r w:rsidRPr="009D5D81">
        <w:t>figuran</w:t>
      </w:r>
      <w:r>
        <w:t xml:space="preserve"> e</w:t>
      </w:r>
      <w:r w:rsidRPr="009D5D81">
        <w:t>n e</w:t>
      </w:r>
      <w:r>
        <w:t>l</w:t>
      </w:r>
      <w:r w:rsidRPr="009D5D81">
        <w:t xml:space="preserve"> permi</w:t>
      </w:r>
      <w:r>
        <w:t>so</w:t>
      </w:r>
      <w:r w:rsidRPr="009D5D81">
        <w:t>. Si el titular de un permiso de trabajo d</w:t>
      </w:r>
      <w:r>
        <w:t>e</w:t>
      </w:r>
      <w:r w:rsidRPr="009D5D81">
        <w:t>j</w:t>
      </w:r>
      <w:r>
        <w:t>a</w:t>
      </w:r>
      <w:r w:rsidRPr="009D5D81">
        <w:t>, por algún motivo, de trabajar para el empleador mencionado en el permi</w:t>
      </w:r>
      <w:r>
        <w:t>so</w:t>
      </w:r>
      <w:r w:rsidRPr="009D5D81">
        <w:t xml:space="preserve"> dur</w:t>
      </w:r>
      <w:r>
        <w:t>a</w:t>
      </w:r>
      <w:r w:rsidRPr="009D5D81">
        <w:t>n</w:t>
      </w:r>
      <w:r>
        <w:t>te el</w:t>
      </w:r>
      <w:r w:rsidRPr="009D5D81">
        <w:t xml:space="preserve"> per</w:t>
      </w:r>
      <w:r>
        <w:t>í</w:t>
      </w:r>
      <w:r w:rsidRPr="009D5D81">
        <w:t>od</w:t>
      </w:r>
      <w:r>
        <w:t>o de validez de ese documento</w:t>
      </w:r>
      <w:r w:rsidRPr="009D5D81">
        <w:t xml:space="preserve">, </w:t>
      </w:r>
      <w:r>
        <w:t>el permiso</w:t>
      </w:r>
      <w:r w:rsidRPr="009D5D81">
        <w:t xml:space="preserve"> original </w:t>
      </w:r>
      <w:r>
        <w:t>y la copia</w:t>
      </w:r>
      <w:r w:rsidRPr="009D5D81">
        <w:t xml:space="preserve"> certifi</w:t>
      </w:r>
      <w:r>
        <w:t>ca</w:t>
      </w:r>
      <w:r w:rsidRPr="009D5D81">
        <w:t>d</w:t>
      </w:r>
      <w:r>
        <w:t>a</w:t>
      </w:r>
      <w:r w:rsidRPr="009D5D81">
        <w:t xml:space="preserve"> </w:t>
      </w:r>
      <w:r>
        <w:t>deben ser devueltos in</w:t>
      </w:r>
      <w:r w:rsidRPr="009D5D81">
        <w:t>mediat</w:t>
      </w:r>
      <w:r>
        <w:t>amente al</w:t>
      </w:r>
      <w:r w:rsidRPr="009D5D81">
        <w:t xml:space="preserve"> Depart</w:t>
      </w:r>
      <w:r>
        <w:t>a</w:t>
      </w:r>
      <w:r w:rsidRPr="009D5D81">
        <w:t>ment</w:t>
      </w:r>
      <w:r>
        <w:t>o de</w:t>
      </w:r>
      <w:r w:rsidRPr="009D5D81">
        <w:t xml:space="preserve"> E</w:t>
      </w:r>
      <w:r>
        <w:t>m</w:t>
      </w:r>
      <w:r w:rsidRPr="009D5D81">
        <w:t>pr</w:t>
      </w:r>
      <w:r>
        <w:t>e</w:t>
      </w:r>
      <w:r w:rsidRPr="009D5D81">
        <w:t>s</w:t>
      </w:r>
      <w:r>
        <w:t>as</w:t>
      </w:r>
      <w:r w:rsidRPr="009D5D81">
        <w:t xml:space="preserve">, </w:t>
      </w:r>
      <w:r>
        <w:t xml:space="preserve">Comercio y </w:t>
      </w:r>
      <w:r w:rsidRPr="009D5D81">
        <w:t>Empl</w:t>
      </w:r>
      <w:r>
        <w:t>e</w:t>
      </w:r>
      <w:r w:rsidRPr="009D5D81">
        <w:t xml:space="preserve">o. </w:t>
      </w:r>
    </w:p>
    <w:p w:rsidR="000100D5" w:rsidRPr="00812A31" w:rsidRDefault="000100D5" w:rsidP="000100D5">
      <w:pPr>
        <w:pStyle w:val="SingleTxtG"/>
      </w:pPr>
      <w:r w:rsidRPr="00812A31">
        <w:t>297.</w:t>
      </w:r>
      <w:r w:rsidRPr="00812A31">
        <w:tab/>
        <w:t xml:space="preserve">El 17 de diciembre de 2008, el Gobierno anunció su </w:t>
      </w:r>
      <w:r>
        <w:t>decisió</w:t>
      </w:r>
      <w:r w:rsidRPr="00812A31">
        <w:t xml:space="preserve">n de seguir restringiendo, a partir del 1º </w:t>
      </w:r>
      <w:r>
        <w:t>de enero de</w:t>
      </w:r>
      <w:r w:rsidRPr="00812A31">
        <w:t xml:space="preserve"> 2009, </w:t>
      </w:r>
      <w:r>
        <w:t>el</w:t>
      </w:r>
      <w:r w:rsidRPr="00812A31">
        <w:t xml:space="preserve"> acces</w:t>
      </w:r>
      <w:r>
        <w:t>o</w:t>
      </w:r>
      <w:r w:rsidRPr="00812A31">
        <w:t xml:space="preserve"> </w:t>
      </w:r>
      <w:r>
        <w:t>al mercado de trabajo irlandés a los</w:t>
      </w:r>
      <w:r w:rsidRPr="00812A31">
        <w:t xml:space="preserve"> na</w:t>
      </w:r>
      <w:r>
        <w:t>c</w:t>
      </w:r>
      <w:r w:rsidRPr="00812A31">
        <w:t>ional</w:t>
      </w:r>
      <w:r>
        <w:t>e</w:t>
      </w:r>
      <w:r w:rsidRPr="00812A31">
        <w:t xml:space="preserve">s </w:t>
      </w:r>
      <w:r>
        <w:t>de</w:t>
      </w:r>
      <w:r w:rsidRPr="00812A31">
        <w:t xml:space="preserve"> Bulgaria </w:t>
      </w:r>
      <w:r>
        <w:t>y</w:t>
      </w:r>
      <w:r w:rsidRPr="00812A31">
        <w:t xml:space="preserve"> R</w:t>
      </w:r>
      <w:r>
        <w:t>u</w:t>
      </w:r>
      <w:r w:rsidRPr="00812A31">
        <w:t xml:space="preserve">mania. </w:t>
      </w:r>
    </w:p>
    <w:p w:rsidR="000100D5" w:rsidRPr="00812A31" w:rsidRDefault="000100D5" w:rsidP="000100D5">
      <w:pPr>
        <w:pStyle w:val="SingleTxtG"/>
      </w:pPr>
      <w:r w:rsidRPr="00812A31">
        <w:t>298.</w:t>
      </w:r>
      <w:r w:rsidRPr="00812A31">
        <w:tab/>
        <w:t xml:space="preserve">En el siguiente cuadro figura un desglose del número de nuevos permisos de trabajo, renovaciones y permisos de grupo concedidos en Irlanda entre 2004 y 2008. </w:t>
      </w:r>
    </w:p>
    <w:p w:rsidR="000100D5" w:rsidRPr="00812A31" w:rsidRDefault="000100D5" w:rsidP="000100D5">
      <w:pPr>
        <w:pStyle w:val="Heading1"/>
      </w:pPr>
      <w:r w:rsidRPr="00812A31">
        <w:t>Cuadro 9</w:t>
      </w:r>
    </w:p>
    <w:p w:rsidR="000100D5" w:rsidRPr="00812A31" w:rsidRDefault="000100D5" w:rsidP="00237030">
      <w:pPr>
        <w:pStyle w:val="SingleTxtG"/>
        <w:jc w:val="left"/>
        <w:rPr>
          <w:b/>
        </w:rPr>
      </w:pPr>
      <w:r w:rsidRPr="00812A31">
        <w:rPr>
          <w:b/>
        </w:rPr>
        <w:t>Permisos de trabajo expedidos por sector</w:t>
      </w:r>
    </w:p>
    <w:tbl>
      <w:tblPr>
        <w:tblStyle w:val="TableGrid"/>
        <w:tblW w:w="736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74"/>
        <w:gridCol w:w="1039"/>
        <w:gridCol w:w="1039"/>
        <w:gridCol w:w="1039"/>
        <w:gridCol w:w="1039"/>
        <w:gridCol w:w="1039"/>
      </w:tblGrid>
      <w:tr w:rsidR="000100D5" w:rsidRPr="00A96F24">
        <w:tc>
          <w:tcPr>
            <w:tcW w:w="2174" w:type="dxa"/>
            <w:tcBorders>
              <w:top w:val="single" w:sz="4" w:space="0" w:color="auto"/>
              <w:bottom w:val="single" w:sz="12" w:space="0" w:color="auto"/>
            </w:tcBorders>
            <w:shd w:val="clear" w:color="auto" w:fill="auto"/>
            <w:vAlign w:val="bottom"/>
          </w:tcPr>
          <w:p w:rsidR="000100D5" w:rsidRPr="00A96F24" w:rsidRDefault="000100D5" w:rsidP="000100D5">
            <w:pPr>
              <w:spacing w:before="80" w:after="80" w:line="200" w:lineRule="exact"/>
              <w:ind w:right="113"/>
              <w:rPr>
                <w:i/>
                <w:sz w:val="16"/>
                <w:lang w:val="en-IE"/>
              </w:rPr>
            </w:pPr>
            <w:r>
              <w:rPr>
                <w:i/>
                <w:sz w:val="16"/>
                <w:lang w:val="en-IE"/>
              </w:rPr>
              <w:t>Sector</w:t>
            </w:r>
          </w:p>
        </w:tc>
        <w:tc>
          <w:tcPr>
            <w:tcW w:w="1039" w:type="dxa"/>
            <w:tcBorders>
              <w:top w:val="single" w:sz="4" w:space="0" w:color="auto"/>
              <w:bottom w:val="single" w:sz="12" w:space="0" w:color="auto"/>
            </w:tcBorders>
            <w:shd w:val="clear" w:color="auto" w:fill="auto"/>
            <w:vAlign w:val="bottom"/>
          </w:tcPr>
          <w:p w:rsidR="000100D5" w:rsidRPr="00A96F24" w:rsidRDefault="000100D5" w:rsidP="000100D5">
            <w:pPr>
              <w:spacing w:before="80" w:after="80" w:line="200" w:lineRule="exact"/>
              <w:ind w:right="113"/>
              <w:jc w:val="right"/>
              <w:rPr>
                <w:i/>
                <w:sz w:val="16"/>
                <w:lang w:val="en-IE"/>
              </w:rPr>
            </w:pPr>
            <w:r>
              <w:rPr>
                <w:i/>
                <w:sz w:val="16"/>
                <w:lang w:val="en-IE"/>
              </w:rPr>
              <w:t>2004</w:t>
            </w:r>
          </w:p>
        </w:tc>
        <w:tc>
          <w:tcPr>
            <w:tcW w:w="1039" w:type="dxa"/>
            <w:tcBorders>
              <w:top w:val="single" w:sz="4" w:space="0" w:color="auto"/>
              <w:bottom w:val="single" w:sz="12" w:space="0" w:color="auto"/>
            </w:tcBorders>
            <w:shd w:val="clear" w:color="auto" w:fill="auto"/>
            <w:vAlign w:val="bottom"/>
          </w:tcPr>
          <w:p w:rsidR="000100D5" w:rsidRPr="00A96F24" w:rsidRDefault="000100D5" w:rsidP="000100D5">
            <w:pPr>
              <w:spacing w:before="80" w:after="80" w:line="200" w:lineRule="exact"/>
              <w:ind w:right="113"/>
              <w:jc w:val="right"/>
              <w:rPr>
                <w:i/>
                <w:sz w:val="16"/>
                <w:lang w:val="en-IE"/>
              </w:rPr>
            </w:pPr>
            <w:r>
              <w:rPr>
                <w:i/>
                <w:sz w:val="16"/>
                <w:lang w:val="en-IE"/>
              </w:rPr>
              <w:t>2005</w:t>
            </w:r>
          </w:p>
        </w:tc>
        <w:tc>
          <w:tcPr>
            <w:tcW w:w="1039" w:type="dxa"/>
            <w:tcBorders>
              <w:top w:val="single" w:sz="4" w:space="0" w:color="auto"/>
              <w:bottom w:val="single" w:sz="12" w:space="0" w:color="auto"/>
            </w:tcBorders>
            <w:shd w:val="clear" w:color="auto" w:fill="auto"/>
            <w:vAlign w:val="bottom"/>
          </w:tcPr>
          <w:p w:rsidR="000100D5" w:rsidRPr="00A96F24" w:rsidRDefault="000100D5" w:rsidP="000100D5">
            <w:pPr>
              <w:spacing w:before="80" w:after="80" w:line="200" w:lineRule="exact"/>
              <w:ind w:right="113"/>
              <w:jc w:val="right"/>
              <w:rPr>
                <w:i/>
                <w:sz w:val="16"/>
                <w:lang w:val="en-IE"/>
              </w:rPr>
            </w:pPr>
            <w:r>
              <w:rPr>
                <w:i/>
                <w:sz w:val="16"/>
                <w:lang w:val="en-IE"/>
              </w:rPr>
              <w:t>2006</w:t>
            </w:r>
          </w:p>
        </w:tc>
        <w:tc>
          <w:tcPr>
            <w:tcW w:w="1039" w:type="dxa"/>
            <w:tcBorders>
              <w:top w:val="single" w:sz="4" w:space="0" w:color="auto"/>
              <w:bottom w:val="single" w:sz="12" w:space="0" w:color="auto"/>
            </w:tcBorders>
            <w:shd w:val="clear" w:color="auto" w:fill="auto"/>
            <w:vAlign w:val="bottom"/>
          </w:tcPr>
          <w:p w:rsidR="000100D5" w:rsidRPr="00A96F24" w:rsidRDefault="000100D5" w:rsidP="000100D5">
            <w:pPr>
              <w:spacing w:before="80" w:after="80" w:line="200" w:lineRule="exact"/>
              <w:ind w:right="113"/>
              <w:jc w:val="right"/>
              <w:rPr>
                <w:i/>
                <w:sz w:val="16"/>
                <w:lang w:val="en-IE"/>
              </w:rPr>
            </w:pPr>
            <w:r>
              <w:rPr>
                <w:i/>
                <w:sz w:val="16"/>
                <w:lang w:val="en-IE"/>
              </w:rPr>
              <w:t>2007</w:t>
            </w:r>
          </w:p>
        </w:tc>
        <w:tc>
          <w:tcPr>
            <w:tcW w:w="1039" w:type="dxa"/>
            <w:tcBorders>
              <w:top w:val="single" w:sz="4" w:space="0" w:color="auto"/>
              <w:bottom w:val="single" w:sz="12" w:space="0" w:color="auto"/>
            </w:tcBorders>
            <w:shd w:val="clear" w:color="auto" w:fill="auto"/>
            <w:vAlign w:val="bottom"/>
          </w:tcPr>
          <w:p w:rsidR="000100D5" w:rsidRPr="00A96F24" w:rsidRDefault="000100D5" w:rsidP="000100D5">
            <w:pPr>
              <w:spacing w:before="80" w:after="80" w:line="200" w:lineRule="exact"/>
              <w:ind w:right="113"/>
              <w:jc w:val="right"/>
              <w:rPr>
                <w:i/>
                <w:sz w:val="16"/>
                <w:lang w:val="en-IE"/>
              </w:rPr>
            </w:pPr>
            <w:r>
              <w:rPr>
                <w:i/>
                <w:sz w:val="16"/>
                <w:lang w:val="en-IE"/>
              </w:rPr>
              <w:t>2008</w:t>
            </w:r>
          </w:p>
        </w:tc>
      </w:tr>
      <w:tr w:rsidR="000100D5" w:rsidRPr="00A96F24">
        <w:tc>
          <w:tcPr>
            <w:tcW w:w="2174" w:type="dxa"/>
            <w:tcBorders>
              <w:top w:val="single" w:sz="12" w:space="0" w:color="auto"/>
            </w:tcBorders>
            <w:shd w:val="clear" w:color="auto" w:fill="auto"/>
            <w:vAlign w:val="bottom"/>
          </w:tcPr>
          <w:p w:rsidR="000100D5" w:rsidRPr="00A96F24" w:rsidRDefault="000100D5" w:rsidP="000100D5">
            <w:pPr>
              <w:suppressAutoHyphens w:val="0"/>
              <w:spacing w:before="40" w:after="40" w:line="220" w:lineRule="exact"/>
              <w:ind w:right="113"/>
              <w:rPr>
                <w:sz w:val="18"/>
                <w:lang w:val="en-IE"/>
              </w:rPr>
            </w:pPr>
            <w:r>
              <w:rPr>
                <w:sz w:val="18"/>
                <w:lang w:val="en-IE"/>
              </w:rPr>
              <w:t>Industrias de servicios</w:t>
            </w:r>
          </w:p>
        </w:tc>
        <w:tc>
          <w:tcPr>
            <w:tcW w:w="1039" w:type="dxa"/>
            <w:tcBorders>
              <w:top w:val="single" w:sz="12"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14 775</w:t>
            </w:r>
          </w:p>
        </w:tc>
        <w:tc>
          <w:tcPr>
            <w:tcW w:w="1039" w:type="dxa"/>
            <w:tcBorders>
              <w:top w:val="single" w:sz="12"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11 250</w:t>
            </w:r>
          </w:p>
        </w:tc>
        <w:tc>
          <w:tcPr>
            <w:tcW w:w="1039" w:type="dxa"/>
            <w:tcBorders>
              <w:top w:val="single" w:sz="12"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9 750</w:t>
            </w:r>
          </w:p>
        </w:tc>
        <w:tc>
          <w:tcPr>
            <w:tcW w:w="1039" w:type="dxa"/>
            <w:tcBorders>
              <w:top w:val="single" w:sz="12"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9 251</w:t>
            </w:r>
          </w:p>
        </w:tc>
        <w:tc>
          <w:tcPr>
            <w:tcW w:w="1039" w:type="dxa"/>
            <w:tcBorders>
              <w:top w:val="single" w:sz="12"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5 440</w:t>
            </w:r>
          </w:p>
        </w:tc>
      </w:tr>
      <w:tr w:rsidR="000100D5" w:rsidRPr="00A96F24">
        <w:tc>
          <w:tcPr>
            <w:tcW w:w="2174" w:type="dxa"/>
            <w:shd w:val="clear" w:color="auto" w:fill="auto"/>
            <w:vAlign w:val="bottom"/>
          </w:tcPr>
          <w:p w:rsidR="000100D5" w:rsidRPr="00A96F24" w:rsidRDefault="000100D5" w:rsidP="000100D5">
            <w:pPr>
              <w:suppressAutoHyphens w:val="0"/>
              <w:spacing w:before="40" w:after="40" w:line="220" w:lineRule="exact"/>
              <w:ind w:right="113"/>
              <w:rPr>
                <w:sz w:val="18"/>
                <w:lang w:val="en-IE"/>
              </w:rPr>
            </w:pPr>
            <w:r>
              <w:rPr>
                <w:sz w:val="18"/>
                <w:lang w:val="en-IE"/>
              </w:rPr>
              <w:t>Servicios de comidas</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8 394</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7 304</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5 808</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4 684</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2 137</w:t>
            </w:r>
          </w:p>
        </w:tc>
      </w:tr>
      <w:tr w:rsidR="000100D5" w:rsidRPr="00A96F24">
        <w:tc>
          <w:tcPr>
            <w:tcW w:w="2174" w:type="dxa"/>
            <w:shd w:val="clear" w:color="auto" w:fill="auto"/>
            <w:vAlign w:val="bottom"/>
          </w:tcPr>
          <w:p w:rsidR="000100D5" w:rsidRPr="00A96F24" w:rsidRDefault="000100D5" w:rsidP="000100D5">
            <w:pPr>
              <w:suppressAutoHyphens w:val="0"/>
              <w:spacing w:before="40" w:after="40" w:line="220" w:lineRule="exact"/>
              <w:ind w:right="113"/>
              <w:rPr>
                <w:sz w:val="18"/>
                <w:lang w:val="en-IE"/>
              </w:rPr>
            </w:pPr>
            <w:r>
              <w:rPr>
                <w:sz w:val="18"/>
                <w:lang w:val="en-IE"/>
              </w:rPr>
              <w:t>Medicina y enfermería</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2 594</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2 727</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2 843</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4 235</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3 173</w:t>
            </w:r>
          </w:p>
        </w:tc>
      </w:tr>
      <w:tr w:rsidR="000100D5" w:rsidRPr="00A96F24">
        <w:tc>
          <w:tcPr>
            <w:tcW w:w="2174" w:type="dxa"/>
            <w:shd w:val="clear" w:color="auto" w:fill="auto"/>
            <w:vAlign w:val="bottom"/>
          </w:tcPr>
          <w:p w:rsidR="000100D5" w:rsidRPr="00A96F24" w:rsidRDefault="000100D5" w:rsidP="000100D5">
            <w:pPr>
              <w:suppressAutoHyphens w:val="0"/>
              <w:spacing w:before="40" w:after="40" w:line="220" w:lineRule="exact"/>
              <w:ind w:right="113"/>
              <w:rPr>
                <w:sz w:val="18"/>
                <w:lang w:val="en-IE"/>
              </w:rPr>
            </w:pPr>
            <w:r>
              <w:rPr>
                <w:sz w:val="18"/>
                <w:lang w:val="en-IE"/>
              </w:rPr>
              <w:t>Agricultura</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3 737</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2 207</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1 947</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1 414</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616</w:t>
            </w:r>
          </w:p>
        </w:tc>
      </w:tr>
      <w:tr w:rsidR="000100D5" w:rsidRPr="00A96F24">
        <w:tc>
          <w:tcPr>
            <w:tcW w:w="2174" w:type="dxa"/>
            <w:shd w:val="clear" w:color="auto" w:fill="auto"/>
            <w:vAlign w:val="bottom"/>
          </w:tcPr>
          <w:p w:rsidR="000100D5" w:rsidRPr="00A96F24" w:rsidRDefault="000100D5" w:rsidP="000100D5">
            <w:pPr>
              <w:suppressAutoHyphens w:val="0"/>
              <w:spacing w:before="40" w:after="40" w:line="220" w:lineRule="exact"/>
              <w:ind w:right="113"/>
              <w:rPr>
                <w:sz w:val="18"/>
                <w:lang w:val="en-IE"/>
              </w:rPr>
            </w:pPr>
            <w:r>
              <w:rPr>
                <w:sz w:val="18"/>
                <w:lang w:val="en-IE"/>
              </w:rPr>
              <w:t>Industria</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2 189</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1 711</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1 673</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1 743</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1 378</w:t>
            </w:r>
          </w:p>
        </w:tc>
      </w:tr>
      <w:tr w:rsidR="000100D5" w:rsidRPr="00A96F24">
        <w:tc>
          <w:tcPr>
            <w:tcW w:w="2174" w:type="dxa"/>
            <w:shd w:val="clear" w:color="auto" w:fill="auto"/>
            <w:vAlign w:val="bottom"/>
          </w:tcPr>
          <w:p w:rsidR="000100D5" w:rsidRPr="00A96F24" w:rsidRDefault="000100D5" w:rsidP="000100D5">
            <w:pPr>
              <w:suppressAutoHyphens w:val="0"/>
              <w:spacing w:before="40" w:after="40" w:line="220" w:lineRule="exact"/>
              <w:ind w:right="113"/>
              <w:rPr>
                <w:sz w:val="18"/>
                <w:lang w:val="en-IE"/>
              </w:rPr>
            </w:pPr>
            <w:r>
              <w:rPr>
                <w:sz w:val="18"/>
                <w:lang w:val="en-IE"/>
              </w:rPr>
              <w:t>Espectáculos</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996</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968</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1 109</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118</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65</w:t>
            </w:r>
          </w:p>
        </w:tc>
      </w:tr>
      <w:tr w:rsidR="000100D5" w:rsidRPr="00A96F24">
        <w:tc>
          <w:tcPr>
            <w:tcW w:w="2174" w:type="dxa"/>
            <w:shd w:val="clear" w:color="auto" w:fill="auto"/>
            <w:vAlign w:val="bottom"/>
          </w:tcPr>
          <w:p w:rsidR="000100D5" w:rsidRPr="00A96F24" w:rsidRDefault="000100D5" w:rsidP="000100D5">
            <w:pPr>
              <w:suppressAutoHyphens w:val="0"/>
              <w:spacing w:before="40" w:after="40" w:line="220" w:lineRule="exact"/>
              <w:ind w:right="113"/>
              <w:rPr>
                <w:sz w:val="18"/>
                <w:lang w:val="en-IE"/>
              </w:rPr>
            </w:pPr>
            <w:r>
              <w:rPr>
                <w:sz w:val="18"/>
                <w:lang w:val="en-IE"/>
              </w:rPr>
              <w:t>Educación</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725</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747</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791</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883</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354</w:t>
            </w:r>
          </w:p>
        </w:tc>
      </w:tr>
      <w:tr w:rsidR="000100D5" w:rsidRPr="00A96F24">
        <w:tc>
          <w:tcPr>
            <w:tcW w:w="2174" w:type="dxa"/>
            <w:shd w:val="clear" w:color="auto" w:fill="auto"/>
            <w:vAlign w:val="bottom"/>
          </w:tcPr>
          <w:p w:rsidR="000100D5" w:rsidRPr="00A96F24" w:rsidRDefault="000100D5" w:rsidP="000100D5">
            <w:pPr>
              <w:suppressAutoHyphens w:val="0"/>
              <w:spacing w:before="40" w:after="40" w:line="220" w:lineRule="exact"/>
              <w:ind w:right="113"/>
              <w:rPr>
                <w:sz w:val="18"/>
                <w:lang w:val="en-IE"/>
              </w:rPr>
            </w:pPr>
            <w:r>
              <w:rPr>
                <w:sz w:val="18"/>
                <w:lang w:val="en-IE"/>
              </w:rPr>
              <w:t>Servicio doméstico</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787</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698</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626</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562</w:t>
            </w:r>
          </w:p>
        </w:tc>
        <w:tc>
          <w:tcPr>
            <w:tcW w:w="1039" w:type="dxa"/>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245</w:t>
            </w:r>
          </w:p>
        </w:tc>
      </w:tr>
      <w:tr w:rsidR="000100D5" w:rsidRPr="00A96F24">
        <w:tc>
          <w:tcPr>
            <w:tcW w:w="2174" w:type="dxa"/>
            <w:tcBorders>
              <w:bottom w:val="single" w:sz="4" w:space="0" w:color="auto"/>
            </w:tcBorders>
            <w:shd w:val="clear" w:color="auto" w:fill="auto"/>
            <w:vAlign w:val="bottom"/>
          </w:tcPr>
          <w:p w:rsidR="000100D5" w:rsidRPr="00A96F24" w:rsidRDefault="000100D5" w:rsidP="000100D5">
            <w:pPr>
              <w:suppressAutoHyphens w:val="0"/>
              <w:spacing w:before="40" w:after="40" w:line="220" w:lineRule="exact"/>
              <w:ind w:right="113"/>
              <w:rPr>
                <w:sz w:val="18"/>
                <w:lang w:val="en-IE"/>
              </w:rPr>
            </w:pPr>
            <w:r>
              <w:rPr>
                <w:sz w:val="18"/>
                <w:lang w:val="en-IE"/>
              </w:rPr>
              <w:t>Deportes</w:t>
            </w:r>
          </w:p>
        </w:tc>
        <w:tc>
          <w:tcPr>
            <w:tcW w:w="1039" w:type="dxa"/>
            <w:tcBorders>
              <w:bottom w:val="single" w:sz="4"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209</w:t>
            </w:r>
          </w:p>
        </w:tc>
        <w:tc>
          <w:tcPr>
            <w:tcW w:w="1039" w:type="dxa"/>
            <w:tcBorders>
              <w:bottom w:val="single" w:sz="4"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221</w:t>
            </w:r>
          </w:p>
        </w:tc>
        <w:tc>
          <w:tcPr>
            <w:tcW w:w="1039" w:type="dxa"/>
            <w:tcBorders>
              <w:bottom w:val="single" w:sz="4"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155</w:t>
            </w:r>
          </w:p>
        </w:tc>
        <w:tc>
          <w:tcPr>
            <w:tcW w:w="1039" w:type="dxa"/>
            <w:tcBorders>
              <w:bottom w:val="single" w:sz="4"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168</w:t>
            </w:r>
          </w:p>
        </w:tc>
        <w:tc>
          <w:tcPr>
            <w:tcW w:w="1039" w:type="dxa"/>
            <w:tcBorders>
              <w:bottom w:val="single" w:sz="4" w:space="0" w:color="auto"/>
            </w:tcBorders>
            <w:shd w:val="clear" w:color="auto" w:fill="auto"/>
            <w:vAlign w:val="bottom"/>
          </w:tcPr>
          <w:p w:rsidR="000100D5" w:rsidRPr="00A96F24" w:rsidRDefault="000100D5" w:rsidP="000100D5">
            <w:pPr>
              <w:suppressAutoHyphens w:val="0"/>
              <w:spacing w:before="40" w:after="40" w:line="220" w:lineRule="exact"/>
              <w:ind w:right="113"/>
              <w:jc w:val="right"/>
              <w:rPr>
                <w:sz w:val="18"/>
                <w:lang w:val="en-IE"/>
              </w:rPr>
            </w:pPr>
            <w:r>
              <w:rPr>
                <w:sz w:val="18"/>
                <w:lang w:val="en-IE"/>
              </w:rPr>
              <w:t>178</w:t>
            </w:r>
          </w:p>
        </w:tc>
      </w:tr>
      <w:tr w:rsidR="000100D5" w:rsidRPr="007262A9">
        <w:tc>
          <w:tcPr>
            <w:tcW w:w="2174" w:type="dxa"/>
            <w:tcBorders>
              <w:top w:val="single" w:sz="4" w:space="0" w:color="auto"/>
              <w:bottom w:val="single" w:sz="12" w:space="0" w:color="auto"/>
            </w:tcBorders>
            <w:shd w:val="clear" w:color="auto" w:fill="auto"/>
            <w:vAlign w:val="bottom"/>
          </w:tcPr>
          <w:p w:rsidR="000100D5" w:rsidRPr="007262A9" w:rsidRDefault="000100D5" w:rsidP="000100D5">
            <w:pPr>
              <w:suppressAutoHyphens w:val="0"/>
              <w:spacing w:before="80" w:after="80" w:line="220" w:lineRule="exact"/>
              <w:ind w:left="284"/>
              <w:rPr>
                <w:b/>
                <w:sz w:val="18"/>
                <w:lang w:val="en-IE"/>
              </w:rPr>
            </w:pPr>
            <w:r>
              <w:rPr>
                <w:b/>
                <w:sz w:val="18"/>
                <w:lang w:val="en-IE"/>
              </w:rPr>
              <w:t>T</w:t>
            </w:r>
            <w:r w:rsidRPr="007262A9">
              <w:rPr>
                <w:b/>
                <w:sz w:val="18"/>
                <w:lang w:val="en-IE"/>
              </w:rPr>
              <w:t>otal</w:t>
            </w:r>
            <w:r>
              <w:rPr>
                <w:b/>
                <w:sz w:val="18"/>
                <w:lang w:val="en-IE"/>
              </w:rPr>
              <w:t xml:space="preserve"> general</w:t>
            </w:r>
          </w:p>
        </w:tc>
        <w:tc>
          <w:tcPr>
            <w:tcW w:w="1039" w:type="dxa"/>
            <w:tcBorders>
              <w:top w:val="single" w:sz="4" w:space="0" w:color="auto"/>
              <w:bottom w:val="single" w:sz="12" w:space="0" w:color="auto"/>
            </w:tcBorders>
            <w:shd w:val="clear" w:color="auto" w:fill="auto"/>
            <w:vAlign w:val="bottom"/>
          </w:tcPr>
          <w:p w:rsidR="000100D5" w:rsidRPr="007262A9" w:rsidRDefault="000100D5" w:rsidP="000100D5">
            <w:pPr>
              <w:suppressAutoHyphens w:val="0"/>
              <w:spacing w:before="80" w:after="80" w:line="220" w:lineRule="exact"/>
              <w:ind w:right="113"/>
              <w:jc w:val="right"/>
              <w:rPr>
                <w:b/>
                <w:sz w:val="18"/>
                <w:lang w:val="en-IE"/>
              </w:rPr>
            </w:pPr>
            <w:r>
              <w:rPr>
                <w:b/>
                <w:sz w:val="18"/>
                <w:lang w:val="en-IE"/>
              </w:rPr>
              <w:t>34 406</w:t>
            </w:r>
          </w:p>
        </w:tc>
        <w:tc>
          <w:tcPr>
            <w:tcW w:w="1039" w:type="dxa"/>
            <w:tcBorders>
              <w:top w:val="single" w:sz="4" w:space="0" w:color="auto"/>
              <w:bottom w:val="single" w:sz="12" w:space="0" w:color="auto"/>
            </w:tcBorders>
            <w:shd w:val="clear" w:color="auto" w:fill="auto"/>
            <w:vAlign w:val="bottom"/>
          </w:tcPr>
          <w:p w:rsidR="000100D5" w:rsidRPr="007262A9" w:rsidRDefault="000100D5" w:rsidP="000100D5">
            <w:pPr>
              <w:suppressAutoHyphens w:val="0"/>
              <w:spacing w:before="80" w:after="80" w:line="220" w:lineRule="exact"/>
              <w:ind w:right="113"/>
              <w:jc w:val="right"/>
              <w:rPr>
                <w:b/>
                <w:sz w:val="18"/>
                <w:lang w:val="en-IE"/>
              </w:rPr>
            </w:pPr>
            <w:r>
              <w:rPr>
                <w:b/>
                <w:sz w:val="18"/>
                <w:lang w:val="en-IE"/>
              </w:rPr>
              <w:t>27 833</w:t>
            </w:r>
          </w:p>
        </w:tc>
        <w:tc>
          <w:tcPr>
            <w:tcW w:w="1039" w:type="dxa"/>
            <w:tcBorders>
              <w:top w:val="single" w:sz="4" w:space="0" w:color="auto"/>
              <w:bottom w:val="single" w:sz="12" w:space="0" w:color="auto"/>
            </w:tcBorders>
            <w:shd w:val="clear" w:color="auto" w:fill="auto"/>
            <w:vAlign w:val="bottom"/>
          </w:tcPr>
          <w:p w:rsidR="000100D5" w:rsidRPr="007262A9" w:rsidRDefault="000100D5" w:rsidP="000100D5">
            <w:pPr>
              <w:suppressAutoHyphens w:val="0"/>
              <w:spacing w:before="80" w:after="80" w:line="220" w:lineRule="exact"/>
              <w:ind w:right="113"/>
              <w:jc w:val="right"/>
              <w:rPr>
                <w:b/>
                <w:sz w:val="18"/>
                <w:lang w:val="en-IE"/>
              </w:rPr>
            </w:pPr>
            <w:r>
              <w:rPr>
                <w:b/>
                <w:sz w:val="18"/>
                <w:lang w:val="en-IE"/>
              </w:rPr>
              <w:t>24 702</w:t>
            </w:r>
          </w:p>
        </w:tc>
        <w:tc>
          <w:tcPr>
            <w:tcW w:w="1039" w:type="dxa"/>
            <w:tcBorders>
              <w:top w:val="single" w:sz="4" w:space="0" w:color="auto"/>
              <w:bottom w:val="single" w:sz="12" w:space="0" w:color="auto"/>
            </w:tcBorders>
            <w:shd w:val="clear" w:color="auto" w:fill="auto"/>
            <w:vAlign w:val="bottom"/>
          </w:tcPr>
          <w:p w:rsidR="000100D5" w:rsidRPr="007262A9" w:rsidRDefault="000100D5" w:rsidP="000100D5">
            <w:pPr>
              <w:suppressAutoHyphens w:val="0"/>
              <w:spacing w:before="80" w:after="80" w:line="220" w:lineRule="exact"/>
              <w:ind w:right="113"/>
              <w:jc w:val="right"/>
              <w:rPr>
                <w:b/>
                <w:sz w:val="18"/>
                <w:lang w:val="en-IE"/>
              </w:rPr>
            </w:pPr>
            <w:r>
              <w:rPr>
                <w:b/>
                <w:sz w:val="18"/>
                <w:lang w:val="en-IE"/>
              </w:rPr>
              <w:t>23 058</w:t>
            </w:r>
          </w:p>
        </w:tc>
        <w:tc>
          <w:tcPr>
            <w:tcW w:w="1039" w:type="dxa"/>
            <w:tcBorders>
              <w:top w:val="single" w:sz="4" w:space="0" w:color="auto"/>
              <w:bottom w:val="single" w:sz="12" w:space="0" w:color="auto"/>
            </w:tcBorders>
            <w:shd w:val="clear" w:color="auto" w:fill="auto"/>
            <w:vAlign w:val="bottom"/>
          </w:tcPr>
          <w:p w:rsidR="000100D5" w:rsidRPr="007262A9" w:rsidRDefault="000100D5" w:rsidP="000100D5">
            <w:pPr>
              <w:suppressAutoHyphens w:val="0"/>
              <w:spacing w:before="80" w:after="80" w:line="220" w:lineRule="exact"/>
              <w:ind w:right="113"/>
              <w:jc w:val="right"/>
              <w:rPr>
                <w:b/>
                <w:sz w:val="18"/>
                <w:lang w:val="en-IE"/>
              </w:rPr>
            </w:pPr>
            <w:r>
              <w:rPr>
                <w:b/>
                <w:sz w:val="18"/>
                <w:lang w:val="en-IE"/>
              </w:rPr>
              <w:t>13 586</w:t>
            </w:r>
          </w:p>
        </w:tc>
      </w:tr>
    </w:tbl>
    <w:p w:rsidR="000100D5" w:rsidRPr="00216F0E" w:rsidRDefault="000100D5" w:rsidP="000100D5">
      <w:pPr>
        <w:pStyle w:val="H4G"/>
      </w:pPr>
      <w:r w:rsidRPr="006B35C1">
        <w:tab/>
      </w:r>
      <w:r w:rsidRPr="00216F0E">
        <w:t>a)</w:t>
      </w:r>
      <w:r w:rsidRPr="00216F0E">
        <w:tab/>
        <w:t xml:space="preserve">Cifras correspondientes a los permisos de trabajo concedidos en 2009 </w:t>
      </w:r>
    </w:p>
    <w:p w:rsidR="000100D5" w:rsidRPr="006B35C1" w:rsidRDefault="000100D5" w:rsidP="007E251E">
      <w:pPr>
        <w:pStyle w:val="SingleTxtG"/>
      </w:pPr>
      <w:r w:rsidRPr="00216F0E">
        <w:t>299.</w:t>
      </w:r>
      <w:r w:rsidRPr="00216F0E">
        <w:tab/>
        <w:t>A finales de agost</w:t>
      </w:r>
      <w:r w:rsidR="00D470F9">
        <w:t>o de 2009, se habían otorgado 5.</w:t>
      </w:r>
      <w:r w:rsidRPr="00216F0E">
        <w:t xml:space="preserve">308 permisos </w:t>
      </w:r>
      <w:r>
        <w:t>de trabajo, de los cuales</w:t>
      </w:r>
      <w:r w:rsidRPr="00216F0E">
        <w:t>, 2</w:t>
      </w:r>
      <w:r w:rsidR="00D470F9">
        <w:t>.</w:t>
      </w:r>
      <w:r w:rsidRPr="00216F0E">
        <w:t>919 er</w:t>
      </w:r>
      <w:r>
        <w:t>an</w:t>
      </w:r>
      <w:r w:rsidRPr="00216F0E">
        <w:t xml:space="preserve"> n</w:t>
      </w:r>
      <w:r>
        <w:t>u</w:t>
      </w:r>
      <w:r w:rsidRPr="00216F0E">
        <w:t>e</w:t>
      </w:r>
      <w:r>
        <w:t>vos y</w:t>
      </w:r>
      <w:r w:rsidRPr="00216F0E">
        <w:t xml:space="preserve"> 2</w:t>
      </w:r>
      <w:r w:rsidR="00D470F9">
        <w:t>.</w:t>
      </w:r>
      <w:r w:rsidRPr="00216F0E">
        <w:t>389</w:t>
      </w:r>
      <w:r>
        <w:t>,</w:t>
      </w:r>
      <w:r w:rsidRPr="00216F0E">
        <w:t xml:space="preserve"> </w:t>
      </w:r>
      <w:r>
        <w:t>r</w:t>
      </w:r>
      <w:r w:rsidRPr="00216F0E">
        <w:t>e</w:t>
      </w:r>
      <w:r>
        <w:t>novaciones</w:t>
      </w:r>
      <w:r w:rsidRPr="00216F0E">
        <w:t xml:space="preserve">. Se denegaron </w:t>
      </w:r>
      <w:r w:rsidRPr="006B35C1">
        <w:t xml:space="preserve">778 </w:t>
      </w:r>
      <w:r>
        <w:t>solicitudes y</w:t>
      </w:r>
      <w:r w:rsidRPr="006B35C1">
        <w:t xml:space="preserve"> 132 </w:t>
      </w:r>
      <w:r>
        <w:t>fueron retiradas</w:t>
      </w:r>
      <w:r w:rsidRPr="006B35C1">
        <w:t xml:space="preserve">. </w:t>
      </w:r>
    </w:p>
    <w:p w:rsidR="000100D5" w:rsidRPr="00216F0E" w:rsidRDefault="000100D5" w:rsidP="000100D5">
      <w:pPr>
        <w:pStyle w:val="SingleTxtG"/>
      </w:pPr>
      <w:r w:rsidRPr="00216F0E">
        <w:t>300.</w:t>
      </w:r>
      <w:r w:rsidRPr="00216F0E">
        <w:tab/>
        <w:t xml:space="preserve">Comparando estas cifras con las correspondientes al mismo período de 2008, es decir, de enero a agosto de ese año, se observa un descenso del 52%, ya que en los primeros ocho meses de 2008 se </w:t>
      </w:r>
      <w:r>
        <w:t>concedieron</w:t>
      </w:r>
      <w:r w:rsidR="008B3ABA">
        <w:t xml:space="preserve"> 10.</w:t>
      </w:r>
      <w:r w:rsidRPr="00216F0E">
        <w:t>162 permis</w:t>
      </w:r>
      <w:r>
        <w:t>os de trabajo.</w:t>
      </w:r>
      <w:r w:rsidRPr="00216F0E">
        <w:t xml:space="preserve"> </w:t>
      </w:r>
      <w:r>
        <w:t>En cuanto a los nuevos exclusivamente</w:t>
      </w:r>
      <w:r w:rsidR="008B3ABA">
        <w:t xml:space="preserve"> (6.</w:t>
      </w:r>
      <w:r w:rsidRPr="00216F0E">
        <w:t>117), la disminuci</w:t>
      </w:r>
      <w:r>
        <w:t xml:space="preserve">ón porcentual en ese </w:t>
      </w:r>
      <w:r w:rsidRPr="00216F0E">
        <w:t>per</w:t>
      </w:r>
      <w:r>
        <w:t>í</w:t>
      </w:r>
      <w:r w:rsidRPr="00216F0E">
        <w:t>od</w:t>
      </w:r>
      <w:r>
        <w:t>o fue del</w:t>
      </w:r>
      <w:r w:rsidRPr="00216F0E">
        <w:t xml:space="preserve"> 48%. </w:t>
      </w:r>
    </w:p>
    <w:p w:rsidR="000100D5" w:rsidRPr="00EB7628" w:rsidRDefault="000100D5" w:rsidP="000100D5">
      <w:pPr>
        <w:pStyle w:val="H4G"/>
      </w:pPr>
      <w:r w:rsidRPr="00216F0E">
        <w:tab/>
      </w:r>
      <w:r w:rsidRPr="00EB7628">
        <w:t>b)</w:t>
      </w:r>
      <w:r w:rsidRPr="00EB7628">
        <w:tab/>
        <w:t xml:space="preserve">Encuesta de Hogares Nacional Trimestral, 2º trimestre de 2009 </w:t>
      </w:r>
    </w:p>
    <w:p w:rsidR="000100D5" w:rsidRPr="006A2664" w:rsidRDefault="000100D5" w:rsidP="000100D5">
      <w:pPr>
        <w:pStyle w:val="SingleTxtG"/>
      </w:pPr>
      <w:r w:rsidRPr="00EB7628">
        <w:t>301.</w:t>
      </w:r>
      <w:r w:rsidRPr="00EB7628">
        <w:tab/>
        <w:t>Según los resultados de la Encuesta Nacional de Hogares (2º trimestre de 2009), durante ese per</w:t>
      </w:r>
      <w:r>
        <w:t>íodo de 2009 había</w:t>
      </w:r>
      <w:r w:rsidRPr="00EB7628">
        <w:t xml:space="preserve"> aproxima</w:t>
      </w:r>
      <w:r>
        <w:t>damente</w:t>
      </w:r>
      <w:r w:rsidRPr="00EB7628">
        <w:t xml:space="preserve"> 445</w:t>
      </w:r>
      <w:r w:rsidR="008B3ABA">
        <w:t>.</w:t>
      </w:r>
      <w:r w:rsidRPr="00EB7628">
        <w:t xml:space="preserve">000 </w:t>
      </w:r>
      <w:r>
        <w:t xml:space="preserve">extranjeros </w:t>
      </w:r>
      <w:r w:rsidRPr="00EB7628">
        <w:t>d</w:t>
      </w:r>
      <w:r>
        <w:t>e</w:t>
      </w:r>
      <w:r w:rsidRPr="00EB7628">
        <w:t xml:space="preserve"> 15 </w:t>
      </w:r>
      <w:r>
        <w:t>años o más</w:t>
      </w:r>
      <w:r w:rsidRPr="00EB7628">
        <w:t xml:space="preserve"> resident</w:t>
      </w:r>
      <w:r>
        <w:t>es en</w:t>
      </w:r>
      <w:r w:rsidRPr="00EB7628">
        <w:t xml:space="preserve"> Irland</w:t>
      </w:r>
      <w:r>
        <w:t>a</w:t>
      </w:r>
      <w:r w:rsidRPr="00EB7628">
        <w:t xml:space="preserve">. </w:t>
      </w:r>
      <w:r w:rsidR="008B3ABA">
        <w:t>De éstos, 325.</w:t>
      </w:r>
      <w:r w:rsidRPr="007B406F">
        <w:t>400 esta</w:t>
      </w:r>
      <w:r w:rsidR="008B3ABA">
        <w:t>ban en activo, divididos en 274.</w:t>
      </w:r>
      <w:r w:rsidRPr="007B406F">
        <w:t>600 personas empleadas y las restantes 50</w:t>
      </w:r>
      <w:r w:rsidR="008B3ABA">
        <w:t>.</w:t>
      </w:r>
      <w:r w:rsidRPr="007B406F">
        <w:t>80</w:t>
      </w:r>
      <w:r>
        <w:t>0 desempleadas</w:t>
      </w:r>
      <w:r w:rsidRPr="007B406F">
        <w:t xml:space="preserve">. </w:t>
      </w:r>
      <w:r w:rsidRPr="006A2664">
        <w:t>La tasa de empleo (</w:t>
      </w:r>
      <w:r>
        <w:t xml:space="preserve">número de </w:t>
      </w:r>
      <w:r w:rsidRPr="006A2664">
        <w:t>personas empleadas dividid</w:t>
      </w:r>
      <w:r>
        <w:t>o</w:t>
      </w:r>
      <w:r w:rsidRPr="006A2664">
        <w:t xml:space="preserve"> por la población total de 15 años o m</w:t>
      </w:r>
      <w:r>
        <w:t>ás</w:t>
      </w:r>
      <w:r w:rsidRPr="006A2664">
        <w:t xml:space="preserve">) </w:t>
      </w:r>
      <w:r>
        <w:t>de los</w:t>
      </w:r>
      <w:r w:rsidRPr="006A2664">
        <w:t xml:space="preserve"> no</w:t>
      </w:r>
      <w:r>
        <w:t xml:space="preserve"> irlandeses</w:t>
      </w:r>
      <w:r w:rsidRPr="006A2664">
        <w:t xml:space="preserve"> </w:t>
      </w:r>
      <w:r w:rsidR="008B3ABA">
        <w:t>era del </w:t>
      </w:r>
      <w:r w:rsidRPr="006A2664">
        <w:t>62</w:t>
      </w:r>
      <w:r>
        <w:t>%, en comparación con el</w:t>
      </w:r>
      <w:r w:rsidRPr="006A2664">
        <w:t xml:space="preserve"> 54</w:t>
      </w:r>
      <w:r>
        <w:t>% de los irlandeses</w:t>
      </w:r>
      <w:r w:rsidRPr="006A2664">
        <w:t xml:space="preserve">. </w:t>
      </w:r>
    </w:p>
    <w:p w:rsidR="000100D5" w:rsidRPr="006B35C1" w:rsidRDefault="000100D5" w:rsidP="000100D5">
      <w:pPr>
        <w:pStyle w:val="H4G"/>
      </w:pPr>
      <w:r w:rsidRPr="006A2664">
        <w:tab/>
      </w:r>
      <w:r w:rsidRPr="006B35C1">
        <w:t>c)</w:t>
      </w:r>
      <w:r w:rsidRPr="006B35C1">
        <w:tab/>
      </w:r>
      <w:r>
        <w:t>Perfil e</w:t>
      </w:r>
      <w:r w:rsidRPr="006B35C1">
        <w:t>con</w:t>
      </w:r>
      <w:r>
        <w:t>ó</w:t>
      </w:r>
      <w:r w:rsidRPr="006B35C1">
        <w:t>mic</w:t>
      </w:r>
      <w:r>
        <w:t>o</w:t>
      </w:r>
      <w:r w:rsidRPr="00602170">
        <w:rPr>
          <w:rStyle w:val="FootnoteReference"/>
          <w:i w:val="0"/>
        </w:rPr>
        <w:footnoteReference w:id="75"/>
      </w:r>
    </w:p>
    <w:p w:rsidR="000100D5" w:rsidRPr="004B2B34" w:rsidRDefault="000100D5" w:rsidP="000100D5">
      <w:pPr>
        <w:pStyle w:val="SingleTxtG"/>
      </w:pPr>
      <w:r w:rsidRPr="006A2664">
        <w:t>302.</w:t>
      </w:r>
      <w:r w:rsidRPr="006A2664">
        <w:tab/>
        <w:t>En 2006, el perfil económico de la población no irlandesa era muy di</w:t>
      </w:r>
      <w:r>
        <w:t>stinto de la</w:t>
      </w:r>
      <w:r w:rsidR="005007D6">
        <w:t xml:space="preserve"> </w:t>
      </w:r>
      <w:r>
        <w:t>i</w:t>
      </w:r>
      <w:r w:rsidRPr="006A2664">
        <w:t>r</w:t>
      </w:r>
      <w:r>
        <w:t>landesa</w:t>
      </w:r>
      <w:r w:rsidRPr="006A2664">
        <w:t xml:space="preserve">. </w:t>
      </w:r>
      <w:r>
        <w:t>Su porcentaje de</w:t>
      </w:r>
      <w:r w:rsidRPr="006A2664">
        <w:t xml:space="preserve"> participación en la población activa era m</w:t>
      </w:r>
      <w:r>
        <w:t>ás alto</w:t>
      </w:r>
      <w:r w:rsidRPr="006A2664">
        <w:t xml:space="preserve">, </w:t>
      </w:r>
      <w:r>
        <w:t>con menos</w:t>
      </w:r>
      <w:r w:rsidRPr="006A2664">
        <w:t xml:space="preserve"> </w:t>
      </w:r>
      <w:r>
        <w:t>e</w:t>
      </w:r>
      <w:r w:rsidRPr="006A2664">
        <w:t>stud</w:t>
      </w:r>
      <w:r>
        <w:t>ia</w:t>
      </w:r>
      <w:r w:rsidRPr="006A2664">
        <w:t>nt</w:t>
      </w:r>
      <w:r>
        <w:t>e</w:t>
      </w:r>
      <w:r w:rsidRPr="006A2664">
        <w:t xml:space="preserve">s, </w:t>
      </w:r>
      <w:r>
        <w:t>amas de casa o</w:t>
      </w:r>
      <w:r w:rsidRPr="006A2664">
        <w:t xml:space="preserve"> </w:t>
      </w:r>
      <w:r>
        <w:t>jubilados, lo que coincide en términos generales con las previsiones</w:t>
      </w:r>
      <w:r w:rsidRPr="006A2664">
        <w:t xml:space="preserve">, </w:t>
      </w:r>
      <w:r>
        <w:t>dada su menor edad</w:t>
      </w:r>
      <w:r w:rsidRPr="006A2664">
        <w:t xml:space="preserve">. </w:t>
      </w:r>
      <w:r w:rsidRPr="00A667EB">
        <w:t>No obstante, había diferencias marcadas en el perfil económic</w:t>
      </w:r>
      <w:r>
        <w:t>o entre la</w:t>
      </w:r>
      <w:r w:rsidRPr="00A667EB">
        <w:t>s diferent</w:t>
      </w:r>
      <w:r>
        <w:t>es</w:t>
      </w:r>
      <w:r w:rsidRPr="00A667EB">
        <w:t xml:space="preserve"> na</w:t>
      </w:r>
      <w:r>
        <w:t>c</w:t>
      </w:r>
      <w:r w:rsidRPr="00A667EB">
        <w:t>ionali</w:t>
      </w:r>
      <w:r>
        <w:t>dades</w:t>
      </w:r>
      <w:r w:rsidRPr="00A667EB">
        <w:t>. Los nacionales de los Estados que se ha</w:t>
      </w:r>
      <w:r>
        <w:t>bía</w:t>
      </w:r>
      <w:r w:rsidRPr="00A667EB">
        <w:t xml:space="preserve">n adherido a la UE </w:t>
      </w:r>
      <w:r>
        <w:t>era</w:t>
      </w:r>
      <w:r w:rsidRPr="00A667EB">
        <w:t>n predominantemente trabajadores, mi</w:t>
      </w:r>
      <w:r w:rsidR="00067DCF">
        <w:t>e</w:t>
      </w:r>
      <w:r w:rsidRPr="00A667EB">
        <w:t xml:space="preserve">ntras que </w:t>
      </w:r>
      <w:r>
        <w:t xml:space="preserve">entre </w:t>
      </w:r>
      <w:r w:rsidRPr="00A667EB">
        <w:t xml:space="preserve">los </w:t>
      </w:r>
      <w:r>
        <w:t>nacionales</w:t>
      </w:r>
      <w:r w:rsidRPr="00A667EB">
        <w:t xml:space="preserve"> de fuera de Europa </w:t>
      </w:r>
      <w:r>
        <w:t>había un</w:t>
      </w:r>
      <w:r w:rsidRPr="00A667EB">
        <w:t xml:space="preserve"> p</w:t>
      </w:r>
      <w:r>
        <w:t>o</w:t>
      </w:r>
      <w:r w:rsidRPr="00A667EB">
        <w:t>rcenta</w:t>
      </w:r>
      <w:r>
        <w:t>je superior de</w:t>
      </w:r>
      <w:r w:rsidRPr="00A667EB">
        <w:t xml:space="preserve"> </w:t>
      </w:r>
      <w:r>
        <w:t>e</w:t>
      </w:r>
      <w:r w:rsidRPr="00A667EB">
        <w:t>stud</w:t>
      </w:r>
      <w:r>
        <w:t>ia</w:t>
      </w:r>
      <w:r w:rsidRPr="00A667EB">
        <w:t>nt</w:t>
      </w:r>
      <w:r>
        <w:t>e</w:t>
      </w:r>
      <w:r w:rsidRPr="00A667EB">
        <w:t xml:space="preserve">s. </w:t>
      </w:r>
      <w:r>
        <w:t>Uno de cada seis nacionales del Reino Unido que vivían en</w:t>
      </w:r>
      <w:r w:rsidRPr="004B2B34">
        <w:t xml:space="preserve"> Irlanda </w:t>
      </w:r>
      <w:r>
        <w:t>estaba jubilado</w:t>
      </w:r>
      <w:r w:rsidRPr="004B2B34">
        <w:t xml:space="preserve"> o</w:t>
      </w:r>
      <w:r>
        <w:t xml:space="preserve"> no podía trabajar</w:t>
      </w:r>
      <w:r w:rsidR="00067DCF">
        <w:t xml:space="preserve"> —</w:t>
      </w:r>
      <w:r>
        <w:t>igual porcentaje que el de la población</w:t>
      </w:r>
      <w:r w:rsidRPr="004B2B34">
        <w:t xml:space="preserve"> </w:t>
      </w:r>
      <w:r>
        <w:t>i</w:t>
      </w:r>
      <w:r w:rsidRPr="004B2B34">
        <w:t>r</w:t>
      </w:r>
      <w:r>
        <w:t>landesa</w:t>
      </w:r>
      <w:r w:rsidRPr="004B2B34">
        <w:t xml:space="preserve">. </w:t>
      </w:r>
    </w:p>
    <w:p w:rsidR="000100D5" w:rsidRPr="004B2B34" w:rsidRDefault="000100D5" w:rsidP="000100D5">
      <w:pPr>
        <w:pStyle w:val="SingleTxtG"/>
        <w:rPr>
          <w:u w:val="single"/>
        </w:rPr>
      </w:pPr>
      <w:r w:rsidRPr="004B2B34">
        <w:t>303.</w:t>
      </w:r>
      <w:r w:rsidRPr="004B2B34">
        <w:tab/>
        <w:t xml:space="preserve">Los cuadros 10 y 11 están tomados del informe </w:t>
      </w:r>
      <w:r>
        <w:t xml:space="preserve">de 2007 </w:t>
      </w:r>
      <w:r w:rsidRPr="004B2B34">
        <w:t>de la Oficina Central de Estad</w:t>
      </w:r>
      <w:r>
        <w:t xml:space="preserve">ística, </w:t>
      </w:r>
      <w:r w:rsidRPr="004B2B34">
        <w:t>tit</w:t>
      </w:r>
      <w:r>
        <w:t>u</w:t>
      </w:r>
      <w:r w:rsidRPr="004B2B34">
        <w:t>l</w:t>
      </w:r>
      <w:r>
        <w:t>a</w:t>
      </w:r>
      <w:r w:rsidRPr="004B2B34">
        <w:t>d</w:t>
      </w:r>
      <w:r>
        <w:t>o</w:t>
      </w:r>
      <w:r w:rsidRPr="004B2B34">
        <w:t xml:space="preserve"> </w:t>
      </w:r>
      <w:r w:rsidR="00C67360">
        <w:rPr>
          <w:i/>
        </w:rPr>
        <w:t>"</w:t>
      </w:r>
      <w:r>
        <w:rPr>
          <w:i/>
        </w:rPr>
        <w:t>Equality in</w:t>
      </w:r>
      <w:r w:rsidRPr="004B2B34">
        <w:rPr>
          <w:i/>
        </w:rPr>
        <w:t xml:space="preserve"> Ir</w:t>
      </w:r>
      <w:r>
        <w:rPr>
          <w:i/>
        </w:rPr>
        <w:t>e</w:t>
      </w:r>
      <w:r w:rsidRPr="004B2B34">
        <w:rPr>
          <w:i/>
        </w:rPr>
        <w:t>land</w:t>
      </w:r>
      <w:r w:rsidR="00C67360">
        <w:rPr>
          <w:i/>
        </w:rPr>
        <w:t>"</w:t>
      </w:r>
      <w:r>
        <w:rPr>
          <w:i/>
        </w:rPr>
        <w:t xml:space="preserve"> </w:t>
      </w:r>
      <w:r>
        <w:t>(Igualdad en Irlanda)</w:t>
      </w:r>
      <w:r w:rsidRPr="004B2B34">
        <w:rPr>
          <w:i/>
        </w:rPr>
        <w:t xml:space="preserve">. </w:t>
      </w:r>
    </w:p>
    <w:p w:rsidR="000100D5" w:rsidRPr="004B2B34" w:rsidRDefault="000100D5" w:rsidP="000100D5">
      <w:pPr>
        <w:pStyle w:val="Heading1"/>
      </w:pPr>
      <w:r w:rsidRPr="004B2B34">
        <w:t>Cuadro 10</w:t>
      </w:r>
    </w:p>
    <w:p w:rsidR="000100D5" w:rsidRPr="004B2B34" w:rsidRDefault="000100D5" w:rsidP="008B3ABA">
      <w:pPr>
        <w:pStyle w:val="SingleTxtG"/>
        <w:jc w:val="left"/>
        <w:rPr>
          <w:b/>
        </w:rPr>
      </w:pPr>
      <w:r w:rsidRPr="004B2B34">
        <w:rPr>
          <w:b/>
        </w:rPr>
        <w:t>Situación del empleo por nacionalidad, 2006 (9,5)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6"/>
        <w:gridCol w:w="900"/>
        <w:gridCol w:w="1200"/>
        <w:gridCol w:w="1100"/>
        <w:gridCol w:w="1104"/>
      </w:tblGrid>
      <w:tr w:rsidR="000100D5" w:rsidRPr="005107FA">
        <w:tc>
          <w:tcPr>
            <w:tcW w:w="3066" w:type="dxa"/>
            <w:tcBorders>
              <w:top w:val="single" w:sz="4" w:space="0" w:color="auto"/>
              <w:bottom w:val="single" w:sz="12" w:space="0" w:color="auto"/>
            </w:tcBorders>
            <w:shd w:val="clear" w:color="auto" w:fill="auto"/>
            <w:vAlign w:val="bottom"/>
          </w:tcPr>
          <w:p w:rsidR="000100D5" w:rsidRPr="005107FA" w:rsidRDefault="000100D5" w:rsidP="000100D5">
            <w:pPr>
              <w:spacing w:before="80" w:after="80" w:line="200" w:lineRule="exact"/>
              <w:ind w:right="113"/>
              <w:rPr>
                <w:i/>
                <w:sz w:val="16"/>
              </w:rPr>
            </w:pPr>
            <w:r>
              <w:rPr>
                <w:i/>
                <w:sz w:val="16"/>
              </w:rPr>
              <w:t>Nacionalidad</w:t>
            </w:r>
          </w:p>
        </w:tc>
        <w:tc>
          <w:tcPr>
            <w:tcW w:w="900" w:type="dxa"/>
            <w:tcBorders>
              <w:top w:val="single" w:sz="4" w:space="0" w:color="auto"/>
              <w:bottom w:val="single" w:sz="12" w:space="0" w:color="auto"/>
            </w:tcBorders>
            <w:shd w:val="clear" w:color="auto" w:fill="auto"/>
            <w:vAlign w:val="bottom"/>
          </w:tcPr>
          <w:p w:rsidR="000100D5" w:rsidRPr="005107FA" w:rsidRDefault="00BD5346" w:rsidP="000100D5">
            <w:pPr>
              <w:spacing w:before="80" w:after="80" w:line="200" w:lineRule="exact"/>
              <w:ind w:right="113"/>
              <w:jc w:val="right"/>
              <w:rPr>
                <w:i/>
                <w:sz w:val="16"/>
              </w:rPr>
            </w:pPr>
            <w:r>
              <w:rPr>
                <w:i/>
                <w:sz w:val="16"/>
              </w:rPr>
              <w:t>Em</w:t>
            </w:r>
            <w:r w:rsidR="000100D5">
              <w:rPr>
                <w:i/>
                <w:sz w:val="16"/>
              </w:rPr>
              <w:t>pleados</w:t>
            </w:r>
          </w:p>
        </w:tc>
        <w:tc>
          <w:tcPr>
            <w:tcW w:w="1200" w:type="dxa"/>
            <w:tcBorders>
              <w:top w:val="single" w:sz="4" w:space="0" w:color="auto"/>
              <w:bottom w:val="single" w:sz="12" w:space="0" w:color="auto"/>
            </w:tcBorders>
            <w:shd w:val="clear" w:color="auto" w:fill="auto"/>
            <w:vAlign w:val="bottom"/>
          </w:tcPr>
          <w:p w:rsidR="000100D5" w:rsidRPr="005107FA" w:rsidRDefault="00BD5346" w:rsidP="000100D5">
            <w:pPr>
              <w:spacing w:before="80" w:after="80" w:line="200" w:lineRule="exact"/>
              <w:ind w:right="113"/>
              <w:jc w:val="right"/>
              <w:rPr>
                <w:i/>
                <w:sz w:val="16"/>
              </w:rPr>
            </w:pPr>
            <w:r>
              <w:rPr>
                <w:i/>
                <w:sz w:val="16"/>
              </w:rPr>
              <w:t>Desem</w:t>
            </w:r>
            <w:r w:rsidR="000100D5">
              <w:rPr>
                <w:i/>
                <w:sz w:val="16"/>
              </w:rPr>
              <w:t>pleados</w:t>
            </w:r>
          </w:p>
        </w:tc>
        <w:tc>
          <w:tcPr>
            <w:tcW w:w="1100" w:type="dxa"/>
            <w:tcBorders>
              <w:top w:val="single" w:sz="4" w:space="0" w:color="auto"/>
              <w:bottom w:val="single" w:sz="12" w:space="0" w:color="auto"/>
            </w:tcBorders>
            <w:shd w:val="clear" w:color="auto" w:fill="auto"/>
            <w:vAlign w:val="bottom"/>
          </w:tcPr>
          <w:p w:rsidR="000100D5" w:rsidRPr="005107FA" w:rsidRDefault="00BD5346" w:rsidP="000100D5">
            <w:pPr>
              <w:spacing w:before="80" w:after="80" w:line="200" w:lineRule="exact"/>
              <w:ind w:right="113"/>
              <w:jc w:val="right"/>
              <w:rPr>
                <w:i/>
                <w:sz w:val="16"/>
              </w:rPr>
            </w:pPr>
            <w:r>
              <w:rPr>
                <w:i/>
                <w:sz w:val="16"/>
              </w:rPr>
              <w:t>No</w:t>
            </w:r>
            <w:r w:rsidR="000100D5">
              <w:rPr>
                <w:i/>
                <w:sz w:val="16"/>
              </w:rPr>
              <w:t xml:space="preserve"> en activo </w:t>
            </w:r>
          </w:p>
        </w:tc>
        <w:tc>
          <w:tcPr>
            <w:tcW w:w="1104" w:type="dxa"/>
            <w:tcBorders>
              <w:top w:val="single" w:sz="4" w:space="0" w:color="auto"/>
              <w:bottom w:val="single" w:sz="12" w:space="0" w:color="auto"/>
            </w:tcBorders>
            <w:shd w:val="clear" w:color="auto" w:fill="auto"/>
            <w:vAlign w:val="bottom"/>
          </w:tcPr>
          <w:p w:rsidR="000100D5" w:rsidRPr="005107FA" w:rsidRDefault="000100D5" w:rsidP="000100D5">
            <w:pPr>
              <w:spacing w:before="80" w:after="80" w:line="200" w:lineRule="exact"/>
              <w:ind w:right="113"/>
              <w:jc w:val="right"/>
              <w:rPr>
                <w:b/>
                <w:i/>
                <w:sz w:val="16"/>
              </w:rPr>
            </w:pPr>
            <w:r w:rsidRPr="005107FA">
              <w:rPr>
                <w:b/>
                <w:i/>
                <w:sz w:val="16"/>
              </w:rPr>
              <w:t xml:space="preserve">Total (% </w:t>
            </w:r>
            <w:r>
              <w:rPr>
                <w:b/>
                <w:i/>
                <w:sz w:val="16"/>
              </w:rPr>
              <w:t>de la</w:t>
            </w:r>
            <w:r w:rsidRPr="005107FA">
              <w:rPr>
                <w:b/>
                <w:i/>
                <w:sz w:val="16"/>
              </w:rPr>
              <w:t xml:space="preserve"> cohort</w:t>
            </w:r>
            <w:r>
              <w:rPr>
                <w:b/>
                <w:i/>
                <w:sz w:val="16"/>
              </w:rPr>
              <w:t>e</w:t>
            </w:r>
            <w:r w:rsidRPr="005107FA">
              <w:rPr>
                <w:b/>
                <w:i/>
                <w:sz w:val="16"/>
              </w:rPr>
              <w:t>)</w:t>
            </w:r>
          </w:p>
        </w:tc>
      </w:tr>
      <w:tr w:rsidR="000100D5" w:rsidRPr="005107FA">
        <w:tc>
          <w:tcPr>
            <w:tcW w:w="3066" w:type="dxa"/>
            <w:tcBorders>
              <w:top w:val="single" w:sz="12" w:space="0" w:color="auto"/>
            </w:tcBorders>
            <w:shd w:val="clear" w:color="auto" w:fill="auto"/>
            <w:vAlign w:val="bottom"/>
          </w:tcPr>
          <w:p w:rsidR="000100D5" w:rsidRPr="005107FA" w:rsidRDefault="000100D5" w:rsidP="000100D5">
            <w:pPr>
              <w:suppressAutoHyphens w:val="0"/>
              <w:spacing w:before="40" w:after="40" w:line="220" w:lineRule="exact"/>
              <w:ind w:right="113"/>
              <w:rPr>
                <w:sz w:val="18"/>
              </w:rPr>
            </w:pPr>
            <w:r>
              <w:rPr>
                <w:sz w:val="18"/>
              </w:rPr>
              <w:t>Irlandesa</w:t>
            </w:r>
          </w:p>
        </w:tc>
        <w:tc>
          <w:tcPr>
            <w:tcW w:w="900" w:type="dxa"/>
            <w:tcBorders>
              <w:top w:val="single" w:sz="12" w:space="0" w:color="auto"/>
            </w:tcBorders>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56,1</w:t>
            </w:r>
          </w:p>
        </w:tc>
        <w:tc>
          <w:tcPr>
            <w:tcW w:w="1200" w:type="dxa"/>
            <w:tcBorders>
              <w:top w:val="single" w:sz="12" w:space="0" w:color="auto"/>
            </w:tcBorders>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4,8</w:t>
            </w:r>
          </w:p>
        </w:tc>
        <w:tc>
          <w:tcPr>
            <w:tcW w:w="1100" w:type="dxa"/>
            <w:tcBorders>
              <w:top w:val="single" w:sz="12" w:space="0" w:color="auto"/>
            </w:tcBorders>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39,1</w:t>
            </w:r>
          </w:p>
        </w:tc>
        <w:tc>
          <w:tcPr>
            <w:tcW w:w="1104" w:type="dxa"/>
            <w:tcBorders>
              <w:top w:val="single" w:sz="12" w:space="0" w:color="auto"/>
            </w:tcBorders>
            <w:shd w:val="clear" w:color="auto" w:fill="auto"/>
            <w:vAlign w:val="bottom"/>
          </w:tcPr>
          <w:p w:rsidR="000100D5" w:rsidRPr="005107FA" w:rsidRDefault="000100D5" w:rsidP="000100D5">
            <w:pPr>
              <w:suppressAutoHyphens w:val="0"/>
              <w:spacing w:before="40" w:after="40" w:line="220" w:lineRule="exact"/>
              <w:ind w:right="113"/>
              <w:jc w:val="right"/>
              <w:rPr>
                <w:b/>
                <w:sz w:val="18"/>
              </w:rPr>
            </w:pPr>
            <w:r w:rsidRPr="005107FA">
              <w:rPr>
                <w:b/>
                <w:sz w:val="18"/>
              </w:rPr>
              <w:t>100</w:t>
            </w:r>
            <w:r>
              <w:rPr>
                <w:b/>
                <w:sz w:val="18"/>
              </w:rPr>
              <w:t>,</w:t>
            </w:r>
            <w:r w:rsidRPr="005107FA">
              <w:rPr>
                <w:b/>
                <w:sz w:val="18"/>
              </w:rPr>
              <w:t>0</w:t>
            </w:r>
          </w:p>
        </w:tc>
      </w:tr>
      <w:tr w:rsidR="000100D5" w:rsidRPr="005107FA">
        <w:tc>
          <w:tcPr>
            <w:tcW w:w="3066" w:type="dxa"/>
            <w:shd w:val="clear" w:color="auto" w:fill="auto"/>
            <w:vAlign w:val="bottom"/>
          </w:tcPr>
          <w:p w:rsidR="000100D5" w:rsidRPr="004F6D9D" w:rsidRDefault="000100D5" w:rsidP="000100D5">
            <w:pPr>
              <w:suppressAutoHyphens w:val="0"/>
              <w:spacing w:before="40" w:after="40" w:line="220" w:lineRule="exact"/>
              <w:ind w:right="113"/>
              <w:rPr>
                <w:sz w:val="18"/>
              </w:rPr>
            </w:pPr>
            <w:r w:rsidRPr="004F6D9D">
              <w:rPr>
                <w:sz w:val="18"/>
              </w:rPr>
              <w:t xml:space="preserve">Nacionales no irlandeses </w:t>
            </w:r>
            <w:r w:rsidRPr="004F6D9D">
              <w:rPr>
                <w:sz w:val="18"/>
              </w:rPr>
              <w:br/>
            </w:r>
            <w:r>
              <w:rPr>
                <w:sz w:val="18"/>
              </w:rPr>
              <w:t>de los cuales</w:t>
            </w:r>
            <w:r w:rsidRPr="004F6D9D">
              <w:rPr>
                <w:sz w:val="18"/>
              </w:rPr>
              <w:t>:</w:t>
            </w:r>
          </w:p>
        </w:tc>
        <w:tc>
          <w:tcPr>
            <w:tcW w:w="9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66,6</w:t>
            </w:r>
          </w:p>
        </w:tc>
        <w:tc>
          <w:tcPr>
            <w:tcW w:w="12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9,1</w:t>
            </w:r>
          </w:p>
        </w:tc>
        <w:tc>
          <w:tcPr>
            <w:tcW w:w="11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24,3</w:t>
            </w:r>
          </w:p>
        </w:tc>
        <w:tc>
          <w:tcPr>
            <w:tcW w:w="1104" w:type="dxa"/>
            <w:shd w:val="clear" w:color="auto" w:fill="auto"/>
            <w:vAlign w:val="bottom"/>
          </w:tcPr>
          <w:p w:rsidR="000100D5" w:rsidRPr="005107FA" w:rsidRDefault="000100D5" w:rsidP="000100D5">
            <w:pPr>
              <w:suppressAutoHyphens w:val="0"/>
              <w:spacing w:before="40" w:after="40" w:line="220" w:lineRule="exact"/>
              <w:ind w:right="113"/>
              <w:jc w:val="right"/>
              <w:rPr>
                <w:b/>
                <w:sz w:val="18"/>
              </w:rPr>
            </w:pPr>
            <w:r>
              <w:rPr>
                <w:b/>
                <w:sz w:val="18"/>
              </w:rPr>
              <w:t>100,</w:t>
            </w:r>
            <w:r w:rsidRPr="005107FA">
              <w:rPr>
                <w:b/>
                <w:sz w:val="18"/>
              </w:rPr>
              <w:t>0</w:t>
            </w:r>
          </w:p>
        </w:tc>
      </w:tr>
      <w:tr w:rsidR="000100D5" w:rsidRPr="005107FA">
        <w:tc>
          <w:tcPr>
            <w:tcW w:w="3066" w:type="dxa"/>
            <w:shd w:val="clear" w:color="auto" w:fill="auto"/>
            <w:vAlign w:val="bottom"/>
          </w:tcPr>
          <w:p w:rsidR="000100D5" w:rsidRPr="005107FA" w:rsidRDefault="000100D5" w:rsidP="000100D5">
            <w:pPr>
              <w:suppressAutoHyphens w:val="0"/>
              <w:spacing w:before="40" w:after="40" w:line="220" w:lineRule="exact"/>
              <w:ind w:right="113"/>
              <w:rPr>
                <w:sz w:val="18"/>
              </w:rPr>
            </w:pPr>
            <w:r>
              <w:rPr>
                <w:sz w:val="18"/>
              </w:rPr>
              <w:t>Reino Unido</w:t>
            </w:r>
          </w:p>
        </w:tc>
        <w:tc>
          <w:tcPr>
            <w:tcW w:w="9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56,7</w:t>
            </w:r>
          </w:p>
        </w:tc>
        <w:tc>
          <w:tcPr>
            <w:tcW w:w="12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6,7</w:t>
            </w:r>
          </w:p>
        </w:tc>
        <w:tc>
          <w:tcPr>
            <w:tcW w:w="11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36,7</w:t>
            </w:r>
          </w:p>
        </w:tc>
        <w:tc>
          <w:tcPr>
            <w:tcW w:w="1104" w:type="dxa"/>
            <w:shd w:val="clear" w:color="auto" w:fill="auto"/>
            <w:vAlign w:val="bottom"/>
          </w:tcPr>
          <w:p w:rsidR="000100D5" w:rsidRPr="005107FA" w:rsidRDefault="000100D5" w:rsidP="000100D5">
            <w:pPr>
              <w:suppressAutoHyphens w:val="0"/>
              <w:spacing w:before="40" w:after="40" w:line="220" w:lineRule="exact"/>
              <w:ind w:right="113"/>
              <w:jc w:val="right"/>
              <w:rPr>
                <w:b/>
                <w:sz w:val="18"/>
              </w:rPr>
            </w:pPr>
            <w:r>
              <w:rPr>
                <w:b/>
                <w:sz w:val="18"/>
              </w:rPr>
              <w:t>100,</w:t>
            </w:r>
            <w:r w:rsidRPr="005107FA">
              <w:rPr>
                <w:b/>
                <w:sz w:val="18"/>
              </w:rPr>
              <w:t>0</w:t>
            </w:r>
          </w:p>
        </w:tc>
      </w:tr>
      <w:tr w:rsidR="000100D5" w:rsidRPr="005107FA">
        <w:tc>
          <w:tcPr>
            <w:tcW w:w="3066" w:type="dxa"/>
            <w:shd w:val="clear" w:color="auto" w:fill="auto"/>
            <w:vAlign w:val="bottom"/>
          </w:tcPr>
          <w:p w:rsidR="000100D5" w:rsidRPr="004F6D9D" w:rsidRDefault="000100D5" w:rsidP="000100D5">
            <w:pPr>
              <w:suppressAutoHyphens w:val="0"/>
              <w:spacing w:before="40" w:after="40" w:line="220" w:lineRule="exact"/>
              <w:ind w:right="113"/>
              <w:rPr>
                <w:sz w:val="18"/>
              </w:rPr>
            </w:pPr>
            <w:r w:rsidRPr="004F6D9D">
              <w:rPr>
                <w:sz w:val="18"/>
              </w:rPr>
              <w:t>15 países de la UE</w:t>
            </w:r>
            <w:r>
              <w:rPr>
                <w:sz w:val="18"/>
              </w:rPr>
              <w:t>,</w:t>
            </w:r>
            <w:r w:rsidRPr="004F6D9D">
              <w:rPr>
                <w:sz w:val="18"/>
              </w:rPr>
              <w:t xml:space="preserve"> excl</w:t>
            </w:r>
            <w:r>
              <w:rPr>
                <w:sz w:val="18"/>
              </w:rPr>
              <w:t>uidos</w:t>
            </w:r>
            <w:r w:rsidRPr="004F6D9D">
              <w:rPr>
                <w:sz w:val="18"/>
              </w:rPr>
              <w:t xml:space="preserve"> Irlanda y el</w:t>
            </w:r>
            <w:r>
              <w:rPr>
                <w:sz w:val="18"/>
              </w:rPr>
              <w:t xml:space="preserve"> Reino Unido</w:t>
            </w:r>
          </w:p>
        </w:tc>
        <w:tc>
          <w:tcPr>
            <w:tcW w:w="9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74,2</w:t>
            </w:r>
          </w:p>
        </w:tc>
        <w:tc>
          <w:tcPr>
            <w:tcW w:w="12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5,4</w:t>
            </w:r>
          </w:p>
        </w:tc>
        <w:tc>
          <w:tcPr>
            <w:tcW w:w="11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20,4</w:t>
            </w:r>
          </w:p>
        </w:tc>
        <w:tc>
          <w:tcPr>
            <w:tcW w:w="1104" w:type="dxa"/>
            <w:shd w:val="clear" w:color="auto" w:fill="auto"/>
            <w:vAlign w:val="bottom"/>
          </w:tcPr>
          <w:p w:rsidR="000100D5" w:rsidRPr="005107FA" w:rsidRDefault="000100D5" w:rsidP="000100D5">
            <w:pPr>
              <w:suppressAutoHyphens w:val="0"/>
              <w:spacing w:before="40" w:after="40" w:line="220" w:lineRule="exact"/>
              <w:ind w:right="113"/>
              <w:jc w:val="right"/>
              <w:rPr>
                <w:b/>
                <w:sz w:val="18"/>
              </w:rPr>
            </w:pPr>
            <w:r>
              <w:rPr>
                <w:b/>
                <w:sz w:val="18"/>
              </w:rPr>
              <w:t>100,</w:t>
            </w:r>
            <w:r w:rsidRPr="005107FA">
              <w:rPr>
                <w:b/>
                <w:sz w:val="18"/>
              </w:rPr>
              <w:t>0</w:t>
            </w:r>
          </w:p>
        </w:tc>
      </w:tr>
      <w:tr w:rsidR="000100D5" w:rsidRPr="005107FA">
        <w:tc>
          <w:tcPr>
            <w:tcW w:w="3066" w:type="dxa"/>
            <w:shd w:val="clear" w:color="auto" w:fill="auto"/>
            <w:vAlign w:val="bottom"/>
          </w:tcPr>
          <w:p w:rsidR="000100D5" w:rsidRPr="004F6D9D" w:rsidRDefault="000100D5" w:rsidP="000100D5">
            <w:pPr>
              <w:suppressAutoHyphens w:val="0"/>
              <w:spacing w:before="40" w:after="40" w:line="220" w:lineRule="exact"/>
              <w:ind w:right="113"/>
              <w:rPr>
                <w:sz w:val="18"/>
              </w:rPr>
            </w:pPr>
            <w:r>
              <w:rPr>
                <w:sz w:val="18"/>
              </w:rPr>
              <w:t xml:space="preserve">10 </w:t>
            </w:r>
            <w:r w:rsidRPr="004F6D9D">
              <w:rPr>
                <w:sz w:val="18"/>
              </w:rPr>
              <w:t>Estados adheridos a la UE</w:t>
            </w:r>
          </w:p>
        </w:tc>
        <w:tc>
          <w:tcPr>
            <w:tcW w:w="9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84,3</w:t>
            </w:r>
          </w:p>
        </w:tc>
        <w:tc>
          <w:tcPr>
            <w:tcW w:w="12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8,8</w:t>
            </w:r>
          </w:p>
        </w:tc>
        <w:tc>
          <w:tcPr>
            <w:tcW w:w="1100" w:type="dxa"/>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6,9</w:t>
            </w:r>
          </w:p>
        </w:tc>
        <w:tc>
          <w:tcPr>
            <w:tcW w:w="1104" w:type="dxa"/>
            <w:shd w:val="clear" w:color="auto" w:fill="auto"/>
            <w:vAlign w:val="bottom"/>
          </w:tcPr>
          <w:p w:rsidR="000100D5" w:rsidRPr="005107FA" w:rsidRDefault="000100D5" w:rsidP="000100D5">
            <w:pPr>
              <w:suppressAutoHyphens w:val="0"/>
              <w:spacing w:before="40" w:after="40" w:line="220" w:lineRule="exact"/>
              <w:ind w:right="113"/>
              <w:jc w:val="right"/>
              <w:rPr>
                <w:b/>
                <w:sz w:val="18"/>
              </w:rPr>
            </w:pPr>
            <w:r>
              <w:rPr>
                <w:b/>
                <w:sz w:val="18"/>
              </w:rPr>
              <w:t>100,</w:t>
            </w:r>
            <w:r w:rsidRPr="005107FA">
              <w:rPr>
                <w:b/>
                <w:sz w:val="18"/>
              </w:rPr>
              <w:t>0</w:t>
            </w:r>
          </w:p>
        </w:tc>
      </w:tr>
      <w:tr w:rsidR="000100D5" w:rsidRPr="005107FA">
        <w:tc>
          <w:tcPr>
            <w:tcW w:w="3066" w:type="dxa"/>
            <w:tcBorders>
              <w:bottom w:val="single" w:sz="4" w:space="0" w:color="auto"/>
            </w:tcBorders>
            <w:shd w:val="clear" w:color="auto" w:fill="auto"/>
            <w:vAlign w:val="bottom"/>
          </w:tcPr>
          <w:p w:rsidR="000100D5" w:rsidRPr="00151E2B" w:rsidRDefault="000100D5" w:rsidP="000100D5">
            <w:pPr>
              <w:suppressAutoHyphens w:val="0"/>
              <w:spacing w:before="40" w:after="40" w:line="220" w:lineRule="exact"/>
              <w:ind w:right="113"/>
              <w:rPr>
                <w:sz w:val="18"/>
              </w:rPr>
            </w:pPr>
            <w:r w:rsidRPr="00151E2B">
              <w:rPr>
                <w:sz w:val="18"/>
              </w:rPr>
              <w:t>Nacionales de países no pertenecientes a la UE</w:t>
            </w:r>
          </w:p>
        </w:tc>
        <w:tc>
          <w:tcPr>
            <w:tcW w:w="900" w:type="dxa"/>
            <w:tcBorders>
              <w:bottom w:val="single" w:sz="4" w:space="0" w:color="auto"/>
            </w:tcBorders>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55,7</w:t>
            </w:r>
          </w:p>
        </w:tc>
        <w:tc>
          <w:tcPr>
            <w:tcW w:w="1200" w:type="dxa"/>
            <w:tcBorders>
              <w:bottom w:val="single" w:sz="4" w:space="0" w:color="auto"/>
            </w:tcBorders>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12,7</w:t>
            </w:r>
          </w:p>
        </w:tc>
        <w:tc>
          <w:tcPr>
            <w:tcW w:w="1100" w:type="dxa"/>
            <w:tcBorders>
              <w:bottom w:val="single" w:sz="4" w:space="0" w:color="auto"/>
            </w:tcBorders>
            <w:shd w:val="clear" w:color="auto" w:fill="auto"/>
            <w:vAlign w:val="bottom"/>
          </w:tcPr>
          <w:p w:rsidR="000100D5" w:rsidRPr="005107FA" w:rsidRDefault="000100D5" w:rsidP="000100D5">
            <w:pPr>
              <w:suppressAutoHyphens w:val="0"/>
              <w:spacing w:before="40" w:after="40" w:line="220" w:lineRule="exact"/>
              <w:ind w:right="113"/>
              <w:jc w:val="right"/>
              <w:rPr>
                <w:sz w:val="18"/>
              </w:rPr>
            </w:pPr>
            <w:r>
              <w:rPr>
                <w:sz w:val="18"/>
              </w:rPr>
              <w:t>31,6</w:t>
            </w:r>
          </w:p>
        </w:tc>
        <w:tc>
          <w:tcPr>
            <w:tcW w:w="1104" w:type="dxa"/>
            <w:tcBorders>
              <w:bottom w:val="single" w:sz="4" w:space="0" w:color="auto"/>
            </w:tcBorders>
            <w:shd w:val="clear" w:color="auto" w:fill="auto"/>
            <w:vAlign w:val="bottom"/>
          </w:tcPr>
          <w:p w:rsidR="000100D5" w:rsidRPr="005107FA" w:rsidRDefault="000100D5" w:rsidP="000100D5">
            <w:pPr>
              <w:suppressAutoHyphens w:val="0"/>
              <w:spacing w:before="40" w:after="40" w:line="220" w:lineRule="exact"/>
              <w:ind w:right="113"/>
              <w:jc w:val="right"/>
              <w:rPr>
                <w:b/>
                <w:sz w:val="18"/>
              </w:rPr>
            </w:pPr>
            <w:r w:rsidRPr="005107FA">
              <w:rPr>
                <w:b/>
                <w:sz w:val="18"/>
              </w:rPr>
              <w:t>100</w:t>
            </w:r>
            <w:r>
              <w:rPr>
                <w:b/>
                <w:sz w:val="18"/>
              </w:rPr>
              <w:t>,</w:t>
            </w:r>
            <w:r w:rsidRPr="005107FA">
              <w:rPr>
                <w:b/>
                <w:sz w:val="18"/>
              </w:rPr>
              <w:t>0</w:t>
            </w:r>
          </w:p>
        </w:tc>
      </w:tr>
      <w:tr w:rsidR="000100D5" w:rsidRPr="005107FA">
        <w:tc>
          <w:tcPr>
            <w:tcW w:w="3066" w:type="dxa"/>
            <w:tcBorders>
              <w:top w:val="single" w:sz="4" w:space="0" w:color="auto"/>
              <w:bottom w:val="single" w:sz="12" w:space="0" w:color="auto"/>
            </w:tcBorders>
            <w:shd w:val="clear" w:color="auto" w:fill="auto"/>
            <w:vAlign w:val="bottom"/>
          </w:tcPr>
          <w:p w:rsidR="000100D5" w:rsidRPr="00151E2B" w:rsidRDefault="000100D5" w:rsidP="000100D5">
            <w:pPr>
              <w:suppressAutoHyphens w:val="0"/>
              <w:spacing w:before="80" w:after="80" w:line="220" w:lineRule="exact"/>
              <w:ind w:left="284"/>
              <w:rPr>
                <w:b/>
                <w:sz w:val="18"/>
              </w:rPr>
            </w:pPr>
            <w:r w:rsidRPr="00151E2B">
              <w:rPr>
                <w:b/>
                <w:sz w:val="18"/>
              </w:rPr>
              <w:t>Total de personas de 15 años o</w:t>
            </w:r>
            <w:r>
              <w:rPr>
                <w:b/>
                <w:sz w:val="18"/>
              </w:rPr>
              <w:t xml:space="preserve"> </w:t>
            </w:r>
            <w:r w:rsidRPr="00151E2B">
              <w:rPr>
                <w:b/>
                <w:sz w:val="18"/>
              </w:rPr>
              <w:t>m</w:t>
            </w:r>
            <w:r>
              <w:rPr>
                <w:b/>
                <w:sz w:val="18"/>
              </w:rPr>
              <w:t>ás</w:t>
            </w:r>
          </w:p>
        </w:tc>
        <w:tc>
          <w:tcPr>
            <w:tcW w:w="900" w:type="dxa"/>
            <w:tcBorders>
              <w:top w:val="single" w:sz="4" w:space="0" w:color="auto"/>
              <w:bottom w:val="single" w:sz="12" w:space="0" w:color="auto"/>
            </w:tcBorders>
            <w:shd w:val="clear" w:color="auto" w:fill="auto"/>
            <w:vAlign w:val="bottom"/>
          </w:tcPr>
          <w:p w:rsidR="000100D5" w:rsidRPr="005107FA" w:rsidRDefault="000100D5" w:rsidP="000100D5">
            <w:pPr>
              <w:suppressAutoHyphens w:val="0"/>
              <w:spacing w:before="80" w:after="80" w:line="220" w:lineRule="exact"/>
              <w:ind w:right="113"/>
              <w:jc w:val="right"/>
              <w:rPr>
                <w:b/>
                <w:sz w:val="18"/>
              </w:rPr>
            </w:pPr>
            <w:r>
              <w:rPr>
                <w:b/>
                <w:sz w:val="18"/>
              </w:rPr>
              <w:t>57,</w:t>
            </w:r>
            <w:r w:rsidRPr="005107FA">
              <w:rPr>
                <w:b/>
                <w:sz w:val="18"/>
              </w:rPr>
              <w:t>2</w:t>
            </w:r>
          </w:p>
        </w:tc>
        <w:tc>
          <w:tcPr>
            <w:tcW w:w="1200" w:type="dxa"/>
            <w:tcBorders>
              <w:top w:val="single" w:sz="4" w:space="0" w:color="auto"/>
              <w:bottom w:val="single" w:sz="12" w:space="0" w:color="auto"/>
            </w:tcBorders>
            <w:shd w:val="clear" w:color="auto" w:fill="auto"/>
            <w:vAlign w:val="bottom"/>
          </w:tcPr>
          <w:p w:rsidR="000100D5" w:rsidRPr="005107FA" w:rsidRDefault="000100D5" w:rsidP="000100D5">
            <w:pPr>
              <w:suppressAutoHyphens w:val="0"/>
              <w:spacing w:before="80" w:after="80" w:line="220" w:lineRule="exact"/>
              <w:ind w:right="113"/>
              <w:jc w:val="right"/>
              <w:rPr>
                <w:b/>
                <w:sz w:val="18"/>
              </w:rPr>
            </w:pPr>
            <w:r w:rsidRPr="005107FA">
              <w:rPr>
                <w:b/>
                <w:sz w:val="18"/>
              </w:rPr>
              <w:t>5</w:t>
            </w:r>
            <w:r>
              <w:rPr>
                <w:b/>
                <w:sz w:val="18"/>
              </w:rPr>
              <w:t>,</w:t>
            </w:r>
            <w:r w:rsidRPr="005107FA">
              <w:rPr>
                <w:b/>
                <w:sz w:val="18"/>
              </w:rPr>
              <w:t>3</w:t>
            </w:r>
          </w:p>
        </w:tc>
        <w:tc>
          <w:tcPr>
            <w:tcW w:w="1100" w:type="dxa"/>
            <w:tcBorders>
              <w:top w:val="single" w:sz="4" w:space="0" w:color="auto"/>
              <w:bottom w:val="single" w:sz="12" w:space="0" w:color="auto"/>
            </w:tcBorders>
            <w:shd w:val="clear" w:color="auto" w:fill="auto"/>
            <w:vAlign w:val="bottom"/>
          </w:tcPr>
          <w:p w:rsidR="000100D5" w:rsidRPr="005107FA" w:rsidRDefault="000100D5" w:rsidP="000100D5">
            <w:pPr>
              <w:suppressAutoHyphens w:val="0"/>
              <w:spacing w:before="80" w:after="80" w:line="220" w:lineRule="exact"/>
              <w:ind w:right="113"/>
              <w:jc w:val="right"/>
              <w:rPr>
                <w:b/>
                <w:sz w:val="18"/>
              </w:rPr>
            </w:pPr>
            <w:r w:rsidRPr="005107FA">
              <w:rPr>
                <w:b/>
                <w:sz w:val="18"/>
              </w:rPr>
              <w:t>37</w:t>
            </w:r>
            <w:r>
              <w:rPr>
                <w:b/>
                <w:sz w:val="18"/>
              </w:rPr>
              <w:t>,</w:t>
            </w:r>
            <w:r w:rsidRPr="005107FA">
              <w:rPr>
                <w:b/>
                <w:sz w:val="18"/>
              </w:rPr>
              <w:t>5</w:t>
            </w:r>
          </w:p>
        </w:tc>
        <w:tc>
          <w:tcPr>
            <w:tcW w:w="1104" w:type="dxa"/>
            <w:tcBorders>
              <w:top w:val="single" w:sz="4" w:space="0" w:color="auto"/>
              <w:bottom w:val="single" w:sz="12" w:space="0" w:color="auto"/>
            </w:tcBorders>
            <w:shd w:val="clear" w:color="auto" w:fill="auto"/>
            <w:vAlign w:val="bottom"/>
          </w:tcPr>
          <w:p w:rsidR="000100D5" w:rsidRPr="005107FA" w:rsidRDefault="000100D5" w:rsidP="000100D5">
            <w:pPr>
              <w:suppressAutoHyphens w:val="0"/>
              <w:spacing w:before="80" w:after="80" w:line="220" w:lineRule="exact"/>
              <w:ind w:right="113"/>
              <w:jc w:val="right"/>
              <w:rPr>
                <w:b/>
                <w:sz w:val="18"/>
              </w:rPr>
            </w:pPr>
            <w:r w:rsidRPr="005107FA">
              <w:rPr>
                <w:b/>
                <w:sz w:val="18"/>
              </w:rPr>
              <w:t>100</w:t>
            </w:r>
            <w:r>
              <w:rPr>
                <w:b/>
                <w:sz w:val="18"/>
              </w:rPr>
              <w:t>,</w:t>
            </w:r>
            <w:r w:rsidRPr="005107FA">
              <w:rPr>
                <w:b/>
                <w:sz w:val="18"/>
              </w:rPr>
              <w:t>0</w:t>
            </w:r>
          </w:p>
        </w:tc>
      </w:tr>
    </w:tbl>
    <w:p w:rsidR="000100D5" w:rsidRPr="00151E2B" w:rsidRDefault="000100D5" w:rsidP="008B3ABA">
      <w:pPr>
        <w:pStyle w:val="SingleTxtG"/>
        <w:spacing w:before="120" w:after="240"/>
        <w:ind w:firstLine="170"/>
        <w:jc w:val="left"/>
        <w:rPr>
          <w:sz w:val="18"/>
          <w:szCs w:val="18"/>
          <w:u w:val="single"/>
        </w:rPr>
      </w:pPr>
      <w:r w:rsidRPr="00151E2B">
        <w:rPr>
          <w:i/>
          <w:sz w:val="18"/>
          <w:szCs w:val="18"/>
        </w:rPr>
        <w:t>Fuente:</w:t>
      </w:r>
      <w:r w:rsidR="005007D6">
        <w:rPr>
          <w:sz w:val="18"/>
          <w:szCs w:val="18"/>
        </w:rPr>
        <w:t xml:space="preserve"> </w:t>
      </w:r>
      <w:r w:rsidRPr="00151E2B">
        <w:rPr>
          <w:sz w:val="18"/>
          <w:szCs w:val="18"/>
        </w:rPr>
        <w:t>Censo de Población de la Oficina Central de Estadística.</w:t>
      </w:r>
    </w:p>
    <w:p w:rsidR="000100D5" w:rsidRPr="00151E2B" w:rsidRDefault="000100D5" w:rsidP="00233171">
      <w:pPr>
        <w:pStyle w:val="Heading1"/>
      </w:pPr>
      <w:r w:rsidRPr="00151E2B">
        <w:t>Cuadro 11</w:t>
      </w:r>
    </w:p>
    <w:p w:rsidR="000100D5" w:rsidRPr="00151E2B" w:rsidRDefault="000100D5" w:rsidP="008B3ABA">
      <w:pPr>
        <w:pStyle w:val="SingleTxtG"/>
        <w:keepNext/>
        <w:jc w:val="left"/>
        <w:rPr>
          <w:b/>
        </w:rPr>
      </w:pPr>
      <w:r w:rsidRPr="00151E2B">
        <w:rPr>
          <w:b/>
        </w:rPr>
        <w:t>Situación del empleo por grupo étnic</w:t>
      </w:r>
      <w:r>
        <w:rPr>
          <w:b/>
        </w:rPr>
        <w:t>o</w:t>
      </w:r>
      <w:r w:rsidRPr="00151E2B">
        <w:rPr>
          <w:b/>
        </w:rPr>
        <w:t>, 2006 (9</w:t>
      </w:r>
      <w:r>
        <w:rPr>
          <w:b/>
        </w:rPr>
        <w:t>,</w:t>
      </w:r>
      <w:r w:rsidRPr="00151E2B">
        <w:rPr>
          <w:b/>
        </w:rPr>
        <w:t>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6"/>
        <w:gridCol w:w="900"/>
        <w:gridCol w:w="1200"/>
        <w:gridCol w:w="1100"/>
        <w:gridCol w:w="1104"/>
      </w:tblGrid>
      <w:tr w:rsidR="000100D5" w:rsidRPr="00334472">
        <w:trPr>
          <w:tblHeader/>
        </w:trPr>
        <w:tc>
          <w:tcPr>
            <w:tcW w:w="3066" w:type="dxa"/>
            <w:tcBorders>
              <w:top w:val="single" w:sz="4" w:space="0" w:color="auto"/>
              <w:bottom w:val="single" w:sz="12" w:space="0" w:color="auto"/>
            </w:tcBorders>
            <w:shd w:val="clear" w:color="auto" w:fill="auto"/>
            <w:vAlign w:val="bottom"/>
          </w:tcPr>
          <w:p w:rsidR="000100D5" w:rsidRPr="00334472" w:rsidRDefault="000100D5" w:rsidP="001D101C">
            <w:pPr>
              <w:spacing w:before="80" w:after="80" w:line="200" w:lineRule="exact"/>
              <w:ind w:right="113"/>
              <w:rPr>
                <w:i/>
                <w:sz w:val="16"/>
              </w:rPr>
            </w:pPr>
            <w:r>
              <w:rPr>
                <w:i/>
                <w:sz w:val="16"/>
              </w:rPr>
              <w:t>Grupo étnico</w:t>
            </w:r>
          </w:p>
        </w:tc>
        <w:tc>
          <w:tcPr>
            <w:tcW w:w="900" w:type="dxa"/>
            <w:tcBorders>
              <w:top w:val="single" w:sz="4" w:space="0" w:color="auto"/>
              <w:bottom w:val="single" w:sz="12" w:space="0" w:color="auto"/>
            </w:tcBorders>
            <w:shd w:val="clear" w:color="auto" w:fill="auto"/>
            <w:vAlign w:val="bottom"/>
          </w:tcPr>
          <w:p w:rsidR="000100D5" w:rsidRPr="00334472" w:rsidRDefault="00233171" w:rsidP="001D101C">
            <w:pPr>
              <w:spacing w:before="80" w:after="80" w:line="200" w:lineRule="exact"/>
              <w:ind w:right="113"/>
              <w:jc w:val="right"/>
              <w:rPr>
                <w:i/>
                <w:sz w:val="16"/>
              </w:rPr>
            </w:pPr>
            <w:r>
              <w:rPr>
                <w:i/>
                <w:sz w:val="16"/>
              </w:rPr>
              <w:t>Em</w:t>
            </w:r>
            <w:r w:rsidR="000100D5">
              <w:rPr>
                <w:i/>
                <w:sz w:val="16"/>
              </w:rPr>
              <w:t>pleados</w:t>
            </w:r>
          </w:p>
        </w:tc>
        <w:tc>
          <w:tcPr>
            <w:tcW w:w="1200" w:type="dxa"/>
            <w:tcBorders>
              <w:top w:val="single" w:sz="4" w:space="0" w:color="auto"/>
              <w:bottom w:val="single" w:sz="12" w:space="0" w:color="auto"/>
            </w:tcBorders>
            <w:shd w:val="clear" w:color="auto" w:fill="auto"/>
            <w:vAlign w:val="bottom"/>
          </w:tcPr>
          <w:p w:rsidR="000100D5" w:rsidRPr="00334472" w:rsidRDefault="00233171" w:rsidP="001D101C">
            <w:pPr>
              <w:spacing w:before="80" w:after="80" w:line="200" w:lineRule="exact"/>
              <w:ind w:right="113"/>
              <w:jc w:val="right"/>
              <w:rPr>
                <w:i/>
                <w:sz w:val="16"/>
              </w:rPr>
            </w:pPr>
            <w:r>
              <w:rPr>
                <w:i/>
                <w:sz w:val="16"/>
              </w:rPr>
              <w:t>Desem</w:t>
            </w:r>
            <w:r w:rsidR="000100D5">
              <w:rPr>
                <w:i/>
                <w:sz w:val="16"/>
              </w:rPr>
              <w:t>pleados</w:t>
            </w:r>
          </w:p>
        </w:tc>
        <w:tc>
          <w:tcPr>
            <w:tcW w:w="1100" w:type="dxa"/>
            <w:tcBorders>
              <w:top w:val="single" w:sz="4" w:space="0" w:color="auto"/>
              <w:bottom w:val="single" w:sz="12" w:space="0" w:color="auto"/>
            </w:tcBorders>
            <w:shd w:val="clear" w:color="auto" w:fill="auto"/>
            <w:vAlign w:val="bottom"/>
          </w:tcPr>
          <w:p w:rsidR="000100D5" w:rsidRPr="00334472" w:rsidRDefault="000100D5" w:rsidP="001D101C">
            <w:pPr>
              <w:spacing w:before="80" w:after="80" w:line="200" w:lineRule="exact"/>
              <w:ind w:right="113"/>
              <w:jc w:val="right"/>
              <w:rPr>
                <w:i/>
                <w:sz w:val="16"/>
              </w:rPr>
            </w:pPr>
            <w:r>
              <w:rPr>
                <w:i/>
                <w:sz w:val="16"/>
              </w:rPr>
              <w:t xml:space="preserve">No en activo </w:t>
            </w:r>
          </w:p>
        </w:tc>
        <w:tc>
          <w:tcPr>
            <w:tcW w:w="1104" w:type="dxa"/>
            <w:tcBorders>
              <w:top w:val="single" w:sz="4" w:space="0" w:color="auto"/>
              <w:bottom w:val="single" w:sz="12" w:space="0" w:color="auto"/>
            </w:tcBorders>
            <w:shd w:val="clear" w:color="auto" w:fill="auto"/>
            <w:vAlign w:val="bottom"/>
          </w:tcPr>
          <w:p w:rsidR="000100D5" w:rsidRPr="00F5373B" w:rsidRDefault="000100D5" w:rsidP="001D101C">
            <w:pPr>
              <w:spacing w:before="80" w:after="80" w:line="200" w:lineRule="exact"/>
              <w:ind w:right="113"/>
              <w:jc w:val="right"/>
              <w:rPr>
                <w:b/>
                <w:i/>
                <w:sz w:val="16"/>
              </w:rPr>
            </w:pPr>
            <w:r w:rsidRPr="00F5373B">
              <w:rPr>
                <w:b/>
                <w:i/>
                <w:sz w:val="16"/>
              </w:rPr>
              <w:t xml:space="preserve">Total (% </w:t>
            </w:r>
            <w:r>
              <w:rPr>
                <w:b/>
                <w:i/>
                <w:sz w:val="16"/>
              </w:rPr>
              <w:t>de la</w:t>
            </w:r>
            <w:r w:rsidRPr="00F5373B">
              <w:rPr>
                <w:b/>
                <w:i/>
                <w:sz w:val="16"/>
              </w:rPr>
              <w:t xml:space="preserve"> cohort</w:t>
            </w:r>
            <w:r>
              <w:rPr>
                <w:b/>
                <w:i/>
                <w:sz w:val="16"/>
              </w:rPr>
              <w:t>e</w:t>
            </w:r>
            <w:r w:rsidRPr="00F5373B">
              <w:rPr>
                <w:b/>
                <w:i/>
                <w:sz w:val="16"/>
              </w:rPr>
              <w:t>)</w:t>
            </w:r>
          </w:p>
        </w:tc>
      </w:tr>
      <w:tr w:rsidR="000100D5" w:rsidRPr="00334472">
        <w:tc>
          <w:tcPr>
            <w:tcW w:w="3066" w:type="dxa"/>
            <w:tcBorders>
              <w:top w:val="single" w:sz="12" w:space="0" w:color="auto"/>
            </w:tcBorders>
            <w:shd w:val="clear" w:color="auto" w:fill="auto"/>
            <w:vAlign w:val="bottom"/>
          </w:tcPr>
          <w:p w:rsidR="000100D5" w:rsidRPr="00334472" w:rsidRDefault="000100D5" w:rsidP="001D101C">
            <w:pPr>
              <w:suppressAutoHyphens w:val="0"/>
              <w:spacing w:before="40" w:after="40" w:line="220" w:lineRule="exact"/>
              <w:ind w:right="113"/>
              <w:rPr>
                <w:sz w:val="18"/>
              </w:rPr>
            </w:pPr>
            <w:r>
              <w:rPr>
                <w:sz w:val="18"/>
              </w:rPr>
              <w:t>Blanco irlandés</w:t>
            </w:r>
          </w:p>
        </w:tc>
        <w:tc>
          <w:tcPr>
            <w:tcW w:w="900" w:type="dxa"/>
            <w:tcBorders>
              <w:top w:val="single" w:sz="12" w:space="0" w:color="auto"/>
            </w:tcBorders>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56,3</w:t>
            </w:r>
          </w:p>
        </w:tc>
        <w:tc>
          <w:tcPr>
            <w:tcW w:w="1200" w:type="dxa"/>
            <w:tcBorders>
              <w:top w:val="single" w:sz="12" w:space="0" w:color="auto"/>
            </w:tcBorders>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4,6</w:t>
            </w:r>
          </w:p>
        </w:tc>
        <w:tc>
          <w:tcPr>
            <w:tcW w:w="1100" w:type="dxa"/>
            <w:tcBorders>
              <w:top w:val="single" w:sz="12" w:space="0" w:color="auto"/>
            </w:tcBorders>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39,1</w:t>
            </w:r>
          </w:p>
        </w:tc>
        <w:tc>
          <w:tcPr>
            <w:tcW w:w="1104" w:type="dxa"/>
            <w:tcBorders>
              <w:top w:val="single" w:sz="12" w:space="0" w:color="auto"/>
            </w:tcBorders>
            <w:shd w:val="clear" w:color="auto" w:fill="auto"/>
            <w:vAlign w:val="bottom"/>
          </w:tcPr>
          <w:p w:rsidR="000100D5" w:rsidRPr="00F5373B" w:rsidRDefault="000100D5" w:rsidP="001D101C">
            <w:pPr>
              <w:suppressAutoHyphens w:val="0"/>
              <w:spacing w:before="40" w:after="40" w:line="220" w:lineRule="exact"/>
              <w:ind w:right="113"/>
              <w:jc w:val="right"/>
              <w:rPr>
                <w:b/>
                <w:sz w:val="18"/>
              </w:rPr>
            </w:pPr>
            <w:r w:rsidRPr="00F5373B">
              <w:rPr>
                <w:b/>
                <w:sz w:val="18"/>
              </w:rPr>
              <w:t>100</w:t>
            </w:r>
            <w:r>
              <w:rPr>
                <w:b/>
                <w:sz w:val="18"/>
              </w:rPr>
              <w:t>,</w:t>
            </w:r>
            <w:r w:rsidRPr="00F5373B">
              <w:rPr>
                <w:b/>
                <w:sz w:val="18"/>
              </w:rPr>
              <w:t>0</w:t>
            </w:r>
          </w:p>
        </w:tc>
      </w:tr>
      <w:tr w:rsidR="000100D5" w:rsidRPr="00334472">
        <w:tc>
          <w:tcPr>
            <w:tcW w:w="3066" w:type="dxa"/>
            <w:shd w:val="clear" w:color="auto" w:fill="auto"/>
            <w:vAlign w:val="bottom"/>
          </w:tcPr>
          <w:p w:rsidR="000100D5" w:rsidRPr="00334472" w:rsidRDefault="000100D5" w:rsidP="001D101C">
            <w:pPr>
              <w:suppressAutoHyphens w:val="0"/>
              <w:spacing w:before="40" w:after="40" w:line="220" w:lineRule="exact"/>
              <w:ind w:right="113"/>
              <w:rPr>
                <w:sz w:val="18"/>
              </w:rPr>
            </w:pPr>
            <w:r>
              <w:rPr>
                <w:sz w:val="18"/>
              </w:rPr>
              <w:t>Nómada blanco irlandés</w:t>
            </w:r>
          </w:p>
        </w:tc>
        <w:tc>
          <w:tcPr>
            <w:tcW w:w="9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13,8</w:t>
            </w:r>
          </w:p>
        </w:tc>
        <w:tc>
          <w:tcPr>
            <w:tcW w:w="12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41,2</w:t>
            </w:r>
          </w:p>
        </w:tc>
        <w:tc>
          <w:tcPr>
            <w:tcW w:w="11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45,0</w:t>
            </w:r>
          </w:p>
        </w:tc>
        <w:tc>
          <w:tcPr>
            <w:tcW w:w="1104" w:type="dxa"/>
            <w:shd w:val="clear" w:color="auto" w:fill="auto"/>
            <w:vAlign w:val="bottom"/>
          </w:tcPr>
          <w:p w:rsidR="000100D5" w:rsidRPr="00F5373B" w:rsidRDefault="000100D5" w:rsidP="001D101C">
            <w:pPr>
              <w:suppressAutoHyphens w:val="0"/>
              <w:spacing w:before="40" w:after="40" w:line="220" w:lineRule="exact"/>
              <w:ind w:right="113"/>
              <w:jc w:val="right"/>
              <w:rPr>
                <w:b/>
                <w:sz w:val="18"/>
              </w:rPr>
            </w:pPr>
            <w:r>
              <w:rPr>
                <w:b/>
                <w:sz w:val="18"/>
              </w:rPr>
              <w:t>100,</w:t>
            </w:r>
            <w:r w:rsidRPr="00F5373B">
              <w:rPr>
                <w:b/>
                <w:sz w:val="18"/>
              </w:rPr>
              <w:t>0</w:t>
            </w:r>
          </w:p>
        </w:tc>
      </w:tr>
      <w:tr w:rsidR="000100D5" w:rsidRPr="00334472">
        <w:tc>
          <w:tcPr>
            <w:tcW w:w="3066" w:type="dxa"/>
            <w:shd w:val="clear" w:color="auto" w:fill="auto"/>
            <w:vAlign w:val="bottom"/>
          </w:tcPr>
          <w:p w:rsidR="000100D5" w:rsidRPr="00334472" w:rsidRDefault="000100D5" w:rsidP="001D101C">
            <w:pPr>
              <w:suppressAutoHyphens w:val="0"/>
              <w:spacing w:before="40" w:after="40" w:line="220" w:lineRule="exact"/>
              <w:ind w:right="113"/>
              <w:rPr>
                <w:sz w:val="18"/>
              </w:rPr>
            </w:pPr>
            <w:r>
              <w:rPr>
                <w:sz w:val="18"/>
              </w:rPr>
              <w:t>Blanco de otra procedencia</w:t>
            </w:r>
          </w:p>
        </w:tc>
        <w:tc>
          <w:tcPr>
            <w:tcW w:w="9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71,8</w:t>
            </w:r>
          </w:p>
        </w:tc>
        <w:tc>
          <w:tcPr>
            <w:tcW w:w="12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7,6</w:t>
            </w:r>
          </w:p>
        </w:tc>
        <w:tc>
          <w:tcPr>
            <w:tcW w:w="11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20,6</w:t>
            </w:r>
          </w:p>
        </w:tc>
        <w:tc>
          <w:tcPr>
            <w:tcW w:w="1104" w:type="dxa"/>
            <w:shd w:val="clear" w:color="auto" w:fill="auto"/>
            <w:vAlign w:val="bottom"/>
          </w:tcPr>
          <w:p w:rsidR="000100D5" w:rsidRPr="00F5373B" w:rsidRDefault="000100D5" w:rsidP="001D101C">
            <w:pPr>
              <w:suppressAutoHyphens w:val="0"/>
              <w:spacing w:before="40" w:after="40" w:line="220" w:lineRule="exact"/>
              <w:ind w:right="113"/>
              <w:jc w:val="right"/>
              <w:rPr>
                <w:b/>
                <w:sz w:val="18"/>
              </w:rPr>
            </w:pPr>
            <w:r w:rsidRPr="00F5373B">
              <w:rPr>
                <w:b/>
                <w:sz w:val="18"/>
              </w:rPr>
              <w:t>100</w:t>
            </w:r>
            <w:r>
              <w:rPr>
                <w:b/>
                <w:sz w:val="18"/>
              </w:rPr>
              <w:t>,</w:t>
            </w:r>
            <w:r w:rsidRPr="00F5373B">
              <w:rPr>
                <w:b/>
                <w:sz w:val="18"/>
              </w:rPr>
              <w:t>0</w:t>
            </w:r>
          </w:p>
        </w:tc>
      </w:tr>
      <w:tr w:rsidR="000100D5" w:rsidRPr="00334472">
        <w:tc>
          <w:tcPr>
            <w:tcW w:w="3066" w:type="dxa"/>
            <w:shd w:val="clear" w:color="auto" w:fill="auto"/>
            <w:vAlign w:val="bottom"/>
          </w:tcPr>
          <w:p w:rsidR="000100D5" w:rsidRPr="00171107" w:rsidRDefault="000100D5" w:rsidP="001D101C">
            <w:pPr>
              <w:suppressAutoHyphens w:val="0"/>
              <w:spacing w:before="40" w:after="40" w:line="220" w:lineRule="exact"/>
              <w:ind w:right="113"/>
              <w:rPr>
                <w:sz w:val="18"/>
              </w:rPr>
            </w:pPr>
            <w:r w:rsidRPr="00171107">
              <w:rPr>
                <w:sz w:val="18"/>
              </w:rPr>
              <w:t xml:space="preserve">Africano u </w:t>
            </w:r>
            <w:r>
              <w:rPr>
                <w:sz w:val="18"/>
              </w:rPr>
              <w:t>otra</w:t>
            </w:r>
            <w:r w:rsidRPr="00171107">
              <w:rPr>
                <w:sz w:val="18"/>
              </w:rPr>
              <w:t xml:space="preserve"> </w:t>
            </w:r>
            <w:r>
              <w:rPr>
                <w:sz w:val="18"/>
              </w:rPr>
              <w:t>procedencia</w:t>
            </w:r>
            <w:r w:rsidRPr="00171107">
              <w:rPr>
                <w:sz w:val="18"/>
              </w:rPr>
              <w:t xml:space="preserve"> negr</w:t>
            </w:r>
            <w:r>
              <w:rPr>
                <w:sz w:val="18"/>
              </w:rPr>
              <w:t>a</w:t>
            </w:r>
          </w:p>
        </w:tc>
        <w:tc>
          <w:tcPr>
            <w:tcW w:w="9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40,7</w:t>
            </w:r>
          </w:p>
        </w:tc>
        <w:tc>
          <w:tcPr>
            <w:tcW w:w="12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26,6</w:t>
            </w:r>
          </w:p>
        </w:tc>
        <w:tc>
          <w:tcPr>
            <w:tcW w:w="11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32,6</w:t>
            </w:r>
          </w:p>
        </w:tc>
        <w:tc>
          <w:tcPr>
            <w:tcW w:w="1104" w:type="dxa"/>
            <w:shd w:val="clear" w:color="auto" w:fill="auto"/>
            <w:vAlign w:val="bottom"/>
          </w:tcPr>
          <w:p w:rsidR="000100D5" w:rsidRPr="00F5373B" w:rsidRDefault="000100D5" w:rsidP="001D101C">
            <w:pPr>
              <w:suppressAutoHyphens w:val="0"/>
              <w:spacing w:before="40" w:after="40" w:line="220" w:lineRule="exact"/>
              <w:ind w:right="113"/>
              <w:jc w:val="right"/>
              <w:rPr>
                <w:b/>
                <w:sz w:val="18"/>
              </w:rPr>
            </w:pPr>
            <w:r>
              <w:rPr>
                <w:b/>
                <w:sz w:val="18"/>
              </w:rPr>
              <w:t>100,</w:t>
            </w:r>
            <w:r w:rsidRPr="00F5373B">
              <w:rPr>
                <w:b/>
                <w:sz w:val="18"/>
              </w:rPr>
              <w:t>0</w:t>
            </w:r>
          </w:p>
        </w:tc>
      </w:tr>
      <w:tr w:rsidR="000100D5" w:rsidRPr="00334472">
        <w:tc>
          <w:tcPr>
            <w:tcW w:w="3066" w:type="dxa"/>
            <w:shd w:val="clear" w:color="auto" w:fill="auto"/>
            <w:vAlign w:val="bottom"/>
          </w:tcPr>
          <w:p w:rsidR="000100D5" w:rsidRPr="00334472" w:rsidRDefault="000100D5" w:rsidP="001D101C">
            <w:pPr>
              <w:suppressAutoHyphens w:val="0"/>
              <w:spacing w:before="40" w:after="40" w:line="220" w:lineRule="exact"/>
              <w:ind w:right="113"/>
              <w:rPr>
                <w:sz w:val="18"/>
              </w:rPr>
            </w:pPr>
            <w:r>
              <w:rPr>
                <w:sz w:val="18"/>
              </w:rPr>
              <w:t>Chino</w:t>
            </w:r>
          </w:p>
        </w:tc>
        <w:tc>
          <w:tcPr>
            <w:tcW w:w="9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47,8</w:t>
            </w:r>
          </w:p>
        </w:tc>
        <w:tc>
          <w:tcPr>
            <w:tcW w:w="12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6,3</w:t>
            </w:r>
          </w:p>
        </w:tc>
        <w:tc>
          <w:tcPr>
            <w:tcW w:w="1100" w:type="dxa"/>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45,8</w:t>
            </w:r>
          </w:p>
        </w:tc>
        <w:tc>
          <w:tcPr>
            <w:tcW w:w="1104" w:type="dxa"/>
            <w:shd w:val="clear" w:color="auto" w:fill="auto"/>
            <w:vAlign w:val="bottom"/>
          </w:tcPr>
          <w:p w:rsidR="000100D5" w:rsidRPr="00F5373B" w:rsidRDefault="000100D5" w:rsidP="001D101C">
            <w:pPr>
              <w:suppressAutoHyphens w:val="0"/>
              <w:spacing w:before="40" w:after="40" w:line="220" w:lineRule="exact"/>
              <w:ind w:right="113"/>
              <w:jc w:val="right"/>
              <w:rPr>
                <w:b/>
                <w:sz w:val="18"/>
              </w:rPr>
            </w:pPr>
            <w:r w:rsidRPr="00F5373B">
              <w:rPr>
                <w:b/>
                <w:sz w:val="18"/>
              </w:rPr>
              <w:t>100</w:t>
            </w:r>
            <w:r>
              <w:rPr>
                <w:b/>
                <w:sz w:val="18"/>
              </w:rPr>
              <w:t>,</w:t>
            </w:r>
            <w:r w:rsidRPr="00F5373B">
              <w:rPr>
                <w:b/>
                <w:sz w:val="18"/>
              </w:rPr>
              <w:t>0</w:t>
            </w:r>
          </w:p>
        </w:tc>
      </w:tr>
      <w:tr w:rsidR="000100D5" w:rsidRPr="00334472">
        <w:tc>
          <w:tcPr>
            <w:tcW w:w="3066" w:type="dxa"/>
            <w:tcBorders>
              <w:bottom w:val="single" w:sz="4" w:space="0" w:color="auto"/>
            </w:tcBorders>
            <w:shd w:val="clear" w:color="auto" w:fill="auto"/>
            <w:vAlign w:val="bottom"/>
          </w:tcPr>
          <w:p w:rsidR="000100D5" w:rsidRPr="00334472" w:rsidRDefault="000100D5" w:rsidP="001D101C">
            <w:pPr>
              <w:suppressAutoHyphens w:val="0"/>
              <w:spacing w:before="40" w:after="40" w:line="220" w:lineRule="exact"/>
              <w:ind w:right="113"/>
              <w:rPr>
                <w:sz w:val="18"/>
              </w:rPr>
            </w:pPr>
            <w:r>
              <w:rPr>
                <w:sz w:val="18"/>
              </w:rPr>
              <w:t>Otra procedencia asiática</w:t>
            </w:r>
          </w:p>
        </w:tc>
        <w:tc>
          <w:tcPr>
            <w:tcW w:w="900" w:type="dxa"/>
            <w:tcBorders>
              <w:bottom w:val="single" w:sz="4" w:space="0" w:color="auto"/>
            </w:tcBorders>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62,9</w:t>
            </w:r>
          </w:p>
        </w:tc>
        <w:tc>
          <w:tcPr>
            <w:tcW w:w="1200" w:type="dxa"/>
            <w:tcBorders>
              <w:bottom w:val="single" w:sz="4" w:space="0" w:color="auto"/>
            </w:tcBorders>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7,8</w:t>
            </w:r>
          </w:p>
        </w:tc>
        <w:tc>
          <w:tcPr>
            <w:tcW w:w="1100" w:type="dxa"/>
            <w:tcBorders>
              <w:bottom w:val="single" w:sz="4" w:space="0" w:color="auto"/>
            </w:tcBorders>
            <w:shd w:val="clear" w:color="auto" w:fill="auto"/>
            <w:vAlign w:val="bottom"/>
          </w:tcPr>
          <w:p w:rsidR="000100D5" w:rsidRPr="00334472" w:rsidRDefault="000100D5" w:rsidP="001D101C">
            <w:pPr>
              <w:suppressAutoHyphens w:val="0"/>
              <w:spacing w:before="40" w:after="40" w:line="220" w:lineRule="exact"/>
              <w:ind w:right="113"/>
              <w:jc w:val="right"/>
              <w:rPr>
                <w:sz w:val="18"/>
              </w:rPr>
            </w:pPr>
            <w:r>
              <w:rPr>
                <w:sz w:val="18"/>
              </w:rPr>
              <w:t>29,3</w:t>
            </w:r>
          </w:p>
        </w:tc>
        <w:tc>
          <w:tcPr>
            <w:tcW w:w="1104" w:type="dxa"/>
            <w:tcBorders>
              <w:bottom w:val="single" w:sz="4" w:space="0" w:color="auto"/>
            </w:tcBorders>
            <w:shd w:val="clear" w:color="auto" w:fill="auto"/>
            <w:vAlign w:val="bottom"/>
          </w:tcPr>
          <w:p w:rsidR="000100D5" w:rsidRPr="00F5373B" w:rsidRDefault="000100D5" w:rsidP="001D101C">
            <w:pPr>
              <w:suppressAutoHyphens w:val="0"/>
              <w:spacing w:before="40" w:after="40" w:line="220" w:lineRule="exact"/>
              <w:ind w:right="113"/>
              <w:jc w:val="right"/>
              <w:rPr>
                <w:b/>
                <w:sz w:val="18"/>
              </w:rPr>
            </w:pPr>
            <w:r>
              <w:rPr>
                <w:b/>
                <w:sz w:val="18"/>
              </w:rPr>
              <w:t>100,</w:t>
            </w:r>
            <w:r w:rsidRPr="00F5373B">
              <w:rPr>
                <w:b/>
                <w:sz w:val="18"/>
              </w:rPr>
              <w:t>0</w:t>
            </w:r>
          </w:p>
        </w:tc>
      </w:tr>
      <w:tr w:rsidR="000100D5" w:rsidRPr="00334472">
        <w:tc>
          <w:tcPr>
            <w:tcW w:w="3066" w:type="dxa"/>
            <w:tcBorders>
              <w:top w:val="single" w:sz="4" w:space="0" w:color="auto"/>
              <w:bottom w:val="single" w:sz="12" w:space="0" w:color="auto"/>
            </w:tcBorders>
            <w:shd w:val="clear" w:color="auto" w:fill="auto"/>
            <w:vAlign w:val="bottom"/>
          </w:tcPr>
          <w:p w:rsidR="000100D5" w:rsidRPr="00171107" w:rsidRDefault="000100D5" w:rsidP="001D101C">
            <w:pPr>
              <w:suppressAutoHyphens w:val="0"/>
              <w:spacing w:before="80" w:after="80" w:line="220" w:lineRule="exact"/>
              <w:ind w:left="284"/>
              <w:rPr>
                <w:b/>
                <w:sz w:val="18"/>
              </w:rPr>
            </w:pPr>
            <w:r w:rsidRPr="00171107">
              <w:rPr>
                <w:b/>
                <w:sz w:val="18"/>
              </w:rPr>
              <w:t>Total de personas de 15 años o más</w:t>
            </w:r>
          </w:p>
        </w:tc>
        <w:tc>
          <w:tcPr>
            <w:tcW w:w="900" w:type="dxa"/>
            <w:tcBorders>
              <w:top w:val="single" w:sz="4" w:space="0" w:color="auto"/>
              <w:bottom w:val="single" w:sz="12" w:space="0" w:color="auto"/>
            </w:tcBorders>
            <w:shd w:val="clear" w:color="auto" w:fill="auto"/>
            <w:vAlign w:val="bottom"/>
          </w:tcPr>
          <w:p w:rsidR="000100D5" w:rsidRPr="00334472" w:rsidRDefault="000100D5" w:rsidP="001D101C">
            <w:pPr>
              <w:suppressAutoHyphens w:val="0"/>
              <w:spacing w:before="80" w:after="80" w:line="220" w:lineRule="exact"/>
              <w:ind w:right="113"/>
              <w:jc w:val="right"/>
              <w:rPr>
                <w:b/>
                <w:sz w:val="18"/>
              </w:rPr>
            </w:pPr>
            <w:r>
              <w:rPr>
                <w:b/>
                <w:sz w:val="18"/>
              </w:rPr>
              <w:t>57,2</w:t>
            </w:r>
          </w:p>
        </w:tc>
        <w:tc>
          <w:tcPr>
            <w:tcW w:w="1200" w:type="dxa"/>
            <w:tcBorders>
              <w:top w:val="single" w:sz="4" w:space="0" w:color="auto"/>
              <w:bottom w:val="single" w:sz="12" w:space="0" w:color="auto"/>
            </w:tcBorders>
            <w:shd w:val="clear" w:color="auto" w:fill="auto"/>
            <w:vAlign w:val="bottom"/>
          </w:tcPr>
          <w:p w:rsidR="000100D5" w:rsidRPr="00334472" w:rsidRDefault="000100D5" w:rsidP="001D101C">
            <w:pPr>
              <w:suppressAutoHyphens w:val="0"/>
              <w:spacing w:before="80" w:after="80" w:line="220" w:lineRule="exact"/>
              <w:ind w:right="113"/>
              <w:jc w:val="right"/>
              <w:rPr>
                <w:b/>
                <w:sz w:val="18"/>
              </w:rPr>
            </w:pPr>
            <w:r>
              <w:rPr>
                <w:b/>
                <w:sz w:val="18"/>
              </w:rPr>
              <w:t>5,2</w:t>
            </w:r>
          </w:p>
        </w:tc>
        <w:tc>
          <w:tcPr>
            <w:tcW w:w="1100" w:type="dxa"/>
            <w:tcBorders>
              <w:top w:val="single" w:sz="4" w:space="0" w:color="auto"/>
              <w:bottom w:val="single" w:sz="12" w:space="0" w:color="auto"/>
            </w:tcBorders>
            <w:shd w:val="clear" w:color="auto" w:fill="auto"/>
            <w:vAlign w:val="bottom"/>
          </w:tcPr>
          <w:p w:rsidR="000100D5" w:rsidRPr="00334472" w:rsidRDefault="000100D5" w:rsidP="001D101C">
            <w:pPr>
              <w:suppressAutoHyphens w:val="0"/>
              <w:spacing w:before="80" w:after="80" w:line="220" w:lineRule="exact"/>
              <w:ind w:right="113"/>
              <w:jc w:val="right"/>
              <w:rPr>
                <w:b/>
                <w:sz w:val="18"/>
              </w:rPr>
            </w:pPr>
            <w:r>
              <w:rPr>
                <w:b/>
                <w:sz w:val="18"/>
              </w:rPr>
              <w:t>37,6</w:t>
            </w:r>
          </w:p>
        </w:tc>
        <w:tc>
          <w:tcPr>
            <w:tcW w:w="1104" w:type="dxa"/>
            <w:tcBorders>
              <w:top w:val="single" w:sz="4" w:space="0" w:color="auto"/>
              <w:bottom w:val="single" w:sz="12" w:space="0" w:color="auto"/>
            </w:tcBorders>
            <w:shd w:val="clear" w:color="auto" w:fill="auto"/>
            <w:vAlign w:val="bottom"/>
          </w:tcPr>
          <w:p w:rsidR="000100D5" w:rsidRPr="00334472" w:rsidRDefault="000100D5" w:rsidP="001D101C">
            <w:pPr>
              <w:suppressAutoHyphens w:val="0"/>
              <w:spacing w:before="80" w:after="80" w:line="220" w:lineRule="exact"/>
              <w:ind w:right="113"/>
              <w:jc w:val="right"/>
              <w:rPr>
                <w:b/>
                <w:sz w:val="18"/>
              </w:rPr>
            </w:pPr>
            <w:r>
              <w:rPr>
                <w:b/>
                <w:sz w:val="18"/>
              </w:rPr>
              <w:t>100,0</w:t>
            </w:r>
          </w:p>
        </w:tc>
      </w:tr>
    </w:tbl>
    <w:p w:rsidR="000100D5" w:rsidRPr="00171107" w:rsidRDefault="000100D5" w:rsidP="008B3ABA">
      <w:pPr>
        <w:pStyle w:val="SingleTxtG"/>
        <w:spacing w:before="120" w:after="0"/>
        <w:ind w:firstLine="170"/>
        <w:jc w:val="left"/>
        <w:rPr>
          <w:sz w:val="18"/>
          <w:szCs w:val="18"/>
        </w:rPr>
      </w:pPr>
      <w:r w:rsidRPr="00171107">
        <w:rPr>
          <w:i/>
          <w:sz w:val="18"/>
          <w:szCs w:val="18"/>
        </w:rPr>
        <w:t>Fuente:</w:t>
      </w:r>
      <w:r w:rsidR="005007D6">
        <w:rPr>
          <w:sz w:val="18"/>
          <w:szCs w:val="18"/>
        </w:rPr>
        <w:t xml:space="preserve"> </w:t>
      </w:r>
      <w:r w:rsidRPr="00171107">
        <w:rPr>
          <w:sz w:val="18"/>
          <w:szCs w:val="18"/>
        </w:rPr>
        <w:t>Censo de Población de la Oficina Central de Estadística.</w:t>
      </w:r>
    </w:p>
    <w:p w:rsidR="000100D5" w:rsidRPr="001D41A9" w:rsidRDefault="000100D5" w:rsidP="008B3ABA">
      <w:pPr>
        <w:pStyle w:val="SingleTxtG"/>
        <w:spacing w:after="0"/>
        <w:ind w:firstLine="170"/>
        <w:jc w:val="left"/>
        <w:rPr>
          <w:i/>
          <w:sz w:val="18"/>
          <w:szCs w:val="18"/>
        </w:rPr>
      </w:pPr>
      <w:r w:rsidRPr="001D41A9">
        <w:rPr>
          <w:i/>
          <w:sz w:val="18"/>
          <w:szCs w:val="18"/>
        </w:rPr>
        <w:t>Not</w:t>
      </w:r>
      <w:r>
        <w:rPr>
          <w:i/>
          <w:sz w:val="18"/>
          <w:szCs w:val="18"/>
        </w:rPr>
        <w:t>a</w:t>
      </w:r>
      <w:r w:rsidRPr="001D41A9">
        <w:rPr>
          <w:i/>
          <w:sz w:val="18"/>
          <w:szCs w:val="18"/>
        </w:rPr>
        <w:t xml:space="preserve">: </w:t>
      </w:r>
    </w:p>
    <w:p w:rsidR="000100D5" w:rsidRPr="00E57E7B" w:rsidRDefault="000100D5" w:rsidP="008B3ABA">
      <w:pPr>
        <w:pStyle w:val="SingleTxtG"/>
        <w:spacing w:after="0"/>
        <w:ind w:left="1304"/>
        <w:jc w:val="left"/>
        <w:rPr>
          <w:sz w:val="18"/>
          <w:szCs w:val="18"/>
        </w:rPr>
      </w:pPr>
      <w:r w:rsidRPr="00171107">
        <w:rPr>
          <w:sz w:val="18"/>
          <w:szCs w:val="18"/>
        </w:rPr>
        <w:t>i)</w:t>
      </w:r>
      <w:r w:rsidRPr="00171107">
        <w:rPr>
          <w:sz w:val="18"/>
          <w:szCs w:val="18"/>
        </w:rPr>
        <w:tab/>
        <w:t>El 84,3% de las personas de 15 años o más</w:t>
      </w:r>
      <w:r>
        <w:rPr>
          <w:sz w:val="18"/>
          <w:szCs w:val="18"/>
        </w:rPr>
        <w:t xml:space="preserve"> </w:t>
      </w:r>
      <w:r w:rsidRPr="00171107">
        <w:rPr>
          <w:sz w:val="18"/>
          <w:szCs w:val="18"/>
        </w:rPr>
        <w:t>de los 10 países que se adhirieron a</w:t>
      </w:r>
      <w:r>
        <w:rPr>
          <w:sz w:val="18"/>
          <w:szCs w:val="18"/>
        </w:rPr>
        <w:t xml:space="preserve"> la</w:t>
      </w:r>
      <w:r w:rsidRPr="00171107">
        <w:rPr>
          <w:sz w:val="18"/>
          <w:szCs w:val="18"/>
        </w:rPr>
        <w:t xml:space="preserve"> U</w:t>
      </w:r>
      <w:r>
        <w:rPr>
          <w:sz w:val="18"/>
          <w:szCs w:val="18"/>
        </w:rPr>
        <w:t>E</w:t>
      </w:r>
      <w:r w:rsidRPr="00171107">
        <w:rPr>
          <w:sz w:val="18"/>
          <w:szCs w:val="18"/>
        </w:rPr>
        <w:t xml:space="preserve"> </w:t>
      </w:r>
      <w:r>
        <w:rPr>
          <w:sz w:val="18"/>
          <w:szCs w:val="18"/>
        </w:rPr>
        <w:t>e</w:t>
      </w:r>
      <w:r w:rsidRPr="00171107">
        <w:rPr>
          <w:sz w:val="18"/>
          <w:szCs w:val="18"/>
        </w:rPr>
        <w:t xml:space="preserve">n 2004 </w:t>
      </w:r>
      <w:r>
        <w:rPr>
          <w:sz w:val="18"/>
          <w:szCs w:val="18"/>
        </w:rPr>
        <w:t>se encontraban en activo e</w:t>
      </w:r>
      <w:r w:rsidRPr="00171107">
        <w:rPr>
          <w:sz w:val="18"/>
          <w:szCs w:val="18"/>
        </w:rPr>
        <w:t xml:space="preserve">n 2006. </w:t>
      </w:r>
      <w:r w:rsidRPr="00E57E7B">
        <w:rPr>
          <w:sz w:val="18"/>
          <w:szCs w:val="18"/>
        </w:rPr>
        <w:t>Este porcentaje era mucho más elevado que el de otros grupos de nacionales no irlandeses (v</w:t>
      </w:r>
      <w:r>
        <w:rPr>
          <w:sz w:val="18"/>
          <w:szCs w:val="18"/>
        </w:rPr>
        <w:t>éase</w:t>
      </w:r>
      <w:r w:rsidRPr="00E57E7B">
        <w:rPr>
          <w:sz w:val="18"/>
          <w:szCs w:val="18"/>
        </w:rPr>
        <w:t xml:space="preserve"> </w:t>
      </w:r>
      <w:r w:rsidR="00B64FA5">
        <w:rPr>
          <w:sz w:val="18"/>
          <w:szCs w:val="18"/>
        </w:rPr>
        <w:t>c</w:t>
      </w:r>
      <w:r>
        <w:rPr>
          <w:sz w:val="18"/>
          <w:szCs w:val="18"/>
        </w:rPr>
        <w:t>uadro</w:t>
      </w:r>
      <w:r w:rsidRPr="00E57E7B">
        <w:rPr>
          <w:sz w:val="18"/>
          <w:szCs w:val="18"/>
        </w:rPr>
        <w:t xml:space="preserve"> 10). </w:t>
      </w:r>
    </w:p>
    <w:p w:rsidR="000100D5" w:rsidRPr="00E57E7B" w:rsidRDefault="000100D5" w:rsidP="008B3ABA">
      <w:pPr>
        <w:pStyle w:val="SingleTxtG"/>
        <w:spacing w:after="240"/>
        <w:ind w:left="1304"/>
        <w:jc w:val="left"/>
        <w:rPr>
          <w:sz w:val="18"/>
          <w:szCs w:val="18"/>
        </w:rPr>
      </w:pPr>
      <w:r w:rsidRPr="00E57E7B">
        <w:rPr>
          <w:sz w:val="18"/>
          <w:szCs w:val="18"/>
        </w:rPr>
        <w:t>ii)</w:t>
      </w:r>
      <w:r w:rsidRPr="00E57E7B">
        <w:rPr>
          <w:sz w:val="18"/>
          <w:szCs w:val="18"/>
        </w:rPr>
        <w:tab/>
        <w:t xml:space="preserve">El 26,6% de los africanos o de otros grupos étnicos de </w:t>
      </w:r>
      <w:r>
        <w:rPr>
          <w:sz w:val="18"/>
          <w:szCs w:val="18"/>
        </w:rPr>
        <w:t>procedencia</w:t>
      </w:r>
      <w:r w:rsidRPr="00E57E7B">
        <w:rPr>
          <w:sz w:val="18"/>
          <w:szCs w:val="18"/>
        </w:rPr>
        <w:t xml:space="preserve"> negr</w:t>
      </w:r>
      <w:r>
        <w:rPr>
          <w:sz w:val="18"/>
          <w:szCs w:val="18"/>
        </w:rPr>
        <w:t>a</w:t>
      </w:r>
      <w:r w:rsidRPr="00E57E7B">
        <w:rPr>
          <w:sz w:val="18"/>
          <w:szCs w:val="18"/>
        </w:rPr>
        <w:t xml:space="preserve"> estaban desempleados en 2006</w:t>
      </w:r>
      <w:r>
        <w:rPr>
          <w:sz w:val="18"/>
          <w:szCs w:val="18"/>
        </w:rPr>
        <w:t>, en</w:t>
      </w:r>
      <w:r w:rsidRPr="00E57E7B">
        <w:rPr>
          <w:sz w:val="18"/>
          <w:szCs w:val="18"/>
        </w:rPr>
        <w:t xml:space="preserve"> compar</w:t>
      </w:r>
      <w:r>
        <w:rPr>
          <w:sz w:val="18"/>
          <w:szCs w:val="18"/>
        </w:rPr>
        <w:t>ación con el</w:t>
      </w:r>
      <w:r w:rsidRPr="00E57E7B">
        <w:rPr>
          <w:sz w:val="18"/>
          <w:szCs w:val="18"/>
        </w:rPr>
        <w:t xml:space="preserve"> 4</w:t>
      </w:r>
      <w:r>
        <w:rPr>
          <w:sz w:val="18"/>
          <w:szCs w:val="18"/>
        </w:rPr>
        <w:t>,</w:t>
      </w:r>
      <w:r w:rsidRPr="00E57E7B">
        <w:rPr>
          <w:sz w:val="18"/>
          <w:szCs w:val="18"/>
        </w:rPr>
        <w:t xml:space="preserve">6% </w:t>
      </w:r>
      <w:r>
        <w:rPr>
          <w:sz w:val="18"/>
          <w:szCs w:val="18"/>
        </w:rPr>
        <w:t>de los irlandeses blancos</w:t>
      </w:r>
      <w:r w:rsidRPr="00E57E7B">
        <w:rPr>
          <w:sz w:val="18"/>
          <w:szCs w:val="18"/>
        </w:rPr>
        <w:t xml:space="preserve"> (</w:t>
      </w:r>
      <w:r>
        <w:rPr>
          <w:sz w:val="18"/>
          <w:szCs w:val="18"/>
        </w:rPr>
        <w:t>véase</w:t>
      </w:r>
      <w:r w:rsidRPr="00E57E7B">
        <w:rPr>
          <w:sz w:val="18"/>
          <w:szCs w:val="18"/>
        </w:rPr>
        <w:t xml:space="preserve"> </w:t>
      </w:r>
      <w:r w:rsidR="00B64FA5">
        <w:rPr>
          <w:sz w:val="18"/>
          <w:szCs w:val="18"/>
        </w:rPr>
        <w:t>c</w:t>
      </w:r>
      <w:r>
        <w:rPr>
          <w:sz w:val="18"/>
          <w:szCs w:val="18"/>
        </w:rPr>
        <w:t>uadro</w:t>
      </w:r>
      <w:r w:rsidRPr="00E57E7B">
        <w:rPr>
          <w:sz w:val="18"/>
          <w:szCs w:val="18"/>
        </w:rPr>
        <w:t xml:space="preserve"> 11).</w:t>
      </w:r>
    </w:p>
    <w:p w:rsidR="000100D5" w:rsidRPr="006B35C1" w:rsidRDefault="000100D5" w:rsidP="000100D5">
      <w:pPr>
        <w:pStyle w:val="H4G"/>
      </w:pPr>
      <w:r w:rsidRPr="00E57E7B">
        <w:tab/>
      </w:r>
      <w:r w:rsidRPr="006B35C1">
        <w:t>d)</w:t>
      </w:r>
      <w:r w:rsidRPr="006B35C1">
        <w:tab/>
      </w:r>
      <w:r>
        <w:t>Trabajadores por grupos industriales</w:t>
      </w:r>
      <w:r w:rsidRPr="006B35C1">
        <w:t xml:space="preserve"> </w:t>
      </w:r>
    </w:p>
    <w:p w:rsidR="000100D5" w:rsidRPr="00F1250A" w:rsidRDefault="000100D5" w:rsidP="000100D5">
      <w:pPr>
        <w:pStyle w:val="SingleTxtG"/>
      </w:pPr>
      <w:r w:rsidRPr="00E57E7B">
        <w:t>304.</w:t>
      </w:r>
      <w:r w:rsidRPr="00E57E7B">
        <w:tab/>
        <w:t>Los grandes sectores que dan empleo a los nacionales no irlandeses var</w:t>
      </w:r>
      <w:r>
        <w:t>ían</w:t>
      </w:r>
      <w:r w:rsidRPr="00E57E7B">
        <w:t xml:space="preserve"> </w:t>
      </w:r>
      <w:r>
        <w:t>en fun</w:t>
      </w:r>
      <w:r w:rsidRPr="00E57E7B">
        <w:t>c</w:t>
      </w:r>
      <w:r>
        <w:t>ión de la</w:t>
      </w:r>
      <w:r w:rsidRPr="00E57E7B">
        <w:t xml:space="preserve"> na</w:t>
      </w:r>
      <w:r>
        <w:t>c</w:t>
      </w:r>
      <w:r w:rsidRPr="00E57E7B">
        <w:t>ionali</w:t>
      </w:r>
      <w:r>
        <w:t>dad</w:t>
      </w:r>
      <w:r w:rsidRPr="00E57E7B">
        <w:t xml:space="preserve">. </w:t>
      </w:r>
      <w:r w:rsidRPr="00E94456">
        <w:t xml:space="preserve">Aunque en todos los grupos </w:t>
      </w:r>
      <w:r>
        <w:t xml:space="preserve">prevalece el sector de los servicios, </w:t>
      </w:r>
      <w:r w:rsidRPr="00E94456">
        <w:t>pierde importancia para los oriundos de los Estados adheridos a la UE</w:t>
      </w:r>
      <w:r>
        <w:t>, en donde predominan los sectores</w:t>
      </w:r>
      <w:r w:rsidRPr="00E94456">
        <w:t xml:space="preserve"> industrial (</w:t>
      </w:r>
      <w:r>
        <w:t>e</w:t>
      </w:r>
      <w:r w:rsidRPr="00E94456">
        <w:t>spec</w:t>
      </w:r>
      <w:r>
        <w:t>í</w:t>
      </w:r>
      <w:r w:rsidRPr="00E94456">
        <w:t>fica</w:t>
      </w:r>
      <w:r>
        <w:t>mente el de las</w:t>
      </w:r>
      <w:r w:rsidRPr="00E94456">
        <w:t xml:space="preserve"> manufactur</w:t>
      </w:r>
      <w:r>
        <w:t>as y el de la</w:t>
      </w:r>
      <w:r w:rsidRPr="00E94456">
        <w:t xml:space="preserve"> construc</w:t>
      </w:r>
      <w:r>
        <w:t>c</w:t>
      </w:r>
      <w:r w:rsidRPr="00E94456">
        <w:t>i</w:t>
      </w:r>
      <w:r>
        <w:t>ó</w:t>
      </w:r>
      <w:r w:rsidRPr="00E94456">
        <w:t xml:space="preserve">n) </w:t>
      </w:r>
      <w:r>
        <w:t>y</w:t>
      </w:r>
      <w:r w:rsidRPr="00E94456">
        <w:t xml:space="preserve"> agr</w:t>
      </w:r>
      <w:r>
        <w:t>í</w:t>
      </w:r>
      <w:r w:rsidRPr="00E94456">
        <w:t>c</w:t>
      </w:r>
      <w:r>
        <w:t>o</w:t>
      </w:r>
      <w:r w:rsidRPr="00E94456">
        <w:t xml:space="preserve">la. </w:t>
      </w:r>
      <w:r>
        <w:t>El porcentaje de trabajadores</w:t>
      </w:r>
      <w:r w:rsidRPr="00F1250A">
        <w:t xml:space="preserve"> agrícolas es muy bajo en los grupos no irlandeses</w:t>
      </w:r>
      <w:r>
        <w:t>,</w:t>
      </w:r>
      <w:r w:rsidRPr="00F1250A">
        <w:t xml:space="preserve"> si se excluyen </w:t>
      </w:r>
      <w:r>
        <w:t>los Estados adheridos</w:t>
      </w:r>
      <w:r w:rsidRPr="00F1250A">
        <w:t xml:space="preserve"> (</w:t>
      </w:r>
      <w:r>
        <w:t xml:space="preserve">el </w:t>
      </w:r>
      <w:r w:rsidRPr="00F1250A">
        <w:t>1</w:t>
      </w:r>
      <w:r>
        <w:t>,</w:t>
      </w:r>
      <w:r w:rsidRPr="00F1250A">
        <w:t xml:space="preserve">5% </w:t>
      </w:r>
      <w:r>
        <w:t xml:space="preserve">de la UE de </w:t>
      </w:r>
      <w:r w:rsidRPr="00F1250A">
        <w:t xml:space="preserve">15 </w:t>
      </w:r>
      <w:r>
        <w:t xml:space="preserve">países </w:t>
      </w:r>
      <w:r w:rsidRPr="00F1250A">
        <w:t>exclu</w:t>
      </w:r>
      <w:r>
        <w:t>yendo a</w:t>
      </w:r>
      <w:r w:rsidRPr="00F1250A">
        <w:t xml:space="preserve"> Irland</w:t>
      </w:r>
      <w:r>
        <w:t>a y al Reino Unido y</w:t>
      </w:r>
      <w:r w:rsidRPr="00F1250A">
        <w:t xml:space="preserve"> aproxima</w:t>
      </w:r>
      <w:r>
        <w:t>damente el</w:t>
      </w:r>
      <w:r w:rsidRPr="00F1250A">
        <w:t xml:space="preserve"> 2% </w:t>
      </w:r>
      <w:r>
        <w:t>para el Reino Unido y el resto del mundo</w:t>
      </w:r>
      <w:r w:rsidRPr="00F1250A">
        <w:t xml:space="preserve">). </w:t>
      </w:r>
    </w:p>
    <w:p w:rsidR="000100D5" w:rsidRPr="004D2380" w:rsidRDefault="000100D5" w:rsidP="000100D5">
      <w:pPr>
        <w:pStyle w:val="SingleTxtG"/>
      </w:pPr>
      <w:r w:rsidRPr="00F1250A">
        <w:t>305.</w:t>
      </w:r>
      <w:r w:rsidRPr="00F1250A">
        <w:tab/>
        <w:t>El Cuadro 12 ofrece un</w:t>
      </w:r>
      <w:r>
        <w:t>a</w:t>
      </w:r>
      <w:r w:rsidRPr="00F1250A">
        <w:t xml:space="preserve"> p</w:t>
      </w:r>
      <w:r>
        <w:t>erspectiva</w:t>
      </w:r>
      <w:r w:rsidRPr="00F1250A">
        <w:t xml:space="preserve"> más detallad</w:t>
      </w:r>
      <w:r>
        <w:t>a</w:t>
      </w:r>
      <w:r w:rsidRPr="00F1250A">
        <w:t xml:space="preserve"> de los </w:t>
      </w:r>
      <w:r>
        <w:t xml:space="preserve">grupos </w:t>
      </w:r>
      <w:r w:rsidRPr="00F1250A">
        <w:t>industrial</w:t>
      </w:r>
      <w:r>
        <w:t>es pertinentes</w:t>
      </w:r>
      <w:r w:rsidRPr="00F1250A">
        <w:t xml:space="preserve">. </w:t>
      </w:r>
      <w:r>
        <w:t>La</w:t>
      </w:r>
      <w:r w:rsidRPr="00F1250A">
        <w:t xml:space="preserve"> distribución de los nacionales del Reino Unido es muy similar </w:t>
      </w:r>
      <w:r>
        <w:t>a la de los</w:t>
      </w:r>
      <w:r w:rsidRPr="00F1250A">
        <w:t xml:space="preserve"> </w:t>
      </w:r>
      <w:r>
        <w:t>irlandeses</w:t>
      </w:r>
      <w:r w:rsidRPr="00F1250A">
        <w:t xml:space="preserve">, </w:t>
      </w:r>
      <w:r>
        <w:t>mientras que, para</w:t>
      </w:r>
      <w:r w:rsidRPr="00F1250A">
        <w:t xml:space="preserve"> otr</w:t>
      </w:r>
      <w:r>
        <w:t>os</w:t>
      </w:r>
      <w:r w:rsidRPr="00F1250A">
        <w:t xml:space="preserve"> grup</w:t>
      </w:r>
      <w:r>
        <w:t>o</w:t>
      </w:r>
      <w:r w:rsidRPr="00F1250A">
        <w:t>s</w:t>
      </w:r>
      <w:r>
        <w:t>,</w:t>
      </w:r>
      <w:r w:rsidRPr="00F1250A">
        <w:t xml:space="preserve"> </w:t>
      </w:r>
      <w:r>
        <w:t>el panorama es más</w:t>
      </w:r>
      <w:r w:rsidRPr="00F1250A">
        <w:t xml:space="preserve"> </w:t>
      </w:r>
      <w:r>
        <w:t>diferente</w:t>
      </w:r>
      <w:r w:rsidRPr="00F1250A">
        <w:t xml:space="preserve">. </w:t>
      </w:r>
      <w:r w:rsidRPr="00260445">
        <w:t xml:space="preserve">Los trabajadores de la UE de 15 </w:t>
      </w:r>
      <w:r>
        <w:t xml:space="preserve">países </w:t>
      </w:r>
      <w:r w:rsidRPr="00260445">
        <w:t xml:space="preserve">(excluyendo a Irlanda y al Reino Unido) </w:t>
      </w:r>
      <w:r>
        <w:t>s</w:t>
      </w:r>
      <w:r w:rsidRPr="00260445">
        <w:t>e concentra</w:t>
      </w:r>
      <w:r>
        <w:t>n más</w:t>
      </w:r>
      <w:r w:rsidRPr="00260445">
        <w:t xml:space="preserve"> en las actividades comerciales, </w:t>
      </w:r>
      <w:r>
        <w:t>que engloban a casi la cuarta parte de todos los trabajadores de esos</w:t>
      </w:r>
      <w:r w:rsidRPr="00260445">
        <w:t xml:space="preserve"> </w:t>
      </w:r>
      <w:r>
        <w:t>países</w:t>
      </w:r>
      <w:r w:rsidRPr="00260445">
        <w:t xml:space="preserve">. </w:t>
      </w:r>
      <w:r w:rsidRPr="00263E68">
        <w:t>Entre los nacionales de los Estados adheridos a la UE, cuatro industrias emplean a las tres cuartas partes de todos los trabajadores: manufactur</w:t>
      </w:r>
      <w:r>
        <w:t>as</w:t>
      </w:r>
      <w:r w:rsidRPr="00263E68">
        <w:t>, construc</w:t>
      </w:r>
      <w:r>
        <w:t>c</w:t>
      </w:r>
      <w:r w:rsidRPr="00263E68">
        <w:t>i</w:t>
      </w:r>
      <w:r>
        <w:t>ó</w:t>
      </w:r>
      <w:r w:rsidRPr="00263E68">
        <w:t xml:space="preserve">n, </w:t>
      </w:r>
      <w:r>
        <w:t>comercio al por mayor/menor y</w:t>
      </w:r>
      <w:r w:rsidRPr="00263E68">
        <w:t xml:space="preserve"> hotel</w:t>
      </w:r>
      <w:r>
        <w:t>e</w:t>
      </w:r>
      <w:r w:rsidRPr="00263E68">
        <w:t xml:space="preserve">s </w:t>
      </w:r>
      <w:r>
        <w:t>y</w:t>
      </w:r>
      <w:r w:rsidRPr="00263E68">
        <w:t xml:space="preserve"> restaurant</w:t>
      </w:r>
      <w:r>
        <w:t>e</w:t>
      </w:r>
      <w:r w:rsidRPr="00263E68">
        <w:t xml:space="preserve">s. Más de la quinta parte de los nacionales de otros países </w:t>
      </w:r>
      <w:r>
        <w:t>está empleado</w:t>
      </w:r>
      <w:r w:rsidRPr="00263E68">
        <w:t xml:space="preserve"> en el sector de la salud y</w:t>
      </w:r>
      <w:r>
        <w:t xml:space="preserve"> el trabajo</w:t>
      </w:r>
      <w:r w:rsidRPr="00263E68">
        <w:t xml:space="preserve"> social</w:t>
      </w:r>
      <w:r>
        <w:t>; se trata, en su mayoría, de trabajadores asiáticos</w:t>
      </w:r>
      <w:r w:rsidRPr="00263E68">
        <w:t xml:space="preserve">. </w:t>
      </w:r>
      <w:r>
        <w:t xml:space="preserve">Todos los grupos cuentan con un alto porcentaje de trabajadores en </w:t>
      </w:r>
      <w:r w:rsidRPr="00263E68">
        <w:t xml:space="preserve">hoteles </w:t>
      </w:r>
      <w:r>
        <w:t>y</w:t>
      </w:r>
      <w:r w:rsidRPr="00263E68">
        <w:t xml:space="preserve"> restaurant</w:t>
      </w:r>
      <w:r>
        <w:t>e</w:t>
      </w:r>
      <w:r w:rsidRPr="00263E68">
        <w:t xml:space="preserve">s. </w:t>
      </w:r>
      <w:r w:rsidRPr="004D2380">
        <w:t>En términos generales, esta industria c</w:t>
      </w:r>
      <w:r>
        <w:t>omprende</w:t>
      </w:r>
      <w:r w:rsidRPr="004D2380">
        <w:t xml:space="preserve"> el porcentaje más a</w:t>
      </w:r>
      <w:r>
        <w:t>lt</w:t>
      </w:r>
      <w:r w:rsidRPr="004D2380">
        <w:t>o de trabajadores no ir</w:t>
      </w:r>
      <w:r>
        <w:t>landeses, en una proporción superior a uno de cada tres</w:t>
      </w:r>
      <w:r w:rsidRPr="004D2380">
        <w:t xml:space="preserve">. El sector con el porcentaje más reducido de nacionales no irlandeses es </w:t>
      </w:r>
      <w:r>
        <w:t>e</w:t>
      </w:r>
      <w:r w:rsidRPr="004D2380">
        <w:t>l</w:t>
      </w:r>
      <w:r>
        <w:t xml:space="preserve"> de l</w:t>
      </w:r>
      <w:r w:rsidRPr="004D2380">
        <w:t>a administraci</w:t>
      </w:r>
      <w:r>
        <w:t>ón pública y la</w:t>
      </w:r>
      <w:r w:rsidRPr="004D2380">
        <w:t xml:space="preserve"> </w:t>
      </w:r>
      <w:r>
        <w:t xml:space="preserve">defensa, con un </w:t>
      </w:r>
      <w:r w:rsidRPr="004D2380">
        <w:t>2</w:t>
      </w:r>
      <w:r>
        <w:t>,</w:t>
      </w:r>
      <w:r w:rsidRPr="004D2380">
        <w:t xml:space="preserve">6 </w:t>
      </w:r>
      <w:r>
        <w:t>%</w:t>
      </w:r>
      <w:r w:rsidRPr="004D2380">
        <w:t>.</w:t>
      </w:r>
    </w:p>
    <w:p w:rsidR="000100D5" w:rsidRPr="00FE55C4" w:rsidRDefault="000100D5" w:rsidP="000100D5">
      <w:pPr>
        <w:pStyle w:val="SingleTxtG"/>
      </w:pPr>
      <w:r w:rsidRPr="004D2380">
        <w:t>306.</w:t>
      </w:r>
      <w:r w:rsidRPr="004D2380">
        <w:tab/>
        <w:t>Según la Encuesta de Hogares Nacional Trimestral (2º trimestre, 2009)</w:t>
      </w:r>
      <w:r>
        <w:rPr>
          <w:rStyle w:val="FootnoteReference"/>
        </w:rPr>
        <w:footnoteReference w:id="76"/>
      </w:r>
      <w:r w:rsidR="001F5C61">
        <w:t>,</w:t>
      </w:r>
      <w:r w:rsidRPr="004D2380">
        <w:t xml:space="preserve"> los nacionales no</w:t>
      </w:r>
      <w:r>
        <w:t xml:space="preserve"> i</w:t>
      </w:r>
      <w:r w:rsidRPr="004D2380">
        <w:t>r</w:t>
      </w:r>
      <w:r>
        <w:t>landeses</w:t>
      </w:r>
      <w:r w:rsidRPr="004D2380">
        <w:t xml:space="preserve"> </w:t>
      </w:r>
      <w:r>
        <w:t>representaban el</w:t>
      </w:r>
      <w:r w:rsidRPr="004D2380">
        <w:t xml:space="preserve"> 14</w:t>
      </w:r>
      <w:r>
        <w:t>,</w:t>
      </w:r>
      <w:r w:rsidRPr="004D2380">
        <w:t xml:space="preserve">2% </w:t>
      </w:r>
      <w:r>
        <w:t>de todas las</w:t>
      </w:r>
      <w:r w:rsidRPr="004D2380">
        <w:t xml:space="preserve"> person</w:t>
      </w:r>
      <w:r>
        <w:t>a</w:t>
      </w:r>
      <w:r w:rsidRPr="004D2380">
        <w:t xml:space="preserve">s </w:t>
      </w:r>
      <w:r>
        <w:t>empleadas de</w:t>
      </w:r>
      <w:r w:rsidRPr="004D2380">
        <w:t xml:space="preserve"> 15 </w:t>
      </w:r>
      <w:r>
        <w:t>años o más, porcentaje comparable con el</w:t>
      </w:r>
      <w:r w:rsidRPr="004D2380">
        <w:t xml:space="preserve"> 15,8% en el </w:t>
      </w:r>
      <w:r>
        <w:t>segundo trimest</w:t>
      </w:r>
      <w:r w:rsidRPr="004D2380">
        <w:t>r</w:t>
      </w:r>
      <w:r>
        <w:t>e</w:t>
      </w:r>
      <w:r w:rsidRPr="004D2380">
        <w:t xml:space="preserve"> de 2008. Prácticamente el 35% de los trabajadores del capítulo de </w:t>
      </w:r>
      <w:r w:rsidR="00E03EF2">
        <w:t>"</w:t>
      </w:r>
      <w:r w:rsidRPr="004D2380">
        <w:t>Actividades del servicio de</w:t>
      </w:r>
      <w:r>
        <w:t xml:space="preserve"> a</w:t>
      </w:r>
      <w:r w:rsidRPr="004D2380">
        <w:t>lojamiento</w:t>
      </w:r>
      <w:r>
        <w:t xml:space="preserve"> y </w:t>
      </w:r>
      <w:r w:rsidRPr="004D2380">
        <w:t>a</w:t>
      </w:r>
      <w:r>
        <w:t>limentación</w:t>
      </w:r>
      <w:r w:rsidR="00E03EF2">
        <w:t>"</w:t>
      </w:r>
      <w:r w:rsidRPr="004D2380">
        <w:t xml:space="preserve">, </w:t>
      </w:r>
      <w:r>
        <w:t xml:space="preserve">el </w:t>
      </w:r>
      <w:r w:rsidRPr="004D2380">
        <w:t>21</w:t>
      </w:r>
      <w:r>
        <w:t>,</w:t>
      </w:r>
      <w:r w:rsidRPr="004D2380">
        <w:t xml:space="preserve">4% </w:t>
      </w:r>
      <w:r>
        <w:t>de</w:t>
      </w:r>
      <w:r w:rsidRPr="004D2380">
        <w:t xml:space="preserve"> </w:t>
      </w:r>
      <w:r w:rsidR="00E03EF2">
        <w:t>"</w:t>
      </w:r>
      <w:r w:rsidRPr="004D2380">
        <w:t>A</w:t>
      </w:r>
      <w:r>
        <w:t>ctividades a</w:t>
      </w:r>
      <w:r w:rsidRPr="004D2380">
        <w:t>dministrativ</w:t>
      </w:r>
      <w:r>
        <w:t>as y de servicios de apoyo</w:t>
      </w:r>
      <w:r w:rsidR="00E03EF2">
        <w:t>"</w:t>
      </w:r>
      <w:r w:rsidRPr="004D2380">
        <w:t xml:space="preserve"> </w:t>
      </w:r>
      <w:r>
        <w:t>y el</w:t>
      </w:r>
      <w:r w:rsidRPr="004D2380">
        <w:t xml:space="preserve"> 18</w:t>
      </w:r>
      <w:r>
        <w:t>,</w:t>
      </w:r>
      <w:r w:rsidRPr="004D2380">
        <w:t xml:space="preserve">9% </w:t>
      </w:r>
      <w:r>
        <w:t>de</w:t>
      </w:r>
      <w:r w:rsidRPr="004D2380">
        <w:t xml:space="preserve"> </w:t>
      </w:r>
      <w:r w:rsidR="00E03EF2">
        <w:t>"</w:t>
      </w:r>
      <w:r w:rsidRPr="004D2380">
        <w:t>Informa</w:t>
      </w:r>
      <w:r>
        <w:t>c</w:t>
      </w:r>
      <w:r w:rsidRPr="004D2380">
        <w:t>i</w:t>
      </w:r>
      <w:r>
        <w:t>ó</w:t>
      </w:r>
      <w:r w:rsidRPr="004D2380">
        <w:t xml:space="preserve">n </w:t>
      </w:r>
      <w:r>
        <w:t>y</w:t>
      </w:r>
      <w:r w:rsidRPr="004D2380">
        <w:t xml:space="preserve"> comunica</w:t>
      </w:r>
      <w:r>
        <w:t>c</w:t>
      </w:r>
      <w:r w:rsidRPr="004D2380">
        <w:t>i</w:t>
      </w:r>
      <w:r>
        <w:t>ó</w:t>
      </w:r>
      <w:r w:rsidRPr="004D2380">
        <w:t>n</w:t>
      </w:r>
      <w:r w:rsidR="00E03EF2">
        <w:t>"</w:t>
      </w:r>
      <w:r w:rsidRPr="004D2380">
        <w:t xml:space="preserve"> </w:t>
      </w:r>
      <w:r>
        <w:t>eran</w:t>
      </w:r>
      <w:r w:rsidRPr="004D2380">
        <w:t xml:space="preserve"> no</w:t>
      </w:r>
      <w:r>
        <w:t xml:space="preserve"> </w:t>
      </w:r>
      <w:r w:rsidRPr="004D2380">
        <w:t>na</w:t>
      </w:r>
      <w:r>
        <w:t>c</w:t>
      </w:r>
      <w:r w:rsidRPr="004D2380">
        <w:t>ional</w:t>
      </w:r>
      <w:r>
        <w:t>e</w:t>
      </w:r>
      <w:r w:rsidRPr="004D2380">
        <w:t xml:space="preserve">s. </w:t>
      </w:r>
      <w:r w:rsidRPr="00FE55C4">
        <w:t xml:space="preserve">Los descensos más marcados del empleo para los no nacionales </w:t>
      </w:r>
      <w:r>
        <w:t>irlandeses se produjeron en los sectores de la</w:t>
      </w:r>
      <w:r w:rsidRPr="00FE55C4">
        <w:t xml:space="preserve"> </w:t>
      </w:r>
      <w:r w:rsidR="00E03EF2">
        <w:t>"</w:t>
      </w:r>
      <w:r w:rsidRPr="00FE55C4">
        <w:t>Construc</w:t>
      </w:r>
      <w:r>
        <w:t>c</w:t>
      </w:r>
      <w:r w:rsidRPr="00FE55C4">
        <w:t>i</w:t>
      </w:r>
      <w:r>
        <w:t>ó</w:t>
      </w:r>
      <w:r w:rsidRPr="00FE55C4">
        <w:t>n</w:t>
      </w:r>
      <w:r w:rsidR="00E03EF2">
        <w:t>"</w:t>
      </w:r>
      <w:r w:rsidRPr="00FE55C4">
        <w:t xml:space="preserve"> (-20</w:t>
      </w:r>
      <w:r w:rsidR="008B3ABA">
        <w:t>.</w:t>
      </w:r>
      <w:r w:rsidRPr="00FE55C4">
        <w:t xml:space="preserve">800), </w:t>
      </w:r>
      <w:r>
        <w:t xml:space="preserve">el </w:t>
      </w:r>
      <w:r w:rsidR="00E03EF2">
        <w:t>"</w:t>
      </w:r>
      <w:r>
        <w:t>Comercio al por mayor y menor</w:t>
      </w:r>
      <w:r w:rsidRPr="00FE55C4">
        <w:t>: repar</w:t>
      </w:r>
      <w:r>
        <w:t xml:space="preserve">ación de vehículos de </w:t>
      </w:r>
      <w:r w:rsidRPr="00FE55C4">
        <w:t>motor</w:t>
      </w:r>
      <w:r>
        <w:t xml:space="preserve"> y</w:t>
      </w:r>
      <w:r w:rsidRPr="00FE55C4">
        <w:t xml:space="preserve"> moto</w:t>
      </w:r>
      <w:r>
        <w:t>cicletas</w:t>
      </w:r>
      <w:r w:rsidR="00E03EF2">
        <w:t>"</w:t>
      </w:r>
      <w:r w:rsidRPr="00FE55C4">
        <w:t xml:space="preserve"> (-13</w:t>
      </w:r>
      <w:r w:rsidR="008B3ABA">
        <w:t>.</w:t>
      </w:r>
      <w:r w:rsidRPr="00FE55C4">
        <w:t xml:space="preserve">200) </w:t>
      </w:r>
      <w:r>
        <w:t>e</w:t>
      </w:r>
      <w:r w:rsidRPr="00FE55C4">
        <w:t xml:space="preserve"> </w:t>
      </w:r>
      <w:r w:rsidR="00E03EF2">
        <w:t>"</w:t>
      </w:r>
      <w:r w:rsidRPr="00FE55C4">
        <w:t>Industr</w:t>
      </w:r>
      <w:r>
        <w:t>ia</w:t>
      </w:r>
      <w:r w:rsidR="00E03EF2">
        <w:t>"</w:t>
      </w:r>
      <w:r w:rsidRPr="00FE55C4">
        <w:t xml:space="preserve"> (-12</w:t>
      </w:r>
      <w:r w:rsidR="008B3ABA">
        <w:t>.</w:t>
      </w:r>
      <w:r w:rsidRPr="00FE55C4">
        <w:t xml:space="preserve">100). </w:t>
      </w:r>
    </w:p>
    <w:p w:rsidR="000100D5" w:rsidRPr="006B35C1" w:rsidRDefault="000100D5" w:rsidP="000100D5">
      <w:pPr>
        <w:pStyle w:val="SingleTxtG"/>
      </w:pPr>
      <w:r w:rsidRPr="00953EAC">
        <w:t>307.</w:t>
      </w:r>
      <w:r w:rsidRPr="00953EAC">
        <w:tab/>
        <w:t>Todo el que declare ha</w:t>
      </w:r>
      <w:r>
        <w:t>ber</w:t>
      </w:r>
      <w:r w:rsidRPr="00953EAC">
        <w:t xml:space="preserve"> sido víctima de discriminación en el ámbito del empleo o en otro </w:t>
      </w:r>
      <w:r>
        <w:t>ámbito puede solicitar</w:t>
      </w:r>
      <w:r w:rsidRPr="00953EAC">
        <w:t xml:space="preserve"> re</w:t>
      </w:r>
      <w:r>
        <w:t>paración acudiendo al</w:t>
      </w:r>
      <w:r w:rsidRPr="00953EAC">
        <w:t xml:space="preserve"> Tribunal</w:t>
      </w:r>
      <w:r>
        <w:t xml:space="preserve"> de la Igualdad (véanse</w:t>
      </w:r>
      <w:r w:rsidRPr="00953EAC">
        <w:t xml:space="preserve"> p</w:t>
      </w:r>
      <w:r>
        <w:t>ár</w:t>
      </w:r>
      <w:r w:rsidRPr="00953EAC">
        <w:t xml:space="preserve">rs. </w:t>
      </w:r>
      <w:r w:rsidRPr="006B35C1">
        <w:t xml:space="preserve">163 </w:t>
      </w:r>
      <w:r>
        <w:t>y ss</w:t>
      </w:r>
      <w:r w:rsidRPr="006B35C1">
        <w:t xml:space="preserve">.). </w:t>
      </w:r>
    </w:p>
    <w:p w:rsidR="000100D5" w:rsidRPr="00221596" w:rsidRDefault="000100D5" w:rsidP="000100D5">
      <w:pPr>
        <w:pStyle w:val="SingleTxtG"/>
      </w:pPr>
      <w:r w:rsidRPr="00221596">
        <w:t>308.</w:t>
      </w:r>
      <w:r w:rsidRPr="00221596">
        <w:tab/>
        <w:t xml:space="preserve">Sírvanse consultar también la información relacionada con la Dirección Nacional de </w:t>
      </w:r>
      <w:r>
        <w:t>Derechos de Empleo</w:t>
      </w:r>
      <w:r w:rsidRPr="00221596">
        <w:t xml:space="preserve">, en respuesta a la observación final contenida en el párrafo 10 del informe del Coordinador y con la Estrategia </w:t>
      </w:r>
      <w:r>
        <w:t>de acción para apoyar los lugares de t</w:t>
      </w:r>
      <w:r w:rsidRPr="00221596">
        <w:t>rabajo</w:t>
      </w:r>
      <w:r>
        <w:t xml:space="preserve"> i</w:t>
      </w:r>
      <w:r w:rsidRPr="00221596">
        <w:t>ntegra</w:t>
      </w:r>
      <w:r>
        <w:t>dos,</w:t>
      </w:r>
      <w:r w:rsidRPr="00221596">
        <w:t xml:space="preserve"> </w:t>
      </w:r>
      <w:r>
        <w:t>e</w:t>
      </w:r>
      <w:r w:rsidRPr="00221596">
        <w:t>n</w:t>
      </w:r>
      <w:r>
        <w:t xml:space="preserve"> los</w:t>
      </w:r>
      <w:r w:rsidRPr="00221596">
        <w:t xml:space="preserve"> p</w:t>
      </w:r>
      <w:r>
        <w:t>ár</w:t>
      </w:r>
      <w:r w:rsidRPr="00221596">
        <w:t>ra</w:t>
      </w:r>
      <w:r>
        <w:t>fos</w:t>
      </w:r>
      <w:r w:rsidRPr="00221596">
        <w:t xml:space="preserve"> 363 </w:t>
      </w:r>
      <w:r>
        <w:t>y ss</w:t>
      </w:r>
      <w:r w:rsidRPr="00221596">
        <w:t xml:space="preserve">. </w:t>
      </w:r>
      <w:r>
        <w:t>del</w:t>
      </w:r>
      <w:r w:rsidRPr="00221596">
        <w:t xml:space="preserve"> present</w:t>
      </w:r>
      <w:r>
        <w:t>e</w:t>
      </w:r>
      <w:r w:rsidRPr="00221596">
        <w:t xml:space="preserve"> </w:t>
      </w:r>
      <w:r>
        <w:t>informe</w:t>
      </w:r>
      <w:r w:rsidRPr="00221596">
        <w:t xml:space="preserve">. </w:t>
      </w:r>
    </w:p>
    <w:p w:rsidR="000100D5" w:rsidRDefault="000100D5" w:rsidP="000100D5">
      <w:pPr>
        <w:pStyle w:val="Heading1"/>
      </w:pPr>
      <w:r>
        <w:t>Cuadro</w:t>
      </w:r>
      <w:r w:rsidRPr="006B35C1">
        <w:t xml:space="preserve"> 12</w:t>
      </w:r>
    </w:p>
    <w:p w:rsidR="000100D5" w:rsidRPr="0059655C" w:rsidRDefault="000100D5" w:rsidP="000100D5">
      <w:pPr>
        <w:pStyle w:val="SingleTxtG"/>
        <w:rPr>
          <w:b/>
        </w:rPr>
      </w:pPr>
      <w:r w:rsidRPr="0059655C">
        <w:rPr>
          <w:b/>
        </w:rPr>
        <w:t xml:space="preserve">Clasificación de los trabajadores por grupo industrial </w:t>
      </w:r>
      <w:r>
        <w:rPr>
          <w:b/>
        </w:rPr>
        <w:t>y</w:t>
      </w:r>
      <w:r w:rsidRPr="0059655C">
        <w:rPr>
          <w:b/>
        </w:rPr>
        <w:t xml:space="preserve"> na</w:t>
      </w:r>
      <w:r>
        <w:rPr>
          <w:b/>
        </w:rPr>
        <w:t>c</w:t>
      </w:r>
      <w:r w:rsidRPr="0059655C">
        <w:rPr>
          <w:b/>
        </w:rPr>
        <w:t>ionali</w:t>
      </w:r>
      <w:r>
        <w:rPr>
          <w:b/>
        </w:rPr>
        <w:t>dad</w:t>
      </w:r>
      <w:r w:rsidRPr="0059655C">
        <w:rPr>
          <w:b/>
        </w:rPr>
        <w:t xml:space="preserve">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74"/>
        <w:gridCol w:w="1000"/>
        <w:gridCol w:w="990"/>
        <w:gridCol w:w="993"/>
        <w:gridCol w:w="993"/>
        <w:gridCol w:w="821"/>
      </w:tblGrid>
      <w:tr w:rsidR="000100D5" w:rsidRPr="0075500C">
        <w:trPr>
          <w:tblHeader/>
        </w:trPr>
        <w:tc>
          <w:tcPr>
            <w:tcW w:w="2574" w:type="dxa"/>
            <w:tcBorders>
              <w:top w:val="single" w:sz="4" w:space="0" w:color="auto"/>
              <w:bottom w:val="single" w:sz="12" w:space="0" w:color="auto"/>
            </w:tcBorders>
            <w:shd w:val="clear" w:color="auto" w:fill="auto"/>
            <w:vAlign w:val="bottom"/>
          </w:tcPr>
          <w:p w:rsidR="000100D5" w:rsidRPr="0075500C" w:rsidRDefault="000100D5" w:rsidP="000100D5">
            <w:pPr>
              <w:spacing w:before="80" w:after="80" w:line="200" w:lineRule="exact"/>
              <w:ind w:right="113"/>
              <w:rPr>
                <w:i/>
                <w:sz w:val="16"/>
              </w:rPr>
            </w:pPr>
            <w:r>
              <w:rPr>
                <w:i/>
                <w:sz w:val="16"/>
              </w:rPr>
              <w:t xml:space="preserve">Grupo industrial </w:t>
            </w:r>
          </w:p>
        </w:tc>
        <w:tc>
          <w:tcPr>
            <w:tcW w:w="1000" w:type="dxa"/>
            <w:tcBorders>
              <w:top w:val="single" w:sz="4" w:space="0" w:color="auto"/>
              <w:bottom w:val="single" w:sz="12" w:space="0" w:color="auto"/>
            </w:tcBorders>
            <w:shd w:val="clear" w:color="auto" w:fill="auto"/>
            <w:vAlign w:val="bottom"/>
          </w:tcPr>
          <w:p w:rsidR="000100D5" w:rsidRPr="0075500C" w:rsidRDefault="000100D5" w:rsidP="000100D5">
            <w:pPr>
              <w:spacing w:before="80" w:after="80" w:line="200" w:lineRule="exact"/>
              <w:ind w:right="113"/>
              <w:jc w:val="right"/>
              <w:rPr>
                <w:i/>
                <w:sz w:val="16"/>
              </w:rPr>
            </w:pPr>
            <w:r>
              <w:rPr>
                <w:i/>
                <w:sz w:val="16"/>
              </w:rPr>
              <w:t>Nacionales irlandeses</w:t>
            </w:r>
          </w:p>
        </w:tc>
        <w:tc>
          <w:tcPr>
            <w:tcW w:w="990" w:type="dxa"/>
            <w:tcBorders>
              <w:top w:val="single" w:sz="4" w:space="0" w:color="auto"/>
              <w:bottom w:val="single" w:sz="12" w:space="0" w:color="auto"/>
            </w:tcBorders>
            <w:shd w:val="clear" w:color="auto" w:fill="auto"/>
            <w:vAlign w:val="bottom"/>
          </w:tcPr>
          <w:p w:rsidR="000100D5" w:rsidRPr="0075500C" w:rsidRDefault="000100D5" w:rsidP="000100D5">
            <w:pPr>
              <w:spacing w:before="80" w:after="80" w:line="200" w:lineRule="exact"/>
              <w:ind w:right="113"/>
              <w:jc w:val="right"/>
              <w:rPr>
                <w:i/>
                <w:sz w:val="16"/>
              </w:rPr>
            </w:pPr>
            <w:r>
              <w:rPr>
                <w:i/>
                <w:sz w:val="16"/>
              </w:rPr>
              <w:t xml:space="preserve">Reino Unido </w:t>
            </w:r>
          </w:p>
        </w:tc>
        <w:tc>
          <w:tcPr>
            <w:tcW w:w="993" w:type="dxa"/>
            <w:tcBorders>
              <w:top w:val="single" w:sz="4" w:space="0" w:color="auto"/>
              <w:bottom w:val="single" w:sz="12" w:space="0" w:color="auto"/>
            </w:tcBorders>
            <w:shd w:val="clear" w:color="auto" w:fill="auto"/>
            <w:vAlign w:val="bottom"/>
          </w:tcPr>
          <w:p w:rsidR="000100D5" w:rsidRPr="0075500C" w:rsidRDefault="000100D5" w:rsidP="000100D5">
            <w:pPr>
              <w:spacing w:before="80" w:after="80" w:line="200" w:lineRule="exact"/>
              <w:ind w:right="113"/>
              <w:jc w:val="right"/>
              <w:rPr>
                <w:i/>
                <w:sz w:val="16"/>
              </w:rPr>
            </w:pPr>
            <w:r w:rsidRPr="0059655C">
              <w:rPr>
                <w:i/>
                <w:sz w:val="16"/>
              </w:rPr>
              <w:t>15 países de la UE</w:t>
            </w:r>
            <w:r w:rsidR="005007D6">
              <w:rPr>
                <w:i/>
                <w:sz w:val="16"/>
              </w:rPr>
              <w:t xml:space="preserve"> </w:t>
            </w:r>
            <w:r w:rsidRPr="0059655C">
              <w:rPr>
                <w:i/>
                <w:sz w:val="16"/>
              </w:rPr>
              <w:t xml:space="preserve">(excl. </w:t>
            </w:r>
            <w:r>
              <w:rPr>
                <w:i/>
                <w:sz w:val="16"/>
              </w:rPr>
              <w:t>Irlanda y Reino</w:t>
            </w:r>
            <w:r w:rsidR="00233171">
              <w:rPr>
                <w:i/>
                <w:sz w:val="16"/>
              </w:rPr>
              <w:t xml:space="preserve"> </w:t>
            </w:r>
            <w:r>
              <w:rPr>
                <w:i/>
                <w:sz w:val="16"/>
              </w:rPr>
              <w:t>Unido</w:t>
            </w:r>
            <w:r w:rsidR="00233171">
              <w:rPr>
                <w:i/>
                <w:sz w:val="16"/>
              </w:rPr>
              <w:t>)</w:t>
            </w:r>
          </w:p>
        </w:tc>
        <w:tc>
          <w:tcPr>
            <w:tcW w:w="993" w:type="dxa"/>
            <w:tcBorders>
              <w:top w:val="single" w:sz="4" w:space="0" w:color="auto"/>
              <w:bottom w:val="single" w:sz="12" w:space="0" w:color="auto"/>
            </w:tcBorders>
            <w:shd w:val="clear" w:color="auto" w:fill="auto"/>
            <w:vAlign w:val="bottom"/>
          </w:tcPr>
          <w:p w:rsidR="000100D5" w:rsidRPr="0059655C" w:rsidRDefault="000100D5" w:rsidP="000100D5">
            <w:pPr>
              <w:spacing w:before="80" w:after="80" w:line="200" w:lineRule="exact"/>
              <w:ind w:right="113"/>
              <w:jc w:val="right"/>
              <w:rPr>
                <w:i/>
                <w:sz w:val="16"/>
              </w:rPr>
            </w:pPr>
            <w:r w:rsidRPr="0059655C">
              <w:rPr>
                <w:i/>
                <w:sz w:val="16"/>
              </w:rPr>
              <w:t>UE de 15 países a UE de 25</w:t>
            </w:r>
            <w:r w:rsidR="005007D6">
              <w:rPr>
                <w:i/>
                <w:sz w:val="16"/>
              </w:rPr>
              <w:t xml:space="preserve"> </w:t>
            </w:r>
          </w:p>
        </w:tc>
        <w:tc>
          <w:tcPr>
            <w:tcW w:w="821" w:type="dxa"/>
            <w:tcBorders>
              <w:top w:val="single" w:sz="4" w:space="0" w:color="auto"/>
              <w:bottom w:val="single" w:sz="12" w:space="0" w:color="auto"/>
            </w:tcBorders>
            <w:shd w:val="clear" w:color="auto" w:fill="auto"/>
            <w:vAlign w:val="bottom"/>
          </w:tcPr>
          <w:p w:rsidR="000100D5" w:rsidRPr="0075500C" w:rsidRDefault="000100D5" w:rsidP="000100D5">
            <w:pPr>
              <w:spacing w:before="80" w:after="80" w:line="200" w:lineRule="exact"/>
              <w:ind w:right="113"/>
              <w:jc w:val="right"/>
              <w:rPr>
                <w:i/>
                <w:sz w:val="16"/>
              </w:rPr>
            </w:pPr>
            <w:r>
              <w:rPr>
                <w:i/>
                <w:sz w:val="16"/>
              </w:rPr>
              <w:t>Resto del mundo</w:t>
            </w:r>
          </w:p>
        </w:tc>
      </w:tr>
      <w:tr w:rsidR="000100D5" w:rsidRPr="0075500C">
        <w:tc>
          <w:tcPr>
            <w:tcW w:w="2574" w:type="dxa"/>
            <w:tcBorders>
              <w:top w:val="single" w:sz="12" w:space="0" w:color="auto"/>
            </w:tcBorders>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Agricultura</w:t>
            </w:r>
          </w:p>
        </w:tc>
        <w:tc>
          <w:tcPr>
            <w:tcW w:w="1000" w:type="dxa"/>
            <w:tcBorders>
              <w:top w:val="single" w:sz="12"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5,3</w:t>
            </w:r>
          </w:p>
        </w:tc>
        <w:tc>
          <w:tcPr>
            <w:tcW w:w="990" w:type="dxa"/>
            <w:tcBorders>
              <w:top w:val="single" w:sz="12"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2,1</w:t>
            </w:r>
          </w:p>
        </w:tc>
        <w:tc>
          <w:tcPr>
            <w:tcW w:w="993" w:type="dxa"/>
            <w:tcBorders>
              <w:top w:val="single" w:sz="12"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1,6</w:t>
            </w:r>
          </w:p>
        </w:tc>
        <w:tc>
          <w:tcPr>
            <w:tcW w:w="993" w:type="dxa"/>
            <w:tcBorders>
              <w:top w:val="single" w:sz="12"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3,9</w:t>
            </w:r>
          </w:p>
        </w:tc>
        <w:tc>
          <w:tcPr>
            <w:tcW w:w="821" w:type="dxa"/>
            <w:tcBorders>
              <w:top w:val="single" w:sz="12"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2,0</w:t>
            </w:r>
          </w:p>
        </w:tc>
      </w:tr>
      <w:tr w:rsidR="000100D5" w:rsidRPr="0075500C">
        <w:tc>
          <w:tcPr>
            <w:tcW w:w="2574" w:type="dxa"/>
            <w:shd w:val="clear" w:color="auto" w:fill="auto"/>
            <w:vAlign w:val="bottom"/>
          </w:tcPr>
          <w:p w:rsidR="000100D5" w:rsidRPr="0059655C" w:rsidRDefault="000100D5" w:rsidP="000100D5">
            <w:pPr>
              <w:suppressAutoHyphens w:val="0"/>
              <w:spacing w:before="40" w:after="40" w:line="220" w:lineRule="exact"/>
              <w:ind w:right="113"/>
              <w:rPr>
                <w:sz w:val="18"/>
              </w:rPr>
            </w:pPr>
            <w:r w:rsidRPr="0059655C">
              <w:rPr>
                <w:sz w:val="18"/>
              </w:rPr>
              <w:t>Minería, canteras y</w:t>
            </w:r>
            <w:r w:rsidR="005007D6">
              <w:rPr>
                <w:sz w:val="18"/>
              </w:rPr>
              <w:t xml:space="preserve"> </w:t>
            </w:r>
            <w:r w:rsidRPr="0059655C">
              <w:rPr>
                <w:sz w:val="18"/>
              </w:rPr>
              <w:t>producción de tur</w:t>
            </w:r>
            <w:r>
              <w:rPr>
                <w:sz w:val="18"/>
              </w:rPr>
              <w:t>ba</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0,4</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0,4</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0,1</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0,4</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0,2</w:t>
            </w:r>
          </w:p>
        </w:tc>
      </w:tr>
      <w:tr w:rsidR="000100D5" w:rsidRPr="0075500C">
        <w:tc>
          <w:tcPr>
            <w:tcW w:w="2574" w:type="dxa"/>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Industrias de manufacturas</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13,1</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13,8</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14,9</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21,4</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11,7</w:t>
            </w:r>
          </w:p>
        </w:tc>
      </w:tr>
      <w:tr w:rsidR="000100D5" w:rsidRPr="0075500C">
        <w:tc>
          <w:tcPr>
            <w:tcW w:w="2574" w:type="dxa"/>
            <w:shd w:val="clear" w:color="auto" w:fill="auto"/>
            <w:vAlign w:val="bottom"/>
          </w:tcPr>
          <w:p w:rsidR="000100D5" w:rsidRPr="004E49A5" w:rsidRDefault="000100D5" w:rsidP="000100D5">
            <w:pPr>
              <w:suppressAutoHyphens w:val="0"/>
              <w:spacing w:before="40" w:after="40" w:line="220" w:lineRule="exact"/>
              <w:ind w:right="113"/>
              <w:rPr>
                <w:sz w:val="18"/>
              </w:rPr>
            </w:pPr>
            <w:r w:rsidRPr="004E49A5">
              <w:rPr>
                <w:sz w:val="18"/>
              </w:rPr>
              <w:t>Suministro de electricidad, gas y agua</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0,7</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0,4</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0,5</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0,2</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0,2</w:t>
            </w:r>
          </w:p>
        </w:tc>
      </w:tr>
      <w:tr w:rsidR="000100D5" w:rsidRPr="0075500C">
        <w:tc>
          <w:tcPr>
            <w:tcW w:w="2574" w:type="dxa"/>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Construcción</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11,7</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11,6</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4,4</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20,8</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8,3</w:t>
            </w:r>
          </w:p>
        </w:tc>
      </w:tr>
      <w:tr w:rsidR="000100D5" w:rsidRPr="0075500C">
        <w:tc>
          <w:tcPr>
            <w:tcW w:w="2574" w:type="dxa"/>
            <w:shd w:val="clear" w:color="auto" w:fill="auto"/>
            <w:vAlign w:val="bottom"/>
          </w:tcPr>
          <w:p w:rsidR="000100D5" w:rsidRPr="004E49A5" w:rsidRDefault="000100D5" w:rsidP="000100D5">
            <w:pPr>
              <w:suppressAutoHyphens w:val="0"/>
              <w:spacing w:before="40" w:after="40" w:line="220" w:lineRule="exact"/>
              <w:ind w:right="113"/>
              <w:rPr>
                <w:sz w:val="18"/>
              </w:rPr>
            </w:pPr>
            <w:r w:rsidRPr="004E49A5">
              <w:rPr>
                <w:sz w:val="18"/>
              </w:rPr>
              <w:t>Comercio al por mayor y menor</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14,4</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15,3</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9,7</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17,0</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11,7</w:t>
            </w:r>
          </w:p>
        </w:tc>
      </w:tr>
      <w:tr w:rsidR="000100D5" w:rsidRPr="0075500C">
        <w:tc>
          <w:tcPr>
            <w:tcW w:w="2574" w:type="dxa"/>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Hoteles y restaurant</w:t>
            </w:r>
            <w:r w:rsidR="00233171">
              <w:rPr>
                <w:sz w:val="18"/>
              </w:rPr>
              <w:t>e</w:t>
            </w:r>
            <w:r>
              <w:rPr>
                <w:sz w:val="18"/>
              </w:rPr>
              <w:t>s</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4,3</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6,2</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14,2</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16,5</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17,0</w:t>
            </w:r>
          </w:p>
        </w:tc>
      </w:tr>
      <w:tr w:rsidR="000100D5" w:rsidRPr="0075500C">
        <w:tc>
          <w:tcPr>
            <w:tcW w:w="2574" w:type="dxa"/>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Transporte, almacenamiento y comunicaciones</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6,1</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5,7</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7,0</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3,7</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3,6</w:t>
            </w:r>
          </w:p>
        </w:tc>
      </w:tr>
      <w:tr w:rsidR="000100D5" w:rsidRPr="0075500C">
        <w:tc>
          <w:tcPr>
            <w:tcW w:w="2574" w:type="dxa"/>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 xml:space="preserve">Banca y servicios financieros </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5,0</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4,6</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6,4</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0,9</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2,8</w:t>
            </w:r>
          </w:p>
        </w:tc>
      </w:tr>
      <w:tr w:rsidR="000100D5" w:rsidRPr="0075500C">
        <w:tc>
          <w:tcPr>
            <w:tcW w:w="2574" w:type="dxa"/>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Actividades comerciales</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9,6</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12,8</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24,3</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9,0</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12,9</w:t>
            </w:r>
          </w:p>
        </w:tc>
      </w:tr>
      <w:tr w:rsidR="000100D5" w:rsidRPr="0075500C">
        <w:tc>
          <w:tcPr>
            <w:tcW w:w="2574" w:type="dxa"/>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Administración pública y defensa</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6,3</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2,4</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1,5</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0,2</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1,4</w:t>
            </w:r>
          </w:p>
        </w:tc>
      </w:tr>
      <w:tr w:rsidR="000100D5" w:rsidRPr="0075500C">
        <w:tc>
          <w:tcPr>
            <w:tcW w:w="2574" w:type="dxa"/>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Educación</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7,7</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6,6</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6,1</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0,6</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3,1</w:t>
            </w:r>
          </w:p>
        </w:tc>
      </w:tr>
      <w:tr w:rsidR="000100D5" w:rsidRPr="0075500C">
        <w:tc>
          <w:tcPr>
            <w:tcW w:w="2574" w:type="dxa"/>
            <w:shd w:val="clear" w:color="auto" w:fill="auto"/>
            <w:vAlign w:val="bottom"/>
          </w:tcPr>
          <w:p w:rsidR="000100D5" w:rsidRPr="0075500C" w:rsidRDefault="000100D5" w:rsidP="000100D5">
            <w:pPr>
              <w:suppressAutoHyphens w:val="0"/>
              <w:spacing w:before="40" w:after="40" w:line="220" w:lineRule="exact"/>
              <w:ind w:right="113"/>
              <w:rPr>
                <w:sz w:val="18"/>
              </w:rPr>
            </w:pPr>
            <w:r>
              <w:rPr>
                <w:sz w:val="18"/>
              </w:rPr>
              <w:t>Salud y trabajo social</w:t>
            </w:r>
          </w:p>
        </w:tc>
        <w:tc>
          <w:tcPr>
            <w:tcW w:w="100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10,8</w:t>
            </w:r>
          </w:p>
        </w:tc>
        <w:tc>
          <w:tcPr>
            <w:tcW w:w="990"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11,8</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5,7</w:t>
            </w:r>
          </w:p>
        </w:tc>
        <w:tc>
          <w:tcPr>
            <w:tcW w:w="993"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2,4</w:t>
            </w:r>
          </w:p>
        </w:tc>
        <w:tc>
          <w:tcPr>
            <w:tcW w:w="821" w:type="dxa"/>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20,8</w:t>
            </w:r>
          </w:p>
        </w:tc>
      </w:tr>
      <w:tr w:rsidR="000100D5" w:rsidRPr="0075500C">
        <w:tc>
          <w:tcPr>
            <w:tcW w:w="2574" w:type="dxa"/>
            <w:tcBorders>
              <w:bottom w:val="single" w:sz="4" w:space="0" w:color="auto"/>
            </w:tcBorders>
            <w:shd w:val="clear" w:color="auto" w:fill="auto"/>
            <w:vAlign w:val="bottom"/>
          </w:tcPr>
          <w:p w:rsidR="000100D5" w:rsidRPr="0019444F" w:rsidRDefault="000100D5" w:rsidP="000100D5">
            <w:pPr>
              <w:suppressAutoHyphens w:val="0"/>
              <w:spacing w:before="40" w:after="40" w:line="220" w:lineRule="exact"/>
              <w:ind w:right="113"/>
              <w:rPr>
                <w:sz w:val="18"/>
              </w:rPr>
            </w:pPr>
            <w:r w:rsidRPr="0019444F">
              <w:rPr>
                <w:sz w:val="18"/>
              </w:rPr>
              <w:t xml:space="preserve">Otros servicios comunitarios, sociales y personales </w:t>
            </w:r>
          </w:p>
        </w:tc>
        <w:tc>
          <w:tcPr>
            <w:tcW w:w="1000" w:type="dxa"/>
            <w:tcBorders>
              <w:bottom w:val="single" w:sz="4"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4,5</w:t>
            </w:r>
          </w:p>
        </w:tc>
        <w:tc>
          <w:tcPr>
            <w:tcW w:w="990" w:type="dxa"/>
            <w:tcBorders>
              <w:bottom w:val="single" w:sz="4"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6,1</w:t>
            </w:r>
          </w:p>
        </w:tc>
        <w:tc>
          <w:tcPr>
            <w:tcW w:w="993" w:type="dxa"/>
            <w:tcBorders>
              <w:bottom w:val="single" w:sz="4"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3,7</w:t>
            </w:r>
          </w:p>
        </w:tc>
        <w:tc>
          <w:tcPr>
            <w:tcW w:w="993" w:type="dxa"/>
            <w:tcBorders>
              <w:bottom w:val="single" w:sz="4"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3,1</w:t>
            </w:r>
          </w:p>
        </w:tc>
        <w:tc>
          <w:tcPr>
            <w:tcW w:w="821" w:type="dxa"/>
            <w:tcBorders>
              <w:bottom w:val="single" w:sz="4" w:space="0" w:color="auto"/>
            </w:tcBorders>
            <w:shd w:val="clear" w:color="auto" w:fill="auto"/>
            <w:vAlign w:val="bottom"/>
          </w:tcPr>
          <w:p w:rsidR="000100D5" w:rsidRPr="0075500C" w:rsidRDefault="000100D5" w:rsidP="000100D5">
            <w:pPr>
              <w:suppressAutoHyphens w:val="0"/>
              <w:spacing w:before="40" w:after="40" w:line="220" w:lineRule="exact"/>
              <w:ind w:right="113"/>
              <w:jc w:val="right"/>
              <w:rPr>
                <w:sz w:val="18"/>
              </w:rPr>
            </w:pPr>
            <w:r>
              <w:rPr>
                <w:sz w:val="18"/>
              </w:rPr>
              <w:t>4,3</w:t>
            </w:r>
          </w:p>
        </w:tc>
      </w:tr>
      <w:tr w:rsidR="000100D5" w:rsidRPr="0075500C">
        <w:tc>
          <w:tcPr>
            <w:tcW w:w="2574" w:type="dxa"/>
            <w:tcBorders>
              <w:top w:val="single" w:sz="4" w:space="0" w:color="auto"/>
              <w:bottom w:val="single" w:sz="12" w:space="0" w:color="auto"/>
            </w:tcBorders>
            <w:shd w:val="clear" w:color="auto" w:fill="auto"/>
            <w:vAlign w:val="bottom"/>
          </w:tcPr>
          <w:p w:rsidR="000100D5" w:rsidRPr="0075500C" w:rsidRDefault="000100D5" w:rsidP="000100D5">
            <w:pPr>
              <w:suppressAutoHyphens w:val="0"/>
              <w:spacing w:before="80" w:after="80" w:line="220" w:lineRule="exact"/>
              <w:ind w:firstLine="284"/>
              <w:rPr>
                <w:b/>
                <w:sz w:val="18"/>
              </w:rPr>
            </w:pPr>
            <w:r w:rsidRPr="0075500C">
              <w:rPr>
                <w:b/>
                <w:sz w:val="18"/>
              </w:rPr>
              <w:t>Total</w:t>
            </w:r>
          </w:p>
        </w:tc>
        <w:tc>
          <w:tcPr>
            <w:tcW w:w="1000" w:type="dxa"/>
            <w:tcBorders>
              <w:top w:val="single" w:sz="4" w:space="0" w:color="auto"/>
              <w:bottom w:val="single" w:sz="12" w:space="0" w:color="auto"/>
            </w:tcBorders>
            <w:shd w:val="clear" w:color="auto" w:fill="auto"/>
            <w:vAlign w:val="bottom"/>
          </w:tcPr>
          <w:p w:rsidR="000100D5" w:rsidRPr="0075500C" w:rsidRDefault="000100D5" w:rsidP="000100D5">
            <w:pPr>
              <w:suppressAutoHyphens w:val="0"/>
              <w:spacing w:before="80" w:after="80" w:line="220" w:lineRule="exact"/>
              <w:ind w:right="113"/>
              <w:jc w:val="right"/>
              <w:rPr>
                <w:b/>
                <w:sz w:val="18"/>
              </w:rPr>
            </w:pPr>
            <w:r>
              <w:rPr>
                <w:b/>
                <w:sz w:val="18"/>
              </w:rPr>
              <w:t>100,0</w:t>
            </w:r>
          </w:p>
        </w:tc>
        <w:tc>
          <w:tcPr>
            <w:tcW w:w="990" w:type="dxa"/>
            <w:tcBorders>
              <w:top w:val="single" w:sz="4" w:space="0" w:color="auto"/>
              <w:bottom w:val="single" w:sz="12" w:space="0" w:color="auto"/>
            </w:tcBorders>
            <w:shd w:val="clear" w:color="auto" w:fill="auto"/>
            <w:vAlign w:val="bottom"/>
          </w:tcPr>
          <w:p w:rsidR="000100D5" w:rsidRPr="0075500C" w:rsidRDefault="000100D5" w:rsidP="000100D5">
            <w:pPr>
              <w:suppressAutoHyphens w:val="0"/>
              <w:spacing w:before="80" w:after="80" w:line="220" w:lineRule="exact"/>
              <w:ind w:right="113"/>
              <w:jc w:val="right"/>
              <w:rPr>
                <w:b/>
                <w:sz w:val="18"/>
              </w:rPr>
            </w:pPr>
            <w:r>
              <w:rPr>
                <w:b/>
                <w:sz w:val="18"/>
              </w:rPr>
              <w:t>100,0</w:t>
            </w:r>
          </w:p>
        </w:tc>
        <w:tc>
          <w:tcPr>
            <w:tcW w:w="993" w:type="dxa"/>
            <w:tcBorders>
              <w:top w:val="single" w:sz="4" w:space="0" w:color="auto"/>
              <w:bottom w:val="single" w:sz="12" w:space="0" w:color="auto"/>
            </w:tcBorders>
            <w:shd w:val="clear" w:color="auto" w:fill="auto"/>
            <w:vAlign w:val="bottom"/>
          </w:tcPr>
          <w:p w:rsidR="000100D5" w:rsidRPr="0075500C" w:rsidRDefault="000100D5" w:rsidP="000100D5">
            <w:pPr>
              <w:suppressAutoHyphens w:val="0"/>
              <w:spacing w:before="80" w:after="80" w:line="220" w:lineRule="exact"/>
              <w:ind w:right="113"/>
              <w:jc w:val="right"/>
              <w:rPr>
                <w:b/>
                <w:sz w:val="18"/>
              </w:rPr>
            </w:pPr>
            <w:r>
              <w:rPr>
                <w:b/>
                <w:sz w:val="18"/>
              </w:rPr>
              <w:t>100,0</w:t>
            </w:r>
          </w:p>
        </w:tc>
        <w:tc>
          <w:tcPr>
            <w:tcW w:w="993" w:type="dxa"/>
            <w:tcBorders>
              <w:top w:val="single" w:sz="4" w:space="0" w:color="auto"/>
              <w:bottom w:val="single" w:sz="12" w:space="0" w:color="auto"/>
            </w:tcBorders>
            <w:shd w:val="clear" w:color="auto" w:fill="auto"/>
            <w:vAlign w:val="bottom"/>
          </w:tcPr>
          <w:p w:rsidR="000100D5" w:rsidRPr="0075500C" w:rsidRDefault="000100D5" w:rsidP="000100D5">
            <w:pPr>
              <w:suppressAutoHyphens w:val="0"/>
              <w:spacing w:before="80" w:after="80" w:line="220" w:lineRule="exact"/>
              <w:ind w:right="113"/>
              <w:jc w:val="right"/>
              <w:rPr>
                <w:b/>
                <w:sz w:val="18"/>
              </w:rPr>
            </w:pPr>
            <w:r>
              <w:rPr>
                <w:b/>
                <w:sz w:val="18"/>
              </w:rPr>
              <w:t>100,0</w:t>
            </w:r>
          </w:p>
        </w:tc>
        <w:tc>
          <w:tcPr>
            <w:tcW w:w="821" w:type="dxa"/>
            <w:tcBorders>
              <w:top w:val="single" w:sz="4" w:space="0" w:color="auto"/>
              <w:bottom w:val="single" w:sz="12" w:space="0" w:color="auto"/>
            </w:tcBorders>
            <w:shd w:val="clear" w:color="auto" w:fill="auto"/>
            <w:vAlign w:val="bottom"/>
          </w:tcPr>
          <w:p w:rsidR="000100D5" w:rsidRPr="0075500C" w:rsidRDefault="000100D5" w:rsidP="000100D5">
            <w:pPr>
              <w:suppressAutoHyphens w:val="0"/>
              <w:spacing w:before="80" w:after="80" w:line="220" w:lineRule="exact"/>
              <w:ind w:left="-84" w:right="113"/>
              <w:jc w:val="right"/>
              <w:rPr>
                <w:b/>
                <w:sz w:val="18"/>
              </w:rPr>
            </w:pPr>
            <w:r>
              <w:rPr>
                <w:b/>
                <w:sz w:val="18"/>
              </w:rPr>
              <w:t>100,0</w:t>
            </w:r>
          </w:p>
        </w:tc>
      </w:tr>
    </w:tbl>
    <w:p w:rsidR="000100D5" w:rsidRPr="00D542C7" w:rsidRDefault="000100D5" w:rsidP="008B3ABA">
      <w:pPr>
        <w:pStyle w:val="SingleTxtG"/>
        <w:spacing w:before="240"/>
      </w:pPr>
      <w:r w:rsidRPr="00517D8F">
        <w:t>309.</w:t>
      </w:r>
      <w:r w:rsidRPr="00517D8F">
        <w:tab/>
        <w:t>La disposición pertinente de la Constitución irlandesa relativa a la libertad de asociación es el artículo 40.6.1, que garantiza el libre ejercicio, dentro del res</w:t>
      </w:r>
      <w:r>
        <w:t>p</w:t>
      </w:r>
      <w:r w:rsidRPr="00517D8F">
        <w:t>eto</w:t>
      </w:r>
      <w:r>
        <w:t xml:space="preserve"> al orden</w:t>
      </w:r>
      <w:r w:rsidRPr="00517D8F">
        <w:t xml:space="preserve"> p</w:t>
      </w:r>
      <w:r>
        <w:t>ú</w:t>
      </w:r>
      <w:r w:rsidRPr="00517D8F">
        <w:t>blic</w:t>
      </w:r>
      <w:r>
        <w:t>o y a la</w:t>
      </w:r>
      <w:r w:rsidRPr="00517D8F">
        <w:t xml:space="preserve"> moral, </w:t>
      </w:r>
      <w:r>
        <w:t>de los derechos de los</w:t>
      </w:r>
      <w:r w:rsidRPr="00517D8F">
        <w:t xml:space="preserve"> ci</w:t>
      </w:r>
      <w:r>
        <w:t>udadanos a</w:t>
      </w:r>
      <w:r w:rsidRPr="00517D8F">
        <w:t xml:space="preserve"> form</w:t>
      </w:r>
      <w:r>
        <w:t>ar</w:t>
      </w:r>
      <w:r w:rsidRPr="00517D8F">
        <w:t xml:space="preserve"> asocia</w:t>
      </w:r>
      <w:r>
        <w:t>c</w:t>
      </w:r>
      <w:r w:rsidRPr="00517D8F">
        <w:t>ion</w:t>
      </w:r>
      <w:r>
        <w:t>e</w:t>
      </w:r>
      <w:r w:rsidRPr="00517D8F">
        <w:t xml:space="preserve">s </w:t>
      </w:r>
      <w:r>
        <w:t>y sindicatos</w:t>
      </w:r>
      <w:r w:rsidRPr="00517D8F">
        <w:t xml:space="preserve">. </w:t>
      </w:r>
      <w:r w:rsidRPr="00D542C7">
        <w:t xml:space="preserve">Sin embargo, pueden </w:t>
      </w:r>
      <w:r>
        <w:t>dictarse disposiciones</w:t>
      </w:r>
      <w:r w:rsidRPr="00D542C7">
        <w:t xml:space="preserve"> para regularlos y supervisarlos en aras del interés general por el e</w:t>
      </w:r>
      <w:r>
        <w:t>j</w:t>
      </w:r>
      <w:r w:rsidRPr="00D542C7">
        <w:t>erci</w:t>
      </w:r>
      <w:r>
        <w:t>cio de ese derecho</w:t>
      </w:r>
      <w:r w:rsidRPr="00D542C7">
        <w:t>. El artículo 40.6.2 dispone que las leyes que regulan la manera en que puede ejercerse el derecho</w:t>
      </w:r>
      <w:r>
        <w:t xml:space="preserve"> a crear</w:t>
      </w:r>
      <w:r w:rsidRPr="00D542C7">
        <w:t xml:space="preserve"> asocia</w:t>
      </w:r>
      <w:r>
        <w:t>c</w:t>
      </w:r>
      <w:r w:rsidRPr="00D542C7">
        <w:t>ion</w:t>
      </w:r>
      <w:r>
        <w:t>e</w:t>
      </w:r>
      <w:r w:rsidRPr="00D542C7">
        <w:t xml:space="preserve">s </w:t>
      </w:r>
      <w:r>
        <w:t>y sindicatos</w:t>
      </w:r>
      <w:r w:rsidRPr="00D542C7">
        <w:t xml:space="preserve"> </w:t>
      </w:r>
      <w:r>
        <w:t>no contendrá</w:t>
      </w:r>
      <w:r w:rsidRPr="00D542C7">
        <w:t>n</w:t>
      </w:r>
      <w:r>
        <w:t xml:space="preserve"> ningún tipo de discriminación</w:t>
      </w:r>
      <w:r w:rsidRPr="00D542C7">
        <w:t xml:space="preserve"> pol</w:t>
      </w:r>
      <w:r>
        <w:t>í</w:t>
      </w:r>
      <w:r w:rsidRPr="00D542C7">
        <w:t>tica, religios</w:t>
      </w:r>
      <w:r>
        <w:t>a</w:t>
      </w:r>
      <w:r w:rsidRPr="00D542C7">
        <w:t xml:space="preserve"> o </w:t>
      </w:r>
      <w:r>
        <w:t xml:space="preserve">de </w:t>
      </w:r>
      <w:r w:rsidRPr="00D542C7">
        <w:t>clas</w:t>
      </w:r>
      <w:r>
        <w:t>e</w:t>
      </w:r>
      <w:r w:rsidRPr="00D542C7">
        <w:t xml:space="preserve">. La prohibición de discriminar por motivos de raza está recogida en la Ley de igualdad en el </w:t>
      </w:r>
      <w:r>
        <w:t>e</w:t>
      </w:r>
      <w:r w:rsidRPr="00D542C7">
        <w:t>mpleo, modificada</w:t>
      </w:r>
      <w:r>
        <w:t xml:space="preserve"> por la Ley de igualdad de</w:t>
      </w:r>
      <w:r w:rsidRPr="00D542C7">
        <w:t xml:space="preserve"> 2004. </w:t>
      </w:r>
    </w:p>
    <w:p w:rsidR="000100D5" w:rsidRPr="006748F0" w:rsidRDefault="000100D5" w:rsidP="000100D5">
      <w:pPr>
        <w:pStyle w:val="SingleTxtG"/>
      </w:pPr>
      <w:r w:rsidRPr="006748F0">
        <w:t>310.</w:t>
      </w:r>
      <w:r w:rsidRPr="006748F0">
        <w:tab/>
        <w:t>Se han promulgado le</w:t>
      </w:r>
      <w:r>
        <w:t>yes</w:t>
      </w:r>
      <w:r w:rsidRPr="006748F0">
        <w:t xml:space="preserve"> para </w:t>
      </w:r>
      <w:r>
        <w:t>impedir</w:t>
      </w:r>
      <w:r w:rsidRPr="006748F0">
        <w:t xml:space="preserve"> el despido de un empleado debido</w:t>
      </w:r>
      <w:r>
        <w:t xml:space="preserve"> </w:t>
      </w:r>
      <w:r w:rsidRPr="006748F0">
        <w:t xml:space="preserve">a su pertenencia </w:t>
      </w:r>
      <w:r>
        <w:t>a un sindicat</w:t>
      </w:r>
      <w:r w:rsidRPr="006748F0">
        <w:t xml:space="preserve">o </w:t>
      </w:r>
      <w:r>
        <w:t xml:space="preserve">o a </w:t>
      </w:r>
      <w:r w:rsidRPr="006748F0">
        <w:t>activi</w:t>
      </w:r>
      <w:r>
        <w:t>dades</w:t>
      </w:r>
      <w:r w:rsidRPr="006748F0">
        <w:t xml:space="preserve"> </w:t>
      </w:r>
      <w:r>
        <w:t>en favor de éste en las Leyes de despido improcedente, de</w:t>
      </w:r>
      <w:r w:rsidRPr="006748F0">
        <w:t xml:space="preserve"> 1997 </w:t>
      </w:r>
      <w:r>
        <w:t>a</w:t>
      </w:r>
      <w:r w:rsidRPr="006748F0">
        <w:t xml:space="preserve"> 2005</w:t>
      </w:r>
      <w:r>
        <w:rPr>
          <w:rStyle w:val="FootnoteReference"/>
        </w:rPr>
        <w:footnoteReference w:id="77"/>
      </w:r>
      <w:r w:rsidR="001F5C61">
        <w:t>.</w:t>
      </w:r>
    </w:p>
    <w:p w:rsidR="000100D5" w:rsidRPr="00C20290" w:rsidRDefault="000100D5" w:rsidP="000100D5">
      <w:pPr>
        <w:pStyle w:val="SingleTxtG"/>
      </w:pPr>
      <w:r w:rsidRPr="00C20290">
        <w:t>311.</w:t>
      </w:r>
      <w:r w:rsidRPr="00C20290">
        <w:tab/>
        <w:t>No se considera apropiado legislar en materia de</w:t>
      </w:r>
      <w:r>
        <w:t>l</w:t>
      </w:r>
      <w:r w:rsidRPr="00C20290">
        <w:t xml:space="preserve"> derecho espec</w:t>
      </w:r>
      <w:r>
        <w:t>í</w:t>
      </w:r>
      <w:r w:rsidRPr="00C20290">
        <w:t>fic</w:t>
      </w:r>
      <w:r>
        <w:t>o a la vivienda.</w:t>
      </w:r>
      <w:r w:rsidRPr="00C20290">
        <w:t xml:space="preserve"> La política gubernamental al respecto se rige por el objetivo primordial de que toda familia </w:t>
      </w:r>
      <w:r>
        <w:t>dispon</w:t>
      </w:r>
      <w:r w:rsidRPr="00C20290">
        <w:t xml:space="preserve">ga </w:t>
      </w:r>
      <w:r>
        <w:t xml:space="preserve">de </w:t>
      </w:r>
      <w:r w:rsidRPr="00C20290">
        <w:t xml:space="preserve">una vivienda asequible y de buena calidad, </w:t>
      </w:r>
      <w:r>
        <w:t>adaptada a sus necesidades</w:t>
      </w:r>
      <w:r w:rsidRPr="00C20290">
        <w:t xml:space="preserve">, </w:t>
      </w:r>
      <w:r>
        <w:t>b</w:t>
      </w:r>
      <w:r w:rsidRPr="00C20290">
        <w:t>i</w:t>
      </w:r>
      <w:r>
        <w:t>e</w:t>
      </w:r>
      <w:r w:rsidRPr="00C20290">
        <w:t xml:space="preserve">n </w:t>
      </w:r>
      <w:r>
        <w:t>situada y pueda elegir, en la medida de lo posible, el régimen de ocupación o titularidad</w:t>
      </w:r>
      <w:r w:rsidRPr="00C20290">
        <w:t xml:space="preserve">. </w:t>
      </w:r>
    </w:p>
    <w:p w:rsidR="000100D5" w:rsidRPr="001D101C" w:rsidRDefault="000100D5" w:rsidP="000100D5">
      <w:pPr>
        <w:pStyle w:val="SingleTxtG"/>
      </w:pPr>
      <w:r w:rsidRPr="001D101C">
        <w:t>312.</w:t>
      </w:r>
      <w:r w:rsidRPr="001D101C">
        <w:tab/>
        <w:t xml:space="preserve">Para hacer realidad esta política, el Gobierno se ha planteado que los que puedan permitírselo deben buscarse su propia vivienda, con ayuda, cuando esté disponible, de ciertos incentivos o subsidios fiscales y que los que no puedan acceder a un alojamiento de esa forma deberían tener la posibilidad de una vivienda social o de una ayuda a los ingresos para alquilar una vivienda del sector privado. La legislación existente y los programas de financiación apoyan esa estrategia y han demostrado su eficacia para obtener mejores resultados. </w:t>
      </w:r>
    </w:p>
    <w:p w:rsidR="000100D5" w:rsidRPr="001D101C" w:rsidRDefault="000100D5" w:rsidP="000100D5">
      <w:pPr>
        <w:pStyle w:val="SingleTxtG"/>
      </w:pPr>
      <w:r w:rsidRPr="001D101C">
        <w:t>313.</w:t>
      </w:r>
      <w:r w:rsidRPr="001D101C">
        <w:tab/>
        <w:t xml:space="preserve">En respuesta a la pregunta a) sobre el régimen de alojamiento, según el informe sobre el Censo de 2006 </w:t>
      </w:r>
      <w:r w:rsidR="00C67360">
        <w:t>"</w:t>
      </w:r>
      <w:r w:rsidRPr="001D101C">
        <w:t>Non-Irish Nationals living in Ireland</w:t>
      </w:r>
      <w:r w:rsidR="00C67360">
        <w:t>"</w:t>
      </w:r>
      <w:r w:rsidRPr="001D101C">
        <w:t xml:space="preserve"> (Nacionales no irlandeses que viven en Irlanda), el perfil de la vivienda de los nacionales no irlandeses era muy diferente del de los nacionales de Irlanda. Si bien el régimen de propiedad parecía ser el favorito entre los cabezas de familia irlandeses y del Reino Unido, el panorama en el caso de los nacionales no irlandeses era totalmente diferente. El 81% de los hogares encabezados por personas de los Estados de adhesión a la UE funcionaba en régimen de alquiler. En cuanto a otros grupos de no irlandeses, casi el 50% alquilaba una vivienda. Se observaban también diferencias en la </w:t>
      </w:r>
      <w:r w:rsidR="005C4174" w:rsidRPr="001D101C">
        <w:t>antigüedad</w:t>
      </w:r>
      <w:r w:rsidRPr="001D101C">
        <w:t xml:space="preserve"> de los alojamientos ocupados por irlandeses y no irlandes</w:t>
      </w:r>
      <w:r w:rsidR="008B3ABA">
        <w:t>es. El </w:t>
      </w:r>
      <w:r w:rsidRPr="001D101C">
        <w:t xml:space="preserve">31% de los nacionales de los Estados de adhesión residía en viviendas construidas en los cinco años anteriores y el 45 % en alojamientos construidos después de 1996. Esta última cifra se puede comparar con uno de cada cuatro hogares encabezado por irlandeses. </w:t>
      </w:r>
    </w:p>
    <w:p w:rsidR="000100D5" w:rsidRPr="0053393A" w:rsidRDefault="000100D5" w:rsidP="000100D5">
      <w:pPr>
        <w:pStyle w:val="Heading1"/>
      </w:pPr>
      <w:r>
        <w:t>Figura</w:t>
      </w:r>
      <w:r w:rsidRPr="0053393A">
        <w:t xml:space="preserve"> 2</w:t>
      </w:r>
    </w:p>
    <w:p w:rsidR="000100D5" w:rsidRPr="0053393A" w:rsidRDefault="00943D21" w:rsidP="008B3ABA">
      <w:pPr>
        <w:pStyle w:val="SingleTxtG"/>
        <w:keepNext/>
        <w:jc w:val="left"/>
        <w:rPr>
          <w:b/>
        </w:rPr>
      </w:pPr>
      <w:r>
        <w:rPr>
          <w:b/>
          <w:noProof/>
          <w:lang w:val="ca-ES" w:eastAsia="ca-ES"/>
        </w:rPr>
        <w:pict>
          <v:shapetype id="_x0000_t202" coordsize="21600,21600" o:spt="202" path="m,l,21600r21600,l21600,xe">
            <v:stroke joinstyle="miter"/>
            <v:path gradientshapeok="t" o:connecttype="rect"/>
          </v:shapetype>
          <v:shape id="_x0000_s1036" type="#_x0000_t202" style="position:absolute;left:0;text-align:left;margin-left:47.65pt;margin-top:17pt;width:52.7pt;height:14.15pt;z-index:1" stroked="f">
            <v:textbox inset="0,0,0,0">
              <w:txbxContent>
                <w:p w:rsidR="00943D21" w:rsidRPr="00674A37" w:rsidRDefault="00943D21" w:rsidP="00943D21">
                  <w:pPr>
                    <w:rPr>
                      <w:b/>
                      <w:bCs/>
                      <w:sz w:val="18"/>
                      <w:szCs w:val="18"/>
                    </w:rPr>
                  </w:pPr>
                  <w:r w:rsidRPr="00674A37">
                    <w:rPr>
                      <w:b/>
                      <w:bCs/>
                      <w:sz w:val="18"/>
                      <w:szCs w:val="18"/>
                    </w:rPr>
                    <w:t>Porcentaje</w:t>
                  </w:r>
                </w:p>
              </w:txbxContent>
            </v:textbox>
          </v:shape>
        </w:pict>
      </w:r>
      <w:r w:rsidR="000100D5" w:rsidRPr="0053393A">
        <w:rPr>
          <w:b/>
        </w:rPr>
        <w:t>Tipo de vivi</w:t>
      </w:r>
      <w:r w:rsidR="000100D5">
        <w:rPr>
          <w:b/>
        </w:rPr>
        <w:t>e</w:t>
      </w:r>
      <w:r w:rsidR="000100D5" w:rsidRPr="0053393A">
        <w:rPr>
          <w:b/>
        </w:rPr>
        <w:t xml:space="preserve">nda por nacionalidad y </w:t>
      </w:r>
      <w:r w:rsidR="000100D5">
        <w:rPr>
          <w:b/>
        </w:rPr>
        <w:t>por cabeza de familia</w:t>
      </w:r>
    </w:p>
    <w:p w:rsidR="000100D5" w:rsidRPr="006B35C1" w:rsidRDefault="00674A37" w:rsidP="000100D5">
      <w:pPr>
        <w:spacing w:line="240" w:lineRule="auto"/>
        <w:ind w:left="1134"/>
        <w:rPr>
          <w:lang w:val="en-IE"/>
        </w:rPr>
      </w:pPr>
      <w:r>
        <w:rPr>
          <w:b/>
          <w:noProof/>
          <w:lang w:val="ca-ES" w:eastAsia="ca-ES"/>
        </w:rPr>
        <w:pict>
          <v:shape id="_x0000_s1044" type="#_x0000_t202" style="position:absolute;left:0;text-align:left;margin-left:280.65pt;margin-top:250.6pt;width:137.7pt;height:12.75pt;z-index:9" stroked="f">
            <v:textbox style="mso-next-textbox:#_x0000_s1044" inset="0,0,0,0">
              <w:txbxContent>
                <w:p w:rsidR="006A5B2D" w:rsidRPr="00F977E4" w:rsidRDefault="006A5B2D" w:rsidP="006A5B2D">
                  <w:pPr>
                    <w:rPr>
                      <w:b/>
                      <w:bCs/>
                      <w:sz w:val="18"/>
                      <w:szCs w:val="18"/>
                    </w:rPr>
                  </w:pPr>
                  <w:r>
                    <w:rPr>
                      <w:b/>
                      <w:bCs/>
                      <w:sz w:val="18"/>
                      <w:szCs w:val="18"/>
                    </w:rPr>
                    <w:t>Casa semiindependiente o adosada</w:t>
                  </w:r>
                </w:p>
              </w:txbxContent>
            </v:textbox>
          </v:shape>
        </w:pict>
      </w:r>
      <w:r w:rsidR="006A5B2D">
        <w:rPr>
          <w:b/>
          <w:noProof/>
          <w:lang w:val="ca-ES" w:eastAsia="ca-ES"/>
        </w:rPr>
        <w:pict>
          <v:shape id="_x0000_s1045" type="#_x0000_t202" style="position:absolute;left:0;text-align:left;margin-left:280.65pt;margin-top:263.65pt;width:124.35pt;height:12.85pt;z-index:10" stroked="f">
            <v:textbox style="mso-next-textbox:#_x0000_s1045" inset="0,0,0,0">
              <w:txbxContent>
                <w:p w:rsidR="006A5B2D" w:rsidRPr="00F977E4" w:rsidRDefault="006A5B2D" w:rsidP="006A5B2D">
                  <w:pPr>
                    <w:rPr>
                      <w:b/>
                      <w:bCs/>
                      <w:sz w:val="18"/>
                      <w:szCs w:val="18"/>
                    </w:rPr>
                  </w:pPr>
                  <w:r>
                    <w:rPr>
                      <w:b/>
                      <w:bCs/>
                      <w:sz w:val="18"/>
                      <w:szCs w:val="18"/>
                    </w:rPr>
                    <w:t>Otro tipo de vivienda</w:t>
                  </w:r>
                </w:p>
              </w:txbxContent>
            </v:textbox>
          </v:shape>
        </w:pict>
      </w:r>
      <w:r w:rsidR="006A5B2D">
        <w:rPr>
          <w:b/>
          <w:noProof/>
          <w:lang w:val="ca-ES" w:eastAsia="ca-ES"/>
        </w:rPr>
        <w:pict>
          <v:shape id="_x0000_s1043" type="#_x0000_t202" style="position:absolute;left:0;text-align:left;margin-left:133.25pt;margin-top:263.65pt;width:77.7pt;height:11.35pt;z-index:8" stroked="f">
            <v:textbox style="mso-next-textbox:#_x0000_s1043" inset="0,0,0,0">
              <w:txbxContent>
                <w:p w:rsidR="006A5B2D" w:rsidRPr="00F977E4" w:rsidRDefault="006A5B2D" w:rsidP="006A5B2D">
                  <w:pPr>
                    <w:rPr>
                      <w:b/>
                      <w:bCs/>
                      <w:sz w:val="18"/>
                      <w:szCs w:val="18"/>
                    </w:rPr>
                  </w:pPr>
                  <w:r>
                    <w:rPr>
                      <w:b/>
                      <w:bCs/>
                      <w:sz w:val="18"/>
                      <w:szCs w:val="18"/>
                    </w:rPr>
                    <w:t>Piso o apartamento</w:t>
                  </w:r>
                </w:p>
              </w:txbxContent>
            </v:textbox>
          </v:shape>
        </w:pict>
      </w:r>
      <w:r w:rsidR="00F977E4">
        <w:rPr>
          <w:b/>
          <w:noProof/>
          <w:lang w:val="ca-ES" w:eastAsia="ca-ES"/>
        </w:rPr>
        <w:pict>
          <v:shape id="_x0000_s1042" type="#_x0000_t202" style="position:absolute;left:0;text-align:left;margin-left:133.25pt;margin-top:250.9pt;width:77.7pt;height:11.35pt;z-index:7" stroked="f">
            <v:textbox style="mso-next-textbox:#_x0000_s1042" inset="0,0,0,0">
              <w:txbxContent>
                <w:p w:rsidR="00F977E4" w:rsidRPr="00F977E4" w:rsidRDefault="00F977E4" w:rsidP="006A5B2D">
                  <w:pPr>
                    <w:rPr>
                      <w:b/>
                      <w:bCs/>
                      <w:sz w:val="18"/>
                      <w:szCs w:val="18"/>
                    </w:rPr>
                  </w:pPr>
                  <w:r>
                    <w:rPr>
                      <w:b/>
                      <w:bCs/>
                      <w:sz w:val="18"/>
                      <w:szCs w:val="18"/>
                    </w:rPr>
                    <w:t>Casa independiente</w:t>
                  </w:r>
                </w:p>
              </w:txbxContent>
            </v:textbox>
          </v:shape>
        </w:pict>
      </w:r>
      <w:r w:rsidR="00F977E4">
        <w:rPr>
          <w:b/>
          <w:noProof/>
          <w:lang w:val="ca-ES" w:eastAsia="ca-ES"/>
        </w:rPr>
        <w:pict>
          <v:shape id="_x0000_s1040" type="#_x0000_t202" style="position:absolute;left:0;text-align:left;margin-left:280pt;margin-top:207.8pt;width:60pt;height:36.85pt;z-index:5" stroked="f">
            <v:textbox inset="0,0,0,0">
              <w:txbxContent>
                <w:p w:rsidR="00F977E4" w:rsidRPr="00943D21" w:rsidRDefault="00F977E4" w:rsidP="006A5B2D">
                  <w:pPr>
                    <w:spacing w:line="200" w:lineRule="atLeast"/>
                    <w:jc w:val="center"/>
                    <w:rPr>
                      <w:b/>
                      <w:sz w:val="18"/>
                      <w:szCs w:val="18"/>
                    </w:rPr>
                  </w:pPr>
                  <w:r w:rsidRPr="00943D21">
                    <w:rPr>
                      <w:b/>
                      <w:sz w:val="18"/>
                      <w:szCs w:val="18"/>
                    </w:rPr>
                    <w:t xml:space="preserve">UE de 15 </w:t>
                  </w:r>
                  <w:r>
                    <w:rPr>
                      <w:b/>
                      <w:sz w:val="18"/>
                      <w:szCs w:val="18"/>
                    </w:rPr>
                    <w:t>a 25</w:t>
                  </w:r>
                  <w:r w:rsidRPr="00943D21">
                    <w:rPr>
                      <w:b/>
                      <w:sz w:val="18"/>
                      <w:szCs w:val="18"/>
                    </w:rPr>
                    <w:t xml:space="preserve"> </w:t>
                  </w:r>
                  <w:r>
                    <w:rPr>
                      <w:b/>
                      <w:sz w:val="18"/>
                      <w:szCs w:val="18"/>
                    </w:rPr>
                    <w:t>Estados adheridos</w:t>
                  </w:r>
                </w:p>
              </w:txbxContent>
            </v:textbox>
          </v:shape>
        </w:pict>
      </w:r>
      <w:r w:rsidR="00F977E4">
        <w:rPr>
          <w:b/>
          <w:noProof/>
          <w:lang w:val="ca-ES" w:eastAsia="ca-ES"/>
        </w:rPr>
        <w:pict>
          <v:shape id="_x0000_s1041" type="#_x0000_t202" style="position:absolute;left:0;text-align:left;margin-left:347.3pt;margin-top:207.8pt;width:57.7pt;height:23.7pt;z-index:6" stroked="f">
            <v:textbox inset="0,0,0,0">
              <w:txbxContent>
                <w:p w:rsidR="00F977E4" w:rsidRPr="00F977E4" w:rsidRDefault="00F977E4" w:rsidP="00F977E4">
                  <w:pPr>
                    <w:spacing w:line="200" w:lineRule="atLeast"/>
                    <w:jc w:val="center"/>
                    <w:rPr>
                      <w:b/>
                      <w:bCs/>
                      <w:sz w:val="18"/>
                      <w:szCs w:val="18"/>
                    </w:rPr>
                  </w:pPr>
                  <w:r>
                    <w:rPr>
                      <w:b/>
                      <w:bCs/>
                      <w:sz w:val="18"/>
                      <w:szCs w:val="18"/>
                    </w:rPr>
                    <w:t>Resto del mundo</w:t>
                  </w:r>
                </w:p>
              </w:txbxContent>
            </v:textbox>
          </v:shape>
        </w:pict>
      </w:r>
      <w:r w:rsidR="00943D21">
        <w:rPr>
          <w:b/>
          <w:noProof/>
          <w:lang w:val="ca-ES" w:eastAsia="ca-ES"/>
        </w:rPr>
        <w:pict>
          <v:shape id="_x0000_s1039" type="#_x0000_t202" style="position:absolute;left:0;text-align:left;margin-left:213.2pt;margin-top:207.8pt;width:63.5pt;height:41.1pt;z-index:4" stroked="f">
            <v:textbox inset="0,0,0,0">
              <w:txbxContent>
                <w:p w:rsidR="00943D21" w:rsidRPr="00943D21" w:rsidRDefault="00943D21" w:rsidP="006A5B2D">
                  <w:pPr>
                    <w:spacing w:line="200" w:lineRule="atLeast"/>
                    <w:jc w:val="center"/>
                    <w:rPr>
                      <w:b/>
                      <w:sz w:val="18"/>
                      <w:szCs w:val="18"/>
                    </w:rPr>
                  </w:pPr>
                  <w:r w:rsidRPr="00943D21">
                    <w:rPr>
                      <w:b/>
                      <w:sz w:val="18"/>
                      <w:szCs w:val="18"/>
                    </w:rPr>
                    <w:t xml:space="preserve">UE de 15 países </w:t>
                  </w:r>
                  <w:r>
                    <w:rPr>
                      <w:b/>
                      <w:sz w:val="18"/>
                      <w:szCs w:val="18"/>
                    </w:rPr>
                    <w:t>excluidos Irlanda y Reino Unido</w:t>
                  </w:r>
                </w:p>
              </w:txbxContent>
            </v:textbox>
          </v:shape>
        </w:pict>
      </w:r>
      <w:r w:rsidR="00943D21">
        <w:rPr>
          <w:b/>
          <w:noProof/>
          <w:lang w:val="ca-ES" w:eastAsia="ca-ES"/>
        </w:rPr>
        <w:pict>
          <v:shape id="_x0000_s1038" type="#_x0000_t202" style="position:absolute;left:0;text-align:left;margin-left:150pt;margin-top:207.8pt;width:57.7pt;height:14.7pt;z-index:3" stroked="f">
            <v:textbox inset="0,0,0,0">
              <w:txbxContent>
                <w:p w:rsidR="00943D21" w:rsidRPr="00F977E4" w:rsidRDefault="00943D21" w:rsidP="00943D21">
                  <w:pPr>
                    <w:jc w:val="center"/>
                    <w:rPr>
                      <w:b/>
                      <w:bCs/>
                      <w:sz w:val="18"/>
                      <w:szCs w:val="18"/>
                    </w:rPr>
                  </w:pPr>
                  <w:r w:rsidRPr="00F977E4">
                    <w:rPr>
                      <w:b/>
                      <w:bCs/>
                      <w:sz w:val="18"/>
                      <w:szCs w:val="18"/>
                    </w:rPr>
                    <w:t>Reino Unido</w:t>
                  </w:r>
                </w:p>
              </w:txbxContent>
            </v:textbox>
          </v:shape>
        </w:pict>
      </w:r>
      <w:r w:rsidR="00943D21">
        <w:rPr>
          <w:b/>
          <w:noProof/>
          <w:lang w:val="ca-ES" w:eastAsia="ca-ES"/>
        </w:rPr>
        <w:pict>
          <v:shape id="_x0000_s1037" type="#_x0000_t202" style="position:absolute;left:0;text-align:left;margin-left:85.55pt;margin-top:207.8pt;width:52.7pt;height:14.7pt;z-index:2" stroked="f">
            <v:textbox inset="0,0,0,0">
              <w:txbxContent>
                <w:p w:rsidR="00943D21" w:rsidRPr="00F977E4" w:rsidRDefault="00943D21" w:rsidP="00943D21">
                  <w:pPr>
                    <w:jc w:val="center"/>
                    <w:rPr>
                      <w:b/>
                      <w:bCs/>
                      <w:sz w:val="18"/>
                      <w:szCs w:val="18"/>
                    </w:rPr>
                  </w:pPr>
                  <w:r w:rsidRPr="00F977E4">
                    <w:rPr>
                      <w:b/>
                      <w:bCs/>
                      <w:sz w:val="18"/>
                      <w:szCs w:val="18"/>
                    </w:rPr>
                    <w:t>Irlanda</w:t>
                  </w:r>
                </w:p>
              </w:txbxContent>
            </v:textbox>
          </v:shape>
        </w:pict>
      </w:r>
      <w:r w:rsidR="000100D5">
        <w:pict>
          <v:shape id="_x0000_i1027" type="#_x0000_t75" style="width:364.5pt;height:276.75pt" o:allowoverlap="f">
            <v:imagedata r:id="rId21" o:title="" cropbottom="2198f" cropleft="1338f" cropright="2477f"/>
          </v:shape>
        </w:pict>
      </w:r>
    </w:p>
    <w:p w:rsidR="000100D5" w:rsidRPr="001F5C61" w:rsidRDefault="000100D5" w:rsidP="000100D5">
      <w:pPr>
        <w:pStyle w:val="SingleTxtG"/>
        <w:spacing w:before="240" w:after="240"/>
        <w:ind w:firstLine="170"/>
        <w:rPr>
          <w:sz w:val="18"/>
          <w:szCs w:val="18"/>
          <w:lang w:val="en-IE"/>
        </w:rPr>
      </w:pPr>
      <w:r w:rsidRPr="00111499">
        <w:rPr>
          <w:i/>
          <w:sz w:val="18"/>
          <w:szCs w:val="18"/>
        </w:rPr>
        <w:t>Fuente:</w:t>
      </w:r>
      <w:r w:rsidR="005007D6">
        <w:rPr>
          <w:sz w:val="18"/>
          <w:szCs w:val="18"/>
        </w:rPr>
        <w:t xml:space="preserve"> </w:t>
      </w:r>
      <w:r w:rsidRPr="00111499">
        <w:rPr>
          <w:sz w:val="18"/>
          <w:szCs w:val="18"/>
        </w:rPr>
        <w:t>Oficina Central de Estadística</w:t>
      </w:r>
      <w:r>
        <w:rPr>
          <w:rStyle w:val="FootnoteReference"/>
          <w:lang w:val="en-IE"/>
        </w:rPr>
        <w:footnoteReference w:id="78"/>
      </w:r>
      <w:r w:rsidR="001F5C61">
        <w:rPr>
          <w:sz w:val="18"/>
          <w:szCs w:val="18"/>
          <w:lang w:val="en-IE"/>
        </w:rPr>
        <w:t>.</w:t>
      </w:r>
    </w:p>
    <w:p w:rsidR="000100D5" w:rsidRPr="00B72DC4" w:rsidRDefault="000100D5" w:rsidP="000100D5">
      <w:pPr>
        <w:pStyle w:val="SingleTxtG"/>
        <w:spacing w:before="240"/>
      </w:pPr>
      <w:r w:rsidRPr="00B72DC4">
        <w:t>314.</w:t>
      </w:r>
      <w:r w:rsidRPr="00B72DC4">
        <w:tab/>
        <w:t>En referencia a las medidas del Gobierno para prevenir la discriminación racial por parte de los que arriendan o venden casas o apartament</w:t>
      </w:r>
      <w:r>
        <w:t>o</w:t>
      </w:r>
      <w:r w:rsidRPr="00B72DC4">
        <w:t xml:space="preserve">s, </w:t>
      </w:r>
      <w:r>
        <w:t>el artículo 6 de las Leyes sobre la</w:t>
      </w:r>
      <w:r w:rsidRPr="00B72DC4">
        <w:t xml:space="preserve"> </w:t>
      </w:r>
      <w:r>
        <w:t>igualdad de condición, de</w:t>
      </w:r>
      <w:r w:rsidRPr="00B72DC4">
        <w:t xml:space="preserve"> 2000</w:t>
      </w:r>
      <w:r>
        <w:t xml:space="preserve"> a </w:t>
      </w:r>
      <w:r w:rsidRPr="00B72DC4">
        <w:t>2008</w:t>
      </w:r>
      <w:r>
        <w:t>,</w:t>
      </w:r>
      <w:r w:rsidRPr="00B72DC4">
        <w:t xml:space="preserve"> proh</w:t>
      </w:r>
      <w:r>
        <w:t>í</w:t>
      </w:r>
      <w:r w:rsidRPr="00B72DC4">
        <w:t>b</w:t>
      </w:r>
      <w:r>
        <w:t>e</w:t>
      </w:r>
      <w:r w:rsidRPr="00B72DC4">
        <w:t xml:space="preserve"> </w:t>
      </w:r>
      <w:r>
        <w:t xml:space="preserve">la </w:t>
      </w:r>
      <w:r w:rsidRPr="00B72DC4">
        <w:t>discrimina</w:t>
      </w:r>
      <w:r>
        <w:t>c</w:t>
      </w:r>
      <w:r w:rsidRPr="00B72DC4">
        <w:t>i</w:t>
      </w:r>
      <w:r>
        <w:t>ó</w:t>
      </w:r>
      <w:r w:rsidRPr="00B72DC4">
        <w:t xml:space="preserve">n </w:t>
      </w:r>
      <w:r>
        <w:t>e</w:t>
      </w:r>
      <w:r w:rsidRPr="00B72DC4">
        <w:t xml:space="preserve">n </w:t>
      </w:r>
      <w:r>
        <w:t>la venta y alquiler de locales y viviendas</w:t>
      </w:r>
      <w:r w:rsidRPr="00B72DC4">
        <w:t xml:space="preserve">. </w:t>
      </w:r>
    </w:p>
    <w:p w:rsidR="000100D5" w:rsidRPr="00A85CD3" w:rsidRDefault="000100D5" w:rsidP="000100D5">
      <w:pPr>
        <w:pStyle w:val="SingleTxtG"/>
      </w:pPr>
      <w:r w:rsidRPr="00A85CD3">
        <w:t>315.</w:t>
      </w:r>
      <w:r w:rsidRPr="00A85CD3">
        <w:tab/>
        <w:t>Si bien las medidas para hacer frente a conductas antisociales en el caso de viviendas de alquiler privadas son de la incumbencia fundamentalmente de la An Garda Síochána (</w:t>
      </w:r>
      <w:r>
        <w:t>cuerpo de p</w:t>
      </w:r>
      <w:r w:rsidRPr="00A85CD3">
        <w:t>olic</w:t>
      </w:r>
      <w:r>
        <w:t>ía irlandés</w:t>
      </w:r>
      <w:r w:rsidRPr="00A85CD3">
        <w:t xml:space="preserve">), </w:t>
      </w:r>
      <w:r>
        <w:t>los arrendadores deben velar por el cumplimiento de las obligac</w:t>
      </w:r>
      <w:r w:rsidRPr="00A85CD3">
        <w:t>ion</w:t>
      </w:r>
      <w:r>
        <w:t>e</w:t>
      </w:r>
      <w:r w:rsidRPr="00A85CD3">
        <w:t xml:space="preserve">s </w:t>
      </w:r>
      <w:r>
        <w:t>que se</w:t>
      </w:r>
      <w:r w:rsidRPr="00A85CD3">
        <w:t xml:space="preserve"> apl</w:t>
      </w:r>
      <w:r>
        <w:t>ican a sus inquilinos, en virtud de la Ley de arrendamiento de</w:t>
      </w:r>
      <w:r w:rsidRPr="00A85CD3">
        <w:t xml:space="preserve"> </w:t>
      </w:r>
      <w:r>
        <w:t>viviendas, de</w:t>
      </w:r>
      <w:r w:rsidRPr="00A85CD3">
        <w:t xml:space="preserve"> 2004. </w:t>
      </w:r>
    </w:p>
    <w:p w:rsidR="000100D5" w:rsidRPr="00B62651" w:rsidRDefault="000100D5" w:rsidP="000100D5">
      <w:pPr>
        <w:pStyle w:val="SingleTxtG"/>
      </w:pPr>
      <w:r w:rsidRPr="00B62651">
        <w:t>316.</w:t>
      </w:r>
      <w:r w:rsidRPr="00B62651">
        <w:tab/>
        <w:t>La Ley, en ese sentido, prohíbe a un inquilino en r</w:t>
      </w:r>
      <w:r>
        <w:t>é</w:t>
      </w:r>
      <w:r w:rsidRPr="00B62651">
        <w:t>gimen de alquiler de una vivienda privada incurrir en un comportamiento antisocial en una vivienda</w:t>
      </w:r>
      <w:r>
        <w:t>,</w:t>
      </w:r>
      <w:r w:rsidRPr="00B62651">
        <w:t xml:space="preserve"> o en sus proximidades</w:t>
      </w:r>
      <w:r>
        <w:t>,</w:t>
      </w:r>
      <w:r w:rsidRPr="00B62651">
        <w:t xml:space="preserve"> a la que se apli</w:t>
      </w:r>
      <w:r>
        <w:t>que</w:t>
      </w:r>
      <w:r w:rsidRPr="00B62651">
        <w:t xml:space="preserve"> la Ley y permite a un arrendador po</w:t>
      </w:r>
      <w:r>
        <w:t>ne</w:t>
      </w:r>
      <w:r w:rsidRPr="00B62651">
        <w:t>r t</w:t>
      </w:r>
      <w:r>
        <w:t>é</w:t>
      </w:r>
      <w:r w:rsidRPr="00B62651">
        <w:t>rmin</w:t>
      </w:r>
      <w:r>
        <w:t xml:space="preserve">o </w:t>
      </w:r>
      <w:r w:rsidRPr="00B62651">
        <w:t xml:space="preserve">a un arriendo </w:t>
      </w:r>
      <w:r>
        <w:t>cuando el inquilino</w:t>
      </w:r>
      <w:r w:rsidRPr="00B62651">
        <w:t xml:space="preserve"> in</w:t>
      </w:r>
      <w:r>
        <w:t>curra o permita a otros incurrir en dicho comportamiento</w:t>
      </w:r>
      <w:r w:rsidRPr="00B62651">
        <w:t xml:space="preserve">, </w:t>
      </w:r>
      <w:r>
        <w:t>con un plazo de sólo</w:t>
      </w:r>
      <w:r w:rsidRPr="00B62651">
        <w:t xml:space="preserve"> 7 d</w:t>
      </w:r>
      <w:r>
        <w:t>ías en el caso de un comportamiento antisocial grave</w:t>
      </w:r>
      <w:r w:rsidRPr="00B62651">
        <w:t xml:space="preserve"> o </w:t>
      </w:r>
      <w:r>
        <w:t xml:space="preserve">de </w:t>
      </w:r>
      <w:r w:rsidRPr="00B62651">
        <w:t>28 d</w:t>
      </w:r>
      <w:r>
        <w:t>ías</w:t>
      </w:r>
      <w:r w:rsidRPr="00B62651">
        <w:t xml:space="preserve"> </w:t>
      </w:r>
      <w:r>
        <w:t>e</w:t>
      </w:r>
      <w:r w:rsidRPr="00B62651">
        <w:t xml:space="preserve">n </w:t>
      </w:r>
      <w:r>
        <w:t>el</w:t>
      </w:r>
      <w:r w:rsidRPr="00B62651">
        <w:t xml:space="preserve"> cas</w:t>
      </w:r>
      <w:r>
        <w:t>o de un comportamiento menos grave, pero</w:t>
      </w:r>
      <w:r w:rsidRPr="00B62651">
        <w:t xml:space="preserve"> persistent</w:t>
      </w:r>
      <w:r>
        <w:t>e</w:t>
      </w:r>
      <w:r w:rsidRPr="00B62651">
        <w:t xml:space="preserve">. </w:t>
      </w:r>
    </w:p>
    <w:p w:rsidR="000100D5" w:rsidRPr="009C1508" w:rsidRDefault="000100D5" w:rsidP="000100D5">
      <w:pPr>
        <w:pStyle w:val="SingleTxtG"/>
      </w:pPr>
      <w:r w:rsidRPr="009C1508">
        <w:t>317.</w:t>
      </w:r>
      <w:r w:rsidRPr="009C1508">
        <w:tab/>
        <w:t xml:space="preserve">La Ley de arrendamiento de viviendas dispone también que una tercera persona, afectada por un comportamiento antisocial, puede, previo cumplimiento de ciertas condiciones, plantear </w:t>
      </w:r>
      <w:r>
        <w:t>una denuncia</w:t>
      </w:r>
      <w:r w:rsidRPr="009C1508">
        <w:t xml:space="preserve"> ante la Junta de arrendamiento de viviendas priva</w:t>
      </w:r>
      <w:r>
        <w:t>das</w:t>
      </w:r>
      <w:r w:rsidRPr="009C1508">
        <w:t xml:space="preserve"> </w:t>
      </w:r>
      <w:r>
        <w:t>contra un propietario que no haya velado por el cumplimiento de las</w:t>
      </w:r>
      <w:r w:rsidRPr="009C1508">
        <w:t xml:space="preserve"> obliga</w:t>
      </w:r>
      <w:r>
        <w:t>c</w:t>
      </w:r>
      <w:r w:rsidRPr="009C1508">
        <w:t>ion</w:t>
      </w:r>
      <w:r>
        <w:t>e</w:t>
      </w:r>
      <w:r w:rsidRPr="009C1508">
        <w:t>s</w:t>
      </w:r>
      <w:r>
        <w:t xml:space="preserve"> de un inquilino</w:t>
      </w:r>
      <w:r w:rsidRPr="009C1508">
        <w:t>.</w:t>
      </w:r>
      <w:r>
        <w:t xml:space="preserve"> Un requisito indispensable es que la tercera persona que formula la queja debe haber tomado medidas razonables con miras a resolver la cuestión, poniéndose en </w:t>
      </w:r>
      <w:r w:rsidRPr="009C1508">
        <w:t>comunica</w:t>
      </w:r>
      <w:r>
        <w:t>ción</w:t>
      </w:r>
      <w:r w:rsidRPr="009C1508">
        <w:t xml:space="preserve"> o </w:t>
      </w:r>
      <w:r>
        <w:t>intentando c</w:t>
      </w:r>
      <w:r w:rsidRPr="009C1508">
        <w:t>omunica</w:t>
      </w:r>
      <w:r>
        <w:t>rse con las pa</w:t>
      </w:r>
      <w:r w:rsidRPr="009C1508">
        <w:t xml:space="preserve">rtes </w:t>
      </w:r>
      <w:r>
        <w:t>en el arrendamiento de que se trate</w:t>
      </w:r>
      <w:r w:rsidRPr="009C1508">
        <w:t xml:space="preserve">. </w:t>
      </w:r>
    </w:p>
    <w:p w:rsidR="000100D5" w:rsidRPr="00AF161D" w:rsidRDefault="000100D5" w:rsidP="000100D5">
      <w:pPr>
        <w:pStyle w:val="SingleTxtG"/>
      </w:pPr>
      <w:r w:rsidRPr="00AF161D">
        <w:t>318.</w:t>
      </w:r>
      <w:r w:rsidRPr="00AF161D">
        <w:tab/>
        <w:t>El Plan de Acción Nacional contra el Racismo 2005</w:t>
      </w:r>
      <w:r w:rsidR="00067DCF">
        <w:t>-</w:t>
      </w:r>
      <w:r w:rsidRPr="00AF161D">
        <w:t>2008 apoyó un proyecto de investigaci</w:t>
      </w:r>
      <w:r>
        <w:t xml:space="preserve">ón sobre </w:t>
      </w:r>
      <w:r w:rsidRPr="00AF161D">
        <w:t>pol</w:t>
      </w:r>
      <w:r>
        <w:t>íti</w:t>
      </w:r>
      <w:r w:rsidRPr="00AF161D">
        <w:t>c</w:t>
      </w:r>
      <w:r>
        <w:t>as de alojamiento, derivado del auge de la</w:t>
      </w:r>
      <w:r w:rsidRPr="00AF161D">
        <w:t xml:space="preserve"> </w:t>
      </w:r>
      <w:r>
        <w:t xml:space="preserve">diversidad </w:t>
      </w:r>
      <w:r w:rsidRPr="00AF161D">
        <w:t>cultural</w:t>
      </w:r>
      <w:r>
        <w:t xml:space="preserve"> en</w:t>
      </w:r>
      <w:r w:rsidRPr="00AF161D">
        <w:t xml:space="preserve"> Irland</w:t>
      </w:r>
      <w:r>
        <w:t>a</w:t>
      </w:r>
      <w:r w:rsidRPr="00AF161D">
        <w:t xml:space="preserve">. En octubre de 2008 se publicó el informe titulado </w:t>
      </w:r>
      <w:r w:rsidR="00C67360">
        <w:rPr>
          <w:i/>
        </w:rPr>
        <w:t>"</w:t>
      </w:r>
      <w:r w:rsidRPr="00AF161D">
        <w:rPr>
          <w:i/>
        </w:rPr>
        <w:t>Building Integrated Neighbourhoods: Towards an Intercultural Approach to Housing Policy and Practice in Ireland, Part 1</w:t>
      </w:r>
      <w:r w:rsidR="00C67360">
        <w:rPr>
          <w:i/>
        </w:rPr>
        <w:t>"</w:t>
      </w:r>
      <w:r w:rsidRPr="00AF161D">
        <w:rPr>
          <w:i/>
        </w:rPr>
        <w:t xml:space="preserve"> </w:t>
      </w:r>
      <w:r w:rsidRPr="00AF161D">
        <w:t xml:space="preserve">(Construyendo barrios integrados: enfoque intercultural de las </w:t>
      </w:r>
      <w:r>
        <w:t>políticas y prácticas en materia</w:t>
      </w:r>
      <w:r w:rsidRPr="00AF161D">
        <w:t xml:space="preserve"> de vivienda en Irlanda, Primera parte) así como</w:t>
      </w:r>
      <w:r w:rsidRPr="00AF161D">
        <w:rPr>
          <w:i/>
        </w:rPr>
        <w:t xml:space="preserve"> </w:t>
      </w:r>
      <w:r w:rsidR="00C67360">
        <w:rPr>
          <w:i/>
        </w:rPr>
        <w:t>"</w:t>
      </w:r>
      <w:r w:rsidRPr="00AF161D">
        <w:rPr>
          <w:i/>
        </w:rPr>
        <w:t>Part 2: An update and NCCRI recommendations</w:t>
      </w:r>
      <w:r w:rsidR="00C67360">
        <w:rPr>
          <w:i/>
        </w:rPr>
        <w:t>"</w:t>
      </w:r>
      <w:r w:rsidRPr="00AF161D">
        <w:rPr>
          <w:i/>
        </w:rPr>
        <w:t xml:space="preserve"> </w:t>
      </w:r>
      <w:r w:rsidRPr="00AF161D">
        <w:t>(Segunda parte: Actualización y recomendaciones del NCCRI)</w:t>
      </w:r>
      <w:r>
        <w:rPr>
          <w:rStyle w:val="FootnoteReference"/>
        </w:rPr>
        <w:footnoteReference w:id="79"/>
      </w:r>
      <w:r w:rsidRPr="00AF161D">
        <w:t>, que es un trabajo de investigaci</w:t>
      </w:r>
      <w:r>
        <w:t>ón de carácter</w:t>
      </w:r>
      <w:r w:rsidRPr="00AF161D">
        <w:t xml:space="preserve"> explorator</w:t>
      </w:r>
      <w:r>
        <w:t>io sobre las</w:t>
      </w:r>
      <w:r w:rsidRPr="00AF161D">
        <w:t xml:space="preserve"> posible</w:t>
      </w:r>
      <w:r>
        <w:t>s repercusiones de una mayor diversidad</w:t>
      </w:r>
      <w:r w:rsidRPr="00AF161D">
        <w:t xml:space="preserve"> </w:t>
      </w:r>
      <w:r>
        <w:t>é</w:t>
      </w:r>
      <w:r w:rsidRPr="00AF161D">
        <w:t>tnic</w:t>
      </w:r>
      <w:r>
        <w:t>a y</w:t>
      </w:r>
      <w:r w:rsidRPr="00AF161D">
        <w:t xml:space="preserve"> cultural</w:t>
      </w:r>
      <w:r>
        <w:t xml:space="preserve"> en la vivienda</w:t>
      </w:r>
      <w:r w:rsidRPr="00AF161D">
        <w:t xml:space="preserve">. </w:t>
      </w:r>
    </w:p>
    <w:p w:rsidR="000100D5" w:rsidRPr="009457B7" w:rsidRDefault="000100D5" w:rsidP="000100D5">
      <w:pPr>
        <w:pStyle w:val="SingleTxtG"/>
      </w:pPr>
      <w:r w:rsidRPr="009457B7">
        <w:t>319.</w:t>
      </w:r>
      <w:r w:rsidRPr="009457B7">
        <w:tab/>
        <w:t>En lo</w:t>
      </w:r>
      <w:r>
        <w:t xml:space="preserve"> </w:t>
      </w:r>
      <w:r w:rsidRPr="009457B7">
        <w:t>tocante a las medidas tomadas para hacer efectivo el derecho a la vivienda de los nómadas o seminómadas, respetando plenamente su identidad cultural, s</w:t>
      </w:r>
      <w:r>
        <w:t>írvanse consultar el apéndice dedicado a los nómadas</w:t>
      </w:r>
      <w:r w:rsidRPr="009457B7">
        <w:t xml:space="preserve"> (Ap</w:t>
      </w:r>
      <w:r>
        <w:t>é</w:t>
      </w:r>
      <w:r w:rsidRPr="009457B7">
        <w:t>ndi</w:t>
      </w:r>
      <w:r>
        <w:t>ce</w:t>
      </w:r>
      <w:r w:rsidRPr="009457B7">
        <w:t xml:space="preserve"> I). </w:t>
      </w:r>
    </w:p>
    <w:p w:rsidR="000100D5" w:rsidRPr="009457B7" w:rsidRDefault="000100D5" w:rsidP="000100D5">
      <w:pPr>
        <w:pStyle w:val="H23G"/>
      </w:pPr>
      <w:r w:rsidRPr="009457B7">
        <w:tab/>
        <w:t>17.</w:t>
      </w:r>
      <w:r w:rsidRPr="009457B7">
        <w:tab/>
        <w:t>Atención de salud/asistencia médica</w:t>
      </w:r>
    </w:p>
    <w:p w:rsidR="000100D5" w:rsidRPr="00C1563D" w:rsidRDefault="000100D5" w:rsidP="000100D5">
      <w:pPr>
        <w:pStyle w:val="SingleTxtG"/>
      </w:pPr>
      <w:r w:rsidRPr="009457B7">
        <w:t>320.</w:t>
      </w:r>
      <w:r w:rsidRPr="009457B7">
        <w:tab/>
        <w:t>Los servicios de salud atienden a todas las person</w:t>
      </w:r>
      <w:r>
        <w:t>a</w:t>
      </w:r>
      <w:r w:rsidRPr="009457B7">
        <w:t xml:space="preserve">s </w:t>
      </w:r>
      <w:r>
        <w:t>independientemente de su país de origen o de su</w:t>
      </w:r>
      <w:r w:rsidRPr="009457B7">
        <w:t xml:space="preserve"> etni</w:t>
      </w:r>
      <w:r>
        <w:t>a, lo que tiene un impacto, tanto en los</w:t>
      </w:r>
      <w:r w:rsidRPr="009457B7">
        <w:t xml:space="preserve"> servicios </w:t>
      </w:r>
      <w:r>
        <w:t>como en los</w:t>
      </w:r>
      <w:r w:rsidRPr="009457B7">
        <w:t xml:space="preserve"> migrant</w:t>
      </w:r>
      <w:r>
        <w:t>e</w:t>
      </w:r>
      <w:r w:rsidRPr="009457B7">
        <w:t xml:space="preserve">s </w:t>
      </w:r>
      <w:r>
        <w:t xml:space="preserve">que </w:t>
      </w:r>
      <w:r w:rsidRPr="009457B7">
        <w:t>acce</w:t>
      </w:r>
      <w:r>
        <w:t>den a esos</w:t>
      </w:r>
      <w:r w:rsidRPr="009457B7">
        <w:t xml:space="preserve"> servic</w:t>
      </w:r>
      <w:r>
        <w:t>io</w:t>
      </w:r>
      <w:r w:rsidRPr="009457B7">
        <w:t xml:space="preserve">s. </w:t>
      </w:r>
      <w:r w:rsidRPr="00C1563D">
        <w:t>E</w:t>
      </w:r>
      <w:r>
        <w:t>jemplo de</w:t>
      </w:r>
      <w:r w:rsidRPr="00C1563D">
        <w:t xml:space="preserve"> ello</w:t>
      </w:r>
      <w:r>
        <w:t xml:space="preserve"> es</w:t>
      </w:r>
      <w:r w:rsidRPr="00C1563D">
        <w:t xml:space="preserve"> el impacto sobre los servicios de </w:t>
      </w:r>
      <w:r>
        <w:t>salud del</w:t>
      </w:r>
      <w:r w:rsidRPr="00C1563D">
        <w:t xml:space="preserve"> aumento del número de clientes </w:t>
      </w:r>
      <w:r>
        <w:t>en una época de fuertes corrientes migratorias internas y</w:t>
      </w:r>
      <w:r w:rsidRPr="00C1563D">
        <w:t xml:space="preserve"> </w:t>
      </w:r>
      <w:r>
        <w:t>la necesidad de facilitar servicios que tengan en cuenta las diferencias culturales, así como la de contar con servicios de traducción</w:t>
      </w:r>
      <w:r w:rsidRPr="00C1563D">
        <w:t xml:space="preserve">. </w:t>
      </w:r>
    </w:p>
    <w:p w:rsidR="000100D5" w:rsidRPr="00D30C83" w:rsidRDefault="000100D5" w:rsidP="000100D5">
      <w:pPr>
        <w:pStyle w:val="H4G"/>
      </w:pPr>
      <w:r w:rsidRPr="00C1563D">
        <w:tab/>
      </w:r>
      <w:r w:rsidRPr="00D30C83">
        <w:t>a)</w:t>
      </w:r>
      <w:r w:rsidRPr="00D30C83">
        <w:tab/>
        <w:t>Estrategia Nacional Intercultural de Salud del Ejecutivo del Servicio de Salud, 2007</w:t>
      </w:r>
      <w:r w:rsidR="00067DCF">
        <w:noBreakHyphen/>
      </w:r>
      <w:r w:rsidRPr="00D30C83">
        <w:t>2012</w:t>
      </w:r>
      <w:r w:rsidRPr="00EF07D2">
        <w:rPr>
          <w:rStyle w:val="FootnoteReference"/>
          <w:i w:val="0"/>
        </w:rPr>
        <w:footnoteReference w:id="80"/>
      </w:r>
    </w:p>
    <w:p w:rsidR="000100D5" w:rsidRPr="00722E1A" w:rsidRDefault="000100D5" w:rsidP="000100D5">
      <w:pPr>
        <w:pStyle w:val="SingleTxtG"/>
      </w:pPr>
      <w:r w:rsidRPr="00D30C83">
        <w:t>321.</w:t>
      </w:r>
      <w:r w:rsidRPr="00D30C83">
        <w:tab/>
        <w:t>El Plan de Acción Nacional contra el Racismo respaldó la preparaci</w:t>
      </w:r>
      <w:r>
        <w:t xml:space="preserve">ón de una Estrategia Nacional Intercultural de Salud del Ejecutivo del </w:t>
      </w:r>
      <w:r w:rsidRPr="00D30C83">
        <w:t>Servic</w:t>
      </w:r>
      <w:r>
        <w:t>io de Salud</w:t>
      </w:r>
      <w:r w:rsidRPr="00D30C83">
        <w:t xml:space="preserve">. </w:t>
      </w:r>
      <w:r w:rsidRPr="007913A8">
        <w:t xml:space="preserve">En esa estrategia, que se puso en marcha en febrero de 2008, </w:t>
      </w:r>
      <w:r>
        <w:t>se abordan las necesidades de salud y de apoyo de los miembros de las minorías étnicas</w:t>
      </w:r>
      <w:r w:rsidRPr="007913A8">
        <w:t xml:space="preserve">. </w:t>
      </w:r>
      <w:r w:rsidRPr="00722E1A">
        <w:t>Se basará en las buenas pr</w:t>
      </w:r>
      <w:r>
        <w:t>á</w:t>
      </w:r>
      <w:r w:rsidRPr="00722E1A">
        <w:t>ctic</w:t>
      </w:r>
      <w:r>
        <w:t>a</w:t>
      </w:r>
      <w:r w:rsidRPr="00722E1A">
        <w:t xml:space="preserve">s que ya se </w:t>
      </w:r>
      <w:r>
        <w:t xml:space="preserve">están </w:t>
      </w:r>
      <w:r w:rsidRPr="00722E1A">
        <w:t>desarrollan</w:t>
      </w:r>
      <w:r>
        <w:t>do</w:t>
      </w:r>
      <w:r w:rsidRPr="00722E1A">
        <w:t xml:space="preserve"> por todo el país</w:t>
      </w:r>
      <w:r>
        <w:t>,</w:t>
      </w:r>
      <w:r w:rsidRPr="00722E1A">
        <w:t xml:space="preserve"> a fin de garantizar un planteamiento </w:t>
      </w:r>
      <w:r>
        <w:t>responsable</w:t>
      </w:r>
      <w:r w:rsidRPr="00722E1A">
        <w:t xml:space="preserve"> </w:t>
      </w:r>
      <w:r>
        <w:t xml:space="preserve">y </w:t>
      </w:r>
      <w:r w:rsidRPr="00722E1A">
        <w:t>que tenga en cuenta las diferencias cultural</w:t>
      </w:r>
      <w:r>
        <w:t>es en lo tocante a la prestación de</w:t>
      </w:r>
      <w:r w:rsidRPr="00722E1A">
        <w:t xml:space="preserve"> servic</w:t>
      </w:r>
      <w:r>
        <w:t>ios para atender las necesidades exclusivas en materia de atención de salud y apoyo de los solicitantes de asilo,</w:t>
      </w:r>
      <w:r w:rsidR="005007D6">
        <w:t xml:space="preserve"> </w:t>
      </w:r>
      <w:r w:rsidRPr="00722E1A">
        <w:t>refug</w:t>
      </w:r>
      <w:r>
        <w:t>iados</w:t>
      </w:r>
      <w:r w:rsidRPr="00722E1A">
        <w:t xml:space="preserve">, </w:t>
      </w:r>
      <w:r>
        <w:t xml:space="preserve">trabajadores </w:t>
      </w:r>
      <w:r w:rsidRPr="00722E1A">
        <w:t>migrant</w:t>
      </w:r>
      <w:r>
        <w:t>es</w:t>
      </w:r>
      <w:r w:rsidRPr="00722E1A">
        <w:t xml:space="preserve">, </w:t>
      </w:r>
      <w:r>
        <w:t>nómadas</w:t>
      </w:r>
      <w:r w:rsidRPr="00722E1A">
        <w:t xml:space="preserve">, </w:t>
      </w:r>
      <w:r>
        <w:t>e</w:t>
      </w:r>
      <w:r w:rsidRPr="00722E1A">
        <w:t>stud</w:t>
      </w:r>
      <w:r>
        <w:t>ia</w:t>
      </w:r>
      <w:r w:rsidRPr="00722E1A">
        <w:t>nt</w:t>
      </w:r>
      <w:r>
        <w:t>e</w:t>
      </w:r>
      <w:r w:rsidRPr="00722E1A">
        <w:t>s</w:t>
      </w:r>
      <w:r>
        <w:t xml:space="preserve"> extranjeros y miembros de grupos étnicos minoritarios antiguos o nuevos</w:t>
      </w:r>
      <w:r w:rsidRPr="00722E1A">
        <w:t xml:space="preserve">. </w:t>
      </w:r>
    </w:p>
    <w:p w:rsidR="000100D5" w:rsidRPr="00771C98" w:rsidRDefault="000100D5" w:rsidP="000100D5">
      <w:pPr>
        <w:pStyle w:val="SingleTxtG"/>
      </w:pPr>
      <w:r w:rsidRPr="00771C98">
        <w:t>322.</w:t>
      </w:r>
      <w:r w:rsidRPr="00771C98">
        <w:tab/>
        <w:t>El modelo de consultas que el Ejecutivo del Servicio de Salud ha utilizado para articular la elaboración de la estrategia ha recibido muchos elogios</w:t>
      </w:r>
      <w:r>
        <w:t>, así como</w:t>
      </w:r>
      <w:r w:rsidRPr="00771C98">
        <w:t xml:space="preserve"> el plan del Ejecutivo d</w:t>
      </w:r>
      <w:r>
        <w:t>e</w:t>
      </w:r>
      <w:r w:rsidRPr="00771C98">
        <w:t xml:space="preserve">l </w:t>
      </w:r>
      <w:r>
        <w:t>S</w:t>
      </w:r>
      <w:r w:rsidRPr="00771C98">
        <w:t xml:space="preserve">ervicio de Salud </w:t>
      </w:r>
      <w:r>
        <w:t>de reseñar los resultados de ese</w:t>
      </w:r>
      <w:r w:rsidRPr="00771C98">
        <w:t xml:space="preserve"> proces</w:t>
      </w:r>
      <w:r>
        <w:t>o</w:t>
      </w:r>
      <w:r w:rsidRPr="00771C98">
        <w:t xml:space="preserve"> </w:t>
      </w:r>
      <w:r>
        <w:t>para respaldar otras estructuras y sectores del</w:t>
      </w:r>
      <w:r w:rsidRPr="00771C98">
        <w:t xml:space="preserve"> </w:t>
      </w:r>
      <w:r>
        <w:t xml:space="preserve">Ejecutivo del </w:t>
      </w:r>
      <w:r w:rsidRPr="00771C98">
        <w:t>Servic</w:t>
      </w:r>
      <w:r>
        <w:t>io de Salud</w:t>
      </w:r>
      <w:r w:rsidRPr="00771C98">
        <w:t xml:space="preserve"> </w:t>
      </w:r>
      <w:r>
        <w:t>e</w:t>
      </w:r>
      <w:r w:rsidRPr="00771C98">
        <w:t xml:space="preserve">n </w:t>
      </w:r>
      <w:r>
        <w:t>la organización de consultas sobre ámbitos</w:t>
      </w:r>
      <w:r w:rsidRPr="00771C98">
        <w:t xml:space="preserve"> </w:t>
      </w:r>
      <w:r>
        <w:t>idóneos de atención</w:t>
      </w:r>
      <w:r w:rsidRPr="00771C98">
        <w:t>.</w:t>
      </w:r>
    </w:p>
    <w:p w:rsidR="000100D5" w:rsidRPr="00F90BEF" w:rsidRDefault="000100D5" w:rsidP="000100D5">
      <w:pPr>
        <w:pStyle w:val="SingleTxtG"/>
      </w:pPr>
      <w:r w:rsidRPr="00D509FF">
        <w:t>323.</w:t>
      </w:r>
      <w:r w:rsidRPr="00D509FF">
        <w:tab/>
        <w:t>La estrategia tiene una duración de 5 años, por lo que se est</w:t>
      </w:r>
      <w:r>
        <w:t>án aplicando las</w:t>
      </w:r>
      <w:r w:rsidRPr="00D509FF">
        <w:t xml:space="preserve"> recomenda</w:t>
      </w:r>
      <w:r>
        <w:t>c</w:t>
      </w:r>
      <w:r w:rsidRPr="00D509FF">
        <w:t>ion</w:t>
      </w:r>
      <w:r>
        <w:t>es por etapas</w:t>
      </w:r>
      <w:r w:rsidRPr="00D509FF">
        <w:t xml:space="preserve"> </w:t>
      </w:r>
      <w:r>
        <w:t>en función de las</w:t>
      </w:r>
      <w:r w:rsidRPr="00D509FF">
        <w:t xml:space="preserve"> priori</w:t>
      </w:r>
      <w:r>
        <w:t>dades</w:t>
      </w:r>
      <w:r w:rsidRPr="00D509FF">
        <w:t xml:space="preserve">. La Dependencia Nacional de Integración Social del Ejecutivo del Servicio de Salud coordina y respalda la aplicación de la </w:t>
      </w:r>
      <w:r>
        <w:t>e</w:t>
      </w:r>
      <w:r w:rsidRPr="00D509FF">
        <w:t>strategia, en colaboraci</w:t>
      </w:r>
      <w:r>
        <w:t xml:space="preserve">ón con </w:t>
      </w:r>
      <w:r w:rsidRPr="00D509FF">
        <w:t>coleg</w:t>
      </w:r>
      <w:r>
        <w:t>a</w:t>
      </w:r>
      <w:r w:rsidRPr="00D509FF">
        <w:t xml:space="preserve">s </w:t>
      </w:r>
      <w:r>
        <w:t>en otros ámbitos de la</w:t>
      </w:r>
      <w:r w:rsidRPr="00D509FF">
        <w:t xml:space="preserve"> organi</w:t>
      </w:r>
      <w:r>
        <w:t>z</w:t>
      </w:r>
      <w:r w:rsidRPr="00D509FF">
        <w:t>a</w:t>
      </w:r>
      <w:r>
        <w:t>c</w:t>
      </w:r>
      <w:r w:rsidRPr="00D509FF">
        <w:t>i</w:t>
      </w:r>
      <w:r>
        <w:t>ó</w:t>
      </w:r>
      <w:r w:rsidRPr="00D509FF">
        <w:t>n, as</w:t>
      </w:r>
      <w:r>
        <w:t>í como con una serie de organismos en el sector oficial y en el de las organizaciones de voluntarios.</w:t>
      </w:r>
      <w:r w:rsidRPr="00D509FF">
        <w:t xml:space="preserve"> </w:t>
      </w:r>
      <w:r w:rsidR="00353427">
        <w:t>Se </w:t>
      </w:r>
      <w:r>
        <w:t>han hecho</w:t>
      </w:r>
      <w:r w:rsidRPr="00F90BEF">
        <w:t xml:space="preserve"> progresos en los tres aspectos principales de la aplicaci</w:t>
      </w:r>
      <w:r>
        <w:t>ón de la es</w:t>
      </w:r>
      <w:r w:rsidRPr="00F90BEF">
        <w:t>trateg</w:t>
      </w:r>
      <w:r>
        <w:t>ia:</w:t>
      </w:r>
      <w:r w:rsidR="005007D6">
        <w:t xml:space="preserve"> </w:t>
      </w:r>
      <w:r>
        <w:t>a</w:t>
      </w:r>
      <w:r w:rsidRPr="00F90BEF">
        <w:t>cces</w:t>
      </w:r>
      <w:r>
        <w:t>o a los</w:t>
      </w:r>
      <w:r w:rsidRPr="00F90BEF">
        <w:t xml:space="preserve"> servic</w:t>
      </w:r>
      <w:r>
        <w:t>io</w:t>
      </w:r>
      <w:r w:rsidRPr="00F90BEF">
        <w:t xml:space="preserve">s; </w:t>
      </w:r>
      <w:r>
        <w:t>d</w:t>
      </w:r>
      <w:r w:rsidRPr="00F90BEF">
        <w:t>at</w:t>
      </w:r>
      <w:r>
        <w:t>os,</w:t>
      </w:r>
      <w:r w:rsidRPr="00F90BEF">
        <w:t xml:space="preserve"> </w:t>
      </w:r>
      <w:r>
        <w:t>i</w:t>
      </w:r>
      <w:r w:rsidRPr="00F90BEF">
        <w:t>nforma</w:t>
      </w:r>
      <w:r>
        <w:t>c</w:t>
      </w:r>
      <w:r w:rsidRPr="00F90BEF">
        <w:t>i</w:t>
      </w:r>
      <w:r>
        <w:t>ó</w:t>
      </w:r>
      <w:r w:rsidRPr="00F90BEF">
        <w:t xml:space="preserve">n </w:t>
      </w:r>
      <w:r>
        <w:t>e investigación</w:t>
      </w:r>
      <w:r w:rsidRPr="00F90BEF">
        <w:t xml:space="preserve">; </w:t>
      </w:r>
      <w:r>
        <w:t>aprendizaje, formación y apoyo al personal</w:t>
      </w:r>
      <w:r w:rsidRPr="00F90BEF">
        <w:t xml:space="preserve">. </w:t>
      </w:r>
    </w:p>
    <w:p w:rsidR="000100D5" w:rsidRPr="0077764E" w:rsidRDefault="000100D5" w:rsidP="000100D5">
      <w:pPr>
        <w:pStyle w:val="SingleTxtG"/>
      </w:pPr>
      <w:r w:rsidRPr="00F90BEF">
        <w:t>324.</w:t>
      </w:r>
      <w:r w:rsidRPr="00F90BEF">
        <w:tab/>
        <w:t xml:space="preserve">Se ha avanzado mucho en aspectos relacionados con </w:t>
      </w:r>
      <w:r>
        <w:t>la mejora</w:t>
      </w:r>
      <w:r w:rsidRPr="00F90BEF">
        <w:t xml:space="preserve"> de los servicios de interpretación, </w:t>
      </w:r>
      <w:r>
        <w:t>al tiempo</w:t>
      </w:r>
      <w:r w:rsidRPr="00F90BEF">
        <w:t xml:space="preserve"> que se</w:t>
      </w:r>
      <w:r>
        <w:t xml:space="preserve"> ha incluido en el sitio web del Ejecutivo del Servicio de Salud toda una gama de información básica traducida en materia de salud</w:t>
      </w:r>
      <w:r w:rsidRPr="00F90BEF">
        <w:t xml:space="preserve">. </w:t>
      </w:r>
      <w:r w:rsidRPr="004114D9">
        <w:t xml:space="preserve">Un buen ejemplo de un recurso práctico que </w:t>
      </w:r>
      <w:r>
        <w:t>se está elaborando es la Ayuda Plurilingüe de Emergencia</w:t>
      </w:r>
      <w:r>
        <w:rPr>
          <w:rStyle w:val="FootnoteReference"/>
        </w:rPr>
        <w:footnoteReference w:id="81"/>
      </w:r>
      <w:r w:rsidR="001F5C61">
        <w:t>.</w:t>
      </w:r>
      <w:r w:rsidRPr="004114D9">
        <w:t xml:space="preserve"> </w:t>
      </w:r>
      <w:r w:rsidRPr="0077764E">
        <w:t>Esta a</w:t>
      </w:r>
      <w:r>
        <w:t>sistencia</w:t>
      </w:r>
      <w:r w:rsidRPr="0077764E">
        <w:t xml:space="preserve"> se ha prestado a 52 hospitales del país</w:t>
      </w:r>
      <w:r>
        <w:t>;</w:t>
      </w:r>
      <w:r w:rsidRPr="0077764E">
        <w:t xml:space="preserve"> se trata de un recurso destinado</w:t>
      </w:r>
      <w:r>
        <w:t xml:space="preserve"> </w:t>
      </w:r>
      <w:r w:rsidRPr="0077764E">
        <w:t>a ayudar al personal a comunica</w:t>
      </w:r>
      <w:r>
        <w:t>rse con los</w:t>
      </w:r>
      <w:r w:rsidRPr="0077764E">
        <w:t xml:space="preserve"> pa</w:t>
      </w:r>
      <w:r>
        <w:t>c</w:t>
      </w:r>
      <w:r w:rsidRPr="0077764E">
        <w:t>ient</w:t>
      </w:r>
      <w:r>
        <w:t>e</w:t>
      </w:r>
      <w:r w:rsidRPr="0077764E">
        <w:t xml:space="preserve">s </w:t>
      </w:r>
      <w:r>
        <w:t>que acuden en situaciones urgentes o de</w:t>
      </w:r>
      <w:r w:rsidRPr="0077764E">
        <w:t xml:space="preserve"> emergenc</w:t>
      </w:r>
      <w:r>
        <w:t>ia y que no dominan el inglés</w:t>
      </w:r>
      <w:r w:rsidRPr="0077764E">
        <w:t>. La ayuda está disponible en alem</w:t>
      </w:r>
      <w:r>
        <w:t xml:space="preserve">án, </w:t>
      </w:r>
      <w:r w:rsidRPr="0077764E">
        <w:t xml:space="preserve">árabe, </w:t>
      </w:r>
      <w:r>
        <w:t>b</w:t>
      </w:r>
      <w:r w:rsidRPr="0077764E">
        <w:t>osni</w:t>
      </w:r>
      <w:r>
        <w:t>o</w:t>
      </w:r>
      <w:r w:rsidRPr="0077764E">
        <w:t xml:space="preserve">, </w:t>
      </w:r>
      <w:r>
        <w:t>c</w:t>
      </w:r>
      <w:r w:rsidRPr="0077764E">
        <w:t>anton</w:t>
      </w:r>
      <w:r>
        <w:t>é</w:t>
      </w:r>
      <w:r w:rsidRPr="0077764E">
        <w:t xml:space="preserve">s, </w:t>
      </w:r>
      <w:r>
        <w:t>che</w:t>
      </w:r>
      <w:r w:rsidRPr="0077764E">
        <w:t>c</w:t>
      </w:r>
      <w:r>
        <w:t>o</w:t>
      </w:r>
      <w:r w:rsidRPr="0077764E">
        <w:t xml:space="preserve">, </w:t>
      </w:r>
      <w:r>
        <w:t>eslovaco, español, francés</w:t>
      </w:r>
      <w:r w:rsidRPr="0077764E">
        <w:t xml:space="preserve">, </w:t>
      </w:r>
      <w:r>
        <w:t>hún</w:t>
      </w:r>
      <w:r w:rsidRPr="0077764E">
        <w:t>gar</w:t>
      </w:r>
      <w:r>
        <w:t>o</w:t>
      </w:r>
      <w:r w:rsidRPr="0077764E">
        <w:t xml:space="preserve">, </w:t>
      </w:r>
      <w:r>
        <w:t>irlandés</w:t>
      </w:r>
      <w:r w:rsidRPr="0077764E">
        <w:t xml:space="preserve">, </w:t>
      </w:r>
      <w:r>
        <w:t>letón</w:t>
      </w:r>
      <w:r w:rsidRPr="0077764E">
        <w:t xml:space="preserve">, </w:t>
      </w:r>
      <w:r>
        <w:t>l</w:t>
      </w:r>
      <w:r w:rsidRPr="0077764E">
        <w:t>ituan</w:t>
      </w:r>
      <w:r>
        <w:t>o</w:t>
      </w:r>
      <w:r w:rsidRPr="0077764E">
        <w:t xml:space="preserve">, </w:t>
      </w:r>
      <w:r>
        <w:t>m</w:t>
      </w:r>
      <w:r w:rsidRPr="0077764E">
        <w:t>andar</w:t>
      </w:r>
      <w:r>
        <w:t>í</w:t>
      </w:r>
      <w:r w:rsidRPr="0077764E">
        <w:t xml:space="preserve">n, </w:t>
      </w:r>
      <w:r>
        <w:t>p</w:t>
      </w:r>
      <w:r w:rsidRPr="0077764E">
        <w:t>ast</w:t>
      </w:r>
      <w:r>
        <w:t>ún</w:t>
      </w:r>
      <w:r w:rsidRPr="0077764E">
        <w:t xml:space="preserve">, </w:t>
      </w:r>
      <w:r>
        <w:t>polaco, p</w:t>
      </w:r>
      <w:r w:rsidRPr="0077764E">
        <w:t>ortugu</w:t>
      </w:r>
      <w:r>
        <w:t>é</w:t>
      </w:r>
      <w:r w:rsidRPr="0077764E">
        <w:t xml:space="preserve">s, </w:t>
      </w:r>
      <w:r>
        <w:t>rumano</w:t>
      </w:r>
      <w:r w:rsidRPr="0077764E">
        <w:t xml:space="preserve">, </w:t>
      </w:r>
      <w:r>
        <w:t>r</w:t>
      </w:r>
      <w:r w:rsidRPr="0077764E">
        <w:t>us</w:t>
      </w:r>
      <w:r>
        <w:t>o,</w:t>
      </w:r>
      <w:r w:rsidRPr="0077764E">
        <w:t xml:space="preserve"> </w:t>
      </w:r>
      <w:r>
        <w:t>s</w:t>
      </w:r>
      <w:r w:rsidRPr="0077764E">
        <w:t>omal</w:t>
      </w:r>
      <w:r>
        <w:t>í</w:t>
      </w:r>
      <w:r w:rsidRPr="0077764E">
        <w:t xml:space="preserve"> </w:t>
      </w:r>
      <w:r>
        <w:t>y</w:t>
      </w:r>
      <w:r w:rsidRPr="0077764E">
        <w:t xml:space="preserve"> </w:t>
      </w:r>
      <w:r>
        <w:t>u</w:t>
      </w:r>
      <w:r w:rsidRPr="0077764E">
        <w:t xml:space="preserve">rdu. </w:t>
      </w:r>
    </w:p>
    <w:p w:rsidR="000100D5" w:rsidRPr="00EE6771" w:rsidRDefault="000100D5" w:rsidP="000100D5">
      <w:pPr>
        <w:pStyle w:val="SingleTxtG"/>
      </w:pPr>
      <w:r w:rsidRPr="00663E89">
        <w:t>325.</w:t>
      </w:r>
      <w:r w:rsidRPr="00663E89">
        <w:tab/>
        <w:t xml:space="preserve">Otro ejemplo es la creación de una guía intercultural de Servicios de Salud, </w:t>
      </w:r>
      <w:r>
        <w:t xml:space="preserve">diseñada para prestar asistencia al personal a fin de que pueda atender con delicadeza y de forma culturalmente adecuada a los pacientes de </w:t>
      </w:r>
      <w:r w:rsidRPr="00663E89">
        <w:t>divers</w:t>
      </w:r>
      <w:r>
        <w:t>as</w:t>
      </w:r>
      <w:r w:rsidRPr="00663E89">
        <w:t xml:space="preserve"> comuni</w:t>
      </w:r>
      <w:r>
        <w:t>dad</w:t>
      </w:r>
      <w:r w:rsidRPr="00663E89">
        <w:t xml:space="preserve">es </w:t>
      </w:r>
      <w:r>
        <w:t>y tradiciones religiosas ingresados en hospitales</w:t>
      </w:r>
      <w:r w:rsidRPr="00663E89">
        <w:t xml:space="preserve">. </w:t>
      </w:r>
      <w:r w:rsidRPr="00A16BC7">
        <w:t>Plasma las necesidades religiosas y culturales de 25 grupos diferentes, en relación con los que se ocupan de los enfermos y, en especial, de los</w:t>
      </w:r>
      <w:r w:rsidR="005007D6">
        <w:t xml:space="preserve"> </w:t>
      </w:r>
      <w:r w:rsidRPr="00A16BC7">
        <w:t>hospital</w:t>
      </w:r>
      <w:r>
        <w:t>izados</w:t>
      </w:r>
      <w:r w:rsidRPr="00A16BC7">
        <w:t>, as</w:t>
      </w:r>
      <w:r>
        <w:t>í como de los que atienden a los moribundos, tanto</w:t>
      </w:r>
      <w:r w:rsidRPr="00A16BC7">
        <w:t xml:space="preserve"> adult</w:t>
      </w:r>
      <w:r>
        <w:t>o</w:t>
      </w:r>
      <w:r w:rsidRPr="00A16BC7">
        <w:t xml:space="preserve">s </w:t>
      </w:r>
      <w:r>
        <w:t>como niños</w:t>
      </w:r>
      <w:r w:rsidRPr="00A16BC7">
        <w:t xml:space="preserve">. </w:t>
      </w:r>
      <w:r w:rsidRPr="00EE6771">
        <w:t xml:space="preserve">La Guía se ha presentado en hospitales, residencias, clínicas y en una </w:t>
      </w:r>
      <w:r>
        <w:t>amplia gama</w:t>
      </w:r>
      <w:r w:rsidRPr="00EE6771">
        <w:t xml:space="preserve"> de entornos. </w:t>
      </w:r>
    </w:p>
    <w:p w:rsidR="000100D5" w:rsidRPr="00EE6771" w:rsidRDefault="00914DB6" w:rsidP="000100D5">
      <w:pPr>
        <w:pStyle w:val="H4G"/>
      </w:pPr>
      <w:r>
        <w:tab/>
      </w:r>
      <w:r w:rsidR="000100D5" w:rsidRPr="00EE6771">
        <w:t>b)</w:t>
      </w:r>
      <w:r w:rsidR="000100D5" w:rsidRPr="00EE6771">
        <w:tab/>
        <w:t>Servicios para menores no acompañados solicitantes de as</w:t>
      </w:r>
      <w:r w:rsidR="000100D5">
        <w:t>i</w:t>
      </w:r>
      <w:r w:rsidR="000100D5" w:rsidRPr="00EE6771">
        <w:t>l</w:t>
      </w:r>
      <w:r w:rsidR="000100D5">
        <w:t>o</w:t>
      </w:r>
    </w:p>
    <w:p w:rsidR="000100D5" w:rsidRPr="00693416" w:rsidRDefault="000100D5" w:rsidP="000100D5">
      <w:pPr>
        <w:pStyle w:val="SingleTxtG"/>
      </w:pPr>
      <w:r w:rsidRPr="00985F9B">
        <w:t>326.</w:t>
      </w:r>
      <w:r w:rsidRPr="00985F9B">
        <w:tab/>
        <w:t xml:space="preserve">Las necesidades inmediatas y </w:t>
      </w:r>
      <w:r>
        <w:t>crónicas de</w:t>
      </w:r>
      <w:r w:rsidRPr="00985F9B">
        <w:t xml:space="preserve"> menores no acompañados solicitantes de asilo </w:t>
      </w:r>
      <w:r>
        <w:t>en materia de</w:t>
      </w:r>
      <w:r w:rsidRPr="00985F9B">
        <w:t xml:space="preserve"> alojamiento</w:t>
      </w:r>
      <w:r>
        <w:t>, asistencia</w:t>
      </w:r>
      <w:r w:rsidRPr="00985F9B">
        <w:t xml:space="preserve"> m</w:t>
      </w:r>
      <w:r>
        <w:t>é</w:t>
      </w:r>
      <w:r w:rsidRPr="00985F9B">
        <w:t>dic</w:t>
      </w:r>
      <w:r>
        <w:t>a</w:t>
      </w:r>
      <w:r w:rsidRPr="00985F9B">
        <w:t xml:space="preserve"> y social </w:t>
      </w:r>
      <w:r>
        <w:t>y su solicitud del estatuto de</w:t>
      </w:r>
      <w:r w:rsidRPr="00985F9B">
        <w:t xml:space="preserve"> refug</w:t>
      </w:r>
      <w:r>
        <w:t>iado, son de la incumbencia del Ejecutivo del Servicio de Salud, de conformidad con la Ley del</w:t>
      </w:r>
      <w:r w:rsidRPr="00985F9B">
        <w:t xml:space="preserve"> </w:t>
      </w:r>
      <w:r>
        <w:t>r</w:t>
      </w:r>
      <w:r w:rsidRPr="00985F9B">
        <w:t>efug</w:t>
      </w:r>
      <w:r>
        <w:t>iado, de</w:t>
      </w:r>
      <w:r w:rsidRPr="00985F9B">
        <w:t xml:space="preserve"> 1996</w:t>
      </w:r>
      <w:r>
        <w:rPr>
          <w:rStyle w:val="FootnoteReference"/>
        </w:rPr>
        <w:footnoteReference w:id="82"/>
      </w:r>
      <w:r w:rsidRPr="00985F9B">
        <w:t xml:space="preserve"> (</w:t>
      </w:r>
      <w:r>
        <w:t>en</w:t>
      </w:r>
      <w:r w:rsidRPr="00985F9B">
        <w:t>mend</w:t>
      </w:r>
      <w:r>
        <w:t>ada</w:t>
      </w:r>
      <w:r w:rsidRPr="00985F9B">
        <w:t xml:space="preserve">) </w:t>
      </w:r>
      <w:r>
        <w:t>y la Ley de ate</w:t>
      </w:r>
      <w:r w:rsidRPr="00985F9B">
        <w:t>n</w:t>
      </w:r>
      <w:r>
        <w:t>ción a la infancia de</w:t>
      </w:r>
      <w:r w:rsidRPr="00985F9B">
        <w:t xml:space="preserve"> 1991</w:t>
      </w:r>
      <w:r>
        <w:rPr>
          <w:rStyle w:val="FootnoteReference"/>
        </w:rPr>
        <w:footnoteReference w:id="83"/>
      </w:r>
      <w:r w:rsidR="001F5C61">
        <w:t>.</w:t>
      </w:r>
      <w:r w:rsidRPr="00985F9B">
        <w:t xml:space="preserve"> </w:t>
      </w:r>
      <w:r w:rsidRPr="00693416">
        <w:t>Esta última es la norma más importante para la protección y el bienestar de los niños en Irland</w:t>
      </w:r>
      <w:r>
        <w:t>a</w:t>
      </w:r>
      <w:r w:rsidRPr="00693416">
        <w:t xml:space="preserve">. </w:t>
      </w:r>
    </w:p>
    <w:p w:rsidR="000100D5" w:rsidRPr="00693416" w:rsidRDefault="000100D5" w:rsidP="000100D5">
      <w:pPr>
        <w:pStyle w:val="SingleTxtG"/>
      </w:pPr>
      <w:r w:rsidRPr="00693416">
        <w:t>327.</w:t>
      </w:r>
      <w:r w:rsidRPr="00693416">
        <w:tab/>
        <w:t xml:space="preserve">El Ejecutivo del Servicio de Salud está diseñando una </w:t>
      </w:r>
      <w:r>
        <w:t>p</w:t>
      </w:r>
      <w:r w:rsidRPr="00693416">
        <w:t>ol</w:t>
      </w:r>
      <w:r>
        <w:t>ítica</w:t>
      </w:r>
      <w:r w:rsidRPr="00693416">
        <w:t xml:space="preserve"> </w:t>
      </w:r>
      <w:r>
        <w:t>n</w:t>
      </w:r>
      <w:r w:rsidRPr="00693416">
        <w:t>a</w:t>
      </w:r>
      <w:r>
        <w:t>c</w:t>
      </w:r>
      <w:r w:rsidRPr="00693416">
        <w:t xml:space="preserve">ional </w:t>
      </w:r>
      <w:r>
        <w:t>o</w:t>
      </w:r>
      <w:r w:rsidRPr="00693416">
        <w:t>pera</w:t>
      </w:r>
      <w:r>
        <w:t>c</w:t>
      </w:r>
      <w:r w:rsidRPr="00693416">
        <w:t>ional</w:t>
      </w:r>
      <w:r>
        <w:t xml:space="preserve"> para menores no </w:t>
      </w:r>
      <w:r w:rsidRPr="00693416">
        <w:t>acompa</w:t>
      </w:r>
      <w:r>
        <w:t>ñados</w:t>
      </w:r>
      <w:r w:rsidRPr="00693416">
        <w:t>/</w:t>
      </w:r>
      <w:r>
        <w:t>niños separados de sus padres</w:t>
      </w:r>
      <w:r w:rsidRPr="00693416">
        <w:t xml:space="preserve"> s</w:t>
      </w:r>
      <w:r>
        <w:t>olicitantes de</w:t>
      </w:r>
      <w:r w:rsidRPr="00693416">
        <w:t xml:space="preserve"> as</w:t>
      </w:r>
      <w:r>
        <w:t>i</w:t>
      </w:r>
      <w:r w:rsidRPr="00693416">
        <w:t>l</w:t>
      </w:r>
      <w:r>
        <w:t>o</w:t>
      </w:r>
      <w:r w:rsidRPr="00693416">
        <w:t>. Se está</w:t>
      </w:r>
      <w:r>
        <w:t>n</w:t>
      </w:r>
      <w:r w:rsidRPr="00693416">
        <w:t xml:space="preserve"> ultimando </w:t>
      </w:r>
      <w:r>
        <w:t xml:space="preserve">los detalles </w:t>
      </w:r>
      <w:r w:rsidRPr="00693416">
        <w:t xml:space="preserve">y, según se </w:t>
      </w:r>
      <w:r>
        <w:t xml:space="preserve">tiene </w:t>
      </w:r>
      <w:r w:rsidRPr="00693416">
        <w:t>entend</w:t>
      </w:r>
      <w:r>
        <w:t>ido</w:t>
      </w:r>
      <w:r w:rsidRPr="00693416">
        <w:t xml:space="preserve">, se inspirará en el principio de que todos los niños a cargo del Ejecutivo del Servicio de Salud </w:t>
      </w:r>
      <w:r>
        <w:t xml:space="preserve">deberán </w:t>
      </w:r>
      <w:r w:rsidRPr="00693416">
        <w:t>recibir</w:t>
      </w:r>
      <w:r>
        <w:t xml:space="preserve"> el mismo nivel de cuidados, ya se trate de niños separados de sus padres</w:t>
      </w:r>
      <w:r w:rsidRPr="00693416">
        <w:t xml:space="preserve"> s</w:t>
      </w:r>
      <w:r>
        <w:t>olicitantes de</w:t>
      </w:r>
      <w:r w:rsidRPr="00693416">
        <w:t xml:space="preserve"> as</w:t>
      </w:r>
      <w:r>
        <w:t>i</w:t>
      </w:r>
      <w:r w:rsidRPr="00693416">
        <w:t>l</w:t>
      </w:r>
      <w:r>
        <w:t xml:space="preserve">o </w:t>
      </w:r>
      <w:r w:rsidRPr="00693416">
        <w:t xml:space="preserve">o </w:t>
      </w:r>
      <w:r>
        <w:t>de niños autóctonos recogidos en instituciones</w:t>
      </w:r>
      <w:r w:rsidRPr="00693416">
        <w:t xml:space="preserve">. </w:t>
      </w:r>
    </w:p>
    <w:p w:rsidR="000100D5" w:rsidRPr="00655C41" w:rsidRDefault="000100D5" w:rsidP="000100D5">
      <w:pPr>
        <w:pStyle w:val="SingleTxtG"/>
      </w:pPr>
      <w:r w:rsidRPr="00655C41">
        <w:t>328.</w:t>
      </w:r>
      <w:r w:rsidRPr="00655C41">
        <w:tab/>
        <w:t xml:space="preserve">El 2 de septiembre de 2009 </w:t>
      </w:r>
      <w:r>
        <w:t>el Instituto de Investigación Económica y Social</w:t>
      </w:r>
      <w:r w:rsidRPr="00655C41">
        <w:t xml:space="preserve"> publicó un informe preparado para la Dirección General de la Comisi</w:t>
      </w:r>
      <w:r>
        <w:t xml:space="preserve">ón </w:t>
      </w:r>
      <w:r w:rsidRPr="00655C41">
        <w:t xml:space="preserve">Europea </w:t>
      </w:r>
      <w:r>
        <w:t>de</w:t>
      </w:r>
      <w:r w:rsidRPr="00655C41">
        <w:t xml:space="preserve"> </w:t>
      </w:r>
      <w:r>
        <w:t>Justicia, Libertad y</w:t>
      </w:r>
      <w:r w:rsidRPr="00655C41">
        <w:t xml:space="preserve"> Se</w:t>
      </w:r>
      <w:r>
        <w:t>g</w:t>
      </w:r>
      <w:r w:rsidRPr="00655C41">
        <w:t>uri</w:t>
      </w:r>
      <w:r>
        <w:t xml:space="preserve">dad, </w:t>
      </w:r>
      <w:r w:rsidR="005C4174">
        <w:t>titulado</w:t>
      </w:r>
      <w:r w:rsidRPr="00655C41">
        <w:t xml:space="preserve"> </w:t>
      </w:r>
      <w:r w:rsidR="00E03EF2">
        <w:t>"</w:t>
      </w:r>
      <w:r w:rsidRPr="00655C41">
        <w:t>Policies on Unaccompanied Minors</w:t>
      </w:r>
      <w:r w:rsidR="00E03EF2">
        <w:t>"</w:t>
      </w:r>
      <w:r>
        <w:rPr>
          <w:rStyle w:val="FootnoteReference"/>
        </w:rPr>
        <w:footnoteReference w:id="84"/>
      </w:r>
      <w:r w:rsidRPr="00655C41">
        <w:t xml:space="preserve"> </w:t>
      </w:r>
      <w:r>
        <w:t>(Políticas relativas a los menores no acompañados) e</w:t>
      </w:r>
      <w:r w:rsidRPr="00655C41">
        <w:t>n Irland</w:t>
      </w:r>
      <w:r>
        <w:t>a</w:t>
      </w:r>
      <w:r w:rsidRPr="00655C41">
        <w:t>. El objetivo del estudio consiste en ofrecer un panorama general del complejo sistema de prestaci</w:t>
      </w:r>
      <w:r>
        <w:t>ón de servicios en ese ámbito, por lo que subraya los problemas y lagunas actuales, así como los ejemplos de buenas</w:t>
      </w:r>
      <w:r w:rsidRPr="00655C41">
        <w:t xml:space="preserve"> pr</w:t>
      </w:r>
      <w:r>
        <w:t>á</w:t>
      </w:r>
      <w:r w:rsidRPr="00655C41">
        <w:t>ctic</w:t>
      </w:r>
      <w:r>
        <w:t>as</w:t>
      </w:r>
      <w:r w:rsidRPr="00655C41">
        <w:t xml:space="preserve">. </w:t>
      </w:r>
    </w:p>
    <w:p w:rsidR="000100D5" w:rsidRPr="006B35C1" w:rsidRDefault="000100D5" w:rsidP="000100D5">
      <w:pPr>
        <w:pStyle w:val="H23G"/>
      </w:pPr>
      <w:r w:rsidRPr="00655C41">
        <w:tab/>
      </w:r>
      <w:r w:rsidRPr="006B35C1">
        <w:t>18.</w:t>
      </w:r>
      <w:r w:rsidRPr="006B35C1">
        <w:tab/>
        <w:t>Informa</w:t>
      </w:r>
      <w:r>
        <w:t>c</w:t>
      </w:r>
      <w:r w:rsidRPr="006B35C1">
        <w:t>i</w:t>
      </w:r>
      <w:r>
        <w:t>ó</w:t>
      </w:r>
      <w:r w:rsidRPr="006B35C1">
        <w:t xml:space="preserve">n </w:t>
      </w:r>
      <w:r>
        <w:t>para los trabajadores</w:t>
      </w:r>
      <w:r w:rsidRPr="006B35C1">
        <w:t xml:space="preserve"> </w:t>
      </w:r>
      <w:r>
        <w:t>m</w:t>
      </w:r>
      <w:r w:rsidRPr="006B35C1">
        <w:t>igrant</w:t>
      </w:r>
      <w:r>
        <w:t>es</w:t>
      </w:r>
      <w:r w:rsidRPr="006B35C1">
        <w:t xml:space="preserve"> </w:t>
      </w:r>
    </w:p>
    <w:p w:rsidR="000100D5" w:rsidRPr="00C51AB3" w:rsidRDefault="000100D5" w:rsidP="000100D5">
      <w:pPr>
        <w:pStyle w:val="SingleTxtG"/>
      </w:pPr>
      <w:r w:rsidRPr="00B70455">
        <w:t>329.</w:t>
      </w:r>
      <w:r w:rsidRPr="00B70455">
        <w:tab/>
        <w:t xml:space="preserve">Para respaldar a los trabajadores migrantes, el Departamento de Asuntos Sociales y de la Familia publicó una guía, titulada </w:t>
      </w:r>
      <w:r w:rsidR="00E03EF2">
        <w:t>"</w:t>
      </w:r>
      <w:r w:rsidRPr="00B70455">
        <w:t>Your Social Security Rights in Ireland – a Guide for EU Citizens</w:t>
      </w:r>
      <w:r w:rsidR="00E03EF2">
        <w:t>"</w:t>
      </w:r>
      <w:r>
        <w:rPr>
          <w:rStyle w:val="FootnoteReference"/>
        </w:rPr>
        <w:footnoteReference w:id="85"/>
      </w:r>
      <w:r w:rsidRPr="00B70455">
        <w:t xml:space="preserve"> </w:t>
      </w:r>
      <w:r>
        <w:t>(</w:t>
      </w:r>
      <w:r w:rsidRPr="00B70455">
        <w:t>Sus derechos a la seguridad social en Irlanda; guía para los ciudadanos de la UE), que ofrece informaci</w:t>
      </w:r>
      <w:r>
        <w:t>ón sobre las prestaciones de la seguridad social disponibles en</w:t>
      </w:r>
      <w:r w:rsidRPr="00B70455">
        <w:t xml:space="preserve"> Irland</w:t>
      </w:r>
      <w:r>
        <w:t>a y cómo se</w:t>
      </w:r>
      <w:r w:rsidRPr="00B70455">
        <w:t xml:space="preserve"> clasifi</w:t>
      </w:r>
      <w:r>
        <w:t>can a los efectos de los reglamentos de la Unión</w:t>
      </w:r>
      <w:r w:rsidRPr="00B70455">
        <w:t xml:space="preserve"> Europea. </w:t>
      </w:r>
      <w:r w:rsidRPr="00C51AB3">
        <w:t>También brinda información sobre los derechos que les asisten en el sistema de atenci</w:t>
      </w:r>
      <w:r>
        <w:t>ón de salud irlandés</w:t>
      </w:r>
      <w:r w:rsidRPr="00C51AB3">
        <w:t xml:space="preserve">. Además de la </w:t>
      </w:r>
      <w:r w:rsidR="005C4174" w:rsidRPr="00C51AB3">
        <w:t>versión</w:t>
      </w:r>
      <w:r w:rsidRPr="00C51AB3">
        <w:t xml:space="preserve"> inglesa, la guía est</w:t>
      </w:r>
      <w:r>
        <w:t>á disponible en otro</w:t>
      </w:r>
      <w:r w:rsidRPr="00C51AB3">
        <w:t>s siete</w:t>
      </w:r>
      <w:r>
        <w:t xml:space="preserve"> idiomas</w:t>
      </w:r>
      <w:r w:rsidRPr="00C51AB3">
        <w:t xml:space="preserve">, </w:t>
      </w:r>
      <w:r>
        <w:t>a saber, alemán, español, f</w:t>
      </w:r>
      <w:r w:rsidRPr="00C51AB3">
        <w:t>r</w:t>
      </w:r>
      <w:r>
        <w:t>a</w:t>
      </w:r>
      <w:r w:rsidRPr="00C51AB3">
        <w:t>nc</w:t>
      </w:r>
      <w:r>
        <w:t>és</w:t>
      </w:r>
      <w:r w:rsidRPr="00C51AB3">
        <w:t>,</w:t>
      </w:r>
      <w:r>
        <w:t xml:space="preserve"> irlandés,</w:t>
      </w:r>
      <w:r w:rsidRPr="00C51AB3">
        <w:t xml:space="preserve"> </w:t>
      </w:r>
      <w:r>
        <w:t>letón, l</w:t>
      </w:r>
      <w:r w:rsidRPr="00C51AB3">
        <w:t>ituan</w:t>
      </w:r>
      <w:r>
        <w:t>o y polaco</w:t>
      </w:r>
      <w:r w:rsidRPr="00C51AB3">
        <w:t xml:space="preserve">. </w:t>
      </w:r>
    </w:p>
    <w:p w:rsidR="000100D5" w:rsidRPr="005E708F" w:rsidRDefault="000100D5" w:rsidP="000100D5">
      <w:pPr>
        <w:pStyle w:val="SingleTxtG"/>
      </w:pPr>
      <w:r w:rsidRPr="00214064">
        <w:t>330.</w:t>
      </w:r>
      <w:r w:rsidRPr="00214064">
        <w:tab/>
        <w:t>El Departamento de Asuntos Sociales y de la Familia está llevando a cabo un examen técnico de</w:t>
      </w:r>
      <w:r>
        <w:t xml:space="preserve"> todo el código de seguridad</w:t>
      </w:r>
      <w:r w:rsidRPr="00214064">
        <w:t xml:space="preserve"> social</w:t>
      </w:r>
      <w:r>
        <w:t>,</w:t>
      </w:r>
      <w:r w:rsidRPr="00214064">
        <w:t xml:space="preserve"> </w:t>
      </w:r>
      <w:r>
        <w:t xml:space="preserve">con miras a evaluar su </w:t>
      </w:r>
      <w:r w:rsidRPr="00214064">
        <w:t>compatibili</w:t>
      </w:r>
      <w:r>
        <w:t>dad con la Ley sobre la igualdad de condición, de</w:t>
      </w:r>
      <w:r w:rsidRPr="00214064">
        <w:t xml:space="preserve"> 2000 (</w:t>
      </w:r>
      <w:r>
        <w:t>en</w:t>
      </w:r>
      <w:r w:rsidRPr="00214064">
        <w:t>mend</w:t>
      </w:r>
      <w:r>
        <w:t>a</w:t>
      </w:r>
      <w:r w:rsidRPr="00214064">
        <w:t>d</w:t>
      </w:r>
      <w:r>
        <w:t>a</w:t>
      </w:r>
      <w:r w:rsidRPr="00214064">
        <w:t xml:space="preserve">). En el examen se están analizando todos los planes y servicios </w:t>
      </w:r>
      <w:r>
        <w:t>disponibles</w:t>
      </w:r>
      <w:r w:rsidRPr="00214064">
        <w:t>, tanto en la legislaci</w:t>
      </w:r>
      <w:r>
        <w:t>ón relativa a la seguridad social como en los planes de la</w:t>
      </w:r>
      <w:r w:rsidRPr="00214064">
        <w:t xml:space="preserve"> administra</w:t>
      </w:r>
      <w:r>
        <w:t>ción a cargo del</w:t>
      </w:r>
      <w:r w:rsidRPr="00214064">
        <w:t xml:space="preserve"> Depart</w:t>
      </w:r>
      <w:r>
        <w:t>a</w:t>
      </w:r>
      <w:r w:rsidRPr="00214064">
        <w:t>ment</w:t>
      </w:r>
      <w:r>
        <w:t>o</w:t>
      </w:r>
      <w:r w:rsidRPr="00214064">
        <w:t xml:space="preserve">. </w:t>
      </w:r>
      <w:r w:rsidRPr="005E708F">
        <w:t xml:space="preserve">Se </w:t>
      </w:r>
      <w:r>
        <w:t>i</w:t>
      </w:r>
      <w:r w:rsidRPr="005E708F">
        <w:t>de</w:t>
      </w:r>
      <w:r>
        <w:t>n</w:t>
      </w:r>
      <w:r w:rsidRPr="005E708F">
        <w:t>t</w:t>
      </w:r>
      <w:r>
        <w:t>ifi</w:t>
      </w:r>
      <w:r w:rsidRPr="005E708F">
        <w:t>carán todos los casos de discriminación directa e indirecta por cualquiera de los nueve motivos previstos en la Ley</w:t>
      </w:r>
      <w:r>
        <w:t xml:space="preserve"> que no estén</w:t>
      </w:r>
      <w:r w:rsidRPr="005E708F">
        <w:t xml:space="preserve"> justifi</w:t>
      </w:r>
      <w:r>
        <w:t>cados por una meta</w:t>
      </w:r>
      <w:r w:rsidR="005007D6">
        <w:t xml:space="preserve"> </w:t>
      </w:r>
      <w:r w:rsidRPr="005E708F">
        <w:t>leg</w:t>
      </w:r>
      <w:r>
        <w:t>í</w:t>
      </w:r>
      <w:r w:rsidRPr="005E708F">
        <w:t>tima</w:t>
      </w:r>
      <w:r>
        <w:t xml:space="preserve"> de política</w:t>
      </w:r>
      <w:r w:rsidRPr="005E708F">
        <w:t xml:space="preserve"> social o </w:t>
      </w:r>
      <w:r>
        <w:t>cuando los medios para lograrla sean o bien innecesarios o bien inapropiados</w:t>
      </w:r>
      <w:r w:rsidRPr="005E708F">
        <w:t xml:space="preserve">. </w:t>
      </w:r>
    </w:p>
    <w:p w:rsidR="000100D5" w:rsidRPr="004447A9" w:rsidRDefault="000100D5" w:rsidP="000100D5">
      <w:pPr>
        <w:pStyle w:val="SingleTxtG"/>
      </w:pPr>
      <w:r w:rsidRPr="005E708F">
        <w:t>331.</w:t>
      </w:r>
      <w:r w:rsidRPr="005E708F">
        <w:tab/>
        <w:t>Las conclusiones del examen contribuirán a planifica</w:t>
      </w:r>
      <w:r>
        <w:t>r</w:t>
      </w:r>
      <w:r w:rsidRPr="005E708F">
        <w:t xml:space="preserve"> y elabora</w:t>
      </w:r>
      <w:r>
        <w:t>r</w:t>
      </w:r>
      <w:r w:rsidRPr="005E708F">
        <w:t xml:space="preserve"> objetivos con conocimiento de causa</w:t>
      </w:r>
      <w:r>
        <w:t>,</w:t>
      </w:r>
      <w:r w:rsidRPr="005E708F">
        <w:t xml:space="preserve"> con </w:t>
      </w:r>
      <w:r>
        <w:t xml:space="preserve">miras a garantizar que el sistema de seguridad </w:t>
      </w:r>
      <w:r w:rsidRPr="005E708F">
        <w:t>social refle</w:t>
      </w:r>
      <w:r>
        <w:t>je</w:t>
      </w:r>
      <w:r w:rsidRPr="005E708F">
        <w:t xml:space="preserve"> </w:t>
      </w:r>
      <w:r>
        <w:t>las</w:t>
      </w:r>
      <w:r w:rsidRPr="005E708F">
        <w:t xml:space="preserve"> ne</w:t>
      </w:r>
      <w:r>
        <w:t>c</w:t>
      </w:r>
      <w:r w:rsidRPr="005E708F">
        <w:t>e</w:t>
      </w:r>
      <w:r>
        <w:t>si</w:t>
      </w:r>
      <w:r w:rsidRPr="005E708F">
        <w:t>d</w:t>
      </w:r>
      <w:r>
        <w:t>ade</w:t>
      </w:r>
      <w:r w:rsidRPr="005E708F">
        <w:t xml:space="preserve">s </w:t>
      </w:r>
      <w:r>
        <w:t>y</w:t>
      </w:r>
      <w:r w:rsidRPr="005E708F">
        <w:t xml:space="preserve"> expectati</w:t>
      </w:r>
      <w:r>
        <w:t>vas de todos los</w:t>
      </w:r>
      <w:r w:rsidRPr="005E708F">
        <w:t xml:space="preserve"> ci</w:t>
      </w:r>
      <w:r>
        <w:t>udadanos y se rija por el principio de la equidad a la hora de hacer frente a esas necesidades</w:t>
      </w:r>
      <w:r w:rsidRPr="005E708F">
        <w:t xml:space="preserve">. </w:t>
      </w:r>
      <w:r w:rsidRPr="004447A9">
        <w:t xml:space="preserve">El examen se inició en octubre de 2007 y terminará, según se espera, en 2010. </w:t>
      </w:r>
    </w:p>
    <w:p w:rsidR="000100D5" w:rsidRPr="006B35C1" w:rsidRDefault="000100D5" w:rsidP="000100D5">
      <w:pPr>
        <w:pStyle w:val="H4G"/>
      </w:pPr>
      <w:r w:rsidRPr="004447A9">
        <w:tab/>
      </w:r>
      <w:r w:rsidRPr="004447A9">
        <w:tab/>
        <w:t>Condición de la residencia h</w:t>
      </w:r>
      <w:r w:rsidRPr="006B35C1">
        <w:t xml:space="preserve">abitual </w:t>
      </w:r>
    </w:p>
    <w:p w:rsidR="000100D5" w:rsidRPr="00825BCA" w:rsidRDefault="000100D5" w:rsidP="000100D5">
      <w:pPr>
        <w:pStyle w:val="SingleTxtG"/>
      </w:pPr>
      <w:r w:rsidRPr="004447A9">
        <w:t>332.</w:t>
      </w:r>
      <w:r w:rsidRPr="004447A9">
        <w:tab/>
        <w:t>El 1º de mayo de 2004 se adoptó el requisito de la residencia habitual en Irlanda como condición indispensable para acogerse a ciertos planes de la asistencia social y recibir las prestaciones econ</w:t>
      </w:r>
      <w:r>
        <w:t>ómicas por hijos a cargo</w:t>
      </w:r>
      <w:r w:rsidRPr="004447A9">
        <w:t xml:space="preserve">. </w:t>
      </w:r>
      <w:r w:rsidRPr="00825BCA">
        <w:t xml:space="preserve">Se aprobó en el contexto de la </w:t>
      </w:r>
      <w:r w:rsidR="005C4174" w:rsidRPr="00825BCA">
        <w:t>decisión</w:t>
      </w:r>
      <w:r w:rsidRPr="00825BCA">
        <w:t xml:space="preserve"> del</w:t>
      </w:r>
      <w:r w:rsidR="005007D6">
        <w:t xml:space="preserve"> </w:t>
      </w:r>
      <w:r w:rsidRPr="00825BCA">
        <w:t xml:space="preserve">Gobierno de abrir el mercado </w:t>
      </w:r>
      <w:r>
        <w:t>laboral</w:t>
      </w:r>
      <w:r w:rsidRPr="00825BCA">
        <w:t xml:space="preserve"> irlandés a los trabajadores de los 10 nue</w:t>
      </w:r>
      <w:r>
        <w:t xml:space="preserve">vos Estados miembros de la </w:t>
      </w:r>
      <w:r w:rsidRPr="00825BCA">
        <w:t>U</w:t>
      </w:r>
      <w:r>
        <w:t>E sin aplicar las</w:t>
      </w:r>
      <w:r w:rsidRPr="00825BCA">
        <w:t xml:space="preserve"> </w:t>
      </w:r>
      <w:r>
        <w:t>restricciones</w:t>
      </w:r>
      <w:r w:rsidRPr="00825BCA">
        <w:t xml:space="preserve"> transito</w:t>
      </w:r>
      <w:r>
        <w:t>rias que la mayoría de los demás Estados miembros imponían en ese momento</w:t>
      </w:r>
      <w:r w:rsidRPr="00825BCA">
        <w:t xml:space="preserve">. El resultado de </w:t>
      </w:r>
      <w:r>
        <w:t xml:space="preserve">aplicar </w:t>
      </w:r>
      <w:r w:rsidRPr="00825BCA">
        <w:t xml:space="preserve">esa condición es que </w:t>
      </w:r>
      <w:r>
        <w:t>a la</w:t>
      </w:r>
      <w:r w:rsidRPr="00825BCA">
        <w:t xml:space="preserve"> persona cuya residencia habitual est</w:t>
      </w:r>
      <w:r>
        <w:t>é</w:t>
      </w:r>
      <w:r w:rsidRPr="00825BCA">
        <w:t xml:space="preserve"> fuera del pa</w:t>
      </w:r>
      <w:r>
        <w:t>ís no se le abonan las prestaciones sociales a su llegada a Irlanda</w:t>
      </w:r>
      <w:r w:rsidRPr="00825BCA">
        <w:t xml:space="preserve">. </w:t>
      </w:r>
    </w:p>
    <w:p w:rsidR="000100D5" w:rsidRPr="00141FD0" w:rsidRDefault="000100D5" w:rsidP="000100D5">
      <w:pPr>
        <w:pStyle w:val="SingleTxtG"/>
      </w:pPr>
      <w:r w:rsidRPr="00141FD0">
        <w:t>333.</w:t>
      </w:r>
      <w:r w:rsidRPr="00141FD0">
        <w:tab/>
        <w:t xml:space="preserve">El pago único por concepto de necesidades excepcionales o urgentes, con arreglo al Plan </w:t>
      </w:r>
      <w:r>
        <w:t>s</w:t>
      </w:r>
      <w:r w:rsidRPr="00141FD0">
        <w:t xml:space="preserve">uplementario de </w:t>
      </w:r>
      <w:r w:rsidR="005C4174">
        <w:t>subsidios</w:t>
      </w:r>
      <w:r>
        <w:t xml:space="preserve"> de asistencia</w:t>
      </w:r>
      <w:r w:rsidRPr="00141FD0">
        <w:t>, no est</w:t>
      </w:r>
      <w:r>
        <w:t xml:space="preserve">á sujeto al requisito de residencia </w:t>
      </w:r>
      <w:r w:rsidRPr="00141FD0">
        <w:t xml:space="preserve">habitual. </w:t>
      </w:r>
    </w:p>
    <w:p w:rsidR="000100D5" w:rsidRPr="00E34CC9" w:rsidRDefault="000100D5" w:rsidP="000100D5">
      <w:pPr>
        <w:pStyle w:val="SingleTxtG"/>
      </w:pPr>
      <w:r w:rsidRPr="00141FD0">
        <w:t>334.</w:t>
      </w:r>
      <w:r w:rsidRPr="00141FD0">
        <w:tab/>
        <w:t xml:space="preserve">Las personas que ven denegada su </w:t>
      </w:r>
      <w:r>
        <w:t>petición</w:t>
      </w:r>
      <w:r w:rsidRPr="00141FD0">
        <w:t xml:space="preserve"> de pago porque no cumplen esa condición son principalmente las que están a la espera de que se resuelva su solicitud de asilo</w:t>
      </w:r>
      <w:r>
        <w:t>, o las que no han obtenido un permiso de trabajo o las que no han formado parte de la población activa o sólo en un grado mínimo desde su llegada a</w:t>
      </w:r>
      <w:r w:rsidRPr="00141FD0">
        <w:t xml:space="preserve"> Irland</w:t>
      </w:r>
      <w:r>
        <w:t>a</w:t>
      </w:r>
      <w:r w:rsidRPr="00141FD0">
        <w:t xml:space="preserve">. </w:t>
      </w:r>
      <w:r w:rsidRPr="00E34CC9">
        <w:t>Las familias que están tramitando su solicitud de asilo disponen del sistema de manutención directa, que les garantiza, por ejempl</w:t>
      </w:r>
      <w:r>
        <w:t>o</w:t>
      </w:r>
      <w:r w:rsidRPr="00E34CC9">
        <w:t xml:space="preserve">, </w:t>
      </w:r>
      <w:r>
        <w:t>la protección de los derechos de los niños, de conformidad con la</w:t>
      </w:r>
      <w:r w:rsidRPr="00E34CC9">
        <w:t xml:space="preserve"> Conven</w:t>
      </w:r>
      <w:r>
        <w:t>c</w:t>
      </w:r>
      <w:r w:rsidRPr="00E34CC9">
        <w:t>i</w:t>
      </w:r>
      <w:r>
        <w:t>ó</w:t>
      </w:r>
      <w:r w:rsidRPr="00E34CC9">
        <w:t xml:space="preserve">n </w:t>
      </w:r>
      <w:r>
        <w:t>de las Naciones Unidas sobre los Derechos del Niño</w:t>
      </w:r>
      <w:r w:rsidRPr="00E34CC9">
        <w:t xml:space="preserve">. </w:t>
      </w:r>
    </w:p>
    <w:p w:rsidR="000100D5" w:rsidRPr="00E34CC9" w:rsidRDefault="000100D5" w:rsidP="000100D5">
      <w:pPr>
        <w:pStyle w:val="SingleTxtG"/>
        <w:rPr>
          <w:vertAlign w:val="superscript"/>
        </w:rPr>
      </w:pPr>
      <w:r w:rsidRPr="00E34CC9">
        <w:t>335.</w:t>
      </w:r>
      <w:r w:rsidRPr="00E34CC9">
        <w:tab/>
        <w:t>En julio de 2008 se publicaron las nuevas directrices para la aplicaci</w:t>
      </w:r>
      <w:r>
        <w:t>ón del requisito de residencia</w:t>
      </w:r>
      <w:r w:rsidRPr="00E34CC9">
        <w:t xml:space="preserve"> </w:t>
      </w:r>
      <w:r>
        <w:t>h</w:t>
      </w:r>
      <w:r w:rsidRPr="00E34CC9">
        <w:t>abitual</w:t>
      </w:r>
      <w:r>
        <w:rPr>
          <w:rStyle w:val="FootnoteReference"/>
        </w:rPr>
        <w:footnoteReference w:id="86"/>
      </w:r>
      <w:r w:rsidR="001F5C61">
        <w:t>.</w:t>
      </w:r>
    </w:p>
    <w:p w:rsidR="000100D5" w:rsidRPr="003E5B3D" w:rsidRDefault="000100D5" w:rsidP="000100D5">
      <w:pPr>
        <w:pStyle w:val="H23G"/>
      </w:pPr>
      <w:r w:rsidRPr="00E34CC9">
        <w:tab/>
      </w:r>
      <w:r w:rsidRPr="003E5B3D">
        <w:t>19.</w:t>
      </w:r>
      <w:r w:rsidRPr="003E5B3D">
        <w:tab/>
        <w:t xml:space="preserve">Modificaciones de la legislación irlandesa </w:t>
      </w:r>
    </w:p>
    <w:p w:rsidR="000100D5" w:rsidRPr="00F470D0" w:rsidRDefault="000100D5" w:rsidP="000100D5">
      <w:pPr>
        <w:pStyle w:val="SingleTxtG"/>
      </w:pPr>
      <w:r w:rsidRPr="00F470D0">
        <w:t>336.</w:t>
      </w:r>
      <w:r w:rsidRPr="00F470D0">
        <w:tab/>
        <w:t xml:space="preserve">En marzo de 2007 se incorporaron a la legislación irlandesa </w:t>
      </w:r>
      <w:r>
        <w:t xml:space="preserve">pertinente </w:t>
      </w:r>
      <w:r w:rsidRPr="00F470D0">
        <w:t xml:space="preserve">los siguientes </w:t>
      </w:r>
      <w:r>
        <w:t>elementos</w:t>
      </w:r>
      <w:r w:rsidRPr="00F470D0">
        <w:t xml:space="preserve"> establecidos por la </w:t>
      </w:r>
      <w:r>
        <w:t>jurisprudencia</w:t>
      </w:r>
      <w:r w:rsidRPr="00F470D0">
        <w:t xml:space="preserve"> de la UE, que deben examinarse para determin</w:t>
      </w:r>
      <w:r>
        <w:t>a</w:t>
      </w:r>
      <w:r w:rsidRPr="00F470D0">
        <w:t xml:space="preserve">r si una persona </w:t>
      </w:r>
      <w:r>
        <w:t>tiene la residencia habitual</w:t>
      </w:r>
      <w:r>
        <w:rPr>
          <w:rStyle w:val="FootnoteReference"/>
        </w:rPr>
        <w:footnoteReference w:id="87"/>
      </w:r>
      <w:r w:rsidRPr="00F470D0">
        <w:t xml:space="preserve">: </w:t>
      </w:r>
    </w:p>
    <w:p w:rsidR="000100D5" w:rsidRPr="00F470D0" w:rsidRDefault="000100D5" w:rsidP="000100D5">
      <w:pPr>
        <w:pStyle w:val="SingleTxtG"/>
      </w:pPr>
      <w:r w:rsidRPr="00F470D0">
        <w:tab/>
        <w:t>a)</w:t>
      </w:r>
      <w:r w:rsidRPr="00F470D0">
        <w:tab/>
      </w:r>
      <w:r>
        <w:t>D</w:t>
      </w:r>
      <w:r w:rsidRPr="00F470D0">
        <w:t>uración y continuidad de la residencia en el Estado o en cualquier otro</w:t>
      </w:r>
      <w:r>
        <w:t xml:space="preserve"> </w:t>
      </w:r>
      <w:r w:rsidRPr="00F470D0">
        <w:t>pa</w:t>
      </w:r>
      <w:r>
        <w:t>ís</w:t>
      </w:r>
      <w:r w:rsidRPr="00F470D0">
        <w:t>;</w:t>
      </w:r>
    </w:p>
    <w:p w:rsidR="000100D5" w:rsidRPr="00F470D0" w:rsidRDefault="000100D5" w:rsidP="000100D5">
      <w:pPr>
        <w:pStyle w:val="SingleTxtG"/>
      </w:pPr>
      <w:r w:rsidRPr="00F470D0">
        <w:tab/>
        <w:t>b)</w:t>
      </w:r>
      <w:r w:rsidRPr="00F470D0">
        <w:tab/>
      </w:r>
      <w:r>
        <w:t>D</w:t>
      </w:r>
      <w:r w:rsidRPr="00F470D0">
        <w:t xml:space="preserve">uración y finalidad de cualquier ausencia del Estado; </w:t>
      </w:r>
    </w:p>
    <w:p w:rsidR="000100D5" w:rsidRPr="00F470D0" w:rsidRDefault="000100D5" w:rsidP="000100D5">
      <w:pPr>
        <w:pStyle w:val="SingleTxtG"/>
      </w:pPr>
      <w:r w:rsidRPr="00F470D0">
        <w:tab/>
        <w:t>c)</w:t>
      </w:r>
      <w:r w:rsidRPr="00F470D0">
        <w:tab/>
      </w:r>
      <w:r>
        <w:t>N</w:t>
      </w:r>
      <w:r w:rsidRPr="00F470D0">
        <w:t xml:space="preserve">aturaleza y estructura del empleo de </w:t>
      </w:r>
      <w:r>
        <w:t>es</w:t>
      </w:r>
      <w:r w:rsidRPr="00F470D0">
        <w:t xml:space="preserve">a persona; </w:t>
      </w:r>
    </w:p>
    <w:p w:rsidR="000100D5" w:rsidRPr="00F470D0" w:rsidRDefault="000100D5" w:rsidP="000100D5">
      <w:pPr>
        <w:pStyle w:val="SingleTxtG"/>
      </w:pPr>
      <w:r w:rsidRPr="00F470D0">
        <w:tab/>
        <w:t>d)</w:t>
      </w:r>
      <w:r w:rsidRPr="00F470D0">
        <w:tab/>
      </w:r>
      <w:r>
        <w:t>C</w:t>
      </w:r>
      <w:r w:rsidRPr="00F470D0">
        <w:t xml:space="preserve">entro principal de interés de </w:t>
      </w:r>
      <w:r>
        <w:t>dicha</w:t>
      </w:r>
      <w:r w:rsidRPr="00F470D0">
        <w:t xml:space="preserve"> persona;</w:t>
      </w:r>
    </w:p>
    <w:p w:rsidR="000100D5" w:rsidRPr="00F470D0" w:rsidRDefault="000100D5" w:rsidP="000100D5">
      <w:pPr>
        <w:pStyle w:val="SingleTxtG"/>
        <w:ind w:left="2259" w:hanging="558"/>
      </w:pPr>
      <w:r w:rsidRPr="00F470D0">
        <w:t>e)</w:t>
      </w:r>
      <w:r w:rsidRPr="00F470D0">
        <w:tab/>
      </w:r>
      <w:r>
        <w:t>F</w:t>
      </w:r>
      <w:r w:rsidRPr="00F470D0">
        <w:t xml:space="preserve">utura intención de dicha persona tal como se desprende </w:t>
      </w:r>
      <w:r>
        <w:t xml:space="preserve">del conjunto </w:t>
      </w:r>
      <w:r w:rsidRPr="00F470D0">
        <w:t>de</w:t>
      </w:r>
      <w:r w:rsidR="005007D6">
        <w:t xml:space="preserve"> </w:t>
      </w:r>
      <w:r w:rsidRPr="00F470D0">
        <w:t>circunstancias</w:t>
      </w:r>
      <w:r>
        <w:t xml:space="preserve"> dadas</w:t>
      </w:r>
      <w:r w:rsidRPr="00F470D0">
        <w:t xml:space="preserve">. </w:t>
      </w:r>
    </w:p>
    <w:p w:rsidR="000100D5" w:rsidRPr="00B05C21" w:rsidRDefault="000100D5" w:rsidP="000100D5">
      <w:pPr>
        <w:pStyle w:val="H23G"/>
      </w:pPr>
      <w:r w:rsidRPr="00F470D0">
        <w:tab/>
      </w:r>
      <w:r w:rsidRPr="00B05C21">
        <w:t>20.</w:t>
      </w:r>
      <w:r w:rsidRPr="00B05C21">
        <w:tab/>
        <w:t xml:space="preserve">Código Europeo de la Seguridad Social </w:t>
      </w:r>
    </w:p>
    <w:p w:rsidR="000100D5" w:rsidRPr="0004387F" w:rsidRDefault="000100D5" w:rsidP="000100D5">
      <w:pPr>
        <w:pStyle w:val="SingleTxtG"/>
      </w:pPr>
      <w:r w:rsidRPr="0004387F">
        <w:t>337.</w:t>
      </w:r>
      <w:r w:rsidRPr="0004387F">
        <w:tab/>
        <w:t>Se han modificado las directrices relativas a la aplicación del requisito de la residencia habitual a las prestaciones por hijos</w:t>
      </w:r>
      <w:r>
        <w:t>,</w:t>
      </w:r>
      <w:r w:rsidRPr="0004387F">
        <w:t xml:space="preserve"> para dejar bien sentado qu</w:t>
      </w:r>
      <w:r>
        <w:t>e el funcionamiento de dicha prestación se ajusta asimismo a las disposiciones de la</w:t>
      </w:r>
      <w:r w:rsidRPr="0004387F">
        <w:t xml:space="preserve"> Part</w:t>
      </w:r>
      <w:r>
        <w:t>e</w:t>
      </w:r>
      <w:r w:rsidRPr="0004387F">
        <w:t xml:space="preserve"> VII </w:t>
      </w:r>
      <w:r>
        <w:t>del Código Europeo de la Seguridad</w:t>
      </w:r>
      <w:r w:rsidRPr="0004387F">
        <w:t xml:space="preserve"> Social</w:t>
      </w:r>
      <w:r>
        <w:rPr>
          <w:rStyle w:val="FootnoteReference"/>
        </w:rPr>
        <w:footnoteReference w:id="88"/>
      </w:r>
      <w:r w:rsidR="001F5C61">
        <w:t>.</w:t>
      </w:r>
      <w:r w:rsidRPr="0004387F">
        <w:t xml:space="preserve"> Gracias a la enmienda</w:t>
      </w:r>
      <w:r>
        <w:t>,</w:t>
      </w:r>
      <w:r w:rsidRPr="0004387F">
        <w:t xml:space="preserve"> ha quedado claro que </w:t>
      </w:r>
      <w:r>
        <w:t>se considerará que toda</w:t>
      </w:r>
      <w:r w:rsidRPr="0004387F">
        <w:t xml:space="preserve"> persona que ha</w:t>
      </w:r>
      <w:r>
        <w:t>ya</w:t>
      </w:r>
      <w:r w:rsidRPr="0004387F">
        <w:t xml:space="preserve"> estado empleada en Irlanda durante al menos cuatro semanas o ha</w:t>
      </w:r>
      <w:r>
        <w:t>ya</w:t>
      </w:r>
      <w:r w:rsidRPr="0004387F">
        <w:t xml:space="preserve"> trabajado como aut</w:t>
      </w:r>
      <w:r>
        <w:t>ónoma durante seis meses por lo menos y cuya</w:t>
      </w:r>
      <w:r w:rsidRPr="0004387F">
        <w:t xml:space="preserve"> famil</w:t>
      </w:r>
      <w:r>
        <w:t>ia resida también en</w:t>
      </w:r>
      <w:r w:rsidRPr="0004387F">
        <w:t xml:space="preserve"> Irland</w:t>
      </w:r>
      <w:r>
        <w:t>a, es residente</w:t>
      </w:r>
      <w:r w:rsidRPr="0004387F">
        <w:t xml:space="preserve"> habitual. </w:t>
      </w:r>
    </w:p>
    <w:p w:rsidR="000100D5" w:rsidRPr="009A7532" w:rsidRDefault="000100D5" w:rsidP="000100D5">
      <w:pPr>
        <w:pStyle w:val="SingleTxtG"/>
      </w:pPr>
      <w:r w:rsidRPr="009A7532">
        <w:t>338.</w:t>
      </w:r>
      <w:r w:rsidRPr="009A7532">
        <w:tab/>
        <w:t xml:space="preserve">El folleto titulado </w:t>
      </w:r>
      <w:r w:rsidR="00E03EF2">
        <w:t>"</w:t>
      </w:r>
      <w:r>
        <w:t>Equal Status Acts</w:t>
      </w:r>
      <w:r w:rsidR="005007D6">
        <w:t xml:space="preserve"> </w:t>
      </w:r>
      <w:r>
        <w:t>2000 to 2004 and Provision of Health Services</w:t>
      </w:r>
      <w:r w:rsidR="00E03EF2">
        <w:t>"</w:t>
      </w:r>
      <w:r>
        <w:t xml:space="preserve"> (</w:t>
      </w:r>
      <w:r w:rsidRPr="009A7532">
        <w:t>Leyes sobre la igualdad</w:t>
      </w:r>
      <w:r>
        <w:t xml:space="preserve"> de condición</w:t>
      </w:r>
      <w:r w:rsidRPr="009A7532">
        <w:t>, de 2000 a 2004 y de suministro de servicios de salud</w:t>
      </w:r>
      <w:r>
        <w:t>)</w:t>
      </w:r>
      <w:r>
        <w:rPr>
          <w:rStyle w:val="FootnoteReference"/>
        </w:rPr>
        <w:footnoteReference w:id="89"/>
      </w:r>
      <w:r w:rsidRPr="009A7532">
        <w:t>, elaborad</w:t>
      </w:r>
      <w:r>
        <w:t>o</w:t>
      </w:r>
      <w:r w:rsidRPr="009A7532">
        <w:t xml:space="preserve"> conjuntamente por el Ejecutivo del Servicio de Salud, el Departamento de Salud y de la Infancia y la Direcci</w:t>
      </w:r>
      <w:r>
        <w:t>ón de la Igualdad tiene como objetivo apoyar a las</w:t>
      </w:r>
      <w:r w:rsidRPr="009A7532">
        <w:t xml:space="preserve"> organi</w:t>
      </w:r>
      <w:r>
        <w:t>z</w:t>
      </w:r>
      <w:r w:rsidRPr="009A7532">
        <w:t>a</w:t>
      </w:r>
      <w:r>
        <w:t>c</w:t>
      </w:r>
      <w:r w:rsidRPr="009A7532">
        <w:t>ion</w:t>
      </w:r>
      <w:r>
        <w:t>es encargadas de los servicios de salud, a fin de promover la ig</w:t>
      </w:r>
      <w:r w:rsidRPr="009A7532">
        <w:t>ual</w:t>
      </w:r>
      <w:r>
        <w:t>dad</w:t>
      </w:r>
      <w:r w:rsidRPr="009A7532">
        <w:t xml:space="preserve">. </w:t>
      </w:r>
    </w:p>
    <w:p w:rsidR="000100D5" w:rsidRPr="00570FE2" w:rsidRDefault="000100D5" w:rsidP="000100D5">
      <w:pPr>
        <w:pStyle w:val="SingleTxtG"/>
      </w:pPr>
      <w:r w:rsidRPr="00570FE2">
        <w:t>339.</w:t>
      </w:r>
      <w:r w:rsidRPr="00570FE2">
        <w:tab/>
      </w:r>
      <w:r w:rsidRPr="00353427">
        <w:rPr>
          <w:spacing w:val="-2"/>
        </w:rPr>
        <w:t>En l</w:t>
      </w:r>
      <w:r w:rsidR="00353427" w:rsidRPr="00353427">
        <w:rPr>
          <w:spacing w:val="-2"/>
        </w:rPr>
        <w:t xml:space="preserve">a declaración de estrategia del </w:t>
      </w:r>
      <w:r w:rsidRPr="00353427">
        <w:rPr>
          <w:spacing w:val="-2"/>
        </w:rPr>
        <w:t>Depar</w:t>
      </w:r>
      <w:r w:rsidR="00353427" w:rsidRPr="00353427">
        <w:rPr>
          <w:spacing w:val="-2"/>
        </w:rPr>
        <w:t xml:space="preserve">tamento de Educación y Ciencia, </w:t>
      </w:r>
      <w:r w:rsidRPr="00353427">
        <w:rPr>
          <w:spacing w:val="-2"/>
        </w:rPr>
        <w:t>2008</w:t>
      </w:r>
      <w:r w:rsidR="00353427">
        <w:rPr>
          <w:spacing w:val="-2"/>
        </w:rPr>
        <w:t>-</w:t>
      </w:r>
      <w:r w:rsidRPr="00353427">
        <w:rPr>
          <w:spacing w:val="-2"/>
        </w:rPr>
        <w:t>2010,</w:t>
      </w:r>
      <w:r w:rsidRPr="00570FE2">
        <w:t xml:space="preserve"> se fijaron cuatro objetivos de alto nivel, el primero de los cuales consiste en apoyar y mejorar la cali</w:t>
      </w:r>
      <w:r>
        <w:t>dad,</w:t>
      </w:r>
      <w:r w:rsidRPr="00570FE2">
        <w:t xml:space="preserve"> </w:t>
      </w:r>
      <w:r>
        <w:t>pertinencia e integración de la</w:t>
      </w:r>
      <w:r w:rsidRPr="00570FE2">
        <w:t xml:space="preserve"> educa</w:t>
      </w:r>
      <w:r>
        <w:t>c</w:t>
      </w:r>
      <w:r w:rsidRPr="00570FE2">
        <w:t>i</w:t>
      </w:r>
      <w:r>
        <w:t>ó</w:t>
      </w:r>
      <w:r w:rsidRPr="00570FE2">
        <w:t xml:space="preserve">n </w:t>
      </w:r>
      <w:r>
        <w:t>para cada uno de los alumnos de las escuelas irlandesas</w:t>
      </w:r>
      <w:r w:rsidRPr="00570FE2">
        <w:t xml:space="preserve">. </w:t>
      </w:r>
    </w:p>
    <w:p w:rsidR="000100D5" w:rsidRPr="00570FE2" w:rsidRDefault="000100D5" w:rsidP="000100D5">
      <w:pPr>
        <w:pStyle w:val="SingleTxtG"/>
      </w:pPr>
      <w:r w:rsidRPr="00570FE2">
        <w:t>340.</w:t>
      </w:r>
      <w:r w:rsidRPr="00570FE2">
        <w:tab/>
        <w:t>Ese objetivo ha quedado plasmado en varias políticas/leyes esenciales:</w:t>
      </w:r>
    </w:p>
    <w:p w:rsidR="000100D5" w:rsidRPr="00FC78E7" w:rsidRDefault="000100D5" w:rsidP="000100D5">
      <w:pPr>
        <w:pStyle w:val="SingleTxtG"/>
        <w:ind w:left="1701" w:hanging="567"/>
      </w:pPr>
      <w:r w:rsidRPr="00570FE2">
        <w:tab/>
        <w:t>i)</w:t>
      </w:r>
      <w:r w:rsidRPr="00570FE2">
        <w:tab/>
      </w:r>
      <w:r>
        <w:t>El Libro B</w:t>
      </w:r>
      <w:r w:rsidRPr="00570FE2">
        <w:t xml:space="preserve">lanco de </w:t>
      </w:r>
      <w:r>
        <w:t>la E</w:t>
      </w:r>
      <w:r w:rsidRPr="00570FE2">
        <w:t xml:space="preserve">ducación: </w:t>
      </w:r>
      <w:r w:rsidRPr="00570FE2">
        <w:rPr>
          <w:i/>
        </w:rPr>
        <w:t>Charting Our Education Future (1995)</w:t>
      </w:r>
      <w:r w:rsidR="005007D6">
        <w:rPr>
          <w:i/>
        </w:rPr>
        <w:t xml:space="preserve"> </w:t>
      </w:r>
      <w:r w:rsidRPr="00570FE2">
        <w:t>(Cartografiando nuestro futuro educativo) prom</w:t>
      </w:r>
      <w:r>
        <w:t>ueve</w:t>
      </w:r>
      <w:r w:rsidRPr="00570FE2">
        <w:t xml:space="preserve"> </w:t>
      </w:r>
      <w:r>
        <w:t>la c</w:t>
      </w:r>
      <w:r w:rsidRPr="00570FE2">
        <w:t>ali</w:t>
      </w:r>
      <w:r>
        <w:t>dad</w:t>
      </w:r>
      <w:r w:rsidRPr="00570FE2">
        <w:t xml:space="preserve">, </w:t>
      </w:r>
      <w:r>
        <w:t>la ig</w:t>
      </w:r>
      <w:r w:rsidRPr="00570FE2">
        <w:t>ual</w:t>
      </w:r>
      <w:r>
        <w:t>dad</w:t>
      </w:r>
      <w:r w:rsidRPr="00570FE2">
        <w:t>,</w:t>
      </w:r>
      <w:r>
        <w:t xml:space="preserve"> el</w:t>
      </w:r>
      <w:r w:rsidRPr="00570FE2">
        <w:t xml:space="preserve"> pluralism</w:t>
      </w:r>
      <w:r>
        <w:t>o</w:t>
      </w:r>
      <w:r w:rsidRPr="00570FE2">
        <w:t xml:space="preserve">, </w:t>
      </w:r>
      <w:r>
        <w:t>la colaboración y la rendición de cuentas</w:t>
      </w:r>
      <w:r w:rsidRPr="00570FE2">
        <w:t xml:space="preserve">. </w:t>
      </w:r>
      <w:r w:rsidRPr="00FC78E7">
        <w:t xml:space="preserve">Reconoce el imperativo de la igualdad y destaca el compromiso del </w:t>
      </w:r>
      <w:r>
        <w:t>Es</w:t>
      </w:r>
      <w:r w:rsidRPr="00FC78E7">
        <w:t>ta</w:t>
      </w:r>
      <w:r>
        <w:t>do con una sociedad</w:t>
      </w:r>
      <w:r w:rsidRPr="00FC78E7">
        <w:t xml:space="preserve"> pluralist</w:t>
      </w:r>
      <w:r>
        <w:t>a</w:t>
      </w:r>
      <w:r w:rsidRPr="00FC78E7">
        <w:t xml:space="preserve">. </w:t>
      </w:r>
    </w:p>
    <w:p w:rsidR="000100D5" w:rsidRPr="00FC78E7" w:rsidRDefault="000100D5" w:rsidP="000100D5">
      <w:pPr>
        <w:pStyle w:val="SingleTxtG"/>
        <w:ind w:left="1701" w:hanging="567"/>
      </w:pPr>
      <w:r w:rsidRPr="00FC78E7">
        <w:tab/>
        <w:t>ii)</w:t>
      </w:r>
      <w:r w:rsidRPr="00FC78E7">
        <w:tab/>
        <w:t>La Ley de Educación, de 1998 y, en particular el artículo 15 e)</w:t>
      </w:r>
      <w:r>
        <w:t>,</w:t>
      </w:r>
      <w:r w:rsidRPr="00FC78E7">
        <w:t xml:space="preserve"> obliga a las escuelas a tener en cuenta los principios y requi</w:t>
      </w:r>
      <w:r>
        <w:t>sitos de una sociedad</w:t>
      </w:r>
      <w:r w:rsidRPr="00FC78E7">
        <w:t xml:space="preserve"> democr</w:t>
      </w:r>
      <w:r>
        <w:t>á</w:t>
      </w:r>
      <w:r w:rsidRPr="00FC78E7">
        <w:t>tic</w:t>
      </w:r>
      <w:r>
        <w:t>a</w:t>
      </w:r>
      <w:r w:rsidRPr="00FC78E7">
        <w:t xml:space="preserve"> y</w:t>
      </w:r>
      <w:r>
        <w:t xml:space="preserve"> a</w:t>
      </w:r>
      <w:r w:rsidRPr="00FC78E7">
        <w:t xml:space="preserve"> respet</w:t>
      </w:r>
      <w:r>
        <w:t>ar y</w:t>
      </w:r>
      <w:r w:rsidRPr="00FC78E7">
        <w:t xml:space="preserve"> promo</w:t>
      </w:r>
      <w:r>
        <w:t>v</w:t>
      </w:r>
      <w:r w:rsidRPr="00FC78E7">
        <w:t>e</w:t>
      </w:r>
      <w:r>
        <w:t>r</w:t>
      </w:r>
      <w:r w:rsidRPr="00FC78E7">
        <w:t xml:space="preserve"> </w:t>
      </w:r>
      <w:r>
        <w:t xml:space="preserve">el </w:t>
      </w:r>
      <w:r w:rsidRPr="00FC78E7">
        <w:t>respet</w:t>
      </w:r>
      <w:r>
        <w:t>o por la</w:t>
      </w:r>
      <w:r w:rsidRPr="00FC78E7">
        <w:t xml:space="preserve"> diversi</w:t>
      </w:r>
      <w:r>
        <w:t xml:space="preserve">dad de </w:t>
      </w:r>
      <w:r w:rsidRPr="00FC78E7">
        <w:t>val</w:t>
      </w:r>
      <w:r>
        <w:t>ores</w:t>
      </w:r>
      <w:r w:rsidRPr="00FC78E7">
        <w:t xml:space="preserve">, </w:t>
      </w:r>
      <w:r>
        <w:t>creencias</w:t>
      </w:r>
      <w:r w:rsidRPr="00FC78E7">
        <w:t>, tradi</w:t>
      </w:r>
      <w:r>
        <w:t>c</w:t>
      </w:r>
      <w:r w:rsidRPr="00FC78E7">
        <w:t>ion</w:t>
      </w:r>
      <w:r>
        <w:t>e</w:t>
      </w:r>
      <w:r w:rsidRPr="00FC78E7">
        <w:t>s, l</w:t>
      </w:r>
      <w:r>
        <w:t>e</w:t>
      </w:r>
      <w:r w:rsidRPr="00FC78E7">
        <w:t xml:space="preserve">nguas </w:t>
      </w:r>
      <w:r>
        <w:t>y usos y costumbres en la</w:t>
      </w:r>
      <w:r w:rsidRPr="00FC78E7">
        <w:t xml:space="preserve"> socie</w:t>
      </w:r>
      <w:r>
        <w:t>dad</w:t>
      </w:r>
      <w:r w:rsidRPr="00FC78E7">
        <w:t xml:space="preserve">. </w:t>
      </w:r>
    </w:p>
    <w:p w:rsidR="000100D5" w:rsidRPr="00FC78E7" w:rsidRDefault="000100D5" w:rsidP="000100D5">
      <w:pPr>
        <w:pStyle w:val="SingleTxtG"/>
        <w:ind w:left="1701" w:hanging="567"/>
      </w:pPr>
      <w:r w:rsidRPr="00FC78E7">
        <w:tab/>
        <w:t>iii)</w:t>
      </w:r>
      <w:r w:rsidRPr="00FC78E7">
        <w:tab/>
        <w:t>Las Leyes sobre la igualdad de condición, de 2000 a 2004, prohíben la discriminaci</w:t>
      </w:r>
      <w:r>
        <w:t>ón por nueve motivos,</w:t>
      </w:r>
      <w:r w:rsidRPr="00FC78E7">
        <w:t xml:space="preserve"> inclu</w:t>
      </w:r>
      <w:r>
        <w:t>i</w:t>
      </w:r>
      <w:r w:rsidRPr="00FC78E7">
        <w:t>d</w:t>
      </w:r>
      <w:r>
        <w:t>os la raza y la pertenencia a la comunidad nómada</w:t>
      </w:r>
      <w:r w:rsidRPr="00FC78E7">
        <w:t>.</w:t>
      </w:r>
    </w:p>
    <w:p w:rsidR="000100D5" w:rsidRPr="00FE37EE" w:rsidRDefault="000100D5" w:rsidP="000100D5">
      <w:pPr>
        <w:pStyle w:val="SingleTxtG"/>
      </w:pPr>
      <w:r w:rsidRPr="00FE37EE">
        <w:t>341.</w:t>
      </w:r>
      <w:r w:rsidRPr="00FE37EE">
        <w:tab/>
        <w:t xml:space="preserve">Como se indicó anteriormente en las respuestas a las observaciones finales de los párrafos 19 y 21 del informe del </w:t>
      </w:r>
      <w:r w:rsidR="00466CA0">
        <w:t>Coordinador encargado del seguimiento</w:t>
      </w:r>
      <w:r w:rsidRPr="00FE37EE">
        <w:t>, e</w:t>
      </w:r>
      <w:r>
        <w:t>l</w:t>
      </w:r>
      <w:r w:rsidRPr="00FE37EE">
        <w:t xml:space="preserve"> Depart</w:t>
      </w:r>
      <w:r>
        <w:t>a</w:t>
      </w:r>
      <w:r w:rsidRPr="00FE37EE">
        <w:t>ment</w:t>
      </w:r>
      <w:r>
        <w:t>o de</w:t>
      </w:r>
      <w:r w:rsidRPr="00FE37EE">
        <w:t xml:space="preserve"> Educa</w:t>
      </w:r>
      <w:r>
        <w:t>c</w:t>
      </w:r>
      <w:r w:rsidRPr="00FE37EE">
        <w:t>i</w:t>
      </w:r>
      <w:r>
        <w:t>ó</w:t>
      </w:r>
      <w:r w:rsidRPr="00FE37EE">
        <w:t xml:space="preserve">n </w:t>
      </w:r>
      <w:r>
        <w:t>y Ciencia</w:t>
      </w:r>
      <w:r w:rsidRPr="00FE37EE">
        <w:t xml:space="preserve"> </w:t>
      </w:r>
      <w:r>
        <w:t>está elaborando en la actualidad una estrategia de educación</w:t>
      </w:r>
      <w:r w:rsidRPr="00FE37EE">
        <w:t xml:space="preserve"> </w:t>
      </w:r>
      <w:r>
        <w:t>i</w:t>
      </w:r>
      <w:r w:rsidRPr="00FE37EE">
        <w:t>ntercultural</w:t>
      </w:r>
      <w:r>
        <w:t>.</w:t>
      </w:r>
      <w:r w:rsidR="005007D6">
        <w:t xml:space="preserve"> </w:t>
      </w:r>
    </w:p>
    <w:p w:rsidR="000100D5" w:rsidRPr="00824F7C" w:rsidRDefault="000100D5" w:rsidP="000100D5">
      <w:pPr>
        <w:pStyle w:val="SingleTxtG"/>
      </w:pPr>
      <w:r w:rsidRPr="00FE37EE">
        <w:t>342.</w:t>
      </w:r>
      <w:r w:rsidRPr="00FE37EE">
        <w:tab/>
        <w:t xml:space="preserve">Como se mencionó en el párrafo 349 del informe inicial y del </w:t>
      </w:r>
      <w:r>
        <w:t>s</w:t>
      </w:r>
      <w:r w:rsidRPr="00FE37EE">
        <w:t xml:space="preserve">egundo informe periódico de Irlanda, </w:t>
      </w:r>
      <w:r>
        <w:t>las actividades c</w:t>
      </w:r>
      <w:r w:rsidRPr="00FE37EE">
        <w:t>ultural</w:t>
      </w:r>
      <w:r>
        <w:t>es están incluidas</w:t>
      </w:r>
      <w:r w:rsidRPr="00FE37EE">
        <w:t xml:space="preserve"> expl</w:t>
      </w:r>
      <w:r>
        <w:t>í</w:t>
      </w:r>
      <w:r w:rsidRPr="00FE37EE">
        <w:t>cit</w:t>
      </w:r>
      <w:r>
        <w:t>amente en la</w:t>
      </w:r>
      <w:r w:rsidRPr="00FE37EE">
        <w:t xml:space="preserve"> defini</w:t>
      </w:r>
      <w:r>
        <w:t>c</w:t>
      </w:r>
      <w:r w:rsidRPr="00FE37EE">
        <w:t>i</w:t>
      </w:r>
      <w:r>
        <w:t>ó</w:t>
      </w:r>
      <w:r w:rsidRPr="00FE37EE">
        <w:t xml:space="preserve">n </w:t>
      </w:r>
      <w:r>
        <w:t>de</w:t>
      </w:r>
      <w:r w:rsidRPr="00FE37EE">
        <w:t xml:space="preserve"> </w:t>
      </w:r>
      <w:r w:rsidR="00C67360">
        <w:t>"</w:t>
      </w:r>
      <w:r w:rsidRPr="00FE37EE">
        <w:t>servic</w:t>
      </w:r>
      <w:r>
        <w:t>io</w:t>
      </w:r>
      <w:r w:rsidR="00C67360">
        <w:t>"</w:t>
      </w:r>
      <w:r w:rsidRPr="00FE37EE">
        <w:t xml:space="preserve"> </w:t>
      </w:r>
      <w:r>
        <w:t>a los efectos del artículo</w:t>
      </w:r>
      <w:r w:rsidRPr="00FE37EE">
        <w:t xml:space="preserve"> 2 1) </w:t>
      </w:r>
      <w:r>
        <w:t>de las Leyes sobre la igualdad de condición</w:t>
      </w:r>
      <w:r w:rsidRPr="00FE37EE">
        <w:t>.</w:t>
      </w:r>
      <w:r>
        <w:t xml:space="preserve"> Se han elaborado y publicado l</w:t>
      </w:r>
      <w:r w:rsidRPr="00824F7C">
        <w:t>os códigos relativos a las normas, la práctica y las prohibiciones en la publicidad, el patrocinio y las dem</w:t>
      </w:r>
      <w:r>
        <w:t>ás</w:t>
      </w:r>
      <w:r w:rsidRPr="00824F7C">
        <w:t xml:space="preserve"> form</w:t>
      </w:r>
      <w:r>
        <w:t>a</w:t>
      </w:r>
      <w:r w:rsidRPr="00824F7C">
        <w:t xml:space="preserve">s </w:t>
      </w:r>
      <w:r>
        <w:t xml:space="preserve">de promoción </w:t>
      </w:r>
      <w:r w:rsidRPr="00824F7C">
        <w:t>comercial</w:t>
      </w:r>
      <w:r>
        <w:t xml:space="preserve"> en los</w:t>
      </w:r>
      <w:r w:rsidRPr="00824F7C">
        <w:t xml:space="preserve"> servic</w:t>
      </w:r>
      <w:r>
        <w:t>io</w:t>
      </w:r>
      <w:r w:rsidRPr="00824F7C">
        <w:t xml:space="preserve">s </w:t>
      </w:r>
      <w:r>
        <w:t>de radio y televisión</w:t>
      </w:r>
      <w:r w:rsidRPr="00824F7C">
        <w:t xml:space="preserve">. </w:t>
      </w:r>
    </w:p>
    <w:p w:rsidR="000100D5" w:rsidRPr="00824F7C" w:rsidRDefault="000100D5" w:rsidP="000100D5">
      <w:pPr>
        <w:pStyle w:val="SingleTxtG"/>
      </w:pPr>
      <w:r w:rsidRPr="00824F7C">
        <w:t>343.</w:t>
      </w:r>
      <w:r w:rsidRPr="00824F7C">
        <w:tab/>
        <w:t>En 2005, el Gobierno creó un nuevo organismo, Cultura de Irlanda</w:t>
      </w:r>
      <w:r>
        <w:rPr>
          <w:rStyle w:val="FootnoteReference"/>
        </w:rPr>
        <w:footnoteReference w:id="90"/>
      </w:r>
      <w:r w:rsidR="001F5C61">
        <w:t>,</w:t>
      </w:r>
      <w:r w:rsidRPr="00824F7C">
        <w:t xml:space="preserve"> que cuenta entre sus objetivos el fomento de una comprensi</w:t>
      </w:r>
      <w:r>
        <w:t>ón</w:t>
      </w:r>
      <w:r w:rsidRPr="00824F7C">
        <w:t xml:space="preserve"> mutua</w:t>
      </w:r>
      <w:r>
        <w:t xml:space="preserve"> más profunda entre las culturas y</w:t>
      </w:r>
      <w:r w:rsidRPr="00824F7C">
        <w:t xml:space="preserve"> comuni</w:t>
      </w:r>
      <w:r>
        <w:t>dades irlandesas y las de otros países, a través de intercambios artísticos y</w:t>
      </w:r>
      <w:r w:rsidRPr="00824F7C">
        <w:t xml:space="preserve"> cultural</w:t>
      </w:r>
      <w:r>
        <w:t>es.</w:t>
      </w:r>
      <w:r w:rsidR="005007D6">
        <w:t xml:space="preserve"> </w:t>
      </w:r>
    </w:p>
    <w:p w:rsidR="000100D5" w:rsidRPr="00F926E6" w:rsidRDefault="000100D5" w:rsidP="000100D5">
      <w:pPr>
        <w:pStyle w:val="SingleTxtG"/>
      </w:pPr>
      <w:r w:rsidRPr="00824F7C">
        <w:t>344.</w:t>
      </w:r>
      <w:r w:rsidRPr="00824F7C">
        <w:tab/>
        <w:t>En virtud del Plan de Acción Nacional contra el Racismo, 2005</w:t>
      </w:r>
      <w:r w:rsidR="00067DCF">
        <w:t>-</w:t>
      </w:r>
      <w:r w:rsidRPr="00824F7C">
        <w:t xml:space="preserve">2008, se otorgó una </w:t>
      </w:r>
      <w:r>
        <w:t>subv</w:t>
      </w:r>
      <w:r w:rsidRPr="00824F7C">
        <w:t>e</w:t>
      </w:r>
      <w:r>
        <w:t>n</w:t>
      </w:r>
      <w:r w:rsidRPr="00824F7C">
        <w:t>c</w:t>
      </w:r>
      <w:r>
        <w:t>ión</w:t>
      </w:r>
      <w:r w:rsidRPr="00824F7C">
        <w:t xml:space="preserve"> al Consejo de las Artes para </w:t>
      </w:r>
      <w:r>
        <w:t xml:space="preserve">investigar sobre el </w:t>
      </w:r>
      <w:r w:rsidR="005C4174">
        <w:t>desarrollo</w:t>
      </w:r>
      <w:r>
        <w:t xml:space="preserve"> de una estrategia</w:t>
      </w:r>
      <w:r w:rsidRPr="00824F7C">
        <w:t xml:space="preserve"> intercultural </w:t>
      </w:r>
      <w:r>
        <w:t>en el ámbito de las artes y</w:t>
      </w:r>
      <w:r w:rsidRPr="00824F7C">
        <w:t xml:space="preserve"> f</w:t>
      </w:r>
      <w:r>
        <w:t>inanciar una serie de</w:t>
      </w:r>
      <w:r w:rsidRPr="00824F7C">
        <w:t xml:space="preserve"> ini</w:t>
      </w:r>
      <w:r>
        <w:t>c</w:t>
      </w:r>
      <w:r w:rsidRPr="00824F7C">
        <w:t>iativ</w:t>
      </w:r>
      <w:r>
        <w:t>a</w:t>
      </w:r>
      <w:r w:rsidRPr="00824F7C">
        <w:t xml:space="preserve">s </w:t>
      </w:r>
      <w:r>
        <w:t xml:space="preserve">de </w:t>
      </w:r>
      <w:r w:rsidRPr="00824F7C">
        <w:t>promo</w:t>
      </w:r>
      <w:r>
        <w:t>ción</w:t>
      </w:r>
      <w:r w:rsidRPr="00824F7C">
        <w:t xml:space="preserve"> </w:t>
      </w:r>
      <w:r>
        <w:t xml:space="preserve">de la diversidad </w:t>
      </w:r>
      <w:r w:rsidRPr="00824F7C">
        <w:t>cultural</w:t>
      </w:r>
      <w:r>
        <w:t xml:space="preserve"> y de la</w:t>
      </w:r>
      <w:r w:rsidRPr="00824F7C">
        <w:t xml:space="preserve"> integra</w:t>
      </w:r>
      <w:r>
        <w:t>c</w:t>
      </w:r>
      <w:r w:rsidRPr="00824F7C">
        <w:t>i</w:t>
      </w:r>
      <w:r>
        <w:t>ó</w:t>
      </w:r>
      <w:r w:rsidRPr="00824F7C">
        <w:t xml:space="preserve">n. </w:t>
      </w:r>
      <w:r w:rsidRPr="00F926E6">
        <w:t xml:space="preserve">Se </w:t>
      </w:r>
      <w:r>
        <w:t>ha previsto</w:t>
      </w:r>
      <w:r w:rsidRPr="00F926E6">
        <w:t xml:space="preserve"> que la investigación estará terminada a finales de</w:t>
      </w:r>
      <w:r w:rsidRPr="00F926E6">
        <w:rPr>
          <w:iCs/>
        </w:rPr>
        <w:t xml:space="preserve"> 2009. </w:t>
      </w:r>
    </w:p>
    <w:p w:rsidR="000100D5" w:rsidRPr="00F926E6" w:rsidRDefault="000100D5" w:rsidP="000100D5">
      <w:pPr>
        <w:pStyle w:val="SingleTxtG"/>
      </w:pPr>
      <w:r w:rsidRPr="00F926E6">
        <w:t>345.</w:t>
      </w:r>
      <w:r w:rsidRPr="00F926E6">
        <w:tab/>
        <w:t>La Oficina del Ministro para la Integración coopera estrechamente con los órganos deportivos fundamental</w:t>
      </w:r>
      <w:r>
        <w:t>e</w:t>
      </w:r>
      <w:r w:rsidRPr="00F926E6">
        <w:t xml:space="preserve">s, a fin de </w:t>
      </w:r>
      <w:r>
        <w:t>potenciar</w:t>
      </w:r>
      <w:r w:rsidRPr="00F926E6">
        <w:t xml:space="preserve"> una mayor participación de los migrantes </w:t>
      </w:r>
      <w:r>
        <w:t>e</w:t>
      </w:r>
      <w:r w:rsidRPr="00F926E6">
        <w:t xml:space="preserve">n </w:t>
      </w:r>
      <w:r>
        <w:t>sus</w:t>
      </w:r>
      <w:r w:rsidRPr="00F926E6">
        <w:t xml:space="preserve"> organi</w:t>
      </w:r>
      <w:r>
        <w:t>zaciones</w:t>
      </w:r>
      <w:r w:rsidRPr="00F926E6">
        <w:t xml:space="preserve">. Es </w:t>
      </w:r>
      <w:r>
        <w:t>sabido</w:t>
      </w:r>
      <w:r w:rsidRPr="00F926E6">
        <w:t xml:space="preserve"> que los órganos deportivos pueden desempeñar un importante papel </w:t>
      </w:r>
      <w:r>
        <w:t xml:space="preserve">en el fomento de la </w:t>
      </w:r>
      <w:r w:rsidRPr="00F926E6">
        <w:t>integra</w:t>
      </w:r>
      <w:r>
        <w:t>c</w:t>
      </w:r>
      <w:r w:rsidRPr="00F926E6">
        <w:t>i</w:t>
      </w:r>
      <w:r>
        <w:t>ó</w:t>
      </w:r>
      <w:r w:rsidRPr="00F926E6">
        <w:t>n, especial</w:t>
      </w:r>
      <w:r>
        <w:t>mente a nivel</w:t>
      </w:r>
      <w:r w:rsidRPr="00F926E6">
        <w:t xml:space="preserve"> local. La Oficina ha facilitado financiación a la Gaelic Athletic Association (irlandesa)</w:t>
      </w:r>
      <w:r>
        <w:t xml:space="preserve"> (Asociación Gaélica de Atletismo)</w:t>
      </w:r>
      <w:r w:rsidRPr="00F926E6">
        <w:t xml:space="preserve">, a la Football Association of Ireland </w:t>
      </w:r>
      <w:r>
        <w:t xml:space="preserve">(Asociación Irlandesa de Fútbol) </w:t>
      </w:r>
      <w:r w:rsidRPr="00F926E6">
        <w:t>y a Basketball Ireland</w:t>
      </w:r>
      <w:r>
        <w:t xml:space="preserve"> (Baloncesto de Irlanda)</w:t>
      </w:r>
      <w:r w:rsidRPr="00F926E6">
        <w:t xml:space="preserve">, a fin de promover </w:t>
      </w:r>
      <w:r>
        <w:t>esas iniciativas</w:t>
      </w:r>
      <w:r w:rsidRPr="00F926E6">
        <w:t xml:space="preserve">. </w:t>
      </w:r>
    </w:p>
    <w:p w:rsidR="000100D5" w:rsidRPr="006B35C1" w:rsidRDefault="000100D5" w:rsidP="000100D5">
      <w:pPr>
        <w:pStyle w:val="H23G"/>
      </w:pPr>
      <w:r w:rsidRPr="00F926E6">
        <w:tab/>
      </w:r>
      <w:r w:rsidRPr="006B35C1">
        <w:t>21.</w:t>
      </w:r>
      <w:r w:rsidRPr="006B35C1">
        <w:tab/>
      </w:r>
      <w:r>
        <w:t>Alianzas deportivas locales</w:t>
      </w:r>
    </w:p>
    <w:p w:rsidR="000100D5" w:rsidRPr="00F72E27" w:rsidRDefault="000100D5" w:rsidP="000100D5">
      <w:pPr>
        <w:pStyle w:val="SingleTxtG"/>
      </w:pPr>
      <w:r>
        <w:t>346.</w:t>
      </w:r>
      <w:r>
        <w:tab/>
        <w:t>E</w:t>
      </w:r>
      <w:r w:rsidRPr="00F72E27">
        <w:t>n septiembre de 2006, en colaboración con el Consejo de Deportes Irlandés, el Plan de Acción Nacional contra el Rac</w:t>
      </w:r>
      <w:r w:rsidR="00353427">
        <w:t>ismo puso un fondo de hasta 357.</w:t>
      </w:r>
      <w:r w:rsidRPr="00F72E27">
        <w:t>000 euros a disposición de ini</w:t>
      </w:r>
      <w:r>
        <w:t>c</w:t>
      </w:r>
      <w:r w:rsidRPr="00F72E27">
        <w:t>iativ</w:t>
      </w:r>
      <w:r>
        <w:t>a</w:t>
      </w:r>
      <w:r w:rsidRPr="00F72E27">
        <w:t xml:space="preserve">s </w:t>
      </w:r>
      <w:r>
        <w:t>que alentaran a los miembros de comunidades</w:t>
      </w:r>
      <w:r w:rsidRPr="00F72E27">
        <w:t xml:space="preserve"> migrant</w:t>
      </w:r>
      <w:r>
        <w:t>es en</w:t>
      </w:r>
      <w:r w:rsidRPr="00F72E27">
        <w:t xml:space="preserve"> Irland</w:t>
      </w:r>
      <w:r>
        <w:t>a a</w:t>
      </w:r>
      <w:r w:rsidRPr="00F72E27">
        <w:t xml:space="preserve"> integra</w:t>
      </w:r>
      <w:r>
        <w:t>rse en la sociedad irlandesa mediante la</w:t>
      </w:r>
      <w:r w:rsidRPr="00F72E27">
        <w:t xml:space="preserve"> participa</w:t>
      </w:r>
      <w:r>
        <w:t>c</w:t>
      </w:r>
      <w:r w:rsidRPr="00F72E27">
        <w:t>i</w:t>
      </w:r>
      <w:r>
        <w:t>ó</w:t>
      </w:r>
      <w:r w:rsidRPr="00F72E27">
        <w:t xml:space="preserve">n </w:t>
      </w:r>
      <w:r>
        <w:t>en</w:t>
      </w:r>
      <w:r w:rsidRPr="00F72E27">
        <w:t xml:space="preserve"> activi</w:t>
      </w:r>
      <w:r>
        <w:t>dades deportivas</w:t>
      </w:r>
      <w:r w:rsidRPr="00F72E27">
        <w:t>. Se invitó a todas las asociaciones deportivas locales a solicit</w:t>
      </w:r>
      <w:r>
        <w:t>a</w:t>
      </w:r>
      <w:r w:rsidRPr="00F72E27">
        <w:t xml:space="preserve">r </w:t>
      </w:r>
      <w:r>
        <w:t>recursos</w:t>
      </w:r>
      <w:r w:rsidRPr="00F72E27">
        <w:t xml:space="preserve"> dentro del marco de esa ini</w:t>
      </w:r>
      <w:r>
        <w:t>c</w:t>
      </w:r>
      <w:r w:rsidRPr="00F72E27">
        <w:t>iativ</w:t>
      </w:r>
      <w:r>
        <w:t>a</w:t>
      </w:r>
      <w:r w:rsidRPr="00F72E27">
        <w:t>. Gracias a ello, 13 asociaciones deportivas locales distribuidas por todo el país recibie</w:t>
      </w:r>
      <w:r>
        <w:t>ron</w:t>
      </w:r>
      <w:r w:rsidRPr="00F72E27">
        <w:t xml:space="preserve"> f</w:t>
      </w:r>
      <w:r>
        <w:t>i</w:t>
      </w:r>
      <w:r w:rsidRPr="00F72E27">
        <w:t>n</w:t>
      </w:r>
      <w:r>
        <w:t>anciació</w:t>
      </w:r>
      <w:r w:rsidRPr="00F72E27">
        <w:t xml:space="preserve">n. </w:t>
      </w:r>
    </w:p>
    <w:p w:rsidR="000100D5" w:rsidRPr="00F72E27" w:rsidRDefault="000100D5" w:rsidP="000100D5">
      <w:pPr>
        <w:pStyle w:val="H23G"/>
        <w:rPr>
          <w:b w:val="0"/>
        </w:rPr>
      </w:pPr>
      <w:r w:rsidRPr="00F72E27">
        <w:tab/>
        <w:t>22.</w:t>
      </w:r>
      <w:r w:rsidRPr="00F72E27">
        <w:tab/>
        <w:t>Plan y programa intercultural futbolístico de la Asociación Irlandesa de F</w:t>
      </w:r>
      <w:r>
        <w:t>útbol</w:t>
      </w:r>
      <w:r w:rsidRPr="00F72E27">
        <w:t xml:space="preserve"> (2006</w:t>
      </w:r>
      <w:r w:rsidR="00067DCF">
        <w:noBreakHyphen/>
      </w:r>
      <w:r w:rsidRPr="00F72E27">
        <w:t>2010</w:t>
      </w:r>
      <w:r w:rsidRPr="00F72E27">
        <w:rPr>
          <w:b w:val="0"/>
        </w:rPr>
        <w:t>)</w:t>
      </w:r>
      <w:r w:rsidRPr="00941515">
        <w:rPr>
          <w:rStyle w:val="FootnoteReference"/>
          <w:b w:val="0"/>
        </w:rPr>
        <w:footnoteReference w:id="91"/>
      </w:r>
    </w:p>
    <w:p w:rsidR="000100D5" w:rsidRPr="00F72E27" w:rsidRDefault="000100D5" w:rsidP="000100D5">
      <w:pPr>
        <w:pStyle w:val="SingleTxtG"/>
      </w:pPr>
      <w:r w:rsidRPr="00F72E27">
        <w:t>347.</w:t>
      </w:r>
      <w:r w:rsidRPr="00F72E27">
        <w:tab/>
        <w:t>En 2006, la Asociación Irlandesa de F</w:t>
      </w:r>
      <w:r>
        <w:t>útbol</w:t>
      </w:r>
      <w:r w:rsidRPr="00F72E27">
        <w:t xml:space="preserve"> </w:t>
      </w:r>
      <w:r>
        <w:t>nombró a un Coordinador del Programa</w:t>
      </w:r>
      <w:r w:rsidRPr="00F72E27">
        <w:t xml:space="preserve"> Intercultural. </w:t>
      </w:r>
    </w:p>
    <w:p w:rsidR="000100D5" w:rsidRPr="004B5925" w:rsidRDefault="000100D5" w:rsidP="000100D5">
      <w:pPr>
        <w:pStyle w:val="SingleTxtG"/>
      </w:pPr>
      <w:r w:rsidRPr="004150F0">
        <w:t>348.</w:t>
      </w:r>
      <w:r w:rsidRPr="004150F0">
        <w:tab/>
        <w:t>El Plan de Acción Nacional contra el Racismo apoyó el desarrollo del Plan intercultural futbol</w:t>
      </w:r>
      <w:r>
        <w:t>ístico de la</w:t>
      </w:r>
      <w:r w:rsidRPr="004150F0">
        <w:t xml:space="preserve"> Asocia</w:t>
      </w:r>
      <w:r>
        <w:t>c</w:t>
      </w:r>
      <w:r w:rsidRPr="004150F0">
        <w:t>i</w:t>
      </w:r>
      <w:r>
        <w:t>ó</w:t>
      </w:r>
      <w:r w:rsidRPr="004150F0">
        <w:t>n Irland</w:t>
      </w:r>
      <w:r>
        <w:t>esa de</w:t>
      </w:r>
      <w:r w:rsidRPr="004150F0">
        <w:t xml:space="preserve"> F</w:t>
      </w:r>
      <w:r>
        <w:t>útbol,</w:t>
      </w:r>
      <w:r w:rsidRPr="004150F0">
        <w:t xml:space="preserve"> </w:t>
      </w:r>
      <w:r w:rsidR="00353427">
        <w:t>que se lanzó en junio de </w:t>
      </w:r>
      <w:r>
        <w:t>2007</w:t>
      </w:r>
      <w:r w:rsidRPr="004150F0">
        <w:t xml:space="preserve">. </w:t>
      </w:r>
      <w:r w:rsidRPr="00E16647">
        <w:t>El Plan Intercultural de Fútbol se diseñó para e</w:t>
      </w:r>
      <w:r>
        <w:t>studiar</w:t>
      </w:r>
      <w:r w:rsidRPr="00E16647">
        <w:t xml:space="preserve"> la m</w:t>
      </w:r>
      <w:r>
        <w:t>e</w:t>
      </w:r>
      <w:r w:rsidRPr="00E16647">
        <w:t xml:space="preserve">jor manera de </w:t>
      </w:r>
      <w:r>
        <w:t>que la Asociación Irlandesa de Fútbol</w:t>
      </w:r>
      <w:r w:rsidRPr="00E16647">
        <w:t xml:space="preserve">, en el contexto de una sociedad </w:t>
      </w:r>
      <w:r>
        <w:t>caracterizada por una mayor diversificación</w:t>
      </w:r>
      <w:r w:rsidRPr="00E16647">
        <w:t xml:space="preserve">, </w:t>
      </w:r>
      <w:r>
        <w:t>fomentara una</w:t>
      </w:r>
      <w:r w:rsidRPr="00E16647">
        <w:t xml:space="preserve"> participa</w:t>
      </w:r>
      <w:r>
        <w:t>c</w:t>
      </w:r>
      <w:r w:rsidRPr="00E16647">
        <w:t>i</w:t>
      </w:r>
      <w:r>
        <w:t>ó</w:t>
      </w:r>
      <w:r w:rsidRPr="00E16647">
        <w:t xml:space="preserve">n </w:t>
      </w:r>
      <w:r>
        <w:t>más amplia en ese deporte entre las</w:t>
      </w:r>
      <w:r w:rsidRPr="00E16647">
        <w:t xml:space="preserve"> pe</w:t>
      </w:r>
      <w:r>
        <w:t>rsonas de</w:t>
      </w:r>
      <w:r w:rsidRPr="00E16647">
        <w:t xml:space="preserve"> minor</w:t>
      </w:r>
      <w:r>
        <w:t>ías</w:t>
      </w:r>
      <w:r w:rsidRPr="00E16647">
        <w:t xml:space="preserve"> </w:t>
      </w:r>
      <w:r>
        <w:t>é</w:t>
      </w:r>
      <w:r w:rsidRPr="00E16647">
        <w:t>tnic</w:t>
      </w:r>
      <w:r>
        <w:t>as</w:t>
      </w:r>
      <w:r w:rsidRPr="00E16647">
        <w:t xml:space="preserve"> </w:t>
      </w:r>
      <w:r>
        <w:t>y</w:t>
      </w:r>
      <w:r w:rsidRPr="00E16647">
        <w:t xml:space="preserve"> cultural</w:t>
      </w:r>
      <w:r>
        <w:t>es</w:t>
      </w:r>
      <w:r w:rsidRPr="00E16647">
        <w:t xml:space="preserve">. </w:t>
      </w:r>
      <w:r w:rsidRPr="004B5925">
        <w:t xml:space="preserve">El Plan se propone también </w:t>
      </w:r>
      <w:r>
        <w:t>combati</w:t>
      </w:r>
      <w:r w:rsidRPr="004B5925">
        <w:t xml:space="preserve">r y prevenir la </w:t>
      </w:r>
      <w:r>
        <w:t>dif</w:t>
      </w:r>
      <w:r w:rsidRPr="004B5925">
        <w:t>usi</w:t>
      </w:r>
      <w:r>
        <w:t>ó</w:t>
      </w:r>
      <w:r w:rsidRPr="004B5925">
        <w:t xml:space="preserve">n del </w:t>
      </w:r>
      <w:r w:rsidR="00C67360">
        <w:t>"</w:t>
      </w:r>
      <w:r w:rsidRPr="004B5925">
        <w:t>racismo</w:t>
      </w:r>
      <w:r w:rsidR="00C67360">
        <w:t>"</w:t>
      </w:r>
      <w:r w:rsidRPr="004B5925">
        <w:t xml:space="preserve"> </w:t>
      </w:r>
      <w:r>
        <w:t>en el juego y</w:t>
      </w:r>
      <w:r w:rsidRPr="004B5925">
        <w:t xml:space="preserve"> contribu</w:t>
      </w:r>
      <w:r>
        <w:t>ir así a</w:t>
      </w:r>
      <w:r w:rsidRPr="004B5925">
        <w:t xml:space="preserve"> </w:t>
      </w:r>
      <w:r>
        <w:t>configurar una sociedad plenamente</w:t>
      </w:r>
      <w:r w:rsidRPr="004B5925">
        <w:t xml:space="preserve"> integrad</w:t>
      </w:r>
      <w:r>
        <w:t>a y</w:t>
      </w:r>
      <w:r w:rsidRPr="004B5925">
        <w:t xml:space="preserve"> </w:t>
      </w:r>
      <w:r>
        <w:t>multi</w:t>
      </w:r>
      <w:r w:rsidRPr="004B5925">
        <w:t xml:space="preserve">cultural. </w:t>
      </w:r>
    </w:p>
    <w:p w:rsidR="000100D5" w:rsidRPr="00257D91" w:rsidRDefault="000100D5" w:rsidP="000100D5">
      <w:pPr>
        <w:pStyle w:val="SingleTxtG"/>
      </w:pPr>
      <w:r w:rsidRPr="004B5925">
        <w:t>349.</w:t>
      </w:r>
      <w:r w:rsidRPr="004B5925">
        <w:tab/>
        <w:t xml:space="preserve">El Plan fue formulado por la Asociación Irlandesa de Fútbol junto </w:t>
      </w:r>
      <w:r>
        <w:t>con sus colaboradores más destacados</w:t>
      </w:r>
      <w:r w:rsidRPr="004B5925">
        <w:t xml:space="preserve">. </w:t>
      </w:r>
      <w:r w:rsidRPr="00257D91">
        <w:t xml:space="preserve">Se ha establecido un grupo asesor </w:t>
      </w:r>
      <w:r>
        <w:t>multi</w:t>
      </w:r>
      <w:r w:rsidRPr="00257D91">
        <w:t>cultural para el fútbol, inspirado en otras organizaciones que han trabajado en ese terreno, entre las que cabe citar Mu</w:t>
      </w:r>
      <w:r>
        <w:t>éstrale tarjeta roja al r</w:t>
      </w:r>
      <w:r w:rsidRPr="00257D91">
        <w:t>acism</w:t>
      </w:r>
      <w:r>
        <w:t>o,</w:t>
      </w:r>
      <w:r w:rsidRPr="00257D91">
        <w:t xml:space="preserve"> </w:t>
      </w:r>
      <w:r>
        <w:t>Deporte contra</w:t>
      </w:r>
      <w:r w:rsidRPr="00257D91">
        <w:t xml:space="preserve"> </w:t>
      </w:r>
      <w:r>
        <w:t>r</w:t>
      </w:r>
      <w:r w:rsidRPr="00257D91">
        <w:t>acism</w:t>
      </w:r>
      <w:r>
        <w:t>o</w:t>
      </w:r>
      <w:r w:rsidRPr="00257D91">
        <w:t xml:space="preserve">, </w:t>
      </w:r>
      <w:r>
        <w:t>el Comité Consultivo N</w:t>
      </w:r>
      <w:r w:rsidRPr="00257D91">
        <w:t>a</w:t>
      </w:r>
      <w:r>
        <w:t>c</w:t>
      </w:r>
      <w:r w:rsidRPr="00257D91">
        <w:t>ional</w:t>
      </w:r>
      <w:r>
        <w:t xml:space="preserve"> sobre el Racismo y el Multiculturalismo y el</w:t>
      </w:r>
      <w:r w:rsidRPr="00257D91">
        <w:t xml:space="preserve"> Depart</w:t>
      </w:r>
      <w:r>
        <w:t>a</w:t>
      </w:r>
      <w:r w:rsidRPr="00257D91">
        <w:t>ment</w:t>
      </w:r>
      <w:r>
        <w:t>o de</w:t>
      </w:r>
      <w:r w:rsidRPr="00257D91">
        <w:t xml:space="preserve"> Justic</w:t>
      </w:r>
      <w:r>
        <w:t>ia</w:t>
      </w:r>
      <w:r w:rsidRPr="00257D91">
        <w:t xml:space="preserve">, </w:t>
      </w:r>
      <w:r>
        <w:t>Igualdad y</w:t>
      </w:r>
      <w:r w:rsidRPr="00257D91">
        <w:t xml:space="preserve"> Reform</w:t>
      </w:r>
      <w:r>
        <w:t>a Jurídica, que también ha aportado una financiación</w:t>
      </w:r>
      <w:r w:rsidRPr="00257D91">
        <w:t xml:space="preserve"> </w:t>
      </w:r>
      <w:r>
        <w:t>considerable a través del Plan de Acción</w:t>
      </w:r>
      <w:r w:rsidRPr="00257D91">
        <w:t xml:space="preserve"> Na</w:t>
      </w:r>
      <w:r>
        <w:t>c</w:t>
      </w:r>
      <w:r w:rsidRPr="00257D91">
        <w:t xml:space="preserve">ional </w:t>
      </w:r>
      <w:r>
        <w:t>contra el</w:t>
      </w:r>
      <w:r w:rsidRPr="00257D91">
        <w:t xml:space="preserve"> Racism</w:t>
      </w:r>
      <w:r>
        <w:t>o</w:t>
      </w:r>
      <w:r w:rsidRPr="00257D91">
        <w:t>.</w:t>
      </w:r>
    </w:p>
    <w:p w:rsidR="000100D5" w:rsidRPr="007F40B2" w:rsidRDefault="000100D5" w:rsidP="000100D5">
      <w:pPr>
        <w:pStyle w:val="SingleTxtG"/>
      </w:pPr>
      <w:r w:rsidRPr="007F40B2">
        <w:t>350.</w:t>
      </w:r>
      <w:r w:rsidRPr="007F40B2">
        <w:tab/>
        <w:t xml:space="preserve">El objetivo del </w:t>
      </w:r>
      <w:r>
        <w:t>P</w:t>
      </w:r>
      <w:r w:rsidRPr="007F40B2">
        <w:t xml:space="preserve">lan reside en asegurar que todas las personas se sientan libres para </w:t>
      </w:r>
      <w:r>
        <w:t>practicar</w:t>
      </w:r>
      <w:r w:rsidRPr="007F40B2">
        <w:t xml:space="preserve"> </w:t>
      </w:r>
      <w:r>
        <w:t>e</w:t>
      </w:r>
      <w:r w:rsidRPr="007F40B2">
        <w:t xml:space="preserve">l fútbol, </w:t>
      </w:r>
      <w:r>
        <w:t>en pie</w:t>
      </w:r>
      <w:r w:rsidRPr="007F40B2">
        <w:t xml:space="preserve"> de igual</w:t>
      </w:r>
      <w:r>
        <w:t>dad</w:t>
      </w:r>
      <w:r w:rsidRPr="007F40B2">
        <w:t xml:space="preserve">, </w:t>
      </w:r>
      <w:r>
        <w:t xml:space="preserve">en la </w:t>
      </w:r>
      <w:r w:rsidRPr="007F40B2">
        <w:t>confi</w:t>
      </w:r>
      <w:r>
        <w:t xml:space="preserve">anza </w:t>
      </w:r>
      <w:r w:rsidRPr="007F40B2">
        <w:t>de</w:t>
      </w:r>
      <w:r>
        <w:t xml:space="preserve"> que</w:t>
      </w:r>
      <w:r w:rsidRPr="007F40B2">
        <w:t xml:space="preserve"> </w:t>
      </w:r>
      <w:r>
        <w:t>serán bienvenidos si deciden hacerlo y c</w:t>
      </w:r>
      <w:r w:rsidRPr="007F40B2">
        <w:t>ontribu</w:t>
      </w:r>
      <w:r>
        <w:t>ir de esa manera a articular una sociedad</w:t>
      </w:r>
      <w:r w:rsidRPr="007F40B2">
        <w:t xml:space="preserve"> integrad</w:t>
      </w:r>
      <w:r>
        <w:t>a, a gusto con su creciente</w:t>
      </w:r>
      <w:r w:rsidRPr="007F40B2">
        <w:t xml:space="preserve"> diversi</w:t>
      </w:r>
      <w:r>
        <w:t>dad</w:t>
      </w:r>
      <w:r w:rsidRPr="007F40B2">
        <w:t xml:space="preserve">. </w:t>
      </w:r>
    </w:p>
    <w:p w:rsidR="000100D5" w:rsidRPr="007F40B2" w:rsidRDefault="000100D5" w:rsidP="000100D5">
      <w:pPr>
        <w:pStyle w:val="SingleTxtG"/>
      </w:pPr>
      <w:r w:rsidRPr="007F40B2">
        <w:t>351.</w:t>
      </w:r>
      <w:r w:rsidRPr="007F40B2">
        <w:tab/>
        <w:t xml:space="preserve">Los cuatro objetivos primordiales son: </w:t>
      </w:r>
    </w:p>
    <w:p w:rsidR="000100D5" w:rsidRPr="00656EE4" w:rsidRDefault="000100D5" w:rsidP="00656EE4">
      <w:pPr>
        <w:pStyle w:val="Bullet1G"/>
      </w:pPr>
      <w:r w:rsidRPr="00656EE4">
        <w:t xml:space="preserve">Combatir el </w:t>
      </w:r>
      <w:r w:rsidR="00E03EF2" w:rsidRPr="00656EE4">
        <w:t>"</w:t>
      </w:r>
      <w:r w:rsidRPr="00656EE4">
        <w:t>Racismo</w:t>
      </w:r>
      <w:r w:rsidR="00E03EF2" w:rsidRPr="00656EE4">
        <w:t>"</w:t>
      </w:r>
      <w:r w:rsidR="00353427" w:rsidRPr="00656EE4">
        <w:t xml:space="preserve"> en el fútbol;</w:t>
      </w:r>
    </w:p>
    <w:p w:rsidR="000100D5" w:rsidRPr="00656EE4" w:rsidRDefault="000100D5" w:rsidP="00656EE4">
      <w:pPr>
        <w:pStyle w:val="Bullet1G"/>
      </w:pPr>
      <w:r w:rsidRPr="00656EE4">
        <w:t>Promover la participación entre las comunidades étnicas y multiculturales minoritarias</w:t>
      </w:r>
      <w:r w:rsidR="00353427" w:rsidRPr="00656EE4">
        <w:t>;</w:t>
      </w:r>
    </w:p>
    <w:p w:rsidR="000100D5" w:rsidRPr="00656EE4" w:rsidRDefault="000100D5" w:rsidP="00656EE4">
      <w:pPr>
        <w:pStyle w:val="Bullet1G"/>
      </w:pPr>
      <w:r w:rsidRPr="00656EE4">
        <w:t>Desarrollar una cultura del fútbol que sea dinámica y competitiva a escala mundial</w:t>
      </w:r>
      <w:r w:rsidR="00353427" w:rsidRPr="00656EE4">
        <w:t>;</w:t>
      </w:r>
    </w:p>
    <w:p w:rsidR="000100D5" w:rsidRPr="00D50082" w:rsidRDefault="000100D5" w:rsidP="00656EE4">
      <w:pPr>
        <w:pStyle w:val="Bullet1G"/>
      </w:pPr>
      <w:r w:rsidRPr="00656EE4">
        <w:t>Contribuir al proceso</w:t>
      </w:r>
      <w:r w:rsidRPr="00D50082">
        <w:t xml:space="preserve"> más amplio de integración</w:t>
      </w:r>
      <w:r w:rsidR="00353427">
        <w:t>.</w:t>
      </w:r>
    </w:p>
    <w:p w:rsidR="000100D5" w:rsidRPr="00D50082" w:rsidRDefault="000100D5" w:rsidP="000100D5">
      <w:pPr>
        <w:pStyle w:val="H23G"/>
      </w:pPr>
      <w:r w:rsidRPr="00D50082">
        <w:tab/>
        <w:t>23.</w:t>
      </w:r>
      <w:r w:rsidRPr="00D50082">
        <w:tab/>
        <w:t xml:space="preserve">Estrategia de </w:t>
      </w:r>
      <w:r w:rsidR="005C4174" w:rsidRPr="00D50082">
        <w:t>inclusión</w:t>
      </w:r>
      <w:r w:rsidRPr="00D50082">
        <w:t xml:space="preserve"> e integración de la Asociación Ga</w:t>
      </w:r>
      <w:r>
        <w:t>é</w:t>
      </w:r>
      <w:r w:rsidRPr="00D50082">
        <w:t>lic</w:t>
      </w:r>
      <w:r>
        <w:t>a</w:t>
      </w:r>
      <w:r w:rsidRPr="00D50082">
        <w:t xml:space="preserve"> (</w:t>
      </w:r>
      <w:r>
        <w:t>i</w:t>
      </w:r>
      <w:r w:rsidRPr="00D50082">
        <w:t>r</w:t>
      </w:r>
      <w:r>
        <w:t>landesa</w:t>
      </w:r>
      <w:r w:rsidRPr="00D50082">
        <w:t xml:space="preserve">) </w:t>
      </w:r>
      <w:r>
        <w:t xml:space="preserve">de </w:t>
      </w:r>
      <w:r w:rsidRPr="00D50082">
        <w:t>Atleti</w:t>
      </w:r>
      <w:r>
        <w:t>smo,</w:t>
      </w:r>
      <w:r w:rsidR="005007D6">
        <w:t xml:space="preserve"> </w:t>
      </w:r>
      <w:r w:rsidRPr="00D50082">
        <w:t>2009</w:t>
      </w:r>
      <w:r w:rsidR="00067DCF">
        <w:t>-</w:t>
      </w:r>
      <w:r w:rsidRPr="00D50082">
        <w:t xml:space="preserve">2015 </w:t>
      </w:r>
    </w:p>
    <w:p w:rsidR="000100D5" w:rsidRPr="00301986" w:rsidRDefault="000100D5" w:rsidP="000100D5">
      <w:pPr>
        <w:pStyle w:val="SingleTxtG"/>
      </w:pPr>
      <w:r w:rsidRPr="00D50082">
        <w:t>352.</w:t>
      </w:r>
      <w:r w:rsidRPr="00D50082">
        <w:tab/>
        <w:t>En abril de 2009, la Asociación Gaélica (irlandesa) de Atletismo, junto</w:t>
      </w:r>
      <w:r>
        <w:t xml:space="preserve"> con la A</w:t>
      </w:r>
      <w:r w:rsidRPr="00D50082">
        <w:t>sociaci</w:t>
      </w:r>
      <w:r>
        <w:t>ón</w:t>
      </w:r>
      <w:r w:rsidRPr="00D50082">
        <w:t xml:space="preserve"> Ga</w:t>
      </w:r>
      <w:r>
        <w:t>é</w:t>
      </w:r>
      <w:r w:rsidRPr="00D50082">
        <w:t>lic</w:t>
      </w:r>
      <w:r>
        <w:t>a (irlandesa)</w:t>
      </w:r>
      <w:r w:rsidRPr="00D50082">
        <w:t xml:space="preserve"> </w:t>
      </w:r>
      <w:r>
        <w:t>Femenina de</w:t>
      </w:r>
      <w:r w:rsidRPr="00D50082">
        <w:t xml:space="preserve"> </w:t>
      </w:r>
      <w:r w:rsidR="005C4174" w:rsidRPr="00D50082">
        <w:t>F</w:t>
      </w:r>
      <w:r w:rsidR="005C4174">
        <w:t>út</w:t>
      </w:r>
      <w:r w:rsidR="005C4174" w:rsidRPr="00D50082">
        <w:t>bo</w:t>
      </w:r>
      <w:r w:rsidR="005C4174">
        <w:t>l</w:t>
      </w:r>
      <w:r w:rsidRPr="00D50082">
        <w:t xml:space="preserve"> </w:t>
      </w:r>
      <w:r>
        <w:t>y la Asociación</w:t>
      </w:r>
      <w:r w:rsidRPr="00D50082">
        <w:t xml:space="preserve"> Camogie</w:t>
      </w:r>
      <w:r>
        <w:t>, lanzó su estrategia de</w:t>
      </w:r>
      <w:r w:rsidRPr="00D50082">
        <w:t xml:space="preserve"> </w:t>
      </w:r>
      <w:r>
        <w:t>i</w:t>
      </w:r>
      <w:r w:rsidRPr="00D50082">
        <w:t>nclusi</w:t>
      </w:r>
      <w:r>
        <w:t>ó</w:t>
      </w:r>
      <w:r w:rsidRPr="00D50082">
        <w:t xml:space="preserve">n </w:t>
      </w:r>
      <w:r>
        <w:t>e</w:t>
      </w:r>
      <w:r w:rsidRPr="00D50082">
        <w:t xml:space="preserve"> </w:t>
      </w:r>
      <w:r>
        <w:t>i</w:t>
      </w:r>
      <w:r w:rsidRPr="00D50082">
        <w:t>ntegra</w:t>
      </w:r>
      <w:r>
        <w:t>c</w:t>
      </w:r>
      <w:r w:rsidRPr="00D50082">
        <w:t>i</w:t>
      </w:r>
      <w:r>
        <w:t>ón,</w:t>
      </w:r>
      <w:r w:rsidR="00353427">
        <w:t xml:space="preserve"> 2009</w:t>
      </w:r>
      <w:r w:rsidR="00067DCF">
        <w:t>-</w:t>
      </w:r>
      <w:r w:rsidRPr="00D50082">
        <w:t xml:space="preserve">2015. </w:t>
      </w:r>
      <w:r w:rsidRPr="00EB07BB">
        <w:t>La meta de esa estrategia consiste en ofrecer un medio acogedor e integrador para que todos puedan participar en los juegos y la cultura irla</w:t>
      </w:r>
      <w:r>
        <w:t>ndeses</w:t>
      </w:r>
      <w:r w:rsidRPr="00EB07BB">
        <w:t xml:space="preserve">. La finalidad de la estrategia quinquenal reside en alentar a las personas de todas </w:t>
      </w:r>
      <w:r>
        <w:t xml:space="preserve">las </w:t>
      </w:r>
      <w:r w:rsidRPr="00EB07BB">
        <w:t xml:space="preserve">nacionalidades y </w:t>
      </w:r>
      <w:r>
        <w:t xml:space="preserve">creencias </w:t>
      </w:r>
      <w:r w:rsidRPr="00EB07BB">
        <w:t>religios</w:t>
      </w:r>
      <w:r>
        <w:t>as que viven en</w:t>
      </w:r>
      <w:r w:rsidRPr="00EB07BB">
        <w:t xml:space="preserve"> Irland</w:t>
      </w:r>
      <w:r>
        <w:t>a</w:t>
      </w:r>
      <w:r w:rsidRPr="00EB07BB">
        <w:t xml:space="preserve"> </w:t>
      </w:r>
      <w:r>
        <w:t>a participar en la</w:t>
      </w:r>
      <w:r w:rsidR="005007D6">
        <w:t xml:space="preserve"> </w:t>
      </w:r>
      <w:r w:rsidRPr="00EB07BB">
        <w:t>Asocia</w:t>
      </w:r>
      <w:r>
        <w:t>c</w:t>
      </w:r>
      <w:r w:rsidRPr="00EB07BB">
        <w:t>i</w:t>
      </w:r>
      <w:r>
        <w:t>ó</w:t>
      </w:r>
      <w:r w:rsidRPr="00EB07BB">
        <w:t xml:space="preserve">n. La organización va a elaborar una estrategia de comunicación y </w:t>
      </w:r>
      <w:r>
        <w:t>contribuirá a diseñar módulos de</w:t>
      </w:r>
      <w:r w:rsidRPr="00EB07BB">
        <w:t xml:space="preserve"> integra</w:t>
      </w:r>
      <w:r>
        <w:t>c</w:t>
      </w:r>
      <w:r w:rsidRPr="00EB07BB">
        <w:t>i</w:t>
      </w:r>
      <w:r>
        <w:t>ó</w:t>
      </w:r>
      <w:r w:rsidRPr="00EB07BB">
        <w:t xml:space="preserve">n </w:t>
      </w:r>
      <w:r>
        <w:t>para las</w:t>
      </w:r>
      <w:r w:rsidRPr="00EB07BB">
        <w:t xml:space="preserve"> </w:t>
      </w:r>
      <w:r>
        <w:t>e</w:t>
      </w:r>
      <w:r w:rsidRPr="00EB07BB">
        <w:t>sc</w:t>
      </w:r>
      <w:r>
        <w:t>ue</w:t>
      </w:r>
      <w:r w:rsidRPr="00EB07BB">
        <w:t>l</w:t>
      </w:r>
      <w:r>
        <w:t>a</w:t>
      </w:r>
      <w:r w:rsidRPr="00EB07BB">
        <w:t xml:space="preserve">s. </w:t>
      </w:r>
      <w:r>
        <w:t>Se va a crear una carpeta de bienvenida, que</w:t>
      </w:r>
      <w:r w:rsidRPr="00301986">
        <w:t xml:space="preserve"> incluye un DVD con instrucciones </w:t>
      </w:r>
      <w:r>
        <w:t>básicas sobre los juegos g</w:t>
      </w:r>
      <w:r w:rsidRPr="00301986">
        <w:t>a</w:t>
      </w:r>
      <w:r>
        <w:t>é</w:t>
      </w:r>
      <w:r w:rsidRPr="00301986">
        <w:t>lic</w:t>
      </w:r>
      <w:r>
        <w:t>os</w:t>
      </w:r>
      <w:r w:rsidRPr="00301986">
        <w:t xml:space="preserve"> (</w:t>
      </w:r>
      <w:r>
        <w:t>i</w:t>
      </w:r>
      <w:r w:rsidRPr="00301986">
        <w:t>r</w:t>
      </w:r>
      <w:r>
        <w:t>landeses</w:t>
      </w:r>
      <w:r w:rsidRPr="00301986">
        <w:t>)</w:t>
      </w:r>
      <w:r>
        <w:t>,</w:t>
      </w:r>
      <w:r w:rsidRPr="00301986">
        <w:t xml:space="preserve"> </w:t>
      </w:r>
      <w:r>
        <w:t>en p</w:t>
      </w:r>
      <w:r w:rsidRPr="00301986">
        <w:t>ol</w:t>
      </w:r>
      <w:r>
        <w:t>aco, l</w:t>
      </w:r>
      <w:r w:rsidRPr="00301986">
        <w:t>ituan</w:t>
      </w:r>
      <w:r>
        <w:t>o</w:t>
      </w:r>
      <w:r w:rsidRPr="00301986">
        <w:t xml:space="preserve">, </w:t>
      </w:r>
      <w:r>
        <w:t>letón</w:t>
      </w:r>
      <w:r w:rsidRPr="00301986">
        <w:t xml:space="preserve">, </w:t>
      </w:r>
      <w:r>
        <w:t>c</w:t>
      </w:r>
      <w:r w:rsidRPr="00301986">
        <w:t>hin</w:t>
      </w:r>
      <w:r>
        <w:t>o y</w:t>
      </w:r>
      <w:r w:rsidRPr="00301986">
        <w:t xml:space="preserve"> </w:t>
      </w:r>
      <w:r>
        <w:t>f</w:t>
      </w:r>
      <w:r w:rsidRPr="00301986">
        <w:t>r</w:t>
      </w:r>
      <w:r>
        <w:t>a</w:t>
      </w:r>
      <w:r w:rsidRPr="00301986">
        <w:t>nc</w:t>
      </w:r>
      <w:r>
        <w:t>és</w:t>
      </w:r>
      <w:r w:rsidRPr="00301986">
        <w:t xml:space="preserve">. </w:t>
      </w:r>
    </w:p>
    <w:p w:rsidR="000100D5" w:rsidRPr="00A50D5B" w:rsidRDefault="000100D5" w:rsidP="000100D5">
      <w:pPr>
        <w:pStyle w:val="SingleTxtG"/>
      </w:pPr>
      <w:r w:rsidRPr="00301986">
        <w:t>353.</w:t>
      </w:r>
      <w:r w:rsidRPr="00301986">
        <w:tab/>
        <w:t>La</w:t>
      </w:r>
      <w:r w:rsidR="005007D6">
        <w:t xml:space="preserve"> </w:t>
      </w:r>
      <w:r w:rsidRPr="00301986">
        <w:t>Asociación Gaélica (irlandesa) de Atletismo ha nombrado tambi</w:t>
      </w:r>
      <w:r>
        <w:t>én a un agente de i</w:t>
      </w:r>
      <w:r w:rsidRPr="00301986">
        <w:t>n</w:t>
      </w:r>
      <w:r>
        <w:t>tegrac</w:t>
      </w:r>
      <w:r w:rsidRPr="00301986">
        <w:t>i</w:t>
      </w:r>
      <w:r>
        <w:t>ó</w:t>
      </w:r>
      <w:r w:rsidRPr="00301986">
        <w:t xml:space="preserve">n </w:t>
      </w:r>
      <w:r>
        <w:t>a fin de promover</w:t>
      </w:r>
      <w:r w:rsidRPr="00301986">
        <w:t xml:space="preserve"> </w:t>
      </w:r>
      <w:r>
        <w:t xml:space="preserve">buenas </w:t>
      </w:r>
      <w:r w:rsidRPr="00301986">
        <w:t>pr</w:t>
      </w:r>
      <w:r>
        <w:t>á</w:t>
      </w:r>
      <w:r w:rsidRPr="00301986">
        <w:t>ctic</w:t>
      </w:r>
      <w:r>
        <w:t>as</w:t>
      </w:r>
      <w:r w:rsidRPr="00301986">
        <w:t xml:space="preserve"> </w:t>
      </w:r>
      <w:r>
        <w:t>en la</w:t>
      </w:r>
      <w:r w:rsidRPr="00301986">
        <w:t xml:space="preserve"> organi</w:t>
      </w:r>
      <w:r>
        <w:t>z</w:t>
      </w:r>
      <w:r w:rsidRPr="00301986">
        <w:t>a</w:t>
      </w:r>
      <w:r>
        <w:t>c</w:t>
      </w:r>
      <w:r w:rsidRPr="00301986">
        <w:t>i</w:t>
      </w:r>
      <w:r>
        <w:t>ó</w:t>
      </w:r>
      <w:r w:rsidRPr="00301986">
        <w:t xml:space="preserve">n. </w:t>
      </w:r>
      <w:r w:rsidRPr="00A50D5B">
        <w:t>La iniciativa cuenta con el apoyo de la Asociación Camogie y de la Asociación Gaélica (irlandesa) Femenina de Fútbol, as</w:t>
      </w:r>
      <w:r>
        <w:t>í como de la</w:t>
      </w:r>
      <w:r w:rsidRPr="00A50D5B">
        <w:t xml:space="preserve"> Ofic</w:t>
      </w:r>
      <w:r>
        <w:t>ina del</w:t>
      </w:r>
      <w:r w:rsidRPr="00A50D5B">
        <w:t xml:space="preserve"> Ministr</w:t>
      </w:r>
      <w:r>
        <w:t>o para la</w:t>
      </w:r>
      <w:r w:rsidRPr="00A50D5B">
        <w:t xml:space="preserve"> Integra</w:t>
      </w:r>
      <w:r>
        <w:t>c</w:t>
      </w:r>
      <w:r w:rsidRPr="00A50D5B">
        <w:t>i</w:t>
      </w:r>
      <w:r>
        <w:t>ó</w:t>
      </w:r>
      <w:r w:rsidRPr="00A50D5B">
        <w:t xml:space="preserve">n, </w:t>
      </w:r>
      <w:r>
        <w:t>que se ha comprometido a financiar este año la estrategia con</w:t>
      </w:r>
      <w:r w:rsidRPr="00A50D5B">
        <w:t xml:space="preserve"> 80</w:t>
      </w:r>
      <w:r w:rsidR="00353427">
        <w:t>.</w:t>
      </w:r>
      <w:r w:rsidRPr="00A50D5B">
        <w:t xml:space="preserve">000 </w:t>
      </w:r>
      <w:r>
        <w:t>euros</w:t>
      </w:r>
      <w:r w:rsidRPr="00A50D5B">
        <w:t xml:space="preserve">. </w:t>
      </w:r>
    </w:p>
    <w:p w:rsidR="000100D5" w:rsidRPr="00BE1710" w:rsidRDefault="000100D5" w:rsidP="000100D5">
      <w:pPr>
        <w:pStyle w:val="SingleTxtG"/>
      </w:pPr>
      <w:r w:rsidRPr="00BE1710">
        <w:t>354.</w:t>
      </w:r>
      <w:r w:rsidRPr="00BE1710">
        <w:tab/>
        <w:t>A continuación se reproduce un párrafo de la 1ª parte de la Guía Oficial de la Asociación Gaélica (</w:t>
      </w:r>
      <w:r>
        <w:t>i</w:t>
      </w:r>
      <w:r w:rsidRPr="00BE1710">
        <w:t>r</w:t>
      </w:r>
      <w:r>
        <w:t>landesa</w:t>
      </w:r>
      <w:r w:rsidRPr="00BE1710">
        <w:t xml:space="preserve">) </w:t>
      </w:r>
      <w:r>
        <w:t xml:space="preserve">de </w:t>
      </w:r>
      <w:r w:rsidRPr="00BE1710">
        <w:t>Atleti</w:t>
      </w:r>
      <w:r>
        <w:t>smo, que contiene la</w:t>
      </w:r>
      <w:r w:rsidRPr="00BE1710">
        <w:t xml:space="preserve"> </w:t>
      </w:r>
      <w:r>
        <w:t>c</w:t>
      </w:r>
      <w:r w:rsidRPr="00BE1710">
        <w:t>onstitu</w:t>
      </w:r>
      <w:r>
        <w:t>c</w:t>
      </w:r>
      <w:r w:rsidRPr="00BE1710">
        <w:t>i</w:t>
      </w:r>
      <w:r>
        <w:t>ó</w:t>
      </w:r>
      <w:r w:rsidRPr="00BE1710">
        <w:t xml:space="preserve">n </w:t>
      </w:r>
      <w:r>
        <w:t>y el</w:t>
      </w:r>
      <w:r w:rsidRPr="00BE1710">
        <w:t xml:space="preserve"> </w:t>
      </w:r>
      <w:r>
        <w:t>reglamento de la</w:t>
      </w:r>
      <w:r w:rsidRPr="00BE1710">
        <w:t xml:space="preserve"> Asocia</w:t>
      </w:r>
      <w:r>
        <w:t>c</w:t>
      </w:r>
      <w:r w:rsidRPr="00BE1710">
        <w:t>i</w:t>
      </w:r>
      <w:r>
        <w:t>ó</w:t>
      </w:r>
      <w:r w:rsidRPr="00BE1710">
        <w:t>n:</w:t>
      </w:r>
    </w:p>
    <w:p w:rsidR="000100D5" w:rsidRPr="00BE1710" w:rsidRDefault="000100D5" w:rsidP="000100D5">
      <w:pPr>
        <w:pStyle w:val="SingleTxtG"/>
        <w:rPr>
          <w:b/>
        </w:rPr>
      </w:pPr>
      <w:r w:rsidRPr="00BE1710">
        <w:tab/>
      </w:r>
      <w:r w:rsidRPr="00BE1710">
        <w:rPr>
          <w:b/>
        </w:rPr>
        <w:t xml:space="preserve">1.12 Antisectarismo/Antirracismo </w:t>
      </w:r>
    </w:p>
    <w:p w:rsidR="000100D5" w:rsidRPr="00BE1710" w:rsidRDefault="000100D5" w:rsidP="000100D5">
      <w:pPr>
        <w:pStyle w:val="SingleTxtG"/>
        <w:ind w:left="1701"/>
      </w:pPr>
      <w:r w:rsidRPr="00BE1710">
        <w:t xml:space="preserve">La Asociación es antisectaria y antirracista. Se estimará que </w:t>
      </w:r>
      <w:r>
        <w:t xml:space="preserve">es un descrédito para la Asociación </w:t>
      </w:r>
      <w:r w:rsidRPr="00BE1710">
        <w:t>cualquier comportamiento mediante hechos, palabras o gestos de carácter sectario o racista</w:t>
      </w:r>
      <w:r>
        <w:t>, dirigido</w:t>
      </w:r>
      <w:r w:rsidRPr="00BE1710">
        <w:t xml:space="preserve"> contra un jugador, un agente, un especta</w:t>
      </w:r>
      <w:r>
        <w:t>d</w:t>
      </w:r>
      <w:r w:rsidRPr="00BE1710">
        <w:t>or o</w:t>
      </w:r>
      <w:r>
        <w:t xml:space="preserve"> cualquier otra persona,</w:t>
      </w:r>
      <w:r w:rsidRPr="00BE1710">
        <w:t xml:space="preserve"> </w:t>
      </w:r>
      <w:r>
        <w:t>realizado</w:t>
      </w:r>
      <w:r w:rsidRPr="00BE1710">
        <w:t xml:space="preserve"> </w:t>
      </w:r>
      <w:r>
        <w:t>e</w:t>
      </w:r>
      <w:r w:rsidRPr="00BE1710">
        <w:t xml:space="preserve">n </w:t>
      </w:r>
      <w:r>
        <w:t>el</w:t>
      </w:r>
      <w:r w:rsidRPr="00BE1710">
        <w:t xml:space="preserve"> curs</w:t>
      </w:r>
      <w:r>
        <w:t>o de las</w:t>
      </w:r>
      <w:r w:rsidRPr="00BE1710">
        <w:t xml:space="preserve"> activi</w:t>
      </w:r>
      <w:r>
        <w:t>dades</w:t>
      </w:r>
      <w:r w:rsidRPr="00BE1710">
        <w:t xml:space="preserve"> organi</w:t>
      </w:r>
      <w:r>
        <w:t>zadas por la</w:t>
      </w:r>
      <w:r w:rsidRPr="00BE1710">
        <w:t xml:space="preserve"> Asocia</w:t>
      </w:r>
      <w:r>
        <w:t>c</w:t>
      </w:r>
      <w:r w:rsidRPr="00BE1710">
        <w:t>i</w:t>
      </w:r>
      <w:r>
        <w:t>ó</w:t>
      </w:r>
      <w:r w:rsidRPr="00BE1710">
        <w:t>n.</w:t>
      </w:r>
    </w:p>
    <w:p w:rsidR="000100D5" w:rsidRPr="002B1592" w:rsidRDefault="000100D5" w:rsidP="000100D5">
      <w:pPr>
        <w:pStyle w:val="H23G"/>
      </w:pPr>
      <w:r w:rsidRPr="00BE1710">
        <w:tab/>
      </w:r>
      <w:r w:rsidRPr="002B1592">
        <w:t>24.</w:t>
      </w:r>
      <w:r w:rsidRPr="002B1592">
        <w:tab/>
        <w:t xml:space="preserve">Baloncesto de Irlanda </w:t>
      </w:r>
    </w:p>
    <w:p w:rsidR="000100D5" w:rsidRPr="0095285B" w:rsidRDefault="000100D5" w:rsidP="000100D5">
      <w:pPr>
        <w:pStyle w:val="SingleTxtG"/>
      </w:pPr>
      <w:r w:rsidRPr="0095285B">
        <w:t>355.</w:t>
      </w:r>
      <w:r w:rsidRPr="0095285B">
        <w:tab/>
        <w:t>Ba</w:t>
      </w:r>
      <w:r>
        <w:t>loncesto de</w:t>
      </w:r>
      <w:r w:rsidRPr="0095285B">
        <w:t xml:space="preserve"> Irland</w:t>
      </w:r>
      <w:r>
        <w:t>a</w:t>
      </w:r>
      <w:r w:rsidRPr="0095285B">
        <w:t xml:space="preserve"> es partidario de integrar activamente a las personas de todas las</w:t>
      </w:r>
      <w:r w:rsidR="005007D6">
        <w:t xml:space="preserve"> </w:t>
      </w:r>
      <w:r w:rsidR="005C4174" w:rsidRPr="0095285B">
        <w:t>nacionalidades</w:t>
      </w:r>
      <w:r w:rsidRPr="0095285B">
        <w:t xml:space="preserve"> en el deporte y a través</w:t>
      </w:r>
      <w:r>
        <w:t xml:space="preserve"> </w:t>
      </w:r>
      <w:r w:rsidRPr="0095285B">
        <w:t xml:space="preserve">de él y garantizar que esa política se refleje </w:t>
      </w:r>
      <w:r>
        <w:t>en</w:t>
      </w:r>
      <w:r w:rsidRPr="0095285B">
        <w:t xml:space="preserve"> todos los niveles de la organizaci</w:t>
      </w:r>
      <w:r>
        <w:t>ó</w:t>
      </w:r>
      <w:r w:rsidRPr="0095285B">
        <w:t xml:space="preserve">n. </w:t>
      </w:r>
    </w:p>
    <w:p w:rsidR="000100D5" w:rsidRPr="00CD41BD" w:rsidRDefault="000100D5" w:rsidP="000100D5">
      <w:pPr>
        <w:pStyle w:val="SingleTxtG"/>
      </w:pPr>
      <w:r w:rsidRPr="00CD41BD">
        <w:t>356.</w:t>
      </w:r>
      <w:r w:rsidRPr="00CD41BD">
        <w:tab/>
        <w:t>En las Leyes sobre la igualdad de condición, 2000</w:t>
      </w:r>
      <w:r w:rsidR="00067DCF">
        <w:t>-</w:t>
      </w:r>
      <w:r w:rsidRPr="00CD41BD">
        <w:t xml:space="preserve">2008, figuran todos los bienes y servicios </w:t>
      </w:r>
      <w:r>
        <w:t xml:space="preserve">que están </w:t>
      </w:r>
      <w:r w:rsidRPr="00CD41BD">
        <w:t xml:space="preserve">a disposición del público, en </w:t>
      </w:r>
      <w:r>
        <w:t>general o de una</w:t>
      </w:r>
      <w:r w:rsidRPr="00CD41BD">
        <w:t xml:space="preserve"> parte </w:t>
      </w:r>
      <w:r>
        <w:t>de éste, mediante</w:t>
      </w:r>
      <w:r w:rsidRPr="00CD41BD">
        <w:t xml:space="preserve"> pa</w:t>
      </w:r>
      <w:r>
        <w:t>go</w:t>
      </w:r>
      <w:r w:rsidRPr="00CD41BD">
        <w:t xml:space="preserve"> o </w:t>
      </w:r>
      <w:r>
        <w:t>con carácter gratuito e independientemente de si son proporcionados por el sector público o el</w:t>
      </w:r>
      <w:r w:rsidRPr="00CD41BD">
        <w:t xml:space="preserve"> priva</w:t>
      </w:r>
      <w:r>
        <w:t>do</w:t>
      </w:r>
      <w:r w:rsidRPr="00CD41BD">
        <w:t xml:space="preserve">. </w:t>
      </w:r>
    </w:p>
    <w:p w:rsidR="000100D5" w:rsidRPr="00CD41BD" w:rsidRDefault="000100D5" w:rsidP="000100D5">
      <w:pPr>
        <w:pStyle w:val="H4G"/>
      </w:pPr>
      <w:r w:rsidRPr="00CD41BD">
        <w:tab/>
      </w:r>
      <w:r w:rsidRPr="00CD41BD">
        <w:tab/>
      </w:r>
      <w:r>
        <w:t>Mejora de los servicios de</w:t>
      </w:r>
      <w:r w:rsidRPr="00CD41BD">
        <w:t xml:space="preserve"> traducción e interpretaci</w:t>
      </w:r>
      <w:r>
        <w:t>ón para los proveedores de servicios del</w:t>
      </w:r>
      <w:r w:rsidRPr="00CD41BD">
        <w:t xml:space="preserve"> </w:t>
      </w:r>
      <w:r>
        <w:t>Gobierno</w:t>
      </w:r>
      <w:r w:rsidRPr="00CD41BD">
        <w:t xml:space="preserve"> </w:t>
      </w:r>
    </w:p>
    <w:p w:rsidR="000100D5" w:rsidRPr="00DF3063" w:rsidRDefault="000100D5" w:rsidP="000100D5">
      <w:pPr>
        <w:pStyle w:val="SingleTxtG"/>
      </w:pPr>
      <w:r w:rsidRPr="00DF3063">
        <w:t>357.</w:t>
      </w:r>
      <w:r w:rsidRPr="00DF3063">
        <w:tab/>
      </w:r>
      <w:r>
        <w:t>E</w:t>
      </w:r>
      <w:r w:rsidRPr="00DF3063">
        <w:t>n colaboración con la Oficina del Ministro para la Integración, el Comit</w:t>
      </w:r>
      <w:r>
        <w:t>é Consultivo</w:t>
      </w:r>
      <w:r w:rsidRPr="00DF3063">
        <w:t xml:space="preserve"> Na</w:t>
      </w:r>
      <w:r>
        <w:t>c</w:t>
      </w:r>
      <w:r w:rsidRPr="00DF3063">
        <w:t xml:space="preserve">ional </w:t>
      </w:r>
      <w:r>
        <w:t xml:space="preserve">sobre el </w:t>
      </w:r>
      <w:r w:rsidRPr="00DF3063">
        <w:t>Racism</w:t>
      </w:r>
      <w:r>
        <w:t>o y el</w:t>
      </w:r>
      <w:r w:rsidRPr="00DF3063">
        <w:t xml:space="preserve"> </w:t>
      </w:r>
      <w:r>
        <w:t>Multi</w:t>
      </w:r>
      <w:r w:rsidRPr="00DF3063">
        <w:t>culturalism</w:t>
      </w:r>
      <w:r>
        <w:t>o</w:t>
      </w:r>
      <w:r w:rsidRPr="00DF3063">
        <w:t xml:space="preserve"> </w:t>
      </w:r>
      <w:r>
        <w:t xml:space="preserve">encargó una investigación sobre los servicios de </w:t>
      </w:r>
      <w:r w:rsidRPr="00DF3063">
        <w:t>tra</w:t>
      </w:r>
      <w:r>
        <w:t>ducción e</w:t>
      </w:r>
      <w:r w:rsidRPr="00DF3063">
        <w:t xml:space="preserve"> interpret</w:t>
      </w:r>
      <w:r>
        <w:t>ac</w:t>
      </w:r>
      <w:r w:rsidRPr="00DF3063">
        <w:t>i</w:t>
      </w:r>
      <w:r>
        <w:t>ón</w:t>
      </w:r>
      <w:r w:rsidRPr="00DF3063">
        <w:t xml:space="preserve">. El </w:t>
      </w:r>
      <w:r>
        <w:t>e</w:t>
      </w:r>
      <w:r w:rsidRPr="00DF3063">
        <w:t xml:space="preserve">studio, titulado </w:t>
      </w:r>
      <w:r w:rsidRPr="00DF3063">
        <w:rPr>
          <w:i/>
        </w:rPr>
        <w:t>Developing Quality Cost Effective Interpreting and Translating Services for Government Service Providers</w:t>
      </w:r>
      <w:r w:rsidRPr="00DF3063">
        <w:t xml:space="preserve"> (Cómo conta</w:t>
      </w:r>
      <w:r>
        <w:t>r</w:t>
      </w:r>
      <w:r w:rsidRPr="00DF3063">
        <w:t xml:space="preserve"> con unos servicios rentables y de calidad de interpreta</w:t>
      </w:r>
      <w:r>
        <w:t>ción y traducción para los proveedores de servicios del Gobierno), se puso en marcha</w:t>
      </w:r>
      <w:r w:rsidRPr="00DF3063">
        <w:t xml:space="preserve"> </w:t>
      </w:r>
      <w:r>
        <w:t>e</w:t>
      </w:r>
      <w:r w:rsidRPr="00DF3063">
        <w:t xml:space="preserve">n </w:t>
      </w:r>
      <w:r>
        <w:t>o</w:t>
      </w:r>
      <w:r w:rsidRPr="00DF3063">
        <w:t>ct</w:t>
      </w:r>
      <w:r>
        <w:t>u</w:t>
      </w:r>
      <w:r w:rsidRPr="00DF3063">
        <w:t>br</w:t>
      </w:r>
      <w:r>
        <w:t>e de</w:t>
      </w:r>
      <w:r w:rsidRPr="00DF3063">
        <w:t xml:space="preserve"> 2008</w:t>
      </w:r>
      <w:r>
        <w:rPr>
          <w:rStyle w:val="FootnoteReference"/>
        </w:rPr>
        <w:footnoteReference w:id="92"/>
      </w:r>
      <w:r w:rsidR="001F5C61">
        <w:t>.</w:t>
      </w:r>
    </w:p>
    <w:p w:rsidR="000100D5" w:rsidRPr="00B31574" w:rsidRDefault="000100D5" w:rsidP="000100D5">
      <w:pPr>
        <w:pStyle w:val="SingleTxtG"/>
      </w:pPr>
      <w:r w:rsidRPr="00B31574">
        <w:t>358.</w:t>
      </w:r>
      <w:r w:rsidRPr="00B31574">
        <w:tab/>
        <w:t>El estudio puso de relieve la necesidad de un marco general que permita desarrollar unos servicios de interpretación y traducci</w:t>
      </w:r>
      <w:r>
        <w:t>ón</w:t>
      </w:r>
      <w:r w:rsidRPr="00B31574">
        <w:t xml:space="preserve"> </w:t>
      </w:r>
      <w:r>
        <w:t>e</w:t>
      </w:r>
      <w:r w:rsidRPr="00B31574">
        <w:t>n Irland</w:t>
      </w:r>
      <w:r>
        <w:t>a, rentables y de calidad y destaca las lagunas y puntos débiles del actual</w:t>
      </w:r>
      <w:r w:rsidRPr="00B31574">
        <w:t xml:space="preserve"> s</w:t>
      </w:r>
      <w:r>
        <w:t>i</w:t>
      </w:r>
      <w:r w:rsidRPr="00B31574">
        <w:t>stem</w:t>
      </w:r>
      <w:r>
        <w:t>a</w:t>
      </w:r>
      <w:r w:rsidRPr="00B31574">
        <w:t xml:space="preserve">. </w:t>
      </w:r>
    </w:p>
    <w:p w:rsidR="000100D5" w:rsidRPr="00B31574" w:rsidRDefault="000100D5" w:rsidP="000100D5">
      <w:pPr>
        <w:pStyle w:val="SingleTxtG"/>
      </w:pPr>
      <w:r w:rsidRPr="00B31574">
        <w:t>359.</w:t>
      </w:r>
      <w:r w:rsidRPr="00B31574">
        <w:tab/>
        <w:t>Entre los objetivos globales de las recomendaciones del informe cabe citar:</w:t>
      </w:r>
    </w:p>
    <w:p w:rsidR="000100D5" w:rsidRPr="004E51E3" w:rsidRDefault="000100D5" w:rsidP="004E51E3">
      <w:pPr>
        <w:pStyle w:val="Bullet1G"/>
      </w:pPr>
      <w:r w:rsidRPr="00B31574">
        <w:t xml:space="preserve">Ampliar </w:t>
      </w:r>
      <w:r w:rsidRPr="004E51E3">
        <w:t>el suministro de servicios mediante la implantación de un marco nacional normativo y regulador, con un margen de flexibilidad</w:t>
      </w:r>
      <w:r w:rsidR="00353427" w:rsidRPr="004E51E3">
        <w:t>;</w:t>
      </w:r>
    </w:p>
    <w:p w:rsidR="000100D5" w:rsidRPr="004E51E3" w:rsidRDefault="000100D5" w:rsidP="004E51E3">
      <w:pPr>
        <w:pStyle w:val="Bullet1G"/>
      </w:pPr>
      <w:r w:rsidRPr="004E51E3">
        <w:t>Apoyar a los proveedores de servicios del Gobierno con una pequeña dependencia profesional de carácter asesor, para aconsejar al Gobierno sobre políticas en materia de interpretación y de traducción</w:t>
      </w:r>
      <w:r w:rsidR="00353427" w:rsidRPr="004E51E3">
        <w:t>;</w:t>
      </w:r>
    </w:p>
    <w:p w:rsidR="000100D5" w:rsidRPr="004E51E3" w:rsidRDefault="000100D5" w:rsidP="004E51E3">
      <w:pPr>
        <w:pStyle w:val="Bullet1G"/>
      </w:pPr>
      <w:r w:rsidRPr="004E51E3">
        <w:t>Cerciorarse de que los proveedores de servicios del Gobierno sigan a cargo del programa de prestación de servicios</w:t>
      </w:r>
      <w:r w:rsidR="00353427" w:rsidRPr="004E51E3">
        <w:t>;</w:t>
      </w:r>
    </w:p>
    <w:p w:rsidR="000100D5" w:rsidRPr="004E51E3" w:rsidRDefault="000100D5" w:rsidP="004E51E3">
      <w:pPr>
        <w:pStyle w:val="Bullet1G"/>
      </w:pPr>
      <w:r w:rsidRPr="004E51E3">
        <w:t>Garantizar que el suministro de servicios de capacitación y educación responde a las políticas globales y a las necesidades de prestación de s</w:t>
      </w:r>
      <w:r w:rsidR="00353427" w:rsidRPr="004E51E3">
        <w:t>ervicios;</w:t>
      </w:r>
      <w:r w:rsidR="004E51E3">
        <w:t xml:space="preserve"> </w:t>
      </w:r>
      <w:r w:rsidRPr="004E51E3">
        <w:t xml:space="preserve">y </w:t>
      </w:r>
    </w:p>
    <w:p w:rsidR="000100D5" w:rsidRPr="00B55031" w:rsidRDefault="000100D5" w:rsidP="004E51E3">
      <w:pPr>
        <w:pStyle w:val="Bullet1G"/>
      </w:pPr>
      <w:r w:rsidRPr="004E51E3">
        <w:t>Prever un pequeño</w:t>
      </w:r>
      <w:r w:rsidRPr="00B55031">
        <w:t xml:space="preserve"> núcleo central</w:t>
      </w:r>
      <w:r>
        <w:t>izado</w:t>
      </w:r>
      <w:r w:rsidRPr="00B55031">
        <w:t xml:space="preserve"> de personal </w:t>
      </w:r>
      <w:r>
        <w:t xml:space="preserve">con </w:t>
      </w:r>
      <w:r w:rsidRPr="00B55031">
        <w:t>experi</w:t>
      </w:r>
      <w:r>
        <w:t>encia</w:t>
      </w:r>
      <w:r w:rsidRPr="00B55031">
        <w:t xml:space="preserve"> en elaborar una respuesta nacional adecuada en un sector </w:t>
      </w:r>
      <w:r>
        <w:t>fundamental</w:t>
      </w:r>
      <w:r w:rsidRPr="00B55031">
        <w:t xml:space="preserve"> del programa global de polític</w:t>
      </w:r>
      <w:r>
        <w:t>as,</w:t>
      </w:r>
      <w:r w:rsidRPr="00B55031">
        <w:t xml:space="preserve"> </w:t>
      </w:r>
      <w:r>
        <w:t>e</w:t>
      </w:r>
      <w:r w:rsidRPr="00B55031">
        <w:t>n rela</w:t>
      </w:r>
      <w:r>
        <w:t>c</w:t>
      </w:r>
      <w:r w:rsidRPr="00B55031">
        <w:t>i</w:t>
      </w:r>
      <w:r>
        <w:t>ó</w:t>
      </w:r>
      <w:r w:rsidRPr="00B55031">
        <w:t xml:space="preserve">n </w:t>
      </w:r>
      <w:r>
        <w:t>c</w:t>
      </w:r>
      <w:r w:rsidRPr="00B55031">
        <w:t>o</w:t>
      </w:r>
      <w:r>
        <w:t>n la</w:t>
      </w:r>
      <w:r w:rsidRPr="00B55031">
        <w:t xml:space="preserve"> integra</w:t>
      </w:r>
      <w:r>
        <w:t>c</w:t>
      </w:r>
      <w:r w:rsidRPr="00B55031">
        <w:t>i</w:t>
      </w:r>
      <w:r>
        <w:t>ó</w:t>
      </w:r>
      <w:r w:rsidRPr="00B55031">
        <w:t xml:space="preserve">n </w:t>
      </w:r>
      <w:r>
        <w:t>y el multi</w:t>
      </w:r>
      <w:r w:rsidRPr="00B55031">
        <w:t>culturalism</w:t>
      </w:r>
      <w:r>
        <w:t>o</w:t>
      </w:r>
      <w:r w:rsidR="00353427">
        <w:t>.</w:t>
      </w:r>
    </w:p>
    <w:p w:rsidR="000100D5" w:rsidRPr="00B55031" w:rsidRDefault="000100D5" w:rsidP="000100D5">
      <w:pPr>
        <w:pStyle w:val="SingleTxtG"/>
      </w:pPr>
      <w:r w:rsidRPr="00B55031">
        <w:t>360.</w:t>
      </w:r>
      <w:r w:rsidRPr="00B55031">
        <w:tab/>
        <w:t>La Oficina del Ministro para la Integración está examinando las recomendaciones.</w:t>
      </w:r>
    </w:p>
    <w:p w:rsidR="000100D5" w:rsidRPr="00B55031" w:rsidRDefault="000100D5" w:rsidP="000100D5">
      <w:pPr>
        <w:pStyle w:val="H23G"/>
      </w:pPr>
      <w:r w:rsidRPr="00B55031">
        <w:tab/>
        <w:t>25.</w:t>
      </w:r>
      <w:r w:rsidRPr="00B55031">
        <w:tab/>
        <w:t xml:space="preserve">Iniciativas prácticas </w:t>
      </w:r>
    </w:p>
    <w:p w:rsidR="000100D5" w:rsidRPr="00B55031" w:rsidRDefault="000100D5" w:rsidP="000100D5">
      <w:pPr>
        <w:pStyle w:val="H4G"/>
      </w:pPr>
      <w:r>
        <w:tab/>
      </w:r>
      <w:r w:rsidRPr="00B55031">
        <w:t>a)</w:t>
      </w:r>
      <w:r w:rsidRPr="00B55031">
        <w:tab/>
        <w:t>Semana Intercultural y contra el Racismo</w:t>
      </w:r>
    </w:p>
    <w:p w:rsidR="000100D5" w:rsidRPr="00FC6DE9" w:rsidRDefault="000100D5" w:rsidP="000100D5">
      <w:pPr>
        <w:pStyle w:val="SingleTxtG"/>
      </w:pPr>
      <w:r w:rsidRPr="00B55031">
        <w:t>361.</w:t>
      </w:r>
      <w:r w:rsidRPr="00B55031">
        <w:tab/>
        <w:t>En marzo de 2007 se celebró una Semana Intercultural y contra el Racismo</w:t>
      </w:r>
      <w:r>
        <w:t>,</w:t>
      </w:r>
      <w:r w:rsidRPr="00B55031">
        <w:t xml:space="preserve"> en la que intervinieron las</w:t>
      </w:r>
      <w:r>
        <w:t xml:space="preserve"> principales partes interesadas</w:t>
      </w:r>
      <w:r w:rsidRPr="00B55031">
        <w:t xml:space="preserve"> </w:t>
      </w:r>
      <w:r>
        <w:t xml:space="preserve">de los grupos civiles y gubernamentales. El lema de la semana fue </w:t>
      </w:r>
      <w:r>
        <w:rPr>
          <w:i/>
        </w:rPr>
        <w:t>Cómo mejorar los servicios prestados por el Gobierno a las minorías étnicas</w:t>
      </w:r>
      <w:r>
        <w:t xml:space="preserve">. </w:t>
      </w:r>
      <w:r w:rsidRPr="00FC6DE9">
        <w:t xml:space="preserve">El Comité Consultivo Nacional sobre el Racismo </w:t>
      </w:r>
      <w:r>
        <w:t>y el</w:t>
      </w:r>
      <w:r w:rsidRPr="00FC6DE9">
        <w:t xml:space="preserve"> Multiculturali</w:t>
      </w:r>
      <w:r>
        <w:t>smo</w:t>
      </w:r>
      <w:r w:rsidRPr="00FC6DE9">
        <w:t xml:space="preserve"> edit</w:t>
      </w:r>
      <w:r>
        <w:t>ó unas</w:t>
      </w:r>
      <w:r w:rsidR="005007D6">
        <w:t xml:space="preserve"> </w:t>
      </w:r>
      <w:r w:rsidRPr="00FC6DE9">
        <w:t>publica</w:t>
      </w:r>
      <w:r>
        <w:t>c</w:t>
      </w:r>
      <w:r w:rsidRPr="00FC6DE9">
        <w:t>ion</w:t>
      </w:r>
      <w:r>
        <w:t>e</w:t>
      </w:r>
      <w:r w:rsidRPr="00FC6DE9">
        <w:t xml:space="preserve">s </w:t>
      </w:r>
      <w:r>
        <w:t xml:space="preserve">clave </w:t>
      </w:r>
      <w:r w:rsidRPr="00FC6DE9">
        <w:t>tit</w:t>
      </w:r>
      <w:r>
        <w:t>u</w:t>
      </w:r>
      <w:r w:rsidRPr="00FC6DE9">
        <w:t>l</w:t>
      </w:r>
      <w:r>
        <w:t>a</w:t>
      </w:r>
      <w:r w:rsidRPr="00FC6DE9">
        <w:t>d</w:t>
      </w:r>
      <w:r>
        <w:t>as</w:t>
      </w:r>
      <w:r w:rsidRPr="00FC6DE9">
        <w:t xml:space="preserve"> </w:t>
      </w:r>
      <w:r w:rsidRPr="00FC6DE9">
        <w:rPr>
          <w:i/>
        </w:rPr>
        <w:t xml:space="preserve">Useful Terminology for Service Providers </w:t>
      </w:r>
      <w:r>
        <w:t>(Terminología útil para proveedores de servicios) y</w:t>
      </w:r>
      <w:r w:rsidRPr="00FC6DE9">
        <w:rPr>
          <w:i/>
        </w:rPr>
        <w:t xml:space="preserve"> Key Considerations for Service Providers</w:t>
      </w:r>
      <w:r w:rsidRPr="00267175">
        <w:rPr>
          <w:rStyle w:val="FootnoteReference"/>
        </w:rPr>
        <w:footnoteReference w:id="93"/>
      </w:r>
      <w:r>
        <w:rPr>
          <w:i/>
        </w:rPr>
        <w:t xml:space="preserve"> </w:t>
      </w:r>
      <w:r>
        <w:t>(Consideraciones esenciales para los proveedores de servicios).</w:t>
      </w:r>
    </w:p>
    <w:p w:rsidR="000100D5" w:rsidRPr="00103D68" w:rsidRDefault="000100D5" w:rsidP="000100D5">
      <w:pPr>
        <w:pStyle w:val="SingleTxtG"/>
      </w:pPr>
      <w:r w:rsidRPr="00103D68">
        <w:t>362.</w:t>
      </w:r>
      <w:r w:rsidRPr="00103D68">
        <w:tab/>
        <w:t>La Semana Intercultural y contra el Racismo tuvo lugar del 7 al 14 de abril de 2008</w:t>
      </w:r>
      <w:r>
        <w:t>. Se celebraron más de 100 actos en todo el país. En 2008 el tema</w:t>
      </w:r>
      <w:r w:rsidRPr="00103D68">
        <w:t xml:space="preserve"> giró en torno a la </w:t>
      </w:r>
      <w:r>
        <w:t>e</w:t>
      </w:r>
      <w:r w:rsidRPr="00103D68">
        <w:t>ducación</w:t>
      </w:r>
      <w:r>
        <w:t xml:space="preserve"> y se envió a todas las escuelas de Irlanda una carpeta educativa y carteles que fomentaban el diálogo intercultural en el aula.</w:t>
      </w:r>
      <w:r w:rsidR="005007D6">
        <w:t xml:space="preserve"> </w:t>
      </w:r>
    </w:p>
    <w:p w:rsidR="000100D5" w:rsidRPr="007F670A" w:rsidRDefault="000100D5" w:rsidP="000100D5">
      <w:pPr>
        <w:pStyle w:val="H4G"/>
      </w:pPr>
      <w:r w:rsidRPr="00103D68">
        <w:tab/>
      </w:r>
      <w:r w:rsidRPr="007F670A">
        <w:t>b)</w:t>
      </w:r>
      <w:r w:rsidRPr="007F670A">
        <w:tab/>
        <w:t>Estrategia de acción para apoyar los lugares de trabajo integra</w:t>
      </w:r>
      <w:r>
        <w:t>dos</w:t>
      </w:r>
      <w:r w:rsidRPr="007F670A">
        <w:t xml:space="preserve"> </w:t>
      </w:r>
    </w:p>
    <w:p w:rsidR="000100D5" w:rsidRPr="007F670A" w:rsidRDefault="000100D5" w:rsidP="000100D5">
      <w:pPr>
        <w:pStyle w:val="SingleTxtG"/>
      </w:pPr>
      <w:r w:rsidRPr="007F670A">
        <w:t>363.</w:t>
      </w:r>
      <w:r w:rsidRPr="007F670A">
        <w:tab/>
        <w:t>La Estrategia de acción para apoyar los lugares</w:t>
      </w:r>
      <w:r>
        <w:t xml:space="preserve"> </w:t>
      </w:r>
      <w:r w:rsidRPr="007F670A">
        <w:t>de trabajo integrados es una iniciativa de los colaboradores sociales, organizada por representa</w:t>
      </w:r>
      <w:r>
        <w:t>n</w:t>
      </w:r>
      <w:r w:rsidRPr="007F670A">
        <w:t>t</w:t>
      </w:r>
      <w:r>
        <w:t>es</w:t>
      </w:r>
      <w:r w:rsidRPr="007F670A">
        <w:t xml:space="preserve"> </w:t>
      </w:r>
      <w:r>
        <w:t>del</w:t>
      </w:r>
      <w:r w:rsidRPr="007F670A">
        <w:t xml:space="preserve"> Congres</w:t>
      </w:r>
      <w:r>
        <w:t>o</w:t>
      </w:r>
      <w:r w:rsidRPr="007F670A">
        <w:t>, IBEC</w:t>
      </w:r>
      <w:r>
        <w:t xml:space="preserve"> (Irish Business and Employers Confederation) (Confederación Irlandesa de Comerciantes y Empleadores)</w:t>
      </w:r>
      <w:r w:rsidRPr="007F670A">
        <w:t xml:space="preserve">, </w:t>
      </w:r>
      <w:r>
        <w:t>Small Firms Association (Asociación de pequeñas empresas),</w:t>
      </w:r>
      <w:r w:rsidR="005007D6">
        <w:t xml:space="preserve"> </w:t>
      </w:r>
      <w:r>
        <w:t>Construction Industry Federation (Federación de industrias de la construcción),</w:t>
      </w:r>
      <w:r w:rsidRPr="007F670A">
        <w:t xml:space="preserve"> </w:t>
      </w:r>
      <w:r>
        <w:t xml:space="preserve">las </w:t>
      </w:r>
      <w:r w:rsidRPr="007F670A">
        <w:t>C</w:t>
      </w:r>
      <w:r>
        <w:t>á</w:t>
      </w:r>
      <w:r w:rsidRPr="007F670A">
        <w:t>m</w:t>
      </w:r>
      <w:r>
        <w:t>aras de</w:t>
      </w:r>
      <w:r w:rsidRPr="007F670A">
        <w:t xml:space="preserve"> Irland</w:t>
      </w:r>
      <w:r>
        <w:t>a</w:t>
      </w:r>
      <w:r w:rsidRPr="007F670A">
        <w:t xml:space="preserve">, </w:t>
      </w:r>
      <w:r>
        <w:t>la</w:t>
      </w:r>
      <w:r w:rsidRPr="007F670A">
        <w:t xml:space="preserve"> Ofic</w:t>
      </w:r>
      <w:r>
        <w:t>ina del</w:t>
      </w:r>
      <w:r w:rsidRPr="007F670A">
        <w:t xml:space="preserve"> Ministr</w:t>
      </w:r>
      <w:r>
        <w:t>o para la</w:t>
      </w:r>
      <w:r w:rsidRPr="007F670A">
        <w:t xml:space="preserve"> Integra</w:t>
      </w:r>
      <w:r>
        <w:t>c</w:t>
      </w:r>
      <w:r w:rsidRPr="007F670A">
        <w:t>i</w:t>
      </w:r>
      <w:r>
        <w:t>ón y la</w:t>
      </w:r>
      <w:r w:rsidRPr="007F670A">
        <w:t xml:space="preserve"> </w:t>
      </w:r>
      <w:r>
        <w:t>Dirección de la Igualdad</w:t>
      </w:r>
      <w:r w:rsidRPr="007F670A">
        <w:t>. La financiación de esa estrategia, que se puso en marcha en noviembre de 2008</w:t>
      </w:r>
      <w:r>
        <w:t>,</w:t>
      </w:r>
      <w:r w:rsidRPr="007F670A">
        <w:t xml:space="preserve"> ha </w:t>
      </w:r>
      <w:r>
        <w:t>corrido a cargo de la</w:t>
      </w:r>
      <w:r w:rsidRPr="007F670A">
        <w:t xml:space="preserve"> Ofic</w:t>
      </w:r>
      <w:r>
        <w:t>ina</w:t>
      </w:r>
      <w:r w:rsidRPr="007F670A">
        <w:t xml:space="preserve"> </w:t>
      </w:r>
      <w:r>
        <w:t>del</w:t>
      </w:r>
      <w:r w:rsidRPr="007F670A">
        <w:t xml:space="preserve"> Ministr</w:t>
      </w:r>
      <w:r>
        <w:t>o</w:t>
      </w:r>
      <w:r w:rsidRPr="007F670A">
        <w:t xml:space="preserve"> </w:t>
      </w:r>
      <w:r>
        <w:t>para la</w:t>
      </w:r>
      <w:r w:rsidRPr="007F670A">
        <w:t xml:space="preserve"> Integra</w:t>
      </w:r>
      <w:r>
        <w:t>c</w:t>
      </w:r>
      <w:r w:rsidRPr="007F670A">
        <w:t>i</w:t>
      </w:r>
      <w:r>
        <w:t>ón y de la Dirección de la</w:t>
      </w:r>
      <w:r w:rsidRPr="007F670A">
        <w:t xml:space="preserve"> </w:t>
      </w:r>
      <w:r>
        <w:t>Igualdad</w:t>
      </w:r>
      <w:r w:rsidRPr="007F670A">
        <w:t xml:space="preserve">. </w:t>
      </w:r>
    </w:p>
    <w:p w:rsidR="000100D5" w:rsidRPr="004B23FD" w:rsidRDefault="000100D5" w:rsidP="000100D5">
      <w:pPr>
        <w:pStyle w:val="SingleTxtG"/>
      </w:pPr>
      <w:r w:rsidRPr="004B23FD">
        <w:t>364.</w:t>
      </w:r>
      <w:r w:rsidRPr="004B23FD">
        <w:tab/>
        <w:t>Esa estrategia de acción comprende una serie de iniciativas para ayudar a</w:t>
      </w:r>
      <w:r>
        <w:t xml:space="preserve"> </w:t>
      </w:r>
      <w:r w:rsidRPr="004B23FD">
        <w:t>los empleadores y sindicatos a responder efectiv</w:t>
      </w:r>
      <w:r>
        <w:t>amente</w:t>
      </w:r>
      <w:r w:rsidRPr="004B23FD">
        <w:t xml:space="preserve"> </w:t>
      </w:r>
      <w:r>
        <w:t>al</w:t>
      </w:r>
      <w:r w:rsidRPr="004B23FD">
        <w:t xml:space="preserve"> poten</w:t>
      </w:r>
      <w:r>
        <w:t>c</w:t>
      </w:r>
      <w:r w:rsidRPr="004B23FD">
        <w:t xml:space="preserve">ial </w:t>
      </w:r>
      <w:r>
        <w:t>y a los retos de unos efectivos laborales culturalmente diferenciados y a crear lugares de trabajo</w:t>
      </w:r>
      <w:r w:rsidRPr="004B23FD">
        <w:t xml:space="preserve"> integra</w:t>
      </w:r>
      <w:r>
        <w:t>dos. Cabe citar entre ellas</w:t>
      </w:r>
      <w:r w:rsidRPr="004B23FD">
        <w:t>:</w:t>
      </w:r>
    </w:p>
    <w:p w:rsidR="000100D5" w:rsidRPr="004E51E3" w:rsidRDefault="000100D5" w:rsidP="004E51E3">
      <w:pPr>
        <w:pStyle w:val="Bullet1G"/>
      </w:pPr>
      <w:r w:rsidRPr="004B23FD">
        <w:t xml:space="preserve">Respaldar </w:t>
      </w:r>
      <w:r w:rsidRPr="004E51E3">
        <w:t>a todos los empleados para que puedan trabajar efectivamente y sin discriminaciones ni acosos en el seno de unos efectivos laborales culturalmente diversos</w:t>
      </w:r>
      <w:r w:rsidR="00353427" w:rsidRPr="004E51E3">
        <w:t>;</w:t>
      </w:r>
    </w:p>
    <w:p w:rsidR="000100D5" w:rsidRPr="004E51E3" w:rsidRDefault="000100D5" w:rsidP="004E51E3">
      <w:pPr>
        <w:pStyle w:val="Bullet1G"/>
      </w:pPr>
      <w:r w:rsidRPr="004E51E3">
        <w:t>Apoyar a todos los trabajadores migrantes y a los pertenecientes a minorías étnicas con miras a su adaptación al lugar de trabajo</w:t>
      </w:r>
      <w:r w:rsidR="00353427" w:rsidRPr="004E51E3">
        <w:t>;</w:t>
      </w:r>
    </w:p>
    <w:p w:rsidR="000100D5" w:rsidRPr="004E51E3" w:rsidRDefault="000100D5" w:rsidP="004E51E3">
      <w:pPr>
        <w:pStyle w:val="Bullet1G"/>
      </w:pPr>
      <w:r w:rsidRPr="004E51E3">
        <w:t>Examinar y seguir elaborando todas las políticas, procedimientos y prácticas en el lugar de trabajo que permitan asegurar que se tendrá debidamente en cuenta la diversidad cultural y lingüística y que se aplicará ese criterio en el lugar de trabajo</w:t>
      </w:r>
      <w:r w:rsidR="00353427" w:rsidRPr="004E51E3">
        <w:t>;</w:t>
      </w:r>
    </w:p>
    <w:p w:rsidR="000100D5" w:rsidRPr="004E51E3" w:rsidRDefault="000100D5" w:rsidP="004E51E3">
      <w:pPr>
        <w:pStyle w:val="Bullet1G"/>
      </w:pPr>
      <w:r w:rsidRPr="004E51E3">
        <w:t>Identificar y promover modelos de buenas prácticas en materia de integración en el lugar de trabajo</w:t>
      </w:r>
      <w:r w:rsidR="00353427" w:rsidRPr="004E51E3">
        <w:t>;</w:t>
      </w:r>
    </w:p>
    <w:p w:rsidR="000100D5" w:rsidRPr="00BA72BB" w:rsidRDefault="000100D5" w:rsidP="004E51E3">
      <w:pPr>
        <w:pStyle w:val="Bullet1G"/>
      </w:pPr>
      <w:r w:rsidRPr="004E51E3">
        <w:t>Elaborar material</w:t>
      </w:r>
      <w:r w:rsidRPr="00BA72BB">
        <w:t xml:space="preserve"> práctico </w:t>
      </w:r>
      <w:r>
        <w:t xml:space="preserve">de formación </w:t>
      </w:r>
      <w:r w:rsidRPr="00BA72BB">
        <w:t xml:space="preserve">y de apoyo </w:t>
      </w:r>
      <w:r>
        <w:t>par</w:t>
      </w:r>
      <w:r w:rsidRPr="00BA72BB">
        <w:t>a los empleado</w:t>
      </w:r>
      <w:r>
        <w:t>re</w:t>
      </w:r>
      <w:r w:rsidRPr="00BA72BB">
        <w:t>s</w:t>
      </w:r>
      <w:r w:rsidR="00353427">
        <w:t>.</w:t>
      </w:r>
    </w:p>
    <w:p w:rsidR="000100D5" w:rsidRPr="007E43A4" w:rsidRDefault="000100D5" w:rsidP="000100D5">
      <w:pPr>
        <w:pStyle w:val="SingleTxtG"/>
      </w:pPr>
      <w:r w:rsidRPr="007E43A4">
        <w:t>365.</w:t>
      </w:r>
      <w:r w:rsidRPr="007E43A4">
        <w:tab/>
        <w:t xml:space="preserve">A continuación se describen algunas iniciativas que se están adoptando. </w:t>
      </w:r>
    </w:p>
    <w:p w:rsidR="000100D5" w:rsidRPr="00F970A6" w:rsidRDefault="000100D5" w:rsidP="000100D5">
      <w:pPr>
        <w:pStyle w:val="SingleTxtG"/>
      </w:pPr>
      <w:r w:rsidRPr="007E43A4">
        <w:t>366.</w:t>
      </w:r>
      <w:r w:rsidRPr="007E43A4">
        <w:tab/>
        <w:t xml:space="preserve">El proyecto de lugares de trabajo integrados ha ofrecido al </w:t>
      </w:r>
      <w:r>
        <w:t>Irish Congress of Trade Unions (</w:t>
      </w:r>
      <w:r w:rsidRPr="007E43A4">
        <w:t>Congreso Irlandés de Sindicatos</w:t>
      </w:r>
      <w:r>
        <w:t>)</w:t>
      </w:r>
      <w:r w:rsidRPr="007E43A4">
        <w:t xml:space="preserve"> la oportuni</w:t>
      </w:r>
      <w:r>
        <w:t>dad de gestionar y respaldar a sus sindicatos</w:t>
      </w:r>
      <w:r w:rsidRPr="007E43A4">
        <w:t xml:space="preserve"> afiliad</w:t>
      </w:r>
      <w:r>
        <w:t>os</w:t>
      </w:r>
      <w:r w:rsidRPr="007E43A4">
        <w:t xml:space="preserve"> </w:t>
      </w:r>
      <w:r>
        <w:t>para que establezcan estrategias destinadas a lugares de trabajo</w:t>
      </w:r>
      <w:r w:rsidRPr="007E43A4">
        <w:t xml:space="preserve"> integrad</w:t>
      </w:r>
      <w:r>
        <w:t>os.</w:t>
      </w:r>
      <w:r w:rsidRPr="007E43A4">
        <w:t xml:space="preserve"> Entre las actividades emprendidas como parte de la </w:t>
      </w:r>
      <w:r>
        <w:t>e</w:t>
      </w:r>
      <w:r w:rsidRPr="007E43A4">
        <w:t>strategia</w:t>
      </w:r>
      <w:r>
        <w:t>,</w:t>
      </w:r>
      <w:r w:rsidRPr="007E43A4">
        <w:t xml:space="preserve"> cabe citar la formación y </w:t>
      </w:r>
      <w:r>
        <w:t xml:space="preserve">la organización de </w:t>
      </w:r>
      <w:r w:rsidRPr="007E43A4">
        <w:t xml:space="preserve">seminarios centrados en </w:t>
      </w:r>
      <w:r>
        <w:t>promover activamente la integración de los</w:t>
      </w:r>
      <w:r w:rsidRPr="007E43A4">
        <w:t xml:space="preserve"> lugares de trabajo en el seno del mov</w:t>
      </w:r>
      <w:r>
        <w:t>i</w:t>
      </w:r>
      <w:r w:rsidRPr="007E43A4">
        <w:t>m</w:t>
      </w:r>
      <w:r>
        <w:t>i</w:t>
      </w:r>
      <w:r w:rsidRPr="007E43A4">
        <w:t>ent</w:t>
      </w:r>
      <w:r>
        <w:t>o sindical y también entre los</w:t>
      </w:r>
      <w:r w:rsidRPr="007E43A4">
        <w:t xml:space="preserve"> empl</w:t>
      </w:r>
      <w:r>
        <w:t>ead</w:t>
      </w:r>
      <w:r w:rsidRPr="007E43A4">
        <w:t>o</w:t>
      </w:r>
      <w:r>
        <w:t>r</w:t>
      </w:r>
      <w:r w:rsidRPr="007E43A4">
        <w:t xml:space="preserve">es. </w:t>
      </w:r>
      <w:r w:rsidRPr="00F970A6">
        <w:t xml:space="preserve">Como parte del proyecto, se facilitaron fondos </w:t>
      </w:r>
      <w:r>
        <w:t xml:space="preserve">de emulación </w:t>
      </w:r>
      <w:r w:rsidRPr="00F970A6">
        <w:t>a los participant</w:t>
      </w:r>
      <w:r>
        <w:t>e</w:t>
      </w:r>
      <w:r w:rsidRPr="00F970A6">
        <w:t xml:space="preserve">s. El objetivo de esos fondos </w:t>
      </w:r>
      <w:r>
        <w:t>de emulación</w:t>
      </w:r>
      <w:r w:rsidRPr="00F970A6">
        <w:t xml:space="preserve"> consistía en permitir a los sindicatos aplicar una iniciativa práctica </w:t>
      </w:r>
      <w:r>
        <w:t>destinada a</w:t>
      </w:r>
      <w:r w:rsidRPr="00F970A6">
        <w:t xml:space="preserve"> potenciar la concienciación y la competencia en el </w:t>
      </w:r>
      <w:r>
        <w:t>ámbito de la</w:t>
      </w:r>
      <w:r w:rsidRPr="00F970A6">
        <w:t xml:space="preserve"> diversi</w:t>
      </w:r>
      <w:r>
        <w:t>dad y la ig</w:t>
      </w:r>
      <w:r w:rsidRPr="00F970A6">
        <w:t>ual</w:t>
      </w:r>
      <w:r>
        <w:t>dad,</w:t>
      </w:r>
      <w:r w:rsidRPr="00F970A6">
        <w:t xml:space="preserve"> </w:t>
      </w:r>
      <w:r>
        <w:t>por lo que han brindado a los distintos sindicatos la</w:t>
      </w:r>
      <w:r w:rsidRPr="00F970A6">
        <w:t xml:space="preserve"> o</w:t>
      </w:r>
      <w:r>
        <w:t>casión de adoptar en el seno de su organización una</w:t>
      </w:r>
      <w:r w:rsidRPr="00F970A6">
        <w:t xml:space="preserve"> </w:t>
      </w:r>
      <w:r>
        <w:t>e</w:t>
      </w:r>
      <w:r w:rsidRPr="00F970A6">
        <w:t>strateg</w:t>
      </w:r>
      <w:r>
        <w:t>ia específica para el lugar de trabajo</w:t>
      </w:r>
      <w:r w:rsidRPr="00F970A6">
        <w:t xml:space="preserve"> </w:t>
      </w:r>
      <w:r>
        <w:t>y también para los lugares de trabajo en los que intervienen</w:t>
      </w:r>
      <w:r w:rsidRPr="00F970A6">
        <w:t xml:space="preserve">. </w:t>
      </w:r>
    </w:p>
    <w:p w:rsidR="000100D5" w:rsidRPr="000B4EE6" w:rsidRDefault="000100D5" w:rsidP="000100D5">
      <w:pPr>
        <w:pStyle w:val="SingleTxtG"/>
      </w:pPr>
      <w:r w:rsidRPr="00F970A6">
        <w:t>367.</w:t>
      </w:r>
      <w:r w:rsidRPr="00F970A6">
        <w:tab/>
        <w:t xml:space="preserve">La </w:t>
      </w:r>
      <w:r>
        <w:t>Irish Business and Employers Confederation (</w:t>
      </w:r>
      <w:r w:rsidRPr="00F970A6">
        <w:t>Confederación Irlandesa de Comerciantes y Empleadores</w:t>
      </w:r>
      <w:r>
        <w:t>)</w:t>
      </w:r>
      <w:r w:rsidRPr="00F970A6">
        <w:t xml:space="preserve"> design</w:t>
      </w:r>
      <w:r>
        <w:t>ó</w:t>
      </w:r>
      <w:r w:rsidRPr="00F970A6">
        <w:t xml:space="preserve"> a un agente para proyectos de diversidad dentro del marco de su </w:t>
      </w:r>
      <w:r>
        <w:t>e</w:t>
      </w:r>
      <w:r w:rsidRPr="00F970A6">
        <w:t>strategia de acci</w:t>
      </w:r>
      <w:r>
        <w:t>ón</w:t>
      </w:r>
      <w:r w:rsidRPr="00F970A6">
        <w:t xml:space="preserve">. </w:t>
      </w:r>
      <w:r w:rsidRPr="00FD3108">
        <w:t>Ese agente se encargará de la administración, organización, desarrollo y ejecuci</w:t>
      </w:r>
      <w:r>
        <w:t>ón de una serie de</w:t>
      </w:r>
      <w:r w:rsidR="005007D6">
        <w:t xml:space="preserve"> </w:t>
      </w:r>
      <w:r w:rsidRPr="00FD3108">
        <w:t>pro</w:t>
      </w:r>
      <w:r>
        <w:t>y</w:t>
      </w:r>
      <w:r w:rsidRPr="00FD3108">
        <w:t>ect</w:t>
      </w:r>
      <w:r>
        <w:t>o</w:t>
      </w:r>
      <w:r w:rsidRPr="00FD3108">
        <w:t xml:space="preserve">s </w:t>
      </w:r>
      <w:r>
        <w:t>e</w:t>
      </w:r>
      <w:r w:rsidRPr="00FD3108">
        <w:t xml:space="preserve"> ini</w:t>
      </w:r>
      <w:r>
        <w:t>c</w:t>
      </w:r>
      <w:r w:rsidRPr="00FD3108">
        <w:t>iativ</w:t>
      </w:r>
      <w:r>
        <w:t>a</w:t>
      </w:r>
      <w:r w:rsidRPr="00FD3108">
        <w:t>s</w:t>
      </w:r>
      <w:r>
        <w:t xml:space="preserve"> en materia de diversidad</w:t>
      </w:r>
      <w:r w:rsidRPr="00FD3108">
        <w:t>. En noviembre de 2008 se creó un servicio</w:t>
      </w:r>
      <w:r>
        <w:t xml:space="preserve"> de asistencia a los usuarios</w:t>
      </w:r>
      <w:r w:rsidRPr="00FD3108">
        <w:t xml:space="preserve"> </w:t>
      </w:r>
      <w:r>
        <w:t>para atender las consultas o</w:t>
      </w:r>
      <w:r w:rsidRPr="00FD3108">
        <w:t xml:space="preserve"> abordar cualquier problema planteado por los empl</w:t>
      </w:r>
      <w:r>
        <w:t>eadores</w:t>
      </w:r>
      <w:r w:rsidRPr="00FD3108">
        <w:t xml:space="preserve"> </w:t>
      </w:r>
      <w:r>
        <w:t>e</w:t>
      </w:r>
      <w:r w:rsidRPr="00FD3108">
        <w:t>n</w:t>
      </w:r>
      <w:r>
        <w:t xml:space="preserve"> el ámbito de la</w:t>
      </w:r>
      <w:r w:rsidRPr="00FD3108">
        <w:t xml:space="preserve"> diversi</w:t>
      </w:r>
      <w:r>
        <w:t>dad</w:t>
      </w:r>
      <w:r w:rsidRPr="00FD3108">
        <w:t xml:space="preserve">. </w:t>
      </w:r>
      <w:r w:rsidRPr="00076627">
        <w:t xml:space="preserve">Se han emprendido también varias iniciativas a fin de </w:t>
      </w:r>
      <w:r>
        <w:t>dar a conocer</w:t>
      </w:r>
      <w:r w:rsidRPr="00076627">
        <w:t xml:space="preserve"> y fomentar la diversi</w:t>
      </w:r>
      <w:r>
        <w:t>dad,</w:t>
      </w:r>
      <w:r w:rsidRPr="00076627">
        <w:t xml:space="preserve"> inclu</w:t>
      </w:r>
      <w:r>
        <w:t>i</w:t>
      </w:r>
      <w:r w:rsidRPr="00076627">
        <w:t>d</w:t>
      </w:r>
      <w:r>
        <w:t>o un</w:t>
      </w:r>
      <w:r w:rsidRPr="00076627">
        <w:t xml:space="preserve"> </w:t>
      </w:r>
      <w:r w:rsidR="00E03EF2">
        <w:t>"</w:t>
      </w:r>
      <w:r>
        <w:t>Boletín de la d</w:t>
      </w:r>
      <w:r w:rsidRPr="00076627">
        <w:t>iversi</w:t>
      </w:r>
      <w:r>
        <w:t>dad</w:t>
      </w:r>
      <w:r w:rsidR="00E03EF2">
        <w:t>"</w:t>
      </w:r>
      <w:r w:rsidRPr="00076627">
        <w:t xml:space="preserve"> </w:t>
      </w:r>
      <w:r>
        <w:t xml:space="preserve">distribuido entre los </w:t>
      </w:r>
      <w:r w:rsidRPr="00076627">
        <w:t>empl</w:t>
      </w:r>
      <w:r>
        <w:t>ead</w:t>
      </w:r>
      <w:r w:rsidRPr="00076627">
        <w:t>or</w:t>
      </w:r>
      <w:r>
        <w:t>e</w:t>
      </w:r>
      <w:r w:rsidRPr="00076627">
        <w:t xml:space="preserve">s. </w:t>
      </w:r>
      <w:r>
        <w:t>En Irlanda s</w:t>
      </w:r>
      <w:r w:rsidRPr="00076627">
        <w:t xml:space="preserve">e han celebrado </w:t>
      </w:r>
      <w:r>
        <w:t xml:space="preserve">en 2009 </w:t>
      </w:r>
      <w:r w:rsidRPr="00076627">
        <w:t xml:space="preserve">cuatro actos de creación de redes, a los que asistieron 130 organizaciones, </w:t>
      </w:r>
      <w:r>
        <w:t>tanto grandes como pequeñas</w:t>
      </w:r>
      <w:r w:rsidRPr="00076627">
        <w:t xml:space="preserve">, </w:t>
      </w:r>
      <w:r>
        <w:t xml:space="preserve">de los sectores </w:t>
      </w:r>
      <w:r w:rsidRPr="00076627">
        <w:t>p</w:t>
      </w:r>
      <w:r>
        <w:t>ú</w:t>
      </w:r>
      <w:r w:rsidRPr="00076627">
        <w:t>blic</w:t>
      </w:r>
      <w:r>
        <w:t>o y</w:t>
      </w:r>
      <w:r w:rsidRPr="00076627">
        <w:t xml:space="preserve"> priva</w:t>
      </w:r>
      <w:r>
        <w:t>do</w:t>
      </w:r>
      <w:r w:rsidRPr="00076627">
        <w:t>. En 2008, se llevó a cabo una encuesta sobre gestión de los recursos humanos, que proporcion</w:t>
      </w:r>
      <w:r>
        <w:t>ó</w:t>
      </w:r>
      <w:r w:rsidRPr="00076627">
        <w:t xml:space="preserve"> </w:t>
      </w:r>
      <w:r>
        <w:t>un punto de referencia nac</w:t>
      </w:r>
      <w:r w:rsidRPr="00076627">
        <w:t xml:space="preserve">ional </w:t>
      </w:r>
      <w:r>
        <w:t>en lo tocante a una amplia gama de prácticas en esta materia y luego se amplió</w:t>
      </w:r>
      <w:r w:rsidRPr="00076627">
        <w:t xml:space="preserve"> </w:t>
      </w:r>
      <w:r>
        <w:t>para englobar varios aspectos de la</w:t>
      </w:r>
      <w:r w:rsidRPr="00076627">
        <w:t xml:space="preserve"> diversi</w:t>
      </w:r>
      <w:r>
        <w:t>dad</w:t>
      </w:r>
      <w:r w:rsidRPr="00076627">
        <w:t xml:space="preserve">. </w:t>
      </w:r>
      <w:r w:rsidRPr="000B4EE6">
        <w:t>Una de las conclusiones que se desprendió de la encuesta es que</w:t>
      </w:r>
      <w:r>
        <w:t>,</w:t>
      </w:r>
      <w:r w:rsidRPr="000B4EE6">
        <w:t xml:space="preserve"> entre los principales desaf</w:t>
      </w:r>
      <w:r>
        <w:t>íos que conlleva el</w:t>
      </w:r>
      <w:r w:rsidRPr="000B4EE6">
        <w:t xml:space="preserve"> empl</w:t>
      </w:r>
      <w:r>
        <w:t>e</w:t>
      </w:r>
      <w:r w:rsidRPr="000B4EE6">
        <w:t xml:space="preserve">o </w:t>
      </w:r>
      <w:r>
        <w:t xml:space="preserve">de </w:t>
      </w:r>
      <w:r w:rsidRPr="000B4EE6">
        <w:t>na</w:t>
      </w:r>
      <w:r>
        <w:t>c</w:t>
      </w:r>
      <w:r w:rsidRPr="000B4EE6">
        <w:t>ional</w:t>
      </w:r>
      <w:r>
        <w:t>e</w:t>
      </w:r>
      <w:r w:rsidRPr="000B4EE6">
        <w:t>s</w:t>
      </w:r>
      <w:r>
        <w:t xml:space="preserve"> no irlandeses, figuran las dificultades</w:t>
      </w:r>
      <w:r w:rsidRPr="000B4EE6">
        <w:t xml:space="preserve"> l</w:t>
      </w:r>
      <w:r>
        <w:t>ingüísticas</w:t>
      </w:r>
      <w:r w:rsidRPr="000B4EE6">
        <w:t xml:space="preserve"> (60%) </w:t>
      </w:r>
      <w:r>
        <w:t>y la integración</w:t>
      </w:r>
      <w:r w:rsidRPr="000B4EE6">
        <w:t xml:space="preserve"> cultural (54%). </w:t>
      </w:r>
      <w:r>
        <w:t>Se ha elaborado un marco para adoptar un proceso de tutoría entre las</w:t>
      </w:r>
      <w:r w:rsidRPr="000B4EE6">
        <w:t xml:space="preserve"> organiza</w:t>
      </w:r>
      <w:r>
        <w:t>c</w:t>
      </w:r>
      <w:r w:rsidRPr="000B4EE6">
        <w:t>ion</w:t>
      </w:r>
      <w:r>
        <w:t>e</w:t>
      </w:r>
      <w:r w:rsidRPr="000B4EE6">
        <w:t xml:space="preserve">s, </w:t>
      </w:r>
      <w:r>
        <w:t>preparar directrices a esos efectos y un sistema de capacitación para los tutores</w:t>
      </w:r>
      <w:r w:rsidRPr="000B4EE6">
        <w:t xml:space="preserve">. </w:t>
      </w:r>
    </w:p>
    <w:p w:rsidR="000100D5" w:rsidRPr="00841668" w:rsidRDefault="000100D5" w:rsidP="000100D5">
      <w:pPr>
        <w:pStyle w:val="SingleTxtG"/>
      </w:pPr>
      <w:r w:rsidRPr="00175BDF">
        <w:t>368.</w:t>
      </w:r>
      <w:r w:rsidRPr="00175BDF">
        <w:tab/>
        <w:t>La oficina de proyectos sobre la diversidad de la Confederación Irlandesa de Comerciantes y Empleadores está investigando y redactando una guía de prácticas óptimas</w:t>
      </w:r>
      <w:r>
        <w:t xml:space="preserve"> en materia de gestión de la diversidad y de integración de los lugares de trabajo. </w:t>
      </w:r>
      <w:r w:rsidRPr="00841668">
        <w:t xml:space="preserve">Se ha previsto que la investigación estará concluida para finales de </w:t>
      </w:r>
      <w:r>
        <w:t xml:space="preserve">2009 </w:t>
      </w:r>
      <w:r w:rsidRPr="00841668">
        <w:t>y que se abordar</w:t>
      </w:r>
      <w:r>
        <w:t>án temas clave, como</w:t>
      </w:r>
      <w:r w:rsidRPr="00841668">
        <w:t xml:space="preserve">: </w:t>
      </w:r>
    </w:p>
    <w:p w:rsidR="000100D5" w:rsidRPr="004E51E3" w:rsidRDefault="000100D5" w:rsidP="004E51E3">
      <w:pPr>
        <w:pStyle w:val="Bullet1G"/>
      </w:pPr>
      <w:r w:rsidRPr="00841668">
        <w:t xml:space="preserve">Los </w:t>
      </w:r>
      <w:r w:rsidRPr="004E51E3">
        <w:t>argumentos comerc</w:t>
      </w:r>
      <w:r w:rsidR="00353427" w:rsidRPr="004E51E3">
        <w:t>iales en favor de la diversidad;</w:t>
      </w:r>
    </w:p>
    <w:p w:rsidR="000100D5" w:rsidRPr="004E51E3" w:rsidRDefault="000100D5" w:rsidP="004E51E3">
      <w:pPr>
        <w:pStyle w:val="Bullet1G"/>
      </w:pPr>
      <w:r w:rsidRPr="004E51E3">
        <w:t xml:space="preserve">La forma de establecer y mantener un lugar de trabajo integrado </w:t>
      </w:r>
      <w:r w:rsidR="00353427" w:rsidRPr="004E51E3">
        <w:t>;</w:t>
      </w:r>
    </w:p>
    <w:p w:rsidR="000100D5" w:rsidRPr="004E51E3" w:rsidRDefault="000100D5" w:rsidP="004E51E3">
      <w:pPr>
        <w:pStyle w:val="Bullet1G"/>
      </w:pPr>
      <w:r w:rsidRPr="004E51E3">
        <w:t>La perspectiva del cliente</w:t>
      </w:r>
      <w:r w:rsidR="00353427" w:rsidRPr="004E51E3">
        <w:t>;</w:t>
      </w:r>
    </w:p>
    <w:p w:rsidR="000100D5" w:rsidRPr="004E51E3" w:rsidRDefault="000100D5" w:rsidP="004E51E3">
      <w:pPr>
        <w:pStyle w:val="Bullet1G"/>
      </w:pPr>
      <w:r w:rsidRPr="004E51E3">
        <w:t xml:space="preserve">La supervisión, las mediciones y los puntos de </w:t>
      </w:r>
      <w:r w:rsidR="00353427" w:rsidRPr="004E51E3">
        <w:t>referencia;</w:t>
      </w:r>
    </w:p>
    <w:p w:rsidR="000100D5" w:rsidRPr="004E51E3" w:rsidRDefault="000100D5" w:rsidP="004E51E3">
      <w:pPr>
        <w:pStyle w:val="Bullet1G"/>
      </w:pPr>
      <w:r w:rsidRPr="004E51E3">
        <w:t>Los estudios monográficos de las mejores prácticas (de 5 a 6 estudios monográficos de una serie de organizacione</w:t>
      </w:r>
      <w:r w:rsidR="00353427" w:rsidRPr="004E51E3">
        <w:t>s);</w:t>
      </w:r>
    </w:p>
    <w:p w:rsidR="000100D5" w:rsidRPr="00353427" w:rsidRDefault="000100D5" w:rsidP="004E51E3">
      <w:pPr>
        <w:pStyle w:val="Bullet1G"/>
      </w:pPr>
      <w:r w:rsidRPr="004E51E3">
        <w:t xml:space="preserve">Las tendencias </w:t>
      </w:r>
      <w:r w:rsidR="00353427" w:rsidRPr="004E51E3">
        <w:t>futuras</w:t>
      </w:r>
      <w:r w:rsidR="00353427" w:rsidRPr="00353427">
        <w:t>.</w:t>
      </w:r>
    </w:p>
    <w:p w:rsidR="000100D5" w:rsidRPr="00E76EB9" w:rsidRDefault="000100D5" w:rsidP="000100D5">
      <w:pPr>
        <w:pStyle w:val="SingleTxtG"/>
      </w:pPr>
      <w:r w:rsidRPr="003A4226">
        <w:t>369.</w:t>
      </w:r>
      <w:r w:rsidRPr="003A4226">
        <w:tab/>
        <w:t>Para más información sobre los refugiados y las personas desplazadas, s</w:t>
      </w:r>
      <w:r>
        <w:t>írvanse consultar los pár</w:t>
      </w:r>
      <w:r w:rsidRPr="003A4226">
        <w:t>ra</w:t>
      </w:r>
      <w:r>
        <w:t>fos</w:t>
      </w:r>
      <w:r w:rsidRPr="003A4226">
        <w:t xml:space="preserve"> 87</w:t>
      </w:r>
      <w:r>
        <w:t xml:space="preserve"> y </w:t>
      </w:r>
      <w:r w:rsidRPr="003A4226">
        <w:t>88 re</w:t>
      </w:r>
      <w:r>
        <w:t>lativos al sistema de</w:t>
      </w:r>
      <w:r w:rsidRPr="003A4226">
        <w:t xml:space="preserve"> as</w:t>
      </w:r>
      <w:r>
        <w:t>i</w:t>
      </w:r>
      <w:r w:rsidRPr="003A4226">
        <w:t>l</w:t>
      </w:r>
      <w:r>
        <w:t>o e</w:t>
      </w:r>
      <w:r w:rsidRPr="003A4226">
        <w:t>n Irland</w:t>
      </w:r>
      <w:r>
        <w:t>a</w:t>
      </w:r>
      <w:r w:rsidRPr="003A4226">
        <w:t>. Para los no ciudadanos, incluidos los inmigrantes, refugiados, solicitantes de asilo y ap</w:t>
      </w:r>
      <w:r>
        <w:t>átridas</w:t>
      </w:r>
      <w:r w:rsidRPr="003A4226">
        <w:t xml:space="preserve">, </w:t>
      </w:r>
      <w:r>
        <w:t>sírvanse consultar la informac</w:t>
      </w:r>
      <w:r w:rsidRPr="003A4226">
        <w:t>i</w:t>
      </w:r>
      <w:r>
        <w:t>ó</w:t>
      </w:r>
      <w:r w:rsidRPr="003A4226">
        <w:t xml:space="preserve">n </w:t>
      </w:r>
      <w:r>
        <w:t xml:space="preserve">sobre el </w:t>
      </w:r>
      <w:r w:rsidRPr="003A4226">
        <w:t>art</w:t>
      </w:r>
      <w:r>
        <w:t>í</w:t>
      </w:r>
      <w:r w:rsidRPr="003A4226">
        <w:t>c</w:t>
      </w:r>
      <w:r>
        <w:t>u</w:t>
      </w:r>
      <w:r w:rsidRPr="003A4226">
        <w:t>l</w:t>
      </w:r>
      <w:r>
        <w:t>o</w:t>
      </w:r>
      <w:r w:rsidRPr="003A4226">
        <w:t xml:space="preserve"> 1. </w:t>
      </w:r>
      <w:r w:rsidRPr="00546E75">
        <w:t xml:space="preserve">Pasando a los pueblos </w:t>
      </w:r>
      <w:r>
        <w:t>autóctonos</w:t>
      </w:r>
      <w:r w:rsidRPr="00546E75">
        <w:t>,</w:t>
      </w:r>
      <w:r>
        <w:t xml:space="preserve"> en el E</w:t>
      </w:r>
      <w:r w:rsidRPr="00546E75">
        <w:t>stado irland</w:t>
      </w:r>
      <w:r>
        <w:t>és</w:t>
      </w:r>
      <w:r w:rsidRPr="00546E75">
        <w:t xml:space="preserve"> no </w:t>
      </w:r>
      <w:r>
        <w:t>existe ninguna población de esa índole.</w:t>
      </w:r>
      <w:r w:rsidRPr="00546E75">
        <w:t xml:space="preserve"> </w:t>
      </w:r>
      <w:r w:rsidRPr="006703AE">
        <w:t xml:space="preserve">La comunidad romaní en el </w:t>
      </w:r>
      <w:r>
        <w:t>E</w:t>
      </w:r>
      <w:r w:rsidRPr="006703AE">
        <w:t xml:space="preserve">stado irlandés está compuesta principalmente por personas de origen rumano, húngaro, polaco y checo, todos </w:t>
      </w:r>
      <w:r>
        <w:t xml:space="preserve">ellos </w:t>
      </w:r>
      <w:r w:rsidRPr="006703AE">
        <w:t xml:space="preserve">ciudadanos de la UE y, </w:t>
      </w:r>
      <w:r>
        <w:t>en esa calidad</w:t>
      </w:r>
      <w:r w:rsidRPr="006703AE">
        <w:t xml:space="preserve">, </w:t>
      </w:r>
      <w:r>
        <w:t>cubiertos por las disposiciones del Reglamento</w:t>
      </w:r>
      <w:r w:rsidRPr="006703AE">
        <w:t xml:space="preserve"> </w:t>
      </w:r>
      <w:r>
        <w:t>Nº 2 de 2006 de las Comunidades Europeas (Libre circulación de las personas), por lo que hace a los controles de</w:t>
      </w:r>
      <w:r w:rsidRPr="006703AE">
        <w:t xml:space="preserve"> i</w:t>
      </w:r>
      <w:r>
        <w:t>n</w:t>
      </w:r>
      <w:r w:rsidRPr="006703AE">
        <w:t>migra</w:t>
      </w:r>
      <w:r>
        <w:t>c</w:t>
      </w:r>
      <w:r w:rsidRPr="006703AE">
        <w:t>i</w:t>
      </w:r>
      <w:r>
        <w:t>ó</w:t>
      </w:r>
      <w:r w:rsidRPr="006703AE">
        <w:t>n</w:t>
      </w:r>
      <w:r>
        <w:t>.</w:t>
      </w:r>
      <w:r w:rsidRPr="006703AE">
        <w:t xml:space="preserve"> Esas personas están exentas de cumplir el requisito de registrar su presencia en el Estado. </w:t>
      </w:r>
      <w:r>
        <w:t>En Irlanda no se puede</w:t>
      </w:r>
      <w:r w:rsidRPr="006703AE">
        <w:t xml:space="preserve"> discriminar por motivos de casta. Los asuntos relacionados con el géner</w:t>
      </w:r>
      <w:r>
        <w:t>o fueron examinados en todos lo</w:t>
      </w:r>
      <w:r w:rsidRPr="006703AE">
        <w:t xml:space="preserve">s aspectos </w:t>
      </w:r>
      <w:r>
        <w:t>de la aplicación del Plan de Acción</w:t>
      </w:r>
      <w:r w:rsidRPr="006703AE">
        <w:t xml:space="preserve"> Na</w:t>
      </w:r>
      <w:r>
        <w:t>c</w:t>
      </w:r>
      <w:r w:rsidRPr="006703AE">
        <w:t xml:space="preserve">ional </w:t>
      </w:r>
      <w:r>
        <w:t>contra el</w:t>
      </w:r>
      <w:r w:rsidRPr="006703AE">
        <w:t xml:space="preserve"> Racism</w:t>
      </w:r>
      <w:r>
        <w:t>o,</w:t>
      </w:r>
      <w:r w:rsidRPr="006703AE">
        <w:t xml:space="preserve"> 2005</w:t>
      </w:r>
      <w:r w:rsidR="00067DCF">
        <w:t>-</w:t>
      </w:r>
      <w:r w:rsidRPr="006703AE">
        <w:t xml:space="preserve">2008, </w:t>
      </w:r>
      <w:r>
        <w:t>e</w:t>
      </w:r>
      <w:r w:rsidRPr="006703AE">
        <w:t xml:space="preserve">n particular, </w:t>
      </w:r>
      <w:r>
        <w:t>en la prestación de los servicios</w:t>
      </w:r>
      <w:r w:rsidRPr="006703AE">
        <w:t xml:space="preserve"> p</w:t>
      </w:r>
      <w:r>
        <w:t>ú</w:t>
      </w:r>
      <w:r w:rsidRPr="006703AE">
        <w:t>blic</w:t>
      </w:r>
      <w:r>
        <w:t xml:space="preserve">os. </w:t>
      </w:r>
      <w:r w:rsidRPr="007D2972">
        <w:t xml:space="preserve">Además, el Gobierno ha publicado un Plan de Acción Nacional sobre la Mujer, que tiene en cuenta la diversidad </w:t>
      </w:r>
      <w:r>
        <w:t xml:space="preserve">étnica y </w:t>
      </w:r>
      <w:r w:rsidRPr="007D2972">
        <w:t>cultural</w:t>
      </w:r>
      <w:r>
        <w:t>.</w:t>
      </w:r>
      <w:r w:rsidRPr="007D2972">
        <w:t xml:space="preserve"> </w:t>
      </w:r>
      <w:r w:rsidRPr="00E76EB9">
        <w:t>El Gobiern</w:t>
      </w:r>
      <w:r>
        <w:t>o publicó posteriormente la e</w:t>
      </w:r>
      <w:r w:rsidRPr="00E76EB9">
        <w:t xml:space="preserve">strategia </w:t>
      </w:r>
      <w:r>
        <w:t>n</w:t>
      </w:r>
      <w:r w:rsidRPr="00E76EB9">
        <w:t xml:space="preserve">acional </w:t>
      </w:r>
      <w:r>
        <w:t>de</w:t>
      </w:r>
      <w:r w:rsidRPr="00E76EB9">
        <w:t xml:space="preserve"> la </w:t>
      </w:r>
      <w:r>
        <w:t>m</w:t>
      </w:r>
      <w:r w:rsidRPr="00E76EB9">
        <w:t>ujer, 2007</w:t>
      </w:r>
      <w:r w:rsidR="00067DCF">
        <w:t>-</w:t>
      </w:r>
      <w:r w:rsidRPr="00E76EB9">
        <w:t>2016 (s</w:t>
      </w:r>
      <w:r>
        <w:t>írvanse consultar los párrs.</w:t>
      </w:r>
      <w:r w:rsidR="00067DCF">
        <w:t xml:space="preserve"> 89 a </w:t>
      </w:r>
      <w:r w:rsidRPr="00E76EB9">
        <w:t xml:space="preserve">91). </w:t>
      </w:r>
    </w:p>
    <w:p w:rsidR="000100D5" w:rsidRPr="00E76EB9" w:rsidRDefault="000100D5" w:rsidP="000100D5">
      <w:pPr>
        <w:pStyle w:val="H23G"/>
      </w:pPr>
      <w:r w:rsidRPr="00E76EB9">
        <w:tab/>
        <w:t>26.</w:t>
      </w:r>
      <w:r w:rsidRPr="00E76EB9">
        <w:tab/>
        <w:t xml:space="preserve">Estrategia Nacional </w:t>
      </w:r>
      <w:r>
        <w:t>de</w:t>
      </w:r>
      <w:r w:rsidRPr="00E76EB9">
        <w:t xml:space="preserve"> la Mujer, 2007</w:t>
      </w:r>
      <w:r w:rsidR="00067DCF">
        <w:t>-</w:t>
      </w:r>
      <w:r w:rsidRPr="00E76EB9">
        <w:t>2016</w:t>
      </w:r>
    </w:p>
    <w:p w:rsidR="000100D5" w:rsidRPr="003F3E4D" w:rsidRDefault="000100D5" w:rsidP="000100D5">
      <w:pPr>
        <w:pStyle w:val="SingleTxtG"/>
      </w:pPr>
      <w:r w:rsidRPr="00E76EB9">
        <w:t>370.</w:t>
      </w:r>
      <w:r w:rsidRPr="00E76EB9">
        <w:tab/>
        <w:t xml:space="preserve">La Estrategia Nacional </w:t>
      </w:r>
      <w:r>
        <w:t>de</w:t>
      </w:r>
      <w:r w:rsidRPr="00E76EB9">
        <w:t xml:space="preserve"> la Mujer es </w:t>
      </w:r>
      <w:r>
        <w:t>nada menos que</w:t>
      </w:r>
      <w:r w:rsidRPr="00E76EB9">
        <w:t xml:space="preserve"> una estrategia del Go</w:t>
      </w:r>
      <w:r>
        <w:t>bi</w:t>
      </w:r>
      <w:r w:rsidRPr="00E76EB9">
        <w:t>ern</w:t>
      </w:r>
      <w:r>
        <w:t>o que fue a</w:t>
      </w:r>
      <w:r w:rsidRPr="00E76EB9">
        <w:t>pro</w:t>
      </w:r>
      <w:r>
        <w:t>bada por éste e inaugurada por el</w:t>
      </w:r>
      <w:r w:rsidRPr="00E76EB9">
        <w:t xml:space="preserve"> Taoiseach </w:t>
      </w:r>
      <w:r>
        <w:t>el</w:t>
      </w:r>
      <w:r w:rsidRPr="00E76EB9">
        <w:t xml:space="preserve"> 18 </w:t>
      </w:r>
      <w:r>
        <w:t>de ab</w:t>
      </w:r>
      <w:r w:rsidRPr="00E76EB9">
        <w:t xml:space="preserve">ril </w:t>
      </w:r>
      <w:r>
        <w:t xml:space="preserve">de </w:t>
      </w:r>
      <w:r w:rsidRPr="00E76EB9">
        <w:t xml:space="preserve">2007. </w:t>
      </w:r>
      <w:r w:rsidRPr="003F3E4D">
        <w:t>La</w:t>
      </w:r>
      <w:r w:rsidR="00353427">
        <w:t> </w:t>
      </w:r>
      <w:r w:rsidRPr="003F3E4D">
        <w:t>estrategia se ha propuesto la meta de conseguir una Irlanda donde todas las mujeres</w:t>
      </w:r>
      <w:r>
        <w:t xml:space="preserve"> gocen</w:t>
      </w:r>
      <w:r w:rsidRPr="003F3E4D">
        <w:t xml:space="preserve"> de igualdad de derechos con los hombres y pued</w:t>
      </w:r>
      <w:r>
        <w:t>a</w:t>
      </w:r>
      <w:r w:rsidRPr="003F3E4D">
        <w:t>n alcanzar su pleno potencial, sin dejar de</w:t>
      </w:r>
      <w:r>
        <w:t xml:space="preserve"> disfrutar de una vida segura y</w:t>
      </w:r>
      <w:r w:rsidRPr="003F3E4D">
        <w:t xml:space="preserve"> sa</w:t>
      </w:r>
      <w:r>
        <w:t>tis</w:t>
      </w:r>
      <w:r w:rsidRPr="003F3E4D">
        <w:t>f</w:t>
      </w:r>
      <w:r>
        <w:t>actoria</w:t>
      </w:r>
      <w:r w:rsidRPr="003F3E4D">
        <w:t xml:space="preserve">. La </w:t>
      </w:r>
      <w:r>
        <w:t>e</w:t>
      </w:r>
      <w:r w:rsidRPr="003F3E4D">
        <w:t>strategia, que consta de 20 objetivos clave y m</w:t>
      </w:r>
      <w:r>
        <w:t>ás de</w:t>
      </w:r>
      <w:r w:rsidRPr="003F3E4D">
        <w:t xml:space="preserve"> 20 acti</w:t>
      </w:r>
      <w:r>
        <w:t>vidade</w:t>
      </w:r>
      <w:r w:rsidRPr="003F3E4D">
        <w:t xml:space="preserve">s, </w:t>
      </w:r>
      <w:r>
        <w:t>pretende</w:t>
      </w:r>
      <w:r w:rsidRPr="003F3E4D">
        <w:t>:</w:t>
      </w:r>
    </w:p>
    <w:p w:rsidR="000100D5" w:rsidRPr="004E51E3" w:rsidRDefault="000100D5" w:rsidP="004E51E3">
      <w:pPr>
        <w:pStyle w:val="Bullet1G"/>
      </w:pPr>
      <w:r w:rsidRPr="00ED25DE">
        <w:t xml:space="preserve">Equiparar </w:t>
      </w:r>
      <w:r w:rsidRPr="004E51E3">
        <w:t>las oportunidades socio</w:t>
      </w:r>
      <w:r w:rsidR="00353427" w:rsidRPr="004E51E3">
        <w:t>económicas de hombres y mujeres;</w:t>
      </w:r>
    </w:p>
    <w:p w:rsidR="000100D5" w:rsidRPr="004E51E3" w:rsidRDefault="000100D5" w:rsidP="004E51E3">
      <w:pPr>
        <w:pStyle w:val="Bullet1G"/>
      </w:pPr>
      <w:r w:rsidRPr="004E51E3">
        <w:t xml:space="preserve">Asegurar su bienestar </w:t>
      </w:r>
      <w:r w:rsidR="00353427" w:rsidRPr="004E51E3">
        <w:t>;</w:t>
      </w:r>
    </w:p>
    <w:p w:rsidR="000100D5" w:rsidRPr="004E51E3" w:rsidRDefault="000100D5" w:rsidP="004E51E3">
      <w:pPr>
        <w:pStyle w:val="Bullet1G"/>
      </w:pPr>
      <w:r w:rsidRPr="004E51E3">
        <w:t>Tratar a las mujeres como ciudadanos iguales y activos</w:t>
      </w:r>
      <w:r w:rsidR="00353427" w:rsidRPr="004E51E3">
        <w:t>;</w:t>
      </w:r>
    </w:p>
    <w:p w:rsidR="000100D5" w:rsidRPr="00ED25DE" w:rsidRDefault="000100D5" w:rsidP="004E51E3">
      <w:pPr>
        <w:pStyle w:val="Bullet1G"/>
      </w:pPr>
      <w:r w:rsidRPr="004E51E3">
        <w:t>Se examinará cada tres años y se prevé que las necesidades de las mujeres que son víctimas de</w:t>
      </w:r>
      <w:r w:rsidRPr="00ED25DE">
        <w:t xml:space="preserve"> una discriminación múltiple o están en peligro de sufrirla</w:t>
      </w:r>
      <w:r>
        <w:t>,</w:t>
      </w:r>
      <w:r w:rsidRPr="00ED25DE">
        <w:t xml:space="preserve"> se abordar</w:t>
      </w:r>
      <w:r>
        <w:t>án con más detalle en el primer examen, que tendrá lugar e</w:t>
      </w:r>
      <w:r w:rsidRPr="00ED25DE">
        <w:t>n 2010</w:t>
      </w:r>
      <w:r w:rsidR="00353427">
        <w:t>.</w:t>
      </w:r>
    </w:p>
    <w:p w:rsidR="000100D5" w:rsidRPr="004704BC" w:rsidRDefault="000100D5" w:rsidP="000100D5">
      <w:pPr>
        <w:pStyle w:val="SingleTxtG"/>
      </w:pPr>
      <w:r w:rsidRPr="000E0E50">
        <w:t>371.</w:t>
      </w:r>
      <w:r w:rsidRPr="000E0E50">
        <w:tab/>
        <w:t>La legislación irlandesa en materia de igualdad prevé la presentación y la vista de casos de denuncia por discriminación rela</w:t>
      </w:r>
      <w:r>
        <w:t>cionados con cualquier</w:t>
      </w:r>
      <w:r w:rsidRPr="000E0E50">
        <w:t xml:space="preserve"> combina</w:t>
      </w:r>
      <w:r>
        <w:t>c</w:t>
      </w:r>
      <w:r w:rsidRPr="000E0E50">
        <w:t>i</w:t>
      </w:r>
      <w:r>
        <w:t>ó</w:t>
      </w:r>
      <w:r w:rsidRPr="000E0E50">
        <w:t xml:space="preserve">n </w:t>
      </w:r>
      <w:r>
        <w:t>de los nueve motivos</w:t>
      </w:r>
      <w:r w:rsidRPr="000E0E50">
        <w:t xml:space="preserve"> </w:t>
      </w:r>
      <w:r>
        <w:t>e</w:t>
      </w:r>
      <w:r w:rsidRPr="000E0E50">
        <w:t>specifi</w:t>
      </w:r>
      <w:r>
        <w:t>ca</w:t>
      </w:r>
      <w:r w:rsidRPr="000E0E50">
        <w:t>d</w:t>
      </w:r>
      <w:r>
        <w:t>os</w:t>
      </w:r>
      <w:r w:rsidRPr="000E0E50">
        <w:t xml:space="preserve">, </w:t>
      </w:r>
      <w:r>
        <w:t>que son el</w:t>
      </w:r>
      <w:r w:rsidRPr="000E0E50">
        <w:t xml:space="preserve"> g</w:t>
      </w:r>
      <w:r>
        <w:t>é</w:t>
      </w:r>
      <w:r w:rsidRPr="000E0E50">
        <w:t>ner</w:t>
      </w:r>
      <w:r>
        <w:t>o</w:t>
      </w:r>
      <w:r w:rsidRPr="000E0E50">
        <w:t xml:space="preserve">, </w:t>
      </w:r>
      <w:r>
        <w:t>el estado civil</w:t>
      </w:r>
      <w:r w:rsidRPr="000E0E50">
        <w:t xml:space="preserve">, </w:t>
      </w:r>
      <w:r>
        <w:t xml:space="preserve">la situación </w:t>
      </w:r>
      <w:r w:rsidRPr="000E0E50">
        <w:t>famil</w:t>
      </w:r>
      <w:r>
        <w:t>iar</w:t>
      </w:r>
      <w:r w:rsidRPr="000E0E50">
        <w:t xml:space="preserve">, </w:t>
      </w:r>
      <w:r>
        <w:t xml:space="preserve">la orientación </w:t>
      </w:r>
      <w:r w:rsidRPr="000E0E50">
        <w:t xml:space="preserve">sexual, </w:t>
      </w:r>
      <w:r>
        <w:t xml:space="preserve">la </w:t>
      </w:r>
      <w:r w:rsidRPr="000E0E50">
        <w:t>religi</w:t>
      </w:r>
      <w:r>
        <w:t>ón</w:t>
      </w:r>
      <w:r w:rsidRPr="000E0E50">
        <w:t xml:space="preserve">, </w:t>
      </w:r>
      <w:r>
        <w:t>la edad</w:t>
      </w:r>
      <w:r w:rsidRPr="000E0E50">
        <w:t xml:space="preserve">, </w:t>
      </w:r>
      <w:r>
        <w:t xml:space="preserve">la </w:t>
      </w:r>
      <w:r w:rsidRPr="000E0E50">
        <w:t>dis</w:t>
      </w:r>
      <w:r>
        <w:t>c</w:t>
      </w:r>
      <w:r w:rsidRPr="000E0E50">
        <w:t>a</w:t>
      </w:r>
      <w:r>
        <w:t>pacidad</w:t>
      </w:r>
      <w:r w:rsidRPr="000E0E50">
        <w:t xml:space="preserve">, </w:t>
      </w:r>
      <w:r>
        <w:t xml:space="preserve">la </w:t>
      </w:r>
      <w:r w:rsidRPr="000E0E50">
        <w:t>ra</w:t>
      </w:r>
      <w:r>
        <w:t>za</w:t>
      </w:r>
      <w:r w:rsidRPr="000E0E50">
        <w:t xml:space="preserve"> </w:t>
      </w:r>
      <w:r>
        <w:t>y la pertenencia a la</w:t>
      </w:r>
      <w:r w:rsidRPr="000E0E50">
        <w:t xml:space="preserve"> comuni</w:t>
      </w:r>
      <w:r>
        <w:t>dad nómada</w:t>
      </w:r>
      <w:r w:rsidRPr="000E0E50">
        <w:t xml:space="preserve">. </w:t>
      </w:r>
      <w:r>
        <w:t>Una quinta parte a</w:t>
      </w:r>
      <w:r w:rsidRPr="004704BC">
        <w:t>proxima</w:t>
      </w:r>
      <w:r>
        <w:t>damente de los casos remitidos al Tribunal de la</w:t>
      </w:r>
      <w:r w:rsidRPr="004704BC">
        <w:t xml:space="preserve"> </w:t>
      </w:r>
      <w:r>
        <w:t>Igualdad para su examen a la luz de las Leyes de igualdad en el empleo y sobre la</w:t>
      </w:r>
      <w:r w:rsidR="005007D6">
        <w:t xml:space="preserve"> </w:t>
      </w:r>
      <w:r>
        <w:t>igualdad de</w:t>
      </w:r>
      <w:r w:rsidRPr="004704BC">
        <w:t xml:space="preserve"> </w:t>
      </w:r>
      <w:r>
        <w:t>condición versan sobre denuncias por</w:t>
      </w:r>
      <w:r w:rsidRPr="004704BC">
        <w:t xml:space="preserve"> </w:t>
      </w:r>
      <w:r>
        <w:t>varios</w:t>
      </w:r>
      <w:r w:rsidRPr="004704BC">
        <w:t xml:space="preserve"> </w:t>
      </w:r>
      <w:r>
        <w:t>motivos</w:t>
      </w:r>
      <w:r w:rsidRPr="004704BC">
        <w:t xml:space="preserve">. </w:t>
      </w:r>
    </w:p>
    <w:p w:rsidR="000100D5" w:rsidRPr="009D6A55" w:rsidRDefault="000100D5" w:rsidP="000100D5">
      <w:pPr>
        <w:pStyle w:val="SingleTxtG"/>
      </w:pPr>
      <w:r w:rsidRPr="004704BC">
        <w:t>372.</w:t>
      </w:r>
      <w:r w:rsidRPr="004704BC">
        <w:tab/>
        <w:t>Con arreglo a la función de investigación encomendada a la Dirección de la Igualdad, en virtud de las citadas leyes, la Direcci</w:t>
      </w:r>
      <w:r>
        <w:t>ón encargó un</w:t>
      </w:r>
      <w:r w:rsidRPr="004704BC">
        <w:t xml:space="preserve"> Program</w:t>
      </w:r>
      <w:r>
        <w:t>a de investigación sobre ig</w:t>
      </w:r>
      <w:r w:rsidRPr="004704BC">
        <w:t>ual</w:t>
      </w:r>
      <w:r>
        <w:t>dad y</w:t>
      </w:r>
      <w:r w:rsidRPr="004704BC">
        <w:t xml:space="preserve"> </w:t>
      </w:r>
      <w:r>
        <w:t>d</w:t>
      </w:r>
      <w:r w:rsidRPr="004704BC">
        <w:t>iscrimina</w:t>
      </w:r>
      <w:r>
        <w:t>c</w:t>
      </w:r>
      <w:r w:rsidRPr="004704BC">
        <w:t>i</w:t>
      </w:r>
      <w:r>
        <w:t>ó</w:t>
      </w:r>
      <w:r w:rsidRPr="004704BC">
        <w:t>n</w:t>
      </w:r>
      <w:r w:rsidR="00C67360">
        <w:t>"</w:t>
      </w:r>
      <w:r>
        <w:rPr>
          <w:rStyle w:val="FootnoteReference"/>
          <w:lang w:val="en-IE"/>
        </w:rPr>
        <w:footnoteReference w:id="94"/>
      </w:r>
      <w:r w:rsidR="001F5C61" w:rsidRPr="000B3925">
        <w:t>,</w:t>
      </w:r>
      <w:r w:rsidRPr="004704BC">
        <w:t xml:space="preserve"> </w:t>
      </w:r>
      <w:r>
        <w:t>realizado para ella por el Instituto de Investigación</w:t>
      </w:r>
      <w:r w:rsidRPr="004704BC">
        <w:t xml:space="preserve"> Econ</w:t>
      </w:r>
      <w:r>
        <w:t>ó</w:t>
      </w:r>
      <w:r w:rsidRPr="004704BC">
        <w:t>mic</w:t>
      </w:r>
      <w:r>
        <w:t>a</w:t>
      </w:r>
      <w:r w:rsidRPr="004704BC">
        <w:t xml:space="preserve"> </w:t>
      </w:r>
      <w:r>
        <w:t>y</w:t>
      </w:r>
      <w:r w:rsidRPr="004704BC">
        <w:t xml:space="preserve"> Social. </w:t>
      </w:r>
      <w:r w:rsidRPr="009D6A55">
        <w:t>Entre las publicaciones recientes en esta serie</w:t>
      </w:r>
      <w:r>
        <w:t>,</w:t>
      </w:r>
      <w:r w:rsidRPr="009D6A55">
        <w:t xml:space="preserve"> cabe mencionar </w:t>
      </w:r>
      <w:r w:rsidR="00E03EF2">
        <w:t>"</w:t>
      </w:r>
      <w:r w:rsidRPr="009D6A55">
        <w:t>Immigrants at Work – Ethnicity and Nationality in the Irish Labour market</w:t>
      </w:r>
      <w:r>
        <w:rPr>
          <w:rStyle w:val="FootnoteReference"/>
          <w:lang w:val="en-IE"/>
        </w:rPr>
        <w:footnoteReference w:id="95"/>
      </w:r>
      <w:r w:rsidR="001F5C61">
        <w:rPr>
          <w:lang w:val="en-IE"/>
        </w:rPr>
        <w:t>"</w:t>
      </w:r>
      <w:r w:rsidRPr="009D6A55">
        <w:t xml:space="preserve"> (2008) (Trabajadores inmigrantes; etnias y nacionalidades en el mercado de trabajo irland</w:t>
      </w:r>
      <w:r>
        <w:t>és)</w:t>
      </w:r>
      <w:r w:rsidRPr="009D6A55">
        <w:t xml:space="preserve">, </w:t>
      </w:r>
      <w:r>
        <w:t>un estudio</w:t>
      </w:r>
      <w:r w:rsidRPr="009D6A55">
        <w:t xml:space="preserve"> </w:t>
      </w:r>
      <w:r>
        <w:t xml:space="preserve">básico y </w:t>
      </w:r>
      <w:r w:rsidRPr="009D6A55">
        <w:t>s</w:t>
      </w:r>
      <w:r>
        <w:t>i</w:t>
      </w:r>
      <w:r w:rsidRPr="009D6A55">
        <w:t>stem</w:t>
      </w:r>
      <w:r>
        <w:t>á</w:t>
      </w:r>
      <w:r w:rsidRPr="009D6A55">
        <w:t>tic</w:t>
      </w:r>
      <w:r>
        <w:t>o</w:t>
      </w:r>
      <w:r w:rsidRPr="009D6A55">
        <w:t xml:space="preserve"> </w:t>
      </w:r>
      <w:r>
        <w:t>que analiza la experiencia en el mercado de trabajo de los mi</w:t>
      </w:r>
      <w:r w:rsidRPr="009D6A55">
        <w:t>grant</w:t>
      </w:r>
      <w:r>
        <w:t>e</w:t>
      </w:r>
      <w:r w:rsidRPr="009D6A55">
        <w:t xml:space="preserve">s </w:t>
      </w:r>
      <w:r>
        <w:t>e</w:t>
      </w:r>
      <w:r w:rsidRPr="009D6A55">
        <w:t>n Irland</w:t>
      </w:r>
      <w:r>
        <w:t>a,</w:t>
      </w:r>
      <w:r w:rsidRPr="009D6A55">
        <w:t xml:space="preserve"> </w:t>
      </w:r>
      <w:r>
        <w:t>clasificados por etnias</w:t>
      </w:r>
      <w:r w:rsidRPr="009D6A55">
        <w:t xml:space="preserve">. </w:t>
      </w:r>
    </w:p>
    <w:p w:rsidR="000100D5" w:rsidRPr="009808DA" w:rsidRDefault="000100D5" w:rsidP="000100D5">
      <w:pPr>
        <w:pStyle w:val="SingleTxtG"/>
      </w:pPr>
      <w:r w:rsidRPr="009808DA">
        <w:t>373.</w:t>
      </w:r>
      <w:r w:rsidRPr="009808DA">
        <w:tab/>
        <w:t xml:space="preserve">La Oficina para la Integración Social es la entidad </w:t>
      </w:r>
      <w:r>
        <w:t>guber</w:t>
      </w:r>
      <w:r w:rsidRPr="009808DA">
        <w:t>n</w:t>
      </w:r>
      <w:r>
        <w:t>amental</w:t>
      </w:r>
      <w:r w:rsidR="00353427">
        <w:t xml:space="preserve"> sobre la que recae </w:t>
      </w:r>
      <w:r w:rsidRPr="009808DA">
        <w:t>la responsabilidad global de coordinar y gestionar el programa de integraci</w:t>
      </w:r>
      <w:r>
        <w:t>ón</w:t>
      </w:r>
      <w:r w:rsidRPr="009808DA">
        <w:t xml:space="preserve"> social</w:t>
      </w:r>
      <w:r w:rsidR="00353427">
        <w:t> </w:t>
      </w:r>
      <w:r>
        <w:t>del Gobierno, que comprende el Plan de Acción</w:t>
      </w:r>
      <w:r w:rsidRPr="009808DA">
        <w:t xml:space="preserve"> Na</w:t>
      </w:r>
      <w:r>
        <w:t>c</w:t>
      </w:r>
      <w:r w:rsidRPr="009808DA">
        <w:t>ional</w:t>
      </w:r>
      <w:r>
        <w:t xml:space="preserve"> para la Integración</w:t>
      </w:r>
      <w:r w:rsidRPr="009808DA">
        <w:t xml:space="preserve"> Social</w:t>
      </w:r>
      <w:r>
        <w:t>,</w:t>
      </w:r>
      <w:r w:rsidR="00353427">
        <w:t> </w:t>
      </w:r>
      <w:r w:rsidRPr="009808DA">
        <w:t>2007</w:t>
      </w:r>
      <w:r w:rsidR="00353427">
        <w:t>-</w:t>
      </w:r>
      <w:r w:rsidRPr="009808DA">
        <w:t>2016 (NAP in</w:t>
      </w:r>
      <w:r>
        <w:t>tegración</w:t>
      </w:r>
      <w:r w:rsidRPr="009808DA">
        <w:t xml:space="preserve">) </w:t>
      </w:r>
      <w:r>
        <w:t>y los elementos de integración</w:t>
      </w:r>
      <w:r w:rsidRPr="009808DA">
        <w:t xml:space="preserve"> social</w:t>
      </w:r>
      <w:r>
        <w:t xml:space="preserve"> del Acuerdo Nacional de Alianzas Sociales para</w:t>
      </w:r>
      <w:r w:rsidRPr="009808DA">
        <w:t xml:space="preserve"> 2016 </w:t>
      </w:r>
      <w:r>
        <w:t>y el Plan</w:t>
      </w:r>
      <w:r w:rsidRPr="009808DA">
        <w:t xml:space="preserve"> Na</w:t>
      </w:r>
      <w:r>
        <w:t>c</w:t>
      </w:r>
      <w:r w:rsidRPr="009808DA">
        <w:t xml:space="preserve">ional </w:t>
      </w:r>
      <w:r>
        <w:t xml:space="preserve">de </w:t>
      </w:r>
      <w:r w:rsidRPr="009808DA">
        <w:t>De</w:t>
      </w:r>
      <w:r>
        <w:t>sarrol</w:t>
      </w:r>
      <w:r w:rsidRPr="009808DA">
        <w:t>lo</w:t>
      </w:r>
      <w:r>
        <w:t>,</w:t>
      </w:r>
      <w:r w:rsidRPr="009808DA">
        <w:t xml:space="preserve"> 2007</w:t>
      </w:r>
      <w:r w:rsidR="00067DCF">
        <w:t>-</w:t>
      </w:r>
      <w:r w:rsidRPr="009808DA">
        <w:t xml:space="preserve">2011. </w:t>
      </w:r>
    </w:p>
    <w:p w:rsidR="000100D5" w:rsidRPr="009808DA" w:rsidRDefault="000100D5" w:rsidP="000100D5">
      <w:pPr>
        <w:pStyle w:val="SingleTxtG"/>
      </w:pPr>
      <w:r w:rsidRPr="009808DA">
        <w:t>374.</w:t>
      </w:r>
      <w:r w:rsidRPr="009808DA">
        <w:tab/>
        <w:t xml:space="preserve">Entre las publicaciones recientes relacionadas con esa esfera, figura </w:t>
      </w:r>
      <w:r w:rsidR="00E03EF2">
        <w:t>"</w:t>
      </w:r>
      <w:r w:rsidRPr="009808DA">
        <w:t>A social portrait of Communities in Ireland</w:t>
      </w:r>
      <w:r>
        <w:rPr>
          <w:rStyle w:val="FootnoteReference"/>
          <w:lang w:val="en-IE"/>
        </w:rPr>
        <w:footnoteReference w:id="96"/>
      </w:r>
      <w:r w:rsidR="001F5C61">
        <w:rPr>
          <w:lang w:val="en-IE"/>
        </w:rPr>
        <w:t>"</w:t>
      </w:r>
      <w:r w:rsidRPr="009808DA">
        <w:t xml:space="preserve"> (Retrato social de las comunidades </w:t>
      </w:r>
      <w:r>
        <w:t xml:space="preserve">en Irlanda) </w:t>
      </w:r>
      <w:r w:rsidRPr="009808DA">
        <w:t>publi</w:t>
      </w:r>
      <w:r>
        <w:t>cado en</w:t>
      </w:r>
      <w:r w:rsidRPr="009808DA">
        <w:t xml:space="preserve"> </w:t>
      </w:r>
      <w:r>
        <w:t>n</w:t>
      </w:r>
      <w:r w:rsidRPr="009808DA">
        <w:t>ov</w:t>
      </w:r>
      <w:r>
        <w:t>i</w:t>
      </w:r>
      <w:r w:rsidRPr="009808DA">
        <w:t>embr</w:t>
      </w:r>
      <w:r>
        <w:t>e de</w:t>
      </w:r>
      <w:r w:rsidRPr="009808DA">
        <w:t xml:space="preserve"> 2008. </w:t>
      </w:r>
    </w:p>
    <w:p w:rsidR="000100D5" w:rsidRPr="00A52229" w:rsidRDefault="000100D5" w:rsidP="000100D5">
      <w:pPr>
        <w:pStyle w:val="H4G"/>
      </w:pPr>
      <w:r w:rsidRPr="009808DA">
        <w:tab/>
      </w:r>
      <w:r w:rsidRPr="00A52229">
        <w:t>a)</w:t>
      </w:r>
      <w:r w:rsidRPr="00A52229">
        <w:tab/>
        <w:t>Racismo y discriminación</w:t>
      </w:r>
      <w:r>
        <w:t>: experiencia de los migrantes</w:t>
      </w:r>
      <w:r w:rsidR="005007D6">
        <w:t xml:space="preserve"> </w:t>
      </w:r>
      <w:r w:rsidRPr="00A52229">
        <w:t xml:space="preserve">en Irlanda: </w:t>
      </w:r>
      <w:r>
        <w:t xml:space="preserve">Informe sobre la encuesta del Instituto de Investigación </w:t>
      </w:r>
      <w:r w:rsidRPr="00A52229">
        <w:t>E</w:t>
      </w:r>
      <w:r>
        <w:t xml:space="preserve">conómica y </w:t>
      </w:r>
      <w:r w:rsidRPr="00A52229">
        <w:t>S</w:t>
      </w:r>
      <w:r>
        <w:t>ocial</w:t>
      </w:r>
      <w:r w:rsidRPr="00A52229">
        <w:t xml:space="preserve"> (</w:t>
      </w:r>
      <w:r>
        <w:t>n</w:t>
      </w:r>
      <w:r w:rsidRPr="00A52229">
        <w:t>ov</w:t>
      </w:r>
      <w:r>
        <w:t>i</w:t>
      </w:r>
      <w:r w:rsidRPr="00A52229">
        <w:t>embr</w:t>
      </w:r>
      <w:r>
        <w:t>e de</w:t>
      </w:r>
      <w:r w:rsidRPr="00A52229">
        <w:t xml:space="preserve"> 2006)</w:t>
      </w:r>
      <w:r w:rsidRPr="00D4129A">
        <w:rPr>
          <w:rStyle w:val="FootnoteReference"/>
          <w:i w:val="0"/>
          <w:lang w:val="en-IE"/>
        </w:rPr>
        <w:footnoteReference w:id="97"/>
      </w:r>
    </w:p>
    <w:p w:rsidR="000100D5" w:rsidRPr="00C55B92" w:rsidRDefault="000100D5" w:rsidP="000100D5">
      <w:pPr>
        <w:pStyle w:val="SingleTxtG"/>
      </w:pPr>
      <w:r w:rsidRPr="00A52229">
        <w:t>375.</w:t>
      </w:r>
      <w:r w:rsidRPr="00A52229">
        <w:tab/>
        <w:t>Ese estudio recoge los resultados de una encuesta llevada a cabo en 2005 a fin de evaluar la prevalenc</w:t>
      </w:r>
      <w:r>
        <w:t>ia</w:t>
      </w:r>
      <w:r w:rsidRPr="00A52229">
        <w:t xml:space="preserve"> </w:t>
      </w:r>
      <w:r>
        <w:t>y el</w:t>
      </w:r>
      <w:r w:rsidRPr="00A52229">
        <w:t xml:space="preserve"> gr</w:t>
      </w:r>
      <w:r>
        <w:t>ado de</w:t>
      </w:r>
      <w:r w:rsidRPr="00A52229">
        <w:t xml:space="preserve"> discrimina</w:t>
      </w:r>
      <w:r>
        <w:t>c</w:t>
      </w:r>
      <w:r w:rsidRPr="00A52229">
        <w:t>i</w:t>
      </w:r>
      <w:r>
        <w:t>ó</w:t>
      </w:r>
      <w:r w:rsidRPr="00A52229">
        <w:t xml:space="preserve">n </w:t>
      </w:r>
      <w:r>
        <w:t>mencionados por los</w:t>
      </w:r>
      <w:r w:rsidRPr="00A52229">
        <w:t xml:space="preserve"> migrant</w:t>
      </w:r>
      <w:r>
        <w:t>e</w:t>
      </w:r>
      <w:r w:rsidRPr="00A52229">
        <w:t>s</w:t>
      </w:r>
      <w:r>
        <w:t xml:space="preserve"> recientes</w:t>
      </w:r>
      <w:r w:rsidRPr="00A52229">
        <w:t xml:space="preserve">. </w:t>
      </w:r>
      <w:r w:rsidRPr="00C55B92">
        <w:t>La encuesta mide la discriminación percibida en una gama de situaciones</w:t>
      </w:r>
      <w:r>
        <w:t xml:space="preserve"> distintas:</w:t>
      </w:r>
      <w:r w:rsidRPr="00C55B92">
        <w:t xml:space="preserve"> </w:t>
      </w:r>
      <w:r>
        <w:t>e</w:t>
      </w:r>
      <w:r w:rsidRPr="00C55B92">
        <w:t xml:space="preserve">n </w:t>
      </w:r>
      <w:r>
        <w:t>el lugar de trabajo</w:t>
      </w:r>
      <w:r w:rsidRPr="00C55B92">
        <w:t xml:space="preserve">, </w:t>
      </w:r>
      <w:r>
        <w:t>e</w:t>
      </w:r>
      <w:r w:rsidRPr="00C55B92">
        <w:t xml:space="preserve">n </w:t>
      </w:r>
      <w:r>
        <w:t xml:space="preserve">lugares </w:t>
      </w:r>
      <w:r w:rsidRPr="00C55B92">
        <w:t>p</w:t>
      </w:r>
      <w:r>
        <w:t>ú</w:t>
      </w:r>
      <w:r w:rsidRPr="00C55B92">
        <w:t>blic</w:t>
      </w:r>
      <w:r>
        <w:t>os</w:t>
      </w:r>
      <w:r w:rsidRPr="00C55B92">
        <w:t xml:space="preserve">, </w:t>
      </w:r>
      <w:r>
        <w:t>e</w:t>
      </w:r>
      <w:r w:rsidRPr="00C55B92">
        <w:t xml:space="preserve">n </w:t>
      </w:r>
      <w:r>
        <w:t>tiendas</w:t>
      </w:r>
      <w:r w:rsidRPr="00C55B92">
        <w:t>/restaurant</w:t>
      </w:r>
      <w:r>
        <w:t>e</w:t>
      </w:r>
      <w:r w:rsidRPr="00C55B92">
        <w:t xml:space="preserve">s, </w:t>
      </w:r>
      <w:r>
        <w:t>e</w:t>
      </w:r>
      <w:r w:rsidRPr="00C55B92">
        <w:t xml:space="preserve">n </w:t>
      </w:r>
      <w:r>
        <w:t>las transacc</w:t>
      </w:r>
      <w:r w:rsidRPr="00C55B92">
        <w:t>ion</w:t>
      </w:r>
      <w:r>
        <w:t>e</w:t>
      </w:r>
      <w:r w:rsidRPr="00C55B92">
        <w:t>s</w:t>
      </w:r>
      <w:r>
        <w:t xml:space="preserve"> comerciales</w:t>
      </w:r>
      <w:r w:rsidRPr="00C55B92">
        <w:t xml:space="preserve"> </w:t>
      </w:r>
      <w:r>
        <w:t>y en el</w:t>
      </w:r>
      <w:r w:rsidRPr="00C55B92">
        <w:t xml:space="preserve"> contact</w:t>
      </w:r>
      <w:r>
        <w:t>o con las</w:t>
      </w:r>
      <w:r w:rsidRPr="00C55B92">
        <w:t xml:space="preserve"> institu</w:t>
      </w:r>
      <w:r>
        <w:t>c</w:t>
      </w:r>
      <w:r w:rsidRPr="00C55B92">
        <w:t>ion</w:t>
      </w:r>
      <w:r>
        <w:t>e</w:t>
      </w:r>
      <w:r w:rsidRPr="00C55B92">
        <w:t>s. La muestra abarca a los titulares de permisos de trabajo y a los solicitantes de as</w:t>
      </w:r>
      <w:r>
        <w:t>i</w:t>
      </w:r>
      <w:r w:rsidRPr="00C55B92">
        <w:t>l</w:t>
      </w:r>
      <w:r>
        <w:t>o</w:t>
      </w:r>
      <w:r w:rsidRPr="00C55B92">
        <w:t xml:space="preserve">, </w:t>
      </w:r>
      <w:r>
        <w:t>dos grupos</w:t>
      </w:r>
      <w:r w:rsidRPr="00C55B92">
        <w:t xml:space="preserve"> important</w:t>
      </w:r>
      <w:r>
        <w:t>es de</w:t>
      </w:r>
      <w:r w:rsidRPr="00C55B92">
        <w:t xml:space="preserve"> </w:t>
      </w:r>
      <w:r>
        <w:t>migrantes</w:t>
      </w:r>
      <w:r w:rsidRPr="00C55B92">
        <w:t xml:space="preserve"> rec</w:t>
      </w:r>
      <w:r>
        <w:t>i</w:t>
      </w:r>
      <w:r w:rsidRPr="00C55B92">
        <w:t>ent</w:t>
      </w:r>
      <w:r>
        <w:t>es</w:t>
      </w:r>
      <w:r w:rsidRPr="00C55B92">
        <w:t xml:space="preserve"> </w:t>
      </w:r>
      <w:r>
        <w:t>a</w:t>
      </w:r>
      <w:r w:rsidRPr="00C55B92">
        <w:t xml:space="preserve"> Irland</w:t>
      </w:r>
      <w:r>
        <w:t>a</w:t>
      </w:r>
      <w:r w:rsidRPr="00C55B92">
        <w:t>. Todos los encuestados eran migrantes adultos de países que no pertenec</w:t>
      </w:r>
      <w:r>
        <w:t>ían a la UE y que</w:t>
      </w:r>
      <w:r w:rsidRPr="00C55B92">
        <w:t xml:space="preserve"> represent</w:t>
      </w:r>
      <w:r>
        <w:t>aba</w:t>
      </w:r>
      <w:r w:rsidRPr="00C55B92">
        <w:t xml:space="preserve">n </w:t>
      </w:r>
      <w:r>
        <w:t>un</w:t>
      </w:r>
      <w:r w:rsidRPr="00C55B92">
        <w:t xml:space="preserve">a </w:t>
      </w:r>
      <w:r>
        <w:t>amplia gama de</w:t>
      </w:r>
      <w:r w:rsidRPr="00C55B92">
        <w:t xml:space="preserve"> na</w:t>
      </w:r>
      <w:r>
        <w:t>c</w:t>
      </w:r>
      <w:r w:rsidRPr="00C55B92">
        <w:t>ionali</w:t>
      </w:r>
      <w:r>
        <w:t>dades del África septentrional y meridional/c</w:t>
      </w:r>
      <w:r w:rsidRPr="00C55B92">
        <w:t>entral</w:t>
      </w:r>
      <w:r>
        <w:t>, de Asia y de Europa oriental</w:t>
      </w:r>
      <w:r w:rsidRPr="00C55B92">
        <w:t xml:space="preserve">. </w:t>
      </w:r>
    </w:p>
    <w:p w:rsidR="000100D5" w:rsidRPr="00E44D19" w:rsidRDefault="000100D5" w:rsidP="000100D5">
      <w:pPr>
        <w:pStyle w:val="SingleTxtG"/>
        <w:rPr>
          <w:lang w:val="en-IE"/>
        </w:rPr>
      </w:pPr>
      <w:r>
        <w:rPr>
          <w:lang w:val="en-IE"/>
        </w:rPr>
        <w:t>Conclusiones más destacadas</w:t>
      </w:r>
      <w:r w:rsidRPr="00E44D19">
        <w:rPr>
          <w:lang w:val="en-IE"/>
        </w:rPr>
        <w:t xml:space="preserve">: </w:t>
      </w:r>
    </w:p>
    <w:p w:rsidR="000100D5" w:rsidRPr="004E51E3" w:rsidRDefault="000100D5" w:rsidP="004E51E3">
      <w:pPr>
        <w:pStyle w:val="Bullet1G"/>
      </w:pPr>
      <w:r w:rsidRPr="00720882">
        <w:t>El acoso en la calle, en otros lugares públicos o en los transportes públicos era la forma m</w:t>
      </w:r>
      <w:r>
        <w:t xml:space="preserve">ás </w:t>
      </w:r>
      <w:r w:rsidRPr="004E51E3">
        <w:t xml:space="preserve">común de discriminación en Irlanda: el 35% de la muestra de migrantes comunicó haberlo experimentado. </w:t>
      </w:r>
    </w:p>
    <w:p w:rsidR="000100D5" w:rsidRPr="004E51E3" w:rsidRDefault="000100D5" w:rsidP="004E51E3">
      <w:pPr>
        <w:pStyle w:val="Bullet1G"/>
      </w:pPr>
      <w:r w:rsidRPr="004E51E3">
        <w:t xml:space="preserve">Entre los que tenían autorización para trabajar, los insultos u otras formas de hostigamiento laboral constituían la segunda modalidad de discriminación por orden de frecuencia; un 32% de los titulares de un permiso de trabajo los mencionaron. </w:t>
      </w:r>
    </w:p>
    <w:p w:rsidR="000100D5" w:rsidRPr="004E51E3" w:rsidRDefault="000100D5" w:rsidP="004E51E3">
      <w:pPr>
        <w:pStyle w:val="Bullet1G"/>
      </w:pPr>
      <w:r w:rsidRPr="004E51E3">
        <w:t xml:space="preserve">Los africanos negros eran los que habían sufrido la mayor discriminación de todos los grupos estudiados. Esto ocurría con el racismo/discriminación en el ámbito laboral, en lugares públicos, en bares/restaurantes y en instituciones públicas, incluso teniendo en cuenta otros factores como la educación, la edad y la duración de la estancia. </w:t>
      </w:r>
    </w:p>
    <w:p w:rsidR="000100D5" w:rsidRPr="004E51E3" w:rsidRDefault="000100D5" w:rsidP="004E51E3">
      <w:pPr>
        <w:pStyle w:val="Bullet1G"/>
      </w:pPr>
      <w:r w:rsidRPr="004E51E3">
        <w:t>Los europeos orientales de países no miembros de la UE se hicieron eco, por lo general, de una discriminación menor que otros grupos nacionales, lo que sucedía especialmente con el acoso en los lugares públicos.</w:t>
      </w:r>
    </w:p>
    <w:p w:rsidR="000100D5" w:rsidRPr="004E51E3" w:rsidRDefault="000100D5" w:rsidP="004E51E3">
      <w:pPr>
        <w:pStyle w:val="Bullet1G"/>
      </w:pPr>
      <w:r w:rsidRPr="004E51E3">
        <w:t xml:space="preserve">En comparación con otros grupos nacionales, los asiáticos mencionaron la menor incidencia de discriminación en su relación con las instituciones irlandesas. </w:t>
      </w:r>
      <w:r w:rsidR="00353427" w:rsidRPr="004E51E3">
        <w:t>Los </w:t>
      </w:r>
      <w:r w:rsidRPr="004E51E3">
        <w:t xml:space="preserve">solicitantes de asilo tenían muchas más probabilidades de comunicar incidentes de discriminación que los titulares de un permiso de trabajo. Este fenómeno se daba más en todas las esferas en las que participaban ambos grupos: lugares públicos, tiendas, restaurantes e instituciones, incluso tras controlar el origen nacional/étnico. </w:t>
      </w:r>
    </w:p>
    <w:p w:rsidR="000100D5" w:rsidRPr="00396827" w:rsidRDefault="000100D5" w:rsidP="004E51E3">
      <w:pPr>
        <w:pStyle w:val="Bullet1G"/>
      </w:pPr>
      <w:r w:rsidRPr="004E51E3">
        <w:t>Los inmigrantes encuestados tenían</w:t>
      </w:r>
      <w:r w:rsidRPr="001C5405">
        <w:t xml:space="preserve"> más probabilidades de conectar con personas de su propio pa</w:t>
      </w:r>
      <w:r>
        <w:t>ís de</w:t>
      </w:r>
      <w:r w:rsidRPr="001C5405">
        <w:t xml:space="preserve"> orig</w:t>
      </w:r>
      <w:r>
        <w:t>e</w:t>
      </w:r>
      <w:r w:rsidRPr="001C5405">
        <w:t xml:space="preserve">n, </w:t>
      </w:r>
      <w:r>
        <w:t>seguidas de los</w:t>
      </w:r>
      <w:r w:rsidRPr="001C5405">
        <w:t xml:space="preserve"> </w:t>
      </w:r>
      <w:r>
        <w:t>i</w:t>
      </w:r>
      <w:r w:rsidRPr="001C5405">
        <w:t>r</w:t>
      </w:r>
      <w:r>
        <w:t>landeses</w:t>
      </w:r>
      <w:r w:rsidRPr="001C5405">
        <w:t xml:space="preserve">. </w:t>
      </w:r>
      <w:r>
        <w:t>Tenían menos probabilidades de establecer relaciones con otros grupos</w:t>
      </w:r>
      <w:r w:rsidRPr="00396827">
        <w:t xml:space="preserve"> étnicos o nacionales. </w:t>
      </w:r>
    </w:p>
    <w:p w:rsidR="000100D5" w:rsidRPr="00396827" w:rsidRDefault="000100D5" w:rsidP="000100D5">
      <w:pPr>
        <w:pStyle w:val="SingleTxtG"/>
      </w:pPr>
      <w:r w:rsidRPr="00396827">
        <w:t>376.</w:t>
      </w:r>
      <w:r w:rsidRPr="00396827">
        <w:tab/>
        <w:t>En este informe se comenta</w:t>
      </w:r>
      <w:r>
        <w:t>ba</w:t>
      </w:r>
      <w:r w:rsidRPr="00396827">
        <w:t xml:space="preserve"> que, en general, los niveles de racismo </w:t>
      </w:r>
      <w:r>
        <w:t>mencionados e</w:t>
      </w:r>
      <w:r w:rsidRPr="00396827">
        <w:t>n Irland</w:t>
      </w:r>
      <w:r>
        <w:t>a</w:t>
      </w:r>
      <w:r w:rsidRPr="00396827">
        <w:t xml:space="preserve"> t</w:t>
      </w:r>
      <w:r>
        <w:t>endían a ser más bajos que en</w:t>
      </w:r>
      <w:r w:rsidRPr="00396827">
        <w:t xml:space="preserve"> otr</w:t>
      </w:r>
      <w:r>
        <w:t>os</w:t>
      </w:r>
      <w:r w:rsidRPr="00396827">
        <w:t xml:space="preserve"> </w:t>
      </w:r>
      <w:r>
        <w:t>países y</w:t>
      </w:r>
      <w:r w:rsidRPr="00396827">
        <w:t xml:space="preserve">, </w:t>
      </w:r>
      <w:r>
        <w:t xml:space="preserve">en especial, que en los </w:t>
      </w:r>
      <w:r w:rsidRPr="00396827">
        <w:t>pa</w:t>
      </w:r>
      <w:r>
        <w:t>íses de Europa meridional</w:t>
      </w:r>
      <w:r w:rsidRPr="00396827">
        <w:t>. Si bien la incidencia citada de casos de racismo y discriminación en la calle/transportes públicos y de acoso en el lugar de trabajo er</w:t>
      </w:r>
      <w:r>
        <w:t>a</w:t>
      </w:r>
      <w:r w:rsidRPr="00396827">
        <w:t xml:space="preserve"> </w:t>
      </w:r>
      <w:r>
        <w:t>elevada en la mayoría de los países</w:t>
      </w:r>
      <w:r w:rsidRPr="00396827">
        <w:t xml:space="preserve">, </w:t>
      </w:r>
      <w:r>
        <w:t>los informes sobre malos tratos por parte de la</w:t>
      </w:r>
      <w:r w:rsidRPr="00396827">
        <w:t xml:space="preserve"> polic</w:t>
      </w:r>
      <w:r>
        <w:t>ía</w:t>
      </w:r>
      <w:r w:rsidRPr="00396827">
        <w:t xml:space="preserve"> </w:t>
      </w:r>
      <w:r>
        <w:t>y la falta de acceso a la vivienda eran mucho menos frecuentes entre los inmigrantes en</w:t>
      </w:r>
      <w:r w:rsidRPr="00396827">
        <w:t xml:space="preserve"> Irland</w:t>
      </w:r>
      <w:r>
        <w:t>a que en la mayoría de los demás países</w:t>
      </w:r>
      <w:r w:rsidRPr="00396827">
        <w:t xml:space="preserve">. </w:t>
      </w:r>
    </w:p>
    <w:p w:rsidR="000100D5" w:rsidRPr="007B77B2" w:rsidRDefault="000100D5" w:rsidP="000100D5">
      <w:pPr>
        <w:pStyle w:val="H4G"/>
      </w:pPr>
      <w:r w:rsidRPr="00396827">
        <w:tab/>
      </w:r>
      <w:r w:rsidRPr="007B77B2">
        <w:t>b)</w:t>
      </w:r>
      <w:r w:rsidRPr="007B77B2">
        <w:tab/>
        <w:t>Encuesta sobre las actitudes ante la migración a Irlanda</w:t>
      </w:r>
    </w:p>
    <w:p w:rsidR="000100D5" w:rsidRPr="00EA275F" w:rsidRDefault="000100D5" w:rsidP="000100D5">
      <w:pPr>
        <w:pStyle w:val="SingleTxtG"/>
      </w:pPr>
      <w:r w:rsidRPr="007B77B2">
        <w:t>377.</w:t>
      </w:r>
      <w:r w:rsidRPr="007B77B2">
        <w:tab/>
        <w:t>En octubre de 2006 se hicieron públicos los resultados de una encuesta sobre las actitudes ante la migraci</w:t>
      </w:r>
      <w:r>
        <w:t>ón a Irlanda dentro del marco del</w:t>
      </w:r>
      <w:r w:rsidRPr="007B77B2">
        <w:t xml:space="preserve"> Plan </w:t>
      </w:r>
      <w:r>
        <w:t>de Acción contra el</w:t>
      </w:r>
      <w:r w:rsidRPr="007B77B2">
        <w:t xml:space="preserve"> Racism</w:t>
      </w:r>
      <w:r>
        <w:t>o.</w:t>
      </w:r>
      <w:r w:rsidRPr="007B77B2">
        <w:t xml:space="preserve"> </w:t>
      </w:r>
      <w:r>
        <w:t>En esta encuesta se actualizaron las conclusiones de una encuesta similar, realizada en</w:t>
      </w:r>
      <w:r w:rsidRPr="007B77B2">
        <w:t xml:space="preserve"> 2003. </w:t>
      </w:r>
      <w:r w:rsidRPr="00452CB6">
        <w:t xml:space="preserve">La investigación, titulada </w:t>
      </w:r>
      <w:r w:rsidR="00C67360">
        <w:t>"</w:t>
      </w:r>
      <w:r w:rsidRPr="00452CB6">
        <w:rPr>
          <w:i/>
        </w:rPr>
        <w:t>Opinions on Racism and Attitudes to Minority Groups</w:t>
      </w:r>
      <w:r w:rsidR="00C67360">
        <w:rPr>
          <w:i/>
        </w:rPr>
        <w:t>"</w:t>
      </w:r>
      <w:r w:rsidRPr="00452CB6">
        <w:t xml:space="preserve"> (Opiniones sobre el racismo y actitudes frente a los grupos minoritarios) </w:t>
      </w:r>
      <w:r>
        <w:t>fue</w:t>
      </w:r>
      <w:r w:rsidRPr="00452CB6">
        <w:t xml:space="preserve"> fruto de un encargo para contribuir a determinar el eje del antirracismo, </w:t>
      </w:r>
      <w:r>
        <w:t>a fin de</w:t>
      </w:r>
      <w:r w:rsidRPr="00452CB6">
        <w:t xml:space="preserve"> me</w:t>
      </w:r>
      <w:r>
        <w:t>dir</w:t>
      </w:r>
      <w:r w:rsidRPr="00452CB6">
        <w:t xml:space="preserve"> </w:t>
      </w:r>
      <w:r>
        <w:t>el nivel actual de implicación de las</w:t>
      </w:r>
      <w:r w:rsidRPr="00452CB6">
        <w:t xml:space="preserve"> n</w:t>
      </w:r>
      <w:r>
        <w:t>u</w:t>
      </w:r>
      <w:r w:rsidRPr="00452CB6">
        <w:t>e</w:t>
      </w:r>
      <w:r>
        <w:t>vas</w:t>
      </w:r>
      <w:r w:rsidRPr="00452CB6">
        <w:t xml:space="preserve"> comuni</w:t>
      </w:r>
      <w:r>
        <w:t>dad</w:t>
      </w:r>
      <w:r w:rsidRPr="00452CB6">
        <w:t xml:space="preserve">es </w:t>
      </w:r>
      <w:r>
        <w:t>y evaluar las</w:t>
      </w:r>
      <w:r w:rsidRPr="00452CB6">
        <w:t xml:space="preserve"> opinion</w:t>
      </w:r>
      <w:r>
        <w:t>e</w:t>
      </w:r>
      <w:r w:rsidRPr="00452CB6">
        <w:t xml:space="preserve">s </w:t>
      </w:r>
      <w:r>
        <w:t>sobre el</w:t>
      </w:r>
      <w:r w:rsidRPr="00452CB6">
        <w:t xml:space="preserve"> racism</w:t>
      </w:r>
      <w:r>
        <w:t>o y dichas comunidades</w:t>
      </w:r>
      <w:r w:rsidRPr="00452CB6">
        <w:t xml:space="preserve">. </w:t>
      </w:r>
      <w:r>
        <w:t>Los</w:t>
      </w:r>
      <w:r w:rsidRPr="00EA275F">
        <w:t xml:space="preserve"> resultados de la encuesta </w:t>
      </w:r>
      <w:r>
        <w:t>fueron</w:t>
      </w:r>
      <w:r w:rsidRPr="00EA275F">
        <w:t xml:space="preserve"> muy alentadores:</w:t>
      </w:r>
    </w:p>
    <w:p w:rsidR="000100D5" w:rsidRPr="004E51E3" w:rsidRDefault="000100D5" w:rsidP="004E51E3">
      <w:pPr>
        <w:pStyle w:val="Bullet1G"/>
      </w:pPr>
      <w:r w:rsidRPr="00452CB6">
        <w:t>Las conclusiones indica</w:t>
      </w:r>
      <w:r>
        <w:t>n que lo</w:t>
      </w:r>
      <w:r w:rsidRPr="00452CB6">
        <w:t xml:space="preserve">s </w:t>
      </w:r>
      <w:r>
        <w:t xml:space="preserve">casos </w:t>
      </w:r>
      <w:r w:rsidRPr="00452CB6">
        <w:t xml:space="preserve">de racismo en Irlanda han disminuido y se ha registrado </w:t>
      </w:r>
      <w:r w:rsidRPr="004E51E3">
        <w:t xml:space="preserve">un cambio en la comprensión y la sensibilización respecto de los nacionales no irlandeses y su contribución a la sociedad desde 2003. </w:t>
      </w:r>
    </w:p>
    <w:p w:rsidR="000100D5" w:rsidRPr="004E51E3" w:rsidRDefault="000100D5" w:rsidP="004E51E3">
      <w:pPr>
        <w:pStyle w:val="Bullet1G"/>
      </w:pPr>
      <w:r w:rsidRPr="004E51E3">
        <w:t>Una de las conclusiones más destacadas de la investigación es el marcado aumento del</w:t>
      </w:r>
      <w:r w:rsidR="005007D6" w:rsidRPr="004E51E3">
        <w:t xml:space="preserve"> </w:t>
      </w:r>
      <w:r w:rsidRPr="004E51E3">
        <w:t>número de personas con experiencia de las nuevas comuni</w:t>
      </w:r>
      <w:r w:rsidR="00067DCF" w:rsidRPr="004E51E3">
        <w:t xml:space="preserve">dades – </w:t>
      </w:r>
      <w:r w:rsidRPr="004E51E3">
        <w:t xml:space="preserve">un incremento del 36% al 67% entre 2003 y 2006, que muestra una mayor interacción entre las diferentes comunidades y un grado más alto de integración. </w:t>
      </w:r>
    </w:p>
    <w:p w:rsidR="000100D5" w:rsidRPr="004E51E3" w:rsidRDefault="000100D5" w:rsidP="004E51E3">
      <w:pPr>
        <w:pStyle w:val="Bullet1G"/>
      </w:pPr>
      <w:r w:rsidRPr="004E51E3">
        <w:t xml:space="preserve">La impresión general sobre los miembros de las nuevas comunidades en Irlanda sufrió un cambio positivo en el período de 2003 a 2006 (cerca del 10%) y esa tendencia sugiere que cuantas más personas tengan contacto con los miembros de las nuevas comunidades, más probable será que muestren una buena disposición hacia ellas. </w:t>
      </w:r>
    </w:p>
    <w:p w:rsidR="000100D5" w:rsidRPr="009C6CAD" w:rsidRDefault="000100D5" w:rsidP="004E51E3">
      <w:pPr>
        <w:pStyle w:val="Bullet1G"/>
      </w:pPr>
      <w:r w:rsidRPr="004E51E3">
        <w:t>En general, las personas estaban satisfechas de haber tomado la decisión de venir a Irlanda. Entre los motivos favorables citados figuraba el hecho de que su gente era agradable y amistosa, la economía sólida, la arquitectura y el paisaje admirables y cabía acceder a unas prestaciones</w:t>
      </w:r>
      <w:r>
        <w:t xml:space="preserve"> generosas de la seguridad social</w:t>
      </w:r>
      <w:r w:rsidRPr="00665A46">
        <w:t xml:space="preserve">. </w:t>
      </w:r>
      <w:r w:rsidRPr="009C6CAD">
        <w:t>Entre los aspectos negativos figura</w:t>
      </w:r>
      <w:r>
        <w:t>ba</w:t>
      </w:r>
      <w:r w:rsidRPr="009C6CAD">
        <w:t xml:space="preserve"> la carestía de la vida en Irlanda, su clima imprevisible, la suciedad que algunos ve</w:t>
      </w:r>
      <w:r>
        <w:t>ían en las ciudades y la circunstancia de haber experimentado en ciertos casos sentimientos de soledad e impotencia</w:t>
      </w:r>
      <w:r w:rsidRPr="009C6CAD">
        <w:t xml:space="preserve">. </w:t>
      </w:r>
    </w:p>
    <w:p w:rsidR="000100D5" w:rsidRPr="005C4174" w:rsidRDefault="000100D5" w:rsidP="000100D5">
      <w:pPr>
        <w:pStyle w:val="H4G"/>
      </w:pPr>
      <w:r>
        <w:tab/>
      </w:r>
      <w:r w:rsidRPr="009C6CAD">
        <w:t>c)</w:t>
      </w:r>
      <w:r w:rsidRPr="009C6CAD">
        <w:tab/>
        <w:t>Flash del Eurobar</w:t>
      </w:r>
      <w:r>
        <w:t>ó</w:t>
      </w:r>
      <w:r w:rsidRPr="009C6CAD">
        <w:t>metr</w:t>
      </w:r>
      <w:r>
        <w:t>o</w:t>
      </w:r>
      <w:r w:rsidRPr="009C6CAD">
        <w:t xml:space="preserve"> – </w:t>
      </w:r>
      <w:r>
        <w:t xml:space="preserve">Encuesta sobre </w:t>
      </w:r>
      <w:r w:rsidR="005C4174">
        <w:t>el "Diálogo</w:t>
      </w:r>
      <w:r>
        <w:t xml:space="preserve"> </w:t>
      </w:r>
      <w:r w:rsidRPr="009C6CAD">
        <w:t xml:space="preserve">Intercultural </w:t>
      </w:r>
      <w:r>
        <w:t>e</w:t>
      </w:r>
      <w:r w:rsidRPr="009C6CAD">
        <w:t>n Europ</w:t>
      </w:r>
      <w:r>
        <w:t>a</w:t>
      </w:r>
      <w:r w:rsidR="00E03EF2">
        <w:t>"</w:t>
      </w:r>
      <w:r w:rsidRPr="009C6CAD">
        <w:t xml:space="preserve"> – </w:t>
      </w:r>
      <w:r>
        <w:t>di</w:t>
      </w:r>
      <w:r w:rsidRPr="009C6CAD">
        <w:t>c</w:t>
      </w:r>
      <w:r>
        <w:t>i</w:t>
      </w:r>
      <w:r w:rsidRPr="009C6CAD">
        <w:t>embr</w:t>
      </w:r>
      <w:r>
        <w:t>e de</w:t>
      </w:r>
      <w:r w:rsidRPr="009C6CAD">
        <w:t xml:space="preserve"> 2007</w:t>
      </w:r>
      <w:r w:rsidRPr="00AB5398">
        <w:rPr>
          <w:rStyle w:val="FootnoteReference"/>
          <w:i w:val="0"/>
          <w:lang w:val="en-IE"/>
        </w:rPr>
        <w:footnoteReference w:id="98"/>
      </w:r>
      <w:r w:rsidR="001F5C61" w:rsidRPr="005C4174">
        <w:t>"</w:t>
      </w:r>
    </w:p>
    <w:p w:rsidR="000100D5" w:rsidRPr="00757EE5" w:rsidRDefault="000100D5" w:rsidP="000100D5">
      <w:pPr>
        <w:pStyle w:val="SingleTxtG"/>
      </w:pPr>
      <w:r w:rsidRPr="00757EE5">
        <w:t>378.</w:t>
      </w:r>
      <w:r w:rsidRPr="00757EE5">
        <w:tab/>
        <w:t>Las principales conclusiones de la encuesta del Flash Eurobarómetro, publicada en diciembr</w:t>
      </w:r>
      <w:r>
        <w:t>e</w:t>
      </w:r>
      <w:r w:rsidRPr="00757EE5">
        <w:t xml:space="preserve"> </w:t>
      </w:r>
      <w:r>
        <w:t xml:space="preserve">de </w:t>
      </w:r>
      <w:r w:rsidRPr="00757EE5">
        <w:t>2007</w:t>
      </w:r>
      <w:r>
        <w:t>,</w:t>
      </w:r>
      <w:r w:rsidRPr="00757EE5">
        <w:t xml:space="preserve"> </w:t>
      </w:r>
      <w:r>
        <w:t>en lo</w:t>
      </w:r>
      <w:r w:rsidRPr="00757EE5">
        <w:t xml:space="preserve"> re</w:t>
      </w:r>
      <w:r>
        <w:t>ferente a</w:t>
      </w:r>
      <w:r w:rsidRPr="00757EE5">
        <w:t xml:space="preserve"> Irland</w:t>
      </w:r>
      <w:r>
        <w:t>a,</w:t>
      </w:r>
      <w:r w:rsidRPr="00757EE5">
        <w:t xml:space="preserve"> </w:t>
      </w:r>
      <w:r>
        <w:t>son las siguientes</w:t>
      </w:r>
      <w:r w:rsidRPr="00757EE5">
        <w:t xml:space="preserve">: </w:t>
      </w:r>
    </w:p>
    <w:p w:rsidR="000100D5" w:rsidRPr="004E51E3" w:rsidRDefault="000100D5" w:rsidP="004E51E3">
      <w:pPr>
        <w:pStyle w:val="Bullet1G"/>
      </w:pPr>
      <w:r w:rsidRPr="00757EE5">
        <w:t>El 77% de los ciudadanos irlandeses ha interactuado c</w:t>
      </w:r>
      <w:r w:rsidR="00353427">
        <w:t>on personas de otros grupos. Se </w:t>
      </w:r>
      <w:r w:rsidRPr="00757EE5">
        <w:t xml:space="preserve">han registrado cifras </w:t>
      </w:r>
      <w:r>
        <w:t>bastante</w:t>
      </w:r>
      <w:r w:rsidRPr="00757EE5">
        <w:t xml:space="preserve"> elevadas para las interacciones con personas de diferentes </w:t>
      </w:r>
      <w:r w:rsidRPr="004E51E3">
        <w:t xml:space="preserve">etnias (64%) y para las establecidas con ciudadanos de países no pertenecientes a la UE (50%). Ambos porcentajes han sido también los más altos de la UE. </w:t>
      </w:r>
    </w:p>
    <w:p w:rsidR="000100D5" w:rsidRPr="004E51E3" w:rsidRDefault="000100D5" w:rsidP="004E51E3">
      <w:pPr>
        <w:pStyle w:val="Bullet1G"/>
      </w:pPr>
      <w:r w:rsidRPr="004E51E3">
        <w:t xml:space="preserve">Las cifras correspondientes a Irlanda superan a las demás de la UE por lo que hace a las reuniones en espacios públicos (75%), en los centros educativos (36%) y durante los viajes (39%). Los irlandeses también ostentan la cifra más alta de encuentros, con 3,1 tipos diferentes por persona. </w:t>
      </w:r>
    </w:p>
    <w:p w:rsidR="000100D5" w:rsidRPr="004E51E3" w:rsidRDefault="000100D5" w:rsidP="004E51E3">
      <w:pPr>
        <w:pStyle w:val="Bullet1G"/>
      </w:pPr>
      <w:r w:rsidRPr="004E51E3">
        <w:t xml:space="preserve">Los irlandeses eran también los ciudadanos de la UE que más probabilidades tenían de estar de acuerdo con que sus vidas se habían visto enriquecidas por los contactos interculturales. El 90% de los que aún estaban en el sistema educativo así lo creía. </w:t>
      </w:r>
    </w:p>
    <w:p w:rsidR="000100D5" w:rsidRPr="00175F29" w:rsidRDefault="000100D5" w:rsidP="004E51E3">
      <w:pPr>
        <w:pStyle w:val="Bullet1G"/>
      </w:pPr>
      <w:r w:rsidRPr="004E51E3">
        <w:t>Los irlandeses estaban también entre los ciudadanos que declaraban con más entusiasmo de la UE (sólo por detrás</w:t>
      </w:r>
      <w:r>
        <w:t xml:space="preserve"> de los daneses y los suecos</w:t>
      </w:r>
      <w:r w:rsidRPr="00175F29">
        <w:t xml:space="preserve">) </w:t>
      </w:r>
      <w:r>
        <w:t>que el diálogo</w:t>
      </w:r>
      <w:r w:rsidRPr="00175F29">
        <w:t xml:space="preserve"> intercultural </w:t>
      </w:r>
      <w:r>
        <w:t>era beneficioso</w:t>
      </w:r>
      <w:r w:rsidRPr="00175F29">
        <w:t xml:space="preserve">. </w:t>
      </w:r>
    </w:p>
    <w:p w:rsidR="000100D5" w:rsidRPr="00D43D21" w:rsidRDefault="000100D5" w:rsidP="000100D5">
      <w:pPr>
        <w:pStyle w:val="H4G"/>
      </w:pPr>
      <w:r w:rsidRPr="00175F29">
        <w:tab/>
      </w:r>
      <w:r w:rsidRPr="00D43D21">
        <w:t>d)</w:t>
      </w:r>
      <w:r w:rsidRPr="00D43D21">
        <w:tab/>
        <w:t>Encuesta de la U</w:t>
      </w:r>
      <w:r>
        <w:t>E</w:t>
      </w:r>
      <w:r w:rsidRPr="00D43D21">
        <w:t xml:space="preserve"> </w:t>
      </w:r>
      <w:r>
        <w:t>sobre las m</w:t>
      </w:r>
      <w:r w:rsidRPr="00D43D21">
        <w:t>inor</w:t>
      </w:r>
      <w:r>
        <w:t>ías y</w:t>
      </w:r>
      <w:r w:rsidRPr="00D43D21">
        <w:t xml:space="preserve"> </w:t>
      </w:r>
      <w:r>
        <w:t>la d</w:t>
      </w:r>
      <w:r w:rsidRPr="00D43D21">
        <w:t>iscrimina</w:t>
      </w:r>
      <w:r>
        <w:t>c</w:t>
      </w:r>
      <w:r w:rsidRPr="00D43D21">
        <w:t>i</w:t>
      </w:r>
      <w:r>
        <w:t>ó</w:t>
      </w:r>
      <w:r w:rsidRPr="00D43D21">
        <w:t>n (U</w:t>
      </w:r>
      <w:r>
        <w:t>E</w:t>
      </w:r>
      <w:r w:rsidRPr="00D43D21">
        <w:t>-MIDIS)</w:t>
      </w:r>
      <w:r>
        <w:t>, abril de</w:t>
      </w:r>
      <w:r w:rsidRPr="00D43D21">
        <w:t xml:space="preserve"> 2009</w:t>
      </w:r>
      <w:r w:rsidRPr="009F5754">
        <w:rPr>
          <w:rStyle w:val="FootnoteReference"/>
          <w:i w:val="0"/>
          <w:lang w:val="en-IE"/>
        </w:rPr>
        <w:footnoteReference w:id="99"/>
      </w:r>
    </w:p>
    <w:p w:rsidR="000100D5" w:rsidRPr="00D43D21" w:rsidRDefault="000100D5" w:rsidP="000100D5">
      <w:pPr>
        <w:pStyle w:val="SingleTxtG"/>
      </w:pPr>
      <w:r w:rsidRPr="00D43D21">
        <w:t>379.</w:t>
      </w:r>
      <w:r w:rsidRPr="00D43D21">
        <w:tab/>
        <w:t>Esta encuesta fue encargada por la Agencia de los Derechos Fundamentales de la Uni</w:t>
      </w:r>
      <w:r>
        <w:t>ón Europea y los</w:t>
      </w:r>
      <w:r w:rsidRPr="00D43D21">
        <w:t xml:space="preserve"> result</w:t>
      </w:r>
      <w:r>
        <w:t>ado</w:t>
      </w:r>
      <w:r w:rsidRPr="00D43D21">
        <w:t xml:space="preserve">s </w:t>
      </w:r>
      <w:r>
        <w:t>se</w:t>
      </w:r>
      <w:r w:rsidRPr="00D43D21">
        <w:t xml:space="preserve"> publi</w:t>
      </w:r>
      <w:r>
        <w:t>caron en ab</w:t>
      </w:r>
      <w:r w:rsidRPr="00D43D21">
        <w:t xml:space="preserve">ril </w:t>
      </w:r>
      <w:r>
        <w:t xml:space="preserve">de </w:t>
      </w:r>
      <w:r w:rsidRPr="00D43D21">
        <w:t>2009.</w:t>
      </w:r>
    </w:p>
    <w:p w:rsidR="000100D5" w:rsidRPr="00331E3B" w:rsidRDefault="000100D5" w:rsidP="000100D5">
      <w:pPr>
        <w:pStyle w:val="SingleTxtG"/>
      </w:pPr>
      <w:r w:rsidRPr="00D43D21">
        <w:t>380.</w:t>
      </w:r>
      <w:r w:rsidRPr="00D43D21">
        <w:tab/>
        <w:t xml:space="preserve">En Irlanda, los dos grupos entrevistados fueron los </w:t>
      </w:r>
      <w:r>
        <w:t>nacionales de E</w:t>
      </w:r>
      <w:r w:rsidRPr="00D43D21">
        <w:t>urop</w:t>
      </w:r>
      <w:r>
        <w:t>a</w:t>
      </w:r>
      <w:r w:rsidRPr="00D43D21">
        <w:t xml:space="preserve"> </w:t>
      </w:r>
      <w:r>
        <w:t>c</w:t>
      </w:r>
      <w:r w:rsidRPr="00D43D21">
        <w:t xml:space="preserve">entral </w:t>
      </w:r>
      <w:r>
        <w:t>y</w:t>
      </w:r>
      <w:r w:rsidRPr="00D43D21">
        <w:t xml:space="preserve"> </w:t>
      </w:r>
      <w:r>
        <w:t>oriental y los procedentes de países africanos</w:t>
      </w:r>
      <w:r w:rsidRPr="00D43D21">
        <w:t xml:space="preserve"> </w:t>
      </w:r>
      <w:r>
        <w:t>s</w:t>
      </w:r>
      <w:r w:rsidRPr="00D43D21">
        <w:t>ub</w:t>
      </w:r>
      <w:r>
        <w:t>s</w:t>
      </w:r>
      <w:r w:rsidRPr="00D43D21">
        <w:t>ahar</w:t>
      </w:r>
      <w:r>
        <w:t>i</w:t>
      </w:r>
      <w:r w:rsidRPr="00D43D21">
        <w:t>an</w:t>
      </w:r>
      <w:r>
        <w:t>os</w:t>
      </w:r>
      <w:r w:rsidRPr="00D43D21">
        <w:t xml:space="preserve">. </w:t>
      </w:r>
      <w:r w:rsidRPr="00331E3B">
        <w:t>Algunos resultados muestran a Irland</w:t>
      </w:r>
      <w:r>
        <w:t>a</w:t>
      </w:r>
      <w:r w:rsidRPr="00331E3B">
        <w:t xml:space="preserve"> bajo una luz positiva, mientras que otros </w:t>
      </w:r>
      <w:r>
        <w:t>suscitan cierta preocupació</w:t>
      </w:r>
      <w:r w:rsidRPr="00331E3B">
        <w:t>n:</w:t>
      </w:r>
    </w:p>
    <w:p w:rsidR="000100D5" w:rsidRPr="004E51E3" w:rsidRDefault="000100D5" w:rsidP="004E51E3">
      <w:pPr>
        <w:pStyle w:val="Bullet1G"/>
      </w:pPr>
      <w:r w:rsidRPr="00331E3B">
        <w:t>Por ejemplo, el 73% de los</w:t>
      </w:r>
      <w:r>
        <w:t xml:space="preserve"> </w:t>
      </w:r>
      <w:r w:rsidRPr="00331E3B">
        <w:t>encuestados del grupo de africanos subsaharian</w:t>
      </w:r>
      <w:r>
        <w:t>os</w:t>
      </w:r>
      <w:r w:rsidRPr="00331E3B">
        <w:t xml:space="preserve"> </w:t>
      </w:r>
      <w:r>
        <w:t>opinaba que la</w:t>
      </w:r>
      <w:r w:rsidRPr="00331E3B">
        <w:t xml:space="preserve"> </w:t>
      </w:r>
      <w:r w:rsidRPr="004E51E3">
        <w:t>discriminación basada en el origen étnico o en la inmigración estaba muy generalizada en Irlanda, lo que situaba a ese país en el puesto 14º de una lista de 45 grupos.</w:t>
      </w:r>
    </w:p>
    <w:p w:rsidR="000100D5" w:rsidRPr="009215CC" w:rsidRDefault="000100D5" w:rsidP="004E51E3">
      <w:pPr>
        <w:pStyle w:val="Bullet1G"/>
      </w:pPr>
      <w:r w:rsidRPr="004E51E3">
        <w:t xml:space="preserve">En Irlanda, el 76% de los encuestados del grupo </w:t>
      </w:r>
      <w:r w:rsidR="004E51E3">
        <w:t>de africanos subsaharianos y el </w:t>
      </w:r>
      <w:r w:rsidRPr="004E51E3">
        <w:t>63% de los grupos de Europa central y oriental no conocía ninguna organización que ofreciera apoyo y asesoramiento</w:t>
      </w:r>
      <w:r>
        <w:t xml:space="preserve"> a las</w:t>
      </w:r>
      <w:r w:rsidRPr="009215CC">
        <w:t xml:space="preserve"> pe</w:t>
      </w:r>
      <w:r>
        <w:t>rs</w:t>
      </w:r>
      <w:r w:rsidRPr="009215CC">
        <w:t>o</w:t>
      </w:r>
      <w:r>
        <w:t>nas que habían sido víctimas de</w:t>
      </w:r>
      <w:r w:rsidRPr="009215CC">
        <w:t xml:space="preserve"> discrimina</w:t>
      </w:r>
      <w:r>
        <w:t>ción, lo que situaba a</w:t>
      </w:r>
      <w:r w:rsidRPr="009215CC">
        <w:t xml:space="preserve"> Irlanda en los puestos 36</w:t>
      </w:r>
      <w:r>
        <w:t>º</w:t>
      </w:r>
      <w:r w:rsidRPr="009215CC">
        <w:t xml:space="preserve"> </w:t>
      </w:r>
      <w:r>
        <w:t>y</w:t>
      </w:r>
      <w:r w:rsidRPr="009215CC">
        <w:t xml:space="preserve"> 42</w:t>
      </w:r>
      <w:r>
        <w:t xml:space="preserve">º </w:t>
      </w:r>
      <w:r w:rsidRPr="009215CC">
        <w:t>d</w:t>
      </w:r>
      <w:r>
        <w:t>e</w:t>
      </w:r>
      <w:r w:rsidRPr="009215CC">
        <w:t xml:space="preserve"> </w:t>
      </w:r>
      <w:r>
        <w:t>un</w:t>
      </w:r>
      <w:r w:rsidRPr="009215CC">
        <w:t>a list</w:t>
      </w:r>
      <w:r>
        <w:t>a</w:t>
      </w:r>
      <w:r w:rsidRPr="009215CC">
        <w:t xml:space="preserve"> </w:t>
      </w:r>
      <w:r>
        <w:t>de</w:t>
      </w:r>
      <w:r w:rsidRPr="009215CC">
        <w:t xml:space="preserve"> 45 </w:t>
      </w:r>
      <w:r>
        <w:t>países</w:t>
      </w:r>
      <w:r w:rsidRPr="009215CC">
        <w:t xml:space="preserve">. </w:t>
      </w:r>
    </w:p>
    <w:p w:rsidR="000100D5" w:rsidRPr="00FE7CE5" w:rsidRDefault="000100D5" w:rsidP="000100D5">
      <w:pPr>
        <w:pStyle w:val="SingleTxtG"/>
      </w:pPr>
      <w:r w:rsidRPr="0078066B">
        <w:t>381.</w:t>
      </w:r>
      <w:r w:rsidRPr="0078066B">
        <w:tab/>
        <w:t>La Oficina del Ministro para la Integración ha acogido con satisfacci</w:t>
      </w:r>
      <w:r>
        <w:t xml:space="preserve">ón el informe sobre la encuesta de la </w:t>
      </w:r>
      <w:r w:rsidRPr="0078066B">
        <w:t>U</w:t>
      </w:r>
      <w:r>
        <w:t>E</w:t>
      </w:r>
      <w:r w:rsidRPr="0078066B">
        <w:t>-MIDIS. Sus resultados ilustran los retos planteados por la inmigració</w:t>
      </w:r>
      <w:r>
        <w:t>n</w:t>
      </w:r>
      <w:r w:rsidRPr="0078066B">
        <w:t xml:space="preserve"> e </w:t>
      </w:r>
      <w:r>
        <w:t>indican</w:t>
      </w:r>
      <w:r w:rsidRPr="0078066B">
        <w:t xml:space="preserve"> efectivamente que muchos pa</w:t>
      </w:r>
      <w:r>
        <w:t>íses con una historia mucho más larga de</w:t>
      </w:r>
      <w:r w:rsidRPr="0078066B">
        <w:t xml:space="preserve"> i</w:t>
      </w:r>
      <w:r>
        <w:t>n</w:t>
      </w:r>
      <w:r w:rsidRPr="0078066B">
        <w:t>migra</w:t>
      </w:r>
      <w:r>
        <w:t>c</w:t>
      </w:r>
      <w:r w:rsidRPr="0078066B">
        <w:t>i</w:t>
      </w:r>
      <w:r>
        <w:t>ó</w:t>
      </w:r>
      <w:r w:rsidRPr="0078066B">
        <w:t xml:space="preserve">n </w:t>
      </w:r>
      <w:r>
        <w:t>que</w:t>
      </w:r>
      <w:r w:rsidRPr="0078066B">
        <w:t xml:space="preserve"> Irland</w:t>
      </w:r>
      <w:r>
        <w:t>a hacen frente aún a grandes desafíos</w:t>
      </w:r>
      <w:r w:rsidRPr="0078066B">
        <w:t>. No obstante, la Oficina del Ministro para la Integración se ha mostrado preocupad</w:t>
      </w:r>
      <w:r>
        <w:t>a</w:t>
      </w:r>
      <w:r w:rsidRPr="0078066B">
        <w:t xml:space="preserve"> por los métodos </w:t>
      </w:r>
      <w:r>
        <w:t xml:space="preserve">de muestreo </w:t>
      </w:r>
      <w:r w:rsidRPr="0078066B">
        <w:t>u</w:t>
      </w:r>
      <w:r>
        <w:t>tilizados en</w:t>
      </w:r>
      <w:r w:rsidRPr="0078066B">
        <w:t xml:space="preserve"> Irland</w:t>
      </w:r>
      <w:r>
        <w:t>a,</w:t>
      </w:r>
      <w:r w:rsidRPr="0078066B">
        <w:t xml:space="preserve"> </w:t>
      </w:r>
      <w:r>
        <w:t>que fueron diferentes a los de</w:t>
      </w:r>
      <w:r w:rsidRPr="0078066B">
        <w:t xml:space="preserve"> </w:t>
      </w:r>
      <w:r>
        <w:t>la mayoría de los demás países</w:t>
      </w:r>
      <w:r w:rsidRPr="0078066B">
        <w:t xml:space="preserve">. </w:t>
      </w:r>
      <w:r w:rsidRPr="00FC41FE">
        <w:t xml:space="preserve">Parece ser que </w:t>
      </w:r>
      <w:r>
        <w:t xml:space="preserve">en Irlanda </w:t>
      </w:r>
      <w:r w:rsidRPr="00FC41FE">
        <w:t xml:space="preserve">se desechó el método de muestreo aleatorio </w:t>
      </w:r>
      <w:r>
        <w:t>aplicado en otros países,</w:t>
      </w:r>
      <w:r w:rsidRPr="00FC41FE">
        <w:t xml:space="preserve"> </w:t>
      </w:r>
      <w:r>
        <w:t>a</w:t>
      </w:r>
      <w:r w:rsidRPr="00FC41FE">
        <w:t>parent</w:t>
      </w:r>
      <w:r>
        <w:t>emente porque</w:t>
      </w:r>
      <w:r w:rsidRPr="00FC41FE">
        <w:t xml:space="preserve"> no </w:t>
      </w:r>
      <w:r>
        <w:t>había suficientes encuestados</w:t>
      </w:r>
      <w:r w:rsidRPr="00FC41FE">
        <w:t xml:space="preserve">. </w:t>
      </w:r>
      <w:r w:rsidRPr="00FE7CE5">
        <w:t xml:space="preserve">Otro motivo de preocupación </w:t>
      </w:r>
      <w:r>
        <w:t xml:space="preserve">es que la zona de cobertura de </w:t>
      </w:r>
      <w:r w:rsidRPr="00FE7CE5">
        <w:t>las entrevistas en Irlanda se limit</w:t>
      </w:r>
      <w:r>
        <w:t>ó exclusivamente al área</w:t>
      </w:r>
      <w:r w:rsidR="005007D6">
        <w:t xml:space="preserve"> </w:t>
      </w:r>
      <w:r>
        <w:t>m</w:t>
      </w:r>
      <w:r w:rsidRPr="00FE7CE5">
        <w:t>etropolitan</w:t>
      </w:r>
      <w:r>
        <w:t>a de Dublín</w:t>
      </w:r>
      <w:r w:rsidRPr="00FE7CE5">
        <w:t>.</w:t>
      </w:r>
    </w:p>
    <w:p w:rsidR="000100D5" w:rsidRPr="00FE7CE5" w:rsidRDefault="000100D5" w:rsidP="000100D5">
      <w:pPr>
        <w:pStyle w:val="H4G"/>
      </w:pPr>
      <w:r>
        <w:tab/>
      </w:r>
      <w:r w:rsidRPr="00FE7CE5">
        <w:t>e)</w:t>
      </w:r>
      <w:r w:rsidRPr="00FE7CE5">
        <w:tab/>
        <w:t xml:space="preserve">Investigación sobre los problemas y desafíos en la contratación y selección </w:t>
      </w:r>
      <w:r>
        <w:t>de trabajadores</w:t>
      </w:r>
      <w:r w:rsidR="005007D6">
        <w:t xml:space="preserve"> </w:t>
      </w:r>
      <w:r w:rsidRPr="00FE7CE5">
        <w:t>i</w:t>
      </w:r>
      <w:r>
        <w:t>n</w:t>
      </w:r>
      <w:r w:rsidRPr="00FE7CE5">
        <w:t>migrant</w:t>
      </w:r>
      <w:r>
        <w:t>es en</w:t>
      </w:r>
      <w:r w:rsidRPr="00FE7CE5">
        <w:t xml:space="preserve"> Irland</w:t>
      </w:r>
      <w:r>
        <w:t>a</w:t>
      </w:r>
      <w:r w:rsidRPr="00154E66">
        <w:rPr>
          <w:rStyle w:val="FootnoteReference"/>
          <w:i w:val="0"/>
          <w:lang w:val="en-IE"/>
        </w:rPr>
        <w:footnoteReference w:id="100"/>
      </w:r>
    </w:p>
    <w:p w:rsidR="000100D5" w:rsidRPr="009B0729" w:rsidRDefault="000100D5" w:rsidP="000100D5">
      <w:pPr>
        <w:pStyle w:val="SingleTxtG"/>
      </w:pPr>
      <w:r w:rsidRPr="009B0729">
        <w:t>382.</w:t>
      </w:r>
      <w:r w:rsidRPr="009B0729">
        <w:tab/>
        <w:t xml:space="preserve">Esta investigación fue financiada en parte por la Oficina </w:t>
      </w:r>
      <w:r>
        <w:t xml:space="preserve">del Ministro </w:t>
      </w:r>
      <w:r w:rsidRPr="009B0729">
        <w:t>para la Integración y la Comisi</w:t>
      </w:r>
      <w:r>
        <w:t>ón de Nombramientos</w:t>
      </w:r>
      <w:r w:rsidRPr="009B0729">
        <w:t xml:space="preserve"> P</w:t>
      </w:r>
      <w:r>
        <w:t>ú</w:t>
      </w:r>
      <w:r w:rsidRPr="009B0729">
        <w:t>blic</w:t>
      </w:r>
      <w:r>
        <w:t>os</w:t>
      </w:r>
      <w:r w:rsidRPr="009B0729">
        <w:t xml:space="preserve">. Las conclusiones de la investigación se hicieron públicas en julio de 2009. La investigación ha puesto de relieve los grandes obstáculos con que tropiezan los </w:t>
      </w:r>
      <w:r>
        <w:t xml:space="preserve">inmigrantes </w:t>
      </w:r>
      <w:r w:rsidRPr="009B0729">
        <w:t xml:space="preserve">solicitantes de empleo en Irlanda </w:t>
      </w:r>
      <w:r>
        <w:t>e</w:t>
      </w:r>
      <w:r w:rsidRPr="009B0729">
        <w:t xml:space="preserve"> identifi</w:t>
      </w:r>
      <w:r>
        <w:t>ca la</w:t>
      </w:r>
      <w:r w:rsidRPr="009B0729">
        <w:t xml:space="preserve"> ne</w:t>
      </w:r>
      <w:r>
        <w:t>c</w:t>
      </w:r>
      <w:r w:rsidRPr="009B0729">
        <w:t>e</w:t>
      </w:r>
      <w:r>
        <w:t>sida</w:t>
      </w:r>
      <w:r w:rsidRPr="009B0729">
        <w:t xml:space="preserve">d </w:t>
      </w:r>
      <w:r>
        <w:t>de que l</w:t>
      </w:r>
      <w:r w:rsidRPr="009B0729">
        <w:t>o</w:t>
      </w:r>
      <w:r>
        <w:t>s</w:t>
      </w:r>
      <w:r w:rsidRPr="009B0729">
        <w:t xml:space="preserve"> empl</w:t>
      </w:r>
      <w:r>
        <w:t>ead</w:t>
      </w:r>
      <w:r w:rsidRPr="009B0729">
        <w:t>or</w:t>
      </w:r>
      <w:r>
        <w:t>e</w:t>
      </w:r>
      <w:r w:rsidRPr="009B0729">
        <w:t xml:space="preserve">s </w:t>
      </w:r>
      <w:r>
        <w:t>se muestren más conscientes y</w:t>
      </w:r>
      <w:r w:rsidRPr="009B0729">
        <w:t xml:space="preserve"> proactiv</w:t>
      </w:r>
      <w:r>
        <w:t>os</w:t>
      </w:r>
      <w:r w:rsidRPr="009B0729">
        <w:t xml:space="preserve"> </w:t>
      </w:r>
      <w:r>
        <w:t>para garantizar la</w:t>
      </w:r>
      <w:r w:rsidRPr="009B0729">
        <w:t xml:space="preserve"> </w:t>
      </w:r>
      <w:r>
        <w:t>ig</w:t>
      </w:r>
      <w:r w:rsidRPr="009B0729">
        <w:t>ual</w:t>
      </w:r>
      <w:r>
        <w:t>dad de</w:t>
      </w:r>
      <w:r w:rsidRPr="009B0729">
        <w:t xml:space="preserve"> oportuni</w:t>
      </w:r>
      <w:r>
        <w:t>dades, en</w:t>
      </w:r>
      <w:r w:rsidRPr="009B0729">
        <w:t xml:space="preserve"> particular </w:t>
      </w:r>
      <w:r>
        <w:t>e</w:t>
      </w:r>
      <w:r w:rsidRPr="009B0729">
        <w:t xml:space="preserve">n </w:t>
      </w:r>
      <w:r>
        <w:t>el mercado actual de trabajo</w:t>
      </w:r>
      <w:r w:rsidRPr="009B0729">
        <w:t>.</w:t>
      </w:r>
    </w:p>
    <w:p w:rsidR="000100D5" w:rsidRPr="008617B9" w:rsidRDefault="000100D5" w:rsidP="000100D5">
      <w:pPr>
        <w:pStyle w:val="SingleTxtG"/>
        <w:rPr>
          <w:bCs/>
        </w:rPr>
      </w:pPr>
      <w:r w:rsidRPr="002D4383">
        <w:t>383</w:t>
      </w:r>
      <w:r w:rsidRPr="002D4383">
        <w:rPr>
          <w:bCs/>
        </w:rPr>
        <w:t>.</w:t>
      </w:r>
      <w:r w:rsidRPr="002D4383">
        <w:rPr>
          <w:bCs/>
        </w:rPr>
        <w:tab/>
        <w:t>En el informe sobre la investigación</w:t>
      </w:r>
      <w:r w:rsidRPr="002D4383">
        <w:t xml:space="preserve"> se han detectado algunos </w:t>
      </w:r>
      <w:r>
        <w:t xml:space="preserve">de los principales </w:t>
      </w:r>
      <w:r w:rsidRPr="002D4383">
        <w:t xml:space="preserve">obstáculos </w:t>
      </w:r>
      <w:r>
        <w:t xml:space="preserve">con </w:t>
      </w:r>
      <w:r w:rsidRPr="002D4383">
        <w:t xml:space="preserve">que los inmigrantes </w:t>
      </w:r>
      <w:r>
        <w:t>tropeza</w:t>
      </w:r>
      <w:r w:rsidRPr="002D4383">
        <w:t>ron al tratar de obtener un empleo</w:t>
      </w:r>
      <w:r>
        <w:t>, como</w:t>
      </w:r>
      <w:r w:rsidRPr="002D4383">
        <w:t xml:space="preserve"> la</w:t>
      </w:r>
      <w:r>
        <w:t xml:space="preserve"> </w:t>
      </w:r>
      <w:r w:rsidRPr="002D4383">
        <w:t>f</w:t>
      </w:r>
      <w:r>
        <w:t>alta de</w:t>
      </w:r>
      <w:r w:rsidRPr="002D4383">
        <w:t xml:space="preserve"> informa</w:t>
      </w:r>
      <w:r>
        <w:t>c</w:t>
      </w:r>
      <w:r w:rsidRPr="002D4383">
        <w:t>i</w:t>
      </w:r>
      <w:r>
        <w:t>ón</w:t>
      </w:r>
      <w:r w:rsidRPr="002D4383">
        <w:t xml:space="preserve"> </w:t>
      </w:r>
      <w:r>
        <w:t>e</w:t>
      </w:r>
      <w:r w:rsidRPr="002D4383">
        <w:t>n rela</w:t>
      </w:r>
      <w:r>
        <w:t>c</w:t>
      </w:r>
      <w:r w:rsidRPr="002D4383">
        <w:t>i</w:t>
      </w:r>
      <w:r>
        <w:t>ó</w:t>
      </w:r>
      <w:r w:rsidRPr="002D4383">
        <w:t xml:space="preserve">n </w:t>
      </w:r>
      <w:r>
        <w:t>con el procedimiento de búsqueda de empleo</w:t>
      </w:r>
      <w:r w:rsidRPr="002D4383">
        <w:t xml:space="preserve">, </w:t>
      </w:r>
      <w:r>
        <w:t>la preferencia percibida entre los empleadores</w:t>
      </w:r>
      <w:r w:rsidRPr="002D4383">
        <w:t xml:space="preserve"> </w:t>
      </w:r>
      <w:r>
        <w:t>p</w:t>
      </w:r>
      <w:r w:rsidRPr="002D4383">
        <w:t xml:space="preserve">or </w:t>
      </w:r>
      <w:r>
        <w:t xml:space="preserve">la </w:t>
      </w:r>
      <w:r w:rsidRPr="002D4383">
        <w:t>experienc</w:t>
      </w:r>
      <w:r>
        <w:t>ia y las</w:t>
      </w:r>
      <w:r w:rsidRPr="002D4383">
        <w:t xml:space="preserve"> referenc</w:t>
      </w:r>
      <w:r>
        <w:t>ia</w:t>
      </w:r>
      <w:r w:rsidRPr="002D4383">
        <w:t xml:space="preserve">s </w:t>
      </w:r>
      <w:r>
        <w:t>adquiridas en Irlanda y las di</w:t>
      </w:r>
      <w:r w:rsidRPr="002D4383">
        <w:t>ficult</w:t>
      </w:r>
      <w:r>
        <w:t>ad</w:t>
      </w:r>
      <w:r w:rsidRPr="002D4383">
        <w:t xml:space="preserve">es </w:t>
      </w:r>
      <w:r>
        <w:t>para homologar los títulos</w:t>
      </w:r>
      <w:r w:rsidRPr="002D4383">
        <w:t xml:space="preserve">. </w:t>
      </w:r>
      <w:r w:rsidRPr="008617B9">
        <w:t xml:space="preserve">El informe </w:t>
      </w:r>
      <w:r>
        <w:t>destacaba</w:t>
      </w:r>
      <w:r w:rsidRPr="008617B9">
        <w:t xml:space="preserve"> también las diferentes opiniones que los </w:t>
      </w:r>
      <w:r>
        <w:t xml:space="preserve">inmigrantes </w:t>
      </w:r>
      <w:r w:rsidRPr="008617B9">
        <w:t xml:space="preserve">solicitantes de empleo y los empleadores </w:t>
      </w:r>
      <w:r>
        <w:t xml:space="preserve">a menudo </w:t>
      </w:r>
      <w:r w:rsidRPr="008617B9">
        <w:t>ten</w:t>
      </w:r>
      <w:r>
        <w:t>ían</w:t>
      </w:r>
      <w:r w:rsidRPr="008617B9">
        <w:t xml:space="preserve"> </w:t>
      </w:r>
      <w:r>
        <w:t>e</w:t>
      </w:r>
      <w:r w:rsidRPr="008617B9">
        <w:t>n rela</w:t>
      </w:r>
      <w:r>
        <w:t>c</w:t>
      </w:r>
      <w:r w:rsidRPr="008617B9">
        <w:t>i</w:t>
      </w:r>
      <w:r>
        <w:t>ó</w:t>
      </w:r>
      <w:r w:rsidRPr="008617B9">
        <w:t xml:space="preserve">n </w:t>
      </w:r>
      <w:r>
        <w:t>con el proceso de</w:t>
      </w:r>
      <w:r w:rsidRPr="008617B9">
        <w:t xml:space="preserve"> selec</w:t>
      </w:r>
      <w:r>
        <w:t>c</w:t>
      </w:r>
      <w:r w:rsidRPr="008617B9">
        <w:t>i</w:t>
      </w:r>
      <w:r>
        <w:t>ó</w:t>
      </w:r>
      <w:r w:rsidRPr="008617B9">
        <w:t>n</w:t>
      </w:r>
      <w:r>
        <w:t xml:space="preserve"> y el grado de transparencia y equidad</w:t>
      </w:r>
      <w:r w:rsidRPr="008617B9">
        <w:t xml:space="preserve">. </w:t>
      </w:r>
    </w:p>
    <w:p w:rsidR="000100D5" w:rsidRPr="00FD5284" w:rsidRDefault="000100D5" w:rsidP="000100D5">
      <w:pPr>
        <w:pStyle w:val="SingleTxtG"/>
        <w:rPr>
          <w:bCs/>
        </w:rPr>
      </w:pPr>
      <w:r w:rsidRPr="008617B9">
        <w:t>384</w:t>
      </w:r>
      <w:r w:rsidRPr="008617B9">
        <w:rPr>
          <w:bCs/>
        </w:rPr>
        <w:t>.</w:t>
      </w:r>
      <w:r w:rsidRPr="008617B9">
        <w:rPr>
          <w:bCs/>
        </w:rPr>
        <w:tab/>
        <w:t>El informe brinda</w:t>
      </w:r>
      <w:r w:rsidRPr="008617B9">
        <w:t xml:space="preserve"> una perspectiva y unos consejos útiles a los empleadores </w:t>
      </w:r>
      <w:r>
        <w:t>que tratan de garantizar la equidad y la adaptación a las necesidades de los inmigrantes en sus procesos de contratación</w:t>
      </w:r>
      <w:r w:rsidRPr="008617B9">
        <w:t xml:space="preserve">. </w:t>
      </w:r>
      <w:r w:rsidRPr="00FD5284">
        <w:t>Para obtener un ejemplar del documento, así como información sobre las mencionadas iniciativa</w:t>
      </w:r>
      <w:r>
        <w:t>s</w:t>
      </w:r>
      <w:r w:rsidRPr="00FD5284">
        <w:t>, se ruega consultar la sección de publicaciones del sitio</w:t>
      </w:r>
      <w:r w:rsidR="005007D6">
        <w:t xml:space="preserve"> </w:t>
      </w:r>
      <w:r w:rsidRPr="00FD5284">
        <w:t>web de la Ofic</w:t>
      </w:r>
      <w:r>
        <w:t>ina del</w:t>
      </w:r>
      <w:r w:rsidRPr="00FD5284">
        <w:t xml:space="preserve"> Ministr</w:t>
      </w:r>
      <w:r>
        <w:t>o para la</w:t>
      </w:r>
      <w:r w:rsidRPr="00FD5284">
        <w:t xml:space="preserve"> Integra</w:t>
      </w:r>
      <w:r>
        <w:t>c</w:t>
      </w:r>
      <w:r w:rsidRPr="00FD5284">
        <w:t>i</w:t>
      </w:r>
      <w:r>
        <w:t>ó</w:t>
      </w:r>
      <w:r w:rsidRPr="00FD5284">
        <w:t>n</w:t>
      </w:r>
      <w:r>
        <w:t>,</w:t>
      </w:r>
      <w:r w:rsidRPr="00FD5284">
        <w:t xml:space="preserve"> </w:t>
      </w:r>
      <w:r>
        <w:t>en</w:t>
      </w:r>
      <w:r w:rsidRPr="00FD5284">
        <w:rPr>
          <w:bCs/>
        </w:rPr>
        <w:t xml:space="preserve"> www.integration.ie</w:t>
      </w:r>
      <w:r>
        <w:rPr>
          <w:bCs/>
        </w:rPr>
        <w:t>,</w:t>
      </w:r>
      <w:r w:rsidRPr="00FD5284">
        <w:t xml:space="preserve"> o</w:t>
      </w:r>
      <w:r>
        <w:t xml:space="preserve"> en el sitio web del Servicio de Nombramientos</w:t>
      </w:r>
      <w:r w:rsidRPr="00FD5284">
        <w:t xml:space="preserve"> P</w:t>
      </w:r>
      <w:r>
        <w:t>ú</w:t>
      </w:r>
      <w:r w:rsidRPr="00FD5284">
        <w:t>blic</w:t>
      </w:r>
      <w:r>
        <w:t>os, en</w:t>
      </w:r>
      <w:r w:rsidRPr="00FD5284">
        <w:t xml:space="preserve"> </w:t>
      </w:r>
      <w:r w:rsidRPr="00FD5284">
        <w:rPr>
          <w:bCs/>
        </w:rPr>
        <w:t xml:space="preserve">www.publicjobs.ie. </w:t>
      </w:r>
      <w:r>
        <w:rPr>
          <w:bCs/>
        </w:rPr>
        <w:t>Para más</w:t>
      </w:r>
      <w:r w:rsidRPr="00FD5284">
        <w:t xml:space="preserve"> informa</w:t>
      </w:r>
      <w:r>
        <w:t>c</w:t>
      </w:r>
      <w:r w:rsidRPr="00FD5284">
        <w:t>i</w:t>
      </w:r>
      <w:r>
        <w:t>ó</w:t>
      </w:r>
      <w:r w:rsidRPr="00FD5284">
        <w:t xml:space="preserve">n </w:t>
      </w:r>
      <w:r>
        <w:t>s</w:t>
      </w:r>
      <w:r w:rsidRPr="00FD5284">
        <w:t>o</w:t>
      </w:r>
      <w:r>
        <w:t>bre</w:t>
      </w:r>
      <w:r w:rsidRPr="00FD5284">
        <w:t xml:space="preserve"> </w:t>
      </w:r>
      <w:r>
        <w:t>esa investigación, sírvanse consultar el párrafo</w:t>
      </w:r>
      <w:r w:rsidRPr="00FD5284">
        <w:t xml:space="preserve"> 63 </w:t>
      </w:r>
      <w:r>
        <w:t>del presente informe</w:t>
      </w:r>
      <w:r w:rsidRPr="00FD5284">
        <w:t>.</w:t>
      </w:r>
    </w:p>
    <w:p w:rsidR="000100D5" w:rsidRPr="00FD5284" w:rsidRDefault="000100D5" w:rsidP="000100D5">
      <w:pPr>
        <w:pStyle w:val="H4G"/>
      </w:pPr>
      <w:r>
        <w:tab/>
      </w:r>
      <w:r w:rsidRPr="00FD5284">
        <w:t>f)</w:t>
      </w:r>
      <w:r w:rsidRPr="00FD5284">
        <w:tab/>
        <w:t>Oficina Central de Estadística – Censo de la poblaci</w:t>
      </w:r>
      <w:r>
        <w:t>ón de</w:t>
      </w:r>
      <w:r w:rsidRPr="00FD5284">
        <w:t xml:space="preserve"> 2006 </w:t>
      </w:r>
      <w:r>
        <w:t>e informes conexos</w:t>
      </w:r>
    </w:p>
    <w:p w:rsidR="000100D5" w:rsidRPr="00D45120" w:rsidRDefault="000100D5" w:rsidP="000100D5">
      <w:pPr>
        <w:pStyle w:val="SingleTxtG"/>
        <w:rPr>
          <w:bCs/>
        </w:rPr>
      </w:pPr>
      <w:r w:rsidRPr="00FD5284">
        <w:t>385</w:t>
      </w:r>
      <w:r w:rsidRPr="00FD5284">
        <w:rPr>
          <w:bCs/>
        </w:rPr>
        <w:t>.</w:t>
      </w:r>
      <w:r w:rsidRPr="00FD5284">
        <w:rPr>
          <w:bCs/>
        </w:rPr>
        <w:tab/>
        <w:t>El</w:t>
      </w:r>
      <w:r w:rsidRPr="00FD5284">
        <w:t xml:space="preserve"> Gobierno ha </w:t>
      </w:r>
      <w:r>
        <w:t>adoptado</w:t>
      </w:r>
      <w:r w:rsidRPr="00FD5284">
        <w:t xml:space="preserve"> una serie de instrumentos </w:t>
      </w:r>
      <w:r w:rsidR="005C4174" w:rsidRPr="00FD5284">
        <w:t>políticos</w:t>
      </w:r>
      <w:r w:rsidRPr="00FD5284">
        <w:t xml:space="preserve"> </w:t>
      </w:r>
      <w:r>
        <w:t>esenciales</w:t>
      </w:r>
      <w:r w:rsidRPr="00FD5284">
        <w:t xml:space="preserve"> </w:t>
      </w:r>
      <w:r>
        <w:t xml:space="preserve">con miras </w:t>
      </w:r>
      <w:r w:rsidRPr="00FD5284">
        <w:t xml:space="preserve">a evaluar las dimensiones de la diversidad cultural y </w:t>
      </w:r>
      <w:r>
        <w:t>é</w:t>
      </w:r>
      <w:r w:rsidRPr="00FD5284">
        <w:t>tnic</w:t>
      </w:r>
      <w:r>
        <w:t>a</w:t>
      </w:r>
      <w:r w:rsidRPr="00FD5284">
        <w:t xml:space="preserve"> </w:t>
      </w:r>
      <w:r>
        <w:t>e</w:t>
      </w:r>
      <w:r w:rsidRPr="00FD5284">
        <w:t>n Irland</w:t>
      </w:r>
      <w:r>
        <w:t>a</w:t>
      </w:r>
      <w:r w:rsidRPr="00FD5284">
        <w:t xml:space="preserve"> </w:t>
      </w:r>
      <w:r>
        <w:t>y facilitar elementos de referencia para la</w:t>
      </w:r>
      <w:r w:rsidRPr="00FD5284">
        <w:t xml:space="preserve"> plan</w:t>
      </w:r>
      <w:r>
        <w:t>ificación, lo que se ha logrado principalmente a través del c</w:t>
      </w:r>
      <w:r w:rsidRPr="00987945">
        <w:t xml:space="preserve">enso de Irlanda. En el </w:t>
      </w:r>
      <w:r>
        <w:t>c</w:t>
      </w:r>
      <w:r w:rsidRPr="00987945">
        <w:t xml:space="preserve">enso de 2006 se formuló por primera vez la pregunta sobre la diversidad </w:t>
      </w:r>
      <w:r>
        <w:t>étnica y cultural</w:t>
      </w:r>
      <w:r w:rsidRPr="00987945">
        <w:t xml:space="preserve">. </w:t>
      </w:r>
      <w:r>
        <w:t>Entre otras, se incluyeron preguntas sobre los siguientes aspectos</w:t>
      </w:r>
      <w:r w:rsidRPr="00D45120">
        <w:t xml:space="preserve">: </w:t>
      </w:r>
    </w:p>
    <w:p w:rsidR="000100D5" w:rsidRPr="004E51E3" w:rsidRDefault="000100D5" w:rsidP="004E51E3">
      <w:pPr>
        <w:pStyle w:val="Bullet1G"/>
      </w:pPr>
      <w:r w:rsidRPr="004E51E3">
        <w:t>Diversidad étnica y</w:t>
      </w:r>
      <w:r w:rsidR="00FB2F91" w:rsidRPr="004E51E3">
        <w:t xml:space="preserve"> cultural;</w:t>
      </w:r>
    </w:p>
    <w:p w:rsidR="000100D5" w:rsidRPr="004E51E3" w:rsidRDefault="000100D5" w:rsidP="004E51E3">
      <w:pPr>
        <w:pStyle w:val="Bullet1G"/>
      </w:pPr>
      <w:r w:rsidRPr="004E51E3">
        <w:t xml:space="preserve">Nacionalidad </w:t>
      </w:r>
      <w:r w:rsidR="00FB2F91" w:rsidRPr="004E51E3">
        <w:t>;</w:t>
      </w:r>
    </w:p>
    <w:p w:rsidR="000100D5" w:rsidRPr="004E51E3" w:rsidRDefault="000100D5" w:rsidP="004E51E3">
      <w:pPr>
        <w:pStyle w:val="Bullet1G"/>
      </w:pPr>
      <w:r w:rsidRPr="004E51E3">
        <w:t xml:space="preserve">Lugar de nacimiento </w:t>
      </w:r>
      <w:r w:rsidR="00FB2F91" w:rsidRPr="004E51E3">
        <w:t>;</w:t>
      </w:r>
    </w:p>
    <w:p w:rsidR="000100D5" w:rsidRPr="004E51E3" w:rsidRDefault="000100D5" w:rsidP="004E51E3">
      <w:pPr>
        <w:pStyle w:val="Bullet1G"/>
      </w:pPr>
      <w:r w:rsidRPr="004E51E3">
        <w:t>Religión</w:t>
      </w:r>
      <w:r w:rsidR="00FB2F91" w:rsidRPr="004E51E3">
        <w:t>.</w:t>
      </w:r>
    </w:p>
    <w:p w:rsidR="000100D5" w:rsidRPr="007156DF" w:rsidRDefault="000100D5" w:rsidP="000100D5">
      <w:pPr>
        <w:pStyle w:val="SingleTxtG"/>
      </w:pPr>
      <w:r w:rsidRPr="00987945">
        <w:t>386.</w:t>
      </w:r>
      <w:r w:rsidRPr="00987945">
        <w:tab/>
        <w:t>Como se indicó anteriormente, la Oficina Central de Estadística publicó en junio de</w:t>
      </w:r>
      <w:r w:rsidR="00FB2F91">
        <w:t> </w:t>
      </w:r>
      <w:r w:rsidRPr="00987945">
        <w:t xml:space="preserve">2008 un informe titulado </w:t>
      </w:r>
      <w:r w:rsidR="00C67360">
        <w:rPr>
          <w:i/>
        </w:rPr>
        <w:t>"</w:t>
      </w:r>
      <w:r w:rsidRPr="00987945">
        <w:rPr>
          <w:i/>
        </w:rPr>
        <w:t>Census 2006 – Non-Irish Nationals living in Ireland</w:t>
      </w:r>
      <w:r w:rsidR="00C67360">
        <w:rPr>
          <w:i/>
        </w:rPr>
        <w:t>"</w:t>
      </w:r>
      <w:r w:rsidRPr="00987945">
        <w:t xml:space="preserve"> (Censo de 2006; nacionales no irlandeses que viven en Irlanda), que ofrece un </w:t>
      </w:r>
      <w:r>
        <w:t>análisis</w:t>
      </w:r>
      <w:r w:rsidRPr="00987945">
        <w:t xml:space="preserve"> temático de</w:t>
      </w:r>
      <w:r>
        <w:t xml:space="preserve"> la población</w:t>
      </w:r>
      <w:r w:rsidRPr="00987945">
        <w:t xml:space="preserve"> no</w:t>
      </w:r>
      <w:r>
        <w:t xml:space="preserve"> i</w:t>
      </w:r>
      <w:r w:rsidRPr="00987945">
        <w:t>r</w:t>
      </w:r>
      <w:r>
        <w:t>landesa que vivía en el</w:t>
      </w:r>
      <w:r w:rsidRPr="00987945">
        <w:t xml:space="preserve"> </w:t>
      </w:r>
      <w:r>
        <w:t>país en el momento en que se realizó</w:t>
      </w:r>
      <w:r w:rsidR="00FB2F91">
        <w:t xml:space="preserve"> el censo de </w:t>
      </w:r>
      <w:r w:rsidRPr="00987945">
        <w:t xml:space="preserve">2006. </w:t>
      </w:r>
      <w:r w:rsidRPr="007156DF">
        <w:t xml:space="preserve">Los datos que figuran en el informe están basados en su totalidad en el censo y se refieren a </w:t>
      </w:r>
      <w:r>
        <w:t xml:space="preserve">las </w:t>
      </w:r>
      <w:r w:rsidRPr="007156DF">
        <w:t xml:space="preserve">personas </w:t>
      </w:r>
      <w:r>
        <w:t>que residían habitualmente en</w:t>
      </w:r>
      <w:r w:rsidRPr="007156DF">
        <w:t xml:space="preserve"> Irland</w:t>
      </w:r>
      <w:r>
        <w:t>a</w:t>
      </w:r>
      <w:r w:rsidRPr="007156DF">
        <w:t xml:space="preserve"> </w:t>
      </w:r>
      <w:r>
        <w:t>e</w:t>
      </w:r>
      <w:r w:rsidRPr="007156DF">
        <w:t xml:space="preserve">n </w:t>
      </w:r>
      <w:r>
        <w:t>abr</w:t>
      </w:r>
      <w:r w:rsidRPr="007156DF">
        <w:t xml:space="preserve">il </w:t>
      </w:r>
      <w:r>
        <w:t xml:space="preserve">de </w:t>
      </w:r>
      <w:r w:rsidRPr="007156DF">
        <w:t xml:space="preserve">2006. </w:t>
      </w:r>
    </w:p>
    <w:p w:rsidR="000100D5" w:rsidRPr="00D8744B" w:rsidRDefault="000100D5" w:rsidP="000100D5">
      <w:pPr>
        <w:pStyle w:val="SingleTxtG"/>
      </w:pPr>
      <w:r w:rsidRPr="00D8744B">
        <w:t>387.</w:t>
      </w:r>
      <w:r w:rsidRPr="00D8744B">
        <w:tab/>
        <w:t xml:space="preserve">Los no irlandeses se identificaron por su respuesta a la pregunta </w:t>
      </w:r>
      <w:r w:rsidR="00C67360">
        <w:t>"</w:t>
      </w:r>
      <w:r>
        <w:t>¿Cual es su</w:t>
      </w:r>
      <w:r w:rsidRPr="00D8744B">
        <w:t xml:space="preserve"> na</w:t>
      </w:r>
      <w:r>
        <w:t>c</w:t>
      </w:r>
      <w:r w:rsidRPr="00D8744B">
        <w:t>ionali</w:t>
      </w:r>
      <w:r>
        <w:t>dad</w:t>
      </w:r>
      <w:r w:rsidRPr="00D8744B">
        <w:t>?</w:t>
      </w:r>
      <w:r w:rsidR="00C67360">
        <w:t>"</w:t>
      </w:r>
      <w:r w:rsidRPr="00D8744B">
        <w:t xml:space="preserve"> La pregunta se formuló por primera vez en el </w:t>
      </w:r>
      <w:r>
        <w:t>c</w:t>
      </w:r>
      <w:r w:rsidRPr="00D8744B">
        <w:t xml:space="preserve">enso de 2002. </w:t>
      </w:r>
    </w:p>
    <w:p w:rsidR="000100D5" w:rsidRPr="00D8744B" w:rsidRDefault="000100D5" w:rsidP="000100D5">
      <w:pPr>
        <w:pStyle w:val="SingleTxtG"/>
      </w:pPr>
      <w:r w:rsidRPr="00D8744B">
        <w:t>388.</w:t>
      </w:r>
      <w:r w:rsidRPr="00D8744B">
        <w:tab/>
        <w:t>En abril</w:t>
      </w:r>
      <w:r w:rsidR="00B64FA5">
        <w:t xml:space="preserve"> de 2006, había un total de 420.</w:t>
      </w:r>
      <w:r w:rsidRPr="00D8744B">
        <w:t>000 ciudadanos no irlandeses (con exclu</w:t>
      </w:r>
      <w:r>
        <w:t>sión de los que no contestaron a la pregunta sobre su nacionalidad</w:t>
      </w:r>
      <w:r w:rsidRPr="00D8744B">
        <w:t xml:space="preserve">) </w:t>
      </w:r>
      <w:r>
        <w:t>viviendo en</w:t>
      </w:r>
      <w:r w:rsidRPr="00D8744B">
        <w:t xml:space="preserve"> Irland</w:t>
      </w:r>
      <w:r>
        <w:t>a</w:t>
      </w:r>
      <w:r w:rsidRPr="00D8744B">
        <w:t>,</w:t>
      </w:r>
      <w:r>
        <w:t xml:space="preserve"> que</w:t>
      </w:r>
      <w:r w:rsidRPr="00D8744B">
        <w:t xml:space="preserve"> represent</w:t>
      </w:r>
      <w:r>
        <w:t>aban a</w:t>
      </w:r>
      <w:r w:rsidRPr="00D8744B">
        <w:t xml:space="preserve"> 188 </w:t>
      </w:r>
      <w:r>
        <w:t xml:space="preserve">países </w:t>
      </w:r>
      <w:r w:rsidRPr="00D8744B">
        <w:t>diferent</w:t>
      </w:r>
      <w:r>
        <w:t>es</w:t>
      </w:r>
      <w:r w:rsidRPr="00D8744B">
        <w:t xml:space="preserve">. Aunque la gran mayoría de esas personas procedía de un número muy reducido de países </w:t>
      </w:r>
      <w:r>
        <w:t>(</w:t>
      </w:r>
      <w:r w:rsidRPr="00D8744B">
        <w:t xml:space="preserve">el 67% </w:t>
      </w:r>
      <w:r>
        <w:t>de sólo</w:t>
      </w:r>
      <w:r w:rsidRPr="00D8744B">
        <w:t xml:space="preserve"> 10 </w:t>
      </w:r>
      <w:r>
        <w:t>países),</w:t>
      </w:r>
      <w:r w:rsidRPr="00D8744B">
        <w:t xml:space="preserve"> </w:t>
      </w:r>
      <w:r>
        <w:t>había también una gran diversidad en la gama de países</w:t>
      </w:r>
      <w:r w:rsidRPr="00D8744B">
        <w:t xml:space="preserve"> represent</w:t>
      </w:r>
      <w:r>
        <w:t>a</w:t>
      </w:r>
      <w:r w:rsidRPr="00D8744B">
        <w:t>d</w:t>
      </w:r>
      <w:r>
        <w:t>os</w:t>
      </w:r>
      <w:r w:rsidRPr="00D8744B">
        <w:t xml:space="preserve">. </w:t>
      </w:r>
    </w:p>
    <w:p w:rsidR="000100D5" w:rsidRPr="00EE0146" w:rsidRDefault="000100D5" w:rsidP="000100D5">
      <w:pPr>
        <w:pStyle w:val="SingleTxtG"/>
        <w:rPr>
          <w:bCs/>
        </w:rPr>
      </w:pPr>
      <w:r w:rsidRPr="00EE0146">
        <w:t>389</w:t>
      </w:r>
      <w:r w:rsidRPr="00EE0146">
        <w:rPr>
          <w:bCs/>
        </w:rPr>
        <w:t>.</w:t>
      </w:r>
      <w:r w:rsidRPr="00EE0146">
        <w:rPr>
          <w:bCs/>
        </w:rPr>
        <w:tab/>
        <w:t>El informe,</w:t>
      </w:r>
      <w:r w:rsidRPr="00EE0146">
        <w:t xml:space="preserve"> dividido en dos partes, ofrece un panorama de la totalidad de la población no irlandesa, comparando</w:t>
      </w:r>
      <w:r>
        <w:t xml:space="preserve"> </w:t>
      </w:r>
      <w:r w:rsidRPr="00EE0146">
        <w:t>sus características con las de la poblaci</w:t>
      </w:r>
      <w:r>
        <w:t>ón irlandesa residente en el país y se completa con un perfil detallado de las diez</w:t>
      </w:r>
      <w:r w:rsidRPr="00EE0146">
        <w:t xml:space="preserve"> </w:t>
      </w:r>
      <w:r>
        <w:t>nacionalidades más numerosas</w:t>
      </w:r>
      <w:r w:rsidRPr="00EE0146">
        <w:t xml:space="preserve"> </w:t>
      </w:r>
      <w:r w:rsidRPr="00EE0146">
        <w:rPr>
          <w:i/>
        </w:rPr>
        <w:t>(</w:t>
      </w:r>
      <w:r>
        <w:rPr>
          <w:i/>
        </w:rPr>
        <w:t>n</w:t>
      </w:r>
      <w:r w:rsidRPr="00EE0146">
        <w:rPr>
          <w:i/>
        </w:rPr>
        <w:t>a</w:t>
      </w:r>
      <w:r>
        <w:rPr>
          <w:i/>
        </w:rPr>
        <w:t>c</w:t>
      </w:r>
      <w:r w:rsidRPr="00EE0146">
        <w:rPr>
          <w:i/>
        </w:rPr>
        <w:t>ional</w:t>
      </w:r>
      <w:r>
        <w:rPr>
          <w:i/>
        </w:rPr>
        <w:t>e</w:t>
      </w:r>
      <w:r w:rsidRPr="00EE0146">
        <w:rPr>
          <w:i/>
        </w:rPr>
        <w:t>s</w:t>
      </w:r>
      <w:r>
        <w:rPr>
          <w:i/>
        </w:rPr>
        <w:t xml:space="preserve"> del Reino Unido</w:t>
      </w:r>
      <w:r w:rsidRPr="00EE0146">
        <w:rPr>
          <w:i/>
        </w:rPr>
        <w:t>, Pol</w:t>
      </w:r>
      <w:r>
        <w:rPr>
          <w:i/>
        </w:rPr>
        <w:t>onia</w:t>
      </w:r>
      <w:r w:rsidRPr="00EE0146">
        <w:rPr>
          <w:i/>
        </w:rPr>
        <w:t>, Li</w:t>
      </w:r>
      <w:r>
        <w:rPr>
          <w:i/>
        </w:rPr>
        <w:t>t</w:t>
      </w:r>
      <w:r w:rsidRPr="00EE0146">
        <w:rPr>
          <w:i/>
        </w:rPr>
        <w:t>uania, Nigeria, L</w:t>
      </w:r>
      <w:r>
        <w:rPr>
          <w:i/>
        </w:rPr>
        <w:t>etonia</w:t>
      </w:r>
      <w:r w:rsidRPr="00EE0146">
        <w:rPr>
          <w:i/>
        </w:rPr>
        <w:t xml:space="preserve">, </w:t>
      </w:r>
      <w:r>
        <w:rPr>
          <w:i/>
        </w:rPr>
        <w:t>Estados Unidos</w:t>
      </w:r>
      <w:r w:rsidRPr="00EE0146">
        <w:rPr>
          <w:i/>
        </w:rPr>
        <w:t>, Chin</w:t>
      </w:r>
      <w:r>
        <w:rPr>
          <w:i/>
        </w:rPr>
        <w:t>a</w:t>
      </w:r>
      <w:r w:rsidRPr="00EE0146">
        <w:rPr>
          <w:i/>
        </w:rPr>
        <w:t xml:space="preserve">, </w:t>
      </w:r>
      <w:r>
        <w:rPr>
          <w:i/>
        </w:rPr>
        <w:t>Alemania</w:t>
      </w:r>
      <w:r w:rsidRPr="00EE0146">
        <w:rPr>
          <w:i/>
        </w:rPr>
        <w:t>, Filipin</w:t>
      </w:r>
      <w:r>
        <w:rPr>
          <w:i/>
        </w:rPr>
        <w:t>a</w:t>
      </w:r>
      <w:r w:rsidRPr="00EE0146">
        <w:rPr>
          <w:i/>
        </w:rPr>
        <w:t xml:space="preserve">s </w:t>
      </w:r>
      <w:r>
        <w:rPr>
          <w:i/>
        </w:rPr>
        <w:t>y</w:t>
      </w:r>
      <w:r w:rsidRPr="00EE0146">
        <w:rPr>
          <w:i/>
        </w:rPr>
        <w:t xml:space="preserve"> Fr</w:t>
      </w:r>
      <w:r>
        <w:rPr>
          <w:i/>
        </w:rPr>
        <w:t>a</w:t>
      </w:r>
      <w:r w:rsidRPr="00EE0146">
        <w:rPr>
          <w:i/>
        </w:rPr>
        <w:t>nc</w:t>
      </w:r>
      <w:r>
        <w:rPr>
          <w:i/>
        </w:rPr>
        <w:t>ia</w:t>
      </w:r>
      <w:r w:rsidRPr="00EE0146">
        <w:rPr>
          <w:i/>
        </w:rPr>
        <w:t>)</w:t>
      </w:r>
      <w:r w:rsidRPr="00EE0146">
        <w:t xml:space="preserve">. </w:t>
      </w:r>
    </w:p>
    <w:p w:rsidR="000100D5" w:rsidRPr="008B1C17" w:rsidRDefault="000100D5" w:rsidP="000100D5">
      <w:pPr>
        <w:pStyle w:val="SingleTxtG"/>
        <w:rPr>
          <w:bCs/>
        </w:rPr>
      </w:pPr>
      <w:r w:rsidRPr="008B1C17">
        <w:t>390</w:t>
      </w:r>
      <w:r w:rsidRPr="008B1C17">
        <w:rPr>
          <w:bCs/>
        </w:rPr>
        <w:t>.</w:t>
      </w:r>
      <w:r w:rsidRPr="008B1C17">
        <w:rPr>
          <w:bCs/>
        </w:rPr>
        <w:tab/>
        <w:t>La Oficina Central de Estadística publicó asim</w:t>
      </w:r>
      <w:r w:rsidR="00FB2F91">
        <w:rPr>
          <w:bCs/>
        </w:rPr>
        <w:t>ismo un informe en noviembre de </w:t>
      </w:r>
      <w:r w:rsidRPr="008B1C17">
        <w:rPr>
          <w:bCs/>
        </w:rPr>
        <w:t xml:space="preserve">2007, titulado: </w:t>
      </w:r>
      <w:r w:rsidR="00E03EF2">
        <w:rPr>
          <w:bCs/>
        </w:rPr>
        <w:t>"</w:t>
      </w:r>
      <w:r w:rsidRPr="008B1C17">
        <w:rPr>
          <w:bCs/>
        </w:rPr>
        <w:t>Equality In Ireland 2007</w:t>
      </w:r>
      <w:r>
        <w:rPr>
          <w:rStyle w:val="FootnoteReference"/>
          <w:bCs/>
          <w:lang w:val="en-IE"/>
        </w:rPr>
        <w:footnoteReference w:id="101"/>
      </w:r>
      <w:r w:rsidR="001F5C61" w:rsidRPr="00FB2F91">
        <w:rPr>
          <w:bCs/>
        </w:rPr>
        <w:t>"</w:t>
      </w:r>
      <w:r w:rsidRPr="008B1C17">
        <w:rPr>
          <w:bCs/>
        </w:rPr>
        <w:t xml:space="preserve"> (Igualdad en I</w:t>
      </w:r>
      <w:r>
        <w:rPr>
          <w:bCs/>
        </w:rPr>
        <w:t xml:space="preserve">rlanda en 2007), que </w:t>
      </w:r>
      <w:r w:rsidRPr="008B1C17">
        <w:rPr>
          <w:bCs/>
        </w:rPr>
        <w:t>examin</w:t>
      </w:r>
      <w:r>
        <w:rPr>
          <w:bCs/>
        </w:rPr>
        <w:t>a</w:t>
      </w:r>
      <w:r w:rsidRPr="008B1C17">
        <w:rPr>
          <w:bCs/>
        </w:rPr>
        <w:t xml:space="preserve"> </w:t>
      </w:r>
      <w:r>
        <w:rPr>
          <w:bCs/>
        </w:rPr>
        <w:t>la situación</w:t>
      </w:r>
      <w:r w:rsidRPr="008B1C17">
        <w:rPr>
          <w:bCs/>
        </w:rPr>
        <w:t xml:space="preserve"> demogr</w:t>
      </w:r>
      <w:r>
        <w:rPr>
          <w:bCs/>
        </w:rPr>
        <w:t>áfica y</w:t>
      </w:r>
      <w:r w:rsidRPr="008B1C17">
        <w:rPr>
          <w:bCs/>
        </w:rPr>
        <w:t xml:space="preserve"> econ</w:t>
      </w:r>
      <w:r>
        <w:rPr>
          <w:bCs/>
        </w:rPr>
        <w:t>ó</w:t>
      </w:r>
      <w:r w:rsidRPr="008B1C17">
        <w:rPr>
          <w:bCs/>
        </w:rPr>
        <w:t>mic</w:t>
      </w:r>
      <w:r>
        <w:rPr>
          <w:bCs/>
        </w:rPr>
        <w:t>a de la población en</w:t>
      </w:r>
      <w:r w:rsidRPr="008B1C17">
        <w:rPr>
          <w:bCs/>
        </w:rPr>
        <w:t xml:space="preserve"> Irland</w:t>
      </w:r>
      <w:r>
        <w:rPr>
          <w:bCs/>
        </w:rPr>
        <w:t>a</w:t>
      </w:r>
      <w:r w:rsidRPr="008B1C17">
        <w:rPr>
          <w:bCs/>
        </w:rPr>
        <w:t xml:space="preserve"> </w:t>
      </w:r>
      <w:r>
        <w:rPr>
          <w:bCs/>
        </w:rPr>
        <w:t>en virtud de los nueve motivos de ig</w:t>
      </w:r>
      <w:r w:rsidRPr="008B1C17">
        <w:rPr>
          <w:bCs/>
        </w:rPr>
        <w:t>ual</w:t>
      </w:r>
      <w:r>
        <w:rPr>
          <w:bCs/>
        </w:rPr>
        <w:t>dad</w:t>
      </w:r>
      <w:r>
        <w:rPr>
          <w:rStyle w:val="FootnoteReference"/>
          <w:bCs/>
          <w:lang w:val="en-IE"/>
        </w:rPr>
        <w:footnoteReference w:id="102"/>
      </w:r>
      <w:r w:rsidR="001F5C61" w:rsidRPr="00FB2F91">
        <w:rPr>
          <w:bCs/>
        </w:rPr>
        <w:t>.</w:t>
      </w:r>
      <w:r w:rsidRPr="008B1C17">
        <w:rPr>
          <w:bCs/>
        </w:rPr>
        <w:t xml:space="preserve"> </w:t>
      </w:r>
      <w:r>
        <w:rPr>
          <w:bCs/>
        </w:rPr>
        <w:t>El informe se preparó</w:t>
      </w:r>
      <w:r w:rsidRPr="008B1C17">
        <w:rPr>
          <w:bCs/>
        </w:rPr>
        <w:t xml:space="preserve"> para conmemorar el Año Europeo de la Igualdad de Oportunidades </w:t>
      </w:r>
      <w:r>
        <w:rPr>
          <w:bCs/>
        </w:rPr>
        <w:t>para T</w:t>
      </w:r>
      <w:r w:rsidRPr="008B1C17">
        <w:rPr>
          <w:bCs/>
        </w:rPr>
        <w:t>odos</w:t>
      </w:r>
      <w:r>
        <w:rPr>
          <w:bCs/>
        </w:rPr>
        <w:t>,</w:t>
      </w:r>
      <w:r w:rsidRPr="008B1C17">
        <w:rPr>
          <w:bCs/>
        </w:rPr>
        <w:t xml:space="preserve"> 2007. </w:t>
      </w:r>
    </w:p>
    <w:p w:rsidR="000100D5" w:rsidRPr="00F47B93" w:rsidRDefault="000100D5" w:rsidP="000100D5">
      <w:pPr>
        <w:pStyle w:val="SingleTxtG"/>
      </w:pPr>
      <w:r w:rsidRPr="009E0991">
        <w:t>391.</w:t>
      </w:r>
      <w:r w:rsidRPr="009E0991">
        <w:tab/>
        <w:t>Entre las conclusion</w:t>
      </w:r>
      <w:r>
        <w:t>e</w:t>
      </w:r>
      <w:r w:rsidRPr="009E0991">
        <w:t>s más destacadas del</w:t>
      </w:r>
      <w:r>
        <w:t xml:space="preserve"> </w:t>
      </w:r>
      <w:r w:rsidRPr="009E0991">
        <w:t>informe</w:t>
      </w:r>
      <w:r>
        <w:t>,</w:t>
      </w:r>
      <w:r w:rsidRPr="009E0991">
        <w:t xml:space="preserve"> cabe señalar que el 88,8 % de la</w:t>
      </w:r>
      <w:r w:rsidRPr="009E0991">
        <w:rPr>
          <w:bCs/>
        </w:rPr>
        <w:t xml:space="preserve"> población es irlandesa, el 2,7% procede del Reino Unido, el 3,9% de otros pa</w:t>
      </w:r>
      <w:r>
        <w:rPr>
          <w:bCs/>
        </w:rPr>
        <w:t>íses de la</w:t>
      </w:r>
      <w:r w:rsidRPr="009E0991">
        <w:rPr>
          <w:bCs/>
        </w:rPr>
        <w:t xml:space="preserve"> </w:t>
      </w:r>
      <w:r>
        <w:rPr>
          <w:bCs/>
        </w:rPr>
        <w:t>UE y el</w:t>
      </w:r>
      <w:r w:rsidRPr="009E0991">
        <w:rPr>
          <w:bCs/>
        </w:rPr>
        <w:t xml:space="preserve"> 3</w:t>
      </w:r>
      <w:r>
        <w:rPr>
          <w:bCs/>
        </w:rPr>
        <w:t>,</w:t>
      </w:r>
      <w:r w:rsidRPr="009E0991">
        <w:rPr>
          <w:bCs/>
        </w:rPr>
        <w:t xml:space="preserve">5% </w:t>
      </w:r>
      <w:r>
        <w:rPr>
          <w:bCs/>
        </w:rPr>
        <w:t xml:space="preserve">de fuera de la </w:t>
      </w:r>
      <w:r w:rsidRPr="009E0991">
        <w:rPr>
          <w:bCs/>
        </w:rPr>
        <w:t>U</w:t>
      </w:r>
      <w:r>
        <w:rPr>
          <w:bCs/>
        </w:rPr>
        <w:t>E</w:t>
      </w:r>
      <w:r w:rsidRPr="009E0991">
        <w:rPr>
          <w:bCs/>
        </w:rPr>
        <w:t xml:space="preserve">. El 96,5% de la población se adscribió a la raza blanca (irlandeses, británicos, polacos, etc.), </w:t>
      </w:r>
      <w:r>
        <w:rPr>
          <w:bCs/>
        </w:rPr>
        <w:t>mientras que las personas del grupo de</w:t>
      </w:r>
      <w:r w:rsidRPr="009E0991">
        <w:rPr>
          <w:bCs/>
        </w:rPr>
        <w:t xml:space="preserve"> </w:t>
      </w:r>
      <w:r w:rsidR="00E03EF2">
        <w:rPr>
          <w:bCs/>
        </w:rPr>
        <w:t>"</w:t>
      </w:r>
      <w:r>
        <w:rPr>
          <w:bCs/>
        </w:rPr>
        <w:t>Cualquier otra procedencia blanca</w:t>
      </w:r>
      <w:r w:rsidR="00E03EF2">
        <w:rPr>
          <w:bCs/>
        </w:rPr>
        <w:t>"</w:t>
      </w:r>
      <w:r w:rsidRPr="009E0991">
        <w:rPr>
          <w:bCs/>
        </w:rPr>
        <w:t xml:space="preserve"> (</w:t>
      </w:r>
      <w:r>
        <w:rPr>
          <w:bCs/>
        </w:rPr>
        <w:t>salvo los</w:t>
      </w:r>
      <w:r w:rsidRPr="009E0991">
        <w:rPr>
          <w:bCs/>
        </w:rPr>
        <w:t xml:space="preserve"> </w:t>
      </w:r>
      <w:r>
        <w:rPr>
          <w:bCs/>
        </w:rPr>
        <w:t>irlandeses y los nómadas de Irlanda</w:t>
      </w:r>
      <w:r w:rsidRPr="009E0991">
        <w:rPr>
          <w:bCs/>
        </w:rPr>
        <w:t xml:space="preserve">) </w:t>
      </w:r>
      <w:r>
        <w:rPr>
          <w:bCs/>
        </w:rPr>
        <w:t xml:space="preserve">se </w:t>
      </w:r>
      <w:r w:rsidRPr="009E0991">
        <w:rPr>
          <w:bCs/>
        </w:rPr>
        <w:t>concentra</w:t>
      </w:r>
      <w:r>
        <w:rPr>
          <w:bCs/>
        </w:rPr>
        <w:t>ron principalmente en el tramo de 25 a 44 años de edad</w:t>
      </w:r>
      <w:r w:rsidRPr="009E0991">
        <w:rPr>
          <w:bCs/>
        </w:rPr>
        <w:t xml:space="preserve"> (50</w:t>
      </w:r>
      <w:r>
        <w:rPr>
          <w:bCs/>
        </w:rPr>
        <w:t>,</w:t>
      </w:r>
      <w:r w:rsidRPr="009E0991">
        <w:rPr>
          <w:bCs/>
        </w:rPr>
        <w:t xml:space="preserve">5%). </w:t>
      </w:r>
      <w:r w:rsidRPr="00F47B93">
        <w:rPr>
          <w:bCs/>
        </w:rPr>
        <w:t xml:space="preserve">Las personas de procedencia étnica negra se concentraban en los </w:t>
      </w:r>
      <w:r>
        <w:rPr>
          <w:bCs/>
        </w:rPr>
        <w:t>tramos</w:t>
      </w:r>
      <w:r w:rsidRPr="00F47B93">
        <w:rPr>
          <w:bCs/>
        </w:rPr>
        <w:t xml:space="preserve"> de 0 a 14 (40</w:t>
      </w:r>
      <w:r>
        <w:rPr>
          <w:bCs/>
        </w:rPr>
        <w:t>,</w:t>
      </w:r>
      <w:r w:rsidRPr="00F47B93">
        <w:rPr>
          <w:bCs/>
        </w:rPr>
        <w:t xml:space="preserve">9%) </w:t>
      </w:r>
      <w:r>
        <w:rPr>
          <w:bCs/>
        </w:rPr>
        <w:t>y</w:t>
      </w:r>
      <w:r w:rsidRPr="00F47B93">
        <w:rPr>
          <w:bCs/>
        </w:rPr>
        <w:t xml:space="preserve"> </w:t>
      </w:r>
      <w:r>
        <w:rPr>
          <w:bCs/>
        </w:rPr>
        <w:t xml:space="preserve">de </w:t>
      </w:r>
      <w:r w:rsidRPr="00F47B93">
        <w:rPr>
          <w:bCs/>
        </w:rPr>
        <w:t>15</w:t>
      </w:r>
      <w:r>
        <w:rPr>
          <w:bCs/>
        </w:rPr>
        <w:t xml:space="preserve"> a </w:t>
      </w:r>
      <w:r w:rsidRPr="00F47B93">
        <w:rPr>
          <w:bCs/>
        </w:rPr>
        <w:t>44 (44</w:t>
      </w:r>
      <w:r>
        <w:rPr>
          <w:bCs/>
        </w:rPr>
        <w:t>,</w:t>
      </w:r>
      <w:r w:rsidRPr="00F47B93">
        <w:rPr>
          <w:bCs/>
        </w:rPr>
        <w:t>5%) a</w:t>
      </w:r>
      <w:r>
        <w:rPr>
          <w:bCs/>
        </w:rPr>
        <w:t>ños de edad</w:t>
      </w:r>
      <w:r w:rsidRPr="00F47B93">
        <w:rPr>
          <w:bCs/>
        </w:rPr>
        <w:t xml:space="preserve">. </w:t>
      </w:r>
    </w:p>
    <w:p w:rsidR="000100D5" w:rsidRPr="000004A3" w:rsidRDefault="000100D5" w:rsidP="000100D5">
      <w:pPr>
        <w:pStyle w:val="H4G"/>
      </w:pPr>
      <w:r w:rsidRPr="00F47B93">
        <w:tab/>
      </w:r>
      <w:r w:rsidR="00FB2F91">
        <w:t>g)</w:t>
      </w:r>
      <w:r w:rsidRPr="000004A3">
        <w:tab/>
        <w:t>Encuesta Especial del Eurobarómetro (317) – Discrimina</w:t>
      </w:r>
      <w:r>
        <w:t>c</w:t>
      </w:r>
      <w:r w:rsidRPr="000004A3">
        <w:t>i</w:t>
      </w:r>
      <w:r>
        <w:t>ó</w:t>
      </w:r>
      <w:r w:rsidRPr="000004A3">
        <w:t xml:space="preserve">n </w:t>
      </w:r>
      <w:r>
        <w:t>e</w:t>
      </w:r>
      <w:r w:rsidRPr="000004A3">
        <w:t>n</w:t>
      </w:r>
      <w:r>
        <w:t xml:space="preserve"> la</w:t>
      </w:r>
      <w:r w:rsidRPr="000004A3">
        <w:t xml:space="preserve"> U</w:t>
      </w:r>
      <w:r>
        <w:t>E</w:t>
      </w:r>
      <w:r w:rsidRPr="000004A3">
        <w:t xml:space="preserve"> </w:t>
      </w:r>
      <w:r>
        <w:t>e</w:t>
      </w:r>
      <w:r w:rsidRPr="000004A3">
        <w:t>n 2009</w:t>
      </w:r>
    </w:p>
    <w:p w:rsidR="000100D5" w:rsidRPr="000004A3" w:rsidRDefault="000100D5" w:rsidP="000100D5">
      <w:pPr>
        <w:pStyle w:val="SingleTxtG"/>
      </w:pPr>
      <w:r w:rsidRPr="000004A3">
        <w:t>392.</w:t>
      </w:r>
      <w:r w:rsidRPr="000004A3">
        <w:tab/>
        <w:t xml:space="preserve">Entre los principales resultados de la encuesta especial del Eurobarómetro, </w:t>
      </w:r>
      <w:r>
        <w:t>publicada en</w:t>
      </w:r>
      <w:r w:rsidRPr="000004A3">
        <w:t xml:space="preserve"> </w:t>
      </w:r>
      <w:r>
        <w:t>n</w:t>
      </w:r>
      <w:r w:rsidRPr="000004A3">
        <w:t>ov</w:t>
      </w:r>
      <w:r>
        <w:t>i</w:t>
      </w:r>
      <w:r w:rsidRPr="000004A3">
        <w:t>embr</w:t>
      </w:r>
      <w:r>
        <w:t>e de 2009</w:t>
      </w:r>
      <w:r w:rsidRPr="000004A3">
        <w:t xml:space="preserve"> </w:t>
      </w:r>
      <w:r>
        <w:t>e</w:t>
      </w:r>
      <w:r w:rsidRPr="000004A3">
        <w:t xml:space="preserve">n </w:t>
      </w:r>
      <w:r>
        <w:t>lo tocante a</w:t>
      </w:r>
      <w:r w:rsidRPr="000004A3">
        <w:t xml:space="preserve"> Irland</w:t>
      </w:r>
      <w:r>
        <w:t>a, cabe citar los siguientes</w:t>
      </w:r>
      <w:r w:rsidRPr="000004A3">
        <w:t>:</w:t>
      </w:r>
    </w:p>
    <w:p w:rsidR="000100D5" w:rsidRPr="004E51E3" w:rsidRDefault="000100D5" w:rsidP="004E51E3">
      <w:pPr>
        <w:pStyle w:val="Bullet1G"/>
      </w:pPr>
      <w:r w:rsidRPr="00D83ED0">
        <w:t>Los ciudadanos de Irlanda tienden a contar con un c</w:t>
      </w:r>
      <w:r>
        <w:t>írculo bastante diversificado de amigos y conocidos</w:t>
      </w:r>
      <w:r w:rsidRPr="00D83ED0">
        <w:t xml:space="preserve">. </w:t>
      </w:r>
      <w:r w:rsidRPr="004579F2">
        <w:t>Así, la mayoría de los encuestados en Irlanda reconocen sin problemas que, entre su círculo de amigos y conocidos</w:t>
      </w:r>
      <w:r>
        <w:t>,</w:t>
      </w:r>
      <w:r w:rsidRPr="004579F2">
        <w:t xml:space="preserve"> hay personas cuya religi</w:t>
      </w:r>
      <w:r>
        <w:t>ó</w:t>
      </w:r>
      <w:r w:rsidRPr="004579F2">
        <w:t>n o</w:t>
      </w:r>
      <w:r>
        <w:t xml:space="preserve"> creencias difieren de las suyas</w:t>
      </w:r>
      <w:r w:rsidRPr="004579F2">
        <w:t xml:space="preserve">, </w:t>
      </w:r>
      <w:r>
        <w:t xml:space="preserve">así como </w:t>
      </w:r>
      <w:r w:rsidRPr="004579F2">
        <w:t>dis</w:t>
      </w:r>
      <w:r>
        <w:t>capacitados y</w:t>
      </w:r>
      <w:r w:rsidRPr="004579F2">
        <w:t xml:space="preserve"> homosexual</w:t>
      </w:r>
      <w:r>
        <w:t>e</w:t>
      </w:r>
      <w:r w:rsidR="004E51E3">
        <w:t>s. Los </w:t>
      </w:r>
      <w:r w:rsidRPr="004579F2">
        <w:t>porcentajes alcanzados en Irlanda s</w:t>
      </w:r>
      <w:r>
        <w:t>uperan entre</w:t>
      </w:r>
      <w:r w:rsidRPr="004579F2">
        <w:t xml:space="preserve"> 2 </w:t>
      </w:r>
      <w:r>
        <w:t>y</w:t>
      </w:r>
      <w:r w:rsidRPr="004579F2">
        <w:t xml:space="preserve"> 9 puntos </w:t>
      </w:r>
      <w:r>
        <w:t xml:space="preserve">a los </w:t>
      </w:r>
      <w:r w:rsidRPr="004579F2">
        <w:t>re</w:t>
      </w:r>
      <w:r>
        <w:t>gistrados a nivel</w:t>
      </w:r>
      <w:r w:rsidRPr="004579F2">
        <w:t xml:space="preserve"> </w:t>
      </w:r>
      <w:r>
        <w:t>e</w:t>
      </w:r>
      <w:r w:rsidRPr="004579F2">
        <w:t>urope</w:t>
      </w:r>
      <w:r>
        <w:t>o</w:t>
      </w:r>
      <w:r w:rsidRPr="004579F2">
        <w:t xml:space="preserve">. </w:t>
      </w:r>
      <w:r>
        <w:t>Por</w:t>
      </w:r>
      <w:r w:rsidR="00FB2F91">
        <w:t> </w:t>
      </w:r>
      <w:r>
        <w:t>otra parte, tienen menos contactos que los encuestados en otros Estados miembros</w:t>
      </w:r>
      <w:r w:rsidRPr="004579F2">
        <w:t xml:space="preserve"> </w:t>
      </w:r>
      <w:r>
        <w:t xml:space="preserve">con </w:t>
      </w:r>
      <w:r w:rsidRPr="004E51E3">
        <w:t xml:space="preserve">personas de diferente procedencia étnica. Además, los encuestados en Irlanda parecen no tener muchos contactos con los romaníes. A tenor de los resultados obtenidos a nivel europeo, cuánto más jóvenes eran los encuestados, más probable resultaba que tuvieran amigos o conocidos de diferente procedencia étnica. </w:t>
      </w:r>
    </w:p>
    <w:p w:rsidR="000100D5" w:rsidRPr="004E51E3" w:rsidRDefault="000100D5" w:rsidP="004E51E3">
      <w:pPr>
        <w:pStyle w:val="Bullet1G"/>
      </w:pPr>
      <w:r w:rsidRPr="004E51E3">
        <w:t>Los niveles de las respuestas relativas al carácter generalizado de las seis formas de discriminación (origen étnico, edad, discapacidad, orientación sexual, género, religión o creencias) en Irlanda fueron mucho más reducidos que los observados a nivel europeo</w:t>
      </w:r>
      <w:r w:rsidR="005007D6" w:rsidRPr="004E51E3">
        <w:t xml:space="preserve"> </w:t>
      </w:r>
      <w:r w:rsidRPr="004E51E3">
        <w:t xml:space="preserve">(entre 15 y 22 puntos porcentuales menos). </w:t>
      </w:r>
    </w:p>
    <w:p w:rsidR="000100D5" w:rsidRPr="004E51E3" w:rsidRDefault="000100D5" w:rsidP="004E51E3">
      <w:pPr>
        <w:pStyle w:val="Bullet1G"/>
      </w:pPr>
      <w:r w:rsidRPr="004E51E3">
        <w:t xml:space="preserve">La mayoría de los encuestados consideraba que la diversidad de la sociedad irlandesa estaba adecuadamente representada en los medios de comunicación. </w:t>
      </w:r>
    </w:p>
    <w:p w:rsidR="000100D5" w:rsidRPr="004E51E3" w:rsidRDefault="000100D5" w:rsidP="004E51E3">
      <w:pPr>
        <w:pStyle w:val="Bullet1G"/>
      </w:pPr>
      <w:r w:rsidRPr="004E51E3">
        <w:t xml:space="preserve">Las respuestas a las preguntas acerca de cómo se sentirían si alguien de las diversas categorías ocupara por elección el puesto político más elevado mostraron grados más altos de aceptación que las recogidas en otros países europeos. Esto se aplica, en especial, al caso de las mujeres, los discapacitados o personas de una procedencia étnica diferente. </w:t>
      </w:r>
    </w:p>
    <w:p w:rsidR="000100D5" w:rsidRPr="00156950" w:rsidRDefault="000100D5" w:rsidP="004E51E3">
      <w:pPr>
        <w:pStyle w:val="Bullet1G"/>
      </w:pPr>
      <w:r w:rsidRPr="004E51E3">
        <w:t>Casi la mitad de los irlandeses</w:t>
      </w:r>
      <w:r w:rsidRPr="00156950">
        <w:t xml:space="preserve"> (en un porcentaje menor que el promedio europeo) declararon que desconoc</w:t>
      </w:r>
      <w:r>
        <w:t>ían cuáles eran sus derechos en caso de ser víctimas de</w:t>
      </w:r>
      <w:r w:rsidRPr="00156950">
        <w:t xml:space="preserve"> discrimina</w:t>
      </w:r>
      <w:r>
        <w:t>c</w:t>
      </w:r>
      <w:r w:rsidRPr="00156950">
        <w:t>i</w:t>
      </w:r>
      <w:r>
        <w:t>ó</w:t>
      </w:r>
      <w:r w:rsidRPr="00156950">
        <w:t>n o</w:t>
      </w:r>
      <w:r>
        <w:t xml:space="preserve"> de acoso</w:t>
      </w:r>
      <w:r w:rsidRPr="00156950">
        <w:t xml:space="preserve">. </w:t>
      </w:r>
    </w:p>
    <w:p w:rsidR="000100D5" w:rsidRPr="006B35C1" w:rsidRDefault="000100D5" w:rsidP="000100D5">
      <w:pPr>
        <w:pStyle w:val="H1G"/>
        <w:rPr>
          <w:lang w:val="en-IE"/>
        </w:rPr>
      </w:pPr>
      <w:r w:rsidRPr="00156950">
        <w:tab/>
      </w:r>
      <w:r w:rsidRPr="00156950">
        <w:tab/>
      </w:r>
      <w:r>
        <w:rPr>
          <w:lang w:val="en-IE"/>
        </w:rPr>
        <w:t>Artí</w:t>
      </w:r>
      <w:r w:rsidRPr="006B35C1">
        <w:rPr>
          <w:lang w:val="en-IE"/>
        </w:rPr>
        <w:t>c</w:t>
      </w:r>
      <w:r>
        <w:rPr>
          <w:lang w:val="en-IE"/>
        </w:rPr>
        <w:t>u</w:t>
      </w:r>
      <w:r w:rsidRPr="006B35C1">
        <w:rPr>
          <w:lang w:val="en-IE"/>
        </w:rPr>
        <w:t>l</w:t>
      </w:r>
      <w:r>
        <w:rPr>
          <w:lang w:val="en-IE"/>
        </w:rPr>
        <w:t>o</w:t>
      </w:r>
      <w:r w:rsidRPr="006B35C1">
        <w:rPr>
          <w:lang w:val="en-IE"/>
        </w:rPr>
        <w:t xml:space="preserve"> 6</w:t>
      </w:r>
    </w:p>
    <w:p w:rsidR="000100D5" w:rsidRPr="00156950" w:rsidRDefault="000100D5" w:rsidP="000100D5">
      <w:pPr>
        <w:pStyle w:val="SingleTxtG"/>
      </w:pPr>
      <w:r w:rsidRPr="00156950">
        <w:t>393.</w:t>
      </w:r>
      <w:r w:rsidRPr="00156950">
        <w:tab/>
        <w:t xml:space="preserve">Como se indicó en el </w:t>
      </w:r>
      <w:r>
        <w:t>ú</w:t>
      </w:r>
      <w:r w:rsidRPr="00156950">
        <w:t xml:space="preserve">ltimo informe del Estado parte, el Gobierno de Irlanda está firmemente decidido a defender los derechos humanos y a </w:t>
      </w:r>
      <w:r>
        <w:t>garantizar</w:t>
      </w:r>
      <w:r w:rsidRPr="00156950">
        <w:t xml:space="preserve"> una protec</w:t>
      </w:r>
      <w:r>
        <w:t>c</w:t>
      </w:r>
      <w:r w:rsidRPr="00156950">
        <w:t>i</w:t>
      </w:r>
      <w:r>
        <w:t>ó</w:t>
      </w:r>
      <w:r w:rsidRPr="00156950">
        <w:t xml:space="preserve">n </w:t>
      </w:r>
      <w:r>
        <w:t>y unos recursos efectivos para el caso de</w:t>
      </w:r>
      <w:r w:rsidRPr="00156950">
        <w:t xml:space="preserve"> viola</w:t>
      </w:r>
      <w:r>
        <w:t>c</w:t>
      </w:r>
      <w:r w:rsidRPr="00156950">
        <w:t>i</w:t>
      </w:r>
      <w:r>
        <w:t>ó</w:t>
      </w:r>
      <w:r w:rsidRPr="00156950">
        <w:t xml:space="preserve">n </w:t>
      </w:r>
      <w:r>
        <w:t>de esos derechos</w:t>
      </w:r>
      <w:r w:rsidRPr="00156950">
        <w:t xml:space="preserve">. </w:t>
      </w:r>
    </w:p>
    <w:p w:rsidR="000100D5" w:rsidRPr="00022384" w:rsidRDefault="000100D5" w:rsidP="000100D5">
      <w:pPr>
        <w:pStyle w:val="SingleTxtG"/>
      </w:pPr>
      <w:r w:rsidRPr="00022384">
        <w:t>394.</w:t>
      </w:r>
      <w:r w:rsidRPr="00022384">
        <w:tab/>
        <w:t xml:space="preserve">La Ley de igualdad en el empleo, de 1998, </w:t>
      </w:r>
      <w:r>
        <w:t>prote</w:t>
      </w:r>
      <w:r w:rsidRPr="00022384">
        <w:t>g</w:t>
      </w:r>
      <w:r>
        <w:t>e</w:t>
      </w:r>
      <w:r w:rsidRPr="00022384">
        <w:t xml:space="preserve"> a los empleados de los sectores</w:t>
      </w:r>
      <w:r w:rsidR="005007D6">
        <w:t xml:space="preserve"> </w:t>
      </w:r>
      <w:r w:rsidRPr="00022384">
        <w:t>p</w:t>
      </w:r>
      <w:r>
        <w:t>ú</w:t>
      </w:r>
      <w:r w:rsidRPr="00022384">
        <w:t>blic</w:t>
      </w:r>
      <w:r>
        <w:t>o y</w:t>
      </w:r>
      <w:r w:rsidRPr="00022384">
        <w:t xml:space="preserve"> priva</w:t>
      </w:r>
      <w:r>
        <w:t>do,</w:t>
      </w:r>
      <w:r w:rsidRPr="00022384">
        <w:t xml:space="preserve"> as</w:t>
      </w:r>
      <w:r>
        <w:t>í como a los</w:t>
      </w:r>
      <w:r w:rsidRPr="00022384">
        <w:t xml:space="preserve"> </w:t>
      </w:r>
      <w:r>
        <w:t xml:space="preserve">solicitantes de </w:t>
      </w:r>
      <w:r w:rsidRPr="00022384">
        <w:t>empl</w:t>
      </w:r>
      <w:r>
        <w:t>e</w:t>
      </w:r>
      <w:r w:rsidRPr="00022384">
        <w:t>o</w:t>
      </w:r>
      <w:r>
        <w:t xml:space="preserve"> </w:t>
      </w:r>
      <w:r w:rsidRPr="00022384">
        <w:t>y</w:t>
      </w:r>
      <w:r>
        <w:t xml:space="preserve"> de capacitación</w:t>
      </w:r>
      <w:r w:rsidRPr="00022384">
        <w:t xml:space="preserve">. </w:t>
      </w:r>
    </w:p>
    <w:p w:rsidR="000100D5" w:rsidRPr="00396919" w:rsidRDefault="000100D5" w:rsidP="000100D5">
      <w:pPr>
        <w:pStyle w:val="SingleTxtG"/>
      </w:pPr>
      <w:r w:rsidRPr="00022384">
        <w:t>395.</w:t>
      </w:r>
      <w:r w:rsidRPr="00022384">
        <w:tab/>
        <w:t xml:space="preserve">La Ley prohíbe la discriminación en los </w:t>
      </w:r>
      <w:r>
        <w:t>aspectos</w:t>
      </w:r>
      <w:r w:rsidRPr="00022384">
        <w:t xml:space="preserve"> relacionados con el trabajo, como la remuneraci</w:t>
      </w:r>
      <w:r>
        <w:t>ón, la formación profesional, el acceso al empleo, la</w:t>
      </w:r>
      <w:r w:rsidRPr="00022384">
        <w:t xml:space="preserve"> experienc</w:t>
      </w:r>
      <w:r>
        <w:t>ia</w:t>
      </w:r>
      <w:r w:rsidRPr="00022384">
        <w:t xml:space="preserve"> </w:t>
      </w:r>
      <w:r>
        <w:t>laboral y los ascensos</w:t>
      </w:r>
      <w:r w:rsidRPr="00022384">
        <w:t>. La Ley c</w:t>
      </w:r>
      <w:r>
        <w:t>o</w:t>
      </w:r>
      <w:r w:rsidRPr="00022384">
        <w:t xml:space="preserve">mprende </w:t>
      </w:r>
      <w:r>
        <w:t>asimismo</w:t>
      </w:r>
      <w:r w:rsidRPr="00022384">
        <w:t xml:space="preserve"> los casos de acoso y victimización en el trabajo. </w:t>
      </w:r>
      <w:r>
        <w:t>También están prohibidas</w:t>
      </w:r>
      <w:r w:rsidRPr="00396919">
        <w:t xml:space="preserve"> la publicación de anuncios discriminatorios</w:t>
      </w:r>
      <w:r>
        <w:t xml:space="preserve"> y la</w:t>
      </w:r>
      <w:r w:rsidRPr="00396919">
        <w:t xml:space="preserve"> discriminación </w:t>
      </w:r>
      <w:r>
        <w:t xml:space="preserve">ejercida </w:t>
      </w:r>
      <w:r w:rsidRPr="00396919">
        <w:t>por l</w:t>
      </w:r>
      <w:r>
        <w:t>a</w:t>
      </w:r>
      <w:r w:rsidRPr="00396919">
        <w:t xml:space="preserve">s </w:t>
      </w:r>
      <w:r>
        <w:t>agencias</w:t>
      </w:r>
      <w:r w:rsidRPr="00396919">
        <w:t xml:space="preserve"> de empleo, </w:t>
      </w:r>
      <w:r>
        <w:t>los órganos de formación profesional</w:t>
      </w:r>
      <w:r w:rsidRPr="00396919">
        <w:t xml:space="preserve"> </w:t>
      </w:r>
      <w:r>
        <w:t>y determinados organismos como</w:t>
      </w:r>
      <w:r w:rsidRPr="00396919">
        <w:t xml:space="preserve"> </w:t>
      </w:r>
      <w:r>
        <w:t>los sindicatos y las asociaciones de</w:t>
      </w:r>
      <w:r w:rsidRPr="00396919">
        <w:t xml:space="preserve"> empl</w:t>
      </w:r>
      <w:r>
        <w:t>ead</w:t>
      </w:r>
      <w:r w:rsidRPr="00396919">
        <w:t>or</w:t>
      </w:r>
      <w:r>
        <w:t>es</w:t>
      </w:r>
      <w:r w:rsidRPr="00396919">
        <w:t xml:space="preserve">. </w:t>
      </w:r>
      <w:r>
        <w:t>Los c</w:t>
      </w:r>
      <w:r w:rsidRPr="00396919">
        <w:t xml:space="preserve">onvenios colectivos pueden ser remitidos al Director de Investigaciones </w:t>
      </w:r>
      <w:r>
        <w:t>en materia de Igualdad, para someterse a una</w:t>
      </w:r>
      <w:r w:rsidRPr="00396919">
        <w:t xml:space="preserve"> media</w:t>
      </w:r>
      <w:r>
        <w:t>c</w:t>
      </w:r>
      <w:r w:rsidRPr="00396919">
        <w:t>i</w:t>
      </w:r>
      <w:r>
        <w:t>ó</w:t>
      </w:r>
      <w:r w:rsidRPr="00396919">
        <w:t>n o</w:t>
      </w:r>
      <w:r>
        <w:t xml:space="preserve"> una</w:t>
      </w:r>
      <w:r w:rsidRPr="00396919">
        <w:t xml:space="preserve"> investiga</w:t>
      </w:r>
      <w:r>
        <w:t>c</w:t>
      </w:r>
      <w:r w:rsidRPr="00396919">
        <w:t>i</w:t>
      </w:r>
      <w:r>
        <w:t>ó</w:t>
      </w:r>
      <w:r w:rsidRPr="00396919">
        <w:t>n.</w:t>
      </w:r>
    </w:p>
    <w:p w:rsidR="000100D5" w:rsidRPr="004A3C57" w:rsidRDefault="000100D5" w:rsidP="000100D5">
      <w:pPr>
        <w:pStyle w:val="SingleTxtG"/>
      </w:pPr>
      <w:r w:rsidRPr="00396919">
        <w:t>396.</w:t>
      </w:r>
      <w:r w:rsidRPr="00396919">
        <w:tab/>
        <w:t>Cualquiera que opine que ha sido víctima de una discriminación puede present</w:t>
      </w:r>
      <w:r>
        <w:t>a</w:t>
      </w:r>
      <w:r w:rsidRPr="00396919">
        <w:t>r una queja ante el Tribunal de</w:t>
      </w:r>
      <w:r>
        <w:t xml:space="preserve"> la</w:t>
      </w:r>
      <w:r w:rsidRPr="00396919">
        <w:t xml:space="preserve"> </w:t>
      </w:r>
      <w:r>
        <w:t>Ig</w:t>
      </w:r>
      <w:r w:rsidRPr="00396919">
        <w:t>ual</w:t>
      </w:r>
      <w:r>
        <w:t>dad</w:t>
      </w:r>
      <w:r w:rsidRPr="00396919">
        <w:t xml:space="preserve"> </w:t>
      </w:r>
      <w:r>
        <w:t xml:space="preserve">en el plazo de </w:t>
      </w:r>
      <w:r w:rsidRPr="00396919">
        <w:t>6 m</w:t>
      </w:r>
      <w:r>
        <w:t>eses a partir de la fecha en que tuvo lugar el</w:t>
      </w:r>
      <w:r w:rsidRPr="00396919">
        <w:t xml:space="preserve"> act</w:t>
      </w:r>
      <w:r>
        <w:t>o</w:t>
      </w:r>
      <w:r w:rsidRPr="00396919">
        <w:t xml:space="preserve"> </w:t>
      </w:r>
      <w:r>
        <w:t>de</w:t>
      </w:r>
      <w:r w:rsidRPr="00396919">
        <w:t xml:space="preserve"> discrimina</w:t>
      </w:r>
      <w:r>
        <w:t>c</w:t>
      </w:r>
      <w:r w:rsidRPr="00396919">
        <w:t>i</w:t>
      </w:r>
      <w:r>
        <w:t>ó</w:t>
      </w:r>
      <w:r w:rsidRPr="00396919">
        <w:t>n (</w:t>
      </w:r>
      <w:r>
        <w:t>véanse</w:t>
      </w:r>
      <w:r w:rsidRPr="00396919">
        <w:t xml:space="preserve"> p</w:t>
      </w:r>
      <w:r>
        <w:t>á</w:t>
      </w:r>
      <w:r w:rsidRPr="00396919">
        <w:t>r</w:t>
      </w:r>
      <w:r>
        <w:t>r</w:t>
      </w:r>
      <w:r w:rsidRPr="00396919">
        <w:t xml:space="preserve">s. </w:t>
      </w:r>
      <w:r w:rsidRPr="004A3C57">
        <w:t xml:space="preserve">163 y ss. para más información acerca del Tribunal de la Igualdad). </w:t>
      </w:r>
      <w:r>
        <w:t>El</w:t>
      </w:r>
      <w:r w:rsidRPr="004A3C57">
        <w:t xml:space="preserve"> </w:t>
      </w:r>
      <w:r>
        <w:t>Presidente</w:t>
      </w:r>
      <w:r w:rsidRPr="004A3C57">
        <w:t xml:space="preserve"> del Tribunal puede ampliar este plazo hasta un máximo de 12 meses, si el denunciante </w:t>
      </w:r>
      <w:r>
        <w:t>está en condiciones de demostrar que existe una causa</w:t>
      </w:r>
      <w:r w:rsidRPr="004A3C57">
        <w:t xml:space="preserve"> ra</w:t>
      </w:r>
      <w:r>
        <w:t>z</w:t>
      </w:r>
      <w:r w:rsidRPr="004A3C57">
        <w:t xml:space="preserve">onable </w:t>
      </w:r>
      <w:r>
        <w:t>para hacerlo</w:t>
      </w:r>
      <w:r w:rsidRPr="004A3C57">
        <w:t xml:space="preserve">. </w:t>
      </w:r>
    </w:p>
    <w:p w:rsidR="000100D5" w:rsidRPr="004A3C57" w:rsidRDefault="000100D5" w:rsidP="000100D5">
      <w:pPr>
        <w:pStyle w:val="H23G"/>
      </w:pPr>
      <w:r w:rsidRPr="004A3C57">
        <w:tab/>
        <w:t>1.</w:t>
      </w:r>
      <w:r w:rsidRPr="004A3C57">
        <w:tab/>
      </w:r>
      <w:r>
        <w:t>Reparación</w:t>
      </w:r>
    </w:p>
    <w:p w:rsidR="000100D5" w:rsidRPr="004A3C57" w:rsidRDefault="000100D5" w:rsidP="000100D5">
      <w:pPr>
        <w:pStyle w:val="SingleTxtG"/>
      </w:pPr>
      <w:r w:rsidRPr="004A3C57">
        <w:t>397.</w:t>
      </w:r>
      <w:r w:rsidRPr="004A3C57">
        <w:tab/>
        <w:t>Si el funcionario del Tribunal de la Igualdad determina que se ha producido una discriminaci</w:t>
      </w:r>
      <w:r>
        <w:t>ó</w:t>
      </w:r>
      <w:r w:rsidRPr="004A3C57">
        <w:t xml:space="preserve">n, </w:t>
      </w:r>
      <w:r>
        <w:t>puede exigir que se adopte algún tipo de</w:t>
      </w:r>
      <w:r w:rsidRPr="004A3C57">
        <w:t xml:space="preserve"> </w:t>
      </w:r>
      <w:r>
        <w:t>medida</w:t>
      </w:r>
      <w:r w:rsidR="005007D6">
        <w:t xml:space="preserve"> </w:t>
      </w:r>
      <w:r>
        <w:t>y</w:t>
      </w:r>
      <w:r w:rsidRPr="004A3C57">
        <w:t xml:space="preserve">/o </w:t>
      </w:r>
      <w:r>
        <w:t>compensación</w:t>
      </w:r>
      <w:r w:rsidRPr="004A3C57">
        <w:t>:</w:t>
      </w:r>
    </w:p>
    <w:p w:rsidR="000100D5" w:rsidRPr="004E51E3" w:rsidRDefault="000100D5" w:rsidP="004E51E3">
      <w:pPr>
        <w:pStyle w:val="Bullet1G"/>
      </w:pPr>
      <w:r w:rsidRPr="004A3C57">
        <w:t xml:space="preserve">En un caso de </w:t>
      </w:r>
      <w:r>
        <w:t xml:space="preserve">diferencia en </w:t>
      </w:r>
      <w:r w:rsidRPr="004E51E3">
        <w:t>la remuneración: conceder la misma retribución y hasta tres años de atrasos salariales desde la fecha en que se presentó la reclamación</w:t>
      </w:r>
      <w:r w:rsidR="00FB2F91" w:rsidRPr="004E51E3">
        <w:t>;</w:t>
      </w:r>
    </w:p>
    <w:p w:rsidR="000100D5" w:rsidRPr="00DF531B" w:rsidRDefault="000100D5" w:rsidP="004E51E3">
      <w:pPr>
        <w:pStyle w:val="Bullet1G"/>
      </w:pPr>
      <w:r w:rsidRPr="004E51E3">
        <w:t>En otros casos: otorgar el mismo trato y una indemnización por las consecuencias de la</w:t>
      </w:r>
      <w:r w:rsidR="005007D6" w:rsidRPr="004E51E3">
        <w:t xml:space="preserve"> </w:t>
      </w:r>
      <w:r w:rsidRPr="004E51E3">
        <w:t>discriminación hasta un máximo</w:t>
      </w:r>
      <w:r w:rsidRPr="00DF531B">
        <w:t xml:space="preserve"> </w:t>
      </w:r>
      <w:r>
        <w:t>de dos años de remuneración</w:t>
      </w:r>
      <w:r w:rsidRPr="00DF531B">
        <w:t xml:space="preserve"> o 12</w:t>
      </w:r>
      <w:r w:rsidR="00FB2F91">
        <w:t>.</w:t>
      </w:r>
      <w:r w:rsidRPr="00DF531B">
        <w:t xml:space="preserve">697 </w:t>
      </w:r>
      <w:r>
        <w:t>euros si la persona no era un</w:t>
      </w:r>
      <w:r w:rsidRPr="00DF531B">
        <w:t xml:space="preserve"> empl</w:t>
      </w:r>
      <w:r>
        <w:t>eado</w:t>
      </w:r>
      <w:r w:rsidR="00FB2F91">
        <w:t>.</w:t>
      </w:r>
    </w:p>
    <w:p w:rsidR="000100D5" w:rsidRPr="006B35C1" w:rsidRDefault="000100D5" w:rsidP="000100D5">
      <w:pPr>
        <w:pStyle w:val="H23G"/>
      </w:pPr>
      <w:r w:rsidRPr="00DF531B">
        <w:tab/>
      </w:r>
      <w:r>
        <w:t>2.</w:t>
      </w:r>
      <w:r>
        <w:tab/>
        <w:t>Ap</w:t>
      </w:r>
      <w:r w:rsidRPr="006B35C1">
        <w:t>e</w:t>
      </w:r>
      <w:r>
        <w:t>l</w:t>
      </w:r>
      <w:r w:rsidRPr="006B35C1">
        <w:t>a</w:t>
      </w:r>
      <w:r>
        <w:t>ciones</w:t>
      </w:r>
      <w:r w:rsidRPr="006B35C1">
        <w:t xml:space="preserve"> </w:t>
      </w:r>
    </w:p>
    <w:p w:rsidR="000100D5" w:rsidRPr="00DF531B" w:rsidRDefault="000100D5" w:rsidP="000100D5">
      <w:pPr>
        <w:pStyle w:val="SingleTxtG"/>
      </w:pPr>
      <w:r w:rsidRPr="00DF531B">
        <w:t>398.</w:t>
      </w:r>
      <w:r w:rsidRPr="00DF531B">
        <w:tab/>
        <w:t>Cabe apelar contra las resoluciones del Tribunal Laboral en el plazo de 42 d</w:t>
      </w:r>
      <w:r>
        <w:t>ías desde la fecha de la resolución</w:t>
      </w:r>
      <w:r w:rsidRPr="00DF531B">
        <w:t xml:space="preserve">. Si no se acata una decisión o una mediación, se puede hacer cumplir </w:t>
      </w:r>
      <w:r>
        <w:t>a través del tribunal de c</w:t>
      </w:r>
      <w:r w:rsidRPr="00DF531B">
        <w:t>ircuit</w:t>
      </w:r>
      <w:r>
        <w:t>o</w:t>
      </w:r>
      <w:r w:rsidRPr="00DF531B">
        <w:t xml:space="preserve">. </w:t>
      </w:r>
    </w:p>
    <w:p w:rsidR="000100D5" w:rsidRPr="00225481" w:rsidRDefault="000100D5" w:rsidP="000100D5">
      <w:pPr>
        <w:pStyle w:val="SingleTxtG"/>
      </w:pPr>
      <w:r w:rsidRPr="00225481">
        <w:t>399.</w:t>
      </w:r>
      <w:r w:rsidRPr="00225481">
        <w:tab/>
        <w:t xml:space="preserve">En cuanto a las medidas tomadas para asegurar que las víctimas </w:t>
      </w:r>
      <w:r>
        <w:t xml:space="preserve">a) </w:t>
      </w:r>
      <w:r w:rsidRPr="00225481">
        <w:t xml:space="preserve">dispongan de una información adecuada sobre sus derechos, b) no teman </w:t>
      </w:r>
      <w:r>
        <w:t xml:space="preserve">a </w:t>
      </w:r>
      <w:r w:rsidRPr="00225481">
        <w:t xml:space="preserve">la censura o </w:t>
      </w:r>
      <w:r>
        <w:t xml:space="preserve">a </w:t>
      </w:r>
      <w:r w:rsidRPr="00225481">
        <w:t>las represalias sociales</w:t>
      </w:r>
      <w:r>
        <w:t xml:space="preserve">, </w:t>
      </w:r>
      <w:r w:rsidRPr="00225481">
        <w:t xml:space="preserve">c) </w:t>
      </w:r>
      <w:r>
        <w:t>no se arredren ante el</w:t>
      </w:r>
      <w:r w:rsidRPr="00225481">
        <w:t xml:space="preserve"> cost</w:t>
      </w:r>
      <w:r>
        <w:t>o y la</w:t>
      </w:r>
      <w:r w:rsidRPr="00225481">
        <w:t xml:space="preserve"> comple</w:t>
      </w:r>
      <w:r>
        <w:t>jidad de los procedimientos</w:t>
      </w:r>
      <w:r w:rsidRPr="00225481">
        <w:t xml:space="preserve"> judicial</w:t>
      </w:r>
      <w:r>
        <w:t>es si sus recursos son escasos</w:t>
      </w:r>
      <w:r w:rsidRPr="00225481">
        <w:t xml:space="preserve">, d) no </w:t>
      </w:r>
      <w:r>
        <w:t xml:space="preserve">desconfíen de la </w:t>
      </w:r>
      <w:r w:rsidRPr="00225481">
        <w:t>polic</w:t>
      </w:r>
      <w:r>
        <w:t>ía ni de las autoridades</w:t>
      </w:r>
      <w:r w:rsidRPr="00225481">
        <w:t xml:space="preserve"> judicial</w:t>
      </w:r>
      <w:r>
        <w:t>es</w:t>
      </w:r>
      <w:r w:rsidRPr="00225481">
        <w:t xml:space="preserve"> </w:t>
      </w:r>
      <w:r>
        <w:t xml:space="preserve">y </w:t>
      </w:r>
      <w:r w:rsidRPr="00225481">
        <w:t>e)</w:t>
      </w:r>
      <w:r w:rsidR="00FB2F91">
        <w:t> </w:t>
      </w:r>
      <w:r>
        <w:t>que las</w:t>
      </w:r>
      <w:r w:rsidRPr="00225481">
        <w:t xml:space="preserve"> autori</w:t>
      </w:r>
      <w:r>
        <w:t>dades estén lo</w:t>
      </w:r>
      <w:r w:rsidRPr="00225481">
        <w:t xml:space="preserve"> suficient</w:t>
      </w:r>
      <w:r>
        <w:t>emente</w:t>
      </w:r>
      <w:r w:rsidRPr="00225481">
        <w:t xml:space="preserve"> alert</w:t>
      </w:r>
      <w:r>
        <w:t>as</w:t>
      </w:r>
      <w:r w:rsidRPr="00225481">
        <w:t xml:space="preserve"> </w:t>
      </w:r>
      <w:r>
        <w:t>o sean conscientes de los delitos provocados por motivos</w:t>
      </w:r>
      <w:r w:rsidRPr="00225481">
        <w:t xml:space="preserve"> racial</w:t>
      </w:r>
      <w:r>
        <w:t>es</w:t>
      </w:r>
      <w:r w:rsidRPr="00225481">
        <w:t xml:space="preserve">, </w:t>
      </w:r>
      <w:r>
        <w:t xml:space="preserve">véase la </w:t>
      </w:r>
      <w:r w:rsidRPr="00225481">
        <w:t>re</w:t>
      </w:r>
      <w:r>
        <w:t>s</w:t>
      </w:r>
      <w:r w:rsidRPr="00225481">
        <w:t>p</w:t>
      </w:r>
      <w:r>
        <w:t>uesta a</w:t>
      </w:r>
      <w:r w:rsidRPr="00225481">
        <w:t xml:space="preserve"> 6 1) </w:t>
      </w:r>
      <w:r>
        <w:rPr>
          <w:i/>
        </w:rPr>
        <w:t>supra</w:t>
      </w:r>
      <w:r w:rsidRPr="00225481">
        <w:t xml:space="preserve">. </w:t>
      </w:r>
    </w:p>
    <w:p w:rsidR="000100D5" w:rsidRPr="00EE3224" w:rsidRDefault="000100D5" w:rsidP="000100D5">
      <w:pPr>
        <w:pStyle w:val="SingleTxtG"/>
      </w:pPr>
      <w:r w:rsidRPr="00EE3224">
        <w:t>400.</w:t>
      </w:r>
      <w:r w:rsidRPr="00EE3224">
        <w:tab/>
        <w:t>Para más información sobre si las instituciones nacionales y los defensores de los derechos humanos y otras instituciones similar</w:t>
      </w:r>
      <w:r>
        <w:t>es están</w:t>
      </w:r>
      <w:r w:rsidRPr="00EE3224">
        <w:t xml:space="preserve"> autoriz</w:t>
      </w:r>
      <w:r>
        <w:t>ados para oír y examinar las quejas</w:t>
      </w:r>
      <w:r w:rsidRPr="00EE3224">
        <w:t xml:space="preserve"> individual</w:t>
      </w:r>
      <w:r>
        <w:t>es de</w:t>
      </w:r>
      <w:r w:rsidRPr="00EE3224">
        <w:t xml:space="preserve"> discrimina</w:t>
      </w:r>
      <w:r>
        <w:t>c</w:t>
      </w:r>
      <w:r w:rsidRPr="00EE3224">
        <w:t>i</w:t>
      </w:r>
      <w:r>
        <w:t>ó</w:t>
      </w:r>
      <w:r w:rsidRPr="00EE3224">
        <w:t>n</w:t>
      </w:r>
      <w:r>
        <w:t xml:space="preserve"> racial</w:t>
      </w:r>
      <w:r w:rsidRPr="00EE3224">
        <w:t xml:space="preserve">, </w:t>
      </w:r>
      <w:r>
        <w:t>véan</w:t>
      </w:r>
      <w:r w:rsidRPr="00EE3224">
        <w:t>se p</w:t>
      </w:r>
      <w:r>
        <w:t>ár</w:t>
      </w:r>
      <w:r w:rsidRPr="00EE3224">
        <w:t>ra</w:t>
      </w:r>
      <w:r>
        <w:t>fos</w:t>
      </w:r>
      <w:r w:rsidRPr="00EE3224">
        <w:t xml:space="preserve"> 394</w:t>
      </w:r>
      <w:r>
        <w:t xml:space="preserve"> a </w:t>
      </w:r>
      <w:r w:rsidRPr="00EE3224">
        <w:t xml:space="preserve">396 </w:t>
      </w:r>
      <w:r>
        <w:rPr>
          <w:i/>
        </w:rPr>
        <w:t>supra</w:t>
      </w:r>
      <w:r w:rsidRPr="00EE3224">
        <w:t xml:space="preserve">. </w:t>
      </w:r>
    </w:p>
    <w:p w:rsidR="000100D5" w:rsidRPr="00D27833" w:rsidRDefault="000100D5" w:rsidP="000100D5">
      <w:pPr>
        <w:pStyle w:val="SingleTxtG"/>
      </w:pPr>
      <w:r w:rsidRPr="001A1785">
        <w:t>401.</w:t>
      </w:r>
      <w:r w:rsidRPr="001A1785">
        <w:tab/>
      </w:r>
      <w:r>
        <w:t>En cuanto a los</w:t>
      </w:r>
      <w:r w:rsidRPr="001A1785">
        <w:t xml:space="preserve"> tipos de </w:t>
      </w:r>
      <w:r>
        <w:t xml:space="preserve">satisfacción o </w:t>
      </w:r>
      <w:r w:rsidRPr="001A1785">
        <w:t>reparación, con ejemplos que se consideran adecuados</w:t>
      </w:r>
      <w:r>
        <w:t xml:space="preserve"> en el derecho interno</w:t>
      </w:r>
      <w:r w:rsidRPr="001A1785">
        <w:t xml:space="preserve"> en los casos de discriminación racial, </w:t>
      </w:r>
      <w:r>
        <w:t>véanse los</w:t>
      </w:r>
      <w:r w:rsidRPr="001A1785">
        <w:t xml:space="preserve"> p</w:t>
      </w:r>
      <w:r>
        <w:t>árr</w:t>
      </w:r>
      <w:r w:rsidRPr="001A1785">
        <w:t>a</w:t>
      </w:r>
      <w:r>
        <w:t>fos</w:t>
      </w:r>
      <w:r w:rsidR="00FB2F91">
        <w:t> </w:t>
      </w:r>
      <w:r w:rsidRPr="001A1785">
        <w:t>394</w:t>
      </w:r>
      <w:r>
        <w:t xml:space="preserve"> a </w:t>
      </w:r>
      <w:r w:rsidRPr="001A1785">
        <w:t>396</w:t>
      </w:r>
      <w:r>
        <w:t xml:space="preserve"> </w:t>
      </w:r>
      <w:r>
        <w:rPr>
          <w:i/>
        </w:rPr>
        <w:t>supra</w:t>
      </w:r>
      <w:r w:rsidRPr="001A1785">
        <w:t xml:space="preserve">. </w:t>
      </w:r>
      <w:r w:rsidRPr="00D27833">
        <w:t xml:space="preserve">Véase también </w:t>
      </w:r>
      <w:r>
        <w:t xml:space="preserve">el sitio web de </w:t>
      </w:r>
      <w:r w:rsidRPr="00D27833">
        <w:t>la Sección de Revisión Jur</w:t>
      </w:r>
      <w:r>
        <w:t xml:space="preserve">ídica del </w:t>
      </w:r>
      <w:r w:rsidRPr="00D27833">
        <w:t xml:space="preserve">Tribunal </w:t>
      </w:r>
      <w:r>
        <w:t>de la Igualdad</w:t>
      </w:r>
      <w:r w:rsidRPr="00D27833">
        <w:t xml:space="preserve"> (www.equalitytribunal.ie).</w:t>
      </w:r>
    </w:p>
    <w:p w:rsidR="000100D5" w:rsidRPr="00D27833" w:rsidRDefault="000100D5" w:rsidP="000100D5">
      <w:pPr>
        <w:pStyle w:val="SingleTxtG"/>
      </w:pPr>
      <w:r w:rsidRPr="00D27833">
        <w:t>402.</w:t>
      </w:r>
      <w:r w:rsidRPr="00D27833">
        <w:tab/>
        <w:t xml:space="preserve">Para más información sobre la carga de la prueba en las actuaciones civiles relativas a casos de discriminación racial, </w:t>
      </w:r>
      <w:r>
        <w:t>véanse los párrafos</w:t>
      </w:r>
      <w:r w:rsidRPr="00D27833">
        <w:t xml:space="preserve"> 394</w:t>
      </w:r>
      <w:r>
        <w:t xml:space="preserve"> a </w:t>
      </w:r>
      <w:r w:rsidRPr="00D27833">
        <w:t xml:space="preserve">396 </w:t>
      </w:r>
      <w:r>
        <w:rPr>
          <w:i/>
        </w:rPr>
        <w:t>supra</w:t>
      </w:r>
      <w:r w:rsidRPr="00D27833">
        <w:t xml:space="preserve">. </w:t>
      </w:r>
    </w:p>
    <w:p w:rsidR="000100D5" w:rsidRPr="00D27833" w:rsidRDefault="000100D5" w:rsidP="000100D5">
      <w:pPr>
        <w:pStyle w:val="SingleTxtG"/>
      </w:pPr>
      <w:r w:rsidRPr="00D27833">
        <w:t>403.</w:t>
      </w:r>
      <w:r w:rsidRPr="00D27833">
        <w:tab/>
        <w:t>Irlanda formul</w:t>
      </w:r>
      <w:r>
        <w:t>ó</w:t>
      </w:r>
      <w:r w:rsidRPr="00D27833">
        <w:t xml:space="preserve"> una declaración en virtud del artículo 14 de la Convención,</w:t>
      </w:r>
      <w:r w:rsidR="005007D6">
        <w:t xml:space="preserve"> </w:t>
      </w:r>
      <w:r w:rsidRPr="00D27833">
        <w:t>reconoc</w:t>
      </w:r>
      <w:r>
        <w:t>iendo el derecho de los individuos a apelar directamente al Comité cuando todos los recursos que ofrece la jurisdicción nacional se hayan agotado</w:t>
      </w:r>
      <w:r w:rsidRPr="00D27833">
        <w:t xml:space="preserve">. </w:t>
      </w:r>
    </w:p>
    <w:p w:rsidR="000100D5" w:rsidRPr="002E2AB7" w:rsidRDefault="000100D5" w:rsidP="000100D5">
      <w:pPr>
        <w:pStyle w:val="H1G"/>
      </w:pPr>
      <w:r w:rsidRPr="00D27833">
        <w:tab/>
      </w:r>
      <w:r w:rsidRPr="00D27833">
        <w:tab/>
      </w:r>
      <w:r w:rsidRPr="002E2AB7">
        <w:t>Artículo 7</w:t>
      </w:r>
    </w:p>
    <w:p w:rsidR="000100D5" w:rsidRPr="002E2AB7" w:rsidRDefault="000100D5" w:rsidP="000100D5">
      <w:pPr>
        <w:pStyle w:val="H23G"/>
      </w:pPr>
      <w:r w:rsidRPr="002E2AB7">
        <w:tab/>
        <w:t>1.</w:t>
      </w:r>
      <w:r w:rsidRPr="002E2AB7">
        <w:tab/>
        <w:t>Información general sobre el sistema educativo irland</w:t>
      </w:r>
      <w:r>
        <w:t>és</w:t>
      </w:r>
    </w:p>
    <w:p w:rsidR="000100D5" w:rsidRPr="002E2AB7" w:rsidRDefault="000100D5" w:rsidP="000100D5">
      <w:pPr>
        <w:pStyle w:val="SingleTxtG"/>
      </w:pPr>
      <w:r w:rsidRPr="002E2AB7">
        <w:t>404.</w:t>
      </w:r>
      <w:r w:rsidRPr="002E2AB7">
        <w:tab/>
        <w:t>En los párrafos 339 a 341 se describen en detalle los principios rectores y las</w:t>
      </w:r>
      <w:r>
        <w:t xml:space="preserve"> disposiciones legislativas y políticas fundamentales acerca de la educación integradora en</w:t>
      </w:r>
      <w:r w:rsidRPr="002E2AB7">
        <w:t xml:space="preserve"> Irland</w:t>
      </w:r>
      <w:r>
        <w:t>a</w:t>
      </w:r>
      <w:r w:rsidRPr="002E2AB7">
        <w:t xml:space="preserve">. </w:t>
      </w:r>
    </w:p>
    <w:p w:rsidR="000100D5" w:rsidRPr="002D287D" w:rsidRDefault="000100D5" w:rsidP="000100D5">
      <w:pPr>
        <w:pStyle w:val="SingleTxtG"/>
      </w:pPr>
      <w:r w:rsidRPr="002D287D">
        <w:t>405.</w:t>
      </w:r>
      <w:r w:rsidRPr="002D287D">
        <w:tab/>
        <w:t xml:space="preserve">La asistencia a la escuela es obligatoria entre los 6 y los 16 </w:t>
      </w:r>
      <w:r>
        <w:t>años o hasta que los alumnos hayan completado tres cursos de enseñanza</w:t>
      </w:r>
      <w:r w:rsidRPr="002D287D">
        <w:t xml:space="preserve"> </w:t>
      </w:r>
      <w:r>
        <w:t xml:space="preserve">de </w:t>
      </w:r>
      <w:r w:rsidRPr="002D287D">
        <w:t>se</w:t>
      </w:r>
      <w:r>
        <w:t>gundo nivel</w:t>
      </w:r>
      <w:r w:rsidRPr="002D287D">
        <w:t xml:space="preserve">, </w:t>
      </w:r>
      <w:r>
        <w:t>lo que</w:t>
      </w:r>
      <w:r w:rsidRPr="002D287D">
        <w:t xml:space="preserve"> ocur</w:t>
      </w:r>
      <w:r>
        <w:t>ra</w:t>
      </w:r>
      <w:r w:rsidRPr="002D287D">
        <w:t xml:space="preserve"> </w:t>
      </w:r>
      <w:r>
        <w:t>más tarde</w:t>
      </w:r>
      <w:r w:rsidRPr="002D287D">
        <w:t xml:space="preserve">. </w:t>
      </w:r>
    </w:p>
    <w:p w:rsidR="000100D5" w:rsidRPr="006816A9" w:rsidRDefault="000100D5" w:rsidP="000100D5">
      <w:pPr>
        <w:pStyle w:val="SingleTxtG"/>
      </w:pPr>
      <w:r w:rsidRPr="002D287D">
        <w:t>406.</w:t>
      </w:r>
      <w:r w:rsidRPr="002D287D">
        <w:tab/>
        <w:t>A partir de enero de 2010</w:t>
      </w:r>
      <w:r>
        <w:t>,</w:t>
      </w:r>
      <w:r w:rsidRPr="002D287D">
        <w:t xml:space="preserve"> todos los niños de 3 a 4 años podr</w:t>
      </w:r>
      <w:r>
        <w:t>án seguir un curso gratuito de enseñanza</w:t>
      </w:r>
      <w:r w:rsidRPr="002D287D">
        <w:t xml:space="preserve"> pre</w:t>
      </w:r>
      <w:r>
        <w:t>e</w:t>
      </w:r>
      <w:r w:rsidRPr="002D287D">
        <w:t>scol</w:t>
      </w:r>
      <w:r>
        <w:t>ar, lo que</w:t>
      </w:r>
      <w:r w:rsidRPr="002D287D">
        <w:t xml:space="preserve"> representa un cambio considerable en la polític</w:t>
      </w:r>
      <w:r>
        <w:t>a del</w:t>
      </w:r>
      <w:r w:rsidRPr="002D287D">
        <w:t xml:space="preserve"> Go</w:t>
      </w:r>
      <w:r>
        <w:t>bi</w:t>
      </w:r>
      <w:r w:rsidRPr="002D287D">
        <w:t>ern</w:t>
      </w:r>
      <w:r>
        <w:t>o irlandés</w:t>
      </w:r>
      <w:r w:rsidRPr="002D287D">
        <w:t xml:space="preserve">. </w:t>
      </w:r>
      <w:r w:rsidRPr="006816A9">
        <w:t xml:space="preserve">Refleja </w:t>
      </w:r>
      <w:r>
        <w:t>un</w:t>
      </w:r>
      <w:r w:rsidRPr="006816A9">
        <w:t xml:space="preserve">a mayor conciencia de la importancia de </w:t>
      </w:r>
      <w:r>
        <w:t>una</w:t>
      </w:r>
      <w:r w:rsidRPr="006816A9">
        <w:t xml:space="preserve"> enseñanza</w:t>
      </w:r>
      <w:r>
        <w:t xml:space="preserve"> temprana para todos los niños, en especial de los que corren el riesgo de hallarse en una situación desventajosa desde el punto de vista </w:t>
      </w:r>
      <w:r w:rsidRPr="006816A9">
        <w:t>educa</w:t>
      </w:r>
      <w:r>
        <w:t>tivo</w:t>
      </w:r>
      <w:r w:rsidRPr="006816A9">
        <w:t xml:space="preserve">. </w:t>
      </w:r>
    </w:p>
    <w:p w:rsidR="000100D5" w:rsidRPr="00173B8D" w:rsidRDefault="000100D5" w:rsidP="000100D5">
      <w:pPr>
        <w:pStyle w:val="SingleTxtG"/>
      </w:pPr>
      <w:r w:rsidRPr="006816A9">
        <w:t>407.</w:t>
      </w:r>
      <w:r w:rsidRPr="006816A9">
        <w:tab/>
        <w:t>Las escuelas primarias pueden admitir a los niños a partir del mes de septiembr</w:t>
      </w:r>
      <w:r>
        <w:t>e del año en que hayan cumplido los cuatro</w:t>
      </w:r>
      <w:r w:rsidRPr="006816A9">
        <w:t xml:space="preserve">. </w:t>
      </w:r>
      <w:r>
        <w:t>Más del</w:t>
      </w:r>
      <w:r w:rsidRPr="006816A9">
        <w:t xml:space="preserve"> 90% de todos los niños de 5 años están matriculados en escuelas primarias. Cualquier escuela primaria matricula a sus alumnos en función de su edad en ocho niveles o clase</w:t>
      </w:r>
      <w:r>
        <w:t>s</w:t>
      </w:r>
      <w:r w:rsidRPr="006816A9">
        <w:t xml:space="preserve"> </w:t>
      </w:r>
      <w:r>
        <w:t xml:space="preserve">y atiende a los </w:t>
      </w:r>
      <w:r w:rsidR="00FB2F91">
        <w:t>alumnos desde alrededor de 4 </w:t>
      </w:r>
      <w:r>
        <w:t>años hasta los</w:t>
      </w:r>
      <w:r w:rsidRPr="006816A9">
        <w:t xml:space="preserve"> 12 </w:t>
      </w:r>
      <w:r>
        <w:t xml:space="preserve">años aproximadamente. </w:t>
      </w:r>
      <w:r w:rsidRPr="00173B8D">
        <w:t>El plan de estudios está centrado en el niño y permite un margen de flexibilidad en los horarios y en los m</w:t>
      </w:r>
      <w:r>
        <w:t>étodos docentes</w:t>
      </w:r>
      <w:r w:rsidRPr="00173B8D">
        <w:t xml:space="preserve">. </w:t>
      </w:r>
    </w:p>
    <w:p w:rsidR="000100D5" w:rsidRPr="00173B8D" w:rsidRDefault="000100D5" w:rsidP="000100D5">
      <w:pPr>
        <w:pStyle w:val="SingleTxtG"/>
      </w:pPr>
      <w:r w:rsidRPr="00173B8D">
        <w:t>408.</w:t>
      </w:r>
      <w:r w:rsidRPr="00173B8D">
        <w:tab/>
        <w:t>Casi todos los alumnos acceden al segundo nivel escolar una vez te</w:t>
      </w:r>
      <w:r w:rsidR="00067DCF">
        <w:t>rminada la enseñanza primaria —</w:t>
      </w:r>
      <w:r w:rsidRPr="00173B8D">
        <w:t>por lo general</w:t>
      </w:r>
      <w:r>
        <w:t>, en torno a los</w:t>
      </w:r>
      <w:r w:rsidRPr="00173B8D">
        <w:t xml:space="preserve"> 12 o 13 </w:t>
      </w:r>
      <w:r>
        <w:t>años.</w:t>
      </w:r>
      <w:r w:rsidRPr="00173B8D">
        <w:t xml:space="preserve"> La enseñanza del segundo nivel comprende los estudios secundarios, la formación profesional, las escuelas comunitarias y generales, y en todos los centros se sigue el mismo plan de</w:t>
      </w:r>
      <w:r>
        <w:t xml:space="preserve"> </w:t>
      </w:r>
      <w:r w:rsidRPr="00173B8D">
        <w:t>e</w:t>
      </w:r>
      <w:r>
        <w:t>studios obligatorio a fin de preparar a los alumnos para presentarse a los mismos exámenes</w:t>
      </w:r>
      <w:r w:rsidRPr="00173B8D">
        <w:t xml:space="preserve"> </w:t>
      </w:r>
      <w:r>
        <w:t>es</w:t>
      </w:r>
      <w:r w:rsidRPr="00173B8D">
        <w:t>tat</w:t>
      </w:r>
      <w:r>
        <w:t>ales normalizados</w:t>
      </w:r>
      <w:r w:rsidRPr="00173B8D">
        <w:t xml:space="preserve">. </w:t>
      </w:r>
    </w:p>
    <w:p w:rsidR="000100D5" w:rsidRPr="000E6B33" w:rsidRDefault="000100D5" w:rsidP="000100D5">
      <w:pPr>
        <w:pStyle w:val="SingleTxtG"/>
      </w:pPr>
      <w:r w:rsidRPr="00173B8D">
        <w:t>409.</w:t>
      </w:r>
      <w:r w:rsidRPr="00173B8D">
        <w:tab/>
        <w:t xml:space="preserve">Las escuelas del segundo nivel ofrecen un ciclo de cinco o seis años. </w:t>
      </w:r>
      <w:r w:rsidRPr="000E6B33">
        <w:t>El primer ciclo dura tres años y finaliza con el examen estatal de grado elemental</w:t>
      </w:r>
      <w:r>
        <w:t>. E</w:t>
      </w:r>
      <w:r w:rsidRPr="000E6B33">
        <w:t>l ciclo superior puede incluir un programa de transición de un año de duración, seguido de un progr</w:t>
      </w:r>
      <w:r>
        <w:t>a</w:t>
      </w:r>
      <w:r w:rsidRPr="000E6B33">
        <w:t>ma de dos años</w:t>
      </w:r>
      <w:r>
        <w:t>,</w:t>
      </w:r>
      <w:r w:rsidRPr="000E6B33">
        <w:t xml:space="preserve"> que culmina</w:t>
      </w:r>
      <w:r>
        <w:t xml:space="preserve"> con el examen estatal de grado superior</w:t>
      </w:r>
      <w:r w:rsidRPr="000E6B33">
        <w:t>. El ingreso en la enseñanza de tercer</w:t>
      </w:r>
      <w:r>
        <w:t xml:space="preserve"> </w:t>
      </w:r>
      <w:r w:rsidRPr="000E6B33">
        <w:t xml:space="preserve">nivel está relacionado, en </w:t>
      </w:r>
      <w:r>
        <w:t>su</w:t>
      </w:r>
      <w:r w:rsidRPr="000E6B33">
        <w:t xml:space="preserve"> mayor</w:t>
      </w:r>
      <w:r>
        <w:t xml:space="preserve"> parte</w:t>
      </w:r>
      <w:r w:rsidRPr="000E6B33">
        <w:t>, con los resultados logrados</w:t>
      </w:r>
      <w:r>
        <w:t xml:space="preserve"> en el examen</w:t>
      </w:r>
      <w:r w:rsidRPr="000E6B33">
        <w:t xml:space="preserve">, </w:t>
      </w:r>
      <w:r>
        <w:t>de grado superior</w:t>
      </w:r>
      <w:r w:rsidRPr="000E6B33">
        <w:t xml:space="preserve">. </w:t>
      </w:r>
    </w:p>
    <w:p w:rsidR="000100D5" w:rsidRPr="000E6B33" w:rsidRDefault="000100D5" w:rsidP="000100D5">
      <w:pPr>
        <w:pStyle w:val="SingleTxtG"/>
      </w:pPr>
      <w:r w:rsidRPr="000E6B33">
        <w:t>410.</w:t>
      </w:r>
      <w:r w:rsidRPr="000E6B33">
        <w:tab/>
        <w:t xml:space="preserve">La cartera del Ministro para la Integración </w:t>
      </w:r>
      <w:r>
        <w:t xml:space="preserve">está vinculada </w:t>
      </w:r>
      <w:r w:rsidRPr="000E6B33">
        <w:t>par</w:t>
      </w:r>
      <w:r>
        <w:t>cialmente con el ámbito de la</w:t>
      </w:r>
      <w:r w:rsidRPr="000E6B33">
        <w:t xml:space="preserve"> educa</w:t>
      </w:r>
      <w:r>
        <w:t>c</w:t>
      </w:r>
      <w:r w:rsidRPr="000E6B33">
        <w:t>i</w:t>
      </w:r>
      <w:r>
        <w:t>ó</w:t>
      </w:r>
      <w:r w:rsidRPr="000E6B33">
        <w:t xml:space="preserve">n. </w:t>
      </w:r>
      <w:r>
        <w:t>El</w:t>
      </w:r>
      <w:r w:rsidRPr="000E6B33">
        <w:t xml:space="preserve"> Ministr</w:t>
      </w:r>
      <w:r>
        <w:t>o se encarga, entre otras, de las siguientes tareas</w:t>
      </w:r>
      <w:r w:rsidRPr="000E6B33">
        <w:t>:</w:t>
      </w:r>
    </w:p>
    <w:p w:rsidR="000100D5" w:rsidRPr="004E51E3" w:rsidRDefault="000100D5" w:rsidP="004E51E3">
      <w:pPr>
        <w:pStyle w:val="Bullet1G"/>
      </w:pPr>
      <w:r w:rsidRPr="00F02111">
        <w:t xml:space="preserve">Garantizar que </w:t>
      </w:r>
      <w:r>
        <w:t xml:space="preserve">en </w:t>
      </w:r>
      <w:r w:rsidRPr="00F02111">
        <w:t xml:space="preserve">la gama de políticas educativas de los diferentes sectores del </w:t>
      </w:r>
      <w:r w:rsidRPr="004E51E3">
        <w:t>Departamento de Educación y Ciencia y los órganos que de él dependen se tenga en cuenta la necesidad de integrar a los inmigrantes y a sus familias</w:t>
      </w:r>
      <w:r w:rsidR="00FB2F91" w:rsidRPr="004E51E3">
        <w:t>;</w:t>
      </w:r>
    </w:p>
    <w:p w:rsidR="000100D5" w:rsidRPr="00F02111" w:rsidRDefault="000100D5" w:rsidP="004E51E3">
      <w:pPr>
        <w:pStyle w:val="Bullet1G"/>
      </w:pPr>
      <w:r w:rsidRPr="004E51E3">
        <w:t>Coordinar la labor del Departamento relativa a la integración de los recién llegados con la labor conexa</w:t>
      </w:r>
      <w:r w:rsidRPr="00F02111">
        <w:t xml:space="preserve"> de otros Departament</w:t>
      </w:r>
      <w:r>
        <w:t>o</w:t>
      </w:r>
      <w:r w:rsidRPr="00F02111">
        <w:t>s</w:t>
      </w:r>
      <w:r>
        <w:t xml:space="preserve"> y organismos estatales pertinentes</w:t>
      </w:r>
      <w:r w:rsidR="00FB2F91">
        <w:t>.</w:t>
      </w:r>
    </w:p>
    <w:p w:rsidR="000100D5" w:rsidRPr="00A91D27" w:rsidRDefault="000100D5" w:rsidP="000100D5">
      <w:pPr>
        <w:pStyle w:val="SingleTxtG"/>
      </w:pPr>
      <w:r w:rsidRPr="00F02111">
        <w:t>411.</w:t>
      </w:r>
      <w:r w:rsidRPr="00F02111">
        <w:tab/>
        <w:t xml:space="preserve">Los principios de enseñanza de la igualdad, respeto y diversidad </w:t>
      </w:r>
      <w:r>
        <w:t xml:space="preserve">son los pilares que </w:t>
      </w:r>
      <w:r w:rsidRPr="00F02111">
        <w:t>sustentan</w:t>
      </w:r>
      <w:r>
        <w:t xml:space="preserve"> no sólo la capacitación previa al </w:t>
      </w:r>
      <w:r w:rsidRPr="00F02111">
        <w:t>servic</w:t>
      </w:r>
      <w:r>
        <w:t>io, sino también el desarrollo</w:t>
      </w:r>
      <w:r w:rsidRPr="00F02111">
        <w:t xml:space="preserve"> profesional </w:t>
      </w:r>
      <w:r>
        <w:t>permanente</w:t>
      </w:r>
      <w:r w:rsidRPr="00F02111">
        <w:t xml:space="preserve">. </w:t>
      </w:r>
      <w:r w:rsidRPr="00A91D27">
        <w:t xml:space="preserve">Irlanda está firmemente decidida a promover y apoyar esos principios. </w:t>
      </w:r>
    </w:p>
    <w:p w:rsidR="000100D5" w:rsidRPr="00A91D27" w:rsidRDefault="000100D5" w:rsidP="000100D5">
      <w:pPr>
        <w:pStyle w:val="H23G"/>
      </w:pPr>
      <w:r w:rsidRPr="00A91D27">
        <w:tab/>
        <w:t>2.</w:t>
      </w:r>
      <w:r w:rsidRPr="00A91D27">
        <w:tab/>
        <w:t xml:space="preserve">Formación inicial del profesorado – Nivel primario </w:t>
      </w:r>
    </w:p>
    <w:p w:rsidR="000100D5" w:rsidRPr="00282E30" w:rsidRDefault="000100D5" w:rsidP="000100D5">
      <w:pPr>
        <w:pStyle w:val="SingleTxtG"/>
      </w:pPr>
      <w:r w:rsidRPr="00A91D27">
        <w:t>412.</w:t>
      </w:r>
      <w:r w:rsidRPr="00A91D27">
        <w:tab/>
        <w:t>Los alumnos</w:t>
      </w:r>
      <w:r>
        <w:t xml:space="preserve"> </w:t>
      </w:r>
      <w:r w:rsidRPr="00A91D27">
        <w:t>de magisterio de nivel de primaria siguen programas similares, aunque no idénticos</w:t>
      </w:r>
      <w:r>
        <w:t>,</w:t>
      </w:r>
      <w:r w:rsidRPr="00A91D27">
        <w:t xml:space="preserve"> en las diferentes escuelas de</w:t>
      </w:r>
      <w:r>
        <w:t xml:space="preserve"> formación de docentes</w:t>
      </w:r>
      <w:r w:rsidRPr="00A91D27">
        <w:t>. En varias escuelas</w:t>
      </w:r>
      <w:r>
        <w:t xml:space="preserve"> de magisterio</w:t>
      </w:r>
      <w:r w:rsidRPr="00A91D27">
        <w:t>, la capacitación relativa a la enseñanza de la igualdad, el respeto y la diversi</w:t>
      </w:r>
      <w:r>
        <w:t>dad</w:t>
      </w:r>
      <w:r w:rsidRPr="00A91D27">
        <w:t xml:space="preserve"> form</w:t>
      </w:r>
      <w:r>
        <w:t>a</w:t>
      </w:r>
      <w:r w:rsidRPr="00A91D27">
        <w:t xml:space="preserve"> part</w:t>
      </w:r>
      <w:r>
        <w:t>e de las asignaturas optativas</w:t>
      </w:r>
      <w:r w:rsidRPr="00A91D27">
        <w:t xml:space="preserve">. La formación general para </w:t>
      </w:r>
      <w:r>
        <w:t xml:space="preserve">impartir </w:t>
      </w:r>
      <w:r w:rsidRPr="00A91D27">
        <w:t>el plan de</w:t>
      </w:r>
      <w:r>
        <w:t xml:space="preserve"> estudios de</w:t>
      </w:r>
      <w:r w:rsidRPr="00A91D27">
        <w:t xml:space="preserve">l </w:t>
      </w:r>
      <w:r>
        <w:t>nivel</w:t>
      </w:r>
      <w:r w:rsidRPr="00A91D27">
        <w:t xml:space="preserve"> primari</w:t>
      </w:r>
      <w:r>
        <w:t>o</w:t>
      </w:r>
      <w:r w:rsidRPr="00A91D27">
        <w:t xml:space="preserve"> est</w:t>
      </w:r>
      <w:r>
        <w:t>á</w:t>
      </w:r>
      <w:r w:rsidRPr="00A91D27">
        <w:t xml:space="preserve"> bas</w:t>
      </w:r>
      <w:r>
        <w:t>a</w:t>
      </w:r>
      <w:r w:rsidRPr="00A91D27">
        <w:t>d</w:t>
      </w:r>
      <w:r>
        <w:t>a</w:t>
      </w:r>
      <w:r w:rsidRPr="00A91D27">
        <w:t xml:space="preserve"> </w:t>
      </w:r>
      <w:r>
        <w:t>e</w:t>
      </w:r>
      <w:r w:rsidRPr="00A91D27">
        <w:t xml:space="preserve">n </w:t>
      </w:r>
      <w:r>
        <w:t>la</w:t>
      </w:r>
      <w:r w:rsidRPr="00A91D27">
        <w:t xml:space="preserve"> importanc</w:t>
      </w:r>
      <w:r>
        <w:t>ia del</w:t>
      </w:r>
      <w:r w:rsidRPr="00A91D27">
        <w:t xml:space="preserve"> respet</w:t>
      </w:r>
      <w:r>
        <w:t>o</w:t>
      </w:r>
      <w:r w:rsidRPr="00A91D27">
        <w:t xml:space="preserve">, </w:t>
      </w:r>
      <w:r>
        <w:t xml:space="preserve">la </w:t>
      </w:r>
      <w:r w:rsidRPr="00A91D27">
        <w:t>diversi</w:t>
      </w:r>
      <w:r>
        <w:t>dad y la</w:t>
      </w:r>
      <w:r w:rsidRPr="00A91D27">
        <w:t xml:space="preserve"> toleranc</w:t>
      </w:r>
      <w:r>
        <w:t>ia</w:t>
      </w:r>
      <w:r w:rsidRPr="00A91D27">
        <w:t xml:space="preserve">. Los métodos docentes giran en torno a los mecanismos de apoyo </w:t>
      </w:r>
      <w:r>
        <w:t>a</w:t>
      </w:r>
      <w:r w:rsidRPr="00A91D27">
        <w:t xml:space="preserve"> las aulas</w:t>
      </w:r>
      <w:r>
        <w:t xml:space="preserve"> </w:t>
      </w:r>
      <w:r w:rsidRPr="00A91D27">
        <w:t>integradas</w:t>
      </w:r>
      <w:r>
        <w:t>.</w:t>
      </w:r>
      <w:r w:rsidRPr="00A91D27">
        <w:t xml:space="preserve"> </w:t>
      </w:r>
      <w:r w:rsidRPr="00282E30">
        <w:t>La formación se imp</w:t>
      </w:r>
      <w:r>
        <w:t>a</w:t>
      </w:r>
      <w:r w:rsidRPr="00282E30">
        <w:t xml:space="preserve">rte, por consiguiente, de manera transversal y también </w:t>
      </w:r>
      <w:r>
        <w:t xml:space="preserve">en </w:t>
      </w:r>
      <w:r w:rsidRPr="00282E30">
        <w:t xml:space="preserve">el contexto de la capacitación para la docencia de aspectos concretos del plan de estudios, como la </w:t>
      </w:r>
      <w:r>
        <w:t>E</w:t>
      </w:r>
      <w:r w:rsidRPr="00282E30">
        <w:t>ducaci</w:t>
      </w:r>
      <w:r>
        <w:t>ón social</w:t>
      </w:r>
      <w:r w:rsidRPr="00282E30">
        <w:t xml:space="preserve">, </w:t>
      </w:r>
      <w:r>
        <w:t>p</w:t>
      </w:r>
      <w:r w:rsidRPr="00282E30">
        <w:t xml:space="preserve">ersonal </w:t>
      </w:r>
      <w:r>
        <w:t>y sanitaria, materia en la que el res</w:t>
      </w:r>
      <w:r w:rsidRPr="00282E30">
        <w:t>pet</w:t>
      </w:r>
      <w:r>
        <w:t>o</w:t>
      </w:r>
      <w:r w:rsidRPr="00282E30">
        <w:t xml:space="preserve">, </w:t>
      </w:r>
      <w:r>
        <w:t xml:space="preserve">la </w:t>
      </w:r>
      <w:r w:rsidRPr="00282E30">
        <w:t>diversi</w:t>
      </w:r>
      <w:r>
        <w:t>dad</w:t>
      </w:r>
      <w:r w:rsidR="005007D6">
        <w:t xml:space="preserve"> </w:t>
      </w:r>
      <w:r w:rsidRPr="00282E30">
        <w:t xml:space="preserve">y </w:t>
      </w:r>
      <w:r>
        <w:t>la</w:t>
      </w:r>
      <w:r w:rsidRPr="00282E30">
        <w:t xml:space="preserve"> toleranc</w:t>
      </w:r>
      <w:r>
        <w:t>ia se abordan con mayor profundidad</w:t>
      </w:r>
      <w:r w:rsidRPr="00282E30">
        <w:t xml:space="preserve">. </w:t>
      </w:r>
    </w:p>
    <w:p w:rsidR="000100D5" w:rsidRPr="003B5299" w:rsidRDefault="000100D5" w:rsidP="000100D5">
      <w:pPr>
        <w:pStyle w:val="H23G"/>
      </w:pPr>
      <w:r w:rsidRPr="00282E30">
        <w:tab/>
      </w:r>
      <w:r w:rsidRPr="003B5299">
        <w:t>3.</w:t>
      </w:r>
      <w:r w:rsidRPr="003B5299">
        <w:tab/>
        <w:t xml:space="preserve">Formación inicial del profesorado – Nivel </w:t>
      </w:r>
      <w:r>
        <w:t>p</w:t>
      </w:r>
      <w:r w:rsidRPr="003B5299">
        <w:t>osprimario</w:t>
      </w:r>
    </w:p>
    <w:p w:rsidR="000100D5" w:rsidRPr="003B5299" w:rsidRDefault="000100D5" w:rsidP="000100D5">
      <w:pPr>
        <w:pStyle w:val="SingleTxtG"/>
      </w:pPr>
      <w:r w:rsidRPr="003B5299">
        <w:t>413.</w:t>
      </w:r>
      <w:r w:rsidRPr="003B5299">
        <w:tab/>
        <w:t xml:space="preserve">Los alumnos de magisterio de nivel posprimario estudian métodos docentes centrados en el apoyo a las aulas integradas. En la formación para la docencia de asignaturas concretas como la Educación </w:t>
      </w:r>
      <w:r>
        <w:t>cí</w:t>
      </w:r>
      <w:r w:rsidRPr="003B5299">
        <w:t>vic</w:t>
      </w:r>
      <w:r>
        <w:t>a</w:t>
      </w:r>
      <w:r w:rsidRPr="003B5299">
        <w:t xml:space="preserve">, </w:t>
      </w:r>
      <w:r>
        <w:t>s</w:t>
      </w:r>
      <w:r w:rsidRPr="003B5299">
        <w:t xml:space="preserve">ocial </w:t>
      </w:r>
      <w:r>
        <w:t>y</w:t>
      </w:r>
      <w:r w:rsidRPr="003B5299">
        <w:t xml:space="preserve"> </w:t>
      </w:r>
      <w:r>
        <w:t>p</w:t>
      </w:r>
      <w:r w:rsidRPr="003B5299">
        <w:t>ol</w:t>
      </w:r>
      <w:r>
        <w:t>ítica</w:t>
      </w:r>
      <w:r w:rsidRPr="003B5299">
        <w:t xml:space="preserve"> </w:t>
      </w:r>
      <w:r>
        <w:t>y la Educación social, p</w:t>
      </w:r>
      <w:r w:rsidRPr="003B5299">
        <w:t xml:space="preserve">ersonal </w:t>
      </w:r>
      <w:r>
        <w:t>y sanitaria se analizan con más detalle los principios</w:t>
      </w:r>
      <w:r w:rsidRPr="003B5299">
        <w:t xml:space="preserve"> </w:t>
      </w:r>
      <w:r>
        <w:t>esenciales pertinentes</w:t>
      </w:r>
      <w:r w:rsidRPr="003B5299">
        <w:t xml:space="preserve">. </w:t>
      </w:r>
    </w:p>
    <w:p w:rsidR="000100D5" w:rsidRPr="006B35C1" w:rsidRDefault="000100D5" w:rsidP="000100D5">
      <w:pPr>
        <w:pStyle w:val="H23G"/>
        <w:rPr>
          <w:lang w:val="en-IE"/>
        </w:rPr>
      </w:pPr>
      <w:r w:rsidRPr="003B5299">
        <w:tab/>
      </w:r>
      <w:r w:rsidRPr="006B35C1">
        <w:rPr>
          <w:lang w:val="en-IE"/>
        </w:rPr>
        <w:t>4.</w:t>
      </w:r>
      <w:r w:rsidRPr="006B35C1">
        <w:rPr>
          <w:lang w:val="en-IE"/>
        </w:rPr>
        <w:tab/>
      </w:r>
      <w:r>
        <w:rPr>
          <w:lang w:val="en-IE"/>
        </w:rPr>
        <w:t>Desarrollo</w:t>
      </w:r>
      <w:r w:rsidRPr="006B35C1">
        <w:rPr>
          <w:lang w:val="en-IE"/>
        </w:rPr>
        <w:t xml:space="preserve"> </w:t>
      </w:r>
      <w:r>
        <w:rPr>
          <w:lang w:val="en-IE"/>
        </w:rPr>
        <w:t>p</w:t>
      </w:r>
      <w:r w:rsidRPr="006B35C1">
        <w:rPr>
          <w:lang w:val="en-IE"/>
        </w:rPr>
        <w:t xml:space="preserve">rofesional </w:t>
      </w:r>
      <w:r>
        <w:rPr>
          <w:lang w:val="en-IE"/>
        </w:rPr>
        <w:t>permanente</w:t>
      </w:r>
      <w:r w:rsidRPr="006B35C1">
        <w:rPr>
          <w:lang w:val="en-IE"/>
        </w:rPr>
        <w:t xml:space="preserve"> </w:t>
      </w:r>
    </w:p>
    <w:p w:rsidR="000100D5" w:rsidRPr="00EB0D53" w:rsidRDefault="000100D5" w:rsidP="000100D5">
      <w:pPr>
        <w:pStyle w:val="SingleTxtG"/>
      </w:pPr>
      <w:r w:rsidRPr="00EB0D53">
        <w:t>414.</w:t>
      </w:r>
      <w:r w:rsidRPr="00EB0D53">
        <w:tab/>
        <w:t>Hay una serie de iniciativas destinadas a respaldar el desarrollo profesional permanente para los maestros, como se ind</w:t>
      </w:r>
      <w:r>
        <w:t>icó</w:t>
      </w:r>
      <w:r w:rsidRPr="00EB0D53">
        <w:t xml:space="preserve"> </w:t>
      </w:r>
      <w:r>
        <w:t>e</w:t>
      </w:r>
      <w:r w:rsidRPr="00EB0D53">
        <w:t xml:space="preserve">n </w:t>
      </w:r>
      <w:r>
        <w:t>la</w:t>
      </w:r>
      <w:r w:rsidRPr="00EB0D53">
        <w:t xml:space="preserve"> resp</w:t>
      </w:r>
      <w:r>
        <w:t>uesta al</w:t>
      </w:r>
      <w:r w:rsidRPr="00EB0D53">
        <w:t xml:space="preserve"> p</w:t>
      </w:r>
      <w:r>
        <w:t>ár</w:t>
      </w:r>
      <w:r w:rsidRPr="00EB0D53">
        <w:t>ra</w:t>
      </w:r>
      <w:r>
        <w:t>fo</w:t>
      </w:r>
      <w:r w:rsidRPr="00EB0D53">
        <w:t xml:space="preserve"> 19 </w:t>
      </w:r>
      <w:r>
        <w:t xml:space="preserve">del informe del </w:t>
      </w:r>
      <w:r w:rsidR="00466CA0">
        <w:t>Coordinador encargado del seguimiento</w:t>
      </w:r>
      <w:r w:rsidRPr="00EB0D53">
        <w:t xml:space="preserve"> </w:t>
      </w:r>
      <w:r>
        <w:t>e</w:t>
      </w:r>
      <w:r w:rsidRPr="00EB0D53">
        <w:t xml:space="preserve">n </w:t>
      </w:r>
      <w:r>
        <w:t xml:space="preserve">la </w:t>
      </w:r>
      <w:r w:rsidRPr="00EB0D53">
        <w:t>part</w:t>
      </w:r>
      <w:r>
        <w:t>e</w:t>
      </w:r>
      <w:r w:rsidRPr="00EB0D53">
        <w:t xml:space="preserve"> I. </w:t>
      </w:r>
    </w:p>
    <w:p w:rsidR="000100D5" w:rsidRPr="00B96804" w:rsidRDefault="000100D5" w:rsidP="000100D5">
      <w:pPr>
        <w:pStyle w:val="SingleTxtG"/>
      </w:pPr>
      <w:r w:rsidRPr="00B96804">
        <w:t>415.</w:t>
      </w:r>
      <w:r w:rsidRPr="00B96804">
        <w:tab/>
      </w:r>
      <w:r>
        <w:t>El</w:t>
      </w:r>
      <w:r w:rsidRPr="00B96804">
        <w:t xml:space="preserve"> desarrollo profesional permanente </w:t>
      </w:r>
      <w:r>
        <w:t xml:space="preserve">es una posibilidad que se ofrece </w:t>
      </w:r>
      <w:r w:rsidRPr="00B96804">
        <w:t xml:space="preserve">a los directores escolares y a los maestros para </w:t>
      </w:r>
      <w:r>
        <w:t>ayudarles</w:t>
      </w:r>
      <w:r w:rsidRPr="00B96804">
        <w:t xml:space="preserve"> </w:t>
      </w:r>
      <w:r>
        <w:t>a</w:t>
      </w:r>
      <w:r w:rsidRPr="00B96804">
        <w:t xml:space="preserve"> crea</w:t>
      </w:r>
      <w:r>
        <w:t>r escuelas integradas.</w:t>
      </w:r>
      <w:r w:rsidR="00FB2F91">
        <w:t xml:space="preserve"> Los </w:t>
      </w:r>
      <w:r w:rsidRPr="00B96804">
        <w:t xml:space="preserve">programas de apoyo de que disponen los directores escolares y los </w:t>
      </w:r>
      <w:r>
        <w:t>jefes de estudio</w:t>
      </w:r>
      <w:r w:rsidRPr="00B96804">
        <w:t xml:space="preserve"> giran en torno a </w:t>
      </w:r>
      <w:r>
        <w:t xml:space="preserve">los </w:t>
      </w:r>
      <w:r w:rsidRPr="00B96804">
        <w:t xml:space="preserve">temas de igualdad, respeto </w:t>
      </w:r>
      <w:r>
        <w:t>y</w:t>
      </w:r>
      <w:r w:rsidRPr="00B96804">
        <w:t xml:space="preserve"> diversi</w:t>
      </w:r>
      <w:r>
        <w:t>dad,</w:t>
      </w:r>
      <w:r w:rsidRPr="00B96804">
        <w:t xml:space="preserve"> </w:t>
      </w:r>
      <w:r>
        <w:t xml:space="preserve">en términos </w:t>
      </w:r>
      <w:r w:rsidRPr="00B96804">
        <w:t>general</w:t>
      </w:r>
      <w:r>
        <w:t>es,</w:t>
      </w:r>
      <w:r w:rsidRPr="00B96804">
        <w:t xml:space="preserve"> </w:t>
      </w:r>
      <w:r>
        <w:t>y contribuyen también a que los centros escolares diseñen</w:t>
      </w:r>
      <w:r w:rsidRPr="00B96804">
        <w:t xml:space="preserve"> pol</w:t>
      </w:r>
      <w:r>
        <w:t>ít</w:t>
      </w:r>
      <w:r w:rsidRPr="00B96804">
        <w:t>ic</w:t>
      </w:r>
      <w:r>
        <w:t>a</w:t>
      </w:r>
      <w:r w:rsidRPr="00B96804">
        <w:t xml:space="preserve">s </w:t>
      </w:r>
      <w:r>
        <w:t>para promover el establecimiento</w:t>
      </w:r>
      <w:r w:rsidRPr="00B96804">
        <w:t xml:space="preserve"> </w:t>
      </w:r>
      <w:r>
        <w:t xml:space="preserve">de escuelas </w:t>
      </w:r>
      <w:r w:rsidRPr="00B96804">
        <w:t>in</w:t>
      </w:r>
      <w:r>
        <w:t>tegradas</w:t>
      </w:r>
      <w:r w:rsidRPr="00B96804">
        <w:t xml:space="preserve">, </w:t>
      </w:r>
      <w:r>
        <w:t>como lo exige la</w:t>
      </w:r>
      <w:r w:rsidRPr="00B96804">
        <w:t xml:space="preserve"> legisla</w:t>
      </w:r>
      <w:r>
        <w:t>c</w:t>
      </w:r>
      <w:r w:rsidRPr="00B96804">
        <w:t>i</w:t>
      </w:r>
      <w:r>
        <w:t>ó</w:t>
      </w:r>
      <w:r w:rsidRPr="00B96804">
        <w:t xml:space="preserve">n. </w:t>
      </w:r>
    </w:p>
    <w:p w:rsidR="000100D5" w:rsidRPr="002E0A8A" w:rsidRDefault="000100D5" w:rsidP="000100D5">
      <w:pPr>
        <w:pStyle w:val="SingleTxtG"/>
      </w:pPr>
      <w:r w:rsidRPr="002E0A8A">
        <w:t>416.</w:t>
      </w:r>
      <w:r w:rsidRPr="002E0A8A">
        <w:tab/>
        <w:t xml:space="preserve">Existen servicios de apoyo y desarrollo profesional </w:t>
      </w:r>
      <w:r>
        <w:t xml:space="preserve">distintos </w:t>
      </w:r>
      <w:r w:rsidRPr="002E0A8A">
        <w:t>para el nivel</w:t>
      </w:r>
      <w:r>
        <w:t xml:space="preserve"> primario y</w:t>
      </w:r>
      <w:r w:rsidR="005007D6">
        <w:t xml:space="preserve"> </w:t>
      </w:r>
      <w:r>
        <w:t xml:space="preserve">el </w:t>
      </w:r>
      <w:r w:rsidRPr="002E0A8A">
        <w:t>posprimar</w:t>
      </w:r>
      <w:r>
        <w:t>io</w:t>
      </w:r>
      <w:r w:rsidRPr="002E0A8A">
        <w:t xml:space="preserve">, </w:t>
      </w:r>
      <w:r>
        <w:t xml:space="preserve">que </w:t>
      </w:r>
      <w:r w:rsidRPr="002E0A8A">
        <w:t>refle</w:t>
      </w:r>
      <w:r>
        <w:t>jan las</w:t>
      </w:r>
      <w:r w:rsidRPr="002E0A8A">
        <w:t xml:space="preserve"> diferenc</w:t>
      </w:r>
      <w:r>
        <w:t>ia</w:t>
      </w:r>
      <w:r w:rsidRPr="002E0A8A">
        <w:t xml:space="preserve">s </w:t>
      </w:r>
      <w:r>
        <w:t>entre las</w:t>
      </w:r>
      <w:r w:rsidRPr="002E0A8A">
        <w:t xml:space="preserve"> </w:t>
      </w:r>
      <w:r>
        <w:t>e</w:t>
      </w:r>
      <w:r w:rsidRPr="002E0A8A">
        <w:t>sc</w:t>
      </w:r>
      <w:r>
        <w:t>ue</w:t>
      </w:r>
      <w:r w:rsidRPr="002E0A8A">
        <w:t>l</w:t>
      </w:r>
      <w:r>
        <w:t>a</w:t>
      </w:r>
      <w:r w:rsidRPr="002E0A8A">
        <w:t xml:space="preserve">s </w:t>
      </w:r>
      <w:r>
        <w:t>de</w:t>
      </w:r>
      <w:r w:rsidRPr="002E0A8A">
        <w:t xml:space="preserve"> </w:t>
      </w:r>
      <w:r>
        <w:t>am</w:t>
      </w:r>
      <w:r w:rsidRPr="002E0A8A">
        <w:t>bo</w:t>
      </w:r>
      <w:r>
        <w:t>s</w:t>
      </w:r>
      <w:r w:rsidRPr="002E0A8A">
        <w:t xml:space="preserve"> </w:t>
      </w:r>
      <w:r>
        <w:t>nive</w:t>
      </w:r>
      <w:r w:rsidRPr="002E0A8A">
        <w:t>les</w:t>
      </w:r>
      <w:r>
        <w:t>, lo que garantiza que se facilite una ayuda e</w:t>
      </w:r>
      <w:r w:rsidRPr="002E0A8A">
        <w:t>specializada, adaptada a las necesidades espec</w:t>
      </w:r>
      <w:r>
        <w:t>íficas de las</w:t>
      </w:r>
      <w:r w:rsidRPr="002E0A8A">
        <w:t xml:space="preserve"> </w:t>
      </w:r>
      <w:r>
        <w:t>e</w:t>
      </w:r>
      <w:r w:rsidRPr="002E0A8A">
        <w:t>sc</w:t>
      </w:r>
      <w:r>
        <w:t>ue</w:t>
      </w:r>
      <w:r w:rsidRPr="002E0A8A">
        <w:t>l</w:t>
      </w:r>
      <w:r>
        <w:t>a</w:t>
      </w:r>
      <w:r w:rsidRPr="002E0A8A">
        <w:t xml:space="preserve">s. </w:t>
      </w:r>
    </w:p>
    <w:p w:rsidR="000100D5" w:rsidRPr="00E45F3E" w:rsidRDefault="000100D5" w:rsidP="000100D5">
      <w:pPr>
        <w:pStyle w:val="SingleTxtG"/>
      </w:pPr>
      <w:r w:rsidRPr="00E45F3E">
        <w:t>417.</w:t>
      </w:r>
      <w:r w:rsidRPr="00E45F3E">
        <w:tab/>
        <w:t xml:space="preserve">El desarrollo profesional permanente </w:t>
      </w:r>
      <w:r>
        <w:t xml:space="preserve">de carácter general </w:t>
      </w:r>
      <w:r w:rsidRPr="00E45F3E">
        <w:t>relacionado con el plan de estudios fomenta el concepto de una escuela integrada, mientras que el desarrollo profesional permanente en determinadas materias examina m</w:t>
      </w:r>
      <w:r>
        <w:t>ás a fondo esas cuestiones</w:t>
      </w:r>
      <w:r w:rsidRPr="00E45F3E">
        <w:t xml:space="preserve">. </w:t>
      </w:r>
    </w:p>
    <w:p w:rsidR="000100D5" w:rsidRPr="00E45F3E" w:rsidRDefault="000100D5" w:rsidP="000100D5">
      <w:pPr>
        <w:pStyle w:val="SingleTxtG"/>
      </w:pPr>
      <w:r w:rsidRPr="00E45F3E">
        <w:t>418.</w:t>
      </w:r>
      <w:r w:rsidRPr="00E45F3E">
        <w:tab/>
        <w:t>A escala nacional</w:t>
      </w:r>
      <w:r>
        <w:t>,</w:t>
      </w:r>
      <w:r w:rsidRPr="00E45F3E">
        <w:t xml:space="preserve"> se organiza un programa de cursos de verano para </w:t>
      </w:r>
      <w:r>
        <w:t xml:space="preserve">los </w:t>
      </w:r>
      <w:r w:rsidRPr="00E45F3E">
        <w:t>maestros de primaria a trav</w:t>
      </w:r>
      <w:r>
        <w:t>és de la red de centros de</w:t>
      </w:r>
      <w:r w:rsidRPr="00E45F3E">
        <w:t xml:space="preserve"> educa</w:t>
      </w:r>
      <w:r>
        <w:t>c</w:t>
      </w:r>
      <w:r w:rsidRPr="00E45F3E">
        <w:t>i</w:t>
      </w:r>
      <w:r>
        <w:t>ó</w:t>
      </w:r>
      <w:r w:rsidRPr="00E45F3E">
        <w:t xml:space="preserve">n. </w:t>
      </w:r>
    </w:p>
    <w:p w:rsidR="000100D5" w:rsidRPr="00672D02" w:rsidRDefault="000100D5" w:rsidP="000100D5">
      <w:pPr>
        <w:pStyle w:val="SingleTxtG"/>
      </w:pPr>
      <w:r w:rsidRPr="00E45F3E">
        <w:t>419.</w:t>
      </w:r>
      <w:r w:rsidRPr="00E45F3E">
        <w:tab/>
        <w:t>El Gobierno tiene mucho interés en potenciar un entorno escolar integrado que se haga eco de los valores y refuerce</w:t>
      </w:r>
      <w:r>
        <w:t xml:space="preserve"> la diversidad</w:t>
      </w:r>
      <w:r w:rsidRPr="00E45F3E">
        <w:t xml:space="preserve"> ling</w:t>
      </w:r>
      <w:r>
        <w:t>üí</w:t>
      </w:r>
      <w:r w:rsidRPr="00E45F3E">
        <w:t>stic</w:t>
      </w:r>
      <w:r>
        <w:t>a</w:t>
      </w:r>
      <w:r w:rsidRPr="00E45F3E">
        <w:t xml:space="preserve">, </w:t>
      </w:r>
      <w:r>
        <w:t>é</w:t>
      </w:r>
      <w:r w:rsidRPr="00E45F3E">
        <w:t>tnic</w:t>
      </w:r>
      <w:r>
        <w:t>a</w:t>
      </w:r>
      <w:r w:rsidRPr="00E45F3E">
        <w:t xml:space="preserve"> </w:t>
      </w:r>
      <w:r>
        <w:t>y</w:t>
      </w:r>
      <w:r w:rsidRPr="00E45F3E">
        <w:t xml:space="preserve"> cultural. </w:t>
      </w:r>
      <w:r w:rsidR="00FB2F91">
        <w:t>Las </w:t>
      </w:r>
      <w:r w:rsidRPr="00CA5BD5">
        <w:t xml:space="preserve">publicaciones del Servicio de Inspección del Departamento: </w:t>
      </w:r>
      <w:r w:rsidRPr="00CA5BD5">
        <w:rPr>
          <w:i/>
        </w:rPr>
        <w:t xml:space="preserve">Looking at Our School: An Aid to School Self-Evaluation in Primary Schools </w:t>
      </w:r>
      <w:r w:rsidRPr="00CA5BD5">
        <w:t xml:space="preserve">(Con la vista puesta en nuestra escuela: una ayuda para la autoevaluación </w:t>
      </w:r>
      <w:r>
        <w:t xml:space="preserve">escolar </w:t>
      </w:r>
      <w:r w:rsidRPr="00CA5BD5">
        <w:t>en l</w:t>
      </w:r>
      <w:r>
        <w:t>o</w:t>
      </w:r>
      <w:r w:rsidRPr="00CA5BD5">
        <w:t xml:space="preserve">s </w:t>
      </w:r>
      <w:r>
        <w:t>centros</w:t>
      </w:r>
      <w:r w:rsidRPr="00CA5BD5">
        <w:t xml:space="preserve"> de enseñanza primaria) y </w:t>
      </w:r>
      <w:r w:rsidRPr="00CA5BD5">
        <w:rPr>
          <w:i/>
        </w:rPr>
        <w:t>Looking at Our School: An Aid to School Self-Evaluation in Second-Level Schools</w:t>
      </w:r>
      <w:r w:rsidRPr="00C80358">
        <w:rPr>
          <w:rStyle w:val="FootnoteReference"/>
          <w:lang w:val="en-IE"/>
        </w:rPr>
        <w:footnoteReference w:id="103"/>
      </w:r>
      <w:r w:rsidRPr="00CA5BD5">
        <w:rPr>
          <w:i/>
        </w:rPr>
        <w:t xml:space="preserve"> </w:t>
      </w:r>
      <w:r w:rsidRPr="00CA5BD5">
        <w:t>(Con la vista puesta en nuestra escuela: una ayuda para la autoevaluaci</w:t>
      </w:r>
      <w:r>
        <w:t>ón escolar en los centros de enseñanza de segundo nivel) se refieren es</w:t>
      </w:r>
      <w:r w:rsidRPr="00CA5BD5">
        <w:t>pec</w:t>
      </w:r>
      <w:r>
        <w:t>í</w:t>
      </w:r>
      <w:r w:rsidRPr="00CA5BD5">
        <w:t>fica</w:t>
      </w:r>
      <w:r>
        <w:t>mente a los</w:t>
      </w:r>
      <w:r w:rsidRPr="00CA5BD5">
        <w:t xml:space="preserve"> princip</w:t>
      </w:r>
      <w:r>
        <w:t>io</w:t>
      </w:r>
      <w:r w:rsidRPr="00CA5BD5">
        <w:t xml:space="preserve">s </w:t>
      </w:r>
      <w:r>
        <w:t>que deben</w:t>
      </w:r>
      <w:r w:rsidRPr="00CA5BD5">
        <w:t xml:space="preserve"> su</w:t>
      </w:r>
      <w:r>
        <w:t>stentar los servicios y la ayuda a los</w:t>
      </w:r>
      <w:r w:rsidRPr="00CA5BD5">
        <w:t xml:space="preserve"> </w:t>
      </w:r>
      <w:r>
        <w:t>e</w:t>
      </w:r>
      <w:r w:rsidRPr="00CA5BD5">
        <w:t>stud</w:t>
      </w:r>
      <w:r>
        <w:t>ia</w:t>
      </w:r>
      <w:r w:rsidRPr="00CA5BD5">
        <w:t>nt</w:t>
      </w:r>
      <w:r>
        <w:t>e</w:t>
      </w:r>
      <w:r w:rsidRPr="00CA5BD5">
        <w:t xml:space="preserve">s </w:t>
      </w:r>
      <w:r>
        <w:t>de grupos</w:t>
      </w:r>
      <w:r w:rsidRPr="00CA5BD5">
        <w:t xml:space="preserve"> minorit</w:t>
      </w:r>
      <w:r>
        <w:t>arios</w:t>
      </w:r>
      <w:r w:rsidRPr="00CA5BD5">
        <w:t xml:space="preserve">. </w:t>
      </w:r>
      <w:r w:rsidRPr="00672D02">
        <w:t>Los servicios de apoyo y desarrollo profesional de los niveles primario y posprimario se rigen por esos principios.</w:t>
      </w:r>
    </w:p>
    <w:p w:rsidR="000100D5" w:rsidRPr="005E527A" w:rsidRDefault="000100D5" w:rsidP="000100D5">
      <w:pPr>
        <w:pStyle w:val="SingleTxtG"/>
      </w:pPr>
      <w:r w:rsidRPr="005E527A">
        <w:t>420.</w:t>
      </w:r>
      <w:r w:rsidRPr="005E527A">
        <w:tab/>
        <w:t xml:space="preserve">El Consejo Nacional </w:t>
      </w:r>
      <w:r>
        <w:t>de Programas de Estudio</w:t>
      </w:r>
      <w:r w:rsidRPr="005E527A">
        <w:t xml:space="preserve"> y Evaluación (www.ncca.ie) es el órgano oficial encargado de asesorar al Ministro de Educación y Ciencia sobre los temas relativos al plan de estudios y la evaluaci</w:t>
      </w:r>
      <w:r>
        <w:t>ón</w:t>
      </w:r>
      <w:r w:rsidRPr="005E527A">
        <w:t xml:space="preserve"> </w:t>
      </w:r>
      <w:r>
        <w:t xml:space="preserve">a nivel </w:t>
      </w:r>
      <w:r w:rsidRPr="005E527A">
        <w:t>primar</w:t>
      </w:r>
      <w:r>
        <w:t xml:space="preserve">io y </w:t>
      </w:r>
      <w:r w:rsidRPr="005E527A">
        <w:t>posprimar</w:t>
      </w:r>
      <w:r>
        <w:t>io</w:t>
      </w:r>
      <w:r w:rsidRPr="005E527A">
        <w:t>.</w:t>
      </w:r>
    </w:p>
    <w:p w:rsidR="000100D5" w:rsidRPr="00951BF8" w:rsidRDefault="000100D5" w:rsidP="000100D5">
      <w:pPr>
        <w:pStyle w:val="SingleTxtG"/>
      </w:pPr>
      <w:r w:rsidRPr="005E527A">
        <w:t>421.</w:t>
      </w:r>
      <w:r w:rsidRPr="005E527A">
        <w:tab/>
        <w:t xml:space="preserve">En el sistema educativo irlandés, la Educación para la igualdad, el respeto y la diversidad no es una parcela separada o distinta del plan de estudios y no se vincula exclusivamente </w:t>
      </w:r>
      <w:r>
        <w:t>a</w:t>
      </w:r>
      <w:r w:rsidRPr="005E527A">
        <w:t xml:space="preserve"> un </w:t>
      </w:r>
      <w:r>
        <w:t>único</w:t>
      </w:r>
      <w:r w:rsidRPr="005E527A">
        <w:t xml:space="preserve"> program</w:t>
      </w:r>
      <w:r>
        <w:t>a</w:t>
      </w:r>
      <w:r w:rsidRPr="005E527A">
        <w:t xml:space="preserve"> o </w:t>
      </w:r>
      <w:r>
        <w:t>materia del plan de estudios</w:t>
      </w:r>
      <w:r w:rsidRPr="005E527A">
        <w:t xml:space="preserve">. </w:t>
      </w:r>
      <w:r>
        <w:t>Se considera una materia transversal</w:t>
      </w:r>
      <w:r w:rsidRPr="005E527A">
        <w:t xml:space="preserve"> y se contempla de forma integrada</w:t>
      </w:r>
      <w:r>
        <w:t xml:space="preserve"> en muchas asignaturas</w:t>
      </w:r>
      <w:r w:rsidRPr="005E527A">
        <w:t xml:space="preserve">. </w:t>
      </w:r>
      <w:r w:rsidRPr="00951BF8">
        <w:t xml:space="preserve">Se ha incorporado también a las prácticas que favorecen el clima escolar y dentro del aula. </w:t>
      </w:r>
      <w:r w:rsidR="00FB2F91">
        <w:t>Las </w:t>
      </w:r>
      <w:r>
        <w:t>directrices interculturales del Consejo</w:t>
      </w:r>
      <w:r w:rsidRPr="00951BF8">
        <w:t xml:space="preserve"> Nacional </w:t>
      </w:r>
      <w:r>
        <w:t>de</w:t>
      </w:r>
      <w:r w:rsidRPr="00951BF8">
        <w:t xml:space="preserve"> P</w:t>
      </w:r>
      <w:r>
        <w:t>rogramas de</w:t>
      </w:r>
      <w:r w:rsidRPr="00951BF8">
        <w:t xml:space="preserve"> </w:t>
      </w:r>
      <w:r>
        <w:t>E</w:t>
      </w:r>
      <w:r w:rsidRPr="00951BF8">
        <w:t>studio</w:t>
      </w:r>
      <w:r>
        <w:t xml:space="preserve"> </w:t>
      </w:r>
      <w:r w:rsidRPr="00951BF8">
        <w:t>y Evaluaci</w:t>
      </w:r>
      <w:r>
        <w:t>ón</w:t>
      </w:r>
      <w:r w:rsidRPr="00951BF8">
        <w:t xml:space="preserve"> (</w:t>
      </w:r>
      <w:r>
        <w:t>como se mencionó en la</w:t>
      </w:r>
      <w:r w:rsidR="005007D6">
        <w:t xml:space="preserve"> </w:t>
      </w:r>
      <w:r w:rsidRPr="00951BF8">
        <w:t>resp</w:t>
      </w:r>
      <w:r>
        <w:t>uesta al párr</w:t>
      </w:r>
      <w:r w:rsidRPr="00951BF8">
        <w:t xml:space="preserve">. 19 del informe del </w:t>
      </w:r>
      <w:r w:rsidR="00466CA0">
        <w:t>Coordinador encargado del seguimiento</w:t>
      </w:r>
      <w:r w:rsidRPr="00951BF8">
        <w:t xml:space="preserve"> en la parte I) </w:t>
      </w:r>
      <w:r>
        <w:t>esbozan el fundamento de ese</w:t>
      </w:r>
      <w:r w:rsidRPr="00951BF8">
        <w:t xml:space="preserve"> </w:t>
      </w:r>
      <w:r>
        <w:t>enfoque</w:t>
      </w:r>
      <w:r w:rsidRPr="00951BF8">
        <w:t>:</w:t>
      </w:r>
    </w:p>
    <w:p w:rsidR="000100D5" w:rsidRPr="00C6753F" w:rsidRDefault="000100D5" w:rsidP="000100D5">
      <w:pPr>
        <w:pStyle w:val="SingleTxtG"/>
        <w:ind w:left="1701"/>
      </w:pPr>
      <w:r w:rsidRPr="00CD3656">
        <w:t>La integración del conocimiento y la comprensión, las técnicas y las capacidades, y las actitudes y valores que impregnan todas las materias ofrecen al estudiante una experiencia de aprendizaje m</w:t>
      </w:r>
      <w:r>
        <w:t xml:space="preserve">ás rica y coherente </w:t>
      </w:r>
      <w:r w:rsidRPr="00CD3656">
        <w:t>…</w:t>
      </w:r>
      <w:r>
        <w:t xml:space="preserve"> los jóvenes desarrollarán</w:t>
      </w:r>
      <w:r w:rsidR="005007D6">
        <w:t xml:space="preserve"> </w:t>
      </w:r>
      <w:r w:rsidRPr="00CD3656">
        <w:t>a</w:t>
      </w:r>
      <w:r>
        <w:t>c</w:t>
      </w:r>
      <w:r w:rsidRPr="00CD3656">
        <w:t xml:space="preserve">titudes </w:t>
      </w:r>
      <w:r>
        <w:t>y</w:t>
      </w:r>
      <w:r w:rsidRPr="00CD3656">
        <w:t xml:space="preserve"> val</w:t>
      </w:r>
      <w:r>
        <w:t>or</w:t>
      </w:r>
      <w:r w:rsidRPr="00CD3656">
        <w:t xml:space="preserve">es </w:t>
      </w:r>
      <w:r>
        <w:t>más adecuados si se</w:t>
      </w:r>
      <w:r w:rsidRPr="00CD3656">
        <w:t xml:space="preserve"> integra</w:t>
      </w:r>
      <w:r>
        <w:t>n</w:t>
      </w:r>
      <w:r w:rsidRPr="00CD3656">
        <w:t xml:space="preserve"> </w:t>
      </w:r>
      <w:r>
        <w:t>en las distintas asignaturas</w:t>
      </w:r>
      <w:r w:rsidRPr="00CD3656">
        <w:t xml:space="preserve"> </w:t>
      </w:r>
      <w:r>
        <w:t>y en toda la vida</w:t>
      </w:r>
      <w:r w:rsidRPr="00CD3656">
        <w:t xml:space="preserve"> </w:t>
      </w:r>
      <w:r>
        <w:t>es</w:t>
      </w:r>
      <w:r w:rsidRPr="00CD3656">
        <w:t>col</w:t>
      </w:r>
      <w:r>
        <w:t>ar</w:t>
      </w:r>
      <w:r w:rsidRPr="00CD3656">
        <w:t xml:space="preserve"> … </w:t>
      </w:r>
      <w:r w:rsidRPr="00C6753F">
        <w:t xml:space="preserve">Por consiguiente, la educación intercultural debe ser el eje central de todos los aspectos </w:t>
      </w:r>
      <w:r>
        <w:t>de la vida e</w:t>
      </w:r>
      <w:r w:rsidRPr="00C6753F">
        <w:t>scol</w:t>
      </w:r>
      <w:r>
        <w:t>ar</w:t>
      </w:r>
      <w:r w:rsidRPr="00C6753F">
        <w:t xml:space="preserve">. </w:t>
      </w:r>
    </w:p>
    <w:p w:rsidR="000100D5" w:rsidRPr="00C6753F" w:rsidRDefault="000100D5" w:rsidP="000100D5">
      <w:pPr>
        <w:pStyle w:val="SingleTxtG"/>
      </w:pPr>
      <w:r w:rsidRPr="00C6753F">
        <w:t>422.</w:t>
      </w:r>
      <w:r w:rsidRPr="00C6753F">
        <w:tab/>
        <w:t>Aunque la diversidad, la enseñanza de los derechos humanos y la lucha contra el</w:t>
      </w:r>
      <w:r w:rsidR="005007D6">
        <w:t xml:space="preserve"> </w:t>
      </w:r>
      <w:r w:rsidRPr="00C6753F">
        <w:t>racism</w:t>
      </w:r>
      <w:r>
        <w:t>o pueden figurar en una serie de</w:t>
      </w:r>
      <w:r w:rsidRPr="00C6753F">
        <w:t xml:space="preserve"> context</w:t>
      </w:r>
      <w:r>
        <w:t>o</w:t>
      </w:r>
      <w:r w:rsidRPr="00C6753F">
        <w:t>s</w:t>
      </w:r>
      <w:r>
        <w:t xml:space="preserve"> de todo el</w:t>
      </w:r>
      <w:r w:rsidRPr="00C6753F">
        <w:t xml:space="preserve"> </w:t>
      </w:r>
      <w:r>
        <w:t>plan de estudios</w:t>
      </w:r>
      <w:r w:rsidRPr="00C6753F">
        <w:t xml:space="preserve">, </w:t>
      </w:r>
      <w:r>
        <w:t>donde se hace mayor hincapié es en la educación</w:t>
      </w:r>
      <w:r w:rsidRPr="00C6753F">
        <w:t xml:space="preserve"> social, personal </w:t>
      </w:r>
      <w:r>
        <w:t>y de la salud, así como en la</w:t>
      </w:r>
      <w:r w:rsidRPr="00C6753F">
        <w:t xml:space="preserve"> educa</w:t>
      </w:r>
      <w:r>
        <w:t>c</w:t>
      </w:r>
      <w:r w:rsidRPr="00C6753F">
        <w:t>i</w:t>
      </w:r>
      <w:r>
        <w:t>ó</w:t>
      </w:r>
      <w:r w:rsidRPr="00C6753F">
        <w:t>n</w:t>
      </w:r>
      <w:r w:rsidR="005007D6">
        <w:t xml:space="preserve"> </w:t>
      </w:r>
      <w:r w:rsidRPr="00C6753F">
        <w:t>c</w:t>
      </w:r>
      <w:r>
        <w:t>í</w:t>
      </w:r>
      <w:r w:rsidRPr="00C6753F">
        <w:t>vic</w:t>
      </w:r>
      <w:r>
        <w:t>a</w:t>
      </w:r>
      <w:r w:rsidRPr="00C6753F">
        <w:t xml:space="preserve">, social </w:t>
      </w:r>
      <w:r>
        <w:t>y</w:t>
      </w:r>
      <w:r w:rsidRPr="00C6753F">
        <w:t xml:space="preserve"> pol</w:t>
      </w:r>
      <w:r>
        <w:t>í</w:t>
      </w:r>
      <w:r w:rsidRPr="00C6753F">
        <w:t>tica.</w:t>
      </w:r>
    </w:p>
    <w:p w:rsidR="000100D5" w:rsidRPr="00A96D29" w:rsidRDefault="000100D5" w:rsidP="000100D5">
      <w:pPr>
        <w:pStyle w:val="H23G"/>
      </w:pPr>
      <w:r w:rsidRPr="00C6753F">
        <w:tab/>
      </w:r>
      <w:r w:rsidRPr="00A96D29">
        <w:t>5.</w:t>
      </w:r>
      <w:r w:rsidRPr="00A96D29">
        <w:tab/>
        <w:t xml:space="preserve">Enseñanza primaria </w:t>
      </w:r>
    </w:p>
    <w:p w:rsidR="000100D5" w:rsidRPr="00594E3E" w:rsidRDefault="000100D5" w:rsidP="000100D5">
      <w:pPr>
        <w:pStyle w:val="SingleTxtG"/>
      </w:pPr>
      <w:r w:rsidRPr="00A96D29">
        <w:t>423.</w:t>
      </w:r>
      <w:r w:rsidRPr="00A96D29">
        <w:tab/>
        <w:t>El plan de estudios revisado de los centros de enseñanza primaria (1999) est</w:t>
      </w:r>
      <w:r>
        <w:t>á destinado a</w:t>
      </w:r>
      <w:r w:rsidRPr="00A96D29">
        <w:t xml:space="preserve"> </w:t>
      </w:r>
      <w:r>
        <w:t>educar al niño</w:t>
      </w:r>
      <w:r w:rsidRPr="00A96D29">
        <w:t xml:space="preserve"> </w:t>
      </w:r>
      <w:r>
        <w:t>e</w:t>
      </w:r>
      <w:r w:rsidRPr="00A96D29">
        <w:t xml:space="preserve">n </w:t>
      </w:r>
      <w:r>
        <w:t>todos los</w:t>
      </w:r>
      <w:r w:rsidRPr="00A96D29">
        <w:t xml:space="preserve"> </w:t>
      </w:r>
      <w:r>
        <w:t>aspectos</w:t>
      </w:r>
      <w:r w:rsidRPr="00A96D29">
        <w:t xml:space="preserve"> </w:t>
      </w:r>
      <w:r>
        <w:t>de la vida</w:t>
      </w:r>
      <w:r w:rsidRPr="00A96D29">
        <w:t xml:space="preserve">. </w:t>
      </w:r>
      <w:r w:rsidRPr="00594E3E">
        <w:t xml:space="preserve">El plan de estudios ofrece un marco adecuado para </w:t>
      </w:r>
      <w:r>
        <w:t xml:space="preserve">promover la enseñanza de </w:t>
      </w:r>
      <w:r w:rsidRPr="00594E3E">
        <w:t>la igualdad, el respeto y la diversidad, ya que hace hincapi</w:t>
      </w:r>
      <w:r>
        <w:t>é en todo el ámbito del</w:t>
      </w:r>
      <w:r w:rsidRPr="00594E3E">
        <w:t xml:space="preserve"> respet</w:t>
      </w:r>
      <w:r>
        <w:t>o</w:t>
      </w:r>
      <w:r w:rsidRPr="00594E3E">
        <w:t xml:space="preserve">, </w:t>
      </w:r>
      <w:r>
        <w:t>el juego limpio,</w:t>
      </w:r>
      <w:r w:rsidRPr="00594E3E">
        <w:t xml:space="preserve"> </w:t>
      </w:r>
      <w:r>
        <w:t xml:space="preserve">la no </w:t>
      </w:r>
      <w:r w:rsidRPr="00594E3E">
        <w:t>discrimina</w:t>
      </w:r>
      <w:r>
        <w:t>c</w:t>
      </w:r>
      <w:r w:rsidRPr="00594E3E">
        <w:t>i</w:t>
      </w:r>
      <w:r>
        <w:t>ó</w:t>
      </w:r>
      <w:r w:rsidRPr="00594E3E">
        <w:t xml:space="preserve">n, </w:t>
      </w:r>
      <w:r>
        <w:t xml:space="preserve">la </w:t>
      </w:r>
      <w:r w:rsidRPr="00594E3E">
        <w:t>aceptac</w:t>
      </w:r>
      <w:r>
        <w:t>ión</w:t>
      </w:r>
      <w:r w:rsidRPr="00594E3E">
        <w:t xml:space="preserve"> </w:t>
      </w:r>
      <w:r>
        <w:t>y la comprensión de otros pueblos y</w:t>
      </w:r>
      <w:r w:rsidRPr="00594E3E">
        <w:t xml:space="preserve"> cultur</w:t>
      </w:r>
      <w:r>
        <w:t>a</w:t>
      </w:r>
      <w:r w:rsidRPr="00594E3E">
        <w:t xml:space="preserve">s. </w:t>
      </w:r>
    </w:p>
    <w:p w:rsidR="000100D5" w:rsidRPr="00E11E18" w:rsidRDefault="000100D5" w:rsidP="000100D5">
      <w:pPr>
        <w:pStyle w:val="SingleTxtG"/>
      </w:pPr>
      <w:r w:rsidRPr="00594E3E">
        <w:t>424.</w:t>
      </w:r>
      <w:r w:rsidRPr="00594E3E">
        <w:tab/>
        <w:t>La educación social, personal y sa</w:t>
      </w:r>
      <w:r>
        <w:t>nitaria</w:t>
      </w:r>
      <w:r w:rsidRPr="00594E3E">
        <w:t xml:space="preserve"> es una parte obligatoria del pl</w:t>
      </w:r>
      <w:r>
        <w:t>a</w:t>
      </w:r>
      <w:r w:rsidRPr="00594E3E">
        <w:t>n de estudios, que se divid</w:t>
      </w:r>
      <w:r>
        <w:t>e en una serie de</w:t>
      </w:r>
      <w:r w:rsidRPr="00594E3E">
        <w:t xml:space="preserve"> </w:t>
      </w:r>
      <w:r>
        <w:t>segmentos destinados a abordar el desarrollo individual a nivel personal</w:t>
      </w:r>
      <w:r w:rsidRPr="00594E3E">
        <w:t>, comunit</w:t>
      </w:r>
      <w:r>
        <w:t>ario</w:t>
      </w:r>
      <w:r w:rsidRPr="00594E3E">
        <w:t xml:space="preserve"> </w:t>
      </w:r>
      <w:r>
        <w:t>e incluso mundial</w:t>
      </w:r>
      <w:r w:rsidRPr="00594E3E">
        <w:t xml:space="preserve">. </w:t>
      </w:r>
      <w:r>
        <w:t>Entre</w:t>
      </w:r>
      <w:r w:rsidRPr="00E11E18">
        <w:t xml:space="preserve"> las aptitudes fundamentales que trata de desarrollar </w:t>
      </w:r>
      <w:r>
        <w:t xml:space="preserve">están </w:t>
      </w:r>
      <w:r w:rsidRPr="00E11E18">
        <w:t xml:space="preserve">el cuidado y el respeto de sí mismo, </w:t>
      </w:r>
      <w:r>
        <w:t>la solución de</w:t>
      </w:r>
      <w:r w:rsidRPr="00E11E18">
        <w:t xml:space="preserve"> conflict</w:t>
      </w:r>
      <w:r>
        <w:t>os,</w:t>
      </w:r>
      <w:r w:rsidRPr="00E11E18">
        <w:t xml:space="preserve"> </w:t>
      </w:r>
      <w:r>
        <w:t>la</w:t>
      </w:r>
      <w:r w:rsidRPr="00E11E18">
        <w:t xml:space="preserve"> empat</w:t>
      </w:r>
      <w:r>
        <w:t>ía</w:t>
      </w:r>
      <w:r w:rsidRPr="00E11E18">
        <w:t>,</w:t>
      </w:r>
      <w:r>
        <w:t xml:space="preserve"> la</w:t>
      </w:r>
      <w:r w:rsidRPr="00E11E18">
        <w:t xml:space="preserve"> coopera</w:t>
      </w:r>
      <w:r>
        <w:t>c</w:t>
      </w:r>
      <w:r w:rsidRPr="00E11E18">
        <w:t>i</w:t>
      </w:r>
      <w:r>
        <w:t>ón con los demás</w:t>
      </w:r>
      <w:r w:rsidRPr="00E11E18">
        <w:t xml:space="preserve">, </w:t>
      </w:r>
      <w:r>
        <w:t>el sentido de la</w:t>
      </w:r>
      <w:r w:rsidRPr="00E11E18">
        <w:t xml:space="preserve"> respons</w:t>
      </w:r>
      <w:r>
        <w:t>abilidad social</w:t>
      </w:r>
      <w:r w:rsidRPr="00E11E18">
        <w:t xml:space="preserve">, </w:t>
      </w:r>
      <w:r>
        <w:t xml:space="preserve">la participación ciudadana </w:t>
      </w:r>
      <w:r w:rsidRPr="00E11E18">
        <w:t>activ</w:t>
      </w:r>
      <w:r>
        <w:t>a</w:t>
      </w:r>
      <w:r w:rsidRPr="00E11E18">
        <w:t xml:space="preserve">, </w:t>
      </w:r>
      <w:r>
        <w:t>el gusto por la</w:t>
      </w:r>
      <w:r w:rsidRPr="00E11E18">
        <w:t xml:space="preserve"> diversi</w:t>
      </w:r>
      <w:r>
        <w:t>dad</w:t>
      </w:r>
      <w:r w:rsidRPr="00E11E18">
        <w:t xml:space="preserve">, </w:t>
      </w:r>
      <w:r>
        <w:t>y l</w:t>
      </w:r>
      <w:r w:rsidRPr="00E11E18">
        <w:t>a interdependenc</w:t>
      </w:r>
      <w:r>
        <w:t>ia de las comunidades</w:t>
      </w:r>
      <w:r w:rsidRPr="00E11E18">
        <w:t xml:space="preserve"> local</w:t>
      </w:r>
      <w:r>
        <w:t>es</w:t>
      </w:r>
      <w:r w:rsidRPr="00E11E18">
        <w:t>, na</w:t>
      </w:r>
      <w:r>
        <w:t>c</w:t>
      </w:r>
      <w:r w:rsidRPr="00E11E18">
        <w:t>ional</w:t>
      </w:r>
      <w:r>
        <w:t>es</w:t>
      </w:r>
      <w:r w:rsidRPr="00E11E18">
        <w:t xml:space="preserve"> </w:t>
      </w:r>
      <w:r>
        <w:t>y mundiales</w:t>
      </w:r>
      <w:r w:rsidRPr="00E11E18">
        <w:t xml:space="preserve">. </w:t>
      </w:r>
    </w:p>
    <w:p w:rsidR="000100D5" w:rsidRPr="007612DF" w:rsidRDefault="000100D5" w:rsidP="000100D5">
      <w:pPr>
        <w:pStyle w:val="SingleTxtG"/>
      </w:pPr>
      <w:r w:rsidRPr="007612DF">
        <w:t>425.</w:t>
      </w:r>
      <w:r w:rsidRPr="007612DF">
        <w:tab/>
        <w:t xml:space="preserve">En Geografía, en el plan de estudios </w:t>
      </w:r>
      <w:r>
        <w:t xml:space="preserve">se hace hincapié </w:t>
      </w:r>
      <w:r w:rsidRPr="007612DF">
        <w:t>en el respeto a la diversidad de</w:t>
      </w:r>
      <w:r w:rsidR="005007D6">
        <w:t xml:space="preserve"> </w:t>
      </w:r>
      <w:r w:rsidRPr="007612DF">
        <w:t xml:space="preserve">estilos de vida, los temas de comercio y desarrollo, </w:t>
      </w:r>
      <w:r>
        <w:t>la conciencia de las desigualdades entre el mundo</w:t>
      </w:r>
      <w:r w:rsidRPr="007612DF">
        <w:t xml:space="preserve"> de</w:t>
      </w:r>
      <w:r>
        <w:t>sarrol</w:t>
      </w:r>
      <w:r w:rsidRPr="007612DF">
        <w:t>l</w:t>
      </w:r>
      <w:r>
        <w:t>ad</w:t>
      </w:r>
      <w:r w:rsidRPr="007612DF">
        <w:t>o</w:t>
      </w:r>
      <w:r>
        <w:t xml:space="preserve"> y el mundo en</w:t>
      </w:r>
      <w:r w:rsidRPr="007612DF">
        <w:t xml:space="preserve"> de</w:t>
      </w:r>
      <w:r>
        <w:t>sarrol</w:t>
      </w:r>
      <w:r w:rsidRPr="007612DF">
        <w:t>lo</w:t>
      </w:r>
      <w:r>
        <w:t xml:space="preserve"> y la labor de los organismos</w:t>
      </w:r>
      <w:r w:rsidRPr="007612DF">
        <w:t xml:space="preserve"> interna</w:t>
      </w:r>
      <w:r>
        <w:t>c</w:t>
      </w:r>
      <w:r w:rsidRPr="007612DF">
        <w:t>ional</w:t>
      </w:r>
      <w:r>
        <w:t>es de fomento</w:t>
      </w:r>
      <w:r w:rsidRPr="007612DF">
        <w:t xml:space="preserve">. </w:t>
      </w:r>
    </w:p>
    <w:p w:rsidR="000100D5" w:rsidRPr="007612DF" w:rsidRDefault="000100D5" w:rsidP="000100D5">
      <w:pPr>
        <w:pStyle w:val="H23G"/>
      </w:pPr>
      <w:r w:rsidRPr="007612DF">
        <w:tab/>
        <w:t>6.</w:t>
      </w:r>
      <w:r w:rsidRPr="007612DF">
        <w:tab/>
        <w:t xml:space="preserve">Enseñanza posprimaria </w:t>
      </w:r>
    </w:p>
    <w:p w:rsidR="000100D5" w:rsidRPr="007612DF" w:rsidRDefault="000100D5" w:rsidP="000100D5">
      <w:pPr>
        <w:pStyle w:val="SingleTxtG"/>
      </w:pPr>
      <w:r w:rsidRPr="007612DF">
        <w:t>426.</w:t>
      </w:r>
      <w:r w:rsidRPr="007612DF">
        <w:tab/>
        <w:t>El plan de estudios posprimario se basa</w:t>
      </w:r>
      <w:r>
        <w:t xml:space="preserve"> </w:t>
      </w:r>
      <w:r w:rsidRPr="007612DF">
        <w:t>en la labor realizada en los centros de enseñanza primaria.</w:t>
      </w:r>
    </w:p>
    <w:p w:rsidR="000100D5" w:rsidRPr="006266EF" w:rsidRDefault="000100D5" w:rsidP="000100D5">
      <w:pPr>
        <w:pStyle w:val="SingleTxtG"/>
      </w:pPr>
      <w:r w:rsidRPr="0016210E">
        <w:t>427.</w:t>
      </w:r>
      <w:r w:rsidRPr="0016210E">
        <w:tab/>
        <w:t xml:space="preserve">En el ciclo elemental, el programa del certificado </w:t>
      </w:r>
      <w:r>
        <w:t xml:space="preserve">de estudios </w:t>
      </w:r>
      <w:r w:rsidRPr="0016210E">
        <w:t>elemental</w:t>
      </w:r>
      <w:r>
        <w:t xml:space="preserve"> </w:t>
      </w:r>
      <w:r w:rsidRPr="0016210E">
        <w:t>contribuye al desarrollo</w:t>
      </w:r>
      <w:r w:rsidR="005007D6">
        <w:t xml:space="preserve"> </w:t>
      </w:r>
      <w:r w:rsidRPr="0016210E">
        <w:t>moral y espiritual de l</w:t>
      </w:r>
      <w:r>
        <w:t>o</w:t>
      </w:r>
      <w:r w:rsidRPr="0016210E">
        <w:t>s</w:t>
      </w:r>
      <w:r>
        <w:t xml:space="preserve"> jóvenes, a fin de que aprendan a</w:t>
      </w:r>
      <w:r w:rsidRPr="0016210E">
        <w:t xml:space="preserve"> respet</w:t>
      </w:r>
      <w:r>
        <w:t>ar los</w:t>
      </w:r>
      <w:r w:rsidRPr="0016210E">
        <w:t xml:space="preserve"> val</w:t>
      </w:r>
      <w:r>
        <w:t>or</w:t>
      </w:r>
      <w:r w:rsidRPr="0016210E">
        <w:t xml:space="preserve">es </w:t>
      </w:r>
      <w:r>
        <w:t>y creencias de los demás</w:t>
      </w:r>
      <w:r w:rsidRPr="0016210E">
        <w:t xml:space="preserve">. </w:t>
      </w:r>
      <w:r w:rsidRPr="006266EF">
        <w:t xml:space="preserve">Su objetivo reside en prepararlos para </w:t>
      </w:r>
      <w:r>
        <w:t xml:space="preserve">asumir </w:t>
      </w:r>
      <w:r w:rsidRPr="006266EF">
        <w:t xml:space="preserve">las responsabilidades del ciudadano en un contexto nacional, europeo y mundial. </w:t>
      </w:r>
    </w:p>
    <w:p w:rsidR="000100D5" w:rsidRPr="006266EF" w:rsidRDefault="000100D5" w:rsidP="000100D5">
      <w:pPr>
        <w:pStyle w:val="SingleTxtG"/>
      </w:pPr>
      <w:r w:rsidRPr="006266EF">
        <w:t>428.</w:t>
      </w:r>
      <w:r w:rsidRPr="006266EF">
        <w:tab/>
        <w:t>Esto se refleja en el ciclo superior de educación, destinado a habilitar y prepar</w:t>
      </w:r>
      <w:r>
        <w:t>ar a las</w:t>
      </w:r>
      <w:r w:rsidRPr="006266EF">
        <w:t xml:space="preserve"> pe</w:t>
      </w:r>
      <w:r>
        <w:t>rsonas a vivir su vida, aprovechando al máximo sus posibilidades en una sociedad</w:t>
      </w:r>
      <w:r w:rsidR="005007D6">
        <w:t xml:space="preserve"> </w:t>
      </w:r>
      <w:r w:rsidRPr="006266EF">
        <w:t>democr</w:t>
      </w:r>
      <w:r>
        <w:t>á</w:t>
      </w:r>
      <w:r w:rsidRPr="006266EF">
        <w:t>tic</w:t>
      </w:r>
      <w:r>
        <w:t>a</w:t>
      </w:r>
      <w:r w:rsidRPr="006266EF">
        <w:t xml:space="preserve">. </w:t>
      </w:r>
    </w:p>
    <w:p w:rsidR="000100D5" w:rsidRPr="00156948" w:rsidRDefault="000100D5" w:rsidP="000100D5">
      <w:pPr>
        <w:pStyle w:val="SingleTxtG"/>
      </w:pPr>
      <w:r w:rsidRPr="006266EF">
        <w:t>429.</w:t>
      </w:r>
      <w:r w:rsidRPr="006266EF">
        <w:tab/>
        <w:t>La educación social, personal y sa</w:t>
      </w:r>
      <w:r>
        <w:t>nitaria</w:t>
      </w:r>
      <w:r w:rsidRPr="006266EF">
        <w:t xml:space="preserve"> forma parte del programa obligatorio del ciclo elemental desde 2003. </w:t>
      </w:r>
      <w:r w:rsidRPr="00156948">
        <w:t>A ese nivel, se hace hincapi</w:t>
      </w:r>
      <w:r>
        <w:t>é fundamentalmente en promover</w:t>
      </w:r>
      <w:r w:rsidRPr="00156948">
        <w:t xml:space="preserve"> la autoestima y el bienestar f</w:t>
      </w:r>
      <w:r>
        <w:t xml:space="preserve">ísico y </w:t>
      </w:r>
      <w:r w:rsidRPr="00156948">
        <w:t>mental/emo</w:t>
      </w:r>
      <w:r>
        <w:t>c</w:t>
      </w:r>
      <w:r w:rsidRPr="00156948">
        <w:t>ional, a</w:t>
      </w:r>
      <w:r>
        <w:t>sí como en la adopción de decisiones re</w:t>
      </w:r>
      <w:r w:rsidRPr="00156948">
        <w:t>spons</w:t>
      </w:r>
      <w:r>
        <w:t>a</w:t>
      </w:r>
      <w:r w:rsidRPr="00156948">
        <w:t>ble</w:t>
      </w:r>
      <w:r>
        <w:t>s</w:t>
      </w:r>
      <w:r w:rsidRPr="00156948">
        <w:t xml:space="preserve">. </w:t>
      </w:r>
      <w:r>
        <w:t>Abarca también el autocontrol y la</w:t>
      </w:r>
      <w:r w:rsidRPr="00156948">
        <w:t xml:space="preserve"> comunicación. El programa se centra en </w:t>
      </w:r>
      <w:r>
        <w:t>potenciar</w:t>
      </w:r>
      <w:r w:rsidRPr="00156948">
        <w:t xml:space="preserve"> la autoestima y en desarrollar relaciones positivas con los dem</w:t>
      </w:r>
      <w:r>
        <w:t>ás</w:t>
      </w:r>
      <w:r w:rsidRPr="00156948">
        <w:t>. Se han incorporado específicamente los aspectos del respeto, los derechos y las responsabilidades.</w:t>
      </w:r>
      <w:r w:rsidR="005007D6">
        <w:t xml:space="preserve"> </w:t>
      </w:r>
    </w:p>
    <w:p w:rsidR="000100D5" w:rsidRPr="00760A78" w:rsidRDefault="000100D5" w:rsidP="000100D5">
      <w:pPr>
        <w:pStyle w:val="SingleTxtG"/>
      </w:pPr>
      <w:r w:rsidRPr="00156948">
        <w:t>430.</w:t>
      </w:r>
      <w:r w:rsidRPr="00156948">
        <w:tab/>
        <w:t xml:space="preserve">La educación cívica, social y política es una asignatura del ciclo elemental </w:t>
      </w:r>
      <w:r>
        <w:t>para la</w:t>
      </w:r>
      <w:r w:rsidRPr="00156948">
        <w:t xml:space="preserve"> </w:t>
      </w:r>
      <w:r>
        <w:t xml:space="preserve">ciudadanía </w:t>
      </w:r>
      <w:r w:rsidRPr="00156948">
        <w:t>activ</w:t>
      </w:r>
      <w:r>
        <w:t>a</w:t>
      </w:r>
      <w:r w:rsidRPr="00156948">
        <w:t>, bas</w:t>
      </w:r>
      <w:r>
        <w:t>a</w:t>
      </w:r>
      <w:r w:rsidRPr="00156948">
        <w:t>d</w:t>
      </w:r>
      <w:r>
        <w:t>a</w:t>
      </w:r>
      <w:r w:rsidRPr="00156948">
        <w:t xml:space="preserve"> </w:t>
      </w:r>
      <w:r>
        <w:t>en los derechos</w:t>
      </w:r>
      <w:r w:rsidRPr="00156948">
        <w:t xml:space="preserve"> human</w:t>
      </w:r>
      <w:r>
        <w:t>os y las</w:t>
      </w:r>
      <w:r w:rsidRPr="00156948">
        <w:t xml:space="preserve"> respons</w:t>
      </w:r>
      <w:r>
        <w:t>a</w:t>
      </w:r>
      <w:r w:rsidRPr="00156948">
        <w:t>bili</w:t>
      </w:r>
      <w:r>
        <w:t>dades sociales y es obligatoria para todos los alumnos</w:t>
      </w:r>
      <w:r w:rsidRPr="00156948">
        <w:t xml:space="preserve">. </w:t>
      </w:r>
      <w:r w:rsidRPr="00341684">
        <w:t>La Declaración Universal de Derechos Humanos y la Convención de las Naciones Unid</w:t>
      </w:r>
      <w:r>
        <w:t>as sobre los Derechos del Niño son dos</w:t>
      </w:r>
      <w:r w:rsidRPr="00341684">
        <w:t xml:space="preserve"> </w:t>
      </w:r>
      <w:r>
        <w:t>textos</w:t>
      </w:r>
      <w:r w:rsidRPr="00341684">
        <w:t xml:space="preserve"> </w:t>
      </w:r>
      <w:r>
        <w:t>esenciales que sustentan</w:t>
      </w:r>
      <w:r w:rsidRPr="00341684">
        <w:t xml:space="preserve"> </w:t>
      </w:r>
      <w:r>
        <w:t>la asignatura, con la finalidad de fomentar la conciencia crítica</w:t>
      </w:r>
      <w:r w:rsidRPr="00760A78">
        <w:t xml:space="preserve">, </w:t>
      </w:r>
      <w:r>
        <w:t>la adopción de decisiones é</w:t>
      </w:r>
      <w:r w:rsidRPr="00760A78">
        <w:t>tica</w:t>
      </w:r>
      <w:r>
        <w:t>s y la</w:t>
      </w:r>
      <w:r w:rsidRPr="00760A78">
        <w:t xml:space="preserve"> participa</w:t>
      </w:r>
      <w:r>
        <w:t>ción cívica</w:t>
      </w:r>
      <w:r w:rsidRPr="00760A78">
        <w:t xml:space="preserve">, </w:t>
      </w:r>
      <w:r>
        <w:t>fundamentada en la comprensión de la</w:t>
      </w:r>
      <w:r w:rsidRPr="00760A78">
        <w:t xml:space="preserve"> diversi</w:t>
      </w:r>
      <w:r>
        <w:t>dad</w:t>
      </w:r>
      <w:r w:rsidRPr="00760A78">
        <w:t xml:space="preserve">, </w:t>
      </w:r>
      <w:r>
        <w:t xml:space="preserve">los derechos </w:t>
      </w:r>
      <w:r w:rsidRPr="00760A78">
        <w:t>human</w:t>
      </w:r>
      <w:r>
        <w:t>os y las</w:t>
      </w:r>
      <w:r w:rsidRPr="00760A78">
        <w:t xml:space="preserve"> respons</w:t>
      </w:r>
      <w:r>
        <w:t>a</w:t>
      </w:r>
      <w:r w:rsidRPr="00760A78">
        <w:t>bili</w:t>
      </w:r>
      <w:r>
        <w:t>dad</w:t>
      </w:r>
      <w:r w:rsidRPr="00760A78">
        <w:t>es</w:t>
      </w:r>
      <w:r>
        <w:t xml:space="preserve"> sociales</w:t>
      </w:r>
      <w:r w:rsidRPr="00760A78">
        <w:t>. Los principios de</w:t>
      </w:r>
      <w:r w:rsidR="005007D6">
        <w:t xml:space="preserve"> </w:t>
      </w:r>
      <w:r w:rsidRPr="00760A78">
        <w:t xml:space="preserve">democracia, derechos y responsabilidades, </w:t>
      </w:r>
      <w:r>
        <w:t xml:space="preserve">la </w:t>
      </w:r>
      <w:r w:rsidRPr="00760A78">
        <w:t>dignidad human</w:t>
      </w:r>
      <w:r>
        <w:t>a y la</w:t>
      </w:r>
      <w:r w:rsidRPr="00760A78">
        <w:t xml:space="preserve"> interdependenc</w:t>
      </w:r>
      <w:r>
        <w:t>ia están todos integrados en el</w:t>
      </w:r>
      <w:r w:rsidRPr="00760A78">
        <w:t xml:space="preserve"> program</w:t>
      </w:r>
      <w:r>
        <w:t>a</w:t>
      </w:r>
      <w:r w:rsidRPr="00760A78">
        <w:t>. El aprendizaje se enmarca</w:t>
      </w:r>
      <w:r>
        <w:t xml:space="preserve"> </w:t>
      </w:r>
      <w:r w:rsidRPr="00760A78">
        <w:t>en el contexto de las personas, las</w:t>
      </w:r>
      <w:r w:rsidR="005007D6">
        <w:t xml:space="preserve"> </w:t>
      </w:r>
      <w:r w:rsidRPr="00760A78">
        <w:t xml:space="preserve">comunidades, Irlanda </w:t>
      </w:r>
      <w:r>
        <w:t>y el resto del mundo, y el certificado de estudios elementales consta de un</w:t>
      </w:r>
      <w:r w:rsidRPr="00760A78">
        <w:t xml:space="preserve"> exam</w:t>
      </w:r>
      <w:r>
        <w:t>en al respecto</w:t>
      </w:r>
      <w:r w:rsidRPr="00760A78">
        <w:t xml:space="preserve">. </w:t>
      </w:r>
    </w:p>
    <w:p w:rsidR="000100D5" w:rsidRPr="003A2ECD" w:rsidRDefault="000100D5" w:rsidP="000100D5">
      <w:pPr>
        <w:pStyle w:val="SingleTxtG"/>
      </w:pPr>
      <w:r w:rsidRPr="003A2ECD">
        <w:t>431.</w:t>
      </w:r>
      <w:r w:rsidRPr="003A2ECD">
        <w:tab/>
      </w:r>
      <w:r>
        <w:t>En una p</w:t>
      </w:r>
      <w:r w:rsidRPr="003A2ECD">
        <w:t xml:space="preserve">arte </w:t>
      </w:r>
      <w:r>
        <w:t>del p</w:t>
      </w:r>
      <w:r w:rsidRPr="003A2ECD">
        <w:t>rograma para el</w:t>
      </w:r>
      <w:r>
        <w:t xml:space="preserve"> c</w:t>
      </w:r>
      <w:r w:rsidRPr="003A2ECD">
        <w:t xml:space="preserve">ertificado de </w:t>
      </w:r>
      <w:r>
        <w:t xml:space="preserve">estudios de </w:t>
      </w:r>
      <w:r w:rsidRPr="003A2ECD">
        <w:t xml:space="preserve">formación profesional se abordan temas </w:t>
      </w:r>
      <w:r>
        <w:t>como los que se tocan en la educación</w:t>
      </w:r>
      <w:r w:rsidRPr="003A2ECD">
        <w:t xml:space="preserve"> c</w:t>
      </w:r>
      <w:r>
        <w:t>í</w:t>
      </w:r>
      <w:r w:rsidRPr="003A2ECD">
        <w:t>vic</w:t>
      </w:r>
      <w:r>
        <w:t>a</w:t>
      </w:r>
      <w:r w:rsidRPr="003A2ECD">
        <w:t xml:space="preserve">, social </w:t>
      </w:r>
      <w:r>
        <w:t>y</w:t>
      </w:r>
      <w:r w:rsidRPr="003A2ECD">
        <w:t xml:space="preserve"> pol</w:t>
      </w:r>
      <w:r>
        <w:t>í</w:t>
      </w:r>
      <w:r w:rsidRPr="003A2ECD">
        <w:t xml:space="preserve">tica. En el ciclo superior, el Consejo Nacional </w:t>
      </w:r>
      <w:r>
        <w:t>de Programas de Estudios</w:t>
      </w:r>
      <w:r w:rsidRPr="003A2ECD">
        <w:t xml:space="preserve"> y Evaluación está elaborando</w:t>
      </w:r>
      <w:r>
        <w:t xml:space="preserve"> programas de educación, social, </w:t>
      </w:r>
      <w:r w:rsidRPr="003A2ECD">
        <w:t xml:space="preserve">personal </w:t>
      </w:r>
      <w:r>
        <w:t>y sanitaria y de</w:t>
      </w:r>
      <w:r w:rsidRPr="003A2ECD">
        <w:t xml:space="preserve"> </w:t>
      </w:r>
      <w:r>
        <w:t>p</w:t>
      </w:r>
      <w:r w:rsidRPr="003A2ECD">
        <w:t>ol</w:t>
      </w:r>
      <w:r>
        <w:t>í</w:t>
      </w:r>
      <w:r w:rsidRPr="003A2ECD">
        <w:t>tic</w:t>
      </w:r>
      <w:r>
        <w:t>a</w:t>
      </w:r>
      <w:r w:rsidRPr="003A2ECD">
        <w:t xml:space="preserve"> </w:t>
      </w:r>
      <w:r>
        <w:t>y</w:t>
      </w:r>
      <w:r w:rsidRPr="003A2ECD">
        <w:t xml:space="preserve"> </w:t>
      </w:r>
      <w:r>
        <w:t>s</w:t>
      </w:r>
      <w:r w:rsidRPr="003A2ECD">
        <w:t>ocie</w:t>
      </w:r>
      <w:r>
        <w:t>dad</w:t>
      </w:r>
      <w:r w:rsidRPr="003A2ECD">
        <w:t xml:space="preserve">. </w:t>
      </w:r>
    </w:p>
    <w:p w:rsidR="000100D5" w:rsidRPr="00BF26B4" w:rsidRDefault="000100D5" w:rsidP="000100D5">
      <w:pPr>
        <w:pStyle w:val="SingleTxtG"/>
      </w:pPr>
      <w:r w:rsidRPr="00BF26B4">
        <w:t>432.</w:t>
      </w:r>
      <w:r w:rsidRPr="00BF26B4">
        <w:tab/>
        <w:t xml:space="preserve">El programa del año de transición es un programa optativo </w:t>
      </w:r>
      <w:r>
        <w:t xml:space="preserve">de un año </w:t>
      </w:r>
      <w:r w:rsidRPr="00BF26B4">
        <w:t xml:space="preserve">ofrecido por algunas escuelas. </w:t>
      </w:r>
      <w:r>
        <w:t>Su objetivo estriba en</w:t>
      </w:r>
      <w:r w:rsidRPr="00BF26B4">
        <w:t xml:space="preserve"> promover el desarrollo personal, social, educativo y </w:t>
      </w:r>
      <w:r>
        <w:t xml:space="preserve">de formación </w:t>
      </w:r>
      <w:r w:rsidRPr="00BF26B4">
        <w:t xml:space="preserve">profesional de los alumnos y </w:t>
      </w:r>
      <w:r>
        <w:t xml:space="preserve">en </w:t>
      </w:r>
      <w:r w:rsidRPr="00BF26B4">
        <w:t>prepar</w:t>
      </w:r>
      <w:r>
        <w:t>arlos</w:t>
      </w:r>
      <w:r w:rsidRPr="00BF26B4">
        <w:t xml:space="preserve"> </w:t>
      </w:r>
      <w:r>
        <w:t xml:space="preserve">para una participación </w:t>
      </w:r>
      <w:r w:rsidRPr="00BF26B4">
        <w:t>aut</w:t>
      </w:r>
      <w:r>
        <w:t>ó</w:t>
      </w:r>
      <w:r w:rsidRPr="00BF26B4">
        <w:t>nom</w:t>
      </w:r>
      <w:r>
        <w:t>a</w:t>
      </w:r>
      <w:r w:rsidRPr="00BF26B4">
        <w:t xml:space="preserve"> </w:t>
      </w:r>
      <w:r>
        <w:t>e</w:t>
      </w:r>
      <w:r w:rsidRPr="00BF26B4">
        <w:t xml:space="preserve">n </w:t>
      </w:r>
      <w:r>
        <w:t xml:space="preserve">la </w:t>
      </w:r>
      <w:r w:rsidRPr="00BF26B4">
        <w:t>socie</w:t>
      </w:r>
      <w:r>
        <w:t>dad</w:t>
      </w:r>
      <w:r w:rsidRPr="00BF26B4">
        <w:t xml:space="preserve">. </w:t>
      </w:r>
      <w:r>
        <w:t>Brinda muchas</w:t>
      </w:r>
      <w:r w:rsidRPr="00BF26B4">
        <w:t xml:space="preserve"> oportunidades para fomentar la diversidad y la integración y tratar cuestiones como los estereot</w:t>
      </w:r>
      <w:r>
        <w:t>i</w:t>
      </w:r>
      <w:r w:rsidRPr="00BF26B4">
        <w:t>p</w:t>
      </w:r>
      <w:r>
        <w:t>os</w:t>
      </w:r>
      <w:r w:rsidRPr="00BF26B4">
        <w:t xml:space="preserve">, </w:t>
      </w:r>
      <w:r>
        <w:t xml:space="preserve">el </w:t>
      </w:r>
      <w:r w:rsidRPr="00BF26B4">
        <w:t>racism</w:t>
      </w:r>
      <w:r>
        <w:t>o</w:t>
      </w:r>
      <w:r w:rsidRPr="00BF26B4">
        <w:t xml:space="preserve">, </w:t>
      </w:r>
      <w:r>
        <w:t xml:space="preserve">la </w:t>
      </w:r>
      <w:r w:rsidRPr="00BF26B4">
        <w:t>discrimina</w:t>
      </w:r>
      <w:r>
        <w:t>c</w:t>
      </w:r>
      <w:r w:rsidRPr="00BF26B4">
        <w:t>i</w:t>
      </w:r>
      <w:r>
        <w:t>ó</w:t>
      </w:r>
      <w:r w:rsidRPr="00BF26B4">
        <w:t>n</w:t>
      </w:r>
      <w:r>
        <w:t>,</w:t>
      </w:r>
      <w:r w:rsidRPr="00BF26B4">
        <w:t xml:space="preserve"> etc</w:t>
      </w:r>
      <w:r>
        <w:t>.,</w:t>
      </w:r>
      <w:r w:rsidRPr="00BF26B4">
        <w:t xml:space="preserve"> </w:t>
      </w:r>
      <w:r>
        <w:t>dentro del programa</w:t>
      </w:r>
      <w:r w:rsidRPr="00BF26B4">
        <w:t xml:space="preserve">. </w:t>
      </w:r>
    </w:p>
    <w:p w:rsidR="000100D5" w:rsidRPr="006B35C1" w:rsidRDefault="000100D5" w:rsidP="000100D5">
      <w:pPr>
        <w:pStyle w:val="H23G"/>
        <w:rPr>
          <w:lang w:val="en-IE"/>
        </w:rPr>
      </w:pPr>
      <w:r w:rsidRPr="00BF26B4">
        <w:tab/>
      </w:r>
      <w:r w:rsidRPr="006B35C1">
        <w:rPr>
          <w:lang w:val="en-IE"/>
        </w:rPr>
        <w:t>7.</w:t>
      </w:r>
      <w:r w:rsidRPr="006B35C1">
        <w:rPr>
          <w:lang w:val="en-IE"/>
        </w:rPr>
        <w:tab/>
      </w:r>
      <w:r>
        <w:rPr>
          <w:lang w:val="en-IE"/>
        </w:rPr>
        <w:t>Directrices sobre la educación</w:t>
      </w:r>
      <w:r w:rsidRPr="006B35C1">
        <w:rPr>
          <w:lang w:val="en-IE"/>
        </w:rPr>
        <w:t xml:space="preserve"> </w:t>
      </w:r>
      <w:r>
        <w:rPr>
          <w:lang w:val="en-IE"/>
        </w:rPr>
        <w:t>i</w:t>
      </w:r>
      <w:r w:rsidRPr="006B35C1">
        <w:rPr>
          <w:lang w:val="en-IE"/>
        </w:rPr>
        <w:t>ntercultural</w:t>
      </w:r>
    </w:p>
    <w:p w:rsidR="000100D5" w:rsidRPr="001E2A4A" w:rsidRDefault="000100D5" w:rsidP="000100D5">
      <w:pPr>
        <w:pStyle w:val="SingleTxtG"/>
      </w:pPr>
      <w:r w:rsidRPr="00F47F4F">
        <w:t>433.</w:t>
      </w:r>
      <w:r w:rsidRPr="00F47F4F">
        <w:tab/>
        <w:t xml:space="preserve">Como se indicó en la respuesta a la recomendación contenida en el párrafo 19 del informe del </w:t>
      </w:r>
      <w:r w:rsidR="00466CA0">
        <w:t>Coordinador encargado del seguimiento</w:t>
      </w:r>
      <w:r>
        <w:t>,</w:t>
      </w:r>
      <w:r w:rsidRPr="00F47F4F">
        <w:t xml:space="preserve"> en la part</w:t>
      </w:r>
      <w:r>
        <w:t>e</w:t>
      </w:r>
      <w:r w:rsidRPr="00F47F4F">
        <w:t xml:space="preserve"> I, </w:t>
      </w:r>
      <w:r>
        <w:t>el Consejo</w:t>
      </w:r>
      <w:r w:rsidRPr="00F47F4F">
        <w:t xml:space="preserve"> Na</w:t>
      </w:r>
      <w:r>
        <w:t>c</w:t>
      </w:r>
      <w:r w:rsidRPr="00F47F4F">
        <w:t xml:space="preserve">ional </w:t>
      </w:r>
      <w:r>
        <w:t>de Programas de Estudios y Evaluación</w:t>
      </w:r>
      <w:r w:rsidRPr="00F47F4F">
        <w:t xml:space="preserve"> ha </w:t>
      </w:r>
      <w:r>
        <w:t>elaborado unas directrices relativas a la educación multi</w:t>
      </w:r>
      <w:r w:rsidRPr="00F47F4F">
        <w:t>cultural</w:t>
      </w:r>
      <w:r>
        <w:t>, que</w:t>
      </w:r>
      <w:r w:rsidRPr="00F47F4F">
        <w:t xml:space="preserve"> identifican las formas en que se puede incorporar la educaci</w:t>
      </w:r>
      <w:r>
        <w:t>ón</w:t>
      </w:r>
      <w:r w:rsidRPr="00F47F4F">
        <w:t xml:space="preserve"> </w:t>
      </w:r>
      <w:r>
        <w:t>multi</w:t>
      </w:r>
      <w:r w:rsidRPr="00F47F4F">
        <w:t xml:space="preserve">cultural </w:t>
      </w:r>
      <w:r>
        <w:t>al plan de estudios en la</w:t>
      </w:r>
      <w:r w:rsidRPr="00F47F4F">
        <w:t xml:space="preserve"> </w:t>
      </w:r>
      <w:r>
        <w:t>e</w:t>
      </w:r>
      <w:r w:rsidRPr="00F47F4F">
        <w:t>sc</w:t>
      </w:r>
      <w:r>
        <w:t>uela</w:t>
      </w:r>
      <w:r w:rsidRPr="00F47F4F">
        <w:t xml:space="preserve"> </w:t>
      </w:r>
      <w:r>
        <w:t>y</w:t>
      </w:r>
      <w:r w:rsidRPr="00F47F4F">
        <w:t xml:space="preserve"> contribu</w:t>
      </w:r>
      <w:r>
        <w:t>ir al</w:t>
      </w:r>
      <w:r w:rsidRPr="00F47F4F">
        <w:t xml:space="preserve"> de</w:t>
      </w:r>
      <w:r>
        <w:t>sarrol</w:t>
      </w:r>
      <w:r w:rsidRPr="00F47F4F">
        <w:t>lo</w:t>
      </w:r>
      <w:r>
        <w:t xml:space="preserve"> de</w:t>
      </w:r>
      <w:r w:rsidRPr="00F47F4F">
        <w:t xml:space="preserve"> Irland</w:t>
      </w:r>
      <w:r>
        <w:t>a</w:t>
      </w:r>
      <w:r w:rsidRPr="00F47F4F">
        <w:t xml:space="preserve"> </w:t>
      </w:r>
      <w:r>
        <w:t>como</w:t>
      </w:r>
      <w:r w:rsidR="005007D6">
        <w:t xml:space="preserve"> </w:t>
      </w:r>
      <w:r>
        <w:t>sociedad</w:t>
      </w:r>
      <w:r w:rsidRPr="00F47F4F">
        <w:t xml:space="preserve"> </w:t>
      </w:r>
      <w:r>
        <w:t>multi</w:t>
      </w:r>
      <w:r w:rsidRPr="00F47F4F">
        <w:t>cultural</w:t>
      </w:r>
      <w:r>
        <w:t>, basada en el sentimiento compartido</w:t>
      </w:r>
      <w:r w:rsidRPr="00F47F4F">
        <w:t xml:space="preserve"> </w:t>
      </w:r>
      <w:r>
        <w:t>de que la</w:t>
      </w:r>
      <w:r w:rsidRPr="00F47F4F">
        <w:t xml:space="preserve"> l</w:t>
      </w:r>
      <w:r>
        <w:t>e</w:t>
      </w:r>
      <w:r w:rsidRPr="00F47F4F">
        <w:t xml:space="preserve">ngua, </w:t>
      </w:r>
      <w:r>
        <w:t xml:space="preserve">la </w:t>
      </w:r>
      <w:r w:rsidRPr="00F47F4F">
        <w:t>cultur</w:t>
      </w:r>
      <w:r>
        <w:t>a</w:t>
      </w:r>
      <w:r w:rsidRPr="00F47F4F">
        <w:t xml:space="preserve"> </w:t>
      </w:r>
      <w:r>
        <w:t>y la</w:t>
      </w:r>
      <w:r w:rsidRPr="00F47F4F">
        <w:t xml:space="preserve"> diversi</w:t>
      </w:r>
      <w:r>
        <w:t>dad étnica son</w:t>
      </w:r>
      <w:r w:rsidR="005007D6">
        <w:t xml:space="preserve"> </w:t>
      </w:r>
      <w:r w:rsidRPr="00F47F4F">
        <w:t>val</w:t>
      </w:r>
      <w:r>
        <w:t>ores que hay que defender</w:t>
      </w:r>
      <w:r w:rsidRPr="00F47F4F">
        <w:t xml:space="preserve">. </w:t>
      </w:r>
      <w:r>
        <w:t>Ofrecen un apoyo</w:t>
      </w:r>
      <w:r w:rsidRPr="001E2A4A">
        <w:t xml:space="preserve"> práctico a los maestros, directores escolares y </w:t>
      </w:r>
      <w:r>
        <w:t>a</w:t>
      </w:r>
      <w:r w:rsidRPr="001E2A4A">
        <w:t>l personal</w:t>
      </w:r>
      <w:r>
        <w:t>,</w:t>
      </w:r>
      <w:r w:rsidRPr="001E2A4A">
        <w:t xml:space="preserve"> a fin de potenciar un ambiente integrador en la escuela. En las directrices se abordan temas como la planificación del desarrollo escolar, cómo se puede impartir el plan de estudios en un contexto</w:t>
      </w:r>
      <w:r>
        <w:t xml:space="preserve"> multicultural</w:t>
      </w:r>
      <w:r w:rsidRPr="001E2A4A">
        <w:t>, la selec</w:t>
      </w:r>
      <w:r>
        <w:t>c</w:t>
      </w:r>
      <w:r w:rsidRPr="001E2A4A">
        <w:t>i</w:t>
      </w:r>
      <w:r>
        <w:t>ó</w:t>
      </w:r>
      <w:r w:rsidRPr="001E2A4A">
        <w:t xml:space="preserve">n </w:t>
      </w:r>
      <w:r>
        <w:t>de los recursos</w:t>
      </w:r>
      <w:r w:rsidRPr="001E2A4A">
        <w:t xml:space="preserve"> apropia</w:t>
      </w:r>
      <w:r>
        <w:t>dos</w:t>
      </w:r>
      <w:r w:rsidRPr="001E2A4A">
        <w:t xml:space="preserve">, </w:t>
      </w:r>
      <w:r>
        <w:t>la evaluación</w:t>
      </w:r>
      <w:r w:rsidRPr="001E2A4A">
        <w:t xml:space="preserve"> </w:t>
      </w:r>
      <w:r>
        <w:t>y la</w:t>
      </w:r>
      <w:r w:rsidRPr="001E2A4A">
        <w:t xml:space="preserve"> crea</w:t>
      </w:r>
      <w:r>
        <w:t>c</w:t>
      </w:r>
      <w:r w:rsidRPr="001E2A4A">
        <w:t>i</w:t>
      </w:r>
      <w:r>
        <w:t>ón</w:t>
      </w:r>
      <w:r w:rsidRPr="001E2A4A">
        <w:t xml:space="preserve"> </w:t>
      </w:r>
      <w:r>
        <w:t>de un ambiente propicio para el aprendizaje de una segunda lengua</w:t>
      </w:r>
      <w:r w:rsidRPr="001E2A4A">
        <w:t xml:space="preserve">. </w:t>
      </w:r>
    </w:p>
    <w:p w:rsidR="000100D5" w:rsidRPr="006B35C1" w:rsidRDefault="000100D5" w:rsidP="000100D5">
      <w:pPr>
        <w:pStyle w:val="H23G"/>
        <w:rPr>
          <w:lang w:val="en-IE"/>
        </w:rPr>
      </w:pPr>
      <w:r w:rsidRPr="001E2A4A">
        <w:tab/>
      </w:r>
      <w:r w:rsidRPr="006B35C1">
        <w:rPr>
          <w:lang w:val="en-IE"/>
        </w:rPr>
        <w:t>8.</w:t>
      </w:r>
      <w:r w:rsidRPr="006B35C1">
        <w:rPr>
          <w:lang w:val="en-IE"/>
        </w:rPr>
        <w:tab/>
      </w:r>
      <w:r>
        <w:rPr>
          <w:lang w:val="en-IE"/>
        </w:rPr>
        <w:t>Juventud</w:t>
      </w:r>
    </w:p>
    <w:p w:rsidR="000100D5" w:rsidRPr="0091081E" w:rsidRDefault="000100D5" w:rsidP="000100D5">
      <w:pPr>
        <w:pStyle w:val="SingleTxtG"/>
      </w:pPr>
      <w:r w:rsidRPr="0091081E">
        <w:t>434.</w:t>
      </w:r>
      <w:r w:rsidRPr="0091081E">
        <w:tab/>
      </w:r>
      <w:r w:rsidRPr="00FB2F91">
        <w:rPr>
          <w:spacing w:val="-2"/>
        </w:rPr>
        <w:t>El Consejo Nacional de la Juventud publicó en 2008 un informe y unas recomendaciones destinadas a una estrategia intercultural para el trabajo juvenil 2008</w:t>
      </w:r>
      <w:r w:rsidR="00FB2F91">
        <w:rPr>
          <w:spacing w:val="-2"/>
        </w:rPr>
        <w:t>-</w:t>
      </w:r>
      <w:r w:rsidRPr="00FB2F91">
        <w:rPr>
          <w:spacing w:val="-2"/>
        </w:rPr>
        <w:t>2011</w:t>
      </w:r>
      <w:r w:rsidRPr="00FB2F91">
        <w:rPr>
          <w:rStyle w:val="FootnoteReference"/>
          <w:spacing w:val="-2"/>
          <w:lang w:val="en-IE"/>
        </w:rPr>
        <w:footnoteReference w:id="104"/>
      </w:r>
      <w:r w:rsidRPr="00FB2F91">
        <w:rPr>
          <w:spacing w:val="-2"/>
        </w:rPr>
        <w:t>.</w:t>
      </w:r>
      <w:r w:rsidRPr="0091081E">
        <w:t xml:space="preserve"> </w:t>
      </w:r>
    </w:p>
    <w:p w:rsidR="000100D5" w:rsidRPr="006B35C1" w:rsidRDefault="000100D5" w:rsidP="000100D5">
      <w:pPr>
        <w:pStyle w:val="H23G"/>
        <w:rPr>
          <w:lang w:val="en-IE"/>
        </w:rPr>
      </w:pPr>
      <w:r w:rsidRPr="0091081E">
        <w:tab/>
      </w:r>
      <w:r w:rsidRPr="006B35C1">
        <w:rPr>
          <w:lang w:val="en-IE"/>
        </w:rPr>
        <w:t>9.</w:t>
      </w:r>
      <w:r w:rsidRPr="006B35C1">
        <w:rPr>
          <w:lang w:val="en-IE"/>
        </w:rPr>
        <w:tab/>
      </w:r>
      <w:r>
        <w:rPr>
          <w:lang w:val="en-IE"/>
        </w:rPr>
        <w:t>Ni</w:t>
      </w:r>
      <w:r w:rsidRPr="006B35C1">
        <w:rPr>
          <w:lang w:val="en-IE"/>
        </w:rPr>
        <w:t>vel</w:t>
      </w:r>
      <w:r>
        <w:rPr>
          <w:lang w:val="en-IE"/>
        </w:rPr>
        <w:t xml:space="preserve"> terciario</w:t>
      </w:r>
      <w:r w:rsidRPr="006B35C1">
        <w:rPr>
          <w:lang w:val="en-IE"/>
        </w:rPr>
        <w:t xml:space="preserve"> </w:t>
      </w:r>
    </w:p>
    <w:p w:rsidR="000100D5" w:rsidRPr="00F43F79" w:rsidRDefault="000100D5" w:rsidP="000100D5">
      <w:pPr>
        <w:pStyle w:val="SingleTxtG"/>
      </w:pPr>
      <w:r w:rsidRPr="00D76B19">
        <w:t>435.</w:t>
      </w:r>
      <w:r w:rsidRPr="00D76B19">
        <w:tab/>
        <w:t>En relación con el nivel terciario, la Oficina Nacional de Igualdad de Acceso a la Educación Superior</w:t>
      </w:r>
      <w:r>
        <w:t xml:space="preserve"> está</w:t>
      </w:r>
      <w:r w:rsidRPr="00D76B19">
        <w:t xml:space="preserve"> explor</w:t>
      </w:r>
      <w:r>
        <w:t>a</w:t>
      </w:r>
      <w:r w:rsidRPr="00D76B19">
        <w:t>n</w:t>
      </w:r>
      <w:r>
        <w:t>do asimismo la forma de avanzar hacia el establecimiento de un</w:t>
      </w:r>
      <w:r w:rsidRPr="00D76B19">
        <w:t xml:space="preserve"> </w:t>
      </w:r>
      <w:r w:rsidR="00C67360">
        <w:t>"</w:t>
      </w:r>
      <w:r>
        <w:t xml:space="preserve">campus </w:t>
      </w:r>
      <w:r w:rsidRPr="00D76B19">
        <w:t>intercultural</w:t>
      </w:r>
      <w:r w:rsidR="00C67360">
        <w:t>"</w:t>
      </w:r>
      <w:r w:rsidRPr="00D76B19">
        <w:t xml:space="preserve">. </w:t>
      </w:r>
      <w:r w:rsidRPr="00F43F79">
        <w:t>En su Plan Nacional de Igualdad de Acceso a la Educación Superior</w:t>
      </w:r>
      <w:r w:rsidR="00067DCF">
        <w:t xml:space="preserve"> 2008-</w:t>
      </w:r>
      <w:r w:rsidRPr="00F43F79">
        <w:t>2013</w:t>
      </w:r>
      <w:r>
        <w:rPr>
          <w:rStyle w:val="FootnoteReference"/>
          <w:lang w:val="en-IE"/>
        </w:rPr>
        <w:footnoteReference w:id="105"/>
      </w:r>
      <w:r w:rsidR="001F5C61">
        <w:rPr>
          <w:lang w:val="en-IE"/>
        </w:rPr>
        <w:t>,</w:t>
      </w:r>
      <w:r w:rsidRPr="00F43F79">
        <w:t xml:space="preserve"> </w:t>
      </w:r>
      <w:r>
        <w:t>señala</w:t>
      </w:r>
      <w:r w:rsidRPr="00F43F79">
        <w:t xml:space="preserve"> que debe prestarse una atenci</w:t>
      </w:r>
      <w:r>
        <w:t>ón</w:t>
      </w:r>
      <w:r w:rsidRPr="00F43F79">
        <w:t xml:space="preserve"> </w:t>
      </w:r>
      <w:r>
        <w:t>e</w:t>
      </w:r>
      <w:r w:rsidRPr="00F43F79">
        <w:t xml:space="preserve">special </w:t>
      </w:r>
      <w:r>
        <w:t>a las necesidades de los inmigrantes</w:t>
      </w:r>
      <w:r w:rsidRPr="00F43F79">
        <w:t xml:space="preserve"> rec</w:t>
      </w:r>
      <w:r>
        <w:t>i</w:t>
      </w:r>
      <w:r w:rsidRPr="00F43F79">
        <w:t>ent</w:t>
      </w:r>
      <w:r>
        <w:t>es</w:t>
      </w:r>
      <w:r w:rsidRPr="00F43F79">
        <w:t>.</w:t>
      </w:r>
    </w:p>
    <w:p w:rsidR="000100D5" w:rsidRPr="00F43F79" w:rsidRDefault="000100D5" w:rsidP="000100D5">
      <w:pPr>
        <w:pStyle w:val="SingleTxtG"/>
      </w:pPr>
      <w:r w:rsidRPr="00F43F79">
        <w:t>436.</w:t>
      </w:r>
      <w:r w:rsidRPr="00F43F79">
        <w:tab/>
        <w:t>Sírvanse consultar los párrafos 97 y ss. y el Apéndice II para más detalles sobre la capacitaci</w:t>
      </w:r>
      <w:r>
        <w:t>ón de los funcionarios encargados de velar por el cumplimiento de la ley</w:t>
      </w:r>
      <w:r w:rsidRPr="00F43F79">
        <w:t>.</w:t>
      </w:r>
    </w:p>
    <w:p w:rsidR="000100D5" w:rsidRPr="00F43F79" w:rsidRDefault="000100D5" w:rsidP="000100D5">
      <w:pPr>
        <w:pStyle w:val="SingleTxtG"/>
      </w:pPr>
      <w:r w:rsidRPr="00F43F79">
        <w:t>437.</w:t>
      </w:r>
      <w:r w:rsidRPr="00F43F79">
        <w:tab/>
        <w:t>Gracias a la labor del Consejo de las Artes y del Departamento de Arte</w:t>
      </w:r>
      <w:r>
        <w:t>s</w:t>
      </w:r>
      <w:r w:rsidRPr="00F43F79">
        <w:t xml:space="preserve">, Deportes </w:t>
      </w:r>
      <w:r>
        <w:t>y T</w:t>
      </w:r>
      <w:r w:rsidRPr="00F43F79">
        <w:t>urism</w:t>
      </w:r>
      <w:r>
        <w:t>o</w:t>
      </w:r>
      <w:r w:rsidRPr="00F43F79">
        <w:t xml:space="preserve">, </w:t>
      </w:r>
      <w:r>
        <w:t xml:space="preserve">se están tomando </w:t>
      </w:r>
      <w:r w:rsidRPr="00F43F79">
        <w:t>me</w:t>
      </w:r>
      <w:r>
        <w:t>didas para fomentar</w:t>
      </w:r>
      <w:r w:rsidRPr="00F43F79">
        <w:t xml:space="preserve"> </w:t>
      </w:r>
      <w:r>
        <w:t>los enfoques</w:t>
      </w:r>
      <w:r w:rsidRPr="00F43F79">
        <w:t xml:space="preserve"> intercultural</w:t>
      </w:r>
      <w:r>
        <w:t>es</w:t>
      </w:r>
      <w:r w:rsidRPr="00F43F79">
        <w:t xml:space="preserve"> </w:t>
      </w:r>
      <w:r>
        <w:t>de las</w:t>
      </w:r>
      <w:r w:rsidRPr="00F43F79">
        <w:t xml:space="preserve"> </w:t>
      </w:r>
      <w:r>
        <w:t>a</w:t>
      </w:r>
      <w:r w:rsidRPr="00F43F79">
        <w:t>rt</w:t>
      </w:r>
      <w:r>
        <w:t>e</w:t>
      </w:r>
      <w:r w:rsidRPr="00F43F79">
        <w:t xml:space="preserve">s </w:t>
      </w:r>
      <w:r>
        <w:t>e</w:t>
      </w:r>
      <w:r w:rsidRPr="00F43F79">
        <w:t>n Irland</w:t>
      </w:r>
      <w:r>
        <w:t>a</w:t>
      </w:r>
      <w:r w:rsidRPr="00F43F79">
        <w:t xml:space="preserve">. </w:t>
      </w:r>
    </w:p>
    <w:p w:rsidR="000100D5" w:rsidRPr="00F43F79" w:rsidRDefault="000100D5" w:rsidP="000100D5">
      <w:pPr>
        <w:pStyle w:val="SingleTxtG"/>
      </w:pPr>
      <w:r w:rsidRPr="00F43F79">
        <w:t>438.</w:t>
      </w:r>
      <w:r w:rsidRPr="00F43F79">
        <w:tab/>
        <w:t xml:space="preserve">En 2005, el Gobierno </w:t>
      </w:r>
      <w:r>
        <w:t>cre</w:t>
      </w:r>
      <w:r w:rsidRPr="00F43F79">
        <w:t>ó un nuevo organismo, Cultura de Irlanda</w:t>
      </w:r>
      <w:r>
        <w:rPr>
          <w:rStyle w:val="FootnoteReference"/>
        </w:rPr>
        <w:footnoteReference w:id="106"/>
      </w:r>
      <w:r w:rsidR="001F5C61">
        <w:t>,</w:t>
      </w:r>
      <w:r w:rsidRPr="00F43F79">
        <w:t xml:space="preserve"> que cuenta entre sus objetivos la promoción de una comprensi</w:t>
      </w:r>
      <w:r>
        <w:t>ón</w:t>
      </w:r>
      <w:r w:rsidRPr="00F43F79">
        <w:t xml:space="preserve"> mutua</w:t>
      </w:r>
      <w:r>
        <w:t xml:space="preserve"> más amplia entre la cultura irlandesa y las demás</w:t>
      </w:r>
      <w:r w:rsidRPr="00F43F79">
        <w:t xml:space="preserve"> cultur</w:t>
      </w:r>
      <w:r>
        <w:t>a</w:t>
      </w:r>
      <w:r w:rsidRPr="00F43F79">
        <w:t xml:space="preserve">s </w:t>
      </w:r>
      <w:r>
        <w:t>y</w:t>
      </w:r>
      <w:r w:rsidRPr="00F43F79">
        <w:t xml:space="preserve"> comuni</w:t>
      </w:r>
      <w:r>
        <w:t>dades, mediante el intercambio</w:t>
      </w:r>
      <w:r w:rsidRPr="00F43F79">
        <w:t xml:space="preserve"> </w:t>
      </w:r>
      <w:r>
        <w:t xml:space="preserve">y el entendimiento </w:t>
      </w:r>
      <w:r w:rsidRPr="00F43F79">
        <w:t>art</w:t>
      </w:r>
      <w:r>
        <w:t>íst</w:t>
      </w:r>
      <w:r w:rsidRPr="00F43F79">
        <w:t>ic</w:t>
      </w:r>
      <w:r>
        <w:t xml:space="preserve">o y </w:t>
      </w:r>
      <w:r w:rsidRPr="00F43F79">
        <w:t xml:space="preserve">cultural </w:t>
      </w:r>
      <w:r>
        <w:t>en un</w:t>
      </w:r>
      <w:r w:rsidRPr="00F43F79">
        <w:t xml:space="preserve"> context</w:t>
      </w:r>
      <w:r>
        <w:t>o mundial</w:t>
      </w:r>
      <w:r w:rsidRPr="00F43F79">
        <w:t xml:space="preserve">. </w:t>
      </w:r>
    </w:p>
    <w:p w:rsidR="000100D5" w:rsidRPr="00006BDA" w:rsidRDefault="000100D5" w:rsidP="000100D5">
      <w:pPr>
        <w:pStyle w:val="SingleTxtG"/>
      </w:pPr>
      <w:r w:rsidRPr="00006BDA">
        <w:t>439.</w:t>
      </w:r>
      <w:r w:rsidRPr="00006BDA">
        <w:tab/>
        <w:t xml:space="preserve">Con </w:t>
      </w:r>
      <w:r>
        <w:t xml:space="preserve">el establecimiento </w:t>
      </w:r>
      <w:r w:rsidRPr="00006BDA">
        <w:t xml:space="preserve">de Cultura de Irlanda, el Gobierno ha </w:t>
      </w:r>
      <w:r>
        <w:t>creado</w:t>
      </w:r>
      <w:r w:rsidRPr="00006BDA">
        <w:t xml:space="preserve"> una nueva capacidad y </w:t>
      </w:r>
      <w:r>
        <w:t>una</w:t>
      </w:r>
      <w:r w:rsidRPr="00006BDA">
        <w:t xml:space="preserve"> priori</w:t>
      </w:r>
      <w:r>
        <w:t>dad</w:t>
      </w:r>
      <w:r w:rsidRPr="00006BDA">
        <w:t xml:space="preserve"> a </w:t>
      </w:r>
      <w:r>
        <w:t>escala</w:t>
      </w:r>
      <w:r w:rsidRPr="00006BDA">
        <w:t xml:space="preserve"> na</w:t>
      </w:r>
      <w:r>
        <w:t>c</w:t>
      </w:r>
      <w:r w:rsidRPr="00006BDA">
        <w:t>ional</w:t>
      </w:r>
      <w:r>
        <w:t>,</w:t>
      </w:r>
      <w:r w:rsidRPr="00006BDA">
        <w:t xml:space="preserve"> </w:t>
      </w:r>
      <w:r>
        <w:t>a fin de potenciar el diálogo,</w:t>
      </w:r>
      <w:r w:rsidRPr="00006BDA">
        <w:t xml:space="preserve"> </w:t>
      </w:r>
      <w:r>
        <w:t>el intercambio y la comprensión interculturales en un contexto mundial</w:t>
      </w:r>
      <w:r w:rsidRPr="00006BDA">
        <w:t xml:space="preserve">. </w:t>
      </w:r>
    </w:p>
    <w:p w:rsidR="000100D5" w:rsidRPr="00B51DF4" w:rsidRDefault="000100D5" w:rsidP="000100D5">
      <w:pPr>
        <w:pStyle w:val="SingleTxtG"/>
      </w:pPr>
      <w:r w:rsidRPr="00B51DF4">
        <w:t>440.</w:t>
      </w:r>
      <w:r w:rsidRPr="00B51DF4">
        <w:tab/>
      </w:r>
      <w:r w:rsidRPr="00FB2F91">
        <w:rPr>
          <w:spacing w:val="-2"/>
        </w:rPr>
        <w:t>Una de las prioridades establecidas por Cultura de Irlanda para el período</w:t>
      </w:r>
      <w:r w:rsidR="005007D6" w:rsidRPr="00FB2F91">
        <w:rPr>
          <w:spacing w:val="-2"/>
        </w:rPr>
        <w:t xml:space="preserve"> </w:t>
      </w:r>
      <w:r w:rsidRPr="00FB2F91">
        <w:rPr>
          <w:spacing w:val="-2"/>
        </w:rPr>
        <w:t>2007</w:t>
      </w:r>
      <w:r w:rsidR="00FB2F91">
        <w:rPr>
          <w:spacing w:val="-2"/>
        </w:rPr>
        <w:t>-</w:t>
      </w:r>
      <w:r w:rsidRPr="00FB2F91">
        <w:rPr>
          <w:spacing w:val="-2"/>
        </w:rPr>
        <w:t>2010,</w:t>
      </w:r>
      <w:r w:rsidRPr="00B51DF4">
        <w:t xml:space="preserve"> consiste en apoyar los intercambios artísticos y culturales con los pa</w:t>
      </w:r>
      <w:r>
        <w:t>íses de</w:t>
      </w:r>
      <w:r w:rsidR="005007D6">
        <w:t xml:space="preserve"> </w:t>
      </w:r>
      <w:r w:rsidRPr="00B51DF4">
        <w:t>orig</w:t>
      </w:r>
      <w:r>
        <w:t>e</w:t>
      </w:r>
      <w:r w:rsidRPr="00B51DF4">
        <w:t xml:space="preserve">n </w:t>
      </w:r>
      <w:r>
        <w:t xml:space="preserve">de las nuevas </w:t>
      </w:r>
      <w:r w:rsidRPr="00B51DF4">
        <w:t>comuni</w:t>
      </w:r>
      <w:r>
        <w:t>dades</w:t>
      </w:r>
      <w:r w:rsidRPr="00B51DF4">
        <w:t xml:space="preserve"> resident</w:t>
      </w:r>
      <w:r>
        <w:t>es e</w:t>
      </w:r>
      <w:r w:rsidRPr="00B51DF4">
        <w:t>n Irland</w:t>
      </w:r>
      <w:r>
        <w:t>a</w:t>
      </w:r>
      <w:r w:rsidRPr="00B51DF4">
        <w:t xml:space="preserve">, </w:t>
      </w:r>
      <w:r>
        <w:t>p</w:t>
      </w:r>
      <w:r w:rsidRPr="00B51DF4">
        <w:t>or e</w:t>
      </w:r>
      <w:r>
        <w:t>je</w:t>
      </w:r>
      <w:r w:rsidRPr="00B51DF4">
        <w:t>mpl</w:t>
      </w:r>
      <w:r>
        <w:t>o</w:t>
      </w:r>
      <w:r w:rsidRPr="00B51DF4">
        <w:t xml:space="preserve"> China </w:t>
      </w:r>
      <w:r>
        <w:t>y</w:t>
      </w:r>
      <w:r w:rsidRPr="00B51DF4">
        <w:t xml:space="preserve"> Pol</w:t>
      </w:r>
      <w:r>
        <w:t>o</w:t>
      </w:r>
      <w:r w:rsidRPr="00B51DF4">
        <w:t>n</w:t>
      </w:r>
      <w:r>
        <w:t>ia</w:t>
      </w:r>
      <w:r w:rsidRPr="00B51DF4">
        <w:t xml:space="preserve">, </w:t>
      </w:r>
      <w:r>
        <w:t xml:space="preserve">a fin de promover un entendimiento intercultural más </w:t>
      </w:r>
      <w:r w:rsidRPr="00B51DF4">
        <w:t>pro</w:t>
      </w:r>
      <w:r>
        <w:t>fundo en la propia</w:t>
      </w:r>
      <w:r w:rsidRPr="00B51DF4">
        <w:t xml:space="preserve"> Irland</w:t>
      </w:r>
      <w:r>
        <w:t>a</w:t>
      </w:r>
      <w:r w:rsidRPr="00B51DF4">
        <w:t xml:space="preserve"> </w:t>
      </w:r>
      <w:r>
        <w:t>y entre</w:t>
      </w:r>
      <w:r w:rsidRPr="00B51DF4">
        <w:t xml:space="preserve"> Irland</w:t>
      </w:r>
      <w:r>
        <w:t>a y otros</w:t>
      </w:r>
      <w:r w:rsidRPr="00B51DF4">
        <w:t xml:space="preserve"> </w:t>
      </w:r>
      <w:r>
        <w:t>países</w:t>
      </w:r>
      <w:r w:rsidRPr="00B51DF4">
        <w:t xml:space="preserve">. </w:t>
      </w:r>
    </w:p>
    <w:p w:rsidR="000100D5" w:rsidRPr="00020107" w:rsidRDefault="000100D5" w:rsidP="000100D5">
      <w:pPr>
        <w:pStyle w:val="H23G"/>
      </w:pPr>
      <w:r w:rsidRPr="00B51DF4">
        <w:tab/>
      </w:r>
      <w:r w:rsidRPr="00020107">
        <w:t>10.</w:t>
      </w:r>
      <w:r w:rsidRPr="00020107">
        <w:tab/>
      </w:r>
      <w:r>
        <w:t>La d</w:t>
      </w:r>
      <w:r w:rsidRPr="00020107">
        <w:t xml:space="preserve">iversidad cultural y las artes (2008) </w:t>
      </w:r>
    </w:p>
    <w:p w:rsidR="000100D5" w:rsidRPr="000D02B7" w:rsidRDefault="000100D5" w:rsidP="000100D5">
      <w:pPr>
        <w:pStyle w:val="SingleTxtG"/>
      </w:pPr>
      <w:r w:rsidRPr="00343B34">
        <w:t>441.</w:t>
      </w:r>
      <w:r w:rsidRPr="00343B34">
        <w:tab/>
        <w:t xml:space="preserve">El Consejo de las Artes recibió una financiación </w:t>
      </w:r>
      <w:r>
        <w:t xml:space="preserve">de conformidad con </w:t>
      </w:r>
      <w:r w:rsidRPr="00343B34">
        <w:t>el Plan Nacional de Acción contra el Racismo</w:t>
      </w:r>
      <w:r>
        <w:t>,</w:t>
      </w:r>
      <w:r w:rsidRPr="00343B34">
        <w:t xml:space="preserve"> </w:t>
      </w:r>
      <w:r>
        <w:t>con miras a llevar a cabo un importante proyecto de investigación destinado a articular el</w:t>
      </w:r>
      <w:r w:rsidRPr="00343B34">
        <w:t xml:space="preserve"> de</w:t>
      </w:r>
      <w:r>
        <w:t>sarrollo de una política de diversidad</w:t>
      </w:r>
      <w:r w:rsidRPr="00343B34">
        <w:t xml:space="preserve"> cultural </w:t>
      </w:r>
      <w:r>
        <w:t xml:space="preserve">para las artes y un Plan de </w:t>
      </w:r>
      <w:r w:rsidRPr="00343B34">
        <w:t>Ac</w:t>
      </w:r>
      <w:r>
        <w:t>c</w:t>
      </w:r>
      <w:r w:rsidRPr="00343B34">
        <w:t>i</w:t>
      </w:r>
      <w:r>
        <w:t>ó</w:t>
      </w:r>
      <w:r w:rsidRPr="00343B34">
        <w:t xml:space="preserve">n </w:t>
      </w:r>
      <w:r>
        <w:t>dirigido a</w:t>
      </w:r>
      <w:r w:rsidRPr="00343B34">
        <w:t xml:space="preserve"> </w:t>
      </w:r>
      <w:r>
        <w:t>apoyar diferentes prácticas</w:t>
      </w:r>
      <w:r w:rsidRPr="00343B34">
        <w:t xml:space="preserve"> cultural</w:t>
      </w:r>
      <w:r>
        <w:t>es en el</w:t>
      </w:r>
      <w:r w:rsidRPr="00343B34">
        <w:t xml:space="preserve"> futur</w:t>
      </w:r>
      <w:r>
        <w:t>o</w:t>
      </w:r>
      <w:r w:rsidRPr="00343B34">
        <w:t xml:space="preserve">. </w:t>
      </w:r>
      <w:r>
        <w:t>El Consejo de las Artes se puso en contacto con</w:t>
      </w:r>
      <w:r w:rsidRPr="000D02B7">
        <w:t xml:space="preserve"> Create, el organismo nacional de desarrollo </w:t>
      </w:r>
      <w:r>
        <w:t>par</w:t>
      </w:r>
      <w:r w:rsidRPr="000D02B7">
        <w:t>a</w:t>
      </w:r>
      <w:r>
        <w:t xml:space="preserve"> </w:t>
      </w:r>
      <w:r w:rsidRPr="000D02B7">
        <w:t xml:space="preserve">las artes </w:t>
      </w:r>
      <w:r>
        <w:t xml:space="preserve">de </w:t>
      </w:r>
      <w:r w:rsidRPr="000D02B7">
        <w:t>colabora</w:t>
      </w:r>
      <w:r>
        <w:t>ción</w:t>
      </w:r>
      <w:r w:rsidRPr="000D02B7">
        <w:t xml:space="preserve">, </w:t>
      </w:r>
      <w:r>
        <w:t>a fin de</w:t>
      </w:r>
      <w:r w:rsidRPr="000D02B7">
        <w:t xml:space="preserve"> gestionar las extens</w:t>
      </w:r>
      <w:r>
        <w:t>as fases de investigación y</w:t>
      </w:r>
      <w:r w:rsidRPr="000D02B7">
        <w:t xml:space="preserve"> </w:t>
      </w:r>
      <w:r>
        <w:t>consulta</w:t>
      </w:r>
      <w:r w:rsidRPr="000D02B7">
        <w:t xml:space="preserve"> </w:t>
      </w:r>
      <w:r>
        <w:t>en que se sustentarán las políticas</w:t>
      </w:r>
      <w:r w:rsidRPr="000D02B7">
        <w:t>. La investigación ya ha concluido y se ha presentado a la Junta del Consejo de las Artes</w:t>
      </w:r>
      <w:r>
        <w:t>, donde</w:t>
      </w:r>
      <w:r w:rsidRPr="000D02B7">
        <w:t xml:space="preserve"> </w:t>
      </w:r>
      <w:r>
        <w:t>se encuentra en fase de examen</w:t>
      </w:r>
      <w:r w:rsidRPr="000D02B7">
        <w:t xml:space="preserve">. </w:t>
      </w:r>
    </w:p>
    <w:p w:rsidR="000100D5" w:rsidRPr="004A02F4" w:rsidRDefault="000100D5" w:rsidP="000100D5">
      <w:pPr>
        <w:pStyle w:val="SingleTxtG"/>
      </w:pPr>
      <w:r w:rsidRPr="001504BA">
        <w:t>442.</w:t>
      </w:r>
      <w:r w:rsidRPr="001504BA">
        <w:tab/>
        <w:t xml:space="preserve">El ámbito de la </w:t>
      </w:r>
      <w:r>
        <w:t>d</w:t>
      </w:r>
      <w:r w:rsidRPr="001504BA">
        <w:t xml:space="preserve">iversidad </w:t>
      </w:r>
      <w:r>
        <w:t>c</w:t>
      </w:r>
      <w:r w:rsidRPr="001504BA">
        <w:t xml:space="preserve">ultural corre a cargo del </w:t>
      </w:r>
      <w:r>
        <w:t>e</w:t>
      </w:r>
      <w:r w:rsidRPr="001504BA">
        <w:t xml:space="preserve">quipo de </w:t>
      </w:r>
      <w:r>
        <w:t>p</w:t>
      </w:r>
      <w:r w:rsidRPr="001504BA">
        <w:t>articipaci</w:t>
      </w:r>
      <w:r>
        <w:t>ón del Consejo de las Artes</w:t>
      </w:r>
      <w:r w:rsidRPr="001504BA">
        <w:t xml:space="preserve">. Por participación se entiende una </w:t>
      </w:r>
      <w:r>
        <w:t>amplia</w:t>
      </w:r>
      <w:r w:rsidRPr="001504BA">
        <w:t xml:space="preserve"> gama de prácticas en las que </w:t>
      </w:r>
      <w:r>
        <w:t>el público</w:t>
      </w:r>
      <w:r w:rsidRPr="001504BA">
        <w:t xml:space="preserve"> colabora con artistas experimentados para hacer o </w:t>
      </w:r>
      <w:r>
        <w:t>interpreta</w:t>
      </w:r>
      <w:r w:rsidRPr="001504BA">
        <w:t>r obras de art</w:t>
      </w:r>
      <w:r>
        <w:t>e</w:t>
      </w:r>
      <w:r w:rsidRPr="001504BA">
        <w:t xml:space="preserve">, </w:t>
      </w:r>
      <w:r>
        <w:t>con el objetivo de fomentar la creatividad en las comunidades e individuos</w:t>
      </w:r>
      <w:r w:rsidRPr="001504BA">
        <w:t xml:space="preserve">. </w:t>
      </w:r>
      <w:r w:rsidRPr="004A02F4">
        <w:t xml:space="preserve">De esa manera, </w:t>
      </w:r>
      <w:r>
        <w:t xml:space="preserve">se incorporan </w:t>
      </w:r>
      <w:r w:rsidRPr="004A02F4">
        <w:t>las obras de ámbitos artísticos de di</w:t>
      </w:r>
      <w:r>
        <w:t xml:space="preserve">stintas culturas </w:t>
      </w:r>
      <w:r w:rsidRPr="004A02F4">
        <w:t>al marco m</w:t>
      </w:r>
      <w:r>
        <w:t>ás generalizado de integración, con la finalidad de lograr la participación de personas de todas las edades,</w:t>
      </w:r>
      <w:r w:rsidR="005007D6">
        <w:t xml:space="preserve"> </w:t>
      </w:r>
      <w:r w:rsidRPr="004A02F4">
        <w:t>cultur</w:t>
      </w:r>
      <w:r>
        <w:t>a</w:t>
      </w:r>
      <w:r w:rsidRPr="004A02F4">
        <w:t xml:space="preserve">s </w:t>
      </w:r>
      <w:r>
        <w:t>y procedencias</w:t>
      </w:r>
      <w:r w:rsidRPr="004A02F4">
        <w:t xml:space="preserve"> socioecon</w:t>
      </w:r>
      <w:r>
        <w:t>ó</w:t>
      </w:r>
      <w:r w:rsidRPr="004A02F4">
        <w:t>mic</w:t>
      </w:r>
      <w:r>
        <w:t>as</w:t>
      </w:r>
      <w:r w:rsidRPr="004A02F4">
        <w:t xml:space="preserve">. </w:t>
      </w:r>
    </w:p>
    <w:p w:rsidR="000100D5" w:rsidRPr="004A02F4" w:rsidRDefault="000100D5" w:rsidP="000100D5">
      <w:pPr>
        <w:pStyle w:val="SingleTxtG"/>
      </w:pPr>
      <w:r w:rsidRPr="004A02F4">
        <w:t>443.</w:t>
      </w:r>
      <w:r w:rsidRPr="004A02F4">
        <w:tab/>
        <w:t>El Consejo de las Artes está firmemente decidido a luchar por la igualdad de oportunidades y a eliminar</w:t>
      </w:r>
      <w:r>
        <w:t xml:space="preserve"> cualquier</w:t>
      </w:r>
      <w:r w:rsidRPr="004A02F4">
        <w:t xml:space="preserve"> form</w:t>
      </w:r>
      <w:r>
        <w:t>a</w:t>
      </w:r>
      <w:r w:rsidRPr="004A02F4">
        <w:t xml:space="preserve"> </w:t>
      </w:r>
      <w:r>
        <w:t>de</w:t>
      </w:r>
      <w:r w:rsidRPr="004A02F4">
        <w:t xml:space="preserve"> discrimina</w:t>
      </w:r>
      <w:r>
        <w:t>c</w:t>
      </w:r>
      <w:r w:rsidRPr="004A02F4">
        <w:t>i</w:t>
      </w:r>
      <w:r>
        <w:t>ón y</w:t>
      </w:r>
      <w:r w:rsidRPr="004A02F4">
        <w:t xml:space="preserve">, </w:t>
      </w:r>
      <w:r>
        <w:t xml:space="preserve">en </w:t>
      </w:r>
      <w:r w:rsidRPr="004A02F4">
        <w:t>particular</w:t>
      </w:r>
      <w:r>
        <w:t>,</w:t>
      </w:r>
      <w:r w:rsidRPr="004A02F4">
        <w:t xml:space="preserve"> </w:t>
      </w:r>
      <w:r>
        <w:t>las enumeradas en la Ley de</w:t>
      </w:r>
      <w:r w:rsidRPr="004A02F4">
        <w:t xml:space="preserve"> </w:t>
      </w:r>
      <w:r>
        <w:t>igualdad en el empleo</w:t>
      </w:r>
      <w:r w:rsidRPr="004A02F4">
        <w:t xml:space="preserve">, </w:t>
      </w:r>
      <w:r>
        <w:t xml:space="preserve">de </w:t>
      </w:r>
      <w:r w:rsidRPr="004A02F4">
        <w:t xml:space="preserve">1998. </w:t>
      </w:r>
    </w:p>
    <w:p w:rsidR="000100D5" w:rsidRPr="007E20A0" w:rsidRDefault="000100D5" w:rsidP="000100D5">
      <w:pPr>
        <w:pStyle w:val="SingleTxtG"/>
      </w:pPr>
      <w:r w:rsidRPr="007E20A0">
        <w:t>444.</w:t>
      </w:r>
      <w:r w:rsidRPr="007E20A0">
        <w:tab/>
        <w:t>El Consejo de las Artes se ha comprometido a velar por la igualdad de oportunidades en todas sus políticas, prácticas y procedimientos de empleo, sin discriminación por ning</w:t>
      </w:r>
      <w:r>
        <w:t>ún motivo y, en particular,</w:t>
      </w:r>
      <w:r w:rsidRPr="007E20A0">
        <w:t xml:space="preserve"> </w:t>
      </w:r>
      <w:r>
        <w:t>por ninguno de los</w:t>
      </w:r>
      <w:r w:rsidRPr="007E20A0">
        <w:t xml:space="preserve"> n</w:t>
      </w:r>
      <w:r>
        <w:t>uev</w:t>
      </w:r>
      <w:r w:rsidRPr="007E20A0">
        <w:t xml:space="preserve">e </w:t>
      </w:r>
      <w:r>
        <w:t>motivos</w:t>
      </w:r>
      <w:r w:rsidRPr="007E20A0">
        <w:t xml:space="preserve"> </w:t>
      </w:r>
      <w:r>
        <w:t xml:space="preserve">específicos </w:t>
      </w:r>
      <w:r w:rsidRPr="007E20A0">
        <w:t>c</w:t>
      </w:r>
      <w:r>
        <w:t>ubie</w:t>
      </w:r>
      <w:r w:rsidRPr="007E20A0">
        <w:t>r</w:t>
      </w:r>
      <w:r>
        <w:t>tos por</w:t>
      </w:r>
      <w:r w:rsidRPr="007E20A0">
        <w:t xml:space="preserve"> </w:t>
      </w:r>
      <w:r>
        <w:t>la mencionada</w:t>
      </w:r>
      <w:r w:rsidRPr="007E20A0">
        <w:t xml:space="preserve"> legisla</w:t>
      </w:r>
      <w:r>
        <w:t>c</w:t>
      </w:r>
      <w:r w:rsidRPr="007E20A0">
        <w:t>i</w:t>
      </w:r>
      <w:r>
        <w:t>ó</w:t>
      </w:r>
      <w:r w:rsidRPr="007E20A0">
        <w:t xml:space="preserve">n, </w:t>
      </w:r>
      <w:r w:rsidR="005C4174">
        <w:t>incluida</w:t>
      </w:r>
      <w:r w:rsidRPr="007E20A0">
        <w:t xml:space="preserve"> </w:t>
      </w:r>
      <w:r>
        <w:t xml:space="preserve">la </w:t>
      </w:r>
      <w:r w:rsidRPr="007E20A0">
        <w:t>ra</w:t>
      </w:r>
      <w:r>
        <w:t>za</w:t>
      </w:r>
      <w:r w:rsidRPr="007E20A0">
        <w:t xml:space="preserve"> (color, na</w:t>
      </w:r>
      <w:r>
        <w:t>c</w:t>
      </w:r>
      <w:r w:rsidRPr="007E20A0">
        <w:t>ionali</w:t>
      </w:r>
      <w:r>
        <w:t>dad origen é</w:t>
      </w:r>
      <w:r w:rsidRPr="007E20A0">
        <w:t>tnic</w:t>
      </w:r>
      <w:r>
        <w:t>o</w:t>
      </w:r>
      <w:r w:rsidRPr="007E20A0">
        <w:t xml:space="preserve"> o na</w:t>
      </w:r>
      <w:r>
        <w:t>c</w:t>
      </w:r>
      <w:r w:rsidRPr="007E20A0">
        <w:t>ional</w:t>
      </w:r>
      <w:r>
        <w:t>).</w:t>
      </w:r>
      <w:r w:rsidR="005007D6">
        <w:t xml:space="preserve"> </w:t>
      </w:r>
    </w:p>
    <w:p w:rsidR="000100D5" w:rsidRPr="00964F27" w:rsidRDefault="000100D5" w:rsidP="000100D5">
      <w:pPr>
        <w:pStyle w:val="SingleTxtG"/>
      </w:pPr>
      <w:r w:rsidRPr="00964F27">
        <w:t>445.</w:t>
      </w:r>
      <w:r w:rsidRPr="00964F27">
        <w:tab/>
        <w:t>El Consejo de las Artes financia festivales como el Festival de las Culturas del Mundo</w:t>
      </w:r>
      <w:r>
        <w:rPr>
          <w:rStyle w:val="FootnoteReference"/>
        </w:rPr>
        <w:footnoteReference w:id="107"/>
      </w:r>
      <w:r w:rsidRPr="00964F27">
        <w:t xml:space="preserve"> y el Festival de San Patricio, que conecta con una amplia gama de culturas y de comunidades </w:t>
      </w:r>
      <w:r>
        <w:t>para</w:t>
      </w:r>
      <w:r w:rsidRPr="00964F27">
        <w:t xml:space="preserve"> produci</w:t>
      </w:r>
      <w:r>
        <w:t>r sus obras, y con</w:t>
      </w:r>
      <w:r w:rsidRPr="00964F27">
        <w:t xml:space="preserve"> compa</w:t>
      </w:r>
      <w:r>
        <w:t>ñía</w:t>
      </w:r>
      <w:r w:rsidRPr="00964F27">
        <w:t xml:space="preserve">s </w:t>
      </w:r>
      <w:r>
        <w:t>como el Teatro Irlandés de Danza</w:t>
      </w:r>
      <w:r w:rsidRPr="00964F27">
        <w:t xml:space="preserve"> Modern</w:t>
      </w:r>
      <w:r>
        <w:t>a</w:t>
      </w:r>
      <w:r w:rsidRPr="00964F27">
        <w:t xml:space="preserve">, </w:t>
      </w:r>
      <w:r>
        <w:t>que</w:t>
      </w:r>
      <w:r w:rsidRPr="00964F27">
        <w:t xml:space="preserve"> explor</w:t>
      </w:r>
      <w:r>
        <w:t>a</w:t>
      </w:r>
      <w:r w:rsidRPr="00964F27">
        <w:t xml:space="preserve"> </w:t>
      </w:r>
      <w:r>
        <w:t>las complejidades de la identidad</w:t>
      </w:r>
      <w:r w:rsidRPr="00964F27">
        <w:t xml:space="preserve"> contempor</w:t>
      </w:r>
      <w:r>
        <w:t>ánea en una Irlanda en evolución</w:t>
      </w:r>
      <w:r w:rsidRPr="00964F27">
        <w:t>.</w:t>
      </w:r>
    </w:p>
    <w:p w:rsidR="000100D5" w:rsidRPr="00E247A8" w:rsidRDefault="000100D5" w:rsidP="000100D5">
      <w:pPr>
        <w:pStyle w:val="SingleTxtG"/>
      </w:pPr>
      <w:r w:rsidRPr="00964F27">
        <w:t>446.</w:t>
      </w:r>
      <w:r w:rsidRPr="00964F27">
        <w:tab/>
        <w:t>En la estrategia del Año Europeo de</w:t>
      </w:r>
      <w:r>
        <w:t>l</w:t>
      </w:r>
      <w:r w:rsidRPr="00964F27">
        <w:t xml:space="preserve"> Diálogo Intercultural 2008</w:t>
      </w:r>
      <w:r>
        <w:rPr>
          <w:rStyle w:val="FootnoteReference"/>
        </w:rPr>
        <w:footnoteReference w:id="108"/>
      </w:r>
      <w:r w:rsidRPr="00964F27">
        <w:t xml:space="preserve">, se hace hincapié en la importancia del diálogo como uno de los elementos clave </w:t>
      </w:r>
      <w:r>
        <w:t>para construir en Irlanda una sociedad</w:t>
      </w:r>
      <w:r w:rsidRPr="00964F27">
        <w:t xml:space="preserve"> intercultural </w:t>
      </w:r>
      <w:r>
        <w:t xml:space="preserve">que </w:t>
      </w:r>
      <w:r w:rsidRPr="00964F27">
        <w:t>val</w:t>
      </w:r>
      <w:r>
        <w:t>or</w:t>
      </w:r>
      <w:r w:rsidRPr="00964F27">
        <w:t>e</w:t>
      </w:r>
      <w:r>
        <w:t xml:space="preserve"> la</w:t>
      </w:r>
      <w:r w:rsidRPr="00964F27">
        <w:t xml:space="preserve"> diversi</w:t>
      </w:r>
      <w:r>
        <w:t>dad</w:t>
      </w:r>
      <w:r w:rsidRPr="00964F27">
        <w:t xml:space="preserve">, </w:t>
      </w:r>
      <w:r>
        <w:t>la ig</w:t>
      </w:r>
      <w:r w:rsidRPr="00964F27">
        <w:t>ual</w:t>
      </w:r>
      <w:r>
        <w:t xml:space="preserve">dad </w:t>
      </w:r>
      <w:r w:rsidRPr="00964F27">
        <w:t xml:space="preserve">y </w:t>
      </w:r>
      <w:r>
        <w:t>l</w:t>
      </w:r>
      <w:r w:rsidRPr="00964F27">
        <w:t>a interac</w:t>
      </w:r>
      <w:r>
        <w:t>c</w:t>
      </w:r>
      <w:r w:rsidRPr="00964F27">
        <w:t>i</w:t>
      </w:r>
      <w:r>
        <w:t>ó</w:t>
      </w:r>
      <w:r w:rsidRPr="00964F27">
        <w:t>n</w:t>
      </w:r>
      <w:r>
        <w:t>, pero también</w:t>
      </w:r>
      <w:r w:rsidRPr="00964F27">
        <w:t xml:space="preserve"> </w:t>
      </w:r>
      <w:r>
        <w:t>la cohesión y el sentimiento de compartir un lugar</w:t>
      </w:r>
      <w:r w:rsidRPr="00964F27">
        <w:t xml:space="preserve">. </w:t>
      </w:r>
      <w:r w:rsidRPr="00C07894">
        <w:t>Gira en torno a seis programas fundamental</w:t>
      </w:r>
      <w:r>
        <w:t>e</w:t>
      </w:r>
      <w:r w:rsidRPr="00C07894">
        <w:t>s:</w:t>
      </w:r>
      <w:r>
        <w:t xml:space="preserve"> a</w:t>
      </w:r>
      <w:r w:rsidRPr="00C07894">
        <w:t xml:space="preserve">rtes y </w:t>
      </w:r>
      <w:r>
        <w:t>c</w:t>
      </w:r>
      <w:r w:rsidRPr="00C07894">
        <w:t xml:space="preserve">ultura, </w:t>
      </w:r>
      <w:r>
        <w:t>p</w:t>
      </w:r>
      <w:r w:rsidRPr="00C07894">
        <w:t>articipación comunitaria y deportes, empresas y sindicatos,</w:t>
      </w:r>
      <w:r>
        <w:t xml:space="preserve"> </w:t>
      </w:r>
      <w:r w:rsidRPr="00C07894">
        <w:t xml:space="preserve">proveedores de </w:t>
      </w:r>
      <w:r>
        <w:t>s</w:t>
      </w:r>
      <w:r w:rsidRPr="00C07894">
        <w:t>ervic</w:t>
      </w:r>
      <w:r>
        <w:t>ios</w:t>
      </w:r>
      <w:r w:rsidRPr="00C07894">
        <w:t xml:space="preserve"> (</w:t>
      </w:r>
      <w:r>
        <w:t>e</w:t>
      </w:r>
      <w:r w:rsidRPr="00C07894">
        <w:t>n particular</w:t>
      </w:r>
      <w:r>
        <w:t>,</w:t>
      </w:r>
      <w:r w:rsidRPr="00C07894">
        <w:t xml:space="preserve"> </w:t>
      </w:r>
      <w:r>
        <w:t>de e</w:t>
      </w:r>
      <w:r w:rsidRPr="00C07894">
        <w:t>duca</w:t>
      </w:r>
      <w:r>
        <w:t>c</w:t>
      </w:r>
      <w:r w:rsidRPr="00C07894">
        <w:t>i</w:t>
      </w:r>
      <w:r>
        <w:t>ón</w:t>
      </w:r>
      <w:r w:rsidRPr="00C07894">
        <w:t xml:space="preserve">) </w:t>
      </w:r>
      <w:r>
        <w:t>y cuatro temas transversales</w:t>
      </w:r>
      <w:r w:rsidRPr="00C07894">
        <w:t xml:space="preserve"> (</w:t>
      </w:r>
      <w:r>
        <w:t>jóvenes</w:t>
      </w:r>
      <w:r w:rsidRPr="00C07894">
        <w:t xml:space="preserve">, </w:t>
      </w:r>
      <w:r>
        <w:t>mujeres</w:t>
      </w:r>
      <w:r w:rsidRPr="00C07894">
        <w:t>, coopera</w:t>
      </w:r>
      <w:r>
        <w:t>c</w:t>
      </w:r>
      <w:r w:rsidRPr="00C07894">
        <w:t>i</w:t>
      </w:r>
      <w:r>
        <w:t>ó</w:t>
      </w:r>
      <w:r w:rsidRPr="00C07894">
        <w:t>n</w:t>
      </w:r>
      <w:r>
        <w:t xml:space="preserve"> norte-sur</w:t>
      </w:r>
      <w:r w:rsidRPr="00C07894">
        <w:t xml:space="preserve"> </w:t>
      </w:r>
      <w:r>
        <w:t>y un eje</w:t>
      </w:r>
      <w:r w:rsidRPr="00C07894">
        <w:t xml:space="preserve"> </w:t>
      </w:r>
      <w:r>
        <w:t>i</w:t>
      </w:r>
      <w:r w:rsidRPr="00C07894">
        <w:t>nterna</w:t>
      </w:r>
      <w:r>
        <w:t>c</w:t>
      </w:r>
      <w:r w:rsidRPr="00C07894">
        <w:t>ional</w:t>
      </w:r>
      <w:r>
        <w:t xml:space="preserve"> y centrado en la UE</w:t>
      </w:r>
      <w:r w:rsidRPr="00C07894">
        <w:t xml:space="preserve">). </w:t>
      </w:r>
      <w:r w:rsidR="00FB2F91">
        <w:t>La </w:t>
      </w:r>
      <w:r w:rsidRPr="00E247A8">
        <w:t>estrategia fue lanzada por el Presidente de Irlanda en un acto celebrado en la Mansion House, Dubl</w:t>
      </w:r>
      <w:r>
        <w:t>í</w:t>
      </w:r>
      <w:r w:rsidRPr="00E247A8">
        <w:t>n</w:t>
      </w:r>
      <w:r>
        <w:t>,</w:t>
      </w:r>
      <w:r w:rsidRPr="00E247A8">
        <w:t xml:space="preserve"> </w:t>
      </w:r>
      <w:r>
        <w:t>el</w:t>
      </w:r>
      <w:r w:rsidRPr="00E247A8">
        <w:t xml:space="preserve"> 24 </w:t>
      </w:r>
      <w:r>
        <w:t>de enero de</w:t>
      </w:r>
      <w:r w:rsidRPr="00E247A8">
        <w:t xml:space="preserve"> 2008. </w:t>
      </w:r>
    </w:p>
    <w:p w:rsidR="000100D5" w:rsidRPr="006B35C1" w:rsidRDefault="000100D5" w:rsidP="000100D5">
      <w:pPr>
        <w:pStyle w:val="H23G"/>
      </w:pPr>
      <w:r w:rsidRPr="00E247A8">
        <w:tab/>
      </w:r>
      <w:r w:rsidRPr="006B35C1">
        <w:t>11.</w:t>
      </w:r>
      <w:r w:rsidRPr="006B35C1">
        <w:tab/>
      </w:r>
      <w:r>
        <w:t>Día de Á</w:t>
      </w:r>
      <w:r w:rsidRPr="006B35C1">
        <w:t xml:space="preserve">frica </w:t>
      </w:r>
    </w:p>
    <w:p w:rsidR="000100D5" w:rsidRPr="00FE79EC" w:rsidRDefault="000100D5" w:rsidP="000100D5">
      <w:pPr>
        <w:pStyle w:val="SingleTxtG"/>
      </w:pPr>
      <w:r w:rsidRPr="00C85617">
        <w:t>447.</w:t>
      </w:r>
      <w:r w:rsidRPr="00C85617">
        <w:tab/>
        <w:t>En el Libro Blanco de la Ayuda Irlandesa</w:t>
      </w:r>
      <w:r>
        <w:rPr>
          <w:rStyle w:val="FootnoteReference"/>
        </w:rPr>
        <w:footnoteReference w:id="109"/>
      </w:r>
      <w:r w:rsidRPr="00C85617">
        <w:t xml:space="preserve"> figura el compromis</w:t>
      </w:r>
      <w:r>
        <w:t>o de que dich</w:t>
      </w:r>
      <w:r w:rsidRPr="00C85617">
        <w:t xml:space="preserve">a ayuda irlandesa servirá para apoyar actos celebrados en el país que </w:t>
      </w:r>
      <w:r>
        <w:t xml:space="preserve">se utilicen para </w:t>
      </w:r>
      <w:r w:rsidRPr="00C85617">
        <w:t>prom</w:t>
      </w:r>
      <w:r>
        <w:t>o</w:t>
      </w:r>
      <w:r w:rsidRPr="00C85617">
        <w:t>v</w:t>
      </w:r>
      <w:r>
        <w:t>er</w:t>
      </w:r>
      <w:r w:rsidRPr="00C85617">
        <w:t xml:space="preserve"> una comprensi</w:t>
      </w:r>
      <w:r>
        <w:t>ón más profunda de África</w:t>
      </w:r>
      <w:r w:rsidRPr="00C85617">
        <w:t xml:space="preserve">, </w:t>
      </w:r>
      <w:r>
        <w:t>e</w:t>
      </w:r>
      <w:r w:rsidRPr="00C85617">
        <w:t xml:space="preserve">n </w:t>
      </w:r>
      <w:r>
        <w:t>especial mediante la</w:t>
      </w:r>
      <w:r w:rsidRPr="00C85617">
        <w:t xml:space="preserve"> f</w:t>
      </w:r>
      <w:r>
        <w:t>inanciación de acontecimientos destinados a conmemorar el Día de</w:t>
      </w:r>
      <w:r w:rsidRPr="00C85617">
        <w:t xml:space="preserve"> </w:t>
      </w:r>
      <w:r>
        <w:t>Á</w:t>
      </w:r>
      <w:r w:rsidRPr="00C85617">
        <w:t>frica</w:t>
      </w:r>
      <w:r>
        <w:rPr>
          <w:rStyle w:val="FootnoteReference"/>
        </w:rPr>
        <w:footnoteReference w:id="110"/>
      </w:r>
      <w:r w:rsidRPr="00C85617">
        <w:t xml:space="preserve"> (25 </w:t>
      </w:r>
      <w:r>
        <w:t>de m</w:t>
      </w:r>
      <w:r w:rsidRPr="00C85617">
        <w:t>ay</w:t>
      </w:r>
      <w:r>
        <w:t>o</w:t>
      </w:r>
      <w:r w:rsidRPr="00C85617">
        <w:t xml:space="preserve">). En esos actos se subrayan los numerosos aspectos positivos del continente en términos </w:t>
      </w:r>
      <w:r>
        <w:t>de</w:t>
      </w:r>
      <w:r w:rsidRPr="00C85617">
        <w:t xml:space="preserve"> diversi</w:t>
      </w:r>
      <w:r>
        <w:t>dad</w:t>
      </w:r>
      <w:r w:rsidRPr="00C85617">
        <w:t>, histor</w:t>
      </w:r>
      <w:r>
        <w:t>ia</w:t>
      </w:r>
      <w:r w:rsidRPr="00C85617">
        <w:t>, cultur</w:t>
      </w:r>
      <w:r>
        <w:t>a y</w:t>
      </w:r>
      <w:r w:rsidRPr="00C85617">
        <w:t xml:space="preserve"> art</w:t>
      </w:r>
      <w:r>
        <w:t>e</w:t>
      </w:r>
      <w:r w:rsidRPr="00C85617">
        <w:t>, as</w:t>
      </w:r>
      <w:r>
        <w:t>í</w:t>
      </w:r>
      <w:r w:rsidRPr="00C85617">
        <w:t xml:space="preserve"> </w:t>
      </w:r>
      <w:r>
        <w:t>como sus logros</w:t>
      </w:r>
      <w:r w:rsidRPr="00C85617">
        <w:t xml:space="preserve"> econ</w:t>
      </w:r>
      <w:r>
        <w:t>ó</w:t>
      </w:r>
      <w:r w:rsidRPr="00C85617">
        <w:t>mic</w:t>
      </w:r>
      <w:r>
        <w:t>os y</w:t>
      </w:r>
      <w:r w:rsidRPr="00C85617">
        <w:t xml:space="preserve"> pol</w:t>
      </w:r>
      <w:r>
        <w:t>í</w:t>
      </w:r>
      <w:r w:rsidRPr="00C85617">
        <w:t>tic</w:t>
      </w:r>
      <w:r>
        <w:t>os</w:t>
      </w:r>
      <w:r w:rsidRPr="00C85617">
        <w:t xml:space="preserve">. </w:t>
      </w:r>
      <w:r w:rsidR="00FB2F91">
        <w:t>Los </w:t>
      </w:r>
      <w:r w:rsidRPr="00FE79EC">
        <w:t xml:space="preserve">acontecimientos ponen </w:t>
      </w:r>
      <w:r>
        <w:t>también de relieve el compromiso</w:t>
      </w:r>
      <w:r w:rsidRPr="00FE79EC">
        <w:t xml:space="preserve"> de</w:t>
      </w:r>
      <w:r>
        <w:t xml:space="preserve"> respaldar el desarrollo de</w:t>
      </w:r>
      <w:r w:rsidRPr="00FE79EC">
        <w:t xml:space="preserve"> África</w:t>
      </w:r>
      <w:r>
        <w:t>, a través del programa de Ayuda</w:t>
      </w:r>
      <w:r w:rsidRPr="00FE79EC">
        <w:t xml:space="preserve"> Ir</w:t>
      </w:r>
      <w:r>
        <w:t>landesa</w:t>
      </w:r>
      <w:r w:rsidRPr="00FE79EC">
        <w:t>.</w:t>
      </w:r>
    </w:p>
    <w:p w:rsidR="000100D5" w:rsidRPr="00FE79EC" w:rsidRDefault="000100D5" w:rsidP="000100D5">
      <w:pPr>
        <w:pStyle w:val="H23G"/>
      </w:pPr>
      <w:r w:rsidRPr="00FE79EC">
        <w:tab/>
        <w:t>12.</w:t>
      </w:r>
      <w:r w:rsidRPr="00FE79EC">
        <w:tab/>
        <w:t>Año Nuevo chino</w:t>
      </w:r>
    </w:p>
    <w:p w:rsidR="000100D5" w:rsidRPr="00C63EBD" w:rsidRDefault="000100D5" w:rsidP="000100D5">
      <w:pPr>
        <w:pStyle w:val="SingleTxtG"/>
      </w:pPr>
      <w:r w:rsidRPr="00FE79EC">
        <w:t>448.</w:t>
      </w:r>
      <w:r w:rsidRPr="00FE79EC">
        <w:tab/>
        <w:t>El Festival del Año Nuevo Chino se ha convertido en un acontecimiento anual en el calendario de la ciudad de Dub</w:t>
      </w:r>
      <w:r w:rsidR="00B64FA5">
        <w:t>lín. El Festival del Año Nuevo C</w:t>
      </w:r>
      <w:r w:rsidRPr="00FE79EC">
        <w:t xml:space="preserve">hino en Dublín, junto con el Consejo de la ciudad de Dublín ofrece un programa de actos </w:t>
      </w:r>
      <w:r>
        <w:t>dinámicos y variados para</w:t>
      </w:r>
      <w:r w:rsidRPr="00FE79EC">
        <w:t xml:space="preserve"> celebra</w:t>
      </w:r>
      <w:r w:rsidR="00B64FA5">
        <w:t>r esa efeméride</w:t>
      </w:r>
      <w:r w:rsidRPr="00FE79EC">
        <w:t xml:space="preserve">. </w:t>
      </w:r>
      <w:r>
        <w:t>Entre l</w:t>
      </w:r>
      <w:r w:rsidRPr="00C63EBD">
        <w:t xml:space="preserve">os momentos culminantes del festival de 2009 </w:t>
      </w:r>
      <w:r>
        <w:t>hay que citar</w:t>
      </w:r>
      <w:r w:rsidRPr="00C63EBD">
        <w:t xml:space="preserve"> la organización de un carnaval </w:t>
      </w:r>
      <w:r>
        <w:t>con talleres</w:t>
      </w:r>
      <w:r w:rsidRPr="00C63EBD">
        <w:t xml:space="preserve"> interactiv</w:t>
      </w:r>
      <w:r>
        <w:t>os y de artesanía</w:t>
      </w:r>
      <w:r w:rsidRPr="00C63EBD">
        <w:t xml:space="preserve">. </w:t>
      </w:r>
    </w:p>
    <w:p w:rsidR="000100D5" w:rsidRPr="00C63EBD" w:rsidRDefault="000100D5" w:rsidP="000100D5">
      <w:pPr>
        <w:pStyle w:val="SingleTxtG"/>
      </w:pPr>
      <w:r w:rsidRPr="00C63EBD">
        <w:t>449.</w:t>
      </w:r>
      <w:r w:rsidRPr="00C63EBD">
        <w:tab/>
        <w:t xml:space="preserve">Sírvanse ver la respuesta al párrafo 21 del informe del </w:t>
      </w:r>
      <w:r w:rsidR="00466CA0">
        <w:t>Coordinador encargado del seguimiento</w:t>
      </w:r>
      <w:r w:rsidRPr="00C63EBD">
        <w:t xml:space="preserve"> en la Parte II</w:t>
      </w:r>
      <w:r>
        <w:t>,</w:t>
      </w:r>
      <w:r w:rsidRPr="00C63EBD">
        <w:t xml:space="preserve"> </w:t>
      </w:r>
      <w:r>
        <w:t>a fin de</w:t>
      </w:r>
      <w:r w:rsidRPr="00C63EBD">
        <w:t xml:space="preserve"> informa</w:t>
      </w:r>
      <w:r>
        <w:t>r</w:t>
      </w:r>
      <w:r w:rsidRPr="00C63EBD">
        <w:t xml:space="preserve"> </w:t>
      </w:r>
      <w:r>
        <w:t>sobre las políticas</w:t>
      </w:r>
      <w:r w:rsidRPr="00C63EBD">
        <w:t xml:space="preserve"> ling</w:t>
      </w:r>
      <w:r>
        <w:t>üí</w:t>
      </w:r>
      <w:r w:rsidRPr="00C63EBD">
        <w:t>stic</w:t>
      </w:r>
      <w:r>
        <w:t>as</w:t>
      </w:r>
      <w:r w:rsidRPr="00C63EBD">
        <w:t xml:space="preserve"> adopt</w:t>
      </w:r>
      <w:r>
        <w:t>a</w:t>
      </w:r>
      <w:r w:rsidRPr="00C63EBD">
        <w:t>d</w:t>
      </w:r>
      <w:r>
        <w:t>as y aplicadas por el</w:t>
      </w:r>
      <w:r w:rsidRPr="00C63EBD">
        <w:t xml:space="preserve"> </w:t>
      </w:r>
      <w:r>
        <w:t>Estado</w:t>
      </w:r>
      <w:r w:rsidRPr="00C63EBD">
        <w:t xml:space="preserve"> part</w:t>
      </w:r>
      <w:r>
        <w:t>e</w:t>
      </w:r>
      <w:r w:rsidRPr="00C63EBD">
        <w:t xml:space="preserve">. </w:t>
      </w:r>
    </w:p>
    <w:p w:rsidR="000100D5" w:rsidRPr="00BB26E1" w:rsidRDefault="000100D5" w:rsidP="000100D5">
      <w:pPr>
        <w:pStyle w:val="SingleTxtG"/>
      </w:pPr>
      <w:r w:rsidRPr="00C63EBD">
        <w:t>450.</w:t>
      </w:r>
      <w:r w:rsidRPr="00C63EBD">
        <w:tab/>
        <w:t xml:space="preserve">En la actualidad, el Departamento de Educación y Ciencia gasta aproximadamente 120 millones de euros </w:t>
      </w:r>
      <w:r>
        <w:t>al</w:t>
      </w:r>
      <w:r w:rsidRPr="00C63EBD">
        <w:t xml:space="preserve"> a</w:t>
      </w:r>
      <w:r>
        <w:t>ño</w:t>
      </w:r>
      <w:r w:rsidRPr="00C63EBD">
        <w:t xml:space="preserve"> </w:t>
      </w:r>
      <w:r>
        <w:t>en</w:t>
      </w:r>
      <w:r w:rsidRPr="00C63EBD">
        <w:t xml:space="preserve"> </w:t>
      </w:r>
      <w:r>
        <w:t>apoyar el aprendizaje de idiomas en los centros de</w:t>
      </w:r>
      <w:r w:rsidRPr="00C63EBD">
        <w:t xml:space="preserve"> primar</w:t>
      </w:r>
      <w:r>
        <w:t xml:space="preserve">ia y de </w:t>
      </w:r>
      <w:r w:rsidRPr="00C63EBD">
        <w:t>se</w:t>
      </w:r>
      <w:r>
        <w:t>gu</w:t>
      </w:r>
      <w:r w:rsidRPr="00C63EBD">
        <w:t>nd</w:t>
      </w:r>
      <w:r>
        <w:t>o nivel y</w:t>
      </w:r>
      <w:r w:rsidRPr="00C63EBD">
        <w:t xml:space="preserve"> 10 millon</w:t>
      </w:r>
      <w:r>
        <w:t>es de</w:t>
      </w:r>
      <w:r w:rsidRPr="00C63EBD">
        <w:t xml:space="preserve"> euros </w:t>
      </w:r>
      <w:r>
        <w:t>en la enseñanza de idiomas a los</w:t>
      </w:r>
      <w:r w:rsidRPr="00C63EBD">
        <w:t xml:space="preserve"> adult</w:t>
      </w:r>
      <w:r>
        <w:t>o</w:t>
      </w:r>
      <w:r w:rsidRPr="00C63EBD">
        <w:t xml:space="preserve">s. </w:t>
      </w:r>
      <w:r>
        <w:t>Existen</w:t>
      </w:r>
      <w:r w:rsidRPr="00BB26E1">
        <w:t xml:space="preserve"> aproximadamente 12</w:t>
      </w:r>
      <w:r w:rsidR="00FB2F91">
        <w:t>.</w:t>
      </w:r>
      <w:r w:rsidRPr="00BB26E1">
        <w:t>500 plazas disponibles en las clases para adultos. Las academias privadas de idiomas en Irlanda ofrecen c</w:t>
      </w:r>
      <w:r>
        <w:t>lases</w:t>
      </w:r>
      <w:r w:rsidRPr="00BB26E1">
        <w:t xml:space="preserve"> que van desde el nivel </w:t>
      </w:r>
      <w:r>
        <w:t>elemental</w:t>
      </w:r>
      <w:r w:rsidRPr="00BB26E1">
        <w:t xml:space="preserve"> </w:t>
      </w:r>
      <w:r>
        <w:t>hasta los niveles que dan lugar a diplomas reconocidos</w:t>
      </w:r>
      <w:r w:rsidRPr="00BB26E1">
        <w:t xml:space="preserve"> interna</w:t>
      </w:r>
      <w:r>
        <w:t>c</w:t>
      </w:r>
      <w:r w:rsidRPr="00BB26E1">
        <w:t>ional</w:t>
      </w:r>
      <w:r>
        <w:t>mente</w:t>
      </w:r>
      <w:r w:rsidRPr="00BB26E1">
        <w:t xml:space="preserve">. </w:t>
      </w:r>
    </w:p>
    <w:p w:rsidR="000100D5" w:rsidRPr="00FD1DCA" w:rsidRDefault="000100D5" w:rsidP="000100D5">
      <w:pPr>
        <w:pStyle w:val="SingleTxtG"/>
      </w:pPr>
      <w:r w:rsidRPr="00FD1DCA">
        <w:t>451.</w:t>
      </w:r>
      <w:r w:rsidRPr="00FD1DCA">
        <w:tab/>
        <w:t xml:space="preserve">El </w:t>
      </w:r>
      <w:r w:rsidRPr="00FD1DCA">
        <w:rPr>
          <w:i/>
        </w:rPr>
        <w:t>Consejo Asesor para las Escuelas de Lengua Inglesa</w:t>
      </w:r>
      <w:r w:rsidRPr="00794204">
        <w:rPr>
          <w:rStyle w:val="FootnoteReference"/>
          <w:lang w:val="en-IE"/>
        </w:rPr>
        <w:footnoteReference w:id="111"/>
      </w:r>
      <w:r w:rsidRPr="00FD1DCA">
        <w:t xml:space="preserve"> (ACELS) supervisa las escuelas privadas de lengua inglesa en Irlanda. El Consejo Asesor tiene competencia, dentro del marco del Departamento de Educación y Ciencia, para </w:t>
      </w:r>
      <w:r>
        <w:t>fomentar</w:t>
      </w:r>
      <w:r w:rsidRPr="00FD1DCA">
        <w:t xml:space="preserve"> los niveles m</w:t>
      </w:r>
      <w:r>
        <w:t>ás altos de calidad de los servicios</w:t>
      </w:r>
      <w:r w:rsidRPr="00FD1DCA">
        <w:t xml:space="preserve"> educati</w:t>
      </w:r>
      <w:r>
        <w:t>v</w:t>
      </w:r>
      <w:r w:rsidRPr="00FD1DCA">
        <w:t>o</w:t>
      </w:r>
      <w:r>
        <w:t>s y garantizar su respeto</w:t>
      </w:r>
      <w:r w:rsidRPr="00FD1DCA">
        <w:t xml:space="preserve">. </w:t>
      </w:r>
    </w:p>
    <w:p w:rsidR="000100D5" w:rsidRPr="00ED3453" w:rsidRDefault="000100D5" w:rsidP="000100D5">
      <w:pPr>
        <w:pStyle w:val="SingleTxtG"/>
      </w:pPr>
      <w:r w:rsidRPr="00ED3453">
        <w:t>452.</w:t>
      </w:r>
      <w:r w:rsidRPr="00ED3453">
        <w:tab/>
        <w:t xml:space="preserve">Los 33 </w:t>
      </w:r>
      <w:r w:rsidRPr="00ED3453">
        <w:rPr>
          <w:i/>
        </w:rPr>
        <w:t>Comités de e</w:t>
      </w:r>
      <w:r>
        <w:rPr>
          <w:i/>
        </w:rPr>
        <w:t>ducación</w:t>
      </w:r>
      <w:r w:rsidRPr="00ED3453">
        <w:rPr>
          <w:i/>
        </w:rPr>
        <w:t xml:space="preserve"> profesional </w:t>
      </w:r>
      <w:r w:rsidRPr="00ED3453">
        <w:t>(o VEC) desempeñan un papel clave en la oferta de clases de ingl</w:t>
      </w:r>
      <w:r>
        <w:t>és</w:t>
      </w:r>
      <w:r w:rsidRPr="00ED3453">
        <w:t xml:space="preserve">. </w:t>
      </w:r>
      <w:r>
        <w:t>Algunas clases son gratuitas y en otras se cobra una pequeña cuota</w:t>
      </w:r>
      <w:r w:rsidRPr="00ED3453">
        <w:t xml:space="preserve">. </w:t>
      </w:r>
    </w:p>
    <w:p w:rsidR="000100D5" w:rsidRPr="003B47B5" w:rsidRDefault="000100D5" w:rsidP="000100D5">
      <w:pPr>
        <w:pStyle w:val="SingleTxtG"/>
      </w:pPr>
      <w:r w:rsidRPr="003B47B5">
        <w:t>453.</w:t>
      </w:r>
      <w:r w:rsidRPr="003B47B5">
        <w:tab/>
        <w:t xml:space="preserve">En el verano de 2008, el Gobierno anunció que estaba transfiriendo la responsabilidad de </w:t>
      </w:r>
      <w:r>
        <w:t>brindar</w:t>
      </w:r>
      <w:r w:rsidRPr="003B47B5">
        <w:t xml:space="preserve"> programas de enseñanza del ingl</w:t>
      </w:r>
      <w:r>
        <w:t>és a los refugiados de</w:t>
      </w:r>
      <w:r w:rsidRPr="003B47B5">
        <w:t xml:space="preserve"> Integrate Ireland Training (IILT) </w:t>
      </w:r>
      <w:r>
        <w:t>al sector de los Comités de educación profesional</w:t>
      </w:r>
      <w:r w:rsidRPr="003B47B5">
        <w:t xml:space="preserve"> (VEC). </w:t>
      </w:r>
    </w:p>
    <w:p w:rsidR="000100D5" w:rsidRPr="00FE5740" w:rsidRDefault="000100D5" w:rsidP="000100D5">
      <w:pPr>
        <w:pStyle w:val="SingleTxtG"/>
      </w:pPr>
      <w:r w:rsidRPr="003B47B5">
        <w:t>454.</w:t>
      </w:r>
      <w:r w:rsidRPr="003B47B5">
        <w:tab/>
        <w:t>Además de lo anterior, hay una serie de organizaciones no g</w:t>
      </w:r>
      <w:r>
        <w:t>ub</w:t>
      </w:r>
      <w:r w:rsidRPr="003B47B5">
        <w:t>ern</w:t>
      </w:r>
      <w:r>
        <w:t>a</w:t>
      </w:r>
      <w:r w:rsidRPr="003B47B5">
        <w:t>mental</w:t>
      </w:r>
      <w:r>
        <w:t>es</w:t>
      </w:r>
      <w:r w:rsidR="005007D6">
        <w:t xml:space="preserve"> </w:t>
      </w:r>
      <w:r w:rsidRPr="003B47B5">
        <w:t>(</w:t>
      </w:r>
      <w:r>
        <w:t>O</w:t>
      </w:r>
      <w:r w:rsidRPr="003B47B5">
        <w:t>NG)</w:t>
      </w:r>
      <w:r>
        <w:t xml:space="preserve"> y de</w:t>
      </w:r>
      <w:r w:rsidRPr="003B47B5">
        <w:t xml:space="preserve"> voluntar</w:t>
      </w:r>
      <w:r>
        <w:t>ios en</w:t>
      </w:r>
      <w:r w:rsidRPr="003B47B5">
        <w:t xml:space="preserve"> Irland</w:t>
      </w:r>
      <w:r>
        <w:t>a</w:t>
      </w:r>
      <w:r w:rsidRPr="003B47B5">
        <w:t xml:space="preserve"> </w:t>
      </w:r>
      <w:r>
        <w:t>que</w:t>
      </w:r>
      <w:r w:rsidRPr="003B47B5">
        <w:t xml:space="preserve"> ofr</w:t>
      </w:r>
      <w:r>
        <w:t>ecen clases de inglés que, en muchos casos, son gratuitas</w:t>
      </w:r>
      <w:r w:rsidRPr="003B47B5">
        <w:t xml:space="preserve">. </w:t>
      </w:r>
    </w:p>
    <w:p w:rsidR="000100D5" w:rsidRPr="006B35C1" w:rsidRDefault="000100D5" w:rsidP="000100D5">
      <w:pPr>
        <w:pStyle w:val="H23G"/>
        <w:rPr>
          <w:lang w:val="en-IE"/>
        </w:rPr>
      </w:pPr>
      <w:r w:rsidRPr="00FE5740">
        <w:tab/>
      </w:r>
      <w:r w:rsidRPr="006B35C1">
        <w:rPr>
          <w:lang w:val="en-IE"/>
        </w:rPr>
        <w:t>13.</w:t>
      </w:r>
      <w:r w:rsidRPr="006B35C1">
        <w:rPr>
          <w:lang w:val="en-IE"/>
        </w:rPr>
        <w:tab/>
      </w:r>
      <w:r>
        <w:rPr>
          <w:lang w:val="en-IE"/>
        </w:rPr>
        <w:t>Ley de radiodifusión de</w:t>
      </w:r>
      <w:r w:rsidRPr="006B35C1">
        <w:rPr>
          <w:lang w:val="en-IE"/>
        </w:rPr>
        <w:t xml:space="preserve"> 2009 </w:t>
      </w:r>
    </w:p>
    <w:p w:rsidR="000100D5" w:rsidRPr="003B47B5" w:rsidRDefault="000100D5" w:rsidP="000100D5">
      <w:pPr>
        <w:pStyle w:val="SingleTxtG"/>
      </w:pPr>
      <w:r w:rsidRPr="003B47B5">
        <w:t>455.</w:t>
      </w:r>
      <w:r w:rsidRPr="003B47B5">
        <w:tab/>
        <w:t xml:space="preserve">La Ley de radiodifusión de 2009 consolida el corpus de la legislación pertinente en Irlanda </w:t>
      </w:r>
      <w:r>
        <w:t>y</w:t>
      </w:r>
      <w:r w:rsidRPr="003B47B5">
        <w:t xml:space="preserve"> revis</w:t>
      </w:r>
      <w:r>
        <w:t>a</w:t>
      </w:r>
      <w:r w:rsidRPr="003B47B5">
        <w:t xml:space="preserve"> </w:t>
      </w:r>
      <w:r>
        <w:t xml:space="preserve">las disposiciones </w:t>
      </w:r>
      <w:r w:rsidRPr="003B47B5">
        <w:t>relati</w:t>
      </w:r>
      <w:r>
        <w:t>vas a los</w:t>
      </w:r>
      <w:r w:rsidRPr="003B47B5">
        <w:t xml:space="preserve"> servic</w:t>
      </w:r>
      <w:r>
        <w:t>io</w:t>
      </w:r>
      <w:r w:rsidRPr="003B47B5">
        <w:t xml:space="preserve">s </w:t>
      </w:r>
      <w:r>
        <w:t>y</w:t>
      </w:r>
      <w:r w:rsidRPr="003B47B5">
        <w:t xml:space="preserve"> conten</w:t>
      </w:r>
      <w:r>
        <w:t>idos generales de</w:t>
      </w:r>
      <w:r w:rsidRPr="003B47B5">
        <w:t xml:space="preserve"> </w:t>
      </w:r>
      <w:r>
        <w:t>la radiodifusión</w:t>
      </w:r>
      <w:r w:rsidRPr="003B47B5">
        <w:t xml:space="preserve">. </w:t>
      </w:r>
    </w:p>
    <w:p w:rsidR="000100D5" w:rsidRPr="007F70A4" w:rsidRDefault="000100D5" w:rsidP="000100D5">
      <w:pPr>
        <w:pStyle w:val="SingleTxtG"/>
      </w:pPr>
      <w:r w:rsidRPr="007F70A4">
        <w:t>456.</w:t>
      </w:r>
      <w:r w:rsidRPr="007F70A4">
        <w:tab/>
        <w:t>La Ley de radiodifusión de 2009 prevé, ent</w:t>
      </w:r>
      <w:r>
        <w:t>re otras cosas, que,</w:t>
      </w:r>
      <w:r w:rsidRPr="007F70A4">
        <w:t xml:space="preserve"> a través de</w:t>
      </w:r>
      <w:r>
        <w:t xml:space="preserve"> </w:t>
      </w:r>
      <w:r w:rsidRPr="007F70A4">
        <w:t>l</w:t>
      </w:r>
      <w:r>
        <w:t>a</w:t>
      </w:r>
      <w:r w:rsidRPr="007F70A4">
        <w:t xml:space="preserve"> </w:t>
      </w:r>
      <w:r>
        <w:t>Dirección</w:t>
      </w:r>
      <w:r w:rsidRPr="007F70A4">
        <w:t xml:space="preserve"> de Radiodifusi</w:t>
      </w:r>
      <w:r>
        <w:t>ón de</w:t>
      </w:r>
      <w:r w:rsidRPr="007F70A4">
        <w:t xml:space="preserve"> Irland</w:t>
      </w:r>
      <w:r>
        <w:t>a,</w:t>
      </w:r>
      <w:r w:rsidRPr="007F70A4">
        <w:t xml:space="preserve"> </w:t>
      </w:r>
      <w:r>
        <w:t>se mantendrá la regulación independiente, así como los</w:t>
      </w:r>
      <w:r w:rsidRPr="007F70A4">
        <w:t xml:space="preserve"> </w:t>
      </w:r>
      <w:r>
        <w:t>Códigos y Normas, que seguirá preparando dicha</w:t>
      </w:r>
      <w:r w:rsidRPr="007F70A4">
        <w:t xml:space="preserve"> </w:t>
      </w:r>
      <w:r>
        <w:t>Dirección, y establece también el derecho de réplica</w:t>
      </w:r>
      <w:r w:rsidRPr="007F70A4">
        <w:t xml:space="preserve">. </w:t>
      </w:r>
    </w:p>
    <w:p w:rsidR="000100D5" w:rsidRPr="00B84EE4" w:rsidRDefault="000100D5" w:rsidP="000100D5">
      <w:pPr>
        <w:pStyle w:val="H23G"/>
      </w:pPr>
      <w:r w:rsidRPr="007F70A4">
        <w:tab/>
      </w:r>
      <w:r w:rsidRPr="00B84EE4">
        <w:t>14.</w:t>
      </w:r>
      <w:r w:rsidRPr="00B84EE4">
        <w:tab/>
        <w:t xml:space="preserve">Organismo de Radiodifusión de Irlanda – </w:t>
      </w:r>
      <w:r>
        <w:t>Códigos y Normas de Radiodifusión</w:t>
      </w:r>
      <w:r w:rsidRPr="00B84EE4">
        <w:t xml:space="preserve"> </w:t>
      </w:r>
    </w:p>
    <w:p w:rsidR="000100D5" w:rsidRPr="00B84EE4" w:rsidRDefault="000100D5" w:rsidP="000100D5">
      <w:pPr>
        <w:pStyle w:val="SingleTxtG"/>
      </w:pPr>
      <w:r w:rsidRPr="00B84EE4">
        <w:t>457.</w:t>
      </w:r>
      <w:r w:rsidRPr="00B84EE4">
        <w:tab/>
        <w:t>La Ley de Radiodifusión, de 2009, revisa la legislación relati</w:t>
      </w:r>
      <w:r>
        <w:t>va a los servicios y contenidos generales de la radiodifusión</w:t>
      </w:r>
      <w:r w:rsidRPr="00B84EE4">
        <w:t xml:space="preserve">. La Ley prevé un </w:t>
      </w:r>
      <w:r>
        <w:t>n</w:t>
      </w:r>
      <w:r w:rsidRPr="00B84EE4">
        <w:t xml:space="preserve">uevo </w:t>
      </w:r>
      <w:r>
        <w:t xml:space="preserve">órgano </w:t>
      </w:r>
      <w:r w:rsidRPr="00B84EE4">
        <w:t>regulador de los contenidos de la radiodifusión, que se denominar</w:t>
      </w:r>
      <w:r>
        <w:t xml:space="preserve">á Organismo de Radiodifusión de </w:t>
      </w:r>
      <w:r w:rsidRPr="00B84EE4">
        <w:t>Irland</w:t>
      </w:r>
      <w:r>
        <w:t>a</w:t>
      </w:r>
      <w:r w:rsidRPr="00B84EE4">
        <w:t>. El Organismo realizará las actuales funciones de la Comisión de Radiodifusi</w:t>
      </w:r>
      <w:r>
        <w:t>ón de</w:t>
      </w:r>
      <w:r w:rsidRPr="00B84EE4">
        <w:t xml:space="preserve"> Irland</w:t>
      </w:r>
      <w:r>
        <w:t>a</w:t>
      </w:r>
      <w:r w:rsidRPr="00B84EE4">
        <w:t xml:space="preserve"> </w:t>
      </w:r>
      <w:r>
        <w:t>y de la Comisión de Quejas relativas a la</w:t>
      </w:r>
      <w:r w:rsidRPr="00B84EE4">
        <w:t xml:space="preserve"> </w:t>
      </w:r>
      <w:r>
        <w:t>Radiodifusión</w:t>
      </w:r>
      <w:r w:rsidRPr="00B84EE4">
        <w:t xml:space="preserve">. </w:t>
      </w:r>
    </w:p>
    <w:p w:rsidR="000100D5" w:rsidRPr="000378A7" w:rsidRDefault="000100D5" w:rsidP="000100D5">
      <w:pPr>
        <w:pStyle w:val="SingleTxtG"/>
      </w:pPr>
      <w:r w:rsidRPr="000378A7">
        <w:t>458.</w:t>
      </w:r>
      <w:r w:rsidRPr="000378A7">
        <w:tab/>
        <w:t xml:space="preserve">El Organismo de Radiodifusión de Irlanda dispone de </w:t>
      </w:r>
      <w:r>
        <w:t>un</w:t>
      </w:r>
      <w:r w:rsidRPr="000378A7">
        <w:t>a</w:t>
      </w:r>
      <w:r>
        <w:t xml:space="preserve"> serie</w:t>
      </w:r>
      <w:r w:rsidRPr="000378A7">
        <w:t xml:space="preserve"> de </w:t>
      </w:r>
      <w:r>
        <w:t>có</w:t>
      </w:r>
      <w:r w:rsidRPr="000378A7">
        <w:t>d</w:t>
      </w:r>
      <w:r>
        <w:t>igo</w:t>
      </w:r>
      <w:r w:rsidRPr="000378A7">
        <w:t>s</w:t>
      </w:r>
      <w:r>
        <w:t xml:space="preserve"> que rigen el contenido de los programas y de la publicidad en la</w:t>
      </w:r>
      <w:r w:rsidRPr="000378A7">
        <w:t xml:space="preserve"> radio </w:t>
      </w:r>
      <w:r>
        <w:t>y la</w:t>
      </w:r>
      <w:r w:rsidRPr="000378A7">
        <w:t xml:space="preserve"> televisi</w:t>
      </w:r>
      <w:r>
        <w:t>ó</w:t>
      </w:r>
      <w:r w:rsidRPr="000378A7">
        <w:t xml:space="preserve">n. </w:t>
      </w:r>
      <w:r>
        <w:t>Los principales códigos</w:t>
      </w:r>
      <w:r w:rsidRPr="000378A7">
        <w:t xml:space="preserve"> son:</w:t>
      </w:r>
    </w:p>
    <w:p w:rsidR="000100D5" w:rsidRPr="000378A7" w:rsidRDefault="000100D5" w:rsidP="000100D5">
      <w:pPr>
        <w:pStyle w:val="SingleTxtG"/>
      </w:pPr>
      <w:r>
        <w:tab/>
      </w:r>
      <w:r w:rsidRPr="000378A7">
        <w:t>i)</w:t>
      </w:r>
      <w:r w:rsidRPr="000378A7">
        <w:tab/>
        <w:t xml:space="preserve">El Código de normas de programas (10 de abril de 2007); </w:t>
      </w:r>
    </w:p>
    <w:p w:rsidR="000100D5" w:rsidRPr="000378A7" w:rsidRDefault="000100D5" w:rsidP="000100D5">
      <w:pPr>
        <w:pStyle w:val="SingleTxtG"/>
      </w:pPr>
      <w:r w:rsidRPr="000378A7">
        <w:tab/>
        <w:t>ii)</w:t>
      </w:r>
      <w:r w:rsidRPr="000378A7">
        <w:tab/>
        <w:t xml:space="preserve">El Código de publicidad de los programas infantiles (1º de enero de 2005); y </w:t>
      </w:r>
    </w:p>
    <w:p w:rsidR="000100D5" w:rsidRPr="000378A7" w:rsidRDefault="000100D5" w:rsidP="000100D5">
      <w:pPr>
        <w:pStyle w:val="SingleTxtG"/>
      </w:pPr>
      <w:r w:rsidRPr="000378A7">
        <w:tab/>
        <w:t>iii)</w:t>
      </w:r>
      <w:r w:rsidRPr="000378A7">
        <w:tab/>
        <w:t xml:space="preserve">El Código de publicidad (10 de abril de 2007). </w:t>
      </w:r>
    </w:p>
    <w:p w:rsidR="000100D5" w:rsidRPr="00194802" w:rsidRDefault="000100D5" w:rsidP="000100D5">
      <w:pPr>
        <w:pStyle w:val="SingleTxtG"/>
      </w:pPr>
      <w:r w:rsidRPr="00082998">
        <w:t>459.</w:t>
      </w:r>
      <w:r w:rsidRPr="00082998">
        <w:tab/>
        <w:t>Esos códigos prevén, entre otras cosas</w:t>
      </w:r>
      <w:r>
        <w:t>,</w:t>
      </w:r>
      <w:r w:rsidRPr="00082998">
        <w:t xml:space="preserve"> que el material utilizado</w:t>
      </w:r>
      <w:r>
        <w:t xml:space="preserve"> en los programas no podrá servi</w:t>
      </w:r>
      <w:r w:rsidRPr="00082998">
        <w:t xml:space="preserve">r para apoyar o tolerar la discriminación contra </w:t>
      </w:r>
      <w:r>
        <w:t>ninguna</w:t>
      </w:r>
      <w:r w:rsidRPr="00082998">
        <w:t xml:space="preserve"> persona o </w:t>
      </w:r>
      <w:r>
        <w:t>grupo</w:t>
      </w:r>
      <w:r w:rsidRPr="00082998">
        <w:t xml:space="preserve"> de la comunidad, </w:t>
      </w:r>
      <w:r>
        <w:t xml:space="preserve">en particular, </w:t>
      </w:r>
      <w:r w:rsidRPr="00082998">
        <w:t>por los motivos específicos de edad, género, estado civil, pertenencia a la comunidad nómada, situación familiar, orientación sexual, discapacidad, raza o religión y que en las comunicaciones comerciales no se apoyar</w:t>
      </w:r>
      <w:r>
        <w:t>á ni tolerará la</w:t>
      </w:r>
      <w:r w:rsidRPr="00082998">
        <w:t xml:space="preserve"> discrimina</w:t>
      </w:r>
      <w:r>
        <w:t>c</w:t>
      </w:r>
      <w:r w:rsidRPr="00082998">
        <w:t>i</w:t>
      </w:r>
      <w:r>
        <w:t>ón contra ninguna</w:t>
      </w:r>
      <w:r w:rsidRPr="00082998">
        <w:t xml:space="preserve"> person</w:t>
      </w:r>
      <w:r>
        <w:t>a</w:t>
      </w:r>
      <w:r w:rsidRPr="00082998">
        <w:t xml:space="preserve"> o </w:t>
      </w:r>
      <w:r>
        <w:t>grupo</w:t>
      </w:r>
      <w:r w:rsidRPr="00082998">
        <w:t xml:space="preserve"> </w:t>
      </w:r>
      <w:r>
        <w:t>de la</w:t>
      </w:r>
      <w:r w:rsidRPr="00082998">
        <w:t xml:space="preserve"> comuni</w:t>
      </w:r>
      <w:r>
        <w:t>dad</w:t>
      </w:r>
      <w:r w:rsidRPr="00082998">
        <w:t xml:space="preserve">, </w:t>
      </w:r>
      <w:r>
        <w:t>en especial</w:t>
      </w:r>
      <w:r w:rsidRPr="00082998">
        <w:t xml:space="preserve"> </w:t>
      </w:r>
      <w:r>
        <w:t>por motivos de edad</w:t>
      </w:r>
      <w:r w:rsidRPr="00082998">
        <w:t>, g</w:t>
      </w:r>
      <w:r>
        <w:t>é</w:t>
      </w:r>
      <w:r w:rsidRPr="00082998">
        <w:t>ner</w:t>
      </w:r>
      <w:r>
        <w:t>o</w:t>
      </w:r>
      <w:r w:rsidRPr="00082998">
        <w:t xml:space="preserve">, </w:t>
      </w:r>
      <w:r>
        <w:t>estado civil</w:t>
      </w:r>
      <w:r w:rsidRPr="00082998">
        <w:t xml:space="preserve">, </w:t>
      </w:r>
      <w:r>
        <w:t>pertenencia a la comunidad nómada</w:t>
      </w:r>
      <w:r w:rsidRPr="00082998">
        <w:t xml:space="preserve">, </w:t>
      </w:r>
      <w:r>
        <w:t xml:space="preserve">situación </w:t>
      </w:r>
      <w:r w:rsidRPr="00082998">
        <w:t>famil</w:t>
      </w:r>
      <w:r>
        <w:t>iar</w:t>
      </w:r>
      <w:r w:rsidRPr="00082998">
        <w:t>, orienta</w:t>
      </w:r>
      <w:r>
        <w:t>c</w:t>
      </w:r>
      <w:r w:rsidRPr="00082998">
        <w:t>i</w:t>
      </w:r>
      <w:r>
        <w:t>ó</w:t>
      </w:r>
      <w:r w:rsidRPr="00082998">
        <w:t>n</w:t>
      </w:r>
      <w:r>
        <w:t xml:space="preserve"> sexual</w:t>
      </w:r>
      <w:r w:rsidRPr="00082998">
        <w:t>, dis</w:t>
      </w:r>
      <w:r>
        <w:t>c</w:t>
      </w:r>
      <w:r w:rsidRPr="00082998">
        <w:t>a</w:t>
      </w:r>
      <w:r>
        <w:t>pacidad</w:t>
      </w:r>
      <w:r w:rsidRPr="00082998">
        <w:t>, ra</w:t>
      </w:r>
      <w:r>
        <w:t>za</w:t>
      </w:r>
      <w:r w:rsidRPr="00082998">
        <w:t xml:space="preserve"> o religi</w:t>
      </w:r>
      <w:r>
        <w:t>ón</w:t>
      </w:r>
      <w:r w:rsidRPr="00082998">
        <w:t xml:space="preserve"> </w:t>
      </w:r>
      <w:r>
        <w:t>y que la publicidad en los programas infantiles</w:t>
      </w:r>
      <w:r w:rsidRPr="00082998">
        <w:t xml:space="preserve"> no refle</w:t>
      </w:r>
      <w:r>
        <w:t>jará una gama de</w:t>
      </w:r>
      <w:r w:rsidRPr="00082998">
        <w:t xml:space="preserve"> val</w:t>
      </w:r>
      <w:r>
        <w:t>or</w:t>
      </w:r>
      <w:r w:rsidRPr="00082998">
        <w:t xml:space="preserve">es </w:t>
      </w:r>
      <w:r>
        <w:t xml:space="preserve">que no esté en consonancia con la moral o las normas éticas o la </w:t>
      </w:r>
      <w:r w:rsidRPr="00082998">
        <w:t>diversi</w:t>
      </w:r>
      <w:r>
        <w:t>dad de la sociedad irlandesa</w:t>
      </w:r>
      <w:r w:rsidRPr="00082998">
        <w:t xml:space="preserve"> contempor</w:t>
      </w:r>
      <w:r>
        <w:t>áne</w:t>
      </w:r>
      <w:r w:rsidRPr="00082998">
        <w:t xml:space="preserve">a. </w:t>
      </w:r>
      <w:r w:rsidRPr="00194802">
        <w:t>Respet</w:t>
      </w:r>
      <w:r>
        <w:t>ará</w:t>
      </w:r>
      <w:r w:rsidRPr="00194802">
        <w:t xml:space="preserve"> la dignidad humana y no discriminará por</w:t>
      </w:r>
      <w:r>
        <w:t xml:space="preserve"> </w:t>
      </w:r>
      <w:r w:rsidRPr="00194802">
        <w:t xml:space="preserve">motivos de género, </w:t>
      </w:r>
      <w:r>
        <w:t>estado civil</w:t>
      </w:r>
      <w:r w:rsidRPr="00194802">
        <w:t xml:space="preserve">, </w:t>
      </w:r>
      <w:r>
        <w:t xml:space="preserve">situación </w:t>
      </w:r>
      <w:r w:rsidRPr="00194802">
        <w:t>famil</w:t>
      </w:r>
      <w:r>
        <w:t>iar</w:t>
      </w:r>
      <w:r w:rsidRPr="00194802">
        <w:t>, orienta</w:t>
      </w:r>
      <w:r>
        <w:t>c</w:t>
      </w:r>
      <w:r w:rsidRPr="00194802">
        <w:t>i</w:t>
      </w:r>
      <w:r>
        <w:t>ó</w:t>
      </w:r>
      <w:r w:rsidRPr="00194802">
        <w:t>n</w:t>
      </w:r>
      <w:r>
        <w:t xml:space="preserve"> sexual</w:t>
      </w:r>
      <w:r w:rsidRPr="00194802">
        <w:t>, religi</w:t>
      </w:r>
      <w:r>
        <w:t>ó</w:t>
      </w:r>
      <w:r w:rsidRPr="00194802">
        <w:t xml:space="preserve">n, </w:t>
      </w:r>
      <w:r>
        <w:t>edad</w:t>
      </w:r>
      <w:r w:rsidRPr="00194802">
        <w:t>, dis</w:t>
      </w:r>
      <w:r>
        <w:t>c</w:t>
      </w:r>
      <w:r w:rsidRPr="00194802">
        <w:t>a</w:t>
      </w:r>
      <w:r>
        <w:t>pacidad</w:t>
      </w:r>
      <w:r w:rsidRPr="00194802">
        <w:t>, ra</w:t>
      </w:r>
      <w:r>
        <w:t>za</w:t>
      </w:r>
      <w:r w:rsidRPr="00194802">
        <w:t xml:space="preserve"> o </w:t>
      </w:r>
      <w:r>
        <w:t>pertenencia a la</w:t>
      </w:r>
      <w:r w:rsidRPr="00194802">
        <w:t xml:space="preserve"> comuni</w:t>
      </w:r>
      <w:r>
        <w:t>dad nómada.</w:t>
      </w:r>
      <w:r w:rsidRPr="00194802">
        <w:t xml:space="preserve"> No </w:t>
      </w:r>
      <w:r>
        <w:t>será</w:t>
      </w:r>
      <w:r w:rsidRPr="00194802">
        <w:t xml:space="preserve"> tampoco</w:t>
      </w:r>
      <w:r w:rsidR="005007D6">
        <w:t xml:space="preserve"> </w:t>
      </w:r>
      <w:r w:rsidRPr="00194802">
        <w:t xml:space="preserve">ofensiva </w:t>
      </w:r>
      <w:r>
        <w:t xml:space="preserve">para </w:t>
      </w:r>
      <w:r w:rsidRPr="00194802">
        <w:t>las creencias religiosas o políticas ni alentar</w:t>
      </w:r>
      <w:r>
        <w:t>á comportamientos que perjudiquen al medio ambiente</w:t>
      </w:r>
      <w:r w:rsidRPr="00194802">
        <w:t xml:space="preserve">. Respetará el principio de igualdad y evitará los estereotipos sexuales y </w:t>
      </w:r>
      <w:r>
        <w:t xml:space="preserve">cualquier tipo de </w:t>
      </w:r>
      <w:r w:rsidRPr="00194802">
        <w:t>explota</w:t>
      </w:r>
      <w:r>
        <w:t>c</w:t>
      </w:r>
      <w:r w:rsidRPr="00194802">
        <w:t>i</w:t>
      </w:r>
      <w:r>
        <w:t>ó</w:t>
      </w:r>
      <w:r w:rsidRPr="00194802">
        <w:t xml:space="preserve">n o </w:t>
      </w:r>
      <w:r>
        <w:t xml:space="preserve">actitud denigratoria </w:t>
      </w:r>
      <w:r w:rsidRPr="00194802">
        <w:t>de</w:t>
      </w:r>
      <w:r>
        <w:t xml:space="preserve"> hombres,</w:t>
      </w:r>
      <w:r w:rsidRPr="00194802">
        <w:t xml:space="preserve"> </w:t>
      </w:r>
      <w:r>
        <w:t>mujeres o</w:t>
      </w:r>
      <w:r w:rsidRPr="00194802">
        <w:t xml:space="preserve"> </w:t>
      </w:r>
      <w:r>
        <w:t>niños</w:t>
      </w:r>
      <w:r w:rsidRPr="00194802">
        <w:t>.</w:t>
      </w:r>
    </w:p>
    <w:p w:rsidR="000100D5" w:rsidRDefault="000100D5" w:rsidP="000100D5">
      <w:pPr>
        <w:pStyle w:val="H23G"/>
      </w:pPr>
      <w:r w:rsidRPr="00194802">
        <w:tab/>
      </w:r>
      <w:r w:rsidRPr="009B146A">
        <w:t>15.</w:t>
      </w:r>
      <w:r w:rsidRPr="009B146A">
        <w:tab/>
        <w:t xml:space="preserve">Dirección de Radiodifusión de Irlanda – </w:t>
      </w:r>
      <w:r>
        <w:t>Plan de Financiación de la Radiodifusión</w:t>
      </w:r>
    </w:p>
    <w:p w:rsidR="000100D5" w:rsidRPr="00C231B8" w:rsidRDefault="000100D5" w:rsidP="008839F8">
      <w:pPr>
        <w:pStyle w:val="SingleTxtG"/>
      </w:pPr>
      <w:r w:rsidRPr="009B146A">
        <w:t>460.</w:t>
      </w:r>
      <w:r w:rsidRPr="009B146A">
        <w:tab/>
        <w:t>El objetivo del Plan de Financiación de la Radiodifusión consiste en alentar a las entidades de radiodifusi</w:t>
      </w:r>
      <w:r>
        <w:t xml:space="preserve">ón, tanto privadas como públicas, a incluir programas adicionales de unas características determinadas en sus planes de programación. </w:t>
      </w:r>
      <w:r w:rsidRPr="009B146A">
        <w:t>El Plan puede utilizarse para respaldar la elaboración de programas suplementarios sobre la cultura, el patrimonio y la experiencia de Irlanda</w:t>
      </w:r>
      <w:r>
        <w:t>, programas destinados a mejorar el nivel de alfabetización de los adultos y programas en irlandés</w:t>
      </w:r>
      <w:r w:rsidRPr="009B146A">
        <w:t xml:space="preserve">. </w:t>
      </w:r>
      <w:r w:rsidRPr="00C231B8">
        <w:t xml:space="preserve">Fomenta la programación tanto a nivel comunitario como a nivel nacional </w:t>
      </w:r>
      <w:r>
        <w:t>de</w:t>
      </w:r>
      <w:r w:rsidRPr="00C231B8">
        <w:t xml:space="preserve"> una serie de temas</w:t>
      </w:r>
      <w:r>
        <w:t>, desde programas destinados a enseñar el inglés a los no nacionales hasta documentales dirigidos a promover un mejor entendimiento de las culturas minoritarias, incluidos programas sobre las comunidades islámicas en Irlanda, documentales sobre la historia de la inmigración al Estado parte, programas relacionados con las historias de los inmigrantes a Irlanda, centrados en la experiencia de las inmigrantes y otros sobre la experiencia de los emigrantes irlandeses que han vuelto a su país.</w:t>
      </w:r>
      <w:r w:rsidR="005007D6">
        <w:t xml:space="preserve"> </w:t>
      </w:r>
    </w:p>
    <w:p w:rsidR="000100D5" w:rsidRPr="00CA71F3" w:rsidRDefault="000100D5" w:rsidP="000100D5">
      <w:pPr>
        <w:pStyle w:val="SingleTxtG"/>
      </w:pPr>
      <w:r w:rsidRPr="00CA71F3">
        <w:t>461.</w:t>
      </w:r>
      <w:r w:rsidRPr="00CA71F3">
        <w:tab/>
        <w:t>El Plan está abierto a las entidades de radiodifusi</w:t>
      </w:r>
      <w:r>
        <w:t>ón y a los productores independientes</w:t>
      </w:r>
      <w:r w:rsidRPr="00CA71F3">
        <w:t>. Aunque el Plan actual</w:t>
      </w:r>
      <w:r>
        <w:t xml:space="preserve"> </w:t>
      </w:r>
      <w:r w:rsidRPr="00CA71F3">
        <w:t>caduca a finales de 2009, se ha solicitado el consentimiento de la Comisión Europea para prorrogar</w:t>
      </w:r>
      <w:r>
        <w:t>lo</w:t>
      </w:r>
      <w:r w:rsidRPr="00CA71F3">
        <w:t xml:space="preserve"> por un </w:t>
      </w:r>
      <w:r>
        <w:t>n</w:t>
      </w:r>
      <w:r w:rsidRPr="00CA71F3">
        <w:t>uevo per</w:t>
      </w:r>
      <w:r>
        <w:t>íodo</w:t>
      </w:r>
      <w:r w:rsidRPr="00CA71F3">
        <w:t xml:space="preserve"> </w:t>
      </w:r>
      <w:r>
        <w:t>y se espera que la Comisión adopte una decisión oficial antes de finales de</w:t>
      </w:r>
      <w:r w:rsidRPr="00CA71F3">
        <w:t xml:space="preserve"> 2009.</w:t>
      </w:r>
    </w:p>
    <w:p w:rsidR="000100D5" w:rsidRPr="004546A6" w:rsidRDefault="000100D5" w:rsidP="000100D5">
      <w:pPr>
        <w:pStyle w:val="H23G"/>
      </w:pPr>
      <w:r w:rsidRPr="00CA71F3">
        <w:tab/>
      </w:r>
      <w:r w:rsidRPr="004546A6">
        <w:t>16.</w:t>
      </w:r>
      <w:r w:rsidRPr="004546A6">
        <w:tab/>
        <w:t>Carta del Servicio Público de Radiodifusi</w:t>
      </w:r>
      <w:r>
        <w:t>ón</w:t>
      </w:r>
      <w:r w:rsidRPr="004546A6">
        <w:t xml:space="preserve"> </w:t>
      </w:r>
    </w:p>
    <w:p w:rsidR="000100D5" w:rsidRPr="006E3BF7" w:rsidRDefault="000100D5" w:rsidP="000100D5">
      <w:pPr>
        <w:pStyle w:val="SingleTxtG"/>
      </w:pPr>
      <w:r w:rsidRPr="004546A6">
        <w:t>462.</w:t>
      </w:r>
      <w:r w:rsidRPr="004546A6">
        <w:tab/>
        <w:t>Entre el</w:t>
      </w:r>
      <w:r>
        <w:t xml:space="preserve"> </w:t>
      </w:r>
      <w:r w:rsidRPr="004546A6">
        <w:t>co</w:t>
      </w:r>
      <w:r>
        <w:t>n</w:t>
      </w:r>
      <w:r w:rsidRPr="004546A6">
        <w:t>junto de medidas a</w:t>
      </w:r>
      <w:r>
        <w:t>doptadas</w:t>
      </w:r>
      <w:r w:rsidRPr="004546A6">
        <w:t xml:space="preserve"> en diciembre de 2002, en el contexto de </w:t>
      </w:r>
      <w:r>
        <w:t>l</w:t>
      </w:r>
      <w:r w:rsidRPr="004546A6">
        <w:t>a</w:t>
      </w:r>
      <w:r w:rsidR="005007D6">
        <w:t xml:space="preserve"> </w:t>
      </w:r>
      <w:r w:rsidRPr="004546A6">
        <w:t>decisi</w:t>
      </w:r>
      <w:r>
        <w:t>ó</w:t>
      </w:r>
      <w:r w:rsidRPr="004546A6">
        <w:t>n de incrementar la tarifa</w:t>
      </w:r>
      <w:r>
        <w:t xml:space="preserve"> de la licencia de</w:t>
      </w:r>
      <w:r w:rsidRPr="004546A6">
        <w:t xml:space="preserve"> televisi</w:t>
      </w:r>
      <w:r>
        <w:t>ó</w:t>
      </w:r>
      <w:r w:rsidRPr="004546A6">
        <w:t xml:space="preserve">n, </w:t>
      </w:r>
      <w:r>
        <w:t>se acordó que</w:t>
      </w:r>
      <w:r w:rsidRPr="004546A6">
        <w:t xml:space="preserve"> Radio Teilifís Éireann (RTE), </w:t>
      </w:r>
      <w:r>
        <w:t>la entidad nacional de servicio</w:t>
      </w:r>
      <w:r w:rsidRPr="004546A6">
        <w:t xml:space="preserve"> p</w:t>
      </w:r>
      <w:r>
        <w:t>ú</w:t>
      </w:r>
      <w:r w:rsidRPr="004546A6">
        <w:t>blic</w:t>
      </w:r>
      <w:r>
        <w:t>o de radiodifusión, se dotaría de una Carta del Servicio</w:t>
      </w:r>
      <w:r w:rsidRPr="004546A6">
        <w:t xml:space="preserve"> P</w:t>
      </w:r>
      <w:r>
        <w:t>ú</w:t>
      </w:r>
      <w:r w:rsidRPr="004546A6">
        <w:t>blic</w:t>
      </w:r>
      <w:r>
        <w:t>o de Radiodifusión</w:t>
      </w:r>
      <w:r w:rsidRPr="004546A6">
        <w:t xml:space="preserve">. La Carta fija las obligaciones establecidas por la legislación </w:t>
      </w:r>
      <w:r>
        <w:t xml:space="preserve">nacional y </w:t>
      </w:r>
      <w:r w:rsidRPr="004546A6">
        <w:t>de la UE</w:t>
      </w:r>
      <w:r>
        <w:t xml:space="preserve"> </w:t>
      </w:r>
      <w:r w:rsidRPr="004546A6">
        <w:t>que debe asumir la RTE</w:t>
      </w:r>
      <w:r>
        <w:t xml:space="preserve"> y enuncia los compromisos formulados por la entidad, en términos de prestación de servicios y de rendición de cuentas.</w:t>
      </w:r>
      <w:r w:rsidR="005007D6">
        <w:t xml:space="preserve"> </w:t>
      </w:r>
      <w:r w:rsidRPr="006E3BF7">
        <w:t xml:space="preserve">Antes de finales de 2009 concluirá la </w:t>
      </w:r>
      <w:r w:rsidR="005C4174">
        <w:t>revisión</w:t>
      </w:r>
      <w:r>
        <w:t xml:space="preserve"> de la C</w:t>
      </w:r>
      <w:r w:rsidRPr="006E3BF7">
        <w:t>arta del Servicio Públic</w:t>
      </w:r>
      <w:r>
        <w:t>o de R</w:t>
      </w:r>
      <w:r w:rsidRPr="006E3BF7">
        <w:t>adiodifusi</w:t>
      </w:r>
      <w:r>
        <w:t>ón</w:t>
      </w:r>
      <w:r w:rsidRPr="006E3BF7">
        <w:t xml:space="preserve">. </w:t>
      </w:r>
    </w:p>
    <w:p w:rsidR="000100D5" w:rsidRPr="00947214" w:rsidRDefault="000100D5" w:rsidP="000100D5">
      <w:pPr>
        <w:pStyle w:val="SingleTxtG"/>
      </w:pPr>
      <w:r w:rsidRPr="00C50D93">
        <w:t>463.</w:t>
      </w:r>
      <w:r w:rsidRPr="00C50D93">
        <w:tab/>
        <w:t xml:space="preserve">El objetivo de muchas de las iniciativas respaldadas por el Departamento de Comunicaciones, Energía y Recursos Naturales a nivel europeo </w:t>
      </w:r>
      <w:r>
        <w:t>reside en fomentar entre sus habitantes la importancia de sentirse ciudadanos de una</w:t>
      </w:r>
      <w:r w:rsidRPr="00C50D93">
        <w:t xml:space="preserve"> </w:t>
      </w:r>
      <w:r>
        <w:t>E</w:t>
      </w:r>
      <w:r w:rsidRPr="00C50D93">
        <w:t xml:space="preserve">uropa </w:t>
      </w:r>
      <w:r>
        <w:t>abierta al mundo,</w:t>
      </w:r>
      <w:r w:rsidRPr="00C50D93">
        <w:t xml:space="preserve"> respetu</w:t>
      </w:r>
      <w:r>
        <w:t>osa de la</w:t>
      </w:r>
      <w:r w:rsidRPr="00C50D93">
        <w:t xml:space="preserve"> </w:t>
      </w:r>
      <w:r>
        <w:t>diversidad</w:t>
      </w:r>
      <w:r w:rsidRPr="00C50D93">
        <w:t xml:space="preserve"> cultural </w:t>
      </w:r>
      <w:r>
        <w:t>y basada en valores</w:t>
      </w:r>
      <w:r w:rsidRPr="00C50D93">
        <w:t xml:space="preserve"> com</w:t>
      </w:r>
      <w:r>
        <w:t>unes</w:t>
      </w:r>
      <w:r w:rsidRPr="00C50D93">
        <w:t xml:space="preserve">. </w:t>
      </w:r>
      <w:r>
        <w:t>Entre esas</w:t>
      </w:r>
      <w:r w:rsidRPr="00947214">
        <w:t xml:space="preserve"> iniciativas figura</w:t>
      </w:r>
      <w:r>
        <w:t>n</w:t>
      </w:r>
      <w:r w:rsidRPr="00947214">
        <w:t xml:space="preserve"> la Directiva de </w:t>
      </w:r>
      <w:r>
        <w:t>s</w:t>
      </w:r>
      <w:r w:rsidRPr="00947214">
        <w:t xml:space="preserve">ervicios de </w:t>
      </w:r>
      <w:r>
        <w:t>comunicación</w:t>
      </w:r>
      <w:r w:rsidRPr="00947214">
        <w:t xml:space="preserve"> </w:t>
      </w:r>
      <w:r>
        <w:t>a</w:t>
      </w:r>
      <w:r w:rsidRPr="00947214">
        <w:t>udiovisual de la UE</w:t>
      </w:r>
      <w:r>
        <w:rPr>
          <w:rStyle w:val="FootnoteReference"/>
        </w:rPr>
        <w:footnoteReference w:id="112"/>
      </w:r>
      <w:r w:rsidR="00F87AE7">
        <w:t>,</w:t>
      </w:r>
      <w:r w:rsidRPr="00947214">
        <w:t xml:space="preserve"> el</w:t>
      </w:r>
      <w:r>
        <w:t xml:space="preserve"> </w:t>
      </w:r>
      <w:r w:rsidRPr="00947214">
        <w:t>diseño</w:t>
      </w:r>
      <w:r>
        <w:t xml:space="preserve"> de acontecimientos a gran escala, la</w:t>
      </w:r>
      <w:r w:rsidRPr="00947214">
        <w:t xml:space="preserve"> protec</w:t>
      </w:r>
      <w:r>
        <w:t>c</w:t>
      </w:r>
      <w:r w:rsidRPr="00947214">
        <w:t>i</w:t>
      </w:r>
      <w:r>
        <w:t>ó</w:t>
      </w:r>
      <w:r w:rsidRPr="00947214">
        <w:t xml:space="preserve">n </w:t>
      </w:r>
      <w:r>
        <w:t>de</w:t>
      </w:r>
      <w:r w:rsidRPr="00947214">
        <w:t xml:space="preserve"> m</w:t>
      </w:r>
      <w:r>
        <w:t>e</w:t>
      </w:r>
      <w:r w:rsidRPr="00947214">
        <w:t>nor</w:t>
      </w:r>
      <w:r>
        <w:t>e</w:t>
      </w:r>
      <w:r w:rsidRPr="00947214">
        <w:t xml:space="preserve">s </w:t>
      </w:r>
      <w:r>
        <w:t>y el establecimiento del derecho de réplica</w:t>
      </w:r>
      <w:r w:rsidRPr="00947214">
        <w:t xml:space="preserve">. </w:t>
      </w:r>
    </w:p>
    <w:p w:rsidR="000100D5" w:rsidRPr="00947214" w:rsidRDefault="000100D5" w:rsidP="000100D5">
      <w:pPr>
        <w:pStyle w:val="SingleTxtG"/>
      </w:pPr>
      <w:r w:rsidRPr="00947214">
        <w:t>464.</w:t>
      </w:r>
      <w:r w:rsidRPr="00947214">
        <w:tab/>
        <w:t xml:space="preserve">Como parte del Año del Diálogo Intercultural de la UE, 2008, la RTE dotó a la Semana Intercultural y contra el Racismo de 2008 (del 7 al 14 de abril) de una amplia serie de programas que ponen de relieve y promueven el </w:t>
      </w:r>
      <w:r>
        <w:t>multi</w:t>
      </w:r>
      <w:r w:rsidRPr="00947214">
        <w:t>culturalismo</w:t>
      </w:r>
      <w:r>
        <w:t xml:space="preserve"> en la sociedad irlandesa e</w:t>
      </w:r>
      <w:r w:rsidRPr="00947214">
        <w:t xml:space="preserve">n </w:t>
      </w:r>
      <w:r>
        <w:t xml:space="preserve">la </w:t>
      </w:r>
      <w:r w:rsidRPr="00947214">
        <w:t>televisi</w:t>
      </w:r>
      <w:r>
        <w:t>ó</w:t>
      </w:r>
      <w:r w:rsidRPr="00947214">
        <w:t xml:space="preserve">n, </w:t>
      </w:r>
      <w:r>
        <w:t xml:space="preserve">la </w:t>
      </w:r>
      <w:r w:rsidRPr="00947214">
        <w:t xml:space="preserve">radio </w:t>
      </w:r>
      <w:r>
        <w:t>y en su sitio</w:t>
      </w:r>
      <w:r w:rsidRPr="00947214">
        <w:t xml:space="preserve"> web</w:t>
      </w:r>
      <w:r>
        <w:t>:</w:t>
      </w:r>
      <w:r w:rsidRPr="00947214">
        <w:t xml:space="preserve"> www.rte.ie. </w:t>
      </w:r>
      <w:r>
        <w:t>Entre los p</w:t>
      </w:r>
      <w:r w:rsidRPr="00947214">
        <w:t>rogram</w:t>
      </w:r>
      <w:r>
        <w:t>a</w:t>
      </w:r>
      <w:r w:rsidRPr="00947214">
        <w:t xml:space="preserve">s </w:t>
      </w:r>
      <w:r>
        <w:t>cabe mencionar unos documentales de</w:t>
      </w:r>
      <w:r w:rsidRPr="00947214">
        <w:t xml:space="preserve"> televisi</w:t>
      </w:r>
      <w:r>
        <w:t>ó</w:t>
      </w:r>
      <w:r w:rsidRPr="00947214">
        <w:t>n tit</w:t>
      </w:r>
      <w:r>
        <w:t>u</w:t>
      </w:r>
      <w:r w:rsidRPr="00947214">
        <w:t>l</w:t>
      </w:r>
      <w:r>
        <w:t>a</w:t>
      </w:r>
      <w:r w:rsidRPr="00947214">
        <w:t>d</w:t>
      </w:r>
      <w:r>
        <w:t>os</w:t>
      </w:r>
      <w:r w:rsidRPr="00947214">
        <w:t xml:space="preserve">, </w:t>
      </w:r>
      <w:r w:rsidR="00C67360">
        <w:t>"</w:t>
      </w:r>
      <w:r>
        <w:t>Al oeste de la</w:t>
      </w:r>
      <w:r w:rsidRPr="00947214">
        <w:t xml:space="preserve"> Meca</w:t>
      </w:r>
      <w:r w:rsidR="00C67360">
        <w:t>"</w:t>
      </w:r>
      <w:r w:rsidRPr="00947214">
        <w:t xml:space="preserve">, </w:t>
      </w:r>
      <w:r w:rsidR="00C67360">
        <w:t>"</w:t>
      </w:r>
      <w:r>
        <w:t>Aquí para quedarse</w:t>
      </w:r>
      <w:r w:rsidR="00C67360">
        <w:t>"</w:t>
      </w:r>
      <w:r w:rsidRPr="00947214">
        <w:t xml:space="preserve"> </w:t>
      </w:r>
      <w:r>
        <w:t xml:space="preserve">y </w:t>
      </w:r>
      <w:r w:rsidR="00C67360">
        <w:t>"</w:t>
      </w:r>
      <w:r>
        <w:t>Bienvenidos a</w:t>
      </w:r>
      <w:r w:rsidRPr="00947214">
        <w:t xml:space="preserve"> Europ</w:t>
      </w:r>
      <w:r>
        <w:t>a</w:t>
      </w:r>
      <w:r w:rsidR="00C67360">
        <w:t>"</w:t>
      </w:r>
      <w:r>
        <w:t>,</w:t>
      </w:r>
      <w:r w:rsidRPr="00947214">
        <w:t xml:space="preserve"> </w:t>
      </w:r>
      <w:r>
        <w:t>que analizan</w:t>
      </w:r>
      <w:r w:rsidRPr="00947214">
        <w:t xml:space="preserve"> diferent</w:t>
      </w:r>
      <w:r>
        <w:t>es</w:t>
      </w:r>
      <w:r w:rsidRPr="00947214">
        <w:t xml:space="preserve"> aspect</w:t>
      </w:r>
      <w:r>
        <w:t>o</w:t>
      </w:r>
      <w:r w:rsidRPr="00947214">
        <w:t xml:space="preserve">s </w:t>
      </w:r>
      <w:r>
        <w:t>de la</w:t>
      </w:r>
      <w:r w:rsidRPr="00947214">
        <w:t xml:space="preserve"> migra</w:t>
      </w:r>
      <w:r>
        <w:t>c</w:t>
      </w:r>
      <w:r w:rsidRPr="00947214">
        <w:t>i</w:t>
      </w:r>
      <w:r>
        <w:t>ó</w:t>
      </w:r>
      <w:r w:rsidRPr="00947214">
        <w:t xml:space="preserve">n </w:t>
      </w:r>
      <w:r>
        <w:t>y la diversidad</w:t>
      </w:r>
      <w:r w:rsidRPr="00947214">
        <w:t xml:space="preserve"> cultural. </w:t>
      </w:r>
    </w:p>
    <w:p w:rsidR="000100D5" w:rsidRPr="000C4CFA" w:rsidRDefault="000100D5" w:rsidP="000100D5">
      <w:pPr>
        <w:pStyle w:val="H23G"/>
      </w:pPr>
      <w:r w:rsidRPr="00947214">
        <w:tab/>
      </w:r>
      <w:r w:rsidRPr="000C4CFA">
        <w:t>17.</w:t>
      </w:r>
      <w:r w:rsidRPr="000C4CFA">
        <w:tab/>
        <w:t>Premios multiculturales y para los medios de comunicaci</w:t>
      </w:r>
      <w:r>
        <w:t>ón</w:t>
      </w:r>
      <w:r w:rsidR="005007D6">
        <w:t xml:space="preserve"> </w:t>
      </w:r>
      <w:r>
        <w:t xml:space="preserve">Metro Éireann </w:t>
      </w:r>
      <w:r w:rsidRPr="000C4CFA">
        <w:t>(MAMA)</w:t>
      </w:r>
      <w:r w:rsidRPr="00B245EF">
        <w:rPr>
          <w:rStyle w:val="FootnoteReference"/>
          <w:b w:val="0"/>
        </w:rPr>
        <w:footnoteReference w:id="113"/>
      </w:r>
    </w:p>
    <w:p w:rsidR="000100D5" w:rsidRPr="000C4CFA" w:rsidRDefault="000100D5" w:rsidP="000100D5">
      <w:pPr>
        <w:pStyle w:val="SingleTxtG"/>
      </w:pPr>
      <w:r w:rsidRPr="000C4CFA">
        <w:t>465.</w:t>
      </w:r>
      <w:r w:rsidRPr="000C4CFA">
        <w:tab/>
        <w:t>Los premios anuales MAMA celebran las aportaciones de irlandeses y no irlandeses al fomento de la integra</w:t>
      </w:r>
      <w:r>
        <w:t>c</w:t>
      </w:r>
      <w:r w:rsidRPr="000C4CFA">
        <w:t>i</w:t>
      </w:r>
      <w:r>
        <w:t>ó</w:t>
      </w:r>
      <w:r w:rsidRPr="000C4CFA">
        <w:t xml:space="preserve">n </w:t>
      </w:r>
      <w:r>
        <w:t>y el entendimiento</w:t>
      </w:r>
      <w:r w:rsidRPr="000C4CFA">
        <w:t xml:space="preserve"> </w:t>
      </w:r>
      <w:r>
        <w:t>inter</w:t>
      </w:r>
      <w:r w:rsidRPr="000C4CFA">
        <w:t>cultural</w:t>
      </w:r>
      <w:r>
        <w:t xml:space="preserve"> en</w:t>
      </w:r>
      <w:r w:rsidRPr="000C4CFA">
        <w:t xml:space="preserve"> Irland</w:t>
      </w:r>
      <w:r>
        <w:t>a</w:t>
      </w:r>
      <w:r w:rsidRPr="000C4CFA">
        <w:t xml:space="preserve"> </w:t>
      </w:r>
      <w:r>
        <w:t>entre el n</w:t>
      </w:r>
      <w:r w:rsidRPr="000C4CFA">
        <w:t>ort</w:t>
      </w:r>
      <w:r>
        <w:t>e y el</w:t>
      </w:r>
      <w:r w:rsidRPr="000C4CFA">
        <w:t xml:space="preserve"> </w:t>
      </w:r>
      <w:r>
        <w:t>sur.</w:t>
      </w:r>
      <w:r w:rsidRPr="000C4CFA">
        <w:t xml:space="preserve"> </w:t>
      </w:r>
    </w:p>
    <w:p w:rsidR="000100D5" w:rsidRPr="00F4585A" w:rsidRDefault="000100D5" w:rsidP="000100D5">
      <w:pPr>
        <w:pStyle w:val="SingleTxtG"/>
      </w:pPr>
      <w:r w:rsidRPr="000C4CFA">
        <w:t>466.</w:t>
      </w:r>
      <w:r w:rsidRPr="000C4CFA">
        <w:tab/>
        <w:t>Pueden presentarse a los premios las personas, las organizaciones de los sectores público</w:t>
      </w:r>
      <w:r>
        <w:t xml:space="preserve"> y</w:t>
      </w:r>
      <w:r w:rsidRPr="000C4CFA">
        <w:t xml:space="preserve"> priva</w:t>
      </w:r>
      <w:r>
        <w:t>do</w:t>
      </w:r>
      <w:r w:rsidRPr="000C4CFA">
        <w:t xml:space="preserve">, </w:t>
      </w:r>
      <w:r>
        <w:t>y las organizaciones sin ánimo de lucro</w:t>
      </w:r>
      <w:r w:rsidRPr="000C4CFA">
        <w:t xml:space="preserve"> </w:t>
      </w:r>
      <w:r>
        <w:t>e</w:t>
      </w:r>
      <w:r w:rsidRPr="000C4CFA">
        <w:t xml:space="preserve">n </w:t>
      </w:r>
      <w:r>
        <w:t>la</w:t>
      </w:r>
      <w:r w:rsidRPr="000C4CFA">
        <w:t xml:space="preserve"> isla </w:t>
      </w:r>
      <w:r>
        <w:t>de</w:t>
      </w:r>
      <w:r w:rsidRPr="000C4CFA">
        <w:t xml:space="preserve"> Irland</w:t>
      </w:r>
      <w:r>
        <w:t>a</w:t>
      </w:r>
      <w:r w:rsidRPr="000C4CFA">
        <w:t xml:space="preserve">. </w:t>
      </w:r>
      <w:r>
        <w:t xml:space="preserve">La </w:t>
      </w:r>
      <w:r w:rsidRPr="00F4585A">
        <w:t xml:space="preserve">Oficina del Ministro para la Integración </w:t>
      </w:r>
      <w:r>
        <w:t>facilitó financiación para el acto</w:t>
      </w:r>
      <w:r w:rsidRPr="00F4585A">
        <w:t xml:space="preserve">. </w:t>
      </w:r>
    </w:p>
    <w:p w:rsidR="000100D5" w:rsidRPr="00FD0479" w:rsidRDefault="000100D5" w:rsidP="000100D5">
      <w:pPr>
        <w:pStyle w:val="SingleTxtG"/>
      </w:pPr>
      <w:r w:rsidRPr="00FD0479">
        <w:t>467.</w:t>
      </w:r>
      <w:r w:rsidRPr="00FD0479">
        <w:tab/>
        <w:t>Para más información sobre las medidas tomadas con miras a po</w:t>
      </w:r>
      <w:r>
        <w:t>tenciar</w:t>
      </w:r>
      <w:r w:rsidRPr="00FD0479">
        <w:t xml:space="preserve"> la sensibilización entre los profesionales de todos los medios de comunicación acerca de su</w:t>
      </w:r>
      <w:r w:rsidR="005007D6">
        <w:t xml:space="preserve"> </w:t>
      </w:r>
      <w:r w:rsidRPr="00FD0479">
        <w:t xml:space="preserve">responsabilidad </w:t>
      </w:r>
      <w:r>
        <w:t xml:space="preserve">personal </w:t>
      </w:r>
      <w:r w:rsidRPr="00FD0479">
        <w:t xml:space="preserve">por lo que hace a no alentar los prejuicios y evitar informar sobre los incidentes </w:t>
      </w:r>
      <w:r>
        <w:t>en que estén implicados</w:t>
      </w:r>
      <w:r w:rsidRPr="00FD0479">
        <w:t xml:space="preserve"> m</w:t>
      </w:r>
      <w:r>
        <w:t>i</w:t>
      </w:r>
      <w:r w:rsidRPr="00FD0479">
        <w:t>embr</w:t>
      </w:r>
      <w:r>
        <w:t>o</w:t>
      </w:r>
      <w:r w:rsidRPr="00FD0479">
        <w:t xml:space="preserve">s </w:t>
      </w:r>
      <w:r>
        <w:t>de los</w:t>
      </w:r>
      <w:r w:rsidRPr="00FD0479">
        <w:t xml:space="preserve"> grup</w:t>
      </w:r>
      <w:r>
        <w:t>o</w:t>
      </w:r>
      <w:r w:rsidRPr="00FD0479">
        <w:t>s prote</w:t>
      </w:r>
      <w:r>
        <w:t>gidos por la</w:t>
      </w:r>
      <w:r w:rsidRPr="00FD0479">
        <w:t xml:space="preserve"> Conven</w:t>
      </w:r>
      <w:r>
        <w:t>c</w:t>
      </w:r>
      <w:r w:rsidRPr="00FD0479">
        <w:t>i</w:t>
      </w:r>
      <w:r>
        <w:t>ón de una forma que culpabilice a esos</w:t>
      </w:r>
      <w:r w:rsidRPr="00FD0479">
        <w:t xml:space="preserve"> grup</w:t>
      </w:r>
      <w:r>
        <w:t>o</w:t>
      </w:r>
      <w:r w:rsidRPr="00FD0479">
        <w:t xml:space="preserve">s </w:t>
      </w:r>
      <w:r>
        <w:t>en conjunto, sírvanse consultar la respuesta a la</w:t>
      </w:r>
      <w:r w:rsidRPr="00FD0479">
        <w:t xml:space="preserve"> recomenda</w:t>
      </w:r>
      <w:r>
        <w:t>c</w:t>
      </w:r>
      <w:r w:rsidRPr="00FD0479">
        <w:t>i</w:t>
      </w:r>
      <w:r>
        <w:t>ó</w:t>
      </w:r>
      <w:r w:rsidRPr="00FD0479">
        <w:t>n cont</w:t>
      </w:r>
      <w:r>
        <w:t>e</w:t>
      </w:r>
      <w:r w:rsidRPr="00FD0479">
        <w:t>n</w:t>
      </w:r>
      <w:r>
        <w:t>ida en el</w:t>
      </w:r>
      <w:r w:rsidRPr="00FD0479">
        <w:t xml:space="preserve"> p</w:t>
      </w:r>
      <w:r>
        <w:t>árr</w:t>
      </w:r>
      <w:r w:rsidRPr="00FD0479">
        <w:t>a</w:t>
      </w:r>
      <w:r>
        <w:t>fo</w:t>
      </w:r>
      <w:r w:rsidRPr="00FD0479">
        <w:t xml:space="preserve"> 7 </w:t>
      </w:r>
      <w:r>
        <w:t xml:space="preserve">del informe del </w:t>
      </w:r>
      <w:r w:rsidR="00466CA0">
        <w:t>Coordinador encargado del seguimiento</w:t>
      </w:r>
      <w:r>
        <w:t xml:space="preserve"> y en los párrafos</w:t>
      </w:r>
      <w:r w:rsidRPr="00FD0479">
        <w:t xml:space="preserve"> 54 </w:t>
      </w:r>
      <w:r>
        <w:t>y ss</w:t>
      </w:r>
      <w:r w:rsidRPr="00FD0479">
        <w:t xml:space="preserve">. </w:t>
      </w:r>
      <w:r>
        <w:t>de la parte</w:t>
      </w:r>
      <w:r w:rsidRPr="00FD0479">
        <w:t xml:space="preserve"> I </w:t>
      </w:r>
      <w:r>
        <w:t>del presente informe</w:t>
      </w:r>
      <w:r w:rsidRPr="00FD0479">
        <w:t xml:space="preserve">. </w:t>
      </w:r>
    </w:p>
    <w:p w:rsidR="000100D5" w:rsidRPr="003F14CF" w:rsidRDefault="000100D5" w:rsidP="000100D5">
      <w:pPr>
        <w:pStyle w:val="SingleTxtG"/>
      </w:pPr>
      <w:r w:rsidRPr="003F14CF">
        <w:t>468.</w:t>
      </w:r>
      <w:r w:rsidRPr="003F14CF">
        <w:tab/>
        <w:t xml:space="preserve">En cuanto a las </w:t>
      </w:r>
      <w:r>
        <w:t>disposiciones aprobadas</w:t>
      </w:r>
      <w:r w:rsidRPr="003F14CF">
        <w:t xml:space="preserve"> </w:t>
      </w:r>
      <w:r>
        <w:t>con miras a</w:t>
      </w:r>
      <w:r w:rsidRPr="003F14CF">
        <w:t xml:space="preserve"> promover la adopción por parte de los medios de comunicación de métodos de autocontrol a través de un código de conduct</w:t>
      </w:r>
      <w:r>
        <w:t>a</w:t>
      </w:r>
      <w:r w:rsidRPr="003F14CF">
        <w:t xml:space="preserve"> </w:t>
      </w:r>
      <w:r>
        <w:t>para las organizaciones relacionadas con los medios de comunicación</w:t>
      </w:r>
      <w:r w:rsidRPr="003F14CF">
        <w:t xml:space="preserve">, </w:t>
      </w:r>
      <w:r>
        <w:t>a fin de evitar el uso de términos con connotaciones</w:t>
      </w:r>
      <w:r w:rsidRPr="003F14CF">
        <w:t xml:space="preserve"> raci</w:t>
      </w:r>
      <w:r>
        <w:t>stas</w:t>
      </w:r>
      <w:r w:rsidRPr="003F14CF">
        <w:t>, discriminator</w:t>
      </w:r>
      <w:r>
        <w:t>ias</w:t>
      </w:r>
      <w:r w:rsidRPr="003F14CF">
        <w:t xml:space="preserve"> o </w:t>
      </w:r>
      <w:r>
        <w:t>sesgadas</w:t>
      </w:r>
      <w:r w:rsidRPr="003F14CF">
        <w:t xml:space="preserve">, </w:t>
      </w:r>
      <w:r>
        <w:t>sírvanse consultar la</w:t>
      </w:r>
      <w:r w:rsidRPr="003F14CF">
        <w:t xml:space="preserve"> re</w:t>
      </w:r>
      <w:r>
        <w:t>s</w:t>
      </w:r>
      <w:r w:rsidRPr="003F14CF">
        <w:t>p</w:t>
      </w:r>
      <w:r>
        <w:t>uesta a la</w:t>
      </w:r>
      <w:r w:rsidRPr="003F14CF">
        <w:t xml:space="preserve"> recomenda</w:t>
      </w:r>
      <w:r>
        <w:t>c</w:t>
      </w:r>
      <w:r w:rsidRPr="003F14CF">
        <w:t>i</w:t>
      </w:r>
      <w:r>
        <w:t>ó</w:t>
      </w:r>
      <w:r w:rsidRPr="003F14CF">
        <w:t>n cont</w:t>
      </w:r>
      <w:r>
        <w:t>e</w:t>
      </w:r>
      <w:r w:rsidRPr="003F14CF">
        <w:t>n</w:t>
      </w:r>
      <w:r>
        <w:t>i</w:t>
      </w:r>
      <w:r w:rsidRPr="003F14CF">
        <w:t>d</w:t>
      </w:r>
      <w:r>
        <w:t>a</w:t>
      </w:r>
      <w:r w:rsidRPr="003F14CF">
        <w:t xml:space="preserve"> </w:t>
      </w:r>
      <w:r>
        <w:t>e</w:t>
      </w:r>
      <w:r w:rsidRPr="003F14CF">
        <w:t xml:space="preserve">n </w:t>
      </w:r>
      <w:r>
        <w:t>el pár</w:t>
      </w:r>
      <w:r w:rsidRPr="003F14CF">
        <w:t>ra</w:t>
      </w:r>
      <w:r>
        <w:t>fo</w:t>
      </w:r>
      <w:r w:rsidRPr="003F14CF">
        <w:t xml:space="preserve"> 7 </w:t>
      </w:r>
      <w:r>
        <w:t>del informe del</w:t>
      </w:r>
      <w:r w:rsidRPr="003F14CF">
        <w:t xml:space="preserve"> </w:t>
      </w:r>
      <w:r w:rsidR="00466CA0">
        <w:t>Coordinador encargado del seguimiento</w:t>
      </w:r>
      <w:r>
        <w:t xml:space="preserve"> y en los</w:t>
      </w:r>
      <w:r w:rsidRPr="003F14CF">
        <w:t xml:space="preserve"> p</w:t>
      </w:r>
      <w:r>
        <w:t>ár</w:t>
      </w:r>
      <w:r w:rsidRPr="003F14CF">
        <w:t>ra</w:t>
      </w:r>
      <w:r>
        <w:t xml:space="preserve">fos </w:t>
      </w:r>
      <w:r w:rsidRPr="003F14CF">
        <w:t xml:space="preserve">54 </w:t>
      </w:r>
      <w:r>
        <w:t>y ss</w:t>
      </w:r>
      <w:r w:rsidRPr="003F14CF">
        <w:t xml:space="preserve">. </w:t>
      </w:r>
      <w:r>
        <w:t>en la</w:t>
      </w:r>
      <w:r w:rsidRPr="003F14CF">
        <w:t xml:space="preserve"> part</w:t>
      </w:r>
      <w:r>
        <w:t>e</w:t>
      </w:r>
      <w:r w:rsidRPr="003F14CF">
        <w:t xml:space="preserve"> I </w:t>
      </w:r>
      <w:r>
        <w:t>de este informe</w:t>
      </w:r>
      <w:r w:rsidRPr="003F14CF">
        <w:t xml:space="preserve">. </w:t>
      </w:r>
    </w:p>
    <w:p w:rsidR="000100D5" w:rsidRPr="005F2AB1" w:rsidRDefault="000100D5" w:rsidP="000100D5">
      <w:pPr>
        <w:pStyle w:val="H23G"/>
      </w:pPr>
      <w:r w:rsidRPr="003F14CF">
        <w:tab/>
      </w:r>
      <w:r w:rsidRPr="005F2AB1">
        <w:t>18.</w:t>
      </w:r>
      <w:r w:rsidRPr="005F2AB1">
        <w:tab/>
        <w:t xml:space="preserve">Campañas en los medios de comunicación </w:t>
      </w:r>
    </w:p>
    <w:p w:rsidR="000100D5" w:rsidRPr="008E712C" w:rsidRDefault="000100D5" w:rsidP="000100D5">
      <w:pPr>
        <w:pStyle w:val="SingleTxtG"/>
      </w:pPr>
      <w:r w:rsidRPr="005F2AB1">
        <w:t>469.</w:t>
      </w:r>
      <w:r w:rsidRPr="005F2AB1">
        <w:tab/>
        <w:t>En marzo y abril de 2006 se organizó una gran campaña nacional de sensibilizaci</w:t>
      </w:r>
      <w:r>
        <w:t>ón en los medios de comunicación</w:t>
      </w:r>
      <w:r w:rsidRPr="005F2AB1">
        <w:t xml:space="preserve"> </w:t>
      </w:r>
      <w:r>
        <w:t>para poner de relieve las ventajas de la</w:t>
      </w:r>
      <w:r w:rsidRPr="005F2AB1">
        <w:t xml:space="preserve"> diversi</w:t>
      </w:r>
      <w:r>
        <w:t>dad</w:t>
      </w:r>
      <w:r w:rsidR="008839F8">
        <w:t>. El </w:t>
      </w:r>
      <w:r w:rsidRPr="005F2AB1">
        <w:t>objet</w:t>
      </w:r>
      <w:r>
        <w:t>iv</w:t>
      </w:r>
      <w:r w:rsidRPr="005F2AB1">
        <w:t xml:space="preserve">o subyacente de la campaña </w:t>
      </w:r>
      <w:r>
        <w:t>resid</w:t>
      </w:r>
      <w:r w:rsidRPr="005F2AB1">
        <w:t>ía en reflejar la nueva Irlanda multicultural actual y situar la in</w:t>
      </w:r>
      <w:r>
        <w:t>tegración y la</w:t>
      </w:r>
      <w:r w:rsidRPr="005F2AB1">
        <w:t xml:space="preserve"> diversi</w:t>
      </w:r>
      <w:r>
        <w:t>dad e</w:t>
      </w:r>
      <w:r w:rsidRPr="005F2AB1">
        <w:t xml:space="preserve">n </w:t>
      </w:r>
      <w:r>
        <w:t>su debido contexto de</w:t>
      </w:r>
      <w:r w:rsidRPr="005F2AB1">
        <w:t xml:space="preserve"> modern</w:t>
      </w:r>
      <w:r>
        <w:t>idad, como una</w:t>
      </w:r>
      <w:r w:rsidRPr="005F2AB1">
        <w:t xml:space="preserve"> reali</w:t>
      </w:r>
      <w:r>
        <w:t>dad cotidiana</w:t>
      </w:r>
      <w:r w:rsidRPr="005F2AB1">
        <w:t xml:space="preserve">. </w:t>
      </w:r>
      <w:r w:rsidRPr="008E712C">
        <w:t>La campaña consistió en una serie de anuncios de 5 a 40 se</w:t>
      </w:r>
      <w:r>
        <w:t>gu</w:t>
      </w:r>
      <w:r w:rsidRPr="008E712C">
        <w:t>nd</w:t>
      </w:r>
      <w:r>
        <w:t>os de duración, que se emitió durante seis semanas en todas las emisoras de radio locales y nacionales</w:t>
      </w:r>
      <w:r w:rsidRPr="008E712C">
        <w:t xml:space="preserve">. </w:t>
      </w:r>
    </w:p>
    <w:p w:rsidR="000100D5" w:rsidRPr="00FE5740" w:rsidRDefault="000100D5" w:rsidP="000100D5">
      <w:pPr>
        <w:pStyle w:val="H4G"/>
      </w:pPr>
      <w:r w:rsidRPr="008E712C">
        <w:tab/>
      </w:r>
      <w:r w:rsidRPr="00FE5740">
        <w:t>a)</w:t>
      </w:r>
      <w:r w:rsidRPr="00FE5740">
        <w:tab/>
        <w:t xml:space="preserve">Campaña de sensibilización pública </w:t>
      </w:r>
    </w:p>
    <w:p w:rsidR="000100D5" w:rsidRPr="00E31A30" w:rsidRDefault="000100D5" w:rsidP="000100D5">
      <w:pPr>
        <w:pStyle w:val="SingleTxtG"/>
      </w:pPr>
      <w:r w:rsidRPr="00E31A30">
        <w:t>470.</w:t>
      </w:r>
      <w:r w:rsidRPr="00E31A30">
        <w:tab/>
        <w:t>En febrero de 2007, el Plan de Acción Nacional contra el Racism</w:t>
      </w:r>
      <w:r>
        <w:t>o</w:t>
      </w:r>
      <w:r w:rsidRPr="00E31A30">
        <w:t xml:space="preserve"> puso en marcha una gran campaña de sensibilización del público</w:t>
      </w:r>
      <w:r>
        <w:t xml:space="preserve">, </w:t>
      </w:r>
      <w:r w:rsidRPr="00E31A30">
        <w:t xml:space="preserve">destinada </w:t>
      </w:r>
      <w:r>
        <w:t>a que cobrara conciencia de las importantes</w:t>
      </w:r>
      <w:r w:rsidRPr="00E31A30">
        <w:t xml:space="preserve"> contribu</w:t>
      </w:r>
      <w:r>
        <w:t>c</w:t>
      </w:r>
      <w:r w:rsidRPr="00E31A30">
        <w:t>ion</w:t>
      </w:r>
      <w:r>
        <w:t>es efectuadas por</w:t>
      </w:r>
      <w:r w:rsidRPr="00E31A30">
        <w:t xml:space="preserve"> m</w:t>
      </w:r>
      <w:r>
        <w:t>i</w:t>
      </w:r>
      <w:r w:rsidRPr="00E31A30">
        <w:t>embr</w:t>
      </w:r>
      <w:r>
        <w:t>os de las minorías étnica</w:t>
      </w:r>
      <w:r w:rsidRPr="00E31A30">
        <w:t xml:space="preserve">s </w:t>
      </w:r>
      <w:r>
        <w:t>a la sociedad irlandesa</w:t>
      </w:r>
      <w:r w:rsidRPr="00E31A30">
        <w:t>. Esa campaña aprovechó los estudios monográficos tomados de la vida real</w:t>
      </w:r>
      <w:r>
        <w:t>,</w:t>
      </w:r>
      <w:r w:rsidRPr="00E31A30">
        <w:t xml:space="preserve"> para dar a conocer una tendencia en la sociedad irlandesa</w:t>
      </w:r>
      <w:r>
        <w:t>, que muestra a los nuevos ciudadanos de Irlanda trabajando en sectores esenciales de la vida del país.</w:t>
      </w:r>
      <w:r w:rsidRPr="00E31A30">
        <w:t xml:space="preserve"> </w:t>
      </w:r>
    </w:p>
    <w:p w:rsidR="000100D5" w:rsidRPr="00AA4E32" w:rsidRDefault="000100D5" w:rsidP="000100D5">
      <w:pPr>
        <w:pStyle w:val="H4G"/>
      </w:pPr>
      <w:r w:rsidRPr="00E31A30">
        <w:tab/>
      </w:r>
      <w:r w:rsidRPr="00AA4E32">
        <w:t>b)</w:t>
      </w:r>
      <w:r w:rsidRPr="00AA4E32">
        <w:tab/>
        <w:t xml:space="preserve">Sector empresarial </w:t>
      </w:r>
    </w:p>
    <w:p w:rsidR="000100D5" w:rsidRPr="004E5753" w:rsidRDefault="000100D5" w:rsidP="000100D5">
      <w:pPr>
        <w:pStyle w:val="SingleTxtG"/>
      </w:pPr>
      <w:r w:rsidRPr="004E5753">
        <w:t>471.</w:t>
      </w:r>
      <w:r w:rsidRPr="004E5753">
        <w:tab/>
        <w:t xml:space="preserve">El </w:t>
      </w:r>
      <w:r>
        <w:t>P</w:t>
      </w:r>
      <w:r w:rsidRPr="004E5753">
        <w:t>lan de Acción Nacional contra el Racismo, la Dirección de la Igualdad y el Instituto Irlandés de Gestión cre</w:t>
      </w:r>
      <w:r>
        <w:t>aron</w:t>
      </w:r>
      <w:r w:rsidRPr="004E5753">
        <w:t xml:space="preserve"> un modelo de investigación BIZLAB con miras a fomentar un historial acreditado de gesti</w:t>
      </w:r>
      <w:r>
        <w:t>ón de la</w:t>
      </w:r>
      <w:r w:rsidRPr="004E5753">
        <w:t xml:space="preserve"> diversi</w:t>
      </w:r>
      <w:r>
        <w:t>dad en el lugar de trabajo, mediante estudios destinados a explorar e</w:t>
      </w:r>
      <w:r w:rsidRPr="004E5753">
        <w:t xml:space="preserve"> identif</w:t>
      </w:r>
      <w:r>
        <w:t>icar</w:t>
      </w:r>
      <w:r w:rsidRPr="004E5753">
        <w:t xml:space="preserve"> </w:t>
      </w:r>
      <w:r>
        <w:t>los principales aspectos de la cuestión.</w:t>
      </w:r>
      <w:r w:rsidR="005007D6">
        <w:t xml:space="preserve"> </w:t>
      </w:r>
    </w:p>
    <w:p w:rsidR="000100D5" w:rsidRPr="009426CE" w:rsidRDefault="000100D5" w:rsidP="000100D5">
      <w:pPr>
        <w:pStyle w:val="SingleTxtG"/>
      </w:pPr>
      <w:r w:rsidRPr="009426CE">
        <w:t>472.</w:t>
      </w:r>
      <w:r w:rsidRPr="009426CE">
        <w:tab/>
        <w:t xml:space="preserve">Gracias a la </w:t>
      </w:r>
      <w:r>
        <w:t>adopc</w:t>
      </w:r>
      <w:r w:rsidRPr="009426CE">
        <w:t>ión de ese modelo BIZLAB</w:t>
      </w:r>
      <w:r>
        <w:t>,</w:t>
      </w:r>
      <w:r w:rsidRPr="009426CE">
        <w:t xml:space="preserve"> se ha elaborado una carpeta de material </w:t>
      </w:r>
      <w:r w:rsidRPr="009426CE">
        <w:rPr>
          <w:i/>
        </w:rPr>
        <w:t>ad hoc</w:t>
      </w:r>
      <w:r>
        <w:rPr>
          <w:rStyle w:val="FootnoteReference"/>
          <w:lang w:val="en-IE"/>
        </w:rPr>
        <w:footnoteReference w:id="114"/>
      </w:r>
      <w:r w:rsidRPr="009426CE">
        <w:t xml:space="preserve"> que brinda un importante apoyo práctico a las organizaciones, a fin de que puedan adaptar sus pol</w:t>
      </w:r>
      <w:r>
        <w:t>íti</w:t>
      </w:r>
      <w:r w:rsidRPr="009426CE">
        <w:t>c</w:t>
      </w:r>
      <w:r>
        <w:t>a</w:t>
      </w:r>
      <w:r w:rsidRPr="009426CE">
        <w:t>s, proced</w:t>
      </w:r>
      <w:r>
        <w:t>imientos y</w:t>
      </w:r>
      <w:r w:rsidRPr="009426CE">
        <w:t xml:space="preserve"> pr</w:t>
      </w:r>
      <w:r>
        <w:t>á</w:t>
      </w:r>
      <w:r w:rsidRPr="009426CE">
        <w:t>ctic</w:t>
      </w:r>
      <w:r>
        <w:t>a</w:t>
      </w:r>
      <w:r w:rsidRPr="009426CE">
        <w:t>s</w:t>
      </w:r>
      <w:r>
        <w:t xml:space="preserve"> en el lugar de trabajo, de forma que les permita abordar los retos planteados por unos efectivos laborales de diferentes culturas</w:t>
      </w:r>
      <w:r w:rsidRPr="009426CE">
        <w:t xml:space="preserve"> </w:t>
      </w:r>
      <w:r>
        <w:t xml:space="preserve">y </w:t>
      </w:r>
      <w:r w:rsidRPr="009426CE">
        <w:t>actuali</w:t>
      </w:r>
      <w:r>
        <w:t>zar</w:t>
      </w:r>
      <w:r w:rsidRPr="009426CE">
        <w:t xml:space="preserve"> </w:t>
      </w:r>
      <w:r>
        <w:t xml:space="preserve">las posibilidades de éxito comercial </w:t>
      </w:r>
      <w:r w:rsidRPr="009426CE">
        <w:t>inherent</w:t>
      </w:r>
      <w:r>
        <w:t>es a esa</w:t>
      </w:r>
      <w:r w:rsidRPr="009426CE">
        <w:t xml:space="preserve"> diversi</w:t>
      </w:r>
      <w:r>
        <w:t>dad</w:t>
      </w:r>
      <w:r w:rsidRPr="009426CE">
        <w:t xml:space="preserve">. </w:t>
      </w:r>
    </w:p>
    <w:p w:rsidR="000100D5" w:rsidRPr="00A13E57" w:rsidRDefault="000100D5" w:rsidP="000100D5">
      <w:pPr>
        <w:pStyle w:val="SingleTxtG"/>
      </w:pPr>
      <w:r w:rsidRPr="00A13E57">
        <w:t>473.</w:t>
      </w:r>
      <w:r w:rsidRPr="00A13E57">
        <w:tab/>
        <w:t>Sírvanse consultar así mismo los párrs. 363 y ss. relativos a</w:t>
      </w:r>
      <w:r w:rsidR="005007D6">
        <w:t xml:space="preserve"> </w:t>
      </w:r>
      <w:r>
        <w:t xml:space="preserve">la </w:t>
      </w:r>
      <w:r w:rsidR="00E03EF2">
        <w:t>"</w:t>
      </w:r>
      <w:r>
        <w:t>E</w:t>
      </w:r>
      <w:r w:rsidRPr="00A13E57">
        <w:t>strategia de acción para apoyar los lugares de trabajo integrados</w:t>
      </w:r>
      <w:r w:rsidR="00E03EF2">
        <w:t>"</w:t>
      </w:r>
      <w:r w:rsidRPr="00A13E57">
        <w:t xml:space="preserve">. </w:t>
      </w:r>
    </w:p>
    <w:p w:rsidR="000100D5" w:rsidRPr="00A13E57" w:rsidRDefault="000100D5" w:rsidP="000100D5">
      <w:pPr>
        <w:pStyle w:val="H4G"/>
      </w:pPr>
      <w:r>
        <w:tab/>
      </w:r>
      <w:r w:rsidRPr="00A13E57">
        <w:t>c)</w:t>
      </w:r>
      <w:r w:rsidRPr="00A13E57">
        <w:tab/>
        <w:t>Medidas emprendidas por el Depar</w:t>
      </w:r>
      <w:r>
        <w:t>ta</w:t>
      </w:r>
      <w:r w:rsidRPr="00A13E57">
        <w:t>ment</w:t>
      </w:r>
      <w:r>
        <w:t xml:space="preserve">o de </w:t>
      </w:r>
      <w:r w:rsidRPr="00A13E57">
        <w:t>Defen</w:t>
      </w:r>
      <w:r>
        <w:t>sa</w:t>
      </w:r>
      <w:r w:rsidRPr="00A13E57">
        <w:t xml:space="preserve"> </w:t>
      </w:r>
    </w:p>
    <w:p w:rsidR="000100D5" w:rsidRPr="009A57BD" w:rsidRDefault="000100D5" w:rsidP="000100D5">
      <w:pPr>
        <w:pStyle w:val="SingleTxtG"/>
      </w:pPr>
      <w:r w:rsidRPr="009A57BD">
        <w:t>474.</w:t>
      </w:r>
      <w:r w:rsidRPr="009A57BD">
        <w:tab/>
        <w:t>Las Fuerzas de Defensa de la Escuela de las N</w:t>
      </w:r>
      <w:r>
        <w:t>a</w:t>
      </w:r>
      <w:r w:rsidRPr="009A57BD">
        <w:t>ciones Unidas lleva</w:t>
      </w:r>
      <w:r>
        <w:t>n</w:t>
      </w:r>
      <w:r w:rsidRPr="009A57BD">
        <w:t xml:space="preserve"> a cabo cursos </w:t>
      </w:r>
      <w:r>
        <w:t xml:space="preserve">internacionales </w:t>
      </w:r>
      <w:r w:rsidRPr="009A57BD">
        <w:t xml:space="preserve">de derechos humanos </w:t>
      </w:r>
      <w:r>
        <w:t>y de cooperación militar y civil, tanto para las fuerzas de defensa como para otros organismos gubernamentales, lo que impulsa al</w:t>
      </w:r>
      <w:r w:rsidRPr="009A57BD">
        <w:t xml:space="preserve"> personal a una mayor comprensi</w:t>
      </w:r>
      <w:r>
        <w:t>ón de las cuestiones de derechos humanos y garantiza un conocimiento y una</w:t>
      </w:r>
      <w:r w:rsidRPr="009A57BD">
        <w:t xml:space="preserve"> toleranc</w:t>
      </w:r>
      <w:r>
        <w:t>ia más amplios de los grupos</w:t>
      </w:r>
      <w:r w:rsidRPr="009A57BD">
        <w:t xml:space="preserve"> racial</w:t>
      </w:r>
      <w:r>
        <w:t>es</w:t>
      </w:r>
      <w:r w:rsidRPr="009A57BD">
        <w:t xml:space="preserve"> </w:t>
      </w:r>
      <w:r>
        <w:t>y</w:t>
      </w:r>
      <w:r w:rsidRPr="009A57BD">
        <w:t xml:space="preserve"> </w:t>
      </w:r>
      <w:r>
        <w:t>é</w:t>
      </w:r>
      <w:r w:rsidRPr="009A57BD">
        <w:t>tnic</w:t>
      </w:r>
      <w:r>
        <w:t>os</w:t>
      </w:r>
      <w:r w:rsidRPr="009A57BD">
        <w:t xml:space="preserve">. </w:t>
      </w:r>
    </w:p>
    <w:p w:rsidR="000100D5" w:rsidRPr="004C1590" w:rsidRDefault="000100D5" w:rsidP="000100D5">
      <w:pPr>
        <w:pStyle w:val="SingleTxtG"/>
      </w:pPr>
      <w:r w:rsidRPr="009A57BD">
        <w:t>475.</w:t>
      </w:r>
      <w:r w:rsidRPr="009A57BD">
        <w:tab/>
        <w:t>Las Fuerzas de Defensa han participado en una se</w:t>
      </w:r>
      <w:r>
        <w:t>r</w:t>
      </w:r>
      <w:r w:rsidRPr="009A57BD">
        <w:t>ie de iniciativas de concienciaci</w:t>
      </w:r>
      <w:r>
        <w:t>ón</w:t>
      </w:r>
      <w:r w:rsidRPr="009A57BD">
        <w:t xml:space="preserve"> </w:t>
      </w:r>
      <w:r>
        <w:t>a</w:t>
      </w:r>
      <w:r w:rsidRPr="009A57BD">
        <w:t>nti</w:t>
      </w:r>
      <w:r>
        <w:t>rr</w:t>
      </w:r>
      <w:r w:rsidRPr="009A57BD">
        <w:t>acist</w:t>
      </w:r>
      <w:r>
        <w:t>a</w:t>
      </w:r>
      <w:r w:rsidRPr="009A57BD">
        <w:t xml:space="preserve"> </w:t>
      </w:r>
      <w:r>
        <w:t>y de fomento de la</w:t>
      </w:r>
      <w:r w:rsidRPr="009A57BD">
        <w:t xml:space="preserve"> </w:t>
      </w:r>
      <w:r>
        <w:t>d</w:t>
      </w:r>
      <w:r w:rsidRPr="009A57BD">
        <w:t>iversi</w:t>
      </w:r>
      <w:r>
        <w:t>dad, jun</w:t>
      </w:r>
      <w:r w:rsidRPr="009A57BD">
        <w:t>to</w:t>
      </w:r>
      <w:r>
        <w:t xml:space="preserve"> co</w:t>
      </w:r>
      <w:r w:rsidRPr="009A57BD">
        <w:t xml:space="preserve">n </w:t>
      </w:r>
      <w:r>
        <w:t>la Dirección de la Igualdad</w:t>
      </w:r>
      <w:r w:rsidRPr="009A57BD">
        <w:t xml:space="preserve">. </w:t>
      </w:r>
      <w:r>
        <w:t>El objetivo de esas</w:t>
      </w:r>
      <w:r w:rsidRPr="004C1590">
        <w:t xml:space="preserve"> iniciativas estriba en promover la sensibilizaci</w:t>
      </w:r>
      <w:r>
        <w:t>ón a través de los medios de comunicación y la</w:t>
      </w:r>
      <w:r w:rsidRPr="004C1590">
        <w:t xml:space="preserve"> opini</w:t>
      </w:r>
      <w:r>
        <w:t>ó</w:t>
      </w:r>
      <w:r w:rsidRPr="004C1590">
        <w:t>n</w:t>
      </w:r>
      <w:r>
        <w:t xml:space="preserve"> pública</w:t>
      </w:r>
      <w:r w:rsidRPr="004C1590">
        <w:t xml:space="preserve">. Esos programas de sensibilización, sumados a las charlas impartidas en las Dependencias y antes de </w:t>
      </w:r>
      <w:r>
        <w:t>q</w:t>
      </w:r>
      <w:r w:rsidRPr="004C1590">
        <w:t xml:space="preserve">ue el personal </w:t>
      </w:r>
      <w:r>
        <w:t>salga para prestar servicios en el extranjero</w:t>
      </w:r>
      <w:r w:rsidRPr="004C1590">
        <w:t xml:space="preserve">, </w:t>
      </w:r>
      <w:r>
        <w:t>despiertan el respeto</w:t>
      </w:r>
      <w:r w:rsidRPr="004C1590">
        <w:t xml:space="preserve"> mutu</w:t>
      </w:r>
      <w:r>
        <w:t>o y</w:t>
      </w:r>
      <w:r w:rsidRPr="004C1590">
        <w:t xml:space="preserve"> contribu</w:t>
      </w:r>
      <w:r>
        <w:t>yen a un mejor entendimiento del</w:t>
      </w:r>
      <w:r w:rsidRPr="004C1590">
        <w:t xml:space="preserve"> racism</w:t>
      </w:r>
      <w:r>
        <w:t>o y del</w:t>
      </w:r>
      <w:r w:rsidRPr="004C1590">
        <w:t xml:space="preserve"> </w:t>
      </w:r>
      <w:r>
        <w:t>multi</w:t>
      </w:r>
      <w:r w:rsidRPr="004C1590">
        <w:t>culturalism</w:t>
      </w:r>
      <w:r>
        <w:t>o</w:t>
      </w:r>
      <w:r w:rsidRPr="004C1590">
        <w:t xml:space="preserve">. </w:t>
      </w:r>
    </w:p>
    <w:p w:rsidR="000100D5" w:rsidRPr="00AA4E32" w:rsidRDefault="000100D5" w:rsidP="000100D5">
      <w:pPr>
        <w:pStyle w:val="HChG"/>
      </w:pPr>
      <w:r w:rsidRPr="004C1590">
        <w:tab/>
      </w:r>
      <w:r w:rsidRPr="00AA4E32">
        <w:t>IV.</w:t>
      </w:r>
      <w:r w:rsidRPr="00AA4E32">
        <w:tab/>
        <w:t>Consulta</w:t>
      </w:r>
    </w:p>
    <w:p w:rsidR="000100D5" w:rsidRPr="004C1590" w:rsidRDefault="000100D5" w:rsidP="000100D5">
      <w:pPr>
        <w:pStyle w:val="H1G"/>
      </w:pPr>
      <w:r w:rsidRPr="00AA4E32">
        <w:tab/>
      </w:r>
      <w:r w:rsidRPr="004C1590">
        <w:t>A.</w:t>
      </w:r>
      <w:r w:rsidRPr="004C1590">
        <w:tab/>
        <w:t xml:space="preserve">Reunión de consulta </w:t>
      </w:r>
      <w:r>
        <w:t xml:space="preserve">celebrada el 25 de noviembre de 2008 </w:t>
      </w:r>
      <w:r w:rsidRPr="004C1590">
        <w:t>con el sector de las organizaciones no gubernamentales sobre los informes tercero y cuarto combinados de Irlanda</w:t>
      </w:r>
      <w:r>
        <w:t>,</w:t>
      </w:r>
      <w:r w:rsidRPr="004C1590">
        <w:t xml:space="preserve"> </w:t>
      </w:r>
      <w:r>
        <w:t xml:space="preserve">en virtud </w:t>
      </w:r>
      <w:r w:rsidRPr="004C1590">
        <w:t>de la Conven</w:t>
      </w:r>
      <w:r>
        <w:t>c</w:t>
      </w:r>
      <w:r w:rsidRPr="004C1590">
        <w:t>i</w:t>
      </w:r>
      <w:r>
        <w:t>ó</w:t>
      </w:r>
      <w:r w:rsidRPr="004C1590">
        <w:t xml:space="preserve">n </w:t>
      </w:r>
      <w:r>
        <w:t>de las Naciones Unidas sobre la</w:t>
      </w:r>
      <w:r w:rsidRPr="004C1590">
        <w:t xml:space="preserve"> Elimina</w:t>
      </w:r>
      <w:r>
        <w:t>c</w:t>
      </w:r>
      <w:r w:rsidRPr="004C1590">
        <w:t>i</w:t>
      </w:r>
      <w:r>
        <w:t>ó</w:t>
      </w:r>
      <w:r w:rsidRPr="004C1590">
        <w:t xml:space="preserve">n </w:t>
      </w:r>
      <w:r>
        <w:t>de todas las</w:t>
      </w:r>
      <w:r w:rsidRPr="004C1590">
        <w:t xml:space="preserve"> Form</w:t>
      </w:r>
      <w:r>
        <w:t>a</w:t>
      </w:r>
      <w:r w:rsidRPr="004C1590">
        <w:t xml:space="preserve">s </w:t>
      </w:r>
      <w:r>
        <w:t>de</w:t>
      </w:r>
      <w:r w:rsidRPr="004C1590">
        <w:t xml:space="preserve"> Discrimina</w:t>
      </w:r>
      <w:r>
        <w:t>c</w:t>
      </w:r>
      <w:r w:rsidRPr="004C1590">
        <w:t>i</w:t>
      </w:r>
      <w:r>
        <w:t>ón Racial</w:t>
      </w:r>
    </w:p>
    <w:p w:rsidR="000100D5" w:rsidRPr="001B7066" w:rsidRDefault="000100D5" w:rsidP="000100D5">
      <w:pPr>
        <w:pStyle w:val="SingleTxtG"/>
      </w:pPr>
      <w:r w:rsidRPr="001B7066">
        <w:t>476.</w:t>
      </w:r>
      <w:r w:rsidRPr="001B7066">
        <w:tab/>
      </w:r>
      <w:r>
        <w:t>En r</w:t>
      </w:r>
      <w:r w:rsidRPr="001B7066">
        <w:t>econoci</w:t>
      </w:r>
      <w:r>
        <w:t>mi</w:t>
      </w:r>
      <w:r w:rsidRPr="001B7066">
        <w:t>en</w:t>
      </w:r>
      <w:r>
        <w:t>t</w:t>
      </w:r>
      <w:r w:rsidRPr="001B7066">
        <w:t xml:space="preserve">o </w:t>
      </w:r>
      <w:r>
        <w:t xml:space="preserve">de </w:t>
      </w:r>
      <w:r w:rsidRPr="001B7066">
        <w:t>la importante función que el sector de las organizaciones no gubernamentales (ONG) desempeña en las cuestiones relativas a los derechos humanos, el Depart</w:t>
      </w:r>
      <w:r>
        <w:t>a</w:t>
      </w:r>
      <w:r w:rsidRPr="001B7066">
        <w:t>ment</w:t>
      </w:r>
      <w:r>
        <w:t>o de</w:t>
      </w:r>
      <w:r w:rsidRPr="001B7066">
        <w:t xml:space="preserve"> Justic</w:t>
      </w:r>
      <w:r>
        <w:t>ia</w:t>
      </w:r>
      <w:r w:rsidRPr="001B7066">
        <w:t xml:space="preserve">, </w:t>
      </w:r>
      <w:r>
        <w:t>Ig</w:t>
      </w:r>
      <w:r w:rsidRPr="001B7066">
        <w:t>ual</w:t>
      </w:r>
      <w:r>
        <w:t xml:space="preserve">dad y </w:t>
      </w:r>
      <w:r w:rsidRPr="001B7066">
        <w:t>Reform</w:t>
      </w:r>
      <w:r>
        <w:t>a Jurídica</w:t>
      </w:r>
      <w:r w:rsidRPr="001B7066">
        <w:t xml:space="preserve"> consult</w:t>
      </w:r>
      <w:r>
        <w:t>ó</w:t>
      </w:r>
      <w:r w:rsidRPr="001B7066">
        <w:t xml:space="preserve"> </w:t>
      </w:r>
      <w:r>
        <w:t>oficiosa y oficialmente para la elaboración del presente informe con una muestra</w:t>
      </w:r>
      <w:r w:rsidRPr="001B7066">
        <w:t xml:space="preserve"> representativ</w:t>
      </w:r>
      <w:r>
        <w:t>a</w:t>
      </w:r>
      <w:r w:rsidRPr="001B7066">
        <w:t xml:space="preserve"> </w:t>
      </w:r>
      <w:r>
        <w:t>del sector de las ONG</w:t>
      </w:r>
      <w:r w:rsidRPr="001B7066">
        <w:t>. Al final de la sección figura una lista completa de las ONG consult</w:t>
      </w:r>
      <w:r>
        <w:t>a</w:t>
      </w:r>
      <w:r w:rsidRPr="001B7066">
        <w:t>d</w:t>
      </w:r>
      <w:r>
        <w:t>as</w:t>
      </w:r>
      <w:r w:rsidRPr="001B7066">
        <w:t>.</w:t>
      </w:r>
    </w:p>
    <w:p w:rsidR="000100D5" w:rsidRPr="001B7066" w:rsidRDefault="000100D5" w:rsidP="000100D5">
      <w:pPr>
        <w:pStyle w:val="SingleTxtG"/>
      </w:pPr>
      <w:r w:rsidRPr="001B7066">
        <w:t>477.</w:t>
      </w:r>
      <w:r w:rsidRPr="001B7066">
        <w:tab/>
        <w:t xml:space="preserve">El </w:t>
      </w:r>
      <w:r>
        <w:t>p</w:t>
      </w:r>
      <w:r w:rsidRPr="001B7066">
        <w:t>roceso de consulta tenía tres objetivos:</w:t>
      </w:r>
    </w:p>
    <w:p w:rsidR="000100D5" w:rsidRPr="004E51E3" w:rsidRDefault="000100D5" w:rsidP="004E51E3">
      <w:pPr>
        <w:pStyle w:val="Bullet1G"/>
      </w:pPr>
      <w:r w:rsidRPr="00283DA1">
        <w:t xml:space="preserve">Garantizar que el tercer y cuarto informes periódicos de Irlanda </w:t>
      </w:r>
      <w:r>
        <w:t>fue</w:t>
      </w:r>
      <w:r w:rsidRPr="00283DA1">
        <w:t>se un fiel trasunto de la situación actual en Irland</w:t>
      </w:r>
      <w:r>
        <w:t xml:space="preserve">a de las medidas tomadas para hacer efectivas las </w:t>
      </w:r>
      <w:r w:rsidRPr="004E51E3">
        <w:t>disposiciones de la Convención Internacional sobre la Eliminación de todas las Formas de Discriminación Racial</w:t>
      </w:r>
      <w:r w:rsidR="008B24B7" w:rsidRPr="004E51E3">
        <w:t>;</w:t>
      </w:r>
    </w:p>
    <w:p w:rsidR="000100D5" w:rsidRPr="004E51E3" w:rsidRDefault="000100D5" w:rsidP="004E51E3">
      <w:pPr>
        <w:pStyle w:val="Bullet1G"/>
      </w:pPr>
      <w:r w:rsidRPr="004E51E3">
        <w:t>Determinar con precisión las preocupaciones fundamentales del sector de las ONG y ofrecerles una oportunidad significativa de exponer a los funcionarios gubernamentales sus ideas sobre el modo de aplicar plenamente en Irlanda la Convención Internacional sobre la Eliminación de todas las Formas de Discriminación Racial</w:t>
      </w:r>
      <w:r w:rsidR="008B24B7" w:rsidRPr="004E51E3">
        <w:t>;</w:t>
      </w:r>
    </w:p>
    <w:p w:rsidR="000100D5" w:rsidRPr="00283DA1" w:rsidRDefault="000100D5" w:rsidP="004E51E3">
      <w:pPr>
        <w:pStyle w:val="Bullet1G"/>
      </w:pPr>
      <w:r w:rsidRPr="004E51E3">
        <w:t>Analizar la aplicación</w:t>
      </w:r>
      <w:r w:rsidRPr="00283DA1">
        <w:t xml:space="preserve"> por Irlanda de la Convención Internacional sobre la Eliminación de todas las Formas </w:t>
      </w:r>
      <w:r>
        <w:t>de</w:t>
      </w:r>
      <w:r w:rsidRPr="00283DA1">
        <w:t xml:space="preserve"> Discrimina</w:t>
      </w:r>
      <w:r>
        <w:t>c</w:t>
      </w:r>
      <w:r w:rsidRPr="00283DA1">
        <w:t>i</w:t>
      </w:r>
      <w:r>
        <w:t>ó</w:t>
      </w:r>
      <w:r w:rsidRPr="00283DA1">
        <w:t xml:space="preserve">n </w:t>
      </w:r>
      <w:r>
        <w:t>Racial desde otro punto de vista y plasmarla en un capítulo del presente</w:t>
      </w:r>
      <w:r w:rsidRPr="00283DA1">
        <w:t xml:space="preserve"> in</w:t>
      </w:r>
      <w:r>
        <w:t>forme</w:t>
      </w:r>
      <w:r w:rsidR="008B24B7">
        <w:t>.</w:t>
      </w:r>
    </w:p>
    <w:p w:rsidR="000100D5" w:rsidRPr="00DD2B35" w:rsidRDefault="000100D5" w:rsidP="000100D5">
      <w:pPr>
        <w:pStyle w:val="SingleTxtG"/>
      </w:pPr>
      <w:r w:rsidRPr="00DD2B35">
        <w:t>478.</w:t>
      </w:r>
      <w:r w:rsidRPr="00DD2B35">
        <w:tab/>
        <w:t xml:space="preserve">Antes de la reunión, las </w:t>
      </w:r>
      <w:r>
        <w:t>ONG</w:t>
      </w:r>
      <w:r w:rsidRPr="00DD2B35">
        <w:t xml:space="preserve"> participantes recibieron el borrador de</w:t>
      </w:r>
      <w:r>
        <w:t>l</w:t>
      </w:r>
      <w:r w:rsidRPr="00DD2B35">
        <w:t xml:space="preserve"> informe </w:t>
      </w:r>
      <w:r>
        <w:t>con carácter confidencial.</w:t>
      </w:r>
      <w:r w:rsidRPr="00DD2B35">
        <w:t xml:space="preserve"> La finalidad de la reuni</w:t>
      </w:r>
      <w:r>
        <w:t>ó</w:t>
      </w:r>
      <w:r w:rsidRPr="00DD2B35">
        <w:t>n no fue llegar a un acuerdo ni a un consenso, sino más bien permitir el intercambio constructivo de opinion</w:t>
      </w:r>
      <w:r>
        <w:t>e</w:t>
      </w:r>
      <w:r w:rsidRPr="00DD2B35">
        <w:t>s sobre el informe.</w:t>
      </w:r>
    </w:p>
    <w:p w:rsidR="000100D5" w:rsidRPr="00DD2B35" w:rsidRDefault="000100D5" w:rsidP="000100D5">
      <w:pPr>
        <w:pStyle w:val="SingleTxtG"/>
      </w:pPr>
      <w:r w:rsidRPr="00DD2B35">
        <w:t>479.</w:t>
      </w:r>
      <w:r w:rsidRPr="00DD2B35">
        <w:tab/>
        <w:t xml:space="preserve">Se </w:t>
      </w:r>
      <w:r>
        <w:t>cuenta con</w:t>
      </w:r>
      <w:r w:rsidRPr="00DD2B35">
        <w:t xml:space="preserve"> un President</w:t>
      </w:r>
      <w:r>
        <w:t>e</w:t>
      </w:r>
      <w:r w:rsidRPr="00DD2B35">
        <w:t xml:space="preserve"> y</w:t>
      </w:r>
      <w:r w:rsidR="005007D6">
        <w:t xml:space="preserve"> </w:t>
      </w:r>
      <w:r w:rsidRPr="00DD2B35">
        <w:t>un Relator independientes para presidir la reunión y preparar un informe detallado de los principales puntos tratados.</w:t>
      </w:r>
    </w:p>
    <w:p w:rsidR="000100D5" w:rsidRPr="00DD2B35" w:rsidRDefault="000100D5" w:rsidP="000100D5">
      <w:pPr>
        <w:pStyle w:val="SingleTxtG"/>
      </w:pPr>
      <w:r w:rsidRPr="00DD2B35">
        <w:t>480.</w:t>
      </w:r>
      <w:r w:rsidRPr="00DD2B35">
        <w:tab/>
        <w:t>Las ONG participantes presentaron sus</w:t>
      </w:r>
      <w:r>
        <w:t xml:space="preserve"> </w:t>
      </w:r>
      <w:r w:rsidRPr="00DD2B35">
        <w:t>opiniones sobr</w:t>
      </w:r>
      <w:r>
        <w:t>e</w:t>
      </w:r>
      <w:r w:rsidRPr="00DD2B35">
        <w:t xml:space="preserve"> los cuatro aspectos principales: </w:t>
      </w:r>
      <w:r>
        <w:t xml:space="preserve">grupos pro </w:t>
      </w:r>
      <w:r w:rsidRPr="00DD2B35">
        <w:t xml:space="preserve">derechos humanos, igualdad </w:t>
      </w:r>
      <w:r>
        <w:t>y a</w:t>
      </w:r>
      <w:r w:rsidRPr="00DD2B35">
        <w:t>nti</w:t>
      </w:r>
      <w:r>
        <w:t>rr</w:t>
      </w:r>
      <w:r w:rsidRPr="00DD2B35">
        <w:t>acis</w:t>
      </w:r>
      <w:r>
        <w:t>mo; g</w:t>
      </w:r>
      <w:r w:rsidRPr="00DD2B35">
        <w:t>rup</w:t>
      </w:r>
      <w:r>
        <w:t>os de la comunidad de nómadas</w:t>
      </w:r>
      <w:r w:rsidRPr="00DD2B35">
        <w:t xml:space="preserve">; </w:t>
      </w:r>
      <w:r>
        <w:t>grupos defensores de los derechos de los m</w:t>
      </w:r>
      <w:r w:rsidRPr="00DD2B35">
        <w:t>igrant</w:t>
      </w:r>
      <w:r>
        <w:t>es y grupos</w:t>
      </w:r>
      <w:r w:rsidRPr="00DD2B35">
        <w:t xml:space="preserve"> </w:t>
      </w:r>
      <w:r>
        <w:t>para los r</w:t>
      </w:r>
      <w:r w:rsidRPr="00DD2B35">
        <w:t>efug</w:t>
      </w:r>
      <w:r>
        <w:t>iados y solicitantes de</w:t>
      </w:r>
      <w:r w:rsidRPr="00DD2B35">
        <w:t xml:space="preserve"> </w:t>
      </w:r>
      <w:r>
        <w:t>a</w:t>
      </w:r>
      <w:r w:rsidRPr="00DD2B35">
        <w:t>s</w:t>
      </w:r>
      <w:r>
        <w:t>i</w:t>
      </w:r>
      <w:r w:rsidRPr="00DD2B35">
        <w:t>l</w:t>
      </w:r>
      <w:r>
        <w:t>o</w:t>
      </w:r>
      <w:r w:rsidRPr="00DD2B35">
        <w:t>.</w:t>
      </w:r>
    </w:p>
    <w:p w:rsidR="000100D5" w:rsidRPr="00DD25C0" w:rsidRDefault="000100D5" w:rsidP="000100D5">
      <w:pPr>
        <w:pStyle w:val="SingleTxtG"/>
      </w:pPr>
      <w:r w:rsidRPr="00C01CEF">
        <w:t>481.</w:t>
      </w:r>
      <w:r w:rsidRPr="00C01CEF">
        <w:tab/>
        <w:t>Algunas de las principales preocupaciones del sector d</w:t>
      </w:r>
      <w:r>
        <w:t>e</w:t>
      </w:r>
      <w:r w:rsidRPr="00C01CEF">
        <w:t xml:space="preserve"> las ONG se resumen en los párrafos s</w:t>
      </w:r>
      <w:r>
        <w:t>iguientes</w:t>
      </w:r>
      <w:r w:rsidRPr="00C01CEF">
        <w:t xml:space="preserve"> </w:t>
      </w:r>
      <w:r>
        <w:t>dentro de los cuatro</w:t>
      </w:r>
      <w:r w:rsidRPr="00C01CEF">
        <w:t xml:space="preserve"> grup</w:t>
      </w:r>
      <w:r>
        <w:t>o</w:t>
      </w:r>
      <w:r w:rsidRPr="00C01CEF">
        <w:t xml:space="preserve">s </w:t>
      </w:r>
      <w:r>
        <w:t>seleccionados</w:t>
      </w:r>
      <w:r w:rsidRPr="00C01CEF">
        <w:t xml:space="preserve">. </w:t>
      </w:r>
      <w:r w:rsidRPr="00DD25C0">
        <w:t>Ello no constituye un análisis exhaustivo de todos los temas suscitados, sino que ilustra algunas de las principales esferas debatidas.</w:t>
      </w:r>
    </w:p>
    <w:p w:rsidR="000100D5" w:rsidRPr="00DD25C0" w:rsidRDefault="000100D5" w:rsidP="000100D5">
      <w:pPr>
        <w:pStyle w:val="SingleTxtG"/>
      </w:pPr>
      <w:r w:rsidRPr="00DD25C0">
        <w:t>482.</w:t>
      </w:r>
      <w:r w:rsidRPr="00DD25C0">
        <w:tab/>
        <w:t>Se convino en incluir en el borrador del informe definitivo revisiones de los datos y</w:t>
      </w:r>
      <w:r w:rsidR="005007D6">
        <w:t xml:space="preserve"> </w:t>
      </w:r>
      <w:r w:rsidRPr="00DD25C0">
        <w:t>esta</w:t>
      </w:r>
      <w:r>
        <w:t>dí</w:t>
      </w:r>
      <w:r w:rsidRPr="00DD25C0">
        <w:t>stic</w:t>
      </w:r>
      <w:r>
        <w:t>a</w:t>
      </w:r>
      <w:r w:rsidRPr="00DD25C0">
        <w:t xml:space="preserve">s </w:t>
      </w:r>
      <w:r>
        <w:t>que fueran incorrectos o demasiado antiguos</w:t>
      </w:r>
      <w:r w:rsidRPr="00DD25C0">
        <w:t xml:space="preserve">. </w:t>
      </w:r>
      <w:r w:rsidRPr="00715482">
        <w:t xml:space="preserve">También se rectificaron varias omisiones. </w:t>
      </w:r>
      <w:r w:rsidRPr="00DD25C0">
        <w:t xml:space="preserve">Se convino asimismo en que lo más apropiado sería añadir al informe definitivo un capítulo en </w:t>
      </w:r>
      <w:r>
        <w:t xml:space="preserve">el </w:t>
      </w:r>
      <w:r w:rsidRPr="00DD25C0">
        <w:t>que se recopilasen las principales cuestiones planteadas en el curso de</w:t>
      </w:r>
      <w:r>
        <w:t xml:space="preserve"> la consulta</w:t>
      </w:r>
      <w:r w:rsidRPr="00DD25C0">
        <w:t>.</w:t>
      </w:r>
    </w:p>
    <w:p w:rsidR="000100D5" w:rsidRPr="00715482" w:rsidRDefault="000100D5" w:rsidP="000100D5">
      <w:pPr>
        <w:pStyle w:val="SingleTxtG"/>
      </w:pPr>
      <w:r w:rsidRPr="00715482">
        <w:t>483.</w:t>
      </w:r>
      <w:r w:rsidRPr="00715482">
        <w:tab/>
        <w:t xml:space="preserve">En algunos casos, varios grupos plantearon </w:t>
      </w:r>
      <w:r>
        <w:t>una objeción</w:t>
      </w:r>
      <w:r w:rsidRPr="00715482">
        <w:t xml:space="preserve">. </w:t>
      </w:r>
      <w:r>
        <w:t>Sin embargo, para evitar</w:t>
      </w:r>
      <w:r w:rsidR="005007D6">
        <w:t xml:space="preserve"> </w:t>
      </w:r>
      <w:r w:rsidRPr="00715482">
        <w:t xml:space="preserve">excesivas repeticiones, sólo se expone </w:t>
      </w:r>
      <w:r>
        <w:t>est</w:t>
      </w:r>
      <w:r w:rsidRPr="00715482">
        <w:t>a objeci</w:t>
      </w:r>
      <w:r>
        <w:t>ón una vez</w:t>
      </w:r>
      <w:r w:rsidRPr="00715482">
        <w:t xml:space="preserve">. </w:t>
      </w:r>
    </w:p>
    <w:p w:rsidR="000100D5" w:rsidRPr="006B35C1" w:rsidRDefault="000100D5" w:rsidP="000100D5">
      <w:pPr>
        <w:pStyle w:val="H1G"/>
        <w:rPr>
          <w:lang w:val="en-IE"/>
        </w:rPr>
      </w:pPr>
      <w:r w:rsidRPr="00715482">
        <w:tab/>
      </w:r>
      <w:r w:rsidRPr="006B35C1">
        <w:rPr>
          <w:lang w:val="en-IE"/>
        </w:rPr>
        <w:t>B.</w:t>
      </w:r>
      <w:r w:rsidRPr="006B35C1">
        <w:rPr>
          <w:lang w:val="en-IE"/>
        </w:rPr>
        <w:tab/>
      </w:r>
      <w:r>
        <w:rPr>
          <w:lang w:val="en-IE"/>
        </w:rPr>
        <w:t>Comentarios g</w:t>
      </w:r>
      <w:r w:rsidRPr="006B35C1">
        <w:rPr>
          <w:lang w:val="en-IE"/>
        </w:rPr>
        <w:t>eneral</w:t>
      </w:r>
      <w:r>
        <w:rPr>
          <w:lang w:val="en-IE"/>
        </w:rPr>
        <w:t>es</w:t>
      </w:r>
    </w:p>
    <w:p w:rsidR="000100D5" w:rsidRPr="003A6E13" w:rsidRDefault="000100D5" w:rsidP="000100D5">
      <w:pPr>
        <w:pStyle w:val="SingleTxtG"/>
      </w:pPr>
      <w:r w:rsidRPr="003A6E13">
        <w:t>484.</w:t>
      </w:r>
      <w:r w:rsidRPr="003A6E13">
        <w:tab/>
        <w:t xml:space="preserve">Muchos grupos comentaron que no se había hecho la suficiente publicidad de la reunión de consulta y que, </w:t>
      </w:r>
      <w:r>
        <w:t>por ese motivo, algunos</w:t>
      </w:r>
      <w:r w:rsidRPr="003A6E13">
        <w:t xml:space="preserve"> </w:t>
      </w:r>
      <w:r>
        <w:t>no habían podido enviar a un representante</w:t>
      </w:r>
      <w:r w:rsidRPr="003A6E13">
        <w:t xml:space="preserve">. También se </w:t>
      </w:r>
      <w:r>
        <w:t>expres</w:t>
      </w:r>
      <w:r w:rsidRPr="003A6E13">
        <w:t>ó la preocupación de que el proyecto de informe no se h</w:t>
      </w:r>
      <w:r>
        <w:t>u</w:t>
      </w:r>
      <w:r w:rsidRPr="003A6E13">
        <w:t>b</w:t>
      </w:r>
      <w:r>
        <w:t>iera</w:t>
      </w:r>
      <w:r w:rsidRPr="003A6E13">
        <w:t xml:space="preserve"> </w:t>
      </w:r>
      <w:r w:rsidR="005C4174" w:rsidRPr="003A6E13">
        <w:t>distribuido</w:t>
      </w:r>
      <w:r w:rsidRPr="003A6E13">
        <w:t xml:space="preserve"> con la antelaci</w:t>
      </w:r>
      <w:r>
        <w:t xml:space="preserve">ón necesaria para permitir un análisis a fondo antes de la reunión de </w:t>
      </w:r>
      <w:r w:rsidRPr="003A6E13">
        <w:t xml:space="preserve">consulta. </w:t>
      </w:r>
    </w:p>
    <w:p w:rsidR="000100D5" w:rsidRPr="007609B9" w:rsidRDefault="000100D5" w:rsidP="000100D5">
      <w:pPr>
        <w:pStyle w:val="SingleTxtG"/>
      </w:pPr>
      <w:r w:rsidRPr="003A6E13">
        <w:t>485.</w:t>
      </w:r>
      <w:r w:rsidRPr="003A6E13">
        <w:tab/>
        <w:t>Se sugirió que el racismo estaba ganando terreno en Irlanda, con un incremento de los incidentes de racismo (</w:t>
      </w:r>
      <w:r>
        <w:t>tanto a nivel</w:t>
      </w:r>
      <w:r w:rsidRPr="003A6E13">
        <w:t xml:space="preserve"> individual</w:t>
      </w:r>
      <w:r>
        <w:t xml:space="preserve"> como</w:t>
      </w:r>
      <w:r w:rsidRPr="003A6E13">
        <w:t xml:space="preserve"> comunit</w:t>
      </w:r>
      <w:r>
        <w:t>ario</w:t>
      </w:r>
      <w:r w:rsidRPr="003A6E13">
        <w:t xml:space="preserve">) </w:t>
      </w:r>
      <w:r>
        <w:t>desd</w:t>
      </w:r>
      <w:r w:rsidRPr="003A6E13">
        <w:t xml:space="preserve">e 2004. </w:t>
      </w:r>
      <w:r w:rsidRPr="007609B9">
        <w:t>Aunque se admitió que Irlanda tenía un historial más favorable que muchos países de la U</w:t>
      </w:r>
      <w:r>
        <w:t>E,</w:t>
      </w:r>
      <w:r w:rsidRPr="007609B9">
        <w:t xml:space="preserve"> </w:t>
      </w:r>
      <w:r>
        <w:t>se estaban endureciendo las</w:t>
      </w:r>
      <w:r w:rsidRPr="007609B9">
        <w:t xml:space="preserve"> a</w:t>
      </w:r>
      <w:r>
        <w:t>c</w:t>
      </w:r>
      <w:r w:rsidRPr="007609B9">
        <w:t xml:space="preserve">titudes </w:t>
      </w:r>
      <w:r>
        <w:t>debido a la crisi</w:t>
      </w:r>
      <w:r w:rsidRPr="007609B9">
        <w:t>s econ</w:t>
      </w:r>
      <w:r>
        <w:t>ó</w:t>
      </w:r>
      <w:r w:rsidRPr="007609B9">
        <w:t>mic</w:t>
      </w:r>
      <w:r>
        <w:t>a</w:t>
      </w:r>
      <w:r w:rsidRPr="007609B9">
        <w:t>.</w:t>
      </w:r>
    </w:p>
    <w:p w:rsidR="000100D5" w:rsidRPr="00BB311E" w:rsidRDefault="000100D5" w:rsidP="000100D5">
      <w:pPr>
        <w:pStyle w:val="SingleTxtG"/>
      </w:pPr>
      <w:r w:rsidRPr="00BB311E">
        <w:t>486.</w:t>
      </w:r>
      <w:r w:rsidRPr="00BB311E">
        <w:tab/>
        <w:t xml:space="preserve">Se </w:t>
      </w:r>
      <w:r>
        <w:t>pusieron de relieve los progresos</w:t>
      </w:r>
      <w:r w:rsidRPr="00BB311E">
        <w:t xml:space="preserve"> realizado</w:t>
      </w:r>
      <w:r>
        <w:t>s</w:t>
      </w:r>
      <w:r w:rsidRPr="00BB311E">
        <w:t xml:space="preserve"> desde </w:t>
      </w:r>
      <w:r>
        <w:t>la presentación al Comité para la Eliminación de todas las Formas de Discriminación Racial d</w:t>
      </w:r>
      <w:r w:rsidRPr="00BB311E">
        <w:t>el informe inicial y el segundo informe peri</w:t>
      </w:r>
      <w:r>
        <w:t>ódico combinados</w:t>
      </w:r>
      <w:r w:rsidRPr="00BB311E">
        <w:t xml:space="preserve">. Se reconoció la labor </w:t>
      </w:r>
      <w:r>
        <w:t>llevada a cabo</w:t>
      </w:r>
      <w:r w:rsidRPr="00BB311E">
        <w:t xml:space="preserve"> por el Comité Consultivo Nacional sobre el Racismo </w:t>
      </w:r>
      <w:r>
        <w:t>y el Multiculturalismo</w:t>
      </w:r>
      <w:r w:rsidRPr="00BB311E">
        <w:t xml:space="preserve"> </w:t>
      </w:r>
      <w:r>
        <w:t>dentro del marco del Plan de Acción</w:t>
      </w:r>
      <w:r w:rsidRPr="00BB311E">
        <w:t xml:space="preserve"> Na</w:t>
      </w:r>
      <w:r>
        <w:t>c</w:t>
      </w:r>
      <w:r w:rsidRPr="00BB311E">
        <w:t xml:space="preserve">ional </w:t>
      </w:r>
      <w:r>
        <w:t>contra el</w:t>
      </w:r>
      <w:r w:rsidRPr="00BB311E">
        <w:t xml:space="preserve"> Racism</w:t>
      </w:r>
      <w:r>
        <w:t>o</w:t>
      </w:r>
      <w:r w:rsidRPr="00BB311E">
        <w:t>.</w:t>
      </w:r>
    </w:p>
    <w:p w:rsidR="000100D5" w:rsidRPr="0048024B" w:rsidRDefault="000100D5" w:rsidP="000100D5">
      <w:pPr>
        <w:pStyle w:val="SingleTxtG"/>
      </w:pPr>
      <w:r w:rsidRPr="007D1ED9">
        <w:t>487.</w:t>
      </w:r>
      <w:r w:rsidRPr="007D1ED9">
        <w:tab/>
        <w:t>En el presupuesto de octubre de 2008, se tomó la decisión de dejar de financiar al Comité Consultivo Nacional sobre el Racism</w:t>
      </w:r>
      <w:r>
        <w:t>o y el</w:t>
      </w:r>
      <w:r w:rsidRPr="007D1ED9">
        <w:t xml:space="preserve"> </w:t>
      </w:r>
      <w:r>
        <w:t>Multi</w:t>
      </w:r>
      <w:r w:rsidRPr="007D1ED9">
        <w:t>culturalism</w:t>
      </w:r>
      <w:r>
        <w:t>o y se han producido restricciones en los recursos destinados a la Dirección de la</w:t>
      </w:r>
      <w:r w:rsidRPr="007D1ED9">
        <w:t xml:space="preserve"> </w:t>
      </w:r>
      <w:r>
        <w:t>Ig</w:t>
      </w:r>
      <w:r w:rsidRPr="007D1ED9">
        <w:t>ual</w:t>
      </w:r>
      <w:r>
        <w:t>dad y la Comisión de Derechos</w:t>
      </w:r>
      <w:r w:rsidRPr="007D1ED9">
        <w:t xml:space="preserve"> Human</w:t>
      </w:r>
      <w:r>
        <w:t>os</w:t>
      </w:r>
      <w:r w:rsidRPr="007D1ED9">
        <w:t xml:space="preserve">. </w:t>
      </w:r>
      <w:r w:rsidRPr="002C27B8">
        <w:t>El Grupo de Supervisión Estratégica</w:t>
      </w:r>
      <w:r>
        <w:t>,</w:t>
      </w:r>
      <w:r w:rsidRPr="002C27B8">
        <w:t xml:space="preserve"> que controla</w:t>
      </w:r>
      <w:r>
        <w:t>ba</w:t>
      </w:r>
      <w:r w:rsidRPr="002C27B8">
        <w:t xml:space="preserve"> la aplicación del Plan de Acci</w:t>
      </w:r>
      <w:r>
        <w:t>ón</w:t>
      </w:r>
      <w:r w:rsidRPr="002C27B8">
        <w:t xml:space="preserve"> Na</w:t>
      </w:r>
      <w:r>
        <w:t>c</w:t>
      </w:r>
      <w:r w:rsidRPr="002C27B8">
        <w:t xml:space="preserve">ional </w:t>
      </w:r>
      <w:r>
        <w:t>contra el</w:t>
      </w:r>
      <w:r w:rsidRPr="002C27B8">
        <w:t xml:space="preserve"> Racism</w:t>
      </w:r>
      <w:r>
        <w:t>o,</w:t>
      </w:r>
      <w:r w:rsidRPr="002C27B8">
        <w:t xml:space="preserve"> </w:t>
      </w:r>
      <w:r>
        <w:t>finalizó as</w:t>
      </w:r>
      <w:r w:rsidR="008B24B7">
        <w:t>í mismo su mandato a finales de </w:t>
      </w:r>
      <w:r w:rsidRPr="002C27B8">
        <w:t>2008. Las organizaciones no gubernamentales pusieron de manifiesto su grave preocupación por esos recortes presupuestarios y la p</w:t>
      </w:r>
      <w:r>
        <w:t>érdida</w:t>
      </w:r>
      <w:r w:rsidRPr="002C27B8">
        <w:t xml:space="preserve"> result</w:t>
      </w:r>
      <w:r>
        <w:t>a</w:t>
      </w:r>
      <w:r w:rsidRPr="002C27B8">
        <w:t>n</w:t>
      </w:r>
      <w:r>
        <w:t>te de conocimientos especializados, sobre todo en el</w:t>
      </w:r>
      <w:r w:rsidRPr="002C27B8">
        <w:t xml:space="preserve"> cas</w:t>
      </w:r>
      <w:r>
        <w:t>o del Comité Consultivo Nac</w:t>
      </w:r>
      <w:r w:rsidRPr="002C27B8">
        <w:t xml:space="preserve">ional </w:t>
      </w:r>
      <w:r>
        <w:t>sobre el</w:t>
      </w:r>
      <w:r w:rsidRPr="002C27B8">
        <w:t xml:space="preserve"> Racism</w:t>
      </w:r>
      <w:r>
        <w:t>o y el Multi</w:t>
      </w:r>
      <w:r w:rsidRPr="002C27B8">
        <w:t>culturalism</w:t>
      </w:r>
      <w:r>
        <w:t>o</w:t>
      </w:r>
      <w:r w:rsidRPr="002C27B8">
        <w:t xml:space="preserve">. </w:t>
      </w:r>
      <w:r w:rsidRPr="0076579B">
        <w:t xml:space="preserve">Se pidieron explicaciones </w:t>
      </w:r>
      <w:r>
        <w:t>acerca de</w:t>
      </w:r>
      <w:r w:rsidRPr="0076579B">
        <w:t xml:space="preserve"> las funciones del Comité Consultivo Nacional sobre el Racism</w:t>
      </w:r>
      <w:r>
        <w:t>o y el</w:t>
      </w:r>
      <w:r w:rsidRPr="0076579B">
        <w:t xml:space="preserve"> </w:t>
      </w:r>
      <w:r>
        <w:t>Multi</w:t>
      </w:r>
      <w:r w:rsidRPr="0076579B">
        <w:t>culturalism</w:t>
      </w:r>
      <w:r>
        <w:t>o que serían</w:t>
      </w:r>
      <w:r w:rsidRPr="0076579B">
        <w:t xml:space="preserve"> absorb</w:t>
      </w:r>
      <w:r>
        <w:t>idas por la</w:t>
      </w:r>
      <w:r w:rsidRPr="0076579B">
        <w:t xml:space="preserve"> Ofic</w:t>
      </w:r>
      <w:r>
        <w:t>ina</w:t>
      </w:r>
      <w:r w:rsidRPr="0076579B">
        <w:t xml:space="preserve"> </w:t>
      </w:r>
      <w:r>
        <w:t>del</w:t>
      </w:r>
      <w:r w:rsidR="005007D6">
        <w:t xml:space="preserve"> </w:t>
      </w:r>
      <w:r w:rsidRPr="0076579B">
        <w:t>Ministr</w:t>
      </w:r>
      <w:r>
        <w:t>o para la</w:t>
      </w:r>
      <w:r w:rsidRPr="0076579B">
        <w:t xml:space="preserve"> Integra</w:t>
      </w:r>
      <w:r>
        <w:t>c</w:t>
      </w:r>
      <w:r w:rsidRPr="0076579B">
        <w:t>i</w:t>
      </w:r>
      <w:r>
        <w:t>ó</w:t>
      </w:r>
      <w:r w:rsidRPr="0076579B">
        <w:t xml:space="preserve">n. Se </w:t>
      </w:r>
      <w:r>
        <w:t>consider</w:t>
      </w:r>
      <w:r w:rsidRPr="0076579B">
        <w:t>ó que se había depositado una confianza excesiva en la financiación procedente de fuentes filantr</w:t>
      </w:r>
      <w:r>
        <w:t>ó</w:t>
      </w:r>
      <w:r w:rsidRPr="0076579B">
        <w:t>pic</w:t>
      </w:r>
      <w:r>
        <w:t>as</w:t>
      </w:r>
      <w:r w:rsidRPr="0076579B">
        <w:t xml:space="preserve"> </w:t>
      </w:r>
      <w:r>
        <w:t>y se preveía una reducción de las actividades de las ONG</w:t>
      </w:r>
      <w:r w:rsidRPr="0076579B">
        <w:t xml:space="preserve">. </w:t>
      </w:r>
      <w:r w:rsidRPr="0048024B">
        <w:t xml:space="preserve">Se </w:t>
      </w:r>
      <w:r>
        <w:t>estimó</w:t>
      </w:r>
      <w:r w:rsidRPr="0048024B">
        <w:t xml:space="preserve"> que, en la actual coyuntura económica, las </w:t>
      </w:r>
      <w:r>
        <w:t>f</w:t>
      </w:r>
      <w:r w:rsidRPr="0048024B">
        <w:t>uentes filantrópicas acabar</w:t>
      </w:r>
      <w:r>
        <w:t>ía</w:t>
      </w:r>
      <w:r w:rsidRPr="0048024B">
        <w:t xml:space="preserve">n agotándose y se comentó que las </w:t>
      </w:r>
      <w:r>
        <w:t>políticas</w:t>
      </w:r>
      <w:r w:rsidRPr="0048024B">
        <w:t xml:space="preserve"> de</w:t>
      </w:r>
      <w:r>
        <w:t xml:space="preserve"> </w:t>
      </w:r>
      <w:r w:rsidRPr="0048024B">
        <w:t>financiaci</w:t>
      </w:r>
      <w:r>
        <w:t>ón de las ONG deberían</w:t>
      </w:r>
      <w:r w:rsidRPr="0048024B">
        <w:t xml:space="preserve"> refle</w:t>
      </w:r>
      <w:r>
        <w:t>jar esas tendencias.</w:t>
      </w:r>
    </w:p>
    <w:p w:rsidR="000100D5" w:rsidRPr="00112BAB" w:rsidRDefault="000100D5" w:rsidP="000100D5">
      <w:pPr>
        <w:pStyle w:val="SingleTxtG"/>
      </w:pPr>
      <w:r w:rsidRPr="00112BAB">
        <w:t>488.</w:t>
      </w:r>
      <w:r w:rsidRPr="00112BAB">
        <w:tab/>
        <w:t>Se solicitó una mayor promoción y sensibilización respecto de</w:t>
      </w:r>
      <w:r>
        <w:t xml:space="preserve"> </w:t>
      </w:r>
      <w:r w:rsidRPr="00112BAB">
        <w:t>l</w:t>
      </w:r>
      <w:r>
        <w:t>a</w:t>
      </w:r>
      <w:r w:rsidRPr="00112BAB">
        <w:t xml:space="preserve"> Co</w:t>
      </w:r>
      <w:r>
        <w:t>nvención</w:t>
      </w:r>
      <w:r w:rsidRPr="00112BAB">
        <w:t xml:space="preserve"> en el sector público y ante la opini</w:t>
      </w:r>
      <w:r>
        <w:t>ón</w:t>
      </w:r>
      <w:r w:rsidRPr="00112BAB">
        <w:t xml:space="preserve"> p</w:t>
      </w:r>
      <w:r>
        <w:t>ú</w:t>
      </w:r>
      <w:r w:rsidRPr="00112BAB">
        <w:t>blic</w:t>
      </w:r>
      <w:r>
        <w:t>a</w:t>
      </w:r>
      <w:r w:rsidRPr="00112BAB">
        <w:t xml:space="preserve"> </w:t>
      </w:r>
      <w:r>
        <w:t>e</w:t>
      </w:r>
      <w:r w:rsidRPr="00112BAB">
        <w:t>n general</w:t>
      </w:r>
      <w:r>
        <w:t>.</w:t>
      </w:r>
      <w:r w:rsidRPr="00112BAB">
        <w:t xml:space="preserve"> </w:t>
      </w:r>
    </w:p>
    <w:p w:rsidR="000100D5" w:rsidRPr="00112BAB" w:rsidRDefault="000100D5" w:rsidP="000100D5">
      <w:pPr>
        <w:pStyle w:val="H23G"/>
      </w:pPr>
      <w:r w:rsidRPr="00112BAB">
        <w:tab/>
        <w:t>1.</w:t>
      </w:r>
      <w:r w:rsidRPr="00112BAB">
        <w:tab/>
        <w:t>Derechos humanos, igualdad y antirracismo</w:t>
      </w:r>
    </w:p>
    <w:p w:rsidR="000100D5" w:rsidRPr="00FF4F4B" w:rsidRDefault="000100D5" w:rsidP="000100D5">
      <w:pPr>
        <w:pStyle w:val="SingleTxtG"/>
      </w:pPr>
      <w:r w:rsidRPr="00112BAB">
        <w:t>489.</w:t>
      </w:r>
      <w:r w:rsidRPr="00112BAB">
        <w:tab/>
      </w:r>
      <w:r>
        <w:t xml:space="preserve">Los grupos pro </w:t>
      </w:r>
      <w:r w:rsidRPr="00112BAB">
        <w:t>derechos humanos declararon que el Estado no intentaba debidamente incorporar la Convenci</w:t>
      </w:r>
      <w:r>
        <w:t>ón al derecho interno irlandés</w:t>
      </w:r>
      <w:r w:rsidRPr="00112BAB">
        <w:t xml:space="preserve">. </w:t>
      </w:r>
      <w:r w:rsidRPr="00FF4F4B">
        <w:t xml:space="preserve">En su </w:t>
      </w:r>
      <w:r w:rsidR="005C4174" w:rsidRPr="00FF4F4B">
        <w:t>opinión</w:t>
      </w:r>
      <w:r w:rsidRPr="00FF4F4B">
        <w:t>, sería fácil de hacer a nivel constitucional o subconstitucional de la legislación</w:t>
      </w:r>
      <w:r>
        <w:t>,</w:t>
      </w:r>
      <w:r w:rsidRPr="00FF4F4B">
        <w:t xml:space="preserve"> como hab</w:t>
      </w:r>
      <w:r>
        <w:t>ía ocurrido en el caso de la</w:t>
      </w:r>
      <w:r w:rsidRPr="00FF4F4B">
        <w:t xml:space="preserve"> </w:t>
      </w:r>
      <w:r>
        <w:t xml:space="preserve">Ley sobre el Convenio </w:t>
      </w:r>
      <w:r w:rsidRPr="00FF4F4B">
        <w:t>Europe</w:t>
      </w:r>
      <w:r>
        <w:t>o</w:t>
      </w:r>
      <w:r w:rsidRPr="00FF4F4B">
        <w:t xml:space="preserve"> </w:t>
      </w:r>
      <w:r>
        <w:t>de Derechos Humanos, de</w:t>
      </w:r>
      <w:r w:rsidRPr="00FF4F4B">
        <w:t xml:space="preserve"> 2003.</w:t>
      </w:r>
    </w:p>
    <w:p w:rsidR="000100D5" w:rsidRPr="00FF4F4B" w:rsidRDefault="000100D5" w:rsidP="000100D5">
      <w:pPr>
        <w:pStyle w:val="SingleTxtG"/>
      </w:pPr>
      <w:r w:rsidRPr="00FF4F4B">
        <w:t>490.</w:t>
      </w:r>
      <w:r w:rsidRPr="00FF4F4B">
        <w:tab/>
        <w:t xml:space="preserve">Los grupos </w:t>
      </w:r>
      <w:r>
        <w:t>pro</w:t>
      </w:r>
      <w:r w:rsidRPr="00FF4F4B">
        <w:t xml:space="preserve"> derechos humanos creían que la reserva al artículo 4 de la Convención, formulada por el Estado irlandés</w:t>
      </w:r>
      <w:r>
        <w:t>,</w:t>
      </w:r>
      <w:r w:rsidRPr="00FF4F4B">
        <w:t xml:space="preserve"> era </w:t>
      </w:r>
      <w:r>
        <w:t>i</w:t>
      </w:r>
      <w:r w:rsidRPr="00FF4F4B">
        <w:t>nnecesar</w:t>
      </w:r>
      <w:r>
        <w:t>ia</w:t>
      </w:r>
      <w:r w:rsidRPr="00FF4F4B">
        <w:t xml:space="preserve"> </w:t>
      </w:r>
      <w:r>
        <w:t>y pusieron en tela de juicio los esfuerzos realizados para</w:t>
      </w:r>
      <w:r w:rsidRPr="00FF4F4B">
        <w:t xml:space="preserve"> examin</w:t>
      </w:r>
      <w:r>
        <w:t>ar y</w:t>
      </w:r>
      <w:r w:rsidRPr="00FF4F4B">
        <w:t xml:space="preserve"> revi</w:t>
      </w:r>
      <w:r>
        <w:t>sar esa</w:t>
      </w:r>
      <w:r w:rsidRPr="00FF4F4B">
        <w:t xml:space="preserve"> reserva.</w:t>
      </w:r>
    </w:p>
    <w:p w:rsidR="000100D5" w:rsidRPr="00FF4F4B" w:rsidRDefault="000100D5" w:rsidP="000100D5">
      <w:pPr>
        <w:pStyle w:val="SingleTxtG"/>
      </w:pPr>
      <w:r w:rsidRPr="00FF4F4B">
        <w:t>491.</w:t>
      </w:r>
      <w:r w:rsidRPr="00FF4F4B">
        <w:tab/>
        <w:t xml:space="preserve">Aunque reconocían el valor de la capacitación impartida por el ACNUR a los funcionarios de inmigración, los grupos </w:t>
      </w:r>
      <w:r>
        <w:t>pro</w:t>
      </w:r>
      <w:r w:rsidRPr="00FF4F4B">
        <w:t xml:space="preserve"> derechos humanos recomendaron incluir en el informe </w:t>
      </w:r>
      <w:r>
        <w:t>e</w:t>
      </w:r>
      <w:r w:rsidRPr="00FF4F4B">
        <w:t xml:space="preserve">stadísticas </w:t>
      </w:r>
      <w:r>
        <w:t>sobre la negativa a autorizar la entrada en el país, basada en la</w:t>
      </w:r>
      <w:r w:rsidRPr="00FF4F4B">
        <w:t xml:space="preserve"> na</w:t>
      </w:r>
      <w:r>
        <w:t>c</w:t>
      </w:r>
      <w:r w:rsidRPr="00FF4F4B">
        <w:t>ionali</w:t>
      </w:r>
      <w:r>
        <w:t>dad</w:t>
      </w:r>
      <w:r w:rsidRPr="00FF4F4B">
        <w:t>.</w:t>
      </w:r>
    </w:p>
    <w:p w:rsidR="000100D5" w:rsidRPr="0018265A" w:rsidRDefault="000100D5" w:rsidP="000100D5">
      <w:pPr>
        <w:pStyle w:val="SingleTxtG"/>
      </w:pPr>
      <w:r w:rsidRPr="0018265A">
        <w:t>492.</w:t>
      </w:r>
      <w:r w:rsidRPr="0018265A">
        <w:tab/>
        <w:t>En el tercer y cuarto informes periódicos de Irlanda al Comité</w:t>
      </w:r>
      <w:r>
        <w:t>,</w:t>
      </w:r>
      <w:r w:rsidRPr="0018265A">
        <w:t xml:space="preserve"> se debería proporcionar </w:t>
      </w:r>
      <w:r>
        <w:t xml:space="preserve">también </w:t>
      </w:r>
      <w:r w:rsidRPr="0018265A">
        <w:t>información sobre cualquier propuesta de elimina</w:t>
      </w:r>
      <w:r>
        <w:t>r la</w:t>
      </w:r>
      <w:r w:rsidRPr="0018265A">
        <w:t xml:space="preserve"> discrimina</w:t>
      </w:r>
      <w:r>
        <w:t>c</w:t>
      </w:r>
      <w:r w:rsidRPr="0018265A">
        <w:t>i</w:t>
      </w:r>
      <w:r>
        <w:t>ó</w:t>
      </w:r>
      <w:r w:rsidRPr="0018265A">
        <w:t xml:space="preserve">n </w:t>
      </w:r>
      <w:r>
        <w:t>e</w:t>
      </w:r>
      <w:r w:rsidRPr="0018265A">
        <w:t>n</w:t>
      </w:r>
      <w:r>
        <w:t xml:space="preserve"> el ingreso en las escuelas,</w:t>
      </w:r>
      <w:r w:rsidRPr="0018265A">
        <w:t xml:space="preserve"> </w:t>
      </w:r>
      <w:r>
        <w:t>en</w:t>
      </w:r>
      <w:r w:rsidRPr="0018265A">
        <w:t xml:space="preserve"> referenc</w:t>
      </w:r>
      <w:r>
        <w:t>ia</w:t>
      </w:r>
      <w:r w:rsidRPr="0018265A">
        <w:t xml:space="preserve"> </w:t>
      </w:r>
      <w:r>
        <w:t>al carácter confesional del sistema educativo</w:t>
      </w:r>
      <w:r w:rsidRPr="0018265A">
        <w:t xml:space="preserve"> </w:t>
      </w:r>
      <w:r>
        <w:t>i</w:t>
      </w:r>
      <w:r w:rsidRPr="0018265A">
        <w:t>r</w:t>
      </w:r>
      <w:r>
        <w:t>landés, así como facilitar datos</w:t>
      </w:r>
      <w:r w:rsidRPr="0018265A">
        <w:t xml:space="preserve"> </w:t>
      </w:r>
      <w:r>
        <w:t>e</w:t>
      </w:r>
      <w:r w:rsidRPr="0018265A">
        <w:t>sta</w:t>
      </w:r>
      <w:r>
        <w:t>dí</w:t>
      </w:r>
      <w:r w:rsidRPr="0018265A">
        <w:t>stic</w:t>
      </w:r>
      <w:r>
        <w:t>o</w:t>
      </w:r>
      <w:r w:rsidRPr="0018265A">
        <w:t xml:space="preserve">s </w:t>
      </w:r>
      <w:r>
        <w:t>s</w:t>
      </w:r>
      <w:r w:rsidRPr="0018265A">
        <w:t>o</w:t>
      </w:r>
      <w:r>
        <w:t>bre ese aspecto</w:t>
      </w:r>
      <w:r w:rsidRPr="0018265A">
        <w:t xml:space="preserve">. </w:t>
      </w:r>
    </w:p>
    <w:p w:rsidR="000100D5" w:rsidRPr="00095C94" w:rsidRDefault="000100D5" w:rsidP="000100D5">
      <w:pPr>
        <w:pStyle w:val="SingleTxtG"/>
      </w:pPr>
      <w:r w:rsidRPr="00095C94">
        <w:t>493.</w:t>
      </w:r>
      <w:r w:rsidRPr="00095C94">
        <w:tab/>
        <w:t>Convendría ampliar los datos incluidos en el informe acerca de las medidas tomadas para atender</w:t>
      </w:r>
      <w:r>
        <w:t xml:space="preserve"> </w:t>
      </w:r>
      <w:r w:rsidRPr="00095C94">
        <w:t>las necesidades especiales de las minor</w:t>
      </w:r>
      <w:r>
        <w:t>ías y otros grupos</w:t>
      </w:r>
      <w:r w:rsidRPr="00095C94">
        <w:t xml:space="preserve"> vulnerable</w:t>
      </w:r>
      <w:r>
        <w:t>s</w:t>
      </w:r>
      <w:r w:rsidRPr="00095C94">
        <w:t xml:space="preserve"> </w:t>
      </w:r>
      <w:r>
        <w:t>como las mujeres nómadas</w:t>
      </w:r>
      <w:r w:rsidRPr="00095C94">
        <w:t xml:space="preserve">, </w:t>
      </w:r>
      <w:r>
        <w:t xml:space="preserve">los </w:t>
      </w:r>
      <w:r w:rsidRPr="00095C94">
        <w:t>migrant</w:t>
      </w:r>
      <w:r>
        <w:t>e</w:t>
      </w:r>
      <w:r w:rsidRPr="00095C94">
        <w:t>s, refug</w:t>
      </w:r>
      <w:r>
        <w:t>iados y solicitantes de asilo, a fin de hacer frente a las</w:t>
      </w:r>
      <w:r w:rsidRPr="00095C94">
        <w:t xml:space="preserve"> m</w:t>
      </w:r>
      <w:r>
        <w:t>ú</w:t>
      </w:r>
      <w:r w:rsidRPr="00095C94">
        <w:t>ltiple</w:t>
      </w:r>
      <w:r>
        <w:t>s</w:t>
      </w:r>
      <w:r w:rsidRPr="00095C94">
        <w:t xml:space="preserve"> discrimina</w:t>
      </w:r>
      <w:r>
        <w:t>c</w:t>
      </w:r>
      <w:r w:rsidRPr="00095C94">
        <w:t>ion</w:t>
      </w:r>
      <w:r>
        <w:t>e</w:t>
      </w:r>
      <w:r w:rsidRPr="00095C94">
        <w:t xml:space="preserve">s </w:t>
      </w:r>
      <w:r>
        <w:t xml:space="preserve">que estos grupos </w:t>
      </w:r>
      <w:r w:rsidRPr="00095C94">
        <w:t>experi</w:t>
      </w:r>
      <w:r>
        <w:t>m</w:t>
      </w:r>
      <w:r w:rsidRPr="00095C94">
        <w:t>en</w:t>
      </w:r>
      <w:r>
        <w:t>tan</w:t>
      </w:r>
      <w:r w:rsidRPr="00095C94">
        <w:t>.</w:t>
      </w:r>
    </w:p>
    <w:p w:rsidR="000100D5" w:rsidRPr="00DA1EA6" w:rsidRDefault="000100D5" w:rsidP="000100D5">
      <w:pPr>
        <w:pStyle w:val="SingleTxtG"/>
      </w:pPr>
      <w:r w:rsidRPr="00DA1EA6">
        <w:t>494.</w:t>
      </w:r>
      <w:r w:rsidRPr="00DA1EA6">
        <w:tab/>
        <w:t xml:space="preserve">Se expresó la preocupación que suscitaban los actuales retrasos, muy </w:t>
      </w:r>
      <w:r>
        <w:t>prolongados</w:t>
      </w:r>
      <w:r w:rsidRPr="00DA1EA6">
        <w:t>, en el nombramiento de los funcionarios que trabajan en el ámbito de la igualdad, la programaci</w:t>
      </w:r>
      <w:r>
        <w:t>ón de las vistas y la formulación de</w:t>
      </w:r>
      <w:r w:rsidRPr="00DA1EA6">
        <w:t xml:space="preserve"> recomenda</w:t>
      </w:r>
      <w:r>
        <w:t>c</w:t>
      </w:r>
      <w:r w:rsidRPr="00DA1EA6">
        <w:t>ion</w:t>
      </w:r>
      <w:r>
        <w:t>e</w:t>
      </w:r>
      <w:r w:rsidRPr="00DA1EA6">
        <w:t xml:space="preserve">s </w:t>
      </w:r>
      <w:r>
        <w:t>e</w:t>
      </w:r>
      <w:r w:rsidRPr="00DA1EA6">
        <w:t xml:space="preserve">n </w:t>
      </w:r>
      <w:r>
        <w:t>el</w:t>
      </w:r>
      <w:r w:rsidRPr="00DA1EA6">
        <w:t xml:space="preserve"> Tribunal</w:t>
      </w:r>
      <w:r>
        <w:t xml:space="preserve"> de la Igualdad</w:t>
      </w:r>
      <w:r w:rsidRPr="00DA1EA6">
        <w:t xml:space="preserve">. Se </w:t>
      </w:r>
      <w:r>
        <w:t>indicó</w:t>
      </w:r>
      <w:r w:rsidRPr="00DA1EA6">
        <w:t xml:space="preserve"> también que los actuales límites financieros impuestos a las indemnizaciones m</w:t>
      </w:r>
      <w:r>
        <w:t>áximas</w:t>
      </w:r>
      <w:r w:rsidRPr="00DA1EA6">
        <w:t xml:space="preserve"> </w:t>
      </w:r>
      <w:r>
        <w:t>podían repercutir en la falta de eficacia y de efecto</w:t>
      </w:r>
      <w:r w:rsidRPr="00DA1EA6">
        <w:t xml:space="preserve"> disuas</w:t>
      </w:r>
      <w:r>
        <w:t>or de los recursos</w:t>
      </w:r>
      <w:r w:rsidRPr="00DA1EA6">
        <w:t>.</w:t>
      </w:r>
    </w:p>
    <w:p w:rsidR="000100D5" w:rsidRPr="00AC7ECA" w:rsidRDefault="000100D5" w:rsidP="000100D5">
      <w:pPr>
        <w:pStyle w:val="SingleTxtG"/>
      </w:pPr>
      <w:r w:rsidRPr="00AC7ECA">
        <w:t>495.</w:t>
      </w:r>
      <w:r w:rsidRPr="00AC7ECA">
        <w:tab/>
        <w:t>Se comentó que había un gran número de quejas por discriminación contra las entidades públicas.</w:t>
      </w:r>
    </w:p>
    <w:p w:rsidR="000100D5" w:rsidRPr="00AC7ECA" w:rsidRDefault="000100D5" w:rsidP="000100D5">
      <w:pPr>
        <w:pStyle w:val="SingleTxtG"/>
      </w:pPr>
      <w:r w:rsidRPr="00AC7ECA">
        <w:t>496.</w:t>
      </w:r>
      <w:r w:rsidRPr="00AC7ECA">
        <w:tab/>
        <w:t>En cuanto a la incorporación de los principios de igualdad e integración, se propuso que cualquier nueva pol</w:t>
      </w:r>
      <w:r>
        <w:t xml:space="preserve">ítica </w:t>
      </w:r>
      <w:r w:rsidRPr="00AC7ECA">
        <w:t>d</w:t>
      </w:r>
      <w:r>
        <w:t>ebía articularse explícitamente de conformidad con la Ley sobre la igualdad de condición e incluir las funciones estatales</w:t>
      </w:r>
      <w:r w:rsidRPr="00AC7ECA">
        <w:t>. Por ejemplo, en las nuevas leyes sobre inmigración deb</w:t>
      </w:r>
      <w:r>
        <w:t>ía</w:t>
      </w:r>
      <w:r w:rsidRPr="00AC7ECA">
        <w:t xml:space="preserve"> ampliarse la definición de los servicios</w:t>
      </w:r>
      <w:r>
        <w:t>,</w:t>
      </w:r>
      <w:r w:rsidRPr="00AC7ECA">
        <w:t xml:space="preserve"> para dar cabida a las funcion</w:t>
      </w:r>
      <w:r>
        <w:t>e</w:t>
      </w:r>
      <w:r w:rsidRPr="00AC7ECA">
        <w:t xml:space="preserve">s </w:t>
      </w:r>
      <w:r>
        <w:t>del Es</w:t>
      </w:r>
      <w:r w:rsidRPr="00AC7ECA">
        <w:t>ta</w:t>
      </w:r>
      <w:r>
        <w:t>do, a fin de englobar el control de la</w:t>
      </w:r>
      <w:r w:rsidRPr="00AC7ECA">
        <w:t xml:space="preserve"> i</w:t>
      </w:r>
      <w:r>
        <w:t>n</w:t>
      </w:r>
      <w:r w:rsidRPr="00AC7ECA">
        <w:t>migra</w:t>
      </w:r>
      <w:r>
        <w:t>c</w:t>
      </w:r>
      <w:r w:rsidRPr="00AC7ECA">
        <w:t>i</w:t>
      </w:r>
      <w:r>
        <w:t>ó</w:t>
      </w:r>
      <w:r w:rsidRPr="00AC7ECA">
        <w:t xml:space="preserve">n </w:t>
      </w:r>
      <w:r>
        <w:t>y los poderes</w:t>
      </w:r>
      <w:r w:rsidRPr="00AC7ECA">
        <w:t xml:space="preserve"> polic</w:t>
      </w:r>
      <w:r>
        <w:t>iales en el ámbito de las Leyes sobre la igualdad de condición</w:t>
      </w:r>
      <w:r w:rsidRPr="00AC7ECA">
        <w:t>.</w:t>
      </w:r>
    </w:p>
    <w:p w:rsidR="000100D5" w:rsidRPr="006B35C1" w:rsidRDefault="000100D5" w:rsidP="000100D5">
      <w:pPr>
        <w:pStyle w:val="H23G"/>
        <w:rPr>
          <w:lang w:val="en-IE"/>
        </w:rPr>
      </w:pPr>
      <w:r w:rsidRPr="00AC7ECA">
        <w:tab/>
      </w:r>
      <w:r w:rsidRPr="006B35C1">
        <w:rPr>
          <w:lang w:val="en-IE"/>
        </w:rPr>
        <w:t>2.</w:t>
      </w:r>
      <w:r w:rsidRPr="006B35C1">
        <w:rPr>
          <w:lang w:val="en-IE"/>
        </w:rPr>
        <w:tab/>
      </w:r>
      <w:r>
        <w:rPr>
          <w:lang w:val="en-IE"/>
        </w:rPr>
        <w:t>C</w:t>
      </w:r>
      <w:r w:rsidRPr="006B35C1">
        <w:rPr>
          <w:lang w:val="en-IE"/>
        </w:rPr>
        <w:t>omuni</w:t>
      </w:r>
      <w:r>
        <w:rPr>
          <w:lang w:val="en-IE"/>
        </w:rPr>
        <w:t>dad nómada</w:t>
      </w:r>
    </w:p>
    <w:p w:rsidR="000100D5" w:rsidRPr="00295EA9" w:rsidRDefault="000100D5" w:rsidP="000100D5">
      <w:pPr>
        <w:pStyle w:val="SingleTxtG"/>
      </w:pPr>
      <w:r w:rsidRPr="00295EA9">
        <w:t>497.</w:t>
      </w:r>
      <w:r w:rsidRPr="00295EA9">
        <w:tab/>
        <w:t xml:space="preserve">Los grupos nómadas reconocieron los avances logrados desde el informe inicial y el segundo informe periódico de Irlanda, en especial </w:t>
      </w:r>
      <w:r>
        <w:t>e</w:t>
      </w:r>
      <w:r w:rsidRPr="00295EA9">
        <w:t>n rela</w:t>
      </w:r>
      <w:r>
        <w:t>c</w:t>
      </w:r>
      <w:r w:rsidRPr="00295EA9">
        <w:t>i</w:t>
      </w:r>
      <w:r>
        <w:t>ó</w:t>
      </w:r>
      <w:r w:rsidRPr="00295EA9">
        <w:t xml:space="preserve">n </w:t>
      </w:r>
      <w:r>
        <w:t>con el alojamiento y la</w:t>
      </w:r>
      <w:r w:rsidRPr="00295EA9">
        <w:t xml:space="preserve"> educa</w:t>
      </w:r>
      <w:r>
        <w:t>c</w:t>
      </w:r>
      <w:r w:rsidRPr="00295EA9">
        <w:t>i</w:t>
      </w:r>
      <w:r>
        <w:t>ó</w:t>
      </w:r>
      <w:r w:rsidRPr="00295EA9">
        <w:t xml:space="preserve">n. Sin embargo, a pesar de esas mejoras, </w:t>
      </w:r>
      <w:r>
        <w:t>los</w:t>
      </w:r>
      <w:r w:rsidRPr="00295EA9">
        <w:t xml:space="preserve"> progreso</w:t>
      </w:r>
      <w:r>
        <w:t>s</w:t>
      </w:r>
      <w:r w:rsidRPr="00295EA9">
        <w:t xml:space="preserve"> </w:t>
      </w:r>
      <w:r>
        <w:t xml:space="preserve">realizados </w:t>
      </w:r>
      <w:r w:rsidRPr="00295EA9">
        <w:t>no respond</w:t>
      </w:r>
      <w:r>
        <w:t>ían</w:t>
      </w:r>
      <w:r w:rsidRPr="00295EA9">
        <w:t xml:space="preserve"> al volumen de recursos invertido.</w:t>
      </w:r>
    </w:p>
    <w:p w:rsidR="000100D5" w:rsidRPr="00295EA9" w:rsidRDefault="000100D5" w:rsidP="000100D5">
      <w:pPr>
        <w:pStyle w:val="SingleTxtG"/>
      </w:pPr>
      <w:r w:rsidRPr="00295EA9">
        <w:t>498.</w:t>
      </w:r>
      <w:r w:rsidRPr="00295EA9">
        <w:tab/>
        <w:t>Se afirmó que se había registrado un auge del racismo experi</w:t>
      </w:r>
      <w:r>
        <w:t>m</w:t>
      </w:r>
      <w:r w:rsidRPr="00295EA9">
        <w:t>en</w:t>
      </w:r>
      <w:r>
        <w:t>tado por la comunidad nómada</w:t>
      </w:r>
      <w:r w:rsidRPr="00295EA9">
        <w:t xml:space="preserve">. </w:t>
      </w:r>
    </w:p>
    <w:p w:rsidR="000100D5" w:rsidRPr="00D8486B" w:rsidRDefault="000100D5" w:rsidP="000100D5">
      <w:pPr>
        <w:pStyle w:val="SingleTxtG"/>
      </w:pPr>
      <w:r w:rsidRPr="00D8486B">
        <w:t>499.</w:t>
      </w:r>
      <w:r w:rsidRPr="00D8486B">
        <w:tab/>
        <w:t xml:space="preserve">Los grupos de nómadas declararon también que necesitaban ser reconocidos como grupo </w:t>
      </w:r>
      <w:r>
        <w:t>étnico</w:t>
      </w:r>
      <w:r w:rsidRPr="00D8486B">
        <w:t xml:space="preserve">. A su juicio, no se habían adoptado iniciativas ni medidas concretas al respecto y el debate </w:t>
      </w:r>
      <w:r>
        <w:t>habido hasta la fecha no había sido muy amplio</w:t>
      </w:r>
      <w:r w:rsidRPr="00D8486B">
        <w:t xml:space="preserve">. </w:t>
      </w:r>
    </w:p>
    <w:p w:rsidR="000100D5" w:rsidRPr="00D8486B" w:rsidRDefault="000100D5" w:rsidP="000100D5">
      <w:pPr>
        <w:pStyle w:val="SingleTxtG"/>
      </w:pPr>
      <w:r w:rsidRPr="00D8486B">
        <w:t>500.</w:t>
      </w:r>
      <w:r w:rsidRPr="00D8486B">
        <w:tab/>
        <w:t>Se reconoció que, si bien se habían asignado cuantiosos recursos a la enseñanza de los n</w:t>
      </w:r>
      <w:r>
        <w:t>ómadas</w:t>
      </w:r>
      <w:r w:rsidRPr="00D8486B">
        <w:t xml:space="preserve">, </w:t>
      </w:r>
      <w:r>
        <w:t>los resultados, a pesar de ciertas mejoras, seguían siendo sumamente escasos</w:t>
      </w:r>
      <w:r w:rsidRPr="00D8486B">
        <w:t>. Los grupos de nómadas pidieron que se volviera convocar una reuni</w:t>
      </w:r>
      <w:r>
        <w:t>ó</w:t>
      </w:r>
      <w:r w:rsidRPr="00D8486B">
        <w:t>n del Comité Asesor sobre la educaci</w:t>
      </w:r>
      <w:r>
        <w:t>ón de los nómadas, a fin de garantizar la aplicación de la estrategia</w:t>
      </w:r>
      <w:r w:rsidRPr="00D8486B">
        <w:t xml:space="preserve"> </w:t>
      </w:r>
      <w:r>
        <w:t>de educación de la comunidad nómada</w:t>
      </w:r>
      <w:r w:rsidRPr="00D8486B">
        <w:t>.</w:t>
      </w:r>
    </w:p>
    <w:p w:rsidR="000100D5" w:rsidRPr="00F87AE7" w:rsidRDefault="000100D5" w:rsidP="000100D5">
      <w:pPr>
        <w:pStyle w:val="SingleTxtG"/>
        <w:rPr>
          <w:lang w:val="en-IE"/>
        </w:rPr>
      </w:pPr>
      <w:r w:rsidRPr="004A4E32">
        <w:t>501.</w:t>
      </w:r>
      <w:r w:rsidRPr="004A4E32">
        <w:tab/>
        <w:t>Además, los grupos de nómadas expresaron su preocupación por que la Oficina del</w:t>
      </w:r>
      <w:r w:rsidR="005007D6">
        <w:t xml:space="preserve"> </w:t>
      </w:r>
      <w:r w:rsidRPr="004A4E32">
        <w:t>Ministro para la Integración no hubiera incluid</w:t>
      </w:r>
      <w:r>
        <w:t>o a los nómadas en su ámbito de competencia en</w:t>
      </w:r>
      <w:r w:rsidRPr="004A4E32">
        <w:t xml:space="preserve"> re</w:t>
      </w:r>
      <w:r>
        <w:t>lación con las medidas</w:t>
      </w:r>
      <w:r w:rsidRPr="004A4E32">
        <w:t xml:space="preserve"> anti</w:t>
      </w:r>
      <w:r>
        <w:t>r</w:t>
      </w:r>
      <w:r w:rsidRPr="004A4E32">
        <w:t>racis</w:t>
      </w:r>
      <w:r>
        <w:t>tas</w:t>
      </w:r>
      <w:r>
        <w:rPr>
          <w:rStyle w:val="FootnoteReference"/>
          <w:lang w:val="en-IE"/>
        </w:rPr>
        <w:footnoteReference w:id="115"/>
      </w:r>
      <w:r w:rsidR="00F87AE7">
        <w:rPr>
          <w:lang w:val="en-IE"/>
        </w:rPr>
        <w:t>.</w:t>
      </w:r>
    </w:p>
    <w:p w:rsidR="000100D5" w:rsidRPr="004A4E32" w:rsidRDefault="000100D5" w:rsidP="000100D5">
      <w:pPr>
        <w:pStyle w:val="SingleTxtG"/>
      </w:pPr>
      <w:r w:rsidRPr="004A4E32">
        <w:t>502.</w:t>
      </w:r>
      <w:r w:rsidRPr="004A4E32">
        <w:tab/>
      </w:r>
      <w:r>
        <w:t>Aunque</w:t>
      </w:r>
      <w:r w:rsidRPr="004A4E32">
        <w:t xml:space="preserve"> en el proyecto de informe se indica</w:t>
      </w:r>
      <w:r>
        <w:t>ba</w:t>
      </w:r>
      <w:r w:rsidRPr="004A4E32">
        <w:t xml:space="preserve"> que no exist</w:t>
      </w:r>
      <w:r>
        <w:t>ía</w:t>
      </w:r>
      <w:r w:rsidRPr="004A4E32">
        <w:t xml:space="preserve"> segregación racial/</w:t>
      </w:r>
      <w:r w:rsidRPr="004A4E32">
        <w:rPr>
          <w:i/>
        </w:rPr>
        <w:t>apartheid</w:t>
      </w:r>
      <w:r w:rsidRPr="004A4E32">
        <w:t xml:space="preserve"> en Irlanda, los grupos de n</w:t>
      </w:r>
      <w:r>
        <w:t>ómadas mencionaron que sí se daba en la práctica y que se manifestaba</w:t>
      </w:r>
      <w:r w:rsidRPr="004A4E32">
        <w:t xml:space="preserve"> especial</w:t>
      </w:r>
      <w:r>
        <w:t>mente en la existencia de oficinas separadas de seguridad</w:t>
      </w:r>
      <w:r w:rsidRPr="004A4E32">
        <w:t xml:space="preserve"> social</w:t>
      </w:r>
      <w:r>
        <w:t>, centros de formación y de suministro de</w:t>
      </w:r>
      <w:r w:rsidRPr="004A4E32">
        <w:t xml:space="preserve"> servic</w:t>
      </w:r>
      <w:r>
        <w:t>io</w:t>
      </w:r>
      <w:r w:rsidRPr="004A4E32">
        <w:t xml:space="preserve">s </w:t>
      </w:r>
      <w:r>
        <w:t xml:space="preserve">distintos para ellos. </w:t>
      </w:r>
    </w:p>
    <w:p w:rsidR="000100D5" w:rsidRPr="00B271A6" w:rsidRDefault="000100D5" w:rsidP="000100D5">
      <w:pPr>
        <w:pStyle w:val="SingleTxtG"/>
      </w:pPr>
      <w:r w:rsidRPr="00B271A6">
        <w:t>503.</w:t>
      </w:r>
      <w:r w:rsidRPr="00B271A6">
        <w:tab/>
        <w:t xml:space="preserve">Los grupos de nómadas declararon que la Ley de vivienda (disposiciones misceláneas) de 2002, </w:t>
      </w:r>
      <w:r>
        <w:t>denominada habitualmente Ley</w:t>
      </w:r>
      <w:r w:rsidRPr="00B271A6">
        <w:t xml:space="preserve"> </w:t>
      </w:r>
      <w:r>
        <w:t>a</w:t>
      </w:r>
      <w:r w:rsidRPr="00B271A6">
        <w:t>nti</w:t>
      </w:r>
      <w:r>
        <w:t>entrada ilegal,</w:t>
      </w:r>
      <w:r w:rsidRPr="00B271A6">
        <w:t xml:space="preserve"> </w:t>
      </w:r>
      <w:r>
        <w:t>tipificaba como delito el nomadismo, mientras que antes era sólo un ilícito civil</w:t>
      </w:r>
      <w:r w:rsidRPr="00B271A6">
        <w:t xml:space="preserve">. </w:t>
      </w:r>
    </w:p>
    <w:p w:rsidR="000100D5" w:rsidRPr="00FF7A91" w:rsidRDefault="000100D5" w:rsidP="000100D5">
      <w:pPr>
        <w:pStyle w:val="SingleTxtG"/>
      </w:pPr>
      <w:r w:rsidRPr="007235AF">
        <w:t>504.</w:t>
      </w:r>
      <w:r w:rsidRPr="007235AF">
        <w:tab/>
        <w:t xml:space="preserve">Se afirmó que era menester supervisar </w:t>
      </w:r>
      <w:r>
        <w:t xml:space="preserve">estrechamente </w:t>
      </w:r>
      <w:r w:rsidRPr="007235AF">
        <w:t xml:space="preserve">la </w:t>
      </w:r>
      <w:r>
        <w:t xml:space="preserve">aplicación de la </w:t>
      </w:r>
      <w:r w:rsidRPr="007235AF">
        <w:t>legislación</w:t>
      </w:r>
      <w:r>
        <w:t>, porque, a menos que se opusiera resistencia a la orden de marcharse, no quedaba constancia de su uso</w:t>
      </w:r>
      <w:r w:rsidRPr="007235AF">
        <w:t xml:space="preserve">. </w:t>
      </w:r>
      <w:r w:rsidRPr="00FF7A91">
        <w:t>A pes</w:t>
      </w:r>
      <w:r>
        <w:t>a</w:t>
      </w:r>
      <w:r w:rsidRPr="00FF7A91">
        <w:t xml:space="preserve">r de que a los nómadas les gustaría que se derogara la Ley de entrada </w:t>
      </w:r>
      <w:r>
        <w:t>il</w:t>
      </w:r>
      <w:r w:rsidRPr="00FF7A91">
        <w:t xml:space="preserve">egal, entre tanto </w:t>
      </w:r>
      <w:r w:rsidR="005C4174" w:rsidRPr="00FF7A91">
        <w:t>solicitaban</w:t>
      </w:r>
      <w:r w:rsidR="005C4174">
        <w:t xml:space="preserve"> que</w:t>
      </w:r>
      <w:r>
        <w:t xml:space="preserve"> se les facilitaran más alojamientos temporales</w:t>
      </w:r>
      <w:r w:rsidRPr="00FF7A91">
        <w:t xml:space="preserve">. </w:t>
      </w:r>
    </w:p>
    <w:p w:rsidR="000100D5" w:rsidRPr="00B80843" w:rsidRDefault="000100D5" w:rsidP="000100D5">
      <w:pPr>
        <w:pStyle w:val="SingleTxtG"/>
      </w:pPr>
      <w:r w:rsidRPr="00FF7A91">
        <w:t>505.</w:t>
      </w:r>
      <w:r w:rsidRPr="00FF7A91">
        <w:tab/>
        <w:t xml:space="preserve">Se consideró que la </w:t>
      </w:r>
      <w:r>
        <w:t>falta</w:t>
      </w:r>
      <w:r w:rsidRPr="00FF7A91">
        <w:t xml:space="preserve"> de cualquier referencia a la comunidad roman</w:t>
      </w:r>
      <w:r>
        <w:t>í</w:t>
      </w:r>
      <w:r w:rsidRPr="00FF7A91">
        <w:t xml:space="preserve"> </w:t>
      </w:r>
      <w:r>
        <w:t>e</w:t>
      </w:r>
      <w:r w:rsidRPr="00FF7A91">
        <w:t xml:space="preserve">n </w:t>
      </w:r>
      <w:r>
        <w:t>el proyecto de informe</w:t>
      </w:r>
      <w:r w:rsidRPr="00FF7A91">
        <w:t xml:space="preserve"> </w:t>
      </w:r>
      <w:r>
        <w:t>constituía una omisión flagrante</w:t>
      </w:r>
      <w:r w:rsidRPr="00FF7A91">
        <w:t xml:space="preserve">. </w:t>
      </w:r>
      <w:r w:rsidRPr="00B80843">
        <w:t xml:space="preserve">Se sugirió que en Irlanda había una </w:t>
      </w:r>
      <w:r>
        <w:t xml:space="preserve">importante </w:t>
      </w:r>
      <w:r w:rsidRPr="00B80843">
        <w:t xml:space="preserve">comunidad </w:t>
      </w:r>
      <w:r>
        <w:t>reconocida</w:t>
      </w:r>
      <w:r w:rsidR="008B24B7">
        <w:t>, de aproximadamente 5.</w:t>
      </w:r>
      <w:r w:rsidRPr="00B80843">
        <w:t>000 romaníes</w:t>
      </w:r>
      <w:r>
        <w:t>,</w:t>
      </w:r>
      <w:r w:rsidRPr="00B80843">
        <w:t xml:space="preserve"> </w:t>
      </w:r>
      <w:r>
        <w:t>con muchos</w:t>
      </w:r>
      <w:r w:rsidRPr="00B80843">
        <w:t xml:space="preserve"> problem</w:t>
      </w:r>
      <w:r>
        <w:t>a</w:t>
      </w:r>
      <w:r w:rsidRPr="00B80843">
        <w:t xml:space="preserve">s, </w:t>
      </w:r>
      <w:r>
        <w:t>como p</w:t>
      </w:r>
      <w:r w:rsidRPr="00B80843">
        <w:t>or e</w:t>
      </w:r>
      <w:r>
        <w:t>jem</w:t>
      </w:r>
      <w:r w:rsidRPr="00B80843">
        <w:t>pl</w:t>
      </w:r>
      <w:r>
        <w:t>o</w:t>
      </w:r>
      <w:r w:rsidRPr="00B80843">
        <w:t xml:space="preserve">, </w:t>
      </w:r>
      <w:r>
        <w:t>los</w:t>
      </w:r>
      <w:r w:rsidRPr="00B80843">
        <w:t xml:space="preserve"> rela</w:t>
      </w:r>
      <w:r>
        <w:t>c</w:t>
      </w:r>
      <w:r w:rsidRPr="00B80843">
        <w:t>ion</w:t>
      </w:r>
      <w:r>
        <w:t>ados con el</w:t>
      </w:r>
      <w:r w:rsidRPr="00B80843">
        <w:t xml:space="preserve"> acces</w:t>
      </w:r>
      <w:r>
        <w:t>o</w:t>
      </w:r>
      <w:r w:rsidRPr="00B80843">
        <w:t xml:space="preserve"> </w:t>
      </w:r>
      <w:r>
        <w:t xml:space="preserve">a la vivienda y a la atención de salud, </w:t>
      </w:r>
      <w:r w:rsidRPr="00B80843">
        <w:t xml:space="preserve">etc. </w:t>
      </w:r>
    </w:p>
    <w:p w:rsidR="000100D5" w:rsidRPr="00FD7D0A" w:rsidRDefault="000100D5" w:rsidP="000100D5">
      <w:pPr>
        <w:pStyle w:val="SingleTxtG"/>
      </w:pPr>
      <w:r w:rsidRPr="00FD7D0A">
        <w:t>506.</w:t>
      </w:r>
      <w:r w:rsidRPr="00FD7D0A">
        <w:tab/>
        <w:t>La información acerca de los nómadas, que se publica</w:t>
      </w:r>
      <w:r>
        <w:t>ba</w:t>
      </w:r>
      <w:r w:rsidRPr="00FD7D0A">
        <w:t xml:space="preserve"> en un Ap</w:t>
      </w:r>
      <w:r>
        <w:t>éndice separado, debía incluirse en el cuerpo principal del informe</w:t>
      </w:r>
      <w:r w:rsidRPr="00FD7D0A">
        <w:t>.</w:t>
      </w:r>
    </w:p>
    <w:p w:rsidR="000100D5" w:rsidRPr="006B35C1" w:rsidRDefault="000100D5" w:rsidP="000100D5">
      <w:pPr>
        <w:pStyle w:val="H23G"/>
        <w:rPr>
          <w:lang w:val="en-IE"/>
        </w:rPr>
      </w:pPr>
      <w:r w:rsidRPr="00FD7D0A">
        <w:tab/>
      </w:r>
      <w:r>
        <w:rPr>
          <w:lang w:val="en-IE"/>
        </w:rPr>
        <w:t>3.</w:t>
      </w:r>
      <w:r>
        <w:rPr>
          <w:lang w:val="en-IE"/>
        </w:rPr>
        <w:tab/>
        <w:t>Derechos de los m</w:t>
      </w:r>
      <w:r w:rsidRPr="006B35C1">
        <w:rPr>
          <w:lang w:val="en-IE"/>
        </w:rPr>
        <w:t>igrant</w:t>
      </w:r>
      <w:r>
        <w:rPr>
          <w:lang w:val="en-IE"/>
        </w:rPr>
        <w:t>es</w:t>
      </w:r>
      <w:r w:rsidRPr="006B35C1">
        <w:rPr>
          <w:lang w:val="en-IE"/>
        </w:rPr>
        <w:t xml:space="preserve"> </w:t>
      </w:r>
    </w:p>
    <w:p w:rsidR="000100D5" w:rsidRPr="00FD7D0A" w:rsidRDefault="000100D5" w:rsidP="000100D5">
      <w:pPr>
        <w:pStyle w:val="SingleTxtG"/>
      </w:pPr>
      <w:r w:rsidRPr="00FD7D0A">
        <w:t>507.</w:t>
      </w:r>
      <w:r w:rsidRPr="00FD7D0A">
        <w:tab/>
        <w:t xml:space="preserve">Se comentó que muchas personas temían denunciar los incidentes de racismo por miedo a que </w:t>
      </w:r>
      <w:r>
        <w:t>repercutieran en</w:t>
      </w:r>
      <w:r w:rsidRPr="00FD7D0A">
        <w:t xml:space="preserve"> su </w:t>
      </w:r>
      <w:r>
        <w:t>situación y también porque se sentían avergonzados.</w:t>
      </w:r>
      <w:r w:rsidR="008B24B7">
        <w:t xml:space="preserve"> Por </w:t>
      </w:r>
      <w:r w:rsidRPr="00FD7D0A">
        <w:t>tanto, ha</w:t>
      </w:r>
      <w:r>
        <w:t>bía</w:t>
      </w:r>
      <w:r w:rsidRPr="00FD7D0A">
        <w:t xml:space="preserve"> que tomar más</w:t>
      </w:r>
      <w:r>
        <w:t xml:space="preserve"> </w:t>
      </w:r>
      <w:r w:rsidRPr="00FD7D0A">
        <w:t xml:space="preserve">medidas para </w:t>
      </w:r>
      <w:r>
        <w:t>fomenta</w:t>
      </w:r>
      <w:r w:rsidRPr="00FD7D0A">
        <w:t>r la denuncia de los incidentes</w:t>
      </w:r>
      <w:r>
        <w:t xml:space="preserve"> racistas</w:t>
      </w:r>
      <w:r w:rsidRPr="00FD7D0A">
        <w:t>.</w:t>
      </w:r>
    </w:p>
    <w:p w:rsidR="000100D5" w:rsidRPr="00FD7D0A" w:rsidRDefault="000100D5" w:rsidP="000100D5">
      <w:pPr>
        <w:pStyle w:val="SingleTxtG"/>
      </w:pPr>
      <w:r w:rsidRPr="00FD7D0A">
        <w:t>508.</w:t>
      </w:r>
      <w:r w:rsidRPr="00FD7D0A">
        <w:tab/>
        <w:t xml:space="preserve">En </w:t>
      </w:r>
      <w:r>
        <w:t>cuanto</w:t>
      </w:r>
      <w:r w:rsidRPr="00FD7D0A">
        <w:t xml:space="preserve"> a los progresos realizados desde el info</w:t>
      </w:r>
      <w:r>
        <w:t>r</w:t>
      </w:r>
      <w:r w:rsidRPr="00FD7D0A">
        <w:t>me de seguimiento de 2006,</w:t>
      </w:r>
      <w:r>
        <w:t xml:space="preserve"> </w:t>
      </w:r>
      <w:r w:rsidRPr="00FD7D0A">
        <w:t>se opinó que se hab</w:t>
      </w:r>
      <w:r>
        <w:t>ía avanzado</w:t>
      </w:r>
      <w:r w:rsidRPr="00FD7D0A">
        <w:t xml:space="preserve"> </w:t>
      </w:r>
      <w:r>
        <w:t>en materia de</w:t>
      </w:r>
      <w:r w:rsidRPr="00FD7D0A">
        <w:t xml:space="preserve"> pol</w:t>
      </w:r>
      <w:r>
        <w:t>íti</w:t>
      </w:r>
      <w:r w:rsidRPr="00FD7D0A">
        <w:t>c</w:t>
      </w:r>
      <w:r>
        <w:t>as, pero muy poco en la esfera de la aplicación</w:t>
      </w:r>
      <w:r w:rsidRPr="00FD7D0A">
        <w:t>.</w:t>
      </w:r>
    </w:p>
    <w:p w:rsidR="000100D5" w:rsidRPr="00DB556B" w:rsidRDefault="000100D5" w:rsidP="000100D5">
      <w:pPr>
        <w:pStyle w:val="SingleTxtG"/>
      </w:pPr>
      <w:r w:rsidRPr="00DB556B">
        <w:t>509.</w:t>
      </w:r>
      <w:r w:rsidRPr="00DB556B">
        <w:tab/>
        <w:t xml:space="preserve">Se solicitó que el Gobierno ratificara la Convención Internacional sobre la protección de los derechos de todos los trabajadores migratorios y de sus </w:t>
      </w:r>
      <w:r>
        <w:t>f</w:t>
      </w:r>
      <w:r w:rsidRPr="00DB556B">
        <w:t>amili</w:t>
      </w:r>
      <w:r>
        <w:t>as y el Convenio Nº 97 de la Organización</w:t>
      </w:r>
      <w:r w:rsidRPr="00DB556B">
        <w:t xml:space="preserve"> Interna</w:t>
      </w:r>
      <w:r>
        <w:t>c</w:t>
      </w:r>
      <w:r w:rsidRPr="00DB556B">
        <w:t xml:space="preserve">ional </w:t>
      </w:r>
      <w:r>
        <w:t xml:space="preserve">del Trabajo sobre los trabajadores migrantes </w:t>
      </w:r>
      <w:r w:rsidRPr="00DB556B">
        <w:t>(Revis</w:t>
      </w:r>
      <w:r>
        <w:t>a</w:t>
      </w:r>
      <w:r w:rsidRPr="00DB556B">
        <w:t>d</w:t>
      </w:r>
      <w:r>
        <w:t>o</w:t>
      </w:r>
      <w:r w:rsidRPr="00DB556B">
        <w:t xml:space="preserve">). </w:t>
      </w:r>
    </w:p>
    <w:p w:rsidR="000100D5" w:rsidRPr="00C34B8B" w:rsidRDefault="000100D5" w:rsidP="000100D5">
      <w:pPr>
        <w:pStyle w:val="SingleTxtG"/>
      </w:pPr>
      <w:r w:rsidRPr="00C34B8B">
        <w:t>510.</w:t>
      </w:r>
      <w:r w:rsidRPr="00C34B8B">
        <w:tab/>
        <w:t>Si bien en el proyecto de informe se hac</w:t>
      </w:r>
      <w:r>
        <w:t>ía</w:t>
      </w:r>
      <w:r w:rsidRPr="00C34B8B">
        <w:t xml:space="preserve"> referencia al informe de </w:t>
      </w:r>
      <w:r w:rsidRPr="00C34B8B">
        <w:rPr>
          <w:i/>
        </w:rPr>
        <w:t xml:space="preserve">Fitzpatrick Associates: Marco conceptual y de principios por los que se rige la </w:t>
      </w:r>
      <w:r>
        <w:rPr>
          <w:i/>
        </w:rPr>
        <w:t>aportación de fondos básicos a</w:t>
      </w:r>
      <w:r w:rsidRPr="00C34B8B">
        <w:rPr>
          <w:i/>
        </w:rPr>
        <w:t xml:space="preserve"> las organizaciones que representan a grupos </w:t>
      </w:r>
      <w:r>
        <w:rPr>
          <w:i/>
        </w:rPr>
        <w:t>étnicos minoritarios</w:t>
      </w:r>
      <w:r w:rsidRPr="00C34B8B">
        <w:rPr>
          <w:i/>
        </w:rPr>
        <w:t xml:space="preserve"> </w:t>
      </w:r>
      <w:r>
        <w:rPr>
          <w:i/>
        </w:rPr>
        <w:t>e</w:t>
      </w:r>
      <w:r w:rsidRPr="00C34B8B">
        <w:rPr>
          <w:i/>
        </w:rPr>
        <w:t>n Irland</w:t>
      </w:r>
      <w:r>
        <w:rPr>
          <w:i/>
        </w:rPr>
        <w:t>a</w:t>
      </w:r>
      <w:r w:rsidRPr="00C34B8B">
        <w:t xml:space="preserve">, </w:t>
      </w:r>
      <w:r>
        <w:t>no había datos sobre cómo podían afectar las</w:t>
      </w:r>
      <w:r w:rsidRPr="00C34B8B">
        <w:t xml:space="preserve"> recomenda</w:t>
      </w:r>
      <w:r>
        <w:t>c</w:t>
      </w:r>
      <w:r w:rsidRPr="00C34B8B">
        <w:t>ion</w:t>
      </w:r>
      <w:r>
        <w:t>e</w:t>
      </w:r>
      <w:r w:rsidRPr="00C34B8B">
        <w:t xml:space="preserve">s </w:t>
      </w:r>
      <w:r>
        <w:t>formuladas en el informe</w:t>
      </w:r>
      <w:r w:rsidRPr="00C34B8B">
        <w:t xml:space="preserve"> Fitzpatrick </w:t>
      </w:r>
      <w:r>
        <w:t>a las políticas o a la aplicación</w:t>
      </w:r>
      <w:r w:rsidRPr="00C34B8B">
        <w:t xml:space="preserve">. </w:t>
      </w:r>
    </w:p>
    <w:p w:rsidR="000100D5" w:rsidRPr="008F372B" w:rsidRDefault="000100D5" w:rsidP="000100D5">
      <w:pPr>
        <w:pStyle w:val="SingleTxtG"/>
      </w:pPr>
      <w:r w:rsidRPr="00C069F3">
        <w:t>511.</w:t>
      </w:r>
      <w:r w:rsidRPr="00C069F3">
        <w:tab/>
        <w:t>La financiación gubernamental a los grupos d</w:t>
      </w:r>
      <w:r>
        <w:t xml:space="preserve">irigidos por </w:t>
      </w:r>
      <w:r w:rsidRPr="00C069F3">
        <w:t>minorías étnicas, a través de la Ofic</w:t>
      </w:r>
      <w:r>
        <w:t>ina</w:t>
      </w:r>
      <w:r w:rsidRPr="00C069F3">
        <w:t xml:space="preserve"> </w:t>
      </w:r>
      <w:r>
        <w:t>del</w:t>
      </w:r>
      <w:r w:rsidRPr="00C069F3">
        <w:t xml:space="preserve"> Ministr</w:t>
      </w:r>
      <w:r>
        <w:t>o para la</w:t>
      </w:r>
      <w:r w:rsidRPr="00C069F3">
        <w:t xml:space="preserve"> Integra</w:t>
      </w:r>
      <w:r>
        <w:t>c</w:t>
      </w:r>
      <w:r w:rsidRPr="00C069F3">
        <w:t>i</w:t>
      </w:r>
      <w:r>
        <w:t>ó</w:t>
      </w:r>
      <w:r w:rsidRPr="00C069F3">
        <w:t>n</w:t>
      </w:r>
      <w:r>
        <w:t>,</w:t>
      </w:r>
      <w:r w:rsidRPr="00C069F3">
        <w:t xml:space="preserve"> </w:t>
      </w:r>
      <w:r>
        <w:t>se canalizaba ahora a través de las</w:t>
      </w:r>
      <w:r w:rsidRPr="00C069F3">
        <w:t xml:space="preserve"> autori</w:t>
      </w:r>
      <w:r>
        <w:t>dad</w:t>
      </w:r>
      <w:r w:rsidRPr="00C069F3">
        <w:t>es</w:t>
      </w:r>
      <w:r>
        <w:t xml:space="preserve"> locales</w:t>
      </w:r>
      <w:r w:rsidRPr="00C069F3">
        <w:t xml:space="preserve">. </w:t>
      </w:r>
      <w:r>
        <w:t>A juicio de m</w:t>
      </w:r>
      <w:r w:rsidRPr="008F372B">
        <w:t>uchas organizaciones del sector de las ONG</w:t>
      </w:r>
      <w:r>
        <w:t>,</w:t>
      </w:r>
      <w:r w:rsidRPr="008F372B">
        <w:t xml:space="preserve"> esto dificultaba el desarrollo de organizaciones dirigidas por esas minor</w:t>
      </w:r>
      <w:r>
        <w:t>ías</w:t>
      </w:r>
      <w:r w:rsidRPr="008F372B">
        <w:t>.</w:t>
      </w:r>
    </w:p>
    <w:p w:rsidR="000100D5" w:rsidRPr="008F372B" w:rsidRDefault="000100D5" w:rsidP="000100D5">
      <w:pPr>
        <w:pStyle w:val="SingleTxtG"/>
      </w:pPr>
      <w:r w:rsidRPr="008F372B">
        <w:t>512.</w:t>
      </w:r>
      <w:r w:rsidRPr="008F372B">
        <w:tab/>
        <w:t xml:space="preserve">Se suscitó la cuestión de lo que significaba el término </w:t>
      </w:r>
      <w:r w:rsidR="00C67360">
        <w:t>"</w:t>
      </w:r>
      <w:r w:rsidRPr="008F372B">
        <w:t>protección</w:t>
      </w:r>
      <w:r w:rsidR="00C67360">
        <w:t>"</w:t>
      </w:r>
      <w:r w:rsidRPr="008F372B">
        <w:t xml:space="preserve"> en el proyecto de ley de inmigración, residencia y protec</w:t>
      </w:r>
      <w:r>
        <w:t>c</w:t>
      </w:r>
      <w:r w:rsidRPr="008F372B">
        <w:t>i</w:t>
      </w:r>
      <w:r>
        <w:t>ón</w:t>
      </w:r>
      <w:r w:rsidRPr="008F372B">
        <w:t xml:space="preserve"> (2008) </w:t>
      </w:r>
      <w:r>
        <w:t>y en qué se basaba</w:t>
      </w:r>
      <w:r w:rsidRPr="008F372B">
        <w:t xml:space="preserve">. Se </w:t>
      </w:r>
      <w:r>
        <w:t>expresó</w:t>
      </w:r>
      <w:r w:rsidRPr="008F372B">
        <w:t xml:space="preserve"> la preocupación de que el proyecto de ley no proteg</w:t>
      </w:r>
      <w:r>
        <w:t xml:space="preserve">ía a </w:t>
      </w:r>
      <w:r w:rsidRPr="008F372B">
        <w:t>t</w:t>
      </w:r>
      <w:r>
        <w:t>odos los trabajadores</w:t>
      </w:r>
      <w:r w:rsidRPr="008F372B">
        <w:t xml:space="preserve">. </w:t>
      </w:r>
      <w:r>
        <w:t>Todos los trabajadores debían estar</w:t>
      </w:r>
      <w:r w:rsidRPr="008F372B">
        <w:t xml:space="preserve"> protegidos, tanto si est</w:t>
      </w:r>
      <w:r>
        <w:t>aban</w:t>
      </w:r>
      <w:r w:rsidRPr="008F372B">
        <w:t xml:space="preserve"> </w:t>
      </w:r>
      <w:r>
        <w:t xml:space="preserve">como si no estaban </w:t>
      </w:r>
      <w:r w:rsidRPr="008F372B">
        <w:t>document</w:t>
      </w:r>
      <w:r>
        <w:t>ados</w:t>
      </w:r>
      <w:r w:rsidRPr="008F372B">
        <w:t>.</w:t>
      </w:r>
    </w:p>
    <w:p w:rsidR="000100D5" w:rsidRPr="002A4BCF" w:rsidRDefault="000100D5" w:rsidP="000100D5">
      <w:pPr>
        <w:pStyle w:val="SingleTxtG"/>
      </w:pPr>
      <w:r w:rsidRPr="002A4BCF">
        <w:t>513.</w:t>
      </w:r>
      <w:r w:rsidRPr="002A4BCF">
        <w:tab/>
        <w:t xml:space="preserve">En referencia al informe del </w:t>
      </w:r>
      <w:r w:rsidR="00466CA0">
        <w:t>Coordinador encargado del seguimiento</w:t>
      </w:r>
      <w:r w:rsidRPr="002A4BCF">
        <w:t xml:space="preserve"> de las observaciones y recomendaciones del Comité (observación final </w:t>
      </w:r>
      <w:r>
        <w:t xml:space="preserve">en </w:t>
      </w:r>
      <w:r w:rsidRPr="002A4BCF">
        <w:t>el p</w:t>
      </w:r>
      <w:r>
        <w:t>ár</w:t>
      </w:r>
      <w:r w:rsidRPr="002A4BCF">
        <w:t>ra</w:t>
      </w:r>
      <w:r>
        <w:t>fo 10)</w:t>
      </w:r>
      <w:r w:rsidRPr="002A4BCF">
        <w:t xml:space="preserve"> </w:t>
      </w:r>
      <w:r>
        <w:t>e</w:t>
      </w:r>
      <w:r w:rsidRPr="002A4BCF">
        <w:t xml:space="preserve">n 2006, </w:t>
      </w:r>
      <w:r>
        <w:t>se observó que el nuevo proyecto de ley de</w:t>
      </w:r>
      <w:r w:rsidRPr="002A4BCF">
        <w:t xml:space="preserve"> </w:t>
      </w:r>
      <w:r>
        <w:t>e</w:t>
      </w:r>
      <w:r w:rsidRPr="002A4BCF">
        <w:t>mpl</w:t>
      </w:r>
      <w:r>
        <w:t>e</w:t>
      </w:r>
      <w:r w:rsidRPr="002A4BCF">
        <w:t>o</w:t>
      </w:r>
      <w:r>
        <w:t>, destinado a ofrecer</w:t>
      </w:r>
      <w:r w:rsidRPr="002A4BCF">
        <w:t xml:space="preserve"> mo</w:t>
      </w:r>
      <w:r>
        <w:t>v</w:t>
      </w:r>
      <w:r w:rsidRPr="002A4BCF">
        <w:t>ili</w:t>
      </w:r>
      <w:r>
        <w:t>dad, distaba mucho, en la práctica, de cumplir ese objetivo</w:t>
      </w:r>
      <w:r w:rsidRPr="002A4BCF">
        <w:t xml:space="preserve">. </w:t>
      </w:r>
      <w:r>
        <w:t>Los grupos m</w:t>
      </w:r>
      <w:r w:rsidRPr="002A4BCF">
        <w:t>igrantes recomendaron que se modificara el proyecto de ley</w:t>
      </w:r>
      <w:r>
        <w:t>,</w:t>
      </w:r>
      <w:r w:rsidRPr="002A4BCF">
        <w:t xml:space="preserve"> a</w:t>
      </w:r>
      <w:r>
        <w:t xml:space="preserve"> fin de brindar la posibilidad de expedir permisos por</w:t>
      </w:r>
      <w:r w:rsidRPr="002A4BCF">
        <w:t xml:space="preserve"> sectores</w:t>
      </w:r>
      <w:r>
        <w:t>, de modo que las personas</w:t>
      </w:r>
      <w:r w:rsidRPr="002A4BCF">
        <w:t xml:space="preserve"> </w:t>
      </w:r>
      <w:r>
        <w:t>pudieran tener movilidad en el empleo dentro de un sector dado</w:t>
      </w:r>
      <w:r w:rsidRPr="002A4BCF">
        <w:t>.</w:t>
      </w:r>
    </w:p>
    <w:p w:rsidR="000100D5" w:rsidRPr="00E43277" w:rsidRDefault="000100D5" w:rsidP="000100D5">
      <w:pPr>
        <w:pStyle w:val="SingleTxtG"/>
      </w:pPr>
      <w:r w:rsidRPr="00E43277">
        <w:t>514.</w:t>
      </w:r>
      <w:r w:rsidRPr="00E43277">
        <w:tab/>
        <w:t>Se afirmó que el proyecto de ley de inmigración, residencia y protecci</w:t>
      </w:r>
      <w:r>
        <w:t xml:space="preserve">ón no contemplaba un mecanismo independiente de apelación. </w:t>
      </w:r>
      <w:r w:rsidRPr="00E43277">
        <w:t>Se subrayó que era urgente conta</w:t>
      </w:r>
      <w:r>
        <w:t>r</w:t>
      </w:r>
      <w:r w:rsidRPr="00E43277">
        <w:t xml:space="preserve"> con un mecanismo independiente de apelaci</w:t>
      </w:r>
      <w:r>
        <w:t xml:space="preserve">ón, </w:t>
      </w:r>
      <w:r w:rsidRPr="00E43277">
        <w:t>especial</w:t>
      </w:r>
      <w:r>
        <w:t>mente en los casos de residencia de larga duración</w:t>
      </w:r>
      <w:r w:rsidRPr="00E43277">
        <w:t>.</w:t>
      </w:r>
    </w:p>
    <w:p w:rsidR="000100D5" w:rsidRPr="001B05C5" w:rsidRDefault="000100D5" w:rsidP="000100D5">
      <w:pPr>
        <w:pStyle w:val="SingleTxtG"/>
      </w:pPr>
      <w:r w:rsidRPr="001B05C5">
        <w:t>515.</w:t>
      </w:r>
      <w:r w:rsidRPr="001B05C5">
        <w:tab/>
        <w:t>Los grupos de derechos de los migrantes expresaron su grave preocupaci</w:t>
      </w:r>
      <w:r>
        <w:t>ón por las medidas</w:t>
      </w:r>
      <w:r w:rsidRPr="001B05C5">
        <w:t xml:space="preserve"> sumar</w:t>
      </w:r>
      <w:r>
        <w:t>ias de d</w:t>
      </w:r>
      <w:r w:rsidRPr="001B05C5">
        <w:t>eporta</w:t>
      </w:r>
      <w:r>
        <w:t>c</w:t>
      </w:r>
      <w:r w:rsidRPr="001B05C5">
        <w:t>i</w:t>
      </w:r>
      <w:r>
        <w:t>ó</w:t>
      </w:r>
      <w:r w:rsidRPr="001B05C5">
        <w:t xml:space="preserve">n </w:t>
      </w:r>
      <w:r>
        <w:t>que figuraban en el proyecto de ley, que constituían un retroceso en relación con la legislación actual</w:t>
      </w:r>
      <w:r w:rsidRPr="001B05C5">
        <w:t>. Esas personas dispon</w:t>
      </w:r>
      <w:r>
        <w:t>ían</w:t>
      </w:r>
      <w:r w:rsidRPr="001B05C5">
        <w:t xml:space="preserve"> de un acceso </w:t>
      </w:r>
      <w:r>
        <w:t>restringido</w:t>
      </w:r>
      <w:r w:rsidRPr="001B05C5">
        <w:t xml:space="preserve"> a los servicios mientras </w:t>
      </w:r>
      <w:r>
        <w:t>se encontraban en el Estado</w:t>
      </w:r>
      <w:r w:rsidRPr="001B05C5">
        <w:t xml:space="preserve"> </w:t>
      </w:r>
      <w:r>
        <w:t>Parte</w:t>
      </w:r>
      <w:r w:rsidRPr="001B05C5">
        <w:t>.</w:t>
      </w:r>
    </w:p>
    <w:p w:rsidR="000100D5" w:rsidRPr="00204C99" w:rsidRDefault="000100D5" w:rsidP="000100D5">
      <w:pPr>
        <w:pStyle w:val="SingleTxtG"/>
      </w:pPr>
      <w:r w:rsidRPr="001B05C5">
        <w:t>516.</w:t>
      </w:r>
      <w:r w:rsidRPr="001B05C5">
        <w:tab/>
        <w:t>Los grupos de migrantes acogieron con satisfacción la ampliación de 45 a 60 días del plazo de reflexi</w:t>
      </w:r>
      <w:r>
        <w:t>ón que el proyecto de ley concedía a las víctimas de la trata</w:t>
      </w:r>
      <w:r w:rsidRPr="001B05C5">
        <w:t xml:space="preserve">. </w:t>
      </w:r>
      <w:r w:rsidRPr="00204C99">
        <w:t>Aunque e</w:t>
      </w:r>
      <w:r>
        <w:t>ra</w:t>
      </w:r>
      <w:r w:rsidRPr="00204C99">
        <w:t xml:space="preserve"> bueno para las víctimas, si el </w:t>
      </w:r>
      <w:r>
        <w:t>ministerio público</w:t>
      </w:r>
      <w:r w:rsidRPr="00204C99">
        <w:t xml:space="preserve"> no s</w:t>
      </w:r>
      <w:r>
        <w:t>e</w:t>
      </w:r>
      <w:r w:rsidRPr="00204C99">
        <w:t>gu</w:t>
      </w:r>
      <w:r>
        <w:t>ía</w:t>
      </w:r>
      <w:r w:rsidRPr="00204C99">
        <w:t xml:space="preserve"> adelante</w:t>
      </w:r>
      <w:r>
        <w:t xml:space="preserve"> con el caso</w:t>
      </w:r>
      <w:r w:rsidRPr="00204C99">
        <w:t>, no podr</w:t>
      </w:r>
      <w:r>
        <w:t>ían quedarse en el Estado. Esa disposición debería</w:t>
      </w:r>
      <w:r w:rsidRPr="00204C99">
        <w:t xml:space="preserve"> incorpora</w:t>
      </w:r>
      <w:r>
        <w:t>rse oficialmente a la</w:t>
      </w:r>
      <w:r w:rsidRPr="00204C99">
        <w:t xml:space="preserve"> legisla</w:t>
      </w:r>
      <w:r>
        <w:t>c</w:t>
      </w:r>
      <w:r w:rsidRPr="00204C99">
        <w:t>i</w:t>
      </w:r>
      <w:r>
        <w:t>ó</w:t>
      </w:r>
      <w:r w:rsidRPr="00204C99">
        <w:t>n.</w:t>
      </w:r>
    </w:p>
    <w:p w:rsidR="000100D5" w:rsidRPr="005817DF" w:rsidRDefault="000100D5" w:rsidP="000100D5">
      <w:pPr>
        <w:pStyle w:val="SingleTxtG"/>
      </w:pPr>
      <w:r w:rsidRPr="00204C99">
        <w:t>517.</w:t>
      </w:r>
      <w:r w:rsidRPr="00204C99">
        <w:tab/>
        <w:t>Las víctimas de la trata necesita</w:t>
      </w:r>
      <w:r>
        <w:t>ba</w:t>
      </w:r>
      <w:r w:rsidRPr="00204C99">
        <w:t xml:space="preserve">n protección y apoyo. </w:t>
      </w:r>
      <w:r>
        <w:t>En el caso de los residentes ha</w:t>
      </w:r>
      <w:r w:rsidRPr="00204C99">
        <w:t>bitual</w:t>
      </w:r>
      <w:r>
        <w:t>es</w:t>
      </w:r>
      <w:r w:rsidRPr="00204C99">
        <w:t xml:space="preserve">, </w:t>
      </w:r>
      <w:r>
        <w:t xml:space="preserve">los </w:t>
      </w:r>
      <w:r w:rsidRPr="00204C99">
        <w:t>migrant</w:t>
      </w:r>
      <w:r>
        <w:t>e</w:t>
      </w:r>
      <w:r w:rsidRPr="00204C99">
        <w:t xml:space="preserve">s </w:t>
      </w:r>
      <w:r>
        <w:t xml:space="preserve">procedentes de países que no eran miembros de la UE no tenían acceso a las prestaciones </w:t>
      </w:r>
      <w:r w:rsidRPr="00204C99">
        <w:t>social</w:t>
      </w:r>
      <w:r>
        <w:t>es</w:t>
      </w:r>
      <w:r w:rsidRPr="00204C99">
        <w:t xml:space="preserve">. </w:t>
      </w:r>
      <w:r w:rsidRPr="005817DF">
        <w:t>Se alegó que, en la actualidad, las más vulnerables a la trata, la violencia en el hogar y la explotaci</w:t>
      </w:r>
      <w:r>
        <w:t>ón sexual no recibían ayuda</w:t>
      </w:r>
      <w:r w:rsidRPr="005817DF">
        <w:t>.</w:t>
      </w:r>
    </w:p>
    <w:p w:rsidR="000100D5" w:rsidRPr="005817DF" w:rsidRDefault="000100D5" w:rsidP="000100D5">
      <w:pPr>
        <w:pStyle w:val="SingleTxtG"/>
      </w:pPr>
      <w:r w:rsidRPr="005817DF">
        <w:t>518.</w:t>
      </w:r>
      <w:r w:rsidRPr="005817DF">
        <w:tab/>
        <w:t>Se informó de que las oportunida</w:t>
      </w:r>
      <w:r>
        <w:t>d</w:t>
      </w:r>
      <w:r w:rsidRPr="005817DF">
        <w:t>es para aprender inglés eran limitadas. Los grupos de migrantes opinaban que la lengua inglesa no debería ser un obst</w:t>
      </w:r>
      <w:r>
        <w:t>áculo para la adquisición de la ciudadanía en el futuro</w:t>
      </w:r>
      <w:r w:rsidRPr="005817DF">
        <w:t>.</w:t>
      </w:r>
    </w:p>
    <w:p w:rsidR="000100D5" w:rsidRPr="001F3471" w:rsidRDefault="000100D5" w:rsidP="000100D5">
      <w:pPr>
        <w:pStyle w:val="SingleTxtG"/>
      </w:pPr>
      <w:r w:rsidRPr="001F3471">
        <w:t>519.</w:t>
      </w:r>
      <w:r w:rsidRPr="001F3471">
        <w:tab/>
        <w:t xml:space="preserve">Los grupos de migrantes se congratularon del aumento del número de inspectores </w:t>
      </w:r>
      <w:r>
        <w:t xml:space="preserve">encargados de velar por el cumplimiento de las disposiciones </w:t>
      </w:r>
      <w:r w:rsidRPr="001F3471">
        <w:t xml:space="preserve">de la Dirección Nacional de Derechos de </w:t>
      </w:r>
      <w:r>
        <w:t>Empleo, pero objetaron que no era suficiente</w:t>
      </w:r>
      <w:r w:rsidRPr="001F3471">
        <w:t>.</w:t>
      </w:r>
    </w:p>
    <w:p w:rsidR="000100D5" w:rsidRPr="000B1E3B" w:rsidRDefault="000100D5" w:rsidP="000100D5">
      <w:pPr>
        <w:pStyle w:val="SingleTxtG"/>
      </w:pPr>
      <w:r w:rsidRPr="000B1E3B">
        <w:t>520.</w:t>
      </w:r>
      <w:r w:rsidRPr="000B1E3B">
        <w:tab/>
        <w:t xml:space="preserve">Algunos grupos de </w:t>
      </w:r>
      <w:r>
        <w:t xml:space="preserve">defensores de los </w:t>
      </w:r>
      <w:r w:rsidRPr="000B1E3B">
        <w:t xml:space="preserve">derechos de los migrantes opinaban que la función del Organismo Nacional de Derechos de </w:t>
      </w:r>
      <w:r>
        <w:t>Empleo</w:t>
      </w:r>
      <w:r w:rsidRPr="000B1E3B">
        <w:t xml:space="preserve"> era d</w:t>
      </w:r>
      <w:r>
        <w:t>oble</w:t>
      </w:r>
      <w:r w:rsidRPr="000B1E3B">
        <w:t xml:space="preserve"> </w:t>
      </w:r>
      <w:r>
        <w:t>y</w:t>
      </w:r>
      <w:r w:rsidRPr="000B1E3B">
        <w:t xml:space="preserve"> contradictor</w:t>
      </w:r>
      <w:r>
        <w:t>ia, ya que el Organismo debía comprobar tanto el cumplimiento de la normativa en el lugar de trabajo como los derechos de los trabajadores</w:t>
      </w:r>
      <w:r w:rsidRPr="000B1E3B">
        <w:t>.</w:t>
      </w:r>
    </w:p>
    <w:p w:rsidR="000100D5" w:rsidRPr="000B1E3B" w:rsidRDefault="000100D5" w:rsidP="000100D5">
      <w:pPr>
        <w:pStyle w:val="SingleTxtG"/>
      </w:pPr>
      <w:r w:rsidRPr="000B1E3B">
        <w:t>521.</w:t>
      </w:r>
      <w:r w:rsidRPr="000B1E3B">
        <w:tab/>
        <w:t>Se sugirió que</w:t>
      </w:r>
      <w:r>
        <w:t xml:space="preserve"> </w:t>
      </w:r>
      <w:r w:rsidRPr="000B1E3B">
        <w:t>no se alentaba a los trabajadores explotados a denunciar su situación y que ten</w:t>
      </w:r>
      <w:r>
        <w:t>ían un acceso</w:t>
      </w:r>
      <w:r w:rsidRPr="000B1E3B">
        <w:t xml:space="preserve"> </w:t>
      </w:r>
      <w:r>
        <w:t>restringido, por no decir ninguno, a la</w:t>
      </w:r>
      <w:r w:rsidRPr="000B1E3B">
        <w:t xml:space="preserve"> protec</w:t>
      </w:r>
      <w:r>
        <w:t>c</w:t>
      </w:r>
      <w:r w:rsidRPr="000B1E3B">
        <w:t>i</w:t>
      </w:r>
      <w:r>
        <w:t>ó</w:t>
      </w:r>
      <w:r w:rsidRPr="000B1E3B">
        <w:t>n</w:t>
      </w:r>
      <w:r>
        <w:t xml:space="preserve"> social</w:t>
      </w:r>
      <w:r w:rsidR="008B24B7">
        <w:t>. Los </w:t>
      </w:r>
      <w:r w:rsidRPr="000B1E3B">
        <w:t>trabajadores indocumentados necesita</w:t>
      </w:r>
      <w:r>
        <w:t>ba</w:t>
      </w:r>
      <w:r w:rsidRPr="000B1E3B">
        <w:t xml:space="preserve">n tener </w:t>
      </w:r>
      <w:r>
        <w:t>la posibilidad de</w:t>
      </w:r>
      <w:r w:rsidRPr="000B1E3B">
        <w:t xml:space="preserve"> </w:t>
      </w:r>
      <w:r>
        <w:t>una</w:t>
      </w:r>
      <w:r w:rsidRPr="000B1E3B">
        <w:t xml:space="preserve"> re</w:t>
      </w:r>
      <w:r>
        <w:t>paración</w:t>
      </w:r>
      <w:r w:rsidRPr="000B1E3B">
        <w:t xml:space="preserve"> legal</w:t>
      </w:r>
      <w:r>
        <w:t xml:space="preserve"> o al amparo de la ley para defenderse de la explotación</w:t>
      </w:r>
      <w:r w:rsidRPr="000B1E3B">
        <w:t>.</w:t>
      </w:r>
    </w:p>
    <w:p w:rsidR="000100D5" w:rsidRPr="00D555E4" w:rsidRDefault="000100D5" w:rsidP="000100D5">
      <w:pPr>
        <w:pStyle w:val="SingleTxtG"/>
      </w:pPr>
      <w:r w:rsidRPr="00D555E4">
        <w:t>522.</w:t>
      </w:r>
      <w:r w:rsidRPr="00D555E4">
        <w:tab/>
        <w:t>Se alegó que la reciente reforma del programa de permisos de trabajo no permit</w:t>
      </w:r>
      <w:r>
        <w:t>ía más que una</w:t>
      </w:r>
      <w:r w:rsidRPr="00D555E4">
        <w:t xml:space="preserve"> mo</w:t>
      </w:r>
      <w:r>
        <w:t>v</w:t>
      </w:r>
      <w:r w:rsidRPr="00D555E4">
        <w:t>ili</w:t>
      </w:r>
      <w:r>
        <w:t>dad limitada a los trabajadores</w:t>
      </w:r>
      <w:r w:rsidRPr="00D555E4">
        <w:t xml:space="preserve"> migrant</w:t>
      </w:r>
      <w:r>
        <w:t>es y mantenía, por consiguiente, a los trabajadores</w:t>
      </w:r>
      <w:r w:rsidRPr="00D555E4">
        <w:t xml:space="preserve"> </w:t>
      </w:r>
      <w:r>
        <w:t>e</w:t>
      </w:r>
      <w:r w:rsidRPr="00D555E4">
        <w:t xml:space="preserve">n </w:t>
      </w:r>
      <w:r>
        <w:t xml:space="preserve">una situación de </w:t>
      </w:r>
      <w:r w:rsidRPr="00D555E4">
        <w:t>explota</w:t>
      </w:r>
      <w:r>
        <w:t>ción</w:t>
      </w:r>
      <w:r w:rsidRPr="00D555E4">
        <w:t xml:space="preserve">. </w:t>
      </w:r>
      <w:r>
        <w:t>También fomentaba que se convirtieran en</w:t>
      </w:r>
      <w:r w:rsidRPr="00D555E4">
        <w:t xml:space="preserve"> indocumentados.</w:t>
      </w:r>
    </w:p>
    <w:p w:rsidR="000100D5" w:rsidRPr="00580799" w:rsidRDefault="000100D5" w:rsidP="000100D5">
      <w:pPr>
        <w:pStyle w:val="SingleTxtG"/>
      </w:pPr>
      <w:r w:rsidRPr="00D555E4">
        <w:t>523.</w:t>
      </w:r>
      <w:r w:rsidRPr="00D555E4">
        <w:tab/>
        <w:t>Un aspecto positivo que no se mencion</w:t>
      </w:r>
      <w:r>
        <w:t>ó en el proyecto de informe fue el hecho de que los inmigrantes</w:t>
      </w:r>
      <w:r w:rsidRPr="00D555E4">
        <w:t xml:space="preserve"> ilegal</w:t>
      </w:r>
      <w:r>
        <w:t>es</w:t>
      </w:r>
      <w:r w:rsidRPr="00D555E4">
        <w:t xml:space="preserve"> </w:t>
      </w:r>
      <w:r>
        <w:t xml:space="preserve">disponían ahora de </w:t>
      </w:r>
      <w:r w:rsidRPr="00D555E4">
        <w:t>acces</w:t>
      </w:r>
      <w:r>
        <w:t>o</w:t>
      </w:r>
      <w:r w:rsidRPr="00D555E4">
        <w:t xml:space="preserve"> </w:t>
      </w:r>
      <w:r>
        <w:t>a un</w:t>
      </w:r>
      <w:r w:rsidRPr="00D555E4">
        <w:t xml:space="preserve"> s</w:t>
      </w:r>
      <w:r>
        <w:t xml:space="preserve">istema de </w:t>
      </w:r>
      <w:r w:rsidRPr="00D555E4">
        <w:t>re</w:t>
      </w:r>
      <w:r>
        <w:t>expedición de los</w:t>
      </w:r>
      <w:r w:rsidRPr="00D555E4">
        <w:t xml:space="preserve"> document</w:t>
      </w:r>
      <w:r>
        <w:t>o</w:t>
      </w:r>
      <w:r w:rsidRPr="00D555E4">
        <w:t xml:space="preserve">s. </w:t>
      </w:r>
      <w:r w:rsidRPr="00580799">
        <w:t>No obstante, los interesados tendrían que abonar ese servicio, lo que representa</w:t>
      </w:r>
      <w:r>
        <w:t>ba</w:t>
      </w:r>
      <w:r w:rsidRPr="00580799">
        <w:t xml:space="preserve"> un obst</w:t>
      </w:r>
      <w:r>
        <w:t>áculo</w:t>
      </w:r>
      <w:r w:rsidRPr="00580799">
        <w:t xml:space="preserve">. </w:t>
      </w:r>
    </w:p>
    <w:p w:rsidR="000100D5" w:rsidRPr="00580799" w:rsidRDefault="000100D5" w:rsidP="000100D5">
      <w:pPr>
        <w:pStyle w:val="SingleTxtG"/>
      </w:pPr>
      <w:r w:rsidRPr="00580799">
        <w:t>524.</w:t>
      </w:r>
      <w:r w:rsidRPr="00580799">
        <w:tab/>
        <w:t xml:space="preserve">Se propuso que el nuevo Ombudsman de la Garda asumiera la competencia sobre los funcionarios de </w:t>
      </w:r>
      <w:r w:rsidR="005C4174" w:rsidRPr="00580799">
        <w:t>inmigración</w:t>
      </w:r>
      <w:r w:rsidRPr="00580799">
        <w:t>, as</w:t>
      </w:r>
      <w:r>
        <w:t>í como sobre la</w:t>
      </w:r>
      <w:r w:rsidRPr="00580799">
        <w:t xml:space="preserve"> An Garda Síochána (</w:t>
      </w:r>
      <w:r>
        <w:t>cuerpo de policía irlandés</w:t>
      </w:r>
      <w:r w:rsidRPr="00580799">
        <w:t>).</w:t>
      </w:r>
    </w:p>
    <w:p w:rsidR="000100D5" w:rsidRPr="00580799" w:rsidRDefault="000100D5" w:rsidP="000100D5">
      <w:pPr>
        <w:pStyle w:val="SingleTxtG"/>
      </w:pPr>
      <w:r w:rsidRPr="00580799">
        <w:t>525.</w:t>
      </w:r>
      <w:r w:rsidRPr="00580799">
        <w:tab/>
      </w:r>
      <w:r>
        <w:t>Era menester</w:t>
      </w:r>
      <w:r w:rsidRPr="00580799">
        <w:t xml:space="preserve"> señalar que muchas mujeres de grupos étnicos est</w:t>
      </w:r>
      <w:r>
        <w:t>aban</w:t>
      </w:r>
      <w:r w:rsidRPr="00580799">
        <w:t xml:space="preserve"> atrapadas en una situación de pobreza</w:t>
      </w:r>
      <w:r>
        <w:t>,</w:t>
      </w:r>
      <w:r w:rsidRPr="00580799">
        <w:t xml:space="preserve"> sin una red famil</w:t>
      </w:r>
      <w:r>
        <w:t>iar de ayuda y el costo de la atención a los hijos resultaba</w:t>
      </w:r>
      <w:r w:rsidRPr="00580799">
        <w:t xml:space="preserve"> prohibitiv</w:t>
      </w:r>
      <w:r>
        <w:t>o</w:t>
      </w:r>
      <w:r w:rsidRPr="00580799">
        <w:t xml:space="preserve">. </w:t>
      </w:r>
    </w:p>
    <w:p w:rsidR="000100D5" w:rsidRPr="00580799" w:rsidRDefault="000100D5" w:rsidP="000100D5">
      <w:pPr>
        <w:pStyle w:val="SingleTxtG"/>
      </w:pPr>
      <w:r w:rsidRPr="00580799">
        <w:t>526.</w:t>
      </w:r>
      <w:r w:rsidRPr="00580799">
        <w:tab/>
        <w:t>Se mencionaron muchos grupos vulnerables, pero el informe debería incluir tambi</w:t>
      </w:r>
      <w:r>
        <w:t>én a los</w:t>
      </w:r>
      <w:r w:rsidRPr="00580799">
        <w:t xml:space="preserve"> </w:t>
      </w:r>
      <w:r>
        <w:t>i</w:t>
      </w:r>
      <w:r w:rsidRPr="00580799">
        <w:t>ndocument</w:t>
      </w:r>
      <w:r>
        <w:t>ados y víctimas de la</w:t>
      </w:r>
      <w:r w:rsidRPr="00580799">
        <w:t xml:space="preserve"> tra</w:t>
      </w:r>
      <w:r>
        <w:t>ta</w:t>
      </w:r>
      <w:r w:rsidRPr="00580799">
        <w:t xml:space="preserve">, </w:t>
      </w:r>
      <w:r>
        <w:t>a los r</w:t>
      </w:r>
      <w:r w:rsidRPr="00580799">
        <w:t>oma</w:t>
      </w:r>
      <w:r>
        <w:t>níes</w:t>
      </w:r>
      <w:r w:rsidRPr="00580799">
        <w:t xml:space="preserve">, </w:t>
      </w:r>
      <w:r>
        <w:t>ru</w:t>
      </w:r>
      <w:r w:rsidRPr="00580799">
        <w:t>man</w:t>
      </w:r>
      <w:r>
        <w:t>os y</w:t>
      </w:r>
      <w:r w:rsidRPr="00580799">
        <w:t xml:space="preserve"> </w:t>
      </w:r>
      <w:r>
        <w:t>bú</w:t>
      </w:r>
      <w:r w:rsidRPr="00580799">
        <w:t>lgar</w:t>
      </w:r>
      <w:r>
        <w:t>os, así como a los</w:t>
      </w:r>
      <w:r w:rsidRPr="00580799">
        <w:t xml:space="preserve"> i</w:t>
      </w:r>
      <w:r>
        <w:t>n</w:t>
      </w:r>
      <w:r w:rsidRPr="00580799">
        <w:t>migrant</w:t>
      </w:r>
      <w:r>
        <w:t>e</w:t>
      </w:r>
      <w:r w:rsidRPr="00580799">
        <w:t xml:space="preserve">s </w:t>
      </w:r>
      <w:r>
        <w:t>e</w:t>
      </w:r>
      <w:r w:rsidRPr="00580799">
        <w:t xml:space="preserve">n </w:t>
      </w:r>
      <w:r>
        <w:t xml:space="preserve">situación de </w:t>
      </w:r>
      <w:r w:rsidRPr="00580799">
        <w:t>explota</w:t>
      </w:r>
      <w:r>
        <w:t>ción</w:t>
      </w:r>
      <w:r w:rsidRPr="00580799">
        <w:t>.</w:t>
      </w:r>
    </w:p>
    <w:p w:rsidR="000100D5" w:rsidRPr="00B762B1" w:rsidRDefault="000100D5" w:rsidP="000100D5">
      <w:pPr>
        <w:pStyle w:val="SingleTxtG"/>
      </w:pPr>
      <w:r w:rsidRPr="00B762B1">
        <w:t>527.</w:t>
      </w:r>
      <w:r w:rsidRPr="00B762B1">
        <w:tab/>
        <w:t>Se expresó la opinión de que los autores del informe ten</w:t>
      </w:r>
      <w:r>
        <w:t>ían miedo de</w:t>
      </w:r>
      <w:r w:rsidRPr="00B762B1">
        <w:t xml:space="preserve"> men</w:t>
      </w:r>
      <w:r>
        <w:t>c</w:t>
      </w:r>
      <w:r w:rsidRPr="00B762B1">
        <w:t>ion</w:t>
      </w:r>
      <w:r>
        <w:t>ar</w:t>
      </w:r>
      <w:r w:rsidRPr="00B762B1">
        <w:t xml:space="preserve"> o d</w:t>
      </w:r>
      <w:r>
        <w:t>ebatir explícitamente el</w:t>
      </w:r>
      <w:r w:rsidRPr="00B762B1">
        <w:t xml:space="preserve"> racism</w:t>
      </w:r>
      <w:r>
        <w:t xml:space="preserve">o, que se ocultaba más bien bajo la etiqueta de la </w:t>
      </w:r>
      <w:r w:rsidRPr="00B762B1">
        <w:t>integra</w:t>
      </w:r>
      <w:r>
        <w:t>c</w:t>
      </w:r>
      <w:r w:rsidRPr="00B762B1">
        <w:t>i</w:t>
      </w:r>
      <w:r>
        <w:t>ó</w:t>
      </w:r>
      <w:r w:rsidRPr="00B762B1">
        <w:t>n.</w:t>
      </w:r>
    </w:p>
    <w:p w:rsidR="000100D5" w:rsidRPr="00B762B1" w:rsidRDefault="000100D5" w:rsidP="000100D5">
      <w:pPr>
        <w:pStyle w:val="H23G"/>
      </w:pPr>
      <w:r w:rsidRPr="00B762B1">
        <w:tab/>
        <w:t>4.</w:t>
      </w:r>
      <w:r w:rsidRPr="00B762B1">
        <w:tab/>
        <w:t>Refugiados y solicitantes de asilo</w:t>
      </w:r>
    </w:p>
    <w:p w:rsidR="000100D5" w:rsidRPr="004E05DB" w:rsidRDefault="000100D5" w:rsidP="000100D5">
      <w:pPr>
        <w:pStyle w:val="SingleTxtG"/>
      </w:pPr>
      <w:r w:rsidRPr="00B762B1">
        <w:t>528.</w:t>
      </w:r>
      <w:r w:rsidRPr="00B762B1">
        <w:tab/>
        <w:t xml:space="preserve">A juicio de los grupos de refugiados y de </w:t>
      </w:r>
      <w:r>
        <w:t xml:space="preserve">los </w:t>
      </w:r>
      <w:r w:rsidRPr="00B762B1">
        <w:t xml:space="preserve">solicitantes de asilo, </w:t>
      </w:r>
      <w:r>
        <w:t xml:space="preserve">aunque </w:t>
      </w:r>
      <w:r w:rsidRPr="00B762B1">
        <w:t>se ha</w:t>
      </w:r>
      <w:r>
        <w:t>bía</w:t>
      </w:r>
      <w:r w:rsidRPr="00B762B1">
        <w:t>n logrado ciertos progresos</w:t>
      </w:r>
      <w:r>
        <w:t xml:space="preserve"> desde el último informe</w:t>
      </w:r>
      <w:r w:rsidRPr="00B762B1">
        <w:t xml:space="preserve">, </w:t>
      </w:r>
      <w:r>
        <w:t xml:space="preserve">una gran parte se había conseguido gracias a medidas aisladas y </w:t>
      </w:r>
      <w:r>
        <w:rPr>
          <w:i/>
        </w:rPr>
        <w:t>ad hoc</w:t>
      </w:r>
      <w:r w:rsidRPr="00B762B1">
        <w:t xml:space="preserve">. </w:t>
      </w:r>
      <w:r>
        <w:t>Se adv</w:t>
      </w:r>
      <w:r w:rsidRPr="004E05DB">
        <w:t>ert</w:t>
      </w:r>
      <w:r>
        <w:t>ía</w:t>
      </w:r>
      <w:r w:rsidRPr="004E05DB">
        <w:t xml:space="preserve"> la falta de una visión o estrategia global y resulta</w:t>
      </w:r>
      <w:r>
        <w:t>ba</w:t>
      </w:r>
      <w:r w:rsidRPr="004E05DB">
        <w:t xml:space="preserve"> imperativo cumplir los objetivos establecidos por </w:t>
      </w:r>
      <w:r>
        <w:t xml:space="preserve">el Comité y respetar </w:t>
      </w:r>
      <w:r w:rsidRPr="004E05DB">
        <w:t>la</w:t>
      </w:r>
      <w:r>
        <w:t>s disposiciones de la</w:t>
      </w:r>
      <w:r w:rsidRPr="004E05DB">
        <w:t xml:space="preserve"> Conven</w:t>
      </w:r>
      <w:r>
        <w:t>c</w:t>
      </w:r>
      <w:r w:rsidRPr="004E05DB">
        <w:t>i</w:t>
      </w:r>
      <w:r>
        <w:t>ó</w:t>
      </w:r>
      <w:r w:rsidRPr="004E05DB">
        <w:t>n.</w:t>
      </w:r>
    </w:p>
    <w:p w:rsidR="000100D5" w:rsidRPr="004E05DB" w:rsidRDefault="000100D5" w:rsidP="000100D5">
      <w:pPr>
        <w:pStyle w:val="SingleTxtG"/>
      </w:pPr>
      <w:r w:rsidRPr="004E05DB">
        <w:t>529.</w:t>
      </w:r>
      <w:r w:rsidRPr="004E05DB">
        <w:tab/>
        <w:t>Se sostuvo que habían surgido enormes problemas en el proceso</w:t>
      </w:r>
      <w:r>
        <w:t xml:space="preserve"> de reunión </w:t>
      </w:r>
      <w:r w:rsidRPr="004E05DB">
        <w:t>famil</w:t>
      </w:r>
      <w:r>
        <w:t>iar</w:t>
      </w:r>
      <w:r w:rsidRPr="004E05DB">
        <w:t>,</w:t>
      </w:r>
      <w:r>
        <w:t xml:space="preserve"> como</w:t>
      </w:r>
      <w:r w:rsidRPr="004E05DB">
        <w:t xml:space="preserve"> </w:t>
      </w:r>
      <w:r>
        <w:t>p</w:t>
      </w:r>
      <w:r w:rsidRPr="004E05DB">
        <w:t>or e</w:t>
      </w:r>
      <w:r>
        <w:t>je</w:t>
      </w:r>
      <w:r w:rsidRPr="004E05DB">
        <w:t>mpl</w:t>
      </w:r>
      <w:r>
        <w:t>o</w:t>
      </w:r>
      <w:r w:rsidRPr="004E05DB">
        <w:t>, l</w:t>
      </w:r>
      <w:r>
        <w:t>arg</w:t>
      </w:r>
      <w:r w:rsidRPr="004E05DB">
        <w:t>o</w:t>
      </w:r>
      <w:r>
        <w:t>s</w:t>
      </w:r>
      <w:r w:rsidRPr="004E05DB">
        <w:t xml:space="preserve"> </w:t>
      </w:r>
      <w:r>
        <w:t>retrasos</w:t>
      </w:r>
      <w:r w:rsidRPr="004E05DB">
        <w:t xml:space="preserve">. </w:t>
      </w:r>
    </w:p>
    <w:p w:rsidR="000100D5" w:rsidRPr="00CF6FE9" w:rsidRDefault="000100D5" w:rsidP="000100D5">
      <w:pPr>
        <w:pStyle w:val="SingleTxtG"/>
      </w:pPr>
      <w:r w:rsidRPr="00CF6FE9">
        <w:t>530.</w:t>
      </w:r>
      <w:r w:rsidRPr="00CF6FE9">
        <w:tab/>
        <w:t xml:space="preserve"> Se alegó que se estaba utilizando una definición muy estricta de la familia. </w:t>
      </w:r>
      <w:r>
        <w:t>P</w:t>
      </w:r>
      <w:r w:rsidR="008B24B7">
        <w:t>or </w:t>
      </w:r>
      <w:r w:rsidRPr="00CF6FE9">
        <w:t xml:space="preserve">ejemplo, no se podía solicitar traer a un compañero. Un menor no acompañado tampoco podía </w:t>
      </w:r>
      <w:r>
        <w:t>aspirar a</w:t>
      </w:r>
      <w:r w:rsidRPr="00CF6FE9">
        <w:t xml:space="preserve"> que vinieran sus hermanos, pues deb</w:t>
      </w:r>
      <w:r>
        <w:t>ía</w:t>
      </w:r>
      <w:r w:rsidRPr="00CF6FE9">
        <w:t xml:space="preserve">n </w:t>
      </w:r>
      <w:r>
        <w:t>de</w:t>
      </w:r>
      <w:r w:rsidRPr="00CF6FE9">
        <w:t xml:space="preserve">mostrar </w:t>
      </w:r>
      <w:r>
        <w:t>que existía depende</w:t>
      </w:r>
      <w:r w:rsidRPr="00CF6FE9">
        <w:t>n</w:t>
      </w:r>
      <w:r>
        <w:t>c</w:t>
      </w:r>
      <w:r w:rsidRPr="00CF6FE9">
        <w:t>i</w:t>
      </w:r>
      <w:r>
        <w:t>a.</w:t>
      </w:r>
      <w:r w:rsidRPr="00CF6FE9">
        <w:t xml:space="preserve"> </w:t>
      </w:r>
      <w:r>
        <w:t xml:space="preserve">Los padres solteros y los menores no </w:t>
      </w:r>
      <w:r w:rsidRPr="00CF6FE9">
        <w:t>acompa</w:t>
      </w:r>
      <w:r>
        <w:t>ñados</w:t>
      </w:r>
      <w:r w:rsidRPr="00CF6FE9">
        <w:t xml:space="preserve"> </w:t>
      </w:r>
      <w:r>
        <w:t>resultaban especialmente</w:t>
      </w:r>
      <w:r w:rsidRPr="00CF6FE9">
        <w:t xml:space="preserve"> vulnerable</w:t>
      </w:r>
      <w:r>
        <w:t>s</w:t>
      </w:r>
      <w:r w:rsidRPr="00CF6FE9">
        <w:t>.</w:t>
      </w:r>
    </w:p>
    <w:p w:rsidR="000100D5" w:rsidRPr="00E978BC" w:rsidRDefault="000100D5" w:rsidP="000100D5">
      <w:pPr>
        <w:pStyle w:val="SingleTxtG"/>
      </w:pPr>
      <w:r w:rsidRPr="00CF6FE9">
        <w:t>531.</w:t>
      </w:r>
      <w:r w:rsidRPr="00CF6FE9">
        <w:tab/>
        <w:t xml:space="preserve">Se </w:t>
      </w:r>
      <w:r>
        <w:t>apunt</w:t>
      </w:r>
      <w:r w:rsidRPr="00CF6FE9">
        <w:t xml:space="preserve">ó que se </w:t>
      </w:r>
      <w:r>
        <w:t>registraba</w:t>
      </w:r>
      <w:r w:rsidRPr="00CF6FE9">
        <w:t xml:space="preserve">n cada vez más </w:t>
      </w:r>
      <w:r>
        <w:t>de</w:t>
      </w:r>
      <w:r w:rsidRPr="00CF6FE9">
        <w:t>nega</w:t>
      </w:r>
      <w:r>
        <w:t>c</w:t>
      </w:r>
      <w:r w:rsidRPr="00CF6FE9">
        <w:t>i</w:t>
      </w:r>
      <w:r>
        <w:t>ones,</w:t>
      </w:r>
      <w:r w:rsidRPr="00CF6FE9">
        <w:t xml:space="preserve"> sin tener acceso a vías de recurso</w:t>
      </w:r>
      <w:r>
        <w:t xml:space="preserve"> y</w:t>
      </w:r>
      <w:r w:rsidRPr="00CF6FE9">
        <w:t xml:space="preserve"> ape</w:t>
      </w:r>
      <w:r>
        <w:t>l</w:t>
      </w:r>
      <w:r w:rsidRPr="00CF6FE9">
        <w:t>a</w:t>
      </w:r>
      <w:r>
        <w:t>cione</w:t>
      </w:r>
      <w:r w:rsidRPr="00CF6FE9">
        <w:t xml:space="preserve">s. </w:t>
      </w:r>
      <w:r w:rsidRPr="00E978BC">
        <w:t>El Departamento podía revisar una decisión, pero no era un derecho plasmado en la ley y el demandante ten</w:t>
      </w:r>
      <w:r>
        <w:t>ía que recurrir a un abogado</w:t>
      </w:r>
      <w:r w:rsidRPr="00E978BC">
        <w:t xml:space="preserve">. </w:t>
      </w:r>
    </w:p>
    <w:p w:rsidR="000100D5" w:rsidRPr="00E978BC" w:rsidRDefault="000100D5" w:rsidP="000100D5">
      <w:pPr>
        <w:pStyle w:val="SingleTxtG"/>
      </w:pPr>
      <w:r w:rsidRPr="00E978BC">
        <w:t>532.</w:t>
      </w:r>
      <w:r w:rsidRPr="00E978BC">
        <w:tab/>
        <w:t>En cuanto al derecho al trabajo, se expresó la opinión de que no exist</w:t>
      </w:r>
      <w:r>
        <w:t>ía un verdadero proceso de evaluación ni sobre la base de los derechos ni sobre la base de la</w:t>
      </w:r>
      <w:r w:rsidRPr="00E978BC">
        <w:t xml:space="preserve"> econom</w:t>
      </w:r>
      <w:r>
        <w:t>ía</w:t>
      </w:r>
      <w:r w:rsidRPr="00E978BC">
        <w:t xml:space="preserve">. </w:t>
      </w:r>
    </w:p>
    <w:p w:rsidR="000100D5" w:rsidRPr="00E978BC" w:rsidRDefault="000100D5" w:rsidP="000100D5">
      <w:pPr>
        <w:pStyle w:val="SingleTxtG"/>
      </w:pPr>
      <w:r w:rsidRPr="00E978BC">
        <w:t>533.</w:t>
      </w:r>
      <w:r w:rsidRPr="00E978BC">
        <w:tab/>
        <w:t>El pago de 19,10 euros en concepto de manutención directa se consideró insuficiente y se comentó que no se hab</w:t>
      </w:r>
      <w:r>
        <w:t>ía incrementado durante los últimos ocho años, mientras que la cuantía de otras prestaciones estatales había aumentado</w:t>
      </w:r>
      <w:r w:rsidRPr="00E978BC">
        <w:t>.</w:t>
      </w:r>
    </w:p>
    <w:p w:rsidR="000100D5" w:rsidRPr="004A4B74" w:rsidRDefault="000100D5" w:rsidP="000100D5">
      <w:pPr>
        <w:pStyle w:val="SingleTxtG"/>
      </w:pPr>
      <w:r w:rsidRPr="00E978BC">
        <w:t>534.</w:t>
      </w:r>
      <w:r w:rsidRPr="00E978BC">
        <w:tab/>
        <w:t xml:space="preserve">Nunca se pretendió que las personas permanecieran por largos períodos </w:t>
      </w:r>
      <w:r>
        <w:t>de tiempo en el sistema de manutención directa</w:t>
      </w:r>
      <w:r w:rsidRPr="00E978BC">
        <w:t xml:space="preserve">. </w:t>
      </w:r>
      <w:r w:rsidRPr="004A4B74">
        <w:t>Las personas p</w:t>
      </w:r>
      <w:r>
        <w:t>o</w:t>
      </w:r>
      <w:r w:rsidRPr="004A4B74">
        <w:t>d</w:t>
      </w:r>
      <w:r>
        <w:t>ía</w:t>
      </w:r>
      <w:r w:rsidRPr="004A4B74">
        <w:t xml:space="preserve">n acogerse al sistema por un plazo máximo de cinco años. </w:t>
      </w:r>
      <w:r>
        <w:t xml:space="preserve">Resultaba especialmente preocupante el </w:t>
      </w:r>
      <w:r w:rsidRPr="004A4B74">
        <w:t xml:space="preserve">impacto en los niños </w:t>
      </w:r>
      <w:r>
        <w:t>acogidos</w:t>
      </w:r>
      <w:r w:rsidRPr="004A4B74">
        <w:t xml:space="preserve"> </w:t>
      </w:r>
      <w:r>
        <w:t>a</w:t>
      </w:r>
      <w:r w:rsidRPr="004A4B74">
        <w:t>l r</w:t>
      </w:r>
      <w:r>
        <w:t>égimen de manutención directa</w:t>
      </w:r>
      <w:r w:rsidRPr="004A4B74">
        <w:t xml:space="preserve">. </w:t>
      </w:r>
      <w:r>
        <w:t>Los niños podían</w:t>
      </w:r>
      <w:r w:rsidRPr="004A4B74">
        <w:t xml:space="preserve"> institucionalizar</w:t>
      </w:r>
      <w:r>
        <w:t>se</w:t>
      </w:r>
      <w:r w:rsidRPr="004A4B74">
        <w:t xml:space="preserve"> y tambi</w:t>
      </w:r>
      <w:r>
        <w:t>én volverse</w:t>
      </w:r>
      <w:r w:rsidRPr="004A4B74">
        <w:t xml:space="preserve"> vulnerable</w:t>
      </w:r>
      <w:r>
        <w:t>s</w:t>
      </w:r>
      <w:r w:rsidRPr="004A4B74">
        <w:t xml:space="preserve"> </w:t>
      </w:r>
      <w:r>
        <w:t>a la</w:t>
      </w:r>
      <w:r w:rsidRPr="004A4B74">
        <w:t xml:space="preserve"> discrimina</w:t>
      </w:r>
      <w:r>
        <w:t>c</w:t>
      </w:r>
      <w:r w:rsidRPr="004A4B74">
        <w:t>i</w:t>
      </w:r>
      <w:r>
        <w:t>ón</w:t>
      </w:r>
      <w:r w:rsidRPr="004A4B74">
        <w:t>.</w:t>
      </w:r>
    </w:p>
    <w:p w:rsidR="000100D5" w:rsidRPr="00B54DF9" w:rsidRDefault="000100D5" w:rsidP="000100D5">
      <w:pPr>
        <w:pStyle w:val="SingleTxtG"/>
      </w:pPr>
      <w:r w:rsidRPr="00B54DF9">
        <w:t>535.</w:t>
      </w:r>
      <w:r w:rsidRPr="00B54DF9">
        <w:tab/>
        <w:t xml:space="preserve">Se comentó que el </w:t>
      </w:r>
      <w:r w:rsidR="00466CA0">
        <w:t>Coordinador encargado del seguimiento</w:t>
      </w:r>
      <w:r w:rsidRPr="00B54DF9">
        <w:t xml:space="preserve"> de las observaciones y recomendaciones del Comité y muchos observadores visitaron Mosney, pero que Mosney no e</w:t>
      </w:r>
      <w:r>
        <w:t>ra</w:t>
      </w:r>
      <w:r w:rsidRPr="00B54DF9">
        <w:t xml:space="preserve"> representativo de todas las instituciones incluidas en el sistema de manutenci</w:t>
      </w:r>
      <w:r>
        <w:t>ón</w:t>
      </w:r>
      <w:r w:rsidRPr="00B54DF9">
        <w:t xml:space="preserve"> </w:t>
      </w:r>
      <w:r>
        <w:t>di</w:t>
      </w:r>
      <w:r w:rsidRPr="00B54DF9">
        <w:t>rect</w:t>
      </w:r>
      <w:r>
        <w:t>a y</w:t>
      </w:r>
      <w:r w:rsidRPr="00B54DF9">
        <w:t xml:space="preserve"> </w:t>
      </w:r>
      <w:r>
        <w:t>que, si bien</w:t>
      </w:r>
      <w:r w:rsidRPr="00B54DF9">
        <w:t xml:space="preserve"> Mosney </w:t>
      </w:r>
      <w:r>
        <w:t>era la mejor institución y el modelo ideal</w:t>
      </w:r>
      <w:r w:rsidRPr="00B54DF9">
        <w:t>, otr</w:t>
      </w:r>
      <w:r>
        <w:t>os</w:t>
      </w:r>
      <w:r w:rsidRPr="00B54DF9">
        <w:t xml:space="preserve"> centr</w:t>
      </w:r>
      <w:r>
        <w:t>o</w:t>
      </w:r>
      <w:r w:rsidRPr="00B54DF9">
        <w:t xml:space="preserve">s </w:t>
      </w:r>
      <w:r>
        <w:t xml:space="preserve">eran sumamente </w:t>
      </w:r>
      <w:r w:rsidRPr="00B54DF9">
        <w:t>po</w:t>
      </w:r>
      <w:r>
        <w:t>b</w:t>
      </w:r>
      <w:r w:rsidRPr="00B54DF9">
        <w:t>r</w:t>
      </w:r>
      <w:r>
        <w:t>es</w:t>
      </w:r>
      <w:r w:rsidRPr="00B54DF9">
        <w:t>. El Coordinador debería haber visto también otros centros de manutenci</w:t>
      </w:r>
      <w:r>
        <w:t>ón</w:t>
      </w:r>
      <w:r w:rsidRPr="00B54DF9">
        <w:t xml:space="preserve"> </w:t>
      </w:r>
      <w:r>
        <w:t>d</w:t>
      </w:r>
      <w:r w:rsidRPr="00B54DF9">
        <w:t>irect</w:t>
      </w:r>
      <w:r>
        <w:t>a.</w:t>
      </w:r>
      <w:r w:rsidRPr="00B54DF9">
        <w:t xml:space="preserve"> </w:t>
      </w:r>
    </w:p>
    <w:p w:rsidR="000100D5" w:rsidRPr="00CE5177" w:rsidRDefault="000100D5" w:rsidP="000100D5">
      <w:pPr>
        <w:pStyle w:val="SingleTxtG"/>
      </w:pPr>
      <w:r w:rsidRPr="00B54DF9">
        <w:t>536.</w:t>
      </w:r>
      <w:r w:rsidRPr="00B54DF9">
        <w:tab/>
        <w:t xml:space="preserve">Se señaló que muchas personas permanecían acogidas durante bastante tiempo </w:t>
      </w:r>
      <w:r>
        <w:t>en e</w:t>
      </w:r>
      <w:r w:rsidRPr="00B54DF9">
        <w:t>l r</w:t>
      </w:r>
      <w:r>
        <w:t>égimen de manutención directa, lo que repercutía en una merma de sus habilidades</w:t>
      </w:r>
      <w:r w:rsidRPr="00B54DF9">
        <w:t xml:space="preserve">. </w:t>
      </w:r>
      <w:r w:rsidR="008B24B7">
        <w:t>No </w:t>
      </w:r>
      <w:r w:rsidRPr="00CE5177">
        <w:t>p</w:t>
      </w:r>
      <w:r>
        <w:t>o</w:t>
      </w:r>
      <w:r w:rsidRPr="00CE5177">
        <w:t>d</w:t>
      </w:r>
      <w:r>
        <w:t>ía</w:t>
      </w:r>
      <w:r w:rsidRPr="00CE5177">
        <w:t>n aprovechar los cursos o la capacitación financiados por el Estado, incluid</w:t>
      </w:r>
      <w:r>
        <w:t>o el aprendizaje de la</w:t>
      </w:r>
      <w:r w:rsidRPr="00CE5177">
        <w:t xml:space="preserve"> </w:t>
      </w:r>
      <w:r>
        <w:t>lengua i</w:t>
      </w:r>
      <w:r w:rsidRPr="00CE5177">
        <w:t>ngl</w:t>
      </w:r>
      <w:r>
        <w:t>esa, por lo que ello conllevaba a menudo que no estuvieran en condiciones de trabajar tras salir del régimen de manutención directa. Era</w:t>
      </w:r>
      <w:r w:rsidRPr="00CE5177">
        <w:t xml:space="preserve"> más probable que est</w:t>
      </w:r>
      <w:r>
        <w:t>uviera</w:t>
      </w:r>
      <w:r w:rsidRPr="00CE5177">
        <w:t>n desempleados y que experiment</w:t>
      </w:r>
      <w:r>
        <w:t>as</w:t>
      </w:r>
      <w:r w:rsidRPr="00CE5177">
        <w:t xml:space="preserve">en, </w:t>
      </w:r>
      <w:r>
        <w:t>por tanto, más</w:t>
      </w:r>
      <w:r w:rsidRPr="00CE5177">
        <w:t xml:space="preserve"> dificult</w:t>
      </w:r>
      <w:r>
        <w:t>ades para</w:t>
      </w:r>
      <w:r w:rsidRPr="00CE5177">
        <w:t xml:space="preserve"> integra</w:t>
      </w:r>
      <w:r>
        <w:t>rse</w:t>
      </w:r>
      <w:r w:rsidRPr="00CE5177">
        <w:t xml:space="preserve">. </w:t>
      </w:r>
    </w:p>
    <w:p w:rsidR="000100D5" w:rsidRPr="00411A56" w:rsidRDefault="000100D5" w:rsidP="000100D5">
      <w:pPr>
        <w:pStyle w:val="SingleTxtG"/>
      </w:pPr>
      <w:r w:rsidRPr="00132053">
        <w:t>537.</w:t>
      </w:r>
      <w:r w:rsidRPr="00132053">
        <w:tab/>
        <w:t>Se indicó que la</w:t>
      </w:r>
      <w:r>
        <w:t xml:space="preserve"> </w:t>
      </w:r>
      <w:r w:rsidRPr="00132053">
        <w:t xml:space="preserve">manutención directa y la dispersión eran cuestiones decisivas para los refugiados y solicitantes de asilo. El </w:t>
      </w:r>
      <w:r w:rsidR="00466CA0">
        <w:t>Coordinador encargado del seguimiento</w:t>
      </w:r>
      <w:r w:rsidRPr="00132053">
        <w:t xml:space="preserve"> de las observaciones y recomendaciones del Comité propuso </w:t>
      </w:r>
      <w:r>
        <w:t xml:space="preserve">en su informe </w:t>
      </w:r>
      <w:r w:rsidRPr="00132053">
        <w:t>evaluar el sistema de manutención directa (mejor que abrir el acceso directo al mercado laboral) y la influencia que ha</w:t>
      </w:r>
      <w:r>
        <w:t>bía</w:t>
      </w:r>
      <w:r w:rsidRPr="00132053">
        <w:t xml:space="preserve"> tenido en la integración de las person</w:t>
      </w:r>
      <w:r>
        <w:t>a</w:t>
      </w:r>
      <w:r w:rsidRPr="00132053">
        <w:t xml:space="preserve">s </w:t>
      </w:r>
      <w:r>
        <w:t>cuando se les reconocía la condición de</w:t>
      </w:r>
      <w:r w:rsidRPr="00132053">
        <w:t xml:space="preserve"> resident</w:t>
      </w:r>
      <w:r>
        <w:t>e</w:t>
      </w:r>
      <w:r w:rsidRPr="00132053">
        <w:t>s o</w:t>
      </w:r>
      <w:r>
        <w:t xml:space="preserve"> se les concedía</w:t>
      </w:r>
      <w:r w:rsidRPr="00132053">
        <w:t xml:space="preserve"> as</w:t>
      </w:r>
      <w:r>
        <w:t>i</w:t>
      </w:r>
      <w:r w:rsidRPr="00132053">
        <w:t>l</w:t>
      </w:r>
      <w:r>
        <w:t>o</w:t>
      </w:r>
      <w:r w:rsidRPr="00132053">
        <w:t xml:space="preserve"> </w:t>
      </w:r>
      <w:r>
        <w:t>e</w:t>
      </w:r>
      <w:r w:rsidRPr="00132053">
        <w:t>n Irland</w:t>
      </w:r>
      <w:r>
        <w:t>a</w:t>
      </w:r>
      <w:r w:rsidRPr="00132053">
        <w:t>. Se p</w:t>
      </w:r>
      <w:r>
        <w:t>reguntó si</w:t>
      </w:r>
      <w:r w:rsidRPr="00132053">
        <w:t xml:space="preserve"> se h</w:t>
      </w:r>
      <w:r>
        <w:t>a</w:t>
      </w:r>
      <w:r w:rsidRPr="00132053">
        <w:t>b</w:t>
      </w:r>
      <w:r>
        <w:t>ía</w:t>
      </w:r>
      <w:r w:rsidRPr="00132053">
        <w:t xml:space="preserve"> llevado a cabo alguna vez esa evaluaci</w:t>
      </w:r>
      <w:r>
        <w:t>ón</w:t>
      </w:r>
      <w:r w:rsidRPr="00132053">
        <w:t xml:space="preserve">. </w:t>
      </w:r>
      <w:r>
        <w:t xml:space="preserve">En caso de que </w:t>
      </w:r>
      <w:r w:rsidRPr="00411A56">
        <w:t xml:space="preserve">la respuesta </w:t>
      </w:r>
      <w:r>
        <w:t>fu</w:t>
      </w:r>
      <w:r w:rsidRPr="00411A56">
        <w:t>era negativa, se qu</w:t>
      </w:r>
      <w:r>
        <w:t>ería</w:t>
      </w:r>
      <w:r w:rsidRPr="00411A56">
        <w:t xml:space="preserve"> saber si estaba prevista, cómo se realizaría y qu</w:t>
      </w:r>
      <w:r>
        <w:t>é trascendencia tendría</w:t>
      </w:r>
      <w:r w:rsidRPr="00411A56">
        <w:t>. Era menester consultar exhaustivamente a los usuarios de los servicios de manutenci</w:t>
      </w:r>
      <w:r>
        <w:t>ón directa y ONG, etc</w:t>
      </w:r>
      <w:r w:rsidRPr="00411A56">
        <w:t>.</w:t>
      </w:r>
    </w:p>
    <w:p w:rsidR="000100D5" w:rsidRPr="006B35C1" w:rsidRDefault="000100D5" w:rsidP="000100D5">
      <w:pPr>
        <w:pStyle w:val="SingleTxtG"/>
        <w:rPr>
          <w:lang w:val="en-IE"/>
        </w:rPr>
      </w:pPr>
      <w:r w:rsidRPr="00411A56">
        <w:t>538.</w:t>
      </w:r>
      <w:r w:rsidRPr="00411A56">
        <w:tab/>
        <w:t>Se puso de relieve que, si bien los funcionarios de atención de salud hab</w:t>
      </w:r>
      <w:r>
        <w:t>ían recibido una capacitación</w:t>
      </w:r>
      <w:r w:rsidRPr="00411A56">
        <w:t xml:space="preserve">, </w:t>
      </w:r>
      <w:r>
        <w:t>no había dispuesto de ella el personal de los centros de manutención directa</w:t>
      </w:r>
      <w:r w:rsidRPr="00411A56">
        <w:t xml:space="preserve">. Se sugirió que convendría impartir una formación en solución de conflictos. </w:t>
      </w:r>
    </w:p>
    <w:p w:rsidR="000100D5" w:rsidRPr="00C85C89" w:rsidRDefault="000100D5" w:rsidP="000100D5">
      <w:pPr>
        <w:pStyle w:val="SingleTxtG"/>
      </w:pPr>
      <w:r w:rsidRPr="00411A56">
        <w:t>539.</w:t>
      </w:r>
      <w:r w:rsidRPr="00411A56">
        <w:tab/>
        <w:t>S</w:t>
      </w:r>
      <w:r>
        <w:t>uscitaban</w:t>
      </w:r>
      <w:r w:rsidRPr="00411A56">
        <w:t xml:space="preserve"> preo</w:t>
      </w:r>
      <w:r>
        <w:t>c</w:t>
      </w:r>
      <w:r w:rsidRPr="00411A56">
        <w:t>upación todas las mujeres migrantes, independientemente de su condición, aunque se consideró que las solicitantes de asilo en el r</w:t>
      </w:r>
      <w:r>
        <w:t>é</w:t>
      </w:r>
      <w:r w:rsidRPr="00411A56">
        <w:t>gimen de manutenci</w:t>
      </w:r>
      <w:r>
        <w:t>ón directa corrían un grave peligro de</w:t>
      </w:r>
      <w:r w:rsidRPr="00411A56">
        <w:t xml:space="preserve"> discrimina</w:t>
      </w:r>
      <w:r>
        <w:t>c</w:t>
      </w:r>
      <w:r w:rsidRPr="00411A56">
        <w:t>i</w:t>
      </w:r>
      <w:r>
        <w:t>ó</w:t>
      </w:r>
      <w:r w:rsidRPr="00411A56">
        <w:t xml:space="preserve">n. </w:t>
      </w:r>
      <w:r w:rsidRPr="00C85C89">
        <w:t xml:space="preserve">Se agregó que las mujeres tenían más probabilidades de que se les denegara el asilo, a pesar de haber sido víctimas </w:t>
      </w:r>
      <w:r>
        <w:t>de la violencia de</w:t>
      </w:r>
      <w:r w:rsidRPr="00C85C89">
        <w:t xml:space="preserve"> g</w:t>
      </w:r>
      <w:r>
        <w:t>é</w:t>
      </w:r>
      <w:r w:rsidRPr="00C85C89">
        <w:t>ner</w:t>
      </w:r>
      <w:r>
        <w:t>o</w:t>
      </w:r>
      <w:r w:rsidRPr="00C85C89">
        <w:t xml:space="preserve">. </w:t>
      </w:r>
    </w:p>
    <w:p w:rsidR="000100D5" w:rsidRPr="00C85C89" w:rsidRDefault="000100D5" w:rsidP="000100D5">
      <w:pPr>
        <w:pStyle w:val="SingleTxtG"/>
      </w:pPr>
      <w:r w:rsidRPr="00C85C89">
        <w:t>540.</w:t>
      </w:r>
      <w:r w:rsidRPr="00C85C89">
        <w:tab/>
        <w:t>En relación con la mutilación genital femenina, era necesario contar con más medidas legislativas y organizar m</w:t>
      </w:r>
      <w:r>
        <w:t>ás campañas de sensibilización entre los</w:t>
      </w:r>
      <w:r w:rsidRPr="00C85C89">
        <w:t xml:space="preserve"> profesional</w:t>
      </w:r>
      <w:r>
        <w:t>e</w:t>
      </w:r>
      <w:r w:rsidRPr="00C85C89">
        <w:t>s</w:t>
      </w:r>
      <w:r>
        <w:t xml:space="preserve"> de la salud</w:t>
      </w:r>
      <w:r w:rsidRPr="00C85C89">
        <w:t>.</w:t>
      </w:r>
    </w:p>
    <w:p w:rsidR="000100D5" w:rsidRPr="00C85C89" w:rsidRDefault="000100D5" w:rsidP="000100D5">
      <w:pPr>
        <w:pStyle w:val="SingleTxtG"/>
      </w:pPr>
      <w:r w:rsidRPr="00C85C89">
        <w:t>541.</w:t>
      </w:r>
      <w:r w:rsidRPr="00C85C89">
        <w:tab/>
        <w:t xml:space="preserve">La pregunta sobre </w:t>
      </w:r>
      <w:r>
        <w:t>la</w:t>
      </w:r>
      <w:r w:rsidRPr="00C85C89">
        <w:t xml:space="preserve"> </w:t>
      </w:r>
      <w:r>
        <w:t>e</w:t>
      </w:r>
      <w:r w:rsidRPr="00C85C89">
        <w:t>tni</w:t>
      </w:r>
      <w:r>
        <w:t>a</w:t>
      </w:r>
      <w:r w:rsidRPr="00C85C89">
        <w:t xml:space="preserve"> en el </w:t>
      </w:r>
      <w:r>
        <w:t>c</w:t>
      </w:r>
      <w:r w:rsidRPr="00C85C89">
        <w:t>ens</w:t>
      </w:r>
      <w:r>
        <w:t>o de</w:t>
      </w:r>
      <w:r w:rsidRPr="00C85C89">
        <w:t xml:space="preserve"> 2006 </w:t>
      </w:r>
      <w:r>
        <w:t>se refería sólo al color de la piel</w:t>
      </w:r>
      <w:r w:rsidR="008B24B7">
        <w:t>. En </w:t>
      </w:r>
      <w:r w:rsidRPr="00C85C89">
        <w:t>el informe se hacía también referencia a las cifras del censo, pero se pensaba que en esas cifras se hab</w:t>
      </w:r>
      <w:r>
        <w:t xml:space="preserve">ía subestimado el número real de grupos étnicos minoritarios y de </w:t>
      </w:r>
      <w:r w:rsidRPr="00C85C89">
        <w:t>migrant</w:t>
      </w:r>
      <w:r>
        <w:t>es.</w:t>
      </w:r>
    </w:p>
    <w:p w:rsidR="000100D5" w:rsidRPr="00C85C89" w:rsidRDefault="000100D5" w:rsidP="000100D5">
      <w:pPr>
        <w:pStyle w:val="SingleTxtG"/>
      </w:pPr>
      <w:r w:rsidRPr="00C85C89">
        <w:t>542.</w:t>
      </w:r>
      <w:r w:rsidRPr="00C85C89">
        <w:tab/>
        <w:t>Se opinó que faltaban datos en el informe, especialmente en relación con los det</w:t>
      </w:r>
      <w:r>
        <w:t>e</w:t>
      </w:r>
      <w:r w:rsidRPr="00C85C89">
        <w:t>n</w:t>
      </w:r>
      <w:r>
        <w:t>idos durante el proceso de</w:t>
      </w:r>
      <w:r w:rsidRPr="00C85C89">
        <w:t xml:space="preserve"> as</w:t>
      </w:r>
      <w:r>
        <w:t>i</w:t>
      </w:r>
      <w:r w:rsidRPr="00C85C89">
        <w:t>l</w:t>
      </w:r>
      <w:r>
        <w:t>o y en espera de la adopción de decisiones: cuántos, cuánto tiempo, género, etc.</w:t>
      </w:r>
      <w:r w:rsidRPr="00C85C89">
        <w:t xml:space="preserve"> </w:t>
      </w:r>
    </w:p>
    <w:p w:rsidR="000100D5" w:rsidRPr="00174C35" w:rsidRDefault="000100D5" w:rsidP="000100D5">
      <w:pPr>
        <w:pStyle w:val="SingleTxtG"/>
      </w:pPr>
      <w:r w:rsidRPr="00174C35">
        <w:t>543.</w:t>
      </w:r>
      <w:r w:rsidRPr="00174C35">
        <w:tab/>
        <w:t>Se indicó asimismo que había una resistencia a la vigilancia de las prision</w:t>
      </w:r>
      <w:r>
        <w:t>e</w:t>
      </w:r>
      <w:r w:rsidRPr="00174C35">
        <w:t xml:space="preserve">s </w:t>
      </w:r>
      <w:r>
        <w:t>y centros de</w:t>
      </w:r>
      <w:r w:rsidRPr="00174C35">
        <w:t xml:space="preserve"> deten</w:t>
      </w:r>
      <w:r>
        <w:t>c</w:t>
      </w:r>
      <w:r w:rsidRPr="00174C35">
        <w:t>i</w:t>
      </w:r>
      <w:r>
        <w:t>ó</w:t>
      </w:r>
      <w:r w:rsidRPr="00174C35">
        <w:t xml:space="preserve">n </w:t>
      </w:r>
      <w:r>
        <w:t>y que se necesitaba una mayor transparencia e i</w:t>
      </w:r>
      <w:r w:rsidRPr="00174C35">
        <w:t>nforma</w:t>
      </w:r>
      <w:r>
        <w:t>c</w:t>
      </w:r>
      <w:r w:rsidRPr="00174C35">
        <w:t>i</w:t>
      </w:r>
      <w:r>
        <w:t>ó</w:t>
      </w:r>
      <w:r w:rsidRPr="00174C35">
        <w:t>n.</w:t>
      </w:r>
    </w:p>
    <w:p w:rsidR="000100D5" w:rsidRPr="00174C35" w:rsidRDefault="000100D5" w:rsidP="000100D5">
      <w:pPr>
        <w:pStyle w:val="SingleTxtG"/>
      </w:pPr>
      <w:r w:rsidRPr="00174C35">
        <w:t>544.</w:t>
      </w:r>
      <w:r w:rsidRPr="00174C35">
        <w:tab/>
        <w:t>En el proceso de consulta participaron las siguientes organizaciones:</w:t>
      </w:r>
    </w:p>
    <w:p w:rsidR="000100D5" w:rsidRPr="00174C35" w:rsidRDefault="008B24B7" w:rsidP="000100D5">
      <w:pPr>
        <w:pStyle w:val="SingleTxtG"/>
      </w:pPr>
      <w:r>
        <w:tab/>
        <w:t>1)</w:t>
      </w:r>
      <w:r>
        <w:tab/>
        <w:t>Pavee Point;</w:t>
      </w:r>
    </w:p>
    <w:p w:rsidR="000100D5" w:rsidRPr="00174C35" w:rsidRDefault="008B24B7" w:rsidP="000100D5">
      <w:pPr>
        <w:pStyle w:val="SingleTxtG"/>
      </w:pPr>
      <w:r>
        <w:tab/>
        <w:t>2)</w:t>
      </w:r>
      <w:r>
        <w:tab/>
        <w:t>ACNUR;</w:t>
      </w:r>
    </w:p>
    <w:p w:rsidR="000100D5" w:rsidRPr="00174C35" w:rsidRDefault="000100D5" w:rsidP="000100D5">
      <w:pPr>
        <w:pStyle w:val="SingleTxtG"/>
      </w:pPr>
      <w:r w:rsidRPr="00174C35">
        <w:tab/>
        <w:t>3)</w:t>
      </w:r>
      <w:r w:rsidRPr="00174C35">
        <w:tab/>
        <w:t xml:space="preserve">Movimiento de </w:t>
      </w:r>
      <w:r>
        <w:t>N</w:t>
      </w:r>
      <w:r w:rsidR="008B24B7">
        <w:t>ómadas de Irlanda;</w:t>
      </w:r>
    </w:p>
    <w:p w:rsidR="000100D5" w:rsidRPr="00174C35" w:rsidRDefault="000100D5" w:rsidP="000100D5">
      <w:pPr>
        <w:pStyle w:val="SingleTxtG"/>
      </w:pPr>
      <w:r w:rsidRPr="00174C35">
        <w:tab/>
        <w:t>4)</w:t>
      </w:r>
      <w:r w:rsidRPr="00174C35">
        <w:tab/>
      </w:r>
      <w:r>
        <w:t>NGO Alliance Against Racism (</w:t>
      </w:r>
      <w:r w:rsidRPr="00174C35">
        <w:t>Alianza de ONG contra el Racismo</w:t>
      </w:r>
      <w:r>
        <w:t>)</w:t>
      </w:r>
      <w:r w:rsidR="008B24B7">
        <w:t>;</w:t>
      </w:r>
    </w:p>
    <w:p w:rsidR="000100D5" w:rsidRPr="00174C35" w:rsidRDefault="000100D5" w:rsidP="000100D5">
      <w:pPr>
        <w:pStyle w:val="SingleTxtG"/>
      </w:pPr>
      <w:r w:rsidRPr="00174C35">
        <w:tab/>
        <w:t>5)</w:t>
      </w:r>
      <w:r w:rsidRPr="00174C35">
        <w:tab/>
      </w:r>
      <w:r>
        <w:t>Immigrants Rights Council (</w:t>
      </w:r>
      <w:r w:rsidRPr="00174C35">
        <w:t>Consejo de Derechos de los Inmigrantes</w:t>
      </w:r>
      <w:r>
        <w:t>)</w:t>
      </w:r>
      <w:r w:rsidR="008B24B7">
        <w:t>;</w:t>
      </w:r>
    </w:p>
    <w:p w:rsidR="000100D5" w:rsidRPr="00174C35" w:rsidRDefault="008B24B7" w:rsidP="000100D5">
      <w:pPr>
        <w:pStyle w:val="SingleTxtG"/>
      </w:pPr>
      <w:r>
        <w:tab/>
        <w:t>6)</w:t>
      </w:r>
      <w:r>
        <w:tab/>
        <w:t>SARI;</w:t>
      </w:r>
    </w:p>
    <w:p w:rsidR="000100D5" w:rsidRPr="00174C35" w:rsidRDefault="000100D5" w:rsidP="000100D5">
      <w:pPr>
        <w:pStyle w:val="SingleTxtG"/>
      </w:pPr>
      <w:r w:rsidRPr="00174C35">
        <w:tab/>
        <w:t>7)</w:t>
      </w:r>
      <w:r w:rsidRPr="00174C35">
        <w:tab/>
        <w:t xml:space="preserve">Centro de Derechos de los Migrantes </w:t>
      </w:r>
      <w:r>
        <w:t>de Irlanda</w:t>
      </w:r>
      <w:r w:rsidR="008B24B7">
        <w:t>;</w:t>
      </w:r>
    </w:p>
    <w:p w:rsidR="000100D5" w:rsidRPr="00174C35" w:rsidRDefault="000100D5" w:rsidP="000100D5">
      <w:pPr>
        <w:pStyle w:val="SingleTxtG"/>
        <w:ind w:left="2259" w:hanging="558"/>
      </w:pPr>
      <w:r w:rsidRPr="00174C35">
        <w:t>8)</w:t>
      </w:r>
      <w:r w:rsidRPr="00174C35">
        <w:tab/>
      </w:r>
      <w:r>
        <w:t>National Women</w:t>
      </w:r>
      <w:r w:rsidR="000B3925">
        <w:t>'</w:t>
      </w:r>
      <w:r>
        <w:t>s Council of Ireland (</w:t>
      </w:r>
      <w:r w:rsidRPr="00174C35">
        <w:t xml:space="preserve">Consejo Nacional de </w:t>
      </w:r>
      <w:r>
        <w:t>M</w:t>
      </w:r>
      <w:r w:rsidRPr="00174C35">
        <w:t>ujeres de</w:t>
      </w:r>
      <w:r w:rsidR="005007D6">
        <w:t xml:space="preserve"> </w:t>
      </w:r>
      <w:r w:rsidRPr="00174C35">
        <w:t>Irlanda</w:t>
      </w:r>
      <w:r>
        <w:t>)</w:t>
      </w:r>
      <w:r w:rsidR="008B24B7">
        <w:t>;</w:t>
      </w:r>
    </w:p>
    <w:p w:rsidR="000100D5" w:rsidRPr="008B24B7" w:rsidRDefault="000100D5" w:rsidP="000100D5">
      <w:pPr>
        <w:pStyle w:val="SingleTxtG"/>
      </w:pPr>
      <w:r w:rsidRPr="00174C35">
        <w:tab/>
      </w:r>
      <w:r w:rsidRPr="008B24B7">
        <w:t>9)</w:t>
      </w:r>
      <w:r w:rsidRPr="008B24B7">
        <w:tab/>
        <w:t>Cuma</w:t>
      </w:r>
      <w:r w:rsidR="008B24B7" w:rsidRPr="008B24B7">
        <w:t>nn Lúthchleas Gael;</w:t>
      </w:r>
    </w:p>
    <w:p w:rsidR="000100D5" w:rsidRPr="00F91229" w:rsidRDefault="000100D5" w:rsidP="000100D5">
      <w:pPr>
        <w:pStyle w:val="SingleTxtG"/>
      </w:pPr>
      <w:r w:rsidRPr="008B24B7">
        <w:tab/>
      </w:r>
      <w:r w:rsidRPr="00F91229">
        <w:t>10)</w:t>
      </w:r>
      <w:r w:rsidRPr="00F91229">
        <w:tab/>
      </w:r>
      <w:r>
        <w:t>Irish Council for Civil Liberties (</w:t>
      </w:r>
      <w:r w:rsidRPr="00F91229">
        <w:t>Consejo Irlandés por las Libertades Civiles</w:t>
      </w:r>
      <w:r>
        <w:t>)</w:t>
      </w:r>
      <w:r w:rsidR="008B24B7">
        <w:t>;</w:t>
      </w:r>
    </w:p>
    <w:p w:rsidR="000100D5" w:rsidRPr="00F91229" w:rsidRDefault="000100D5" w:rsidP="000100D5">
      <w:pPr>
        <w:pStyle w:val="SingleTxtG"/>
      </w:pPr>
      <w:r w:rsidRPr="00F91229">
        <w:tab/>
        <w:t>11)</w:t>
      </w:r>
      <w:r w:rsidRPr="00F91229">
        <w:tab/>
        <w:t>F</w:t>
      </w:r>
      <w:r w:rsidR="008B24B7">
        <w:t>oro Nacional de Mujeres Nómadas;</w:t>
      </w:r>
    </w:p>
    <w:p w:rsidR="000100D5" w:rsidRPr="00F91229" w:rsidRDefault="000100D5" w:rsidP="000100D5">
      <w:pPr>
        <w:pStyle w:val="SingleTxtG"/>
      </w:pPr>
      <w:r w:rsidRPr="00F91229">
        <w:tab/>
        <w:t>12)</w:t>
      </w:r>
      <w:r w:rsidRPr="00F91229">
        <w:tab/>
        <w:t>Comisió</w:t>
      </w:r>
      <w:r w:rsidR="008B24B7">
        <w:t>n Irlandesa de Derechos Humanos;</w:t>
      </w:r>
    </w:p>
    <w:p w:rsidR="000100D5" w:rsidRPr="00F91229" w:rsidRDefault="000100D5" w:rsidP="000100D5">
      <w:pPr>
        <w:pStyle w:val="SingleTxtG"/>
      </w:pPr>
      <w:r w:rsidRPr="00F91229">
        <w:tab/>
        <w:t>13)</w:t>
      </w:r>
      <w:r w:rsidRPr="00F91229">
        <w:tab/>
        <w:t>Dirección de la Igualdad</w:t>
      </w:r>
      <w:r w:rsidR="008B24B7">
        <w:t>;</w:t>
      </w:r>
    </w:p>
    <w:p w:rsidR="000100D5" w:rsidRPr="00F91229" w:rsidRDefault="008B24B7" w:rsidP="000100D5">
      <w:pPr>
        <w:pStyle w:val="SingleTxtG"/>
      </w:pPr>
      <w:r>
        <w:tab/>
        <w:t>14)</w:t>
      </w:r>
      <w:r>
        <w:tab/>
        <w:t>NASC Irlanda;</w:t>
      </w:r>
    </w:p>
    <w:p w:rsidR="000100D5" w:rsidRPr="00F91229" w:rsidRDefault="000100D5" w:rsidP="000100D5">
      <w:pPr>
        <w:pStyle w:val="SingleTxtG"/>
      </w:pPr>
      <w:r w:rsidRPr="00F91229">
        <w:tab/>
        <w:t>15)</w:t>
      </w:r>
      <w:r w:rsidRPr="00F91229">
        <w:tab/>
      </w:r>
      <w:r>
        <w:t>Refugee Information Service (</w:t>
      </w:r>
      <w:r w:rsidRPr="00F91229">
        <w:t>Servicio de Información a los Refugiados</w:t>
      </w:r>
      <w:r>
        <w:t>)</w:t>
      </w:r>
      <w:r w:rsidR="008B24B7">
        <w:t>;</w:t>
      </w:r>
    </w:p>
    <w:p w:rsidR="000100D5" w:rsidRPr="008B24B7" w:rsidRDefault="000100D5" w:rsidP="000100D5">
      <w:pPr>
        <w:pStyle w:val="SingleTxtG"/>
      </w:pPr>
      <w:r w:rsidRPr="00F91229">
        <w:tab/>
      </w:r>
      <w:r w:rsidR="008B24B7" w:rsidRPr="008B24B7">
        <w:t>16)</w:t>
      </w:r>
      <w:r w:rsidR="008B24B7" w:rsidRPr="008B24B7">
        <w:tab/>
        <w:t>LIR;</w:t>
      </w:r>
    </w:p>
    <w:p w:rsidR="000100D5" w:rsidRPr="006B35C1" w:rsidRDefault="000100D5" w:rsidP="000100D5">
      <w:pPr>
        <w:pStyle w:val="SingleTxtG"/>
      </w:pPr>
      <w:r>
        <w:tab/>
      </w:r>
      <w:r w:rsidR="008B24B7">
        <w:t>17)</w:t>
      </w:r>
      <w:r w:rsidR="008B24B7">
        <w:tab/>
        <w:t>iMeasc;</w:t>
      </w:r>
    </w:p>
    <w:p w:rsidR="000100D5" w:rsidRPr="00F91229" w:rsidRDefault="000100D5" w:rsidP="000100D5">
      <w:pPr>
        <w:pStyle w:val="SingleTxtG"/>
        <w:ind w:left="2259" w:hanging="558"/>
      </w:pPr>
      <w:r w:rsidRPr="00F91229">
        <w:t>18)</w:t>
      </w:r>
      <w:r w:rsidRPr="00F91229">
        <w:tab/>
      </w:r>
      <w:r>
        <w:t>Galway Refugee Support Group (</w:t>
      </w:r>
      <w:r w:rsidRPr="00F91229">
        <w:t xml:space="preserve">Grupo de Apoyo a los Refugiados de </w:t>
      </w:r>
      <w:r>
        <w:t>Galway)</w:t>
      </w:r>
      <w:r w:rsidR="008B24B7">
        <w:t>;</w:t>
      </w:r>
    </w:p>
    <w:p w:rsidR="000100D5" w:rsidRPr="00F91229" w:rsidRDefault="000100D5" w:rsidP="000100D5">
      <w:pPr>
        <w:pStyle w:val="SingleTxtG"/>
      </w:pPr>
      <w:r w:rsidRPr="00F91229">
        <w:tab/>
        <w:t>19)</w:t>
      </w:r>
      <w:r w:rsidRPr="00F91229">
        <w:tab/>
      </w:r>
      <w:r>
        <w:t>Children</w:t>
      </w:r>
      <w:r w:rsidR="000B3925">
        <w:t>'</w:t>
      </w:r>
      <w:r>
        <w:t xml:space="preserve"> s Rights Alliance (</w:t>
      </w:r>
      <w:r w:rsidRPr="00F91229">
        <w:t>Alianza por los Derechos de los Niños</w:t>
      </w:r>
      <w:r>
        <w:t>)</w:t>
      </w:r>
      <w:r w:rsidR="008B24B7">
        <w:t>;</w:t>
      </w:r>
    </w:p>
    <w:p w:rsidR="000100D5" w:rsidRPr="00F91229" w:rsidRDefault="000100D5" w:rsidP="000100D5">
      <w:pPr>
        <w:pStyle w:val="SingleTxtG"/>
      </w:pPr>
      <w:r w:rsidRPr="00F91229">
        <w:tab/>
        <w:t>20)</w:t>
      </w:r>
      <w:r w:rsidRPr="00F91229">
        <w:tab/>
        <w:t>C</w:t>
      </w:r>
      <w:r>
        <w:t>omité Consultivo Nacional sobre el Racismo y el Multiculturalismo</w:t>
      </w:r>
      <w:r w:rsidRPr="00F91229">
        <w:t>.</w:t>
      </w:r>
    </w:p>
    <w:p w:rsidR="000100D5" w:rsidRPr="00F91229" w:rsidRDefault="000100D5" w:rsidP="000100D5">
      <w:pPr>
        <w:pStyle w:val="SingleTxtG"/>
      </w:pPr>
      <w:r w:rsidRPr="00F91229">
        <w:t>545.</w:t>
      </w:r>
      <w:r w:rsidRPr="00F91229">
        <w:tab/>
        <w:t>Se han recibido comunicaciones de:</w:t>
      </w:r>
    </w:p>
    <w:p w:rsidR="000100D5" w:rsidRPr="003049D2" w:rsidRDefault="000100D5" w:rsidP="000100D5">
      <w:pPr>
        <w:pStyle w:val="SingleTxtG"/>
      </w:pPr>
      <w:r w:rsidRPr="00F91229">
        <w:tab/>
      </w:r>
      <w:r w:rsidRPr="003049D2">
        <w:t>1)</w:t>
      </w:r>
      <w:r w:rsidRPr="003049D2">
        <w:tab/>
      </w:r>
      <w:r>
        <w:t>Family Support Agency</w:t>
      </w:r>
      <w:r w:rsidR="008B24B7">
        <w:t>;</w:t>
      </w:r>
    </w:p>
    <w:p w:rsidR="000100D5" w:rsidRPr="003049D2" w:rsidRDefault="000100D5" w:rsidP="000100D5">
      <w:pPr>
        <w:pStyle w:val="SingleTxtG"/>
      </w:pPr>
      <w:r>
        <w:tab/>
      </w:r>
      <w:r w:rsidRPr="003049D2">
        <w:t>2)</w:t>
      </w:r>
      <w:r w:rsidRPr="003049D2">
        <w:tab/>
        <w:t>Comisió</w:t>
      </w:r>
      <w:r w:rsidR="008B24B7">
        <w:t>n Irlandesa de Derechos Humanos;</w:t>
      </w:r>
    </w:p>
    <w:p w:rsidR="000100D5" w:rsidRPr="003049D2" w:rsidRDefault="000100D5" w:rsidP="000100D5">
      <w:pPr>
        <w:pStyle w:val="SingleTxtG"/>
      </w:pPr>
      <w:r w:rsidRPr="003049D2">
        <w:tab/>
        <w:t>3)</w:t>
      </w:r>
      <w:r w:rsidRPr="003049D2">
        <w:tab/>
        <w:t>M</w:t>
      </w:r>
      <w:r w:rsidR="008B24B7">
        <w:t>ovimiento de Nómadas de Irlanda;</w:t>
      </w:r>
    </w:p>
    <w:p w:rsidR="000100D5" w:rsidRPr="003049D2" w:rsidRDefault="000100D5" w:rsidP="000100D5">
      <w:pPr>
        <w:pStyle w:val="SingleTxtG"/>
      </w:pPr>
      <w:r w:rsidRPr="003049D2">
        <w:tab/>
        <w:t>4)</w:t>
      </w:r>
      <w:r w:rsidRPr="003049D2">
        <w:tab/>
      </w:r>
      <w:r>
        <w:t>Dominican Justice Office</w:t>
      </w:r>
      <w:r w:rsidR="008B24B7">
        <w:t>;</w:t>
      </w:r>
    </w:p>
    <w:p w:rsidR="000100D5" w:rsidRPr="003049D2" w:rsidRDefault="000100D5" w:rsidP="000100D5">
      <w:pPr>
        <w:pStyle w:val="SingleTxtG"/>
      </w:pPr>
      <w:r w:rsidRPr="003049D2">
        <w:tab/>
        <w:t>5)</w:t>
      </w:r>
      <w:r w:rsidRPr="003049D2">
        <w:tab/>
        <w:t>Consejo Irlandés de L</w:t>
      </w:r>
      <w:r w:rsidR="008B24B7">
        <w:t>ibertades Civiles;</w:t>
      </w:r>
    </w:p>
    <w:p w:rsidR="000100D5" w:rsidRPr="003049D2" w:rsidRDefault="000100D5" w:rsidP="000100D5">
      <w:pPr>
        <w:pStyle w:val="SingleTxtG"/>
      </w:pPr>
      <w:r w:rsidRPr="003049D2">
        <w:tab/>
        <w:t>6)</w:t>
      </w:r>
      <w:r w:rsidRPr="003049D2">
        <w:tab/>
        <w:t>Mercy</w:t>
      </w:r>
      <w:r>
        <w:t xml:space="preserve"> Refugee Network</w:t>
      </w:r>
      <w:r w:rsidR="008B24B7">
        <w:t>;</w:t>
      </w:r>
    </w:p>
    <w:p w:rsidR="000100D5" w:rsidRPr="003049D2" w:rsidRDefault="008B24B7" w:rsidP="000100D5">
      <w:pPr>
        <w:pStyle w:val="SingleTxtG"/>
      </w:pPr>
      <w:r>
        <w:tab/>
        <w:t>7)</w:t>
      </w:r>
      <w:r>
        <w:tab/>
        <w:t>Amnistía Internacional;</w:t>
      </w:r>
    </w:p>
    <w:p w:rsidR="000100D5" w:rsidRPr="003049D2" w:rsidRDefault="000100D5" w:rsidP="000100D5">
      <w:pPr>
        <w:pStyle w:val="SingleTxtG"/>
      </w:pPr>
      <w:r w:rsidRPr="003049D2">
        <w:tab/>
        <w:t>8)</w:t>
      </w:r>
      <w:r w:rsidRPr="003049D2">
        <w:tab/>
        <w:t>Centro de Derechos de los Migrantes de Irlanda</w:t>
      </w:r>
      <w:r w:rsidR="008B24B7">
        <w:t>;</w:t>
      </w:r>
    </w:p>
    <w:p w:rsidR="000100D5" w:rsidRPr="006E35A1" w:rsidRDefault="000100D5" w:rsidP="000100D5">
      <w:pPr>
        <w:pStyle w:val="SingleTxtG"/>
      </w:pPr>
      <w:r w:rsidRPr="003049D2">
        <w:tab/>
      </w:r>
      <w:r w:rsidRPr="006E35A1">
        <w:t>9)</w:t>
      </w:r>
      <w:r w:rsidRPr="006E35A1">
        <w:tab/>
        <w:t>Dirección de la Igualdad</w:t>
      </w:r>
      <w:r w:rsidR="008B24B7">
        <w:t>.</w:t>
      </w:r>
    </w:p>
    <w:p w:rsidR="000100D5" w:rsidRPr="006E35A1" w:rsidRDefault="000100D5" w:rsidP="000100D5">
      <w:pPr>
        <w:pStyle w:val="HChG"/>
      </w:pPr>
      <w:r w:rsidRPr="006E35A1">
        <w:rPr>
          <w:i/>
          <w:iCs/>
        </w:rPr>
        <w:br w:type="page"/>
      </w:r>
      <w:r w:rsidRPr="006E35A1">
        <w:t xml:space="preserve">Bibliografía </w:t>
      </w:r>
    </w:p>
    <w:p w:rsidR="000100D5" w:rsidRPr="006B35C1" w:rsidRDefault="000100D5" w:rsidP="000100D5">
      <w:pPr>
        <w:pStyle w:val="SingleTxtG"/>
        <w:rPr>
          <w:lang w:val="en-IE"/>
        </w:rPr>
      </w:pPr>
      <w:r w:rsidRPr="006B35C1">
        <w:rPr>
          <w:lang w:val="en-IE"/>
        </w:rPr>
        <w:t>1.</w:t>
      </w:r>
      <w:r w:rsidRPr="006B35C1">
        <w:rPr>
          <w:lang w:val="en-IE"/>
        </w:rPr>
        <w:tab/>
        <w:t>Combating Racism and Xenophobia through Criminal Law</w:t>
      </w:r>
    </w:p>
    <w:p w:rsidR="000100D5" w:rsidRPr="006B35C1" w:rsidRDefault="000100D5" w:rsidP="000100D5">
      <w:pPr>
        <w:pStyle w:val="SingleTxtG"/>
        <w:rPr>
          <w:lang w:val="en-IE"/>
        </w:rPr>
      </w:pPr>
      <w:r w:rsidRPr="006B35C1">
        <w:rPr>
          <w:lang w:val="en-IE"/>
        </w:rPr>
        <w:t>2.</w:t>
      </w:r>
      <w:r w:rsidRPr="006B35C1">
        <w:rPr>
          <w:lang w:val="en-IE"/>
        </w:rPr>
        <w:tab/>
        <w:t>The National Women</w:t>
      </w:r>
      <w:r w:rsidR="000B3925">
        <w:rPr>
          <w:lang w:val="en-IE"/>
        </w:rPr>
        <w:t>'</w:t>
      </w:r>
      <w:r w:rsidRPr="006B35C1">
        <w:rPr>
          <w:lang w:val="en-IE"/>
        </w:rPr>
        <w:t>s Strategy 2007–2016</w:t>
      </w:r>
    </w:p>
    <w:p w:rsidR="000100D5" w:rsidRPr="006B35C1" w:rsidRDefault="000100D5" w:rsidP="000100D5">
      <w:pPr>
        <w:pStyle w:val="SingleTxtG"/>
        <w:rPr>
          <w:lang w:val="en-IE"/>
        </w:rPr>
      </w:pPr>
      <w:r w:rsidRPr="006B35C1">
        <w:rPr>
          <w:lang w:val="en-IE"/>
        </w:rPr>
        <w:t>3.</w:t>
      </w:r>
      <w:r w:rsidRPr="006B35C1">
        <w:rPr>
          <w:lang w:val="en-IE"/>
        </w:rPr>
        <w:tab/>
        <w:t>Towards 2016</w:t>
      </w:r>
    </w:p>
    <w:p w:rsidR="000100D5" w:rsidRPr="006B35C1" w:rsidRDefault="000100D5" w:rsidP="000100D5">
      <w:pPr>
        <w:pStyle w:val="SingleTxtG"/>
        <w:rPr>
          <w:lang w:val="en-IE"/>
        </w:rPr>
      </w:pPr>
      <w:r w:rsidRPr="006B35C1">
        <w:rPr>
          <w:lang w:val="en-IE"/>
        </w:rPr>
        <w:t>4.</w:t>
      </w:r>
      <w:r w:rsidRPr="006B35C1">
        <w:rPr>
          <w:lang w:val="en-IE"/>
        </w:rPr>
        <w:tab/>
        <w:t>A Time for Change (2007–2009)</w:t>
      </w:r>
    </w:p>
    <w:p w:rsidR="000100D5" w:rsidRPr="006B35C1" w:rsidRDefault="000100D5" w:rsidP="000100D5">
      <w:pPr>
        <w:pStyle w:val="SingleTxtG"/>
        <w:rPr>
          <w:lang w:val="en-IE"/>
        </w:rPr>
      </w:pPr>
      <w:r w:rsidRPr="006B35C1">
        <w:rPr>
          <w:lang w:val="en-IE"/>
        </w:rPr>
        <w:t>5.</w:t>
      </w:r>
      <w:r w:rsidRPr="006B35C1">
        <w:rPr>
          <w:lang w:val="en-IE"/>
        </w:rPr>
        <w:tab/>
        <w:t>A Toolkit for Diversity in Primary Schools</w:t>
      </w:r>
      <w:r>
        <w:rPr>
          <w:lang w:val="en-IE"/>
        </w:rPr>
        <w:t xml:space="preserve"> </w:t>
      </w:r>
      <w:r w:rsidRPr="006B35C1">
        <w:rPr>
          <w:lang w:val="en-IE"/>
        </w:rPr>
        <w:t>– Together Towards Inclusion</w:t>
      </w:r>
    </w:p>
    <w:p w:rsidR="000100D5" w:rsidRPr="006B35C1" w:rsidRDefault="000100D5" w:rsidP="000100D5">
      <w:pPr>
        <w:pStyle w:val="SingleTxtG"/>
        <w:ind w:left="1701" w:hanging="567"/>
        <w:rPr>
          <w:lang w:val="en-IE"/>
        </w:rPr>
      </w:pPr>
      <w:r w:rsidRPr="006B35C1">
        <w:rPr>
          <w:lang w:val="en-IE"/>
        </w:rPr>
        <w:t>6.</w:t>
      </w:r>
      <w:r w:rsidRPr="006B35C1">
        <w:rPr>
          <w:lang w:val="en-IE"/>
        </w:rPr>
        <w:tab/>
        <w:t>Guidelines on Traveller Education in Primary Schools and Guidelines on Traveller Education in Second Level Schools</w:t>
      </w:r>
    </w:p>
    <w:p w:rsidR="000100D5" w:rsidRPr="006B35C1" w:rsidRDefault="000100D5" w:rsidP="000100D5">
      <w:pPr>
        <w:pStyle w:val="SingleTxtG"/>
        <w:rPr>
          <w:lang w:val="en-IE"/>
        </w:rPr>
      </w:pPr>
      <w:r w:rsidRPr="006B35C1">
        <w:rPr>
          <w:lang w:val="en-IE"/>
        </w:rPr>
        <w:t>7.</w:t>
      </w:r>
      <w:r w:rsidRPr="006B35C1">
        <w:rPr>
          <w:lang w:val="en-IE"/>
        </w:rPr>
        <w:tab/>
        <w:t>The Report and Recommendations for a Traveller Education Strategy</w:t>
      </w:r>
    </w:p>
    <w:p w:rsidR="000100D5" w:rsidRPr="006B35C1" w:rsidRDefault="000100D5" w:rsidP="000100D5">
      <w:pPr>
        <w:pStyle w:val="SingleTxtG"/>
        <w:rPr>
          <w:lang w:val="en-IE"/>
        </w:rPr>
      </w:pPr>
      <w:r w:rsidRPr="006B35C1">
        <w:rPr>
          <w:lang w:val="en-IE"/>
        </w:rPr>
        <w:t>8.</w:t>
      </w:r>
      <w:r w:rsidRPr="006B35C1">
        <w:rPr>
          <w:lang w:val="en-IE"/>
        </w:rPr>
        <w:tab/>
        <w:t>National Development Plan (2007–2013)</w:t>
      </w:r>
    </w:p>
    <w:p w:rsidR="000100D5" w:rsidRPr="006B35C1" w:rsidRDefault="000100D5" w:rsidP="000100D5">
      <w:pPr>
        <w:pStyle w:val="SingleTxtG"/>
        <w:rPr>
          <w:lang w:val="en-IE"/>
        </w:rPr>
      </w:pPr>
      <w:r w:rsidRPr="006B35C1">
        <w:rPr>
          <w:lang w:val="en-IE"/>
        </w:rPr>
        <w:t>9.</w:t>
      </w:r>
      <w:r w:rsidRPr="006B35C1">
        <w:rPr>
          <w:lang w:val="en-IE"/>
        </w:rPr>
        <w:tab/>
        <w:t>Survey of Traveller Education Provision in Irish Schools (STEP, 2006)</w:t>
      </w:r>
    </w:p>
    <w:p w:rsidR="000100D5" w:rsidRPr="006B35C1" w:rsidRDefault="000100D5" w:rsidP="000100D5">
      <w:pPr>
        <w:pStyle w:val="SingleTxtG"/>
        <w:rPr>
          <w:lang w:val="en-IE"/>
        </w:rPr>
      </w:pPr>
      <w:r w:rsidRPr="006B35C1">
        <w:rPr>
          <w:lang w:val="en-IE"/>
        </w:rPr>
        <w:t>10.</w:t>
      </w:r>
      <w:r w:rsidRPr="006B35C1">
        <w:rPr>
          <w:lang w:val="en-IE"/>
        </w:rPr>
        <w:tab/>
        <w:t>Planning for Diversity</w:t>
      </w:r>
    </w:p>
    <w:p w:rsidR="000100D5" w:rsidRPr="0065283E" w:rsidRDefault="000100D5" w:rsidP="000100D5">
      <w:pPr>
        <w:pStyle w:val="SingleTxtG"/>
      </w:pPr>
      <w:r w:rsidRPr="0065283E">
        <w:t>11.</w:t>
      </w:r>
      <w:r w:rsidRPr="0065283E">
        <w:tab/>
        <w:t>Informe inicial de Irlanda al Comité para la Eliminación de la Discriminaci</w:t>
      </w:r>
      <w:r>
        <w:t>ón Racial</w:t>
      </w:r>
      <w:r w:rsidRPr="0065283E">
        <w:t xml:space="preserve"> </w:t>
      </w:r>
    </w:p>
    <w:p w:rsidR="000100D5" w:rsidRPr="006B35C1" w:rsidRDefault="000100D5" w:rsidP="000100D5">
      <w:pPr>
        <w:pStyle w:val="SingleTxtG"/>
        <w:rPr>
          <w:lang w:val="en-IE"/>
        </w:rPr>
      </w:pPr>
      <w:r w:rsidRPr="006B35C1">
        <w:rPr>
          <w:lang w:val="en-IE"/>
        </w:rPr>
        <w:t>12.</w:t>
      </w:r>
      <w:r w:rsidRPr="006B35C1">
        <w:rPr>
          <w:lang w:val="en-IE"/>
        </w:rPr>
        <w:tab/>
        <w:t>National Action Plan for Social Inclusion 2007–2016</w:t>
      </w:r>
    </w:p>
    <w:p w:rsidR="000100D5" w:rsidRPr="006B35C1" w:rsidRDefault="000100D5" w:rsidP="000100D5">
      <w:pPr>
        <w:pStyle w:val="SingleTxtG"/>
        <w:rPr>
          <w:lang w:val="en-IE"/>
        </w:rPr>
      </w:pPr>
      <w:r w:rsidRPr="006B35C1">
        <w:rPr>
          <w:lang w:val="en-IE"/>
        </w:rPr>
        <w:t>13.</w:t>
      </w:r>
      <w:r w:rsidRPr="006B35C1">
        <w:rPr>
          <w:lang w:val="en-IE"/>
        </w:rPr>
        <w:tab/>
        <w:t>Migration Nation</w:t>
      </w:r>
    </w:p>
    <w:p w:rsidR="000100D5" w:rsidRPr="00753768" w:rsidRDefault="000100D5" w:rsidP="000100D5">
      <w:pPr>
        <w:pStyle w:val="SingleTxtG"/>
        <w:ind w:left="1701" w:hanging="567"/>
      </w:pPr>
      <w:r w:rsidRPr="00753768">
        <w:t>14.</w:t>
      </w:r>
      <w:r w:rsidRPr="00753768">
        <w:tab/>
        <w:t>Codes of Standards of Behaviour y Customer Charter, elaborados por la Oficina de Información del Servic</w:t>
      </w:r>
      <w:r>
        <w:t>io de Tribunales</w:t>
      </w:r>
    </w:p>
    <w:p w:rsidR="000100D5" w:rsidRPr="006B35C1" w:rsidRDefault="000100D5" w:rsidP="000100D5">
      <w:pPr>
        <w:pStyle w:val="SingleTxtG"/>
        <w:rPr>
          <w:lang w:val="en-IE"/>
        </w:rPr>
      </w:pPr>
      <w:r w:rsidRPr="006B35C1">
        <w:rPr>
          <w:lang w:val="en-IE"/>
        </w:rPr>
        <w:t>15.</w:t>
      </w:r>
      <w:r w:rsidRPr="006B35C1">
        <w:rPr>
          <w:lang w:val="en-IE"/>
        </w:rPr>
        <w:tab/>
        <w:t>Information booklet on Cultural Diversity</w:t>
      </w:r>
    </w:p>
    <w:p w:rsidR="000100D5" w:rsidRPr="006B35C1" w:rsidRDefault="000100D5" w:rsidP="000100D5">
      <w:pPr>
        <w:pStyle w:val="SingleTxtG"/>
        <w:rPr>
          <w:lang w:val="en-IE"/>
        </w:rPr>
      </w:pPr>
      <w:r w:rsidRPr="006B35C1">
        <w:rPr>
          <w:lang w:val="en-IE"/>
        </w:rPr>
        <w:t>16.</w:t>
      </w:r>
      <w:r w:rsidRPr="006B35C1">
        <w:rPr>
          <w:lang w:val="en-IE"/>
        </w:rPr>
        <w:tab/>
        <w:t xml:space="preserve">Equality in Ireland 2007. </w:t>
      </w:r>
      <w:r>
        <w:rPr>
          <w:lang w:val="en-IE"/>
        </w:rPr>
        <w:t xml:space="preserve">Oficina </w:t>
      </w:r>
      <w:r w:rsidRPr="006B35C1">
        <w:rPr>
          <w:lang w:val="en-IE"/>
        </w:rPr>
        <w:t xml:space="preserve">Central </w:t>
      </w:r>
      <w:r>
        <w:rPr>
          <w:lang w:val="en-IE"/>
        </w:rPr>
        <w:t>de Estadística</w:t>
      </w:r>
      <w:r w:rsidRPr="006B35C1">
        <w:rPr>
          <w:lang w:val="en-IE"/>
        </w:rPr>
        <w:t xml:space="preserve"> </w:t>
      </w:r>
    </w:p>
    <w:p w:rsidR="000100D5" w:rsidRPr="006B35C1" w:rsidRDefault="000100D5" w:rsidP="000100D5">
      <w:pPr>
        <w:pStyle w:val="SingleTxtG"/>
        <w:rPr>
          <w:lang w:val="en-IE"/>
        </w:rPr>
      </w:pPr>
      <w:r w:rsidRPr="006B35C1">
        <w:rPr>
          <w:lang w:val="en-IE"/>
        </w:rPr>
        <w:t>17.</w:t>
      </w:r>
      <w:r w:rsidRPr="006B35C1">
        <w:rPr>
          <w:lang w:val="en-IE"/>
        </w:rPr>
        <w:tab/>
        <w:t>Non Irish Nationals living in Irel</w:t>
      </w:r>
      <w:r>
        <w:rPr>
          <w:lang w:val="en-IE"/>
        </w:rPr>
        <w:t>and. Oficina Central de Estadística</w:t>
      </w:r>
    </w:p>
    <w:p w:rsidR="000100D5" w:rsidRPr="006B35C1" w:rsidRDefault="000100D5" w:rsidP="000100D5">
      <w:pPr>
        <w:pStyle w:val="SingleTxtG"/>
        <w:ind w:left="1701" w:hanging="567"/>
        <w:rPr>
          <w:lang w:val="en-IE"/>
        </w:rPr>
      </w:pPr>
      <w:r w:rsidRPr="006B35C1">
        <w:rPr>
          <w:lang w:val="en-IE"/>
        </w:rPr>
        <w:t>18.</w:t>
      </w:r>
      <w:r w:rsidRPr="006B35C1">
        <w:rPr>
          <w:lang w:val="en-IE"/>
        </w:rPr>
        <w:tab/>
        <w:t>Building Integrated Neighbourhoods Part 1</w:t>
      </w:r>
      <w:r>
        <w:rPr>
          <w:lang w:val="en-IE"/>
        </w:rPr>
        <w:t>.</w:t>
      </w:r>
      <w:r w:rsidRPr="006B35C1">
        <w:rPr>
          <w:lang w:val="en-IE"/>
        </w:rPr>
        <w:t xml:space="preserve"> </w:t>
      </w:r>
      <w:r>
        <w:rPr>
          <w:lang w:val="en-IE"/>
        </w:rPr>
        <w:t>A</w:t>
      </w:r>
      <w:r w:rsidRPr="006B35C1">
        <w:rPr>
          <w:lang w:val="en-IE"/>
        </w:rPr>
        <w:t>utor</w:t>
      </w:r>
      <w:r>
        <w:rPr>
          <w:lang w:val="en-IE"/>
        </w:rPr>
        <w:t>e</w:t>
      </w:r>
      <w:r w:rsidRPr="006B35C1">
        <w:rPr>
          <w:lang w:val="en-IE"/>
        </w:rPr>
        <w:t>s David Silke, Dr. Michelle Norri</w:t>
      </w:r>
      <w:r>
        <w:rPr>
          <w:lang w:val="en-IE"/>
        </w:rPr>
        <w:t>s, Fiona Kane y Brian Partly</w:t>
      </w:r>
    </w:p>
    <w:p w:rsidR="000100D5" w:rsidRPr="006B35C1" w:rsidRDefault="000100D5" w:rsidP="000100D5">
      <w:pPr>
        <w:pStyle w:val="SingleTxtG"/>
        <w:rPr>
          <w:lang w:val="en-IE"/>
        </w:rPr>
      </w:pPr>
      <w:r w:rsidRPr="006B35C1">
        <w:rPr>
          <w:lang w:val="en-IE"/>
        </w:rPr>
        <w:t>19.</w:t>
      </w:r>
      <w:r w:rsidRPr="006B35C1">
        <w:rPr>
          <w:lang w:val="en-IE"/>
        </w:rPr>
        <w:tab/>
        <w:t>Building Integrated Neighbourho</w:t>
      </w:r>
      <w:r>
        <w:rPr>
          <w:lang w:val="en-IE"/>
        </w:rPr>
        <w:t>ods Part 2. Autor Philip Watt</w:t>
      </w:r>
    </w:p>
    <w:p w:rsidR="000100D5" w:rsidRPr="006B35C1" w:rsidRDefault="000100D5" w:rsidP="000100D5">
      <w:pPr>
        <w:pStyle w:val="SingleTxtG"/>
        <w:rPr>
          <w:lang w:val="en-IE"/>
        </w:rPr>
      </w:pPr>
      <w:r w:rsidRPr="006B35C1">
        <w:rPr>
          <w:lang w:val="en-IE"/>
        </w:rPr>
        <w:t>20.</w:t>
      </w:r>
      <w:r w:rsidRPr="006B35C1">
        <w:rPr>
          <w:lang w:val="en-IE"/>
        </w:rPr>
        <w:tab/>
        <w:t>The Health Service Executive National Intercultural Health Strategy 2007–2012</w:t>
      </w:r>
    </w:p>
    <w:p w:rsidR="000100D5" w:rsidRPr="00E056AA" w:rsidRDefault="000100D5" w:rsidP="000100D5">
      <w:pPr>
        <w:pStyle w:val="SingleTxtG"/>
        <w:ind w:left="1701" w:hanging="567"/>
      </w:pPr>
      <w:r w:rsidRPr="006B35C1">
        <w:rPr>
          <w:lang w:val="en-IE"/>
        </w:rPr>
        <w:t>21.</w:t>
      </w:r>
      <w:r w:rsidRPr="006B35C1">
        <w:rPr>
          <w:lang w:val="en-IE"/>
        </w:rPr>
        <w:tab/>
        <w:t xml:space="preserve">Your social security rights in Ireland. </w:t>
      </w:r>
      <w:r w:rsidRPr="00E056AA">
        <w:t>Information Services, Departamento de Asuntos Sociales y de la Familia</w:t>
      </w:r>
    </w:p>
    <w:p w:rsidR="000100D5" w:rsidRPr="006B35C1" w:rsidRDefault="000100D5" w:rsidP="000100D5">
      <w:pPr>
        <w:pStyle w:val="SingleTxtG"/>
        <w:rPr>
          <w:lang w:val="en-IE"/>
        </w:rPr>
      </w:pPr>
      <w:r w:rsidRPr="006B35C1">
        <w:rPr>
          <w:lang w:val="en-IE"/>
        </w:rPr>
        <w:t>22.</w:t>
      </w:r>
      <w:r w:rsidRPr="006B35C1">
        <w:rPr>
          <w:lang w:val="en-IE"/>
        </w:rPr>
        <w:tab/>
        <w:t>Equal Status Acts 2000 to 2004</w:t>
      </w:r>
    </w:p>
    <w:p w:rsidR="000100D5" w:rsidRPr="006B35C1" w:rsidRDefault="000100D5" w:rsidP="000100D5">
      <w:pPr>
        <w:pStyle w:val="SingleTxtG"/>
        <w:ind w:left="1701" w:hanging="567"/>
        <w:rPr>
          <w:lang w:val="en-IE"/>
        </w:rPr>
      </w:pPr>
      <w:r w:rsidRPr="006B35C1">
        <w:rPr>
          <w:lang w:val="en-IE"/>
        </w:rPr>
        <w:t>23.</w:t>
      </w:r>
      <w:r w:rsidRPr="006B35C1">
        <w:rPr>
          <w:lang w:val="en-IE"/>
        </w:rPr>
        <w:tab/>
        <w:t>Go</w:t>
      </w:r>
      <w:r>
        <w:rPr>
          <w:lang w:val="en-IE"/>
        </w:rPr>
        <w:t>bi</w:t>
      </w:r>
      <w:r w:rsidRPr="006B35C1">
        <w:rPr>
          <w:lang w:val="en-IE"/>
        </w:rPr>
        <w:t>ern</w:t>
      </w:r>
      <w:r>
        <w:rPr>
          <w:lang w:val="en-IE"/>
        </w:rPr>
        <w:t>o de</w:t>
      </w:r>
      <w:r w:rsidRPr="006B35C1">
        <w:rPr>
          <w:lang w:val="en-IE"/>
        </w:rPr>
        <w:t xml:space="preserve"> Irland</w:t>
      </w:r>
      <w:r>
        <w:rPr>
          <w:lang w:val="en-IE"/>
        </w:rPr>
        <w:t>a</w:t>
      </w:r>
      <w:r w:rsidRPr="006B35C1">
        <w:rPr>
          <w:lang w:val="en-IE"/>
        </w:rPr>
        <w:t xml:space="preserve">. </w:t>
      </w:r>
      <w:r w:rsidRPr="006B35C1">
        <w:rPr>
          <w:i/>
          <w:iCs/>
          <w:lang w:val="en-IE"/>
        </w:rPr>
        <w:t>Charting Our Education Future: White Paper on Education.</w:t>
      </w:r>
      <w:r>
        <w:rPr>
          <w:lang w:val="en-IE"/>
        </w:rPr>
        <w:t xml:space="preserve"> Dublí</w:t>
      </w:r>
      <w:r w:rsidRPr="006B35C1">
        <w:rPr>
          <w:lang w:val="en-IE"/>
        </w:rPr>
        <w:t>n: The Stationery Office, 19</w:t>
      </w:r>
      <w:r>
        <w:rPr>
          <w:lang w:val="en-IE"/>
        </w:rPr>
        <w:t>95</w:t>
      </w:r>
    </w:p>
    <w:p w:rsidR="000100D5" w:rsidRPr="00E056AA" w:rsidRDefault="000100D5" w:rsidP="000100D5">
      <w:pPr>
        <w:pStyle w:val="SingleTxtG"/>
        <w:ind w:left="1701" w:hanging="567"/>
      </w:pPr>
      <w:r w:rsidRPr="006B35C1">
        <w:rPr>
          <w:lang w:val="en-IE"/>
        </w:rPr>
        <w:t>24.</w:t>
      </w:r>
      <w:r w:rsidRPr="006B35C1">
        <w:rPr>
          <w:lang w:val="en-IE"/>
        </w:rPr>
        <w:tab/>
        <w:t xml:space="preserve">Developing Quality Cost Effective Interpreting and Translating Services for Government Service Providers. </w:t>
      </w:r>
      <w:r w:rsidRPr="00E056AA">
        <w:t>Publicado por el Comité Consultivo Nacional sobre el Racismo y el Multiculturalismo</w:t>
      </w:r>
    </w:p>
    <w:p w:rsidR="000100D5" w:rsidRPr="00E056AA" w:rsidRDefault="000100D5" w:rsidP="000100D5">
      <w:pPr>
        <w:pStyle w:val="SingleTxtG"/>
        <w:ind w:left="1701" w:hanging="567"/>
      </w:pPr>
      <w:r w:rsidRPr="00E056AA">
        <w:t>25.</w:t>
      </w:r>
      <w:r w:rsidRPr="00E056AA">
        <w:tab/>
        <w:t>Improving Government Services to Minority Ethnic Groups, por el Comité Consultivo Nacional sobre el Racismo y el Multiculturalismo</w:t>
      </w:r>
    </w:p>
    <w:p w:rsidR="000100D5" w:rsidRPr="006B35C1" w:rsidRDefault="000100D5" w:rsidP="000100D5">
      <w:pPr>
        <w:pStyle w:val="SingleTxtG"/>
        <w:ind w:left="1701" w:hanging="567"/>
        <w:rPr>
          <w:lang w:val="en-IE"/>
        </w:rPr>
      </w:pPr>
      <w:r w:rsidRPr="006B35C1">
        <w:rPr>
          <w:lang w:val="en-IE"/>
        </w:rPr>
        <w:t>26.</w:t>
      </w:r>
      <w:r w:rsidRPr="006B35C1">
        <w:rPr>
          <w:lang w:val="en-IE"/>
        </w:rPr>
        <w:tab/>
        <w:t>Immigrants at Work – Ethnicity and Nationality in the Irish Labour Market</w:t>
      </w:r>
      <w:r>
        <w:rPr>
          <w:lang w:val="en-IE"/>
        </w:rPr>
        <w:t>, por</w:t>
      </w:r>
      <w:r w:rsidRPr="006B35C1">
        <w:rPr>
          <w:lang w:val="en-IE"/>
        </w:rPr>
        <w:t xml:space="preserve"> Philip J. O</w:t>
      </w:r>
      <w:r w:rsidR="000B3925">
        <w:rPr>
          <w:lang w:val="en-IE"/>
        </w:rPr>
        <w:t>'</w:t>
      </w:r>
      <w:r w:rsidRPr="006B35C1">
        <w:rPr>
          <w:lang w:val="en-IE"/>
        </w:rPr>
        <w:t xml:space="preserve">Connell </w:t>
      </w:r>
      <w:r>
        <w:rPr>
          <w:lang w:val="en-IE"/>
        </w:rPr>
        <w:t>y</w:t>
      </w:r>
      <w:r w:rsidRPr="006B35C1">
        <w:rPr>
          <w:lang w:val="en-IE"/>
        </w:rPr>
        <w:t xml:space="preserve"> Frances McGinnity. Publi</w:t>
      </w:r>
      <w:r>
        <w:rPr>
          <w:lang w:val="en-IE"/>
        </w:rPr>
        <w:t xml:space="preserve">cado por </w:t>
      </w:r>
      <w:r w:rsidRPr="006B35C1">
        <w:rPr>
          <w:lang w:val="en-IE"/>
        </w:rPr>
        <w:t>e</w:t>
      </w:r>
      <w:r>
        <w:rPr>
          <w:lang w:val="en-IE"/>
        </w:rPr>
        <w:t>l</w:t>
      </w:r>
      <w:r w:rsidRPr="006B35C1">
        <w:rPr>
          <w:lang w:val="en-IE"/>
        </w:rPr>
        <w:t xml:space="preserve"> E</w:t>
      </w:r>
      <w:r>
        <w:rPr>
          <w:lang w:val="en-IE"/>
        </w:rPr>
        <w:t>SRI y la Dirección de la Igualdad</w:t>
      </w:r>
    </w:p>
    <w:p w:rsidR="000100D5" w:rsidRPr="006B35C1" w:rsidRDefault="000100D5" w:rsidP="000100D5">
      <w:pPr>
        <w:pStyle w:val="SingleTxtG"/>
        <w:ind w:left="1701" w:hanging="567"/>
        <w:rPr>
          <w:lang w:val="en-IE"/>
        </w:rPr>
      </w:pPr>
      <w:r w:rsidRPr="006B35C1">
        <w:rPr>
          <w:lang w:val="en-IE"/>
        </w:rPr>
        <w:t>27.</w:t>
      </w:r>
      <w:r w:rsidRPr="006B35C1">
        <w:rPr>
          <w:lang w:val="en-IE"/>
        </w:rPr>
        <w:tab/>
        <w:t>Issues and Challenges in the Recruitment and Selection of Immigrant Workers in Ireland, prepar</w:t>
      </w:r>
      <w:r>
        <w:rPr>
          <w:lang w:val="en-IE"/>
        </w:rPr>
        <w:t>ado por la</w:t>
      </w:r>
      <w:r w:rsidRPr="006B35C1">
        <w:rPr>
          <w:lang w:val="en-IE"/>
        </w:rPr>
        <w:t xml:space="preserve"> Employers Diversity Network of t</w:t>
      </w:r>
      <w:r>
        <w:rPr>
          <w:lang w:val="en-IE"/>
        </w:rPr>
        <w:t>he Public Appointments Service</w:t>
      </w:r>
    </w:p>
    <w:p w:rsidR="000100D5" w:rsidRPr="006B35C1" w:rsidRDefault="000100D5" w:rsidP="000100D5">
      <w:pPr>
        <w:pStyle w:val="SingleTxtG"/>
        <w:ind w:left="1701" w:hanging="567"/>
        <w:rPr>
          <w:lang w:val="en-IE"/>
        </w:rPr>
      </w:pPr>
      <w:r w:rsidRPr="006B35C1">
        <w:rPr>
          <w:lang w:val="en-IE"/>
        </w:rPr>
        <w:t>28.</w:t>
      </w:r>
      <w:r w:rsidRPr="006B35C1">
        <w:rPr>
          <w:lang w:val="en-IE"/>
        </w:rPr>
        <w:tab/>
        <w:t>Looking at our school</w:t>
      </w:r>
      <w:r>
        <w:rPr>
          <w:lang w:val="en-IE"/>
        </w:rPr>
        <w:t>:</w:t>
      </w:r>
      <w:r w:rsidRPr="006B35C1">
        <w:rPr>
          <w:lang w:val="en-IE"/>
        </w:rPr>
        <w:t xml:space="preserve"> an Aid to school evaluation in Primary Schools </w:t>
      </w:r>
      <w:r>
        <w:rPr>
          <w:lang w:val="en-IE"/>
        </w:rPr>
        <w:t>y</w:t>
      </w:r>
      <w:r w:rsidRPr="006B35C1">
        <w:rPr>
          <w:lang w:val="en-IE"/>
        </w:rPr>
        <w:t xml:space="preserve"> Looking at our school</w:t>
      </w:r>
      <w:r>
        <w:rPr>
          <w:lang w:val="en-IE"/>
        </w:rPr>
        <w:t>:</w:t>
      </w:r>
      <w:r w:rsidRPr="006B35C1">
        <w:rPr>
          <w:lang w:val="en-IE"/>
        </w:rPr>
        <w:t xml:space="preserve"> an aid to self evaluation in second level schools</w:t>
      </w:r>
      <w:r>
        <w:rPr>
          <w:lang w:val="en-IE"/>
        </w:rPr>
        <w:t>,</w:t>
      </w:r>
      <w:r w:rsidRPr="006B35C1">
        <w:rPr>
          <w:lang w:val="en-IE"/>
        </w:rPr>
        <w:t xml:space="preserve"> prepar</w:t>
      </w:r>
      <w:r>
        <w:rPr>
          <w:lang w:val="en-IE"/>
        </w:rPr>
        <w:t>ados por la</w:t>
      </w:r>
      <w:r w:rsidRPr="006B35C1">
        <w:rPr>
          <w:lang w:val="en-IE"/>
        </w:rPr>
        <w:t xml:space="preserve"> Evaluation Support and Research Unit (ESRU) </w:t>
      </w:r>
      <w:r>
        <w:rPr>
          <w:lang w:val="en-IE"/>
        </w:rPr>
        <w:t>de la Inspección del</w:t>
      </w:r>
      <w:r w:rsidRPr="006B35C1">
        <w:rPr>
          <w:lang w:val="en-IE"/>
        </w:rPr>
        <w:t xml:space="preserve"> Depart</w:t>
      </w:r>
      <w:r>
        <w:rPr>
          <w:lang w:val="en-IE"/>
        </w:rPr>
        <w:t>a</w:t>
      </w:r>
      <w:r w:rsidRPr="006B35C1">
        <w:rPr>
          <w:lang w:val="en-IE"/>
        </w:rPr>
        <w:t>ment</w:t>
      </w:r>
      <w:r>
        <w:rPr>
          <w:lang w:val="en-IE"/>
        </w:rPr>
        <w:t>o de</w:t>
      </w:r>
      <w:r w:rsidRPr="006B35C1">
        <w:rPr>
          <w:lang w:val="en-IE"/>
        </w:rPr>
        <w:t xml:space="preserve"> Edu</w:t>
      </w:r>
      <w:r>
        <w:rPr>
          <w:lang w:val="en-IE"/>
        </w:rPr>
        <w:t>cación y Ciencia</w:t>
      </w:r>
    </w:p>
    <w:p w:rsidR="000100D5" w:rsidRPr="006B35C1" w:rsidRDefault="000100D5" w:rsidP="000100D5">
      <w:pPr>
        <w:pStyle w:val="SingleTxtG"/>
        <w:rPr>
          <w:lang w:val="en-IE"/>
        </w:rPr>
      </w:pPr>
      <w:r w:rsidRPr="006B35C1">
        <w:rPr>
          <w:lang w:val="en-IE"/>
        </w:rPr>
        <w:t>29.</w:t>
      </w:r>
      <w:r w:rsidRPr="006B35C1">
        <w:rPr>
          <w:lang w:val="en-IE"/>
        </w:rPr>
        <w:tab/>
        <w:t>An Action Strategy to support Integrated Workplaces</w:t>
      </w:r>
    </w:p>
    <w:p w:rsidR="000100D5" w:rsidRPr="000100D5" w:rsidRDefault="000100D5" w:rsidP="000100D5">
      <w:pPr>
        <w:spacing w:before="240"/>
        <w:jc w:val="center"/>
        <w:rPr>
          <w:u w:val="single"/>
          <w:lang w:val="fr-FR"/>
        </w:rPr>
      </w:pPr>
      <w:r w:rsidRPr="000100D5">
        <w:rPr>
          <w:u w:val="single"/>
          <w:lang w:val="fr-FR"/>
        </w:rPr>
        <w:tab/>
      </w:r>
      <w:r w:rsidRPr="000100D5">
        <w:rPr>
          <w:u w:val="single"/>
          <w:lang w:val="fr-FR"/>
        </w:rPr>
        <w:tab/>
      </w:r>
      <w:r w:rsidRPr="000100D5">
        <w:rPr>
          <w:u w:val="single"/>
          <w:lang w:val="fr-FR"/>
        </w:rPr>
        <w:tab/>
      </w:r>
    </w:p>
    <w:p w:rsidR="000100D5" w:rsidRPr="000100D5" w:rsidRDefault="000100D5" w:rsidP="000100D5">
      <w:pPr>
        <w:pStyle w:val="SingleTxtG"/>
        <w:ind w:left="1701" w:hanging="567"/>
        <w:rPr>
          <w:lang w:val="fr-FR"/>
        </w:rPr>
      </w:pPr>
    </w:p>
    <w:p w:rsidR="006F35EE" w:rsidRPr="000100D5" w:rsidRDefault="006F35EE" w:rsidP="001075E9">
      <w:pPr>
        <w:rPr>
          <w:lang w:val="fr-FR"/>
        </w:rPr>
      </w:pPr>
    </w:p>
    <w:p w:rsidR="00381C24" w:rsidRPr="000100D5" w:rsidRDefault="00381C24" w:rsidP="001075E9">
      <w:pPr>
        <w:rPr>
          <w:lang w:val="fr-FR"/>
        </w:rPr>
      </w:pPr>
    </w:p>
    <w:sectPr w:rsidR="00381C24" w:rsidRPr="000100D5" w:rsidSect="005928C5">
      <w:headerReference w:type="even" r:id="rId22"/>
      <w:headerReference w:type="default" r:id="rId23"/>
      <w:footerReference w:type="even" r:id="rId24"/>
      <w:footerReference w:type="default" r:id="rId25"/>
      <w:headerReference w:type="first" r:id="rId26"/>
      <w:footerReference w:type="first" r:id="rId27"/>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9E" w:rsidRDefault="00FA2B9E">
      <w:r>
        <w:separator/>
      </w:r>
    </w:p>
  </w:endnote>
  <w:endnote w:type="continuationSeparator" w:id="0">
    <w:p w:rsidR="00FA2B9E" w:rsidRDefault="00FA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A24C7E" w:rsidRDefault="00943D21" w:rsidP="000100D5">
    <w:pPr>
      <w:pStyle w:val="Footer"/>
      <w:tabs>
        <w:tab w:val="right" w:pos="9598"/>
      </w:tabs>
    </w:pPr>
    <w:r w:rsidRPr="00A24C7E">
      <w:rPr>
        <w:b/>
        <w:sz w:val="18"/>
      </w:rPr>
      <w:fldChar w:fldCharType="begin"/>
    </w:r>
    <w:r w:rsidRPr="00A24C7E">
      <w:rPr>
        <w:b/>
        <w:sz w:val="18"/>
      </w:rPr>
      <w:instrText xml:space="preserve"> PAGE  \* MERGEFORMAT </w:instrText>
    </w:r>
    <w:r w:rsidRPr="00A24C7E">
      <w:rPr>
        <w:b/>
        <w:sz w:val="18"/>
      </w:rPr>
      <w:fldChar w:fldCharType="separate"/>
    </w:r>
    <w:r w:rsidR="00E336FD">
      <w:rPr>
        <w:b/>
        <w:noProof/>
        <w:sz w:val="18"/>
      </w:rPr>
      <w:t>24</w:t>
    </w:r>
    <w:r w:rsidRPr="00A24C7E">
      <w:rPr>
        <w:b/>
        <w:sz w:val="18"/>
      </w:rPr>
      <w:fldChar w:fldCharType="end"/>
    </w:r>
    <w:r>
      <w:rPr>
        <w:sz w:val="18"/>
      </w:rPr>
      <w:tab/>
    </w:r>
    <w:r>
      <w:t>GE.10-45749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A24C7E" w:rsidRDefault="00943D21" w:rsidP="000100D5">
    <w:pPr>
      <w:pStyle w:val="Footer"/>
      <w:tabs>
        <w:tab w:val="right" w:pos="9598"/>
      </w:tabs>
      <w:rPr>
        <w:b/>
        <w:sz w:val="18"/>
      </w:rPr>
    </w:pPr>
    <w:r w:rsidRPr="006B7EB7">
      <w:t>GE.10-4</w:t>
    </w:r>
    <w:r>
      <w:t>5749 (EXT)</w:t>
    </w:r>
    <w:r>
      <w:tab/>
    </w:r>
    <w:r>
      <w:rPr>
        <w:rStyle w:val="PageNumber"/>
      </w:rPr>
      <w:fldChar w:fldCharType="begin"/>
    </w:r>
    <w:r>
      <w:rPr>
        <w:rStyle w:val="PageNumber"/>
      </w:rPr>
      <w:instrText xml:space="preserve"> PAGE </w:instrText>
    </w:r>
    <w:r>
      <w:rPr>
        <w:rStyle w:val="PageNumber"/>
      </w:rPr>
      <w:fldChar w:fldCharType="separate"/>
    </w:r>
    <w:r w:rsidR="00E336FD">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48397A" w:rsidRDefault="00943D21">
    <w:pPr>
      <w:pStyle w:val="Footer"/>
      <w:rPr>
        <w:sz w:val="20"/>
      </w:rPr>
    </w:pPr>
    <w:r>
      <w:rPr>
        <w:noProof/>
        <w:sz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96.4pt;margin-top:-6.2pt;width:85.5pt;height:18pt;z-index:5" wrapcoords="18189 0 0 9900 -189 12600 -189 17100 758 19800 19516 19800 20274 19800 21032 14400 21600 14400 21600 8100 20653 0 18189 0">
          <v:imagedata r:id="rId1" o:title="recycle_Spanish"/>
          <w10:anchorlock/>
        </v:shape>
      </w:pict>
    </w:r>
    <w:r>
      <w:rPr>
        <w:sz w:val="20"/>
      </w:rPr>
      <w:t>GE.10-45749 (EXT)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9D57D4" w:rsidRDefault="00943D21" w:rsidP="009D57D4">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ab/>
    </w:r>
    <w:r>
      <w:rPr>
        <w:rStyle w:val="PageNumber"/>
        <w:b w:val="0"/>
        <w:sz w:val="16"/>
        <w:szCs w:val="16"/>
      </w:rPr>
      <w:t>GE.10-45749 (EXT)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A71E58" w:rsidRDefault="00943D21" w:rsidP="00A71E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9D57D4" w:rsidRDefault="00943D21" w:rsidP="009D57D4">
    <w:pPr>
      <w:pStyle w:val="Footer"/>
      <w:tabs>
        <w:tab w:val="right" w:pos="9600"/>
      </w:tabs>
      <w:rPr>
        <w:szCs w:val="16"/>
      </w:rPr>
    </w:pPr>
    <w:r>
      <w:rPr>
        <w:rStyle w:val="PageNumber"/>
      </w:rPr>
      <w:fldChar w:fldCharType="begin"/>
    </w:r>
    <w:r>
      <w:rPr>
        <w:rStyle w:val="PageNumber"/>
      </w:rPr>
      <w:instrText xml:space="preserve"> PAGE </w:instrText>
    </w:r>
    <w:r>
      <w:rPr>
        <w:rStyle w:val="PageNumber"/>
      </w:rPr>
      <w:fldChar w:fldCharType="separate"/>
    </w:r>
    <w:r w:rsidR="00780DFE">
      <w:rPr>
        <w:rStyle w:val="PageNumber"/>
        <w:noProof/>
      </w:rPr>
      <w:t>50</w:t>
    </w:r>
    <w:r>
      <w:rPr>
        <w:rStyle w:val="PageNumber"/>
      </w:rPr>
      <w:fldChar w:fldCharType="end"/>
    </w:r>
    <w:r>
      <w:rPr>
        <w:rStyle w:val="PageNumber"/>
      </w:rPr>
      <w:tab/>
    </w:r>
    <w:r>
      <w:rPr>
        <w:rStyle w:val="PageNumber"/>
        <w:b w:val="0"/>
        <w:sz w:val="16"/>
        <w:szCs w:val="16"/>
      </w:rPr>
      <w:t>GE.10-45749 (EXT)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A71E58" w:rsidRDefault="00943D21" w:rsidP="00A71E58">
    <w:pPr>
      <w:pStyle w:val="Footer"/>
      <w:tabs>
        <w:tab w:val="right" w:pos="9600"/>
      </w:tabs>
      <w:rPr>
        <w:lang w:val="es-ES_tradnl"/>
      </w:rPr>
    </w:pPr>
    <w:r>
      <w:rPr>
        <w:lang w:val="es-ES_tradnl"/>
      </w:rPr>
      <w:t>GE.10-45749 (EXT)</w:t>
    </w:r>
    <w:r>
      <w:rPr>
        <w:lang w:val="es-ES_tradnl"/>
      </w:rPr>
      <w:tab/>
    </w:r>
    <w:r>
      <w:rPr>
        <w:rStyle w:val="PageNumber"/>
      </w:rPr>
      <w:fldChar w:fldCharType="begin"/>
    </w:r>
    <w:r>
      <w:rPr>
        <w:rStyle w:val="PageNumber"/>
      </w:rPr>
      <w:instrText xml:space="preserve"> PAGE </w:instrText>
    </w:r>
    <w:r>
      <w:rPr>
        <w:rStyle w:val="PageNumber"/>
      </w:rPr>
      <w:fldChar w:fldCharType="separate"/>
    </w:r>
    <w:r w:rsidR="00780DFE">
      <w:rPr>
        <w:rStyle w:val="PageNumber"/>
        <w:noProof/>
      </w:rPr>
      <w:t>51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Default="00943D2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9E" w:rsidRPr="001075E9" w:rsidRDefault="00FA2B9E" w:rsidP="001075E9">
      <w:pPr>
        <w:tabs>
          <w:tab w:val="right" w:pos="2155"/>
        </w:tabs>
        <w:spacing w:after="80" w:line="240" w:lineRule="auto"/>
        <w:ind w:left="680"/>
        <w:rPr>
          <w:u w:val="single"/>
        </w:rPr>
      </w:pPr>
      <w:r>
        <w:rPr>
          <w:u w:val="single"/>
        </w:rPr>
        <w:tab/>
      </w:r>
    </w:p>
  </w:footnote>
  <w:footnote w:type="continuationSeparator" w:id="0">
    <w:p w:rsidR="00FA2B9E" w:rsidRDefault="00FA2B9E">
      <w:r>
        <w:continuationSeparator/>
      </w:r>
    </w:p>
  </w:footnote>
  <w:footnote w:id="1">
    <w:p w:rsidR="00943D21" w:rsidRPr="006F314E" w:rsidRDefault="00943D21" w:rsidP="007E251E">
      <w:pPr>
        <w:pStyle w:val="FootnoteText"/>
        <w:rPr>
          <w:lang w:val="es-ES_tradnl"/>
        </w:rPr>
      </w:pPr>
      <w:r>
        <w:tab/>
      </w:r>
      <w:r w:rsidRPr="006F314E">
        <w:rPr>
          <w:rStyle w:val="FootnoteReference"/>
          <w:sz w:val="20"/>
          <w:vertAlign w:val="baseline"/>
        </w:rPr>
        <w:t>*</w:t>
      </w:r>
      <w:r>
        <w:rPr>
          <w:sz w:val="20"/>
        </w:rPr>
        <w:tab/>
      </w:r>
      <w:r>
        <w:t>El presente documento contiene los informes periódicos tercero y cuarto de Irlanda, que debían presentarse el 28 de enero de 2008. El informe inicial, el segundo informe periódico y las actas resumidas de las sesiones en que el Comité examinó esos informes figuran en los documentos CERD/C/460/Add.1 y CERD/C/SR.1687, 1688 y 1699.</w:t>
      </w:r>
    </w:p>
  </w:footnote>
  <w:footnote w:id="2">
    <w:p w:rsidR="00943D21" w:rsidRPr="006F314E" w:rsidRDefault="00943D21" w:rsidP="007E251E">
      <w:pPr>
        <w:pStyle w:val="FootnoteText"/>
        <w:rPr>
          <w:lang w:val="es-ES_tradnl"/>
        </w:rPr>
      </w:pPr>
      <w:r>
        <w:tab/>
      </w:r>
      <w:r w:rsidRPr="006F314E">
        <w:rPr>
          <w:rStyle w:val="FootnoteReference"/>
          <w:sz w:val="20"/>
          <w:vertAlign w:val="baseline"/>
        </w:rPr>
        <w:t>**</w:t>
      </w:r>
      <w:r>
        <w:rPr>
          <w:sz w:val="20"/>
        </w:rPr>
        <w:tab/>
      </w:r>
      <w: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3">
    <w:p w:rsidR="00943D21" w:rsidRPr="006F314E" w:rsidRDefault="00943D21" w:rsidP="007E251E">
      <w:pPr>
        <w:pStyle w:val="FootnoteText"/>
        <w:rPr>
          <w:lang w:val="es-ES_tradnl"/>
        </w:rPr>
      </w:pPr>
      <w:r>
        <w:tab/>
      </w:r>
      <w:r w:rsidRPr="006F314E">
        <w:rPr>
          <w:rStyle w:val="FootnoteReference"/>
          <w:sz w:val="20"/>
          <w:vertAlign w:val="baseline"/>
        </w:rPr>
        <w:t>***</w:t>
      </w:r>
      <w:r>
        <w:rPr>
          <w:sz w:val="20"/>
        </w:rPr>
        <w:tab/>
      </w:r>
      <w:r>
        <w:t xml:space="preserve">Los anexos de este informe pueden </w:t>
      </w:r>
      <w:r>
        <w:rPr>
          <w:szCs w:val="24"/>
        </w:rPr>
        <w:t>consultarse en los archivos de la</w:t>
      </w:r>
      <w:r>
        <w:t xml:space="preserve"> Secretaría.</w:t>
      </w:r>
    </w:p>
  </w:footnote>
  <w:footnote w:id="4">
    <w:p w:rsidR="00943D21" w:rsidRDefault="00943D21" w:rsidP="007E251E">
      <w:pPr>
        <w:pStyle w:val="FootnoteText"/>
      </w:pPr>
      <w:r w:rsidRPr="00330D74">
        <w:tab/>
      </w:r>
      <w:r>
        <w:rPr>
          <w:rStyle w:val="FootnoteReference"/>
        </w:rPr>
        <w:footnoteRef/>
      </w:r>
      <w:r>
        <w:tab/>
        <w:t>http://www.justice.ie/en/JELR/1st-National-Report-Elim-of*Racism.pdf/Files/1st-National-Report-Elim-of-Racism.pdf.</w:t>
      </w:r>
    </w:p>
  </w:footnote>
  <w:footnote w:id="5">
    <w:p w:rsidR="00943D21" w:rsidRDefault="00943D21" w:rsidP="007E251E">
      <w:pPr>
        <w:pStyle w:val="FootnoteText"/>
      </w:pPr>
      <w:r>
        <w:tab/>
      </w:r>
      <w:r>
        <w:rPr>
          <w:rStyle w:val="FootnoteReference"/>
        </w:rPr>
        <w:footnoteRef/>
      </w:r>
      <w:r>
        <w:tab/>
        <w:t>http://www.justice.ie/en/JELR/CERD-Concluding-Observations.pdf/Files/CERD-Concluding-Observations.pdf.</w:t>
      </w:r>
    </w:p>
  </w:footnote>
  <w:footnote w:id="6">
    <w:p w:rsidR="00943D21" w:rsidRPr="00065F71" w:rsidRDefault="00943D21" w:rsidP="00065F71">
      <w:pPr>
        <w:pStyle w:val="FootnoteText"/>
      </w:pPr>
      <w:r>
        <w:tab/>
      </w:r>
      <w:r>
        <w:rPr>
          <w:rStyle w:val="FootnoteReference"/>
        </w:rPr>
        <w:footnoteRef/>
      </w:r>
      <w:r w:rsidRPr="00065F71">
        <w:tab/>
        <w:t>http://www.justice.ie/en/JELR/Ireland%20Follow%20Up%20Rep</w:t>
      </w:r>
      <w:r w:rsidR="00065F71" w:rsidRPr="00065F71">
        <w:t>ort.doc/Files/</w:t>
      </w:r>
      <w:r w:rsidR="00065F71">
        <w:br/>
      </w:r>
      <w:r w:rsidR="00065F71" w:rsidRPr="00065F71">
        <w:t>Ireland%20Follow%20Up%20Report.doc.</w:t>
      </w:r>
    </w:p>
  </w:footnote>
  <w:footnote w:id="7">
    <w:p w:rsidR="00943D21" w:rsidRPr="00065F71" w:rsidRDefault="00943D21" w:rsidP="007E251E">
      <w:pPr>
        <w:pStyle w:val="FootnoteText"/>
      </w:pPr>
      <w:r w:rsidRPr="00065F71">
        <w:tab/>
      </w:r>
      <w:r>
        <w:rPr>
          <w:rStyle w:val="FootnoteReference"/>
        </w:rPr>
        <w:footnoteRef/>
      </w:r>
      <w:r w:rsidRPr="00065F71">
        <w:tab/>
        <w:t>http://www.justice.ie/en/JELR/CERD_%20C%20_%2069_%20Misc.9.pdf/Files/</w:t>
      </w:r>
      <w:r w:rsidR="00065F71" w:rsidRPr="00065F71">
        <w:t>CERD_%20C%20_</w:t>
      </w:r>
      <w:r w:rsidR="00065F71" w:rsidRPr="00065F71">
        <w:br/>
      </w:r>
      <w:r w:rsidRPr="00065F71">
        <w:t>%2069_%20Misc.9.pdf.</w:t>
      </w:r>
    </w:p>
  </w:footnote>
  <w:footnote w:id="8">
    <w:p w:rsidR="00943D21" w:rsidRPr="00233171" w:rsidRDefault="00943D21" w:rsidP="007E251E">
      <w:pPr>
        <w:pStyle w:val="FootnoteText"/>
      </w:pPr>
      <w:r w:rsidRPr="00065F71">
        <w:tab/>
      </w:r>
      <w:r>
        <w:rPr>
          <w:rStyle w:val="FootnoteReference"/>
        </w:rPr>
        <w:footnoteRef/>
      </w:r>
      <w:r w:rsidRPr="00233171">
        <w:tab/>
        <w:t>http://www.integration.ie/website/omi/omiwebv6.nsf/page/managingdiversity-UNCERD-en.</w:t>
      </w:r>
    </w:p>
  </w:footnote>
  <w:footnote w:id="9">
    <w:p w:rsidR="00943D21" w:rsidRPr="006F314E" w:rsidRDefault="00943D21" w:rsidP="007E251E">
      <w:pPr>
        <w:pStyle w:val="FootnoteText"/>
        <w:rPr>
          <w:lang w:val="fr-FR"/>
        </w:rPr>
      </w:pPr>
      <w:r w:rsidRPr="00233171">
        <w:tab/>
      </w:r>
      <w:r>
        <w:rPr>
          <w:rStyle w:val="FootnoteReference"/>
        </w:rPr>
        <w:footnoteRef/>
      </w:r>
      <w:r w:rsidRPr="00233171">
        <w:tab/>
        <w:t>http://www.irishstatutebook.ie/1989</w:t>
      </w:r>
      <w:r w:rsidRPr="006F314E">
        <w:rPr>
          <w:lang w:val="fr-FR"/>
        </w:rPr>
        <w:t>/en/act/pub/0019/index.html.</w:t>
      </w:r>
    </w:p>
  </w:footnote>
  <w:footnote w:id="10">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http://www.irishstatutebook.ie/1977/en/act/pub/0010/index.html.</w:t>
      </w:r>
    </w:p>
  </w:footnote>
  <w:footnote w:id="11">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http://www.irishstatutebook.ie/2004/en/act/pub/0024/index.html.</w:t>
      </w:r>
    </w:p>
  </w:footnote>
  <w:footnote w:id="12">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http://daccess-ods.un.org/TMP/7176285.html.</w:t>
      </w:r>
    </w:p>
  </w:footnote>
  <w:footnote w:id="13">
    <w:p w:rsidR="00943D21" w:rsidRPr="001D499A" w:rsidRDefault="00943D21" w:rsidP="007E251E">
      <w:pPr>
        <w:pStyle w:val="FootnoteText"/>
      </w:pPr>
      <w:r w:rsidRPr="006F314E">
        <w:rPr>
          <w:lang w:val="fr-FR"/>
        </w:rPr>
        <w:tab/>
      </w:r>
      <w:r>
        <w:rPr>
          <w:rStyle w:val="FootnoteReference"/>
        </w:rPr>
        <w:footnoteRef/>
      </w:r>
      <w:r w:rsidRPr="001D499A">
        <w:tab/>
        <w:t xml:space="preserve">Fuente: </w:t>
      </w:r>
      <w:r>
        <w:t>C</w:t>
      </w:r>
      <w:r w:rsidRPr="001D499A">
        <w:t>enso de 2006</w:t>
      </w:r>
      <w:r>
        <w:t>, "</w:t>
      </w:r>
      <w:r w:rsidRPr="001D499A">
        <w:t>Non Irish Nationals Living in Ireland</w:t>
      </w:r>
      <w:r>
        <w:t>" (No irlandeses que viven en Irlanda)</w:t>
      </w:r>
      <w:r w:rsidRPr="001D499A">
        <w:t>, publicado por la Oficina Central de Esta</w:t>
      </w:r>
      <w:r>
        <w:t>dí</w:t>
      </w:r>
      <w:r w:rsidRPr="001D499A">
        <w:t>stic</w:t>
      </w:r>
      <w:r>
        <w:t>a</w:t>
      </w:r>
      <w:r w:rsidRPr="001D499A">
        <w:t xml:space="preserve"> (</w:t>
      </w:r>
      <w:r>
        <w:t>j</w:t>
      </w:r>
      <w:r w:rsidRPr="001D499A">
        <w:t>un</w:t>
      </w:r>
      <w:r>
        <w:t>io d</w:t>
      </w:r>
      <w:r w:rsidRPr="001D499A">
        <w:t>e 2008).</w:t>
      </w:r>
    </w:p>
  </w:footnote>
  <w:footnote w:id="14">
    <w:p w:rsidR="00943D21" w:rsidRPr="001D499A" w:rsidRDefault="00943D21" w:rsidP="007E251E">
      <w:pPr>
        <w:pStyle w:val="FootnoteText"/>
      </w:pPr>
      <w:r w:rsidRPr="001D499A">
        <w:tab/>
      </w:r>
      <w:r>
        <w:rPr>
          <w:rStyle w:val="FootnoteReference"/>
        </w:rPr>
        <w:footnoteRef/>
      </w:r>
      <w:r w:rsidRPr="001D499A">
        <w:tab/>
        <w:t>Las fuentes de los datos de 2006 son el censo de 2006</w:t>
      </w:r>
      <w:r>
        <w:t xml:space="preserve"> y las Population and Migration Estimates (Estimaciones de la</w:t>
      </w:r>
      <w:r w:rsidRPr="001D499A">
        <w:t xml:space="preserve"> </w:t>
      </w:r>
      <w:r>
        <w:t>p</w:t>
      </w:r>
      <w:r w:rsidRPr="001D499A">
        <w:t>o</w:t>
      </w:r>
      <w:r>
        <w:t>b</w:t>
      </w:r>
      <w:r w:rsidRPr="001D499A">
        <w:t>la</w:t>
      </w:r>
      <w:r>
        <w:t>c</w:t>
      </w:r>
      <w:r w:rsidRPr="001D499A">
        <w:t>i</w:t>
      </w:r>
      <w:r>
        <w:t>ó</w:t>
      </w:r>
      <w:r w:rsidRPr="001D499A">
        <w:t xml:space="preserve">n </w:t>
      </w:r>
      <w:r>
        <w:t>y la</w:t>
      </w:r>
      <w:r w:rsidRPr="001D499A">
        <w:t xml:space="preserve"> </w:t>
      </w:r>
      <w:r>
        <w:t>m</w:t>
      </w:r>
      <w:r w:rsidRPr="001D499A">
        <w:t>igra</w:t>
      </w:r>
      <w:r>
        <w:t>c</w:t>
      </w:r>
      <w:r w:rsidRPr="001D499A">
        <w:t>i</w:t>
      </w:r>
      <w:r>
        <w:t>ón),</w:t>
      </w:r>
      <w:r w:rsidRPr="001D499A">
        <w:t xml:space="preserve"> publi</w:t>
      </w:r>
      <w:r>
        <w:t>cadas en</w:t>
      </w:r>
      <w:r w:rsidRPr="001D499A">
        <w:t xml:space="preserve"> </w:t>
      </w:r>
      <w:r>
        <w:t>s</w:t>
      </w:r>
      <w:r w:rsidRPr="001D499A">
        <w:t>ept</w:t>
      </w:r>
      <w:r>
        <w:t>i</w:t>
      </w:r>
      <w:r w:rsidRPr="001D499A">
        <w:t>embr</w:t>
      </w:r>
      <w:r>
        <w:t>e de</w:t>
      </w:r>
      <w:r w:rsidRPr="001D499A">
        <w:t xml:space="preserve"> 2009.</w:t>
      </w:r>
    </w:p>
  </w:footnote>
  <w:footnote w:id="15">
    <w:p w:rsidR="00943D21" w:rsidRPr="009E64B9" w:rsidRDefault="00943D21" w:rsidP="00E336FD">
      <w:pPr>
        <w:pStyle w:val="FootnoteText"/>
      </w:pPr>
      <w:r w:rsidRPr="001D499A">
        <w:tab/>
      </w:r>
      <w:r>
        <w:rPr>
          <w:rStyle w:val="FootnoteReference"/>
        </w:rPr>
        <w:footnoteRef/>
      </w:r>
      <w:r w:rsidRPr="009E64B9">
        <w:tab/>
        <w:t>Tomado de</w:t>
      </w:r>
      <w:r w:rsidRPr="009E64B9">
        <w:rPr>
          <w:szCs w:val="18"/>
        </w:rPr>
        <w:t xml:space="preserve"> </w:t>
      </w:r>
      <w:r>
        <w:rPr>
          <w:szCs w:val="18"/>
        </w:rPr>
        <w:t>"</w:t>
      </w:r>
      <w:r w:rsidRPr="009E64B9">
        <w:rPr>
          <w:szCs w:val="18"/>
        </w:rPr>
        <w:t>Migration Nation</w:t>
      </w:r>
      <w:r>
        <w:rPr>
          <w:szCs w:val="18"/>
        </w:rPr>
        <w:t>"</w:t>
      </w:r>
      <w:r w:rsidRPr="009E64B9">
        <w:rPr>
          <w:szCs w:val="18"/>
        </w:rPr>
        <w:t xml:space="preserve"> (Nación de emigraci</w:t>
      </w:r>
      <w:r>
        <w:rPr>
          <w:szCs w:val="18"/>
        </w:rPr>
        <w:t xml:space="preserve">ón) </w:t>
      </w:r>
      <w:r w:rsidRPr="009E64B9">
        <w:rPr>
          <w:szCs w:val="18"/>
        </w:rPr>
        <w:t xml:space="preserve">—Apéndice </w:t>
      </w:r>
      <w:r>
        <w:rPr>
          <w:szCs w:val="18"/>
        </w:rPr>
        <w:t>"</w:t>
      </w:r>
      <w:r w:rsidRPr="009E64B9">
        <w:rPr>
          <w:szCs w:val="18"/>
        </w:rPr>
        <w:t xml:space="preserve">Composite Statement of the </w:t>
      </w:r>
      <w:r w:rsidRPr="009E64B9">
        <w:t>new demographics based on the 2006 Census and subsequent revised Population</w:t>
      </w:r>
      <w:r w:rsidRPr="009E64B9">
        <w:rPr>
          <w:szCs w:val="18"/>
        </w:rPr>
        <w:t xml:space="preserve"> </w:t>
      </w:r>
      <w:r w:rsidRPr="009E64B9">
        <w:t>and Migration Estimates</w:t>
      </w:r>
      <w:r>
        <w:t>"</w:t>
      </w:r>
      <w:r w:rsidRPr="009E64B9">
        <w:t>— publicado el 18 de diciembre de 2007.</w:t>
      </w:r>
    </w:p>
  </w:footnote>
  <w:footnote w:id="16">
    <w:p w:rsidR="00943D21" w:rsidRDefault="00943D21" w:rsidP="007E251E">
      <w:pPr>
        <w:pStyle w:val="FootnoteText"/>
      </w:pPr>
      <w:r w:rsidRPr="009E64B9">
        <w:tab/>
      </w:r>
      <w:r>
        <w:rPr>
          <w:rStyle w:val="FootnoteReference"/>
        </w:rPr>
        <w:footnoteRef/>
      </w:r>
      <w:r>
        <w:tab/>
        <w:t>http://www.cso.ie/statistics/popclassbyreligionandnationality2006.htm.</w:t>
      </w:r>
    </w:p>
  </w:footnote>
  <w:footnote w:id="17">
    <w:p w:rsidR="00943D21" w:rsidRPr="00702B48" w:rsidRDefault="00943D21" w:rsidP="007E251E">
      <w:pPr>
        <w:pStyle w:val="FootnoteText"/>
      </w:pPr>
      <w:r>
        <w:tab/>
      </w:r>
      <w:r>
        <w:rPr>
          <w:rStyle w:val="FootnoteReference"/>
        </w:rPr>
        <w:footnoteRef/>
      </w:r>
      <w:r w:rsidRPr="00702B48">
        <w:tab/>
        <w:t xml:space="preserve">La fuente de los datos de 2009 son las </w:t>
      </w:r>
      <w:r>
        <w:t>"</w:t>
      </w:r>
      <w:r w:rsidRPr="00702B48">
        <w:t>Population and Migration Estimates</w:t>
      </w:r>
      <w:r>
        <w:t>",</w:t>
      </w:r>
      <w:r w:rsidRPr="00702B48">
        <w:t xml:space="preserve"> publi</w:t>
      </w:r>
      <w:r>
        <w:t>cadas en s</w:t>
      </w:r>
      <w:r w:rsidRPr="00702B48">
        <w:t>ept</w:t>
      </w:r>
      <w:r>
        <w:t>i</w:t>
      </w:r>
      <w:r w:rsidRPr="00702B48">
        <w:t>embr</w:t>
      </w:r>
      <w:r>
        <w:t>e de</w:t>
      </w:r>
      <w:r w:rsidRPr="00702B48">
        <w:t xml:space="preserve"> 2009.</w:t>
      </w:r>
    </w:p>
  </w:footnote>
  <w:footnote w:id="18">
    <w:p w:rsidR="00943D21" w:rsidRPr="00702B48" w:rsidRDefault="00943D21" w:rsidP="007E251E">
      <w:pPr>
        <w:pStyle w:val="FootnoteText"/>
      </w:pPr>
      <w:r w:rsidRPr="00702B48">
        <w:tab/>
      </w:r>
      <w:r>
        <w:rPr>
          <w:rStyle w:val="FootnoteReference"/>
        </w:rPr>
        <w:footnoteRef/>
      </w:r>
      <w:r w:rsidRPr="00702B48">
        <w:tab/>
        <w:t>Los 12 países de la UE son los que se adhirieron el 1</w:t>
      </w:r>
      <w:r>
        <w:t>º</w:t>
      </w:r>
      <w:r w:rsidRPr="00702B48">
        <w:t xml:space="preserve"> de </w:t>
      </w:r>
      <w:r>
        <w:t>m</w:t>
      </w:r>
      <w:r w:rsidRPr="00702B48">
        <w:t>ay</w:t>
      </w:r>
      <w:r>
        <w:t>o de</w:t>
      </w:r>
      <w:r w:rsidRPr="00702B48">
        <w:t xml:space="preserve"> 2004</w:t>
      </w:r>
      <w:r>
        <w:t>, es decir,</w:t>
      </w:r>
      <w:r w:rsidRPr="00702B48">
        <w:t xml:space="preserve"> C</w:t>
      </w:r>
      <w:r>
        <w:t>hipre</w:t>
      </w:r>
      <w:r w:rsidRPr="00702B48">
        <w:t xml:space="preserve">, </w:t>
      </w:r>
      <w:r>
        <w:t>Eslovaquia, Eslovenia</w:t>
      </w:r>
      <w:r w:rsidRPr="00702B48">
        <w:t>, Estonia, Hung</w:t>
      </w:r>
      <w:r>
        <w:t>ría</w:t>
      </w:r>
      <w:r w:rsidRPr="00702B48">
        <w:t>, L</w:t>
      </w:r>
      <w:r>
        <w:t>e</w:t>
      </w:r>
      <w:r w:rsidRPr="00702B48">
        <w:t>t</w:t>
      </w:r>
      <w:r>
        <w:t>on</w:t>
      </w:r>
      <w:r w:rsidRPr="00702B48">
        <w:t>ia, Lituania, Malta, Pol</w:t>
      </w:r>
      <w:r>
        <w:t>o</w:t>
      </w:r>
      <w:r w:rsidRPr="00702B48">
        <w:t>n</w:t>
      </w:r>
      <w:r>
        <w:t>ia y</w:t>
      </w:r>
      <w:r w:rsidRPr="00702B48">
        <w:t xml:space="preserve"> </w:t>
      </w:r>
      <w:r>
        <w:t>República Checa</w:t>
      </w:r>
      <w:r w:rsidRPr="00702B48">
        <w:t xml:space="preserve"> </w:t>
      </w:r>
      <w:r>
        <w:t>e</w:t>
      </w:r>
      <w:r w:rsidRPr="00702B48">
        <w:t xml:space="preserve"> inclu</w:t>
      </w:r>
      <w:r>
        <w:t>ye</w:t>
      </w:r>
      <w:r w:rsidRPr="00702B48">
        <w:t xml:space="preserve"> 2 n</w:t>
      </w:r>
      <w:r>
        <w:t>u</w:t>
      </w:r>
      <w:r w:rsidRPr="00702B48">
        <w:t>e</w:t>
      </w:r>
      <w:r>
        <w:t>vos</w:t>
      </w:r>
      <w:r w:rsidRPr="00702B48">
        <w:t xml:space="preserve"> </w:t>
      </w:r>
      <w:r>
        <w:t>Estados que se adhirieron a la</w:t>
      </w:r>
      <w:r w:rsidRPr="00702B48">
        <w:t xml:space="preserve"> U</w:t>
      </w:r>
      <w:r>
        <w:t>E</w:t>
      </w:r>
      <w:r w:rsidRPr="00702B48">
        <w:t xml:space="preserve"> </w:t>
      </w:r>
      <w:r>
        <w:t>el</w:t>
      </w:r>
      <w:r w:rsidRPr="00702B48">
        <w:t xml:space="preserve"> 1</w:t>
      </w:r>
      <w:r>
        <w:t>º</w:t>
      </w:r>
      <w:r w:rsidRPr="00702B48">
        <w:t xml:space="preserve"> </w:t>
      </w:r>
      <w:r>
        <w:t>de enero de</w:t>
      </w:r>
      <w:r w:rsidRPr="00702B48">
        <w:t xml:space="preserve"> 2007 (Bulgaria </w:t>
      </w:r>
      <w:r>
        <w:t>y</w:t>
      </w:r>
      <w:r w:rsidRPr="00702B48">
        <w:t xml:space="preserve"> R</w:t>
      </w:r>
      <w:r>
        <w:t>u</w:t>
      </w:r>
      <w:r w:rsidRPr="00702B48">
        <w:t>mania).</w:t>
      </w:r>
    </w:p>
  </w:footnote>
  <w:footnote w:id="19">
    <w:p w:rsidR="00943D21" w:rsidRDefault="00943D21" w:rsidP="007E251E">
      <w:pPr>
        <w:pStyle w:val="FootnoteText"/>
      </w:pPr>
      <w:r w:rsidRPr="00702B48">
        <w:tab/>
      </w:r>
      <w:r>
        <w:rPr>
          <w:rStyle w:val="FootnoteReference"/>
        </w:rPr>
        <w:footnoteRef/>
      </w:r>
      <w:r>
        <w:tab/>
        <w:t>www.inis.gov.ie.</w:t>
      </w:r>
    </w:p>
  </w:footnote>
  <w:footnote w:id="20">
    <w:p w:rsidR="00943D21" w:rsidRDefault="00943D21" w:rsidP="007E251E">
      <w:pPr>
        <w:pStyle w:val="FootnoteText"/>
      </w:pPr>
      <w:r>
        <w:tab/>
      </w:r>
      <w:r>
        <w:rPr>
          <w:rStyle w:val="FootnoteReference"/>
        </w:rPr>
        <w:footnoteRef/>
      </w:r>
      <w:r>
        <w:tab/>
        <w:t>www.integration.ie.</w:t>
      </w:r>
    </w:p>
  </w:footnote>
  <w:footnote w:id="21">
    <w:p w:rsidR="00943D21" w:rsidRDefault="00943D21" w:rsidP="007E251E">
      <w:pPr>
        <w:pStyle w:val="FootnoteText"/>
      </w:pPr>
      <w:r>
        <w:tab/>
      </w:r>
      <w:r>
        <w:rPr>
          <w:rStyle w:val="FootnoteReference"/>
        </w:rPr>
        <w:footnoteRef/>
      </w:r>
      <w:r>
        <w:tab/>
        <w:t>http://www.integration.ie/website/omi/omiwebv6.nsf/page/omi-publications-en.</w:t>
      </w:r>
    </w:p>
  </w:footnote>
  <w:footnote w:id="22">
    <w:p w:rsidR="00943D21" w:rsidRDefault="00943D21" w:rsidP="007E251E">
      <w:pPr>
        <w:pStyle w:val="FootnoteText"/>
      </w:pPr>
      <w:r>
        <w:tab/>
      </w:r>
      <w:r>
        <w:rPr>
          <w:rStyle w:val="FootnoteReference"/>
        </w:rPr>
        <w:footnoteRef/>
      </w:r>
      <w:r>
        <w:tab/>
        <w:t>http://www.justice.ie/en/JELR/Pages/WP09000005.</w:t>
      </w:r>
    </w:p>
  </w:footnote>
  <w:footnote w:id="23">
    <w:p w:rsidR="00943D21" w:rsidRDefault="00943D21" w:rsidP="007E251E">
      <w:pPr>
        <w:pStyle w:val="FootnoteText"/>
      </w:pPr>
      <w:r>
        <w:tab/>
      </w:r>
      <w:r>
        <w:rPr>
          <w:rStyle w:val="FootnoteReference"/>
        </w:rPr>
        <w:footnoteRef/>
      </w:r>
      <w:r>
        <w:tab/>
        <w:t>http://www.dfa.ie/home/index.aspx?id=318.</w:t>
      </w:r>
    </w:p>
  </w:footnote>
  <w:footnote w:id="24">
    <w:p w:rsidR="00943D21" w:rsidRDefault="00943D21" w:rsidP="007E251E">
      <w:pPr>
        <w:pStyle w:val="FootnoteText"/>
      </w:pPr>
      <w:r>
        <w:tab/>
      </w:r>
      <w:r>
        <w:rPr>
          <w:rStyle w:val="FootnoteReference"/>
        </w:rPr>
        <w:footnoteRef/>
      </w:r>
      <w:r>
        <w:tab/>
        <w:t>http://www.oireachtas.ie/viewdoc.asp?fn=/documents/bills28/acts/2008/a0808.pdf.</w:t>
      </w:r>
    </w:p>
  </w:footnote>
  <w:footnote w:id="25">
    <w:p w:rsidR="00943D21" w:rsidRPr="00AC1035" w:rsidRDefault="00943D21" w:rsidP="007E251E">
      <w:pPr>
        <w:pStyle w:val="FootnoteText"/>
      </w:pPr>
      <w:r>
        <w:tab/>
      </w:r>
      <w:r>
        <w:rPr>
          <w:rStyle w:val="FootnoteReference"/>
        </w:rPr>
        <w:footnoteRef/>
      </w:r>
      <w:r w:rsidRPr="00AC1035">
        <w:tab/>
        <w:t xml:space="preserve">Puede consultarse un ejemplar del proyecto de ley en: </w:t>
      </w:r>
      <w:hyperlink r:id="rId1" w:history="1">
        <w:r w:rsidRPr="00EE70C4">
          <w:rPr>
            <w:rStyle w:val="Hyperlink"/>
          </w:rPr>
          <w:t>http://www.oireachtas.ie/</w:t>
        </w:r>
        <w:r w:rsidRPr="00EE70C4">
          <w:rPr>
            <w:rStyle w:val="Hyperlink"/>
          </w:rPr>
          <w:br/>
          <w:t>viewdoc.asp?DocID=8701&amp;&amp;CatID=59</w:t>
        </w:r>
      </w:hyperlink>
      <w:r w:rsidRPr="00AC1035">
        <w:t>.</w:t>
      </w:r>
    </w:p>
  </w:footnote>
  <w:footnote w:id="26">
    <w:p w:rsidR="00943D21" w:rsidRDefault="00943D21" w:rsidP="007E251E">
      <w:pPr>
        <w:pStyle w:val="FootnoteText"/>
      </w:pPr>
      <w:r w:rsidRPr="00AC1035">
        <w:tab/>
      </w:r>
      <w:r>
        <w:rPr>
          <w:rStyle w:val="FootnoteReference"/>
        </w:rPr>
        <w:footnoteRef/>
      </w:r>
      <w:r>
        <w:tab/>
      </w:r>
      <w:r>
        <w:rPr>
          <w:rStyle w:val="FootnoteTextChar2"/>
        </w:rPr>
        <w:t>CERD/C/69/Misc.9.</w:t>
      </w:r>
    </w:p>
  </w:footnote>
  <w:footnote w:id="27">
    <w:p w:rsidR="00943D21" w:rsidRDefault="00943D21" w:rsidP="007E251E">
      <w:pPr>
        <w:pStyle w:val="FootnoteText"/>
      </w:pPr>
      <w:r>
        <w:tab/>
      </w:r>
      <w:r>
        <w:rPr>
          <w:rStyle w:val="FootnoteReference"/>
        </w:rPr>
        <w:footnoteRef/>
      </w:r>
      <w:r>
        <w:tab/>
        <w:t>www.integration.ie.</w:t>
      </w:r>
    </w:p>
  </w:footnote>
  <w:footnote w:id="28">
    <w:p w:rsidR="00943D21" w:rsidRPr="00A67299" w:rsidRDefault="00943D21" w:rsidP="007E251E">
      <w:pPr>
        <w:pStyle w:val="FootnoteText"/>
      </w:pPr>
      <w:r>
        <w:tab/>
      </w:r>
      <w:r>
        <w:rPr>
          <w:rStyle w:val="FootnoteReference"/>
        </w:rPr>
        <w:footnoteRef/>
      </w:r>
      <w:r w:rsidRPr="00A67299">
        <w:tab/>
        <w:t>Para más inf</w:t>
      </w:r>
      <w:r>
        <w:t xml:space="preserve">ormación sobre el Consejo de </w:t>
      </w:r>
      <w:r w:rsidRPr="00A67299">
        <w:t>Prensa y la Ofic</w:t>
      </w:r>
      <w:r>
        <w:t>ina del Defensor de la</w:t>
      </w:r>
      <w:r w:rsidRPr="00A67299">
        <w:t xml:space="preserve"> Pre</w:t>
      </w:r>
      <w:r>
        <w:t>n</w:t>
      </w:r>
      <w:r w:rsidRPr="00A67299">
        <w:t>s</w:t>
      </w:r>
      <w:r>
        <w:t xml:space="preserve">a, ver </w:t>
      </w:r>
      <w:hyperlink r:id="rId2" w:history="1">
        <w:r w:rsidRPr="00A67299">
          <w:t>http://www.pressombudsman.ie/v2/default.htm</w:t>
        </w:r>
      </w:hyperlink>
      <w:r w:rsidRPr="00A67299">
        <w:t>.</w:t>
      </w:r>
    </w:p>
  </w:footnote>
  <w:footnote w:id="29">
    <w:p w:rsidR="00943D21" w:rsidRDefault="00943D21" w:rsidP="007E251E">
      <w:pPr>
        <w:pStyle w:val="FootnoteText"/>
      </w:pPr>
      <w:r w:rsidRPr="00A67299">
        <w:tab/>
      </w:r>
      <w:r>
        <w:rPr>
          <w:rStyle w:val="FootnoteReference"/>
        </w:rPr>
        <w:footnoteRef/>
      </w:r>
      <w:r>
        <w:tab/>
        <w:t>www.presscouncil.ie/v1/publications/statistics2008.pdf.</w:t>
      </w:r>
    </w:p>
  </w:footnote>
  <w:footnote w:id="30">
    <w:p w:rsidR="00943D21" w:rsidRDefault="00943D21" w:rsidP="007E251E">
      <w:pPr>
        <w:pStyle w:val="FootnoteText"/>
      </w:pPr>
      <w:r>
        <w:tab/>
      </w:r>
      <w:r>
        <w:rPr>
          <w:rStyle w:val="FootnoteReference"/>
        </w:rPr>
        <w:footnoteRef/>
      </w:r>
      <w:r>
        <w:tab/>
        <w:t>http://www.employmentrights.ie/en/.</w:t>
      </w:r>
    </w:p>
  </w:footnote>
  <w:footnote w:id="31">
    <w:p w:rsidR="00943D21" w:rsidRPr="00552BC9" w:rsidRDefault="00943D21" w:rsidP="007E251E">
      <w:pPr>
        <w:pStyle w:val="FootnoteText"/>
      </w:pPr>
      <w:r>
        <w:tab/>
      </w:r>
      <w:r>
        <w:rPr>
          <w:rStyle w:val="FootnoteReference"/>
        </w:rPr>
        <w:footnoteRef/>
      </w:r>
      <w:r w:rsidRPr="00552BC9">
        <w:tab/>
        <w:t>Cabe encontrar más información sobre la Comisión en el sitio web s</w:t>
      </w:r>
      <w:r>
        <w:t>iguiente</w:t>
      </w:r>
      <w:r w:rsidRPr="00552BC9">
        <w:t xml:space="preserve">: </w:t>
      </w:r>
      <w:hyperlink r:id="rId3" w:history="1">
        <w:r w:rsidRPr="00CA40EA">
          <w:rPr>
            <w:rStyle w:val="Hyperlink"/>
          </w:rPr>
          <w:t>http://www.gardaombudsman.ie/</w:t>
        </w:r>
      </w:hyperlink>
      <w:r w:rsidRPr="00552BC9">
        <w:t>.</w:t>
      </w:r>
    </w:p>
  </w:footnote>
  <w:footnote w:id="32">
    <w:p w:rsidR="00943D21" w:rsidRPr="00164227" w:rsidRDefault="00943D21" w:rsidP="007E251E">
      <w:pPr>
        <w:pStyle w:val="FootnoteText"/>
      </w:pPr>
      <w:r w:rsidRPr="00552BC9">
        <w:tab/>
      </w:r>
      <w:r>
        <w:rPr>
          <w:rStyle w:val="FootnoteReference"/>
        </w:rPr>
        <w:footnoteRef/>
      </w:r>
      <w:r w:rsidRPr="00164227">
        <w:tab/>
        <w:t xml:space="preserve">Se ruega consultar el párrafo 207 del </w:t>
      </w:r>
      <w:r>
        <w:t>informe inicial</w:t>
      </w:r>
      <w:r w:rsidRPr="00164227">
        <w:t xml:space="preserve"> y </w:t>
      </w:r>
      <w:r>
        <w:t xml:space="preserve">del </w:t>
      </w:r>
      <w:r w:rsidRPr="00164227">
        <w:t>segundo informe de Irlanda, as</w:t>
      </w:r>
      <w:r>
        <w:t>í como los párrafos 75 y ss. del presente informe</w:t>
      </w:r>
      <w:r w:rsidRPr="00164227">
        <w:t>.</w:t>
      </w:r>
    </w:p>
  </w:footnote>
  <w:footnote w:id="33">
    <w:p w:rsidR="00943D21" w:rsidRDefault="00943D21" w:rsidP="007E251E">
      <w:pPr>
        <w:pStyle w:val="FootnoteText"/>
      </w:pPr>
      <w:r w:rsidRPr="00164227">
        <w:tab/>
      </w:r>
      <w:r>
        <w:rPr>
          <w:rStyle w:val="FootnoteReference"/>
        </w:rPr>
        <w:footnoteRef/>
      </w:r>
      <w:r>
        <w:tab/>
        <w:t>http://www.irishstatutebook.ie/1980/en/act/pub/0026/sec0001.html.</w:t>
      </w:r>
    </w:p>
  </w:footnote>
  <w:footnote w:id="34">
    <w:p w:rsidR="00943D21" w:rsidRDefault="00943D21" w:rsidP="007E251E">
      <w:pPr>
        <w:pStyle w:val="FootnoteText"/>
      </w:pPr>
      <w:r>
        <w:tab/>
      </w:r>
      <w:r>
        <w:rPr>
          <w:rStyle w:val="FootnoteReference"/>
        </w:rPr>
        <w:footnoteRef/>
      </w:r>
      <w:r>
        <w:tab/>
        <w:t>http://www.justice.ie/en/JELR/Pages/National_women's_strategy_2007–2016.</w:t>
      </w:r>
    </w:p>
  </w:footnote>
  <w:footnote w:id="35">
    <w:p w:rsidR="00943D21" w:rsidRDefault="00943D21" w:rsidP="007E251E">
      <w:pPr>
        <w:pStyle w:val="FootnoteText"/>
      </w:pPr>
      <w:r>
        <w:tab/>
      </w:r>
      <w:r>
        <w:rPr>
          <w:rStyle w:val="FootnoteReference"/>
        </w:rPr>
        <w:footnoteRef/>
      </w:r>
      <w:r>
        <w:tab/>
        <w:t>http://www.garda.ie/Controller.aspx?Page=3096&amp;Lang=1.</w:t>
      </w:r>
    </w:p>
  </w:footnote>
  <w:footnote w:id="36">
    <w:p w:rsidR="00943D21" w:rsidRDefault="00943D21" w:rsidP="007E251E">
      <w:pPr>
        <w:pStyle w:val="FootnoteText"/>
      </w:pPr>
      <w:r>
        <w:tab/>
      </w:r>
      <w:r>
        <w:rPr>
          <w:rStyle w:val="FootnoteReference"/>
        </w:rPr>
        <w:footnoteRef/>
      </w:r>
      <w:r>
        <w:tab/>
        <w:t>http://www.elsta.ie/.</w:t>
      </w:r>
    </w:p>
  </w:footnote>
  <w:footnote w:id="37">
    <w:p w:rsidR="00943D21" w:rsidRDefault="00943D21" w:rsidP="007E251E">
      <w:pPr>
        <w:pStyle w:val="FootnoteText"/>
      </w:pPr>
      <w:r>
        <w:tab/>
      </w:r>
      <w:r>
        <w:rPr>
          <w:rStyle w:val="FootnoteReference"/>
        </w:rPr>
        <w:footnoteRef/>
      </w:r>
      <w:r>
        <w:tab/>
        <w:t>http://www.ria.gov.ie/.</w:t>
      </w:r>
    </w:p>
  </w:footnote>
  <w:footnote w:id="38">
    <w:p w:rsidR="00943D21" w:rsidRDefault="00943D21" w:rsidP="007E251E">
      <w:pPr>
        <w:pStyle w:val="FootnoteText"/>
      </w:pPr>
      <w:r>
        <w:tab/>
      </w:r>
      <w:r>
        <w:rPr>
          <w:rStyle w:val="FootnoteReference"/>
        </w:rPr>
        <w:footnoteRef/>
      </w:r>
      <w:r>
        <w:tab/>
        <w:t>http://www.integration.ie/.</w:t>
      </w:r>
    </w:p>
  </w:footnote>
  <w:footnote w:id="39">
    <w:p w:rsidR="00943D21" w:rsidRPr="00892565" w:rsidRDefault="00943D21" w:rsidP="007E251E">
      <w:pPr>
        <w:pStyle w:val="FootnoteText"/>
      </w:pPr>
      <w:r>
        <w:tab/>
      </w:r>
      <w:r>
        <w:rPr>
          <w:rStyle w:val="FootnoteReference"/>
        </w:rPr>
        <w:footnoteRef/>
      </w:r>
      <w:r w:rsidRPr="00892565">
        <w:tab/>
        <w:t>http://www.integration.ie/website/omi/omiwebv6.nsf/page/useful</w:t>
      </w:r>
      <w:r w:rsidR="00E336FD">
        <w:t>links-irish-DepartmentEducation</w:t>
      </w:r>
      <w:r w:rsidRPr="00892565">
        <w:t>portaleducators-en.</w:t>
      </w:r>
    </w:p>
  </w:footnote>
  <w:footnote w:id="40">
    <w:p w:rsidR="00943D21" w:rsidRPr="00933E77" w:rsidRDefault="00943D21" w:rsidP="007E251E">
      <w:pPr>
        <w:pStyle w:val="FootnoteText"/>
      </w:pPr>
      <w:r w:rsidRPr="00892565">
        <w:tab/>
      </w:r>
      <w:r>
        <w:rPr>
          <w:rStyle w:val="FootnoteReference"/>
        </w:rPr>
        <w:footnoteRef/>
      </w:r>
      <w:r w:rsidRPr="00933E77">
        <w:tab/>
        <w:t>Escuelas en las que la enseñanza se imparte en irlandés.</w:t>
      </w:r>
    </w:p>
  </w:footnote>
  <w:footnote w:id="41">
    <w:p w:rsidR="00943D21" w:rsidRDefault="00943D21" w:rsidP="007E251E">
      <w:pPr>
        <w:pStyle w:val="FootnoteText"/>
      </w:pPr>
      <w:r w:rsidRPr="00933E77">
        <w:tab/>
      </w:r>
      <w:r>
        <w:rPr>
          <w:rStyle w:val="FootnoteReference"/>
        </w:rPr>
        <w:footnoteRef/>
      </w:r>
      <w:r>
        <w:tab/>
        <w:t>www.ipex.eu/ipex/webdav/.../COM_COM(2008)0423_EN.doc.</w:t>
      </w:r>
    </w:p>
  </w:footnote>
  <w:footnote w:id="42">
    <w:p w:rsidR="00943D21" w:rsidRDefault="00943D21" w:rsidP="007E251E">
      <w:pPr>
        <w:pStyle w:val="FootnoteText"/>
      </w:pPr>
      <w:r>
        <w:tab/>
      </w:r>
      <w:r>
        <w:rPr>
          <w:rStyle w:val="FootnoteReference"/>
        </w:rPr>
        <w:footnoteRef/>
      </w:r>
      <w:r>
        <w:tab/>
        <w:t>http://ec.europa.eu/education/news/news490_en.htm.</w:t>
      </w:r>
    </w:p>
  </w:footnote>
  <w:footnote w:id="43">
    <w:p w:rsidR="00943D21" w:rsidRPr="007E0873" w:rsidRDefault="00943D21" w:rsidP="007E251E">
      <w:pPr>
        <w:pStyle w:val="FootnoteText"/>
      </w:pPr>
      <w:r w:rsidRPr="007E0873">
        <w:tab/>
      </w:r>
      <w:r w:rsidRPr="007E0873">
        <w:rPr>
          <w:rStyle w:val="FootnoteReference"/>
        </w:rPr>
        <w:footnoteRef/>
      </w:r>
      <w:r w:rsidRPr="007E0873">
        <w:tab/>
      </w:r>
      <w:hyperlink r:id="rId4" w:history="1">
        <w:r w:rsidRPr="007E0873">
          <w:rPr>
            <w:rStyle w:val="Hyperlink"/>
          </w:rPr>
          <w:t>http://www.integration.ie/website/omi/omiwebv6.nsf/page/managingdiversity-UNCERD-en</w:t>
        </w:r>
      </w:hyperlink>
      <w:r w:rsidRPr="007E0873">
        <w:t>.</w:t>
      </w:r>
    </w:p>
  </w:footnote>
  <w:footnote w:id="44">
    <w:p w:rsidR="00943D21" w:rsidRDefault="00943D21" w:rsidP="007E251E">
      <w:pPr>
        <w:pStyle w:val="FootnoteText"/>
      </w:pPr>
      <w:r>
        <w:tab/>
      </w:r>
      <w:r>
        <w:rPr>
          <w:rStyle w:val="FootnoteReference"/>
        </w:rPr>
        <w:footnoteRef/>
      </w:r>
      <w:r>
        <w:tab/>
        <w:t>www.integration.ie.</w:t>
      </w:r>
    </w:p>
  </w:footnote>
  <w:footnote w:id="45">
    <w:p w:rsidR="00943D21" w:rsidRPr="007E0873" w:rsidRDefault="00943D21" w:rsidP="007E251E">
      <w:pPr>
        <w:pStyle w:val="FootnoteText"/>
      </w:pPr>
      <w:r w:rsidRPr="007E0873">
        <w:tab/>
      </w:r>
      <w:r w:rsidRPr="007E0873">
        <w:rPr>
          <w:rStyle w:val="FootnoteReference"/>
        </w:rPr>
        <w:footnoteRef/>
      </w:r>
      <w:r w:rsidRPr="007E0873">
        <w:tab/>
      </w:r>
      <w:hyperlink r:id="rId5" w:history="1">
        <w:r w:rsidRPr="007E0873">
          <w:rPr>
            <w:rStyle w:val="Hyperlink"/>
          </w:rPr>
          <w:t>http://www.integration.ie/website/omi/omiwebv6.nsf/page/managingdiversity-npar-en</w:t>
        </w:r>
      </w:hyperlink>
      <w:r w:rsidRPr="007E0873">
        <w:t>.</w:t>
      </w:r>
    </w:p>
  </w:footnote>
  <w:footnote w:id="46">
    <w:p w:rsidR="00943D21" w:rsidRDefault="00943D21" w:rsidP="007E251E">
      <w:pPr>
        <w:pStyle w:val="FootnoteText"/>
      </w:pPr>
      <w:r>
        <w:tab/>
      </w:r>
      <w:r>
        <w:rPr>
          <w:rStyle w:val="FootnoteReference"/>
        </w:rPr>
        <w:footnoteRef/>
      </w:r>
      <w:r>
        <w:tab/>
        <w:t>www.equality.ie.</w:t>
      </w:r>
    </w:p>
  </w:footnote>
  <w:footnote w:id="47">
    <w:p w:rsidR="00943D21" w:rsidRDefault="00943D21" w:rsidP="007E251E">
      <w:pPr>
        <w:pStyle w:val="FootnoteText"/>
      </w:pPr>
      <w:r>
        <w:tab/>
      </w:r>
      <w:r>
        <w:rPr>
          <w:rStyle w:val="FootnoteReference"/>
        </w:rPr>
        <w:footnoteRef/>
      </w:r>
      <w:r>
        <w:tab/>
        <w:t>www.equalitytribunal.ie.</w:t>
      </w:r>
    </w:p>
  </w:footnote>
  <w:footnote w:id="48">
    <w:p w:rsidR="00943D21" w:rsidRDefault="00943D21" w:rsidP="007E251E">
      <w:pPr>
        <w:pStyle w:val="FootnoteText"/>
      </w:pPr>
      <w:r>
        <w:tab/>
      </w:r>
      <w:r>
        <w:rPr>
          <w:rStyle w:val="FootnoteReference"/>
        </w:rPr>
        <w:footnoteRef/>
      </w:r>
      <w:r>
        <w:tab/>
        <w:t>http://www.equalitytribunal.ie/index.asp?locID=26&amp;docID=-1.</w:t>
      </w:r>
    </w:p>
  </w:footnote>
  <w:footnote w:id="49">
    <w:p w:rsidR="00943D21" w:rsidRPr="006F314E" w:rsidRDefault="00943D21" w:rsidP="007E251E">
      <w:pPr>
        <w:pStyle w:val="FootnoteText"/>
        <w:rPr>
          <w:lang w:val="fr-FR"/>
        </w:rPr>
      </w:pPr>
      <w:r>
        <w:tab/>
      </w:r>
      <w:r>
        <w:rPr>
          <w:rStyle w:val="FootnoteReference"/>
        </w:rPr>
        <w:footnoteRef/>
      </w:r>
      <w:r w:rsidRPr="006F314E">
        <w:rPr>
          <w:lang w:val="fr-FR"/>
        </w:rPr>
        <w:tab/>
        <w:t>www.ombudsman.gov.ie.</w:t>
      </w:r>
    </w:p>
  </w:footnote>
  <w:footnote w:id="50">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r>
      <w:r w:rsidRPr="006F314E">
        <w:rPr>
          <w:bCs/>
          <w:lang w:val="fr-FR"/>
        </w:rPr>
        <w:t>(</w:t>
      </w:r>
      <w:r w:rsidRPr="006F314E">
        <w:rPr>
          <w:lang w:val="fr-FR"/>
        </w:rPr>
        <w:t>http://www.taoiseach.ie/eng/Publications/Publications_Archive/Publications_2007/</w:t>
      </w:r>
      <w:r>
        <w:rPr>
          <w:lang w:val="fr-FR"/>
        </w:rPr>
        <w:br/>
      </w:r>
      <w:r w:rsidRPr="006F314E">
        <w:rPr>
          <w:lang w:val="fr-FR"/>
        </w:rPr>
        <w:t>An_Agreed_ Programme_for_Government_-_June_2007.html).</w:t>
      </w:r>
    </w:p>
  </w:footnote>
  <w:footnote w:id="51">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http://www.taoiseach.gov.ie/eng/Department_of_the_Taoiseach/Policy_Sections/Social_Partnership/ Social_Partnership_Publications/Towards_2016,_Ten-Year_Framework_Social_Partnership_ Agreement_2006-2015.shortcut.html.</w:t>
      </w:r>
    </w:p>
  </w:footnote>
  <w:footnote w:id="52">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www.socialinclusion.ie/nationalactionplan2007.html.</w:t>
      </w:r>
    </w:p>
  </w:footnote>
  <w:footnote w:id="53">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http://www.socialinclusion.ie/SocialInclusionReport2006-2007.html.</w:t>
      </w:r>
    </w:p>
  </w:footnote>
  <w:footnote w:id="54">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http://www.socialinclusion.ie/.</w:t>
      </w:r>
    </w:p>
  </w:footnote>
  <w:footnote w:id="55">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www.socialinclusion.ie/.../5062SOCIALPORTCOMMUNITY-7-AW-LO.pdf.</w:t>
      </w:r>
    </w:p>
  </w:footnote>
  <w:footnote w:id="56">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r>
      <w:hyperlink r:id="rId6" w:history="1">
        <w:r w:rsidRPr="006F314E">
          <w:rPr>
            <w:lang w:val="fr-FR"/>
          </w:rPr>
          <w:t>http://www.socialinclusion.ie/pia.html</w:t>
        </w:r>
      </w:hyperlink>
      <w:r w:rsidRPr="006F314E">
        <w:rPr>
          <w:lang w:val="fr-FR"/>
        </w:rPr>
        <w:t>.</w:t>
      </w:r>
    </w:p>
  </w:footnote>
  <w:footnote w:id="57">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http://www.festivalofworldcultures.com/.</w:t>
      </w:r>
    </w:p>
  </w:footnote>
  <w:footnote w:id="58">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http://www.integration.ie/website/omi/omiwebv6.nsf/page/omi-publications-en.</w:t>
      </w:r>
    </w:p>
  </w:footnote>
  <w:footnote w:id="59">
    <w:p w:rsidR="00943D21" w:rsidRPr="00C13AA9" w:rsidRDefault="00943D21" w:rsidP="007E251E">
      <w:pPr>
        <w:pStyle w:val="FootnoteText"/>
      </w:pPr>
      <w:r w:rsidRPr="006F314E">
        <w:rPr>
          <w:lang w:val="fr-FR"/>
        </w:rPr>
        <w:tab/>
      </w:r>
      <w:r>
        <w:rPr>
          <w:rStyle w:val="FootnoteReference"/>
        </w:rPr>
        <w:footnoteRef/>
      </w:r>
      <w:r w:rsidRPr="00C13AA9">
        <w:tab/>
        <w:t>Un delito procesable es un delito que s</w:t>
      </w:r>
      <w:r>
        <w:t>ó</w:t>
      </w:r>
      <w:r w:rsidRPr="00C13AA9">
        <w:t xml:space="preserve">lo puede ser juzgado en un proceso tras una audiencia preliminar para </w:t>
      </w:r>
      <w:r>
        <w:t>determina</w:t>
      </w:r>
      <w:r w:rsidRPr="00C13AA9">
        <w:t xml:space="preserve">r si se trata de un caso </w:t>
      </w:r>
      <w:r>
        <w:rPr>
          <w:i/>
        </w:rPr>
        <w:t>prima facie</w:t>
      </w:r>
      <w:r>
        <w:t xml:space="preserve"> </w:t>
      </w:r>
      <w:r w:rsidRPr="00C13AA9">
        <w:t>o</w:t>
      </w:r>
      <w:r>
        <w:t xml:space="preserve"> si debe</w:t>
      </w:r>
      <w:r w:rsidRPr="00C13AA9">
        <w:t xml:space="preserve"> </w:t>
      </w:r>
      <w:r>
        <w:t>ser sometido a un juicio con</w:t>
      </w:r>
      <w:r w:rsidRPr="00C13AA9">
        <w:t xml:space="preserve"> </w:t>
      </w:r>
      <w:r>
        <w:t>jurado (por oposición a un juicio</w:t>
      </w:r>
      <w:r w:rsidRPr="00C13AA9">
        <w:t xml:space="preserve"> </w:t>
      </w:r>
      <w:hyperlink r:id="rId7" w:tooltip="Summary offence" w:history="1">
        <w:r w:rsidRPr="00C13AA9">
          <w:t>sumar</w:t>
        </w:r>
        <w:r>
          <w:t>io</w:t>
        </w:r>
      </w:hyperlink>
      <w:r w:rsidRPr="00C13AA9">
        <w:t>).</w:t>
      </w:r>
    </w:p>
  </w:footnote>
  <w:footnote w:id="60">
    <w:p w:rsidR="00943D21" w:rsidRPr="00C13AA9" w:rsidRDefault="00943D21" w:rsidP="007E251E">
      <w:pPr>
        <w:pStyle w:val="FootnoteText"/>
      </w:pPr>
      <w:r w:rsidRPr="00C13AA9">
        <w:tab/>
      </w:r>
      <w:r>
        <w:rPr>
          <w:rStyle w:val="FootnoteReference"/>
        </w:rPr>
        <w:footnoteRef/>
      </w:r>
      <w:r w:rsidRPr="00C13AA9">
        <w:tab/>
        <w:t>Fuente: Oficina Central de Estadística (www.cso.ie).</w:t>
      </w:r>
    </w:p>
  </w:footnote>
  <w:footnote w:id="61">
    <w:p w:rsidR="00943D21" w:rsidRDefault="00943D21" w:rsidP="007E251E">
      <w:pPr>
        <w:pStyle w:val="FootnoteText"/>
      </w:pPr>
      <w:r w:rsidRPr="00C13AA9">
        <w:tab/>
      </w:r>
      <w:r>
        <w:rPr>
          <w:rStyle w:val="FootnoteReference"/>
        </w:rPr>
        <w:footnoteRef/>
      </w:r>
      <w:r>
        <w:tab/>
        <w:t>www.nicnewcommunities.ie.</w:t>
      </w:r>
    </w:p>
  </w:footnote>
  <w:footnote w:id="62">
    <w:p w:rsidR="00943D21" w:rsidRDefault="00943D21" w:rsidP="007E251E">
      <w:pPr>
        <w:pStyle w:val="FootnoteText"/>
      </w:pPr>
      <w:r>
        <w:tab/>
      </w:r>
      <w:r>
        <w:rPr>
          <w:rStyle w:val="FootnoteReference"/>
        </w:rPr>
        <w:footnoteRef/>
      </w:r>
      <w:r>
        <w:tab/>
        <w:t>http://www.integration.ie/website/omi/omiwebv6.nsf/page/managingdiversity-policeinitiatives-en.</w:t>
      </w:r>
    </w:p>
  </w:footnote>
  <w:footnote w:id="63">
    <w:p w:rsidR="00943D21" w:rsidRDefault="00943D21" w:rsidP="007E251E">
      <w:pPr>
        <w:pStyle w:val="FootnoteText"/>
      </w:pPr>
      <w:r>
        <w:tab/>
      </w:r>
      <w:r>
        <w:rPr>
          <w:rStyle w:val="FootnoteReference"/>
        </w:rPr>
        <w:footnoteRef/>
      </w:r>
      <w:r>
        <w:tab/>
        <w:t>http://www.garda.ie/Controller.aspx?Page=92.</w:t>
      </w:r>
    </w:p>
  </w:footnote>
  <w:footnote w:id="64">
    <w:p w:rsidR="00943D21" w:rsidRPr="00B46592" w:rsidRDefault="00943D21" w:rsidP="007E251E">
      <w:pPr>
        <w:pStyle w:val="FootnoteText"/>
      </w:pPr>
      <w:r>
        <w:tab/>
      </w:r>
      <w:r>
        <w:rPr>
          <w:rStyle w:val="FootnoteReference"/>
        </w:rPr>
        <w:footnoteRef/>
      </w:r>
      <w:r w:rsidRPr="00B46592">
        <w:tab/>
        <w:t>La estructura jur</w:t>
      </w:r>
      <w:r>
        <w:t>ídica</w:t>
      </w:r>
      <w:r w:rsidRPr="00B46592">
        <w:t xml:space="preserve"> que recoge el nuevo Reglamento figura en el art</w:t>
      </w:r>
      <w:r>
        <w:t>ículo</w:t>
      </w:r>
      <w:r w:rsidRPr="00B46592">
        <w:t xml:space="preserve"> 123 </w:t>
      </w:r>
      <w:r>
        <w:t>de la Ley de la</w:t>
      </w:r>
      <w:r w:rsidRPr="00B46592">
        <w:t xml:space="preserve"> Garda Síochána.</w:t>
      </w:r>
    </w:p>
  </w:footnote>
  <w:footnote w:id="65">
    <w:p w:rsidR="00943D21" w:rsidRDefault="00943D21" w:rsidP="007E251E">
      <w:pPr>
        <w:pStyle w:val="FootnoteText"/>
      </w:pPr>
      <w:r w:rsidRPr="00B46592">
        <w:tab/>
      </w:r>
      <w:r>
        <w:rPr>
          <w:rStyle w:val="FootnoteReference"/>
        </w:rPr>
        <w:footnoteRef/>
      </w:r>
      <w:r>
        <w:tab/>
        <w:t>http://www.justice.ie/en/JELR/Pages/Garda_whistleblower_regulations_2007.</w:t>
      </w:r>
    </w:p>
  </w:footnote>
  <w:footnote w:id="66">
    <w:p w:rsidR="00943D21" w:rsidRDefault="00943D21" w:rsidP="007E251E">
      <w:pPr>
        <w:pStyle w:val="FootnoteText"/>
      </w:pPr>
      <w:r>
        <w:tab/>
      </w:r>
      <w:r>
        <w:rPr>
          <w:rStyle w:val="FootnoteReference"/>
        </w:rPr>
        <w:footnoteRef/>
      </w:r>
      <w:r>
        <w:tab/>
        <w:t>http://www.garda.ie/Controller.aspx?Page=3096&amp;Lang=1.</w:t>
      </w:r>
    </w:p>
  </w:footnote>
  <w:footnote w:id="67">
    <w:p w:rsidR="00943D21" w:rsidRDefault="00943D21" w:rsidP="007E251E">
      <w:pPr>
        <w:pStyle w:val="FootnoteText"/>
      </w:pPr>
      <w:r>
        <w:tab/>
      </w:r>
      <w:r>
        <w:rPr>
          <w:rStyle w:val="FootnoteReference"/>
        </w:rPr>
        <w:footnoteRef/>
      </w:r>
      <w:r>
        <w:tab/>
        <w:t>http://www.garda.ie/Controller.aspx?Page=3097&amp;Lang=1.</w:t>
      </w:r>
    </w:p>
  </w:footnote>
  <w:footnote w:id="68">
    <w:p w:rsidR="00943D21" w:rsidRDefault="00943D21" w:rsidP="007E251E">
      <w:pPr>
        <w:pStyle w:val="FootnoteText"/>
      </w:pPr>
      <w:r>
        <w:tab/>
      </w:r>
      <w:r>
        <w:rPr>
          <w:rStyle w:val="FootnoteReference"/>
        </w:rPr>
        <w:footnoteRef/>
      </w:r>
      <w:r>
        <w:tab/>
        <w:t>http://www.orac.ie/.</w:t>
      </w:r>
    </w:p>
  </w:footnote>
  <w:footnote w:id="69">
    <w:p w:rsidR="00943D21" w:rsidRDefault="00943D21" w:rsidP="007E251E">
      <w:pPr>
        <w:pStyle w:val="FootnoteText"/>
      </w:pPr>
      <w:r>
        <w:tab/>
      </w:r>
      <w:r>
        <w:rPr>
          <w:rStyle w:val="FootnoteReference"/>
        </w:rPr>
        <w:footnoteRef/>
      </w:r>
      <w:r>
        <w:tab/>
        <w:t>http://www.refappeal.ie/.</w:t>
      </w:r>
    </w:p>
  </w:footnote>
  <w:footnote w:id="70">
    <w:p w:rsidR="00943D21" w:rsidRDefault="00943D21" w:rsidP="007E251E">
      <w:pPr>
        <w:pStyle w:val="FootnoteText"/>
      </w:pPr>
      <w:r>
        <w:tab/>
      </w:r>
      <w:r>
        <w:rPr>
          <w:rStyle w:val="FootnoteReference"/>
        </w:rPr>
        <w:footnoteRef/>
      </w:r>
      <w:r>
        <w:tab/>
        <w:t>www.inis.gov.ie/en/INIS/AsylumQual.pdf/Files/AsylumQual.pdf.</w:t>
      </w:r>
    </w:p>
  </w:footnote>
  <w:footnote w:id="71">
    <w:p w:rsidR="00943D21" w:rsidRDefault="00943D21" w:rsidP="007E251E">
      <w:pPr>
        <w:pStyle w:val="FootnoteText"/>
      </w:pPr>
      <w:r>
        <w:tab/>
      </w:r>
      <w:r>
        <w:rPr>
          <w:rStyle w:val="FootnoteReference"/>
        </w:rPr>
        <w:footnoteRef/>
      </w:r>
      <w:r>
        <w:tab/>
        <w:t>http://eur-lex.europa.eu/LexUriServ/LexUriServ.do?uri=CELEX:32004L0083:EN:HTML.</w:t>
      </w:r>
    </w:p>
  </w:footnote>
  <w:footnote w:id="72">
    <w:p w:rsidR="00943D21" w:rsidRDefault="00943D21" w:rsidP="007E251E">
      <w:pPr>
        <w:pStyle w:val="FootnoteText"/>
      </w:pPr>
      <w:r>
        <w:tab/>
      </w:r>
      <w:r>
        <w:rPr>
          <w:rStyle w:val="FootnoteReference"/>
        </w:rPr>
        <w:footnoteRef/>
      </w:r>
      <w:r>
        <w:tab/>
        <w:t>http://www.victimsofcrimeoffice.ie/.</w:t>
      </w:r>
    </w:p>
  </w:footnote>
  <w:footnote w:id="73">
    <w:p w:rsidR="00943D21" w:rsidRPr="00F23A78" w:rsidRDefault="00943D21" w:rsidP="007E251E">
      <w:pPr>
        <w:pStyle w:val="FootnoteText"/>
      </w:pPr>
      <w:r>
        <w:tab/>
      </w:r>
      <w:r>
        <w:rPr>
          <w:rStyle w:val="FootnoteReference"/>
        </w:rPr>
        <w:footnoteRef/>
      </w:r>
      <w:r w:rsidRPr="00F23A78">
        <w:tab/>
        <w:t xml:space="preserve">Es menester señalar que la respuesta a las cuestiones 1 y 2 </w:t>
      </w:r>
      <w:r w:rsidRPr="00F23A78">
        <w:rPr>
          <w:i/>
        </w:rPr>
        <w:t>supra</w:t>
      </w:r>
      <w:r w:rsidRPr="00F23A78">
        <w:t xml:space="preserve"> se entiende sin perjuicio de las restricciones de que puede ser objeto el derecho de una persona a la libertad de circulación o de</w:t>
      </w:r>
      <w:r>
        <w:t xml:space="preserve"> </w:t>
      </w:r>
      <w:r w:rsidRPr="00F23A78">
        <w:t>residencia a raíz de leyes nacionales que</w:t>
      </w:r>
      <w:r w:rsidRPr="00F23A78">
        <w:rPr>
          <w:szCs w:val="18"/>
        </w:rPr>
        <w:t xml:space="preserve"> </w:t>
      </w:r>
      <w:r w:rsidRPr="00F23A78">
        <w:t xml:space="preserve">prevén esas restricciones en referencia a las circunstancias </w:t>
      </w:r>
      <w:r>
        <w:t>concretas de</w:t>
      </w:r>
      <w:r w:rsidRPr="00F23A78">
        <w:t xml:space="preserve"> </w:t>
      </w:r>
      <w:r>
        <w:t>un determinado caso,</w:t>
      </w:r>
      <w:r w:rsidRPr="00F23A78">
        <w:t xml:space="preserve"> </w:t>
      </w:r>
      <w:r>
        <w:t>por ejemplo, si una</w:t>
      </w:r>
      <w:r w:rsidRPr="00F23A78">
        <w:t xml:space="preserve"> person</w:t>
      </w:r>
      <w:r>
        <w:t>a</w:t>
      </w:r>
      <w:r w:rsidRPr="00F23A78">
        <w:t xml:space="preserve"> </w:t>
      </w:r>
      <w:r>
        <w:t>se encuentra</w:t>
      </w:r>
      <w:r w:rsidRPr="00F23A78">
        <w:t xml:space="preserve"> </w:t>
      </w:r>
      <w:r>
        <w:t>ilegalmente en el</w:t>
      </w:r>
      <w:r w:rsidRPr="00F23A78">
        <w:t xml:space="preserve"> </w:t>
      </w:r>
      <w:r>
        <w:t>Es</w:t>
      </w:r>
      <w:r w:rsidRPr="00F23A78">
        <w:t>ta</w:t>
      </w:r>
      <w:r>
        <w:t>do, o cuando sea</w:t>
      </w:r>
      <w:r w:rsidRPr="00F23A78">
        <w:t xml:space="preserve"> necesar</w:t>
      </w:r>
      <w:r>
        <w:t>io</w:t>
      </w:r>
      <w:r w:rsidRPr="00F23A78">
        <w:t xml:space="preserve"> </w:t>
      </w:r>
      <w:r>
        <w:t>en</w:t>
      </w:r>
      <w:r w:rsidRPr="00F23A78">
        <w:t xml:space="preserve"> </w:t>
      </w:r>
      <w:r>
        <w:t>aras de la</w:t>
      </w:r>
      <w:r w:rsidRPr="00F23A78">
        <w:t xml:space="preserve"> se</w:t>
      </w:r>
      <w:r>
        <w:t>g</w:t>
      </w:r>
      <w:r w:rsidRPr="00F23A78">
        <w:t>uri</w:t>
      </w:r>
      <w:r>
        <w:t>dad, el orden</w:t>
      </w:r>
      <w:r w:rsidRPr="00F23A78">
        <w:t xml:space="preserve"> </w:t>
      </w:r>
      <w:r>
        <w:t xml:space="preserve">y la salud </w:t>
      </w:r>
      <w:r w:rsidRPr="00F23A78">
        <w:t>p</w:t>
      </w:r>
      <w:r>
        <w:t>ú</w:t>
      </w:r>
      <w:r w:rsidRPr="00F23A78">
        <w:t>blic</w:t>
      </w:r>
      <w:r>
        <w:t>os,</w:t>
      </w:r>
      <w:r w:rsidRPr="00F23A78">
        <w:t xml:space="preserve"> o</w:t>
      </w:r>
      <w:r>
        <w:t xml:space="preserve"> en términos más</w:t>
      </w:r>
      <w:r w:rsidRPr="00F23A78">
        <w:t xml:space="preserve"> general</w:t>
      </w:r>
      <w:r>
        <w:t>es,</w:t>
      </w:r>
      <w:r w:rsidRPr="00F23A78">
        <w:t xml:space="preserve"> </w:t>
      </w:r>
      <w:r>
        <w:t>en función de la legislación penal y</w:t>
      </w:r>
      <w:r w:rsidRPr="00F23A78">
        <w:t xml:space="preserve"> famil</w:t>
      </w:r>
      <w:r>
        <w:t>iar,</w:t>
      </w:r>
      <w:r w:rsidRPr="00F23A78">
        <w:t xml:space="preserve"> etc.</w:t>
      </w:r>
    </w:p>
  </w:footnote>
  <w:footnote w:id="74">
    <w:p w:rsidR="00943D21" w:rsidRPr="00407D1E" w:rsidRDefault="00943D21" w:rsidP="007E251E">
      <w:pPr>
        <w:pStyle w:val="FootnoteText"/>
        <w:spacing w:after="120"/>
      </w:pPr>
      <w:r w:rsidRPr="00F23A78">
        <w:tab/>
      </w:r>
      <w:r>
        <w:rPr>
          <w:rStyle w:val="FootnoteReference"/>
        </w:rPr>
        <w:footnoteRef/>
      </w:r>
      <w:r w:rsidRPr="00407D1E">
        <w:tab/>
      </w:r>
      <w:r>
        <w:t>Los</w:t>
      </w:r>
      <w:r w:rsidRPr="00407D1E">
        <w:t xml:space="preserve"> no nacional</w:t>
      </w:r>
      <w:r>
        <w:t>es</w:t>
      </w:r>
      <w:r w:rsidRPr="00407D1E">
        <w:t xml:space="preserve"> de un país del EEE que ha</w:t>
      </w:r>
      <w:r>
        <w:t>n</w:t>
      </w:r>
      <w:r w:rsidRPr="00407D1E">
        <w:t xml:space="preserve"> obtenido un permiso expl</w:t>
      </w:r>
      <w:r>
        <w:t>ícito de residencia y trabajo en el Estado, otorgado por el</w:t>
      </w:r>
      <w:r w:rsidRPr="00407D1E">
        <w:t xml:space="preserve"> Depart</w:t>
      </w:r>
      <w:r>
        <w:t>a</w:t>
      </w:r>
      <w:r w:rsidRPr="00407D1E">
        <w:t>ment</w:t>
      </w:r>
      <w:r>
        <w:t>o</w:t>
      </w:r>
      <w:r w:rsidRPr="00407D1E">
        <w:t xml:space="preserve"> </w:t>
      </w:r>
      <w:r>
        <w:t>de</w:t>
      </w:r>
      <w:r w:rsidRPr="00407D1E">
        <w:t xml:space="preserve"> Justic</w:t>
      </w:r>
      <w:r>
        <w:t>ia</w:t>
      </w:r>
      <w:r w:rsidRPr="00407D1E">
        <w:t xml:space="preserve">, </w:t>
      </w:r>
      <w:r>
        <w:t>Ig</w:t>
      </w:r>
      <w:r w:rsidRPr="00407D1E">
        <w:t>ual</w:t>
      </w:r>
      <w:r>
        <w:t>dad</w:t>
      </w:r>
      <w:r w:rsidRPr="00407D1E">
        <w:t xml:space="preserve"> </w:t>
      </w:r>
      <w:r>
        <w:t xml:space="preserve">y </w:t>
      </w:r>
      <w:r w:rsidRPr="00407D1E">
        <w:t>Reform</w:t>
      </w:r>
      <w:r>
        <w:t>a Jurídica</w:t>
      </w:r>
      <w:r w:rsidRPr="00407D1E">
        <w:t>:</w:t>
      </w:r>
    </w:p>
    <w:p w:rsidR="00943D21" w:rsidRPr="007E251E" w:rsidRDefault="00943D21" w:rsidP="007E251E">
      <w:pPr>
        <w:pStyle w:val="Bullet1G"/>
        <w:rPr>
          <w:sz w:val="18"/>
          <w:szCs w:val="18"/>
        </w:rPr>
      </w:pPr>
      <w:r w:rsidRPr="007E251E">
        <w:rPr>
          <w:sz w:val="18"/>
          <w:szCs w:val="18"/>
        </w:rPr>
        <w:t>Los no nacionales de un país del EEE a los que se ha concedido el estatuto de refugiado;</w:t>
      </w:r>
    </w:p>
    <w:p w:rsidR="00943D21" w:rsidRPr="007E251E" w:rsidRDefault="00943D21" w:rsidP="007E251E">
      <w:pPr>
        <w:pStyle w:val="Bullet1G"/>
        <w:rPr>
          <w:sz w:val="18"/>
          <w:szCs w:val="18"/>
        </w:rPr>
      </w:pPr>
      <w:r w:rsidRPr="007E251E">
        <w:rPr>
          <w:sz w:val="18"/>
          <w:szCs w:val="18"/>
        </w:rPr>
        <w:t>Los no nacionales de un país del EEE, titulares de un permiso empresarial válido para explotar una empresa comercial en el Estado;</w:t>
      </w:r>
    </w:p>
    <w:p w:rsidR="00943D21" w:rsidRPr="007E251E" w:rsidRDefault="00943D21" w:rsidP="007E251E">
      <w:pPr>
        <w:pStyle w:val="Bullet1G"/>
        <w:rPr>
          <w:sz w:val="18"/>
          <w:szCs w:val="18"/>
        </w:rPr>
      </w:pPr>
      <w:r w:rsidRPr="007E251E">
        <w:rPr>
          <w:sz w:val="18"/>
          <w:szCs w:val="18"/>
        </w:rPr>
        <w:t>Los no nacionales de un país del EEE que trabajan menos de 20 horas por semana en su calidad de estudiantes;</w:t>
      </w:r>
    </w:p>
    <w:p w:rsidR="00943D21" w:rsidRPr="007E251E" w:rsidRDefault="00943D21" w:rsidP="007E251E">
      <w:pPr>
        <w:pStyle w:val="Bullet1G"/>
        <w:rPr>
          <w:sz w:val="18"/>
          <w:szCs w:val="18"/>
        </w:rPr>
      </w:pPr>
      <w:r w:rsidRPr="007E251E">
        <w:rPr>
          <w:sz w:val="18"/>
          <w:szCs w:val="18"/>
        </w:rPr>
        <w:t>Los nacionales suizos.</w:t>
      </w:r>
    </w:p>
  </w:footnote>
  <w:footnote w:id="75">
    <w:p w:rsidR="00943D21" w:rsidRPr="004F6D9D" w:rsidRDefault="00943D21" w:rsidP="007E251E">
      <w:pPr>
        <w:pStyle w:val="FootnoteText"/>
      </w:pPr>
      <w:r w:rsidRPr="004F6D9D">
        <w:tab/>
      </w:r>
      <w:r>
        <w:rPr>
          <w:rStyle w:val="FootnoteReference"/>
        </w:rPr>
        <w:footnoteRef/>
      </w:r>
      <w:r w:rsidRPr="004F6D9D">
        <w:tab/>
        <w:t>Extraído del Censo de 2006 – Nacionales no irlandeses que viven en Irlanda.</w:t>
      </w:r>
    </w:p>
  </w:footnote>
  <w:footnote w:id="76">
    <w:p w:rsidR="00943D21" w:rsidRDefault="00943D21" w:rsidP="007E251E">
      <w:pPr>
        <w:pStyle w:val="FootnoteText"/>
      </w:pPr>
      <w:r w:rsidRPr="004F6D9D">
        <w:tab/>
      </w:r>
      <w:r>
        <w:rPr>
          <w:rStyle w:val="FootnoteReference"/>
        </w:rPr>
        <w:footnoteRef/>
      </w:r>
      <w:r>
        <w:tab/>
        <w:t>http://www.cso.ie/newsevents/default.htm.</w:t>
      </w:r>
    </w:p>
  </w:footnote>
  <w:footnote w:id="77">
    <w:p w:rsidR="00943D21" w:rsidRDefault="00943D21" w:rsidP="007E251E">
      <w:pPr>
        <w:pStyle w:val="FootnoteText"/>
      </w:pPr>
      <w:r>
        <w:tab/>
      </w:r>
      <w:r>
        <w:rPr>
          <w:rStyle w:val="FootnoteReference"/>
        </w:rPr>
        <w:footnoteRef/>
      </w:r>
      <w:r>
        <w:tab/>
        <w:t>www.entemp.ie/publications/.../2004/unfairdismissals_booklet.pdf.</w:t>
      </w:r>
    </w:p>
  </w:footnote>
  <w:footnote w:id="78">
    <w:p w:rsidR="00943D21" w:rsidRDefault="00943D21" w:rsidP="007E251E">
      <w:pPr>
        <w:pStyle w:val="FootnoteText"/>
      </w:pPr>
      <w:r>
        <w:tab/>
      </w:r>
      <w:r>
        <w:rPr>
          <w:rStyle w:val="FootnoteReference"/>
        </w:rPr>
        <w:footnoteRef/>
      </w:r>
      <w:r>
        <w:tab/>
        <w:t>http://www.cso.ie/releasespublications/documents/population/non-irish/pages1-22.pdf.</w:t>
      </w:r>
    </w:p>
  </w:footnote>
  <w:footnote w:id="79">
    <w:p w:rsidR="00943D21" w:rsidRDefault="00943D21" w:rsidP="007E251E">
      <w:pPr>
        <w:pStyle w:val="FootnoteText"/>
      </w:pPr>
      <w:r>
        <w:tab/>
      </w:r>
      <w:r>
        <w:rPr>
          <w:rStyle w:val="FootnoteReference"/>
        </w:rPr>
        <w:footnoteRef/>
      </w:r>
      <w:r>
        <w:tab/>
        <w:t>http://www.integration.ie/website/omi/omiwebv6.nsf/page/other-publications(NCCRI)-en.</w:t>
      </w:r>
    </w:p>
  </w:footnote>
  <w:footnote w:id="80">
    <w:p w:rsidR="00943D21" w:rsidRDefault="00943D21" w:rsidP="007E251E">
      <w:pPr>
        <w:pStyle w:val="FootnoteText"/>
      </w:pPr>
      <w:r>
        <w:tab/>
      </w:r>
      <w:r>
        <w:rPr>
          <w:rStyle w:val="FootnoteReference"/>
        </w:rPr>
        <w:footnoteRef/>
      </w:r>
      <w:r>
        <w:tab/>
        <w:t>http://www.hse.ie/eng/Publications/Social_Inclusion,_Asylum_Seekers,_Travellers/</w:t>
      </w:r>
      <w:r>
        <w:br/>
        <w:t>National_ Intercultural_Health_Strategy_2007_-_2012.pdf.</w:t>
      </w:r>
    </w:p>
  </w:footnote>
  <w:footnote w:id="81">
    <w:p w:rsidR="00943D21" w:rsidRDefault="00943D21" w:rsidP="007E251E">
      <w:pPr>
        <w:pStyle w:val="FootnoteText"/>
      </w:pPr>
      <w:r>
        <w:tab/>
      </w:r>
      <w:r>
        <w:rPr>
          <w:rStyle w:val="FootnoteReference"/>
        </w:rPr>
        <w:footnoteRef/>
      </w:r>
      <w:r>
        <w:tab/>
        <w:t>http://www.hse.ie/eng/Publications/services/SocialInclusion/EMA.html.</w:t>
      </w:r>
    </w:p>
  </w:footnote>
  <w:footnote w:id="82">
    <w:p w:rsidR="00943D21" w:rsidRDefault="00943D21" w:rsidP="007E251E">
      <w:pPr>
        <w:pStyle w:val="FootnoteText"/>
      </w:pPr>
      <w:r>
        <w:tab/>
      </w:r>
      <w:r>
        <w:rPr>
          <w:rStyle w:val="FootnoteReference"/>
        </w:rPr>
        <w:footnoteRef/>
      </w:r>
      <w:r>
        <w:tab/>
        <w:t>http://www.irishstatutebook.ie/1996/en/act/pub/0017/index.html.</w:t>
      </w:r>
    </w:p>
  </w:footnote>
  <w:footnote w:id="83">
    <w:p w:rsidR="00943D21" w:rsidRDefault="00943D21" w:rsidP="007E251E">
      <w:pPr>
        <w:pStyle w:val="FootnoteText"/>
      </w:pPr>
      <w:r>
        <w:tab/>
      </w:r>
      <w:r>
        <w:rPr>
          <w:rStyle w:val="FootnoteReference"/>
        </w:rPr>
        <w:footnoteRef/>
      </w:r>
      <w:r>
        <w:tab/>
        <w:t>www.irishstatutebook.ie/ZZA17Y1991.html.</w:t>
      </w:r>
    </w:p>
  </w:footnote>
  <w:footnote w:id="84">
    <w:p w:rsidR="00943D21" w:rsidRDefault="00943D21" w:rsidP="007E251E">
      <w:pPr>
        <w:pStyle w:val="FootnoteText"/>
      </w:pPr>
      <w:r>
        <w:tab/>
      </w:r>
      <w:r>
        <w:rPr>
          <w:rStyle w:val="FootnoteReference"/>
        </w:rPr>
        <w:footnoteRef/>
      </w:r>
      <w:r>
        <w:tab/>
        <w:t>http://www.esri.ie/publications/latest_publications/view/index.xml?id=2833.</w:t>
      </w:r>
    </w:p>
  </w:footnote>
  <w:footnote w:id="85">
    <w:p w:rsidR="00943D21" w:rsidRDefault="00943D21" w:rsidP="007E251E">
      <w:pPr>
        <w:pStyle w:val="FootnoteText"/>
      </w:pPr>
      <w:r>
        <w:tab/>
      </w:r>
      <w:r>
        <w:rPr>
          <w:rStyle w:val="FootnoteReference"/>
        </w:rPr>
        <w:footnoteRef/>
      </w:r>
      <w:r>
        <w:tab/>
        <w:t>http://www.welfare.ie/EN/Policy/EU/Pages/SocialSecurityRightsIreland.aspx.</w:t>
      </w:r>
    </w:p>
  </w:footnote>
  <w:footnote w:id="86">
    <w:p w:rsidR="00943D21" w:rsidRDefault="00943D21" w:rsidP="007E251E">
      <w:pPr>
        <w:pStyle w:val="FootnoteText"/>
      </w:pPr>
      <w:r>
        <w:tab/>
      </w:r>
      <w:r>
        <w:rPr>
          <w:rStyle w:val="FootnoteReference"/>
        </w:rPr>
        <w:footnoteRef/>
      </w:r>
      <w:r>
        <w:tab/>
        <w:t>http://www.welfare.ie/EN/OperationalGuidelines/Pages/habres.aspx.</w:t>
      </w:r>
    </w:p>
  </w:footnote>
  <w:footnote w:id="87">
    <w:p w:rsidR="00943D21" w:rsidRDefault="00943D21" w:rsidP="007E251E">
      <w:pPr>
        <w:pStyle w:val="FootnoteText"/>
      </w:pPr>
      <w:r>
        <w:tab/>
      </w:r>
      <w:r>
        <w:rPr>
          <w:rStyle w:val="FootnoteReference"/>
        </w:rPr>
        <w:footnoteRef/>
      </w:r>
      <w:r>
        <w:tab/>
        <w:t>http://www.welfare.ie/EN/OperationalGuidelines/Pages/habres.aspx#leg.</w:t>
      </w:r>
    </w:p>
  </w:footnote>
  <w:footnote w:id="88">
    <w:p w:rsidR="00943D21" w:rsidRDefault="00943D21" w:rsidP="007E251E">
      <w:pPr>
        <w:pStyle w:val="FootnoteText"/>
      </w:pPr>
      <w:r>
        <w:tab/>
      </w:r>
      <w:r>
        <w:rPr>
          <w:rStyle w:val="FootnoteReference"/>
        </w:rPr>
        <w:footnoteRef/>
      </w:r>
      <w:r>
        <w:tab/>
        <w:t>http://conventions.coe.int/Treaty/en/Treaties/Html/048.htm.</w:t>
      </w:r>
    </w:p>
  </w:footnote>
  <w:footnote w:id="89">
    <w:p w:rsidR="00943D21" w:rsidRDefault="00943D21" w:rsidP="007E251E">
      <w:pPr>
        <w:pStyle w:val="FootnoteText"/>
      </w:pPr>
      <w:r>
        <w:tab/>
      </w:r>
      <w:r>
        <w:rPr>
          <w:rStyle w:val="FootnoteReference"/>
        </w:rPr>
        <w:footnoteRef/>
      </w:r>
      <w:r>
        <w:tab/>
        <w:t>http://www.equality.ie/index.asp?docID=410.</w:t>
      </w:r>
    </w:p>
  </w:footnote>
  <w:footnote w:id="90">
    <w:p w:rsidR="00943D21" w:rsidRDefault="00943D21" w:rsidP="007E251E">
      <w:pPr>
        <w:pStyle w:val="FootnoteText"/>
      </w:pPr>
      <w:r>
        <w:tab/>
      </w:r>
      <w:r>
        <w:rPr>
          <w:rStyle w:val="FootnoteReference"/>
        </w:rPr>
        <w:footnoteRef/>
      </w:r>
      <w:r>
        <w:tab/>
        <w:t>http://www.cultureireland.gov.ie/.</w:t>
      </w:r>
    </w:p>
  </w:footnote>
  <w:footnote w:id="91">
    <w:p w:rsidR="00943D21" w:rsidRDefault="00943D21" w:rsidP="007E251E">
      <w:pPr>
        <w:pStyle w:val="FootnoteText"/>
      </w:pPr>
      <w:r>
        <w:tab/>
      </w:r>
      <w:r>
        <w:rPr>
          <w:rStyle w:val="FootnoteReference"/>
        </w:rPr>
        <w:footnoteRef/>
      </w:r>
      <w:r>
        <w:tab/>
        <w:t>http://www.fai.ie/index.php?option=com_content&amp;view=article&amp;id=100036&amp;Itemid=297.</w:t>
      </w:r>
    </w:p>
  </w:footnote>
  <w:footnote w:id="92">
    <w:p w:rsidR="00943D21" w:rsidRPr="006F314E" w:rsidRDefault="00943D21" w:rsidP="007E251E">
      <w:pPr>
        <w:pStyle w:val="FootnoteText"/>
        <w:rPr>
          <w:lang w:val="fr-FR"/>
        </w:rPr>
      </w:pPr>
      <w:r>
        <w:tab/>
      </w:r>
      <w:r>
        <w:rPr>
          <w:rStyle w:val="FootnoteReference"/>
        </w:rPr>
        <w:footnoteRef/>
      </w:r>
      <w:r w:rsidRPr="006F314E">
        <w:rPr>
          <w:lang w:val="fr-FR"/>
        </w:rPr>
        <w:tab/>
        <w:t>http://www.diversityireland.ie/Publications/upload/File/</w:t>
      </w:r>
      <w:r>
        <w:rPr>
          <w:lang w:val="fr-FR"/>
        </w:rPr>
        <w:br/>
      </w:r>
      <w:r w:rsidRPr="006F314E">
        <w:rPr>
          <w:lang w:val="fr-FR"/>
        </w:rPr>
        <w:t>Quality_Interpreting_Translating_Services _Government_Service_Providers.pdf.</w:t>
      </w:r>
    </w:p>
  </w:footnote>
  <w:footnote w:id="93">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http://www.nccri.ie/pdf/GovTerminology.pdf.</w:t>
      </w:r>
    </w:p>
  </w:footnote>
  <w:footnote w:id="94">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http://www.esri.ie/research/research_areas/equality/research_programme_on_equ/.</w:t>
      </w:r>
    </w:p>
  </w:footnote>
  <w:footnote w:id="95">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http://www.equality.ie/index.asp?docID=737.</w:t>
      </w:r>
    </w:p>
  </w:footnote>
  <w:footnote w:id="96">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http://www.socialinclusion.ie/publications/SocialProtraitforCommunities.html.</w:t>
      </w:r>
    </w:p>
  </w:footnote>
  <w:footnote w:id="97">
    <w:p w:rsidR="00943D21" w:rsidRPr="002F7DED" w:rsidRDefault="00943D21" w:rsidP="007E251E">
      <w:pPr>
        <w:pStyle w:val="FootnoteText"/>
        <w:rPr>
          <w:lang w:val="fr-FR"/>
        </w:rPr>
      </w:pPr>
      <w:r w:rsidRPr="006F314E">
        <w:rPr>
          <w:lang w:val="fr-FR"/>
        </w:rPr>
        <w:tab/>
      </w:r>
      <w:r>
        <w:rPr>
          <w:rStyle w:val="FootnoteReference"/>
        </w:rPr>
        <w:footnoteRef/>
      </w:r>
      <w:r w:rsidRPr="002F7DED">
        <w:rPr>
          <w:lang w:val="fr-FR"/>
        </w:rPr>
        <w:tab/>
        <w:t>http://www.esri.ie/news_events/press_releases_archive/2006/migrants_experience_of_ra_2/</w:t>
      </w:r>
      <w:r w:rsidRPr="002F7DED">
        <w:rPr>
          <w:lang w:val="fr-FR"/>
        </w:rPr>
        <w:br/>
        <w:t>index.xml.</w:t>
      </w:r>
    </w:p>
  </w:footnote>
  <w:footnote w:id="98">
    <w:p w:rsidR="00943D21" w:rsidRPr="006F314E" w:rsidRDefault="00943D21" w:rsidP="007E251E">
      <w:pPr>
        <w:pStyle w:val="FootnoteText"/>
        <w:rPr>
          <w:lang w:val="fr-FR"/>
        </w:rPr>
      </w:pPr>
      <w:r w:rsidRPr="002F7DED">
        <w:rPr>
          <w:lang w:val="fr-FR"/>
        </w:rPr>
        <w:tab/>
      </w:r>
      <w:r>
        <w:rPr>
          <w:rStyle w:val="FootnoteReference"/>
        </w:rPr>
        <w:footnoteRef/>
      </w:r>
      <w:r w:rsidRPr="006F314E">
        <w:rPr>
          <w:lang w:val="fr-FR"/>
        </w:rPr>
        <w:tab/>
        <w:t>ec.europa.eu/culture/archive/sources_info/.../final_annexes_en.pdf.</w:t>
      </w:r>
    </w:p>
  </w:footnote>
  <w:footnote w:id="99">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http://fra.europa.eu/fraWebsite/products/publications_reports/pub_eu-midis_en.htm.</w:t>
      </w:r>
    </w:p>
  </w:footnote>
  <w:footnote w:id="100">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www.integration.ie/.../Issues%20and%20challenges%20Executive%20Summary.pdf.</w:t>
      </w:r>
    </w:p>
  </w:footnote>
  <w:footnote w:id="101">
    <w:p w:rsidR="00943D21" w:rsidRPr="006F314E" w:rsidRDefault="00943D21" w:rsidP="007E251E">
      <w:pPr>
        <w:pStyle w:val="FootnoteText"/>
        <w:rPr>
          <w:lang w:val="fr-FR"/>
        </w:rPr>
      </w:pPr>
      <w:r w:rsidRPr="006F314E">
        <w:rPr>
          <w:lang w:val="fr-FR"/>
        </w:rPr>
        <w:tab/>
      </w:r>
      <w:r>
        <w:rPr>
          <w:rStyle w:val="FootnoteReference"/>
        </w:rPr>
        <w:footnoteRef/>
      </w:r>
      <w:r w:rsidRPr="006F314E">
        <w:rPr>
          <w:lang w:val="fr-FR"/>
        </w:rPr>
        <w:tab/>
        <w:t>http://www.cso.ie/newsevents/pr_equalityinireland2007.htm.</w:t>
      </w:r>
    </w:p>
  </w:footnote>
  <w:footnote w:id="102">
    <w:p w:rsidR="00943D21" w:rsidRPr="00FC78A0" w:rsidRDefault="00943D21" w:rsidP="007E251E">
      <w:pPr>
        <w:pStyle w:val="FootnoteText"/>
      </w:pPr>
      <w:r w:rsidRPr="006F314E">
        <w:rPr>
          <w:lang w:val="fr-FR"/>
        </w:rPr>
        <w:tab/>
      </w:r>
      <w:r>
        <w:rPr>
          <w:rStyle w:val="FootnoteReference"/>
        </w:rPr>
        <w:footnoteRef/>
      </w:r>
      <w:r w:rsidRPr="00FC78A0">
        <w:tab/>
        <w:t>Los nueve motivos de discriminación ilegal mencionados en la legislación</w:t>
      </w:r>
      <w:r>
        <w:t xml:space="preserve"> </w:t>
      </w:r>
      <w:r w:rsidRPr="00FC78A0">
        <w:t>sobre igualdad son: el género, el estado civil, la situaci</w:t>
      </w:r>
      <w:r>
        <w:t xml:space="preserve">ón </w:t>
      </w:r>
      <w:r w:rsidRPr="00FC78A0">
        <w:t>famil</w:t>
      </w:r>
      <w:r>
        <w:t>iar</w:t>
      </w:r>
      <w:r w:rsidRPr="00FC78A0">
        <w:t xml:space="preserve">, </w:t>
      </w:r>
      <w:r>
        <w:t>la edad</w:t>
      </w:r>
      <w:r w:rsidRPr="00FC78A0">
        <w:t xml:space="preserve">, </w:t>
      </w:r>
      <w:r>
        <w:t xml:space="preserve">la </w:t>
      </w:r>
      <w:r w:rsidRPr="00FC78A0">
        <w:t>dis</w:t>
      </w:r>
      <w:r>
        <w:t>c</w:t>
      </w:r>
      <w:r w:rsidRPr="00FC78A0">
        <w:t>a</w:t>
      </w:r>
      <w:r>
        <w:t>pacidad</w:t>
      </w:r>
      <w:r w:rsidRPr="00FC78A0">
        <w:t xml:space="preserve">, </w:t>
      </w:r>
      <w:r>
        <w:t xml:space="preserve">la </w:t>
      </w:r>
      <w:r w:rsidRPr="00FC78A0">
        <w:t>ra</w:t>
      </w:r>
      <w:r>
        <w:t>za</w:t>
      </w:r>
      <w:r w:rsidRPr="00FC78A0">
        <w:t xml:space="preserve">, </w:t>
      </w:r>
      <w:r>
        <w:t>la</w:t>
      </w:r>
      <w:r w:rsidRPr="00FC78A0">
        <w:t xml:space="preserve"> orienta</w:t>
      </w:r>
      <w:r>
        <w:t>c</w:t>
      </w:r>
      <w:r w:rsidRPr="00FC78A0">
        <w:t>i</w:t>
      </w:r>
      <w:r>
        <w:t>ó</w:t>
      </w:r>
      <w:r w:rsidRPr="00FC78A0">
        <w:t>n</w:t>
      </w:r>
      <w:r>
        <w:t xml:space="preserve"> sexual</w:t>
      </w:r>
      <w:r w:rsidRPr="00FC78A0">
        <w:t>,</w:t>
      </w:r>
      <w:r>
        <w:t xml:space="preserve"> las creencias</w:t>
      </w:r>
      <w:r w:rsidRPr="00FC78A0">
        <w:t xml:space="preserve"> religios</w:t>
      </w:r>
      <w:r>
        <w:t>as y la pertenencia a la</w:t>
      </w:r>
      <w:r w:rsidRPr="00FC78A0">
        <w:t xml:space="preserve"> comuni</w:t>
      </w:r>
      <w:r>
        <w:t>dad nómada</w:t>
      </w:r>
      <w:r w:rsidRPr="00FC78A0">
        <w:t>.</w:t>
      </w:r>
    </w:p>
  </w:footnote>
  <w:footnote w:id="103">
    <w:p w:rsidR="00943D21" w:rsidRDefault="00943D21" w:rsidP="007E251E">
      <w:pPr>
        <w:pStyle w:val="FootnoteText"/>
      </w:pPr>
      <w:r w:rsidRPr="00FC78A0">
        <w:tab/>
      </w:r>
      <w:r>
        <w:rPr>
          <w:rStyle w:val="FootnoteReference"/>
        </w:rPr>
        <w:footnoteRef/>
      </w:r>
      <w:r>
        <w:tab/>
        <w:t>http://www.education.ie/home/home.jsp?pcategory=32818&amp;ecategory=35653&amp;language=EN.</w:t>
      </w:r>
    </w:p>
  </w:footnote>
  <w:footnote w:id="104">
    <w:p w:rsidR="00943D21" w:rsidRDefault="00943D21" w:rsidP="007E251E">
      <w:pPr>
        <w:pStyle w:val="FootnoteText"/>
      </w:pPr>
      <w:r>
        <w:tab/>
      </w:r>
      <w:r>
        <w:rPr>
          <w:rStyle w:val="FootnoteReference"/>
        </w:rPr>
        <w:footnoteRef/>
      </w:r>
      <w:r>
        <w:tab/>
        <w:t>www.intercultural.ie/node/23.</w:t>
      </w:r>
    </w:p>
  </w:footnote>
  <w:footnote w:id="105">
    <w:p w:rsidR="00943D21" w:rsidRDefault="00943D21" w:rsidP="007E251E">
      <w:pPr>
        <w:pStyle w:val="FootnoteText"/>
      </w:pPr>
      <w:r>
        <w:tab/>
      </w:r>
      <w:r>
        <w:rPr>
          <w:rStyle w:val="FootnoteReference"/>
        </w:rPr>
        <w:footnoteRef/>
      </w:r>
      <w:r>
        <w:tab/>
        <w:t>www.hea.ie/files/.../National_Access_Plan_2008-2013_(English).pdf.</w:t>
      </w:r>
    </w:p>
  </w:footnote>
  <w:footnote w:id="106">
    <w:p w:rsidR="00943D21" w:rsidRDefault="00943D21" w:rsidP="007E251E">
      <w:pPr>
        <w:pStyle w:val="FootnoteText"/>
      </w:pPr>
      <w:r>
        <w:tab/>
      </w:r>
      <w:r>
        <w:rPr>
          <w:rStyle w:val="FootnoteReference"/>
        </w:rPr>
        <w:footnoteRef/>
      </w:r>
      <w:r>
        <w:tab/>
        <w:t>http://www.cultureireland.gov.ie/.</w:t>
      </w:r>
    </w:p>
  </w:footnote>
  <w:footnote w:id="107">
    <w:p w:rsidR="00943D21" w:rsidRDefault="00943D21" w:rsidP="007E251E">
      <w:pPr>
        <w:pStyle w:val="FootnoteText"/>
      </w:pPr>
      <w:r>
        <w:tab/>
      </w:r>
      <w:r>
        <w:rPr>
          <w:rStyle w:val="FootnoteReference"/>
        </w:rPr>
        <w:footnoteRef/>
      </w:r>
      <w:r>
        <w:tab/>
      </w:r>
      <w:hyperlink r:id="rId8" w:history="1">
        <w:r>
          <w:t>http://www.festivalofworldcultures.com/</w:t>
        </w:r>
      </w:hyperlink>
      <w:r>
        <w:t>.</w:t>
      </w:r>
    </w:p>
  </w:footnote>
  <w:footnote w:id="108">
    <w:p w:rsidR="00943D21" w:rsidRDefault="00943D21" w:rsidP="007E251E">
      <w:pPr>
        <w:pStyle w:val="FootnoteText"/>
      </w:pPr>
      <w:r>
        <w:tab/>
      </w:r>
      <w:r>
        <w:rPr>
          <w:rStyle w:val="FootnoteReference"/>
        </w:rPr>
        <w:footnoteRef/>
      </w:r>
      <w:r>
        <w:tab/>
        <w:t>http://ec.europa.eu/culture/portal/sites/members/irland_en.htm.</w:t>
      </w:r>
    </w:p>
  </w:footnote>
  <w:footnote w:id="109">
    <w:p w:rsidR="00943D21" w:rsidRDefault="00943D21" w:rsidP="007E251E">
      <w:pPr>
        <w:pStyle w:val="FootnoteText"/>
      </w:pPr>
      <w:r>
        <w:tab/>
      </w:r>
      <w:r>
        <w:rPr>
          <w:rStyle w:val="FootnoteReference"/>
        </w:rPr>
        <w:footnoteRef/>
      </w:r>
      <w:r>
        <w:tab/>
        <w:t>http://www.irishaid.gov.ie/whitepaper/.</w:t>
      </w:r>
    </w:p>
  </w:footnote>
  <w:footnote w:id="110">
    <w:p w:rsidR="00943D21" w:rsidRDefault="00943D21" w:rsidP="007E251E">
      <w:pPr>
        <w:pStyle w:val="FootnoteText"/>
      </w:pPr>
      <w:r>
        <w:tab/>
      </w:r>
      <w:r>
        <w:rPr>
          <w:rStyle w:val="FootnoteReference"/>
        </w:rPr>
        <w:footnoteRef/>
      </w:r>
      <w:r>
        <w:tab/>
        <w:t>http://africaday.irishaid.org/home.aspx.</w:t>
      </w:r>
    </w:p>
  </w:footnote>
  <w:footnote w:id="111">
    <w:p w:rsidR="00943D21" w:rsidRDefault="00943D21" w:rsidP="007E251E">
      <w:pPr>
        <w:pStyle w:val="FootnoteText"/>
      </w:pPr>
      <w:r>
        <w:tab/>
      </w:r>
      <w:r>
        <w:rPr>
          <w:rStyle w:val="FootnoteReference"/>
        </w:rPr>
        <w:footnoteRef/>
      </w:r>
      <w:r>
        <w:tab/>
        <w:t>http://www.acels.ie/.</w:t>
      </w:r>
    </w:p>
  </w:footnote>
  <w:footnote w:id="112">
    <w:p w:rsidR="00943D21" w:rsidRDefault="00943D21" w:rsidP="007E251E">
      <w:pPr>
        <w:pStyle w:val="FootnoteText"/>
      </w:pPr>
      <w:r>
        <w:tab/>
      </w:r>
      <w:r>
        <w:rPr>
          <w:rStyle w:val="FootnoteReference"/>
        </w:rPr>
        <w:footnoteRef/>
      </w:r>
      <w:r>
        <w:tab/>
        <w:t>http://eurlex.europa.eu/LexUriServ/LexUriServ.do?uri=CELEX:32007L0065:EN:NOT.</w:t>
      </w:r>
    </w:p>
  </w:footnote>
  <w:footnote w:id="113">
    <w:p w:rsidR="00943D21" w:rsidRDefault="00943D21" w:rsidP="007E251E">
      <w:pPr>
        <w:pStyle w:val="FootnoteText"/>
      </w:pPr>
      <w:r>
        <w:tab/>
      </w:r>
      <w:r>
        <w:rPr>
          <w:rStyle w:val="FootnoteReference"/>
        </w:rPr>
        <w:footnoteRef/>
      </w:r>
      <w:r>
        <w:tab/>
        <w:t>http://www.mamaawards.com/.</w:t>
      </w:r>
    </w:p>
  </w:footnote>
  <w:footnote w:id="114">
    <w:p w:rsidR="00943D21" w:rsidRDefault="00943D21" w:rsidP="007E251E">
      <w:pPr>
        <w:pStyle w:val="FootnoteText"/>
      </w:pPr>
      <w:r>
        <w:tab/>
      </w:r>
      <w:r>
        <w:rPr>
          <w:rStyle w:val="FootnoteReference"/>
        </w:rPr>
        <w:footnoteRef/>
      </w:r>
      <w:r>
        <w:tab/>
        <w:t>http://www.integration.ie/website/omi/omiwebv6.nsf/page/B9FDAC8BBEC669B980257576003</w:t>
      </w:r>
      <w:r>
        <w:br/>
        <w:t>EA33C.</w:t>
      </w:r>
    </w:p>
  </w:footnote>
  <w:footnote w:id="115">
    <w:p w:rsidR="00943D21" w:rsidRPr="00B271A6" w:rsidRDefault="00943D21" w:rsidP="007E251E">
      <w:pPr>
        <w:pStyle w:val="FootnoteText"/>
      </w:pPr>
      <w:r>
        <w:tab/>
      </w:r>
      <w:r>
        <w:rPr>
          <w:rStyle w:val="FootnoteReference"/>
        </w:rPr>
        <w:footnoteRef/>
      </w:r>
      <w:r w:rsidRPr="004A4E32">
        <w:tab/>
        <w:t xml:space="preserve">Sin embargo, no es así. </w:t>
      </w:r>
      <w:r w:rsidRPr="00B271A6">
        <w:t>Si bien el Ministro de Integración carece de responsabilidad en relación con los n</w:t>
      </w:r>
      <w:r>
        <w:t>ómadas,</w:t>
      </w:r>
      <w:r w:rsidRPr="00B271A6">
        <w:t xml:space="preserve"> </w:t>
      </w:r>
      <w:r>
        <w:t>la</w:t>
      </w:r>
      <w:r w:rsidRPr="00B271A6">
        <w:t xml:space="preserve"> Ofic</w:t>
      </w:r>
      <w:r>
        <w:t>ina es el centro de coordinación nacional de las medidas antirracistas y otras disposiciones conexas</w:t>
      </w:r>
      <w:r w:rsidRPr="00B271A6">
        <w:t xml:space="preserve">. </w:t>
      </w:r>
      <w:r>
        <w:t>La actividad de la</w:t>
      </w:r>
      <w:r w:rsidRPr="00B271A6">
        <w:t xml:space="preserve"> Oficina en materia de antirracismo</w:t>
      </w:r>
      <w:r>
        <w:t xml:space="preserve"> incluye a los nómadas</w:t>
      </w:r>
      <w:r w:rsidRPr="00B271A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A24C7E" w:rsidRDefault="00943D21" w:rsidP="000100D5">
    <w:pPr>
      <w:pStyle w:val="Header"/>
    </w:pPr>
    <w:r w:rsidRPr="00A24C7E">
      <w:t>CERD/C/IRL/3-4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A24C7E" w:rsidRDefault="00943D21" w:rsidP="000100D5">
    <w:pPr>
      <w:pStyle w:val="Header"/>
      <w:jc w:val="right"/>
    </w:pPr>
    <w:r w:rsidRPr="00A24C7E">
      <w:t>CERD/C/IRL/3-4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0C58B9" w:rsidRDefault="00943D21" w:rsidP="000100D5">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2" type="#_x0000_t202" style="position:absolute;margin-left:83.3pt;margin-top:56.65pt;width:17.55pt;height:481.9pt;z-index:3;mso-position-horizontal-relative:page;mso-position-vertical-relative:page" stroked="f">
          <v:textbox style="layout-flow:vertical;mso-next-textbox:#_x0000_s2052" inset="0,0,0,0">
            <w:txbxContent>
              <w:p w:rsidR="00943D21" w:rsidRPr="00A24C7E" w:rsidRDefault="00943D21" w:rsidP="000100D5">
                <w:pPr>
                  <w:pStyle w:val="Footer"/>
                  <w:tabs>
                    <w:tab w:val="right" w:pos="9598"/>
                  </w:tabs>
                </w:pPr>
                <w:r w:rsidRPr="00A24C7E">
                  <w:rPr>
                    <w:b/>
                    <w:sz w:val="18"/>
                  </w:rPr>
                  <w:fldChar w:fldCharType="begin"/>
                </w:r>
                <w:r w:rsidRPr="00A24C7E">
                  <w:rPr>
                    <w:b/>
                    <w:sz w:val="18"/>
                  </w:rPr>
                  <w:instrText xml:space="preserve"> PAGE  \* MERGEFORMAT </w:instrText>
                </w:r>
                <w:r w:rsidRPr="00A24C7E">
                  <w:rPr>
                    <w:b/>
                    <w:sz w:val="18"/>
                  </w:rPr>
                  <w:fldChar w:fldCharType="separate"/>
                </w:r>
                <w:r>
                  <w:rPr>
                    <w:b/>
                    <w:noProof/>
                    <w:sz w:val="18"/>
                  </w:rPr>
                  <w:t>26</w:t>
                </w:r>
                <w:r w:rsidRPr="00A24C7E">
                  <w:rPr>
                    <w:b/>
                    <w:sz w:val="18"/>
                  </w:rPr>
                  <w:fldChar w:fldCharType="end"/>
                </w:r>
                <w:r>
                  <w:rPr>
                    <w:sz w:val="18"/>
                  </w:rPr>
                  <w:tab/>
                </w:r>
                <w:r>
                  <w:t>GE.10-45746</w:t>
                </w:r>
              </w:p>
              <w:p w:rsidR="00943D21" w:rsidRDefault="00943D21"/>
            </w:txbxContent>
          </v:textbox>
          <w10:anchorlock/>
        </v:shape>
      </w:pict>
    </w:r>
    <w:r>
      <w:rPr>
        <w:noProof/>
        <w:lang w:val="en-US"/>
      </w:rPr>
      <w:pict>
        <v:shape id="_x0000_s2051" type="#_x0000_t202" style="position:absolute;margin-left:771pt;margin-top:56.65pt;width:17.55pt;height:481.9pt;z-index:2;mso-position-horizontal-relative:page;mso-position-vertical-relative:page" stroked="f">
          <v:textbox style="layout-flow:vertical;mso-next-textbox:#_x0000_s2051" inset="0,0,0,0">
            <w:txbxContent>
              <w:p w:rsidR="00943D21" w:rsidRPr="00A24C7E" w:rsidRDefault="00943D21" w:rsidP="000100D5">
                <w:pPr>
                  <w:pStyle w:val="Header"/>
                </w:pPr>
                <w:r w:rsidRPr="00A24C7E">
                  <w:t>CERD/C/IRL/3-4</w:t>
                </w:r>
              </w:p>
              <w:p w:rsidR="00943D21" w:rsidRDefault="00943D21"/>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0C58B9" w:rsidRDefault="00943D21" w:rsidP="009D57D4">
    <w:pPr>
      <w:pStyle w:val="Header"/>
      <w:pBdr>
        <w:bottom w:val="none" w:sz="0" w:space="0" w:color="auto"/>
      </w:pBdr>
      <w:jc w:val="right"/>
    </w:pPr>
    <w:r>
      <w:rPr>
        <w:noProof/>
        <w:lang w:val="es-ES_tradnl" w:eastAsia="es-ES_tradnl"/>
      </w:rPr>
      <w:pict>
        <v:shapetype id="_x0000_t202" coordsize="21600,21600" o:spt="202" path="m,l,21600r21600,l21600,xe">
          <v:stroke joinstyle="miter"/>
          <v:path gradientshapeok="t" o:connecttype="rect"/>
        </v:shapetype>
        <v:shape id="_x0000_s2059" type="#_x0000_t202" style="position:absolute;left:0;text-align:left;margin-left:83.35pt;margin-top:56.7pt;width:17.55pt;height:481.9pt;z-index:8;mso-position-horizontal-relative:page;mso-position-vertical-relative:page" stroked="f">
          <v:textbox style="layout-flow:vertical" inset="0,0,0,0">
            <w:txbxContent>
              <w:p w:rsidR="00943D21" w:rsidRPr="00A24C7E" w:rsidRDefault="00943D21" w:rsidP="008224C7">
                <w:pPr>
                  <w:pStyle w:val="Footer"/>
                  <w:tabs>
                    <w:tab w:val="right" w:pos="9598"/>
                  </w:tabs>
                </w:pPr>
                <w:r>
                  <w:t>GE.10-45749 (EXT)</w:t>
                </w:r>
                <w:r>
                  <w:rPr>
                    <w:sz w:val="18"/>
                  </w:rPr>
                  <w:tab/>
                </w:r>
                <w:r w:rsidRPr="00A24C7E">
                  <w:rPr>
                    <w:b/>
                    <w:sz w:val="18"/>
                  </w:rPr>
                  <w:fldChar w:fldCharType="begin"/>
                </w:r>
                <w:r w:rsidRPr="00A24C7E">
                  <w:rPr>
                    <w:b/>
                    <w:sz w:val="18"/>
                  </w:rPr>
                  <w:instrText xml:space="preserve"> PAGE  \* MERGEFORMAT </w:instrText>
                </w:r>
                <w:r w:rsidRPr="00A24C7E">
                  <w:rPr>
                    <w:b/>
                    <w:sz w:val="18"/>
                  </w:rPr>
                  <w:fldChar w:fldCharType="separate"/>
                </w:r>
                <w:r w:rsidR="00E336FD">
                  <w:rPr>
                    <w:b/>
                    <w:noProof/>
                    <w:sz w:val="18"/>
                  </w:rPr>
                  <w:t>25</w:t>
                </w:r>
                <w:r w:rsidRPr="00A24C7E">
                  <w:rPr>
                    <w:b/>
                    <w:sz w:val="18"/>
                  </w:rPr>
                  <w:fldChar w:fldCharType="end"/>
                </w:r>
              </w:p>
              <w:p w:rsidR="00943D21" w:rsidRPr="00A24C7E" w:rsidRDefault="00943D21" w:rsidP="008224C7">
                <w:pPr>
                  <w:pStyle w:val="Footer"/>
                  <w:tabs>
                    <w:tab w:val="right" w:pos="9598"/>
                  </w:tabs>
                </w:pPr>
              </w:p>
              <w:p w:rsidR="00943D21" w:rsidRDefault="00943D21" w:rsidP="008224C7"/>
            </w:txbxContent>
          </v:textbox>
          <w10:anchorlock/>
        </v:shape>
      </w:pict>
    </w:r>
    <w:r>
      <w:rPr>
        <w:noProof/>
        <w:lang w:val="en-US"/>
      </w:rPr>
      <w:pict>
        <v:shape id="_x0000_s2053" type="#_x0000_t202" style="position:absolute;left:0;text-align:left;margin-left:768.15pt;margin-top:56.65pt;width:17.55pt;height:481.9pt;z-index:4;mso-position-horizontal-relative:page;mso-position-vertical-relative:page" stroked="f">
          <v:textbox style="layout-flow:vertical;mso-next-textbox:#_x0000_s2053" inset="0,0,0,0">
            <w:txbxContent>
              <w:p w:rsidR="00943D21" w:rsidRPr="00A24C7E" w:rsidRDefault="00943D21" w:rsidP="000100D5">
                <w:pPr>
                  <w:pStyle w:val="Header"/>
                  <w:jc w:val="right"/>
                </w:pPr>
                <w:r w:rsidRPr="00A24C7E">
                  <w:t>CERD/C/IRL/3-4</w:t>
                </w:r>
              </w:p>
              <w:p w:rsidR="00943D21" w:rsidRDefault="00943D21"/>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0C58B9" w:rsidRDefault="00943D21" w:rsidP="00B97132">
    <w:pPr>
      <w:pStyle w:val="Header"/>
    </w:pPr>
    <w:r w:rsidRPr="00A24C7E">
      <w:t>CERD/C/IRL/3-4</w:t>
    </w:r>
    <w:r>
      <w:rPr>
        <w:noProof/>
        <w:lang w:val="en-US"/>
      </w:rPr>
      <w:pict>
        <v:shapetype id="_x0000_t202" coordsize="21600,21600" o:spt="202" path="m,l,21600r21600,l21600,xe">
          <v:stroke joinstyle="miter"/>
          <v:path gradientshapeok="t" o:connecttype="rect"/>
        </v:shapetype>
        <v:shape id="_x0000_s2056" type="#_x0000_t202" style="position:absolute;margin-left:771pt;margin-top:56.65pt;width:17.55pt;height:481.9pt;z-index:6;mso-position-horizontal-relative:page;mso-position-vertical-relative:page" stroked="f">
          <v:textbox style="layout-flow:vertical;mso-next-textbox:#_x0000_s2056" inset="0,0,0,0">
            <w:txbxContent>
              <w:p w:rsidR="00943D21" w:rsidRPr="00A24C7E" w:rsidRDefault="00943D21" w:rsidP="000100D5">
                <w:pPr>
                  <w:pStyle w:val="Header"/>
                </w:pPr>
                <w:r w:rsidRPr="00A24C7E">
                  <w:t>CERD/C/IRL/3-4</w:t>
                </w:r>
              </w:p>
              <w:p w:rsidR="00943D21" w:rsidRDefault="00943D21"/>
            </w:txbxContent>
          </v:textbox>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Pr="000C58B9" w:rsidRDefault="00943D21" w:rsidP="00B97132">
    <w:pPr>
      <w:pStyle w:val="Header"/>
      <w:jc w:val="right"/>
    </w:pPr>
    <w:r w:rsidRPr="00A24C7E">
      <w:t>CERD/C/IRL/3-4</w:t>
    </w:r>
    <w:r>
      <w:rPr>
        <w:noProof/>
        <w:lang w:val="en-US"/>
      </w:rPr>
      <w:pict>
        <v:shapetype id="_x0000_t202" coordsize="21600,21600" o:spt="202" path="m,l,21600r21600,l21600,xe">
          <v:stroke joinstyle="miter"/>
          <v:path gradientshapeok="t" o:connecttype="rect"/>
        </v:shapetype>
        <v:shape id="_x0000_s2058" type="#_x0000_t202" style="position:absolute;left:0;text-align:left;margin-left:768.15pt;margin-top:56.65pt;width:17.55pt;height:481.9pt;z-index:7;mso-position-horizontal-relative:page;mso-position-vertical-relative:page" stroked="f">
          <v:textbox style="layout-flow:vertical;mso-next-textbox:#_x0000_s2058" inset="0,0,0,0">
            <w:txbxContent>
              <w:p w:rsidR="00943D21" w:rsidRPr="00A24C7E" w:rsidRDefault="00943D21" w:rsidP="000100D5">
                <w:pPr>
                  <w:pStyle w:val="Header"/>
                  <w:jc w:val="right"/>
                </w:pPr>
                <w:r w:rsidRPr="00A24C7E">
                  <w:t>CERD/C/IRL/3-4</w:t>
                </w:r>
              </w:p>
              <w:p w:rsidR="00943D21" w:rsidRDefault="00943D21"/>
            </w:txbxContent>
          </v:textbox>
          <w10:anchorlock/>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D21" w:rsidRDefault="00943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4B4437"/>
    <w:multiLevelType w:val="multilevel"/>
    <w:tmpl w:val="1809001D"/>
    <w:styleLink w:val="Style1"/>
    <w:lvl w:ilvl="0">
      <w:start w:val="5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7743B"/>
    <w:multiLevelType w:val="hybridMultilevel"/>
    <w:tmpl w:val="165289D8"/>
    <w:lvl w:ilvl="0" w:tplc="FFFFFFFF">
      <w:start w:val="1"/>
      <w:numFmt w:val="bullet"/>
      <w:pStyle w:val="Bullet2G"/>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CD45CF5"/>
    <w:multiLevelType w:val="multilevel"/>
    <w:tmpl w:val="1809001D"/>
    <w:lvl w:ilvl="0">
      <w:start w:val="5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BD24A14"/>
    <w:multiLevelType w:val="hybridMultilevel"/>
    <w:tmpl w:val="803C23B6"/>
    <w:lvl w:ilvl="0" w:tplc="6694A506">
      <w:start w:val="1"/>
      <w:numFmt w:val="decimal"/>
      <w:lvlText w:val="[%1]."/>
      <w:lvlJc w:val="left"/>
      <w:pPr>
        <w:tabs>
          <w:tab w:val="num" w:pos="2471"/>
        </w:tabs>
        <w:ind w:left="2471" w:hanging="851"/>
      </w:pPr>
    </w:lvl>
    <w:lvl w:ilvl="1" w:tplc="4E80FE94">
      <w:start w:val="1"/>
      <w:numFmt w:val="lowerLetter"/>
      <w:lvlText w:val="%2."/>
      <w:lvlJc w:val="left"/>
      <w:pPr>
        <w:tabs>
          <w:tab w:val="num" w:pos="1440"/>
        </w:tabs>
        <w:ind w:left="1440" w:hanging="360"/>
      </w:pPr>
    </w:lvl>
    <w:lvl w:ilvl="2" w:tplc="04070005">
      <w:start w:val="1"/>
      <w:numFmt w:val="lowerRoman"/>
      <w:lvlText w:val="%3."/>
      <w:lvlJc w:val="right"/>
      <w:pPr>
        <w:tabs>
          <w:tab w:val="num" w:pos="2160"/>
        </w:tabs>
        <w:ind w:left="2160" w:hanging="18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FFFFFFFF">
      <w:start w:val="1"/>
      <w:numFmt w:val="bullet"/>
      <w:pStyle w:val="Bullet1G"/>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675B15"/>
    <w:multiLevelType w:val="hybridMultilevel"/>
    <w:tmpl w:val="F216CAF2"/>
    <w:lvl w:ilvl="0" w:tplc="151AF210">
      <w:start w:val="1"/>
      <w:numFmt w:val="upperLetter"/>
      <w:lvlText w:val="%1."/>
      <w:lvlJc w:val="left"/>
      <w:pPr>
        <w:tabs>
          <w:tab w:val="num" w:pos="1560"/>
        </w:tabs>
        <w:ind w:left="1560" w:hanging="42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18">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8"/>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2"/>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0D5"/>
    <w:rsid w:val="00006BB9"/>
    <w:rsid w:val="000100D5"/>
    <w:rsid w:val="000107A1"/>
    <w:rsid w:val="0002339D"/>
    <w:rsid w:val="00036733"/>
    <w:rsid w:val="000512CD"/>
    <w:rsid w:val="00065F71"/>
    <w:rsid w:val="00067DCF"/>
    <w:rsid w:val="000A755B"/>
    <w:rsid w:val="000B3925"/>
    <w:rsid w:val="000B57E7"/>
    <w:rsid w:val="000F09DF"/>
    <w:rsid w:val="000F61B2"/>
    <w:rsid w:val="001075E9"/>
    <w:rsid w:val="00145F2F"/>
    <w:rsid w:val="00160FF7"/>
    <w:rsid w:val="00180183"/>
    <w:rsid w:val="00196389"/>
    <w:rsid w:val="00197004"/>
    <w:rsid w:val="001A688E"/>
    <w:rsid w:val="001B2F24"/>
    <w:rsid w:val="001C7A89"/>
    <w:rsid w:val="001D101C"/>
    <w:rsid w:val="001F5C61"/>
    <w:rsid w:val="00201F1A"/>
    <w:rsid w:val="00233171"/>
    <w:rsid w:val="00237030"/>
    <w:rsid w:val="002433EC"/>
    <w:rsid w:val="0025226E"/>
    <w:rsid w:val="002A2EFC"/>
    <w:rsid w:val="002C0E18"/>
    <w:rsid w:val="002C33BB"/>
    <w:rsid w:val="002D5AAC"/>
    <w:rsid w:val="002F7DED"/>
    <w:rsid w:val="00301299"/>
    <w:rsid w:val="00322004"/>
    <w:rsid w:val="003402C2"/>
    <w:rsid w:val="00353427"/>
    <w:rsid w:val="00355D3C"/>
    <w:rsid w:val="00381C24"/>
    <w:rsid w:val="003958D0"/>
    <w:rsid w:val="004031F0"/>
    <w:rsid w:val="0043719E"/>
    <w:rsid w:val="00454E07"/>
    <w:rsid w:val="00457AB8"/>
    <w:rsid w:val="00466CA0"/>
    <w:rsid w:val="00471CB3"/>
    <w:rsid w:val="004D369F"/>
    <w:rsid w:val="004E51E3"/>
    <w:rsid w:val="005007D6"/>
    <w:rsid w:val="0050108D"/>
    <w:rsid w:val="00572E19"/>
    <w:rsid w:val="005928C5"/>
    <w:rsid w:val="00593DE9"/>
    <w:rsid w:val="005C4174"/>
    <w:rsid w:val="005E4658"/>
    <w:rsid w:val="005F0B42"/>
    <w:rsid w:val="00634841"/>
    <w:rsid w:val="00655A21"/>
    <w:rsid w:val="00656EE4"/>
    <w:rsid w:val="006725B3"/>
    <w:rsid w:val="00674A37"/>
    <w:rsid w:val="006808A9"/>
    <w:rsid w:val="006A5B2D"/>
    <w:rsid w:val="006B7AB5"/>
    <w:rsid w:val="006F314E"/>
    <w:rsid w:val="006F35EE"/>
    <w:rsid w:val="007021FF"/>
    <w:rsid w:val="007076CB"/>
    <w:rsid w:val="0074232F"/>
    <w:rsid w:val="00780DFE"/>
    <w:rsid w:val="007967DF"/>
    <w:rsid w:val="007E251E"/>
    <w:rsid w:val="008224C7"/>
    <w:rsid w:val="00831244"/>
    <w:rsid w:val="00834B71"/>
    <w:rsid w:val="0086445C"/>
    <w:rsid w:val="00865FAC"/>
    <w:rsid w:val="008728CD"/>
    <w:rsid w:val="008839F8"/>
    <w:rsid w:val="00890D81"/>
    <w:rsid w:val="008A08D7"/>
    <w:rsid w:val="008A13F9"/>
    <w:rsid w:val="008B24B7"/>
    <w:rsid w:val="008B3ABA"/>
    <w:rsid w:val="008C0F65"/>
    <w:rsid w:val="008E4BAE"/>
    <w:rsid w:val="008E6BB6"/>
    <w:rsid w:val="00906890"/>
    <w:rsid w:val="00914DB6"/>
    <w:rsid w:val="00943D21"/>
    <w:rsid w:val="00951972"/>
    <w:rsid w:val="00954E65"/>
    <w:rsid w:val="009B7B87"/>
    <w:rsid w:val="009D57D4"/>
    <w:rsid w:val="009E3FA8"/>
    <w:rsid w:val="00A01A17"/>
    <w:rsid w:val="00A17DFD"/>
    <w:rsid w:val="00A34DEB"/>
    <w:rsid w:val="00A4674B"/>
    <w:rsid w:val="00A71E58"/>
    <w:rsid w:val="00A917B3"/>
    <w:rsid w:val="00AB4B51"/>
    <w:rsid w:val="00AF55B9"/>
    <w:rsid w:val="00B10CC7"/>
    <w:rsid w:val="00B62458"/>
    <w:rsid w:val="00B64FA5"/>
    <w:rsid w:val="00B75D17"/>
    <w:rsid w:val="00B97132"/>
    <w:rsid w:val="00BB36EA"/>
    <w:rsid w:val="00BD33EE"/>
    <w:rsid w:val="00BD5346"/>
    <w:rsid w:val="00BE2508"/>
    <w:rsid w:val="00C60F0C"/>
    <w:rsid w:val="00C63C2A"/>
    <w:rsid w:val="00C67360"/>
    <w:rsid w:val="00C71011"/>
    <w:rsid w:val="00C805C9"/>
    <w:rsid w:val="00CA1679"/>
    <w:rsid w:val="00D05347"/>
    <w:rsid w:val="00D470F9"/>
    <w:rsid w:val="00D90138"/>
    <w:rsid w:val="00DC5C74"/>
    <w:rsid w:val="00DD0508"/>
    <w:rsid w:val="00DD3CCD"/>
    <w:rsid w:val="00E03EF2"/>
    <w:rsid w:val="00E336FD"/>
    <w:rsid w:val="00E73F76"/>
    <w:rsid w:val="00EA31D8"/>
    <w:rsid w:val="00EA5579"/>
    <w:rsid w:val="00EB65BA"/>
    <w:rsid w:val="00EF1360"/>
    <w:rsid w:val="00EF3220"/>
    <w:rsid w:val="00EF7198"/>
    <w:rsid w:val="00F41883"/>
    <w:rsid w:val="00F5385B"/>
    <w:rsid w:val="00F80E33"/>
    <w:rsid w:val="00F87083"/>
    <w:rsid w:val="00F87AE7"/>
    <w:rsid w:val="00F94155"/>
    <w:rsid w:val="00F977E4"/>
    <w:rsid w:val="00FA2B9E"/>
    <w:rsid w:val="00FB2F9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link w:val="Heading3Char"/>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Footnote Refernece"/>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ParaNoG">
    <w:name w:val="_ParaNo._G"/>
    <w:basedOn w:val="SingleTxtG"/>
    <w:rsid w:val="000100D5"/>
    <w:pPr>
      <w:suppressAutoHyphens/>
    </w:pPr>
    <w:rPr>
      <w:lang w:val="en-GB" w:eastAsia="en-US"/>
    </w:rPr>
  </w:style>
  <w:style w:type="character" w:styleId="CommentReference">
    <w:name w:val="annotation reference"/>
    <w:semiHidden/>
    <w:rsid w:val="000100D5"/>
    <w:rPr>
      <w:sz w:val="6"/>
    </w:rPr>
  </w:style>
  <w:style w:type="paragraph" w:customStyle="1" w:styleId="H1G">
    <w:name w:val="_ H_1_G"/>
    <w:basedOn w:val="Normal"/>
    <w:next w:val="Normal"/>
    <w:link w:val="H1GChar"/>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Geneva 9,Font: Geneva 9,Boston 10,f,single space,footnote text,FOOTNOTES,fn,ADB,ft,Footnote Text Char1,Footnote Text Char Char,Footnote Text Char1 Char Char,Footnote Text Char Char Char Char,Footnote Text Char"/>
    <w:basedOn w:val="Normal"/>
    <w:link w:val="FootnoteTextChar2"/>
    <w:autoRedefine/>
    <w:rsid w:val="007E251E"/>
    <w:pPr>
      <w:tabs>
        <w:tab w:val="right" w:pos="1021"/>
      </w:tabs>
      <w:spacing w:after="60" w:line="220" w:lineRule="exact"/>
      <w:ind w:left="1134" w:right="1134" w:hanging="1134"/>
    </w:pPr>
    <w:rPr>
      <w:sz w:val="18"/>
    </w:rPr>
  </w:style>
  <w:style w:type="table" w:styleId="TableGrid">
    <w:name w:val="Table Grid"/>
    <w:basedOn w:val="TableNormal"/>
    <w:semiHidden/>
    <w:rsid w:val="008E6BB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8E6BB6"/>
    <w:rPr>
      <w:color w:val="auto"/>
      <w:u w:val="none"/>
    </w:rPr>
  </w:style>
  <w:style w:type="character" w:styleId="FollowedHyperlink">
    <w:name w:val="FollowedHyperlink"/>
    <w:semiHidden/>
    <w:rsid w:val="008E6BB6"/>
    <w:rPr>
      <w:color w:val="auto"/>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paragraph" w:styleId="CommentText">
    <w:name w:val="annotation text"/>
    <w:basedOn w:val="Normal"/>
    <w:semiHidden/>
    <w:rsid w:val="000100D5"/>
    <w:pPr>
      <w:suppressAutoHyphens/>
    </w:pPr>
    <w:rPr>
      <w:lang w:val="en-GB" w:eastAsia="en-US"/>
    </w:rPr>
  </w:style>
  <w:style w:type="character" w:customStyle="1" w:styleId="FootnoteTextChar2">
    <w:name w:val="Footnote Text Char2"/>
    <w:aliases w:val="5_G Char,Geneva 9 Char,Font: Geneva 9 Char,Boston 10 Char,f Char,single space Char,footnote text Char,FOOTNOTES Char,fn Char,ADB Char,ft Char,Footnote Text Char1 Char,Footnote Text Char Char Char,Footnote Text Char1 Char Char Char"/>
    <w:link w:val="FootnoteText"/>
    <w:semiHidden/>
    <w:rsid w:val="007E251E"/>
    <w:rPr>
      <w:sz w:val="18"/>
      <w:lang w:val="es-ES" w:eastAsia="es-ES" w:bidi="ar-SA"/>
    </w:rPr>
  </w:style>
  <w:style w:type="character" w:customStyle="1" w:styleId="Heading3Char">
    <w:name w:val="Heading 3 Char"/>
    <w:link w:val="Heading3"/>
    <w:rsid w:val="000100D5"/>
    <w:rPr>
      <w:rFonts w:ascii="Arial" w:hAnsi="Arial" w:cs="Arial"/>
      <w:b/>
      <w:bCs/>
      <w:sz w:val="26"/>
      <w:szCs w:val="26"/>
      <w:lang w:val="es-ES" w:eastAsia="es-ES" w:bidi="ar-SA"/>
    </w:rPr>
  </w:style>
  <w:style w:type="paragraph" w:customStyle="1" w:styleId="CharChar">
    <w:name w:val="Char Char"/>
    <w:basedOn w:val="Normal"/>
    <w:semiHidden/>
    <w:rsid w:val="000100D5"/>
    <w:pPr>
      <w:spacing w:after="160" w:line="240" w:lineRule="exact"/>
    </w:pPr>
    <w:rPr>
      <w:rFonts w:ascii="Tahoma" w:hAnsi="Tahoma"/>
      <w:lang w:val="en-GB" w:eastAsia="en-US"/>
    </w:rPr>
  </w:style>
  <w:style w:type="paragraph" w:styleId="BalloonText">
    <w:name w:val="Balloon Text"/>
    <w:basedOn w:val="Normal"/>
    <w:semiHidden/>
    <w:rsid w:val="000100D5"/>
    <w:pPr>
      <w:spacing w:line="240" w:lineRule="auto"/>
    </w:pPr>
    <w:rPr>
      <w:rFonts w:ascii="Tahoma" w:hAnsi="Tahoma" w:cs="Tahoma"/>
      <w:sz w:val="16"/>
      <w:szCs w:val="16"/>
      <w:lang w:val="en-IE" w:eastAsia="en-IE"/>
    </w:rPr>
  </w:style>
  <w:style w:type="paragraph" w:customStyle="1" w:styleId="NormalWeb1">
    <w:name w:val="Normal (Web)1"/>
    <w:basedOn w:val="Normal"/>
    <w:semiHidden/>
    <w:rsid w:val="000100D5"/>
    <w:pPr>
      <w:shd w:val="clear" w:color="auto" w:fill="FFFFFF"/>
      <w:spacing w:before="100" w:beforeAutospacing="1" w:after="100" w:afterAutospacing="1" w:line="240" w:lineRule="auto"/>
    </w:pPr>
    <w:rPr>
      <w:rFonts w:ascii="Verdana" w:hAnsi="Verdana"/>
      <w:color w:val="000000"/>
      <w:sz w:val="24"/>
      <w:szCs w:val="24"/>
      <w:lang w:val="en-IE" w:eastAsia="en-IE"/>
    </w:rPr>
  </w:style>
  <w:style w:type="character" w:customStyle="1" w:styleId="Num-DocParagraphChar">
    <w:name w:val="Num-Doc Paragraph Char"/>
    <w:link w:val="Num-DocParagraph"/>
    <w:rsid w:val="000100D5"/>
    <w:rPr>
      <w:rFonts w:eastAsia="MS Mincho"/>
      <w:sz w:val="22"/>
      <w:szCs w:val="22"/>
      <w:lang w:val="en-GB" w:eastAsia="zh-CN" w:bidi="ar-SA"/>
    </w:rPr>
  </w:style>
  <w:style w:type="paragraph" w:customStyle="1" w:styleId="Num-DocParagraph">
    <w:name w:val="Num-Doc Paragraph"/>
    <w:basedOn w:val="BodyText"/>
    <w:link w:val="Num-DocParagraphChar"/>
    <w:semiHidden/>
    <w:rsid w:val="000100D5"/>
    <w:pPr>
      <w:tabs>
        <w:tab w:val="left" w:pos="850"/>
        <w:tab w:val="left" w:pos="1191"/>
        <w:tab w:val="left" w:pos="1531"/>
      </w:tabs>
      <w:spacing w:line="240" w:lineRule="auto"/>
      <w:jc w:val="both"/>
    </w:pPr>
    <w:rPr>
      <w:rFonts w:eastAsia="MS Mincho"/>
      <w:sz w:val="22"/>
      <w:szCs w:val="22"/>
      <w:lang w:val="en-GB" w:eastAsia="zh-CN"/>
    </w:rPr>
  </w:style>
  <w:style w:type="character" w:customStyle="1" w:styleId="highlightedsearchterm">
    <w:name w:val="highlightedsearchterm"/>
    <w:basedOn w:val="DefaultParagraphFont"/>
    <w:semiHidden/>
    <w:rsid w:val="000100D5"/>
  </w:style>
  <w:style w:type="character" w:customStyle="1" w:styleId="a1">
    <w:name w:val="a1"/>
    <w:semiHidden/>
    <w:rsid w:val="000100D5"/>
    <w:rPr>
      <w:color w:val="008000"/>
      <w:sz w:val="20"/>
      <w:szCs w:val="20"/>
    </w:rPr>
  </w:style>
  <w:style w:type="numbering" w:customStyle="1" w:styleId="Style1">
    <w:name w:val="Style1"/>
    <w:semiHidden/>
    <w:rsid w:val="000100D5"/>
    <w:pPr>
      <w:numPr>
        <w:numId w:val="16"/>
      </w:numPr>
    </w:pPr>
  </w:style>
  <w:style w:type="paragraph" w:styleId="ListParagraph">
    <w:name w:val="List Paragraph"/>
    <w:basedOn w:val="Normal"/>
    <w:qFormat/>
    <w:rsid w:val="000100D5"/>
    <w:pPr>
      <w:spacing w:line="240" w:lineRule="auto"/>
      <w:ind w:left="720"/>
    </w:pPr>
    <w:rPr>
      <w:sz w:val="24"/>
      <w:szCs w:val="24"/>
      <w:lang w:val="en-IE" w:eastAsia="en-IE"/>
    </w:rPr>
  </w:style>
  <w:style w:type="paragraph" w:styleId="CommentSubject">
    <w:name w:val="annotation subject"/>
    <w:basedOn w:val="CommentText"/>
    <w:next w:val="CommentText"/>
    <w:semiHidden/>
    <w:rsid w:val="000100D5"/>
    <w:pPr>
      <w:suppressAutoHyphens w:val="0"/>
      <w:spacing w:line="240" w:lineRule="auto"/>
    </w:pPr>
    <w:rPr>
      <w:b/>
      <w:bCs/>
      <w:lang w:val="en-IE" w:eastAsia="en-IE"/>
    </w:rPr>
  </w:style>
  <w:style w:type="character" w:customStyle="1" w:styleId="H23GChar">
    <w:name w:val="_ H_2/3_G Char"/>
    <w:link w:val="H23G"/>
    <w:rsid w:val="000100D5"/>
    <w:rPr>
      <w:b/>
      <w:lang w:val="es-ES" w:eastAsia="es-ES" w:bidi="ar-SA"/>
    </w:rPr>
  </w:style>
  <w:style w:type="character" w:customStyle="1" w:styleId="H4GChar">
    <w:name w:val="_ H_4_G Char"/>
    <w:link w:val="H4G"/>
    <w:rsid w:val="000100D5"/>
    <w:rPr>
      <w:i/>
      <w:lang w:val="es-ES" w:eastAsia="es-ES" w:bidi="ar-SA"/>
    </w:rPr>
  </w:style>
  <w:style w:type="character" w:customStyle="1" w:styleId="SingleTxtGChar">
    <w:name w:val="_ Single Txt_G Char"/>
    <w:link w:val="SingleTxtG"/>
    <w:rsid w:val="000100D5"/>
    <w:rPr>
      <w:lang w:val="es-ES" w:eastAsia="es-ES" w:bidi="ar-SA"/>
    </w:rPr>
  </w:style>
  <w:style w:type="character" w:customStyle="1" w:styleId="H1GChar">
    <w:name w:val="_ H_1_G Char"/>
    <w:link w:val="H1G"/>
    <w:rsid w:val="000100D5"/>
    <w:rPr>
      <w:b/>
      <w:sz w:val="24"/>
      <w:lang w:val="es-ES" w:eastAsia="es-ES" w:bidi="ar-SA"/>
    </w:rPr>
  </w:style>
  <w:style w:type="paragraph" w:styleId="DocumentMap">
    <w:name w:val="Document Map"/>
    <w:basedOn w:val="Normal"/>
    <w:semiHidden/>
    <w:rsid w:val="000100D5"/>
    <w:pPr>
      <w:shd w:val="clear" w:color="auto" w:fill="000080"/>
      <w:suppressAutoHyphens/>
    </w:pPr>
    <w:rPr>
      <w:rFonts w:ascii="Tahoma" w:hAnsi="Tahoma" w:cs="Tahom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notesDE50D1"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festivalofworldcultures.com/" TargetMode="External"/><Relationship Id="rId3" Type="http://schemas.openxmlformats.org/officeDocument/2006/relationships/hyperlink" Target="http://www.gardaombudsman.ie/" TargetMode="External"/><Relationship Id="rId7" Type="http://schemas.openxmlformats.org/officeDocument/2006/relationships/hyperlink" Target="http://en.wikipedia.org/wiki/Summary_offence" TargetMode="External"/><Relationship Id="rId2" Type="http://schemas.openxmlformats.org/officeDocument/2006/relationships/hyperlink" Target="http://www.pressombudsman.ie/v2/default.htm" TargetMode="External"/><Relationship Id="rId1" Type="http://schemas.openxmlformats.org/officeDocument/2006/relationships/hyperlink" Target="http://www.oireachtas.ie/viewdoc.asp?DocID=8701&amp;&amp;CatID=59" TargetMode="External"/><Relationship Id="rId6" Type="http://schemas.openxmlformats.org/officeDocument/2006/relationships/hyperlink" Target="http://www.socialinclusion.ie/pia.html" TargetMode="External"/><Relationship Id="rId5" Type="http://schemas.openxmlformats.org/officeDocument/2006/relationships/hyperlink" Target="http://www.integration.ie/website/omi/omiwebv6.nsf/page/managingdiversity-npar-en" TargetMode="External"/><Relationship Id="rId4" Type="http://schemas.openxmlformats.org/officeDocument/2006/relationships/hyperlink" Target="http://www.integration.ie/website/omi/omiwebv6.nsf/page/managingdiversity-UNCER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ER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CERD_S</Template>
  <TotalTime>6</TotalTime>
  <Pages>1</Pages>
  <Words>41528</Words>
  <Characters>236716</Characters>
  <Application>Microsoft Office Word</Application>
  <DocSecurity>4</DocSecurity>
  <Lines>1972</Lines>
  <Paragraphs>555</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277689</CharactersWithSpaces>
  <SharedDoc>false</SharedDoc>
  <HLinks>
    <vt:vector size="60" baseType="variant">
      <vt:variant>
        <vt:i4>3604487</vt:i4>
      </vt:variant>
      <vt:variant>
        <vt:i4>3</vt:i4>
      </vt:variant>
      <vt:variant>
        <vt:i4>0</vt:i4>
      </vt:variant>
      <vt:variant>
        <vt:i4>5</vt:i4>
      </vt:variant>
      <vt:variant>
        <vt:lpwstr>D:\laceyj\Local Settings\Temp\laceyj\Local Settings\Temp\notesDE50D1</vt:lpwstr>
      </vt:variant>
      <vt:variant>
        <vt:lpwstr/>
      </vt:variant>
      <vt:variant>
        <vt:i4>1769479</vt:i4>
      </vt:variant>
      <vt:variant>
        <vt:i4>0</vt:i4>
      </vt:variant>
      <vt:variant>
        <vt:i4>0</vt:i4>
      </vt:variant>
      <vt:variant>
        <vt:i4>5</vt:i4>
      </vt:variant>
      <vt:variant>
        <vt:lpwstr>http://www.education.ie/</vt:lpwstr>
      </vt:variant>
      <vt:variant>
        <vt:lpwstr/>
      </vt:variant>
      <vt:variant>
        <vt:i4>3539040</vt:i4>
      </vt:variant>
      <vt:variant>
        <vt:i4>21</vt:i4>
      </vt:variant>
      <vt:variant>
        <vt:i4>0</vt:i4>
      </vt:variant>
      <vt:variant>
        <vt:i4>5</vt:i4>
      </vt:variant>
      <vt:variant>
        <vt:lpwstr>http://www.festivalofworldcultures.com/</vt:lpwstr>
      </vt:variant>
      <vt:variant>
        <vt:lpwstr/>
      </vt:variant>
      <vt:variant>
        <vt:i4>1769568</vt:i4>
      </vt:variant>
      <vt:variant>
        <vt:i4>18</vt:i4>
      </vt:variant>
      <vt:variant>
        <vt:i4>0</vt:i4>
      </vt:variant>
      <vt:variant>
        <vt:i4>5</vt:i4>
      </vt:variant>
      <vt:variant>
        <vt:lpwstr>http://en.wikipedia.org/wiki/Summary_offence</vt:lpwstr>
      </vt:variant>
      <vt:variant>
        <vt:lpwstr/>
      </vt:variant>
      <vt:variant>
        <vt:i4>3866747</vt:i4>
      </vt:variant>
      <vt:variant>
        <vt:i4>15</vt:i4>
      </vt:variant>
      <vt:variant>
        <vt:i4>0</vt:i4>
      </vt:variant>
      <vt:variant>
        <vt:i4>5</vt:i4>
      </vt:variant>
      <vt:variant>
        <vt:lpwstr>http://www.socialinclusion.ie/pia.html</vt:lpwstr>
      </vt:variant>
      <vt:variant>
        <vt:lpwstr/>
      </vt:variant>
      <vt:variant>
        <vt:i4>5177437</vt:i4>
      </vt:variant>
      <vt:variant>
        <vt:i4>12</vt:i4>
      </vt:variant>
      <vt:variant>
        <vt:i4>0</vt:i4>
      </vt:variant>
      <vt:variant>
        <vt:i4>5</vt:i4>
      </vt:variant>
      <vt:variant>
        <vt:lpwstr>http://www.integration.ie/website/omi/omiwebv6.nsf/page/managingdiversity-npar-en</vt:lpwstr>
      </vt:variant>
      <vt:variant>
        <vt:lpwstr/>
      </vt:variant>
      <vt:variant>
        <vt:i4>2228278</vt:i4>
      </vt:variant>
      <vt:variant>
        <vt:i4>9</vt:i4>
      </vt:variant>
      <vt:variant>
        <vt:i4>0</vt:i4>
      </vt:variant>
      <vt:variant>
        <vt:i4>5</vt:i4>
      </vt:variant>
      <vt:variant>
        <vt:lpwstr>http://www.integration.ie/website/omi/omiwebv6.nsf/page/managingdiversity-UNCERD-en</vt:lpwstr>
      </vt:variant>
      <vt:variant>
        <vt:lpwstr/>
      </vt:variant>
      <vt:variant>
        <vt:i4>1966166</vt:i4>
      </vt:variant>
      <vt:variant>
        <vt:i4>6</vt:i4>
      </vt:variant>
      <vt:variant>
        <vt:i4>0</vt:i4>
      </vt:variant>
      <vt:variant>
        <vt:i4>5</vt:i4>
      </vt:variant>
      <vt:variant>
        <vt:lpwstr>http://www.gardaombudsman.ie/</vt:lpwstr>
      </vt:variant>
      <vt:variant>
        <vt:lpwstr/>
      </vt:variant>
      <vt:variant>
        <vt:i4>6750244</vt:i4>
      </vt:variant>
      <vt:variant>
        <vt:i4>3</vt:i4>
      </vt:variant>
      <vt:variant>
        <vt:i4>0</vt:i4>
      </vt:variant>
      <vt:variant>
        <vt:i4>5</vt:i4>
      </vt:variant>
      <vt:variant>
        <vt:lpwstr>http://www.pressombudsman.ie/v2/default.htm</vt:lpwstr>
      </vt:variant>
      <vt:variant>
        <vt:lpwstr/>
      </vt:variant>
      <vt:variant>
        <vt:i4>1704048</vt:i4>
      </vt:variant>
      <vt:variant>
        <vt:i4>0</vt:i4>
      </vt:variant>
      <vt:variant>
        <vt:i4>0</vt:i4>
      </vt:variant>
      <vt:variant>
        <vt:i4>5</vt:i4>
      </vt:variant>
      <vt:variant>
        <vt:lpwstr>http://www.oireachtas.ie/_x000b_viewdoc.asp?DocID=8701&amp;&amp;CatID=59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WinuE</dc:creator>
  <cp:keywords/>
  <dc:description/>
  <cp:lastModifiedBy>CSD</cp:lastModifiedBy>
  <cp:revision>3</cp:revision>
  <cp:lastPrinted>2011-03-08T09:09:00Z</cp:lastPrinted>
  <dcterms:created xsi:type="dcterms:W3CDTF">2011-03-09T12:31:00Z</dcterms:created>
  <dcterms:modified xsi:type="dcterms:W3CDTF">2011-03-09T12:32:00Z</dcterms:modified>
</cp:coreProperties>
</file>