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66211D">
                <w:t>C/IRQ/Q/15-21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66211D">
                <w:rPr>
                  <w:sz w:val="20"/>
                  <w:lang w:val="en-US"/>
                </w:rPr>
                <w:t>20 June 2014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585982" w:rsidRPr="00EE1FB5" w:rsidRDefault="00585982" w:rsidP="00585982">
      <w:pPr>
        <w:spacing w:before="120"/>
        <w:rPr>
          <w:b/>
          <w:sz w:val="24"/>
          <w:szCs w:val="24"/>
        </w:rPr>
      </w:pPr>
      <w:r w:rsidRPr="00E64CD9">
        <w:rPr>
          <w:b/>
          <w:sz w:val="24"/>
          <w:szCs w:val="24"/>
        </w:rPr>
        <w:t>Комитет по ликвидации расовой дискриминации</w:t>
      </w:r>
    </w:p>
    <w:p w:rsidR="00585982" w:rsidRPr="00FC095A" w:rsidRDefault="00585982" w:rsidP="00585982">
      <w:pPr>
        <w:rPr>
          <w:b/>
        </w:rPr>
      </w:pPr>
      <w:r w:rsidRPr="00FC095A">
        <w:rPr>
          <w:b/>
        </w:rPr>
        <w:t>Восемьдесят пятая сессия</w:t>
      </w:r>
    </w:p>
    <w:p w:rsidR="00585982" w:rsidRPr="00FC095A" w:rsidRDefault="00585982" w:rsidP="00585982">
      <w:r w:rsidRPr="00FC095A">
        <w:t>11</w:t>
      </w:r>
      <w:r>
        <w:t>−</w:t>
      </w:r>
      <w:r w:rsidRPr="00FC095A">
        <w:t>29 августа 2014 года</w:t>
      </w:r>
    </w:p>
    <w:p w:rsidR="00585982" w:rsidRPr="00FC095A" w:rsidRDefault="00585982" w:rsidP="00585982">
      <w:r w:rsidRPr="00FC095A">
        <w:t>Пункт 4 предварительной повестки дня</w:t>
      </w:r>
    </w:p>
    <w:p w:rsidR="00585982" w:rsidRPr="00FC095A" w:rsidRDefault="00585982" w:rsidP="00585982">
      <w:pPr>
        <w:rPr>
          <w:b/>
        </w:rPr>
      </w:pPr>
      <w:r w:rsidRPr="00FC095A">
        <w:rPr>
          <w:b/>
        </w:rPr>
        <w:t>Рассмотрение докладов, замечаний и информации,</w:t>
      </w:r>
      <w:r w:rsidRPr="00E64CD9">
        <w:rPr>
          <w:b/>
        </w:rPr>
        <w:br/>
      </w:r>
      <w:r w:rsidRPr="00FC095A">
        <w:rPr>
          <w:b/>
        </w:rPr>
        <w:t xml:space="preserve">представляемых государствами-участниками </w:t>
      </w:r>
      <w:r w:rsidRPr="00FC095A">
        <w:rPr>
          <w:b/>
        </w:rPr>
        <w:br/>
        <w:t>в соответствии со статьей 9 Конвенции</w:t>
      </w:r>
    </w:p>
    <w:p w:rsidR="00585982" w:rsidRPr="00FC095A" w:rsidRDefault="00585982" w:rsidP="00585982">
      <w:pPr>
        <w:pStyle w:val="HChGR"/>
      </w:pPr>
      <w:r w:rsidRPr="00FC095A">
        <w:tab/>
      </w:r>
      <w:r w:rsidRPr="00FC095A">
        <w:tab/>
        <w:t>Перечень тем в связи с объединенными пятнадцатым−двадцать первым периодическими докладами Ирака (CERD/C/IRQ/15-21)</w:t>
      </w:r>
    </w:p>
    <w:p w:rsidR="00585982" w:rsidRPr="00FC095A" w:rsidRDefault="00585982" w:rsidP="00585982">
      <w:pPr>
        <w:pStyle w:val="H1GR"/>
      </w:pPr>
      <w:r w:rsidRPr="00FC095A">
        <w:tab/>
      </w:r>
      <w:r w:rsidRPr="00FC095A">
        <w:tab/>
        <w:t>Записка Докладчика по стране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585982" w:rsidTr="00DB2F0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585982" w:rsidRDefault="00585982" w:rsidP="00DB2F0E">
            <w:pPr>
              <w:spacing w:line="240" w:lineRule="auto"/>
              <w:rPr>
                <w:lang w:val="en-US"/>
              </w:rPr>
            </w:pPr>
          </w:p>
        </w:tc>
      </w:tr>
      <w:tr w:rsidR="00585982" w:rsidTr="00DB2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585982" w:rsidRDefault="00585982" w:rsidP="00DB2F0E">
            <w:pPr>
              <w:spacing w:after="120"/>
              <w:jc w:val="both"/>
              <w:rPr>
                <w:lang w:val="en-US"/>
              </w:rPr>
            </w:pPr>
            <w:r w:rsidRPr="00585982">
              <w:tab/>
            </w:r>
            <w:r w:rsidRPr="00FC095A">
              <w:t>Комитет по ликвидации расовой дискриминации на своей семьдесят ше</w:t>
            </w:r>
            <w:r w:rsidRPr="00FC095A">
              <w:t>с</w:t>
            </w:r>
            <w:r w:rsidRPr="00FC095A">
              <w:t>той сессии (A/65/18, пункт 85) постановил, что докладчик по стране будет н</w:t>
            </w:r>
            <w:r w:rsidRPr="00FC095A">
              <w:t>а</w:t>
            </w:r>
            <w:r w:rsidRPr="00FC095A">
              <w:t>правлять соответствующему государству-участнику краткий перечень тем, пр</w:t>
            </w:r>
            <w:r w:rsidRPr="00FC095A">
              <w:t>и</w:t>
            </w:r>
            <w:r w:rsidRPr="00FC095A">
              <w:t>званных определять направление и нацеленность диалога между делегацией государства-участника и Комитетом во время рассмотрения доклада государс</w:t>
            </w:r>
            <w:r w:rsidRPr="00FC095A">
              <w:t>т</w:t>
            </w:r>
            <w:r w:rsidRPr="00FC095A">
              <w:t>ва-участника. Настоящий документ содержит перечень таких тем. Данный п</w:t>
            </w:r>
            <w:r w:rsidRPr="00FC095A">
              <w:t>е</w:t>
            </w:r>
            <w:r w:rsidRPr="00FC095A">
              <w:t>речень не является исчерпывающим: в ходе диалога могут быть подняты и др</w:t>
            </w:r>
            <w:r w:rsidRPr="00FC095A">
              <w:t>у</w:t>
            </w:r>
            <w:r w:rsidRPr="00FC095A">
              <w:t>гие вопросы. Письменные ответы по такому перечню тем не требуются.</w:t>
            </w:r>
          </w:p>
        </w:tc>
      </w:tr>
      <w:tr w:rsidR="00585982" w:rsidTr="00DB2F0E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85982" w:rsidRDefault="00585982" w:rsidP="00DB2F0E">
            <w:pPr>
              <w:spacing w:line="240" w:lineRule="auto"/>
              <w:rPr>
                <w:lang w:val="en-US"/>
              </w:rPr>
            </w:pPr>
          </w:p>
        </w:tc>
      </w:tr>
    </w:tbl>
    <w:p w:rsidR="00585982" w:rsidRPr="00E64CD9" w:rsidRDefault="00585982" w:rsidP="00585982">
      <w:pPr>
        <w:pStyle w:val="H23GR"/>
      </w:pPr>
      <w:r w:rsidRPr="00FC095A">
        <w:rPr>
          <w:u w:val="single"/>
        </w:rPr>
        <w:br w:type="page"/>
      </w:r>
      <w:r w:rsidRPr="00E64CD9">
        <w:tab/>
        <w:t>1.</w:t>
      </w:r>
      <w:r w:rsidRPr="00E64CD9">
        <w:tab/>
        <w:t>Конвенция во внутреннем праве (статьи 1, 3 и 4):</w:t>
      </w:r>
    </w:p>
    <w:p w:rsidR="00585982" w:rsidRPr="00E64CD9" w:rsidRDefault="00585982" w:rsidP="00585982">
      <w:pPr>
        <w:pStyle w:val="SingleTxtGR"/>
      </w:pPr>
      <w:r w:rsidRPr="00E64CD9">
        <w:tab/>
        <w:t>а)</w:t>
      </w:r>
      <w:r w:rsidRPr="00E64CD9">
        <w:tab/>
        <w:t>статус Конвенции во внутреннем правопорядке;</w:t>
      </w:r>
    </w:p>
    <w:p w:rsidR="00585982" w:rsidRPr="00E64CD9" w:rsidRDefault="00585982" w:rsidP="00585982">
      <w:pPr>
        <w:pStyle w:val="SingleTxtGR"/>
      </w:pPr>
      <w:r w:rsidRPr="00E64CD9">
        <w:tab/>
        <w:t>b)</w:t>
      </w:r>
      <w:r w:rsidRPr="00E64CD9">
        <w:tab/>
        <w:t>определение расовой дискриминации в соответствии со статьей 1 Конвенции;</w:t>
      </w:r>
    </w:p>
    <w:p w:rsidR="00585982" w:rsidRPr="00E64CD9" w:rsidRDefault="00585982" w:rsidP="00585982">
      <w:pPr>
        <w:pStyle w:val="SingleTxtGR"/>
      </w:pPr>
      <w:r w:rsidRPr="00E64CD9">
        <w:tab/>
        <w:t>с)</w:t>
      </w:r>
      <w:r w:rsidRPr="00E64CD9">
        <w:tab/>
        <w:t>правовые положения, касающиеся осуществления пункта 1 ст</w:t>
      </w:r>
      <w:r w:rsidRPr="00E64CD9">
        <w:t>а</w:t>
      </w:r>
      <w:r w:rsidRPr="00E64CD9">
        <w:t>тьи</w:t>
      </w:r>
      <w:r>
        <w:rPr>
          <w:lang w:val="en-US"/>
        </w:rPr>
        <w:t> </w:t>
      </w:r>
      <w:r w:rsidRPr="00E64CD9">
        <w:t>7 Конституции и наказания за неправомерное поведение в соответствии со статьей 4 Кон</w:t>
      </w:r>
      <w:r>
        <w:t>венции (CERD/C/IRQ/15-21, пункт</w:t>
      </w:r>
      <w:r w:rsidRPr="00EE1FB5">
        <w:t xml:space="preserve"> </w:t>
      </w:r>
      <w:r w:rsidRPr="00E64CD9">
        <w:t>58);</w:t>
      </w:r>
    </w:p>
    <w:p w:rsidR="00585982" w:rsidRPr="00E64CD9" w:rsidRDefault="00585982" w:rsidP="00585982">
      <w:pPr>
        <w:pStyle w:val="SingleTxtGR"/>
      </w:pPr>
      <w:r w:rsidRPr="00E64CD9">
        <w:tab/>
        <w:t>d)</w:t>
      </w:r>
      <w:r w:rsidRPr="00E64CD9">
        <w:tab/>
        <w:t xml:space="preserve">права этно-религиозных меньшинств; </w:t>
      </w:r>
      <w:r w:rsidR="00A03772">
        <w:t>З</w:t>
      </w:r>
      <w:r w:rsidRPr="00E64CD9">
        <w:t>акон об осуществлении ст</w:t>
      </w:r>
      <w:r w:rsidRPr="00E64CD9">
        <w:t>а</w:t>
      </w:r>
      <w:r w:rsidRPr="00E64CD9">
        <w:t>тьи 125 Конституции;</w:t>
      </w:r>
    </w:p>
    <w:p w:rsidR="00585982" w:rsidRPr="00E64CD9" w:rsidRDefault="00585982" w:rsidP="00585982">
      <w:pPr>
        <w:pStyle w:val="SingleTxtGR"/>
      </w:pPr>
      <w:r w:rsidRPr="00E64CD9">
        <w:tab/>
        <w:t>е)</w:t>
      </w:r>
      <w:r w:rsidRPr="00E64CD9">
        <w:tab/>
        <w:t>ограничения на гражданские и политические права натурализова</w:t>
      </w:r>
      <w:r w:rsidRPr="00E64CD9">
        <w:t>н</w:t>
      </w:r>
      <w:r w:rsidRPr="00E64CD9">
        <w:t>ных лиц.</w:t>
      </w:r>
    </w:p>
    <w:p w:rsidR="00585982" w:rsidRPr="00E64CD9" w:rsidRDefault="00585982" w:rsidP="00585982">
      <w:pPr>
        <w:pStyle w:val="H23GR"/>
      </w:pPr>
      <w:r w:rsidRPr="00E64CD9">
        <w:tab/>
        <w:t>2.</w:t>
      </w:r>
      <w:r w:rsidRPr="00E64CD9">
        <w:tab/>
        <w:t>Институциональная и политическая структура для осуществления Конвенции (статьи 2, 6 и 7):</w:t>
      </w:r>
    </w:p>
    <w:p w:rsidR="00585982" w:rsidRPr="00E64CD9" w:rsidRDefault="00585982" w:rsidP="00585982">
      <w:pPr>
        <w:pStyle w:val="SingleTxtGR"/>
      </w:pPr>
      <w:r w:rsidRPr="00E64CD9">
        <w:tab/>
        <w:t>а)</w:t>
      </w:r>
      <w:r w:rsidRPr="00E64CD9">
        <w:tab/>
        <w:t>борьба против расовой дискриминации в национальном плане де</w:t>
      </w:r>
      <w:r w:rsidRPr="00E64CD9">
        <w:t>й</w:t>
      </w:r>
      <w:r w:rsidRPr="00E64CD9">
        <w:t>ствий по правам человека;</w:t>
      </w:r>
    </w:p>
    <w:p w:rsidR="00585982" w:rsidRPr="00E64CD9" w:rsidRDefault="00585982" w:rsidP="00585982">
      <w:pPr>
        <w:pStyle w:val="SingleTxtGR"/>
      </w:pPr>
      <w:r w:rsidRPr="00E64CD9">
        <w:tab/>
        <w:t>b)</w:t>
      </w:r>
      <w:r w:rsidRPr="00E64CD9">
        <w:tab/>
        <w:t>соответствие мандата и потенциала Высшей комиссии по правам человека принципам, касающимся статуса национальных учреждений, зан</w:t>
      </w:r>
      <w:r w:rsidRPr="00E64CD9">
        <w:t>и</w:t>
      </w:r>
      <w:r w:rsidRPr="00E64CD9">
        <w:t xml:space="preserve">мающихся поощрением и защитой прав человека (Парижские принципы), </w:t>
      </w:r>
      <w:r>
        <w:t>и</w:t>
      </w:r>
      <w:r w:rsidRPr="00E64CD9">
        <w:t xml:space="preserve"> деятельность</w:t>
      </w:r>
      <w:r>
        <w:t xml:space="preserve">, предпринимаемая </w:t>
      </w:r>
      <w:r w:rsidRPr="00E64CD9">
        <w:t>Комисси</w:t>
      </w:r>
      <w:r>
        <w:t>ей</w:t>
      </w:r>
      <w:r w:rsidRPr="00E64CD9">
        <w:t xml:space="preserve"> с тем</w:t>
      </w:r>
      <w:r>
        <w:t>,</w:t>
      </w:r>
      <w:r w:rsidRPr="00E64CD9">
        <w:t xml:space="preserve"> чтобы способствовать ли</w:t>
      </w:r>
      <w:r w:rsidRPr="00E64CD9">
        <w:t>к</w:t>
      </w:r>
      <w:r w:rsidRPr="00E64CD9">
        <w:t>видации расовой дискриминации (CERD/C/IRQ/15-21, пункт</w:t>
      </w:r>
      <w:r>
        <w:t xml:space="preserve"> </w:t>
      </w:r>
      <w:r w:rsidRPr="00E64CD9">
        <w:t>26);</w:t>
      </w:r>
    </w:p>
    <w:p w:rsidR="00585982" w:rsidRPr="00E64CD9" w:rsidRDefault="00585982" w:rsidP="00585982">
      <w:pPr>
        <w:pStyle w:val="SingleTxtGR"/>
      </w:pPr>
      <w:r w:rsidRPr="00E64CD9">
        <w:tab/>
        <w:t>с)</w:t>
      </w:r>
      <w:r w:rsidRPr="00E64CD9">
        <w:tab/>
        <w:t xml:space="preserve">институциональная и </w:t>
      </w:r>
      <w:r w:rsidR="00A03772">
        <w:t>директивная</w:t>
      </w:r>
      <w:r w:rsidRPr="00E64CD9">
        <w:t xml:space="preserve"> структура в Курдистане, вкл</w:t>
      </w:r>
      <w:r w:rsidRPr="00E64CD9">
        <w:t>ю</w:t>
      </w:r>
      <w:r w:rsidRPr="00E64CD9">
        <w:t>чая осуществление регионального плана действий по правам человека, а также мандат и деятельность Независимого совета по правам человека в регионе Ку</w:t>
      </w:r>
      <w:r w:rsidRPr="00E64CD9">
        <w:t>р</w:t>
      </w:r>
      <w:r w:rsidRPr="00E64CD9">
        <w:t>дистан, которая способствует ликвидации расовой дискриминации;</w:t>
      </w:r>
    </w:p>
    <w:p w:rsidR="00585982" w:rsidRPr="00E64CD9" w:rsidRDefault="00585982" w:rsidP="00585982">
      <w:pPr>
        <w:pStyle w:val="SingleTxtGR"/>
      </w:pPr>
      <w:r w:rsidRPr="00E64CD9">
        <w:tab/>
        <w:t>d)</w:t>
      </w:r>
      <w:r w:rsidRPr="00E64CD9">
        <w:tab/>
        <w:t>независимость судебн</w:t>
      </w:r>
      <w:r w:rsidR="00A03772">
        <w:t>ой</w:t>
      </w:r>
      <w:r w:rsidRPr="00E64CD9">
        <w:t xml:space="preserve"> </w:t>
      </w:r>
      <w:r w:rsidR="00A03772">
        <w:t>власти</w:t>
      </w:r>
      <w:r w:rsidRPr="00E64CD9">
        <w:t xml:space="preserve"> и доступ к правосудию; информ</w:t>
      </w:r>
      <w:r w:rsidRPr="00E64CD9">
        <w:t>а</w:t>
      </w:r>
      <w:r w:rsidRPr="00E64CD9">
        <w:t>ция о жалобах и суде</w:t>
      </w:r>
      <w:r w:rsidRPr="00E64CD9">
        <w:t>б</w:t>
      </w:r>
      <w:r w:rsidRPr="00E64CD9">
        <w:t>ных делах, касающихся расовой дискриминации;</w:t>
      </w:r>
    </w:p>
    <w:p w:rsidR="00585982" w:rsidRPr="00E64CD9" w:rsidRDefault="00585982" w:rsidP="00585982">
      <w:pPr>
        <w:pStyle w:val="SingleTxtGR"/>
      </w:pPr>
      <w:r w:rsidRPr="00E64CD9">
        <w:tab/>
        <w:t>е)</w:t>
      </w:r>
      <w:r w:rsidRPr="00E64CD9">
        <w:tab/>
        <w:t xml:space="preserve">поощрение взаимопонимания, </w:t>
      </w:r>
      <w:r w:rsidR="00A03772">
        <w:t>толерантности</w:t>
      </w:r>
      <w:r w:rsidRPr="00E64CD9">
        <w:t xml:space="preserve"> и дружественных о</w:t>
      </w:r>
      <w:r w:rsidRPr="00E64CD9">
        <w:t>т</w:t>
      </w:r>
      <w:r w:rsidRPr="00E64CD9">
        <w:t>ношений между этно-религиозными группами (CERD/C/IRQ/15-21, пункт</w:t>
      </w:r>
      <w:r>
        <w:t xml:space="preserve"> </w:t>
      </w:r>
      <w:r w:rsidRPr="00E64CD9">
        <w:t>22); усилия по преодолению негативных предрассудков и стереотипов, включая н</w:t>
      </w:r>
      <w:r w:rsidRPr="00E64CD9">
        <w:t>е</w:t>
      </w:r>
      <w:r w:rsidRPr="00E64CD9">
        <w:t>гативное изображение некоторых этно-религиозных групп, в школьных уче</w:t>
      </w:r>
      <w:r w:rsidRPr="00E64CD9">
        <w:t>б</w:t>
      </w:r>
      <w:r w:rsidRPr="00E64CD9">
        <w:t>ных пр</w:t>
      </w:r>
      <w:r w:rsidRPr="00E64CD9">
        <w:t>о</w:t>
      </w:r>
      <w:r w:rsidRPr="00E64CD9">
        <w:t xml:space="preserve">граммах. </w:t>
      </w:r>
    </w:p>
    <w:p w:rsidR="00585982" w:rsidRPr="00E64CD9" w:rsidRDefault="00585982" w:rsidP="00585982">
      <w:pPr>
        <w:pStyle w:val="H23GR"/>
      </w:pPr>
      <w:r w:rsidRPr="00E64CD9">
        <w:tab/>
        <w:t>3.</w:t>
      </w:r>
      <w:r w:rsidRPr="00E64CD9">
        <w:tab/>
        <w:t>Положение этно-религиозных групп (статьи 2, 5, 6 и 7)</w:t>
      </w:r>
    </w:p>
    <w:p w:rsidR="00585982" w:rsidRPr="00E64CD9" w:rsidRDefault="00585982" w:rsidP="00585982">
      <w:pPr>
        <w:pStyle w:val="SingleTxtGR"/>
      </w:pPr>
      <w:r w:rsidRPr="00E64CD9">
        <w:tab/>
        <w:t>а)</w:t>
      </w:r>
      <w:r w:rsidRPr="00E64CD9">
        <w:tab/>
        <w:t>этно-религиозный состав населения государства-участника;</w:t>
      </w:r>
    </w:p>
    <w:p w:rsidR="00585982" w:rsidRPr="00E64CD9" w:rsidRDefault="00585982" w:rsidP="00585982">
      <w:pPr>
        <w:pStyle w:val="SingleTxtGR"/>
      </w:pPr>
      <w:r w:rsidRPr="00E64CD9">
        <w:tab/>
        <w:t>b)</w:t>
      </w:r>
      <w:r w:rsidRPr="00E64CD9">
        <w:tab/>
        <w:t>защита членов этно-религиозных групп от насилия, включая нас</w:t>
      </w:r>
      <w:r w:rsidRPr="00E64CD9">
        <w:t>и</w:t>
      </w:r>
      <w:r w:rsidRPr="00E64CD9">
        <w:t>лие против таких мен</w:t>
      </w:r>
      <w:r w:rsidRPr="00E64CD9">
        <w:t>ь</w:t>
      </w:r>
      <w:r w:rsidRPr="00E64CD9">
        <w:t>шинств, как туркмены-шииты, шабаки, христиане, езиды и курды; защита от принуждения к перемещению и к эмиграции; меры по бор</w:t>
      </w:r>
      <w:r w:rsidRPr="00E64CD9">
        <w:t>ь</w:t>
      </w:r>
      <w:r w:rsidRPr="00E64CD9">
        <w:t>бе с сектантством;</w:t>
      </w:r>
    </w:p>
    <w:p w:rsidR="00585982" w:rsidRPr="00E64CD9" w:rsidRDefault="00585982" w:rsidP="00585982">
      <w:pPr>
        <w:pStyle w:val="SingleTxtGR"/>
      </w:pPr>
      <w:r w:rsidRPr="00E64CD9">
        <w:tab/>
        <w:t>с)</w:t>
      </w:r>
      <w:r w:rsidRPr="00E64CD9">
        <w:tab/>
        <w:t>участие в государственно</w:t>
      </w:r>
      <w:r>
        <w:t>й администрации</w:t>
      </w:r>
      <w:r w:rsidRPr="00E64CD9">
        <w:t xml:space="preserve"> и в силах безопасности; средства диалога с группами этно-религиозных меньшинств, и особенно с теми, которые не имеют политического представител</w:t>
      </w:r>
      <w:r w:rsidRPr="00E64CD9">
        <w:t>ь</w:t>
      </w:r>
      <w:r w:rsidRPr="00E64CD9">
        <w:t>ства;</w:t>
      </w:r>
    </w:p>
    <w:p w:rsidR="00585982" w:rsidRPr="00E64CD9" w:rsidRDefault="00585982" w:rsidP="00586308">
      <w:pPr>
        <w:pStyle w:val="SingleTxtGR"/>
        <w:keepNext/>
        <w:keepLines/>
      </w:pPr>
      <w:r w:rsidRPr="00E64CD9">
        <w:tab/>
        <w:t>d)</w:t>
      </w:r>
      <w:r w:rsidRPr="00E64CD9">
        <w:tab/>
        <w:t>меры по поощрению равного пользования правом на образование, на труд, на средства к существованию и на социальное обеспечение всеми э</w:t>
      </w:r>
      <w:r w:rsidRPr="00E64CD9">
        <w:t>т</w:t>
      </w:r>
      <w:r w:rsidRPr="00E64CD9">
        <w:t>но-религиозными группами, и особенно группами, находящимися в неблагоприя</w:t>
      </w:r>
      <w:r w:rsidRPr="00E64CD9">
        <w:t>т</w:t>
      </w:r>
      <w:r w:rsidRPr="00E64CD9">
        <w:t>ном положении, такими как темнокожие иракцы и езиды; уважение кул</w:t>
      </w:r>
      <w:r w:rsidRPr="00E64CD9">
        <w:t>ь</w:t>
      </w:r>
      <w:r w:rsidRPr="00E64CD9">
        <w:t>турных прав и религиозной свободы этно-религиозных меньшинств;</w:t>
      </w:r>
    </w:p>
    <w:p w:rsidR="00585982" w:rsidRPr="00E64CD9" w:rsidRDefault="00585982" w:rsidP="00585982">
      <w:pPr>
        <w:pStyle w:val="SingleTxtGR"/>
      </w:pPr>
      <w:r w:rsidRPr="00E64CD9">
        <w:tab/>
        <w:t>е)</w:t>
      </w:r>
      <w:r w:rsidRPr="00E64CD9">
        <w:tab/>
        <w:t>экономические и социальные права внутренне перемещенных лиц; ход осуществления Национальной стратегии прекращения вынужденного пер</w:t>
      </w:r>
      <w:r w:rsidRPr="00E64CD9">
        <w:t>е</w:t>
      </w:r>
      <w:r w:rsidRPr="00E64CD9">
        <w:t>селения, а также усилия по содействию возвр</w:t>
      </w:r>
      <w:r w:rsidRPr="00E64CD9">
        <w:t>а</w:t>
      </w:r>
      <w:r w:rsidRPr="00E64CD9">
        <w:t>щению внутренне перемещенных лиц в места их происхождения;</w:t>
      </w:r>
    </w:p>
    <w:p w:rsidR="00585982" w:rsidRPr="00E64CD9" w:rsidRDefault="00585982" w:rsidP="00585982">
      <w:pPr>
        <w:pStyle w:val="SingleTxtGR"/>
      </w:pPr>
      <w:r w:rsidRPr="00E64CD9">
        <w:tab/>
        <w:t>f)</w:t>
      </w:r>
      <w:r w:rsidRPr="00E64CD9">
        <w:tab/>
        <w:t>положение женщин из числа этно-религиозных групп меньшинств (CERD/C/IRQ/15</w:t>
      </w:r>
      <w:r>
        <w:t xml:space="preserve">-21, пункт </w:t>
      </w:r>
      <w:r w:rsidRPr="00E64CD9">
        <w:t xml:space="preserve">34). </w:t>
      </w:r>
    </w:p>
    <w:p w:rsidR="00585982" w:rsidRPr="00E64CD9" w:rsidRDefault="00585982" w:rsidP="00585982">
      <w:pPr>
        <w:pStyle w:val="H23GR"/>
      </w:pPr>
      <w:r w:rsidRPr="00E64CD9">
        <w:tab/>
        <w:t>4.</w:t>
      </w:r>
      <w:r w:rsidRPr="00E64CD9">
        <w:tab/>
        <w:t>Положение неграждан, включая лиц без гражданства, мигрантов, беженцев и просителей убежища (статьи 5, 6 и 7):</w:t>
      </w:r>
    </w:p>
    <w:p w:rsidR="00585982" w:rsidRPr="00E64CD9" w:rsidRDefault="00585982" w:rsidP="00585982">
      <w:pPr>
        <w:pStyle w:val="SingleTxtGR"/>
      </w:pPr>
      <w:r w:rsidRPr="00E64CD9">
        <w:tab/>
        <w:t>а)</w:t>
      </w:r>
      <w:r w:rsidRPr="00E64CD9">
        <w:tab/>
        <w:t>юридическая структура в отношении прав лиц, нуждающихся в</w:t>
      </w:r>
      <w:r>
        <w:t> </w:t>
      </w:r>
      <w:r w:rsidRPr="00E64CD9">
        <w:t>международной защите;</w:t>
      </w:r>
    </w:p>
    <w:p w:rsidR="00585982" w:rsidRPr="00E64CD9" w:rsidRDefault="00585982" w:rsidP="00585982">
      <w:pPr>
        <w:pStyle w:val="SingleTxtGR"/>
      </w:pPr>
      <w:r w:rsidRPr="00E64CD9">
        <w:tab/>
        <w:t>b)</w:t>
      </w:r>
      <w:r w:rsidRPr="00E64CD9">
        <w:tab/>
        <w:t>прогресс в урегулировании положения лиц без гражданства, вкл</w:t>
      </w:r>
      <w:r w:rsidRPr="00E64CD9">
        <w:t>ю</w:t>
      </w:r>
      <w:r w:rsidRPr="00E64CD9">
        <w:t xml:space="preserve">чая статус курдов-файли, реституцию имущества и компенсацию; </w:t>
      </w:r>
    </w:p>
    <w:p w:rsidR="00585982" w:rsidRPr="00E64CD9" w:rsidRDefault="00585982" w:rsidP="00585982">
      <w:pPr>
        <w:pStyle w:val="SingleTxtGR"/>
      </w:pPr>
      <w:r w:rsidRPr="00E64CD9">
        <w:tab/>
        <w:t>с)</w:t>
      </w:r>
      <w:r w:rsidRPr="00E64CD9">
        <w:tab/>
        <w:t>положение просителей убежища и беженцев, включая выходцев из Государства Палестина, Исламской Республики Иран и Сирийской Арабской Республики;</w:t>
      </w:r>
    </w:p>
    <w:p w:rsidR="00585982" w:rsidRPr="00585982" w:rsidRDefault="00585982" w:rsidP="00585982">
      <w:pPr>
        <w:pStyle w:val="SingleTxtGR"/>
      </w:pPr>
      <w:r w:rsidRPr="00E64CD9">
        <w:tab/>
        <w:t>d)</w:t>
      </w:r>
      <w:r w:rsidRPr="00E64CD9">
        <w:tab/>
        <w:t xml:space="preserve">защита </w:t>
      </w:r>
      <w:r w:rsidRPr="00586308">
        <w:rPr>
          <w:spacing w:val="0"/>
        </w:rPr>
        <w:t xml:space="preserve">трудящихся-мигрантов от злоупотреблений </w:t>
      </w:r>
      <w:r w:rsidRPr="00E64CD9">
        <w:t>на рабочем ме</w:t>
      </w:r>
      <w:r w:rsidRPr="00E64CD9">
        <w:t>с</w:t>
      </w:r>
      <w:r w:rsidRPr="00E64CD9">
        <w:t>те.</w:t>
      </w:r>
    </w:p>
    <w:p w:rsidR="00585982" w:rsidRPr="00585982" w:rsidRDefault="00585982" w:rsidP="005859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5982" w:rsidRPr="00585982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33" w:rsidRDefault="00A17933">
      <w:r>
        <w:rPr>
          <w:lang w:val="en-US"/>
        </w:rPr>
        <w:tab/>
      </w:r>
      <w:r>
        <w:separator/>
      </w:r>
    </w:p>
  </w:endnote>
  <w:endnote w:type="continuationSeparator" w:id="0">
    <w:p w:rsidR="00A17933" w:rsidRDefault="00A1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F5" w:rsidRPr="009A6F4A" w:rsidRDefault="006D1BF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4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GE.14-06180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F5" w:rsidRPr="009A6F4A" w:rsidRDefault="006D1BF5">
    <w:pPr>
      <w:pStyle w:val="Footer"/>
      <w:rPr>
        <w:lang w:val="en-US"/>
      </w:rPr>
    </w:pPr>
    <w:r>
      <w:rPr>
        <w:lang w:val="en-US"/>
      </w:rPr>
      <w:t>GE.14-06180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4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6D1BF5" w:rsidTr="00BB2D63">
      <w:trPr>
        <w:cnfStyle w:val="100000000000"/>
        <w:trHeight w:val="438"/>
      </w:trPr>
      <w:tc>
        <w:tcPr>
          <w:tcW w:w="4068" w:type="dxa"/>
          <w:vAlign w:val="bottom"/>
        </w:tcPr>
        <w:p w:rsidR="006D1BF5" w:rsidRPr="00D24875" w:rsidRDefault="006D1BF5" w:rsidP="00BB2D63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D24875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D24875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06180</w:t>
          </w:r>
          <w:r w:rsidRPr="00D24875">
            <w:rPr>
              <w:sz w:val="20"/>
              <w:lang w:val="en-US"/>
            </w:rPr>
            <w:t xml:space="preserve">  (R)</w:t>
          </w:r>
          <w:r>
            <w:rPr>
              <w:sz w:val="20"/>
              <w:lang w:val="en-US"/>
            </w:rPr>
            <w:t xml:space="preserve">  010714  010714</w:t>
          </w:r>
        </w:p>
      </w:tc>
      <w:tc>
        <w:tcPr>
          <w:tcW w:w="4663" w:type="dxa"/>
          <w:vMerge w:val="restart"/>
          <w:vAlign w:val="bottom"/>
        </w:tcPr>
        <w:p w:rsidR="006D1BF5" w:rsidRDefault="006D1BF5" w:rsidP="00BB2D63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D1BF5" w:rsidRDefault="006D1BF5" w:rsidP="00BB2D63">
          <w:pPr>
            <w:jc w:val="right"/>
          </w:pPr>
          <w:r>
            <w:pict>
              <v:shape id="_x0000_i1027" type="#_x0000_t75" style="width:50.25pt;height:50.25pt">
                <v:imagedata r:id="rId2" o:title="15-21&amp;Size=2&amp;Lang=R"/>
              </v:shape>
            </w:pict>
          </w:r>
        </w:p>
      </w:tc>
    </w:tr>
    <w:tr w:rsidR="006D1BF5" w:rsidRPr="00797A78" w:rsidTr="00BB2D63">
      <w:tc>
        <w:tcPr>
          <w:tcW w:w="4068" w:type="dxa"/>
          <w:vAlign w:val="bottom"/>
        </w:tcPr>
        <w:p w:rsidR="006D1BF5" w:rsidRPr="00586308" w:rsidRDefault="006D1BF5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863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863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863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863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863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863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863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863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863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1BF5" w:rsidRDefault="006D1BF5" w:rsidP="00BB2D63"/>
      </w:tc>
      <w:tc>
        <w:tcPr>
          <w:tcW w:w="1124" w:type="dxa"/>
          <w:vMerge/>
        </w:tcPr>
        <w:p w:rsidR="006D1BF5" w:rsidRDefault="006D1BF5" w:rsidP="00BB2D63"/>
      </w:tc>
    </w:tr>
  </w:tbl>
  <w:p w:rsidR="006D1BF5" w:rsidRDefault="006D1BF5" w:rsidP="00D24875">
    <w:pPr>
      <w:spacing w:line="240" w:lineRule="auto"/>
      <w:rPr>
        <w:sz w:val="2"/>
        <w:szCs w:val="2"/>
        <w:lang w:val="en-US"/>
      </w:rPr>
    </w:pPr>
  </w:p>
  <w:p w:rsidR="006D1BF5" w:rsidRDefault="006D1BF5" w:rsidP="00B7014E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33" w:rsidRPr="00F71F63" w:rsidRDefault="00A1793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17933" w:rsidRPr="00F71F63" w:rsidRDefault="00A1793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17933" w:rsidRPr="00635E86" w:rsidRDefault="00A17933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F5" w:rsidRPr="005A734F" w:rsidRDefault="006D1BF5">
    <w:pPr>
      <w:pStyle w:val="Header"/>
      <w:rPr>
        <w:lang w:val="en-US"/>
      </w:rPr>
    </w:pPr>
    <w:r>
      <w:rPr>
        <w:lang w:val="en-US"/>
      </w:rPr>
      <w:t>CERD/C/IRQ/Q/15-21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F5" w:rsidRPr="009A6F4A" w:rsidRDefault="006D1BF5">
    <w:pPr>
      <w:pStyle w:val="Header"/>
      <w:rPr>
        <w:lang w:val="en-US"/>
      </w:rPr>
    </w:pPr>
    <w:r>
      <w:rPr>
        <w:lang w:val="en-US"/>
      </w:rPr>
      <w:tab/>
      <w:t>CERD/C/IRQ/Q/15-21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11D"/>
    <w:rsid w:val="000033D8"/>
    <w:rsid w:val="00005C1C"/>
    <w:rsid w:val="00016553"/>
    <w:rsid w:val="000233B3"/>
    <w:rsid w:val="00023E9E"/>
    <w:rsid w:val="00026B0C"/>
    <w:rsid w:val="00034A16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6175"/>
    <w:rsid w:val="00356BB2"/>
    <w:rsid w:val="00360477"/>
    <w:rsid w:val="00367FC9"/>
    <w:rsid w:val="003711A1"/>
    <w:rsid w:val="00372123"/>
    <w:rsid w:val="0038612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85982"/>
    <w:rsid w:val="00586308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11D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1BF5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557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3772"/>
    <w:rsid w:val="00A07232"/>
    <w:rsid w:val="00A14800"/>
    <w:rsid w:val="00A156DE"/>
    <w:rsid w:val="00A157ED"/>
    <w:rsid w:val="00A17933"/>
    <w:rsid w:val="00A2446A"/>
    <w:rsid w:val="00A4025D"/>
    <w:rsid w:val="00A52E79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014E"/>
    <w:rsid w:val="00B748BB"/>
    <w:rsid w:val="00B81305"/>
    <w:rsid w:val="00BB17DC"/>
    <w:rsid w:val="00BB1AF9"/>
    <w:rsid w:val="00BB2D63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875"/>
    <w:rsid w:val="00D26B13"/>
    <w:rsid w:val="00D26CC1"/>
    <w:rsid w:val="00D30662"/>
    <w:rsid w:val="00D32A0B"/>
    <w:rsid w:val="00D6236B"/>
    <w:rsid w:val="00D75CA1"/>
    <w:rsid w:val="00D809D1"/>
    <w:rsid w:val="00D84ECF"/>
    <w:rsid w:val="00DA2851"/>
    <w:rsid w:val="00DA2B7C"/>
    <w:rsid w:val="00DA5686"/>
    <w:rsid w:val="00DB2F0E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2744C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21FA"/>
    <w:rsid w:val="00F87506"/>
    <w:rsid w:val="00F92C41"/>
    <w:rsid w:val="00FA54B9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1</Pages>
  <Words>592</Words>
  <Characters>4205</Characters>
  <Application>Microsoft Office Outlook</Application>
  <DocSecurity>4</DocSecurity>
  <Lines>100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1406180</vt:lpstr>
    </vt:vector>
  </TitlesOfParts>
  <Manager>Pogorelski</Manager>
  <Company>CSD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1406180</dc:title>
  <dc:subject>CERD/C/IRQ/Q/15-21</dc:subject>
  <dc:creator>Chouvalova</dc:creator>
  <cp:keywords/>
  <dc:description/>
  <cp:lastModifiedBy>Chouvalova</cp:lastModifiedBy>
  <cp:revision>4</cp:revision>
  <cp:lastPrinted>2014-07-01T14:23:00Z</cp:lastPrinted>
  <dcterms:created xsi:type="dcterms:W3CDTF">2014-07-01T14:22:00Z</dcterms:created>
  <dcterms:modified xsi:type="dcterms:W3CDTF">2014-07-01T14:23:00Z</dcterms:modified>
</cp:coreProperties>
</file>