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2268"/>
        <w:gridCol w:w="3260"/>
        <w:gridCol w:w="2835"/>
      </w:tblGrid>
      <w:tr w:rsidR="002E0D40" w:rsidRPr="00DB58B5" w:rsidTr="0078670C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2E0D40" w:rsidRPr="00DB58B5" w:rsidRDefault="002E0D40" w:rsidP="00593658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E0D40" w:rsidRPr="00DB58B5" w:rsidRDefault="002E0D40" w:rsidP="0059365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2E0D40" w:rsidRPr="00DB58B5" w:rsidRDefault="00850BCE" w:rsidP="00850BCE">
            <w:pPr>
              <w:jc w:val="right"/>
            </w:pPr>
            <w:r w:rsidRPr="00850BCE">
              <w:rPr>
                <w:sz w:val="40"/>
              </w:rPr>
              <w:t>CERD</w:t>
            </w:r>
            <w:r>
              <w:t>/C/GBR/Q/18-20</w:t>
            </w:r>
          </w:p>
        </w:tc>
      </w:tr>
      <w:tr w:rsidR="002E0D40" w:rsidRPr="00DB58B5" w:rsidTr="0059365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2E0D40" w:rsidRPr="00DB58B5" w:rsidRDefault="002E0D40" w:rsidP="00593658">
            <w:pPr>
              <w:spacing w:before="120"/>
              <w:jc w:val="center"/>
            </w:pPr>
            <w:r w:rsidRPr="00DB58B5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E0D40" w:rsidRPr="00740562" w:rsidRDefault="002E0D40" w:rsidP="00593658">
            <w:pPr>
              <w:spacing w:before="120" w:line="380" w:lineRule="exact"/>
              <w:rPr>
                <w:b/>
                <w:sz w:val="40"/>
                <w:szCs w:val="40"/>
              </w:rPr>
            </w:pPr>
            <w:r>
              <w:rPr>
                <w:b/>
                <w:sz w:val="34"/>
                <w:szCs w:val="34"/>
              </w:rPr>
              <w:t>Convention internationale sur</w:t>
            </w:r>
            <w:r>
              <w:rPr>
                <w:b/>
                <w:sz w:val="34"/>
                <w:szCs w:val="34"/>
              </w:rPr>
              <w:br/>
              <w:t>l’élimination de toutes les formes</w:t>
            </w:r>
            <w:r>
              <w:rPr>
                <w:b/>
                <w:sz w:val="34"/>
                <w:szCs w:val="34"/>
              </w:rPr>
              <w:br/>
              <w:t>de discrimination raciale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50BCE" w:rsidRDefault="00850BCE" w:rsidP="00593658">
            <w:pPr>
              <w:spacing w:before="240"/>
            </w:pPr>
            <w:r>
              <w:t>Distr. générale</w:t>
            </w:r>
          </w:p>
          <w:p w:rsidR="00850BCE" w:rsidRDefault="00850BCE" w:rsidP="00850BCE">
            <w:pPr>
              <w:spacing w:line="240" w:lineRule="exact"/>
            </w:pPr>
            <w:r>
              <w:t>2 août 2011</w:t>
            </w:r>
          </w:p>
          <w:p w:rsidR="00850BCE" w:rsidRDefault="00850BCE" w:rsidP="00850BCE">
            <w:pPr>
              <w:spacing w:line="240" w:lineRule="exact"/>
            </w:pPr>
            <w:r>
              <w:t>Français</w:t>
            </w:r>
          </w:p>
          <w:p w:rsidR="002E0D40" w:rsidRPr="00DB58B5" w:rsidRDefault="00850BCE" w:rsidP="00850BCE">
            <w:pPr>
              <w:spacing w:line="240" w:lineRule="exact"/>
            </w:pPr>
            <w:r>
              <w:t>Original: anglais</w:t>
            </w:r>
          </w:p>
        </w:tc>
      </w:tr>
    </w:tbl>
    <w:p w:rsidR="00FF1DBD" w:rsidRDefault="0078670C" w:rsidP="00850BCE">
      <w:pPr>
        <w:spacing w:before="120"/>
        <w:rPr>
          <w:b/>
          <w:sz w:val="24"/>
          <w:szCs w:val="24"/>
        </w:rPr>
      </w:pPr>
      <w:r w:rsidRPr="00C56102">
        <w:rPr>
          <w:b/>
          <w:sz w:val="24"/>
          <w:szCs w:val="24"/>
        </w:rPr>
        <w:t>Comité pour l’éliminati</w:t>
      </w:r>
      <w:r w:rsidR="00850BCE">
        <w:rPr>
          <w:b/>
          <w:sz w:val="24"/>
          <w:szCs w:val="24"/>
        </w:rPr>
        <w:t>on de la discrimination raciale</w:t>
      </w:r>
    </w:p>
    <w:p w:rsidR="00487926" w:rsidRPr="00487926" w:rsidRDefault="00487926" w:rsidP="00487926">
      <w:pPr>
        <w:suppressAutoHyphens w:val="0"/>
        <w:rPr>
          <w:b/>
          <w:lang w:val="es-ES" w:eastAsia="es-ES"/>
        </w:rPr>
      </w:pPr>
      <w:r w:rsidRPr="00487926">
        <w:rPr>
          <w:b/>
          <w:lang w:val="es-ES" w:eastAsia="es-ES"/>
        </w:rPr>
        <w:t>Soixante-dix-neuvième session</w:t>
      </w:r>
    </w:p>
    <w:p w:rsidR="00487926" w:rsidRPr="00487926" w:rsidRDefault="00487926" w:rsidP="00487926">
      <w:pPr>
        <w:suppressAutoHyphens w:val="0"/>
        <w:rPr>
          <w:lang w:val="es-ES" w:eastAsia="es-ES"/>
        </w:rPr>
      </w:pPr>
      <w:r w:rsidRPr="00487926">
        <w:rPr>
          <w:lang w:val="es-ES" w:eastAsia="es-ES"/>
        </w:rPr>
        <w:t>8 août-2 septembre 2011</w:t>
      </w:r>
    </w:p>
    <w:p w:rsidR="00487926" w:rsidRPr="00ED773C" w:rsidRDefault="00487926" w:rsidP="00487926">
      <w:pPr>
        <w:pStyle w:val="HChG"/>
      </w:pPr>
      <w:r>
        <w:tab/>
      </w:r>
      <w:r>
        <w:tab/>
      </w:r>
      <w:r w:rsidRPr="00ED773C">
        <w:t>Application de la Convention internationale sur l</w:t>
      </w:r>
      <w:r>
        <w:t>’</w:t>
      </w:r>
      <w:r w:rsidRPr="00ED773C">
        <w:t>élimination de toutes les formes de discrimination raciale</w:t>
      </w:r>
    </w:p>
    <w:p w:rsidR="00487926" w:rsidRPr="00ED773C" w:rsidRDefault="00487926" w:rsidP="00487926">
      <w:pPr>
        <w:pStyle w:val="H1G"/>
      </w:pPr>
      <w:r>
        <w:tab/>
      </w:r>
      <w:r>
        <w:tab/>
      </w:r>
      <w:r w:rsidRPr="00ED773C">
        <w:t>Liste de thèmes à aborder dans le cadre de l</w:t>
      </w:r>
      <w:r>
        <w:t>’</w:t>
      </w:r>
      <w:r w:rsidRPr="00ED773C">
        <w:t>examen</w:t>
      </w:r>
      <w:r w:rsidR="00E9695E">
        <w:t xml:space="preserve"> </w:t>
      </w:r>
      <w:r w:rsidRPr="00ED773C">
        <w:t>des dix-huitième à vingtième rapports périodiques du Royaume-Uni de Grande-Bretagne et d</w:t>
      </w:r>
      <w:r>
        <w:t>’</w:t>
      </w:r>
      <w:r w:rsidRPr="00ED773C">
        <w:t>Irlande du Nord (CERD/C/GBR/18</w:t>
      </w:r>
      <w:r>
        <w:noBreakHyphen/>
      </w:r>
      <w:r w:rsidRPr="00ED773C">
        <w:t>20)</w:t>
      </w:r>
    </w:p>
    <w:tbl>
      <w:tblPr>
        <w:tblStyle w:val="TableGrid"/>
        <w:tblW w:w="76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left w:w="142" w:type="dxa"/>
          <w:right w:w="142" w:type="dxa"/>
        </w:tblCellMar>
        <w:tblLook w:val="01E0"/>
      </w:tblPr>
      <w:tblGrid>
        <w:gridCol w:w="7653"/>
      </w:tblGrid>
      <w:tr w:rsidR="00487926" w:rsidTr="00487926">
        <w:trPr>
          <w:trHeight w:hRule="exact" w:val="240"/>
          <w:jc w:val="center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7926" w:rsidRDefault="00487926" w:rsidP="00487926"/>
        </w:tc>
      </w:tr>
      <w:tr w:rsidR="00487926" w:rsidTr="00487926">
        <w:trPr>
          <w:jc w:val="center"/>
        </w:trPr>
        <w:tc>
          <w:tcPr>
            <w:tcW w:w="76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7926" w:rsidRDefault="00487926" w:rsidP="00487926">
            <w:pPr>
              <w:spacing w:after="120"/>
              <w:ind w:firstLine="567"/>
              <w:jc w:val="both"/>
            </w:pPr>
            <w:r w:rsidRPr="00ED773C">
              <w:t xml:space="preserve">On trouvera ci-après une liste de thèmes établie par le </w:t>
            </w:r>
            <w:r w:rsidRPr="00ED773C">
              <w:rPr>
                <w:rFonts w:eastAsia="MS Mincho"/>
              </w:rPr>
              <w:t>Rapporteur de pays en vue de l</w:t>
            </w:r>
            <w:r>
              <w:rPr>
                <w:rFonts w:eastAsia="MS Mincho"/>
              </w:rPr>
              <w:t>’</w:t>
            </w:r>
            <w:r w:rsidRPr="00ED773C">
              <w:rPr>
                <w:rFonts w:eastAsia="MS Mincho"/>
              </w:rPr>
              <w:t>examen des dix-huitième à vingtième rapports périodiques du Royaume-Uni. Cette liste est destinée à guider le dialogue entre la délégation de l</w:t>
            </w:r>
            <w:r>
              <w:rPr>
                <w:rFonts w:eastAsia="MS Mincho"/>
              </w:rPr>
              <w:t>’</w:t>
            </w:r>
            <w:r w:rsidRPr="00ED773C">
              <w:rPr>
                <w:rFonts w:eastAsia="MS Mincho"/>
              </w:rPr>
              <w:t xml:space="preserve">État partie et le Comité et </w:t>
            </w:r>
            <w:r w:rsidRPr="00487926">
              <w:rPr>
                <w:rFonts w:eastAsia="MS Mincho"/>
                <w:i/>
              </w:rPr>
              <w:t>n’appelle pas de réponses écrites</w:t>
            </w:r>
            <w:r w:rsidRPr="00ED773C">
              <w:rPr>
                <w:rFonts w:eastAsia="MS Mincho"/>
              </w:rPr>
              <w:t>. Il ne s</w:t>
            </w:r>
            <w:r>
              <w:rPr>
                <w:rFonts w:eastAsia="MS Mincho"/>
              </w:rPr>
              <w:t>’</w:t>
            </w:r>
            <w:r w:rsidRPr="00ED773C">
              <w:rPr>
                <w:rFonts w:eastAsia="MS Mincho"/>
              </w:rPr>
              <w:t>agit pas d</w:t>
            </w:r>
            <w:r>
              <w:rPr>
                <w:rFonts w:eastAsia="MS Mincho"/>
              </w:rPr>
              <w:t>’</w:t>
            </w:r>
            <w:r w:rsidRPr="00ED773C">
              <w:rPr>
                <w:rFonts w:eastAsia="MS Mincho"/>
              </w:rPr>
              <w:t>une liste exhaustive et d</w:t>
            </w:r>
            <w:r>
              <w:rPr>
                <w:rFonts w:eastAsia="MS Mincho"/>
              </w:rPr>
              <w:t>’</w:t>
            </w:r>
            <w:r w:rsidRPr="00ED773C">
              <w:rPr>
                <w:rFonts w:eastAsia="MS Mincho"/>
              </w:rPr>
              <w:t>autres questions seront soulevées au cours du dialogue.</w:t>
            </w:r>
          </w:p>
        </w:tc>
      </w:tr>
      <w:tr w:rsidR="00487926" w:rsidTr="00487926">
        <w:trPr>
          <w:trHeight w:hRule="exact" w:val="23"/>
          <w:jc w:val="center"/>
        </w:trPr>
        <w:tc>
          <w:tcPr>
            <w:tcW w:w="7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926" w:rsidRDefault="00487926" w:rsidP="00487926"/>
        </w:tc>
      </w:tr>
    </w:tbl>
    <w:p w:rsidR="00487926" w:rsidRPr="00ED773C" w:rsidRDefault="00487926" w:rsidP="00487926">
      <w:pPr>
        <w:pStyle w:val="H23G"/>
        <w:rPr>
          <w:rFonts w:eastAsia="MS Mincho"/>
        </w:rPr>
      </w:pPr>
      <w:r>
        <w:rPr>
          <w:rFonts w:eastAsia="MS Mincho"/>
        </w:rPr>
        <w:tab/>
      </w:r>
      <w:r w:rsidRPr="00ED773C">
        <w:rPr>
          <w:rFonts w:eastAsia="MS Mincho"/>
        </w:rPr>
        <w:t>1.</w:t>
      </w:r>
      <w:r>
        <w:rPr>
          <w:rFonts w:eastAsia="MS Mincho"/>
        </w:rPr>
        <w:tab/>
      </w:r>
      <w:r w:rsidRPr="00ED773C">
        <w:rPr>
          <w:rFonts w:eastAsia="MS Mincho"/>
        </w:rPr>
        <w:t xml:space="preserve">La Convention dans le droit interne et le cadre législatif et politique </w:t>
      </w:r>
      <w:r w:rsidR="00054DC0">
        <w:rPr>
          <w:rFonts w:eastAsia="MS Mincho"/>
        </w:rPr>
        <w:br/>
      </w:r>
      <w:r w:rsidRPr="00ED773C">
        <w:rPr>
          <w:rFonts w:eastAsia="MS Mincho"/>
        </w:rPr>
        <w:t>de sa mise en œuvre</w:t>
      </w:r>
      <w:r w:rsidR="00E9695E">
        <w:rPr>
          <w:rFonts w:eastAsia="MS Mincho"/>
        </w:rPr>
        <w:t xml:space="preserve"> </w:t>
      </w:r>
      <w:r w:rsidRPr="00ED773C">
        <w:rPr>
          <w:rFonts w:eastAsia="MS Mincho"/>
        </w:rPr>
        <w:t>(</w:t>
      </w:r>
      <w:r>
        <w:rPr>
          <w:rFonts w:eastAsia="MS Mincho"/>
        </w:rPr>
        <w:t>art. </w:t>
      </w:r>
      <w:r w:rsidRPr="00ED773C">
        <w:rPr>
          <w:rFonts w:eastAsia="MS Mincho"/>
        </w:rPr>
        <w:t>1, 2, 4 et 6)</w:t>
      </w:r>
    </w:p>
    <w:p w:rsidR="00487926" w:rsidRPr="00ED773C" w:rsidRDefault="00487926" w:rsidP="00487926">
      <w:pPr>
        <w:pStyle w:val="SingleTxtG"/>
        <w:ind w:firstLine="567"/>
      </w:pPr>
      <w:r w:rsidRPr="00ED773C">
        <w:t>a)</w:t>
      </w:r>
      <w:r>
        <w:tab/>
      </w:r>
      <w:r w:rsidRPr="00ED773C">
        <w:t xml:space="preserve">Raisons </w:t>
      </w:r>
      <w:r w:rsidR="000B75AB">
        <w:t xml:space="preserve">fondamentales pour lesquelles la </w:t>
      </w:r>
      <w:r w:rsidRPr="00ED773C">
        <w:t>Convention internationale sur l</w:t>
      </w:r>
      <w:r>
        <w:t>’</w:t>
      </w:r>
      <w:r w:rsidRPr="00ED773C">
        <w:t>élimination de toutes les formes de discrimination raciale</w:t>
      </w:r>
      <w:r w:rsidR="000B75AB">
        <w:t>, qui est de caractère universel, n’a pas été incorporée</w:t>
      </w:r>
      <w:r w:rsidRPr="00ED773C">
        <w:t xml:space="preserve"> dans l</w:t>
      </w:r>
      <w:r>
        <w:t>’</w:t>
      </w:r>
      <w:r w:rsidRPr="00ED773C">
        <w:t xml:space="preserve">ordre juridique interne du Royaume-Uni et </w:t>
      </w:r>
      <w:r w:rsidR="000B75AB">
        <w:t xml:space="preserve">justification de la </w:t>
      </w:r>
      <w:r w:rsidRPr="00ED773C">
        <w:t>position britannique selon laquelle l</w:t>
      </w:r>
      <w:r>
        <w:t>’</w:t>
      </w:r>
      <w:r w:rsidRPr="00ED773C">
        <w:t>État partie n</w:t>
      </w:r>
      <w:r>
        <w:t>’</w:t>
      </w:r>
      <w:r w:rsidRPr="00ED773C">
        <w:t>a pas l</w:t>
      </w:r>
      <w:r>
        <w:t>’</w:t>
      </w:r>
      <w:r w:rsidRPr="00ED773C">
        <w:t>intention de le faire dans un proche avenir alors que l</w:t>
      </w:r>
      <w:r>
        <w:t>’</w:t>
      </w:r>
      <w:r w:rsidRPr="00ED773C">
        <w:t>incorporation complète de la Convention européenne des droits de l</w:t>
      </w:r>
      <w:r>
        <w:t>’</w:t>
      </w:r>
      <w:r w:rsidRPr="00ED773C">
        <w:t>homme, instrument régional, n</w:t>
      </w:r>
      <w:r>
        <w:t>’</w:t>
      </w:r>
      <w:r w:rsidRPr="00ED773C">
        <w:t xml:space="preserve">a posé aucune difficulté (CERD/C/63/CO/11, </w:t>
      </w:r>
      <w:r>
        <w:t>par. </w:t>
      </w:r>
      <w:r w:rsidRPr="00ED773C">
        <w:t xml:space="preserve">11, et A/HRC/WG.6/1/GBR/2, </w:t>
      </w:r>
      <w:r>
        <w:t>par. </w:t>
      </w:r>
      <w:r w:rsidRPr="00ED773C">
        <w:t>3);</w:t>
      </w:r>
    </w:p>
    <w:p w:rsidR="00487926" w:rsidRPr="00ED773C" w:rsidRDefault="00487926" w:rsidP="00487926">
      <w:pPr>
        <w:pStyle w:val="SingleTxtG"/>
        <w:ind w:firstLine="567"/>
      </w:pPr>
      <w:r w:rsidRPr="00ED773C">
        <w:t>b)</w:t>
      </w:r>
      <w:r>
        <w:tab/>
      </w:r>
      <w:r w:rsidRPr="00ED773C">
        <w:t>L</w:t>
      </w:r>
      <w:r>
        <w:t>’</w:t>
      </w:r>
      <w:r w:rsidRPr="00ED773C">
        <w:t xml:space="preserve">article 19D de </w:t>
      </w:r>
      <w:r w:rsidRPr="00ED773C">
        <w:rPr>
          <w:shd w:val="clear" w:color="auto" w:fill="FFFFFF"/>
          <w:lang w:val="fr-FR"/>
        </w:rPr>
        <w:t>la loi de 1976 sur les relations interraciales</w:t>
      </w:r>
      <w:r w:rsidR="00E9695E">
        <w:rPr>
          <w:shd w:val="clear" w:color="auto" w:fill="FFFFFF"/>
          <w:lang w:val="fr-FR"/>
        </w:rPr>
        <w:t xml:space="preserve"> </w:t>
      </w:r>
      <w:r w:rsidRPr="00ED773C">
        <w:t>a été reproduit dans la loi de 2010 sur l</w:t>
      </w:r>
      <w:r>
        <w:t>’</w:t>
      </w:r>
      <w:r w:rsidRPr="00ED773C">
        <w:t>égalité</w:t>
      </w:r>
      <w:r>
        <w:t>,</w:t>
      </w:r>
      <w:r w:rsidRPr="00ED773C">
        <w:t xml:space="preserve"> habilitant les agents de l</w:t>
      </w:r>
      <w:r>
        <w:t>’</w:t>
      </w:r>
      <w:r w:rsidRPr="00ED773C">
        <w:t>État à procéder à une discrimination fondée sur la nationalité ou l</w:t>
      </w:r>
      <w:r>
        <w:t>’</w:t>
      </w:r>
      <w:r w:rsidRPr="00ED773C">
        <w:t>origine ethnique si une telle discrimination est autorisée par un ministre. Fournir des données statistiques sur les cas où cette disposition a été appliquée depuis l</w:t>
      </w:r>
      <w:r>
        <w:t>’</w:t>
      </w:r>
      <w:r w:rsidRPr="00ED773C">
        <w:t>entrée en vigueur de la loi en indiquant si son application a été conforme aux procédures et transparente et si les personnes concernées ont pu ex</w:t>
      </w:r>
      <w:r>
        <w:t>ercer un recours (CERD/C/GBR/18</w:t>
      </w:r>
      <w:r>
        <w:noBreakHyphen/>
      </w:r>
      <w:r w:rsidRPr="00ED773C">
        <w:t xml:space="preserve">20, </w:t>
      </w:r>
      <w:r>
        <w:t>par. </w:t>
      </w:r>
      <w:r w:rsidRPr="00ED773C">
        <w:t>196 et 197</w:t>
      </w:r>
      <w:r w:rsidR="00EC056C">
        <w:t>,</w:t>
      </w:r>
      <w:r w:rsidRPr="00ED773C">
        <w:t xml:space="preserve"> et CERD/C/63/CO/11, </w:t>
      </w:r>
      <w:r>
        <w:t>par. </w:t>
      </w:r>
      <w:r w:rsidRPr="00ED773C">
        <w:t>16);</w:t>
      </w:r>
    </w:p>
    <w:p w:rsidR="00487926" w:rsidRPr="00ED773C" w:rsidRDefault="00487926" w:rsidP="00487926">
      <w:pPr>
        <w:pStyle w:val="SingleTxtG"/>
        <w:ind w:firstLine="567"/>
      </w:pPr>
      <w:r w:rsidRPr="00ED773C">
        <w:t>c</w:t>
      </w:r>
      <w:r>
        <w:t>)</w:t>
      </w:r>
      <w:r>
        <w:tab/>
      </w:r>
      <w:r w:rsidR="000B75AB">
        <w:t xml:space="preserve">Les demandes systématiques et répétées </w:t>
      </w:r>
      <w:r w:rsidRPr="00ED773C">
        <w:t xml:space="preserve">adressées par le </w:t>
      </w:r>
      <w:r w:rsidR="000B75AB">
        <w:t xml:space="preserve">Comité </w:t>
      </w:r>
      <w:r w:rsidRPr="00ED773C">
        <w:t>et d</w:t>
      </w:r>
      <w:r>
        <w:t>’</w:t>
      </w:r>
      <w:r w:rsidRPr="00ED773C">
        <w:t>autres organes de défense des droits de l</w:t>
      </w:r>
      <w:r>
        <w:t>’</w:t>
      </w:r>
      <w:r w:rsidRPr="00ED773C">
        <w:t>homme à l</w:t>
      </w:r>
      <w:r>
        <w:t>’</w:t>
      </w:r>
      <w:r w:rsidRPr="00ED773C">
        <w:t xml:space="preserve">État partie </w:t>
      </w:r>
      <w:r w:rsidR="000B75AB">
        <w:t xml:space="preserve">pour qu’il retire </w:t>
      </w:r>
      <w:r w:rsidRPr="00ED773C">
        <w:t>sa déclaration interprétative concernant l</w:t>
      </w:r>
      <w:r>
        <w:t>’</w:t>
      </w:r>
      <w:r w:rsidRPr="00ED773C">
        <w:t xml:space="preserve">article 4 de la Convention </w:t>
      </w:r>
      <w:r w:rsidR="000B75AB">
        <w:t xml:space="preserve">donnent à penser qu’il faudrait mieux concilier la sauvegarde </w:t>
      </w:r>
      <w:r w:rsidRPr="00ED773C">
        <w:t>de la liberté d</w:t>
      </w:r>
      <w:r>
        <w:t>’</w:t>
      </w:r>
      <w:r w:rsidRPr="00ED773C">
        <w:t xml:space="preserve">expression et la protection des particuliers contre la haine raciale et la violence (CERD/C/63/CO/11, </w:t>
      </w:r>
      <w:r w:rsidR="00EC056C">
        <w:t>par. 12,</w:t>
      </w:r>
      <w:r>
        <w:t xml:space="preserve"> CERD/C/GBR/18</w:t>
      </w:r>
      <w:r>
        <w:noBreakHyphen/>
      </w:r>
      <w:r w:rsidRPr="00ED773C">
        <w:t xml:space="preserve">20, </w:t>
      </w:r>
      <w:r>
        <w:t>par. </w:t>
      </w:r>
      <w:r w:rsidR="00EC056C">
        <w:t>106 et 107,</w:t>
      </w:r>
      <w:r w:rsidRPr="00ED773C">
        <w:t xml:space="preserve"> et A/HRC/8/25, </w:t>
      </w:r>
      <w:r>
        <w:t>par. </w:t>
      </w:r>
      <w:r w:rsidRPr="00ED773C">
        <w:t>56.23 et 56.24);</w:t>
      </w:r>
    </w:p>
    <w:p w:rsidR="00487926" w:rsidRPr="00ED773C" w:rsidRDefault="00487926" w:rsidP="00487926">
      <w:pPr>
        <w:pStyle w:val="SingleTxtG"/>
        <w:ind w:firstLine="567"/>
      </w:pPr>
      <w:r w:rsidRPr="00ED773C">
        <w:t>d</w:t>
      </w:r>
      <w:r>
        <w:t>)</w:t>
      </w:r>
      <w:r>
        <w:tab/>
      </w:r>
      <w:r w:rsidRPr="00ED773C">
        <w:t xml:space="preserve">Recours croissant </w:t>
      </w:r>
      <w:r w:rsidR="000B75AB">
        <w:t xml:space="preserve">et encore disproportionné </w:t>
      </w:r>
      <w:r w:rsidRPr="00ED773C">
        <w:t xml:space="preserve">aux </w:t>
      </w:r>
      <w:r w:rsidR="000B75AB">
        <w:t>interpellations et aux fouilles</w:t>
      </w:r>
      <w:r w:rsidRPr="00ED773C">
        <w:t>, en particulier à l</w:t>
      </w:r>
      <w:r>
        <w:t>’</w:t>
      </w:r>
      <w:r w:rsidRPr="00ED773C">
        <w:t>encontre des personnes d</w:t>
      </w:r>
      <w:r>
        <w:t>’</w:t>
      </w:r>
      <w:r w:rsidRPr="00ED773C">
        <w:t>origine africaine ou asiatique, au titre de l</w:t>
      </w:r>
      <w:r>
        <w:t>’</w:t>
      </w:r>
      <w:r w:rsidRPr="00ED773C">
        <w:t>article 60 de la loi relative aux infractions pénales et atteintes à l</w:t>
      </w:r>
      <w:r>
        <w:t>’</w:t>
      </w:r>
      <w:r w:rsidRPr="00ED773C">
        <w:t xml:space="preserve">ordre public </w:t>
      </w:r>
      <w:r w:rsidR="00EC056C">
        <w:br/>
      </w:r>
      <w:r w:rsidRPr="00ED773C">
        <w:t>et de l</w:t>
      </w:r>
      <w:r>
        <w:t>’</w:t>
      </w:r>
      <w:r w:rsidRPr="00ED773C">
        <w:t xml:space="preserve">article 44 de la loi sur le terrorisme (A/HRC/7/10/Add.3, </w:t>
      </w:r>
      <w:r>
        <w:t>par. </w:t>
      </w:r>
      <w:r w:rsidRPr="00ED773C">
        <w:t>41</w:t>
      </w:r>
      <w:r w:rsidR="00EC056C">
        <w:t xml:space="preserve"> </w:t>
      </w:r>
      <w:r w:rsidRPr="00ED773C">
        <w:t>et 42</w:t>
      </w:r>
      <w:r w:rsidR="00EC056C">
        <w:t>,</w:t>
      </w:r>
      <w:r w:rsidRPr="00ED773C">
        <w:t xml:space="preserve"> CERD/C/GBR/18</w:t>
      </w:r>
      <w:r>
        <w:noBreakHyphen/>
      </w:r>
      <w:r w:rsidRPr="00ED773C">
        <w:t xml:space="preserve">20, </w:t>
      </w:r>
      <w:r>
        <w:t>par. </w:t>
      </w:r>
      <w:r w:rsidRPr="00ED773C">
        <w:t>184 à 189</w:t>
      </w:r>
      <w:r w:rsidR="000B75AB">
        <w:t>,</w:t>
      </w:r>
      <w:r w:rsidRPr="00ED773C">
        <w:t xml:space="preserve"> et CERD/C/63/CO/11, </w:t>
      </w:r>
      <w:r>
        <w:t>par. </w:t>
      </w:r>
      <w:r w:rsidRPr="00ED773C">
        <w:t>19);</w:t>
      </w:r>
    </w:p>
    <w:p w:rsidR="00487926" w:rsidRPr="00ED773C" w:rsidRDefault="00487926" w:rsidP="00487926">
      <w:pPr>
        <w:pStyle w:val="SingleTxtG"/>
        <w:ind w:firstLine="567"/>
      </w:pPr>
      <w:r w:rsidRPr="00ED773C">
        <w:t>e</w:t>
      </w:r>
      <w:r>
        <w:t>)</w:t>
      </w:r>
      <w:r>
        <w:tab/>
      </w:r>
      <w:r w:rsidR="000B75AB">
        <w:t>La d</w:t>
      </w:r>
      <w:r w:rsidRPr="00ED773C">
        <w:t xml:space="preserve">iscrimination </w:t>
      </w:r>
      <w:r w:rsidR="000B75AB">
        <w:t xml:space="preserve">de </w:t>
      </w:r>
      <w:r w:rsidRPr="00ED773C">
        <w:t xml:space="preserve">caractère </w:t>
      </w:r>
      <w:r w:rsidR="000B75AB">
        <w:t xml:space="preserve">sectaire </w:t>
      </w:r>
      <w:r w:rsidRPr="00ED773C">
        <w:t xml:space="preserve">en Irlande du Nord et </w:t>
      </w:r>
      <w:r w:rsidR="000B75AB">
        <w:t xml:space="preserve">les </w:t>
      </w:r>
      <w:r w:rsidRPr="00ED773C">
        <w:t xml:space="preserve">agressions physiques </w:t>
      </w:r>
      <w:r w:rsidR="000B75AB">
        <w:t xml:space="preserve">contre les </w:t>
      </w:r>
      <w:r w:rsidRPr="00ED773C">
        <w:t>membres de minorités religieuses et leur</w:t>
      </w:r>
      <w:r w:rsidR="000B75AB">
        <w:t>s</w:t>
      </w:r>
      <w:r w:rsidRPr="00ED773C">
        <w:t xml:space="preserve"> lieu</w:t>
      </w:r>
      <w:r w:rsidR="000B75AB">
        <w:t>x</w:t>
      </w:r>
      <w:r w:rsidRPr="00ED773C">
        <w:t xml:space="preserve"> de culte </w:t>
      </w:r>
      <w:r w:rsidR="000B75AB">
        <w:t xml:space="preserve">mettent en jeu </w:t>
      </w:r>
      <w:r w:rsidRPr="00ED773C">
        <w:t xml:space="preserve">les dispositions de la Convention </w:t>
      </w:r>
      <w:r w:rsidR="000B75AB">
        <w:t xml:space="preserve">vu </w:t>
      </w:r>
      <w:r w:rsidRPr="00ED773C">
        <w:t xml:space="preserve">la corrélation entre religion et discrimination raciale </w:t>
      </w:r>
      <w:r w:rsidR="000B75AB">
        <w:t>(</w:t>
      </w:r>
      <w:r w:rsidRPr="00ED773C">
        <w:t xml:space="preserve">A/HRC/7/10/Add.3, </w:t>
      </w:r>
      <w:r>
        <w:t>par. </w:t>
      </w:r>
      <w:r w:rsidRPr="00ED773C">
        <w:t>63 et 65);</w:t>
      </w:r>
    </w:p>
    <w:p w:rsidR="00487926" w:rsidRPr="00ED773C" w:rsidRDefault="00487926" w:rsidP="00487926">
      <w:pPr>
        <w:pStyle w:val="SingleTxtG"/>
        <w:ind w:firstLine="567"/>
      </w:pPr>
      <w:r w:rsidRPr="00ED773C">
        <w:t>f</w:t>
      </w:r>
      <w:r>
        <w:t>)</w:t>
      </w:r>
      <w:r>
        <w:tab/>
      </w:r>
      <w:r w:rsidR="000B75AB">
        <w:t>R</w:t>
      </w:r>
      <w:r w:rsidRPr="00ED773C">
        <w:t>ésultats de</w:t>
      </w:r>
      <w:r w:rsidR="000B75AB">
        <w:t xml:space="preserve">s </w:t>
      </w:r>
      <w:r w:rsidRPr="00ED773C">
        <w:t>examen</w:t>
      </w:r>
      <w:r w:rsidR="000B75AB">
        <w:t>s</w:t>
      </w:r>
      <w:r w:rsidRPr="00ED773C">
        <w:t xml:space="preserve"> des ordonnances de contrôle rendues dans le cadre de la législation </w:t>
      </w:r>
      <w:r w:rsidR="000B75AB">
        <w:t xml:space="preserve">antiterroriste </w:t>
      </w:r>
      <w:r w:rsidRPr="00ED773C">
        <w:t>et de la législation relative aux ordonnances de contrôle</w:t>
      </w:r>
      <w:r w:rsidR="000B75AB">
        <w:t>,</w:t>
      </w:r>
      <w:r w:rsidRPr="00ED773C">
        <w:t xml:space="preserve"> effectué</w:t>
      </w:r>
      <w:r w:rsidR="000B75AB">
        <w:t>s</w:t>
      </w:r>
      <w:r w:rsidRPr="00ED773C">
        <w:t xml:space="preserve"> en 2010 et 2011</w:t>
      </w:r>
      <w:r w:rsidR="000B75AB">
        <w:t>,</w:t>
      </w:r>
      <w:r w:rsidRPr="00ED773C">
        <w:t xml:space="preserve"> nombre d</w:t>
      </w:r>
      <w:r>
        <w:t>’</w:t>
      </w:r>
      <w:r w:rsidRPr="00ED773C">
        <w:t xml:space="preserve">ordonnances de contrôle actuellement en vigueur et nombre de particuliers soumis à ces ordonnances, eu égard aux conséquences négatives des mesures antiterroristes sur certains groupes comme les musulmans et </w:t>
      </w:r>
      <w:r w:rsidR="000B75AB">
        <w:t>à l’</w:t>
      </w:r>
      <w:r w:rsidRPr="00ED773C">
        <w:t xml:space="preserve">augmentation </w:t>
      </w:r>
      <w:r w:rsidR="00EC056C">
        <w:br/>
      </w:r>
      <w:r w:rsidRPr="00ED773C">
        <w:t>de l</w:t>
      </w:r>
      <w:r>
        <w:t>’</w:t>
      </w:r>
      <w:r w:rsidRPr="00ED773C">
        <w:t>islamophobie qui en résulte (CERD/C/GBR/18</w:t>
      </w:r>
      <w:r>
        <w:noBreakHyphen/>
      </w:r>
      <w:r w:rsidRPr="00ED773C">
        <w:t xml:space="preserve">20, </w:t>
      </w:r>
      <w:r>
        <w:t>par. 199</w:t>
      </w:r>
      <w:r w:rsidR="000B75AB">
        <w:t xml:space="preserve"> à </w:t>
      </w:r>
      <w:r>
        <w:t>216</w:t>
      </w:r>
      <w:r w:rsidR="000B75AB">
        <w:t>,</w:t>
      </w:r>
      <w:r>
        <w:t xml:space="preserve"> et CERD/C/GBR/18</w:t>
      </w:r>
      <w:r>
        <w:noBreakHyphen/>
      </w:r>
      <w:r w:rsidRPr="00ED773C">
        <w:t xml:space="preserve">20, </w:t>
      </w:r>
      <w:r>
        <w:t>par. </w:t>
      </w:r>
      <w:r w:rsidRPr="00ED773C">
        <w:t>116 et 158).</w:t>
      </w:r>
    </w:p>
    <w:p w:rsidR="00487926" w:rsidRPr="00ED773C" w:rsidRDefault="00487926" w:rsidP="00487926">
      <w:pPr>
        <w:pStyle w:val="H23G"/>
      </w:pPr>
      <w:r>
        <w:tab/>
      </w:r>
      <w:r w:rsidRPr="00ED773C">
        <w:t>2.</w:t>
      </w:r>
      <w:r>
        <w:tab/>
      </w:r>
      <w:r w:rsidRPr="00ED773C">
        <w:t>Intégration, lutte contre les préjugés raciaux et situation des non-ressortissants (travailleurs migrants, demandeurs d</w:t>
      </w:r>
      <w:r>
        <w:t>’</w:t>
      </w:r>
      <w:r w:rsidRPr="00ED773C">
        <w:t>asile et réfugiés) (</w:t>
      </w:r>
      <w:r>
        <w:t>art. </w:t>
      </w:r>
      <w:r w:rsidRPr="00ED773C">
        <w:t>2, 5 et 6)</w:t>
      </w:r>
    </w:p>
    <w:p w:rsidR="00487926" w:rsidRPr="00ED773C" w:rsidRDefault="00487926" w:rsidP="00487926">
      <w:pPr>
        <w:pStyle w:val="SingleTxtG"/>
        <w:ind w:firstLine="567"/>
        <w:rPr>
          <w:lang w:val="fr-FR"/>
        </w:rPr>
      </w:pPr>
      <w:r w:rsidRPr="00ED773C">
        <w:t>a</w:t>
      </w:r>
      <w:r>
        <w:t>)</w:t>
      </w:r>
      <w:r>
        <w:tab/>
      </w:r>
      <w:r w:rsidRPr="00ED773C">
        <w:t>Mesures prises pour lutter contre l</w:t>
      </w:r>
      <w:r>
        <w:t>’</w:t>
      </w:r>
      <w:r w:rsidRPr="00ED773C">
        <w:t>exacerbation des préjugés raciaux à l</w:t>
      </w:r>
      <w:r>
        <w:t>’</w:t>
      </w:r>
      <w:r w:rsidRPr="00ED773C">
        <w:t>encontre des minorités ethniques, des demandeurs d</w:t>
      </w:r>
      <w:r>
        <w:t>’</w:t>
      </w:r>
      <w:r w:rsidRPr="00ED773C">
        <w:t xml:space="preserve">asile et des immigrants, </w:t>
      </w:r>
      <w:r w:rsidR="000B75AB">
        <w:t xml:space="preserve">tels qu’ils ressortent de </w:t>
      </w:r>
      <w:r w:rsidRPr="00ED773C">
        <w:t>l</w:t>
      </w:r>
      <w:r>
        <w:t>’</w:t>
      </w:r>
      <w:r w:rsidRPr="00ED773C">
        <w:t xml:space="preserve">image négative </w:t>
      </w:r>
      <w:r w:rsidR="000B75AB">
        <w:t xml:space="preserve">et préjudiciable </w:t>
      </w:r>
      <w:r w:rsidRPr="00ED773C">
        <w:t>qu</w:t>
      </w:r>
      <w:r>
        <w:t>’</w:t>
      </w:r>
      <w:r w:rsidRPr="00ED773C">
        <w:t xml:space="preserve">en véhiculent les médias (CERD/C/63/CO/11, </w:t>
      </w:r>
      <w:r>
        <w:t>par. </w:t>
      </w:r>
      <w:r w:rsidRPr="00ED773C">
        <w:t xml:space="preserve">13). Informations sur les cas de décisions rendues par les autorités </w:t>
      </w:r>
      <w:r w:rsidR="000B75AB">
        <w:t xml:space="preserve">compétentes </w:t>
      </w:r>
      <w:r w:rsidRPr="00ED773C">
        <w:t>au titre de</w:t>
      </w:r>
      <w:r w:rsidR="000B75AB">
        <w:t>s</w:t>
      </w:r>
      <w:r w:rsidRPr="00ED773C">
        <w:t xml:space="preserve"> article</w:t>
      </w:r>
      <w:r w:rsidR="000B75AB">
        <w:t>s</w:t>
      </w:r>
      <w:r w:rsidRPr="00ED773C">
        <w:t xml:space="preserve"> 1</w:t>
      </w:r>
      <w:r w:rsidR="000B75AB" w:rsidRPr="000B75AB">
        <w:rPr>
          <w:vertAlign w:val="superscript"/>
        </w:rPr>
        <w:t>er</w:t>
      </w:r>
      <w:r w:rsidR="000B75AB">
        <w:t xml:space="preserve"> (De la précision</w:t>
      </w:r>
      <w:r w:rsidRPr="00ED773C">
        <w:t>) et 13 (De la discriminatio</w:t>
      </w:r>
      <w:r w:rsidR="000B75AB">
        <w:t>n</w:t>
      </w:r>
      <w:r w:rsidRPr="00ED773C">
        <w:t xml:space="preserve">) du </w:t>
      </w:r>
      <w:r w:rsidR="000B75AB" w:rsidRPr="00ED773C">
        <w:t>c</w:t>
      </w:r>
      <w:r w:rsidRPr="00ED773C">
        <w:t xml:space="preserve">ode de déontologie de la </w:t>
      </w:r>
      <w:r w:rsidRPr="00ED773C">
        <w:rPr>
          <w:lang w:val="fr-FR"/>
        </w:rPr>
        <w:t>Commission des plaintes contre la presse visant à garantir que les rédacteurs en chef s</w:t>
      </w:r>
      <w:r>
        <w:rPr>
          <w:lang w:val="fr-FR"/>
        </w:rPr>
        <w:t>’</w:t>
      </w:r>
      <w:r w:rsidRPr="00ED773C">
        <w:rPr>
          <w:lang w:val="fr-FR"/>
        </w:rPr>
        <w:t xml:space="preserve">abstiennent de faire paraître des déclarations trompeuses ou déformées et suppriment les allusions péjoratives ou déplacées à la race, la religion ou la nationalité </w:t>
      </w:r>
      <w:r w:rsidR="000B75AB">
        <w:rPr>
          <w:lang w:val="fr-FR"/>
        </w:rPr>
        <w:t xml:space="preserve">de telle ou telle personne </w:t>
      </w:r>
      <w:r w:rsidRPr="00ED773C">
        <w:rPr>
          <w:lang w:val="fr-FR"/>
        </w:rPr>
        <w:t>(CERD/C/GBR/18</w:t>
      </w:r>
      <w:r>
        <w:rPr>
          <w:lang w:val="fr-FR"/>
        </w:rPr>
        <w:noBreakHyphen/>
      </w:r>
      <w:r w:rsidRPr="00ED773C">
        <w:rPr>
          <w:lang w:val="fr-FR"/>
        </w:rPr>
        <w:t xml:space="preserve">20, </w:t>
      </w:r>
      <w:r>
        <w:rPr>
          <w:lang w:val="fr-FR"/>
        </w:rPr>
        <w:t>par. </w:t>
      </w:r>
      <w:r w:rsidRPr="00ED773C">
        <w:rPr>
          <w:lang w:val="fr-FR"/>
        </w:rPr>
        <w:t>110);</w:t>
      </w:r>
    </w:p>
    <w:p w:rsidR="00487926" w:rsidRPr="00ED773C" w:rsidRDefault="00487926" w:rsidP="00487926">
      <w:pPr>
        <w:pStyle w:val="SingleTxtG"/>
        <w:ind w:firstLine="567"/>
        <w:rPr>
          <w:lang w:val="fr-FR"/>
        </w:rPr>
      </w:pPr>
      <w:r w:rsidRPr="00ED773C">
        <w:rPr>
          <w:lang w:val="fr-FR"/>
        </w:rPr>
        <w:t>b</w:t>
      </w:r>
      <w:r>
        <w:rPr>
          <w:lang w:val="fr-FR"/>
        </w:rPr>
        <w:t>)</w:t>
      </w:r>
      <w:r>
        <w:rPr>
          <w:lang w:val="fr-FR"/>
        </w:rPr>
        <w:tab/>
      </w:r>
      <w:r w:rsidRPr="00ED773C">
        <w:rPr>
          <w:lang w:val="fr-FR"/>
        </w:rPr>
        <w:t>Données sur le nombre et la proportion d</w:t>
      </w:r>
      <w:r>
        <w:rPr>
          <w:lang w:val="fr-FR"/>
        </w:rPr>
        <w:t>’</w:t>
      </w:r>
      <w:r w:rsidRPr="00ED773C">
        <w:rPr>
          <w:lang w:val="fr-FR"/>
        </w:rPr>
        <w:t xml:space="preserve">employés </w:t>
      </w:r>
      <w:r w:rsidR="000B75AB">
        <w:rPr>
          <w:lang w:val="fr-FR"/>
        </w:rPr>
        <w:t xml:space="preserve">d’ascendance </w:t>
      </w:r>
      <w:r w:rsidRPr="00ED773C">
        <w:rPr>
          <w:lang w:val="fr-FR"/>
        </w:rPr>
        <w:t>africaine et d</w:t>
      </w:r>
      <w:r>
        <w:rPr>
          <w:lang w:val="fr-FR"/>
        </w:rPr>
        <w:t>’</w:t>
      </w:r>
      <w:r w:rsidRPr="00ED773C">
        <w:rPr>
          <w:lang w:val="fr-FR"/>
        </w:rPr>
        <w:t xml:space="preserve">autres minorités </w:t>
      </w:r>
      <w:r w:rsidR="000B75AB">
        <w:rPr>
          <w:lang w:val="fr-FR"/>
        </w:rPr>
        <w:t xml:space="preserve">parmi le </w:t>
      </w:r>
      <w:r w:rsidRPr="00ED773C">
        <w:rPr>
          <w:lang w:val="fr-FR"/>
        </w:rPr>
        <w:t xml:space="preserve">personnel des cinq institutions </w:t>
      </w:r>
      <w:r w:rsidR="000B75AB">
        <w:rPr>
          <w:lang w:val="fr-FR"/>
        </w:rPr>
        <w:t>du système de justice pénale</w:t>
      </w:r>
      <w:r w:rsidRPr="00ED773C">
        <w:rPr>
          <w:lang w:val="fr-FR"/>
        </w:rPr>
        <w:t xml:space="preserve"> pour les cinq dernières années. Informations sur </w:t>
      </w:r>
      <w:r w:rsidR="000B75AB">
        <w:rPr>
          <w:lang w:val="fr-FR"/>
        </w:rPr>
        <w:t xml:space="preserve">l’application de </w:t>
      </w:r>
      <w:r w:rsidRPr="00ED773C">
        <w:rPr>
          <w:lang w:val="fr-FR"/>
        </w:rPr>
        <w:t>l</w:t>
      </w:r>
      <w:r>
        <w:rPr>
          <w:lang w:val="fr-FR"/>
        </w:rPr>
        <w:t>’</w:t>
      </w:r>
      <w:r w:rsidRPr="00ED773C">
        <w:rPr>
          <w:lang w:val="fr-FR"/>
        </w:rPr>
        <w:t>ensemble minimal de données sur l</w:t>
      </w:r>
      <w:r>
        <w:rPr>
          <w:lang w:val="fr-FR"/>
        </w:rPr>
        <w:t>’</w:t>
      </w:r>
      <w:r w:rsidRPr="00ED773C">
        <w:rPr>
          <w:lang w:val="fr-FR"/>
        </w:rPr>
        <w:t>origine ethnique élaboré pour aider les organes de la justice pénale à identifier les facteurs de disproportion entre les communautés à des étapes cl</w:t>
      </w:r>
      <w:r w:rsidR="000B75AB">
        <w:rPr>
          <w:lang w:val="fr-FR"/>
        </w:rPr>
        <w:t>ef</w:t>
      </w:r>
      <w:r w:rsidRPr="00ED773C">
        <w:rPr>
          <w:lang w:val="fr-FR"/>
        </w:rPr>
        <w:t xml:space="preserve">s dans le système de </w:t>
      </w:r>
      <w:r w:rsidR="000B75AB">
        <w:rPr>
          <w:lang w:val="fr-FR"/>
        </w:rPr>
        <w:t xml:space="preserve">justice pénale </w:t>
      </w:r>
      <w:r w:rsidRPr="00ED773C">
        <w:rPr>
          <w:lang w:val="fr-FR"/>
        </w:rPr>
        <w:t>et utilité des outils de diagnostic mis en place par les commissions d</w:t>
      </w:r>
      <w:r>
        <w:rPr>
          <w:lang w:val="fr-FR"/>
        </w:rPr>
        <w:t>’</w:t>
      </w:r>
      <w:r w:rsidRPr="00ED773C">
        <w:rPr>
          <w:lang w:val="fr-FR"/>
        </w:rPr>
        <w:t>études locales sur la justice pénale dans l</w:t>
      </w:r>
      <w:r>
        <w:rPr>
          <w:lang w:val="fr-FR"/>
        </w:rPr>
        <w:t>’</w:t>
      </w:r>
      <w:r w:rsidRPr="00ED773C">
        <w:rPr>
          <w:lang w:val="fr-FR"/>
        </w:rPr>
        <w:t>id</w:t>
      </w:r>
      <w:r w:rsidR="000B75AB">
        <w:rPr>
          <w:lang w:val="fr-FR"/>
        </w:rPr>
        <w:t>entification de ces facteurs clef</w:t>
      </w:r>
      <w:r w:rsidRPr="00ED773C">
        <w:rPr>
          <w:lang w:val="fr-FR"/>
        </w:rPr>
        <w:t>s (CERD/C/BGR/18</w:t>
      </w:r>
      <w:r>
        <w:rPr>
          <w:lang w:val="fr-FR"/>
        </w:rPr>
        <w:noBreakHyphen/>
      </w:r>
      <w:r w:rsidRPr="00ED773C">
        <w:rPr>
          <w:lang w:val="fr-FR"/>
        </w:rPr>
        <w:t xml:space="preserve">20, </w:t>
      </w:r>
      <w:r>
        <w:rPr>
          <w:lang w:val="fr-FR"/>
        </w:rPr>
        <w:t>par. </w:t>
      </w:r>
      <w:r w:rsidRPr="00ED773C">
        <w:rPr>
          <w:lang w:val="fr-FR"/>
        </w:rPr>
        <w:t>166 et 167);</w:t>
      </w:r>
    </w:p>
    <w:p w:rsidR="00487926" w:rsidRPr="00ED773C" w:rsidRDefault="00487926" w:rsidP="00487926">
      <w:pPr>
        <w:pStyle w:val="SingleTxtG"/>
        <w:ind w:firstLine="567"/>
        <w:rPr>
          <w:lang w:val="fr-FR"/>
        </w:rPr>
      </w:pPr>
      <w:r w:rsidRPr="00ED773C">
        <w:rPr>
          <w:lang w:val="fr-FR"/>
        </w:rPr>
        <w:t>c</w:t>
      </w:r>
      <w:r>
        <w:rPr>
          <w:lang w:val="fr-FR"/>
        </w:rPr>
        <w:t>)</w:t>
      </w:r>
      <w:r>
        <w:rPr>
          <w:lang w:val="fr-FR"/>
        </w:rPr>
        <w:tab/>
      </w:r>
      <w:r w:rsidRPr="00ED773C">
        <w:rPr>
          <w:lang w:val="fr-FR"/>
        </w:rPr>
        <w:t xml:space="preserve">Mesures prises pour </w:t>
      </w:r>
      <w:r w:rsidR="000B75AB">
        <w:rPr>
          <w:lang w:val="fr-FR"/>
        </w:rPr>
        <w:t xml:space="preserve">remédier au </w:t>
      </w:r>
      <w:r w:rsidRPr="00ED773C">
        <w:rPr>
          <w:lang w:val="fr-FR"/>
        </w:rPr>
        <w:t xml:space="preserve">nombre disproportionné </w:t>
      </w:r>
      <w:r w:rsidR="000B75AB">
        <w:rPr>
          <w:lang w:val="fr-FR"/>
        </w:rPr>
        <w:t xml:space="preserve">de décès en garde à vue </w:t>
      </w:r>
      <w:r w:rsidRPr="00ED773C">
        <w:rPr>
          <w:lang w:val="fr-FR"/>
        </w:rPr>
        <w:t>de personnes appartenant à des minorités ethniques (CERD/</w:t>
      </w:r>
      <w:r w:rsidR="00EC056C">
        <w:rPr>
          <w:lang w:val="fr-FR"/>
        </w:rPr>
        <w:t>C/</w:t>
      </w:r>
      <w:r w:rsidRPr="00ED773C">
        <w:rPr>
          <w:lang w:val="fr-FR"/>
        </w:rPr>
        <w:t>GBR/18</w:t>
      </w:r>
      <w:r>
        <w:rPr>
          <w:lang w:val="fr-FR"/>
        </w:rPr>
        <w:noBreakHyphen/>
      </w:r>
      <w:r w:rsidRPr="00ED773C">
        <w:rPr>
          <w:lang w:val="fr-FR"/>
        </w:rPr>
        <w:t xml:space="preserve">20, </w:t>
      </w:r>
      <w:r>
        <w:rPr>
          <w:lang w:val="fr-FR"/>
        </w:rPr>
        <w:t>par. </w:t>
      </w:r>
      <w:r w:rsidRPr="00ED773C">
        <w:rPr>
          <w:lang w:val="fr-FR"/>
        </w:rPr>
        <w:t>172, 178, 181</w:t>
      </w:r>
      <w:r w:rsidR="00EC056C">
        <w:rPr>
          <w:lang w:val="fr-FR"/>
        </w:rPr>
        <w:t>,</w:t>
      </w:r>
      <w:r w:rsidRPr="00ED773C">
        <w:rPr>
          <w:lang w:val="fr-FR"/>
        </w:rPr>
        <w:t xml:space="preserve"> et CERD/C/63/CO/11, </w:t>
      </w:r>
      <w:r>
        <w:rPr>
          <w:lang w:val="fr-FR"/>
        </w:rPr>
        <w:t>par. </w:t>
      </w:r>
      <w:r w:rsidRPr="00ED773C">
        <w:rPr>
          <w:lang w:val="fr-FR"/>
        </w:rPr>
        <w:t xml:space="preserve">18); </w:t>
      </w:r>
      <w:r w:rsidR="000B75AB" w:rsidRPr="00487926">
        <w:t>d</w:t>
      </w:r>
      <w:r w:rsidRPr="00487926">
        <w:t>onnées</w:t>
      </w:r>
      <w:r w:rsidRPr="00ED773C">
        <w:rPr>
          <w:lang w:val="fr-FR"/>
        </w:rPr>
        <w:t xml:space="preserve"> statistiques sur le fonctionnement de la Commission indépendante des plaintes contre la police (</w:t>
      </w:r>
      <w:r w:rsidRPr="00ED773C">
        <w:rPr>
          <w:i/>
          <w:lang w:val="fr-FR"/>
        </w:rPr>
        <w:t xml:space="preserve">Independent Police Complaints Commission, </w:t>
      </w:r>
      <w:r w:rsidRPr="00ED773C">
        <w:rPr>
          <w:lang w:val="fr-FR"/>
        </w:rPr>
        <w:t>IPCC), nombre de plaintes pour discrimination raciale qui lui ont été adressées et mesures disciplinaires adoptées pour donner suite à ces plaintes (CERD/C/GBR/18</w:t>
      </w:r>
      <w:r>
        <w:rPr>
          <w:lang w:val="fr-FR"/>
        </w:rPr>
        <w:noBreakHyphen/>
      </w:r>
      <w:r w:rsidRPr="00ED773C">
        <w:rPr>
          <w:lang w:val="fr-FR"/>
        </w:rPr>
        <w:t xml:space="preserve">20, </w:t>
      </w:r>
      <w:r>
        <w:rPr>
          <w:lang w:val="fr-FR"/>
        </w:rPr>
        <w:t>par. </w:t>
      </w:r>
      <w:r w:rsidRPr="00ED773C">
        <w:rPr>
          <w:lang w:val="fr-FR"/>
        </w:rPr>
        <w:t>169, 172 et 176);</w:t>
      </w:r>
    </w:p>
    <w:p w:rsidR="00487926" w:rsidRPr="00ED773C" w:rsidRDefault="00487926" w:rsidP="00487926">
      <w:pPr>
        <w:pStyle w:val="SingleTxtG"/>
        <w:ind w:firstLine="567"/>
        <w:rPr>
          <w:lang w:val="fr-FR"/>
        </w:rPr>
      </w:pPr>
      <w:r w:rsidRPr="00ED773C">
        <w:rPr>
          <w:lang w:val="fr-FR"/>
        </w:rPr>
        <w:t>d</w:t>
      </w:r>
      <w:r>
        <w:rPr>
          <w:lang w:val="fr-FR"/>
        </w:rPr>
        <w:t>)</w:t>
      </w:r>
      <w:r>
        <w:rPr>
          <w:lang w:val="fr-FR"/>
        </w:rPr>
        <w:tab/>
      </w:r>
      <w:r w:rsidRPr="00ED773C">
        <w:rPr>
          <w:lang w:val="fr-FR"/>
        </w:rPr>
        <w:t>Données statistiques relatives à l</w:t>
      </w:r>
      <w:r>
        <w:rPr>
          <w:lang w:val="fr-FR"/>
        </w:rPr>
        <w:t>’</w:t>
      </w:r>
      <w:r w:rsidRPr="00ED773C">
        <w:rPr>
          <w:lang w:val="fr-FR"/>
        </w:rPr>
        <w:t>exclusion dans le secteur de l</w:t>
      </w:r>
      <w:r>
        <w:rPr>
          <w:lang w:val="fr-FR"/>
        </w:rPr>
        <w:t>’</w:t>
      </w:r>
      <w:r w:rsidRPr="00ED773C">
        <w:rPr>
          <w:lang w:val="fr-FR"/>
        </w:rPr>
        <w:t>éducation fondées, entre autres, sur l</w:t>
      </w:r>
      <w:r>
        <w:rPr>
          <w:lang w:val="fr-FR"/>
        </w:rPr>
        <w:t>’</w:t>
      </w:r>
      <w:r w:rsidRPr="00ED773C">
        <w:rPr>
          <w:lang w:val="fr-FR"/>
        </w:rPr>
        <w:t>examen effectué par le Ministère de l</w:t>
      </w:r>
      <w:r>
        <w:rPr>
          <w:rFonts w:hint="eastAsia"/>
          <w:lang w:val="fr-FR"/>
        </w:rPr>
        <w:t>’</w:t>
      </w:r>
      <w:r w:rsidRPr="00ED773C">
        <w:rPr>
          <w:lang w:val="fr-FR"/>
        </w:rPr>
        <w:t xml:space="preserve">éducation et des </w:t>
      </w:r>
      <w:r w:rsidR="000B75AB" w:rsidRPr="00ED773C">
        <w:rPr>
          <w:lang w:val="fr-FR"/>
        </w:rPr>
        <w:t>c</w:t>
      </w:r>
      <w:r w:rsidRPr="00ED773C">
        <w:rPr>
          <w:lang w:val="fr-FR"/>
        </w:rPr>
        <w:t>ompétences (CERD/C/GBR/18</w:t>
      </w:r>
      <w:r>
        <w:rPr>
          <w:lang w:val="fr-FR"/>
        </w:rPr>
        <w:noBreakHyphen/>
      </w:r>
      <w:r w:rsidRPr="00ED773C">
        <w:rPr>
          <w:lang w:val="fr-FR"/>
        </w:rPr>
        <w:t xml:space="preserve">20, </w:t>
      </w:r>
      <w:r>
        <w:rPr>
          <w:lang w:val="fr-FR"/>
        </w:rPr>
        <w:t>par. </w:t>
      </w:r>
      <w:r w:rsidRPr="00ED773C">
        <w:rPr>
          <w:lang w:val="fr-FR"/>
        </w:rPr>
        <w:t>262 et 264), ventilées selon l</w:t>
      </w:r>
      <w:r>
        <w:rPr>
          <w:lang w:val="fr-FR"/>
        </w:rPr>
        <w:t>’</w:t>
      </w:r>
      <w:r w:rsidRPr="00ED773C">
        <w:rPr>
          <w:lang w:val="fr-FR"/>
        </w:rPr>
        <w:t xml:space="preserve">origine ethnique. Données relatives aux brimades racistes dans les écoles pour les cinq dernières années et </w:t>
      </w:r>
      <w:r w:rsidR="000B75AB">
        <w:t xml:space="preserve">les effets concrets </w:t>
      </w:r>
      <w:r w:rsidRPr="00ED773C">
        <w:rPr>
          <w:lang w:val="fr-FR"/>
        </w:rPr>
        <w:t>des mesures prises pour lutter contre ces brimades (CERD/C/GBR/18</w:t>
      </w:r>
      <w:r>
        <w:rPr>
          <w:lang w:val="fr-FR"/>
        </w:rPr>
        <w:noBreakHyphen/>
      </w:r>
      <w:r w:rsidRPr="00ED773C">
        <w:rPr>
          <w:lang w:val="fr-FR"/>
        </w:rPr>
        <w:t xml:space="preserve">20, </w:t>
      </w:r>
      <w:r>
        <w:rPr>
          <w:lang w:val="fr-FR"/>
        </w:rPr>
        <w:t>par. </w:t>
      </w:r>
      <w:r w:rsidRPr="00ED773C">
        <w:rPr>
          <w:lang w:val="fr-FR"/>
        </w:rPr>
        <w:t>266 et 267);</w:t>
      </w:r>
    </w:p>
    <w:p w:rsidR="00487926" w:rsidRPr="00ED773C" w:rsidRDefault="00487926" w:rsidP="00487926">
      <w:pPr>
        <w:pStyle w:val="SingleTxtG"/>
        <w:ind w:firstLine="567"/>
        <w:rPr>
          <w:lang w:val="fr-FR"/>
        </w:rPr>
      </w:pPr>
      <w:r w:rsidRPr="00ED773C">
        <w:rPr>
          <w:lang w:val="fr-FR"/>
        </w:rPr>
        <w:t>e</w:t>
      </w:r>
      <w:r>
        <w:rPr>
          <w:lang w:val="fr-FR"/>
        </w:rPr>
        <w:t>)</w:t>
      </w:r>
      <w:r>
        <w:rPr>
          <w:lang w:val="fr-FR"/>
        </w:rPr>
        <w:tab/>
      </w:r>
      <w:r w:rsidR="000B75AB">
        <w:rPr>
          <w:lang w:val="fr-FR"/>
        </w:rPr>
        <w:t xml:space="preserve">La </w:t>
      </w:r>
      <w:r w:rsidRPr="00ED773C">
        <w:rPr>
          <w:lang w:val="fr-FR"/>
        </w:rPr>
        <w:t>collecte continue d</w:t>
      </w:r>
      <w:r>
        <w:rPr>
          <w:lang w:val="fr-FR"/>
        </w:rPr>
        <w:t>’</w:t>
      </w:r>
      <w:r w:rsidRPr="00ED773C">
        <w:rPr>
          <w:lang w:val="fr-FR"/>
        </w:rPr>
        <w:t xml:space="preserve">informations ventilées et des </w:t>
      </w:r>
      <w:r w:rsidR="000B75AB">
        <w:rPr>
          <w:lang w:val="fr-FR"/>
        </w:rPr>
        <w:t xml:space="preserve">mesures volontaristes </w:t>
      </w:r>
      <w:r w:rsidRPr="00ED773C">
        <w:rPr>
          <w:lang w:val="fr-FR"/>
        </w:rPr>
        <w:t>s</w:t>
      </w:r>
      <w:r>
        <w:rPr>
          <w:lang w:val="fr-FR"/>
        </w:rPr>
        <w:t>’</w:t>
      </w:r>
      <w:r w:rsidRPr="00ED773C">
        <w:rPr>
          <w:lang w:val="fr-FR"/>
        </w:rPr>
        <w:t>imposent pour combler l</w:t>
      </w:r>
      <w:r>
        <w:rPr>
          <w:lang w:val="fr-FR"/>
        </w:rPr>
        <w:t>’</w:t>
      </w:r>
      <w:r w:rsidRPr="00ED773C">
        <w:rPr>
          <w:lang w:val="fr-FR"/>
        </w:rPr>
        <w:t>écart entre le taux d</w:t>
      </w:r>
      <w:r>
        <w:rPr>
          <w:lang w:val="fr-FR"/>
        </w:rPr>
        <w:t>’</w:t>
      </w:r>
      <w:r w:rsidRPr="00ED773C">
        <w:rPr>
          <w:lang w:val="fr-FR"/>
        </w:rPr>
        <w:t xml:space="preserve">emploi des minorités ethniques et celui de la population totale, qui est passé de 19 points de </w:t>
      </w:r>
      <w:r w:rsidRPr="00487926">
        <w:t>pourcentage</w:t>
      </w:r>
      <w:r w:rsidR="00E9695E">
        <w:rPr>
          <w:lang w:val="fr-FR"/>
        </w:rPr>
        <w:t xml:space="preserve"> </w:t>
      </w:r>
      <w:r w:rsidRPr="00ED773C">
        <w:rPr>
          <w:lang w:val="fr-FR"/>
        </w:rPr>
        <w:t>en 1996 à 14 points de pourcentage en 2009. Nature de l</w:t>
      </w:r>
      <w:r>
        <w:rPr>
          <w:lang w:val="fr-FR"/>
        </w:rPr>
        <w:t>’</w:t>
      </w:r>
      <w:r w:rsidRPr="00ED773C">
        <w:rPr>
          <w:lang w:val="fr-FR"/>
        </w:rPr>
        <w:t>écart en matière d</w:t>
      </w:r>
      <w:r>
        <w:rPr>
          <w:lang w:val="fr-FR"/>
        </w:rPr>
        <w:t>’</w:t>
      </w:r>
      <w:r w:rsidRPr="00ED773C">
        <w:rPr>
          <w:lang w:val="fr-FR"/>
        </w:rPr>
        <w:t xml:space="preserve">emploi et caractéristiques structurelles </w:t>
      </w:r>
      <w:r w:rsidR="000B75AB">
        <w:rPr>
          <w:lang w:val="fr-FR"/>
        </w:rPr>
        <w:t xml:space="preserve">de cet écart </w:t>
      </w:r>
      <w:r w:rsidRPr="00ED773C">
        <w:rPr>
          <w:lang w:val="fr-FR"/>
        </w:rPr>
        <w:t>s</w:t>
      </w:r>
      <w:r>
        <w:rPr>
          <w:lang w:val="fr-FR"/>
        </w:rPr>
        <w:t>’</w:t>
      </w:r>
      <w:r w:rsidRPr="00ED773C">
        <w:rPr>
          <w:lang w:val="fr-FR"/>
        </w:rPr>
        <w:t>agissant du sexe</w:t>
      </w:r>
      <w:r w:rsidR="000B75AB">
        <w:rPr>
          <w:lang w:val="fr-FR"/>
        </w:rPr>
        <w:t xml:space="preserve"> et</w:t>
      </w:r>
      <w:r w:rsidRPr="00ED773C">
        <w:rPr>
          <w:lang w:val="fr-FR"/>
        </w:rPr>
        <w:t xml:space="preserve"> de l</w:t>
      </w:r>
      <w:r>
        <w:rPr>
          <w:lang w:val="fr-FR"/>
        </w:rPr>
        <w:t>’</w:t>
      </w:r>
      <w:r w:rsidRPr="00ED773C">
        <w:rPr>
          <w:lang w:val="fr-FR"/>
        </w:rPr>
        <w:t>âge</w:t>
      </w:r>
      <w:r w:rsidR="000B75AB">
        <w:rPr>
          <w:lang w:val="fr-FR"/>
        </w:rPr>
        <w:t>,</w:t>
      </w:r>
      <w:r w:rsidRPr="00ED773C">
        <w:rPr>
          <w:lang w:val="fr-FR"/>
        </w:rPr>
        <w:t xml:space="preserve"> ainsi que </w:t>
      </w:r>
      <w:r w:rsidR="000B75AB">
        <w:rPr>
          <w:lang w:val="fr-FR"/>
        </w:rPr>
        <w:t xml:space="preserve">pour </w:t>
      </w:r>
      <w:r w:rsidRPr="00ED773C">
        <w:rPr>
          <w:lang w:val="fr-FR"/>
        </w:rPr>
        <w:t xml:space="preserve">des groupes </w:t>
      </w:r>
      <w:r w:rsidR="000B75AB">
        <w:rPr>
          <w:lang w:val="fr-FR"/>
        </w:rPr>
        <w:t xml:space="preserve">particuliers et certaines localités </w:t>
      </w:r>
      <w:r w:rsidRPr="00ED773C">
        <w:rPr>
          <w:lang w:val="fr-FR"/>
        </w:rPr>
        <w:t>(CERD/C/GBR/18</w:t>
      </w:r>
      <w:r>
        <w:rPr>
          <w:lang w:val="fr-FR"/>
        </w:rPr>
        <w:noBreakHyphen/>
      </w:r>
      <w:r w:rsidRPr="00ED773C">
        <w:rPr>
          <w:lang w:val="fr-FR"/>
        </w:rPr>
        <w:t xml:space="preserve">20, </w:t>
      </w:r>
      <w:r>
        <w:rPr>
          <w:lang w:val="fr-FR"/>
        </w:rPr>
        <w:t>par. </w:t>
      </w:r>
      <w:r w:rsidRPr="00ED773C">
        <w:rPr>
          <w:lang w:val="fr-FR"/>
        </w:rPr>
        <w:t>280);</w:t>
      </w:r>
    </w:p>
    <w:p w:rsidR="00487926" w:rsidRPr="00ED773C" w:rsidRDefault="00487926" w:rsidP="00487926">
      <w:pPr>
        <w:pStyle w:val="SingleTxtG"/>
        <w:ind w:firstLine="567"/>
        <w:rPr>
          <w:lang w:val="fr-FR"/>
        </w:rPr>
      </w:pPr>
      <w:r w:rsidRPr="00ED773C">
        <w:rPr>
          <w:lang w:val="fr-FR"/>
        </w:rPr>
        <w:t>f</w:t>
      </w:r>
      <w:r>
        <w:rPr>
          <w:lang w:val="fr-FR"/>
        </w:rPr>
        <w:t>)</w:t>
      </w:r>
      <w:r>
        <w:rPr>
          <w:lang w:val="fr-FR"/>
        </w:rPr>
        <w:tab/>
      </w:r>
      <w:r w:rsidRPr="00ED773C">
        <w:rPr>
          <w:lang w:val="fr-FR"/>
        </w:rPr>
        <w:t xml:space="preserve">Mesures prises, le cas échéant, pour lutter contre </w:t>
      </w:r>
      <w:r w:rsidR="00241AB3">
        <w:rPr>
          <w:lang w:val="fr-FR"/>
        </w:rPr>
        <w:t xml:space="preserve">les niveaux </w:t>
      </w:r>
      <w:r w:rsidRPr="00ED773C">
        <w:rPr>
          <w:lang w:val="fr-FR"/>
        </w:rPr>
        <w:t>élevé</w:t>
      </w:r>
      <w:r w:rsidR="00241AB3">
        <w:rPr>
          <w:lang w:val="fr-FR"/>
        </w:rPr>
        <w:t>s</w:t>
      </w:r>
      <w:r w:rsidRPr="00ED773C">
        <w:rPr>
          <w:lang w:val="fr-FR"/>
        </w:rPr>
        <w:t xml:space="preserve"> de pauvreté, </w:t>
      </w:r>
      <w:r w:rsidR="00241AB3">
        <w:rPr>
          <w:lang w:val="fr-FR"/>
        </w:rPr>
        <w:t>l</w:t>
      </w:r>
      <w:r>
        <w:rPr>
          <w:lang w:val="fr-FR"/>
        </w:rPr>
        <w:t>’</w:t>
      </w:r>
      <w:r w:rsidRPr="00ED773C">
        <w:rPr>
          <w:lang w:val="fr-FR"/>
        </w:rPr>
        <w:t xml:space="preserve">exclusion sociale et </w:t>
      </w:r>
      <w:r w:rsidR="00241AB3">
        <w:rPr>
          <w:lang w:val="fr-FR"/>
        </w:rPr>
        <w:t xml:space="preserve">les </w:t>
      </w:r>
      <w:r w:rsidRPr="00ED773C">
        <w:rPr>
          <w:lang w:val="fr-FR"/>
        </w:rPr>
        <w:t>restriction</w:t>
      </w:r>
      <w:r w:rsidR="00241AB3">
        <w:rPr>
          <w:lang w:val="fr-FR"/>
        </w:rPr>
        <w:t>s</w:t>
      </w:r>
      <w:r w:rsidRPr="00ED773C">
        <w:rPr>
          <w:lang w:val="fr-FR"/>
        </w:rPr>
        <w:t xml:space="preserve"> à l</w:t>
      </w:r>
      <w:r>
        <w:rPr>
          <w:lang w:val="fr-FR"/>
        </w:rPr>
        <w:t>’</w:t>
      </w:r>
      <w:r w:rsidRPr="00ED773C">
        <w:rPr>
          <w:lang w:val="fr-FR"/>
        </w:rPr>
        <w:t>accès au marché du travail parmi les groupes ethniques, les immigrants et les demandeurs d</w:t>
      </w:r>
      <w:r>
        <w:rPr>
          <w:lang w:val="fr-FR"/>
        </w:rPr>
        <w:t>’asile (E/C.12/GBR/5</w:t>
      </w:r>
      <w:r w:rsidRPr="00ED773C">
        <w:rPr>
          <w:lang w:val="fr-FR"/>
        </w:rPr>
        <w:t xml:space="preserve">, </w:t>
      </w:r>
      <w:r>
        <w:rPr>
          <w:lang w:val="fr-FR"/>
        </w:rPr>
        <w:t>par. </w:t>
      </w:r>
      <w:r w:rsidRPr="00ED773C">
        <w:rPr>
          <w:lang w:val="fr-FR"/>
        </w:rPr>
        <w:t>27</w:t>
      </w:r>
      <w:r w:rsidR="00241AB3">
        <w:rPr>
          <w:lang w:val="fr-FR"/>
        </w:rPr>
        <w:t xml:space="preserve"> et </w:t>
      </w:r>
      <w:r w:rsidRPr="00ED773C">
        <w:rPr>
          <w:lang w:val="fr-FR"/>
        </w:rPr>
        <w:t>28);</w:t>
      </w:r>
    </w:p>
    <w:p w:rsidR="00487926" w:rsidRPr="00ED773C" w:rsidRDefault="00487926" w:rsidP="00487926">
      <w:pPr>
        <w:pStyle w:val="SingleTxtG"/>
        <w:ind w:firstLine="567"/>
        <w:rPr>
          <w:lang w:val="fr-FR"/>
        </w:rPr>
      </w:pPr>
      <w:r w:rsidRPr="00ED773C">
        <w:rPr>
          <w:lang w:val="fr-FR"/>
        </w:rPr>
        <w:t>g</w:t>
      </w:r>
      <w:r>
        <w:rPr>
          <w:lang w:val="fr-FR"/>
        </w:rPr>
        <w:t>)</w:t>
      </w:r>
      <w:r>
        <w:rPr>
          <w:lang w:val="fr-FR"/>
        </w:rPr>
        <w:tab/>
      </w:r>
      <w:r w:rsidRPr="00ED773C">
        <w:rPr>
          <w:lang w:val="fr-FR"/>
        </w:rPr>
        <w:t xml:space="preserve">Progrès accomplis pour lutter contre le surpeuplement disproportionné </w:t>
      </w:r>
      <w:r w:rsidR="00E9695E">
        <w:rPr>
          <w:lang w:val="fr-FR"/>
        </w:rPr>
        <w:t xml:space="preserve">constaté </w:t>
      </w:r>
      <w:r w:rsidRPr="00ED773C">
        <w:rPr>
          <w:lang w:val="fr-FR"/>
        </w:rPr>
        <w:t>dans les ménages de</w:t>
      </w:r>
      <w:r w:rsidR="00E9695E">
        <w:rPr>
          <w:lang w:val="fr-FR"/>
        </w:rPr>
        <w:t>s</w:t>
      </w:r>
      <w:r w:rsidRPr="00ED773C">
        <w:rPr>
          <w:lang w:val="fr-FR"/>
        </w:rPr>
        <w:t xml:space="preserve"> minorités ethniques par rapport aux ménages blancs. Mesures </w:t>
      </w:r>
      <w:r w:rsidR="00E9695E">
        <w:rPr>
          <w:lang w:val="fr-FR"/>
        </w:rPr>
        <w:t xml:space="preserve">permettant de </w:t>
      </w:r>
      <w:r w:rsidRPr="00ED773C">
        <w:rPr>
          <w:lang w:val="fr-FR"/>
        </w:rPr>
        <w:t xml:space="preserve">déterminer les taux élevés de </w:t>
      </w:r>
      <w:r w:rsidRPr="00487926">
        <w:t>surpeuplement</w:t>
      </w:r>
      <w:r w:rsidRPr="00ED773C">
        <w:rPr>
          <w:lang w:val="fr-FR"/>
        </w:rPr>
        <w:t xml:space="preserve"> dans les ménages bangladais par </w:t>
      </w:r>
      <w:r w:rsidR="00E9695E">
        <w:rPr>
          <w:lang w:val="fr-FR"/>
        </w:rPr>
        <w:t>comparaison avec d’</w:t>
      </w:r>
      <w:r w:rsidRPr="00ED773C">
        <w:rPr>
          <w:lang w:val="fr-FR"/>
        </w:rPr>
        <w:t>autres minorités ethniques (CERD/C/GBR/18</w:t>
      </w:r>
      <w:r>
        <w:rPr>
          <w:lang w:val="fr-FR"/>
        </w:rPr>
        <w:noBreakHyphen/>
      </w:r>
      <w:r w:rsidRPr="00ED773C">
        <w:rPr>
          <w:lang w:val="fr-FR"/>
        </w:rPr>
        <w:t xml:space="preserve">20, </w:t>
      </w:r>
      <w:r>
        <w:rPr>
          <w:lang w:val="fr-FR"/>
        </w:rPr>
        <w:t>par. </w:t>
      </w:r>
      <w:r w:rsidRPr="00ED773C">
        <w:rPr>
          <w:lang w:val="fr-FR"/>
        </w:rPr>
        <w:t>298 et 300);</w:t>
      </w:r>
    </w:p>
    <w:p w:rsidR="00487926" w:rsidRPr="00ED773C" w:rsidRDefault="00487926" w:rsidP="00487926">
      <w:pPr>
        <w:pStyle w:val="SingleTxtG"/>
        <w:ind w:firstLine="567"/>
        <w:rPr>
          <w:lang w:val="fr-FR"/>
        </w:rPr>
      </w:pPr>
      <w:r w:rsidRPr="00ED773C">
        <w:rPr>
          <w:lang w:val="fr-FR"/>
        </w:rPr>
        <w:t>h</w:t>
      </w:r>
      <w:r>
        <w:rPr>
          <w:lang w:val="fr-FR"/>
        </w:rPr>
        <w:t>)</w:t>
      </w:r>
      <w:r>
        <w:rPr>
          <w:lang w:val="fr-FR"/>
        </w:rPr>
        <w:tab/>
      </w:r>
      <w:r w:rsidR="00E9695E">
        <w:rPr>
          <w:lang w:val="fr-FR"/>
        </w:rPr>
        <w:t>Le relèvement</w:t>
      </w:r>
      <w:r w:rsidRPr="00ED773C">
        <w:rPr>
          <w:lang w:val="fr-FR"/>
        </w:rPr>
        <w:t xml:space="preserve">, de 16 à 18 ans, </w:t>
      </w:r>
      <w:r w:rsidR="00E9695E">
        <w:t xml:space="preserve">de l’âge minimum </w:t>
      </w:r>
      <w:r w:rsidRPr="00ED773C">
        <w:rPr>
          <w:lang w:val="fr-FR"/>
        </w:rPr>
        <w:t xml:space="preserve">auquel un conjoint </w:t>
      </w:r>
      <w:r w:rsidR="00E9695E">
        <w:rPr>
          <w:lang w:val="fr-FR"/>
        </w:rPr>
        <w:t xml:space="preserve">ou un fiancé </w:t>
      </w:r>
      <w:r w:rsidRPr="00ED773C">
        <w:rPr>
          <w:lang w:val="fr-FR"/>
        </w:rPr>
        <w:t>étranger peut entrer dans l</w:t>
      </w:r>
      <w:r>
        <w:rPr>
          <w:lang w:val="fr-FR"/>
        </w:rPr>
        <w:t>’</w:t>
      </w:r>
      <w:r w:rsidRPr="00ED773C">
        <w:rPr>
          <w:lang w:val="fr-FR"/>
        </w:rPr>
        <w:t xml:space="preserve">État partie </w:t>
      </w:r>
      <w:r w:rsidR="00E9695E">
        <w:rPr>
          <w:lang w:val="fr-FR"/>
        </w:rPr>
        <w:t>aux fins du regroupement familial</w:t>
      </w:r>
      <w:r w:rsidRPr="00ED773C">
        <w:rPr>
          <w:lang w:val="fr-FR"/>
        </w:rPr>
        <w:t xml:space="preserve"> </w:t>
      </w:r>
      <w:r w:rsidR="00E9695E">
        <w:rPr>
          <w:lang w:val="fr-FR"/>
        </w:rPr>
        <w:t xml:space="preserve">a </w:t>
      </w:r>
      <w:r w:rsidRPr="00ED773C">
        <w:rPr>
          <w:lang w:val="fr-FR"/>
        </w:rPr>
        <w:t xml:space="preserve">un effet discriminatoire sur les femmes de minorités ethniques. </w:t>
      </w:r>
      <w:r w:rsidRPr="00487926">
        <w:t>Informations</w:t>
      </w:r>
      <w:r w:rsidRPr="00ED773C">
        <w:rPr>
          <w:lang w:val="fr-FR"/>
        </w:rPr>
        <w:t xml:space="preserve"> à jour sur </w:t>
      </w:r>
      <w:r w:rsidR="00E9695E">
        <w:rPr>
          <w:lang w:val="fr-FR"/>
        </w:rPr>
        <w:t xml:space="preserve">l’état </w:t>
      </w:r>
      <w:r w:rsidRPr="00ED773C">
        <w:rPr>
          <w:lang w:val="fr-FR"/>
        </w:rPr>
        <w:t xml:space="preserve">des propositions visant à </w:t>
      </w:r>
      <w:r w:rsidR="00E9695E">
        <w:rPr>
          <w:lang w:val="fr-FR"/>
        </w:rPr>
        <w:t xml:space="preserve">porter </w:t>
      </w:r>
      <w:r w:rsidRPr="00ED773C">
        <w:rPr>
          <w:lang w:val="fr-FR"/>
        </w:rPr>
        <w:t>l</w:t>
      </w:r>
      <w:r>
        <w:rPr>
          <w:lang w:val="fr-FR"/>
        </w:rPr>
        <w:t>’</w:t>
      </w:r>
      <w:r w:rsidRPr="00ED773C">
        <w:rPr>
          <w:lang w:val="fr-FR"/>
        </w:rPr>
        <w:t xml:space="preserve">âge minimum de 18 à 21 ans (A/63/38, </w:t>
      </w:r>
      <w:r>
        <w:rPr>
          <w:lang w:val="fr-FR"/>
        </w:rPr>
        <w:t>par. </w:t>
      </w:r>
      <w:r w:rsidRPr="00ED773C">
        <w:rPr>
          <w:lang w:val="fr-FR"/>
        </w:rPr>
        <w:t>276</w:t>
      </w:r>
      <w:r w:rsidR="00E9695E">
        <w:rPr>
          <w:lang w:val="fr-FR"/>
        </w:rPr>
        <w:t>,</w:t>
      </w:r>
      <w:r w:rsidRPr="00ED773C">
        <w:rPr>
          <w:lang w:val="fr-FR"/>
        </w:rPr>
        <w:t xml:space="preserve"> et E/C.12</w:t>
      </w:r>
      <w:r>
        <w:rPr>
          <w:lang w:val="fr-FR"/>
        </w:rPr>
        <w:t>/</w:t>
      </w:r>
      <w:r w:rsidRPr="00ED773C">
        <w:rPr>
          <w:lang w:val="fr-FR"/>
        </w:rPr>
        <w:t xml:space="preserve">GBR/CO/5, </w:t>
      </w:r>
      <w:r>
        <w:rPr>
          <w:lang w:val="fr-FR"/>
        </w:rPr>
        <w:t>par. </w:t>
      </w:r>
      <w:r w:rsidRPr="00ED773C">
        <w:rPr>
          <w:lang w:val="fr-FR"/>
        </w:rPr>
        <w:t>26).</w:t>
      </w:r>
    </w:p>
    <w:p w:rsidR="00487926" w:rsidRPr="00ED773C" w:rsidRDefault="00487926" w:rsidP="00487926">
      <w:pPr>
        <w:pStyle w:val="H23G"/>
        <w:rPr>
          <w:lang w:val="fr-FR"/>
        </w:rPr>
      </w:pPr>
      <w:r>
        <w:rPr>
          <w:lang w:val="fr-FR"/>
        </w:rPr>
        <w:tab/>
      </w:r>
      <w:r w:rsidRPr="00ED773C">
        <w:rPr>
          <w:lang w:val="fr-FR"/>
        </w:rPr>
        <w:t>3.</w:t>
      </w:r>
      <w:r>
        <w:rPr>
          <w:lang w:val="fr-FR"/>
        </w:rPr>
        <w:tab/>
      </w:r>
      <w:r w:rsidRPr="00ED773C">
        <w:rPr>
          <w:lang w:val="fr-FR"/>
        </w:rPr>
        <w:t xml:space="preserve">Questions relatives aux minorités ethniques et situation des communautés tsiganes </w:t>
      </w:r>
      <w:r w:rsidR="00054DC0">
        <w:rPr>
          <w:lang w:val="fr-FR"/>
        </w:rPr>
        <w:br/>
      </w:r>
      <w:r w:rsidRPr="00ED773C">
        <w:rPr>
          <w:lang w:val="fr-FR"/>
        </w:rPr>
        <w:t xml:space="preserve">et </w:t>
      </w:r>
      <w:r w:rsidR="00E9695E">
        <w:rPr>
          <w:lang w:val="fr-FR"/>
        </w:rPr>
        <w:t xml:space="preserve">des gens du voyage </w:t>
      </w:r>
      <w:r w:rsidRPr="00ED773C">
        <w:rPr>
          <w:lang w:val="fr-FR"/>
        </w:rPr>
        <w:t>(</w:t>
      </w:r>
      <w:r>
        <w:rPr>
          <w:lang w:val="fr-FR"/>
        </w:rPr>
        <w:t>art. </w:t>
      </w:r>
      <w:r w:rsidRPr="00ED773C">
        <w:rPr>
          <w:lang w:val="fr-FR"/>
        </w:rPr>
        <w:t>2, 3 et 5)</w:t>
      </w:r>
    </w:p>
    <w:p w:rsidR="00487926" w:rsidRPr="00ED773C" w:rsidRDefault="00487926" w:rsidP="00487926">
      <w:pPr>
        <w:pStyle w:val="SingleTxtG"/>
        <w:ind w:firstLine="567"/>
        <w:rPr>
          <w:lang w:val="fr-FR"/>
        </w:rPr>
      </w:pPr>
      <w:r w:rsidRPr="00ED773C">
        <w:rPr>
          <w:lang w:val="fr-FR"/>
        </w:rPr>
        <w:t>a</w:t>
      </w:r>
      <w:r>
        <w:rPr>
          <w:lang w:val="fr-FR"/>
        </w:rPr>
        <w:t>)</w:t>
      </w:r>
      <w:r>
        <w:rPr>
          <w:lang w:val="fr-FR"/>
        </w:rPr>
        <w:tab/>
      </w:r>
      <w:r w:rsidRPr="00ED773C">
        <w:rPr>
          <w:lang w:val="fr-FR"/>
        </w:rPr>
        <w:t xml:space="preserve">Informations à jour sur les progrès accomplis concernant </w:t>
      </w:r>
      <w:r w:rsidR="00E9695E">
        <w:rPr>
          <w:lang w:val="fr-FR"/>
        </w:rPr>
        <w:t xml:space="preserve">la remise en état des aires d’accueil et/ou </w:t>
      </w:r>
      <w:r w:rsidRPr="00ED773C">
        <w:rPr>
          <w:lang w:val="fr-FR"/>
        </w:rPr>
        <w:t xml:space="preserve">la création de </w:t>
      </w:r>
      <w:r w:rsidR="00E9695E">
        <w:rPr>
          <w:lang w:val="fr-FR"/>
        </w:rPr>
        <w:t xml:space="preserve">nouveaux emplacements </w:t>
      </w:r>
      <w:r w:rsidRPr="00ED773C">
        <w:rPr>
          <w:lang w:val="fr-FR"/>
        </w:rPr>
        <w:t>pour les communautés tsiganes et nomad</w:t>
      </w:r>
      <w:r>
        <w:rPr>
          <w:lang w:val="fr-FR"/>
        </w:rPr>
        <w:t>es en Angleterre (CERD/C/GBR/18</w:t>
      </w:r>
      <w:r>
        <w:rPr>
          <w:lang w:val="fr-FR"/>
        </w:rPr>
        <w:noBreakHyphen/>
      </w:r>
      <w:r w:rsidRPr="00ED773C">
        <w:rPr>
          <w:lang w:val="fr-FR"/>
        </w:rPr>
        <w:t xml:space="preserve">20, </w:t>
      </w:r>
      <w:r>
        <w:rPr>
          <w:lang w:val="fr-FR"/>
        </w:rPr>
        <w:t>par. </w:t>
      </w:r>
      <w:r w:rsidRPr="00ED773C">
        <w:rPr>
          <w:lang w:val="fr-FR"/>
        </w:rPr>
        <w:t>279 et 280), notamment sur le relogement de la communauté tsigane et nomade irlandaise expulsée de Dale Farm dans l</w:t>
      </w:r>
      <w:r>
        <w:rPr>
          <w:lang w:val="fr-FR"/>
        </w:rPr>
        <w:t>’</w:t>
      </w:r>
      <w:r w:rsidRPr="00ED773C">
        <w:rPr>
          <w:lang w:val="fr-FR"/>
        </w:rPr>
        <w:t>Essex (CERD/C/GBR/18</w:t>
      </w:r>
      <w:r>
        <w:rPr>
          <w:lang w:val="fr-FR"/>
        </w:rPr>
        <w:noBreakHyphen/>
      </w:r>
      <w:r w:rsidRPr="00ED773C">
        <w:rPr>
          <w:lang w:val="fr-FR"/>
        </w:rPr>
        <w:t xml:space="preserve">20, </w:t>
      </w:r>
      <w:r>
        <w:rPr>
          <w:lang w:val="fr-FR"/>
        </w:rPr>
        <w:t>par. </w:t>
      </w:r>
      <w:r w:rsidRPr="00ED773C">
        <w:rPr>
          <w:lang w:val="fr-FR"/>
        </w:rPr>
        <w:t>306 et 307);</w:t>
      </w:r>
    </w:p>
    <w:p w:rsidR="00487926" w:rsidRPr="00ED773C" w:rsidRDefault="00487926" w:rsidP="00487926">
      <w:pPr>
        <w:pStyle w:val="SingleTxtG"/>
        <w:ind w:firstLine="567"/>
        <w:rPr>
          <w:lang w:val="fr-FR"/>
        </w:rPr>
      </w:pPr>
      <w:r w:rsidRPr="00ED773C">
        <w:rPr>
          <w:lang w:val="fr-FR"/>
        </w:rPr>
        <w:t>b</w:t>
      </w:r>
      <w:r>
        <w:rPr>
          <w:lang w:val="fr-FR"/>
        </w:rPr>
        <w:t>)</w:t>
      </w:r>
      <w:r>
        <w:rPr>
          <w:lang w:val="fr-FR"/>
        </w:rPr>
        <w:tab/>
      </w:r>
      <w:r w:rsidRPr="00ED773C">
        <w:rPr>
          <w:lang w:val="fr-FR"/>
        </w:rPr>
        <w:t xml:space="preserve">Mesures prises pour leur assurer un meilleur accès aux services de santé (CERD/C/GBR/18-20, </w:t>
      </w:r>
      <w:r>
        <w:rPr>
          <w:lang w:val="fr-FR"/>
        </w:rPr>
        <w:t>par. </w:t>
      </w:r>
      <w:r w:rsidRPr="00ED773C">
        <w:rPr>
          <w:lang w:val="fr-FR"/>
        </w:rPr>
        <w:t>322);</w:t>
      </w:r>
    </w:p>
    <w:p w:rsidR="00487926" w:rsidRPr="00ED773C" w:rsidRDefault="00487926" w:rsidP="00487926">
      <w:pPr>
        <w:pStyle w:val="SingleTxtG"/>
        <w:ind w:firstLine="567"/>
        <w:rPr>
          <w:lang w:val="fr-FR"/>
        </w:rPr>
      </w:pPr>
      <w:r w:rsidRPr="00ED773C">
        <w:rPr>
          <w:lang w:val="fr-FR"/>
        </w:rPr>
        <w:t>c</w:t>
      </w:r>
      <w:r>
        <w:rPr>
          <w:lang w:val="fr-FR"/>
        </w:rPr>
        <w:t>)</w:t>
      </w:r>
      <w:r>
        <w:rPr>
          <w:lang w:val="fr-FR"/>
        </w:rPr>
        <w:tab/>
      </w:r>
      <w:r w:rsidRPr="00ED773C">
        <w:rPr>
          <w:lang w:val="fr-FR"/>
        </w:rPr>
        <w:t>État d</w:t>
      </w:r>
      <w:r>
        <w:rPr>
          <w:lang w:val="fr-FR"/>
        </w:rPr>
        <w:t>’</w:t>
      </w:r>
      <w:r w:rsidRPr="00ED773C">
        <w:rPr>
          <w:lang w:val="fr-FR"/>
        </w:rPr>
        <w:t xml:space="preserve">avancement des mesures visant à </w:t>
      </w:r>
      <w:r w:rsidR="00E9695E">
        <w:rPr>
          <w:lang w:val="fr-FR"/>
        </w:rPr>
        <w:t>améli</w:t>
      </w:r>
      <w:r w:rsidR="00054DC0">
        <w:rPr>
          <w:lang w:val="fr-FR"/>
        </w:rPr>
        <w:t>orer les compétences de base (à </w:t>
      </w:r>
      <w:r w:rsidR="00E9695E">
        <w:rPr>
          <w:lang w:val="fr-FR"/>
        </w:rPr>
        <w:t xml:space="preserve">savoir lire, écrire et compter) de </w:t>
      </w:r>
      <w:r w:rsidRPr="00ED773C">
        <w:rPr>
          <w:lang w:val="fr-FR"/>
        </w:rPr>
        <w:t xml:space="preserve">leurs enfants </w:t>
      </w:r>
      <w:r>
        <w:rPr>
          <w:lang w:val="fr-FR"/>
        </w:rPr>
        <w:t>(CERD/C/GBR/18</w:t>
      </w:r>
      <w:r>
        <w:rPr>
          <w:lang w:val="fr-FR"/>
        </w:rPr>
        <w:noBreakHyphen/>
      </w:r>
      <w:r w:rsidRPr="00ED773C">
        <w:rPr>
          <w:lang w:val="fr-FR"/>
        </w:rPr>
        <w:t xml:space="preserve">20, </w:t>
      </w:r>
      <w:r>
        <w:rPr>
          <w:lang w:val="fr-FR"/>
        </w:rPr>
        <w:t>par. </w:t>
      </w:r>
      <w:r w:rsidRPr="00ED773C">
        <w:rPr>
          <w:lang w:val="fr-FR"/>
        </w:rPr>
        <w:t>308);</w:t>
      </w:r>
    </w:p>
    <w:p w:rsidR="00487926" w:rsidRPr="00ED773C" w:rsidRDefault="00487926" w:rsidP="00487926">
      <w:pPr>
        <w:pStyle w:val="SingleTxtG"/>
        <w:ind w:firstLine="567"/>
        <w:rPr>
          <w:lang w:val="fr-FR"/>
        </w:rPr>
      </w:pPr>
      <w:r w:rsidRPr="00ED773C">
        <w:rPr>
          <w:lang w:val="fr-FR"/>
        </w:rPr>
        <w:t>d</w:t>
      </w:r>
      <w:r>
        <w:rPr>
          <w:lang w:val="fr-FR"/>
        </w:rPr>
        <w:t>)</w:t>
      </w:r>
      <w:r>
        <w:rPr>
          <w:lang w:val="fr-FR"/>
        </w:rPr>
        <w:tab/>
      </w:r>
      <w:r w:rsidRPr="00ED773C">
        <w:rPr>
          <w:lang w:val="fr-FR"/>
        </w:rPr>
        <w:t xml:space="preserve">Informations à jour sur les progrès accomplis </w:t>
      </w:r>
      <w:r w:rsidR="00E9695E">
        <w:rPr>
          <w:lang w:val="fr-FR"/>
        </w:rPr>
        <w:t>en vue d’</w:t>
      </w:r>
      <w:r w:rsidRPr="00ED773C">
        <w:rPr>
          <w:lang w:val="fr-FR"/>
        </w:rPr>
        <w:t>éliminer la discrimination raciale et la stigmatisation de</w:t>
      </w:r>
      <w:r>
        <w:rPr>
          <w:lang w:val="fr-FR"/>
        </w:rPr>
        <w:t xml:space="preserve"> ces communautés (CERD/C/GBR/18</w:t>
      </w:r>
      <w:r>
        <w:rPr>
          <w:lang w:val="fr-FR"/>
        </w:rPr>
        <w:noBreakHyphen/>
      </w:r>
      <w:r w:rsidRPr="00ED773C">
        <w:rPr>
          <w:lang w:val="fr-FR"/>
        </w:rPr>
        <w:t xml:space="preserve">20, </w:t>
      </w:r>
      <w:r>
        <w:rPr>
          <w:lang w:val="fr-FR"/>
        </w:rPr>
        <w:t>par. </w:t>
      </w:r>
      <w:r w:rsidRPr="00ED773C">
        <w:rPr>
          <w:lang w:val="fr-FR"/>
        </w:rPr>
        <w:t>309, 310 et 311</w:t>
      </w:r>
      <w:r w:rsidR="00E9695E">
        <w:rPr>
          <w:lang w:val="fr-FR"/>
        </w:rPr>
        <w:t>,</w:t>
      </w:r>
      <w:r w:rsidRPr="00ED773C">
        <w:rPr>
          <w:lang w:val="fr-FR"/>
        </w:rPr>
        <w:t xml:space="preserve"> et CRC/C/GBR/CO/4, </w:t>
      </w:r>
      <w:r>
        <w:rPr>
          <w:lang w:val="fr-FR"/>
        </w:rPr>
        <w:t>par. </w:t>
      </w:r>
      <w:r w:rsidRPr="00487926">
        <w:t>24</w:t>
      </w:r>
      <w:r w:rsidRPr="00ED773C">
        <w:rPr>
          <w:lang w:val="fr-FR"/>
        </w:rPr>
        <w:t>).</w:t>
      </w:r>
    </w:p>
    <w:p w:rsidR="00487926" w:rsidRPr="00487926" w:rsidRDefault="00487926" w:rsidP="0048792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87926" w:rsidRPr="00487926" w:rsidSect="00850BC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AA6" w:rsidRDefault="004C0AA6"/>
  </w:endnote>
  <w:endnote w:type="continuationSeparator" w:id="0">
    <w:p w:rsidR="004C0AA6" w:rsidRDefault="004C0AA6"/>
  </w:endnote>
  <w:endnote w:type="continuationNotice" w:id="1">
    <w:p w:rsidR="004C0AA6" w:rsidRDefault="004C0AA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BCE" w:rsidRPr="00850BCE" w:rsidRDefault="00850BCE" w:rsidP="00850BCE">
    <w:pPr>
      <w:pStyle w:val="Footer"/>
      <w:tabs>
        <w:tab w:val="right" w:pos="9638"/>
      </w:tabs>
    </w:pPr>
    <w:r w:rsidRPr="00850BCE">
      <w:rPr>
        <w:b/>
        <w:sz w:val="18"/>
      </w:rPr>
      <w:fldChar w:fldCharType="begin"/>
    </w:r>
    <w:r w:rsidRPr="00850BCE">
      <w:rPr>
        <w:b/>
        <w:sz w:val="18"/>
      </w:rPr>
      <w:instrText xml:space="preserve"> PAGE  \* MERGEFORMAT </w:instrText>
    </w:r>
    <w:r w:rsidRPr="00850BCE">
      <w:rPr>
        <w:b/>
        <w:sz w:val="18"/>
      </w:rPr>
      <w:fldChar w:fldCharType="separate"/>
    </w:r>
    <w:r w:rsidR="00504AF4">
      <w:rPr>
        <w:b/>
        <w:noProof/>
        <w:sz w:val="18"/>
      </w:rPr>
      <w:t>2</w:t>
    </w:r>
    <w:r w:rsidRPr="00850BCE">
      <w:rPr>
        <w:b/>
        <w:sz w:val="18"/>
      </w:rPr>
      <w:fldChar w:fldCharType="end"/>
    </w:r>
    <w:r>
      <w:rPr>
        <w:b/>
        <w:sz w:val="18"/>
      </w:rPr>
      <w:tab/>
    </w:r>
    <w:r>
      <w:t>GE.11-44561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BCE" w:rsidRPr="00850BCE" w:rsidRDefault="00850BCE" w:rsidP="00850BCE">
    <w:pPr>
      <w:pStyle w:val="Footer"/>
      <w:tabs>
        <w:tab w:val="right" w:pos="9638"/>
      </w:tabs>
      <w:rPr>
        <w:b/>
        <w:sz w:val="18"/>
      </w:rPr>
    </w:pPr>
    <w:r>
      <w:t>GE.11-44561</w:t>
    </w:r>
    <w:r>
      <w:tab/>
    </w:r>
    <w:r w:rsidRPr="00850BCE">
      <w:rPr>
        <w:b/>
        <w:sz w:val="18"/>
      </w:rPr>
      <w:fldChar w:fldCharType="begin"/>
    </w:r>
    <w:r w:rsidRPr="00850BCE">
      <w:rPr>
        <w:b/>
        <w:sz w:val="18"/>
      </w:rPr>
      <w:instrText xml:space="preserve"> PAGE  \* MERGEFORMAT </w:instrText>
    </w:r>
    <w:r w:rsidRPr="00850BCE">
      <w:rPr>
        <w:b/>
        <w:sz w:val="18"/>
      </w:rPr>
      <w:fldChar w:fldCharType="separate"/>
    </w:r>
    <w:r w:rsidR="00504AF4">
      <w:rPr>
        <w:b/>
        <w:noProof/>
        <w:sz w:val="18"/>
      </w:rPr>
      <w:t>3</w:t>
    </w:r>
    <w:r w:rsidRPr="00850BCE">
      <w:rPr>
        <w:b/>
        <w:sz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EE2" w:rsidRDefault="00850BCE">
    <w:pPr>
      <w:pStyle w:val="Footer"/>
    </w:pPr>
    <w:r>
      <w:rPr>
        <w:sz w:val="20"/>
      </w:rPr>
      <w:t>GE.11-44561</w:t>
    </w:r>
    <w:r w:rsidR="00FB7EE2"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96.9pt;margin-top:-8.5pt;width:86.95pt;height:18.35pt;z-index:1;mso-position-horizontal-relative:text;mso-position-vertical-relative:text">
          <v:imagedata r:id="rId1" o:title="recycle_French"/>
        </v:shape>
      </w:pict>
    </w:r>
    <w:r>
      <w:rPr>
        <w:sz w:val="20"/>
      </w:rPr>
      <w:t xml:space="preserve">  (F)</w:t>
    </w:r>
    <w:r w:rsidR="00487926">
      <w:rPr>
        <w:sz w:val="20"/>
      </w:rPr>
      <w:t xml:space="preserve">    290811    300811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AA6" w:rsidRPr="00D27D5E" w:rsidRDefault="004C0AA6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C0AA6" w:rsidRPr="00AA7FE7" w:rsidRDefault="004C0AA6" w:rsidP="00AA7FE7">
      <w:pPr>
        <w:tabs>
          <w:tab w:val="right" w:pos="2155"/>
        </w:tabs>
        <w:spacing w:after="80"/>
        <w:ind w:left="680"/>
        <w:rPr>
          <w:u w:val="single"/>
        </w:rPr>
      </w:pPr>
      <w:r w:rsidRPr="00AA7FE7">
        <w:rPr>
          <w:u w:val="single"/>
        </w:rPr>
        <w:tab/>
      </w:r>
    </w:p>
  </w:footnote>
  <w:footnote w:type="continuationNotice" w:id="1">
    <w:p w:rsidR="004C0AA6" w:rsidRDefault="004C0AA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BCE" w:rsidRPr="00850BCE" w:rsidRDefault="00850BCE">
    <w:pPr>
      <w:pStyle w:val="Header"/>
    </w:pPr>
    <w:r>
      <w:t>CERD/C/GBR/Q/18-20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BCE" w:rsidRPr="00850BCE" w:rsidRDefault="00850BCE" w:rsidP="00850BCE">
    <w:pPr>
      <w:pStyle w:val="Header"/>
      <w:jc w:val="right"/>
    </w:pPr>
    <w:r>
      <w:t>CERD/C/GBR/Q/18-20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C74B5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71419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196A2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45E9E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E4C88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901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D81E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2CF9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0A08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1CC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05691"/>
    <w:multiLevelType w:val="singleLevel"/>
    <w:tmpl w:val="36084D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11">
    <w:nsid w:val="08CE72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AC26C62"/>
    <w:multiLevelType w:val="singleLevel"/>
    <w:tmpl w:val="561E0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>
    <w:nsid w:val="0C2069F6"/>
    <w:multiLevelType w:val="hybridMultilevel"/>
    <w:tmpl w:val="AD0A083E"/>
    <w:lvl w:ilvl="0" w:tplc="50A07FE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70C549E"/>
    <w:multiLevelType w:val="singleLevel"/>
    <w:tmpl w:val="01325DD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15">
    <w:nsid w:val="1E4D378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2A123C58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B3F49C6"/>
    <w:multiLevelType w:val="singleLevel"/>
    <w:tmpl w:val="720CB540"/>
    <w:lvl w:ilvl="0">
      <w:start w:val="1"/>
      <w:numFmt w:val="lowerRoman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8">
    <w:nsid w:val="302A75A7"/>
    <w:multiLevelType w:val="singleLevel"/>
    <w:tmpl w:val="3496DD40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19">
    <w:nsid w:val="362557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1">
    <w:nsid w:val="3CB061AB"/>
    <w:multiLevelType w:val="singleLevel"/>
    <w:tmpl w:val="11B83F58"/>
    <w:lvl w:ilvl="0">
      <w:start w:val="1"/>
      <w:numFmt w:val="decimal"/>
      <w:lvlText w:val="%1."/>
      <w:lvlJc w:val="left"/>
      <w:pPr>
        <w:tabs>
          <w:tab w:val="num" w:pos="1494"/>
        </w:tabs>
        <w:ind w:left="1133" w:firstLine="1"/>
      </w:pPr>
      <w:rPr>
        <w:rFonts w:hint="default"/>
      </w:rPr>
    </w:lvl>
  </w:abstractNum>
  <w:abstractNum w:abstractNumId="22">
    <w:nsid w:val="40221049"/>
    <w:multiLevelType w:val="singleLevel"/>
    <w:tmpl w:val="04D4B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52D144C"/>
    <w:multiLevelType w:val="singleLevel"/>
    <w:tmpl w:val="7C4C0A7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24">
    <w:nsid w:val="45AC29BB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75545F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489F3657"/>
    <w:multiLevelType w:val="singleLevel"/>
    <w:tmpl w:val="2AB2508E"/>
    <w:lvl w:ilvl="0">
      <w:start w:val="1"/>
      <w:numFmt w:val="decimal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7">
    <w:nsid w:val="4B2E67DA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>
    <w:nsid w:val="4DF455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4EFA25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B15788D"/>
    <w:multiLevelType w:val="singleLevel"/>
    <w:tmpl w:val="9ECEEF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31">
    <w:nsid w:val="5E69202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>
    <w:nsid w:val="6260382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65D15DFE"/>
    <w:multiLevelType w:val="singleLevel"/>
    <w:tmpl w:val="475E6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5">
    <w:nsid w:val="779C6EB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7ACA64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7C9538FD"/>
    <w:multiLevelType w:val="hybridMultilevel"/>
    <w:tmpl w:val="038A2DC0"/>
    <w:lvl w:ilvl="0" w:tplc="A5265396">
      <w:start w:val="1"/>
      <w:numFmt w:val="none"/>
      <w:lvlText w:val="%1"/>
      <w:lvlJc w:val="left"/>
      <w:pPr>
        <w:tabs>
          <w:tab w:val="num" w:pos="1134"/>
        </w:tabs>
        <w:ind w:left="1134" w:hanging="397"/>
      </w:pPr>
      <w:rPr>
        <w:rFonts w:hint="default"/>
        <w:b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CF349BD"/>
    <w:multiLevelType w:val="singleLevel"/>
    <w:tmpl w:val="51D4BF5A"/>
    <w:lvl w:ilvl="0">
      <w:start w:val="1"/>
      <w:numFmt w:val="lowerRoman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abstractNum w:abstractNumId="39">
    <w:nsid w:val="7DBF6B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F3A355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8"/>
  </w:num>
  <w:num w:numId="2">
    <w:abstractNumId w:val="17"/>
  </w:num>
  <w:num w:numId="3">
    <w:abstractNumId w:val="38"/>
  </w:num>
  <w:num w:numId="4">
    <w:abstractNumId w:val="17"/>
  </w:num>
  <w:num w:numId="5">
    <w:abstractNumId w:val="11"/>
  </w:num>
  <w:num w:numId="6">
    <w:abstractNumId w:val="19"/>
  </w:num>
  <w:num w:numId="7">
    <w:abstractNumId w:val="22"/>
  </w:num>
  <w:num w:numId="8">
    <w:abstractNumId w:val="36"/>
  </w:num>
  <w:num w:numId="9">
    <w:abstractNumId w:val="29"/>
  </w:num>
  <w:num w:numId="10">
    <w:abstractNumId w:val="39"/>
  </w:num>
  <w:num w:numId="11">
    <w:abstractNumId w:val="22"/>
  </w:num>
  <w:num w:numId="12">
    <w:abstractNumId w:val="26"/>
  </w:num>
  <w:num w:numId="13">
    <w:abstractNumId w:val="26"/>
  </w:num>
  <w:num w:numId="14">
    <w:abstractNumId w:val="33"/>
  </w:num>
  <w:num w:numId="15">
    <w:abstractNumId w:val="21"/>
  </w:num>
  <w:num w:numId="16">
    <w:abstractNumId w:val="21"/>
  </w:num>
  <w:num w:numId="17">
    <w:abstractNumId w:val="38"/>
  </w:num>
  <w:num w:numId="18">
    <w:abstractNumId w:val="17"/>
  </w:num>
  <w:num w:numId="19">
    <w:abstractNumId w:val="1"/>
  </w:num>
  <w:num w:numId="20">
    <w:abstractNumId w:val="0"/>
  </w:num>
  <w:num w:numId="21">
    <w:abstractNumId w:val="18"/>
  </w:num>
  <w:num w:numId="22">
    <w:abstractNumId w:val="10"/>
  </w:num>
  <w:num w:numId="23">
    <w:abstractNumId w:val="14"/>
  </w:num>
  <w:num w:numId="24">
    <w:abstractNumId w:val="12"/>
  </w:num>
  <w:num w:numId="25">
    <w:abstractNumId w:val="23"/>
  </w:num>
  <w:num w:numId="26">
    <w:abstractNumId w:val="30"/>
  </w:num>
  <w:num w:numId="27">
    <w:abstractNumId w:val="2"/>
  </w:num>
  <w:num w:numId="28">
    <w:abstractNumId w:val="3"/>
  </w:num>
  <w:num w:numId="29">
    <w:abstractNumId w:val="8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13"/>
  </w:num>
  <w:num w:numId="36">
    <w:abstractNumId w:val="37"/>
  </w:num>
  <w:num w:numId="37">
    <w:abstractNumId w:val="34"/>
  </w:num>
  <w:num w:numId="38">
    <w:abstractNumId w:val="20"/>
  </w:num>
  <w:num w:numId="39">
    <w:abstractNumId w:val="25"/>
  </w:num>
  <w:num w:numId="40">
    <w:abstractNumId w:val="35"/>
  </w:num>
  <w:num w:numId="41">
    <w:abstractNumId w:val="15"/>
  </w:num>
  <w:num w:numId="42">
    <w:abstractNumId w:val="31"/>
  </w:num>
  <w:num w:numId="43">
    <w:abstractNumId w:val="40"/>
  </w:num>
  <w:num w:numId="44">
    <w:abstractNumId w:val="27"/>
  </w:num>
  <w:num w:numId="45">
    <w:abstractNumId w:val="32"/>
  </w:num>
  <w:num w:numId="46">
    <w:abstractNumId w:val="28"/>
  </w:num>
  <w:num w:numId="47">
    <w:abstractNumId w:val="24"/>
  </w:num>
  <w:num w:numId="48">
    <w:abstractNumId w:val="16"/>
  </w:num>
  <w:num w:numId="49">
    <w:abstractNumId w:val="34"/>
  </w:num>
  <w:num w:numId="5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proofState w:spelling="clean"/>
  <w:attachedTemplate r:id="rId1"/>
  <w:stylePaneFormatFilter w:val="0004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7EE2"/>
    <w:rsid w:val="00016AC5"/>
    <w:rsid w:val="00054609"/>
    <w:rsid w:val="00054DC0"/>
    <w:rsid w:val="000A6F55"/>
    <w:rsid w:val="000B75AB"/>
    <w:rsid w:val="000E7579"/>
    <w:rsid w:val="000F41F2"/>
    <w:rsid w:val="001231AD"/>
    <w:rsid w:val="001450E6"/>
    <w:rsid w:val="00150465"/>
    <w:rsid w:val="00160540"/>
    <w:rsid w:val="00192EEB"/>
    <w:rsid w:val="00197832"/>
    <w:rsid w:val="001A20FB"/>
    <w:rsid w:val="001B3867"/>
    <w:rsid w:val="001D72C5"/>
    <w:rsid w:val="001D7F8A"/>
    <w:rsid w:val="001E3FEB"/>
    <w:rsid w:val="001E4A02"/>
    <w:rsid w:val="00225A8C"/>
    <w:rsid w:val="00241AB3"/>
    <w:rsid w:val="002626D4"/>
    <w:rsid w:val="002659F1"/>
    <w:rsid w:val="00265CD7"/>
    <w:rsid w:val="00287E79"/>
    <w:rsid w:val="002928F9"/>
    <w:rsid w:val="002A5D07"/>
    <w:rsid w:val="002D3F03"/>
    <w:rsid w:val="002E0D40"/>
    <w:rsid w:val="002E5B0C"/>
    <w:rsid w:val="00300D06"/>
    <w:rsid w:val="003016B7"/>
    <w:rsid w:val="003515AA"/>
    <w:rsid w:val="00374106"/>
    <w:rsid w:val="003976D5"/>
    <w:rsid w:val="003D6C68"/>
    <w:rsid w:val="004159D0"/>
    <w:rsid w:val="00472145"/>
    <w:rsid w:val="00480E00"/>
    <w:rsid w:val="00487926"/>
    <w:rsid w:val="004C0AA6"/>
    <w:rsid w:val="00504AF4"/>
    <w:rsid w:val="00524207"/>
    <w:rsid w:val="00540389"/>
    <w:rsid w:val="00543D5E"/>
    <w:rsid w:val="00571F41"/>
    <w:rsid w:val="00593658"/>
    <w:rsid w:val="005E5D1F"/>
    <w:rsid w:val="006034FC"/>
    <w:rsid w:val="00611D43"/>
    <w:rsid w:val="00612D48"/>
    <w:rsid w:val="00616B45"/>
    <w:rsid w:val="00630D9B"/>
    <w:rsid w:val="00631953"/>
    <w:rsid w:val="006439EC"/>
    <w:rsid w:val="00657120"/>
    <w:rsid w:val="00693E16"/>
    <w:rsid w:val="006B4590"/>
    <w:rsid w:val="006C340C"/>
    <w:rsid w:val="006D7B0B"/>
    <w:rsid w:val="006E6AE5"/>
    <w:rsid w:val="006F39E4"/>
    <w:rsid w:val="0070347C"/>
    <w:rsid w:val="007176C1"/>
    <w:rsid w:val="007231EF"/>
    <w:rsid w:val="0078670C"/>
    <w:rsid w:val="007E0764"/>
    <w:rsid w:val="007F55CB"/>
    <w:rsid w:val="00844750"/>
    <w:rsid w:val="00850BCE"/>
    <w:rsid w:val="008B44C4"/>
    <w:rsid w:val="008D2259"/>
    <w:rsid w:val="008E7FAE"/>
    <w:rsid w:val="00911BF7"/>
    <w:rsid w:val="00977EC8"/>
    <w:rsid w:val="009C17F5"/>
    <w:rsid w:val="009D3A8C"/>
    <w:rsid w:val="009E7956"/>
    <w:rsid w:val="00A2492E"/>
    <w:rsid w:val="00A406E8"/>
    <w:rsid w:val="00A82B6C"/>
    <w:rsid w:val="00AA7FE7"/>
    <w:rsid w:val="00AB3173"/>
    <w:rsid w:val="00AC01AA"/>
    <w:rsid w:val="00AC67A1"/>
    <w:rsid w:val="00AC7977"/>
    <w:rsid w:val="00AE352C"/>
    <w:rsid w:val="00B32E2D"/>
    <w:rsid w:val="00B61990"/>
    <w:rsid w:val="00BF0556"/>
    <w:rsid w:val="00C03431"/>
    <w:rsid w:val="00C261F8"/>
    <w:rsid w:val="00C33100"/>
    <w:rsid w:val="00CD1A71"/>
    <w:rsid w:val="00CD1FBB"/>
    <w:rsid w:val="00D016B5"/>
    <w:rsid w:val="00D034F1"/>
    <w:rsid w:val="00D27D5E"/>
    <w:rsid w:val="00D33B11"/>
    <w:rsid w:val="00D37345"/>
    <w:rsid w:val="00DC156C"/>
    <w:rsid w:val="00DE6D90"/>
    <w:rsid w:val="00DF002F"/>
    <w:rsid w:val="00E0244D"/>
    <w:rsid w:val="00E42D5E"/>
    <w:rsid w:val="00E723B6"/>
    <w:rsid w:val="00E81E94"/>
    <w:rsid w:val="00E82607"/>
    <w:rsid w:val="00E9695E"/>
    <w:rsid w:val="00EC056C"/>
    <w:rsid w:val="00EC5A42"/>
    <w:rsid w:val="00F63BC6"/>
    <w:rsid w:val="00F71817"/>
    <w:rsid w:val="00FA5A79"/>
    <w:rsid w:val="00FB0BFE"/>
    <w:rsid w:val="00FB4C51"/>
    <w:rsid w:val="00FB7EE2"/>
    <w:rsid w:val="00FF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17F5"/>
    <w:pPr>
      <w:suppressAutoHyphens/>
      <w:spacing w:line="240" w:lineRule="atLeast"/>
    </w:pPr>
    <w:rPr>
      <w:lang w:val="fr-CH"/>
    </w:rPr>
  </w:style>
  <w:style w:type="paragraph" w:styleId="Heading1">
    <w:name w:val="heading 1"/>
    <w:aliases w:val="Table_G"/>
    <w:basedOn w:val="SingleTxtG"/>
    <w:next w:val="SingleTxtG"/>
    <w:qFormat/>
    <w:rsid w:val="00D37345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9C17F5"/>
    <w:pPr>
      <w:outlineLvl w:val="1"/>
    </w:pPr>
  </w:style>
  <w:style w:type="paragraph" w:styleId="Heading3">
    <w:name w:val="heading 3"/>
    <w:basedOn w:val="Normal"/>
    <w:next w:val="Normal"/>
    <w:qFormat/>
    <w:rsid w:val="009C17F5"/>
    <w:pPr>
      <w:outlineLvl w:val="2"/>
    </w:pPr>
  </w:style>
  <w:style w:type="paragraph" w:styleId="Heading4">
    <w:name w:val="heading 4"/>
    <w:basedOn w:val="Normal"/>
    <w:next w:val="Normal"/>
    <w:qFormat/>
    <w:rsid w:val="009C17F5"/>
    <w:pPr>
      <w:outlineLvl w:val="3"/>
    </w:pPr>
  </w:style>
  <w:style w:type="paragraph" w:styleId="Heading5">
    <w:name w:val="heading 5"/>
    <w:basedOn w:val="Normal"/>
    <w:next w:val="Normal"/>
    <w:qFormat/>
    <w:rsid w:val="009C17F5"/>
    <w:pPr>
      <w:outlineLvl w:val="4"/>
    </w:pPr>
  </w:style>
  <w:style w:type="paragraph" w:styleId="Heading6">
    <w:name w:val="heading 6"/>
    <w:basedOn w:val="Normal"/>
    <w:next w:val="Normal"/>
    <w:qFormat/>
    <w:rsid w:val="009C17F5"/>
    <w:pPr>
      <w:outlineLvl w:val="5"/>
    </w:pPr>
  </w:style>
  <w:style w:type="paragraph" w:styleId="Heading7">
    <w:name w:val="heading 7"/>
    <w:basedOn w:val="Normal"/>
    <w:next w:val="Normal"/>
    <w:qFormat/>
    <w:rsid w:val="009C17F5"/>
    <w:pPr>
      <w:outlineLvl w:val="6"/>
    </w:pPr>
  </w:style>
  <w:style w:type="paragraph" w:styleId="Heading8">
    <w:name w:val="heading 8"/>
    <w:basedOn w:val="Normal"/>
    <w:next w:val="Normal"/>
    <w:qFormat/>
    <w:rsid w:val="009C17F5"/>
    <w:pPr>
      <w:outlineLvl w:val="7"/>
    </w:pPr>
  </w:style>
  <w:style w:type="paragraph" w:styleId="Heading9">
    <w:name w:val="heading 9"/>
    <w:basedOn w:val="Normal"/>
    <w:next w:val="Normal"/>
    <w:qFormat/>
    <w:rsid w:val="009C17F5"/>
    <w:pPr>
      <w:outlineLvl w:val="8"/>
    </w:pPr>
  </w:style>
  <w:style w:type="character" w:default="1" w:styleId="DefaultParagraphFont">
    <w:name w:val="Default Paragraph Font"/>
    <w:semiHidden/>
    <w:rsid w:val="009C17F5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C17F5"/>
  </w:style>
  <w:style w:type="paragraph" w:customStyle="1" w:styleId="HMG">
    <w:name w:val="_ H __M_G"/>
    <w:basedOn w:val="Normal"/>
    <w:next w:val="Normal"/>
    <w:rsid w:val="009C17F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9C17F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9C17F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9C17F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9C17F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9C17F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9C17F5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9C17F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9C17F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9C17F5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9C17F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9C17F5"/>
    <w:pPr>
      <w:numPr>
        <w:numId w:val="49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9C17F5"/>
    <w:pPr>
      <w:numPr>
        <w:numId w:val="50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rsid w:val="009C17F5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9C17F5"/>
  </w:style>
  <w:style w:type="paragraph" w:styleId="Header">
    <w:name w:val="header"/>
    <w:aliases w:val="6_G"/>
    <w:basedOn w:val="Normal"/>
    <w:next w:val="Normal"/>
    <w:rsid w:val="009C17F5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rsid w:val="00054609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054609"/>
  </w:style>
  <w:style w:type="character" w:styleId="PageNumber">
    <w:name w:val="page number"/>
    <w:aliases w:val="7_G"/>
    <w:basedOn w:val="DefaultParagraphFont"/>
    <w:rsid w:val="009C17F5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rsid w:val="009C17F5"/>
    <w:pPr>
      <w:spacing w:line="240" w:lineRule="auto"/>
    </w:pPr>
    <w:rPr>
      <w:sz w:val="16"/>
    </w:rPr>
  </w:style>
  <w:style w:type="character" w:styleId="Hyperlink">
    <w:name w:val="Hyperlink"/>
    <w:basedOn w:val="DefaultParagraphFont"/>
    <w:rsid w:val="00540389"/>
    <w:rPr>
      <w:color w:val="auto"/>
      <w:u w:val="none"/>
    </w:rPr>
  </w:style>
  <w:style w:type="character" w:styleId="FollowedHyperlink">
    <w:name w:val="FollowedHyperlink"/>
    <w:basedOn w:val="DefaultParagraphFont"/>
    <w:rsid w:val="00540389"/>
    <w:rPr>
      <w:color w:val="auto"/>
      <w:u w:val="none"/>
    </w:rPr>
  </w:style>
  <w:style w:type="table" w:styleId="TableGrid">
    <w:name w:val="Table Grid"/>
    <w:basedOn w:val="TableNormal"/>
    <w:rsid w:val="00487926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FORMAT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</Template>
  <TotalTime>0</TotalTime>
  <Pages>3</Pages>
  <Words>1338</Words>
  <Characters>7597</Characters>
  <Application>Microsoft Office Outlook</Application>
  <DocSecurity>4</DocSecurity>
  <Lines>130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CERD/C/GBR/Q/18-20</vt:lpstr>
    </vt:vector>
  </TitlesOfParts>
  <Company>CSD</Company>
  <LinksUpToDate>false</LinksUpToDate>
  <CharactersWithSpaces>8915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CERD/C/GBR/Q/18-20</dc:title>
  <dc:subject>Final (Gonzalez/Atger)</dc:subject>
  <dc:creator>Moret-Var</dc:creator>
  <cp:keywords/>
  <dc:description/>
  <cp:lastModifiedBy>Moret-Var</cp:lastModifiedBy>
  <cp:revision>2</cp:revision>
  <cp:lastPrinted>2011-08-30T10:14:00Z</cp:lastPrinted>
  <dcterms:created xsi:type="dcterms:W3CDTF">2011-08-30T12:45:00Z</dcterms:created>
  <dcterms:modified xsi:type="dcterms:W3CDTF">2011-08-30T12:45:00Z</dcterms:modified>
</cp:coreProperties>
</file>