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26795" w:rsidTr="007C7BEE">
        <w:trPr>
          <w:cantSplit/>
          <w:trHeight w:hRule="exact" w:val="851"/>
        </w:trPr>
        <w:tc>
          <w:tcPr>
            <w:tcW w:w="1276" w:type="dxa"/>
            <w:tcBorders>
              <w:bottom w:val="single" w:sz="4" w:space="0" w:color="auto"/>
            </w:tcBorders>
            <w:shd w:val="clear" w:color="auto" w:fill="auto"/>
            <w:vAlign w:val="bottom"/>
          </w:tcPr>
          <w:p w:rsidR="00B56E9C" w:rsidRPr="00ED616A" w:rsidRDefault="00B56E9C" w:rsidP="007C7BEE">
            <w:pPr>
              <w:pStyle w:val="SingleTxtG"/>
            </w:pPr>
          </w:p>
        </w:tc>
        <w:tc>
          <w:tcPr>
            <w:tcW w:w="2268" w:type="dxa"/>
            <w:tcBorders>
              <w:bottom w:val="single" w:sz="4" w:space="0" w:color="auto"/>
            </w:tcBorders>
            <w:shd w:val="clear" w:color="auto" w:fill="auto"/>
            <w:vAlign w:val="bottom"/>
          </w:tcPr>
          <w:p w:rsidR="00B56E9C" w:rsidRPr="007C7BEE" w:rsidRDefault="0067435E" w:rsidP="007C7BEE">
            <w:pPr>
              <w:spacing w:after="80" w:line="300" w:lineRule="exact"/>
              <w:rPr>
                <w:b/>
                <w:sz w:val="24"/>
                <w:szCs w:val="24"/>
              </w:rPr>
            </w:pPr>
            <w:r w:rsidRPr="007C7BEE">
              <w:rPr>
                <w:sz w:val="28"/>
                <w:szCs w:val="28"/>
              </w:rPr>
              <w:t>United Nations</w:t>
            </w:r>
          </w:p>
        </w:tc>
        <w:tc>
          <w:tcPr>
            <w:tcW w:w="6095" w:type="dxa"/>
            <w:gridSpan w:val="2"/>
            <w:tcBorders>
              <w:bottom w:val="single" w:sz="4" w:space="0" w:color="auto"/>
            </w:tcBorders>
            <w:shd w:val="clear" w:color="auto" w:fill="auto"/>
            <w:vAlign w:val="bottom"/>
          </w:tcPr>
          <w:p w:rsidR="00B56E9C" w:rsidRPr="00E26795" w:rsidRDefault="007B2CA0" w:rsidP="00E57589">
            <w:pPr>
              <w:suppressAutoHyphens w:val="0"/>
              <w:spacing w:after="20"/>
              <w:jc w:val="right"/>
            </w:pPr>
            <w:r w:rsidRPr="00E26795">
              <w:rPr>
                <w:sz w:val="40"/>
              </w:rPr>
              <w:t>CERD</w:t>
            </w:r>
            <w:r w:rsidRPr="00E26795">
              <w:t>/C/</w:t>
            </w:r>
            <w:r w:rsidR="00E57589" w:rsidRPr="00E26795">
              <w:t>GBR</w:t>
            </w:r>
            <w:r w:rsidRPr="00E26795">
              <w:t>/CO/</w:t>
            </w:r>
            <w:r w:rsidR="00E57589" w:rsidRPr="00E26795">
              <w:t>21-23</w:t>
            </w:r>
          </w:p>
        </w:tc>
      </w:tr>
      <w:tr w:rsidR="00B56E9C" w:rsidTr="007C7BEE">
        <w:trPr>
          <w:cantSplit/>
          <w:trHeight w:hRule="exact" w:val="2835"/>
        </w:trPr>
        <w:tc>
          <w:tcPr>
            <w:tcW w:w="1276" w:type="dxa"/>
            <w:tcBorders>
              <w:top w:val="single" w:sz="4" w:space="0" w:color="auto"/>
              <w:bottom w:val="single" w:sz="12" w:space="0" w:color="auto"/>
            </w:tcBorders>
            <w:shd w:val="clear" w:color="auto" w:fill="auto"/>
          </w:tcPr>
          <w:p w:rsidR="00B56E9C" w:rsidRDefault="0067435E" w:rsidP="007C7BEE">
            <w:pPr>
              <w:spacing w:before="120"/>
              <w:jc w:val="center"/>
            </w:pPr>
            <w:r>
              <w:rPr>
                <w:noProof/>
                <w:lang w:val="en-US" w:eastAsia="zh-CN"/>
              </w:rPr>
              <w:drawing>
                <wp:inline distT="0" distB="0" distL="0" distR="0" wp14:anchorId="6CA0BEC8" wp14:editId="6DC3EF32">
                  <wp:extent cx="716280" cy="586740"/>
                  <wp:effectExtent l="0" t="0" r="7620" b="381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F46FC1" w:rsidRDefault="0067435E" w:rsidP="0067435E">
            <w:pPr>
              <w:spacing w:before="120" w:line="380" w:lineRule="exact"/>
              <w:rPr>
                <w:b/>
                <w:sz w:val="28"/>
              </w:rPr>
            </w:pPr>
            <w:r w:rsidRPr="008D0848">
              <w:rPr>
                <w:b/>
                <w:sz w:val="34"/>
                <w:szCs w:val="40"/>
              </w:rPr>
              <w:t>International Convention on</w:t>
            </w:r>
            <w:r w:rsidRPr="008D0848">
              <w:rPr>
                <w:b/>
                <w:sz w:val="34"/>
                <w:szCs w:val="40"/>
              </w:rPr>
              <w:br/>
              <w:t>the Elimination of All Forms</w:t>
            </w:r>
            <w:r w:rsidRPr="008D0848">
              <w:rPr>
                <w:b/>
                <w:sz w:val="34"/>
                <w:szCs w:val="40"/>
              </w:rPr>
              <w:br/>
              <w:t>of Racial Discrimination</w:t>
            </w:r>
          </w:p>
        </w:tc>
        <w:tc>
          <w:tcPr>
            <w:tcW w:w="2835" w:type="dxa"/>
            <w:tcBorders>
              <w:top w:val="single" w:sz="4" w:space="0" w:color="auto"/>
              <w:bottom w:val="single" w:sz="12" w:space="0" w:color="auto"/>
            </w:tcBorders>
            <w:shd w:val="clear" w:color="auto" w:fill="auto"/>
          </w:tcPr>
          <w:p w:rsidR="00D44017" w:rsidRPr="008D0848" w:rsidRDefault="007B2CA0" w:rsidP="00F46FC1">
            <w:pPr>
              <w:suppressAutoHyphens w:val="0"/>
              <w:spacing w:before="240" w:line="240" w:lineRule="exact"/>
            </w:pPr>
            <w:r w:rsidRPr="008D0848">
              <w:t xml:space="preserve">Distr.: </w:t>
            </w:r>
            <w:r w:rsidR="00EB6F09" w:rsidRPr="008D0848">
              <w:t>General</w:t>
            </w:r>
            <w:r w:rsidR="00A96934" w:rsidRPr="008D0848">
              <w:t xml:space="preserve"> </w:t>
            </w:r>
          </w:p>
          <w:p w:rsidR="007B2CA0" w:rsidRPr="008D0848" w:rsidRDefault="00FE25F9" w:rsidP="00F46FC1">
            <w:pPr>
              <w:suppressAutoHyphens w:val="0"/>
              <w:spacing w:line="240" w:lineRule="auto"/>
            </w:pPr>
            <w:r>
              <w:t>3 October</w:t>
            </w:r>
            <w:r w:rsidR="00A96934" w:rsidRPr="008D0848">
              <w:t xml:space="preserve"> </w:t>
            </w:r>
            <w:r w:rsidR="002D241A" w:rsidRPr="008D0848">
              <w:t>201</w:t>
            </w:r>
            <w:r w:rsidR="00A96934" w:rsidRPr="008D0848">
              <w:t>6</w:t>
            </w:r>
          </w:p>
          <w:p w:rsidR="002D241A" w:rsidRPr="008D0848" w:rsidRDefault="002D241A" w:rsidP="007C7BEE">
            <w:pPr>
              <w:suppressAutoHyphens w:val="0"/>
            </w:pPr>
          </w:p>
          <w:p w:rsidR="00B56E9C" w:rsidRPr="008D0848" w:rsidRDefault="007B2CA0" w:rsidP="009977E8">
            <w:pPr>
              <w:suppressAutoHyphens w:val="0"/>
            </w:pPr>
            <w:r w:rsidRPr="008D0848">
              <w:t xml:space="preserve">Original: </w:t>
            </w:r>
            <w:r w:rsidR="009977E8" w:rsidRPr="008D0848">
              <w:t>English</w:t>
            </w:r>
          </w:p>
          <w:p w:rsidR="00AF322A" w:rsidRPr="008D0848" w:rsidRDefault="00AF322A" w:rsidP="00B70E0E">
            <w:pPr>
              <w:suppressAutoHyphens w:val="0"/>
            </w:pPr>
          </w:p>
        </w:tc>
      </w:tr>
    </w:tbl>
    <w:p w:rsidR="00EA1AB4" w:rsidRPr="00F46FC1" w:rsidRDefault="00EA1AB4" w:rsidP="00453763">
      <w:pPr>
        <w:spacing w:before="120"/>
        <w:rPr>
          <w:b/>
          <w:sz w:val="24"/>
        </w:rPr>
      </w:pPr>
      <w:r w:rsidRPr="00F46FC1">
        <w:rPr>
          <w:b/>
          <w:sz w:val="24"/>
        </w:rPr>
        <w:t>Committee on the Elimination of Racial Discrimination</w:t>
      </w:r>
    </w:p>
    <w:p w:rsidR="00EA1AB4" w:rsidRPr="00EA1AB4" w:rsidRDefault="00EA1AB4" w:rsidP="00EA1AB4">
      <w:pPr>
        <w:pStyle w:val="HChG"/>
      </w:pPr>
      <w:r w:rsidRPr="00EA1AB4">
        <w:tab/>
      </w:r>
      <w:r w:rsidRPr="00EA1AB4">
        <w:tab/>
      </w:r>
      <w:bookmarkStart w:id="0" w:name="_GoBack"/>
      <w:bookmarkEnd w:id="0"/>
      <w:r w:rsidRPr="00EA1AB4">
        <w:t xml:space="preserve">Concluding observations on the </w:t>
      </w:r>
      <w:r w:rsidR="002E55D6">
        <w:t xml:space="preserve">combined </w:t>
      </w:r>
      <w:r w:rsidR="00591889">
        <w:t>twenty-first</w:t>
      </w:r>
      <w:r w:rsidR="00165662">
        <w:t xml:space="preserve"> to </w:t>
      </w:r>
      <w:r w:rsidR="00591889">
        <w:t>twenty-third</w:t>
      </w:r>
      <w:r w:rsidR="002D241A">
        <w:t xml:space="preserve"> </w:t>
      </w:r>
      <w:r w:rsidRPr="00EA1AB4">
        <w:t>periodic report</w:t>
      </w:r>
      <w:r w:rsidR="009977E8">
        <w:t>s</w:t>
      </w:r>
      <w:r w:rsidRPr="00EA1AB4">
        <w:t xml:space="preserve"> of </w:t>
      </w:r>
      <w:r w:rsidR="002E55D6">
        <w:t xml:space="preserve">the </w:t>
      </w:r>
      <w:r w:rsidR="00591889">
        <w:t>United Kingdom</w:t>
      </w:r>
      <w:r w:rsidR="002E55D6">
        <w:br/>
      </w:r>
      <w:r w:rsidR="00720A00">
        <w:t>of Great Britain and Northern Ireland</w:t>
      </w:r>
      <w:r w:rsidR="0091160E" w:rsidRPr="007754C5">
        <w:rPr>
          <w:rStyle w:val="FootnoteReference"/>
          <w:b w:val="0"/>
          <w:sz w:val="20"/>
          <w:vertAlign w:val="baseline"/>
        </w:rPr>
        <w:footnoteReference w:customMarkFollows="1" w:id="2"/>
        <w:t>*</w:t>
      </w:r>
      <w:r w:rsidR="001D4309">
        <w:rPr>
          <w:b w:val="0"/>
          <w:sz w:val="20"/>
        </w:rPr>
        <w:t xml:space="preserve"> </w:t>
      </w:r>
    </w:p>
    <w:p w:rsidR="005B0799" w:rsidRPr="00F46FC1" w:rsidRDefault="00F46FC1" w:rsidP="00F46FC1">
      <w:pPr>
        <w:pStyle w:val="SingleTxtG"/>
        <w:rPr>
          <w:color w:val="000000" w:themeColor="text1"/>
        </w:rPr>
      </w:pPr>
      <w:r w:rsidRPr="00F46FC1">
        <w:rPr>
          <w:bCs/>
        </w:rPr>
        <w:t>1.</w:t>
      </w:r>
      <w:r w:rsidRPr="00F46FC1">
        <w:rPr>
          <w:bCs/>
        </w:rPr>
        <w:tab/>
      </w:r>
      <w:r w:rsidR="005B0799" w:rsidRPr="0039009F">
        <w:t>The Committee considered the combined</w:t>
      </w:r>
      <w:r w:rsidR="005B0799">
        <w:t xml:space="preserve"> </w:t>
      </w:r>
      <w:r w:rsidR="00591889">
        <w:t xml:space="preserve">twenty-first to twenty-third </w:t>
      </w:r>
      <w:r w:rsidR="005B0799" w:rsidRPr="0039009F">
        <w:t xml:space="preserve">periodic </w:t>
      </w:r>
      <w:r w:rsidR="005B0799" w:rsidRPr="00F46FC1">
        <w:rPr>
          <w:spacing w:val="-2"/>
        </w:rPr>
        <w:t xml:space="preserve">reports of </w:t>
      </w:r>
      <w:r w:rsidR="000004D6" w:rsidRPr="00F46FC1">
        <w:rPr>
          <w:spacing w:val="-2"/>
        </w:rPr>
        <w:t xml:space="preserve">the </w:t>
      </w:r>
      <w:r w:rsidR="00591889" w:rsidRPr="00F46FC1">
        <w:rPr>
          <w:spacing w:val="-2"/>
        </w:rPr>
        <w:t>United Kingdom</w:t>
      </w:r>
      <w:r w:rsidR="00A96934" w:rsidRPr="00F46FC1">
        <w:rPr>
          <w:spacing w:val="-2"/>
        </w:rPr>
        <w:t xml:space="preserve"> </w:t>
      </w:r>
      <w:r w:rsidR="000004D6" w:rsidRPr="00F46FC1">
        <w:rPr>
          <w:spacing w:val="-2"/>
        </w:rPr>
        <w:t>of Great Britain and Northern Ireland</w:t>
      </w:r>
      <w:r w:rsidR="00003A00" w:rsidRPr="00F46FC1">
        <w:rPr>
          <w:spacing w:val="-2"/>
        </w:rPr>
        <w:t xml:space="preserve"> </w:t>
      </w:r>
      <w:r w:rsidR="005B0799" w:rsidRPr="00F46FC1">
        <w:rPr>
          <w:spacing w:val="-2"/>
        </w:rPr>
        <w:t>(CERD/C/</w:t>
      </w:r>
      <w:r w:rsidR="00591889" w:rsidRPr="00F46FC1">
        <w:rPr>
          <w:spacing w:val="-2"/>
        </w:rPr>
        <w:t>GBR</w:t>
      </w:r>
      <w:r w:rsidR="005B0799" w:rsidRPr="00F46FC1">
        <w:rPr>
          <w:spacing w:val="-2"/>
        </w:rPr>
        <w:t>/</w:t>
      </w:r>
      <w:r w:rsidR="00591889" w:rsidRPr="00F46FC1">
        <w:rPr>
          <w:spacing w:val="-2"/>
        </w:rPr>
        <w:t>21-23</w:t>
      </w:r>
      <w:r w:rsidR="005B0799" w:rsidRPr="00F46FC1">
        <w:rPr>
          <w:spacing w:val="-2"/>
        </w:rPr>
        <w:t>)</w:t>
      </w:r>
      <w:r w:rsidR="005B0799" w:rsidRPr="0039009F">
        <w:t xml:space="preserve">, submitted in one document, at its </w:t>
      </w:r>
      <w:r w:rsidR="001422EB">
        <w:t>24</w:t>
      </w:r>
      <w:r w:rsidR="00591889">
        <w:t>54</w:t>
      </w:r>
      <w:r w:rsidR="00DB4133">
        <w:t>th</w:t>
      </w:r>
      <w:r w:rsidR="005B0799">
        <w:t xml:space="preserve"> </w:t>
      </w:r>
      <w:r w:rsidR="005B0799" w:rsidRPr="0039009F">
        <w:t xml:space="preserve">and </w:t>
      </w:r>
      <w:r w:rsidR="001422EB">
        <w:t>24</w:t>
      </w:r>
      <w:r w:rsidR="00591889">
        <w:t>55</w:t>
      </w:r>
      <w:r w:rsidR="00165662">
        <w:t>th</w:t>
      </w:r>
      <w:r w:rsidR="005B0799">
        <w:t xml:space="preserve"> </w:t>
      </w:r>
      <w:r w:rsidR="005B0799" w:rsidRPr="0039009F">
        <w:t>meetings (CERD/C/SR</w:t>
      </w:r>
      <w:r w:rsidR="005B0799">
        <w:t>.</w:t>
      </w:r>
      <w:r w:rsidR="001422EB">
        <w:t>24</w:t>
      </w:r>
      <w:r w:rsidR="00591889">
        <w:t>54</w:t>
      </w:r>
      <w:r w:rsidR="009576E4">
        <w:t xml:space="preserve"> and</w:t>
      </w:r>
      <w:r w:rsidR="005B0799">
        <w:t xml:space="preserve"> </w:t>
      </w:r>
      <w:r w:rsidR="00DB4133">
        <w:t>24</w:t>
      </w:r>
      <w:r w:rsidR="00591889">
        <w:t>55</w:t>
      </w:r>
      <w:r w:rsidR="005B0799" w:rsidRPr="0039009F">
        <w:t>), held on</w:t>
      </w:r>
      <w:r w:rsidR="001422EB">
        <w:t xml:space="preserve"> </w:t>
      </w:r>
      <w:r w:rsidR="00591889">
        <w:t>4</w:t>
      </w:r>
      <w:r w:rsidR="007C5E9B">
        <w:t xml:space="preserve"> and </w:t>
      </w:r>
      <w:r w:rsidR="00591889">
        <w:t>5 </w:t>
      </w:r>
      <w:r w:rsidR="0086227C">
        <w:t>August 2016</w:t>
      </w:r>
      <w:r w:rsidR="005B0799" w:rsidRPr="0039009F">
        <w:t>. At its</w:t>
      </w:r>
      <w:r w:rsidR="00E26795">
        <w:t xml:space="preserve"> 2473</w:t>
      </w:r>
      <w:r w:rsidR="00E26795" w:rsidRPr="00F46FC1">
        <w:t>rd</w:t>
      </w:r>
      <w:r w:rsidR="00E26795">
        <w:t xml:space="preserve"> </w:t>
      </w:r>
      <w:r w:rsidR="004124C1">
        <w:t>and 2474</w:t>
      </w:r>
      <w:r w:rsidR="004124C1" w:rsidRPr="00F46FC1">
        <w:t>th</w:t>
      </w:r>
      <w:r w:rsidR="004124C1">
        <w:t xml:space="preserve"> </w:t>
      </w:r>
      <w:r w:rsidR="005B0799" w:rsidRPr="0039009F">
        <w:t>meeting</w:t>
      </w:r>
      <w:r w:rsidR="005B0799">
        <w:t>s</w:t>
      </w:r>
      <w:r w:rsidR="005B0799" w:rsidRPr="0039009F">
        <w:t xml:space="preserve">, held on </w:t>
      </w:r>
      <w:r w:rsidR="00E26795">
        <w:t>18 August 2016</w:t>
      </w:r>
      <w:r w:rsidR="005B0799" w:rsidRPr="0039009F">
        <w:t xml:space="preserve">, it adopted the </w:t>
      </w:r>
      <w:r w:rsidR="00BC638E" w:rsidRPr="00F46FC1">
        <w:rPr>
          <w:color w:val="000000" w:themeColor="text1"/>
        </w:rPr>
        <w:t xml:space="preserve">present </w:t>
      </w:r>
      <w:r w:rsidR="005B0799" w:rsidRPr="00F46FC1">
        <w:rPr>
          <w:color w:val="000000" w:themeColor="text1"/>
        </w:rPr>
        <w:t xml:space="preserve">concluding observations. </w:t>
      </w:r>
    </w:p>
    <w:p w:rsidR="00AE07FC" w:rsidRPr="00F46FC1" w:rsidRDefault="00AF322A" w:rsidP="00AF322A">
      <w:pPr>
        <w:pStyle w:val="H1G"/>
        <w:rPr>
          <w:i/>
          <w:iCs/>
          <w:color w:val="000000" w:themeColor="text1"/>
        </w:rPr>
      </w:pPr>
      <w:r w:rsidRPr="00F46FC1">
        <w:rPr>
          <w:color w:val="000000" w:themeColor="text1"/>
        </w:rPr>
        <w:tab/>
      </w:r>
      <w:r w:rsidR="00AE07FC" w:rsidRPr="00F46FC1">
        <w:rPr>
          <w:color w:val="000000" w:themeColor="text1"/>
        </w:rPr>
        <w:t>A.</w:t>
      </w:r>
      <w:r w:rsidR="00AE07FC" w:rsidRPr="00F46FC1">
        <w:rPr>
          <w:color w:val="000000" w:themeColor="text1"/>
        </w:rPr>
        <w:tab/>
        <w:t>Introduction</w:t>
      </w:r>
    </w:p>
    <w:p w:rsidR="00186652" w:rsidRDefault="00F46FC1" w:rsidP="00F46FC1">
      <w:pPr>
        <w:pStyle w:val="SingleTxtG"/>
      </w:pPr>
      <w:r>
        <w:rPr>
          <w:bCs/>
        </w:rPr>
        <w:t>2.</w:t>
      </w:r>
      <w:r>
        <w:rPr>
          <w:bCs/>
        </w:rPr>
        <w:tab/>
      </w:r>
      <w:r w:rsidR="00AE07FC" w:rsidRPr="00AF322A">
        <w:t xml:space="preserve">The Committee welcomes the submission of the combined </w:t>
      </w:r>
      <w:r w:rsidR="00591889">
        <w:t xml:space="preserve">twenty-first to twenty-third </w:t>
      </w:r>
      <w:r w:rsidR="00AE07FC" w:rsidRPr="00AF322A">
        <w:t>periodic</w:t>
      </w:r>
      <w:r w:rsidR="00AE07FC" w:rsidRPr="0039009F">
        <w:t xml:space="preserve"> report</w:t>
      </w:r>
      <w:r w:rsidR="00BC638E">
        <w:t>s</w:t>
      </w:r>
      <w:r w:rsidR="00AE07FC" w:rsidRPr="0039009F">
        <w:t xml:space="preserve"> of the </w:t>
      </w:r>
      <w:r w:rsidR="00973D99">
        <w:t>United Kingdom of Great Britain and Northern Ireland</w:t>
      </w:r>
      <w:r w:rsidR="002052F7">
        <w:t xml:space="preserve"> and the information presented therein.</w:t>
      </w:r>
      <w:r w:rsidR="009A6A4F">
        <w:t xml:space="preserve"> </w:t>
      </w:r>
      <w:r w:rsidR="00AE07FC">
        <w:t xml:space="preserve">The Committee </w:t>
      </w:r>
      <w:r w:rsidR="003E7579">
        <w:t>appreciates</w:t>
      </w:r>
      <w:r w:rsidR="00AE07FC" w:rsidRPr="0039009F">
        <w:t xml:space="preserve"> the </w:t>
      </w:r>
      <w:r w:rsidR="00AE07FC">
        <w:t xml:space="preserve">open and constructive dialogue </w:t>
      </w:r>
      <w:r w:rsidR="003E7579">
        <w:t xml:space="preserve">that it had </w:t>
      </w:r>
      <w:r w:rsidR="00AE07FC">
        <w:t xml:space="preserve">with </w:t>
      </w:r>
      <w:r w:rsidR="00AE07FC" w:rsidRPr="0039009F">
        <w:t>the</w:t>
      </w:r>
      <w:r w:rsidR="003E7579">
        <w:t xml:space="preserve"> delegation of the</w:t>
      </w:r>
      <w:r w:rsidR="00AE07FC" w:rsidRPr="0039009F">
        <w:t xml:space="preserve"> </w:t>
      </w:r>
      <w:r w:rsidR="003C6462">
        <w:t xml:space="preserve">State party, </w:t>
      </w:r>
      <w:r w:rsidR="00750BF5">
        <w:t xml:space="preserve">which included </w:t>
      </w:r>
      <w:r w:rsidR="003C6462">
        <w:t xml:space="preserve">representatives of </w:t>
      </w:r>
      <w:r w:rsidR="00186652">
        <w:t>Northern Ireland,</w:t>
      </w:r>
      <w:r w:rsidR="00C7747F">
        <w:t xml:space="preserve"> Scotland and Wales, as well as</w:t>
      </w:r>
      <w:r w:rsidR="00186652">
        <w:t xml:space="preserve"> </w:t>
      </w:r>
      <w:r w:rsidR="00AD09DF">
        <w:t>representatives of the</w:t>
      </w:r>
      <w:r w:rsidR="00186652">
        <w:t xml:space="preserve"> </w:t>
      </w:r>
      <w:r w:rsidR="001038F3">
        <w:t xml:space="preserve">Foreign and Commonwealth Office and </w:t>
      </w:r>
      <w:r w:rsidR="007417D5">
        <w:t xml:space="preserve">of </w:t>
      </w:r>
      <w:r w:rsidR="001038F3">
        <w:t xml:space="preserve">the </w:t>
      </w:r>
      <w:r w:rsidR="00186652">
        <w:t xml:space="preserve">Crown </w:t>
      </w:r>
      <w:r w:rsidR="00BC638E">
        <w:t>d</w:t>
      </w:r>
      <w:r w:rsidR="00186652">
        <w:t>ependencies</w:t>
      </w:r>
      <w:r w:rsidR="0010158B">
        <w:t xml:space="preserve">. </w:t>
      </w:r>
    </w:p>
    <w:p w:rsidR="008E4DDA" w:rsidRDefault="00F46FC1" w:rsidP="00F46FC1">
      <w:pPr>
        <w:pStyle w:val="SingleTxtG"/>
      </w:pPr>
      <w:r>
        <w:rPr>
          <w:bCs/>
        </w:rPr>
        <w:t>3.</w:t>
      </w:r>
      <w:r>
        <w:rPr>
          <w:bCs/>
        </w:rPr>
        <w:tab/>
      </w:r>
      <w:r w:rsidR="008E4DDA">
        <w:t xml:space="preserve">The Committee </w:t>
      </w:r>
      <w:r w:rsidR="00AC61D1">
        <w:t xml:space="preserve">also </w:t>
      </w:r>
      <w:r w:rsidR="00AC09B3">
        <w:t>appreciates</w:t>
      </w:r>
      <w:r w:rsidR="00AC61D1">
        <w:t xml:space="preserve"> the </w:t>
      </w:r>
      <w:r w:rsidR="00473422">
        <w:t>input to its proceedings by the Equality and Human Rights Commission</w:t>
      </w:r>
      <w:r w:rsidR="00AB5808">
        <w:t>, the Scottish</w:t>
      </w:r>
      <w:r w:rsidR="00473422">
        <w:t xml:space="preserve"> Human Rights </w:t>
      </w:r>
      <w:r w:rsidR="00473422" w:rsidRPr="00347EB2">
        <w:t>Commission</w:t>
      </w:r>
      <w:r w:rsidR="003D1B42">
        <w:t>,</w:t>
      </w:r>
      <w:r w:rsidR="00AB5808">
        <w:t xml:space="preserve"> the </w:t>
      </w:r>
      <w:r w:rsidR="00473422" w:rsidRPr="00347EB2">
        <w:t>Northern</w:t>
      </w:r>
      <w:r w:rsidR="00473422">
        <w:t xml:space="preserve"> Ireland</w:t>
      </w:r>
      <w:r w:rsidR="005C51C7">
        <w:t xml:space="preserve"> Human Rights Commission</w:t>
      </w:r>
      <w:r w:rsidR="00473422">
        <w:t xml:space="preserve"> </w:t>
      </w:r>
      <w:r w:rsidR="00F56633">
        <w:t>and various</w:t>
      </w:r>
      <w:r w:rsidR="00473422">
        <w:t xml:space="preserve"> non-governmental organizations.</w:t>
      </w:r>
    </w:p>
    <w:p w:rsidR="00E86881" w:rsidRDefault="00F46FC1" w:rsidP="00F46FC1">
      <w:pPr>
        <w:pStyle w:val="SingleTxtG"/>
      </w:pPr>
      <w:r>
        <w:rPr>
          <w:bCs/>
        </w:rPr>
        <w:t>4.</w:t>
      </w:r>
      <w:r>
        <w:rPr>
          <w:bCs/>
        </w:rPr>
        <w:tab/>
      </w:r>
      <w:r w:rsidR="00D5463A">
        <w:t xml:space="preserve">The Committee notes the complex structure of the State party, with devolved </w:t>
      </w:r>
      <w:r w:rsidR="00CA5BF3">
        <w:t>governments</w:t>
      </w:r>
      <w:r w:rsidR="00D5463A">
        <w:t xml:space="preserve"> in Northern Ireland, Scotland and Wales, as well as </w:t>
      </w:r>
      <w:r w:rsidR="009D6525">
        <w:t xml:space="preserve">the responsibility of the State party with regard to the British </w:t>
      </w:r>
      <w:r w:rsidR="00BC638E">
        <w:t>o</w:t>
      </w:r>
      <w:r w:rsidR="009D6525">
        <w:t xml:space="preserve">verseas </w:t>
      </w:r>
      <w:r w:rsidR="00BC638E">
        <w:t>t</w:t>
      </w:r>
      <w:r w:rsidR="009D6525">
        <w:t xml:space="preserve">erritories </w:t>
      </w:r>
      <w:r w:rsidR="00853DC3">
        <w:t xml:space="preserve">and </w:t>
      </w:r>
      <w:r w:rsidR="00F54F30">
        <w:t xml:space="preserve">the </w:t>
      </w:r>
      <w:r w:rsidR="009D6525">
        <w:t xml:space="preserve">Crown </w:t>
      </w:r>
      <w:r w:rsidR="00BC638E">
        <w:t>d</w:t>
      </w:r>
      <w:r w:rsidR="009D6525">
        <w:t xml:space="preserve">ependencies. </w:t>
      </w:r>
      <w:r w:rsidR="00156803">
        <w:t xml:space="preserve">The Committee </w:t>
      </w:r>
      <w:r w:rsidR="00725B9B">
        <w:t>reiterates that</w:t>
      </w:r>
      <w:r w:rsidR="00F86AEB">
        <w:t>,</w:t>
      </w:r>
      <w:r w:rsidR="00725B9B">
        <w:t xml:space="preserve"> as the duty bearer at the international level</w:t>
      </w:r>
      <w:r w:rsidR="00EF7D76">
        <w:t xml:space="preserve">, the State party has the </w:t>
      </w:r>
      <w:r w:rsidR="0011583C">
        <w:t xml:space="preserve">duty </w:t>
      </w:r>
      <w:r w:rsidR="00EF7D76">
        <w:t xml:space="preserve">to ensure that the provisions of the Convention are implemented </w:t>
      </w:r>
      <w:r w:rsidR="00F86AEB">
        <w:t xml:space="preserve">effectively </w:t>
      </w:r>
      <w:r w:rsidR="00543D36">
        <w:t xml:space="preserve">in all territories </w:t>
      </w:r>
      <w:r w:rsidR="0011583C">
        <w:t>it is responsible for</w:t>
      </w:r>
      <w:r w:rsidR="00543D36">
        <w:t xml:space="preserve">, including the </w:t>
      </w:r>
      <w:r w:rsidR="00FF2348">
        <w:t xml:space="preserve">British </w:t>
      </w:r>
      <w:r w:rsidR="00BC638E">
        <w:t>o</w:t>
      </w:r>
      <w:r w:rsidR="00543D36">
        <w:t xml:space="preserve">verseas </w:t>
      </w:r>
      <w:r w:rsidR="00BC638E">
        <w:t>t</w:t>
      </w:r>
      <w:r w:rsidR="00543D36">
        <w:t xml:space="preserve">erritories and </w:t>
      </w:r>
      <w:r w:rsidR="009E4B1E">
        <w:t xml:space="preserve">the </w:t>
      </w:r>
      <w:r w:rsidR="00543D36">
        <w:t xml:space="preserve">Crown </w:t>
      </w:r>
      <w:r w:rsidR="00BC638E">
        <w:t>d</w:t>
      </w:r>
      <w:r w:rsidR="00543D36">
        <w:t>e</w:t>
      </w:r>
      <w:r w:rsidR="00377097">
        <w:t>pendencies, notwithstanding the specific governance arrangements that it may have adopted.</w:t>
      </w:r>
      <w:r w:rsidR="001D4309">
        <w:t xml:space="preserve"> </w:t>
      </w:r>
    </w:p>
    <w:p w:rsidR="009E266C" w:rsidRDefault="00F46FC1" w:rsidP="00F46FC1">
      <w:pPr>
        <w:pStyle w:val="SingleTxtG"/>
      </w:pPr>
      <w:r>
        <w:rPr>
          <w:bCs/>
        </w:rPr>
        <w:t>5.</w:t>
      </w:r>
      <w:r>
        <w:rPr>
          <w:bCs/>
        </w:rPr>
        <w:tab/>
      </w:r>
      <w:r w:rsidR="009E266C">
        <w:t xml:space="preserve">The </w:t>
      </w:r>
      <w:r w:rsidR="00E86881">
        <w:t xml:space="preserve">concerns and recommendations contained in the </w:t>
      </w:r>
      <w:r w:rsidR="009E266C">
        <w:t>present concluding observations therefore apply to</w:t>
      </w:r>
      <w:r w:rsidR="000A462E">
        <w:t xml:space="preserve"> all of the aforementioned </w:t>
      </w:r>
      <w:r w:rsidR="0057360C">
        <w:t>jurisdictions</w:t>
      </w:r>
      <w:r w:rsidR="000A462E">
        <w:t xml:space="preserve">, and the Committee calls upon the State party to ensure that the recommendations </w:t>
      </w:r>
      <w:r w:rsidR="009B5360">
        <w:t xml:space="preserve">contained herein </w:t>
      </w:r>
      <w:r w:rsidR="000A462E">
        <w:t xml:space="preserve">are effectively followed up </w:t>
      </w:r>
      <w:r w:rsidR="00F86AEB">
        <w:t xml:space="preserve">on </w:t>
      </w:r>
      <w:r w:rsidR="000A462E">
        <w:t xml:space="preserve">and implemented by the appropriate </w:t>
      </w:r>
      <w:r w:rsidR="00F507FC">
        <w:t>governments</w:t>
      </w:r>
      <w:r w:rsidR="000A462E">
        <w:t xml:space="preserve"> </w:t>
      </w:r>
      <w:r w:rsidR="0073037D">
        <w:t xml:space="preserve">of Northern </w:t>
      </w:r>
      <w:r w:rsidR="0073037D">
        <w:lastRenderedPageBreak/>
        <w:t xml:space="preserve">Ireland, Scotland and Wales, </w:t>
      </w:r>
      <w:r w:rsidR="00AA3CB4">
        <w:t xml:space="preserve">including at </w:t>
      </w:r>
      <w:r w:rsidR="00F86AEB">
        <w:t xml:space="preserve">the </w:t>
      </w:r>
      <w:r w:rsidR="00AA3CB4">
        <w:t xml:space="preserve">local authority level, </w:t>
      </w:r>
      <w:r w:rsidR="000A462E">
        <w:t xml:space="preserve">and </w:t>
      </w:r>
      <w:r w:rsidR="00F86AEB">
        <w:t xml:space="preserve">by </w:t>
      </w:r>
      <w:r w:rsidR="000A462E">
        <w:t>the</w:t>
      </w:r>
      <w:r w:rsidR="00F86AEB">
        <w:t xml:space="preserve"> </w:t>
      </w:r>
      <w:r w:rsidR="000A462E">
        <w:t xml:space="preserve">governments of the </w:t>
      </w:r>
      <w:r w:rsidR="005710D8">
        <w:t xml:space="preserve">British </w:t>
      </w:r>
      <w:r w:rsidR="00BC638E">
        <w:t>o</w:t>
      </w:r>
      <w:r w:rsidR="000A462E">
        <w:t xml:space="preserve">verseas </w:t>
      </w:r>
      <w:r w:rsidR="00BC638E">
        <w:t>t</w:t>
      </w:r>
      <w:r w:rsidR="000A462E">
        <w:t xml:space="preserve">erritories and the Crown </w:t>
      </w:r>
      <w:r w:rsidR="00BC638E">
        <w:t>d</w:t>
      </w:r>
      <w:r w:rsidR="000A462E">
        <w:t>ependencies.</w:t>
      </w:r>
      <w:r w:rsidR="001D4309">
        <w:t xml:space="preserve"> </w:t>
      </w:r>
    </w:p>
    <w:p w:rsidR="00B0498B" w:rsidRPr="00AF322A" w:rsidRDefault="00AF322A" w:rsidP="00AF322A">
      <w:pPr>
        <w:pStyle w:val="H1G"/>
      </w:pPr>
      <w:r>
        <w:tab/>
      </w:r>
      <w:r w:rsidR="00B0498B" w:rsidRPr="00AF322A">
        <w:t>B.</w:t>
      </w:r>
      <w:r w:rsidR="00B0498B" w:rsidRPr="00AF322A">
        <w:tab/>
        <w:t>Positive aspects</w:t>
      </w:r>
    </w:p>
    <w:p w:rsidR="004C2DA4" w:rsidRPr="008C65F0" w:rsidRDefault="00F46FC1" w:rsidP="00F46FC1">
      <w:pPr>
        <w:pStyle w:val="SingleTxtG"/>
      </w:pPr>
      <w:r w:rsidRPr="008C65F0">
        <w:rPr>
          <w:bCs/>
        </w:rPr>
        <w:t>6.</w:t>
      </w:r>
      <w:r w:rsidRPr="008C65F0">
        <w:rPr>
          <w:bCs/>
        </w:rPr>
        <w:tab/>
      </w:r>
      <w:r w:rsidR="004C2DA4" w:rsidRPr="008C65F0">
        <w:t>The Committee welcomes the following legislative and policy measures</w:t>
      </w:r>
      <w:r w:rsidR="001713CF">
        <w:t xml:space="preserve"> </w:t>
      </w:r>
      <w:r w:rsidR="00E164CF">
        <w:t xml:space="preserve">taken in the State party </w:t>
      </w:r>
      <w:r w:rsidR="001713CF">
        <w:t>to combat raci</w:t>
      </w:r>
      <w:r w:rsidR="003F6D82">
        <w:t>al discrimination</w:t>
      </w:r>
      <w:r w:rsidR="004C2DA4" w:rsidRPr="008C65F0">
        <w:t xml:space="preserve">: </w:t>
      </w:r>
    </w:p>
    <w:p w:rsidR="0062292D" w:rsidRPr="00811909" w:rsidRDefault="001D4309" w:rsidP="00F46FC1">
      <w:pPr>
        <w:pStyle w:val="SingleTxtG"/>
        <w:ind w:firstLine="567"/>
      </w:pPr>
      <w:r>
        <w:t>(a)</w:t>
      </w:r>
      <w:r>
        <w:tab/>
      </w:r>
      <w:r w:rsidR="00E164CF">
        <w:t>R</w:t>
      </w:r>
      <w:r w:rsidR="0062292D" w:rsidRPr="00811909">
        <w:t xml:space="preserve">eduction of the marriage visa age for </w:t>
      </w:r>
      <w:r w:rsidR="00E164CF">
        <w:t xml:space="preserve">the </w:t>
      </w:r>
      <w:r w:rsidR="0062292D" w:rsidRPr="00811909">
        <w:t>purposes of family reunification from 21 to 18</w:t>
      </w:r>
      <w:r w:rsidR="00970C36" w:rsidRPr="00811909">
        <w:t xml:space="preserve"> years</w:t>
      </w:r>
      <w:r w:rsidR="0062292D" w:rsidRPr="00811909">
        <w:t>, as recommended by the Committee in its previous concluding observations (</w:t>
      </w:r>
      <w:r w:rsidR="00E164CF">
        <w:t xml:space="preserve">see </w:t>
      </w:r>
      <w:r w:rsidR="0062292D" w:rsidRPr="00811909">
        <w:t>CERD/C/GBR/CO/18-20, para.</w:t>
      </w:r>
      <w:r w:rsidR="00E164CF">
        <w:t xml:space="preserve"> </w:t>
      </w:r>
      <w:r w:rsidR="0062292D" w:rsidRPr="00811909">
        <w:t>26</w:t>
      </w:r>
      <w:r w:rsidR="0062292D" w:rsidRPr="00C96C6A">
        <w:t>)</w:t>
      </w:r>
      <w:r>
        <w:t>;</w:t>
      </w:r>
    </w:p>
    <w:p w:rsidR="00C24565" w:rsidRPr="00811909" w:rsidRDefault="001D4309" w:rsidP="00F46FC1">
      <w:pPr>
        <w:pStyle w:val="SingleTxtG"/>
        <w:ind w:firstLine="567"/>
      </w:pPr>
      <w:proofErr w:type="gramStart"/>
      <w:r>
        <w:t>(b)</w:t>
      </w:r>
      <w:r>
        <w:tab/>
      </w:r>
      <w:r w:rsidR="00C24565" w:rsidRPr="00811909">
        <w:t>Action Against Hate</w:t>
      </w:r>
      <w:proofErr w:type="gramEnd"/>
      <w:r w:rsidR="00224F9A" w:rsidRPr="00811909">
        <w:t>: the Government’</w:t>
      </w:r>
      <w:r w:rsidR="006D7475" w:rsidRPr="00811909">
        <w:t xml:space="preserve">s </w:t>
      </w:r>
      <w:r w:rsidR="002627D7" w:rsidRPr="00811909">
        <w:t xml:space="preserve">plan for tackling hate crime in England and Wales, in </w:t>
      </w:r>
      <w:r w:rsidR="006B1F02" w:rsidRPr="00811909">
        <w:t>July 2016</w:t>
      </w:r>
      <w:r>
        <w:t>;</w:t>
      </w:r>
    </w:p>
    <w:p w:rsidR="003F6D82" w:rsidRPr="00811909" w:rsidRDefault="001D4309" w:rsidP="00F46FC1">
      <w:pPr>
        <w:pStyle w:val="SingleTxtG"/>
        <w:ind w:firstLine="567"/>
      </w:pPr>
      <w:r>
        <w:t>(c)</w:t>
      </w:r>
      <w:r>
        <w:tab/>
      </w:r>
      <w:r w:rsidR="003F6D82" w:rsidRPr="00811909">
        <w:t>Scot</w:t>
      </w:r>
      <w:r w:rsidR="00934DA2">
        <w:t>land’s</w:t>
      </w:r>
      <w:r w:rsidR="003F6D82" w:rsidRPr="00811909">
        <w:t xml:space="preserve"> National Action Plan for Human Rights, </w:t>
      </w:r>
      <w:r w:rsidR="009B0B82" w:rsidRPr="00811909">
        <w:t>in</w:t>
      </w:r>
      <w:r w:rsidR="003F6D82" w:rsidRPr="00811909">
        <w:t xml:space="preserve"> December 2013</w:t>
      </w:r>
      <w:r w:rsidR="00D21A78">
        <w:t>;</w:t>
      </w:r>
      <w:r w:rsidR="003F6D82" w:rsidRPr="00811909">
        <w:t xml:space="preserve"> </w:t>
      </w:r>
      <w:r w:rsidR="00DF45CA" w:rsidRPr="00811909">
        <w:t>New</w:t>
      </w:r>
      <w:r w:rsidR="00D21A78">
        <w:t> </w:t>
      </w:r>
      <w:r w:rsidR="00DF45CA" w:rsidRPr="00811909">
        <w:t>Scots</w:t>
      </w:r>
      <w:r w:rsidR="00D21A78">
        <w:t>, the</w:t>
      </w:r>
      <w:r w:rsidR="00DF45CA" w:rsidRPr="00811909">
        <w:t xml:space="preserve"> </w:t>
      </w:r>
      <w:r w:rsidR="00D21A78">
        <w:t>s</w:t>
      </w:r>
      <w:r w:rsidR="00DF45CA" w:rsidRPr="00811909">
        <w:t xml:space="preserve">trategy </w:t>
      </w:r>
      <w:r w:rsidR="00D21A78">
        <w:t xml:space="preserve">for </w:t>
      </w:r>
      <w:r w:rsidR="00DF45CA" w:rsidRPr="00811909">
        <w:t>2014</w:t>
      </w:r>
      <w:r w:rsidR="00D21A78">
        <w:t>-</w:t>
      </w:r>
      <w:r w:rsidR="00DF45CA" w:rsidRPr="00811909">
        <w:t>2017 to support the integration of refugees and asylum</w:t>
      </w:r>
      <w:r w:rsidR="00D21A78">
        <w:t> </w:t>
      </w:r>
      <w:r w:rsidR="00DF45CA" w:rsidRPr="00811909">
        <w:t>seekers in Scotland, in December 2013</w:t>
      </w:r>
      <w:r w:rsidR="00ED0522">
        <w:t>;</w:t>
      </w:r>
      <w:r w:rsidR="000178E9" w:rsidRPr="00811909">
        <w:t xml:space="preserve"> </w:t>
      </w:r>
      <w:r w:rsidR="003F6D82" w:rsidRPr="00811909">
        <w:t>and the Race Equality Framework for Scotland 2016</w:t>
      </w:r>
      <w:r w:rsidR="00ED0522">
        <w:t>-</w:t>
      </w:r>
      <w:r w:rsidR="003F6D82" w:rsidRPr="00811909">
        <w:t>2030</w:t>
      </w:r>
      <w:r w:rsidR="00DF45CA" w:rsidRPr="00811909">
        <w:t>,</w:t>
      </w:r>
      <w:r w:rsidR="008D7BA6" w:rsidRPr="00811909">
        <w:t xml:space="preserve"> in March 2016</w:t>
      </w:r>
      <w:r>
        <w:t>;</w:t>
      </w:r>
    </w:p>
    <w:p w:rsidR="003F6D82" w:rsidRPr="00811909" w:rsidRDefault="001D4309" w:rsidP="00F46FC1">
      <w:pPr>
        <w:pStyle w:val="SingleTxtG"/>
        <w:ind w:firstLine="567"/>
      </w:pPr>
      <w:r>
        <w:t>(d)</w:t>
      </w:r>
      <w:r>
        <w:tab/>
      </w:r>
      <w:r w:rsidR="00ED0522">
        <w:t xml:space="preserve">The </w:t>
      </w:r>
      <w:r w:rsidR="000D79DC" w:rsidRPr="00811909">
        <w:t>Racial Equality Strategy 2015</w:t>
      </w:r>
      <w:r w:rsidR="00ED0522">
        <w:t>-</w:t>
      </w:r>
      <w:r w:rsidR="000D79DC" w:rsidRPr="00811909">
        <w:t>2025</w:t>
      </w:r>
      <w:r w:rsidR="00ED0522">
        <w:t>,</w:t>
      </w:r>
      <w:r w:rsidR="000D79DC" w:rsidRPr="00811909">
        <w:t xml:space="preserve"> </w:t>
      </w:r>
      <w:r w:rsidR="00ED0522">
        <w:t>for</w:t>
      </w:r>
      <w:r w:rsidR="000D79DC" w:rsidRPr="00811909">
        <w:t xml:space="preserve"> Northern Ireland</w:t>
      </w:r>
      <w:r w:rsidR="00ED24EF" w:rsidRPr="00811909">
        <w:t>, in December 2015</w:t>
      </w:r>
      <w:r>
        <w:t>;</w:t>
      </w:r>
    </w:p>
    <w:p w:rsidR="00CF0C82" w:rsidRPr="00811909" w:rsidRDefault="001D4309" w:rsidP="00F46FC1">
      <w:pPr>
        <w:pStyle w:val="SingleTxtG"/>
        <w:ind w:firstLine="567"/>
      </w:pPr>
      <w:r>
        <w:t>(e)</w:t>
      </w:r>
      <w:r>
        <w:tab/>
      </w:r>
      <w:r w:rsidR="00E8388D" w:rsidRPr="008D0848">
        <w:t xml:space="preserve">The </w:t>
      </w:r>
      <w:r w:rsidR="00442BED" w:rsidRPr="008D0848">
        <w:t>Syrian Refugee Resettlement Programme</w:t>
      </w:r>
      <w:r w:rsidR="00E8388D" w:rsidRPr="008D0848">
        <w:t>,</w:t>
      </w:r>
      <w:r w:rsidR="00442BED" w:rsidRPr="008D0848">
        <w:t xml:space="preserve"> </w:t>
      </w:r>
      <w:r w:rsidR="00951910" w:rsidRPr="008D0848">
        <w:t>across the United Kingdom</w:t>
      </w:r>
      <w:r w:rsidR="00E8388D" w:rsidRPr="008D0848">
        <w:t>;</w:t>
      </w:r>
      <w:r w:rsidR="00951910">
        <w:t xml:space="preserve"> </w:t>
      </w:r>
      <w:r w:rsidR="00442BED" w:rsidRPr="00811909">
        <w:t xml:space="preserve">and the Refugee </w:t>
      </w:r>
      <w:r w:rsidR="00E8388D">
        <w:t xml:space="preserve">and </w:t>
      </w:r>
      <w:r w:rsidR="00442BED" w:rsidRPr="00811909">
        <w:t>Asylum Seeker Delivery Plan</w:t>
      </w:r>
      <w:r w:rsidR="00E8388D">
        <w:t>,</w:t>
      </w:r>
      <w:r w:rsidR="00442BED" w:rsidRPr="00811909">
        <w:t xml:space="preserve"> in Wales, in March 2016</w:t>
      </w:r>
      <w:r>
        <w:t>;</w:t>
      </w:r>
    </w:p>
    <w:p w:rsidR="00CF0C82" w:rsidRPr="00811909" w:rsidRDefault="001D4309" w:rsidP="00F46FC1">
      <w:pPr>
        <w:pStyle w:val="SingleTxtG"/>
        <w:ind w:firstLine="567"/>
      </w:pPr>
      <w:r>
        <w:t>(f)</w:t>
      </w:r>
      <w:r>
        <w:tab/>
      </w:r>
      <w:r w:rsidR="00B455C9">
        <w:t xml:space="preserve">The </w:t>
      </w:r>
      <w:r w:rsidR="00CF0C82" w:rsidRPr="00811909">
        <w:t>“2020 Vision” policy</w:t>
      </w:r>
      <w:r w:rsidR="00B455C9">
        <w:t>,</w:t>
      </w:r>
      <w:r w:rsidR="00CF0C82" w:rsidRPr="00811909">
        <w:t xml:space="preserve"> aimed at increasing the number of </w:t>
      </w:r>
      <w:r w:rsidR="00C96C6A">
        <w:t>black people and people from</w:t>
      </w:r>
      <w:r w:rsidR="00CF0C82" w:rsidRPr="00811909">
        <w:t xml:space="preserve"> ethnic minority groups in employment, apprenticeships, universities, police forces and armed services</w:t>
      </w:r>
      <w:r w:rsidR="00D93972">
        <w:t>.</w:t>
      </w:r>
    </w:p>
    <w:p w:rsidR="004C2DA4" w:rsidRPr="008C65F0" w:rsidRDefault="004C2DA4" w:rsidP="004C2DA4">
      <w:pPr>
        <w:pStyle w:val="H1G"/>
      </w:pPr>
      <w:r>
        <w:tab/>
        <w:t>C.</w:t>
      </w:r>
      <w:r>
        <w:tab/>
      </w:r>
      <w:r w:rsidRPr="008C65F0">
        <w:t>Concerns and recommendations</w:t>
      </w:r>
    </w:p>
    <w:p w:rsidR="000B5E18" w:rsidRDefault="004C2DA4" w:rsidP="004C2DA4">
      <w:pPr>
        <w:pStyle w:val="H23G"/>
      </w:pPr>
      <w:r w:rsidRPr="008C65F0">
        <w:tab/>
      </w:r>
      <w:r w:rsidRPr="008C65F0">
        <w:tab/>
      </w:r>
      <w:r w:rsidR="00730A32">
        <w:t>Implementation of the Convention</w:t>
      </w:r>
      <w:r w:rsidR="001D4309">
        <w:t xml:space="preserve"> </w:t>
      </w:r>
    </w:p>
    <w:p w:rsidR="00C2197F" w:rsidRDefault="00F46FC1" w:rsidP="00F46FC1">
      <w:pPr>
        <w:pStyle w:val="SingleTxtG"/>
      </w:pPr>
      <w:r>
        <w:rPr>
          <w:bCs/>
        </w:rPr>
        <w:t>7.</w:t>
      </w:r>
      <w:r>
        <w:rPr>
          <w:bCs/>
        </w:rPr>
        <w:tab/>
      </w:r>
      <w:r w:rsidR="00684F19">
        <w:t xml:space="preserve">The </w:t>
      </w:r>
      <w:r w:rsidR="0010158B">
        <w:t xml:space="preserve">Committee </w:t>
      </w:r>
      <w:r w:rsidR="00400F10">
        <w:t xml:space="preserve">notes </w:t>
      </w:r>
      <w:r w:rsidR="009F2044">
        <w:t>that the State party maintain</w:t>
      </w:r>
      <w:r w:rsidR="00A54D62">
        <w:t>s</w:t>
      </w:r>
      <w:r w:rsidR="009F2044">
        <w:t xml:space="preserve"> its position </w:t>
      </w:r>
      <w:r w:rsidR="00CA175D">
        <w:t>that there is no obligation to incorporate the Convention into domestic law</w:t>
      </w:r>
      <w:r w:rsidR="004F466F">
        <w:t>.</w:t>
      </w:r>
      <w:r w:rsidR="00400F10">
        <w:t xml:space="preserve"> </w:t>
      </w:r>
      <w:r w:rsidR="00C96C6A">
        <w:t>The Committee</w:t>
      </w:r>
      <w:r w:rsidR="004F466F">
        <w:t xml:space="preserve"> </w:t>
      </w:r>
      <w:r w:rsidR="006F6FE8">
        <w:t xml:space="preserve">reiterates its concern </w:t>
      </w:r>
      <w:r w:rsidR="00400F10">
        <w:t xml:space="preserve">that the provisions of the Convention have not been given full effect in the State party and throughout </w:t>
      </w:r>
      <w:r w:rsidR="00951910">
        <w:t xml:space="preserve">the </w:t>
      </w:r>
      <w:r w:rsidR="00400F10">
        <w:t>overseas ter</w:t>
      </w:r>
      <w:r w:rsidR="00CA175D">
        <w:t xml:space="preserve">ritories and Crown dependencies. </w:t>
      </w:r>
      <w:r w:rsidR="003939ED">
        <w:t xml:space="preserve">In particular, it expresses concern </w:t>
      </w:r>
      <w:r w:rsidR="00EC7C6C">
        <w:t>that</w:t>
      </w:r>
      <w:r w:rsidR="004844DE">
        <w:t xml:space="preserve"> s</w:t>
      </w:r>
      <w:r w:rsidR="00EC7C6C">
        <w:t>everal provision</w:t>
      </w:r>
      <w:r w:rsidR="00811909">
        <w:t>s of the Equality Act</w:t>
      </w:r>
      <w:r w:rsidR="00FF5BFA">
        <w:t xml:space="preserve"> </w:t>
      </w:r>
      <w:r w:rsidR="00EC7C6C">
        <w:t xml:space="preserve">2010 have not yet been brought into legal effect, including </w:t>
      </w:r>
      <w:r w:rsidR="00FF5BFA">
        <w:t>s</w:t>
      </w:r>
      <w:r w:rsidR="00EC7C6C">
        <w:t xml:space="preserve">ection </w:t>
      </w:r>
      <w:r w:rsidR="00C1197E">
        <w:t>9</w:t>
      </w:r>
      <w:r w:rsidR="00FF5BFA">
        <w:t xml:space="preserve"> </w:t>
      </w:r>
      <w:r w:rsidR="00C1197E">
        <w:t>(5</w:t>
      </w:r>
      <w:r w:rsidR="007D5977">
        <w:t>)</w:t>
      </w:r>
      <w:r w:rsidR="00FF5BFA">
        <w:t xml:space="preserve"> </w:t>
      </w:r>
      <w:r w:rsidR="00C1197E">
        <w:t xml:space="preserve">(a) on caste-based discrimination and </w:t>
      </w:r>
      <w:r w:rsidR="00FF5BFA">
        <w:t>s</w:t>
      </w:r>
      <w:r w:rsidR="00C1197E">
        <w:t xml:space="preserve">ection </w:t>
      </w:r>
      <w:r w:rsidR="00EC7C6C">
        <w:t>1</w:t>
      </w:r>
      <w:r w:rsidR="00AE4BB9">
        <w:t xml:space="preserve">4 </w:t>
      </w:r>
      <w:r w:rsidR="00AD5A98">
        <w:t>on dual discrimination</w:t>
      </w:r>
      <w:r w:rsidR="005B15BB">
        <w:t>. It also reiterates its concern that the Equality Act 2010 doe</w:t>
      </w:r>
      <w:r w:rsidR="001E364F">
        <w:t xml:space="preserve">s not apply to Northern Ireland, </w:t>
      </w:r>
      <w:r w:rsidR="00BB4028">
        <w:t>where comprehensive</w:t>
      </w:r>
      <w:r w:rsidR="00D051B8">
        <w:t xml:space="preserve"> anti-discrimination</w:t>
      </w:r>
      <w:r w:rsidR="00BB4028">
        <w:t xml:space="preserve"> legislation </w:t>
      </w:r>
      <w:r w:rsidR="00DF71CF">
        <w:t>ha</w:t>
      </w:r>
      <w:r w:rsidR="009C2AF0">
        <w:t>s</w:t>
      </w:r>
      <w:r w:rsidR="00DF71CF">
        <w:t xml:space="preserve"> yet</w:t>
      </w:r>
      <w:r w:rsidR="00BB4028">
        <w:t xml:space="preserve"> to be adopted</w:t>
      </w:r>
      <w:r w:rsidR="009532EA">
        <w:t xml:space="preserve"> </w:t>
      </w:r>
      <w:r w:rsidR="00811909">
        <w:t>(arts. 1 and </w:t>
      </w:r>
      <w:r w:rsidR="00ED2D2A">
        <w:t>2)</w:t>
      </w:r>
      <w:r w:rsidR="00226001">
        <w:t>.</w:t>
      </w:r>
      <w:r w:rsidR="001D4309">
        <w:t xml:space="preserve"> </w:t>
      </w:r>
    </w:p>
    <w:p w:rsidR="00E3363D" w:rsidRPr="00A54D62" w:rsidRDefault="00F46FC1" w:rsidP="00F46FC1">
      <w:pPr>
        <w:pStyle w:val="SingleTxtG"/>
        <w:rPr>
          <w:b/>
        </w:rPr>
      </w:pPr>
      <w:r w:rsidRPr="00A54D62">
        <w:rPr>
          <w:bCs/>
        </w:rPr>
        <w:t>8.</w:t>
      </w:r>
      <w:r w:rsidRPr="00A54D62">
        <w:rPr>
          <w:bCs/>
        </w:rPr>
        <w:tab/>
      </w:r>
      <w:r w:rsidR="001101FB" w:rsidRPr="00A54D62">
        <w:rPr>
          <w:b/>
        </w:rPr>
        <w:t xml:space="preserve">The </w:t>
      </w:r>
      <w:r w:rsidR="009F3F3C" w:rsidRPr="00A54D62">
        <w:rPr>
          <w:b/>
        </w:rPr>
        <w:t xml:space="preserve">Committee recommends that the </w:t>
      </w:r>
      <w:r w:rsidR="00324D87" w:rsidRPr="00A54D62">
        <w:rPr>
          <w:b/>
        </w:rPr>
        <w:t xml:space="preserve">State party </w:t>
      </w:r>
      <w:r w:rsidR="00A54D62" w:rsidRPr="00A54D62">
        <w:rPr>
          <w:b/>
        </w:rPr>
        <w:t xml:space="preserve">ensure that the principles and the provisions of the Convention are directly </w:t>
      </w:r>
      <w:r w:rsidR="004F466F">
        <w:rPr>
          <w:b/>
        </w:rPr>
        <w:t xml:space="preserve">and fully </w:t>
      </w:r>
      <w:r w:rsidR="00A54D62" w:rsidRPr="00A54D62">
        <w:rPr>
          <w:b/>
        </w:rPr>
        <w:t xml:space="preserve">applicable under domestic law in England, Northern Ireland, Scotland and Wales, as well as </w:t>
      </w:r>
      <w:r w:rsidR="00FF5BFA">
        <w:rPr>
          <w:b/>
        </w:rPr>
        <w:t xml:space="preserve">in </w:t>
      </w:r>
      <w:r w:rsidR="00951910">
        <w:rPr>
          <w:b/>
        </w:rPr>
        <w:t xml:space="preserve">the </w:t>
      </w:r>
      <w:r w:rsidR="009C21B2" w:rsidRPr="00A54D62">
        <w:rPr>
          <w:b/>
        </w:rPr>
        <w:t>overseas territories and Crown dependencies</w:t>
      </w:r>
      <w:r w:rsidR="00B731BF" w:rsidRPr="00A54D62">
        <w:rPr>
          <w:b/>
        </w:rPr>
        <w:t xml:space="preserve">. </w:t>
      </w:r>
      <w:r w:rsidR="004E7DCE" w:rsidRPr="00A54D62">
        <w:rPr>
          <w:b/>
        </w:rPr>
        <w:t>In particular</w:t>
      </w:r>
      <w:r w:rsidR="00B9386F" w:rsidRPr="00A54D62">
        <w:rPr>
          <w:b/>
        </w:rPr>
        <w:t xml:space="preserve">, </w:t>
      </w:r>
      <w:r w:rsidR="009F3F3C" w:rsidRPr="00A54D62">
        <w:rPr>
          <w:b/>
        </w:rPr>
        <w:t>the State party should</w:t>
      </w:r>
      <w:r w:rsidR="00E3363D" w:rsidRPr="00A54D62">
        <w:rPr>
          <w:b/>
        </w:rPr>
        <w:t xml:space="preserve">: </w:t>
      </w:r>
    </w:p>
    <w:p w:rsidR="00CF5FDB" w:rsidRPr="00811909" w:rsidRDefault="00B15048" w:rsidP="00F46FC1">
      <w:pPr>
        <w:pStyle w:val="SingleTxtG"/>
        <w:ind w:firstLine="567"/>
        <w:rPr>
          <w:b/>
        </w:rPr>
      </w:pPr>
      <w:r w:rsidRPr="00F46FC1">
        <w:rPr>
          <w:bCs/>
        </w:rPr>
        <w:t>(a)</w:t>
      </w:r>
      <w:r>
        <w:rPr>
          <w:b/>
        </w:rPr>
        <w:tab/>
      </w:r>
      <w:r w:rsidR="00CF5FDB" w:rsidRPr="00811909">
        <w:rPr>
          <w:b/>
        </w:rPr>
        <w:t xml:space="preserve">Invoke </w:t>
      </w:r>
      <w:r w:rsidR="00FF5BFA">
        <w:rPr>
          <w:b/>
        </w:rPr>
        <w:t>s</w:t>
      </w:r>
      <w:r w:rsidR="00CF5FDB" w:rsidRPr="00811909">
        <w:rPr>
          <w:b/>
        </w:rPr>
        <w:t>ection 9</w:t>
      </w:r>
      <w:r w:rsidR="00FF5BFA">
        <w:rPr>
          <w:b/>
        </w:rPr>
        <w:t xml:space="preserve"> </w:t>
      </w:r>
      <w:r w:rsidR="00CF5FDB" w:rsidRPr="00811909">
        <w:rPr>
          <w:b/>
        </w:rPr>
        <w:t>(5)</w:t>
      </w:r>
      <w:r w:rsidR="00FF5BFA">
        <w:rPr>
          <w:b/>
        </w:rPr>
        <w:t xml:space="preserve"> </w:t>
      </w:r>
      <w:r w:rsidR="00CF5FDB" w:rsidRPr="00811909">
        <w:rPr>
          <w:b/>
        </w:rPr>
        <w:t xml:space="preserve">(a) of the Equality Act 2010 without further delay to </w:t>
      </w:r>
      <w:r w:rsidR="009158CB" w:rsidRPr="00811909">
        <w:rPr>
          <w:b/>
        </w:rPr>
        <w:t xml:space="preserve">ensure that caste-based discrimination is </w:t>
      </w:r>
      <w:r w:rsidR="001F33E5" w:rsidRPr="00811909">
        <w:rPr>
          <w:b/>
        </w:rPr>
        <w:t>e</w:t>
      </w:r>
      <w:r w:rsidR="00B76A15" w:rsidRPr="00811909">
        <w:rPr>
          <w:b/>
        </w:rPr>
        <w:t>xplicitly</w:t>
      </w:r>
      <w:r w:rsidR="001F33E5" w:rsidRPr="00811909">
        <w:rPr>
          <w:b/>
        </w:rPr>
        <w:t xml:space="preserve"> prohibited</w:t>
      </w:r>
      <w:r w:rsidR="00633E05" w:rsidRPr="00811909">
        <w:rPr>
          <w:b/>
        </w:rPr>
        <w:t xml:space="preserve"> </w:t>
      </w:r>
      <w:r w:rsidR="006A43CA" w:rsidRPr="00811909">
        <w:rPr>
          <w:b/>
        </w:rPr>
        <w:t xml:space="preserve">under law </w:t>
      </w:r>
      <w:r w:rsidR="00633E05" w:rsidRPr="00811909">
        <w:rPr>
          <w:b/>
        </w:rPr>
        <w:t xml:space="preserve">and that victims of this form of discrimination have access to effective </w:t>
      </w:r>
      <w:r w:rsidR="00B76A15" w:rsidRPr="00811909">
        <w:rPr>
          <w:b/>
        </w:rPr>
        <w:t>r</w:t>
      </w:r>
      <w:r w:rsidR="00633E05" w:rsidRPr="00811909">
        <w:rPr>
          <w:b/>
        </w:rPr>
        <w:t>emedies</w:t>
      </w:r>
      <w:r w:rsidR="001F33E5" w:rsidRPr="00811909">
        <w:rPr>
          <w:b/>
        </w:rPr>
        <w:t>, taking into account the Committee’s general reco</w:t>
      </w:r>
      <w:r w:rsidR="00811909">
        <w:rPr>
          <w:b/>
        </w:rPr>
        <w:t>mmendation No. </w:t>
      </w:r>
      <w:r w:rsidR="001F33E5" w:rsidRPr="00811909">
        <w:rPr>
          <w:b/>
        </w:rPr>
        <w:t>29 (2002) on de</w:t>
      </w:r>
      <w:r w:rsidR="00AA3CB4" w:rsidRPr="00811909">
        <w:rPr>
          <w:b/>
        </w:rPr>
        <w:t>s</w:t>
      </w:r>
      <w:r w:rsidR="001F33E5" w:rsidRPr="00811909">
        <w:rPr>
          <w:b/>
        </w:rPr>
        <w:t>cent</w:t>
      </w:r>
      <w:r w:rsidR="00B36A1E" w:rsidRPr="00811909">
        <w:rPr>
          <w:b/>
        </w:rPr>
        <w:t xml:space="preserve">; </w:t>
      </w:r>
    </w:p>
    <w:p w:rsidR="007514A6" w:rsidRPr="00811909" w:rsidRDefault="00B15048" w:rsidP="00F46FC1">
      <w:pPr>
        <w:pStyle w:val="SingleTxtG"/>
        <w:ind w:firstLine="567"/>
        <w:rPr>
          <w:b/>
        </w:rPr>
      </w:pPr>
      <w:r w:rsidRPr="00F46FC1">
        <w:rPr>
          <w:bCs/>
        </w:rPr>
        <w:t>(b)</w:t>
      </w:r>
      <w:r>
        <w:rPr>
          <w:b/>
        </w:rPr>
        <w:tab/>
      </w:r>
      <w:r w:rsidR="007D5DAE" w:rsidRPr="00811909">
        <w:rPr>
          <w:b/>
        </w:rPr>
        <w:t>Taking into account the Committ</w:t>
      </w:r>
      <w:r w:rsidR="00811909">
        <w:rPr>
          <w:b/>
        </w:rPr>
        <w:t>ee’s general recommendation No. </w:t>
      </w:r>
      <w:r w:rsidR="007D5DAE" w:rsidRPr="00811909">
        <w:rPr>
          <w:b/>
        </w:rPr>
        <w:t>25 (2000) on gender-related dimensions of racial discrimination, e</w:t>
      </w:r>
      <w:r w:rsidR="00AD452A" w:rsidRPr="00811909">
        <w:rPr>
          <w:b/>
        </w:rPr>
        <w:t xml:space="preserve">nsure that </w:t>
      </w:r>
      <w:r w:rsidR="0046571A" w:rsidRPr="00811909">
        <w:rPr>
          <w:b/>
        </w:rPr>
        <w:t xml:space="preserve">equality </w:t>
      </w:r>
      <w:r w:rsidR="007514A6" w:rsidRPr="00811909">
        <w:rPr>
          <w:b/>
        </w:rPr>
        <w:t xml:space="preserve">legislation </w:t>
      </w:r>
      <w:r w:rsidR="008E5499" w:rsidRPr="00811909">
        <w:rPr>
          <w:b/>
        </w:rPr>
        <w:t>in all jurisdiction</w:t>
      </w:r>
      <w:r w:rsidR="00E154CB" w:rsidRPr="00811909">
        <w:rPr>
          <w:b/>
        </w:rPr>
        <w:t>s</w:t>
      </w:r>
      <w:r w:rsidR="008E5499" w:rsidRPr="00811909">
        <w:rPr>
          <w:b/>
        </w:rPr>
        <w:t xml:space="preserve"> of the State party </w:t>
      </w:r>
      <w:r w:rsidR="005F779C" w:rsidRPr="00811909">
        <w:rPr>
          <w:b/>
        </w:rPr>
        <w:t>provide</w:t>
      </w:r>
      <w:r w:rsidR="00407D84">
        <w:rPr>
          <w:b/>
        </w:rPr>
        <w:t>s</w:t>
      </w:r>
      <w:r w:rsidR="005F779C" w:rsidRPr="00811909">
        <w:rPr>
          <w:b/>
        </w:rPr>
        <w:t xml:space="preserve"> </w:t>
      </w:r>
      <w:r w:rsidR="007C78FA" w:rsidRPr="00811909">
        <w:rPr>
          <w:b/>
        </w:rPr>
        <w:t>effective</w:t>
      </w:r>
      <w:r w:rsidR="005F779C" w:rsidRPr="00811909">
        <w:rPr>
          <w:b/>
        </w:rPr>
        <w:t xml:space="preserve"> </w:t>
      </w:r>
      <w:r w:rsidR="005D744F" w:rsidRPr="00811909">
        <w:rPr>
          <w:b/>
        </w:rPr>
        <w:t xml:space="preserve">protection to victims </w:t>
      </w:r>
      <w:r w:rsidR="005D744F" w:rsidRPr="00811909">
        <w:rPr>
          <w:b/>
        </w:rPr>
        <w:lastRenderedPageBreak/>
        <w:t xml:space="preserve">of dual or multiple </w:t>
      </w:r>
      <w:r w:rsidR="009D7616" w:rsidRPr="00811909">
        <w:rPr>
          <w:b/>
        </w:rPr>
        <w:t>discrimination, including</w:t>
      </w:r>
      <w:r w:rsidR="00A90CAE" w:rsidRPr="00811909">
        <w:rPr>
          <w:b/>
        </w:rPr>
        <w:t>, in the case of England, Scotland and Wales,</w:t>
      </w:r>
      <w:r w:rsidR="00811909">
        <w:rPr>
          <w:b/>
        </w:rPr>
        <w:t xml:space="preserve"> by bringing into force </w:t>
      </w:r>
      <w:r w:rsidR="00407D84">
        <w:rPr>
          <w:b/>
        </w:rPr>
        <w:t>s</w:t>
      </w:r>
      <w:r w:rsidR="00811909">
        <w:rPr>
          <w:b/>
        </w:rPr>
        <w:t>ection</w:t>
      </w:r>
      <w:r w:rsidR="00407D84">
        <w:rPr>
          <w:b/>
        </w:rPr>
        <w:t xml:space="preserve"> </w:t>
      </w:r>
      <w:r w:rsidR="00811909">
        <w:rPr>
          <w:b/>
        </w:rPr>
        <w:t>14 of the Equality Act</w:t>
      </w:r>
      <w:r w:rsidR="00407D84">
        <w:rPr>
          <w:b/>
        </w:rPr>
        <w:t xml:space="preserve"> </w:t>
      </w:r>
      <w:r w:rsidR="009D7616" w:rsidRPr="00811909">
        <w:rPr>
          <w:b/>
        </w:rPr>
        <w:t>2010 on dual discrimination</w:t>
      </w:r>
      <w:r w:rsidR="005B142C" w:rsidRPr="00811909">
        <w:rPr>
          <w:b/>
        </w:rPr>
        <w:t xml:space="preserve">; </w:t>
      </w:r>
    </w:p>
    <w:p w:rsidR="00294B89" w:rsidRPr="00811909" w:rsidRDefault="00B15048" w:rsidP="00F46FC1">
      <w:pPr>
        <w:pStyle w:val="SingleTxtG"/>
        <w:ind w:firstLine="567"/>
        <w:rPr>
          <w:b/>
        </w:rPr>
      </w:pPr>
      <w:r w:rsidRPr="00F46FC1">
        <w:rPr>
          <w:bCs/>
        </w:rPr>
        <w:t>(c)</w:t>
      </w:r>
      <w:r>
        <w:rPr>
          <w:b/>
        </w:rPr>
        <w:tab/>
      </w:r>
      <w:r w:rsidR="005A1870" w:rsidRPr="00811909">
        <w:rPr>
          <w:b/>
        </w:rPr>
        <w:t xml:space="preserve">Ensure that </w:t>
      </w:r>
      <w:r w:rsidR="006060D5" w:rsidRPr="00811909">
        <w:rPr>
          <w:b/>
        </w:rPr>
        <w:t xml:space="preserve">the authorities of Northern Ireland </w:t>
      </w:r>
      <w:r w:rsidR="00174CD8" w:rsidRPr="00811909">
        <w:rPr>
          <w:b/>
        </w:rPr>
        <w:t xml:space="preserve">act without further delay to </w:t>
      </w:r>
      <w:r w:rsidR="006377E7" w:rsidRPr="00811909">
        <w:rPr>
          <w:b/>
        </w:rPr>
        <w:t xml:space="preserve">adopt comprehensive </w:t>
      </w:r>
      <w:r w:rsidR="00117D87" w:rsidRPr="00811909">
        <w:rPr>
          <w:b/>
        </w:rPr>
        <w:t>legislation</w:t>
      </w:r>
      <w:r w:rsidR="00D76D4A" w:rsidRPr="00811909">
        <w:rPr>
          <w:b/>
        </w:rPr>
        <w:t xml:space="preserve"> </w:t>
      </w:r>
      <w:r w:rsidR="008231FF" w:rsidRPr="00811909">
        <w:rPr>
          <w:b/>
        </w:rPr>
        <w:t xml:space="preserve">prohibiting </w:t>
      </w:r>
      <w:r w:rsidR="00614D20" w:rsidRPr="00811909">
        <w:rPr>
          <w:b/>
        </w:rPr>
        <w:t xml:space="preserve">racial </w:t>
      </w:r>
      <w:r w:rsidR="004C23B9" w:rsidRPr="00811909">
        <w:rPr>
          <w:b/>
        </w:rPr>
        <w:t>discrimination</w:t>
      </w:r>
      <w:r w:rsidR="00407D84">
        <w:rPr>
          <w:b/>
        </w:rPr>
        <w:t>,</w:t>
      </w:r>
      <w:r w:rsidR="004C23B9" w:rsidRPr="00811909">
        <w:rPr>
          <w:b/>
        </w:rPr>
        <w:t xml:space="preserve"> in </w:t>
      </w:r>
      <w:r w:rsidR="00614D20" w:rsidRPr="00811909">
        <w:rPr>
          <w:b/>
        </w:rPr>
        <w:t xml:space="preserve">accordance with </w:t>
      </w:r>
      <w:r w:rsidR="0056146F" w:rsidRPr="00811909">
        <w:rPr>
          <w:b/>
        </w:rPr>
        <w:t xml:space="preserve">the provisions of the </w:t>
      </w:r>
      <w:r w:rsidR="00D76D4A" w:rsidRPr="00811909">
        <w:rPr>
          <w:b/>
        </w:rPr>
        <w:t>Convention</w:t>
      </w:r>
      <w:r w:rsidR="00943071" w:rsidRPr="00811909">
        <w:rPr>
          <w:b/>
        </w:rPr>
        <w:t xml:space="preserve">. </w:t>
      </w:r>
    </w:p>
    <w:p w:rsidR="00646954" w:rsidRDefault="00811909" w:rsidP="001E46B4">
      <w:pPr>
        <w:pStyle w:val="H23G"/>
      </w:pPr>
      <w:r>
        <w:tab/>
      </w:r>
      <w:r>
        <w:tab/>
      </w:r>
      <w:r w:rsidR="00646954">
        <w:t xml:space="preserve">Bill of </w:t>
      </w:r>
      <w:r w:rsidR="001E46B4">
        <w:t>r</w:t>
      </w:r>
      <w:r w:rsidR="00646954">
        <w:t xml:space="preserve">ights </w:t>
      </w:r>
    </w:p>
    <w:p w:rsidR="00062BE0" w:rsidRPr="00D31C81" w:rsidRDefault="00F46FC1" w:rsidP="00F46FC1">
      <w:pPr>
        <w:pStyle w:val="SingleTxtG"/>
      </w:pPr>
      <w:r w:rsidRPr="00D31C81">
        <w:rPr>
          <w:bCs/>
        </w:rPr>
        <w:t>9.</w:t>
      </w:r>
      <w:r w:rsidRPr="00D31C81">
        <w:rPr>
          <w:bCs/>
        </w:rPr>
        <w:tab/>
      </w:r>
      <w:r w:rsidR="00F85520">
        <w:t xml:space="preserve">The Committee is concerned that the proposal to replace the Human Rights Act of 1998 with a new British </w:t>
      </w:r>
      <w:r w:rsidR="001E46B4">
        <w:t>b</w:t>
      </w:r>
      <w:r w:rsidR="00F85520">
        <w:t xml:space="preserve">ill of </w:t>
      </w:r>
      <w:r w:rsidR="001E46B4">
        <w:t>r</w:t>
      </w:r>
      <w:r w:rsidR="00F85520">
        <w:t xml:space="preserve">ights may lead to decreased levels of human rights protection in the State party, which would negatively affect the situation of individuals </w:t>
      </w:r>
      <w:r w:rsidR="00F85520" w:rsidRPr="00287392">
        <w:t>protected under article 1 of the Convention</w:t>
      </w:r>
      <w:r w:rsidR="00307F5E" w:rsidRPr="00287392">
        <w:t xml:space="preserve">. </w:t>
      </w:r>
      <w:r w:rsidR="00766F64" w:rsidRPr="00287392">
        <w:t xml:space="preserve">The Committee </w:t>
      </w:r>
      <w:r w:rsidR="00307F5E" w:rsidRPr="00287392">
        <w:t>also</w:t>
      </w:r>
      <w:r w:rsidR="00062BE0" w:rsidRPr="00287392">
        <w:t xml:space="preserve"> reiterates its concern that </w:t>
      </w:r>
      <w:r w:rsidR="00B54283" w:rsidRPr="00287392">
        <w:t xml:space="preserve">no progress has been made to adopt </w:t>
      </w:r>
      <w:r w:rsidR="00F732A0" w:rsidRPr="00287392">
        <w:t>a</w:t>
      </w:r>
      <w:r w:rsidR="00B54283" w:rsidRPr="00287392">
        <w:t xml:space="preserve"> </w:t>
      </w:r>
      <w:r w:rsidR="00766F64" w:rsidRPr="00287392">
        <w:t>b</w:t>
      </w:r>
      <w:r w:rsidR="00B54283" w:rsidRPr="00287392">
        <w:t xml:space="preserve">ill of </w:t>
      </w:r>
      <w:r w:rsidR="00766F64" w:rsidRPr="00287392">
        <w:t>r</w:t>
      </w:r>
      <w:r w:rsidR="00B54283" w:rsidRPr="00287392">
        <w:t>ights in Northern Ireland</w:t>
      </w:r>
      <w:r w:rsidR="00F732A0" w:rsidRPr="00287392">
        <w:t xml:space="preserve">, </w:t>
      </w:r>
      <w:r w:rsidR="008D0848">
        <w:t>despite</w:t>
      </w:r>
      <w:r w:rsidR="00F732A0" w:rsidRPr="00287392">
        <w:t xml:space="preserve"> the</w:t>
      </w:r>
      <w:r w:rsidR="008D0848">
        <w:t xml:space="preserve"> terms of the</w:t>
      </w:r>
      <w:r w:rsidR="00F732A0" w:rsidRPr="00287392">
        <w:t xml:space="preserve"> </w:t>
      </w:r>
      <w:r w:rsidR="008F2147" w:rsidRPr="00287392">
        <w:t>Belfast (</w:t>
      </w:r>
      <w:r w:rsidR="00F732A0" w:rsidRPr="00287392">
        <w:t>Good Friday</w:t>
      </w:r>
      <w:r w:rsidR="008F2147" w:rsidRPr="00287392">
        <w:t>)</w:t>
      </w:r>
      <w:r w:rsidR="008D43A4" w:rsidRPr="00287392">
        <w:t xml:space="preserve"> Agreement </w:t>
      </w:r>
      <w:r w:rsidR="00A27862" w:rsidRPr="00287392">
        <w:t xml:space="preserve">of 1998 </w:t>
      </w:r>
      <w:r w:rsidR="008D43A4" w:rsidRPr="00287392">
        <w:t>(arts.</w:t>
      </w:r>
      <w:r w:rsidR="00811909" w:rsidRPr="00287392">
        <w:t> </w:t>
      </w:r>
      <w:r w:rsidR="008D43A4" w:rsidRPr="00287392">
        <w:t>2</w:t>
      </w:r>
      <w:r w:rsidR="00241854" w:rsidRPr="00287392">
        <w:t xml:space="preserve"> and 6</w:t>
      </w:r>
      <w:r w:rsidR="008D43A4" w:rsidRPr="00287392">
        <w:t>).</w:t>
      </w:r>
      <w:r w:rsidR="00D31C81">
        <w:t xml:space="preserve"> </w:t>
      </w:r>
    </w:p>
    <w:p w:rsidR="00943071" w:rsidRDefault="00F46FC1" w:rsidP="00F46FC1">
      <w:pPr>
        <w:pStyle w:val="SingleTxtG"/>
        <w:rPr>
          <w:b/>
        </w:rPr>
      </w:pPr>
      <w:r>
        <w:rPr>
          <w:bCs/>
        </w:rPr>
        <w:t>10.</w:t>
      </w:r>
      <w:r>
        <w:rPr>
          <w:bCs/>
        </w:rPr>
        <w:tab/>
      </w:r>
      <w:r w:rsidR="00FA72CD" w:rsidRPr="00F02B03">
        <w:rPr>
          <w:b/>
        </w:rPr>
        <w:t>The</w:t>
      </w:r>
      <w:r w:rsidR="00FA72CD">
        <w:rPr>
          <w:b/>
        </w:rPr>
        <w:t xml:space="preserve"> Committee recommends that the State party u</w:t>
      </w:r>
      <w:r w:rsidR="00943071">
        <w:rPr>
          <w:b/>
        </w:rPr>
        <w:t xml:space="preserve">ndertake meaningful and broad public consultation on its </w:t>
      </w:r>
      <w:r w:rsidR="00F36C0A">
        <w:rPr>
          <w:b/>
        </w:rPr>
        <w:t xml:space="preserve">proposal to revise its human rights legislation </w:t>
      </w:r>
      <w:r w:rsidR="00943071">
        <w:rPr>
          <w:b/>
        </w:rPr>
        <w:t xml:space="preserve">and </w:t>
      </w:r>
      <w:r w:rsidR="00F02B03">
        <w:rPr>
          <w:b/>
        </w:rPr>
        <w:t xml:space="preserve">that it </w:t>
      </w:r>
      <w:r w:rsidR="00943071">
        <w:rPr>
          <w:b/>
        </w:rPr>
        <w:t xml:space="preserve">ensure that any changes to the current human rights framework strengthen the protection of </w:t>
      </w:r>
      <w:r w:rsidR="00EC654E">
        <w:rPr>
          <w:b/>
        </w:rPr>
        <w:t xml:space="preserve">human rights, in particular the </w:t>
      </w:r>
      <w:r w:rsidR="00943071">
        <w:rPr>
          <w:b/>
        </w:rPr>
        <w:t>rights of individuals protected under article 1 of the Convention.</w:t>
      </w:r>
      <w:r w:rsidR="00734C12">
        <w:rPr>
          <w:b/>
        </w:rPr>
        <w:t xml:space="preserve"> </w:t>
      </w:r>
      <w:r w:rsidR="00F02B03">
        <w:rPr>
          <w:b/>
        </w:rPr>
        <w:t>The Committee</w:t>
      </w:r>
      <w:r w:rsidR="00734C12">
        <w:rPr>
          <w:b/>
        </w:rPr>
        <w:t xml:space="preserve"> also </w:t>
      </w:r>
      <w:r w:rsidR="00B61200">
        <w:rPr>
          <w:b/>
        </w:rPr>
        <w:t xml:space="preserve">recommends that the State party </w:t>
      </w:r>
      <w:r w:rsidR="001E440A">
        <w:rPr>
          <w:b/>
        </w:rPr>
        <w:t xml:space="preserve">expedite the process of adopting the </w:t>
      </w:r>
      <w:r w:rsidR="00F02B03">
        <w:rPr>
          <w:b/>
        </w:rPr>
        <w:t>b</w:t>
      </w:r>
      <w:r w:rsidR="001E440A">
        <w:rPr>
          <w:b/>
        </w:rPr>
        <w:t xml:space="preserve">ill of </w:t>
      </w:r>
      <w:r w:rsidR="00F02B03">
        <w:rPr>
          <w:b/>
        </w:rPr>
        <w:t>r</w:t>
      </w:r>
      <w:r w:rsidR="001E440A">
        <w:rPr>
          <w:b/>
        </w:rPr>
        <w:t xml:space="preserve">ights for Northern Ireland, and </w:t>
      </w:r>
      <w:r w:rsidR="00B61200">
        <w:rPr>
          <w:b/>
        </w:rPr>
        <w:t xml:space="preserve">ensure that </w:t>
      </w:r>
      <w:r w:rsidR="001E440A">
        <w:rPr>
          <w:b/>
        </w:rPr>
        <w:t>it is</w:t>
      </w:r>
      <w:r w:rsidR="00943734">
        <w:rPr>
          <w:b/>
        </w:rPr>
        <w:t xml:space="preserve"> in line with the provisions of the Convention</w:t>
      </w:r>
      <w:r w:rsidR="000001E0">
        <w:rPr>
          <w:b/>
        </w:rPr>
        <w:t xml:space="preserve"> and </w:t>
      </w:r>
      <w:r w:rsidR="00F02B03">
        <w:rPr>
          <w:b/>
        </w:rPr>
        <w:t xml:space="preserve">with </w:t>
      </w:r>
      <w:r w:rsidR="000001E0">
        <w:rPr>
          <w:b/>
        </w:rPr>
        <w:t xml:space="preserve">other international human rights standards. </w:t>
      </w:r>
    </w:p>
    <w:p w:rsidR="00D25776" w:rsidRDefault="00811909" w:rsidP="00811909">
      <w:pPr>
        <w:pStyle w:val="H23G"/>
      </w:pPr>
      <w:r>
        <w:tab/>
      </w:r>
      <w:r>
        <w:tab/>
      </w:r>
      <w:r w:rsidR="00D25776">
        <w:t>National human rights institutions</w:t>
      </w:r>
      <w:r w:rsidR="001D4309">
        <w:t xml:space="preserve"> </w:t>
      </w:r>
    </w:p>
    <w:p w:rsidR="00D25776" w:rsidRDefault="00F46FC1" w:rsidP="00F46FC1">
      <w:pPr>
        <w:pStyle w:val="SingleTxtG"/>
      </w:pPr>
      <w:r>
        <w:rPr>
          <w:bCs/>
        </w:rPr>
        <w:t>11.</w:t>
      </w:r>
      <w:r>
        <w:rPr>
          <w:bCs/>
        </w:rPr>
        <w:tab/>
      </w:r>
      <w:r w:rsidR="00D25776">
        <w:t xml:space="preserve">The Committee expresses concern at the reduction of the role of the Equality </w:t>
      </w:r>
      <w:r w:rsidR="00A54D62">
        <w:t xml:space="preserve">and </w:t>
      </w:r>
      <w:r w:rsidR="00D25776">
        <w:t xml:space="preserve">Human Rights Commission following the adoption of the Enterprise and Regulatory Reform Act 2013, as well as </w:t>
      </w:r>
      <w:r w:rsidR="00B0510C">
        <w:t xml:space="preserve">at </w:t>
      </w:r>
      <w:r w:rsidR="00D25776">
        <w:t xml:space="preserve">the reduction in the resources of the </w:t>
      </w:r>
      <w:r w:rsidR="00B0510C">
        <w:t>Equality and Human Rights Commission</w:t>
      </w:r>
      <w:r w:rsidR="00D25776">
        <w:t xml:space="preserve"> and </w:t>
      </w:r>
      <w:r w:rsidR="00B0510C">
        <w:t xml:space="preserve">of </w:t>
      </w:r>
      <w:r w:rsidR="00D25776">
        <w:t xml:space="preserve">the Northern Ireland Human Rights Commission. It is also concerned at the overlapping competencies of the </w:t>
      </w:r>
      <w:r w:rsidR="00B0510C">
        <w:t>Equality and Human Rights Commission</w:t>
      </w:r>
      <w:r w:rsidR="00D25776">
        <w:t xml:space="preserve"> and the Scottish Human Rights Commission, and </w:t>
      </w:r>
      <w:r w:rsidR="00B0510C">
        <w:t xml:space="preserve">at </w:t>
      </w:r>
      <w:r w:rsidR="00D25776">
        <w:t xml:space="preserve">the lack of power of the </w:t>
      </w:r>
      <w:r w:rsidR="00B0510C">
        <w:t>Scottish Human Rights Commission</w:t>
      </w:r>
      <w:r w:rsidR="00D25776">
        <w:t xml:space="preserve"> to support individuals in claims or legal proceedings (art.</w:t>
      </w:r>
      <w:r w:rsidR="001E46B4">
        <w:t xml:space="preserve"> </w:t>
      </w:r>
      <w:r w:rsidR="00D25776">
        <w:t xml:space="preserve">2). </w:t>
      </w:r>
    </w:p>
    <w:p w:rsidR="00D25776" w:rsidRPr="002952F7" w:rsidRDefault="00F46FC1" w:rsidP="00F46FC1">
      <w:pPr>
        <w:pStyle w:val="SingleTxtG"/>
        <w:rPr>
          <w:b/>
        </w:rPr>
      </w:pPr>
      <w:r w:rsidRPr="002952F7">
        <w:rPr>
          <w:bCs/>
        </w:rPr>
        <w:t>12.</w:t>
      </w:r>
      <w:r w:rsidRPr="002952F7">
        <w:rPr>
          <w:bCs/>
        </w:rPr>
        <w:tab/>
      </w:r>
      <w:r w:rsidR="00D25776" w:rsidRPr="002952F7">
        <w:rPr>
          <w:b/>
        </w:rPr>
        <w:t xml:space="preserve">The Committee reiterates its recommendation that any spending cuts and legislative amendments </w:t>
      </w:r>
      <w:r w:rsidR="00CD1743">
        <w:rPr>
          <w:b/>
        </w:rPr>
        <w:t xml:space="preserve">relating </w:t>
      </w:r>
      <w:r w:rsidR="00D25776" w:rsidRPr="002952F7">
        <w:rPr>
          <w:b/>
        </w:rPr>
        <w:t>to the mandate</w:t>
      </w:r>
      <w:r w:rsidR="00D25776">
        <w:rPr>
          <w:b/>
        </w:rPr>
        <w:t xml:space="preserve">s of the national human rights institutions </w:t>
      </w:r>
      <w:r w:rsidR="00D25776" w:rsidRPr="002952F7">
        <w:rPr>
          <w:b/>
        </w:rPr>
        <w:t xml:space="preserve">should </w:t>
      </w:r>
      <w:r w:rsidR="00D25776">
        <w:rPr>
          <w:b/>
        </w:rPr>
        <w:t>not restrict their</w:t>
      </w:r>
      <w:r w:rsidR="00D25776" w:rsidRPr="002952F7">
        <w:rPr>
          <w:b/>
        </w:rPr>
        <w:t xml:space="preserve"> independent and effective</w:t>
      </w:r>
      <w:r w:rsidR="00D25776">
        <w:rPr>
          <w:b/>
        </w:rPr>
        <w:t xml:space="preserve"> operation</w:t>
      </w:r>
      <w:r w:rsidR="00D25776" w:rsidRPr="002952F7">
        <w:rPr>
          <w:b/>
        </w:rPr>
        <w:t xml:space="preserve"> in line with the</w:t>
      </w:r>
      <w:r w:rsidR="00B0510C">
        <w:rPr>
          <w:b/>
        </w:rPr>
        <w:t xml:space="preserve"> principles </w:t>
      </w:r>
      <w:r w:rsidR="00B0510C" w:rsidRPr="00B0510C">
        <w:rPr>
          <w:b/>
        </w:rPr>
        <w:t>relating to the status of national institutions for the promotion and protection of human rights</w:t>
      </w:r>
      <w:r w:rsidR="00B0510C">
        <w:rPr>
          <w:b/>
        </w:rPr>
        <w:t xml:space="preserve"> (</w:t>
      </w:r>
      <w:r w:rsidR="00D25776" w:rsidRPr="002952F7">
        <w:rPr>
          <w:b/>
        </w:rPr>
        <w:t>Paris Principles</w:t>
      </w:r>
      <w:r w:rsidR="00B0510C">
        <w:rPr>
          <w:b/>
        </w:rPr>
        <w:t>)</w:t>
      </w:r>
      <w:r w:rsidR="00D25776" w:rsidRPr="002952F7">
        <w:rPr>
          <w:b/>
        </w:rPr>
        <w:t xml:space="preserve">. </w:t>
      </w:r>
      <w:r w:rsidR="00D25776">
        <w:rPr>
          <w:b/>
        </w:rPr>
        <w:t xml:space="preserve">The State party should also ensure that there is a clear division of areas of responsibility between the </w:t>
      </w:r>
      <w:r w:rsidR="00B0510C" w:rsidRPr="00B0510C">
        <w:rPr>
          <w:b/>
        </w:rPr>
        <w:t>Equality and Human Rights Commission</w:t>
      </w:r>
      <w:r w:rsidR="00D25776">
        <w:rPr>
          <w:b/>
        </w:rPr>
        <w:t xml:space="preserve"> and </w:t>
      </w:r>
      <w:r w:rsidR="00D25776" w:rsidRPr="00B0510C">
        <w:rPr>
          <w:b/>
        </w:rPr>
        <w:t xml:space="preserve">the </w:t>
      </w:r>
      <w:r w:rsidR="00B0510C" w:rsidRPr="00F46FC1">
        <w:rPr>
          <w:b/>
        </w:rPr>
        <w:t>Scottish Human Rights Commission</w:t>
      </w:r>
      <w:r w:rsidR="00D25776" w:rsidRPr="00B0510C">
        <w:rPr>
          <w:b/>
        </w:rPr>
        <w:t xml:space="preserve"> and</w:t>
      </w:r>
      <w:r w:rsidR="00D25776">
        <w:rPr>
          <w:b/>
        </w:rPr>
        <w:t xml:space="preserve"> that both are able to support </w:t>
      </w:r>
      <w:r w:rsidR="00CD1743">
        <w:rPr>
          <w:b/>
        </w:rPr>
        <w:t>persons seeking</w:t>
      </w:r>
      <w:r w:rsidR="00D25776">
        <w:rPr>
          <w:b/>
        </w:rPr>
        <w:t xml:space="preserve"> effective remedies in the </w:t>
      </w:r>
      <w:r w:rsidR="00CD1743">
        <w:rPr>
          <w:b/>
        </w:rPr>
        <w:t>areas falling within</w:t>
      </w:r>
      <w:r w:rsidR="00D25776">
        <w:rPr>
          <w:b/>
        </w:rPr>
        <w:t xml:space="preserve"> their respective fields of competence. </w:t>
      </w:r>
    </w:p>
    <w:p w:rsidR="006A0018" w:rsidRPr="00AE4BB9" w:rsidRDefault="00811909" w:rsidP="00811909">
      <w:pPr>
        <w:pStyle w:val="H23G"/>
      </w:pPr>
      <w:r>
        <w:tab/>
      </w:r>
      <w:r>
        <w:tab/>
      </w:r>
      <w:r w:rsidR="007807BA" w:rsidRPr="00096017">
        <w:t>Data collection and p</w:t>
      </w:r>
      <w:r w:rsidR="00AE4BB9" w:rsidRPr="00096017">
        <w:t>olicies to tackle racial discrimination</w:t>
      </w:r>
      <w:r w:rsidR="00AE4BB9">
        <w:t xml:space="preserve"> </w:t>
      </w:r>
    </w:p>
    <w:p w:rsidR="00230B20" w:rsidRDefault="00F46FC1" w:rsidP="00F46FC1">
      <w:pPr>
        <w:pStyle w:val="SingleTxtG"/>
      </w:pPr>
      <w:r>
        <w:rPr>
          <w:bCs/>
        </w:rPr>
        <w:t>13.</w:t>
      </w:r>
      <w:r>
        <w:rPr>
          <w:bCs/>
        </w:rPr>
        <w:tab/>
      </w:r>
      <w:r w:rsidR="00561766">
        <w:t xml:space="preserve">While commending the collection of detailed disaggregated data in </w:t>
      </w:r>
      <w:r w:rsidR="00054267">
        <w:t xml:space="preserve">some </w:t>
      </w:r>
      <w:r w:rsidR="004D2D39">
        <w:t xml:space="preserve">of the </w:t>
      </w:r>
      <w:r w:rsidR="00C0375E">
        <w:t>devolved administrations</w:t>
      </w:r>
      <w:r w:rsidR="008F7C25">
        <w:t xml:space="preserve"> of the State </w:t>
      </w:r>
      <w:r w:rsidR="008F7C25" w:rsidRPr="00C72C3C">
        <w:t>party</w:t>
      </w:r>
      <w:r w:rsidR="00444E5A" w:rsidRPr="00C72C3C">
        <w:t>,</w:t>
      </w:r>
      <w:r w:rsidR="00CC2108" w:rsidRPr="00C72C3C">
        <w:t xml:space="preserve"> </w:t>
      </w:r>
      <w:r w:rsidR="00E31257" w:rsidRPr="00C72C3C">
        <w:t xml:space="preserve">the Committee expresses concern that data </w:t>
      </w:r>
      <w:r w:rsidR="00FB0A47" w:rsidRPr="00C72C3C">
        <w:t xml:space="preserve">are </w:t>
      </w:r>
      <w:r w:rsidR="000F7B47" w:rsidRPr="00C72C3C">
        <w:t>neither</w:t>
      </w:r>
      <w:r w:rsidR="00A662A1" w:rsidRPr="00C72C3C">
        <w:t xml:space="preserve"> </w:t>
      </w:r>
      <w:r w:rsidR="00E31257" w:rsidRPr="00C72C3C">
        <w:t xml:space="preserve">collected systematically in all </w:t>
      </w:r>
      <w:r w:rsidR="007F51A7" w:rsidRPr="00C72C3C">
        <w:t>fields</w:t>
      </w:r>
      <w:r w:rsidR="00D50492" w:rsidRPr="00C72C3C">
        <w:t xml:space="preserve"> where</w:t>
      </w:r>
      <w:r w:rsidR="00D50492">
        <w:t xml:space="preserve"> racial </w:t>
      </w:r>
      <w:r w:rsidR="0057360C">
        <w:t>discrimination</w:t>
      </w:r>
      <w:r w:rsidR="00D50492">
        <w:t xml:space="preserve"> exists</w:t>
      </w:r>
      <w:r w:rsidR="00E31257">
        <w:t xml:space="preserve">, </w:t>
      </w:r>
      <w:r w:rsidR="00BA56E2">
        <w:t xml:space="preserve">nor </w:t>
      </w:r>
      <w:r w:rsidR="0018297F">
        <w:t>uniformly across the State party’s jurisdiction</w:t>
      </w:r>
      <w:r w:rsidR="00BE4C2A">
        <w:t xml:space="preserve">, </w:t>
      </w:r>
      <w:r w:rsidR="00F36D2F">
        <w:t xml:space="preserve">with gaps occurring </w:t>
      </w:r>
      <w:r w:rsidR="00D87A05">
        <w:t xml:space="preserve">most notably </w:t>
      </w:r>
      <w:r w:rsidR="00BE4C2A">
        <w:t>in Northern Ireland,</w:t>
      </w:r>
      <w:r w:rsidR="00551B1A">
        <w:t xml:space="preserve"> the</w:t>
      </w:r>
      <w:r w:rsidR="00BE4C2A">
        <w:t xml:space="preserve"> </w:t>
      </w:r>
      <w:r w:rsidR="00203EC0">
        <w:t xml:space="preserve">British </w:t>
      </w:r>
      <w:r w:rsidR="00BC638E">
        <w:t>o</w:t>
      </w:r>
      <w:r w:rsidR="0074707B">
        <w:t xml:space="preserve">verseas </w:t>
      </w:r>
      <w:r w:rsidR="00BC638E">
        <w:t>t</w:t>
      </w:r>
      <w:r w:rsidR="0074707B">
        <w:t xml:space="preserve">erritories and </w:t>
      </w:r>
      <w:r w:rsidR="00203EC0">
        <w:t xml:space="preserve">the </w:t>
      </w:r>
      <w:r w:rsidR="0074707B">
        <w:t>Crown dependencies</w:t>
      </w:r>
      <w:r w:rsidR="0018297F">
        <w:t xml:space="preserve">. </w:t>
      </w:r>
      <w:r w:rsidR="000A7841">
        <w:t>I</w:t>
      </w:r>
      <w:r w:rsidR="00225E24">
        <w:t xml:space="preserve">t is also </w:t>
      </w:r>
      <w:r w:rsidR="00225E24" w:rsidRPr="00C72C3C">
        <w:t xml:space="preserve">concerned at the lack of systematic </w:t>
      </w:r>
      <w:r w:rsidR="00100052" w:rsidRPr="00C72C3C">
        <w:t xml:space="preserve">and </w:t>
      </w:r>
      <w:r w:rsidR="00EB18DF" w:rsidRPr="00C72C3C">
        <w:t xml:space="preserve">effective </w:t>
      </w:r>
      <w:r w:rsidR="00225E24" w:rsidRPr="00C72C3C">
        <w:t xml:space="preserve">use of </w:t>
      </w:r>
      <w:r w:rsidR="00371FEC" w:rsidRPr="00C72C3C">
        <w:t>data to develop</w:t>
      </w:r>
      <w:r w:rsidR="00371FEC">
        <w:t xml:space="preserve"> policies </w:t>
      </w:r>
      <w:r w:rsidR="007D4F22">
        <w:t xml:space="preserve">to tackle </w:t>
      </w:r>
      <w:r w:rsidR="00967935">
        <w:t>racial discrimination</w:t>
      </w:r>
      <w:r w:rsidR="00371FEC">
        <w:t>, and notes that in</w:t>
      </w:r>
      <w:r w:rsidR="00D93980">
        <w:t xml:space="preserve">itiatives such as “2020 Vision” are not </w:t>
      </w:r>
      <w:r w:rsidR="003207DA">
        <w:t xml:space="preserve">based on </w:t>
      </w:r>
      <w:r w:rsidR="004B13E4">
        <w:t xml:space="preserve">objective </w:t>
      </w:r>
      <w:r w:rsidR="00285F52">
        <w:t>baseline assessments</w:t>
      </w:r>
      <w:r w:rsidR="00667CC0">
        <w:t xml:space="preserve">. </w:t>
      </w:r>
      <w:r w:rsidR="00483EE2">
        <w:t xml:space="preserve">The Committee also notes the concern that a </w:t>
      </w:r>
      <w:r w:rsidR="00BF574D">
        <w:t xml:space="preserve">shift of the State party’s policies </w:t>
      </w:r>
      <w:r w:rsidR="009F7DE8">
        <w:t>a</w:t>
      </w:r>
      <w:r w:rsidR="00BF574D">
        <w:t xml:space="preserve">way from </w:t>
      </w:r>
      <w:r w:rsidR="00FE0E36">
        <w:t xml:space="preserve">special </w:t>
      </w:r>
      <w:r w:rsidR="00483EE2">
        <w:t xml:space="preserve">measures </w:t>
      </w:r>
      <w:r w:rsidR="00BF574D">
        <w:t xml:space="preserve">that are </w:t>
      </w:r>
      <w:r w:rsidR="00DF3750">
        <w:t xml:space="preserve">targeted specifically towards </w:t>
      </w:r>
      <w:r w:rsidR="00483EE2" w:rsidRPr="00C72C3C">
        <w:t xml:space="preserve">vulnerable </w:t>
      </w:r>
      <w:r w:rsidR="00DF3750" w:rsidRPr="00C72C3C">
        <w:t>groups may</w:t>
      </w:r>
      <w:r w:rsidR="00483EE2" w:rsidRPr="00C72C3C">
        <w:t>, in the present circumstances,</w:t>
      </w:r>
      <w:r w:rsidR="00DF3750" w:rsidRPr="00C72C3C">
        <w:t xml:space="preserve"> exacerbate </w:t>
      </w:r>
      <w:r w:rsidR="00483EE2" w:rsidRPr="00C72C3C">
        <w:t xml:space="preserve">the </w:t>
      </w:r>
      <w:r w:rsidR="00DF3750" w:rsidRPr="00C72C3C">
        <w:t xml:space="preserve">inequalities </w:t>
      </w:r>
      <w:r w:rsidR="00F6273B">
        <w:t xml:space="preserve">that already exist </w:t>
      </w:r>
      <w:r w:rsidR="00DF3750" w:rsidRPr="00C72C3C">
        <w:t xml:space="preserve">on the </w:t>
      </w:r>
      <w:r w:rsidR="00D93980" w:rsidRPr="00C72C3C">
        <w:t xml:space="preserve">grounds </w:t>
      </w:r>
      <w:r w:rsidR="00DF3750" w:rsidRPr="00C72C3C">
        <w:t>of race, colour</w:t>
      </w:r>
      <w:r w:rsidR="00DF3750">
        <w:t xml:space="preserve">, </w:t>
      </w:r>
      <w:r w:rsidR="00172981">
        <w:t>descent, or national or ethnic origin</w:t>
      </w:r>
      <w:r w:rsidR="00B159E1">
        <w:t xml:space="preserve"> </w:t>
      </w:r>
      <w:r w:rsidR="001E3453">
        <w:t>(art.</w:t>
      </w:r>
      <w:r w:rsidR="00811909">
        <w:t> </w:t>
      </w:r>
      <w:r w:rsidR="001E3453">
        <w:t>2)</w:t>
      </w:r>
      <w:r w:rsidR="00E169BF">
        <w:t>.</w:t>
      </w:r>
      <w:r w:rsidR="001D4309">
        <w:t xml:space="preserve"> </w:t>
      </w:r>
    </w:p>
    <w:p w:rsidR="00806994" w:rsidRPr="00A634E1" w:rsidRDefault="00F46FC1" w:rsidP="00F46FC1">
      <w:pPr>
        <w:pStyle w:val="SingleTxtG"/>
        <w:rPr>
          <w:b/>
        </w:rPr>
      </w:pPr>
      <w:r w:rsidRPr="00A634E1">
        <w:rPr>
          <w:bCs/>
        </w:rPr>
        <w:t>14.</w:t>
      </w:r>
      <w:r w:rsidRPr="00A634E1">
        <w:rPr>
          <w:bCs/>
        </w:rPr>
        <w:tab/>
      </w:r>
      <w:r w:rsidR="00EF2641" w:rsidRPr="00A634E1">
        <w:rPr>
          <w:b/>
        </w:rPr>
        <w:t xml:space="preserve">Given the importance of </w:t>
      </w:r>
      <w:r w:rsidR="00371008" w:rsidRPr="00A634E1">
        <w:rPr>
          <w:b/>
        </w:rPr>
        <w:t xml:space="preserve">collecting accurate and updated disaggregated data to develop effective policies </w:t>
      </w:r>
      <w:r w:rsidR="00B82C40" w:rsidRPr="00A634E1">
        <w:rPr>
          <w:b/>
        </w:rPr>
        <w:t xml:space="preserve">to combat racial discrimination </w:t>
      </w:r>
      <w:r w:rsidR="00371008" w:rsidRPr="00A634E1">
        <w:rPr>
          <w:b/>
        </w:rPr>
        <w:t xml:space="preserve">and to monitor the impact of measures taken, </w:t>
      </w:r>
      <w:r w:rsidR="007D4EB4" w:rsidRPr="00A634E1">
        <w:rPr>
          <w:b/>
        </w:rPr>
        <w:t xml:space="preserve">the Committee recommends that the </w:t>
      </w:r>
      <w:r w:rsidR="0048266F" w:rsidRPr="00A17B27">
        <w:rPr>
          <w:b/>
        </w:rPr>
        <w:t xml:space="preserve">State party </w:t>
      </w:r>
      <w:r w:rsidR="00B71CBA" w:rsidRPr="00A17B27">
        <w:rPr>
          <w:b/>
        </w:rPr>
        <w:t xml:space="preserve">ensure that </w:t>
      </w:r>
      <w:r w:rsidR="0076081B" w:rsidRPr="00A17B27">
        <w:rPr>
          <w:b/>
        </w:rPr>
        <w:t>the governments of Northern Ireland, Scotland</w:t>
      </w:r>
      <w:r w:rsidR="00951910" w:rsidRPr="00A17B27">
        <w:rPr>
          <w:b/>
        </w:rPr>
        <w:t>,</w:t>
      </w:r>
      <w:r w:rsidR="0076081B" w:rsidRPr="00A17B27">
        <w:rPr>
          <w:b/>
        </w:rPr>
        <w:t xml:space="preserve"> Wales, </w:t>
      </w:r>
      <w:r w:rsidR="00460655" w:rsidRPr="00A17B27">
        <w:rPr>
          <w:b/>
        </w:rPr>
        <w:t xml:space="preserve">the British </w:t>
      </w:r>
      <w:r w:rsidR="0057428B">
        <w:rPr>
          <w:b/>
        </w:rPr>
        <w:t>o</w:t>
      </w:r>
      <w:r w:rsidR="0076081B" w:rsidRPr="00A17B27">
        <w:rPr>
          <w:b/>
        </w:rPr>
        <w:t xml:space="preserve">verseas </w:t>
      </w:r>
      <w:r w:rsidR="0057428B">
        <w:rPr>
          <w:b/>
        </w:rPr>
        <w:t>t</w:t>
      </w:r>
      <w:r w:rsidR="0076081B" w:rsidRPr="00A17B27">
        <w:rPr>
          <w:b/>
        </w:rPr>
        <w:t xml:space="preserve">erritories and </w:t>
      </w:r>
      <w:r w:rsidR="00460655" w:rsidRPr="00A17B27">
        <w:rPr>
          <w:b/>
        </w:rPr>
        <w:t xml:space="preserve">the </w:t>
      </w:r>
      <w:r w:rsidR="0076081B" w:rsidRPr="00A17B27">
        <w:rPr>
          <w:b/>
        </w:rPr>
        <w:t xml:space="preserve">Crown dependencies </w:t>
      </w:r>
      <w:r w:rsidR="00B71CBA" w:rsidRPr="00A17B27">
        <w:rPr>
          <w:b/>
        </w:rPr>
        <w:t>systematically collect and p</w:t>
      </w:r>
      <w:r w:rsidR="00AC40F2" w:rsidRPr="00A17B27">
        <w:rPr>
          <w:b/>
        </w:rPr>
        <w:t>ublish disaggregated data</w:t>
      </w:r>
      <w:r w:rsidR="00F72210" w:rsidRPr="00A17B27">
        <w:rPr>
          <w:b/>
        </w:rPr>
        <w:t xml:space="preserve"> </w:t>
      </w:r>
      <w:r w:rsidR="00865160" w:rsidRPr="00A17B27">
        <w:rPr>
          <w:b/>
        </w:rPr>
        <w:t>on the enjoyment of rights by</w:t>
      </w:r>
      <w:r w:rsidR="00B33235" w:rsidRPr="00A17B27">
        <w:rPr>
          <w:b/>
        </w:rPr>
        <w:t xml:space="preserve"> members of</w:t>
      </w:r>
      <w:r w:rsidR="00865160" w:rsidRPr="00A17B27">
        <w:rPr>
          <w:b/>
        </w:rPr>
        <w:t xml:space="preserve"> ethnic minorities </w:t>
      </w:r>
      <w:r w:rsidR="00F72210" w:rsidRPr="00C72C3C">
        <w:rPr>
          <w:b/>
        </w:rPr>
        <w:t>in all fields of</w:t>
      </w:r>
      <w:r w:rsidR="00F72210" w:rsidRPr="00A634E1">
        <w:rPr>
          <w:b/>
        </w:rPr>
        <w:t xml:space="preserve"> life</w:t>
      </w:r>
      <w:r w:rsidR="00865160">
        <w:rPr>
          <w:b/>
        </w:rPr>
        <w:t xml:space="preserve">, and </w:t>
      </w:r>
      <w:r w:rsidR="00FC684E">
        <w:rPr>
          <w:b/>
        </w:rPr>
        <w:t xml:space="preserve">that it </w:t>
      </w:r>
      <w:r w:rsidR="00865160">
        <w:rPr>
          <w:b/>
        </w:rPr>
        <w:t xml:space="preserve">include such information in </w:t>
      </w:r>
      <w:r w:rsidR="00555F4C">
        <w:rPr>
          <w:b/>
        </w:rPr>
        <w:t xml:space="preserve">its </w:t>
      </w:r>
      <w:r w:rsidR="00865160">
        <w:rPr>
          <w:b/>
        </w:rPr>
        <w:t xml:space="preserve">next periodic report. </w:t>
      </w:r>
      <w:r w:rsidR="00B50BF6">
        <w:rPr>
          <w:b/>
        </w:rPr>
        <w:t>T</w:t>
      </w:r>
      <w:r w:rsidR="007823D9" w:rsidRPr="00A634E1">
        <w:rPr>
          <w:b/>
        </w:rPr>
        <w:t xml:space="preserve">he Committee </w:t>
      </w:r>
      <w:r w:rsidR="00B50BF6">
        <w:rPr>
          <w:b/>
        </w:rPr>
        <w:t xml:space="preserve">also </w:t>
      </w:r>
      <w:r w:rsidR="007823D9" w:rsidRPr="00A634E1">
        <w:rPr>
          <w:b/>
        </w:rPr>
        <w:t xml:space="preserve">recommends that </w:t>
      </w:r>
      <w:r w:rsidR="00422C90" w:rsidRPr="00A634E1">
        <w:rPr>
          <w:b/>
        </w:rPr>
        <w:t xml:space="preserve">the </w:t>
      </w:r>
      <w:r w:rsidR="003A4DAE">
        <w:rPr>
          <w:b/>
        </w:rPr>
        <w:t>State party</w:t>
      </w:r>
      <w:r w:rsidR="00806994" w:rsidRPr="00A634E1">
        <w:rPr>
          <w:b/>
        </w:rPr>
        <w:t xml:space="preserve">: </w:t>
      </w:r>
    </w:p>
    <w:p w:rsidR="007E5A92" w:rsidRPr="00811909" w:rsidRDefault="00210BE3" w:rsidP="00F46FC1">
      <w:pPr>
        <w:pStyle w:val="SingleTxtG"/>
        <w:ind w:firstLine="567"/>
        <w:rPr>
          <w:b/>
        </w:rPr>
      </w:pPr>
      <w:r w:rsidRPr="00F46FC1">
        <w:rPr>
          <w:bCs/>
        </w:rPr>
        <w:t>(a)</w:t>
      </w:r>
      <w:r>
        <w:rPr>
          <w:b/>
        </w:rPr>
        <w:tab/>
      </w:r>
      <w:r w:rsidR="00806994" w:rsidRPr="00811909">
        <w:rPr>
          <w:b/>
        </w:rPr>
        <w:t>C</w:t>
      </w:r>
      <w:r w:rsidR="00422C90" w:rsidRPr="00811909">
        <w:rPr>
          <w:b/>
        </w:rPr>
        <w:t xml:space="preserve">arefully review the impact of </w:t>
      </w:r>
      <w:r w:rsidR="006F177A" w:rsidRPr="00811909">
        <w:rPr>
          <w:b/>
        </w:rPr>
        <w:t>existing</w:t>
      </w:r>
      <w:r w:rsidR="00192427" w:rsidRPr="00811909">
        <w:rPr>
          <w:b/>
        </w:rPr>
        <w:t xml:space="preserve"> </w:t>
      </w:r>
      <w:r w:rsidR="00422C90" w:rsidRPr="00811909">
        <w:rPr>
          <w:b/>
        </w:rPr>
        <w:t>policies and programmes</w:t>
      </w:r>
      <w:r w:rsidR="001435F0" w:rsidRPr="00811909">
        <w:rPr>
          <w:b/>
        </w:rPr>
        <w:t xml:space="preserve"> aimed at promoting </w:t>
      </w:r>
      <w:r w:rsidR="003B5C0A" w:rsidRPr="00811909">
        <w:rPr>
          <w:b/>
        </w:rPr>
        <w:t>integration</w:t>
      </w:r>
      <w:r w:rsidR="00422C90" w:rsidRPr="00811909">
        <w:rPr>
          <w:b/>
        </w:rPr>
        <w:t xml:space="preserve"> </w:t>
      </w:r>
      <w:r w:rsidR="003B2157" w:rsidRPr="00811909">
        <w:rPr>
          <w:b/>
        </w:rPr>
        <w:t xml:space="preserve">so as to ensure that they </w:t>
      </w:r>
      <w:r w:rsidR="00332B75" w:rsidRPr="00811909">
        <w:rPr>
          <w:b/>
        </w:rPr>
        <w:t xml:space="preserve">do not </w:t>
      </w:r>
      <w:r w:rsidR="00D26891" w:rsidRPr="00811909">
        <w:rPr>
          <w:b/>
        </w:rPr>
        <w:t>constitute indirect discrimination</w:t>
      </w:r>
      <w:r w:rsidR="007E5A92" w:rsidRPr="00811909">
        <w:rPr>
          <w:b/>
        </w:rPr>
        <w:t xml:space="preserve">; </w:t>
      </w:r>
    </w:p>
    <w:p w:rsidR="00A90BAA" w:rsidRPr="00811909" w:rsidRDefault="00210BE3" w:rsidP="00F46FC1">
      <w:pPr>
        <w:pStyle w:val="SingleTxtG"/>
        <w:ind w:firstLine="567"/>
        <w:rPr>
          <w:b/>
        </w:rPr>
      </w:pPr>
      <w:r w:rsidRPr="00F46FC1">
        <w:rPr>
          <w:bCs/>
        </w:rPr>
        <w:t>(b)</w:t>
      </w:r>
      <w:r>
        <w:rPr>
          <w:b/>
        </w:rPr>
        <w:tab/>
      </w:r>
      <w:r w:rsidR="007E5A92" w:rsidRPr="00811909">
        <w:rPr>
          <w:b/>
        </w:rPr>
        <w:t>C</w:t>
      </w:r>
      <w:r w:rsidR="001117C1" w:rsidRPr="00811909">
        <w:rPr>
          <w:b/>
        </w:rPr>
        <w:t xml:space="preserve">onsider adopting </w:t>
      </w:r>
      <w:r w:rsidR="00254481" w:rsidRPr="00811909">
        <w:rPr>
          <w:b/>
        </w:rPr>
        <w:t xml:space="preserve">a detailed action plan </w:t>
      </w:r>
      <w:r w:rsidR="00B45E61">
        <w:rPr>
          <w:b/>
        </w:rPr>
        <w:t>that has</w:t>
      </w:r>
      <w:r w:rsidR="00B45E61" w:rsidRPr="00811909">
        <w:rPr>
          <w:b/>
        </w:rPr>
        <w:t xml:space="preserve"> </w:t>
      </w:r>
      <w:r w:rsidR="00254481" w:rsidRPr="00811909">
        <w:rPr>
          <w:b/>
        </w:rPr>
        <w:t xml:space="preserve">concrete targets, monitoring mechanisms and sufficient resources, </w:t>
      </w:r>
      <w:r w:rsidR="00B45E61">
        <w:rPr>
          <w:b/>
        </w:rPr>
        <w:t>and that includes</w:t>
      </w:r>
      <w:r w:rsidR="00B45E61" w:rsidRPr="00811909">
        <w:rPr>
          <w:b/>
        </w:rPr>
        <w:t xml:space="preserve"> </w:t>
      </w:r>
      <w:r w:rsidR="00AB4E1E" w:rsidRPr="00811909">
        <w:rPr>
          <w:b/>
        </w:rPr>
        <w:t>temporary special measures</w:t>
      </w:r>
      <w:r w:rsidR="00254481" w:rsidRPr="00811909">
        <w:rPr>
          <w:b/>
        </w:rPr>
        <w:t>,</w:t>
      </w:r>
      <w:r w:rsidR="00E07DA3" w:rsidRPr="00811909">
        <w:rPr>
          <w:b/>
        </w:rPr>
        <w:t xml:space="preserve"> to secure the adequate advancement of certain </w:t>
      </w:r>
      <w:r w:rsidR="00DA068A" w:rsidRPr="00811909">
        <w:rPr>
          <w:b/>
        </w:rPr>
        <w:t xml:space="preserve">ethnic </w:t>
      </w:r>
      <w:r w:rsidR="005148F7" w:rsidRPr="00811909">
        <w:rPr>
          <w:b/>
        </w:rPr>
        <w:t xml:space="preserve">groups </w:t>
      </w:r>
      <w:r w:rsidR="00E07DA3" w:rsidRPr="00811909">
        <w:rPr>
          <w:b/>
        </w:rPr>
        <w:t xml:space="preserve">to ensure that </w:t>
      </w:r>
      <w:r w:rsidR="00254481" w:rsidRPr="00811909">
        <w:rPr>
          <w:b/>
        </w:rPr>
        <w:t xml:space="preserve">persons belonging to </w:t>
      </w:r>
      <w:r w:rsidR="00E07DA3" w:rsidRPr="00811909">
        <w:rPr>
          <w:b/>
        </w:rPr>
        <w:t>such groups</w:t>
      </w:r>
      <w:r w:rsidR="00957511" w:rsidRPr="00811909">
        <w:rPr>
          <w:b/>
        </w:rPr>
        <w:t xml:space="preserve"> </w:t>
      </w:r>
      <w:r w:rsidR="00727643" w:rsidRPr="00811909">
        <w:rPr>
          <w:b/>
        </w:rPr>
        <w:t xml:space="preserve">are able to </w:t>
      </w:r>
      <w:r w:rsidR="00E07DA3" w:rsidRPr="00811909">
        <w:rPr>
          <w:b/>
        </w:rPr>
        <w:t>enjoy the</w:t>
      </w:r>
      <w:r w:rsidR="00727643" w:rsidRPr="00811909">
        <w:rPr>
          <w:b/>
        </w:rPr>
        <w:t>ir rights on an equal footing</w:t>
      </w:r>
      <w:r w:rsidR="00AB4E1E" w:rsidRPr="00811909">
        <w:rPr>
          <w:b/>
        </w:rPr>
        <w:t xml:space="preserve">, </w:t>
      </w:r>
      <w:r w:rsidR="00E124FE" w:rsidRPr="00811909">
        <w:rPr>
          <w:b/>
        </w:rPr>
        <w:t xml:space="preserve">taking into account </w:t>
      </w:r>
      <w:r w:rsidR="00AB4E1E" w:rsidRPr="00811909">
        <w:rPr>
          <w:b/>
        </w:rPr>
        <w:t xml:space="preserve">the Committee’s general recommendation </w:t>
      </w:r>
      <w:r w:rsidR="00B3593A" w:rsidRPr="00811909">
        <w:rPr>
          <w:b/>
        </w:rPr>
        <w:t xml:space="preserve">No. 32 (2009) on the meaning and scope of special measures in the International Convention on the Elimination of All </w:t>
      </w:r>
      <w:r w:rsidR="00623DA1" w:rsidRPr="00811909">
        <w:rPr>
          <w:b/>
        </w:rPr>
        <w:t>Forms of Racial Discrimination</w:t>
      </w:r>
      <w:r w:rsidR="00C71CF0" w:rsidRPr="00811909">
        <w:rPr>
          <w:b/>
        </w:rPr>
        <w:t xml:space="preserve">. </w:t>
      </w:r>
    </w:p>
    <w:p w:rsidR="00094DCA" w:rsidRDefault="00811909" w:rsidP="00811909">
      <w:pPr>
        <w:pStyle w:val="H23G"/>
      </w:pPr>
      <w:r>
        <w:tab/>
      </w:r>
      <w:r>
        <w:tab/>
      </w:r>
      <w:r w:rsidR="001B6B62" w:rsidRPr="001B6B62">
        <w:t>Racist hate speech</w:t>
      </w:r>
      <w:r w:rsidR="00E37A8A">
        <w:t xml:space="preserve"> and hate crimes</w:t>
      </w:r>
      <w:r w:rsidR="001D4309">
        <w:t xml:space="preserve"> </w:t>
      </w:r>
    </w:p>
    <w:p w:rsidR="00A151CE" w:rsidRDefault="00F46FC1" w:rsidP="00F46FC1">
      <w:pPr>
        <w:pStyle w:val="SingleTxtG"/>
      </w:pPr>
      <w:r>
        <w:rPr>
          <w:bCs/>
        </w:rPr>
        <w:t>15.</w:t>
      </w:r>
      <w:r>
        <w:rPr>
          <w:bCs/>
        </w:rPr>
        <w:tab/>
      </w:r>
      <w:r w:rsidR="00441CC4">
        <w:t xml:space="preserve">The Committee </w:t>
      </w:r>
      <w:r w:rsidR="000B59D0">
        <w:t>is seriously concerned at</w:t>
      </w:r>
      <w:r w:rsidR="003A219F">
        <w:t xml:space="preserve"> t</w:t>
      </w:r>
      <w:r w:rsidR="00820DA2">
        <w:t xml:space="preserve">he sharp increase in the number of </w:t>
      </w:r>
      <w:r w:rsidR="002D1949">
        <w:t xml:space="preserve">racist </w:t>
      </w:r>
      <w:r w:rsidR="00820DA2">
        <w:t>hate crimes</w:t>
      </w:r>
      <w:r w:rsidR="00772854">
        <w:t>,</w:t>
      </w:r>
      <w:r w:rsidR="00820DA2">
        <w:t xml:space="preserve"> </w:t>
      </w:r>
      <w:r w:rsidR="00254481">
        <w:t xml:space="preserve">especially </w:t>
      </w:r>
      <w:r w:rsidR="00820DA2">
        <w:t xml:space="preserve">in England, </w:t>
      </w:r>
      <w:r w:rsidR="00772854">
        <w:t xml:space="preserve">Northern Ireland and </w:t>
      </w:r>
      <w:r w:rsidR="00820DA2">
        <w:t>Wales</w:t>
      </w:r>
      <w:r w:rsidR="009E0CD9">
        <w:t xml:space="preserve"> </w:t>
      </w:r>
      <w:r w:rsidR="00820DA2">
        <w:t>in the weeks prior to and following the referendum on the membership of the European Union</w:t>
      </w:r>
      <w:r w:rsidR="00E60FF5">
        <w:t xml:space="preserve"> </w:t>
      </w:r>
      <w:r w:rsidR="00772854">
        <w:t xml:space="preserve">that was </w:t>
      </w:r>
      <w:r w:rsidR="00E60FF5">
        <w:t xml:space="preserve">held </w:t>
      </w:r>
      <w:r w:rsidR="00820DA2">
        <w:t>on 23</w:t>
      </w:r>
      <w:r w:rsidR="00772854">
        <w:t> </w:t>
      </w:r>
      <w:r w:rsidR="00820DA2">
        <w:t xml:space="preserve">June 2016. </w:t>
      </w:r>
      <w:r w:rsidR="003361CE">
        <w:t xml:space="preserve">In particular, the Committee </w:t>
      </w:r>
      <w:r w:rsidR="002D1F17">
        <w:t xml:space="preserve">is deeply concerned </w:t>
      </w:r>
      <w:r w:rsidR="00F94E64">
        <w:t>that the referendum campaign was marked by divisive, anti-immigrant</w:t>
      </w:r>
      <w:r w:rsidR="00254481">
        <w:t xml:space="preserve"> and xenophobic</w:t>
      </w:r>
      <w:r w:rsidR="00F94E64">
        <w:t xml:space="preserve"> rhetoric, </w:t>
      </w:r>
      <w:r w:rsidR="005802A9">
        <w:t xml:space="preserve">and that </w:t>
      </w:r>
      <w:r w:rsidR="00254481">
        <w:t xml:space="preserve">many </w:t>
      </w:r>
      <w:r w:rsidR="00C3434A">
        <w:t xml:space="preserve">politicians and prominent political figures </w:t>
      </w:r>
      <w:r w:rsidR="001158AB">
        <w:t>not only faile</w:t>
      </w:r>
      <w:r w:rsidR="00A978D0">
        <w:t>d</w:t>
      </w:r>
      <w:r w:rsidR="001158AB">
        <w:t xml:space="preserve"> to condemn </w:t>
      </w:r>
      <w:r w:rsidR="00737075">
        <w:t>such rhetoric</w:t>
      </w:r>
      <w:r w:rsidR="001158AB">
        <w:t xml:space="preserve">, but also </w:t>
      </w:r>
      <w:r w:rsidR="00F04190">
        <w:t>created and entrenched</w:t>
      </w:r>
      <w:r w:rsidR="00D863EA">
        <w:t xml:space="preserve"> </w:t>
      </w:r>
      <w:r w:rsidR="00A151CE">
        <w:t>prejudices</w:t>
      </w:r>
      <w:r w:rsidR="004E5D2C">
        <w:t xml:space="preserve">, thereby emboldening individuals to carry out acts of intimidation and hate towards </w:t>
      </w:r>
      <w:r w:rsidR="00C40404">
        <w:t xml:space="preserve">ethnic </w:t>
      </w:r>
      <w:r w:rsidR="00947947">
        <w:t xml:space="preserve">or ethno-religious </w:t>
      </w:r>
      <w:r w:rsidR="004E5D2C">
        <w:t>minority communities and people who are visibly different.</w:t>
      </w:r>
      <w:r w:rsidR="00BD5804">
        <w:t xml:space="preserve"> </w:t>
      </w:r>
      <w:r w:rsidR="00483EE2">
        <w:t xml:space="preserve">The Committee remains concerned that despite </w:t>
      </w:r>
      <w:r w:rsidR="003832DA">
        <w:t>the recent increase</w:t>
      </w:r>
      <w:r w:rsidR="00E704F4">
        <w:t xml:space="preserve"> in </w:t>
      </w:r>
      <w:r w:rsidR="004C2B44">
        <w:t xml:space="preserve">the </w:t>
      </w:r>
      <w:r w:rsidR="00E704F4">
        <w:t>reporting of hate crimes</w:t>
      </w:r>
      <w:r w:rsidR="003832DA">
        <w:t xml:space="preserve">, </w:t>
      </w:r>
      <w:r w:rsidR="00483EE2">
        <w:t>the problem of underreporting persists, and the gap between reported cases and successful prosecution</w:t>
      </w:r>
      <w:r w:rsidR="00737075">
        <w:t>s</w:t>
      </w:r>
      <w:r w:rsidR="00483EE2">
        <w:t xml:space="preserve"> remains significant. As a result, a large nu</w:t>
      </w:r>
      <w:r w:rsidR="00CC63C1">
        <w:t>mber of racist hate crimes seem</w:t>
      </w:r>
      <w:r w:rsidR="00483EE2">
        <w:t xml:space="preserve"> to go unpunished. </w:t>
      </w:r>
      <w:r w:rsidR="00D45AF2">
        <w:t>The Committee</w:t>
      </w:r>
      <w:r w:rsidR="003832DA">
        <w:t xml:space="preserve"> </w:t>
      </w:r>
      <w:r w:rsidR="00E92169">
        <w:t>also remains</w:t>
      </w:r>
      <w:r w:rsidR="002C6488">
        <w:t xml:space="preserve"> concern</w:t>
      </w:r>
      <w:r w:rsidR="00210153">
        <w:t>ed</w:t>
      </w:r>
      <w:r w:rsidR="002C6488">
        <w:t xml:space="preserve"> at the negative portrayal of </w:t>
      </w:r>
      <w:r w:rsidR="00947947">
        <w:t xml:space="preserve">ethnic or ethno-religious minority communities, </w:t>
      </w:r>
      <w:r w:rsidR="002C6488">
        <w:t>immigrants, asylum</w:t>
      </w:r>
      <w:r w:rsidR="005101D2">
        <w:t xml:space="preserve"> </w:t>
      </w:r>
      <w:r w:rsidR="002C6488">
        <w:t xml:space="preserve">seekers and refugees </w:t>
      </w:r>
      <w:r w:rsidR="00A11B0C">
        <w:t xml:space="preserve">by the media in the State party, particularly in the aftermath of terrorist attacks, </w:t>
      </w:r>
      <w:r w:rsidR="005101D2">
        <w:t>and at</w:t>
      </w:r>
      <w:r w:rsidR="00F04190">
        <w:t xml:space="preserve"> </w:t>
      </w:r>
      <w:r w:rsidR="00A9594A">
        <w:t xml:space="preserve">the rise of racist hate speech on the Internet. </w:t>
      </w:r>
      <w:r w:rsidR="004E124E">
        <w:t xml:space="preserve">Notwithstanding </w:t>
      </w:r>
      <w:r w:rsidR="00E36BA7">
        <w:t xml:space="preserve">these challenges, the Committee regrets that the </w:t>
      </w:r>
      <w:r w:rsidR="00112CA1">
        <w:t xml:space="preserve">State </w:t>
      </w:r>
      <w:r w:rsidR="00BB3484">
        <w:t xml:space="preserve">party continues to </w:t>
      </w:r>
      <w:r w:rsidR="005B6BFC">
        <w:t xml:space="preserve">maintain its interpretative declaration on article 4 of the Convention </w:t>
      </w:r>
      <w:r w:rsidR="00D32939">
        <w:t>(arts.</w:t>
      </w:r>
      <w:r w:rsidR="00811909">
        <w:t> </w:t>
      </w:r>
      <w:r w:rsidR="00D32939">
        <w:t>2</w:t>
      </w:r>
      <w:r w:rsidR="009904D5">
        <w:t>,</w:t>
      </w:r>
      <w:r w:rsidR="00D32939">
        <w:t xml:space="preserve"> 4</w:t>
      </w:r>
      <w:r w:rsidR="002223D4">
        <w:t xml:space="preserve"> and 6</w:t>
      </w:r>
      <w:r w:rsidR="00D32939">
        <w:t>)</w:t>
      </w:r>
      <w:r w:rsidR="00571437">
        <w:t>.</w:t>
      </w:r>
      <w:r w:rsidR="001D4309">
        <w:t xml:space="preserve"> </w:t>
      </w:r>
    </w:p>
    <w:p w:rsidR="006B3007" w:rsidRDefault="00F46FC1" w:rsidP="00F46FC1">
      <w:pPr>
        <w:pStyle w:val="SingleTxtG"/>
        <w:rPr>
          <w:b/>
        </w:rPr>
      </w:pPr>
      <w:r>
        <w:rPr>
          <w:bCs/>
        </w:rPr>
        <w:t>16.</w:t>
      </w:r>
      <w:r>
        <w:rPr>
          <w:bCs/>
        </w:rPr>
        <w:tab/>
      </w:r>
      <w:r w:rsidR="002406E5" w:rsidRPr="002406E5">
        <w:rPr>
          <w:b/>
        </w:rPr>
        <w:t xml:space="preserve">The Committee </w:t>
      </w:r>
      <w:r w:rsidR="00246CE3">
        <w:rPr>
          <w:b/>
        </w:rPr>
        <w:t xml:space="preserve">recommends that the State party, including </w:t>
      </w:r>
      <w:r w:rsidR="008546CF" w:rsidRPr="00A634E1">
        <w:rPr>
          <w:b/>
        </w:rPr>
        <w:t>the governments of Northern Ireland, Scotland</w:t>
      </w:r>
      <w:r w:rsidR="00951910">
        <w:rPr>
          <w:b/>
        </w:rPr>
        <w:t>,</w:t>
      </w:r>
      <w:r w:rsidR="008546CF" w:rsidRPr="00A634E1">
        <w:rPr>
          <w:b/>
        </w:rPr>
        <w:t xml:space="preserve"> Wales, </w:t>
      </w:r>
      <w:r w:rsidR="007B79BA">
        <w:rPr>
          <w:b/>
        </w:rPr>
        <w:t xml:space="preserve">the British </w:t>
      </w:r>
      <w:r w:rsidR="0057428B">
        <w:rPr>
          <w:b/>
        </w:rPr>
        <w:t>o</w:t>
      </w:r>
      <w:r w:rsidR="008546CF" w:rsidRPr="00A634E1">
        <w:rPr>
          <w:b/>
        </w:rPr>
        <w:t xml:space="preserve">verseas </w:t>
      </w:r>
      <w:r w:rsidR="0057428B">
        <w:rPr>
          <w:b/>
        </w:rPr>
        <w:t>t</w:t>
      </w:r>
      <w:r w:rsidR="008546CF" w:rsidRPr="00A634E1">
        <w:rPr>
          <w:b/>
        </w:rPr>
        <w:t>e</w:t>
      </w:r>
      <w:r w:rsidR="00C02170">
        <w:rPr>
          <w:b/>
        </w:rPr>
        <w:t xml:space="preserve">rritories and </w:t>
      </w:r>
      <w:r w:rsidR="007B79BA">
        <w:rPr>
          <w:b/>
        </w:rPr>
        <w:t xml:space="preserve">the </w:t>
      </w:r>
      <w:r w:rsidR="00C02170">
        <w:rPr>
          <w:b/>
        </w:rPr>
        <w:t>Crown dependencies</w:t>
      </w:r>
      <w:r w:rsidR="006B3007">
        <w:rPr>
          <w:b/>
        </w:rPr>
        <w:t xml:space="preserve">: </w:t>
      </w:r>
    </w:p>
    <w:p w:rsidR="007A650A" w:rsidRPr="00811909" w:rsidRDefault="00210BE3" w:rsidP="00F46FC1">
      <w:pPr>
        <w:pStyle w:val="SingleTxtG"/>
        <w:ind w:firstLine="567"/>
        <w:rPr>
          <w:b/>
        </w:rPr>
      </w:pPr>
      <w:r w:rsidRPr="00F46FC1">
        <w:rPr>
          <w:bCs/>
        </w:rPr>
        <w:t>(a)</w:t>
      </w:r>
      <w:r>
        <w:rPr>
          <w:b/>
        </w:rPr>
        <w:tab/>
      </w:r>
      <w:r w:rsidR="007A650A" w:rsidRPr="00811909">
        <w:rPr>
          <w:b/>
        </w:rPr>
        <w:t xml:space="preserve">Investigate all reported </w:t>
      </w:r>
      <w:r w:rsidR="005101D2">
        <w:rPr>
          <w:b/>
        </w:rPr>
        <w:t>racist hate crimes</w:t>
      </w:r>
      <w:r w:rsidR="007A650A" w:rsidRPr="00811909">
        <w:rPr>
          <w:b/>
        </w:rPr>
        <w:t xml:space="preserve">, prosecute </w:t>
      </w:r>
      <w:r w:rsidR="005101D2">
        <w:rPr>
          <w:b/>
        </w:rPr>
        <w:t>the perpetrators and punish them</w:t>
      </w:r>
      <w:r w:rsidR="00AF6A9C" w:rsidRPr="00811909">
        <w:rPr>
          <w:b/>
        </w:rPr>
        <w:t xml:space="preserve"> with </w:t>
      </w:r>
      <w:r w:rsidR="004E29D4" w:rsidRPr="00811909">
        <w:rPr>
          <w:b/>
        </w:rPr>
        <w:t>sanction</w:t>
      </w:r>
      <w:r w:rsidR="00A85967" w:rsidRPr="00811909">
        <w:rPr>
          <w:b/>
        </w:rPr>
        <w:t xml:space="preserve">s commensurate </w:t>
      </w:r>
      <w:r w:rsidR="0045302C" w:rsidRPr="00811909">
        <w:rPr>
          <w:b/>
        </w:rPr>
        <w:t>with</w:t>
      </w:r>
      <w:r w:rsidR="00A85967" w:rsidRPr="00811909">
        <w:rPr>
          <w:b/>
        </w:rPr>
        <w:t xml:space="preserve"> the gravity of the </w:t>
      </w:r>
      <w:r w:rsidR="00361863" w:rsidRPr="00811909">
        <w:rPr>
          <w:b/>
        </w:rPr>
        <w:t>offence</w:t>
      </w:r>
      <w:r w:rsidR="007A650A" w:rsidRPr="00811909">
        <w:rPr>
          <w:b/>
        </w:rPr>
        <w:t>,</w:t>
      </w:r>
      <w:r w:rsidR="00361863" w:rsidRPr="00811909">
        <w:rPr>
          <w:b/>
        </w:rPr>
        <w:t xml:space="preserve"> and provide </w:t>
      </w:r>
      <w:r w:rsidR="003276DE" w:rsidRPr="00811909">
        <w:rPr>
          <w:b/>
        </w:rPr>
        <w:t xml:space="preserve">effective remedies to </w:t>
      </w:r>
      <w:r w:rsidR="005101D2">
        <w:rPr>
          <w:b/>
        </w:rPr>
        <w:t xml:space="preserve">the </w:t>
      </w:r>
      <w:r w:rsidR="003276DE" w:rsidRPr="00811909">
        <w:rPr>
          <w:b/>
        </w:rPr>
        <w:t>victims;</w:t>
      </w:r>
      <w:r w:rsidR="001D4309">
        <w:rPr>
          <w:b/>
        </w:rPr>
        <w:t xml:space="preserve"> </w:t>
      </w:r>
    </w:p>
    <w:p w:rsidR="006253BF" w:rsidRPr="00811909" w:rsidRDefault="00210BE3" w:rsidP="00F46FC1">
      <w:pPr>
        <w:pStyle w:val="SingleTxtG"/>
        <w:ind w:firstLine="567"/>
        <w:rPr>
          <w:b/>
        </w:rPr>
      </w:pPr>
      <w:r w:rsidRPr="00F46FC1">
        <w:rPr>
          <w:bCs/>
        </w:rPr>
        <w:t>(b)</w:t>
      </w:r>
      <w:r>
        <w:rPr>
          <w:b/>
        </w:rPr>
        <w:tab/>
      </w:r>
      <w:r w:rsidR="007A16EE" w:rsidRPr="00811909">
        <w:rPr>
          <w:b/>
        </w:rPr>
        <w:t xml:space="preserve">Systematically collect </w:t>
      </w:r>
      <w:r w:rsidR="00EF2DBE" w:rsidRPr="00811909">
        <w:rPr>
          <w:b/>
        </w:rPr>
        <w:t>disaggregated d</w:t>
      </w:r>
      <w:r w:rsidR="00754E10" w:rsidRPr="00811909">
        <w:rPr>
          <w:b/>
        </w:rPr>
        <w:t xml:space="preserve">ata </w:t>
      </w:r>
      <w:r w:rsidR="00063B35" w:rsidRPr="00811909">
        <w:rPr>
          <w:b/>
        </w:rPr>
        <w:t>on hate crimes</w:t>
      </w:r>
      <w:r w:rsidR="004A3E0B" w:rsidRPr="00811909">
        <w:rPr>
          <w:b/>
        </w:rPr>
        <w:t>,</w:t>
      </w:r>
      <w:r w:rsidR="00063B35" w:rsidRPr="00811909">
        <w:rPr>
          <w:b/>
        </w:rPr>
        <w:t xml:space="preserve"> </w:t>
      </w:r>
      <w:r w:rsidR="0049308F" w:rsidRPr="00811909">
        <w:rPr>
          <w:b/>
        </w:rPr>
        <w:t>ensure that measures to combat racist hate crimes are developed with</w:t>
      </w:r>
      <w:r w:rsidR="00671F11" w:rsidRPr="00811909">
        <w:rPr>
          <w:b/>
        </w:rPr>
        <w:t xml:space="preserve"> the</w:t>
      </w:r>
      <w:r w:rsidR="0049308F" w:rsidRPr="00811909">
        <w:rPr>
          <w:b/>
        </w:rPr>
        <w:t xml:space="preserve"> meaningful participation </w:t>
      </w:r>
      <w:r w:rsidR="00D13F3B" w:rsidRPr="00811909">
        <w:rPr>
          <w:b/>
        </w:rPr>
        <w:t>of</w:t>
      </w:r>
      <w:r w:rsidR="0049308F" w:rsidRPr="00811909">
        <w:rPr>
          <w:b/>
        </w:rPr>
        <w:t xml:space="preserve"> </w:t>
      </w:r>
      <w:r w:rsidR="00784073">
        <w:rPr>
          <w:b/>
        </w:rPr>
        <w:t>groups affected</w:t>
      </w:r>
      <w:r w:rsidR="0049308F" w:rsidRPr="00811909">
        <w:rPr>
          <w:b/>
        </w:rPr>
        <w:t xml:space="preserve">, and </w:t>
      </w:r>
      <w:r w:rsidR="006253BF" w:rsidRPr="00811909">
        <w:rPr>
          <w:b/>
        </w:rPr>
        <w:t xml:space="preserve">undertake a thorough impact assessment of </w:t>
      </w:r>
      <w:r w:rsidR="00006E80" w:rsidRPr="00811909">
        <w:rPr>
          <w:b/>
        </w:rPr>
        <w:t xml:space="preserve">the </w:t>
      </w:r>
      <w:r w:rsidR="006253BF" w:rsidRPr="00811909">
        <w:rPr>
          <w:b/>
        </w:rPr>
        <w:t xml:space="preserve">measures </w:t>
      </w:r>
      <w:r w:rsidR="002E6C86" w:rsidRPr="00811909">
        <w:rPr>
          <w:b/>
        </w:rPr>
        <w:t>adopted</w:t>
      </w:r>
      <w:r w:rsidR="00784073">
        <w:rPr>
          <w:b/>
        </w:rPr>
        <w:t>, in order</w:t>
      </w:r>
      <w:r w:rsidR="006253BF" w:rsidRPr="00811909">
        <w:rPr>
          <w:b/>
        </w:rPr>
        <w:t xml:space="preserve"> to ensure their continued effectiveness; </w:t>
      </w:r>
    </w:p>
    <w:p w:rsidR="00754E10" w:rsidRPr="00811909" w:rsidRDefault="00210BE3" w:rsidP="00F46FC1">
      <w:pPr>
        <w:pStyle w:val="SingleTxtG"/>
        <w:ind w:firstLine="567"/>
        <w:rPr>
          <w:b/>
        </w:rPr>
      </w:pPr>
      <w:r w:rsidRPr="00F46FC1">
        <w:rPr>
          <w:bCs/>
        </w:rPr>
        <w:t>(c)</w:t>
      </w:r>
      <w:r>
        <w:rPr>
          <w:b/>
        </w:rPr>
        <w:tab/>
      </w:r>
      <w:r w:rsidR="002824FC" w:rsidRPr="00811909">
        <w:rPr>
          <w:b/>
        </w:rPr>
        <w:t>Adopt</w:t>
      </w:r>
      <w:r w:rsidR="00063B35" w:rsidRPr="00811909">
        <w:rPr>
          <w:b/>
        </w:rPr>
        <w:t xml:space="preserve"> concrete measures</w:t>
      </w:r>
      <w:r w:rsidR="002824FC" w:rsidRPr="00811909">
        <w:rPr>
          <w:b/>
        </w:rPr>
        <w:t xml:space="preserve">, in consultation with </w:t>
      </w:r>
      <w:r w:rsidR="009C6DBB">
        <w:rPr>
          <w:b/>
        </w:rPr>
        <w:t>groups affected</w:t>
      </w:r>
      <w:r w:rsidR="002824FC" w:rsidRPr="00811909">
        <w:rPr>
          <w:b/>
        </w:rPr>
        <w:t>,</w:t>
      </w:r>
      <w:r w:rsidR="00063B35" w:rsidRPr="00811909">
        <w:rPr>
          <w:b/>
        </w:rPr>
        <w:t xml:space="preserve"> to increase </w:t>
      </w:r>
      <w:r w:rsidR="00886320" w:rsidRPr="00811909">
        <w:rPr>
          <w:b/>
        </w:rPr>
        <w:t xml:space="preserve">the </w:t>
      </w:r>
      <w:r w:rsidR="00063B35" w:rsidRPr="00811909">
        <w:rPr>
          <w:b/>
        </w:rPr>
        <w:t xml:space="preserve">reporting of </w:t>
      </w:r>
      <w:r w:rsidR="009E23B5" w:rsidRPr="00811909">
        <w:rPr>
          <w:b/>
        </w:rPr>
        <w:t xml:space="preserve">racist </w:t>
      </w:r>
      <w:r w:rsidR="008A7BF1" w:rsidRPr="00811909">
        <w:rPr>
          <w:b/>
        </w:rPr>
        <w:t>hate crimes</w:t>
      </w:r>
      <w:r w:rsidR="009C6DBB">
        <w:rPr>
          <w:b/>
        </w:rPr>
        <w:t>,</w:t>
      </w:r>
      <w:r w:rsidR="008A7BF1" w:rsidRPr="00811909">
        <w:rPr>
          <w:b/>
        </w:rPr>
        <w:t xml:space="preserve"> </w:t>
      </w:r>
      <w:r w:rsidR="00886320" w:rsidRPr="00811909">
        <w:rPr>
          <w:b/>
        </w:rPr>
        <w:t xml:space="preserve">by </w:t>
      </w:r>
      <w:r w:rsidR="004A3E0B" w:rsidRPr="00811909">
        <w:rPr>
          <w:b/>
        </w:rPr>
        <w:t xml:space="preserve">ensuring that </w:t>
      </w:r>
      <w:r w:rsidR="00642D96" w:rsidRPr="00811909">
        <w:rPr>
          <w:b/>
        </w:rPr>
        <w:t xml:space="preserve">the reporting mechanism is transparent and accessible and that </w:t>
      </w:r>
      <w:r w:rsidR="004A3E0B" w:rsidRPr="00811909">
        <w:rPr>
          <w:b/>
        </w:rPr>
        <w:t xml:space="preserve">victims </w:t>
      </w:r>
      <w:r w:rsidR="008E3CE0" w:rsidRPr="00811909">
        <w:rPr>
          <w:b/>
        </w:rPr>
        <w:t>have trust in the police and the justice system</w:t>
      </w:r>
      <w:r w:rsidR="007B016D" w:rsidRPr="00811909">
        <w:rPr>
          <w:b/>
        </w:rPr>
        <w:t>;</w:t>
      </w:r>
      <w:r w:rsidR="001D4309">
        <w:rPr>
          <w:b/>
        </w:rPr>
        <w:t xml:space="preserve"> </w:t>
      </w:r>
    </w:p>
    <w:p w:rsidR="00BE4128" w:rsidRPr="00246814" w:rsidRDefault="00210BE3" w:rsidP="00F46FC1">
      <w:pPr>
        <w:pStyle w:val="SingleTxtG"/>
        <w:ind w:firstLine="567"/>
        <w:rPr>
          <w:b/>
        </w:rPr>
      </w:pPr>
      <w:r w:rsidRPr="00F46FC1">
        <w:rPr>
          <w:bCs/>
        </w:rPr>
        <w:t>(d)</w:t>
      </w:r>
      <w:r>
        <w:rPr>
          <w:b/>
        </w:rPr>
        <w:tab/>
      </w:r>
      <w:r w:rsidR="000A0A61" w:rsidRPr="00811909">
        <w:rPr>
          <w:b/>
        </w:rPr>
        <w:t>Taking into account the Committee’s general recommendation No. 35 (2013) on combating racist hate speech, a</w:t>
      </w:r>
      <w:r w:rsidR="0002158B" w:rsidRPr="00811909">
        <w:rPr>
          <w:b/>
        </w:rPr>
        <w:t>dopt comprehensive</w:t>
      </w:r>
      <w:r w:rsidR="000849C1" w:rsidRPr="00811909">
        <w:rPr>
          <w:b/>
        </w:rPr>
        <w:t xml:space="preserve"> measures</w:t>
      </w:r>
      <w:r w:rsidR="00947947" w:rsidRPr="00811909">
        <w:rPr>
          <w:b/>
        </w:rPr>
        <w:t xml:space="preserve"> </w:t>
      </w:r>
      <w:r w:rsidR="000849C1" w:rsidRPr="00811909">
        <w:rPr>
          <w:b/>
        </w:rPr>
        <w:t>to combat racist hate speech</w:t>
      </w:r>
      <w:r w:rsidR="000A0A61" w:rsidRPr="00811909">
        <w:rPr>
          <w:b/>
        </w:rPr>
        <w:t xml:space="preserve"> and </w:t>
      </w:r>
      <w:r w:rsidR="00830F70" w:rsidRPr="00811909">
        <w:rPr>
          <w:b/>
        </w:rPr>
        <w:t xml:space="preserve">xenophobic </w:t>
      </w:r>
      <w:r w:rsidR="000A0A61" w:rsidRPr="00811909">
        <w:rPr>
          <w:b/>
        </w:rPr>
        <w:t xml:space="preserve">political discourse, including on the Internet, particularly with regard to the application of appropriate sanctions, and ensure that </w:t>
      </w:r>
      <w:r w:rsidR="00E46AE8" w:rsidRPr="00811909">
        <w:rPr>
          <w:b/>
        </w:rPr>
        <w:t xml:space="preserve">public officials </w:t>
      </w:r>
      <w:r w:rsidR="00932421" w:rsidRPr="00811909">
        <w:rPr>
          <w:b/>
        </w:rPr>
        <w:t xml:space="preserve">not only refrain from </w:t>
      </w:r>
      <w:r w:rsidR="00822594" w:rsidRPr="00811909">
        <w:rPr>
          <w:b/>
        </w:rPr>
        <w:t>such speech but also</w:t>
      </w:r>
      <w:r w:rsidR="00040E54" w:rsidRPr="00811909">
        <w:rPr>
          <w:b/>
        </w:rPr>
        <w:t xml:space="preserve"> formally </w:t>
      </w:r>
      <w:r w:rsidR="007A0147" w:rsidRPr="00811909">
        <w:rPr>
          <w:b/>
        </w:rPr>
        <w:t>r</w:t>
      </w:r>
      <w:r w:rsidR="005605BC" w:rsidRPr="00811909">
        <w:rPr>
          <w:b/>
        </w:rPr>
        <w:t>eject hate speech and condem</w:t>
      </w:r>
      <w:r w:rsidR="007A0147" w:rsidRPr="00811909">
        <w:rPr>
          <w:b/>
        </w:rPr>
        <w:t>n the hateful ideas expressed</w:t>
      </w:r>
      <w:r w:rsidR="00DF0EEB">
        <w:rPr>
          <w:b/>
        </w:rPr>
        <w:t>,</w:t>
      </w:r>
      <w:r w:rsidR="00040E54" w:rsidRPr="00811909">
        <w:rPr>
          <w:b/>
        </w:rPr>
        <w:t xml:space="preserve"> </w:t>
      </w:r>
      <w:r w:rsidR="00445913" w:rsidRPr="00811909">
        <w:rPr>
          <w:b/>
        </w:rPr>
        <w:t xml:space="preserve">so as </w:t>
      </w:r>
      <w:r w:rsidR="00040E54" w:rsidRPr="00811909">
        <w:rPr>
          <w:b/>
        </w:rPr>
        <w:t>to promote a culture of tolerance and respect</w:t>
      </w:r>
      <w:r w:rsidR="00BE4128" w:rsidRPr="00811909">
        <w:rPr>
          <w:b/>
        </w:rPr>
        <w:t xml:space="preserve">; </w:t>
      </w:r>
    </w:p>
    <w:p w:rsidR="00C81A90" w:rsidRDefault="00210BE3" w:rsidP="00F46FC1">
      <w:pPr>
        <w:pStyle w:val="SingleTxtG"/>
        <w:ind w:firstLine="567"/>
      </w:pPr>
      <w:r w:rsidRPr="00F46FC1">
        <w:rPr>
          <w:bCs/>
        </w:rPr>
        <w:t>(e)</w:t>
      </w:r>
      <w:r>
        <w:rPr>
          <w:b/>
        </w:rPr>
        <w:tab/>
      </w:r>
      <w:r w:rsidR="00BE4128" w:rsidRPr="004F2567">
        <w:rPr>
          <w:b/>
        </w:rPr>
        <w:t>Tak</w:t>
      </w:r>
      <w:r w:rsidR="00BE4128" w:rsidRPr="00E77B30">
        <w:rPr>
          <w:b/>
        </w:rPr>
        <w:t xml:space="preserve">e effective measures to </w:t>
      </w:r>
      <w:r w:rsidR="00B22975" w:rsidRPr="00E11014">
        <w:rPr>
          <w:b/>
        </w:rPr>
        <w:t>combat racist media coverage</w:t>
      </w:r>
      <w:r w:rsidR="00BE6F2C" w:rsidRPr="00B82CAB">
        <w:rPr>
          <w:b/>
        </w:rPr>
        <w:t xml:space="preserve">, taking into account the Committee’s </w:t>
      </w:r>
      <w:r w:rsidR="001F39D8" w:rsidRPr="00483EE2">
        <w:rPr>
          <w:b/>
        </w:rPr>
        <w:t>general recommendation No.</w:t>
      </w:r>
      <w:r w:rsidR="00811909" w:rsidRPr="00483EE2">
        <w:rPr>
          <w:b/>
        </w:rPr>
        <w:t> </w:t>
      </w:r>
      <w:r w:rsidR="001F39D8" w:rsidRPr="00483EE2">
        <w:rPr>
          <w:b/>
        </w:rPr>
        <w:t xml:space="preserve">35 (2013) on combating racist hate speech, </w:t>
      </w:r>
      <w:r w:rsidR="002C1805" w:rsidRPr="00FE0E36">
        <w:rPr>
          <w:b/>
        </w:rPr>
        <w:t>and</w:t>
      </w:r>
      <w:r w:rsidR="002C1805" w:rsidRPr="00811909">
        <w:rPr>
          <w:b/>
        </w:rPr>
        <w:t xml:space="preserve"> ensure that such cases are thoroughly investigated</w:t>
      </w:r>
      <w:r w:rsidR="005B2DA6">
        <w:rPr>
          <w:b/>
        </w:rPr>
        <w:t>,</w:t>
      </w:r>
      <w:r w:rsidR="002C1805" w:rsidRPr="00811909">
        <w:rPr>
          <w:b/>
        </w:rPr>
        <w:t xml:space="preserve"> and where appropriate, </w:t>
      </w:r>
      <w:r w:rsidR="005B2DA6">
        <w:rPr>
          <w:b/>
        </w:rPr>
        <w:t xml:space="preserve">that </w:t>
      </w:r>
      <w:r w:rsidR="002C1805" w:rsidRPr="00811909">
        <w:rPr>
          <w:b/>
        </w:rPr>
        <w:t>sanctions are imposed.</w:t>
      </w:r>
      <w:r w:rsidR="002C1805">
        <w:t xml:space="preserve"> </w:t>
      </w:r>
    </w:p>
    <w:p w:rsidR="000849C1" w:rsidRDefault="00F46FC1" w:rsidP="00F46FC1">
      <w:pPr>
        <w:pStyle w:val="SingleTxtG"/>
        <w:rPr>
          <w:b/>
        </w:rPr>
      </w:pPr>
      <w:r>
        <w:rPr>
          <w:bCs/>
        </w:rPr>
        <w:t>17.</w:t>
      </w:r>
      <w:r>
        <w:rPr>
          <w:bCs/>
        </w:rPr>
        <w:tab/>
      </w:r>
      <w:r w:rsidR="00EA7A45">
        <w:rPr>
          <w:b/>
        </w:rPr>
        <w:t xml:space="preserve">The Committee also </w:t>
      </w:r>
      <w:r w:rsidR="00BF5C26">
        <w:rPr>
          <w:b/>
        </w:rPr>
        <w:t xml:space="preserve">reiterates its recommendation that the State party withdraw </w:t>
      </w:r>
      <w:r w:rsidR="00143AFB">
        <w:rPr>
          <w:b/>
        </w:rPr>
        <w:t>its interpretative declaration on article 4 of the Convention.</w:t>
      </w:r>
      <w:r w:rsidR="001D4309">
        <w:rPr>
          <w:b/>
        </w:rPr>
        <w:t xml:space="preserve"> </w:t>
      </w:r>
    </w:p>
    <w:p w:rsidR="00561205" w:rsidRDefault="00811909" w:rsidP="00811909">
      <w:pPr>
        <w:pStyle w:val="H23G"/>
      </w:pPr>
      <w:r>
        <w:tab/>
      </w:r>
      <w:r>
        <w:tab/>
      </w:r>
      <w:r w:rsidR="004A1691" w:rsidRPr="005225BE">
        <w:t xml:space="preserve">Counter-terrorism measures </w:t>
      </w:r>
    </w:p>
    <w:p w:rsidR="00940DF9" w:rsidRDefault="00F46FC1" w:rsidP="00F46FC1">
      <w:pPr>
        <w:pStyle w:val="SingleTxtG"/>
      </w:pPr>
      <w:r>
        <w:rPr>
          <w:bCs/>
        </w:rPr>
        <w:t>18.</w:t>
      </w:r>
      <w:r>
        <w:rPr>
          <w:bCs/>
        </w:rPr>
        <w:tab/>
      </w:r>
      <w:r w:rsidR="004A1691" w:rsidRPr="004A1691">
        <w:t xml:space="preserve">The Committee expresses concern </w:t>
      </w:r>
      <w:r w:rsidR="004A1691">
        <w:t xml:space="preserve">that </w:t>
      </w:r>
      <w:r w:rsidR="00914ED5">
        <w:t xml:space="preserve">the new counter-terrorism measures adopted by the State party, including </w:t>
      </w:r>
      <w:r w:rsidR="000C0946">
        <w:t xml:space="preserve">the </w:t>
      </w:r>
      <w:r w:rsidR="0044198C">
        <w:t xml:space="preserve">Counter-Extremism Strategy and </w:t>
      </w:r>
      <w:r w:rsidR="00062CD8">
        <w:t xml:space="preserve">the creation </w:t>
      </w:r>
      <w:r w:rsidR="00941ACE">
        <w:t>under the Cou</w:t>
      </w:r>
      <w:r w:rsidR="00811909">
        <w:t>nter-Terrorism and Security Act </w:t>
      </w:r>
      <w:r w:rsidR="00941ACE">
        <w:t xml:space="preserve">2015 </w:t>
      </w:r>
      <w:r w:rsidR="00062CD8">
        <w:t xml:space="preserve">of a statutory duty for public authorities in a broad range of fields to </w:t>
      </w:r>
      <w:r w:rsidR="00EC5054">
        <w:t xml:space="preserve">have due regard </w:t>
      </w:r>
      <w:r w:rsidR="00215657">
        <w:t xml:space="preserve">for the need </w:t>
      </w:r>
      <w:r w:rsidR="00EC5054">
        <w:t xml:space="preserve">to </w:t>
      </w:r>
      <w:r w:rsidR="00062CD8">
        <w:t xml:space="preserve">prevent individuals from being drawn into terrorism </w:t>
      </w:r>
      <w:r w:rsidR="00A67464">
        <w:t>(the “</w:t>
      </w:r>
      <w:r w:rsidR="00215657">
        <w:t>p</w:t>
      </w:r>
      <w:r w:rsidR="00A67464">
        <w:t>revent duty</w:t>
      </w:r>
      <w:r w:rsidR="00B216A6">
        <w:t>”</w:t>
      </w:r>
      <w:r w:rsidR="00A67464">
        <w:t>)</w:t>
      </w:r>
      <w:r w:rsidR="00BA475C">
        <w:t>,</w:t>
      </w:r>
      <w:r w:rsidR="00A67464">
        <w:t xml:space="preserve"> </w:t>
      </w:r>
      <w:r w:rsidR="004C29B7">
        <w:t>have created an atmosphere of suspicion towards members of Muslim communit</w:t>
      </w:r>
      <w:r w:rsidR="00693671">
        <w:t>ies</w:t>
      </w:r>
      <w:r w:rsidR="004C29B7">
        <w:t xml:space="preserve">. </w:t>
      </w:r>
      <w:r w:rsidR="00301FC8">
        <w:t>In particular, t</w:t>
      </w:r>
      <w:r w:rsidR="004C29B7">
        <w:t xml:space="preserve">he Committee is concerned </w:t>
      </w:r>
      <w:r w:rsidR="004B4243">
        <w:t>at</w:t>
      </w:r>
      <w:r w:rsidR="007855CB">
        <w:t>:</w:t>
      </w:r>
      <w:r w:rsidR="004B4243">
        <w:t xml:space="preserve"> </w:t>
      </w:r>
      <w:r w:rsidR="007855CB">
        <w:t xml:space="preserve">(a) </w:t>
      </w:r>
      <w:r w:rsidR="004B4243">
        <w:t xml:space="preserve">the ambiguity of terms such as terrorism and extremism, </w:t>
      </w:r>
      <w:r w:rsidR="00BA475C">
        <w:t xml:space="preserve">which creates </w:t>
      </w:r>
      <w:r w:rsidR="004B4243">
        <w:t>a wide scope of interpretation</w:t>
      </w:r>
      <w:r w:rsidR="00A01DE2">
        <w:t xml:space="preserve"> and</w:t>
      </w:r>
      <w:r w:rsidR="008B1F1D">
        <w:t xml:space="preserve"> lead</w:t>
      </w:r>
      <w:r w:rsidR="00FB2E17">
        <w:t>s</w:t>
      </w:r>
      <w:r w:rsidR="008B1F1D">
        <w:t xml:space="preserve"> to increased profiling of individuals based on </w:t>
      </w:r>
      <w:r w:rsidR="00B23FF8">
        <w:t xml:space="preserve">their </w:t>
      </w:r>
      <w:r w:rsidR="008B1F1D">
        <w:t>ethnicity and/or religion; (</w:t>
      </w:r>
      <w:r w:rsidR="0074462C">
        <w:t>b</w:t>
      </w:r>
      <w:r w:rsidR="008B1F1D">
        <w:t xml:space="preserve">) </w:t>
      </w:r>
      <w:r w:rsidR="00940DF9">
        <w:t xml:space="preserve">the </w:t>
      </w:r>
      <w:r w:rsidR="00094853">
        <w:t xml:space="preserve">negative </w:t>
      </w:r>
      <w:r w:rsidR="00434907">
        <w:t>impact on the rights to freedom of expression, education</w:t>
      </w:r>
      <w:r w:rsidR="00B23FF8">
        <w:t>,</w:t>
      </w:r>
      <w:r w:rsidR="00434907">
        <w:t xml:space="preserve"> and freedom of religion, given the </w:t>
      </w:r>
      <w:r w:rsidR="00DE6970">
        <w:t xml:space="preserve">uncertainty as to what </w:t>
      </w:r>
      <w:r w:rsidR="00AA2283">
        <w:t xml:space="preserve">can legitimately </w:t>
      </w:r>
      <w:r w:rsidR="00B23FF8">
        <w:t xml:space="preserve">be </w:t>
      </w:r>
      <w:r w:rsidR="00AA2283">
        <w:t xml:space="preserve">discussed </w:t>
      </w:r>
      <w:r w:rsidR="00F376A4">
        <w:t xml:space="preserve">and worn </w:t>
      </w:r>
      <w:r w:rsidR="00AA2283">
        <w:t xml:space="preserve">in </w:t>
      </w:r>
      <w:r w:rsidR="003E1A19">
        <w:t>academic settings</w:t>
      </w:r>
      <w:r w:rsidR="002046C7">
        <w:t>; (</w:t>
      </w:r>
      <w:r w:rsidR="0074462C">
        <w:t>c</w:t>
      </w:r>
      <w:r w:rsidR="002046C7">
        <w:t>) the collection, retention and sharing of information on individuals, particularly children</w:t>
      </w:r>
      <w:r w:rsidR="004D743C">
        <w:t>, without their consent</w:t>
      </w:r>
      <w:r w:rsidR="00693671">
        <w:t xml:space="preserve"> or the consent of their parents</w:t>
      </w:r>
      <w:r w:rsidR="00B23FF8">
        <w:t xml:space="preserve"> or </w:t>
      </w:r>
      <w:r w:rsidR="00693671">
        <w:t>guardians</w:t>
      </w:r>
      <w:r w:rsidR="00D12290">
        <w:t xml:space="preserve"> </w:t>
      </w:r>
      <w:r w:rsidR="005109AD">
        <w:t>(arts.</w:t>
      </w:r>
      <w:r w:rsidR="00811909">
        <w:t> </w:t>
      </w:r>
      <w:r w:rsidR="005109AD">
        <w:t>2 and</w:t>
      </w:r>
      <w:r w:rsidR="0067435E">
        <w:t> </w:t>
      </w:r>
      <w:r w:rsidR="005109AD">
        <w:t xml:space="preserve">5). </w:t>
      </w:r>
    </w:p>
    <w:p w:rsidR="00CD2586" w:rsidRDefault="00F46FC1" w:rsidP="00F46FC1">
      <w:pPr>
        <w:pStyle w:val="SingleTxtG"/>
        <w:rPr>
          <w:b/>
        </w:rPr>
      </w:pPr>
      <w:r>
        <w:rPr>
          <w:bCs/>
        </w:rPr>
        <w:t>19.</w:t>
      </w:r>
      <w:r>
        <w:rPr>
          <w:bCs/>
        </w:rPr>
        <w:tab/>
      </w:r>
      <w:r w:rsidR="00A20B9B" w:rsidRPr="008A5614">
        <w:rPr>
          <w:b/>
        </w:rPr>
        <w:t xml:space="preserve">The </w:t>
      </w:r>
      <w:r w:rsidR="00B216A6">
        <w:rPr>
          <w:b/>
        </w:rPr>
        <w:t xml:space="preserve">Committee urges the </w:t>
      </w:r>
      <w:r w:rsidR="00A20B9B" w:rsidRPr="008A5614">
        <w:rPr>
          <w:b/>
        </w:rPr>
        <w:t xml:space="preserve">State party </w:t>
      </w:r>
      <w:r w:rsidR="00B216A6">
        <w:rPr>
          <w:b/>
        </w:rPr>
        <w:t xml:space="preserve">to </w:t>
      </w:r>
      <w:r w:rsidR="00A20B9B" w:rsidRPr="008A5614">
        <w:rPr>
          <w:b/>
        </w:rPr>
        <w:t xml:space="preserve">review the </w:t>
      </w:r>
      <w:r w:rsidR="00B216A6">
        <w:rPr>
          <w:b/>
        </w:rPr>
        <w:t xml:space="preserve">implementation </w:t>
      </w:r>
      <w:r w:rsidR="00B23FF8">
        <w:rPr>
          <w:b/>
        </w:rPr>
        <w:t xml:space="preserve">of </w:t>
      </w:r>
      <w:r w:rsidR="00B216A6">
        <w:rPr>
          <w:b/>
        </w:rPr>
        <w:t>and</w:t>
      </w:r>
      <w:r w:rsidR="00CD6260">
        <w:rPr>
          <w:b/>
        </w:rPr>
        <w:t xml:space="preserve"> </w:t>
      </w:r>
      <w:r w:rsidR="00041239">
        <w:rPr>
          <w:b/>
        </w:rPr>
        <w:t xml:space="preserve">evaluate </w:t>
      </w:r>
      <w:r w:rsidR="000B029C">
        <w:rPr>
          <w:b/>
        </w:rPr>
        <w:t xml:space="preserve">the </w:t>
      </w:r>
      <w:r w:rsidR="00A20B9B" w:rsidRPr="008A5614">
        <w:rPr>
          <w:b/>
        </w:rPr>
        <w:t>impact of</w:t>
      </w:r>
      <w:r w:rsidR="003E7745" w:rsidRPr="008A5614">
        <w:rPr>
          <w:b/>
        </w:rPr>
        <w:t xml:space="preserve"> </w:t>
      </w:r>
      <w:r w:rsidR="00A20B9B" w:rsidRPr="008A5614">
        <w:rPr>
          <w:b/>
        </w:rPr>
        <w:t xml:space="preserve">existing counter-terrorism </w:t>
      </w:r>
      <w:r w:rsidR="00560691">
        <w:rPr>
          <w:b/>
        </w:rPr>
        <w:t>measures</w:t>
      </w:r>
      <w:r w:rsidR="00FA4F8B" w:rsidRPr="008A5614">
        <w:rPr>
          <w:b/>
        </w:rPr>
        <w:t>, in particular the “</w:t>
      </w:r>
      <w:r w:rsidR="00215657">
        <w:rPr>
          <w:b/>
        </w:rPr>
        <w:t>p</w:t>
      </w:r>
      <w:r w:rsidR="00FA4F8B" w:rsidRPr="008A5614">
        <w:rPr>
          <w:b/>
        </w:rPr>
        <w:t>revent duty</w:t>
      </w:r>
      <w:r w:rsidR="00B216A6">
        <w:rPr>
          <w:b/>
        </w:rPr>
        <w:t>”</w:t>
      </w:r>
      <w:r w:rsidR="009372AD" w:rsidRPr="008A5614">
        <w:rPr>
          <w:b/>
        </w:rPr>
        <w:t xml:space="preserve"> under the Counter-Terrorism and Security Act 2015</w:t>
      </w:r>
      <w:r w:rsidR="00FA4F8B" w:rsidRPr="008A5614">
        <w:rPr>
          <w:b/>
        </w:rPr>
        <w:t>,</w:t>
      </w:r>
      <w:r w:rsidR="00F563FB" w:rsidRPr="008A5614">
        <w:rPr>
          <w:b/>
        </w:rPr>
        <w:t xml:space="preserve"> </w:t>
      </w:r>
      <w:r w:rsidR="00B23FF8">
        <w:rPr>
          <w:b/>
        </w:rPr>
        <w:t xml:space="preserve">in order </w:t>
      </w:r>
      <w:r w:rsidR="00F563FB" w:rsidRPr="008A5614">
        <w:rPr>
          <w:b/>
        </w:rPr>
        <w:t xml:space="preserve">to ensure that there are </w:t>
      </w:r>
      <w:r w:rsidR="00992C87">
        <w:rPr>
          <w:b/>
        </w:rPr>
        <w:t xml:space="preserve">effective </w:t>
      </w:r>
      <w:r w:rsidR="00CF7F0D">
        <w:rPr>
          <w:b/>
        </w:rPr>
        <w:t>monitoring mechanisms and</w:t>
      </w:r>
      <w:r w:rsidR="00F563FB" w:rsidRPr="008A5614">
        <w:rPr>
          <w:b/>
        </w:rPr>
        <w:t xml:space="preserve"> </w:t>
      </w:r>
      <w:r w:rsidR="00992C87">
        <w:rPr>
          <w:b/>
        </w:rPr>
        <w:t xml:space="preserve">sufficient </w:t>
      </w:r>
      <w:r w:rsidR="00F563FB" w:rsidRPr="008A5614">
        <w:rPr>
          <w:b/>
        </w:rPr>
        <w:t>safeguards against abuse</w:t>
      </w:r>
      <w:r w:rsidR="00A15493">
        <w:rPr>
          <w:b/>
        </w:rPr>
        <w:t>,</w:t>
      </w:r>
      <w:r w:rsidR="00F563FB" w:rsidRPr="008A5614">
        <w:rPr>
          <w:b/>
        </w:rPr>
        <w:t xml:space="preserve"> and </w:t>
      </w:r>
      <w:r w:rsidR="00133D13">
        <w:rPr>
          <w:b/>
        </w:rPr>
        <w:t xml:space="preserve">that </w:t>
      </w:r>
      <w:r w:rsidR="00C70CC9">
        <w:rPr>
          <w:b/>
        </w:rPr>
        <w:t>they</w:t>
      </w:r>
      <w:r w:rsidR="005F3DF4">
        <w:rPr>
          <w:b/>
        </w:rPr>
        <w:t xml:space="preserve"> are implemented in a manner that</w:t>
      </w:r>
      <w:r w:rsidR="00C70CC9">
        <w:rPr>
          <w:b/>
        </w:rPr>
        <w:t xml:space="preserve"> </w:t>
      </w:r>
      <w:r w:rsidR="00133D13">
        <w:rPr>
          <w:b/>
        </w:rPr>
        <w:t>do</w:t>
      </w:r>
      <w:r w:rsidR="005F3DF4">
        <w:rPr>
          <w:b/>
        </w:rPr>
        <w:t>es</w:t>
      </w:r>
      <w:r w:rsidR="00133D13">
        <w:rPr>
          <w:b/>
        </w:rPr>
        <w:t xml:space="preserve"> not </w:t>
      </w:r>
      <w:r w:rsidR="009D4D58">
        <w:rPr>
          <w:b/>
        </w:rPr>
        <w:t xml:space="preserve">constitute </w:t>
      </w:r>
      <w:r w:rsidR="006F329A">
        <w:rPr>
          <w:b/>
        </w:rPr>
        <w:t>profiling and discrimination</w:t>
      </w:r>
      <w:r w:rsidR="00A579A6">
        <w:rPr>
          <w:b/>
        </w:rPr>
        <w:t xml:space="preserve"> on the grounds of race, colour, descent</w:t>
      </w:r>
      <w:r w:rsidR="00B23FF8">
        <w:rPr>
          <w:b/>
        </w:rPr>
        <w:t>,</w:t>
      </w:r>
      <w:r w:rsidR="00A579A6">
        <w:rPr>
          <w:b/>
        </w:rPr>
        <w:t xml:space="preserve"> or national or ethnic origin</w:t>
      </w:r>
      <w:r w:rsidR="00DA5602">
        <w:rPr>
          <w:b/>
        </w:rPr>
        <w:t>, in purpose or effect</w:t>
      </w:r>
      <w:r w:rsidR="00F563FB" w:rsidRPr="008A5614">
        <w:rPr>
          <w:b/>
        </w:rPr>
        <w:t xml:space="preserve">. </w:t>
      </w:r>
    </w:p>
    <w:p w:rsidR="00F07FCF" w:rsidRDefault="00811909" w:rsidP="00811909">
      <w:pPr>
        <w:pStyle w:val="H23G"/>
      </w:pPr>
      <w:r>
        <w:tab/>
      </w:r>
      <w:r>
        <w:tab/>
      </w:r>
      <w:r w:rsidR="00F07FCF">
        <w:t xml:space="preserve">Access to justice </w:t>
      </w:r>
    </w:p>
    <w:p w:rsidR="00F07FCF" w:rsidRDefault="00F46FC1" w:rsidP="00F46FC1">
      <w:pPr>
        <w:pStyle w:val="SingleTxtG"/>
      </w:pPr>
      <w:r>
        <w:rPr>
          <w:bCs/>
        </w:rPr>
        <w:t>20.</w:t>
      </w:r>
      <w:r>
        <w:rPr>
          <w:bCs/>
        </w:rPr>
        <w:tab/>
      </w:r>
      <w:r w:rsidR="00F07FCF">
        <w:t xml:space="preserve">The Committee is concerned that </w:t>
      </w:r>
      <w:r w:rsidR="00516028">
        <w:t>the reforms to the legal aid system and the introductio</w:t>
      </w:r>
      <w:r w:rsidR="00CE0290">
        <w:t>n of employment tribunal fees have restricted access to justice for individuals belonging to ethnic minorities in areas such as employment, housing, education and social welfare benefits</w:t>
      </w:r>
      <w:r w:rsidR="00881436">
        <w:t xml:space="preserve">. It notes with particular concern </w:t>
      </w:r>
      <w:r w:rsidR="00B531C8">
        <w:t xml:space="preserve">the significant reduction in the number of cases </w:t>
      </w:r>
      <w:r w:rsidR="00713555">
        <w:t>concerning racial discrimination in employment since the introduction of fees in employment tribunals</w:t>
      </w:r>
      <w:r w:rsidR="00CE0290">
        <w:t xml:space="preserve"> (art</w:t>
      </w:r>
      <w:r w:rsidR="00B73153">
        <w:t>s</w:t>
      </w:r>
      <w:r w:rsidR="00CE0290">
        <w:t>.</w:t>
      </w:r>
      <w:r w:rsidR="00811909">
        <w:t> </w:t>
      </w:r>
      <w:r w:rsidR="00B73153">
        <w:t>5 and 6).</w:t>
      </w:r>
      <w:r w:rsidR="001D4309">
        <w:t xml:space="preserve"> </w:t>
      </w:r>
    </w:p>
    <w:p w:rsidR="00095339" w:rsidRDefault="00F46FC1" w:rsidP="00F46FC1">
      <w:pPr>
        <w:pStyle w:val="SingleTxtG"/>
        <w:rPr>
          <w:b/>
        </w:rPr>
      </w:pPr>
      <w:r>
        <w:rPr>
          <w:bCs/>
        </w:rPr>
        <w:t>21.</w:t>
      </w:r>
      <w:r>
        <w:rPr>
          <w:bCs/>
        </w:rPr>
        <w:tab/>
      </w:r>
      <w:r w:rsidR="00CA6D3E" w:rsidRPr="00CA6D3E">
        <w:rPr>
          <w:b/>
        </w:rPr>
        <w:t xml:space="preserve">The Committee </w:t>
      </w:r>
      <w:r w:rsidR="00095339">
        <w:rPr>
          <w:b/>
        </w:rPr>
        <w:t xml:space="preserve">calls upon the State party to ensure that individuals belonging to ethnic minorities </w:t>
      </w:r>
      <w:r w:rsidR="00BC1FC1">
        <w:rPr>
          <w:b/>
        </w:rPr>
        <w:t xml:space="preserve">in England, </w:t>
      </w:r>
      <w:r w:rsidR="00BC1FC1" w:rsidRPr="00A634E1">
        <w:rPr>
          <w:b/>
        </w:rPr>
        <w:t>Northern Ireland, Scotland and Wales</w:t>
      </w:r>
      <w:r w:rsidR="00BC1FC1">
        <w:rPr>
          <w:b/>
        </w:rPr>
        <w:t xml:space="preserve">, as well as </w:t>
      </w:r>
      <w:r w:rsidR="00B23FF8">
        <w:rPr>
          <w:b/>
        </w:rPr>
        <w:t xml:space="preserve">in </w:t>
      </w:r>
      <w:r w:rsidR="00BC1FC1">
        <w:rPr>
          <w:b/>
        </w:rPr>
        <w:t xml:space="preserve">its </w:t>
      </w:r>
      <w:r w:rsidR="00BC1FC1" w:rsidRPr="00A634E1">
        <w:rPr>
          <w:b/>
        </w:rPr>
        <w:t>overseas territories and Crown dependencies</w:t>
      </w:r>
      <w:r w:rsidR="00B23FF8">
        <w:rPr>
          <w:b/>
        </w:rPr>
        <w:t>,</w:t>
      </w:r>
      <w:r w:rsidR="00BC1FC1">
        <w:rPr>
          <w:b/>
        </w:rPr>
        <w:t xml:space="preserve"> </w:t>
      </w:r>
      <w:r w:rsidR="00095339">
        <w:rPr>
          <w:b/>
        </w:rPr>
        <w:t xml:space="preserve">have fair and effective access to </w:t>
      </w:r>
      <w:r w:rsidR="00085A26">
        <w:rPr>
          <w:b/>
        </w:rPr>
        <w:t xml:space="preserve">legal aid to seek </w:t>
      </w:r>
      <w:r w:rsidR="00095339">
        <w:rPr>
          <w:b/>
        </w:rPr>
        <w:t>justice</w:t>
      </w:r>
      <w:r w:rsidR="00944F62">
        <w:rPr>
          <w:b/>
        </w:rPr>
        <w:t>.</w:t>
      </w:r>
      <w:r w:rsidR="00AD3EFE">
        <w:rPr>
          <w:b/>
        </w:rPr>
        <w:t xml:space="preserve"> It recommends that the State party </w:t>
      </w:r>
      <w:r w:rsidR="00625CA5">
        <w:rPr>
          <w:b/>
        </w:rPr>
        <w:t xml:space="preserve">undertake a thorough assessment of the impact of the reforms to the legal aid system to </w:t>
      </w:r>
      <w:r w:rsidR="004D11BB">
        <w:rPr>
          <w:b/>
        </w:rPr>
        <w:t xml:space="preserve">ensure that individuals belonging to ethnic minorities are not </w:t>
      </w:r>
      <w:r w:rsidR="00973E3E">
        <w:rPr>
          <w:b/>
        </w:rPr>
        <w:t xml:space="preserve">affected </w:t>
      </w:r>
      <w:r w:rsidR="00645743">
        <w:rPr>
          <w:b/>
        </w:rPr>
        <w:t>disproportionately</w:t>
      </w:r>
      <w:r w:rsidR="00322EB5">
        <w:rPr>
          <w:b/>
        </w:rPr>
        <w:t>.</w:t>
      </w:r>
      <w:r w:rsidR="004D11BB">
        <w:rPr>
          <w:b/>
        </w:rPr>
        <w:t xml:space="preserve"> </w:t>
      </w:r>
    </w:p>
    <w:p w:rsidR="00D25776" w:rsidRPr="003F0203" w:rsidRDefault="00811909" w:rsidP="00811909">
      <w:pPr>
        <w:pStyle w:val="H23G"/>
      </w:pPr>
      <w:r>
        <w:tab/>
      </w:r>
      <w:r>
        <w:tab/>
      </w:r>
      <w:r w:rsidR="00D25776" w:rsidRPr="003F0203">
        <w:t xml:space="preserve">Discrimination against persons of African descent </w:t>
      </w:r>
    </w:p>
    <w:p w:rsidR="00D25776" w:rsidRPr="003F0203" w:rsidRDefault="00F46FC1" w:rsidP="00F46FC1">
      <w:pPr>
        <w:pStyle w:val="SingleTxtG"/>
      </w:pPr>
      <w:r w:rsidRPr="003F0203">
        <w:rPr>
          <w:bCs/>
        </w:rPr>
        <w:t>22.</w:t>
      </w:r>
      <w:r w:rsidRPr="003F0203">
        <w:rPr>
          <w:bCs/>
        </w:rPr>
        <w:tab/>
      </w:r>
      <w:r w:rsidR="00D25776" w:rsidRPr="003F0203">
        <w:t xml:space="preserve">The Committee expresses concern at reports that persons of African descent face institutional racism in their enjoyment of rights, including the specific areas </w:t>
      </w:r>
      <w:r w:rsidR="00FB338F">
        <w:t xml:space="preserve">of concern </w:t>
      </w:r>
      <w:r w:rsidR="00D25776" w:rsidRPr="003F0203">
        <w:t>mentioned in the present concluding observations, such as health, employment, education</w:t>
      </w:r>
      <w:r w:rsidR="0089301C">
        <w:t>, stop</w:t>
      </w:r>
      <w:r w:rsidR="0060156A">
        <w:t xml:space="preserve"> </w:t>
      </w:r>
      <w:r w:rsidR="0089301C">
        <w:t>and</w:t>
      </w:r>
      <w:r w:rsidR="0060156A">
        <w:t xml:space="preserve"> </w:t>
      </w:r>
      <w:r w:rsidR="0089301C">
        <w:t>search practices</w:t>
      </w:r>
      <w:r w:rsidR="00D25776" w:rsidRPr="003F0203">
        <w:t xml:space="preserve"> and the criminal justice system</w:t>
      </w:r>
      <w:r w:rsidR="00D25776">
        <w:t xml:space="preserve">. </w:t>
      </w:r>
      <w:r w:rsidR="00F36FBE">
        <w:t>It also regrets that the State party does not intend to adopt any</w:t>
      </w:r>
      <w:r w:rsidR="000249F2">
        <w:t xml:space="preserve"> activities or plans </w:t>
      </w:r>
      <w:r w:rsidR="00D25776">
        <w:t>for the 2015</w:t>
      </w:r>
      <w:r w:rsidR="00815BCF">
        <w:t>-</w:t>
      </w:r>
      <w:r w:rsidR="00D25776">
        <w:t xml:space="preserve">2024 International Decade for People of African </w:t>
      </w:r>
      <w:r w:rsidR="00815BCF">
        <w:t>D</w:t>
      </w:r>
      <w:r w:rsidR="00D25776">
        <w:t>escent</w:t>
      </w:r>
      <w:r w:rsidR="00D25776" w:rsidRPr="003F0203">
        <w:t xml:space="preserve"> (arts.</w:t>
      </w:r>
      <w:r w:rsidR="00811909">
        <w:t> </w:t>
      </w:r>
      <w:r w:rsidR="00D25776" w:rsidRPr="003F0203">
        <w:t xml:space="preserve">2 and 5). </w:t>
      </w:r>
    </w:p>
    <w:p w:rsidR="00D25776" w:rsidRDefault="00F46FC1" w:rsidP="00F46FC1">
      <w:pPr>
        <w:pStyle w:val="SingleTxtG"/>
        <w:rPr>
          <w:b/>
        </w:rPr>
      </w:pPr>
      <w:r>
        <w:rPr>
          <w:bCs/>
        </w:rPr>
        <w:t>23.</w:t>
      </w:r>
      <w:r>
        <w:rPr>
          <w:bCs/>
        </w:rPr>
        <w:tab/>
      </w:r>
      <w:r w:rsidR="00D25776">
        <w:rPr>
          <w:b/>
        </w:rPr>
        <w:t>Recalling</w:t>
      </w:r>
      <w:r w:rsidR="00811909">
        <w:rPr>
          <w:b/>
        </w:rPr>
        <w:t xml:space="preserve"> its general recommendation No. </w:t>
      </w:r>
      <w:r w:rsidR="00D25776">
        <w:rPr>
          <w:b/>
        </w:rPr>
        <w:t>34 (2011) on racial discrimination against people of African descent, t</w:t>
      </w:r>
      <w:r w:rsidR="00D25776" w:rsidRPr="003F0203">
        <w:rPr>
          <w:b/>
        </w:rPr>
        <w:t xml:space="preserve">he Committee recommends that the State party </w:t>
      </w:r>
      <w:r w:rsidR="00D25776">
        <w:rPr>
          <w:b/>
        </w:rPr>
        <w:t xml:space="preserve">consider adopting a national action plan to combat discrimination against persons of African descent, in partnership and consultation with communities of African descent, with concrete targets, implementation mechanisms and adequate resources. The Committee also encourages the State party to prepare and implement a suitable programme of measures and policies for the implementation of the International Decade for People of African </w:t>
      </w:r>
      <w:r w:rsidR="00815BCF">
        <w:rPr>
          <w:b/>
        </w:rPr>
        <w:t>D</w:t>
      </w:r>
      <w:r w:rsidR="00D25776">
        <w:rPr>
          <w:b/>
        </w:rPr>
        <w:t xml:space="preserve">escent, proclaimed by the General Assembly in its resolution 68/237, taking into account General Assembly resolution 69/16 on the programme of activities. </w:t>
      </w:r>
    </w:p>
    <w:p w:rsidR="00D25776" w:rsidRPr="00994874" w:rsidRDefault="00811909" w:rsidP="00815BCF">
      <w:pPr>
        <w:pStyle w:val="H23G"/>
      </w:pPr>
      <w:r>
        <w:tab/>
      </w:r>
      <w:r>
        <w:tab/>
      </w:r>
      <w:r w:rsidR="00D25776" w:rsidRPr="00994874">
        <w:t xml:space="preserve">Gypsies, Travellers and Roma </w:t>
      </w:r>
    </w:p>
    <w:p w:rsidR="00D25776" w:rsidRPr="00994874" w:rsidRDefault="00F46FC1" w:rsidP="00F46FC1">
      <w:pPr>
        <w:pStyle w:val="SingleTxtG"/>
      </w:pPr>
      <w:r w:rsidRPr="00994874">
        <w:rPr>
          <w:bCs/>
        </w:rPr>
        <w:t>24.</w:t>
      </w:r>
      <w:r w:rsidRPr="00994874">
        <w:rPr>
          <w:bCs/>
        </w:rPr>
        <w:tab/>
      </w:r>
      <w:r w:rsidR="00D25776" w:rsidRPr="00994874">
        <w:t>While noting the efforts made by the State party to improve the situation of Gypsies, Travellers and Roma, the Committee reiterates its concern that their condition has not substantially improved.</w:t>
      </w:r>
      <w:r w:rsidR="000A2B1E" w:rsidRPr="00994874">
        <w:t xml:space="preserve"> </w:t>
      </w:r>
      <w:r w:rsidR="00041239" w:rsidRPr="00994874">
        <w:t>T</w:t>
      </w:r>
      <w:r w:rsidR="00D25776" w:rsidRPr="00994874">
        <w:t xml:space="preserve">hese communities continue to face exclusion and discrimination in the fields of health, education, housing and employment, and are subject to negative stereotypes and stigmatization in the media. The Committee is also concerned that the change in the definition of Gypsy or Traveller in the </w:t>
      </w:r>
      <w:r w:rsidR="00815BCF" w:rsidRPr="00994874">
        <w:t>p</w:t>
      </w:r>
      <w:r w:rsidR="00D25776" w:rsidRPr="00994874">
        <w:t xml:space="preserve">lanning </w:t>
      </w:r>
      <w:r w:rsidR="00815BCF" w:rsidRPr="00994874">
        <w:t>p</w:t>
      </w:r>
      <w:r w:rsidR="00D25776" w:rsidRPr="00994874">
        <w:t xml:space="preserve">olicy for Traveller </w:t>
      </w:r>
      <w:r w:rsidR="00815BCF" w:rsidRPr="00994874">
        <w:t>s</w:t>
      </w:r>
      <w:r w:rsidR="00D25776" w:rsidRPr="00994874">
        <w:t xml:space="preserve">ites </w:t>
      </w:r>
      <w:r w:rsidR="00A34EB2" w:rsidRPr="00994874">
        <w:t>in England</w:t>
      </w:r>
      <w:r w:rsidR="005E2207" w:rsidRPr="00994874">
        <w:t>,</w:t>
      </w:r>
      <w:r w:rsidR="00A34EB2" w:rsidRPr="00994874">
        <w:t xml:space="preserve"> </w:t>
      </w:r>
      <w:r w:rsidR="00D25776" w:rsidRPr="00994874">
        <w:t>adopted in August 2015</w:t>
      </w:r>
      <w:r w:rsidR="005E2207" w:rsidRPr="00994874">
        <w:t>,</w:t>
      </w:r>
      <w:r w:rsidR="00D25776" w:rsidRPr="00994874">
        <w:t xml:space="preserve"> may adversely impact the enjoyment of rights by those who have stopped travelling permanently due to factors such as illness or old age, and may further restrict the ability of Gypsy and Traveller communities to access culturally appropriate accommod</w:t>
      </w:r>
      <w:r w:rsidR="00811909" w:rsidRPr="00994874">
        <w:t>ation and stopping sites (arts. </w:t>
      </w:r>
      <w:r w:rsidR="00D25776" w:rsidRPr="00994874">
        <w:t xml:space="preserve">2 and 5). </w:t>
      </w:r>
    </w:p>
    <w:p w:rsidR="00D25776" w:rsidRDefault="00F46FC1" w:rsidP="00F46FC1">
      <w:pPr>
        <w:pStyle w:val="SingleTxtG"/>
        <w:rPr>
          <w:b/>
        </w:rPr>
      </w:pPr>
      <w:r>
        <w:rPr>
          <w:bCs/>
        </w:rPr>
        <w:t>25.</w:t>
      </w:r>
      <w:r>
        <w:rPr>
          <w:bCs/>
        </w:rPr>
        <w:tab/>
      </w:r>
      <w:r w:rsidR="00D25776" w:rsidRPr="006B03DB">
        <w:rPr>
          <w:b/>
        </w:rPr>
        <w:t>Recalling its general recommendation No.</w:t>
      </w:r>
      <w:r w:rsidR="00811909">
        <w:rPr>
          <w:b/>
        </w:rPr>
        <w:t> </w:t>
      </w:r>
      <w:r w:rsidR="00D25776" w:rsidRPr="006B03DB">
        <w:rPr>
          <w:b/>
        </w:rPr>
        <w:t>27 (2000) on discrimination against Roma, the Committee recommends that the State party</w:t>
      </w:r>
      <w:r w:rsidR="00D25776">
        <w:rPr>
          <w:b/>
        </w:rPr>
        <w:t xml:space="preserve">: </w:t>
      </w:r>
    </w:p>
    <w:p w:rsidR="00D25776" w:rsidRPr="00811909" w:rsidRDefault="00D7721F" w:rsidP="00F46FC1">
      <w:pPr>
        <w:pStyle w:val="SingleTxtG"/>
        <w:ind w:firstLine="567"/>
        <w:rPr>
          <w:b/>
        </w:rPr>
      </w:pPr>
      <w:r w:rsidRPr="00F46FC1">
        <w:rPr>
          <w:bCs/>
        </w:rPr>
        <w:t>(a)</w:t>
      </w:r>
      <w:r>
        <w:rPr>
          <w:b/>
        </w:rPr>
        <w:tab/>
      </w:r>
      <w:r w:rsidR="00D25776" w:rsidRPr="00811909">
        <w:rPr>
          <w:b/>
        </w:rPr>
        <w:t xml:space="preserve">Develop a comprehensive strategy, in consultation with members of Gypsy, Traveller and Roma communities, to ensure a systematic and coherent approach in addressing the challenges that </w:t>
      </w:r>
      <w:r w:rsidR="00C9151C">
        <w:rPr>
          <w:b/>
        </w:rPr>
        <w:t>members of these communities</w:t>
      </w:r>
      <w:r w:rsidR="00C9151C" w:rsidRPr="00811909">
        <w:rPr>
          <w:b/>
        </w:rPr>
        <w:t xml:space="preserve"> </w:t>
      </w:r>
      <w:r w:rsidR="00D25776" w:rsidRPr="00811909">
        <w:rPr>
          <w:b/>
        </w:rPr>
        <w:t>continue to face in the fields of health, education, housing and employment, and ensure its effective implementation by adopting specific action plans</w:t>
      </w:r>
      <w:r w:rsidR="00FB2E17">
        <w:rPr>
          <w:b/>
        </w:rPr>
        <w:t>,</w:t>
      </w:r>
      <w:r w:rsidR="00C97B90">
        <w:rPr>
          <w:b/>
        </w:rPr>
        <w:t xml:space="preserve"> </w:t>
      </w:r>
      <w:r w:rsidR="00FB2E17">
        <w:rPr>
          <w:b/>
        </w:rPr>
        <w:t>putting in place</w:t>
      </w:r>
      <w:r w:rsidR="00D25776" w:rsidRPr="00811909">
        <w:rPr>
          <w:b/>
        </w:rPr>
        <w:t xml:space="preserve"> effective oversight and monitoring mechanisms to track </w:t>
      </w:r>
      <w:r w:rsidR="00D25776" w:rsidRPr="001024BA">
        <w:rPr>
          <w:b/>
        </w:rPr>
        <w:t xml:space="preserve">progress, </w:t>
      </w:r>
      <w:r w:rsidR="001024BA">
        <w:rPr>
          <w:b/>
        </w:rPr>
        <w:t>and providing</w:t>
      </w:r>
      <w:r w:rsidR="001024BA" w:rsidRPr="001024BA">
        <w:rPr>
          <w:b/>
        </w:rPr>
        <w:t xml:space="preserve"> </w:t>
      </w:r>
      <w:r w:rsidR="00D25776" w:rsidRPr="001024BA">
        <w:rPr>
          <w:b/>
        </w:rPr>
        <w:t>adequate</w:t>
      </w:r>
      <w:r w:rsidR="00D25776" w:rsidRPr="00811909">
        <w:rPr>
          <w:b/>
        </w:rPr>
        <w:t xml:space="preserve"> human and financial resources;</w:t>
      </w:r>
      <w:r w:rsidR="001D4309">
        <w:rPr>
          <w:b/>
        </w:rPr>
        <w:t xml:space="preserve"> </w:t>
      </w:r>
    </w:p>
    <w:p w:rsidR="00D25776" w:rsidRPr="00811909" w:rsidRDefault="00D7721F" w:rsidP="00F46FC1">
      <w:pPr>
        <w:pStyle w:val="SingleTxtG"/>
        <w:ind w:firstLine="567"/>
        <w:rPr>
          <w:b/>
        </w:rPr>
      </w:pPr>
      <w:r w:rsidRPr="00F46FC1">
        <w:rPr>
          <w:bCs/>
        </w:rPr>
        <w:t>(b)</w:t>
      </w:r>
      <w:r>
        <w:rPr>
          <w:b/>
        </w:rPr>
        <w:tab/>
      </w:r>
      <w:r w:rsidR="00D25776" w:rsidRPr="00811909">
        <w:rPr>
          <w:b/>
        </w:rPr>
        <w:t>Ensure the provision of adequate and culturally appropriate accommodation and stopping sites as a matter of priority throughout the State party and regularly publish the net increase of pitches for Gypsies and Travellers created through the Traveller Pitch Fund;</w:t>
      </w:r>
      <w:r w:rsidR="001D4309">
        <w:rPr>
          <w:b/>
        </w:rPr>
        <w:t xml:space="preserve"> </w:t>
      </w:r>
    </w:p>
    <w:p w:rsidR="00D25776" w:rsidRPr="00811909" w:rsidRDefault="00D7721F" w:rsidP="00F46FC1">
      <w:pPr>
        <w:pStyle w:val="SingleTxtG"/>
        <w:ind w:firstLine="567"/>
        <w:rPr>
          <w:b/>
        </w:rPr>
      </w:pPr>
      <w:r w:rsidRPr="00F46FC1">
        <w:rPr>
          <w:bCs/>
        </w:rPr>
        <w:t>(c)</w:t>
      </w:r>
      <w:r>
        <w:rPr>
          <w:b/>
        </w:rPr>
        <w:tab/>
      </w:r>
      <w:r w:rsidR="00D25776" w:rsidRPr="00811909">
        <w:rPr>
          <w:b/>
        </w:rPr>
        <w:t xml:space="preserve">Ensure that representatives of Gypsy and Traveller communities are adequately consulted before any measures that affect their situation, such as the Housing and Planning Bill 2015, are implemented; </w:t>
      </w:r>
    </w:p>
    <w:p w:rsidR="00D25776" w:rsidRPr="00943FCD" w:rsidRDefault="00D7721F" w:rsidP="00F46FC1">
      <w:pPr>
        <w:pStyle w:val="SingleTxtG"/>
        <w:ind w:firstLine="567"/>
      </w:pPr>
      <w:r w:rsidRPr="00F46FC1">
        <w:rPr>
          <w:bCs/>
        </w:rPr>
        <w:t>(d)</w:t>
      </w:r>
      <w:r>
        <w:rPr>
          <w:b/>
        </w:rPr>
        <w:tab/>
      </w:r>
      <w:r w:rsidR="00D25776" w:rsidRPr="00811909">
        <w:rPr>
          <w:b/>
        </w:rPr>
        <w:t>Ensure that any changes in the definition of Gypsy or Traveller</w:t>
      </w:r>
      <w:r w:rsidR="00E11014">
        <w:rPr>
          <w:b/>
        </w:rPr>
        <w:t>,</w:t>
      </w:r>
      <w:r w:rsidR="00D25776" w:rsidRPr="00811909">
        <w:rPr>
          <w:b/>
        </w:rPr>
        <w:t xml:space="preserve"> including for planning purposes</w:t>
      </w:r>
      <w:r w:rsidR="00E11014">
        <w:rPr>
          <w:b/>
        </w:rPr>
        <w:t>,</w:t>
      </w:r>
      <w:r w:rsidR="00D25776" w:rsidRPr="00811909">
        <w:rPr>
          <w:b/>
        </w:rPr>
        <w:t xml:space="preserve"> are </w:t>
      </w:r>
      <w:r w:rsidR="00E77B30">
        <w:rPr>
          <w:b/>
        </w:rPr>
        <w:t xml:space="preserve">made </w:t>
      </w:r>
      <w:r w:rsidR="00D25776" w:rsidRPr="00811909">
        <w:rPr>
          <w:b/>
        </w:rPr>
        <w:t>with effective consultation with the Gypsy and Traveller communities and that their views are duly taken into account, and that such changes do not adversely affect their rights, including the rights of people who have stopped travelling permanently.</w:t>
      </w:r>
      <w:r w:rsidR="001D4309">
        <w:t xml:space="preserve"> </w:t>
      </w:r>
    </w:p>
    <w:p w:rsidR="00277A92" w:rsidRDefault="00811909">
      <w:pPr>
        <w:pStyle w:val="H23G"/>
      </w:pPr>
      <w:r>
        <w:tab/>
      </w:r>
      <w:r>
        <w:tab/>
      </w:r>
      <w:r w:rsidR="00277A92">
        <w:t xml:space="preserve">Stop and search </w:t>
      </w:r>
    </w:p>
    <w:p w:rsidR="00277A92" w:rsidRDefault="00F46FC1" w:rsidP="00F46FC1">
      <w:pPr>
        <w:pStyle w:val="SingleTxtG"/>
      </w:pPr>
      <w:r>
        <w:rPr>
          <w:bCs/>
        </w:rPr>
        <w:t>26.</w:t>
      </w:r>
      <w:r>
        <w:rPr>
          <w:bCs/>
        </w:rPr>
        <w:tab/>
      </w:r>
      <w:r w:rsidR="00277A92" w:rsidRPr="00D36BF7">
        <w:t xml:space="preserve">While </w:t>
      </w:r>
      <w:r w:rsidR="00277A92">
        <w:t xml:space="preserve">welcoming the range of measures adopted by the State party to ensure that stop and search powers </w:t>
      </w:r>
      <w:r w:rsidR="007834E6">
        <w:t>of</w:t>
      </w:r>
      <w:r w:rsidR="00277A92">
        <w:t xml:space="preserve"> the police are used fairly and effectively, as well as the reduction in the use of stop and search against people of African and Asian descent </w:t>
      </w:r>
      <w:r w:rsidR="004867DC">
        <w:t xml:space="preserve">by </w:t>
      </w:r>
      <w:r w:rsidR="00277A92">
        <w:t>some police forces in England, the Committee remains concerned that the use of stop and search powers continues to have a disproportionate impact on persons belonging to ethnic minorities</w:t>
      </w:r>
      <w:r w:rsidR="00B82CAB">
        <w:t>, especially young men</w:t>
      </w:r>
      <w:r w:rsidR="00277A92">
        <w:t xml:space="preserve"> (arts.</w:t>
      </w:r>
      <w:r w:rsidR="00580AE5">
        <w:t> </w:t>
      </w:r>
      <w:r w:rsidR="00277A92">
        <w:t>2 and 5).</w:t>
      </w:r>
    </w:p>
    <w:p w:rsidR="00277A92" w:rsidRDefault="00F46FC1" w:rsidP="00F46FC1">
      <w:pPr>
        <w:pStyle w:val="SingleTxtG"/>
        <w:rPr>
          <w:b/>
        </w:rPr>
      </w:pPr>
      <w:r>
        <w:rPr>
          <w:bCs/>
        </w:rPr>
        <w:t>27.</w:t>
      </w:r>
      <w:r>
        <w:rPr>
          <w:bCs/>
        </w:rPr>
        <w:tab/>
      </w:r>
      <w:r w:rsidR="00277A92">
        <w:rPr>
          <w:b/>
        </w:rPr>
        <w:t>Recalling its general recommendation No. 31 (2005) on the prevention of racial discrimination in the administration and functioning of the criminal justice system, t</w:t>
      </w:r>
      <w:r w:rsidR="00277A92" w:rsidRPr="00275166">
        <w:rPr>
          <w:b/>
        </w:rPr>
        <w:t>he Committee recommends that the State party</w:t>
      </w:r>
      <w:r w:rsidR="006453BD">
        <w:rPr>
          <w:b/>
        </w:rPr>
        <w:t xml:space="preserve"> ensure that </w:t>
      </w:r>
      <w:r w:rsidR="00951910">
        <w:rPr>
          <w:b/>
        </w:rPr>
        <w:t>the governments of Northern Ireland, Scotland and Wales</w:t>
      </w:r>
      <w:r w:rsidR="00277A92" w:rsidRPr="00275166">
        <w:rPr>
          <w:b/>
        </w:rPr>
        <w:t xml:space="preserve"> </w:t>
      </w:r>
      <w:r w:rsidR="00277A92">
        <w:rPr>
          <w:b/>
        </w:rPr>
        <w:t xml:space="preserve">regularly review the impact of stop and search powers on persons belonging to visible ethnic minority groups, and take effective measures to ensure that such powers are used in a lawful, non-arbitrary and non-discriminatory manner on the basis of reasonable suspicion, with rigorous monitoring and </w:t>
      </w:r>
      <w:r w:rsidR="00AE2B5F">
        <w:rPr>
          <w:b/>
        </w:rPr>
        <w:t xml:space="preserve">review </w:t>
      </w:r>
      <w:r w:rsidR="00277A92">
        <w:rPr>
          <w:b/>
        </w:rPr>
        <w:t>mechanisms.</w:t>
      </w:r>
      <w:r w:rsidR="001D4309">
        <w:rPr>
          <w:b/>
        </w:rPr>
        <w:t xml:space="preserve"> </w:t>
      </w:r>
    </w:p>
    <w:p w:rsidR="00060926" w:rsidRPr="008E7927" w:rsidRDefault="00580AE5" w:rsidP="00580AE5">
      <w:pPr>
        <w:pStyle w:val="H23G"/>
      </w:pPr>
      <w:r>
        <w:tab/>
      </w:r>
      <w:r>
        <w:tab/>
      </w:r>
      <w:r w:rsidR="00060926" w:rsidRPr="008E7927">
        <w:t xml:space="preserve">Criminal justice </w:t>
      </w:r>
    </w:p>
    <w:p w:rsidR="00060926" w:rsidRDefault="00F46FC1" w:rsidP="00F46FC1">
      <w:pPr>
        <w:pStyle w:val="SingleTxtG"/>
      </w:pPr>
      <w:r>
        <w:rPr>
          <w:bCs/>
        </w:rPr>
        <w:t>28.</w:t>
      </w:r>
      <w:r>
        <w:rPr>
          <w:bCs/>
        </w:rPr>
        <w:tab/>
      </w:r>
      <w:r w:rsidR="00060926">
        <w:t xml:space="preserve">While welcoming the measures taken by the State party to examine the </w:t>
      </w:r>
      <w:r w:rsidR="00CE6B1F">
        <w:t xml:space="preserve">extent of institutional racism </w:t>
      </w:r>
      <w:r w:rsidR="00060926">
        <w:t xml:space="preserve">in the criminal justice system, the Committee remains concerned that </w:t>
      </w:r>
      <w:r w:rsidR="003148D5">
        <w:t>persons</w:t>
      </w:r>
      <w:r w:rsidR="00060926">
        <w:t xml:space="preserve"> of </w:t>
      </w:r>
      <w:r w:rsidR="003148D5">
        <w:t xml:space="preserve">African and </w:t>
      </w:r>
      <w:r w:rsidR="00060926">
        <w:t xml:space="preserve">Asian </w:t>
      </w:r>
      <w:r w:rsidR="003148D5">
        <w:t xml:space="preserve">descent </w:t>
      </w:r>
      <w:r w:rsidR="00060926">
        <w:t xml:space="preserve">continue to be </w:t>
      </w:r>
      <w:r w:rsidR="00FC7C02">
        <w:t xml:space="preserve">disproportionately </w:t>
      </w:r>
      <w:r w:rsidR="00FC7C02" w:rsidRPr="0066069E">
        <w:t>targeted</w:t>
      </w:r>
      <w:r w:rsidR="00FC7C02">
        <w:t xml:space="preserve"> </w:t>
      </w:r>
      <w:r w:rsidR="0034364E">
        <w:t>throughout</w:t>
      </w:r>
      <w:r w:rsidR="00FC7C02">
        <w:t xml:space="preserve"> the criminal justice system</w:t>
      </w:r>
      <w:r w:rsidR="00060926">
        <w:t xml:space="preserve">. Additionally, while the Committee welcomes some progress in improving the ethnic diversity of some police forces, </w:t>
      </w:r>
      <w:r w:rsidR="00292341">
        <w:t>it</w:t>
      </w:r>
      <w:r w:rsidR="00060926">
        <w:t xml:space="preserve"> is concerned that the </w:t>
      </w:r>
      <w:r w:rsidR="00427F74">
        <w:t xml:space="preserve">ethnic </w:t>
      </w:r>
      <w:r w:rsidR="00060926">
        <w:t xml:space="preserve">composition of the majority of </w:t>
      </w:r>
      <w:r w:rsidR="00292341">
        <w:t xml:space="preserve">the </w:t>
      </w:r>
      <w:r w:rsidR="00060926">
        <w:t xml:space="preserve">police forces in the State party </w:t>
      </w:r>
      <w:r w:rsidR="00292341">
        <w:t xml:space="preserve">is </w:t>
      </w:r>
      <w:r w:rsidR="00060926">
        <w:t xml:space="preserve">not representative of the communities that they serve, particularly in Scotland. It also expresses concern </w:t>
      </w:r>
      <w:r w:rsidR="00E90D80">
        <w:t xml:space="preserve">at reports </w:t>
      </w:r>
      <w:r w:rsidR="00060926">
        <w:t xml:space="preserve">that </w:t>
      </w:r>
      <w:r w:rsidR="00292341">
        <w:t>black police officers and police officers from ethnic minority groups</w:t>
      </w:r>
      <w:r w:rsidR="00060926">
        <w:t xml:space="preserve"> face discriminatory treatment within the poli</w:t>
      </w:r>
      <w:r w:rsidR="00580AE5">
        <w:t xml:space="preserve">ce </w:t>
      </w:r>
      <w:r w:rsidR="002649DD">
        <w:t xml:space="preserve">and are </w:t>
      </w:r>
      <w:r w:rsidR="00FC7C02">
        <w:t>under</w:t>
      </w:r>
      <w:r w:rsidR="002649DD">
        <w:t xml:space="preserve">represented at senior decision-making levels </w:t>
      </w:r>
      <w:r w:rsidR="00580AE5">
        <w:t>(arts. </w:t>
      </w:r>
      <w:r w:rsidR="00060926">
        <w:t xml:space="preserve">2, 5 and 6). </w:t>
      </w:r>
    </w:p>
    <w:p w:rsidR="00DD1E84" w:rsidRDefault="00F46FC1" w:rsidP="00F46FC1">
      <w:pPr>
        <w:pStyle w:val="SingleTxtG"/>
        <w:rPr>
          <w:b/>
          <w:bCs/>
        </w:rPr>
      </w:pPr>
      <w:r>
        <w:rPr>
          <w:bCs/>
        </w:rPr>
        <w:t>29.</w:t>
      </w:r>
      <w:r>
        <w:rPr>
          <w:bCs/>
        </w:rPr>
        <w:tab/>
      </w:r>
      <w:r w:rsidR="00060926" w:rsidRPr="0065786E">
        <w:rPr>
          <w:b/>
        </w:rPr>
        <w:t xml:space="preserve">The Committee </w:t>
      </w:r>
      <w:r w:rsidR="00060926">
        <w:rPr>
          <w:b/>
        </w:rPr>
        <w:t xml:space="preserve">recommends that the State party ensure that the </w:t>
      </w:r>
      <w:r w:rsidR="000B46B4">
        <w:rPr>
          <w:b/>
        </w:rPr>
        <w:t>over</w:t>
      </w:r>
      <w:r w:rsidR="00060926">
        <w:rPr>
          <w:b/>
        </w:rPr>
        <w:t xml:space="preserve">representation of </w:t>
      </w:r>
      <w:r w:rsidR="00292341">
        <w:rPr>
          <w:b/>
        </w:rPr>
        <w:t>black people and people</w:t>
      </w:r>
      <w:r w:rsidR="00E90D80">
        <w:rPr>
          <w:b/>
        </w:rPr>
        <w:t xml:space="preserve"> belonging to ethnic minority groups</w:t>
      </w:r>
      <w:r w:rsidR="001D4309">
        <w:rPr>
          <w:b/>
        </w:rPr>
        <w:t xml:space="preserve"> </w:t>
      </w:r>
      <w:r w:rsidR="00060926">
        <w:rPr>
          <w:b/>
        </w:rPr>
        <w:t>at all stages of the criminal justice system</w:t>
      </w:r>
      <w:r w:rsidR="00444BFF" w:rsidRPr="00444BFF">
        <w:rPr>
          <w:b/>
        </w:rPr>
        <w:t xml:space="preserve"> </w:t>
      </w:r>
      <w:r w:rsidR="00444BFF">
        <w:rPr>
          <w:b/>
        </w:rPr>
        <w:t>in England, Northern Ireland, Scotland and Wales</w:t>
      </w:r>
      <w:r w:rsidR="00DF73B4">
        <w:rPr>
          <w:b/>
        </w:rPr>
        <w:t xml:space="preserve"> </w:t>
      </w:r>
      <w:r w:rsidR="00060926">
        <w:rPr>
          <w:b/>
        </w:rPr>
        <w:t xml:space="preserve">is thoroughly </w:t>
      </w:r>
      <w:r w:rsidR="00AD32D3">
        <w:rPr>
          <w:b/>
        </w:rPr>
        <w:t>investigated</w:t>
      </w:r>
      <w:r w:rsidR="00DF73B4">
        <w:rPr>
          <w:b/>
        </w:rPr>
        <w:t>,</w:t>
      </w:r>
      <w:r w:rsidR="00060926">
        <w:rPr>
          <w:b/>
        </w:rPr>
        <w:t xml:space="preserve"> and </w:t>
      </w:r>
      <w:r w:rsidR="00292341">
        <w:rPr>
          <w:b/>
        </w:rPr>
        <w:t xml:space="preserve">that it </w:t>
      </w:r>
      <w:r w:rsidR="00060926">
        <w:rPr>
          <w:b/>
        </w:rPr>
        <w:t xml:space="preserve">take concrete measures to effectively address racial prejudice and bias in the criminal justice system, taking into account the </w:t>
      </w:r>
      <w:r w:rsidR="00060926" w:rsidRPr="00E83DC6">
        <w:rPr>
          <w:b/>
          <w:bCs/>
        </w:rPr>
        <w:t>Committee’s general recommendation No. 31 (2005) on the prevention of racial discrimination in the administration and functioning of the criminal justice system</w:t>
      </w:r>
      <w:r w:rsidR="00060926">
        <w:rPr>
          <w:b/>
          <w:bCs/>
        </w:rPr>
        <w:t>.</w:t>
      </w:r>
    </w:p>
    <w:p w:rsidR="000B46B4" w:rsidRPr="00A97976" w:rsidRDefault="00580AE5" w:rsidP="00580AE5">
      <w:pPr>
        <w:pStyle w:val="H23G"/>
        <w:rPr>
          <w:lang w:val="en-US"/>
        </w:rPr>
      </w:pPr>
      <w:r>
        <w:rPr>
          <w:lang w:val="en-US"/>
        </w:rPr>
        <w:tab/>
      </w:r>
      <w:r>
        <w:rPr>
          <w:lang w:val="en-US"/>
        </w:rPr>
        <w:tab/>
      </w:r>
      <w:r w:rsidR="000B46B4" w:rsidRPr="00A97976">
        <w:rPr>
          <w:lang w:val="en-US"/>
        </w:rPr>
        <w:t xml:space="preserve">Health </w:t>
      </w:r>
    </w:p>
    <w:p w:rsidR="000B46B4" w:rsidRDefault="00F46FC1" w:rsidP="00F46FC1">
      <w:pPr>
        <w:pStyle w:val="SingleTxtG"/>
        <w:rPr>
          <w:lang w:val="en-US"/>
        </w:rPr>
      </w:pPr>
      <w:r>
        <w:rPr>
          <w:bCs/>
          <w:lang w:val="en-US"/>
        </w:rPr>
        <w:t>30.</w:t>
      </w:r>
      <w:r>
        <w:rPr>
          <w:bCs/>
          <w:lang w:val="en-US"/>
        </w:rPr>
        <w:tab/>
      </w:r>
      <w:r w:rsidR="000B46B4" w:rsidRPr="00A97976">
        <w:rPr>
          <w:lang w:val="en-US"/>
        </w:rPr>
        <w:t>While welcoming the acknowledgement by the State party that there are long</w:t>
      </w:r>
      <w:r w:rsidR="001741D6">
        <w:rPr>
          <w:lang w:val="en-US"/>
        </w:rPr>
        <w:t>-</w:t>
      </w:r>
      <w:r w:rsidR="000B46B4" w:rsidRPr="00A97976">
        <w:rPr>
          <w:lang w:val="en-US"/>
        </w:rPr>
        <w:t>standing inequalities in access to</w:t>
      </w:r>
      <w:r w:rsidR="005E6111">
        <w:rPr>
          <w:lang w:val="en-US"/>
        </w:rPr>
        <w:t xml:space="preserve"> health</w:t>
      </w:r>
      <w:r w:rsidR="000B46B4" w:rsidRPr="00A97976">
        <w:rPr>
          <w:lang w:val="en-US"/>
        </w:rPr>
        <w:t xml:space="preserve"> services, in the quality of care and in </w:t>
      </w:r>
      <w:r w:rsidR="005E6111">
        <w:rPr>
          <w:lang w:val="en-US"/>
        </w:rPr>
        <w:t xml:space="preserve">the </w:t>
      </w:r>
      <w:r w:rsidR="000B46B4" w:rsidRPr="00A97976">
        <w:rPr>
          <w:lang w:val="en-US"/>
        </w:rPr>
        <w:t xml:space="preserve">health outcomes of patients, the Committee is concerned at the lack of evidence </w:t>
      </w:r>
      <w:r w:rsidR="005E6111">
        <w:rPr>
          <w:lang w:val="en-US"/>
        </w:rPr>
        <w:t>to indicate</w:t>
      </w:r>
      <w:r w:rsidR="005E6111" w:rsidRPr="00A97976">
        <w:rPr>
          <w:lang w:val="en-US"/>
        </w:rPr>
        <w:t xml:space="preserve"> </w:t>
      </w:r>
      <w:r w:rsidR="000B46B4" w:rsidRPr="00A97976">
        <w:rPr>
          <w:lang w:val="en-US"/>
        </w:rPr>
        <w:t xml:space="preserve">that the measures adopted have led to improvements in the above-mentioned areas for individuals belonging to ethnic minorities, particularly Gypsies, </w:t>
      </w:r>
      <w:proofErr w:type="spellStart"/>
      <w:r w:rsidR="000B46B4" w:rsidRPr="00A97976">
        <w:rPr>
          <w:lang w:val="en-US"/>
        </w:rPr>
        <w:t>Travellers</w:t>
      </w:r>
      <w:proofErr w:type="spellEnd"/>
      <w:r w:rsidR="000B46B4" w:rsidRPr="00A97976">
        <w:rPr>
          <w:lang w:val="en-US"/>
        </w:rPr>
        <w:t xml:space="preserve"> and persons of African descent. The Committee remains particularly concerned at reports of overrepresentation of persons of Afr</w:t>
      </w:r>
      <w:r w:rsidR="003D5006">
        <w:rPr>
          <w:lang w:val="en-US"/>
        </w:rPr>
        <w:t>o-</w:t>
      </w:r>
      <w:r w:rsidR="000B46B4" w:rsidRPr="00A97976">
        <w:rPr>
          <w:lang w:val="en-US"/>
        </w:rPr>
        <w:t xml:space="preserve">Caribbean descent in psychiatric institutions and of a higher likelihood </w:t>
      </w:r>
      <w:r w:rsidR="00DE7C15">
        <w:rPr>
          <w:lang w:val="en-US"/>
        </w:rPr>
        <w:t xml:space="preserve">of </w:t>
      </w:r>
      <w:r w:rsidR="005318A4">
        <w:rPr>
          <w:lang w:val="en-US"/>
        </w:rPr>
        <w:t xml:space="preserve">persons </w:t>
      </w:r>
      <w:r w:rsidR="005318A4" w:rsidRPr="003D5006">
        <w:rPr>
          <w:lang w:val="en-US"/>
        </w:rPr>
        <w:t>of Afro-Caribbean descent</w:t>
      </w:r>
      <w:r w:rsidR="00DE7C15">
        <w:rPr>
          <w:lang w:val="en-US"/>
        </w:rPr>
        <w:t xml:space="preserve"> being</w:t>
      </w:r>
      <w:r w:rsidR="000B46B4" w:rsidRPr="00A97976">
        <w:rPr>
          <w:lang w:val="en-US"/>
        </w:rPr>
        <w:t xml:space="preserve"> subjected to restraint, seclusion and overmedication (arts.</w:t>
      </w:r>
      <w:r w:rsidR="001C0AC9">
        <w:rPr>
          <w:lang w:val="en-US"/>
        </w:rPr>
        <w:t> </w:t>
      </w:r>
      <w:r w:rsidR="000B46B4" w:rsidRPr="00A97976">
        <w:rPr>
          <w:lang w:val="en-US"/>
        </w:rPr>
        <w:t>2 and 5).</w:t>
      </w:r>
    </w:p>
    <w:p w:rsidR="000B46B4" w:rsidRDefault="00F46FC1" w:rsidP="00F46FC1">
      <w:pPr>
        <w:pStyle w:val="SingleTxtG"/>
        <w:rPr>
          <w:b/>
          <w:bCs/>
          <w:lang w:val="en-US"/>
        </w:rPr>
      </w:pPr>
      <w:r>
        <w:rPr>
          <w:bCs/>
          <w:lang w:val="en-US"/>
        </w:rPr>
        <w:t>31.</w:t>
      </w:r>
      <w:r>
        <w:rPr>
          <w:bCs/>
          <w:lang w:val="en-US"/>
        </w:rPr>
        <w:tab/>
      </w:r>
      <w:r w:rsidR="000B46B4" w:rsidRPr="00A97976">
        <w:rPr>
          <w:b/>
          <w:bCs/>
          <w:lang w:val="en-US"/>
        </w:rPr>
        <w:t>The State party should take effective measures to ensure the accessibility</w:t>
      </w:r>
      <w:r w:rsidR="003D5006">
        <w:rPr>
          <w:b/>
          <w:bCs/>
          <w:lang w:val="en-US"/>
        </w:rPr>
        <w:t xml:space="preserve"> and</w:t>
      </w:r>
      <w:r w:rsidR="000B46B4" w:rsidRPr="00A97976">
        <w:rPr>
          <w:b/>
          <w:bCs/>
          <w:lang w:val="en-US"/>
        </w:rPr>
        <w:t xml:space="preserve"> availability </w:t>
      </w:r>
      <w:r w:rsidR="003D5006">
        <w:rPr>
          <w:b/>
          <w:bCs/>
          <w:lang w:val="en-US"/>
        </w:rPr>
        <w:t>of</w:t>
      </w:r>
      <w:r w:rsidR="003D5006" w:rsidRPr="00A97976">
        <w:rPr>
          <w:b/>
          <w:bCs/>
          <w:lang w:val="en-US"/>
        </w:rPr>
        <w:t xml:space="preserve"> </w:t>
      </w:r>
      <w:r w:rsidR="000B46B4" w:rsidRPr="00A97976">
        <w:rPr>
          <w:b/>
          <w:bCs/>
          <w:lang w:val="en-US"/>
        </w:rPr>
        <w:t>quality health</w:t>
      </w:r>
      <w:r w:rsidR="005318A4">
        <w:rPr>
          <w:b/>
          <w:bCs/>
          <w:lang w:val="en-US"/>
        </w:rPr>
        <w:t>-</w:t>
      </w:r>
      <w:r w:rsidR="000B46B4" w:rsidRPr="00A97976">
        <w:rPr>
          <w:b/>
          <w:bCs/>
          <w:lang w:val="en-US"/>
        </w:rPr>
        <w:t>care services to persons belonging to ethnic minorities</w:t>
      </w:r>
      <w:r w:rsidR="005318A4">
        <w:rPr>
          <w:b/>
          <w:bCs/>
          <w:lang w:val="en-US"/>
        </w:rPr>
        <w:t>,</w:t>
      </w:r>
      <w:r w:rsidR="000B46B4" w:rsidRPr="00A97976">
        <w:rPr>
          <w:b/>
          <w:bCs/>
          <w:lang w:val="en-US"/>
        </w:rPr>
        <w:t xml:space="preserve"> throughout its jurisdiction. The Committee stresses the particular importance of adopting measures to address </w:t>
      </w:r>
      <w:r w:rsidR="00687ACA">
        <w:rPr>
          <w:b/>
          <w:bCs/>
          <w:lang w:val="en-US"/>
        </w:rPr>
        <w:t xml:space="preserve">effectively </w:t>
      </w:r>
      <w:r w:rsidR="000B46B4" w:rsidRPr="00A97976">
        <w:rPr>
          <w:b/>
          <w:bCs/>
          <w:lang w:val="en-US"/>
        </w:rPr>
        <w:t>the overrepresentation of persons of Afr</w:t>
      </w:r>
      <w:r w:rsidR="003D5006">
        <w:rPr>
          <w:b/>
          <w:bCs/>
          <w:lang w:val="en-US"/>
        </w:rPr>
        <w:t>o-</w:t>
      </w:r>
      <w:r w:rsidR="000B46B4" w:rsidRPr="00A97976">
        <w:rPr>
          <w:b/>
          <w:bCs/>
          <w:lang w:val="en-US"/>
        </w:rPr>
        <w:t xml:space="preserve">Caribbean descent </w:t>
      </w:r>
      <w:r w:rsidR="00064902">
        <w:rPr>
          <w:b/>
          <w:bCs/>
          <w:lang w:val="en-US"/>
        </w:rPr>
        <w:t xml:space="preserve">being </w:t>
      </w:r>
      <w:r w:rsidR="00FC77D0">
        <w:rPr>
          <w:b/>
          <w:bCs/>
          <w:lang w:val="en-US"/>
        </w:rPr>
        <w:t xml:space="preserve">treated </w:t>
      </w:r>
      <w:r w:rsidR="000B46B4" w:rsidRPr="00A97976">
        <w:rPr>
          <w:b/>
          <w:bCs/>
          <w:lang w:val="en-US"/>
        </w:rPr>
        <w:t xml:space="preserve">in psychiatric institutions and the disproportionate use of restraint, seclusion and medication. </w:t>
      </w:r>
    </w:p>
    <w:p w:rsidR="00B17F4C" w:rsidRDefault="00580AE5" w:rsidP="00580AE5">
      <w:pPr>
        <w:pStyle w:val="H23G"/>
      </w:pPr>
      <w:r>
        <w:tab/>
      </w:r>
      <w:r>
        <w:tab/>
      </w:r>
      <w:r w:rsidR="00B17F4C">
        <w:t xml:space="preserve">Employment </w:t>
      </w:r>
    </w:p>
    <w:p w:rsidR="004F4D53" w:rsidRPr="004F4D53" w:rsidRDefault="00F46FC1" w:rsidP="00F46FC1">
      <w:pPr>
        <w:pStyle w:val="SingleTxtG"/>
        <w:rPr>
          <w:bCs/>
        </w:rPr>
      </w:pPr>
      <w:r w:rsidRPr="004F4D53">
        <w:rPr>
          <w:bCs/>
        </w:rPr>
        <w:t>32.</w:t>
      </w:r>
      <w:r w:rsidRPr="004F4D53">
        <w:rPr>
          <w:bCs/>
        </w:rPr>
        <w:tab/>
      </w:r>
      <w:r w:rsidR="00C37F28">
        <w:t>W</w:t>
      </w:r>
      <w:r w:rsidR="0070352A">
        <w:t xml:space="preserve">hile welcoming the increased rate of employment of </w:t>
      </w:r>
      <w:r w:rsidR="00526FE4">
        <w:t xml:space="preserve">individuals from </w:t>
      </w:r>
      <w:r w:rsidR="0070352A">
        <w:t>ethnic minorit</w:t>
      </w:r>
      <w:r w:rsidR="00526FE4">
        <w:t xml:space="preserve">y groups, the Committee remains concerned </w:t>
      </w:r>
      <w:r w:rsidR="005E1C12">
        <w:t xml:space="preserve">at: (a) the </w:t>
      </w:r>
      <w:r w:rsidR="00526FE4">
        <w:t xml:space="preserve">higher rate of </w:t>
      </w:r>
      <w:r w:rsidR="005E1C12">
        <w:t>un</w:t>
      </w:r>
      <w:r w:rsidR="00526FE4">
        <w:t>employment among perso</w:t>
      </w:r>
      <w:r w:rsidR="005E1C12">
        <w:t xml:space="preserve">ns of African and Asian descent; (b) occupational segregation, with </w:t>
      </w:r>
      <w:r w:rsidR="003D5006">
        <w:t xml:space="preserve">a </w:t>
      </w:r>
      <w:r w:rsidR="005E1C12">
        <w:t xml:space="preserve">concentration of </w:t>
      </w:r>
      <w:r w:rsidR="00DD1E84">
        <w:t xml:space="preserve">persons </w:t>
      </w:r>
      <w:r w:rsidR="00064902">
        <w:t>from</w:t>
      </w:r>
      <w:r w:rsidR="00DD1E84">
        <w:t xml:space="preserve"> </w:t>
      </w:r>
      <w:r w:rsidR="005E1C12">
        <w:t xml:space="preserve">ethnic minorities in insecure and low-paid work; </w:t>
      </w:r>
      <w:r w:rsidR="00B53685">
        <w:t xml:space="preserve">and </w:t>
      </w:r>
      <w:r w:rsidR="005E1C12">
        <w:t>(c)</w:t>
      </w:r>
      <w:r w:rsidR="003D5006">
        <w:t> </w:t>
      </w:r>
      <w:r w:rsidR="005E1C12">
        <w:t xml:space="preserve">discriminatory recruitment practices </w:t>
      </w:r>
      <w:r w:rsidR="00064902">
        <w:t>by</w:t>
      </w:r>
      <w:r w:rsidR="005E1C12">
        <w:t xml:space="preserve"> employers (arts.</w:t>
      </w:r>
      <w:r w:rsidR="00580AE5">
        <w:t> </w:t>
      </w:r>
      <w:r w:rsidR="005E1C12">
        <w:t>2 and 5)</w:t>
      </w:r>
      <w:r w:rsidR="000E4907">
        <w:t>.</w:t>
      </w:r>
      <w:r w:rsidR="005E1C12">
        <w:t xml:space="preserve"> </w:t>
      </w:r>
    </w:p>
    <w:p w:rsidR="00DE344B" w:rsidRPr="000E4907" w:rsidRDefault="00F46FC1" w:rsidP="00F46FC1">
      <w:pPr>
        <w:pStyle w:val="SingleTxtG"/>
        <w:rPr>
          <w:b/>
          <w:bCs/>
        </w:rPr>
      </w:pPr>
      <w:r w:rsidRPr="000E4907">
        <w:rPr>
          <w:bCs/>
        </w:rPr>
        <w:t>33.</w:t>
      </w:r>
      <w:r w:rsidRPr="000E4907">
        <w:rPr>
          <w:bCs/>
        </w:rPr>
        <w:tab/>
      </w:r>
      <w:r w:rsidR="000E4907" w:rsidRPr="000E4907">
        <w:rPr>
          <w:b/>
        </w:rPr>
        <w:t>The Committee recommends that the State party</w:t>
      </w:r>
      <w:r w:rsidR="00D23E61">
        <w:rPr>
          <w:b/>
        </w:rPr>
        <w:t xml:space="preserve"> </w:t>
      </w:r>
      <w:r w:rsidR="00025590" w:rsidRPr="002D791A">
        <w:rPr>
          <w:b/>
        </w:rPr>
        <w:t>collect disaggr</w:t>
      </w:r>
      <w:r w:rsidR="00025590">
        <w:rPr>
          <w:b/>
        </w:rPr>
        <w:t xml:space="preserve">egated data </w:t>
      </w:r>
      <w:r w:rsidR="00552EC2">
        <w:rPr>
          <w:b/>
        </w:rPr>
        <w:t xml:space="preserve">on </w:t>
      </w:r>
      <w:r w:rsidR="00E25F6B">
        <w:rPr>
          <w:b/>
        </w:rPr>
        <w:t xml:space="preserve">employment, unemployment and activity rates </w:t>
      </w:r>
      <w:r w:rsidR="00702DDA">
        <w:rPr>
          <w:b/>
        </w:rPr>
        <w:t xml:space="preserve">of </w:t>
      </w:r>
      <w:r w:rsidR="0043070B">
        <w:rPr>
          <w:b/>
        </w:rPr>
        <w:t xml:space="preserve">individuals from </w:t>
      </w:r>
      <w:r w:rsidR="00702DDA">
        <w:rPr>
          <w:b/>
        </w:rPr>
        <w:t>ethnic minorit</w:t>
      </w:r>
      <w:r w:rsidR="0043070B">
        <w:rPr>
          <w:b/>
        </w:rPr>
        <w:t>y groups</w:t>
      </w:r>
      <w:r w:rsidR="00CA7267">
        <w:rPr>
          <w:b/>
        </w:rPr>
        <w:t>,</w:t>
      </w:r>
      <w:r w:rsidR="002D791A">
        <w:rPr>
          <w:b/>
        </w:rPr>
        <w:t xml:space="preserve"> throughout its jurisdiction</w:t>
      </w:r>
      <w:r w:rsidR="00FD1157">
        <w:rPr>
          <w:b/>
        </w:rPr>
        <w:t>,</w:t>
      </w:r>
      <w:r w:rsidR="00C34D3C">
        <w:rPr>
          <w:b/>
        </w:rPr>
        <w:t xml:space="preserve"> </w:t>
      </w:r>
      <w:r w:rsidR="00DD1E84">
        <w:rPr>
          <w:b/>
        </w:rPr>
        <w:t>and</w:t>
      </w:r>
      <w:r w:rsidR="00EC3D6B">
        <w:rPr>
          <w:b/>
        </w:rPr>
        <w:t xml:space="preserve"> </w:t>
      </w:r>
      <w:r w:rsidR="008B1527">
        <w:rPr>
          <w:b/>
        </w:rPr>
        <w:t xml:space="preserve">that it </w:t>
      </w:r>
      <w:r w:rsidR="00326E57">
        <w:rPr>
          <w:b/>
        </w:rPr>
        <w:t>adopt and implement targeted measures to address unemployment</w:t>
      </w:r>
      <w:r w:rsidR="00785801">
        <w:rPr>
          <w:b/>
        </w:rPr>
        <w:t>, occupational segregation</w:t>
      </w:r>
      <w:r w:rsidR="008B1527">
        <w:rPr>
          <w:b/>
        </w:rPr>
        <w:t>,</w:t>
      </w:r>
      <w:r w:rsidR="00785801">
        <w:rPr>
          <w:b/>
        </w:rPr>
        <w:t xml:space="preserve"> and discriminatory practices</w:t>
      </w:r>
      <w:r w:rsidR="006F2246">
        <w:rPr>
          <w:b/>
        </w:rPr>
        <w:t xml:space="preserve"> </w:t>
      </w:r>
      <w:r w:rsidR="008B1527">
        <w:rPr>
          <w:b/>
        </w:rPr>
        <w:t>with regard to</w:t>
      </w:r>
      <w:r w:rsidR="006F2246">
        <w:rPr>
          <w:b/>
        </w:rPr>
        <w:t xml:space="preserve"> recruitment, salaries, promotion</w:t>
      </w:r>
      <w:r w:rsidR="008B1527">
        <w:rPr>
          <w:b/>
        </w:rPr>
        <w:t>s</w:t>
      </w:r>
      <w:r w:rsidR="006F2246">
        <w:rPr>
          <w:b/>
        </w:rPr>
        <w:t xml:space="preserve"> and other </w:t>
      </w:r>
      <w:r w:rsidR="008B1527">
        <w:rPr>
          <w:b/>
        </w:rPr>
        <w:t>conditions of employment</w:t>
      </w:r>
      <w:r w:rsidR="00785801">
        <w:rPr>
          <w:b/>
        </w:rPr>
        <w:t>.</w:t>
      </w:r>
      <w:r w:rsidR="001D4309">
        <w:rPr>
          <w:b/>
        </w:rPr>
        <w:t xml:space="preserve"> </w:t>
      </w:r>
    </w:p>
    <w:p w:rsidR="009729E8" w:rsidRDefault="00580AE5" w:rsidP="00580AE5">
      <w:pPr>
        <w:pStyle w:val="H23G"/>
      </w:pPr>
      <w:r>
        <w:tab/>
      </w:r>
      <w:r>
        <w:tab/>
      </w:r>
      <w:r w:rsidR="004450A6">
        <w:t xml:space="preserve">Education </w:t>
      </w:r>
    </w:p>
    <w:p w:rsidR="009729E8" w:rsidRPr="00FB4940" w:rsidRDefault="00F46FC1" w:rsidP="00F46FC1">
      <w:pPr>
        <w:pStyle w:val="SingleTxtG"/>
      </w:pPr>
      <w:r w:rsidRPr="00FB4940">
        <w:rPr>
          <w:bCs/>
        </w:rPr>
        <w:t>34.</w:t>
      </w:r>
      <w:r w:rsidRPr="00FB4940">
        <w:rPr>
          <w:bCs/>
        </w:rPr>
        <w:tab/>
      </w:r>
      <w:r w:rsidR="009729E8" w:rsidRPr="00FB4940">
        <w:t xml:space="preserve">While noting the adoption of guidance on bullying and exclusion, the Committee remains concerned at continued reports of racist bullying and harassment in schools across the State party, as well as </w:t>
      </w:r>
      <w:r w:rsidR="004D3770">
        <w:t xml:space="preserve">at </w:t>
      </w:r>
      <w:r w:rsidR="009729E8" w:rsidRPr="00FB4940">
        <w:t xml:space="preserve">the disproportionate rate of </w:t>
      </w:r>
      <w:r w:rsidR="004D3770">
        <w:t>exclusion from school</w:t>
      </w:r>
      <w:r w:rsidR="009729E8" w:rsidRPr="00FB4940">
        <w:t xml:space="preserve"> of pupils </w:t>
      </w:r>
      <w:r w:rsidR="004D3770">
        <w:t>belonging to</w:t>
      </w:r>
      <w:r w:rsidR="004D3770" w:rsidRPr="00FB4940">
        <w:t xml:space="preserve"> </w:t>
      </w:r>
      <w:r w:rsidR="009729E8" w:rsidRPr="00FB4940">
        <w:t>Gypsy, Traveller</w:t>
      </w:r>
      <w:r w:rsidR="002909AB">
        <w:t>,</w:t>
      </w:r>
      <w:r w:rsidR="002909AB" w:rsidRPr="002909AB">
        <w:t xml:space="preserve"> </w:t>
      </w:r>
      <w:r w:rsidR="002909AB">
        <w:t xml:space="preserve">Roma </w:t>
      </w:r>
      <w:r w:rsidR="005D5519">
        <w:t>or</w:t>
      </w:r>
      <w:r w:rsidR="005D5519" w:rsidRPr="00FB4940">
        <w:t xml:space="preserve"> </w:t>
      </w:r>
      <w:r w:rsidR="009729E8" w:rsidRPr="00FB4940">
        <w:t>Afr</w:t>
      </w:r>
      <w:r w:rsidR="003D5006">
        <w:t>o-</w:t>
      </w:r>
      <w:r w:rsidR="009729E8" w:rsidRPr="00FB4940">
        <w:t>Caribbean communities</w:t>
      </w:r>
      <w:r w:rsidR="00FC5A36" w:rsidRPr="00FB4940">
        <w:t>. The Commit</w:t>
      </w:r>
      <w:r w:rsidR="007970D0" w:rsidRPr="00FB4940">
        <w:t xml:space="preserve">tee also expresses concern at the lack of </w:t>
      </w:r>
      <w:r w:rsidR="001E4622" w:rsidRPr="00FB4940">
        <w:t xml:space="preserve">balanced teaching </w:t>
      </w:r>
      <w:r w:rsidR="009C4607" w:rsidRPr="00FB4940">
        <w:t xml:space="preserve">in the State party’s schools </w:t>
      </w:r>
      <w:r w:rsidR="001E4622" w:rsidRPr="00FB4940">
        <w:t xml:space="preserve">about the </w:t>
      </w:r>
      <w:r w:rsidR="00942167" w:rsidRPr="00FB4940">
        <w:t xml:space="preserve">history of </w:t>
      </w:r>
      <w:r w:rsidR="00842C29" w:rsidRPr="00FB4940">
        <w:t>the British Empire</w:t>
      </w:r>
      <w:r w:rsidR="00566985" w:rsidRPr="00FB4940">
        <w:t xml:space="preserve"> and colonialism</w:t>
      </w:r>
      <w:r w:rsidR="00842C29" w:rsidRPr="00FB4940">
        <w:t xml:space="preserve">, </w:t>
      </w:r>
      <w:r w:rsidR="00987D3E" w:rsidRPr="00FB4940">
        <w:t>part</w:t>
      </w:r>
      <w:r w:rsidR="00E17C36" w:rsidRPr="00FB4940">
        <w:t>i</w:t>
      </w:r>
      <w:r w:rsidR="00002985" w:rsidRPr="00FB4940">
        <w:t xml:space="preserve">cularly </w:t>
      </w:r>
      <w:r w:rsidR="0071226A">
        <w:t>in</w:t>
      </w:r>
      <w:r w:rsidR="0071226A" w:rsidRPr="00FB4940">
        <w:t xml:space="preserve"> </w:t>
      </w:r>
      <w:r w:rsidR="00002985" w:rsidRPr="00FB4940">
        <w:t xml:space="preserve">regard to slavery </w:t>
      </w:r>
      <w:r w:rsidR="009729E8" w:rsidRPr="00FB4940">
        <w:t>(arts.</w:t>
      </w:r>
      <w:r w:rsidR="0067435E">
        <w:t> </w:t>
      </w:r>
      <w:r w:rsidR="009729E8" w:rsidRPr="00FB4940">
        <w:t>2 and</w:t>
      </w:r>
      <w:r w:rsidR="009204B0">
        <w:t> </w:t>
      </w:r>
      <w:r w:rsidR="009729E8" w:rsidRPr="00FB4940">
        <w:t xml:space="preserve">5). </w:t>
      </w:r>
    </w:p>
    <w:p w:rsidR="00561185" w:rsidRPr="00FB4940" w:rsidRDefault="00F46FC1" w:rsidP="00F46FC1">
      <w:pPr>
        <w:pStyle w:val="SingleTxtG"/>
        <w:rPr>
          <w:b/>
        </w:rPr>
      </w:pPr>
      <w:r w:rsidRPr="00FB4940">
        <w:rPr>
          <w:bCs/>
        </w:rPr>
        <w:t>35.</w:t>
      </w:r>
      <w:r w:rsidRPr="00FB4940">
        <w:rPr>
          <w:bCs/>
        </w:rPr>
        <w:tab/>
      </w:r>
      <w:r w:rsidR="009729E8" w:rsidRPr="00FB4940">
        <w:rPr>
          <w:b/>
        </w:rPr>
        <w:t>The Committee recommends that the State party</w:t>
      </w:r>
      <w:r w:rsidR="00561185" w:rsidRPr="00FB4940">
        <w:rPr>
          <w:b/>
        </w:rPr>
        <w:t xml:space="preserve">: </w:t>
      </w:r>
    </w:p>
    <w:p w:rsidR="00561185" w:rsidRPr="00580AE5" w:rsidRDefault="005F5E2C" w:rsidP="00F46FC1">
      <w:pPr>
        <w:pStyle w:val="SingleTxtG"/>
        <w:ind w:firstLine="567"/>
        <w:rPr>
          <w:b/>
        </w:rPr>
      </w:pPr>
      <w:r w:rsidRPr="00F46FC1">
        <w:rPr>
          <w:bCs/>
        </w:rPr>
        <w:t>(a)</w:t>
      </w:r>
      <w:r>
        <w:rPr>
          <w:b/>
        </w:rPr>
        <w:tab/>
      </w:r>
      <w:r w:rsidR="00561185" w:rsidRPr="00580AE5">
        <w:rPr>
          <w:b/>
        </w:rPr>
        <w:t>S</w:t>
      </w:r>
      <w:r w:rsidR="009729E8" w:rsidRPr="00580AE5">
        <w:rPr>
          <w:b/>
        </w:rPr>
        <w:t xml:space="preserve">trengthen efforts to eliminate all racist bullying and harassment in the State party’s schools, </w:t>
      </w:r>
      <w:r w:rsidR="004450A6" w:rsidRPr="00580AE5">
        <w:rPr>
          <w:b/>
        </w:rPr>
        <w:t xml:space="preserve">including by </w:t>
      </w:r>
      <w:r w:rsidR="002461B9" w:rsidRPr="00580AE5">
        <w:rPr>
          <w:b/>
        </w:rPr>
        <w:t xml:space="preserve">requiring schools </w:t>
      </w:r>
      <w:r w:rsidR="00E209F8" w:rsidRPr="00580AE5">
        <w:rPr>
          <w:b/>
        </w:rPr>
        <w:t xml:space="preserve">to collect qualitative and quantitative </w:t>
      </w:r>
      <w:r w:rsidR="00175D50" w:rsidRPr="00580AE5">
        <w:rPr>
          <w:b/>
        </w:rPr>
        <w:t>data on bullying</w:t>
      </w:r>
      <w:r w:rsidR="00EE26BD" w:rsidRPr="00580AE5">
        <w:rPr>
          <w:b/>
        </w:rPr>
        <w:t xml:space="preserve"> and </w:t>
      </w:r>
      <w:r w:rsidR="0071226A">
        <w:rPr>
          <w:b/>
        </w:rPr>
        <w:t>exclusions from school</w:t>
      </w:r>
      <w:r w:rsidR="00175D50" w:rsidRPr="00580AE5">
        <w:rPr>
          <w:b/>
        </w:rPr>
        <w:t xml:space="preserve"> on </w:t>
      </w:r>
      <w:r w:rsidR="0071226A">
        <w:rPr>
          <w:b/>
        </w:rPr>
        <w:t xml:space="preserve">the </w:t>
      </w:r>
      <w:r w:rsidR="00DD1E84" w:rsidRPr="00580AE5">
        <w:rPr>
          <w:b/>
        </w:rPr>
        <w:t>grounds</w:t>
      </w:r>
      <w:r w:rsidR="00175D50" w:rsidRPr="00580AE5">
        <w:rPr>
          <w:b/>
        </w:rPr>
        <w:t xml:space="preserve"> of race, colour, descent, or national or ethnic origin</w:t>
      </w:r>
      <w:r w:rsidR="00A9211F" w:rsidRPr="00580AE5">
        <w:rPr>
          <w:b/>
        </w:rPr>
        <w:t>, and to use the data</w:t>
      </w:r>
      <w:r w:rsidR="00561185" w:rsidRPr="00580AE5">
        <w:rPr>
          <w:b/>
        </w:rPr>
        <w:t xml:space="preserve"> to develop concrete strategies; </w:t>
      </w:r>
    </w:p>
    <w:p w:rsidR="00263455" w:rsidRPr="00580AE5" w:rsidRDefault="005F5E2C" w:rsidP="00F46FC1">
      <w:pPr>
        <w:pStyle w:val="SingleTxtG"/>
        <w:ind w:firstLine="567"/>
        <w:rPr>
          <w:b/>
        </w:rPr>
      </w:pPr>
      <w:r w:rsidRPr="00F46FC1">
        <w:rPr>
          <w:bCs/>
        </w:rPr>
        <w:t>(b)</w:t>
      </w:r>
      <w:r>
        <w:rPr>
          <w:b/>
        </w:rPr>
        <w:tab/>
      </w:r>
      <w:r w:rsidR="00561185" w:rsidRPr="00580AE5">
        <w:rPr>
          <w:b/>
        </w:rPr>
        <w:t>E</w:t>
      </w:r>
      <w:r w:rsidR="00101D1D" w:rsidRPr="00580AE5">
        <w:rPr>
          <w:b/>
        </w:rPr>
        <w:t xml:space="preserve">nsure that </w:t>
      </w:r>
      <w:r w:rsidR="009729E8" w:rsidRPr="00580AE5">
        <w:rPr>
          <w:b/>
        </w:rPr>
        <w:t xml:space="preserve">schools comply with their public sector equality duty under the Equality Act 2010 </w:t>
      </w:r>
      <w:r w:rsidR="00297AAE" w:rsidRPr="00580AE5">
        <w:rPr>
          <w:b/>
        </w:rPr>
        <w:t xml:space="preserve">and </w:t>
      </w:r>
      <w:r w:rsidR="00436D5D">
        <w:rPr>
          <w:b/>
        </w:rPr>
        <w:t>s</w:t>
      </w:r>
      <w:r w:rsidR="00B61DA2" w:rsidRPr="00580AE5">
        <w:rPr>
          <w:b/>
        </w:rPr>
        <w:t>ection 75 of the Northern Ireland Act 1998 </w:t>
      </w:r>
      <w:r w:rsidR="009729E8" w:rsidRPr="00580AE5">
        <w:rPr>
          <w:b/>
        </w:rPr>
        <w:t>to challenge racist bullying and to promote respect for diversity</w:t>
      </w:r>
      <w:r w:rsidR="00C647B8" w:rsidRPr="00580AE5">
        <w:rPr>
          <w:b/>
        </w:rPr>
        <w:t xml:space="preserve">, including through the training of </w:t>
      </w:r>
      <w:r w:rsidR="006B7151" w:rsidRPr="00580AE5">
        <w:rPr>
          <w:b/>
        </w:rPr>
        <w:t>educationa</w:t>
      </w:r>
      <w:r w:rsidR="00263455" w:rsidRPr="00580AE5">
        <w:rPr>
          <w:b/>
        </w:rPr>
        <w:t xml:space="preserve">l personnel; </w:t>
      </w:r>
    </w:p>
    <w:p w:rsidR="009729E8" w:rsidRPr="00580AE5" w:rsidRDefault="005F5E2C" w:rsidP="00F46FC1">
      <w:pPr>
        <w:pStyle w:val="SingleTxtG"/>
        <w:ind w:firstLine="567"/>
        <w:rPr>
          <w:b/>
        </w:rPr>
      </w:pPr>
      <w:r w:rsidRPr="00F46FC1">
        <w:rPr>
          <w:bCs/>
        </w:rPr>
        <w:t>(c)</w:t>
      </w:r>
      <w:r>
        <w:rPr>
          <w:b/>
        </w:rPr>
        <w:tab/>
      </w:r>
      <w:r w:rsidR="00263455" w:rsidRPr="00580AE5">
        <w:rPr>
          <w:b/>
        </w:rPr>
        <w:t>E</w:t>
      </w:r>
      <w:r w:rsidR="00DB3433" w:rsidRPr="00580AE5">
        <w:rPr>
          <w:b/>
        </w:rPr>
        <w:t xml:space="preserve">nsure that </w:t>
      </w:r>
      <w:r w:rsidR="004538A0" w:rsidRPr="00580AE5">
        <w:rPr>
          <w:b/>
        </w:rPr>
        <w:t xml:space="preserve">the school curricula across its jurisdiction contain </w:t>
      </w:r>
      <w:r w:rsidR="00A960F3" w:rsidRPr="00580AE5">
        <w:rPr>
          <w:b/>
        </w:rPr>
        <w:t xml:space="preserve">a balanced account of the history of the British Empire and </w:t>
      </w:r>
      <w:r w:rsidR="00A24E72" w:rsidRPr="00580AE5">
        <w:rPr>
          <w:b/>
        </w:rPr>
        <w:t>c</w:t>
      </w:r>
      <w:r w:rsidR="00A960F3" w:rsidRPr="00580AE5">
        <w:rPr>
          <w:b/>
        </w:rPr>
        <w:t xml:space="preserve">olonialism, including </w:t>
      </w:r>
      <w:r w:rsidR="00436D5D">
        <w:rPr>
          <w:b/>
        </w:rPr>
        <w:t xml:space="preserve">of </w:t>
      </w:r>
      <w:r w:rsidR="00887004" w:rsidRPr="00580AE5">
        <w:rPr>
          <w:b/>
        </w:rPr>
        <w:t xml:space="preserve">slavery and other grave human rights violations. </w:t>
      </w:r>
    </w:p>
    <w:p w:rsidR="00035DF6" w:rsidRPr="00035DF6" w:rsidRDefault="00580AE5" w:rsidP="00580AE5">
      <w:pPr>
        <w:pStyle w:val="H23G"/>
      </w:pPr>
      <w:r>
        <w:tab/>
      </w:r>
      <w:r>
        <w:tab/>
      </w:r>
      <w:r w:rsidR="00797FA0">
        <w:t>R</w:t>
      </w:r>
      <w:r w:rsidR="00B1282F">
        <w:t xml:space="preserve">acism </w:t>
      </w:r>
      <w:r w:rsidR="00797FA0">
        <w:t xml:space="preserve">and sectarianism </w:t>
      </w:r>
      <w:r w:rsidR="00B1282F">
        <w:t xml:space="preserve">in Northern Ireland </w:t>
      </w:r>
    </w:p>
    <w:p w:rsidR="00763DEA" w:rsidRDefault="00F46FC1" w:rsidP="00F46FC1">
      <w:pPr>
        <w:pStyle w:val="SingleTxtG"/>
      </w:pPr>
      <w:r>
        <w:rPr>
          <w:bCs/>
        </w:rPr>
        <w:t>36.</w:t>
      </w:r>
      <w:r>
        <w:rPr>
          <w:bCs/>
        </w:rPr>
        <w:tab/>
      </w:r>
      <w:r w:rsidR="00047694">
        <w:t xml:space="preserve">The Committee notes the complex interplay between </w:t>
      </w:r>
      <w:r w:rsidR="00767B3C">
        <w:t xml:space="preserve">racism and </w:t>
      </w:r>
      <w:r w:rsidR="00047694">
        <w:t>sectarianism in Northern Ireland and</w:t>
      </w:r>
      <w:r w:rsidR="00EB75FA">
        <w:t xml:space="preserve"> welcomes</w:t>
      </w:r>
      <w:r w:rsidR="00047694">
        <w:t xml:space="preserve"> the adoption </w:t>
      </w:r>
      <w:r w:rsidR="00A556F6">
        <w:t xml:space="preserve">in May 2013 </w:t>
      </w:r>
      <w:r w:rsidR="00047694">
        <w:t>of</w:t>
      </w:r>
      <w:r w:rsidR="00A556F6">
        <w:t xml:space="preserve"> the</w:t>
      </w:r>
      <w:r w:rsidR="00047694">
        <w:t xml:space="preserve"> </w:t>
      </w:r>
      <w:r w:rsidR="00082ABA">
        <w:t>“</w:t>
      </w:r>
      <w:r w:rsidR="00047694">
        <w:t>Together: Building a United Community</w:t>
      </w:r>
      <w:r w:rsidR="00082ABA">
        <w:t>”</w:t>
      </w:r>
      <w:r w:rsidR="00047694">
        <w:t xml:space="preserve"> </w:t>
      </w:r>
      <w:r w:rsidR="00A556F6">
        <w:t>s</w:t>
      </w:r>
      <w:r w:rsidR="00047694">
        <w:t>trategy to tackle racism</w:t>
      </w:r>
      <w:r w:rsidR="00F12FF2">
        <w:t>,</w:t>
      </w:r>
      <w:r w:rsidR="00F12FF2" w:rsidRPr="00F12FF2">
        <w:t xml:space="preserve"> </w:t>
      </w:r>
      <w:r w:rsidR="00F12FF2">
        <w:t>sectarianism</w:t>
      </w:r>
      <w:r w:rsidR="00047694">
        <w:t xml:space="preserve"> and other forms of intolerance. </w:t>
      </w:r>
      <w:r w:rsidR="00082ABA">
        <w:t>However, t</w:t>
      </w:r>
      <w:r w:rsidR="00047694">
        <w:t xml:space="preserve">he Committee </w:t>
      </w:r>
      <w:r w:rsidR="00763DEA">
        <w:t xml:space="preserve">reiterates its </w:t>
      </w:r>
      <w:r w:rsidR="006C3A2B">
        <w:t>previously expressed concern</w:t>
      </w:r>
      <w:r w:rsidR="00763DEA">
        <w:t xml:space="preserve"> that </w:t>
      </w:r>
      <w:r w:rsidR="00D2061E">
        <w:t xml:space="preserve">measures to tackle </w:t>
      </w:r>
      <w:r w:rsidR="00192CCE">
        <w:t>racism and</w:t>
      </w:r>
      <w:r w:rsidR="00F12FF2">
        <w:t xml:space="preserve"> </w:t>
      </w:r>
      <w:r w:rsidR="00D2061E">
        <w:t xml:space="preserve">sectarianism </w:t>
      </w:r>
      <w:r w:rsidR="006C267D">
        <w:t>are</w:t>
      </w:r>
      <w:r w:rsidR="00D2061E">
        <w:t xml:space="preserve"> kept outside </w:t>
      </w:r>
      <w:r w:rsidR="00AC5C43">
        <w:t xml:space="preserve">of </w:t>
      </w:r>
      <w:r w:rsidR="00D2061E">
        <w:t xml:space="preserve">the framework of </w:t>
      </w:r>
      <w:r w:rsidR="00994874">
        <w:t xml:space="preserve">the </w:t>
      </w:r>
      <w:r w:rsidR="00D2061E">
        <w:t xml:space="preserve">protections against discrimination provided by the Convention and the Durban </w:t>
      </w:r>
      <w:r w:rsidR="00AC5C43">
        <w:t xml:space="preserve">Declaration and </w:t>
      </w:r>
      <w:r w:rsidR="00D2061E">
        <w:t>Programme of Action</w:t>
      </w:r>
      <w:r w:rsidR="00241FEE">
        <w:t xml:space="preserve"> (arts.</w:t>
      </w:r>
      <w:r w:rsidR="00580AE5">
        <w:t> </w:t>
      </w:r>
      <w:r w:rsidR="00241FEE">
        <w:t>2 and 4)</w:t>
      </w:r>
      <w:r w:rsidR="00D2061E">
        <w:t>.</w:t>
      </w:r>
    </w:p>
    <w:p w:rsidR="00331536" w:rsidRDefault="00F46FC1" w:rsidP="00F46FC1">
      <w:pPr>
        <w:pStyle w:val="SingleTxtG"/>
        <w:rPr>
          <w:b/>
        </w:rPr>
      </w:pPr>
      <w:r>
        <w:rPr>
          <w:bCs/>
        </w:rPr>
        <w:t>37.</w:t>
      </w:r>
      <w:r>
        <w:rPr>
          <w:bCs/>
        </w:rPr>
        <w:tab/>
      </w:r>
      <w:r w:rsidR="00241FEE" w:rsidRPr="00241FEE">
        <w:rPr>
          <w:b/>
        </w:rPr>
        <w:t xml:space="preserve">The Committee recommends that the </w:t>
      </w:r>
      <w:r w:rsidR="00241FEE">
        <w:rPr>
          <w:b/>
        </w:rPr>
        <w:t xml:space="preserve">State party </w:t>
      </w:r>
      <w:r w:rsidR="00331536">
        <w:rPr>
          <w:b/>
        </w:rPr>
        <w:t>consider the standards, duties and actions prescribed by the Convention and the Durban Declaration and Programme of Action on interse</w:t>
      </w:r>
      <w:r w:rsidR="00D358EC">
        <w:rPr>
          <w:b/>
        </w:rPr>
        <w:t>ctionality between ethnic origi</w:t>
      </w:r>
      <w:r w:rsidR="00331536">
        <w:rPr>
          <w:b/>
        </w:rPr>
        <w:t xml:space="preserve">n, religion and other forms of discrimination </w:t>
      </w:r>
      <w:r w:rsidR="00D358EC">
        <w:rPr>
          <w:b/>
        </w:rPr>
        <w:t xml:space="preserve">in its </w:t>
      </w:r>
      <w:r w:rsidR="00C94D63">
        <w:rPr>
          <w:b/>
        </w:rPr>
        <w:t xml:space="preserve">measures to combat </w:t>
      </w:r>
      <w:r w:rsidR="002A360A">
        <w:rPr>
          <w:b/>
        </w:rPr>
        <w:t xml:space="preserve">racism and </w:t>
      </w:r>
      <w:r w:rsidR="00C94D63">
        <w:rPr>
          <w:b/>
        </w:rPr>
        <w:t xml:space="preserve">sectarianism. It requests </w:t>
      </w:r>
      <w:r w:rsidR="00390ADC">
        <w:rPr>
          <w:b/>
        </w:rPr>
        <w:t xml:space="preserve">that </w:t>
      </w:r>
      <w:r w:rsidR="00C94D63">
        <w:rPr>
          <w:b/>
        </w:rPr>
        <w:t>the State party provide</w:t>
      </w:r>
      <w:r w:rsidR="003527A7">
        <w:rPr>
          <w:b/>
        </w:rPr>
        <w:t xml:space="preserve"> information</w:t>
      </w:r>
      <w:r w:rsidR="00562AB0">
        <w:rPr>
          <w:b/>
        </w:rPr>
        <w:t xml:space="preserve">, in </w:t>
      </w:r>
      <w:r w:rsidR="00390ADC">
        <w:rPr>
          <w:b/>
        </w:rPr>
        <w:t xml:space="preserve">its </w:t>
      </w:r>
      <w:r w:rsidR="00562AB0">
        <w:rPr>
          <w:b/>
        </w:rPr>
        <w:t>next periodic report,</w:t>
      </w:r>
      <w:r w:rsidR="001401EF">
        <w:rPr>
          <w:b/>
        </w:rPr>
        <w:t xml:space="preserve"> on </w:t>
      </w:r>
      <w:r w:rsidR="00562AB0">
        <w:rPr>
          <w:b/>
        </w:rPr>
        <w:t xml:space="preserve">concrete measures </w:t>
      </w:r>
      <w:r w:rsidR="001401EF">
        <w:rPr>
          <w:b/>
        </w:rPr>
        <w:t xml:space="preserve">adopted </w:t>
      </w:r>
      <w:r w:rsidR="00562AB0">
        <w:rPr>
          <w:b/>
        </w:rPr>
        <w:t xml:space="preserve">to address racial discrimination in Northern Ireland, and on the impact of the </w:t>
      </w:r>
      <w:r w:rsidR="00082ABA">
        <w:rPr>
          <w:b/>
        </w:rPr>
        <w:t>“</w:t>
      </w:r>
      <w:r w:rsidR="00562AB0">
        <w:rPr>
          <w:b/>
        </w:rPr>
        <w:t>Together: Building a United Community</w:t>
      </w:r>
      <w:r w:rsidR="00082ABA">
        <w:rPr>
          <w:b/>
        </w:rPr>
        <w:t>”</w:t>
      </w:r>
      <w:r w:rsidR="00562AB0">
        <w:rPr>
          <w:b/>
        </w:rPr>
        <w:t xml:space="preserve"> </w:t>
      </w:r>
      <w:r w:rsidR="00082ABA">
        <w:rPr>
          <w:b/>
        </w:rPr>
        <w:t>s</w:t>
      </w:r>
      <w:r w:rsidR="00562AB0">
        <w:rPr>
          <w:b/>
        </w:rPr>
        <w:t xml:space="preserve">trategy in addressing discrimination experienced by </w:t>
      </w:r>
      <w:r w:rsidR="007323C1">
        <w:rPr>
          <w:b/>
        </w:rPr>
        <w:t xml:space="preserve">members of </w:t>
      </w:r>
      <w:r w:rsidR="00562AB0">
        <w:rPr>
          <w:b/>
        </w:rPr>
        <w:t>ethnic minority groups</w:t>
      </w:r>
      <w:r w:rsidR="00C96C7B">
        <w:rPr>
          <w:b/>
        </w:rPr>
        <w:t xml:space="preserve">. </w:t>
      </w:r>
    </w:p>
    <w:p w:rsidR="0063083A" w:rsidRPr="0063083A" w:rsidRDefault="00580AE5" w:rsidP="00580AE5">
      <w:pPr>
        <w:pStyle w:val="H23G"/>
      </w:pPr>
      <w:r>
        <w:tab/>
      </w:r>
      <w:r>
        <w:tab/>
      </w:r>
      <w:r w:rsidR="0063083A" w:rsidRPr="0063083A">
        <w:t xml:space="preserve">Immigration detention </w:t>
      </w:r>
    </w:p>
    <w:p w:rsidR="0063083A" w:rsidRDefault="00F46FC1" w:rsidP="00F46FC1">
      <w:pPr>
        <w:pStyle w:val="SingleTxtG"/>
      </w:pPr>
      <w:r>
        <w:rPr>
          <w:bCs/>
        </w:rPr>
        <w:t>38.</w:t>
      </w:r>
      <w:r>
        <w:rPr>
          <w:bCs/>
        </w:rPr>
        <w:tab/>
      </w:r>
      <w:r w:rsidR="0063083A">
        <w:t xml:space="preserve">The Committee expresses concern </w:t>
      </w:r>
      <w:r w:rsidR="00045AEE">
        <w:t>at the use of immigration detention with no statutory time limit</w:t>
      </w:r>
      <w:r w:rsidR="00DA5F04">
        <w:t xml:space="preserve">, and that </w:t>
      </w:r>
      <w:r w:rsidR="007D62D6">
        <w:t>children continue to be held in immigration detention facilities (arts. 2, 5 and 6).</w:t>
      </w:r>
      <w:r w:rsidR="00045AEE">
        <w:t xml:space="preserve"> </w:t>
      </w:r>
    </w:p>
    <w:p w:rsidR="004F4BF6" w:rsidRDefault="00F46FC1" w:rsidP="00F46FC1">
      <w:pPr>
        <w:pStyle w:val="SingleTxtG"/>
        <w:rPr>
          <w:b/>
        </w:rPr>
      </w:pPr>
      <w:r>
        <w:rPr>
          <w:bCs/>
        </w:rPr>
        <w:t>39.</w:t>
      </w:r>
      <w:r>
        <w:rPr>
          <w:bCs/>
        </w:rPr>
        <w:tab/>
      </w:r>
      <w:r w:rsidR="004F4BF6">
        <w:rPr>
          <w:b/>
        </w:rPr>
        <w:t>Recalling its g</w:t>
      </w:r>
      <w:r w:rsidR="004F4BF6" w:rsidRPr="004F4BF6">
        <w:rPr>
          <w:b/>
        </w:rPr>
        <w:t>eneral recommendation No. 30 (2004) on discrimination against non-citizens</w:t>
      </w:r>
      <w:r w:rsidR="00DB5D81">
        <w:rPr>
          <w:b/>
        </w:rPr>
        <w:t xml:space="preserve">, the Committee </w:t>
      </w:r>
      <w:r w:rsidR="007D62D6">
        <w:rPr>
          <w:b/>
        </w:rPr>
        <w:t>recommends that the State party establish a statutory time limit on the duration of immigration detention and ensure that detention is used as a measure of last resort</w:t>
      </w:r>
      <w:r w:rsidR="00B54053">
        <w:rPr>
          <w:b/>
        </w:rPr>
        <w:t>, and take further steps to end the immigration detention of children</w:t>
      </w:r>
      <w:r w:rsidR="007D62D6">
        <w:rPr>
          <w:b/>
        </w:rPr>
        <w:t xml:space="preserve">. The State party should also ensure that individuals who are held in immigration detention facilities </w:t>
      </w:r>
      <w:r w:rsidR="00677893">
        <w:rPr>
          <w:b/>
        </w:rPr>
        <w:t xml:space="preserve">have effective access to justice, including legal aid. </w:t>
      </w:r>
    </w:p>
    <w:p w:rsidR="00F35A52" w:rsidRDefault="00580AE5" w:rsidP="00580AE5">
      <w:pPr>
        <w:pStyle w:val="H23G"/>
      </w:pPr>
      <w:r>
        <w:tab/>
      </w:r>
      <w:r>
        <w:tab/>
      </w:r>
      <w:r w:rsidR="00F35A52">
        <w:t xml:space="preserve">Forcible eviction of </w:t>
      </w:r>
      <w:proofErr w:type="spellStart"/>
      <w:r w:rsidR="00F35A52">
        <w:t>Chagossians</w:t>
      </w:r>
      <w:proofErr w:type="spellEnd"/>
      <w:r w:rsidR="00F35A52">
        <w:t xml:space="preserve"> from Diego Garcia </w:t>
      </w:r>
    </w:p>
    <w:p w:rsidR="00F35A52" w:rsidRDefault="00F46FC1" w:rsidP="00F46FC1">
      <w:pPr>
        <w:pStyle w:val="SingleTxtG"/>
      </w:pPr>
      <w:r>
        <w:rPr>
          <w:bCs/>
        </w:rPr>
        <w:t>40.</w:t>
      </w:r>
      <w:r>
        <w:rPr>
          <w:bCs/>
        </w:rPr>
        <w:tab/>
      </w:r>
      <w:r w:rsidR="00F35A52">
        <w:t xml:space="preserve">The Committee regrets that no progress has been made </w:t>
      </w:r>
      <w:r w:rsidR="009415C7">
        <w:t>in</w:t>
      </w:r>
      <w:r w:rsidR="00F35A52">
        <w:t xml:space="preserve"> implement</w:t>
      </w:r>
      <w:r w:rsidR="009415C7">
        <w:t>ing</w:t>
      </w:r>
      <w:r w:rsidR="00F35A52">
        <w:t xml:space="preserve"> the Committee’s previous recommendation to withdraw all discriminatory restrictions on </w:t>
      </w:r>
      <w:proofErr w:type="spellStart"/>
      <w:r w:rsidR="00F35A52">
        <w:t>Chagossians</w:t>
      </w:r>
      <w:proofErr w:type="spellEnd"/>
      <w:r w:rsidR="00F35A52">
        <w:t xml:space="preserve"> (</w:t>
      </w:r>
      <w:proofErr w:type="spellStart"/>
      <w:r w:rsidR="00AB62BF" w:rsidRPr="00AB62BF">
        <w:t>Î</w:t>
      </w:r>
      <w:r w:rsidR="00F35A52">
        <w:t>lois</w:t>
      </w:r>
      <w:proofErr w:type="spellEnd"/>
      <w:r w:rsidR="00F35A52">
        <w:t>) from entering Diego Garcia or other islands</w:t>
      </w:r>
      <w:r w:rsidR="006F58B9">
        <w:t xml:space="preserve"> in the </w:t>
      </w:r>
      <w:proofErr w:type="spellStart"/>
      <w:r w:rsidR="006F58B9">
        <w:t>Chagos</w:t>
      </w:r>
      <w:proofErr w:type="spellEnd"/>
      <w:r w:rsidR="009415C7">
        <w:t xml:space="preserve"> Archipelago</w:t>
      </w:r>
      <w:r w:rsidR="00F35A52">
        <w:t xml:space="preserve"> (</w:t>
      </w:r>
      <w:r w:rsidR="009415C7">
        <w:t xml:space="preserve">see </w:t>
      </w:r>
      <w:r w:rsidR="00F35A52">
        <w:t>CERD/C/GBR/CO/18-20, para.</w:t>
      </w:r>
      <w:r w:rsidR="00B27578">
        <w:t> </w:t>
      </w:r>
      <w:r w:rsidR="00F35A52">
        <w:t>12), that the State party continues to maintain its position that the Convention does not apply to the British Indian Ocean Territory on the grounds that it has</w:t>
      </w:r>
      <w:r w:rsidR="00580AE5">
        <w:t xml:space="preserve"> no permanent population </w:t>
      </w:r>
      <w:r w:rsidR="00BA1391">
        <w:t xml:space="preserve">and that </w:t>
      </w:r>
      <w:r w:rsidR="00AB62BF">
        <w:t>the State party</w:t>
      </w:r>
      <w:r w:rsidR="00BA1391">
        <w:t xml:space="preserve"> has not yet extended the application of the Convention to the Territory </w:t>
      </w:r>
      <w:r w:rsidR="00580AE5">
        <w:t>(arts. </w:t>
      </w:r>
      <w:r w:rsidR="00F35A52">
        <w:t>2,</w:t>
      </w:r>
      <w:r w:rsidR="0067435E">
        <w:t> </w:t>
      </w:r>
      <w:r w:rsidR="00F35A52">
        <w:t xml:space="preserve">5 and 6). </w:t>
      </w:r>
    </w:p>
    <w:p w:rsidR="00F35A52" w:rsidRPr="00CA4146" w:rsidRDefault="00F46FC1" w:rsidP="00F46FC1">
      <w:pPr>
        <w:pStyle w:val="SingleTxtG"/>
        <w:rPr>
          <w:b/>
        </w:rPr>
      </w:pPr>
      <w:r w:rsidRPr="00CA4146">
        <w:rPr>
          <w:bCs/>
        </w:rPr>
        <w:t>41.</w:t>
      </w:r>
      <w:r w:rsidRPr="00CA4146">
        <w:rPr>
          <w:bCs/>
        </w:rPr>
        <w:tab/>
      </w:r>
      <w:r w:rsidR="00F35A52" w:rsidRPr="00CA4146">
        <w:rPr>
          <w:b/>
        </w:rPr>
        <w:t>Taking note of the decision</w:t>
      </w:r>
      <w:r w:rsidR="00AB62BF">
        <w:rPr>
          <w:b/>
        </w:rPr>
        <w:t xml:space="preserve">, adopted on </w:t>
      </w:r>
      <w:r w:rsidR="00BC389D">
        <w:rPr>
          <w:b/>
        </w:rPr>
        <w:t>18 March 2015,</w:t>
      </w:r>
      <w:r w:rsidR="00F35A52" w:rsidRPr="00CA4146">
        <w:rPr>
          <w:b/>
        </w:rPr>
        <w:t xml:space="preserve"> of the arbitral tribunal constituted </w:t>
      </w:r>
      <w:r w:rsidR="00F35A52">
        <w:rPr>
          <w:b/>
        </w:rPr>
        <w:t xml:space="preserve">under </w:t>
      </w:r>
      <w:r w:rsidR="00AB62BF">
        <w:rPr>
          <w:b/>
        </w:rPr>
        <w:t>a</w:t>
      </w:r>
      <w:r w:rsidR="00F35A52" w:rsidRPr="00CA4146">
        <w:rPr>
          <w:b/>
        </w:rPr>
        <w:t xml:space="preserve">nnex VII of the United Nations Convention on the Law of the Sea in the </w:t>
      </w:r>
      <w:r w:rsidR="00AB62BF">
        <w:rPr>
          <w:b/>
        </w:rPr>
        <w:t>m</w:t>
      </w:r>
      <w:r w:rsidR="00F35A52" w:rsidRPr="00CA4146">
        <w:rPr>
          <w:b/>
        </w:rPr>
        <w:t xml:space="preserve">atter of the </w:t>
      </w:r>
      <w:proofErr w:type="spellStart"/>
      <w:r w:rsidR="00F35A52" w:rsidRPr="00CA4146">
        <w:rPr>
          <w:b/>
        </w:rPr>
        <w:t>Chagos</w:t>
      </w:r>
      <w:proofErr w:type="spellEnd"/>
      <w:r w:rsidR="00F35A52" w:rsidRPr="00CA4146">
        <w:rPr>
          <w:b/>
        </w:rPr>
        <w:t xml:space="preserve"> Marine Protected Area </w:t>
      </w:r>
      <w:r w:rsidR="00F35A52">
        <w:rPr>
          <w:b/>
        </w:rPr>
        <w:t>A</w:t>
      </w:r>
      <w:r w:rsidR="00F35A52" w:rsidRPr="00CA4146">
        <w:rPr>
          <w:b/>
        </w:rPr>
        <w:t xml:space="preserve">rbitration, </w:t>
      </w:r>
      <w:r w:rsidR="00F35A52">
        <w:rPr>
          <w:b/>
        </w:rPr>
        <w:t>t</w:t>
      </w:r>
      <w:r w:rsidR="00F35A52" w:rsidRPr="00CA4146">
        <w:rPr>
          <w:b/>
        </w:rPr>
        <w:t>he Committee reiterates its previous recommendation (</w:t>
      </w:r>
      <w:r w:rsidR="00AB62BF">
        <w:rPr>
          <w:b/>
        </w:rPr>
        <w:t xml:space="preserve">see </w:t>
      </w:r>
      <w:r w:rsidR="00F35A52" w:rsidRPr="00CA4146">
        <w:rPr>
          <w:b/>
        </w:rPr>
        <w:t>CERD/C/GBR/CO/18-20, para.</w:t>
      </w:r>
      <w:r w:rsidR="009D1B41">
        <w:rPr>
          <w:b/>
        </w:rPr>
        <w:t> </w:t>
      </w:r>
      <w:r w:rsidR="00F35A52" w:rsidRPr="00CA4146">
        <w:rPr>
          <w:b/>
        </w:rPr>
        <w:t xml:space="preserve">12) that the State party has an obligation to ensure that the Convention is applicable in all territories under its control, including the British Indian Ocean Territory, and urges the State party to hold full and meaningful consultations with the </w:t>
      </w:r>
      <w:proofErr w:type="spellStart"/>
      <w:r w:rsidR="00F35A52" w:rsidRPr="00CA4146">
        <w:rPr>
          <w:b/>
        </w:rPr>
        <w:t>Chagossians</w:t>
      </w:r>
      <w:proofErr w:type="spellEnd"/>
      <w:r w:rsidR="00F35A52" w:rsidRPr="00CA4146">
        <w:rPr>
          <w:b/>
        </w:rPr>
        <w:t xml:space="preserve"> (</w:t>
      </w:r>
      <w:proofErr w:type="spellStart"/>
      <w:r w:rsidR="00AB62BF" w:rsidRPr="00AB62BF">
        <w:rPr>
          <w:b/>
        </w:rPr>
        <w:t>Î</w:t>
      </w:r>
      <w:r w:rsidR="00F35A52" w:rsidRPr="00CA4146">
        <w:rPr>
          <w:b/>
        </w:rPr>
        <w:t>lois</w:t>
      </w:r>
      <w:proofErr w:type="spellEnd"/>
      <w:r w:rsidR="00F35A52" w:rsidRPr="00CA4146">
        <w:rPr>
          <w:b/>
        </w:rPr>
        <w:t xml:space="preserve">) to facilitate their return to their islands and to provide them with an effective remedy, including compensation. </w:t>
      </w:r>
    </w:p>
    <w:p w:rsidR="00845997" w:rsidRDefault="00580AE5" w:rsidP="00580AE5">
      <w:pPr>
        <w:pStyle w:val="H23G"/>
      </w:pPr>
      <w:r>
        <w:tab/>
      </w:r>
      <w:r>
        <w:tab/>
      </w:r>
      <w:r w:rsidR="00845997">
        <w:t xml:space="preserve">Haitians in the Turks and Caicos Islands </w:t>
      </w:r>
    </w:p>
    <w:p w:rsidR="00845997" w:rsidRDefault="00F46FC1" w:rsidP="00F46FC1">
      <w:pPr>
        <w:pStyle w:val="SingleTxtG"/>
      </w:pPr>
      <w:r>
        <w:rPr>
          <w:bCs/>
        </w:rPr>
        <w:t>42.</w:t>
      </w:r>
      <w:r>
        <w:rPr>
          <w:bCs/>
        </w:rPr>
        <w:tab/>
      </w:r>
      <w:r w:rsidR="00845997">
        <w:t xml:space="preserve">The Committee expresses concern at the information contained in </w:t>
      </w:r>
      <w:r w:rsidR="007D1DD8">
        <w:t>a</w:t>
      </w:r>
      <w:r w:rsidR="00845997">
        <w:t xml:space="preserve">nnex C </w:t>
      </w:r>
      <w:r w:rsidR="001B062F">
        <w:t>to</w:t>
      </w:r>
      <w:r w:rsidR="00845997">
        <w:t xml:space="preserve"> the State party report concerning the situation of persons of Haitian nationality in the Turks and Caicos Islands, who encounter hostility from the local communities and face discriminatory treatment, including </w:t>
      </w:r>
      <w:r w:rsidR="007D1DD8">
        <w:t xml:space="preserve">in </w:t>
      </w:r>
      <w:r w:rsidR="00845997">
        <w:t>regard to access to schools, health care and birth certificates (arts.</w:t>
      </w:r>
      <w:r w:rsidR="00580AE5">
        <w:t> </w:t>
      </w:r>
      <w:r w:rsidR="00845997">
        <w:t>2 and 5).</w:t>
      </w:r>
      <w:r w:rsidR="001D4309">
        <w:t xml:space="preserve"> </w:t>
      </w:r>
    </w:p>
    <w:p w:rsidR="00845997" w:rsidRDefault="00F46FC1" w:rsidP="00F46FC1">
      <w:pPr>
        <w:pStyle w:val="SingleTxtG"/>
        <w:rPr>
          <w:b/>
        </w:rPr>
      </w:pPr>
      <w:r>
        <w:rPr>
          <w:bCs/>
        </w:rPr>
        <w:t>43.</w:t>
      </w:r>
      <w:r>
        <w:rPr>
          <w:bCs/>
        </w:rPr>
        <w:tab/>
      </w:r>
      <w:r w:rsidR="00845997" w:rsidRPr="00170E0F">
        <w:rPr>
          <w:b/>
        </w:rPr>
        <w:t xml:space="preserve">The Committee </w:t>
      </w:r>
      <w:r w:rsidR="00845997">
        <w:rPr>
          <w:b/>
        </w:rPr>
        <w:t xml:space="preserve">welcomes the commitment expressed by the </w:t>
      </w:r>
      <w:r w:rsidR="001B062F">
        <w:rPr>
          <w:b/>
        </w:rPr>
        <w:t xml:space="preserve">delegation of the </w:t>
      </w:r>
      <w:r w:rsidR="00845997">
        <w:rPr>
          <w:b/>
        </w:rPr>
        <w:t xml:space="preserve">State party to support the local authorities and the Turks and Caicos Islands </w:t>
      </w:r>
      <w:r w:rsidR="00F032FE">
        <w:rPr>
          <w:b/>
        </w:rPr>
        <w:t xml:space="preserve">Human Rights Commission </w:t>
      </w:r>
      <w:r w:rsidR="00845997">
        <w:rPr>
          <w:b/>
        </w:rPr>
        <w:t xml:space="preserve">in their efforts to combat all forms of racial discrimination against persons of Haitian nationality. The Committee requests the State party to provide, in its next periodic report, updated and detailed information on the situation of Haitians in the Turks and Caicos Islands, as part of its report on the situation of the British </w:t>
      </w:r>
      <w:r w:rsidR="0057428B">
        <w:rPr>
          <w:b/>
        </w:rPr>
        <w:t>o</w:t>
      </w:r>
      <w:r w:rsidR="00845997">
        <w:rPr>
          <w:b/>
        </w:rPr>
        <w:t xml:space="preserve">verseas </w:t>
      </w:r>
      <w:r w:rsidR="0057428B">
        <w:rPr>
          <w:b/>
        </w:rPr>
        <w:t>t</w:t>
      </w:r>
      <w:r w:rsidR="00845997">
        <w:rPr>
          <w:b/>
        </w:rPr>
        <w:t xml:space="preserve">erritories. </w:t>
      </w:r>
    </w:p>
    <w:p w:rsidR="004C2DA4" w:rsidRPr="008C65F0" w:rsidRDefault="004C2DA4" w:rsidP="004C2DA4">
      <w:pPr>
        <w:pStyle w:val="H1G"/>
      </w:pPr>
      <w:r>
        <w:tab/>
        <w:t>D.</w:t>
      </w:r>
      <w:r>
        <w:tab/>
      </w:r>
      <w:r w:rsidRPr="008C65F0">
        <w:t>Other recommendations</w:t>
      </w:r>
    </w:p>
    <w:p w:rsidR="009B6C3E" w:rsidRPr="009B6C3E" w:rsidRDefault="004C2DA4" w:rsidP="009B6C3E">
      <w:pPr>
        <w:pStyle w:val="H23G"/>
      </w:pPr>
      <w:r w:rsidRPr="008C65F0">
        <w:tab/>
      </w:r>
      <w:r w:rsidR="009B6C3E" w:rsidRPr="009B6C3E">
        <w:tab/>
        <w:t>Declaration under article 14 of the Convention</w:t>
      </w:r>
    </w:p>
    <w:p w:rsidR="009B6C3E" w:rsidRPr="00F46FC1" w:rsidRDefault="00F46FC1" w:rsidP="00F46FC1">
      <w:pPr>
        <w:pStyle w:val="SingleTxtG"/>
        <w:rPr>
          <w:b/>
          <w:lang w:val="en-US"/>
        </w:rPr>
      </w:pPr>
      <w:r w:rsidRPr="00F46FC1">
        <w:rPr>
          <w:bCs/>
          <w:lang w:val="en-US"/>
        </w:rPr>
        <w:t>44.</w:t>
      </w:r>
      <w:r w:rsidRPr="00F46FC1">
        <w:rPr>
          <w:bCs/>
          <w:lang w:val="en-US"/>
        </w:rPr>
        <w:tab/>
      </w:r>
      <w:r w:rsidR="009B6C3E" w:rsidRPr="00F46FC1">
        <w:rPr>
          <w:b/>
        </w:rPr>
        <w:t>The Committee encourages the State party to make the optional declaration provided for in article 14 of the</w:t>
      </w:r>
      <w:r w:rsidR="009B6C3E" w:rsidRPr="00F46FC1">
        <w:rPr>
          <w:b/>
          <w:lang w:val="en-US"/>
        </w:rPr>
        <w:t xml:space="preserve"> Convention recognizing the competence of the Committee to receive and consider individual communications.</w:t>
      </w:r>
    </w:p>
    <w:p w:rsidR="00527F1E" w:rsidRPr="00F46FC1" w:rsidRDefault="00527F1E" w:rsidP="00527F1E">
      <w:pPr>
        <w:pStyle w:val="H23G"/>
      </w:pPr>
      <w:r w:rsidRPr="000963A3">
        <w:tab/>
      </w:r>
      <w:r w:rsidRPr="000963A3">
        <w:tab/>
        <w:t>Consultations with civil society</w:t>
      </w:r>
    </w:p>
    <w:p w:rsidR="00527F1E" w:rsidRPr="00F46FC1" w:rsidRDefault="00F46FC1" w:rsidP="00F46FC1">
      <w:pPr>
        <w:pStyle w:val="SingleTxtG"/>
        <w:rPr>
          <w:b/>
        </w:rPr>
      </w:pPr>
      <w:r w:rsidRPr="00F46FC1">
        <w:rPr>
          <w:bCs/>
        </w:rPr>
        <w:t>45.</w:t>
      </w:r>
      <w:r w:rsidRPr="00F46FC1">
        <w:rPr>
          <w:bCs/>
        </w:rPr>
        <w:tab/>
      </w:r>
      <w:r w:rsidR="00527F1E" w:rsidRPr="00F46FC1">
        <w:rPr>
          <w:b/>
        </w:rPr>
        <w:t xml:space="preserve">The Committee recommends that the State party undertake meaningful and effective consultations with civil society organizations working in the area of human rights protection, in particular those working to combat racial discrimination, in connection with the preparation of the next periodic report and in </w:t>
      </w:r>
      <w:r w:rsidR="00656486" w:rsidRPr="00F46FC1">
        <w:rPr>
          <w:b/>
        </w:rPr>
        <w:t xml:space="preserve">the </w:t>
      </w:r>
      <w:r w:rsidR="00527F1E" w:rsidRPr="00F46FC1">
        <w:rPr>
          <w:b/>
        </w:rPr>
        <w:t>follow-up to the present concluding observations.</w:t>
      </w:r>
    </w:p>
    <w:p w:rsidR="004C2DA4" w:rsidRPr="000963A3" w:rsidRDefault="009B6C3E" w:rsidP="004C2DA4">
      <w:pPr>
        <w:pStyle w:val="H23G"/>
      </w:pPr>
      <w:r w:rsidRPr="000963A3">
        <w:tab/>
      </w:r>
      <w:r w:rsidRPr="000963A3">
        <w:tab/>
      </w:r>
      <w:r w:rsidR="004C2DA4" w:rsidRPr="000963A3">
        <w:t>Ratification of other instruments</w:t>
      </w:r>
    </w:p>
    <w:p w:rsidR="004C2DA4" w:rsidRPr="00F46FC1" w:rsidRDefault="00F46FC1" w:rsidP="00F46FC1">
      <w:pPr>
        <w:pStyle w:val="SingleTxtG"/>
        <w:rPr>
          <w:b/>
        </w:rPr>
      </w:pPr>
      <w:r w:rsidRPr="00F46FC1">
        <w:rPr>
          <w:bCs/>
        </w:rPr>
        <w:t>46.</w:t>
      </w:r>
      <w:r w:rsidRPr="00F46FC1">
        <w:rPr>
          <w:bCs/>
        </w:rPr>
        <w:tab/>
      </w:r>
      <w:r w:rsidR="004C2DA4" w:rsidRPr="00F46FC1">
        <w:rPr>
          <w:b/>
        </w:rPr>
        <w:t>Bearing in mind the indivisibility of all human rights, the Committee encourages the State party to consider ratifying those international human rights instruments that it has not yet ratified, in particular treaties with provisions that have direct relevance to communities that may be subjected to racial discrimination, including</w:t>
      </w:r>
      <w:r w:rsidR="007C3B15" w:rsidRPr="00F46FC1">
        <w:rPr>
          <w:b/>
        </w:rPr>
        <w:t xml:space="preserve"> </w:t>
      </w:r>
      <w:r w:rsidR="0066144C" w:rsidRPr="00F46FC1">
        <w:rPr>
          <w:b/>
        </w:rPr>
        <w:t xml:space="preserve">the </w:t>
      </w:r>
      <w:r w:rsidR="00304D06" w:rsidRPr="00F46FC1">
        <w:rPr>
          <w:b/>
        </w:rPr>
        <w:t xml:space="preserve">International Convention on the Protection of the Rights of All Migrant Workers and Members of Their Families, </w:t>
      </w:r>
      <w:r w:rsidR="006C5A2F" w:rsidRPr="00F46FC1">
        <w:rPr>
          <w:b/>
        </w:rPr>
        <w:t xml:space="preserve">the Optional Protocol to the </w:t>
      </w:r>
      <w:r w:rsidR="00F840A6" w:rsidRPr="00F46FC1">
        <w:rPr>
          <w:b/>
        </w:rPr>
        <w:t xml:space="preserve">International Covenant on Economic, Social and Cultural Rights, </w:t>
      </w:r>
      <w:r w:rsidR="00D1114D" w:rsidRPr="00F46FC1">
        <w:rPr>
          <w:b/>
        </w:rPr>
        <w:t>the Optional Protocol to the Convention on the Rights of the Child on a communications procedure</w:t>
      </w:r>
      <w:r w:rsidR="005C1CE4" w:rsidRPr="00F46FC1">
        <w:rPr>
          <w:b/>
        </w:rPr>
        <w:t xml:space="preserve">, </w:t>
      </w:r>
      <w:r w:rsidR="00656486" w:rsidRPr="00F46FC1">
        <w:rPr>
          <w:b/>
        </w:rPr>
        <w:t xml:space="preserve">the </w:t>
      </w:r>
      <w:r w:rsidR="009366CB" w:rsidRPr="00F46FC1">
        <w:rPr>
          <w:b/>
        </w:rPr>
        <w:t xml:space="preserve">ILO </w:t>
      </w:r>
      <w:r w:rsidR="00656486" w:rsidRPr="00F46FC1">
        <w:rPr>
          <w:b/>
        </w:rPr>
        <w:t xml:space="preserve">Indigenous and Tribal Peoples </w:t>
      </w:r>
      <w:r w:rsidR="009366CB" w:rsidRPr="00F46FC1">
        <w:rPr>
          <w:b/>
        </w:rPr>
        <w:t>Convention</w:t>
      </w:r>
      <w:r w:rsidR="00656486" w:rsidRPr="00F46FC1">
        <w:rPr>
          <w:b/>
        </w:rPr>
        <w:t>, 1989</w:t>
      </w:r>
      <w:r w:rsidR="009366CB" w:rsidRPr="00F46FC1">
        <w:rPr>
          <w:b/>
        </w:rPr>
        <w:t xml:space="preserve"> </w:t>
      </w:r>
      <w:r w:rsidR="00656486" w:rsidRPr="00F46FC1">
        <w:rPr>
          <w:b/>
        </w:rPr>
        <w:t>(</w:t>
      </w:r>
      <w:r w:rsidR="009366CB" w:rsidRPr="00F46FC1">
        <w:rPr>
          <w:b/>
        </w:rPr>
        <w:t>No.</w:t>
      </w:r>
      <w:r w:rsidR="00656486" w:rsidRPr="00F46FC1">
        <w:rPr>
          <w:b/>
        </w:rPr>
        <w:t xml:space="preserve"> </w:t>
      </w:r>
      <w:r w:rsidR="009366CB" w:rsidRPr="00F46FC1">
        <w:rPr>
          <w:b/>
        </w:rPr>
        <w:t>169</w:t>
      </w:r>
      <w:r w:rsidR="00656486" w:rsidRPr="00F46FC1">
        <w:rPr>
          <w:b/>
        </w:rPr>
        <w:t>) and the</w:t>
      </w:r>
      <w:r w:rsidR="009366CB" w:rsidRPr="00F46FC1">
        <w:rPr>
          <w:b/>
        </w:rPr>
        <w:t xml:space="preserve"> ILO </w:t>
      </w:r>
      <w:r w:rsidR="00656486" w:rsidRPr="00F46FC1">
        <w:rPr>
          <w:b/>
        </w:rPr>
        <w:t xml:space="preserve">Domestic Workers </w:t>
      </w:r>
      <w:r w:rsidR="009366CB" w:rsidRPr="00F46FC1">
        <w:rPr>
          <w:b/>
        </w:rPr>
        <w:t>Convention</w:t>
      </w:r>
      <w:r w:rsidR="00656486" w:rsidRPr="00F46FC1">
        <w:rPr>
          <w:b/>
        </w:rPr>
        <w:t>, 2011</w:t>
      </w:r>
      <w:r w:rsidR="009366CB" w:rsidRPr="00F46FC1">
        <w:rPr>
          <w:b/>
        </w:rPr>
        <w:t xml:space="preserve"> </w:t>
      </w:r>
      <w:r w:rsidR="00656486" w:rsidRPr="00F46FC1">
        <w:rPr>
          <w:b/>
        </w:rPr>
        <w:t>(</w:t>
      </w:r>
      <w:r w:rsidR="009366CB" w:rsidRPr="00F46FC1">
        <w:rPr>
          <w:b/>
        </w:rPr>
        <w:t>No. 189</w:t>
      </w:r>
      <w:r w:rsidR="00656486" w:rsidRPr="00F46FC1">
        <w:rPr>
          <w:b/>
        </w:rPr>
        <w:t>)</w:t>
      </w:r>
      <w:r w:rsidR="00182A91" w:rsidRPr="00F46FC1">
        <w:rPr>
          <w:b/>
        </w:rPr>
        <w:t xml:space="preserve">. </w:t>
      </w:r>
    </w:p>
    <w:p w:rsidR="004C2DA4" w:rsidRPr="000963A3" w:rsidRDefault="004C2DA4" w:rsidP="004C2DA4">
      <w:pPr>
        <w:pStyle w:val="H23G"/>
      </w:pPr>
      <w:r w:rsidRPr="000963A3">
        <w:tab/>
      </w:r>
      <w:r w:rsidRPr="000963A3">
        <w:tab/>
        <w:t>Follow-up to the Durban Declaration and Programme of Action</w:t>
      </w:r>
    </w:p>
    <w:p w:rsidR="004C2DA4" w:rsidRPr="00F46FC1" w:rsidRDefault="00F46FC1" w:rsidP="00F46FC1">
      <w:pPr>
        <w:pStyle w:val="SingleTxtG"/>
        <w:rPr>
          <w:b/>
        </w:rPr>
      </w:pPr>
      <w:r w:rsidRPr="00F46FC1">
        <w:rPr>
          <w:bCs/>
        </w:rPr>
        <w:t>47.</w:t>
      </w:r>
      <w:r w:rsidRPr="00F46FC1">
        <w:rPr>
          <w:bCs/>
        </w:rPr>
        <w:tab/>
      </w:r>
      <w:r w:rsidR="00DC5153" w:rsidRPr="00F46FC1">
        <w:rPr>
          <w:b/>
        </w:rPr>
        <w:t>I</w:t>
      </w:r>
      <w:r w:rsidR="004C2DA4" w:rsidRPr="00F46FC1">
        <w:rPr>
          <w:b/>
        </w:rPr>
        <w:t>n the light of its general recommendation No. 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w:t>
      </w:r>
      <w:r w:rsidR="004C2DA4" w:rsidRPr="00F46FC1">
        <w:rPr>
          <w:rStyle w:val="SingleTxtGCar"/>
          <w:b/>
        </w:rPr>
        <w:t xml:space="preserve"> </w:t>
      </w:r>
    </w:p>
    <w:p w:rsidR="004C2DA4" w:rsidRPr="000963A3" w:rsidRDefault="00D16F61" w:rsidP="004C2DA4">
      <w:pPr>
        <w:pStyle w:val="H23G"/>
      </w:pPr>
      <w:r w:rsidRPr="000963A3">
        <w:tab/>
      </w:r>
      <w:r w:rsidRPr="000963A3">
        <w:tab/>
      </w:r>
      <w:r w:rsidR="004C2DA4" w:rsidRPr="000963A3">
        <w:t>Follow-up to the present concluding observations</w:t>
      </w:r>
    </w:p>
    <w:p w:rsidR="004C2DA4" w:rsidRPr="00F46FC1" w:rsidRDefault="00F46FC1" w:rsidP="00F46FC1">
      <w:pPr>
        <w:pStyle w:val="SingleTxtG"/>
        <w:rPr>
          <w:b/>
        </w:rPr>
      </w:pPr>
      <w:r w:rsidRPr="00F46FC1">
        <w:rPr>
          <w:bCs/>
        </w:rPr>
        <w:t>48.</w:t>
      </w:r>
      <w:r w:rsidRPr="00F46FC1">
        <w:rPr>
          <w:bCs/>
        </w:rPr>
        <w:tab/>
      </w:r>
      <w:r w:rsidR="004C2DA4" w:rsidRPr="00F46FC1">
        <w:rPr>
          <w:b/>
        </w:rPr>
        <w:t>In accordance with article 9 (1) of the Convention and rule 65 of its rules of procedure, the Committee requests the State party to provide, within one year of the adoption of the pr</w:t>
      </w:r>
      <w:r w:rsidR="005413CF" w:rsidRPr="00F46FC1">
        <w:rPr>
          <w:b/>
        </w:rPr>
        <w:t xml:space="preserve">esent concluding observations, </w:t>
      </w:r>
      <w:r w:rsidR="004C2DA4" w:rsidRPr="00F46FC1">
        <w:rPr>
          <w:b/>
        </w:rPr>
        <w:t xml:space="preserve">information on its implementation of the recommendations contained in paragraphs </w:t>
      </w:r>
      <w:r w:rsidR="0086778C" w:rsidRPr="00F46FC1">
        <w:rPr>
          <w:b/>
        </w:rPr>
        <w:t>1</w:t>
      </w:r>
      <w:r w:rsidR="00DE0A9A" w:rsidRPr="00F46FC1">
        <w:rPr>
          <w:b/>
        </w:rPr>
        <w:t>6</w:t>
      </w:r>
      <w:r w:rsidR="00565375" w:rsidRPr="00F46FC1">
        <w:rPr>
          <w:b/>
        </w:rPr>
        <w:t xml:space="preserve"> </w:t>
      </w:r>
      <w:r w:rsidR="0086778C" w:rsidRPr="00F46FC1">
        <w:rPr>
          <w:b/>
        </w:rPr>
        <w:t>(a)</w:t>
      </w:r>
      <w:r w:rsidR="00041239" w:rsidRPr="00F46FC1">
        <w:rPr>
          <w:b/>
        </w:rPr>
        <w:t xml:space="preserve"> </w:t>
      </w:r>
      <w:r w:rsidR="00565375" w:rsidRPr="00F46FC1">
        <w:rPr>
          <w:b/>
        </w:rPr>
        <w:t xml:space="preserve">and </w:t>
      </w:r>
      <w:r w:rsidR="00041239" w:rsidRPr="00F46FC1">
        <w:rPr>
          <w:b/>
        </w:rPr>
        <w:t>16</w:t>
      </w:r>
      <w:r w:rsidR="00565375" w:rsidRPr="00F46FC1">
        <w:rPr>
          <w:b/>
        </w:rPr>
        <w:t xml:space="preserve"> </w:t>
      </w:r>
      <w:r w:rsidR="00041239" w:rsidRPr="00F46FC1">
        <w:rPr>
          <w:b/>
        </w:rPr>
        <w:t>(e)</w:t>
      </w:r>
      <w:r w:rsidR="0086778C" w:rsidRPr="00F46FC1">
        <w:rPr>
          <w:b/>
        </w:rPr>
        <w:t xml:space="preserve"> (racist hate speech and hate crimes)</w:t>
      </w:r>
      <w:r w:rsidR="008355D9" w:rsidRPr="00F46FC1">
        <w:rPr>
          <w:b/>
        </w:rPr>
        <w:t>,</w:t>
      </w:r>
      <w:r w:rsidR="004C2DA4" w:rsidRPr="00F46FC1">
        <w:rPr>
          <w:b/>
        </w:rPr>
        <w:t xml:space="preserve"> </w:t>
      </w:r>
      <w:r w:rsidR="007D5685" w:rsidRPr="00F46FC1">
        <w:rPr>
          <w:b/>
        </w:rPr>
        <w:t>19 (counter-terrorism measures)</w:t>
      </w:r>
      <w:r w:rsidR="004C2DA4" w:rsidRPr="00F46FC1">
        <w:rPr>
          <w:b/>
        </w:rPr>
        <w:t xml:space="preserve"> </w:t>
      </w:r>
      <w:r w:rsidR="008355D9" w:rsidRPr="00F46FC1">
        <w:rPr>
          <w:b/>
        </w:rPr>
        <w:t xml:space="preserve">and 31 (health) </w:t>
      </w:r>
      <w:r w:rsidR="004C2DA4" w:rsidRPr="00F46FC1">
        <w:rPr>
          <w:b/>
        </w:rPr>
        <w:t xml:space="preserve">above. </w:t>
      </w:r>
    </w:p>
    <w:p w:rsidR="004C2DA4" w:rsidRPr="000963A3" w:rsidRDefault="004C2DA4" w:rsidP="004C2DA4">
      <w:pPr>
        <w:pStyle w:val="H23G"/>
      </w:pPr>
      <w:r w:rsidRPr="000963A3">
        <w:tab/>
      </w:r>
      <w:r w:rsidRPr="000963A3">
        <w:tab/>
        <w:t>Paragraphs of particular importance</w:t>
      </w:r>
    </w:p>
    <w:p w:rsidR="004C2DA4" w:rsidRPr="00F46FC1" w:rsidRDefault="004C2DA4" w:rsidP="00F9628A">
      <w:pPr>
        <w:pStyle w:val="SingleTxtG"/>
        <w:rPr>
          <w:b/>
        </w:rPr>
      </w:pPr>
      <w:r w:rsidRPr="00F46FC1">
        <w:rPr>
          <w:bCs/>
        </w:rPr>
        <w:t>49.</w:t>
      </w:r>
      <w:r w:rsidRPr="00F46FC1">
        <w:rPr>
          <w:b/>
        </w:rPr>
        <w:tab/>
        <w:t xml:space="preserve">The Committee wishes to draw the attention of the State party to the particular importance of the recommendations contained in paragraphs </w:t>
      </w:r>
      <w:r w:rsidR="00FC6E37" w:rsidRPr="00F46FC1">
        <w:rPr>
          <w:b/>
        </w:rPr>
        <w:t>8 (implementation of the Convention)</w:t>
      </w:r>
      <w:r w:rsidRPr="00F46FC1">
        <w:rPr>
          <w:b/>
        </w:rPr>
        <w:t xml:space="preserve">, </w:t>
      </w:r>
      <w:r w:rsidR="007741AD" w:rsidRPr="00F46FC1">
        <w:rPr>
          <w:b/>
        </w:rPr>
        <w:t>10 (</w:t>
      </w:r>
      <w:r w:rsidR="00F9628A" w:rsidRPr="00F46FC1">
        <w:rPr>
          <w:b/>
        </w:rPr>
        <w:t>b</w:t>
      </w:r>
      <w:r w:rsidR="007741AD" w:rsidRPr="00F46FC1">
        <w:rPr>
          <w:b/>
        </w:rPr>
        <w:t xml:space="preserve">ill of </w:t>
      </w:r>
      <w:r w:rsidR="00F9628A" w:rsidRPr="00F46FC1">
        <w:rPr>
          <w:b/>
        </w:rPr>
        <w:t>r</w:t>
      </w:r>
      <w:r w:rsidR="007741AD" w:rsidRPr="00F46FC1">
        <w:rPr>
          <w:b/>
        </w:rPr>
        <w:t>ights)</w:t>
      </w:r>
      <w:r w:rsidR="0060156A" w:rsidRPr="00F46FC1">
        <w:rPr>
          <w:b/>
        </w:rPr>
        <w:t>, 23 (discrimination against persons of African descent)</w:t>
      </w:r>
      <w:r w:rsidR="00E45E2D" w:rsidRPr="00F46FC1">
        <w:rPr>
          <w:b/>
        </w:rPr>
        <w:t>,</w:t>
      </w:r>
      <w:r w:rsidR="00531B0A" w:rsidRPr="00F46FC1">
        <w:rPr>
          <w:b/>
        </w:rPr>
        <w:t xml:space="preserve"> </w:t>
      </w:r>
      <w:r w:rsidR="00DE0A9A" w:rsidRPr="00F46FC1">
        <w:rPr>
          <w:b/>
        </w:rPr>
        <w:t>25</w:t>
      </w:r>
      <w:r w:rsidR="00F9628A" w:rsidRPr="00F46FC1">
        <w:rPr>
          <w:b/>
        </w:rPr>
        <w:t> </w:t>
      </w:r>
      <w:r w:rsidR="002A317C" w:rsidRPr="00F46FC1">
        <w:rPr>
          <w:b/>
        </w:rPr>
        <w:t>(</w:t>
      </w:r>
      <w:r w:rsidR="00F9628A" w:rsidRPr="00F46FC1">
        <w:rPr>
          <w:b/>
        </w:rPr>
        <w:t>Gypsies, Travellers and Roma</w:t>
      </w:r>
      <w:r w:rsidR="002A317C" w:rsidRPr="00F46FC1">
        <w:rPr>
          <w:b/>
        </w:rPr>
        <w:t>)</w:t>
      </w:r>
      <w:r w:rsidR="00E45E2D" w:rsidRPr="00F46FC1">
        <w:rPr>
          <w:b/>
        </w:rPr>
        <w:t xml:space="preserve"> and 41 (forcible eviction of </w:t>
      </w:r>
      <w:proofErr w:type="spellStart"/>
      <w:r w:rsidR="00E45E2D" w:rsidRPr="00F46FC1">
        <w:rPr>
          <w:b/>
        </w:rPr>
        <w:t>Chagossians</w:t>
      </w:r>
      <w:proofErr w:type="spellEnd"/>
      <w:r w:rsidR="00E45E2D" w:rsidRPr="00F46FC1">
        <w:rPr>
          <w:b/>
        </w:rPr>
        <w:t xml:space="preserve"> from Diego Garcia)</w:t>
      </w:r>
      <w:r w:rsidRPr="00F46FC1">
        <w:rPr>
          <w:b/>
        </w:rPr>
        <w:t xml:space="preserve"> above</w:t>
      </w:r>
      <w:r w:rsidR="00F9628A" w:rsidRPr="00F46FC1">
        <w:rPr>
          <w:b/>
        </w:rPr>
        <w:t>,</w:t>
      </w:r>
      <w:r w:rsidRPr="00F46FC1">
        <w:rPr>
          <w:b/>
        </w:rPr>
        <w:t xml:space="preserve"> and requests the State party to provide detailed information in its next periodic report on the concrete measures taken to implement those recommendations. </w:t>
      </w:r>
    </w:p>
    <w:p w:rsidR="004C2DA4" w:rsidRPr="000963A3" w:rsidRDefault="004C2DA4" w:rsidP="004C2DA4">
      <w:pPr>
        <w:pStyle w:val="H23G"/>
      </w:pPr>
      <w:r w:rsidRPr="000963A3">
        <w:tab/>
      </w:r>
      <w:r w:rsidRPr="000963A3">
        <w:tab/>
        <w:t>Dissemination of information</w:t>
      </w:r>
    </w:p>
    <w:p w:rsidR="004C2DA4" w:rsidRPr="00F46FC1" w:rsidRDefault="004C2DA4" w:rsidP="000963A3">
      <w:pPr>
        <w:pStyle w:val="SingleTxtG"/>
        <w:rPr>
          <w:b/>
        </w:rPr>
      </w:pPr>
      <w:r w:rsidRPr="00F46FC1">
        <w:rPr>
          <w:bCs/>
        </w:rPr>
        <w:t>50.</w:t>
      </w:r>
      <w:r w:rsidRPr="00F46FC1">
        <w:rPr>
          <w:bCs/>
        </w:rPr>
        <w:tab/>
      </w:r>
      <w:r w:rsidRPr="00F46FC1">
        <w:rPr>
          <w:b/>
        </w:rPr>
        <w:t xml:space="preserve">The Committee recommends that the State party’s reports be made readily available </w:t>
      </w:r>
      <w:r w:rsidR="000963A3" w:rsidRPr="00F46FC1">
        <w:rPr>
          <w:b/>
        </w:rPr>
        <w:t xml:space="preserve">to </w:t>
      </w:r>
      <w:r w:rsidRPr="00F46FC1">
        <w:rPr>
          <w:b/>
        </w:rPr>
        <w:t xml:space="preserve">and accessible </w:t>
      </w:r>
      <w:r w:rsidR="000963A3" w:rsidRPr="00F46FC1">
        <w:rPr>
          <w:b/>
        </w:rPr>
        <w:t>by</w:t>
      </w:r>
      <w:r w:rsidRPr="00F46FC1">
        <w:rPr>
          <w:b/>
        </w:rPr>
        <w:t xml:space="preserve"> the public at the time of their submission and that the concluding observations of the Committee with respect to those reports be similarly publicized in the official and other commonly used languages, as appropriate. </w:t>
      </w:r>
    </w:p>
    <w:p w:rsidR="004C2DA4" w:rsidRPr="000963A3" w:rsidRDefault="004C2DA4" w:rsidP="004C2DA4">
      <w:pPr>
        <w:pStyle w:val="H23G"/>
      </w:pPr>
      <w:r w:rsidRPr="000963A3">
        <w:tab/>
      </w:r>
      <w:r w:rsidRPr="000963A3">
        <w:tab/>
        <w:t>Preparation of the next report</w:t>
      </w:r>
    </w:p>
    <w:p w:rsidR="004C2DA4" w:rsidRPr="00955956" w:rsidRDefault="004C2DA4" w:rsidP="004C2DA4">
      <w:pPr>
        <w:pStyle w:val="SingleTxtG"/>
        <w:rPr>
          <w:b/>
        </w:rPr>
      </w:pPr>
      <w:r w:rsidRPr="00F46FC1">
        <w:rPr>
          <w:bCs/>
        </w:rPr>
        <w:t>51.</w:t>
      </w:r>
      <w:r w:rsidRPr="00F46FC1">
        <w:rPr>
          <w:b/>
        </w:rPr>
        <w:tab/>
        <w:t xml:space="preserve">The Committee recommends that the State party submit its combined </w:t>
      </w:r>
      <w:r w:rsidR="00AC3C0C" w:rsidRPr="00F46FC1">
        <w:rPr>
          <w:b/>
        </w:rPr>
        <w:t>twenty-fourth</w:t>
      </w:r>
      <w:r w:rsidR="001D4309">
        <w:rPr>
          <w:b/>
        </w:rPr>
        <w:t xml:space="preserve"> </w:t>
      </w:r>
      <w:r w:rsidRPr="00F46FC1">
        <w:rPr>
          <w:b/>
        </w:rPr>
        <w:t xml:space="preserve">to </w:t>
      </w:r>
      <w:r w:rsidR="00AC3C0C" w:rsidRPr="00F46FC1">
        <w:rPr>
          <w:b/>
        </w:rPr>
        <w:t xml:space="preserve">twenty-sixth </w:t>
      </w:r>
      <w:r w:rsidRPr="00F46FC1">
        <w:rPr>
          <w:b/>
        </w:rPr>
        <w:t>periodic reports, as a single document, by</w:t>
      </w:r>
      <w:r w:rsidR="007C3B15" w:rsidRPr="00F46FC1">
        <w:rPr>
          <w:b/>
        </w:rPr>
        <w:t xml:space="preserve"> </w:t>
      </w:r>
      <w:r w:rsidR="00B779F3" w:rsidRPr="00F46FC1">
        <w:rPr>
          <w:b/>
        </w:rPr>
        <w:t>6 April 2020</w:t>
      </w:r>
      <w:r w:rsidRPr="00F46FC1">
        <w:rPr>
          <w:b/>
        </w:rPr>
        <w:t>,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107BBF" w:rsidRPr="00106A43" w:rsidRDefault="00107BBF" w:rsidP="00107BBF">
      <w:pPr>
        <w:spacing w:before="240"/>
        <w:jc w:val="center"/>
        <w:rPr>
          <w:u w:val="single"/>
        </w:rPr>
      </w:pPr>
      <w:r>
        <w:rPr>
          <w:u w:val="single"/>
        </w:rPr>
        <w:tab/>
      </w:r>
      <w:r>
        <w:rPr>
          <w:u w:val="single"/>
        </w:rPr>
        <w:tab/>
      </w:r>
      <w:r>
        <w:rPr>
          <w:u w:val="single"/>
        </w:rPr>
        <w:tab/>
      </w:r>
    </w:p>
    <w:sectPr w:rsidR="00107BBF" w:rsidRPr="00106A43" w:rsidSect="001D430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86" w:rsidRDefault="00E40386"/>
  </w:endnote>
  <w:endnote w:type="continuationSeparator" w:id="0">
    <w:p w:rsidR="00E40386" w:rsidRDefault="00E40386"/>
  </w:endnote>
  <w:endnote w:type="continuationNotice" w:id="1">
    <w:p w:rsidR="00E40386" w:rsidRDefault="00E40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C7" w:rsidRPr="007B2CA0" w:rsidRDefault="009415C7">
    <w:pPr>
      <w:pStyle w:val="Footer"/>
      <w:tabs>
        <w:tab w:val="right" w:pos="9598"/>
      </w:tabs>
    </w:pPr>
    <w:r w:rsidRPr="007B2CA0">
      <w:rPr>
        <w:b/>
        <w:sz w:val="18"/>
      </w:rPr>
      <w:fldChar w:fldCharType="begin"/>
    </w:r>
    <w:r w:rsidRPr="007B2CA0">
      <w:rPr>
        <w:b/>
        <w:sz w:val="18"/>
      </w:rPr>
      <w:instrText xml:space="preserve"> PAGE  \* MERGEFORMAT </w:instrText>
    </w:r>
    <w:r w:rsidRPr="007B2CA0">
      <w:rPr>
        <w:b/>
        <w:sz w:val="18"/>
      </w:rPr>
      <w:fldChar w:fldCharType="separate"/>
    </w:r>
    <w:r w:rsidR="00DD7F66">
      <w:rPr>
        <w:b/>
        <w:noProof/>
        <w:sz w:val="18"/>
      </w:rPr>
      <w:t>2</w:t>
    </w:r>
    <w:r w:rsidRPr="007B2CA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C7" w:rsidRPr="007B2CA0" w:rsidRDefault="009415C7" w:rsidP="007B2CA0">
    <w:pPr>
      <w:pStyle w:val="Footer"/>
      <w:tabs>
        <w:tab w:val="right" w:pos="9598"/>
      </w:tabs>
      <w:rPr>
        <w:b/>
        <w:sz w:val="18"/>
      </w:rPr>
    </w:pPr>
    <w:r>
      <w:tab/>
    </w:r>
    <w:r w:rsidRPr="007B2CA0">
      <w:rPr>
        <w:b/>
        <w:sz w:val="18"/>
      </w:rPr>
      <w:fldChar w:fldCharType="begin"/>
    </w:r>
    <w:r w:rsidRPr="007B2CA0">
      <w:rPr>
        <w:b/>
        <w:sz w:val="18"/>
      </w:rPr>
      <w:instrText xml:space="preserve"> PAGE  \* MERGEFORMAT </w:instrText>
    </w:r>
    <w:r w:rsidRPr="007B2CA0">
      <w:rPr>
        <w:b/>
        <w:sz w:val="18"/>
      </w:rPr>
      <w:fldChar w:fldCharType="separate"/>
    </w:r>
    <w:r w:rsidR="00DD7F66">
      <w:rPr>
        <w:b/>
        <w:noProof/>
        <w:sz w:val="18"/>
      </w:rPr>
      <w:t>3</w:t>
    </w:r>
    <w:r w:rsidRPr="007B2C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66" w:rsidRDefault="00DD7F66" w:rsidP="00DD7F66">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D7F66" w:rsidRDefault="00DD7F66" w:rsidP="00DD7F66">
    <w:pPr>
      <w:pStyle w:val="Footer"/>
      <w:ind w:right="1134"/>
      <w:rPr>
        <w:sz w:val="20"/>
      </w:rPr>
    </w:pPr>
    <w:r>
      <w:rPr>
        <w:sz w:val="20"/>
      </w:rPr>
      <w:t>GE.16-17015(E)</w:t>
    </w:r>
  </w:p>
  <w:p w:rsidR="00DD7F66" w:rsidRPr="00DD7F66" w:rsidRDefault="00DD7F66" w:rsidP="00DD7F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ERD/C/GBR/CO/21-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GBR/CO/21-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86" w:rsidRPr="000B175B" w:rsidRDefault="00E40386">
      <w:pPr>
        <w:tabs>
          <w:tab w:val="right" w:pos="2155"/>
        </w:tabs>
        <w:spacing w:after="80"/>
        <w:ind w:left="680"/>
        <w:rPr>
          <w:u w:val="single"/>
        </w:rPr>
      </w:pPr>
      <w:r>
        <w:rPr>
          <w:u w:val="single"/>
        </w:rPr>
        <w:tab/>
      </w:r>
    </w:p>
  </w:footnote>
  <w:footnote w:type="continuationSeparator" w:id="0">
    <w:p w:rsidR="00E40386" w:rsidRPr="00FC68B7" w:rsidRDefault="00E40386" w:rsidP="00FC68B7">
      <w:pPr>
        <w:tabs>
          <w:tab w:val="left" w:pos="2155"/>
        </w:tabs>
        <w:spacing w:after="80"/>
        <w:ind w:left="680"/>
        <w:rPr>
          <w:u w:val="single"/>
        </w:rPr>
      </w:pPr>
      <w:r>
        <w:rPr>
          <w:u w:val="single"/>
        </w:rPr>
        <w:tab/>
      </w:r>
    </w:p>
  </w:footnote>
  <w:footnote w:type="continuationNotice" w:id="1">
    <w:p w:rsidR="00E40386" w:rsidRDefault="00E40386"/>
  </w:footnote>
  <w:footnote w:id="2">
    <w:p w:rsidR="009415C7" w:rsidRPr="00D91F6A" w:rsidRDefault="009415C7" w:rsidP="0091160E">
      <w:pPr>
        <w:pStyle w:val="FootnoteText"/>
      </w:pPr>
      <w:r>
        <w:tab/>
      </w:r>
      <w:r w:rsidRPr="00696753">
        <w:rPr>
          <w:rStyle w:val="FootnoteReference"/>
          <w:sz w:val="20"/>
          <w:vertAlign w:val="baseline"/>
        </w:rPr>
        <w:t>*</w:t>
      </w:r>
      <w:r>
        <w:tab/>
      </w:r>
      <w:proofErr w:type="gramStart"/>
      <w:r w:rsidRPr="003B2C49">
        <w:t>Adopted by the Committee at its ninetieth session (2-26 August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C7" w:rsidRPr="00E26795" w:rsidRDefault="009415C7" w:rsidP="007B2CA0">
    <w:pPr>
      <w:pStyle w:val="Header"/>
    </w:pPr>
    <w:r w:rsidRPr="00E26795">
      <w:t>CERD/C/GBR/CO/21-23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C7" w:rsidRPr="00E26795" w:rsidRDefault="009415C7" w:rsidP="007B2CA0">
    <w:pPr>
      <w:pStyle w:val="Header"/>
      <w:jc w:val="right"/>
    </w:pPr>
    <w:r w:rsidRPr="00E26795">
      <w:t>CERD/C/GBR/CO/21-23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402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C90708"/>
    <w:multiLevelType w:val="hybridMultilevel"/>
    <w:tmpl w:val="D49842A2"/>
    <w:lvl w:ilvl="0" w:tplc="97F29854">
      <w:start w:val="1"/>
      <w:numFmt w:val="lowerLetter"/>
      <w:lvlText w:val="(%1)"/>
      <w:lvlJc w:val="left"/>
      <w:pPr>
        <w:ind w:left="2421" w:hanging="360"/>
      </w:pPr>
      <w:rPr>
        <w:rFonts w:eastAsia="Times New Roman" w:hint="default"/>
      </w:rPr>
    </w:lvl>
    <w:lvl w:ilvl="1" w:tplc="08090019" w:tentative="1">
      <w:start w:val="1"/>
      <w:numFmt w:val="lowerLetter"/>
      <w:lvlText w:val="%2."/>
      <w:lvlJc w:val="left"/>
      <w:pPr>
        <w:ind w:left="3141" w:hanging="360"/>
      </w:pPr>
    </w:lvl>
    <w:lvl w:ilvl="2" w:tplc="823835F8">
      <w:start w:val="1"/>
      <w:numFmt w:val="lowerLetter"/>
      <w:lvlText w:val="(%3)"/>
      <w:lvlJc w:val="left"/>
      <w:pPr>
        <w:ind w:left="3861" w:hanging="180"/>
      </w:pPr>
      <w:rPr>
        <w:rFonts w:eastAsia="Times New Roman" w:hint="default"/>
        <w:b/>
      </w:r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nsid w:val="058D18E1"/>
    <w:multiLevelType w:val="hybridMultilevel"/>
    <w:tmpl w:val="7088A0D4"/>
    <w:lvl w:ilvl="0" w:tplc="935EE186">
      <w:start w:val="1"/>
      <w:numFmt w:val="decimal"/>
      <w:lvlText w:val="%1."/>
      <w:lvlJc w:val="left"/>
      <w:pPr>
        <w:ind w:left="1778" w:hanging="360"/>
      </w:pPr>
      <w:rPr>
        <w:b w:val="0"/>
        <w:bCs/>
        <w:color w:val="auto"/>
      </w:rPr>
    </w:lvl>
    <w:lvl w:ilvl="1" w:tplc="08090019">
      <w:start w:val="1"/>
      <w:numFmt w:val="lowerLetter"/>
      <w:lvlText w:val="%2."/>
      <w:lvlJc w:val="left"/>
      <w:pPr>
        <w:ind w:left="2574" w:hanging="360"/>
      </w:pPr>
    </w:lvl>
    <w:lvl w:ilvl="2" w:tplc="FA4A8B98">
      <w:start w:val="1"/>
      <w:numFmt w:val="lowerLetter"/>
      <w:lvlText w:val="(%3)"/>
      <w:lvlJc w:val="left"/>
      <w:pPr>
        <w:ind w:left="4254" w:hanging="1140"/>
      </w:pPr>
      <w:rPr>
        <w:rFonts w:hint="default"/>
        <w:b w:val="0"/>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D494AA6"/>
    <w:multiLevelType w:val="hybridMultilevel"/>
    <w:tmpl w:val="E9A61442"/>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0111145"/>
    <w:multiLevelType w:val="hybridMultilevel"/>
    <w:tmpl w:val="4CACCDC0"/>
    <w:lvl w:ilvl="0" w:tplc="920A1D2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1701ADC"/>
    <w:multiLevelType w:val="hybridMultilevel"/>
    <w:tmpl w:val="995C0274"/>
    <w:lvl w:ilvl="0" w:tplc="947CF062">
      <w:start w:val="1"/>
      <w:numFmt w:val="decimal"/>
      <w:lvlText w:val="%1."/>
      <w:lvlJc w:val="left"/>
      <w:pPr>
        <w:ind w:left="1353"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12207C88"/>
    <w:multiLevelType w:val="hybridMultilevel"/>
    <w:tmpl w:val="8F4866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14B342FB"/>
    <w:multiLevelType w:val="hybridMultilevel"/>
    <w:tmpl w:val="7BF00896"/>
    <w:lvl w:ilvl="0" w:tplc="B61E3A4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F9974DC"/>
    <w:multiLevelType w:val="hybridMultilevel"/>
    <w:tmpl w:val="12FA5104"/>
    <w:lvl w:ilvl="0" w:tplc="016010F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1FDA37A2"/>
    <w:multiLevelType w:val="hybridMultilevel"/>
    <w:tmpl w:val="995C0274"/>
    <w:lvl w:ilvl="0" w:tplc="947CF062">
      <w:start w:val="1"/>
      <w:numFmt w:val="decimal"/>
      <w:lvlText w:val="%1."/>
      <w:lvlJc w:val="left"/>
      <w:pPr>
        <w:ind w:left="1353"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2023201F"/>
    <w:multiLevelType w:val="hybridMultilevel"/>
    <w:tmpl w:val="C120A1BC"/>
    <w:lvl w:ilvl="0" w:tplc="56846986">
      <w:start w:val="1"/>
      <w:numFmt w:val="lowerLetter"/>
      <w:lvlText w:val="(%1)"/>
      <w:lvlJc w:val="left"/>
      <w:pPr>
        <w:ind w:left="1854" w:hanging="360"/>
      </w:pPr>
      <w:rPr>
        <w:rFonts w:eastAsia="Times New Roman"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815D65"/>
    <w:multiLevelType w:val="hybridMultilevel"/>
    <w:tmpl w:val="E2C8C9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37EF1514"/>
    <w:multiLevelType w:val="hybridMultilevel"/>
    <w:tmpl w:val="A6E2B366"/>
    <w:lvl w:ilvl="0" w:tplc="C754777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41CF6DBB"/>
    <w:multiLevelType w:val="hybridMultilevel"/>
    <w:tmpl w:val="E9784B0C"/>
    <w:lvl w:ilvl="0" w:tplc="97F29854">
      <w:start w:val="1"/>
      <w:numFmt w:val="lowerLetter"/>
      <w:lvlText w:val="(%1)"/>
      <w:lvlJc w:val="left"/>
      <w:pPr>
        <w:ind w:left="1854" w:hanging="360"/>
      </w:pPr>
      <w:rPr>
        <w:rFonts w:eastAsia="Times New Roman"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42F560BB"/>
    <w:multiLevelType w:val="hybridMultilevel"/>
    <w:tmpl w:val="4D60D09A"/>
    <w:lvl w:ilvl="0" w:tplc="5A8C1458">
      <w:start w:val="1"/>
      <w:numFmt w:val="lowerLetter"/>
      <w:lvlText w:val="(%1)"/>
      <w:lvlJc w:val="left"/>
      <w:pPr>
        <w:ind w:left="2345" w:hanging="360"/>
      </w:pPr>
      <w:rPr>
        <w:rFonts w:eastAsia="Times New Roman" w:hint="default"/>
        <w:b/>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nsid w:val="468E7043"/>
    <w:multiLevelType w:val="hybridMultilevel"/>
    <w:tmpl w:val="2E1C57D8"/>
    <w:lvl w:ilvl="0" w:tplc="97F29854">
      <w:start w:val="1"/>
      <w:numFmt w:val="lowerLetter"/>
      <w:lvlText w:val="(%1)"/>
      <w:lvlJc w:val="left"/>
      <w:pPr>
        <w:ind w:left="2421" w:hanging="360"/>
      </w:pPr>
      <w:rPr>
        <w:rFonts w:eastAsia="Times New Roman" w:hint="default"/>
      </w:rPr>
    </w:lvl>
    <w:lvl w:ilvl="1" w:tplc="08090019" w:tentative="1">
      <w:start w:val="1"/>
      <w:numFmt w:val="lowerLetter"/>
      <w:lvlText w:val="%2."/>
      <w:lvlJc w:val="left"/>
      <w:pPr>
        <w:ind w:left="3141" w:hanging="360"/>
      </w:pPr>
    </w:lvl>
    <w:lvl w:ilvl="2" w:tplc="0809001B">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nsid w:val="48B34136"/>
    <w:multiLevelType w:val="hybridMultilevel"/>
    <w:tmpl w:val="CBAC0C26"/>
    <w:lvl w:ilvl="0" w:tplc="97F29854">
      <w:start w:val="1"/>
      <w:numFmt w:val="lowerLetter"/>
      <w:lvlText w:val="(%1)"/>
      <w:lvlJc w:val="left"/>
      <w:pPr>
        <w:ind w:left="1637" w:hanging="360"/>
      </w:pPr>
      <w:rPr>
        <w:rFonts w:eastAsia="Times New Roman" w:hint="default"/>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4EB67338"/>
    <w:multiLevelType w:val="hybridMultilevel"/>
    <w:tmpl w:val="F828BD84"/>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4FBF268C"/>
    <w:multiLevelType w:val="hybridMultilevel"/>
    <w:tmpl w:val="12FA5104"/>
    <w:lvl w:ilvl="0" w:tplc="016010F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51056EE7"/>
    <w:multiLevelType w:val="hybridMultilevel"/>
    <w:tmpl w:val="6DDABDF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51864712"/>
    <w:multiLevelType w:val="hybridMultilevel"/>
    <w:tmpl w:val="2BA81BEC"/>
    <w:lvl w:ilvl="0" w:tplc="823835F8">
      <w:start w:val="1"/>
      <w:numFmt w:val="lowerLetter"/>
      <w:lvlText w:val="(%1)"/>
      <w:lvlJc w:val="left"/>
      <w:pPr>
        <w:ind w:left="1854" w:hanging="360"/>
      </w:pPr>
      <w:rPr>
        <w:rFonts w:eastAsia="Times New Roman"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5C2C4AC7"/>
    <w:multiLevelType w:val="hybridMultilevel"/>
    <w:tmpl w:val="D8641378"/>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604B6525"/>
    <w:multiLevelType w:val="hybridMultilevel"/>
    <w:tmpl w:val="2C841FF4"/>
    <w:lvl w:ilvl="0" w:tplc="E6C488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D6B5F9F"/>
    <w:multiLevelType w:val="hybridMultilevel"/>
    <w:tmpl w:val="7CD8FEB2"/>
    <w:lvl w:ilvl="0" w:tplc="5F42E2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0">
    <w:nsid w:val="6DF0711A"/>
    <w:multiLevelType w:val="hybridMultilevel"/>
    <w:tmpl w:val="7C86B6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nsid w:val="70110E23"/>
    <w:multiLevelType w:val="hybridMultilevel"/>
    <w:tmpl w:val="70980CC0"/>
    <w:lvl w:ilvl="0" w:tplc="911670B2">
      <w:start w:val="1"/>
      <w:numFmt w:val="lowerLetter"/>
      <w:lvlText w:val="(%1)"/>
      <w:lvlJc w:val="left"/>
      <w:pPr>
        <w:ind w:left="1854" w:hanging="360"/>
      </w:pPr>
      <w:rPr>
        <w:rFonts w:eastAsia="Times New Roman"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67D7B88"/>
    <w:multiLevelType w:val="hybridMultilevel"/>
    <w:tmpl w:val="995C0274"/>
    <w:lvl w:ilvl="0" w:tplc="947CF062">
      <w:start w:val="1"/>
      <w:numFmt w:val="decimal"/>
      <w:lvlText w:val="%1."/>
      <w:lvlJc w:val="left"/>
      <w:pPr>
        <w:ind w:left="1353"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784D6684"/>
    <w:multiLevelType w:val="hybridMultilevel"/>
    <w:tmpl w:val="0E6EFDBA"/>
    <w:lvl w:ilvl="0" w:tplc="F5124C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nsid w:val="7C22070A"/>
    <w:multiLevelType w:val="hybridMultilevel"/>
    <w:tmpl w:val="0548EC1E"/>
    <w:lvl w:ilvl="0" w:tplc="926CCCF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5">
    <w:nsid w:val="7CBD3579"/>
    <w:multiLevelType w:val="hybridMultilevel"/>
    <w:tmpl w:val="12FA5104"/>
    <w:lvl w:ilvl="0" w:tplc="016010F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nsid w:val="7E666B5C"/>
    <w:multiLevelType w:val="hybridMultilevel"/>
    <w:tmpl w:val="F40618A8"/>
    <w:lvl w:ilvl="0" w:tplc="6F32438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5"/>
  </w:num>
  <w:num w:numId="12">
    <w:abstractNumId w:val="21"/>
  </w:num>
  <w:num w:numId="13">
    <w:abstractNumId w:val="11"/>
  </w:num>
  <w:num w:numId="14">
    <w:abstractNumId w:val="38"/>
  </w:num>
  <w:num w:numId="15">
    <w:abstractNumId w:val="20"/>
  </w:num>
  <w:num w:numId="16">
    <w:abstractNumId w:val="14"/>
  </w:num>
  <w:num w:numId="17">
    <w:abstractNumId w:val="13"/>
  </w:num>
  <w:num w:numId="18">
    <w:abstractNumId w:val="36"/>
  </w:num>
  <w:num w:numId="19">
    <w:abstractNumId w:val="41"/>
  </w:num>
  <w:num w:numId="20">
    <w:abstractNumId w:val="29"/>
  </w:num>
  <w:num w:numId="21">
    <w:abstractNumId w:val="28"/>
  </w:num>
  <w:num w:numId="22">
    <w:abstractNumId w:val="0"/>
  </w:num>
  <w:num w:numId="23">
    <w:abstractNumId w:val="17"/>
  </w:num>
  <w:num w:numId="24">
    <w:abstractNumId w:val="42"/>
  </w:num>
  <w:num w:numId="25">
    <w:abstractNumId w:val="23"/>
  </w:num>
  <w:num w:numId="26">
    <w:abstractNumId w:val="22"/>
  </w:num>
  <w:num w:numId="27">
    <w:abstractNumId w:val="43"/>
  </w:num>
  <w:num w:numId="28">
    <w:abstractNumId w:val="46"/>
  </w:num>
  <w:num w:numId="29">
    <w:abstractNumId w:val="44"/>
  </w:num>
  <w:num w:numId="30">
    <w:abstractNumId w:val="45"/>
  </w:num>
  <w:num w:numId="31">
    <w:abstractNumId w:val="33"/>
  </w:num>
  <w:num w:numId="32">
    <w:abstractNumId w:val="26"/>
  </w:num>
  <w:num w:numId="33">
    <w:abstractNumId w:val="16"/>
  </w:num>
  <w:num w:numId="34">
    <w:abstractNumId w:val="19"/>
  </w:num>
  <w:num w:numId="35">
    <w:abstractNumId w:val="27"/>
  </w:num>
  <w:num w:numId="36">
    <w:abstractNumId w:val="39"/>
  </w:num>
  <w:num w:numId="37">
    <w:abstractNumId w:val="34"/>
  </w:num>
  <w:num w:numId="38">
    <w:abstractNumId w:val="40"/>
  </w:num>
  <w:num w:numId="39">
    <w:abstractNumId w:val="18"/>
  </w:num>
  <w:num w:numId="40">
    <w:abstractNumId w:val="31"/>
  </w:num>
  <w:num w:numId="41">
    <w:abstractNumId w:val="32"/>
  </w:num>
  <w:num w:numId="42">
    <w:abstractNumId w:val="15"/>
  </w:num>
  <w:num w:numId="43">
    <w:abstractNumId w:val="37"/>
  </w:num>
  <w:num w:numId="44">
    <w:abstractNumId w:val="24"/>
  </w:num>
  <w:num w:numId="45">
    <w:abstractNumId w:val="35"/>
  </w:num>
  <w:num w:numId="46">
    <w:abstractNumId w:val="30"/>
  </w:num>
  <w:num w:numId="4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68F5"/>
    <w:rsid w:val="000001E0"/>
    <w:rsid w:val="000003CD"/>
    <w:rsid w:val="00000456"/>
    <w:rsid w:val="000004D6"/>
    <w:rsid w:val="000007E9"/>
    <w:rsid w:val="00001D88"/>
    <w:rsid w:val="00002985"/>
    <w:rsid w:val="00002A41"/>
    <w:rsid w:val="00002CD2"/>
    <w:rsid w:val="000034FE"/>
    <w:rsid w:val="00003A00"/>
    <w:rsid w:val="00003B9C"/>
    <w:rsid w:val="00005BD8"/>
    <w:rsid w:val="00005BE5"/>
    <w:rsid w:val="00006B8B"/>
    <w:rsid w:val="00006E80"/>
    <w:rsid w:val="00011012"/>
    <w:rsid w:val="00012C7A"/>
    <w:rsid w:val="000136BA"/>
    <w:rsid w:val="00014413"/>
    <w:rsid w:val="000150FC"/>
    <w:rsid w:val="0001714A"/>
    <w:rsid w:val="000178E9"/>
    <w:rsid w:val="00017E5A"/>
    <w:rsid w:val="0002158B"/>
    <w:rsid w:val="000224AE"/>
    <w:rsid w:val="00024023"/>
    <w:rsid w:val="000249F2"/>
    <w:rsid w:val="00025590"/>
    <w:rsid w:val="0002796E"/>
    <w:rsid w:val="00030A4E"/>
    <w:rsid w:val="00032862"/>
    <w:rsid w:val="00032FF2"/>
    <w:rsid w:val="000342DF"/>
    <w:rsid w:val="00035DF6"/>
    <w:rsid w:val="00037DF2"/>
    <w:rsid w:val="00040E54"/>
    <w:rsid w:val="00041239"/>
    <w:rsid w:val="00042290"/>
    <w:rsid w:val="00042C1E"/>
    <w:rsid w:val="00043DCE"/>
    <w:rsid w:val="00043F7F"/>
    <w:rsid w:val="00043F99"/>
    <w:rsid w:val="00044979"/>
    <w:rsid w:val="00045AEE"/>
    <w:rsid w:val="00046910"/>
    <w:rsid w:val="0004697F"/>
    <w:rsid w:val="000471B4"/>
    <w:rsid w:val="00047694"/>
    <w:rsid w:val="00050C5D"/>
    <w:rsid w:val="00050F6B"/>
    <w:rsid w:val="00052A8F"/>
    <w:rsid w:val="00053024"/>
    <w:rsid w:val="000540C6"/>
    <w:rsid w:val="00054267"/>
    <w:rsid w:val="000542FC"/>
    <w:rsid w:val="00054F47"/>
    <w:rsid w:val="000551DC"/>
    <w:rsid w:val="00056050"/>
    <w:rsid w:val="00060926"/>
    <w:rsid w:val="00062BE0"/>
    <w:rsid w:val="00062CD8"/>
    <w:rsid w:val="00063B35"/>
    <w:rsid w:val="000640AB"/>
    <w:rsid w:val="00064902"/>
    <w:rsid w:val="0006537C"/>
    <w:rsid w:val="00065441"/>
    <w:rsid w:val="0006571D"/>
    <w:rsid w:val="00065CFB"/>
    <w:rsid w:val="000673D0"/>
    <w:rsid w:val="00070293"/>
    <w:rsid w:val="00070E6D"/>
    <w:rsid w:val="00072516"/>
    <w:rsid w:val="00072C8C"/>
    <w:rsid w:val="000732C5"/>
    <w:rsid w:val="000733B5"/>
    <w:rsid w:val="00074492"/>
    <w:rsid w:val="000751DF"/>
    <w:rsid w:val="00075555"/>
    <w:rsid w:val="00075812"/>
    <w:rsid w:val="00076144"/>
    <w:rsid w:val="00077485"/>
    <w:rsid w:val="00080153"/>
    <w:rsid w:val="00080EAA"/>
    <w:rsid w:val="00081409"/>
    <w:rsid w:val="000814F4"/>
    <w:rsid w:val="0008220A"/>
    <w:rsid w:val="00082ABA"/>
    <w:rsid w:val="00083208"/>
    <w:rsid w:val="000845F4"/>
    <w:rsid w:val="0008488B"/>
    <w:rsid w:val="000848DB"/>
    <w:rsid w:val="000849C1"/>
    <w:rsid w:val="00085A26"/>
    <w:rsid w:val="00090146"/>
    <w:rsid w:val="00092217"/>
    <w:rsid w:val="00092A42"/>
    <w:rsid w:val="000931C0"/>
    <w:rsid w:val="00094853"/>
    <w:rsid w:val="00094995"/>
    <w:rsid w:val="00094DCA"/>
    <w:rsid w:val="00094E4F"/>
    <w:rsid w:val="00095339"/>
    <w:rsid w:val="000954AA"/>
    <w:rsid w:val="000958AD"/>
    <w:rsid w:val="00095D8D"/>
    <w:rsid w:val="00096017"/>
    <w:rsid w:val="000963A3"/>
    <w:rsid w:val="000970ED"/>
    <w:rsid w:val="000971B4"/>
    <w:rsid w:val="00097556"/>
    <w:rsid w:val="000A0A61"/>
    <w:rsid w:val="000A2015"/>
    <w:rsid w:val="000A2B1E"/>
    <w:rsid w:val="000A300C"/>
    <w:rsid w:val="000A45F2"/>
    <w:rsid w:val="000A462E"/>
    <w:rsid w:val="000A4662"/>
    <w:rsid w:val="000A525D"/>
    <w:rsid w:val="000A5D3B"/>
    <w:rsid w:val="000A60B1"/>
    <w:rsid w:val="000A7841"/>
    <w:rsid w:val="000B00CA"/>
    <w:rsid w:val="000B029C"/>
    <w:rsid w:val="000B10CB"/>
    <w:rsid w:val="000B175B"/>
    <w:rsid w:val="000B1E80"/>
    <w:rsid w:val="000B2225"/>
    <w:rsid w:val="000B3A0F"/>
    <w:rsid w:val="000B46B4"/>
    <w:rsid w:val="000B4998"/>
    <w:rsid w:val="000B4A01"/>
    <w:rsid w:val="000B4EF7"/>
    <w:rsid w:val="000B59D0"/>
    <w:rsid w:val="000B5E18"/>
    <w:rsid w:val="000B5E73"/>
    <w:rsid w:val="000B6EE3"/>
    <w:rsid w:val="000B71EB"/>
    <w:rsid w:val="000C0946"/>
    <w:rsid w:val="000C1462"/>
    <w:rsid w:val="000C199B"/>
    <w:rsid w:val="000C1EC0"/>
    <w:rsid w:val="000C2D2E"/>
    <w:rsid w:val="000C34BE"/>
    <w:rsid w:val="000C4847"/>
    <w:rsid w:val="000C5A80"/>
    <w:rsid w:val="000C7D00"/>
    <w:rsid w:val="000D0342"/>
    <w:rsid w:val="000D12C9"/>
    <w:rsid w:val="000D21EA"/>
    <w:rsid w:val="000D250C"/>
    <w:rsid w:val="000D36DE"/>
    <w:rsid w:val="000D38CB"/>
    <w:rsid w:val="000D3CB8"/>
    <w:rsid w:val="000D4CA0"/>
    <w:rsid w:val="000D64FB"/>
    <w:rsid w:val="000D7308"/>
    <w:rsid w:val="000D78F2"/>
    <w:rsid w:val="000D79DC"/>
    <w:rsid w:val="000E0415"/>
    <w:rsid w:val="000E0475"/>
    <w:rsid w:val="000E2093"/>
    <w:rsid w:val="000E3509"/>
    <w:rsid w:val="000E441B"/>
    <w:rsid w:val="000E4907"/>
    <w:rsid w:val="000E7D72"/>
    <w:rsid w:val="000E7FA0"/>
    <w:rsid w:val="000F0286"/>
    <w:rsid w:val="000F0667"/>
    <w:rsid w:val="000F141E"/>
    <w:rsid w:val="000F16CD"/>
    <w:rsid w:val="000F1DDD"/>
    <w:rsid w:val="000F37A5"/>
    <w:rsid w:val="000F3E6C"/>
    <w:rsid w:val="000F635E"/>
    <w:rsid w:val="000F6882"/>
    <w:rsid w:val="000F7448"/>
    <w:rsid w:val="000F7B47"/>
    <w:rsid w:val="000F7D5D"/>
    <w:rsid w:val="00100052"/>
    <w:rsid w:val="001006AC"/>
    <w:rsid w:val="0010158B"/>
    <w:rsid w:val="00101658"/>
    <w:rsid w:val="00101D1D"/>
    <w:rsid w:val="00101F69"/>
    <w:rsid w:val="001024BA"/>
    <w:rsid w:val="0010324E"/>
    <w:rsid w:val="001034E2"/>
    <w:rsid w:val="001038C9"/>
    <w:rsid w:val="001038F3"/>
    <w:rsid w:val="00105764"/>
    <w:rsid w:val="00106F03"/>
    <w:rsid w:val="00107846"/>
    <w:rsid w:val="00107BBF"/>
    <w:rsid w:val="001101FB"/>
    <w:rsid w:val="001103AA"/>
    <w:rsid w:val="00110556"/>
    <w:rsid w:val="001112B5"/>
    <w:rsid w:val="001117C1"/>
    <w:rsid w:val="00111826"/>
    <w:rsid w:val="00111C9A"/>
    <w:rsid w:val="00112CA1"/>
    <w:rsid w:val="0011500C"/>
    <w:rsid w:val="001157AA"/>
    <w:rsid w:val="0011583C"/>
    <w:rsid w:val="001158AB"/>
    <w:rsid w:val="001158C4"/>
    <w:rsid w:val="00115F43"/>
    <w:rsid w:val="0011678C"/>
    <w:rsid w:val="00116BD3"/>
    <w:rsid w:val="00117B72"/>
    <w:rsid w:val="00117D87"/>
    <w:rsid w:val="00117DBC"/>
    <w:rsid w:val="001210C0"/>
    <w:rsid w:val="0012356D"/>
    <w:rsid w:val="001247C3"/>
    <w:rsid w:val="001256E1"/>
    <w:rsid w:val="00125ACC"/>
    <w:rsid w:val="00131194"/>
    <w:rsid w:val="0013315C"/>
    <w:rsid w:val="00133D13"/>
    <w:rsid w:val="00135E35"/>
    <w:rsid w:val="00137537"/>
    <w:rsid w:val="001401EF"/>
    <w:rsid w:val="00140340"/>
    <w:rsid w:val="00140503"/>
    <w:rsid w:val="00140808"/>
    <w:rsid w:val="00140EAF"/>
    <w:rsid w:val="001422EB"/>
    <w:rsid w:val="00142AB2"/>
    <w:rsid w:val="00143443"/>
    <w:rsid w:val="001435F0"/>
    <w:rsid w:val="00143AFB"/>
    <w:rsid w:val="00144678"/>
    <w:rsid w:val="00145618"/>
    <w:rsid w:val="00147A1A"/>
    <w:rsid w:val="001512C3"/>
    <w:rsid w:val="00151A4A"/>
    <w:rsid w:val="0015363B"/>
    <w:rsid w:val="001536ED"/>
    <w:rsid w:val="001545A7"/>
    <w:rsid w:val="0015533C"/>
    <w:rsid w:val="00155467"/>
    <w:rsid w:val="001560B5"/>
    <w:rsid w:val="00156803"/>
    <w:rsid w:val="001602AF"/>
    <w:rsid w:val="00161611"/>
    <w:rsid w:val="0016304F"/>
    <w:rsid w:val="00163BA2"/>
    <w:rsid w:val="00164579"/>
    <w:rsid w:val="00164F94"/>
    <w:rsid w:val="00165662"/>
    <w:rsid w:val="00170E0F"/>
    <w:rsid w:val="001713CF"/>
    <w:rsid w:val="001718D4"/>
    <w:rsid w:val="0017269E"/>
    <w:rsid w:val="00172981"/>
    <w:rsid w:val="00172F70"/>
    <w:rsid w:val="001741D6"/>
    <w:rsid w:val="00174CD8"/>
    <w:rsid w:val="00175D50"/>
    <w:rsid w:val="00177689"/>
    <w:rsid w:val="00180115"/>
    <w:rsid w:val="00180D95"/>
    <w:rsid w:val="0018149B"/>
    <w:rsid w:val="001828FE"/>
    <w:rsid w:val="0018297F"/>
    <w:rsid w:val="00182A91"/>
    <w:rsid w:val="00186652"/>
    <w:rsid w:val="001868A2"/>
    <w:rsid w:val="0018711F"/>
    <w:rsid w:val="00187199"/>
    <w:rsid w:val="001877AF"/>
    <w:rsid w:val="00187C31"/>
    <w:rsid w:val="00191144"/>
    <w:rsid w:val="00191920"/>
    <w:rsid w:val="00192427"/>
    <w:rsid w:val="00192CCE"/>
    <w:rsid w:val="001932E7"/>
    <w:rsid w:val="00193B1D"/>
    <w:rsid w:val="00195F80"/>
    <w:rsid w:val="00196D72"/>
    <w:rsid w:val="00197068"/>
    <w:rsid w:val="0019713D"/>
    <w:rsid w:val="00197C13"/>
    <w:rsid w:val="001A0F1D"/>
    <w:rsid w:val="001A1651"/>
    <w:rsid w:val="001A3411"/>
    <w:rsid w:val="001A3BEA"/>
    <w:rsid w:val="001A4893"/>
    <w:rsid w:val="001A5F5A"/>
    <w:rsid w:val="001A6C00"/>
    <w:rsid w:val="001A7A2A"/>
    <w:rsid w:val="001B062F"/>
    <w:rsid w:val="001B09ED"/>
    <w:rsid w:val="001B1227"/>
    <w:rsid w:val="001B15F3"/>
    <w:rsid w:val="001B1751"/>
    <w:rsid w:val="001B2F99"/>
    <w:rsid w:val="001B30AE"/>
    <w:rsid w:val="001B36D8"/>
    <w:rsid w:val="001B3C8B"/>
    <w:rsid w:val="001B4995"/>
    <w:rsid w:val="001B4B04"/>
    <w:rsid w:val="001B4F50"/>
    <w:rsid w:val="001B5D3F"/>
    <w:rsid w:val="001B6126"/>
    <w:rsid w:val="001B65C3"/>
    <w:rsid w:val="001B6908"/>
    <w:rsid w:val="001B6985"/>
    <w:rsid w:val="001B6B62"/>
    <w:rsid w:val="001B6CCC"/>
    <w:rsid w:val="001C0AC9"/>
    <w:rsid w:val="001C2088"/>
    <w:rsid w:val="001C2BFE"/>
    <w:rsid w:val="001C2E04"/>
    <w:rsid w:val="001C506A"/>
    <w:rsid w:val="001C510A"/>
    <w:rsid w:val="001C5C26"/>
    <w:rsid w:val="001C6663"/>
    <w:rsid w:val="001C7895"/>
    <w:rsid w:val="001D164B"/>
    <w:rsid w:val="001D1D50"/>
    <w:rsid w:val="001D1E07"/>
    <w:rsid w:val="001D26DF"/>
    <w:rsid w:val="001D347B"/>
    <w:rsid w:val="001D4309"/>
    <w:rsid w:val="001D5DF4"/>
    <w:rsid w:val="001D7241"/>
    <w:rsid w:val="001D7765"/>
    <w:rsid w:val="001E0A28"/>
    <w:rsid w:val="001E10C9"/>
    <w:rsid w:val="001E2315"/>
    <w:rsid w:val="001E30BB"/>
    <w:rsid w:val="001E3453"/>
    <w:rsid w:val="001E364F"/>
    <w:rsid w:val="001E37AA"/>
    <w:rsid w:val="001E3AF4"/>
    <w:rsid w:val="001E440A"/>
    <w:rsid w:val="001E4483"/>
    <w:rsid w:val="001E4622"/>
    <w:rsid w:val="001E46B4"/>
    <w:rsid w:val="001E535C"/>
    <w:rsid w:val="001E5AA0"/>
    <w:rsid w:val="001E6711"/>
    <w:rsid w:val="001F066A"/>
    <w:rsid w:val="001F33E5"/>
    <w:rsid w:val="001F36E2"/>
    <w:rsid w:val="001F3724"/>
    <w:rsid w:val="001F39D8"/>
    <w:rsid w:val="001F4A84"/>
    <w:rsid w:val="001F4C7C"/>
    <w:rsid w:val="001F5432"/>
    <w:rsid w:val="00200E07"/>
    <w:rsid w:val="0020234F"/>
    <w:rsid w:val="00202DA8"/>
    <w:rsid w:val="00203EC0"/>
    <w:rsid w:val="002046C7"/>
    <w:rsid w:val="002052F7"/>
    <w:rsid w:val="00206627"/>
    <w:rsid w:val="002069F2"/>
    <w:rsid w:val="002072C1"/>
    <w:rsid w:val="002076C2"/>
    <w:rsid w:val="0020772B"/>
    <w:rsid w:val="00210153"/>
    <w:rsid w:val="00210BE3"/>
    <w:rsid w:val="00210D33"/>
    <w:rsid w:val="00210E9A"/>
    <w:rsid w:val="00211799"/>
    <w:rsid w:val="00211E0B"/>
    <w:rsid w:val="002125AE"/>
    <w:rsid w:val="00212702"/>
    <w:rsid w:val="002147A2"/>
    <w:rsid w:val="00215618"/>
    <w:rsid w:val="00215657"/>
    <w:rsid w:val="002169E8"/>
    <w:rsid w:val="002223D4"/>
    <w:rsid w:val="0022495C"/>
    <w:rsid w:val="00224F9A"/>
    <w:rsid w:val="002251E9"/>
    <w:rsid w:val="00225623"/>
    <w:rsid w:val="00225731"/>
    <w:rsid w:val="002257ED"/>
    <w:rsid w:val="00225E24"/>
    <w:rsid w:val="00226001"/>
    <w:rsid w:val="00226471"/>
    <w:rsid w:val="00227D1C"/>
    <w:rsid w:val="00230B20"/>
    <w:rsid w:val="00230EB5"/>
    <w:rsid w:val="00232ED7"/>
    <w:rsid w:val="0023344C"/>
    <w:rsid w:val="002338DA"/>
    <w:rsid w:val="0023390A"/>
    <w:rsid w:val="00233A16"/>
    <w:rsid w:val="00234B30"/>
    <w:rsid w:val="002359F3"/>
    <w:rsid w:val="00235CD3"/>
    <w:rsid w:val="002406D2"/>
    <w:rsid w:val="002406E5"/>
    <w:rsid w:val="002415AE"/>
    <w:rsid w:val="00241854"/>
    <w:rsid w:val="00241FEE"/>
    <w:rsid w:val="002426ED"/>
    <w:rsid w:val="00243935"/>
    <w:rsid w:val="00243E23"/>
    <w:rsid w:val="002450E2"/>
    <w:rsid w:val="002457AB"/>
    <w:rsid w:val="002461B9"/>
    <w:rsid w:val="00246814"/>
    <w:rsid w:val="00246CE3"/>
    <w:rsid w:val="002477BE"/>
    <w:rsid w:val="00247A79"/>
    <w:rsid w:val="00250738"/>
    <w:rsid w:val="00251314"/>
    <w:rsid w:val="0025131A"/>
    <w:rsid w:val="00252B07"/>
    <w:rsid w:val="00254481"/>
    <w:rsid w:val="002548C4"/>
    <w:rsid w:val="00255131"/>
    <w:rsid w:val="002561B5"/>
    <w:rsid w:val="0025642E"/>
    <w:rsid w:val="00256539"/>
    <w:rsid w:val="00261697"/>
    <w:rsid w:val="002627D7"/>
    <w:rsid w:val="00263455"/>
    <w:rsid w:val="0026381C"/>
    <w:rsid w:val="00264016"/>
    <w:rsid w:val="002649DD"/>
    <w:rsid w:val="00265296"/>
    <w:rsid w:val="002652C0"/>
    <w:rsid w:val="00266F08"/>
    <w:rsid w:val="0026703B"/>
    <w:rsid w:val="00270D49"/>
    <w:rsid w:val="00271D2D"/>
    <w:rsid w:val="00272BD1"/>
    <w:rsid w:val="00275166"/>
    <w:rsid w:val="00275589"/>
    <w:rsid w:val="002759D3"/>
    <w:rsid w:val="00276534"/>
    <w:rsid w:val="002766E3"/>
    <w:rsid w:val="002776E9"/>
    <w:rsid w:val="00277A92"/>
    <w:rsid w:val="00280BF7"/>
    <w:rsid w:val="00281487"/>
    <w:rsid w:val="002824FC"/>
    <w:rsid w:val="002825B9"/>
    <w:rsid w:val="00282B14"/>
    <w:rsid w:val="00282CB1"/>
    <w:rsid w:val="002833D7"/>
    <w:rsid w:val="00283733"/>
    <w:rsid w:val="00285089"/>
    <w:rsid w:val="00285F52"/>
    <w:rsid w:val="00286147"/>
    <w:rsid w:val="00287392"/>
    <w:rsid w:val="002874E3"/>
    <w:rsid w:val="00290367"/>
    <w:rsid w:val="002909AB"/>
    <w:rsid w:val="00291277"/>
    <w:rsid w:val="00291649"/>
    <w:rsid w:val="00292341"/>
    <w:rsid w:val="00292746"/>
    <w:rsid w:val="00292951"/>
    <w:rsid w:val="00294B89"/>
    <w:rsid w:val="00294EE5"/>
    <w:rsid w:val="002952B7"/>
    <w:rsid w:val="002952F7"/>
    <w:rsid w:val="00295490"/>
    <w:rsid w:val="00297AA6"/>
    <w:rsid w:val="00297AAE"/>
    <w:rsid w:val="00297C3C"/>
    <w:rsid w:val="002A1E51"/>
    <w:rsid w:val="002A21D9"/>
    <w:rsid w:val="002A26D8"/>
    <w:rsid w:val="002A317C"/>
    <w:rsid w:val="002A360A"/>
    <w:rsid w:val="002A5CF4"/>
    <w:rsid w:val="002A5D16"/>
    <w:rsid w:val="002A6F78"/>
    <w:rsid w:val="002A7461"/>
    <w:rsid w:val="002A7A3B"/>
    <w:rsid w:val="002B0348"/>
    <w:rsid w:val="002B0464"/>
    <w:rsid w:val="002B0E26"/>
    <w:rsid w:val="002B11D7"/>
    <w:rsid w:val="002B16D9"/>
    <w:rsid w:val="002B4210"/>
    <w:rsid w:val="002B543E"/>
    <w:rsid w:val="002B640C"/>
    <w:rsid w:val="002B6D17"/>
    <w:rsid w:val="002C005E"/>
    <w:rsid w:val="002C1805"/>
    <w:rsid w:val="002C196D"/>
    <w:rsid w:val="002C1AE0"/>
    <w:rsid w:val="002C231B"/>
    <w:rsid w:val="002C6488"/>
    <w:rsid w:val="002D1949"/>
    <w:rsid w:val="002D1F17"/>
    <w:rsid w:val="002D241A"/>
    <w:rsid w:val="002D2F44"/>
    <w:rsid w:val="002D3557"/>
    <w:rsid w:val="002D3593"/>
    <w:rsid w:val="002D3FAA"/>
    <w:rsid w:val="002D45F7"/>
    <w:rsid w:val="002D4FE3"/>
    <w:rsid w:val="002D51FD"/>
    <w:rsid w:val="002D56AF"/>
    <w:rsid w:val="002D6EB0"/>
    <w:rsid w:val="002D738C"/>
    <w:rsid w:val="002D791A"/>
    <w:rsid w:val="002E09F6"/>
    <w:rsid w:val="002E0AAD"/>
    <w:rsid w:val="002E3066"/>
    <w:rsid w:val="002E3A17"/>
    <w:rsid w:val="002E55D6"/>
    <w:rsid w:val="002E6A5E"/>
    <w:rsid w:val="002E6C86"/>
    <w:rsid w:val="002E7412"/>
    <w:rsid w:val="002F1680"/>
    <w:rsid w:val="002F175C"/>
    <w:rsid w:val="002F2AB9"/>
    <w:rsid w:val="002F2B6A"/>
    <w:rsid w:val="002F2C34"/>
    <w:rsid w:val="002F356C"/>
    <w:rsid w:val="002F419E"/>
    <w:rsid w:val="002F571A"/>
    <w:rsid w:val="002F590A"/>
    <w:rsid w:val="002F60B0"/>
    <w:rsid w:val="002F6CEF"/>
    <w:rsid w:val="002F7790"/>
    <w:rsid w:val="003000BB"/>
    <w:rsid w:val="00301E7E"/>
    <w:rsid w:val="00301FC8"/>
    <w:rsid w:val="00302084"/>
    <w:rsid w:val="00304D06"/>
    <w:rsid w:val="00304F4F"/>
    <w:rsid w:val="00304FC2"/>
    <w:rsid w:val="00305D22"/>
    <w:rsid w:val="00307900"/>
    <w:rsid w:val="00307F5E"/>
    <w:rsid w:val="003111E1"/>
    <w:rsid w:val="003112F8"/>
    <w:rsid w:val="00312057"/>
    <w:rsid w:val="00313096"/>
    <w:rsid w:val="0031311F"/>
    <w:rsid w:val="00313BF0"/>
    <w:rsid w:val="003148D5"/>
    <w:rsid w:val="00315588"/>
    <w:rsid w:val="003156BF"/>
    <w:rsid w:val="00315D87"/>
    <w:rsid w:val="00316866"/>
    <w:rsid w:val="003207DA"/>
    <w:rsid w:val="0032219B"/>
    <w:rsid w:val="003222C0"/>
    <w:rsid w:val="003229D8"/>
    <w:rsid w:val="00322DCB"/>
    <w:rsid w:val="00322EB5"/>
    <w:rsid w:val="0032356B"/>
    <w:rsid w:val="00324D87"/>
    <w:rsid w:val="003256D9"/>
    <w:rsid w:val="00325FBF"/>
    <w:rsid w:val="00326ABF"/>
    <w:rsid w:val="00326E57"/>
    <w:rsid w:val="003276DE"/>
    <w:rsid w:val="00327824"/>
    <w:rsid w:val="003305AB"/>
    <w:rsid w:val="00330D60"/>
    <w:rsid w:val="00331536"/>
    <w:rsid w:val="003319D3"/>
    <w:rsid w:val="0033268E"/>
    <w:rsid w:val="00332B75"/>
    <w:rsid w:val="00334CC0"/>
    <w:rsid w:val="00335DFC"/>
    <w:rsid w:val="003361CE"/>
    <w:rsid w:val="00336376"/>
    <w:rsid w:val="00336E9B"/>
    <w:rsid w:val="003427E0"/>
    <w:rsid w:val="0034364E"/>
    <w:rsid w:val="00344502"/>
    <w:rsid w:val="0034450E"/>
    <w:rsid w:val="00345A8F"/>
    <w:rsid w:val="00347EB2"/>
    <w:rsid w:val="0035186F"/>
    <w:rsid w:val="00352709"/>
    <w:rsid w:val="003527A7"/>
    <w:rsid w:val="003543AB"/>
    <w:rsid w:val="00354A09"/>
    <w:rsid w:val="00354A25"/>
    <w:rsid w:val="00354AD7"/>
    <w:rsid w:val="003606EB"/>
    <w:rsid w:val="00360822"/>
    <w:rsid w:val="00361863"/>
    <w:rsid w:val="00362072"/>
    <w:rsid w:val="00364304"/>
    <w:rsid w:val="00371008"/>
    <w:rsid w:val="00371178"/>
    <w:rsid w:val="003718FA"/>
    <w:rsid w:val="00371FEC"/>
    <w:rsid w:val="003724D1"/>
    <w:rsid w:val="00372511"/>
    <w:rsid w:val="003726A2"/>
    <w:rsid w:val="00375147"/>
    <w:rsid w:val="0037535C"/>
    <w:rsid w:val="00375BD1"/>
    <w:rsid w:val="00377097"/>
    <w:rsid w:val="00377A4A"/>
    <w:rsid w:val="00381F40"/>
    <w:rsid w:val="003820BD"/>
    <w:rsid w:val="003832DA"/>
    <w:rsid w:val="003843FC"/>
    <w:rsid w:val="00385147"/>
    <w:rsid w:val="0038539B"/>
    <w:rsid w:val="00385F93"/>
    <w:rsid w:val="00386220"/>
    <w:rsid w:val="00386811"/>
    <w:rsid w:val="00386D2C"/>
    <w:rsid w:val="0038763B"/>
    <w:rsid w:val="00390038"/>
    <w:rsid w:val="0039077B"/>
    <w:rsid w:val="0039098D"/>
    <w:rsid w:val="00390ADC"/>
    <w:rsid w:val="00391336"/>
    <w:rsid w:val="00391EC6"/>
    <w:rsid w:val="00392572"/>
    <w:rsid w:val="003939ED"/>
    <w:rsid w:val="00393F0C"/>
    <w:rsid w:val="0039404C"/>
    <w:rsid w:val="0039406C"/>
    <w:rsid w:val="00395AF5"/>
    <w:rsid w:val="003A219F"/>
    <w:rsid w:val="003A23A8"/>
    <w:rsid w:val="003A32E7"/>
    <w:rsid w:val="003A390C"/>
    <w:rsid w:val="003A4810"/>
    <w:rsid w:val="003A4DAE"/>
    <w:rsid w:val="003A4EFF"/>
    <w:rsid w:val="003A510E"/>
    <w:rsid w:val="003A5402"/>
    <w:rsid w:val="003A6810"/>
    <w:rsid w:val="003A7290"/>
    <w:rsid w:val="003B096A"/>
    <w:rsid w:val="003B0A50"/>
    <w:rsid w:val="003B101F"/>
    <w:rsid w:val="003B13C6"/>
    <w:rsid w:val="003B1C82"/>
    <w:rsid w:val="003B1E19"/>
    <w:rsid w:val="003B2157"/>
    <w:rsid w:val="003B2646"/>
    <w:rsid w:val="003B2EA7"/>
    <w:rsid w:val="003B3595"/>
    <w:rsid w:val="003B438F"/>
    <w:rsid w:val="003B46FD"/>
    <w:rsid w:val="003B4727"/>
    <w:rsid w:val="003B5C0A"/>
    <w:rsid w:val="003B611D"/>
    <w:rsid w:val="003C0A2C"/>
    <w:rsid w:val="003C0BD3"/>
    <w:rsid w:val="003C2CC4"/>
    <w:rsid w:val="003C4B1A"/>
    <w:rsid w:val="003C50EA"/>
    <w:rsid w:val="003C6462"/>
    <w:rsid w:val="003C6AD6"/>
    <w:rsid w:val="003C70AC"/>
    <w:rsid w:val="003D0D9E"/>
    <w:rsid w:val="003D0F0C"/>
    <w:rsid w:val="003D1B42"/>
    <w:rsid w:val="003D1F9F"/>
    <w:rsid w:val="003D32E7"/>
    <w:rsid w:val="003D4931"/>
    <w:rsid w:val="003D4B23"/>
    <w:rsid w:val="003D5006"/>
    <w:rsid w:val="003D5007"/>
    <w:rsid w:val="003D517F"/>
    <w:rsid w:val="003D59B4"/>
    <w:rsid w:val="003D728C"/>
    <w:rsid w:val="003D7CAE"/>
    <w:rsid w:val="003E0E8D"/>
    <w:rsid w:val="003E1A19"/>
    <w:rsid w:val="003E1E81"/>
    <w:rsid w:val="003E3091"/>
    <w:rsid w:val="003E4DD9"/>
    <w:rsid w:val="003E7579"/>
    <w:rsid w:val="003E7745"/>
    <w:rsid w:val="003F06D1"/>
    <w:rsid w:val="003F1120"/>
    <w:rsid w:val="003F1AE0"/>
    <w:rsid w:val="003F686C"/>
    <w:rsid w:val="003F6BA5"/>
    <w:rsid w:val="003F6BD4"/>
    <w:rsid w:val="003F6D82"/>
    <w:rsid w:val="003F7097"/>
    <w:rsid w:val="003F71F9"/>
    <w:rsid w:val="00400F10"/>
    <w:rsid w:val="00401E8A"/>
    <w:rsid w:val="00405DDC"/>
    <w:rsid w:val="004078DD"/>
    <w:rsid w:val="00407D84"/>
    <w:rsid w:val="0041048E"/>
    <w:rsid w:val="004104C6"/>
    <w:rsid w:val="00410C89"/>
    <w:rsid w:val="00411399"/>
    <w:rsid w:val="0041142B"/>
    <w:rsid w:val="00411EE0"/>
    <w:rsid w:val="00412229"/>
    <w:rsid w:val="004124C1"/>
    <w:rsid w:val="00412B97"/>
    <w:rsid w:val="00413D12"/>
    <w:rsid w:val="00416CA6"/>
    <w:rsid w:val="00421115"/>
    <w:rsid w:val="00421A37"/>
    <w:rsid w:val="00421E1E"/>
    <w:rsid w:val="00422C90"/>
    <w:rsid w:val="0042708C"/>
    <w:rsid w:val="00427F74"/>
    <w:rsid w:val="0043070B"/>
    <w:rsid w:val="00430F9F"/>
    <w:rsid w:val="004325CB"/>
    <w:rsid w:val="00432C46"/>
    <w:rsid w:val="0043430F"/>
    <w:rsid w:val="00434453"/>
    <w:rsid w:val="0043448B"/>
    <w:rsid w:val="00434907"/>
    <w:rsid w:val="004352F5"/>
    <w:rsid w:val="004352FC"/>
    <w:rsid w:val="00435433"/>
    <w:rsid w:val="00436D5D"/>
    <w:rsid w:val="00437022"/>
    <w:rsid w:val="00437230"/>
    <w:rsid w:val="004376C2"/>
    <w:rsid w:val="004379EE"/>
    <w:rsid w:val="004409E2"/>
    <w:rsid w:val="00441194"/>
    <w:rsid w:val="0044198C"/>
    <w:rsid w:val="00441CC4"/>
    <w:rsid w:val="00442BED"/>
    <w:rsid w:val="00444AA8"/>
    <w:rsid w:val="00444BFF"/>
    <w:rsid w:val="00444E5A"/>
    <w:rsid w:val="004450A6"/>
    <w:rsid w:val="00445913"/>
    <w:rsid w:val="00447A32"/>
    <w:rsid w:val="00447DB6"/>
    <w:rsid w:val="0045302C"/>
    <w:rsid w:val="00453763"/>
    <w:rsid w:val="004538A0"/>
    <w:rsid w:val="00454585"/>
    <w:rsid w:val="0045495B"/>
    <w:rsid w:val="00460655"/>
    <w:rsid w:val="00460F0F"/>
    <w:rsid w:val="004610FB"/>
    <w:rsid w:val="00461637"/>
    <w:rsid w:val="00461860"/>
    <w:rsid w:val="00462187"/>
    <w:rsid w:val="0046252E"/>
    <w:rsid w:val="00462DDE"/>
    <w:rsid w:val="0046352C"/>
    <w:rsid w:val="00463E90"/>
    <w:rsid w:val="00463EA0"/>
    <w:rsid w:val="004643C2"/>
    <w:rsid w:val="00464C9F"/>
    <w:rsid w:val="0046537D"/>
    <w:rsid w:val="0046571A"/>
    <w:rsid w:val="00465E1C"/>
    <w:rsid w:val="004665A6"/>
    <w:rsid w:val="00467142"/>
    <w:rsid w:val="00467735"/>
    <w:rsid w:val="004714FC"/>
    <w:rsid w:val="00472007"/>
    <w:rsid w:val="0047321A"/>
    <w:rsid w:val="00473422"/>
    <w:rsid w:val="004750A1"/>
    <w:rsid w:val="004762C8"/>
    <w:rsid w:val="004766A9"/>
    <w:rsid w:val="00477177"/>
    <w:rsid w:val="00477D7E"/>
    <w:rsid w:val="00480215"/>
    <w:rsid w:val="0048117E"/>
    <w:rsid w:val="004816C4"/>
    <w:rsid w:val="0048266F"/>
    <w:rsid w:val="00483EE2"/>
    <w:rsid w:val="004844DE"/>
    <w:rsid w:val="0048592E"/>
    <w:rsid w:val="004867DC"/>
    <w:rsid w:val="00491DC2"/>
    <w:rsid w:val="0049308F"/>
    <w:rsid w:val="004935DB"/>
    <w:rsid w:val="00494A77"/>
    <w:rsid w:val="0049582A"/>
    <w:rsid w:val="00495928"/>
    <w:rsid w:val="00495E5D"/>
    <w:rsid w:val="00496559"/>
    <w:rsid w:val="00496797"/>
    <w:rsid w:val="004967D7"/>
    <w:rsid w:val="00496E46"/>
    <w:rsid w:val="004974EB"/>
    <w:rsid w:val="004978B8"/>
    <w:rsid w:val="004A0E9A"/>
    <w:rsid w:val="004A124A"/>
    <w:rsid w:val="004A1691"/>
    <w:rsid w:val="004A2288"/>
    <w:rsid w:val="004A3A7E"/>
    <w:rsid w:val="004A3E0B"/>
    <w:rsid w:val="004A4835"/>
    <w:rsid w:val="004A5696"/>
    <w:rsid w:val="004A58D3"/>
    <w:rsid w:val="004A7779"/>
    <w:rsid w:val="004A7CA3"/>
    <w:rsid w:val="004B073D"/>
    <w:rsid w:val="004B13E4"/>
    <w:rsid w:val="004B1F6A"/>
    <w:rsid w:val="004B2FE6"/>
    <w:rsid w:val="004B35A3"/>
    <w:rsid w:val="004B369D"/>
    <w:rsid w:val="004B4243"/>
    <w:rsid w:val="004B47FE"/>
    <w:rsid w:val="004B5C8E"/>
    <w:rsid w:val="004C0628"/>
    <w:rsid w:val="004C15AE"/>
    <w:rsid w:val="004C23B9"/>
    <w:rsid w:val="004C2812"/>
    <w:rsid w:val="004C29B7"/>
    <w:rsid w:val="004C2B44"/>
    <w:rsid w:val="004C2DA4"/>
    <w:rsid w:val="004C33F4"/>
    <w:rsid w:val="004C3E9B"/>
    <w:rsid w:val="004C43CE"/>
    <w:rsid w:val="004C4455"/>
    <w:rsid w:val="004C504B"/>
    <w:rsid w:val="004C62DD"/>
    <w:rsid w:val="004C67B4"/>
    <w:rsid w:val="004C7000"/>
    <w:rsid w:val="004C7337"/>
    <w:rsid w:val="004D0A02"/>
    <w:rsid w:val="004D11BB"/>
    <w:rsid w:val="004D25E4"/>
    <w:rsid w:val="004D2A1A"/>
    <w:rsid w:val="004D2D39"/>
    <w:rsid w:val="004D3770"/>
    <w:rsid w:val="004D558B"/>
    <w:rsid w:val="004D5D00"/>
    <w:rsid w:val="004D5E04"/>
    <w:rsid w:val="004D737A"/>
    <w:rsid w:val="004D743C"/>
    <w:rsid w:val="004D7E24"/>
    <w:rsid w:val="004E0856"/>
    <w:rsid w:val="004E124E"/>
    <w:rsid w:val="004E1697"/>
    <w:rsid w:val="004E29D4"/>
    <w:rsid w:val="004E3D28"/>
    <w:rsid w:val="004E4CF7"/>
    <w:rsid w:val="004E4FE9"/>
    <w:rsid w:val="004E52AD"/>
    <w:rsid w:val="004E5D20"/>
    <w:rsid w:val="004E5D2C"/>
    <w:rsid w:val="004E6E37"/>
    <w:rsid w:val="004E7DCE"/>
    <w:rsid w:val="004F0155"/>
    <w:rsid w:val="004F017D"/>
    <w:rsid w:val="004F14FF"/>
    <w:rsid w:val="004F2567"/>
    <w:rsid w:val="004F42AB"/>
    <w:rsid w:val="004F466F"/>
    <w:rsid w:val="004F4BF6"/>
    <w:rsid w:val="004F4D51"/>
    <w:rsid w:val="004F4D53"/>
    <w:rsid w:val="004F718D"/>
    <w:rsid w:val="004F7916"/>
    <w:rsid w:val="005007B1"/>
    <w:rsid w:val="00501914"/>
    <w:rsid w:val="0050248E"/>
    <w:rsid w:val="00502B4A"/>
    <w:rsid w:val="005033A2"/>
    <w:rsid w:val="00504A90"/>
    <w:rsid w:val="005051C4"/>
    <w:rsid w:val="00505660"/>
    <w:rsid w:val="00505724"/>
    <w:rsid w:val="0050582E"/>
    <w:rsid w:val="00510108"/>
    <w:rsid w:val="005101D2"/>
    <w:rsid w:val="005109AD"/>
    <w:rsid w:val="00511904"/>
    <w:rsid w:val="00513237"/>
    <w:rsid w:val="00513375"/>
    <w:rsid w:val="005148F7"/>
    <w:rsid w:val="00514D9B"/>
    <w:rsid w:val="00516028"/>
    <w:rsid w:val="00516D4D"/>
    <w:rsid w:val="00517B36"/>
    <w:rsid w:val="00522116"/>
    <w:rsid w:val="005225BE"/>
    <w:rsid w:val="005249AD"/>
    <w:rsid w:val="00525669"/>
    <w:rsid w:val="00526E50"/>
    <w:rsid w:val="00526FE4"/>
    <w:rsid w:val="00527204"/>
    <w:rsid w:val="00527F1E"/>
    <w:rsid w:val="00530AF5"/>
    <w:rsid w:val="00531220"/>
    <w:rsid w:val="0053138A"/>
    <w:rsid w:val="005318A4"/>
    <w:rsid w:val="00531B0A"/>
    <w:rsid w:val="0053228E"/>
    <w:rsid w:val="005326D3"/>
    <w:rsid w:val="005328E2"/>
    <w:rsid w:val="00532913"/>
    <w:rsid w:val="00532B6F"/>
    <w:rsid w:val="0053318C"/>
    <w:rsid w:val="005334D8"/>
    <w:rsid w:val="00534220"/>
    <w:rsid w:val="00535EAE"/>
    <w:rsid w:val="00536248"/>
    <w:rsid w:val="00540966"/>
    <w:rsid w:val="0054118E"/>
    <w:rsid w:val="005413CF"/>
    <w:rsid w:val="00541863"/>
    <w:rsid w:val="005420F2"/>
    <w:rsid w:val="00542A9C"/>
    <w:rsid w:val="00543CE0"/>
    <w:rsid w:val="00543D36"/>
    <w:rsid w:val="00545F08"/>
    <w:rsid w:val="005460FD"/>
    <w:rsid w:val="005471C1"/>
    <w:rsid w:val="00547B17"/>
    <w:rsid w:val="005509DE"/>
    <w:rsid w:val="00551906"/>
    <w:rsid w:val="00551B1A"/>
    <w:rsid w:val="00552353"/>
    <w:rsid w:val="005523CD"/>
    <w:rsid w:val="00552EC2"/>
    <w:rsid w:val="00553283"/>
    <w:rsid w:val="0055573D"/>
    <w:rsid w:val="00555F22"/>
    <w:rsid w:val="00555F4C"/>
    <w:rsid w:val="005571C6"/>
    <w:rsid w:val="005605BC"/>
    <w:rsid w:val="00560691"/>
    <w:rsid w:val="00560AC1"/>
    <w:rsid w:val="00561185"/>
    <w:rsid w:val="00561205"/>
    <w:rsid w:val="0056146F"/>
    <w:rsid w:val="00561766"/>
    <w:rsid w:val="00562307"/>
    <w:rsid w:val="00562AB0"/>
    <w:rsid w:val="00562F71"/>
    <w:rsid w:val="005633C4"/>
    <w:rsid w:val="00563687"/>
    <w:rsid w:val="00563F78"/>
    <w:rsid w:val="00564E55"/>
    <w:rsid w:val="0056521D"/>
    <w:rsid w:val="00565375"/>
    <w:rsid w:val="005662E6"/>
    <w:rsid w:val="00566684"/>
    <w:rsid w:val="00566985"/>
    <w:rsid w:val="0056792E"/>
    <w:rsid w:val="00570999"/>
    <w:rsid w:val="00570BD4"/>
    <w:rsid w:val="005710D8"/>
    <w:rsid w:val="00571437"/>
    <w:rsid w:val="00571BB0"/>
    <w:rsid w:val="0057360C"/>
    <w:rsid w:val="005741B6"/>
    <w:rsid w:val="0057428B"/>
    <w:rsid w:val="00574BFD"/>
    <w:rsid w:val="005766C8"/>
    <w:rsid w:val="00577C7E"/>
    <w:rsid w:val="005802A9"/>
    <w:rsid w:val="00580AE5"/>
    <w:rsid w:val="00580CC4"/>
    <w:rsid w:val="00583521"/>
    <w:rsid w:val="00583769"/>
    <w:rsid w:val="005858EF"/>
    <w:rsid w:val="005860D7"/>
    <w:rsid w:val="00586EA8"/>
    <w:rsid w:val="00591889"/>
    <w:rsid w:val="005929A4"/>
    <w:rsid w:val="005933E9"/>
    <w:rsid w:val="00595BCA"/>
    <w:rsid w:val="00596BC6"/>
    <w:rsid w:val="005A11E3"/>
    <w:rsid w:val="005A1870"/>
    <w:rsid w:val="005A1E27"/>
    <w:rsid w:val="005A2813"/>
    <w:rsid w:val="005A7E74"/>
    <w:rsid w:val="005B0799"/>
    <w:rsid w:val="005B0E15"/>
    <w:rsid w:val="005B114E"/>
    <w:rsid w:val="005B142C"/>
    <w:rsid w:val="005B15BB"/>
    <w:rsid w:val="005B2DA6"/>
    <w:rsid w:val="005B2F64"/>
    <w:rsid w:val="005B3A6F"/>
    <w:rsid w:val="005B3DB3"/>
    <w:rsid w:val="005B4DCD"/>
    <w:rsid w:val="005B6BFC"/>
    <w:rsid w:val="005B6C91"/>
    <w:rsid w:val="005C0B7B"/>
    <w:rsid w:val="005C1AE8"/>
    <w:rsid w:val="005C1CE4"/>
    <w:rsid w:val="005C2476"/>
    <w:rsid w:val="005C494F"/>
    <w:rsid w:val="005C51C7"/>
    <w:rsid w:val="005C64F5"/>
    <w:rsid w:val="005C6A79"/>
    <w:rsid w:val="005C70FD"/>
    <w:rsid w:val="005D078A"/>
    <w:rsid w:val="005D1323"/>
    <w:rsid w:val="005D3276"/>
    <w:rsid w:val="005D3BFB"/>
    <w:rsid w:val="005D483D"/>
    <w:rsid w:val="005D5519"/>
    <w:rsid w:val="005D5604"/>
    <w:rsid w:val="005D744F"/>
    <w:rsid w:val="005D7606"/>
    <w:rsid w:val="005E04C4"/>
    <w:rsid w:val="005E1C12"/>
    <w:rsid w:val="005E2207"/>
    <w:rsid w:val="005E6111"/>
    <w:rsid w:val="005F06E6"/>
    <w:rsid w:val="005F1FED"/>
    <w:rsid w:val="005F3DF4"/>
    <w:rsid w:val="005F44A4"/>
    <w:rsid w:val="005F5450"/>
    <w:rsid w:val="005F5E2C"/>
    <w:rsid w:val="005F779C"/>
    <w:rsid w:val="005F7B43"/>
    <w:rsid w:val="006001EE"/>
    <w:rsid w:val="00600BD9"/>
    <w:rsid w:val="00600C24"/>
    <w:rsid w:val="0060156A"/>
    <w:rsid w:val="00602687"/>
    <w:rsid w:val="006030AA"/>
    <w:rsid w:val="0060321D"/>
    <w:rsid w:val="00603CF6"/>
    <w:rsid w:val="0060419E"/>
    <w:rsid w:val="0060455B"/>
    <w:rsid w:val="006050D0"/>
    <w:rsid w:val="00605458"/>
    <w:rsid w:val="00605699"/>
    <w:rsid w:val="006058DF"/>
    <w:rsid w:val="006060D5"/>
    <w:rsid w:val="00611ED6"/>
    <w:rsid w:val="00611FC4"/>
    <w:rsid w:val="0061411C"/>
    <w:rsid w:val="00614D20"/>
    <w:rsid w:val="00615A8B"/>
    <w:rsid w:val="006176FB"/>
    <w:rsid w:val="0062292D"/>
    <w:rsid w:val="00623DA1"/>
    <w:rsid w:val="00624EEB"/>
    <w:rsid w:val="006253BF"/>
    <w:rsid w:val="0062543B"/>
    <w:rsid w:val="00625CA5"/>
    <w:rsid w:val="00626951"/>
    <w:rsid w:val="00627077"/>
    <w:rsid w:val="0063046E"/>
    <w:rsid w:val="006305F3"/>
    <w:rsid w:val="0063083A"/>
    <w:rsid w:val="006309F0"/>
    <w:rsid w:val="00630AE5"/>
    <w:rsid w:val="00630EC7"/>
    <w:rsid w:val="0063109F"/>
    <w:rsid w:val="006314EB"/>
    <w:rsid w:val="00632CBA"/>
    <w:rsid w:val="00633E05"/>
    <w:rsid w:val="00635FF9"/>
    <w:rsid w:val="0063601B"/>
    <w:rsid w:val="0063640E"/>
    <w:rsid w:val="00636617"/>
    <w:rsid w:val="006377E7"/>
    <w:rsid w:val="00637EB7"/>
    <w:rsid w:val="00640B26"/>
    <w:rsid w:val="00640F85"/>
    <w:rsid w:val="006422D0"/>
    <w:rsid w:val="00642565"/>
    <w:rsid w:val="0064288C"/>
    <w:rsid w:val="00642D96"/>
    <w:rsid w:val="00643B16"/>
    <w:rsid w:val="00644143"/>
    <w:rsid w:val="006453BD"/>
    <w:rsid w:val="00645743"/>
    <w:rsid w:val="00646954"/>
    <w:rsid w:val="00647635"/>
    <w:rsid w:val="006511D7"/>
    <w:rsid w:val="00654067"/>
    <w:rsid w:val="006541DE"/>
    <w:rsid w:val="00654206"/>
    <w:rsid w:val="0065554A"/>
    <w:rsid w:val="00655C65"/>
    <w:rsid w:val="00655D05"/>
    <w:rsid w:val="00656486"/>
    <w:rsid w:val="0065786E"/>
    <w:rsid w:val="006578C4"/>
    <w:rsid w:val="0066069E"/>
    <w:rsid w:val="006606D9"/>
    <w:rsid w:val="0066098B"/>
    <w:rsid w:val="00660AC1"/>
    <w:rsid w:val="006611D0"/>
    <w:rsid w:val="0066123B"/>
    <w:rsid w:val="0066144C"/>
    <w:rsid w:val="006622C5"/>
    <w:rsid w:val="00664A52"/>
    <w:rsid w:val="00665087"/>
    <w:rsid w:val="00665829"/>
    <w:rsid w:val="00665EFF"/>
    <w:rsid w:val="00666615"/>
    <w:rsid w:val="006679D1"/>
    <w:rsid w:val="00667CC0"/>
    <w:rsid w:val="006702DB"/>
    <w:rsid w:val="00671F11"/>
    <w:rsid w:val="006721FC"/>
    <w:rsid w:val="0067392E"/>
    <w:rsid w:val="0067435E"/>
    <w:rsid w:val="00676337"/>
    <w:rsid w:val="00677893"/>
    <w:rsid w:val="0067793F"/>
    <w:rsid w:val="00677FE2"/>
    <w:rsid w:val="006804C6"/>
    <w:rsid w:val="006812C0"/>
    <w:rsid w:val="00681EBF"/>
    <w:rsid w:val="00684F19"/>
    <w:rsid w:val="0068567A"/>
    <w:rsid w:val="00686569"/>
    <w:rsid w:val="00687074"/>
    <w:rsid w:val="00687ACA"/>
    <w:rsid w:val="0069225C"/>
    <w:rsid w:val="00693671"/>
    <w:rsid w:val="006939E8"/>
    <w:rsid w:val="00694015"/>
    <w:rsid w:val="0069412F"/>
    <w:rsid w:val="006957E5"/>
    <w:rsid w:val="00697079"/>
    <w:rsid w:val="006975FC"/>
    <w:rsid w:val="006978BB"/>
    <w:rsid w:val="00697C22"/>
    <w:rsid w:val="006A0018"/>
    <w:rsid w:val="006A43CA"/>
    <w:rsid w:val="006A500F"/>
    <w:rsid w:val="006A51AE"/>
    <w:rsid w:val="006A65CC"/>
    <w:rsid w:val="006A6E97"/>
    <w:rsid w:val="006B0396"/>
    <w:rsid w:val="006B03DB"/>
    <w:rsid w:val="006B1268"/>
    <w:rsid w:val="006B1F02"/>
    <w:rsid w:val="006B3007"/>
    <w:rsid w:val="006B3D46"/>
    <w:rsid w:val="006B3FD8"/>
    <w:rsid w:val="006B68B8"/>
    <w:rsid w:val="006B7151"/>
    <w:rsid w:val="006C1381"/>
    <w:rsid w:val="006C1B6F"/>
    <w:rsid w:val="006C1C47"/>
    <w:rsid w:val="006C2553"/>
    <w:rsid w:val="006C267D"/>
    <w:rsid w:val="006C3597"/>
    <w:rsid w:val="006C3A2B"/>
    <w:rsid w:val="006C51F2"/>
    <w:rsid w:val="006C5269"/>
    <w:rsid w:val="006C5A2F"/>
    <w:rsid w:val="006C63CD"/>
    <w:rsid w:val="006D23CE"/>
    <w:rsid w:val="006D2E5D"/>
    <w:rsid w:val="006D3022"/>
    <w:rsid w:val="006D3E11"/>
    <w:rsid w:val="006D541F"/>
    <w:rsid w:val="006D6065"/>
    <w:rsid w:val="006D7475"/>
    <w:rsid w:val="006E083D"/>
    <w:rsid w:val="006E1314"/>
    <w:rsid w:val="006E28E3"/>
    <w:rsid w:val="006E3013"/>
    <w:rsid w:val="006E564B"/>
    <w:rsid w:val="006E65EA"/>
    <w:rsid w:val="006E6DB2"/>
    <w:rsid w:val="006F06A8"/>
    <w:rsid w:val="006F149C"/>
    <w:rsid w:val="006F177A"/>
    <w:rsid w:val="006F1786"/>
    <w:rsid w:val="006F2246"/>
    <w:rsid w:val="006F329A"/>
    <w:rsid w:val="006F3891"/>
    <w:rsid w:val="006F57DF"/>
    <w:rsid w:val="006F58B9"/>
    <w:rsid w:val="006F5CAD"/>
    <w:rsid w:val="006F5FDA"/>
    <w:rsid w:val="006F6FE8"/>
    <w:rsid w:val="006F790E"/>
    <w:rsid w:val="006F7B29"/>
    <w:rsid w:val="00700320"/>
    <w:rsid w:val="00701083"/>
    <w:rsid w:val="0070180B"/>
    <w:rsid w:val="007023D2"/>
    <w:rsid w:val="00702DA1"/>
    <w:rsid w:val="00702DDA"/>
    <w:rsid w:val="00703199"/>
    <w:rsid w:val="0070352A"/>
    <w:rsid w:val="0070410D"/>
    <w:rsid w:val="0070549B"/>
    <w:rsid w:val="00707891"/>
    <w:rsid w:val="007106F1"/>
    <w:rsid w:val="00711017"/>
    <w:rsid w:val="007111CA"/>
    <w:rsid w:val="007117B3"/>
    <w:rsid w:val="0071226A"/>
    <w:rsid w:val="00712450"/>
    <w:rsid w:val="007125C3"/>
    <w:rsid w:val="00713118"/>
    <w:rsid w:val="00713555"/>
    <w:rsid w:val="00716C75"/>
    <w:rsid w:val="0071732D"/>
    <w:rsid w:val="00720A00"/>
    <w:rsid w:val="0072182B"/>
    <w:rsid w:val="00721E67"/>
    <w:rsid w:val="00722DA7"/>
    <w:rsid w:val="007232EF"/>
    <w:rsid w:val="00725B9B"/>
    <w:rsid w:val="00725DA6"/>
    <w:rsid w:val="0072632A"/>
    <w:rsid w:val="00727583"/>
    <w:rsid w:val="00727643"/>
    <w:rsid w:val="00730348"/>
    <w:rsid w:val="0073037D"/>
    <w:rsid w:val="00730A32"/>
    <w:rsid w:val="00730CE4"/>
    <w:rsid w:val="00731316"/>
    <w:rsid w:val="00731D5B"/>
    <w:rsid w:val="00731DBA"/>
    <w:rsid w:val="007323C1"/>
    <w:rsid w:val="007347FC"/>
    <w:rsid w:val="00734C12"/>
    <w:rsid w:val="00736D96"/>
    <w:rsid w:val="00737075"/>
    <w:rsid w:val="007374B9"/>
    <w:rsid w:val="0074007E"/>
    <w:rsid w:val="007417D5"/>
    <w:rsid w:val="007431A6"/>
    <w:rsid w:val="0074462C"/>
    <w:rsid w:val="00745D3E"/>
    <w:rsid w:val="0074707B"/>
    <w:rsid w:val="0075046C"/>
    <w:rsid w:val="00750AF9"/>
    <w:rsid w:val="00750BF5"/>
    <w:rsid w:val="007514A6"/>
    <w:rsid w:val="00754097"/>
    <w:rsid w:val="00754960"/>
    <w:rsid w:val="00754E10"/>
    <w:rsid w:val="0076081B"/>
    <w:rsid w:val="007621AC"/>
    <w:rsid w:val="00763BFA"/>
    <w:rsid w:val="00763DEA"/>
    <w:rsid w:val="00765629"/>
    <w:rsid w:val="00765706"/>
    <w:rsid w:val="0076583F"/>
    <w:rsid w:val="00766019"/>
    <w:rsid w:val="00766F64"/>
    <w:rsid w:val="00767662"/>
    <w:rsid w:val="00767B3C"/>
    <w:rsid w:val="007707EA"/>
    <w:rsid w:val="00770DF5"/>
    <w:rsid w:val="0077204A"/>
    <w:rsid w:val="00772433"/>
    <w:rsid w:val="00772854"/>
    <w:rsid w:val="007738F7"/>
    <w:rsid w:val="00773D73"/>
    <w:rsid w:val="007741AD"/>
    <w:rsid w:val="00774FB5"/>
    <w:rsid w:val="00776453"/>
    <w:rsid w:val="0077680A"/>
    <w:rsid w:val="007772EB"/>
    <w:rsid w:val="007807BA"/>
    <w:rsid w:val="007808D6"/>
    <w:rsid w:val="007809E9"/>
    <w:rsid w:val="007815C3"/>
    <w:rsid w:val="00781731"/>
    <w:rsid w:val="007820CE"/>
    <w:rsid w:val="007823D9"/>
    <w:rsid w:val="007834E6"/>
    <w:rsid w:val="00783DCC"/>
    <w:rsid w:val="00784073"/>
    <w:rsid w:val="007855CB"/>
    <w:rsid w:val="00785801"/>
    <w:rsid w:val="007875F9"/>
    <w:rsid w:val="00791F3D"/>
    <w:rsid w:val="00793286"/>
    <w:rsid w:val="00793E7D"/>
    <w:rsid w:val="00794C9C"/>
    <w:rsid w:val="007954B6"/>
    <w:rsid w:val="00796F74"/>
    <w:rsid w:val="007970D0"/>
    <w:rsid w:val="00797F4C"/>
    <w:rsid w:val="00797FA0"/>
    <w:rsid w:val="007A0147"/>
    <w:rsid w:val="007A16EE"/>
    <w:rsid w:val="007A19F3"/>
    <w:rsid w:val="007A206A"/>
    <w:rsid w:val="007A250E"/>
    <w:rsid w:val="007A5C96"/>
    <w:rsid w:val="007A650A"/>
    <w:rsid w:val="007A6D7A"/>
    <w:rsid w:val="007A73EB"/>
    <w:rsid w:val="007B016D"/>
    <w:rsid w:val="007B10F8"/>
    <w:rsid w:val="007B112D"/>
    <w:rsid w:val="007B2CA0"/>
    <w:rsid w:val="007B2EFB"/>
    <w:rsid w:val="007B55DE"/>
    <w:rsid w:val="007B5603"/>
    <w:rsid w:val="007B5DCF"/>
    <w:rsid w:val="007B6BA5"/>
    <w:rsid w:val="007B79BA"/>
    <w:rsid w:val="007C2A2D"/>
    <w:rsid w:val="007C3390"/>
    <w:rsid w:val="007C3B15"/>
    <w:rsid w:val="007C4C00"/>
    <w:rsid w:val="007C4F4B"/>
    <w:rsid w:val="007C5D35"/>
    <w:rsid w:val="007C5E9B"/>
    <w:rsid w:val="007C6083"/>
    <w:rsid w:val="007C77B2"/>
    <w:rsid w:val="007C78FA"/>
    <w:rsid w:val="007C7BEE"/>
    <w:rsid w:val="007D01A0"/>
    <w:rsid w:val="007D07F5"/>
    <w:rsid w:val="007D1D49"/>
    <w:rsid w:val="007D1DD8"/>
    <w:rsid w:val="007D2137"/>
    <w:rsid w:val="007D27BA"/>
    <w:rsid w:val="007D297E"/>
    <w:rsid w:val="007D4544"/>
    <w:rsid w:val="007D4EB4"/>
    <w:rsid w:val="007D4F22"/>
    <w:rsid w:val="007D5685"/>
    <w:rsid w:val="007D5977"/>
    <w:rsid w:val="007D5DAE"/>
    <w:rsid w:val="007D62D6"/>
    <w:rsid w:val="007D6D5C"/>
    <w:rsid w:val="007D6F8F"/>
    <w:rsid w:val="007E0939"/>
    <w:rsid w:val="007E0A09"/>
    <w:rsid w:val="007E12A4"/>
    <w:rsid w:val="007E26EC"/>
    <w:rsid w:val="007E4AD0"/>
    <w:rsid w:val="007E50F5"/>
    <w:rsid w:val="007E5A92"/>
    <w:rsid w:val="007E66CB"/>
    <w:rsid w:val="007F1CD1"/>
    <w:rsid w:val="007F2893"/>
    <w:rsid w:val="007F39E7"/>
    <w:rsid w:val="007F51A7"/>
    <w:rsid w:val="007F6462"/>
    <w:rsid w:val="007F6611"/>
    <w:rsid w:val="007F6A93"/>
    <w:rsid w:val="008008B0"/>
    <w:rsid w:val="00801A16"/>
    <w:rsid w:val="00803FDB"/>
    <w:rsid w:val="00805117"/>
    <w:rsid w:val="00805E91"/>
    <w:rsid w:val="008067A1"/>
    <w:rsid w:val="00806994"/>
    <w:rsid w:val="0081119A"/>
    <w:rsid w:val="00811909"/>
    <w:rsid w:val="0081272E"/>
    <w:rsid w:val="00812C88"/>
    <w:rsid w:val="0081375B"/>
    <w:rsid w:val="00813D61"/>
    <w:rsid w:val="008140AE"/>
    <w:rsid w:val="00815BCF"/>
    <w:rsid w:val="00820888"/>
    <w:rsid w:val="00820DA2"/>
    <w:rsid w:val="008218B7"/>
    <w:rsid w:val="00822594"/>
    <w:rsid w:val="00822949"/>
    <w:rsid w:val="008231FF"/>
    <w:rsid w:val="008232A5"/>
    <w:rsid w:val="008242D7"/>
    <w:rsid w:val="00824AE6"/>
    <w:rsid w:val="0082705E"/>
    <w:rsid w:val="008309DF"/>
    <w:rsid w:val="00830F70"/>
    <w:rsid w:val="0083155D"/>
    <w:rsid w:val="00831F91"/>
    <w:rsid w:val="00832D01"/>
    <w:rsid w:val="0083327D"/>
    <w:rsid w:val="00833E69"/>
    <w:rsid w:val="00834F10"/>
    <w:rsid w:val="008355D9"/>
    <w:rsid w:val="00836DD8"/>
    <w:rsid w:val="00837192"/>
    <w:rsid w:val="00841291"/>
    <w:rsid w:val="008413CE"/>
    <w:rsid w:val="008419C4"/>
    <w:rsid w:val="00841F49"/>
    <w:rsid w:val="0084270F"/>
    <w:rsid w:val="00842C29"/>
    <w:rsid w:val="00844204"/>
    <w:rsid w:val="008445BA"/>
    <w:rsid w:val="0084495E"/>
    <w:rsid w:val="00844F66"/>
    <w:rsid w:val="00845899"/>
    <w:rsid w:val="00845997"/>
    <w:rsid w:val="00847847"/>
    <w:rsid w:val="00847FC8"/>
    <w:rsid w:val="008501F5"/>
    <w:rsid w:val="00853960"/>
    <w:rsid w:val="00853DC3"/>
    <w:rsid w:val="008546CF"/>
    <w:rsid w:val="0085577D"/>
    <w:rsid w:val="00856BFF"/>
    <w:rsid w:val="00860BB0"/>
    <w:rsid w:val="00861593"/>
    <w:rsid w:val="0086227C"/>
    <w:rsid w:val="0086422D"/>
    <w:rsid w:val="00864938"/>
    <w:rsid w:val="00865160"/>
    <w:rsid w:val="008672C7"/>
    <w:rsid w:val="0086778C"/>
    <w:rsid w:val="0087300F"/>
    <w:rsid w:val="00873D49"/>
    <w:rsid w:val="00875B31"/>
    <w:rsid w:val="00876ACB"/>
    <w:rsid w:val="00877558"/>
    <w:rsid w:val="00877D59"/>
    <w:rsid w:val="00881436"/>
    <w:rsid w:val="008815C8"/>
    <w:rsid w:val="00883E29"/>
    <w:rsid w:val="00886320"/>
    <w:rsid w:val="00887004"/>
    <w:rsid w:val="0088713C"/>
    <w:rsid w:val="00887A6A"/>
    <w:rsid w:val="00887FB2"/>
    <w:rsid w:val="0089013B"/>
    <w:rsid w:val="008904AA"/>
    <w:rsid w:val="00890D5F"/>
    <w:rsid w:val="00891100"/>
    <w:rsid w:val="00892C47"/>
    <w:rsid w:val="0089301C"/>
    <w:rsid w:val="00895443"/>
    <w:rsid w:val="0089569A"/>
    <w:rsid w:val="00895AD5"/>
    <w:rsid w:val="00895C5F"/>
    <w:rsid w:val="00895F83"/>
    <w:rsid w:val="008963F9"/>
    <w:rsid w:val="00897713"/>
    <w:rsid w:val="008978A8"/>
    <w:rsid w:val="008979B1"/>
    <w:rsid w:val="00897DB8"/>
    <w:rsid w:val="008A2788"/>
    <w:rsid w:val="008A2EF0"/>
    <w:rsid w:val="008A4CA9"/>
    <w:rsid w:val="008A530A"/>
    <w:rsid w:val="008A5614"/>
    <w:rsid w:val="008A588C"/>
    <w:rsid w:val="008A596F"/>
    <w:rsid w:val="008A618A"/>
    <w:rsid w:val="008A6906"/>
    <w:rsid w:val="008A6B25"/>
    <w:rsid w:val="008A6C4F"/>
    <w:rsid w:val="008A7BF1"/>
    <w:rsid w:val="008B0A69"/>
    <w:rsid w:val="008B1527"/>
    <w:rsid w:val="008B1F1D"/>
    <w:rsid w:val="008B2335"/>
    <w:rsid w:val="008B308D"/>
    <w:rsid w:val="008B3CAF"/>
    <w:rsid w:val="008B41C8"/>
    <w:rsid w:val="008B4A43"/>
    <w:rsid w:val="008B5302"/>
    <w:rsid w:val="008B5525"/>
    <w:rsid w:val="008B574B"/>
    <w:rsid w:val="008B5A25"/>
    <w:rsid w:val="008B629D"/>
    <w:rsid w:val="008B68BD"/>
    <w:rsid w:val="008B7223"/>
    <w:rsid w:val="008C0438"/>
    <w:rsid w:val="008C1461"/>
    <w:rsid w:val="008C1838"/>
    <w:rsid w:val="008C1EC7"/>
    <w:rsid w:val="008C25D4"/>
    <w:rsid w:val="008C38A6"/>
    <w:rsid w:val="008C3C86"/>
    <w:rsid w:val="008C7301"/>
    <w:rsid w:val="008C77F1"/>
    <w:rsid w:val="008D0734"/>
    <w:rsid w:val="008D0848"/>
    <w:rsid w:val="008D0AD5"/>
    <w:rsid w:val="008D0C37"/>
    <w:rsid w:val="008D2471"/>
    <w:rsid w:val="008D43A4"/>
    <w:rsid w:val="008D5122"/>
    <w:rsid w:val="008D7BA6"/>
    <w:rsid w:val="008E034B"/>
    <w:rsid w:val="008E0DE8"/>
    <w:rsid w:val="008E3CE0"/>
    <w:rsid w:val="008E41D4"/>
    <w:rsid w:val="008E4DDA"/>
    <w:rsid w:val="008E5499"/>
    <w:rsid w:val="008E7927"/>
    <w:rsid w:val="008F053B"/>
    <w:rsid w:val="008F065C"/>
    <w:rsid w:val="008F0F2B"/>
    <w:rsid w:val="008F14D3"/>
    <w:rsid w:val="008F1B54"/>
    <w:rsid w:val="008F2147"/>
    <w:rsid w:val="008F2176"/>
    <w:rsid w:val="008F2F47"/>
    <w:rsid w:val="008F360D"/>
    <w:rsid w:val="008F3A31"/>
    <w:rsid w:val="008F53D7"/>
    <w:rsid w:val="008F7C25"/>
    <w:rsid w:val="008F7E34"/>
    <w:rsid w:val="009005FA"/>
    <w:rsid w:val="00900B5E"/>
    <w:rsid w:val="00903906"/>
    <w:rsid w:val="00903AD2"/>
    <w:rsid w:val="009043ED"/>
    <w:rsid w:val="009047FB"/>
    <w:rsid w:val="00907DDF"/>
    <w:rsid w:val="00910F22"/>
    <w:rsid w:val="0091129F"/>
    <w:rsid w:val="0091160E"/>
    <w:rsid w:val="00913394"/>
    <w:rsid w:val="00913A33"/>
    <w:rsid w:val="00914C59"/>
    <w:rsid w:val="00914ED5"/>
    <w:rsid w:val="00915528"/>
    <w:rsid w:val="009158CB"/>
    <w:rsid w:val="00915EF9"/>
    <w:rsid w:val="00916443"/>
    <w:rsid w:val="009204B0"/>
    <w:rsid w:val="00921FE7"/>
    <w:rsid w:val="00922210"/>
    <w:rsid w:val="009223CA"/>
    <w:rsid w:val="009225CF"/>
    <w:rsid w:val="00922F85"/>
    <w:rsid w:val="009257F9"/>
    <w:rsid w:val="00927925"/>
    <w:rsid w:val="0092799D"/>
    <w:rsid w:val="00930E56"/>
    <w:rsid w:val="00931D0C"/>
    <w:rsid w:val="0093219D"/>
    <w:rsid w:val="00932421"/>
    <w:rsid w:val="009332FF"/>
    <w:rsid w:val="00934175"/>
    <w:rsid w:val="009346BD"/>
    <w:rsid w:val="00934DA2"/>
    <w:rsid w:val="00935CA6"/>
    <w:rsid w:val="009366CB"/>
    <w:rsid w:val="009369F6"/>
    <w:rsid w:val="009372AD"/>
    <w:rsid w:val="00937A8B"/>
    <w:rsid w:val="0094085D"/>
    <w:rsid w:val="00940DF9"/>
    <w:rsid w:val="00940F93"/>
    <w:rsid w:val="009415C7"/>
    <w:rsid w:val="00941946"/>
    <w:rsid w:val="00941ACE"/>
    <w:rsid w:val="00942054"/>
    <w:rsid w:val="00942158"/>
    <w:rsid w:val="00942167"/>
    <w:rsid w:val="00942F79"/>
    <w:rsid w:val="00943071"/>
    <w:rsid w:val="009432E1"/>
    <w:rsid w:val="00943734"/>
    <w:rsid w:val="00943AF8"/>
    <w:rsid w:val="00943FCD"/>
    <w:rsid w:val="00944157"/>
    <w:rsid w:val="00944F62"/>
    <w:rsid w:val="00945A74"/>
    <w:rsid w:val="00945A79"/>
    <w:rsid w:val="009461AA"/>
    <w:rsid w:val="00947947"/>
    <w:rsid w:val="00947BEE"/>
    <w:rsid w:val="00950E73"/>
    <w:rsid w:val="00951311"/>
    <w:rsid w:val="00951910"/>
    <w:rsid w:val="00951FD8"/>
    <w:rsid w:val="009527B4"/>
    <w:rsid w:val="00952CB8"/>
    <w:rsid w:val="00952F1E"/>
    <w:rsid w:val="009530F7"/>
    <w:rsid w:val="009532EA"/>
    <w:rsid w:val="009536A2"/>
    <w:rsid w:val="00953AB9"/>
    <w:rsid w:val="009548ED"/>
    <w:rsid w:val="00954DCD"/>
    <w:rsid w:val="009550EA"/>
    <w:rsid w:val="009557E5"/>
    <w:rsid w:val="00955956"/>
    <w:rsid w:val="00955D98"/>
    <w:rsid w:val="00956123"/>
    <w:rsid w:val="00957511"/>
    <w:rsid w:val="009576E4"/>
    <w:rsid w:val="00957EBE"/>
    <w:rsid w:val="009603A3"/>
    <w:rsid w:val="009603EF"/>
    <w:rsid w:val="009611DB"/>
    <w:rsid w:val="009625E6"/>
    <w:rsid w:val="00963298"/>
    <w:rsid w:val="00963B75"/>
    <w:rsid w:val="00964120"/>
    <w:rsid w:val="00964204"/>
    <w:rsid w:val="00964F50"/>
    <w:rsid w:val="00965870"/>
    <w:rsid w:val="00965A9E"/>
    <w:rsid w:val="009664E2"/>
    <w:rsid w:val="00967935"/>
    <w:rsid w:val="00967BC6"/>
    <w:rsid w:val="00967D27"/>
    <w:rsid w:val="009700BA"/>
    <w:rsid w:val="009705C4"/>
    <w:rsid w:val="00970C36"/>
    <w:rsid w:val="0097261D"/>
    <w:rsid w:val="009729E8"/>
    <w:rsid w:val="00973133"/>
    <w:rsid w:val="00973D99"/>
    <w:rsid w:val="00973E3E"/>
    <w:rsid w:val="00973EE1"/>
    <w:rsid w:val="00976C3E"/>
    <w:rsid w:val="00980212"/>
    <w:rsid w:val="009803F7"/>
    <w:rsid w:val="00981F13"/>
    <w:rsid w:val="009836AA"/>
    <w:rsid w:val="00983732"/>
    <w:rsid w:val="00984B56"/>
    <w:rsid w:val="009860E0"/>
    <w:rsid w:val="00986185"/>
    <w:rsid w:val="00987D3E"/>
    <w:rsid w:val="00990147"/>
    <w:rsid w:val="009904D5"/>
    <w:rsid w:val="00992C87"/>
    <w:rsid w:val="00993CB5"/>
    <w:rsid w:val="0099421B"/>
    <w:rsid w:val="00994874"/>
    <w:rsid w:val="00995ED1"/>
    <w:rsid w:val="009971FE"/>
    <w:rsid w:val="009977E8"/>
    <w:rsid w:val="009A09CB"/>
    <w:rsid w:val="009A3721"/>
    <w:rsid w:val="009A3D56"/>
    <w:rsid w:val="009A4C1A"/>
    <w:rsid w:val="009A590A"/>
    <w:rsid w:val="009A6A4F"/>
    <w:rsid w:val="009B0039"/>
    <w:rsid w:val="009B0B82"/>
    <w:rsid w:val="009B1ADB"/>
    <w:rsid w:val="009B3504"/>
    <w:rsid w:val="009B420F"/>
    <w:rsid w:val="009B4A1B"/>
    <w:rsid w:val="009B5360"/>
    <w:rsid w:val="009B6C3E"/>
    <w:rsid w:val="009C0EE8"/>
    <w:rsid w:val="009C14AA"/>
    <w:rsid w:val="009C1823"/>
    <w:rsid w:val="009C21B2"/>
    <w:rsid w:val="009C2AF0"/>
    <w:rsid w:val="009C2DE1"/>
    <w:rsid w:val="009C3D8E"/>
    <w:rsid w:val="009C4607"/>
    <w:rsid w:val="009C51E1"/>
    <w:rsid w:val="009C6DBB"/>
    <w:rsid w:val="009D027F"/>
    <w:rsid w:val="009D19C8"/>
    <w:rsid w:val="009D1B41"/>
    <w:rsid w:val="009D33DB"/>
    <w:rsid w:val="009D3A21"/>
    <w:rsid w:val="009D4CAF"/>
    <w:rsid w:val="009D4D58"/>
    <w:rsid w:val="009D5650"/>
    <w:rsid w:val="009D6525"/>
    <w:rsid w:val="009D7616"/>
    <w:rsid w:val="009E0CD9"/>
    <w:rsid w:val="009E1E37"/>
    <w:rsid w:val="009E20B4"/>
    <w:rsid w:val="009E23B5"/>
    <w:rsid w:val="009E266C"/>
    <w:rsid w:val="009E2D84"/>
    <w:rsid w:val="009E34C1"/>
    <w:rsid w:val="009E4ADD"/>
    <w:rsid w:val="009E4B1E"/>
    <w:rsid w:val="009E4EE9"/>
    <w:rsid w:val="009E589F"/>
    <w:rsid w:val="009E5D5E"/>
    <w:rsid w:val="009E7AB2"/>
    <w:rsid w:val="009F1034"/>
    <w:rsid w:val="009F1698"/>
    <w:rsid w:val="009F1B9F"/>
    <w:rsid w:val="009F1E10"/>
    <w:rsid w:val="009F2044"/>
    <w:rsid w:val="009F3F3C"/>
    <w:rsid w:val="009F428A"/>
    <w:rsid w:val="009F4816"/>
    <w:rsid w:val="009F6784"/>
    <w:rsid w:val="009F7163"/>
    <w:rsid w:val="009F7DE8"/>
    <w:rsid w:val="00A007DF"/>
    <w:rsid w:val="00A00CA4"/>
    <w:rsid w:val="00A010D8"/>
    <w:rsid w:val="00A01489"/>
    <w:rsid w:val="00A01DE2"/>
    <w:rsid w:val="00A02057"/>
    <w:rsid w:val="00A04D67"/>
    <w:rsid w:val="00A10081"/>
    <w:rsid w:val="00A11B0C"/>
    <w:rsid w:val="00A143D7"/>
    <w:rsid w:val="00A151CE"/>
    <w:rsid w:val="00A15309"/>
    <w:rsid w:val="00A15493"/>
    <w:rsid w:val="00A16D0A"/>
    <w:rsid w:val="00A173AE"/>
    <w:rsid w:val="00A17B27"/>
    <w:rsid w:val="00A20A82"/>
    <w:rsid w:val="00A20B9B"/>
    <w:rsid w:val="00A247EB"/>
    <w:rsid w:val="00A24A2A"/>
    <w:rsid w:val="00A24E72"/>
    <w:rsid w:val="00A251F8"/>
    <w:rsid w:val="00A25EC0"/>
    <w:rsid w:val="00A26446"/>
    <w:rsid w:val="00A27862"/>
    <w:rsid w:val="00A304B8"/>
    <w:rsid w:val="00A309AE"/>
    <w:rsid w:val="00A3125F"/>
    <w:rsid w:val="00A3336A"/>
    <w:rsid w:val="00A3343D"/>
    <w:rsid w:val="00A33D1D"/>
    <w:rsid w:val="00A33E6E"/>
    <w:rsid w:val="00A34A52"/>
    <w:rsid w:val="00A34EB2"/>
    <w:rsid w:val="00A35B9B"/>
    <w:rsid w:val="00A3628B"/>
    <w:rsid w:val="00A365B2"/>
    <w:rsid w:val="00A37643"/>
    <w:rsid w:val="00A37B47"/>
    <w:rsid w:val="00A415E1"/>
    <w:rsid w:val="00A44503"/>
    <w:rsid w:val="00A44C7A"/>
    <w:rsid w:val="00A50BA0"/>
    <w:rsid w:val="00A50CB3"/>
    <w:rsid w:val="00A50F56"/>
    <w:rsid w:val="00A51F6A"/>
    <w:rsid w:val="00A52DD5"/>
    <w:rsid w:val="00A53104"/>
    <w:rsid w:val="00A53746"/>
    <w:rsid w:val="00A54D62"/>
    <w:rsid w:val="00A551EA"/>
    <w:rsid w:val="00A55289"/>
    <w:rsid w:val="00A556F6"/>
    <w:rsid w:val="00A5789A"/>
    <w:rsid w:val="00A579A6"/>
    <w:rsid w:val="00A57D9B"/>
    <w:rsid w:val="00A602EB"/>
    <w:rsid w:val="00A61CCD"/>
    <w:rsid w:val="00A6309A"/>
    <w:rsid w:val="00A634E1"/>
    <w:rsid w:val="00A6384D"/>
    <w:rsid w:val="00A63B32"/>
    <w:rsid w:val="00A64224"/>
    <w:rsid w:val="00A64310"/>
    <w:rsid w:val="00A64909"/>
    <w:rsid w:val="00A64D06"/>
    <w:rsid w:val="00A65250"/>
    <w:rsid w:val="00A662A1"/>
    <w:rsid w:val="00A66D63"/>
    <w:rsid w:val="00A67464"/>
    <w:rsid w:val="00A70F33"/>
    <w:rsid w:val="00A70F90"/>
    <w:rsid w:val="00A71A12"/>
    <w:rsid w:val="00A72F22"/>
    <w:rsid w:val="00A748A6"/>
    <w:rsid w:val="00A75275"/>
    <w:rsid w:val="00A75630"/>
    <w:rsid w:val="00A75CF8"/>
    <w:rsid w:val="00A75F4F"/>
    <w:rsid w:val="00A761FF"/>
    <w:rsid w:val="00A76E1B"/>
    <w:rsid w:val="00A7702F"/>
    <w:rsid w:val="00A776B4"/>
    <w:rsid w:val="00A77818"/>
    <w:rsid w:val="00A80380"/>
    <w:rsid w:val="00A80DD5"/>
    <w:rsid w:val="00A81207"/>
    <w:rsid w:val="00A81372"/>
    <w:rsid w:val="00A82164"/>
    <w:rsid w:val="00A82798"/>
    <w:rsid w:val="00A82F57"/>
    <w:rsid w:val="00A83CEC"/>
    <w:rsid w:val="00A85967"/>
    <w:rsid w:val="00A85A70"/>
    <w:rsid w:val="00A8646F"/>
    <w:rsid w:val="00A87AE7"/>
    <w:rsid w:val="00A90B09"/>
    <w:rsid w:val="00A90BAA"/>
    <w:rsid w:val="00A90CAE"/>
    <w:rsid w:val="00A9211F"/>
    <w:rsid w:val="00A94361"/>
    <w:rsid w:val="00A94737"/>
    <w:rsid w:val="00A94C33"/>
    <w:rsid w:val="00A9594A"/>
    <w:rsid w:val="00A960B7"/>
    <w:rsid w:val="00A960F3"/>
    <w:rsid w:val="00A96934"/>
    <w:rsid w:val="00A96C7A"/>
    <w:rsid w:val="00A978D0"/>
    <w:rsid w:val="00A97976"/>
    <w:rsid w:val="00AA2283"/>
    <w:rsid w:val="00AA2E32"/>
    <w:rsid w:val="00AA3264"/>
    <w:rsid w:val="00AA3CB4"/>
    <w:rsid w:val="00AA54FD"/>
    <w:rsid w:val="00AA71E6"/>
    <w:rsid w:val="00AA772D"/>
    <w:rsid w:val="00AA772F"/>
    <w:rsid w:val="00AB0482"/>
    <w:rsid w:val="00AB09C4"/>
    <w:rsid w:val="00AB1761"/>
    <w:rsid w:val="00AB26EF"/>
    <w:rsid w:val="00AB3A6A"/>
    <w:rsid w:val="00AB3A97"/>
    <w:rsid w:val="00AB408B"/>
    <w:rsid w:val="00AB4700"/>
    <w:rsid w:val="00AB4E1E"/>
    <w:rsid w:val="00AB5808"/>
    <w:rsid w:val="00AB5DC2"/>
    <w:rsid w:val="00AB62BF"/>
    <w:rsid w:val="00AB7E3E"/>
    <w:rsid w:val="00AC063A"/>
    <w:rsid w:val="00AC0983"/>
    <w:rsid w:val="00AC09B3"/>
    <w:rsid w:val="00AC1317"/>
    <w:rsid w:val="00AC1552"/>
    <w:rsid w:val="00AC1650"/>
    <w:rsid w:val="00AC1C6A"/>
    <w:rsid w:val="00AC2023"/>
    <w:rsid w:val="00AC25B2"/>
    <w:rsid w:val="00AC3C0C"/>
    <w:rsid w:val="00AC40F2"/>
    <w:rsid w:val="00AC4495"/>
    <w:rsid w:val="00AC5C43"/>
    <w:rsid w:val="00AC61D1"/>
    <w:rsid w:val="00AC7C5B"/>
    <w:rsid w:val="00AD09DF"/>
    <w:rsid w:val="00AD0CCE"/>
    <w:rsid w:val="00AD1F67"/>
    <w:rsid w:val="00AD32D3"/>
    <w:rsid w:val="00AD3A90"/>
    <w:rsid w:val="00AD3EFE"/>
    <w:rsid w:val="00AD452A"/>
    <w:rsid w:val="00AD5A38"/>
    <w:rsid w:val="00AD5A98"/>
    <w:rsid w:val="00AD690E"/>
    <w:rsid w:val="00AD7E00"/>
    <w:rsid w:val="00AE07FC"/>
    <w:rsid w:val="00AE21F2"/>
    <w:rsid w:val="00AE2B17"/>
    <w:rsid w:val="00AE2B5F"/>
    <w:rsid w:val="00AE4BB9"/>
    <w:rsid w:val="00AE545A"/>
    <w:rsid w:val="00AE5A39"/>
    <w:rsid w:val="00AE5C50"/>
    <w:rsid w:val="00AF0C1F"/>
    <w:rsid w:val="00AF1256"/>
    <w:rsid w:val="00AF2211"/>
    <w:rsid w:val="00AF24FC"/>
    <w:rsid w:val="00AF25B7"/>
    <w:rsid w:val="00AF2A95"/>
    <w:rsid w:val="00AF322A"/>
    <w:rsid w:val="00AF39A4"/>
    <w:rsid w:val="00AF59C7"/>
    <w:rsid w:val="00AF6A9C"/>
    <w:rsid w:val="00AF742C"/>
    <w:rsid w:val="00B02CBD"/>
    <w:rsid w:val="00B0376B"/>
    <w:rsid w:val="00B0498B"/>
    <w:rsid w:val="00B0510C"/>
    <w:rsid w:val="00B06775"/>
    <w:rsid w:val="00B072C0"/>
    <w:rsid w:val="00B07808"/>
    <w:rsid w:val="00B11868"/>
    <w:rsid w:val="00B1188B"/>
    <w:rsid w:val="00B1242F"/>
    <w:rsid w:val="00B1282F"/>
    <w:rsid w:val="00B13314"/>
    <w:rsid w:val="00B140D4"/>
    <w:rsid w:val="00B146C8"/>
    <w:rsid w:val="00B15048"/>
    <w:rsid w:val="00B159E1"/>
    <w:rsid w:val="00B15B18"/>
    <w:rsid w:val="00B172EC"/>
    <w:rsid w:val="00B17497"/>
    <w:rsid w:val="00B17F4C"/>
    <w:rsid w:val="00B20232"/>
    <w:rsid w:val="00B211B4"/>
    <w:rsid w:val="00B216A6"/>
    <w:rsid w:val="00B22975"/>
    <w:rsid w:val="00B2351A"/>
    <w:rsid w:val="00B23FF8"/>
    <w:rsid w:val="00B24BAA"/>
    <w:rsid w:val="00B25305"/>
    <w:rsid w:val="00B25F21"/>
    <w:rsid w:val="00B27578"/>
    <w:rsid w:val="00B27BCB"/>
    <w:rsid w:val="00B30179"/>
    <w:rsid w:val="00B3035E"/>
    <w:rsid w:val="00B3311A"/>
    <w:rsid w:val="00B33235"/>
    <w:rsid w:val="00B33905"/>
    <w:rsid w:val="00B357FB"/>
    <w:rsid w:val="00B3593A"/>
    <w:rsid w:val="00B36A1E"/>
    <w:rsid w:val="00B43539"/>
    <w:rsid w:val="00B4390D"/>
    <w:rsid w:val="00B439F8"/>
    <w:rsid w:val="00B450D0"/>
    <w:rsid w:val="00B451EB"/>
    <w:rsid w:val="00B455C9"/>
    <w:rsid w:val="00B45E61"/>
    <w:rsid w:val="00B46004"/>
    <w:rsid w:val="00B4628C"/>
    <w:rsid w:val="00B4699D"/>
    <w:rsid w:val="00B473BD"/>
    <w:rsid w:val="00B500F3"/>
    <w:rsid w:val="00B50924"/>
    <w:rsid w:val="00B50BF6"/>
    <w:rsid w:val="00B516AB"/>
    <w:rsid w:val="00B52D06"/>
    <w:rsid w:val="00B531C8"/>
    <w:rsid w:val="00B53685"/>
    <w:rsid w:val="00B54053"/>
    <w:rsid w:val="00B54283"/>
    <w:rsid w:val="00B5636B"/>
    <w:rsid w:val="00B56585"/>
    <w:rsid w:val="00B56E9C"/>
    <w:rsid w:val="00B57473"/>
    <w:rsid w:val="00B603AA"/>
    <w:rsid w:val="00B61200"/>
    <w:rsid w:val="00B61DA2"/>
    <w:rsid w:val="00B64B1F"/>
    <w:rsid w:val="00B6553F"/>
    <w:rsid w:val="00B65912"/>
    <w:rsid w:val="00B65B32"/>
    <w:rsid w:val="00B65DAD"/>
    <w:rsid w:val="00B66B01"/>
    <w:rsid w:val="00B70E0E"/>
    <w:rsid w:val="00B71801"/>
    <w:rsid w:val="00B71CBA"/>
    <w:rsid w:val="00B7280C"/>
    <w:rsid w:val="00B72971"/>
    <w:rsid w:val="00B7308A"/>
    <w:rsid w:val="00B73153"/>
    <w:rsid w:val="00B731BF"/>
    <w:rsid w:val="00B735BE"/>
    <w:rsid w:val="00B736D3"/>
    <w:rsid w:val="00B76A15"/>
    <w:rsid w:val="00B779F3"/>
    <w:rsid w:val="00B77C2F"/>
    <w:rsid w:val="00B80D55"/>
    <w:rsid w:val="00B81E12"/>
    <w:rsid w:val="00B82C40"/>
    <w:rsid w:val="00B82CAB"/>
    <w:rsid w:val="00B84E32"/>
    <w:rsid w:val="00B86A79"/>
    <w:rsid w:val="00B906B1"/>
    <w:rsid w:val="00B91A16"/>
    <w:rsid w:val="00B91ABB"/>
    <w:rsid w:val="00B91F1F"/>
    <w:rsid w:val="00B934E0"/>
    <w:rsid w:val="00B9386F"/>
    <w:rsid w:val="00B938F1"/>
    <w:rsid w:val="00B93CE8"/>
    <w:rsid w:val="00B967F2"/>
    <w:rsid w:val="00B97582"/>
    <w:rsid w:val="00B97FBF"/>
    <w:rsid w:val="00BA0F0A"/>
    <w:rsid w:val="00BA1391"/>
    <w:rsid w:val="00BA181C"/>
    <w:rsid w:val="00BA2405"/>
    <w:rsid w:val="00BA29C8"/>
    <w:rsid w:val="00BA384E"/>
    <w:rsid w:val="00BA475C"/>
    <w:rsid w:val="00BA4F1F"/>
    <w:rsid w:val="00BA56E2"/>
    <w:rsid w:val="00BA664B"/>
    <w:rsid w:val="00BB04D0"/>
    <w:rsid w:val="00BB061B"/>
    <w:rsid w:val="00BB1ACE"/>
    <w:rsid w:val="00BB22B8"/>
    <w:rsid w:val="00BB2688"/>
    <w:rsid w:val="00BB2E26"/>
    <w:rsid w:val="00BB3484"/>
    <w:rsid w:val="00BB36AA"/>
    <w:rsid w:val="00BB4028"/>
    <w:rsid w:val="00BB5512"/>
    <w:rsid w:val="00BB5EC7"/>
    <w:rsid w:val="00BB7118"/>
    <w:rsid w:val="00BB764D"/>
    <w:rsid w:val="00BC1FC1"/>
    <w:rsid w:val="00BC389D"/>
    <w:rsid w:val="00BC3DC6"/>
    <w:rsid w:val="00BC50CA"/>
    <w:rsid w:val="00BC573F"/>
    <w:rsid w:val="00BC638E"/>
    <w:rsid w:val="00BC74E9"/>
    <w:rsid w:val="00BD0494"/>
    <w:rsid w:val="00BD0C50"/>
    <w:rsid w:val="00BD0F9D"/>
    <w:rsid w:val="00BD3E19"/>
    <w:rsid w:val="00BD4AF5"/>
    <w:rsid w:val="00BD5804"/>
    <w:rsid w:val="00BD5A7D"/>
    <w:rsid w:val="00BD780B"/>
    <w:rsid w:val="00BE012F"/>
    <w:rsid w:val="00BE0FF3"/>
    <w:rsid w:val="00BE21E6"/>
    <w:rsid w:val="00BE261A"/>
    <w:rsid w:val="00BE373D"/>
    <w:rsid w:val="00BE38A1"/>
    <w:rsid w:val="00BE4128"/>
    <w:rsid w:val="00BE437A"/>
    <w:rsid w:val="00BE4C2A"/>
    <w:rsid w:val="00BE51BC"/>
    <w:rsid w:val="00BE55AB"/>
    <w:rsid w:val="00BE6F2C"/>
    <w:rsid w:val="00BE7F14"/>
    <w:rsid w:val="00BF0AAD"/>
    <w:rsid w:val="00BF0D4C"/>
    <w:rsid w:val="00BF27B8"/>
    <w:rsid w:val="00BF41D1"/>
    <w:rsid w:val="00BF4245"/>
    <w:rsid w:val="00BF5710"/>
    <w:rsid w:val="00BF574D"/>
    <w:rsid w:val="00BF5C26"/>
    <w:rsid w:val="00BF68A8"/>
    <w:rsid w:val="00C002EE"/>
    <w:rsid w:val="00C0074E"/>
    <w:rsid w:val="00C0085E"/>
    <w:rsid w:val="00C008E3"/>
    <w:rsid w:val="00C013C2"/>
    <w:rsid w:val="00C02170"/>
    <w:rsid w:val="00C033FC"/>
    <w:rsid w:val="00C0374B"/>
    <w:rsid w:val="00C0375E"/>
    <w:rsid w:val="00C040CB"/>
    <w:rsid w:val="00C0583C"/>
    <w:rsid w:val="00C061AD"/>
    <w:rsid w:val="00C103AB"/>
    <w:rsid w:val="00C10B73"/>
    <w:rsid w:val="00C11516"/>
    <w:rsid w:val="00C11796"/>
    <w:rsid w:val="00C1197E"/>
    <w:rsid w:val="00C11A4F"/>
    <w:rsid w:val="00C11B58"/>
    <w:rsid w:val="00C13F57"/>
    <w:rsid w:val="00C16146"/>
    <w:rsid w:val="00C2197F"/>
    <w:rsid w:val="00C22B5D"/>
    <w:rsid w:val="00C24565"/>
    <w:rsid w:val="00C2695C"/>
    <w:rsid w:val="00C26BF1"/>
    <w:rsid w:val="00C27548"/>
    <w:rsid w:val="00C27DE5"/>
    <w:rsid w:val="00C30C4E"/>
    <w:rsid w:val="00C3206E"/>
    <w:rsid w:val="00C32C1B"/>
    <w:rsid w:val="00C3434A"/>
    <w:rsid w:val="00C34D3C"/>
    <w:rsid w:val="00C36571"/>
    <w:rsid w:val="00C37F28"/>
    <w:rsid w:val="00C40283"/>
    <w:rsid w:val="00C40404"/>
    <w:rsid w:val="00C40B6A"/>
    <w:rsid w:val="00C412D8"/>
    <w:rsid w:val="00C41E3E"/>
    <w:rsid w:val="00C41ECD"/>
    <w:rsid w:val="00C41F2C"/>
    <w:rsid w:val="00C4219A"/>
    <w:rsid w:val="00C424BA"/>
    <w:rsid w:val="00C463DD"/>
    <w:rsid w:val="00C46475"/>
    <w:rsid w:val="00C4724C"/>
    <w:rsid w:val="00C475AB"/>
    <w:rsid w:val="00C47B2F"/>
    <w:rsid w:val="00C50745"/>
    <w:rsid w:val="00C50807"/>
    <w:rsid w:val="00C525BC"/>
    <w:rsid w:val="00C528AC"/>
    <w:rsid w:val="00C53A77"/>
    <w:rsid w:val="00C5482F"/>
    <w:rsid w:val="00C548C9"/>
    <w:rsid w:val="00C555F3"/>
    <w:rsid w:val="00C56081"/>
    <w:rsid w:val="00C56AC0"/>
    <w:rsid w:val="00C6100D"/>
    <w:rsid w:val="00C629A0"/>
    <w:rsid w:val="00C62A35"/>
    <w:rsid w:val="00C647B8"/>
    <w:rsid w:val="00C664DF"/>
    <w:rsid w:val="00C70CC9"/>
    <w:rsid w:val="00C710D0"/>
    <w:rsid w:val="00C71ACA"/>
    <w:rsid w:val="00C71CF0"/>
    <w:rsid w:val="00C7204D"/>
    <w:rsid w:val="00C7255E"/>
    <w:rsid w:val="00C72C3C"/>
    <w:rsid w:val="00C72F68"/>
    <w:rsid w:val="00C745C3"/>
    <w:rsid w:val="00C74C87"/>
    <w:rsid w:val="00C7521D"/>
    <w:rsid w:val="00C754C9"/>
    <w:rsid w:val="00C75619"/>
    <w:rsid w:val="00C75DDD"/>
    <w:rsid w:val="00C75FB9"/>
    <w:rsid w:val="00C77097"/>
    <w:rsid w:val="00C77419"/>
    <w:rsid w:val="00C7747F"/>
    <w:rsid w:val="00C8164B"/>
    <w:rsid w:val="00C81A90"/>
    <w:rsid w:val="00C841CA"/>
    <w:rsid w:val="00C84E40"/>
    <w:rsid w:val="00C8684C"/>
    <w:rsid w:val="00C900A5"/>
    <w:rsid w:val="00C9094F"/>
    <w:rsid w:val="00C90E56"/>
    <w:rsid w:val="00C9151C"/>
    <w:rsid w:val="00C924E5"/>
    <w:rsid w:val="00C94D63"/>
    <w:rsid w:val="00C95C66"/>
    <w:rsid w:val="00C96C6A"/>
    <w:rsid w:val="00C96C7B"/>
    <w:rsid w:val="00C96E38"/>
    <w:rsid w:val="00C96E80"/>
    <w:rsid w:val="00C97B90"/>
    <w:rsid w:val="00CA175D"/>
    <w:rsid w:val="00CA1F32"/>
    <w:rsid w:val="00CA2FA2"/>
    <w:rsid w:val="00CA38E3"/>
    <w:rsid w:val="00CA4146"/>
    <w:rsid w:val="00CA4E17"/>
    <w:rsid w:val="00CA50C6"/>
    <w:rsid w:val="00CA53D6"/>
    <w:rsid w:val="00CA5494"/>
    <w:rsid w:val="00CA5BF3"/>
    <w:rsid w:val="00CA6D3E"/>
    <w:rsid w:val="00CA7267"/>
    <w:rsid w:val="00CA7F69"/>
    <w:rsid w:val="00CB05CA"/>
    <w:rsid w:val="00CB0A4F"/>
    <w:rsid w:val="00CB2665"/>
    <w:rsid w:val="00CB354A"/>
    <w:rsid w:val="00CB3D7F"/>
    <w:rsid w:val="00CB429E"/>
    <w:rsid w:val="00CB4ADC"/>
    <w:rsid w:val="00CB6D69"/>
    <w:rsid w:val="00CB72D3"/>
    <w:rsid w:val="00CC00AC"/>
    <w:rsid w:val="00CC00E4"/>
    <w:rsid w:val="00CC1327"/>
    <w:rsid w:val="00CC2108"/>
    <w:rsid w:val="00CC228B"/>
    <w:rsid w:val="00CC24D2"/>
    <w:rsid w:val="00CC284F"/>
    <w:rsid w:val="00CC2908"/>
    <w:rsid w:val="00CC3323"/>
    <w:rsid w:val="00CC3F8B"/>
    <w:rsid w:val="00CC4A8A"/>
    <w:rsid w:val="00CC4DDC"/>
    <w:rsid w:val="00CC5354"/>
    <w:rsid w:val="00CC5A4D"/>
    <w:rsid w:val="00CC6253"/>
    <w:rsid w:val="00CC63C1"/>
    <w:rsid w:val="00CC7B17"/>
    <w:rsid w:val="00CD125B"/>
    <w:rsid w:val="00CD1743"/>
    <w:rsid w:val="00CD1B49"/>
    <w:rsid w:val="00CD1D91"/>
    <w:rsid w:val="00CD1E9F"/>
    <w:rsid w:val="00CD22E7"/>
    <w:rsid w:val="00CD2586"/>
    <w:rsid w:val="00CD40E0"/>
    <w:rsid w:val="00CD5465"/>
    <w:rsid w:val="00CD6260"/>
    <w:rsid w:val="00CE0290"/>
    <w:rsid w:val="00CE03D5"/>
    <w:rsid w:val="00CE0900"/>
    <w:rsid w:val="00CE2B6F"/>
    <w:rsid w:val="00CE34B5"/>
    <w:rsid w:val="00CE4A8F"/>
    <w:rsid w:val="00CE5AD1"/>
    <w:rsid w:val="00CE6B1F"/>
    <w:rsid w:val="00CE6BA7"/>
    <w:rsid w:val="00CE71B4"/>
    <w:rsid w:val="00CF0C82"/>
    <w:rsid w:val="00CF13C1"/>
    <w:rsid w:val="00CF22AB"/>
    <w:rsid w:val="00CF3430"/>
    <w:rsid w:val="00CF4936"/>
    <w:rsid w:val="00CF5634"/>
    <w:rsid w:val="00CF57A7"/>
    <w:rsid w:val="00CF5E9D"/>
    <w:rsid w:val="00CF5FDB"/>
    <w:rsid w:val="00CF7238"/>
    <w:rsid w:val="00CF7F0D"/>
    <w:rsid w:val="00D011AE"/>
    <w:rsid w:val="00D026BE"/>
    <w:rsid w:val="00D03C9A"/>
    <w:rsid w:val="00D042C4"/>
    <w:rsid w:val="00D04FAD"/>
    <w:rsid w:val="00D05041"/>
    <w:rsid w:val="00D051B8"/>
    <w:rsid w:val="00D052EE"/>
    <w:rsid w:val="00D05505"/>
    <w:rsid w:val="00D06422"/>
    <w:rsid w:val="00D10BC3"/>
    <w:rsid w:val="00D1114D"/>
    <w:rsid w:val="00D111BD"/>
    <w:rsid w:val="00D1137B"/>
    <w:rsid w:val="00D11D5B"/>
    <w:rsid w:val="00D12290"/>
    <w:rsid w:val="00D12EB3"/>
    <w:rsid w:val="00D13321"/>
    <w:rsid w:val="00D13F3B"/>
    <w:rsid w:val="00D14ABA"/>
    <w:rsid w:val="00D14FD2"/>
    <w:rsid w:val="00D16F61"/>
    <w:rsid w:val="00D17024"/>
    <w:rsid w:val="00D1711B"/>
    <w:rsid w:val="00D17A54"/>
    <w:rsid w:val="00D17D1F"/>
    <w:rsid w:val="00D201C0"/>
    <w:rsid w:val="00D2031B"/>
    <w:rsid w:val="00D2061E"/>
    <w:rsid w:val="00D207E6"/>
    <w:rsid w:val="00D218CB"/>
    <w:rsid w:val="00D21A78"/>
    <w:rsid w:val="00D2238A"/>
    <w:rsid w:val="00D22E75"/>
    <w:rsid w:val="00D23E61"/>
    <w:rsid w:val="00D25776"/>
    <w:rsid w:val="00D25FE2"/>
    <w:rsid w:val="00D2663D"/>
    <w:rsid w:val="00D26686"/>
    <w:rsid w:val="00D26891"/>
    <w:rsid w:val="00D270B0"/>
    <w:rsid w:val="00D31C81"/>
    <w:rsid w:val="00D321D3"/>
    <w:rsid w:val="00D328E0"/>
    <w:rsid w:val="00D32939"/>
    <w:rsid w:val="00D32978"/>
    <w:rsid w:val="00D33685"/>
    <w:rsid w:val="00D338AE"/>
    <w:rsid w:val="00D339CC"/>
    <w:rsid w:val="00D3405E"/>
    <w:rsid w:val="00D350CB"/>
    <w:rsid w:val="00D35815"/>
    <w:rsid w:val="00D358EC"/>
    <w:rsid w:val="00D36A67"/>
    <w:rsid w:val="00D36BF7"/>
    <w:rsid w:val="00D43252"/>
    <w:rsid w:val="00D43EFD"/>
    <w:rsid w:val="00D44017"/>
    <w:rsid w:val="00D44E61"/>
    <w:rsid w:val="00D450C5"/>
    <w:rsid w:val="00D45416"/>
    <w:rsid w:val="00D45AF2"/>
    <w:rsid w:val="00D45B82"/>
    <w:rsid w:val="00D50492"/>
    <w:rsid w:val="00D51E7F"/>
    <w:rsid w:val="00D5229D"/>
    <w:rsid w:val="00D5245C"/>
    <w:rsid w:val="00D53E16"/>
    <w:rsid w:val="00D5463A"/>
    <w:rsid w:val="00D5478F"/>
    <w:rsid w:val="00D54922"/>
    <w:rsid w:val="00D54F28"/>
    <w:rsid w:val="00D55E6C"/>
    <w:rsid w:val="00D6071F"/>
    <w:rsid w:val="00D613FF"/>
    <w:rsid w:val="00D61601"/>
    <w:rsid w:val="00D6348D"/>
    <w:rsid w:val="00D637DD"/>
    <w:rsid w:val="00D64B1F"/>
    <w:rsid w:val="00D6595E"/>
    <w:rsid w:val="00D659B7"/>
    <w:rsid w:val="00D6734A"/>
    <w:rsid w:val="00D7074A"/>
    <w:rsid w:val="00D70F2F"/>
    <w:rsid w:val="00D72566"/>
    <w:rsid w:val="00D75763"/>
    <w:rsid w:val="00D76D4A"/>
    <w:rsid w:val="00D7721F"/>
    <w:rsid w:val="00D7767E"/>
    <w:rsid w:val="00D82BE7"/>
    <w:rsid w:val="00D83292"/>
    <w:rsid w:val="00D83EB6"/>
    <w:rsid w:val="00D84F04"/>
    <w:rsid w:val="00D85758"/>
    <w:rsid w:val="00D863EA"/>
    <w:rsid w:val="00D87A05"/>
    <w:rsid w:val="00D910B4"/>
    <w:rsid w:val="00D919FA"/>
    <w:rsid w:val="00D92BD1"/>
    <w:rsid w:val="00D93972"/>
    <w:rsid w:val="00D93980"/>
    <w:rsid w:val="00D94CB2"/>
    <w:rsid w:val="00D95670"/>
    <w:rsid w:val="00D96B37"/>
    <w:rsid w:val="00D9744E"/>
    <w:rsid w:val="00D978C6"/>
    <w:rsid w:val="00DA068A"/>
    <w:rsid w:val="00DA3414"/>
    <w:rsid w:val="00DA3C1C"/>
    <w:rsid w:val="00DA425D"/>
    <w:rsid w:val="00DA5602"/>
    <w:rsid w:val="00DA5861"/>
    <w:rsid w:val="00DA5C3A"/>
    <w:rsid w:val="00DA5F04"/>
    <w:rsid w:val="00DA7ADA"/>
    <w:rsid w:val="00DB1A3F"/>
    <w:rsid w:val="00DB1C90"/>
    <w:rsid w:val="00DB25ED"/>
    <w:rsid w:val="00DB27F2"/>
    <w:rsid w:val="00DB2B47"/>
    <w:rsid w:val="00DB3433"/>
    <w:rsid w:val="00DB4133"/>
    <w:rsid w:val="00DB43C0"/>
    <w:rsid w:val="00DB5D81"/>
    <w:rsid w:val="00DC0B7D"/>
    <w:rsid w:val="00DC2AD2"/>
    <w:rsid w:val="00DC2BEF"/>
    <w:rsid w:val="00DC3BF4"/>
    <w:rsid w:val="00DC4028"/>
    <w:rsid w:val="00DC43E5"/>
    <w:rsid w:val="00DC5153"/>
    <w:rsid w:val="00DC5BE6"/>
    <w:rsid w:val="00DC7BB1"/>
    <w:rsid w:val="00DD088B"/>
    <w:rsid w:val="00DD11E5"/>
    <w:rsid w:val="00DD1252"/>
    <w:rsid w:val="00DD1864"/>
    <w:rsid w:val="00DD1A57"/>
    <w:rsid w:val="00DD1E84"/>
    <w:rsid w:val="00DD2F30"/>
    <w:rsid w:val="00DD2F49"/>
    <w:rsid w:val="00DD326B"/>
    <w:rsid w:val="00DD58E7"/>
    <w:rsid w:val="00DD7F66"/>
    <w:rsid w:val="00DE01C8"/>
    <w:rsid w:val="00DE0A9A"/>
    <w:rsid w:val="00DE19CA"/>
    <w:rsid w:val="00DE344B"/>
    <w:rsid w:val="00DE3BAF"/>
    <w:rsid w:val="00DE4413"/>
    <w:rsid w:val="00DE6970"/>
    <w:rsid w:val="00DE77CF"/>
    <w:rsid w:val="00DE7C15"/>
    <w:rsid w:val="00DF0EEB"/>
    <w:rsid w:val="00DF1870"/>
    <w:rsid w:val="00DF3149"/>
    <w:rsid w:val="00DF3750"/>
    <w:rsid w:val="00DF45CA"/>
    <w:rsid w:val="00DF4734"/>
    <w:rsid w:val="00DF71CF"/>
    <w:rsid w:val="00DF73B4"/>
    <w:rsid w:val="00DF777A"/>
    <w:rsid w:val="00E03529"/>
    <w:rsid w:val="00E03F34"/>
    <w:rsid w:val="00E04F29"/>
    <w:rsid w:val="00E056EC"/>
    <w:rsid w:val="00E05B5E"/>
    <w:rsid w:val="00E072D6"/>
    <w:rsid w:val="00E07DA3"/>
    <w:rsid w:val="00E07E65"/>
    <w:rsid w:val="00E10744"/>
    <w:rsid w:val="00E109FB"/>
    <w:rsid w:val="00E10EAA"/>
    <w:rsid w:val="00E11014"/>
    <w:rsid w:val="00E11DC9"/>
    <w:rsid w:val="00E121AA"/>
    <w:rsid w:val="00E124FE"/>
    <w:rsid w:val="00E12B61"/>
    <w:rsid w:val="00E154CB"/>
    <w:rsid w:val="00E164CF"/>
    <w:rsid w:val="00E169BF"/>
    <w:rsid w:val="00E17C36"/>
    <w:rsid w:val="00E200BF"/>
    <w:rsid w:val="00E201B2"/>
    <w:rsid w:val="00E20861"/>
    <w:rsid w:val="00E209F8"/>
    <w:rsid w:val="00E228C0"/>
    <w:rsid w:val="00E23200"/>
    <w:rsid w:val="00E23CEC"/>
    <w:rsid w:val="00E246E1"/>
    <w:rsid w:val="00E24EF6"/>
    <w:rsid w:val="00E2503D"/>
    <w:rsid w:val="00E25F6B"/>
    <w:rsid w:val="00E26480"/>
    <w:rsid w:val="00E26490"/>
    <w:rsid w:val="00E26635"/>
    <w:rsid w:val="00E26795"/>
    <w:rsid w:val="00E273CE"/>
    <w:rsid w:val="00E27C06"/>
    <w:rsid w:val="00E31257"/>
    <w:rsid w:val="00E31A05"/>
    <w:rsid w:val="00E3363D"/>
    <w:rsid w:val="00E344AA"/>
    <w:rsid w:val="00E3473C"/>
    <w:rsid w:val="00E34803"/>
    <w:rsid w:val="00E34F92"/>
    <w:rsid w:val="00E36123"/>
    <w:rsid w:val="00E36BA7"/>
    <w:rsid w:val="00E37A8A"/>
    <w:rsid w:val="00E40386"/>
    <w:rsid w:val="00E40BA9"/>
    <w:rsid w:val="00E42203"/>
    <w:rsid w:val="00E42C25"/>
    <w:rsid w:val="00E44AAD"/>
    <w:rsid w:val="00E44D6C"/>
    <w:rsid w:val="00E45E2D"/>
    <w:rsid w:val="00E468F5"/>
    <w:rsid w:val="00E46AE8"/>
    <w:rsid w:val="00E47210"/>
    <w:rsid w:val="00E4722F"/>
    <w:rsid w:val="00E47DA5"/>
    <w:rsid w:val="00E5040D"/>
    <w:rsid w:val="00E506DC"/>
    <w:rsid w:val="00E546D7"/>
    <w:rsid w:val="00E554AF"/>
    <w:rsid w:val="00E57589"/>
    <w:rsid w:val="00E60244"/>
    <w:rsid w:val="00E60FF5"/>
    <w:rsid w:val="00E61437"/>
    <w:rsid w:val="00E62060"/>
    <w:rsid w:val="00E6279B"/>
    <w:rsid w:val="00E63389"/>
    <w:rsid w:val="00E65C95"/>
    <w:rsid w:val="00E67987"/>
    <w:rsid w:val="00E67C75"/>
    <w:rsid w:val="00E704F4"/>
    <w:rsid w:val="00E70956"/>
    <w:rsid w:val="00E71A16"/>
    <w:rsid w:val="00E71BC8"/>
    <w:rsid w:val="00E7260F"/>
    <w:rsid w:val="00E7370D"/>
    <w:rsid w:val="00E768B8"/>
    <w:rsid w:val="00E76EC2"/>
    <w:rsid w:val="00E77B30"/>
    <w:rsid w:val="00E808B9"/>
    <w:rsid w:val="00E809BA"/>
    <w:rsid w:val="00E80EF3"/>
    <w:rsid w:val="00E81992"/>
    <w:rsid w:val="00E829A3"/>
    <w:rsid w:val="00E82AE0"/>
    <w:rsid w:val="00E8388D"/>
    <w:rsid w:val="00E8396D"/>
    <w:rsid w:val="00E83DC6"/>
    <w:rsid w:val="00E8579C"/>
    <w:rsid w:val="00E86487"/>
    <w:rsid w:val="00E864FA"/>
    <w:rsid w:val="00E86881"/>
    <w:rsid w:val="00E875F7"/>
    <w:rsid w:val="00E90AF1"/>
    <w:rsid w:val="00E90D66"/>
    <w:rsid w:val="00E90D80"/>
    <w:rsid w:val="00E92169"/>
    <w:rsid w:val="00E93666"/>
    <w:rsid w:val="00E9435B"/>
    <w:rsid w:val="00E9479B"/>
    <w:rsid w:val="00E96630"/>
    <w:rsid w:val="00E968EE"/>
    <w:rsid w:val="00E97918"/>
    <w:rsid w:val="00E97D1F"/>
    <w:rsid w:val="00EA1AB4"/>
    <w:rsid w:val="00EA2FB6"/>
    <w:rsid w:val="00EA3DED"/>
    <w:rsid w:val="00EA478B"/>
    <w:rsid w:val="00EA54D4"/>
    <w:rsid w:val="00EA54F4"/>
    <w:rsid w:val="00EA6383"/>
    <w:rsid w:val="00EA6F04"/>
    <w:rsid w:val="00EA7A45"/>
    <w:rsid w:val="00EA7D4A"/>
    <w:rsid w:val="00EB173A"/>
    <w:rsid w:val="00EB18DF"/>
    <w:rsid w:val="00EB2DBE"/>
    <w:rsid w:val="00EB34EF"/>
    <w:rsid w:val="00EB6F09"/>
    <w:rsid w:val="00EB70B2"/>
    <w:rsid w:val="00EB75FA"/>
    <w:rsid w:val="00EC0522"/>
    <w:rsid w:val="00EC0C20"/>
    <w:rsid w:val="00EC1315"/>
    <w:rsid w:val="00EC156F"/>
    <w:rsid w:val="00EC1FEC"/>
    <w:rsid w:val="00EC3D6B"/>
    <w:rsid w:val="00EC47E3"/>
    <w:rsid w:val="00EC5054"/>
    <w:rsid w:val="00EC5256"/>
    <w:rsid w:val="00EC654E"/>
    <w:rsid w:val="00EC6D66"/>
    <w:rsid w:val="00EC77D5"/>
    <w:rsid w:val="00EC7A16"/>
    <w:rsid w:val="00EC7B65"/>
    <w:rsid w:val="00EC7C6C"/>
    <w:rsid w:val="00EC7FFB"/>
    <w:rsid w:val="00ED0522"/>
    <w:rsid w:val="00ED24EF"/>
    <w:rsid w:val="00ED2D2A"/>
    <w:rsid w:val="00ED2E2A"/>
    <w:rsid w:val="00ED32A3"/>
    <w:rsid w:val="00ED616A"/>
    <w:rsid w:val="00ED6500"/>
    <w:rsid w:val="00ED6A7B"/>
    <w:rsid w:val="00ED77E5"/>
    <w:rsid w:val="00ED7A2A"/>
    <w:rsid w:val="00EE0703"/>
    <w:rsid w:val="00EE1B50"/>
    <w:rsid w:val="00EE26BD"/>
    <w:rsid w:val="00EE2B05"/>
    <w:rsid w:val="00EE3867"/>
    <w:rsid w:val="00EE4372"/>
    <w:rsid w:val="00EE4BCF"/>
    <w:rsid w:val="00EE646D"/>
    <w:rsid w:val="00EE6563"/>
    <w:rsid w:val="00EE689C"/>
    <w:rsid w:val="00EE7A69"/>
    <w:rsid w:val="00EE7F61"/>
    <w:rsid w:val="00EF12E1"/>
    <w:rsid w:val="00EF1D7F"/>
    <w:rsid w:val="00EF1FC6"/>
    <w:rsid w:val="00EF2641"/>
    <w:rsid w:val="00EF2DBE"/>
    <w:rsid w:val="00EF3D9C"/>
    <w:rsid w:val="00EF3F64"/>
    <w:rsid w:val="00EF502C"/>
    <w:rsid w:val="00EF5C3B"/>
    <w:rsid w:val="00EF7D76"/>
    <w:rsid w:val="00F007C3"/>
    <w:rsid w:val="00F01FBB"/>
    <w:rsid w:val="00F02B03"/>
    <w:rsid w:val="00F032FE"/>
    <w:rsid w:val="00F0367B"/>
    <w:rsid w:val="00F03EA2"/>
    <w:rsid w:val="00F04190"/>
    <w:rsid w:val="00F055C3"/>
    <w:rsid w:val="00F07FCF"/>
    <w:rsid w:val="00F112A4"/>
    <w:rsid w:val="00F125EC"/>
    <w:rsid w:val="00F12EBA"/>
    <w:rsid w:val="00F12FF2"/>
    <w:rsid w:val="00F15F0E"/>
    <w:rsid w:val="00F16FCE"/>
    <w:rsid w:val="00F203F8"/>
    <w:rsid w:val="00F21057"/>
    <w:rsid w:val="00F215BA"/>
    <w:rsid w:val="00F21BC4"/>
    <w:rsid w:val="00F22047"/>
    <w:rsid w:val="00F22A09"/>
    <w:rsid w:val="00F244BE"/>
    <w:rsid w:val="00F2492E"/>
    <w:rsid w:val="00F25239"/>
    <w:rsid w:val="00F25799"/>
    <w:rsid w:val="00F25A0F"/>
    <w:rsid w:val="00F26BD4"/>
    <w:rsid w:val="00F26DFE"/>
    <w:rsid w:val="00F26F1A"/>
    <w:rsid w:val="00F27985"/>
    <w:rsid w:val="00F32B3C"/>
    <w:rsid w:val="00F32C1F"/>
    <w:rsid w:val="00F331D4"/>
    <w:rsid w:val="00F33C2C"/>
    <w:rsid w:val="00F34583"/>
    <w:rsid w:val="00F35A52"/>
    <w:rsid w:val="00F35C88"/>
    <w:rsid w:val="00F35FDB"/>
    <w:rsid w:val="00F3662E"/>
    <w:rsid w:val="00F3683E"/>
    <w:rsid w:val="00F36A8C"/>
    <w:rsid w:val="00F36C0A"/>
    <w:rsid w:val="00F36D2F"/>
    <w:rsid w:val="00F36F8C"/>
    <w:rsid w:val="00F36FBE"/>
    <w:rsid w:val="00F37306"/>
    <w:rsid w:val="00F376A4"/>
    <w:rsid w:val="00F41BE6"/>
    <w:rsid w:val="00F432E8"/>
    <w:rsid w:val="00F43A77"/>
    <w:rsid w:val="00F46A39"/>
    <w:rsid w:val="00F46FC1"/>
    <w:rsid w:val="00F504DF"/>
    <w:rsid w:val="00F507FC"/>
    <w:rsid w:val="00F51BFE"/>
    <w:rsid w:val="00F52532"/>
    <w:rsid w:val="00F5327A"/>
    <w:rsid w:val="00F547FB"/>
    <w:rsid w:val="00F54F30"/>
    <w:rsid w:val="00F54F66"/>
    <w:rsid w:val="00F55B55"/>
    <w:rsid w:val="00F563FB"/>
    <w:rsid w:val="00F56633"/>
    <w:rsid w:val="00F57624"/>
    <w:rsid w:val="00F60A46"/>
    <w:rsid w:val="00F60E1E"/>
    <w:rsid w:val="00F6150C"/>
    <w:rsid w:val="00F61AC2"/>
    <w:rsid w:val="00F61FED"/>
    <w:rsid w:val="00F62494"/>
    <w:rsid w:val="00F624BB"/>
    <w:rsid w:val="00F62734"/>
    <w:rsid w:val="00F6273B"/>
    <w:rsid w:val="00F71EA8"/>
    <w:rsid w:val="00F72210"/>
    <w:rsid w:val="00F724C8"/>
    <w:rsid w:val="00F728F0"/>
    <w:rsid w:val="00F72FCB"/>
    <w:rsid w:val="00F732A0"/>
    <w:rsid w:val="00F73AA8"/>
    <w:rsid w:val="00F73D50"/>
    <w:rsid w:val="00F741FF"/>
    <w:rsid w:val="00F7603D"/>
    <w:rsid w:val="00F76E55"/>
    <w:rsid w:val="00F77666"/>
    <w:rsid w:val="00F833E7"/>
    <w:rsid w:val="00F83B78"/>
    <w:rsid w:val="00F83C8B"/>
    <w:rsid w:val="00F840A6"/>
    <w:rsid w:val="00F84336"/>
    <w:rsid w:val="00F84B41"/>
    <w:rsid w:val="00F85520"/>
    <w:rsid w:val="00F863BD"/>
    <w:rsid w:val="00F8687F"/>
    <w:rsid w:val="00F86AEB"/>
    <w:rsid w:val="00F87AC4"/>
    <w:rsid w:val="00F9169F"/>
    <w:rsid w:val="00F93B77"/>
    <w:rsid w:val="00F93EB6"/>
    <w:rsid w:val="00F942C8"/>
    <w:rsid w:val="00F94389"/>
    <w:rsid w:val="00F94E64"/>
    <w:rsid w:val="00F94EBE"/>
    <w:rsid w:val="00F95610"/>
    <w:rsid w:val="00F95DAC"/>
    <w:rsid w:val="00F9628A"/>
    <w:rsid w:val="00FA271C"/>
    <w:rsid w:val="00FA303C"/>
    <w:rsid w:val="00FA3BF1"/>
    <w:rsid w:val="00FA41E4"/>
    <w:rsid w:val="00FA475A"/>
    <w:rsid w:val="00FA4CE7"/>
    <w:rsid w:val="00FA4F8B"/>
    <w:rsid w:val="00FA4FB4"/>
    <w:rsid w:val="00FA5D1D"/>
    <w:rsid w:val="00FA72CD"/>
    <w:rsid w:val="00FB0A47"/>
    <w:rsid w:val="00FB16D3"/>
    <w:rsid w:val="00FB1E26"/>
    <w:rsid w:val="00FB2D1D"/>
    <w:rsid w:val="00FB2E17"/>
    <w:rsid w:val="00FB338F"/>
    <w:rsid w:val="00FB4940"/>
    <w:rsid w:val="00FB4E91"/>
    <w:rsid w:val="00FB5BBB"/>
    <w:rsid w:val="00FB67EE"/>
    <w:rsid w:val="00FC04FE"/>
    <w:rsid w:val="00FC20BF"/>
    <w:rsid w:val="00FC35E2"/>
    <w:rsid w:val="00FC5152"/>
    <w:rsid w:val="00FC5442"/>
    <w:rsid w:val="00FC5A36"/>
    <w:rsid w:val="00FC684E"/>
    <w:rsid w:val="00FC68B7"/>
    <w:rsid w:val="00FC6E37"/>
    <w:rsid w:val="00FC77D0"/>
    <w:rsid w:val="00FC7C02"/>
    <w:rsid w:val="00FD05BE"/>
    <w:rsid w:val="00FD08BF"/>
    <w:rsid w:val="00FD0F8A"/>
    <w:rsid w:val="00FD1157"/>
    <w:rsid w:val="00FD1292"/>
    <w:rsid w:val="00FD199C"/>
    <w:rsid w:val="00FD443D"/>
    <w:rsid w:val="00FD743E"/>
    <w:rsid w:val="00FE0DDE"/>
    <w:rsid w:val="00FE0E36"/>
    <w:rsid w:val="00FE1F06"/>
    <w:rsid w:val="00FE25F9"/>
    <w:rsid w:val="00FE3708"/>
    <w:rsid w:val="00FE3FB9"/>
    <w:rsid w:val="00FE45C6"/>
    <w:rsid w:val="00FE53B2"/>
    <w:rsid w:val="00FE552A"/>
    <w:rsid w:val="00FE600D"/>
    <w:rsid w:val="00FE661C"/>
    <w:rsid w:val="00FE75AD"/>
    <w:rsid w:val="00FF1426"/>
    <w:rsid w:val="00FF2348"/>
    <w:rsid w:val="00FF2608"/>
    <w:rsid w:val="00FF392C"/>
    <w:rsid w:val="00FF4466"/>
    <w:rsid w:val="00FF4A66"/>
    <w:rsid w:val="00FF4B69"/>
    <w:rsid w:val="00FF5BFA"/>
    <w:rsid w:val="00FF6297"/>
    <w:rsid w:val="00FF6E7B"/>
    <w:rsid w:val="00FF70B8"/>
    <w:rsid w:val="00FF71C1"/>
    <w:rsid w:val="00FF7873"/>
    <w:rsid w:val="00FF7D02"/>
    <w:rsid w:val="00FF7F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locked/>
    <w:rsid w:val="005B0799"/>
    <w:rPr>
      <w:lang w:eastAsia="en-US"/>
    </w:rPr>
  </w:style>
  <w:style w:type="paragraph" w:styleId="BalloonText">
    <w:name w:val="Balloon Text"/>
    <w:basedOn w:val="Normal"/>
    <w:link w:val="BalloonTextChar"/>
    <w:rsid w:val="005B0799"/>
    <w:pPr>
      <w:spacing w:line="240" w:lineRule="auto"/>
    </w:pPr>
    <w:rPr>
      <w:rFonts w:ascii="Tahoma" w:hAnsi="Tahoma" w:cs="Tahoma"/>
      <w:sz w:val="16"/>
      <w:szCs w:val="16"/>
    </w:rPr>
  </w:style>
  <w:style w:type="character" w:customStyle="1" w:styleId="BalloonTextChar">
    <w:name w:val="Balloon Text Char"/>
    <w:link w:val="BalloonText"/>
    <w:rsid w:val="005B0799"/>
    <w:rPr>
      <w:rFonts w:ascii="Tahoma" w:hAnsi="Tahoma" w:cs="Tahoma"/>
      <w:sz w:val="16"/>
      <w:szCs w:val="16"/>
      <w:lang w:eastAsia="en-US"/>
    </w:rPr>
  </w:style>
  <w:style w:type="character" w:customStyle="1" w:styleId="SingleTxtGCar">
    <w:name w:val="_ Single Txt_G Car"/>
    <w:locked/>
    <w:rsid w:val="00107BBF"/>
    <w:rPr>
      <w:lang w:eastAsia="en-US"/>
    </w:rPr>
  </w:style>
  <w:style w:type="paragraph" w:customStyle="1" w:styleId="ColorfulList-Accent11">
    <w:name w:val="Colorful List - Accent 11"/>
    <w:basedOn w:val="Normal"/>
    <w:uiPriority w:val="34"/>
    <w:qFormat/>
    <w:rsid w:val="000B46B4"/>
    <w:pPr>
      <w:suppressAutoHyphens w:val="0"/>
      <w:spacing w:after="200" w:line="276" w:lineRule="auto"/>
      <w:ind w:left="720"/>
      <w:contextualSpacing/>
    </w:pPr>
    <w:rPr>
      <w:rFonts w:ascii="Calibri" w:eastAsia="Calibri" w:hAnsi="Calibri"/>
      <w:sz w:val="22"/>
      <w:szCs w:val="22"/>
      <w:lang w:val="fr-CH"/>
    </w:rPr>
  </w:style>
  <w:style w:type="paragraph" w:styleId="CommentSubject">
    <w:name w:val="annotation subject"/>
    <w:basedOn w:val="CommentText"/>
    <w:next w:val="CommentText"/>
    <w:link w:val="CommentSubjectChar"/>
    <w:rsid w:val="002A6F78"/>
    <w:rPr>
      <w:b/>
      <w:bCs/>
    </w:rPr>
  </w:style>
  <w:style w:type="character" w:customStyle="1" w:styleId="CommentTextChar">
    <w:name w:val="Comment Text Char"/>
    <w:link w:val="CommentText"/>
    <w:semiHidden/>
    <w:rsid w:val="002A6F78"/>
    <w:rPr>
      <w:lang w:eastAsia="en-US"/>
    </w:rPr>
  </w:style>
  <w:style w:type="character" w:customStyle="1" w:styleId="CommentSubjectChar">
    <w:name w:val="Comment Subject Char"/>
    <w:link w:val="CommentSubject"/>
    <w:rsid w:val="002A6F78"/>
    <w:rPr>
      <w:b/>
      <w:bCs/>
      <w:lang w:eastAsia="en-US"/>
    </w:rPr>
  </w:style>
  <w:style w:type="paragraph" w:customStyle="1" w:styleId="ColorfulList-Accent110">
    <w:name w:val="Colorful List - Accent 11"/>
    <w:basedOn w:val="Normal"/>
    <w:uiPriority w:val="34"/>
    <w:qFormat/>
    <w:rsid w:val="00FE53B2"/>
    <w:pPr>
      <w:suppressAutoHyphens w:val="0"/>
      <w:spacing w:after="200" w:line="276" w:lineRule="auto"/>
      <w:ind w:left="720"/>
      <w:contextualSpacing/>
    </w:pPr>
    <w:rPr>
      <w:rFonts w:ascii="Calibri" w:eastAsia="Calibri" w:hAnsi="Calibri"/>
      <w:sz w:val="22"/>
      <w:szCs w:val="22"/>
      <w:lang w:val="fr-CH"/>
    </w:rPr>
  </w:style>
  <w:style w:type="paragraph" w:styleId="Revision">
    <w:name w:val="Revision"/>
    <w:hidden/>
    <w:uiPriority w:val="99"/>
    <w:semiHidden/>
    <w:rsid w:val="008B574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locked/>
    <w:rsid w:val="005B0799"/>
    <w:rPr>
      <w:lang w:eastAsia="en-US"/>
    </w:rPr>
  </w:style>
  <w:style w:type="paragraph" w:styleId="BalloonText">
    <w:name w:val="Balloon Text"/>
    <w:basedOn w:val="Normal"/>
    <w:link w:val="BalloonTextChar"/>
    <w:rsid w:val="005B0799"/>
    <w:pPr>
      <w:spacing w:line="240" w:lineRule="auto"/>
    </w:pPr>
    <w:rPr>
      <w:rFonts w:ascii="Tahoma" w:hAnsi="Tahoma" w:cs="Tahoma"/>
      <w:sz w:val="16"/>
      <w:szCs w:val="16"/>
    </w:rPr>
  </w:style>
  <w:style w:type="character" w:customStyle="1" w:styleId="BalloonTextChar">
    <w:name w:val="Balloon Text Char"/>
    <w:link w:val="BalloonText"/>
    <w:rsid w:val="005B0799"/>
    <w:rPr>
      <w:rFonts w:ascii="Tahoma" w:hAnsi="Tahoma" w:cs="Tahoma"/>
      <w:sz w:val="16"/>
      <w:szCs w:val="16"/>
      <w:lang w:eastAsia="en-US"/>
    </w:rPr>
  </w:style>
  <w:style w:type="character" w:customStyle="1" w:styleId="SingleTxtGCar">
    <w:name w:val="_ Single Txt_G Car"/>
    <w:locked/>
    <w:rsid w:val="00107BBF"/>
    <w:rPr>
      <w:lang w:eastAsia="en-US"/>
    </w:rPr>
  </w:style>
  <w:style w:type="paragraph" w:customStyle="1" w:styleId="ColorfulList-Accent11">
    <w:name w:val="Colorful List - Accent 11"/>
    <w:basedOn w:val="Normal"/>
    <w:uiPriority w:val="34"/>
    <w:qFormat/>
    <w:rsid w:val="000B46B4"/>
    <w:pPr>
      <w:suppressAutoHyphens w:val="0"/>
      <w:spacing w:after="200" w:line="276" w:lineRule="auto"/>
      <w:ind w:left="720"/>
      <w:contextualSpacing/>
    </w:pPr>
    <w:rPr>
      <w:rFonts w:ascii="Calibri" w:eastAsia="Calibri" w:hAnsi="Calibri"/>
      <w:sz w:val="22"/>
      <w:szCs w:val="22"/>
      <w:lang w:val="fr-CH"/>
    </w:rPr>
  </w:style>
  <w:style w:type="paragraph" w:styleId="CommentSubject">
    <w:name w:val="annotation subject"/>
    <w:basedOn w:val="CommentText"/>
    <w:next w:val="CommentText"/>
    <w:link w:val="CommentSubjectChar"/>
    <w:rsid w:val="002A6F78"/>
    <w:rPr>
      <w:b/>
      <w:bCs/>
    </w:rPr>
  </w:style>
  <w:style w:type="character" w:customStyle="1" w:styleId="CommentTextChar">
    <w:name w:val="Comment Text Char"/>
    <w:link w:val="CommentText"/>
    <w:semiHidden/>
    <w:rsid w:val="002A6F78"/>
    <w:rPr>
      <w:lang w:eastAsia="en-US"/>
    </w:rPr>
  </w:style>
  <w:style w:type="character" w:customStyle="1" w:styleId="CommentSubjectChar">
    <w:name w:val="Comment Subject Char"/>
    <w:link w:val="CommentSubject"/>
    <w:rsid w:val="002A6F78"/>
    <w:rPr>
      <w:b/>
      <w:bCs/>
      <w:lang w:eastAsia="en-US"/>
    </w:rPr>
  </w:style>
  <w:style w:type="paragraph" w:customStyle="1" w:styleId="ColorfulList-Accent110">
    <w:name w:val="Colorful List - Accent 11"/>
    <w:basedOn w:val="Normal"/>
    <w:uiPriority w:val="34"/>
    <w:qFormat/>
    <w:rsid w:val="00FE53B2"/>
    <w:pPr>
      <w:suppressAutoHyphens w:val="0"/>
      <w:spacing w:after="200" w:line="276" w:lineRule="auto"/>
      <w:ind w:left="720"/>
      <w:contextualSpacing/>
    </w:pPr>
    <w:rPr>
      <w:rFonts w:ascii="Calibri" w:eastAsia="Calibri" w:hAnsi="Calibri"/>
      <w:sz w:val="22"/>
      <w:szCs w:val="22"/>
      <w:lang w:val="fr-CH"/>
    </w:rPr>
  </w:style>
  <w:style w:type="paragraph" w:styleId="Revision">
    <w:name w:val="Revision"/>
    <w:hidden/>
    <w:uiPriority w:val="99"/>
    <w:semiHidden/>
    <w:rsid w:val="008B57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1465">
      <w:bodyDiv w:val="1"/>
      <w:marLeft w:val="0"/>
      <w:marRight w:val="0"/>
      <w:marTop w:val="0"/>
      <w:marBottom w:val="0"/>
      <w:divBdr>
        <w:top w:val="none" w:sz="0" w:space="0" w:color="auto"/>
        <w:left w:val="none" w:sz="0" w:space="0" w:color="auto"/>
        <w:bottom w:val="none" w:sz="0" w:space="0" w:color="auto"/>
        <w:right w:val="none" w:sz="0" w:space="0" w:color="auto"/>
      </w:divBdr>
    </w:div>
    <w:div w:id="899753005">
      <w:bodyDiv w:val="1"/>
      <w:marLeft w:val="0"/>
      <w:marRight w:val="0"/>
      <w:marTop w:val="0"/>
      <w:marBottom w:val="0"/>
      <w:divBdr>
        <w:top w:val="none" w:sz="0" w:space="0" w:color="auto"/>
        <w:left w:val="none" w:sz="0" w:space="0" w:color="auto"/>
        <w:bottom w:val="none" w:sz="0" w:space="0" w:color="auto"/>
        <w:right w:val="none" w:sz="0" w:space="0" w:color="auto"/>
      </w:divBdr>
    </w:div>
    <w:div w:id="12136899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399">
          <w:marLeft w:val="0"/>
          <w:marRight w:val="0"/>
          <w:marTop w:val="0"/>
          <w:marBottom w:val="0"/>
          <w:divBdr>
            <w:top w:val="none" w:sz="0" w:space="0" w:color="auto"/>
            <w:left w:val="none" w:sz="0" w:space="0" w:color="auto"/>
            <w:bottom w:val="none" w:sz="0" w:space="0" w:color="auto"/>
            <w:right w:val="none" w:sz="0" w:space="0" w:color="auto"/>
          </w:divBdr>
        </w:div>
        <w:div w:id="1458646675">
          <w:marLeft w:val="0"/>
          <w:marRight w:val="0"/>
          <w:marTop w:val="0"/>
          <w:marBottom w:val="180"/>
          <w:divBdr>
            <w:top w:val="none" w:sz="0" w:space="0" w:color="auto"/>
            <w:left w:val="none" w:sz="0" w:space="0" w:color="auto"/>
            <w:bottom w:val="none" w:sz="0" w:space="0" w:color="auto"/>
            <w:right w:val="none" w:sz="0" w:space="0" w:color="auto"/>
          </w:divBdr>
          <w:divsChild>
            <w:div w:id="18268213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99689819">
      <w:bodyDiv w:val="1"/>
      <w:marLeft w:val="0"/>
      <w:marRight w:val="0"/>
      <w:marTop w:val="0"/>
      <w:marBottom w:val="0"/>
      <w:divBdr>
        <w:top w:val="none" w:sz="0" w:space="0" w:color="auto"/>
        <w:left w:val="none" w:sz="0" w:space="0" w:color="auto"/>
        <w:bottom w:val="none" w:sz="0" w:space="0" w:color="auto"/>
        <w:right w:val="none" w:sz="0" w:space="0" w:color="auto"/>
      </w:divBdr>
    </w:div>
    <w:div w:id="1746295451">
      <w:bodyDiv w:val="1"/>
      <w:marLeft w:val="0"/>
      <w:marRight w:val="0"/>
      <w:marTop w:val="0"/>
      <w:marBottom w:val="0"/>
      <w:divBdr>
        <w:top w:val="none" w:sz="0" w:space="0" w:color="auto"/>
        <w:left w:val="none" w:sz="0" w:space="0" w:color="auto"/>
        <w:bottom w:val="none" w:sz="0" w:space="0" w:color="auto"/>
        <w:right w:val="none" w:sz="0" w:space="0" w:color="auto"/>
      </w:divBdr>
      <w:divsChild>
        <w:div w:id="1057315052">
          <w:marLeft w:val="0"/>
          <w:marRight w:val="0"/>
          <w:marTop w:val="0"/>
          <w:marBottom w:val="180"/>
          <w:divBdr>
            <w:top w:val="none" w:sz="0" w:space="0" w:color="auto"/>
            <w:left w:val="none" w:sz="0" w:space="0" w:color="auto"/>
            <w:bottom w:val="none" w:sz="0" w:space="0" w:color="auto"/>
            <w:right w:val="none" w:sz="0" w:space="0" w:color="auto"/>
          </w:divBdr>
          <w:divsChild>
            <w:div w:id="757946132">
              <w:marLeft w:val="0"/>
              <w:marRight w:val="450"/>
              <w:marTop w:val="0"/>
              <w:marBottom w:val="0"/>
              <w:divBdr>
                <w:top w:val="none" w:sz="0" w:space="0" w:color="auto"/>
                <w:left w:val="none" w:sz="0" w:space="0" w:color="auto"/>
                <w:bottom w:val="none" w:sz="0" w:space="0" w:color="auto"/>
                <w:right w:val="none" w:sz="0" w:space="0" w:color="auto"/>
              </w:divBdr>
            </w:div>
          </w:divsChild>
        </w:div>
        <w:div w:id="182689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34D9A-E18F-47F0-8242-CD4AD99B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5185</Words>
  <Characters>29449</Characters>
  <Application>Microsoft Office Word</Application>
  <DocSecurity>0</DocSecurity>
  <Lines>481</Lines>
  <Paragraphs>112</Paragraphs>
  <ScaleCrop>false</ScaleCrop>
  <HeadingPairs>
    <vt:vector size="2" baseType="variant">
      <vt:variant>
        <vt:lpstr>Title</vt:lpstr>
      </vt:variant>
      <vt:variant>
        <vt:i4>1</vt:i4>
      </vt:variant>
    </vt:vector>
  </HeadingPairs>
  <TitlesOfParts>
    <vt:vector size="1" baseType="lpstr">
      <vt:lpstr>1363908</vt:lpstr>
    </vt:vector>
  </TitlesOfParts>
  <Company>CSD</Company>
  <LinksUpToDate>false</LinksUpToDate>
  <CharactersWithSpaces>34663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1617015</dc:title>
  <dc:subject>CERD/C/GBR/CO/21-23</dc:subject>
  <dc:creator>Morris</dc:creator>
  <cp:keywords/>
  <dc:description>Final</dc:description>
  <cp:lastModifiedBy>PDF ENG</cp:lastModifiedBy>
  <cp:revision>2</cp:revision>
  <cp:lastPrinted>2016-08-30T08:47:00Z</cp:lastPrinted>
  <dcterms:created xsi:type="dcterms:W3CDTF">2016-10-03T14:42:00Z</dcterms:created>
  <dcterms:modified xsi:type="dcterms:W3CDTF">2016-10-03T14:42:00Z</dcterms:modified>
</cp:coreProperties>
</file>