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241D32"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8B2E59" w:rsidP="007741F9">
            <w:pPr>
              <w:jc w:val="right"/>
            </w:pPr>
            <w:r w:rsidRPr="008B2E59">
              <w:rPr>
                <w:sz w:val="40"/>
              </w:rPr>
              <w:t>CMW</w:t>
            </w:r>
            <w:r w:rsidR="00522BCF">
              <w:t>/C/BIH/CO/2</w:t>
            </w:r>
          </w:p>
        </w:tc>
      </w:tr>
      <w:tr w:rsidR="00B56E9C">
        <w:trPr>
          <w:cantSplit/>
          <w:trHeight w:hRule="exact" w:val="2835"/>
        </w:trPr>
        <w:tc>
          <w:tcPr>
            <w:tcW w:w="1276" w:type="dxa"/>
            <w:tcBorders>
              <w:top w:val="single" w:sz="4" w:space="0" w:color="auto"/>
              <w:bottom w:val="single" w:sz="12" w:space="0" w:color="auto"/>
            </w:tcBorders>
          </w:tcPr>
          <w:p w:rsidR="00B56E9C" w:rsidRDefault="00241D32"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241D32" w:rsidP="00C6559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8B2E59" w:rsidRDefault="008B2E59" w:rsidP="008B2E59">
            <w:pPr>
              <w:spacing w:before="240" w:line="240" w:lineRule="exact"/>
            </w:pPr>
            <w:r>
              <w:t xml:space="preserve">Distr.: </w:t>
            </w:r>
            <w:r w:rsidR="00923A60">
              <w:t>General</w:t>
            </w:r>
          </w:p>
          <w:p w:rsidR="008B2E59" w:rsidRDefault="00F83BED" w:rsidP="00522BCF">
            <w:pPr>
              <w:spacing w:line="240" w:lineRule="exact"/>
            </w:pPr>
            <w:r>
              <w:t>26</w:t>
            </w:r>
            <w:r w:rsidR="00522BCF">
              <w:t xml:space="preserve"> September 2012</w:t>
            </w:r>
          </w:p>
          <w:p w:rsidR="003144F4" w:rsidRDefault="003144F4" w:rsidP="008B2E59">
            <w:pPr>
              <w:spacing w:line="240" w:lineRule="exact"/>
            </w:pPr>
          </w:p>
          <w:p w:rsidR="00B56E9C" w:rsidRDefault="008B2E59" w:rsidP="008B2E59">
            <w:pPr>
              <w:spacing w:line="240" w:lineRule="exact"/>
            </w:pPr>
            <w:r>
              <w:t>Original: English</w:t>
            </w:r>
          </w:p>
          <w:p w:rsidR="00F366E4" w:rsidRPr="00F366E4" w:rsidRDefault="00F366E4" w:rsidP="00241D32">
            <w:pPr>
              <w:spacing w:line="240" w:lineRule="exact"/>
              <w:rPr>
                <w:b/>
              </w:rPr>
            </w:pPr>
          </w:p>
        </w:tc>
      </w:tr>
    </w:tbl>
    <w:p w:rsidR="008B2E59" w:rsidRPr="00782C9F" w:rsidRDefault="008B2E59" w:rsidP="008B2E59">
      <w:pPr>
        <w:spacing w:before="120"/>
        <w:rPr>
          <w:b/>
          <w:sz w:val="24"/>
          <w:szCs w:val="24"/>
        </w:rPr>
      </w:pPr>
      <w:r w:rsidRPr="00782C9F">
        <w:rPr>
          <w:b/>
          <w:sz w:val="24"/>
          <w:szCs w:val="24"/>
        </w:rPr>
        <w:t>Committee on the Protection of the Rights of All</w:t>
      </w:r>
    </w:p>
    <w:p w:rsidR="008B2E59" w:rsidRPr="00782C9F" w:rsidRDefault="008B2E59" w:rsidP="008B2E59">
      <w:pPr>
        <w:rPr>
          <w:b/>
          <w:sz w:val="24"/>
          <w:szCs w:val="24"/>
        </w:rPr>
      </w:pPr>
      <w:r w:rsidRPr="00782C9F">
        <w:rPr>
          <w:b/>
          <w:sz w:val="24"/>
          <w:szCs w:val="24"/>
        </w:rPr>
        <w:t>Migrant Workers and Members of Their Families</w:t>
      </w:r>
    </w:p>
    <w:p w:rsidR="008B2E59" w:rsidRPr="00782C9F" w:rsidRDefault="008B2E59" w:rsidP="00041C23">
      <w:pPr>
        <w:pStyle w:val="HChG"/>
      </w:pPr>
      <w:r w:rsidRPr="00782C9F">
        <w:tab/>
      </w:r>
      <w:r w:rsidRPr="00782C9F">
        <w:tab/>
      </w:r>
      <w:r w:rsidR="007741F9">
        <w:t>C</w:t>
      </w:r>
      <w:r w:rsidRPr="00782C9F">
        <w:t xml:space="preserve">oncluding observations of the Committee </w:t>
      </w:r>
      <w:r w:rsidR="00041C23">
        <w:t xml:space="preserve">on the second periodic report of </w:t>
      </w:r>
      <w:smartTag w:uri="urn:schemas-microsoft-com:office:smarttags" w:element="country-region">
        <w:smartTag w:uri="urn:schemas-microsoft-com:office:smarttags" w:element="place">
          <w:r w:rsidR="00041C23">
            <w:t>Bosnia and Herzegovina</w:t>
          </w:r>
        </w:smartTag>
      </w:smartTag>
      <w:r w:rsidR="00041C23">
        <w:t>, adopted at its seventeenth session (10–14 September 2012)</w:t>
      </w:r>
    </w:p>
    <w:p w:rsidR="008B2E59" w:rsidRPr="00782C9F" w:rsidRDefault="008B2E59" w:rsidP="008B2E59">
      <w:pPr>
        <w:pStyle w:val="HChG"/>
      </w:pPr>
      <w:r w:rsidRPr="00782C9F">
        <w:tab/>
      </w:r>
      <w:r w:rsidRPr="00782C9F">
        <w:tab/>
      </w:r>
      <w:smartTag w:uri="urn:schemas-microsoft-com:office:smarttags" w:element="place">
        <w:smartTag w:uri="urn:schemas-microsoft-com:office:smarttags" w:element="country-region">
          <w:r w:rsidR="00522BCF">
            <w:t>Bosnia and Herzegovina</w:t>
          </w:r>
        </w:smartTag>
      </w:smartTag>
    </w:p>
    <w:p w:rsidR="008C34E8" w:rsidRPr="003144F4" w:rsidRDefault="003144F4" w:rsidP="003144F4">
      <w:pPr>
        <w:pStyle w:val="SingleTxtG"/>
      </w:pPr>
      <w:r w:rsidRPr="003144F4">
        <w:t>1.</w:t>
      </w:r>
      <w:r w:rsidRPr="003144F4">
        <w:tab/>
      </w:r>
      <w:r w:rsidR="008B2E59" w:rsidRPr="003144F4">
        <w:t xml:space="preserve">The Committee considered the </w:t>
      </w:r>
      <w:r w:rsidR="00522BCF" w:rsidRPr="003144F4">
        <w:t>second periodic</w:t>
      </w:r>
      <w:r w:rsidR="008B2E59" w:rsidRPr="003144F4">
        <w:t xml:space="preserve"> report of </w:t>
      </w:r>
      <w:smartTag w:uri="urn:schemas-microsoft-com:office:smarttags" w:element="country-region">
        <w:smartTag w:uri="urn:schemas-microsoft-com:office:smarttags" w:element="place">
          <w:r w:rsidR="00522BCF" w:rsidRPr="003144F4">
            <w:t>Bosnia and Herzegovina</w:t>
          </w:r>
        </w:smartTag>
      </w:smartTag>
      <w:r w:rsidR="00522BCF" w:rsidRPr="003144F4">
        <w:t xml:space="preserve"> (CMW/C/BIH/2</w:t>
      </w:r>
      <w:r w:rsidR="008B2E59" w:rsidRPr="003144F4">
        <w:t xml:space="preserve">) at its </w:t>
      </w:r>
      <w:r w:rsidR="005362CD" w:rsidRPr="003144F4">
        <w:t>20</w:t>
      </w:r>
      <w:r w:rsidR="005D704A" w:rsidRPr="003144F4">
        <w:t>7</w:t>
      </w:r>
      <w:r w:rsidR="005362CD" w:rsidRPr="003144F4">
        <w:t>th and 208</w:t>
      </w:r>
      <w:r w:rsidR="008B2E59" w:rsidRPr="003144F4">
        <w:t>th meetings (CMW/C/SR</w:t>
      </w:r>
      <w:r w:rsidR="00E30284">
        <w:t xml:space="preserve">.207 and </w:t>
      </w:r>
      <w:r w:rsidR="00F30D7D" w:rsidRPr="003144F4">
        <w:t>208</w:t>
      </w:r>
      <w:r w:rsidR="008B2E59" w:rsidRPr="003144F4">
        <w:t xml:space="preserve">), held on </w:t>
      </w:r>
      <w:r w:rsidR="00522BCF" w:rsidRPr="003144F4">
        <w:t>11 and 12 September</w:t>
      </w:r>
      <w:r w:rsidR="008B2E59" w:rsidRPr="003144F4">
        <w:t xml:space="preserve"> 2012. At its </w:t>
      </w:r>
      <w:r w:rsidR="005362CD" w:rsidRPr="003144F4">
        <w:t>211</w:t>
      </w:r>
      <w:r w:rsidR="00DB4530" w:rsidRPr="003144F4">
        <w:t>th</w:t>
      </w:r>
      <w:r w:rsidR="008B2E59" w:rsidRPr="003144F4">
        <w:t xml:space="preserve"> meeting, held on </w:t>
      </w:r>
      <w:r w:rsidR="00522BCF" w:rsidRPr="003144F4">
        <w:t xml:space="preserve">13 September </w:t>
      </w:r>
      <w:r w:rsidR="008B2E59" w:rsidRPr="003144F4">
        <w:t>2012, the Committee adopted the following concluding observations.</w:t>
      </w:r>
    </w:p>
    <w:p w:rsidR="008B2E59" w:rsidRPr="00D12F2A" w:rsidRDefault="008B2E59" w:rsidP="008B2E59">
      <w:pPr>
        <w:pStyle w:val="H1G"/>
      </w:pPr>
      <w:r w:rsidRPr="000B7C47">
        <w:tab/>
        <w:t>A.</w:t>
      </w:r>
      <w:r w:rsidRPr="000B7C47">
        <w:tab/>
      </w:r>
      <w:r w:rsidRPr="00D12F2A">
        <w:t>Introduction</w:t>
      </w:r>
    </w:p>
    <w:p w:rsidR="00E0295D" w:rsidRDefault="003144F4" w:rsidP="003144F4">
      <w:pPr>
        <w:pStyle w:val="SingleTxtG"/>
      </w:pPr>
      <w:r>
        <w:t>2.</w:t>
      </w:r>
      <w:r>
        <w:tab/>
      </w:r>
      <w:r w:rsidR="008E0F43">
        <w:t>T</w:t>
      </w:r>
      <w:r w:rsidR="008B2E59" w:rsidRPr="008E0F43">
        <w:t>he Com</w:t>
      </w:r>
      <w:r w:rsidR="00E42D90">
        <w:t xml:space="preserve">mittee welcomes the submission </w:t>
      </w:r>
      <w:r w:rsidR="008B2E59" w:rsidRPr="008E0F43">
        <w:t xml:space="preserve">of the State party’s </w:t>
      </w:r>
      <w:r w:rsidR="005D704A">
        <w:t xml:space="preserve">comprehensive </w:t>
      </w:r>
      <w:r w:rsidR="00E42D90">
        <w:t xml:space="preserve">second periodic </w:t>
      </w:r>
      <w:r w:rsidR="008B2E59" w:rsidRPr="008E0F43">
        <w:t xml:space="preserve">report and appreciates the </w:t>
      </w:r>
      <w:r w:rsidR="00E67640">
        <w:t xml:space="preserve">frank and </w:t>
      </w:r>
      <w:r w:rsidR="008B2E59" w:rsidRPr="008E0F43">
        <w:t xml:space="preserve">constructive dialogue held with </w:t>
      </w:r>
      <w:r w:rsidR="008B2E59" w:rsidRPr="00542700">
        <w:t>the delegation.</w:t>
      </w:r>
      <w:r w:rsidR="008B2E59" w:rsidRPr="008E0F43">
        <w:t xml:space="preserve"> The Committee thanks the State party for its </w:t>
      </w:r>
      <w:r w:rsidR="005D704A">
        <w:t xml:space="preserve">detailed </w:t>
      </w:r>
      <w:r w:rsidR="008B2E59" w:rsidRPr="008E0F43">
        <w:t xml:space="preserve">replies to the list of issues and the </w:t>
      </w:r>
      <w:r w:rsidR="008B2E59" w:rsidRPr="003E1083">
        <w:t>additional information provided by the delegation.</w:t>
      </w:r>
    </w:p>
    <w:p w:rsidR="008B2E59" w:rsidRDefault="003144F4" w:rsidP="003144F4">
      <w:pPr>
        <w:pStyle w:val="SingleTxtG"/>
      </w:pPr>
      <w:r>
        <w:t>3.</w:t>
      </w:r>
      <w:r>
        <w:tab/>
      </w:r>
      <w:r w:rsidR="008E0F43">
        <w:t>T</w:t>
      </w:r>
      <w:r w:rsidR="008B2E59" w:rsidRPr="008E0F43">
        <w:t>he Committee notes that the countries in which most</w:t>
      </w:r>
      <w:r w:rsidR="006F0425" w:rsidRPr="006F0425">
        <w:t xml:space="preserve"> </w:t>
      </w:r>
      <w:r w:rsidR="007D7C77">
        <w:t>Bosnian</w:t>
      </w:r>
      <w:r w:rsidR="008B2E59" w:rsidRPr="008E0F43">
        <w:t xml:space="preserve"> migrant workers are employed are not yet parties to the Convention, which constitutes an obstacle to the enjoyment by those workers of the rights to which they are entitled under the Convention.</w:t>
      </w:r>
    </w:p>
    <w:p w:rsidR="008B2E59" w:rsidRDefault="008B2E59" w:rsidP="008B2E59">
      <w:pPr>
        <w:pStyle w:val="H1G"/>
      </w:pPr>
      <w:r w:rsidRPr="003A7736">
        <w:tab/>
        <w:t>B.</w:t>
      </w:r>
      <w:r w:rsidRPr="003A7736">
        <w:tab/>
        <w:t>Positive aspects</w:t>
      </w:r>
    </w:p>
    <w:p w:rsidR="004F0A12" w:rsidRDefault="003144F4" w:rsidP="003144F4">
      <w:pPr>
        <w:pStyle w:val="SingleTxtG"/>
      </w:pPr>
      <w:r>
        <w:t>4.</w:t>
      </w:r>
      <w:r>
        <w:tab/>
      </w:r>
      <w:r w:rsidR="004F0A12">
        <w:t xml:space="preserve">The Committee notes with appreciation the adoption of </w:t>
      </w:r>
      <w:r w:rsidR="00F30D7D">
        <w:t>the following legislative measures</w:t>
      </w:r>
      <w:r w:rsidR="004F0A12">
        <w:t>:</w:t>
      </w:r>
    </w:p>
    <w:p w:rsidR="004F0A12" w:rsidRPr="003144F4" w:rsidRDefault="00776673" w:rsidP="003144F4">
      <w:pPr>
        <w:pStyle w:val="SingleTxtG"/>
        <w:ind w:firstLine="567"/>
      </w:pPr>
      <w:r w:rsidRPr="003144F4">
        <w:t>(a</w:t>
      </w:r>
      <w:r w:rsidR="003144F4">
        <w:t>)</w:t>
      </w:r>
      <w:r w:rsidR="003144F4">
        <w:tab/>
      </w:r>
      <w:r w:rsidR="00F30D7D" w:rsidRPr="003144F4">
        <w:t>The a</w:t>
      </w:r>
      <w:r w:rsidR="0031289E" w:rsidRPr="003144F4">
        <w:t>mendments of A</w:t>
      </w:r>
      <w:r w:rsidR="004F0A12" w:rsidRPr="003144F4">
        <w:t>rticle</w:t>
      </w:r>
      <w:r w:rsidR="0031289E" w:rsidRPr="003144F4">
        <w:t>s</w:t>
      </w:r>
      <w:r w:rsidR="004F0A12" w:rsidRPr="003144F4">
        <w:t xml:space="preserve"> 186</w:t>
      </w:r>
      <w:r w:rsidR="0031289E" w:rsidRPr="003144F4">
        <w:t xml:space="preserve"> and 189</w:t>
      </w:r>
      <w:r w:rsidR="004F0A12" w:rsidRPr="003144F4">
        <w:t xml:space="preserve"> </w:t>
      </w:r>
      <w:r w:rsidR="0031289E" w:rsidRPr="003144F4">
        <w:t>of the</w:t>
      </w:r>
      <w:r w:rsidR="004F0A12" w:rsidRPr="003144F4">
        <w:t xml:space="preserve"> Criminal Code </w:t>
      </w:r>
      <w:r w:rsidR="00F30D7D" w:rsidRPr="003144F4">
        <w:t>on</w:t>
      </w:r>
      <w:r w:rsidR="0031289E" w:rsidRPr="003144F4">
        <w:t xml:space="preserve"> the definition </w:t>
      </w:r>
      <w:r w:rsidR="008F4E5C" w:rsidRPr="003144F4">
        <w:t>of human trafficking</w:t>
      </w:r>
      <w:r w:rsidR="002C3F0E" w:rsidRPr="003144F4">
        <w:t xml:space="preserve"> and smuggling of mi</w:t>
      </w:r>
      <w:r w:rsidR="007018FC" w:rsidRPr="003144F4">
        <w:t>grants</w:t>
      </w:r>
      <w:r w:rsidR="002C6755" w:rsidRPr="003144F4">
        <w:t>, in 2010</w:t>
      </w:r>
      <w:r w:rsidR="006E59F3" w:rsidRPr="003144F4">
        <w:t>;</w:t>
      </w:r>
      <w:r w:rsidR="00A0082D" w:rsidRPr="003144F4">
        <w:t xml:space="preserve"> </w:t>
      </w:r>
      <w:r w:rsidR="00F30D7D" w:rsidRPr="003144F4">
        <w:t>and</w:t>
      </w:r>
    </w:p>
    <w:p w:rsidR="000655A8" w:rsidRPr="003144F4" w:rsidRDefault="00776673" w:rsidP="003144F4">
      <w:pPr>
        <w:pStyle w:val="SingleTxtG"/>
        <w:ind w:firstLine="567"/>
      </w:pPr>
      <w:r w:rsidRPr="003144F4">
        <w:t>(b</w:t>
      </w:r>
      <w:r w:rsidR="000655A8" w:rsidRPr="003144F4">
        <w:t>)</w:t>
      </w:r>
      <w:r w:rsidR="003144F4">
        <w:tab/>
      </w:r>
      <w:r w:rsidR="006E59F3" w:rsidRPr="003144F4">
        <w:t xml:space="preserve">The </w:t>
      </w:r>
      <w:r w:rsidR="000655A8" w:rsidRPr="003144F4">
        <w:t>Law</w:t>
      </w:r>
      <w:r w:rsidR="00CC3245" w:rsidRPr="003144F4">
        <w:t xml:space="preserve"> </w:t>
      </w:r>
      <w:r w:rsidR="00F30D7D" w:rsidRPr="003144F4">
        <w:t>on Prohibition of Discrimination,</w:t>
      </w:r>
      <w:r w:rsidR="00CC3245" w:rsidRPr="003144F4">
        <w:t xml:space="preserve"> in 2009</w:t>
      </w:r>
      <w:r w:rsidR="001E0414" w:rsidRPr="003144F4">
        <w:t>, which shift</w:t>
      </w:r>
      <w:r w:rsidR="005D704A" w:rsidRPr="003144F4">
        <w:t>s</w:t>
      </w:r>
      <w:r w:rsidR="001E0414" w:rsidRPr="003144F4">
        <w:t xml:space="preserve"> the burden of proof on the defendant</w:t>
      </w:r>
      <w:r w:rsidR="005D704A" w:rsidRPr="003144F4">
        <w:t xml:space="preserve"> in civil proceedings where the claimant has established a prima facie case</w:t>
      </w:r>
      <w:r w:rsidR="009718E9" w:rsidRPr="003144F4">
        <w:t>.</w:t>
      </w:r>
    </w:p>
    <w:p w:rsidR="004F0A12" w:rsidRPr="003144F4" w:rsidRDefault="003144F4" w:rsidP="003144F4">
      <w:pPr>
        <w:pStyle w:val="SingleTxtG"/>
      </w:pPr>
      <w:r w:rsidRPr="003144F4">
        <w:t>5.</w:t>
      </w:r>
      <w:r w:rsidRPr="003144F4">
        <w:tab/>
      </w:r>
      <w:r w:rsidR="008C34E8" w:rsidRPr="003144F4">
        <w:t xml:space="preserve">The Committee welcomes </w:t>
      </w:r>
      <w:r w:rsidR="004F0A12" w:rsidRPr="003144F4">
        <w:t xml:space="preserve">the </w:t>
      </w:r>
      <w:r w:rsidR="00F30D7D" w:rsidRPr="003144F4">
        <w:t>adoption o</w:t>
      </w:r>
      <w:r w:rsidR="00963F6C" w:rsidRPr="003144F4">
        <w:t>f t</w:t>
      </w:r>
      <w:r w:rsidR="004F0A12" w:rsidRPr="003144F4">
        <w:t>he</w:t>
      </w:r>
      <w:r w:rsidR="008C34E8" w:rsidRPr="003144F4">
        <w:t xml:space="preserve"> new Strategy on Migration and Asylum and </w:t>
      </w:r>
      <w:r w:rsidR="00F30D7D" w:rsidRPr="003144F4">
        <w:t>the related</w:t>
      </w:r>
      <w:r w:rsidR="008C34E8" w:rsidRPr="003144F4">
        <w:t xml:space="preserve"> Action Plan for the period 20</w:t>
      </w:r>
      <w:r w:rsidR="000655A8" w:rsidRPr="003144F4">
        <w:t>12-2015</w:t>
      </w:r>
      <w:r w:rsidR="00F30D7D" w:rsidRPr="003144F4">
        <w:t>, in</w:t>
      </w:r>
      <w:r w:rsidR="00963F6C" w:rsidRPr="003144F4">
        <w:t xml:space="preserve"> June 2012.</w:t>
      </w:r>
    </w:p>
    <w:p w:rsidR="004C064C" w:rsidRPr="003144F4" w:rsidRDefault="003144F4" w:rsidP="003144F4">
      <w:pPr>
        <w:pStyle w:val="SingleTxtG"/>
      </w:pPr>
      <w:r w:rsidRPr="003144F4">
        <w:t>6.</w:t>
      </w:r>
      <w:r w:rsidRPr="003144F4">
        <w:tab/>
      </w:r>
      <w:r w:rsidR="00880F79" w:rsidRPr="003144F4">
        <w:t xml:space="preserve">The Committee </w:t>
      </w:r>
      <w:r w:rsidR="00F30D7D" w:rsidRPr="003144F4">
        <w:t>notes with satisfaction</w:t>
      </w:r>
      <w:r w:rsidR="008A3790" w:rsidRPr="003144F4">
        <w:t xml:space="preserve"> the r</w:t>
      </w:r>
      <w:r w:rsidR="00DC7B8E" w:rsidRPr="003144F4">
        <w:t xml:space="preserve">atification </w:t>
      </w:r>
      <w:r w:rsidR="008A3790" w:rsidRPr="003144F4">
        <w:t xml:space="preserve">by the State party </w:t>
      </w:r>
      <w:r w:rsidR="00DC7B8E" w:rsidRPr="003144F4">
        <w:t>of</w:t>
      </w:r>
      <w:r w:rsidR="00F30D7D" w:rsidRPr="003144F4">
        <w:t xml:space="preserve"> the following international treaties</w:t>
      </w:r>
      <w:r w:rsidR="003579E4" w:rsidRPr="003144F4">
        <w:t>:</w:t>
      </w:r>
    </w:p>
    <w:p w:rsidR="008A3790" w:rsidRPr="003144F4" w:rsidRDefault="004C064C" w:rsidP="003144F4">
      <w:pPr>
        <w:pStyle w:val="SingleTxtG"/>
        <w:ind w:firstLine="567"/>
      </w:pPr>
      <w:r w:rsidRPr="003144F4">
        <w:t>(</w:t>
      </w:r>
      <w:r w:rsidR="00755F38" w:rsidRPr="003144F4">
        <w:t>a</w:t>
      </w:r>
      <w:r w:rsidR="003144F4">
        <w:t>)</w:t>
      </w:r>
      <w:r w:rsidR="003144F4">
        <w:tab/>
      </w:r>
      <w:r w:rsidR="008A3790" w:rsidRPr="003144F4">
        <w:t>T</w:t>
      </w:r>
      <w:r w:rsidR="00DC7B8E" w:rsidRPr="003144F4">
        <w:t>he Convention on the Rights of Persons with Disabil</w:t>
      </w:r>
      <w:r w:rsidR="008A3790" w:rsidRPr="003144F4">
        <w:t>ities and its Optional Protocol</w:t>
      </w:r>
      <w:r w:rsidR="00755F38" w:rsidRPr="003144F4">
        <w:t>, in</w:t>
      </w:r>
      <w:r w:rsidR="008A3790" w:rsidRPr="003144F4">
        <w:t xml:space="preserve"> 2010;</w:t>
      </w:r>
    </w:p>
    <w:p w:rsidR="008A3790" w:rsidRPr="003144F4" w:rsidRDefault="004C064C" w:rsidP="003144F4">
      <w:pPr>
        <w:pStyle w:val="SingleTxtG"/>
        <w:ind w:firstLine="567"/>
      </w:pPr>
      <w:r w:rsidRPr="003144F4">
        <w:t>(</w:t>
      </w:r>
      <w:r w:rsidR="00755F38" w:rsidRPr="003144F4">
        <w:t>b</w:t>
      </w:r>
      <w:r w:rsidR="008A3790" w:rsidRPr="003144F4">
        <w:t>)</w:t>
      </w:r>
      <w:r w:rsidR="003144F4">
        <w:tab/>
      </w:r>
      <w:r w:rsidR="008A3790" w:rsidRPr="003144F4">
        <w:t>T</w:t>
      </w:r>
      <w:r w:rsidR="00DC7B8E" w:rsidRPr="003144F4">
        <w:t>he Optional Protocol to the International Covenant on Economic, Social and Cultural Rights</w:t>
      </w:r>
      <w:r w:rsidR="00755F38" w:rsidRPr="003144F4">
        <w:t>, in</w:t>
      </w:r>
      <w:r w:rsidR="008A3790" w:rsidRPr="003144F4">
        <w:t xml:space="preserve"> 2012;</w:t>
      </w:r>
    </w:p>
    <w:p w:rsidR="00B920E4" w:rsidRPr="003144F4" w:rsidRDefault="004C064C" w:rsidP="003144F4">
      <w:pPr>
        <w:pStyle w:val="SingleTxtG"/>
        <w:ind w:firstLine="567"/>
      </w:pPr>
      <w:r w:rsidRPr="003144F4">
        <w:t>(</w:t>
      </w:r>
      <w:r w:rsidR="00755F38" w:rsidRPr="003144F4">
        <w:t>c</w:t>
      </w:r>
      <w:r w:rsidR="008A3790" w:rsidRPr="003144F4">
        <w:t>)</w:t>
      </w:r>
      <w:r w:rsidR="003144F4">
        <w:tab/>
      </w:r>
      <w:r w:rsidR="008A3790" w:rsidRPr="003144F4">
        <w:t>T</w:t>
      </w:r>
      <w:r w:rsidR="00DC7B8E" w:rsidRPr="003144F4">
        <w:t>he Convention for the Protection of all Pers</w:t>
      </w:r>
      <w:r w:rsidR="008A3790" w:rsidRPr="003144F4">
        <w:t>ons from Enfo</w:t>
      </w:r>
      <w:r w:rsidR="00C83878" w:rsidRPr="003144F4">
        <w:t>rced Disappearance</w:t>
      </w:r>
      <w:r w:rsidR="00755F38" w:rsidRPr="003144F4">
        <w:t>, in</w:t>
      </w:r>
      <w:r w:rsidR="00C83878" w:rsidRPr="003144F4">
        <w:t xml:space="preserve"> 2012</w:t>
      </w:r>
      <w:r w:rsidR="00755F38" w:rsidRPr="003144F4">
        <w:t>;</w:t>
      </w:r>
      <w:r w:rsidR="00767221">
        <w:t xml:space="preserve"> and</w:t>
      </w:r>
    </w:p>
    <w:p w:rsidR="00755F38" w:rsidRPr="003144F4" w:rsidRDefault="00755F38" w:rsidP="003144F4">
      <w:pPr>
        <w:pStyle w:val="SingleTxtG"/>
        <w:ind w:firstLine="567"/>
      </w:pPr>
      <w:r w:rsidRPr="003144F4">
        <w:t>(d)</w:t>
      </w:r>
      <w:r w:rsidR="003144F4">
        <w:tab/>
      </w:r>
      <w:r w:rsidR="002912A3">
        <w:t>International Labour Organization (</w:t>
      </w:r>
      <w:r w:rsidRPr="003144F4">
        <w:t>ILO</w:t>
      </w:r>
      <w:r w:rsidR="002912A3">
        <w:t>)</w:t>
      </w:r>
      <w:r w:rsidRPr="003144F4">
        <w:t xml:space="preserve"> Convention No. 181 (1997) concerning Private Employment Agencies, in 2010.</w:t>
      </w:r>
    </w:p>
    <w:p w:rsidR="008B2E59" w:rsidRPr="00782C9F" w:rsidRDefault="008B2E59" w:rsidP="008B2E59">
      <w:pPr>
        <w:pStyle w:val="H1G"/>
      </w:pPr>
      <w:r>
        <w:tab/>
      </w:r>
      <w:r w:rsidRPr="00782C9F">
        <w:t>C.</w:t>
      </w:r>
      <w:r w:rsidRPr="00782C9F">
        <w:tab/>
        <w:t>Principal subjects of concern, suggestions and recommendations</w:t>
      </w:r>
    </w:p>
    <w:p w:rsidR="008B2E59" w:rsidRPr="00782C9F" w:rsidRDefault="008B2E59" w:rsidP="008B2E59">
      <w:pPr>
        <w:pStyle w:val="H23G"/>
      </w:pPr>
      <w:r>
        <w:tab/>
      </w:r>
      <w:r w:rsidRPr="005F6B78">
        <w:t>1.</w:t>
      </w:r>
      <w:r w:rsidRPr="005F6B78">
        <w:tab/>
        <w:t>General measures of implementation (arts. 73 and 84)</w:t>
      </w:r>
    </w:p>
    <w:p w:rsidR="008B2E59" w:rsidRDefault="008B2E59" w:rsidP="002912A3">
      <w:pPr>
        <w:pStyle w:val="H23G"/>
      </w:pPr>
      <w:r>
        <w:tab/>
      </w:r>
      <w:r>
        <w:tab/>
      </w:r>
      <w:r w:rsidRPr="008C18AA">
        <w:t>Legislation and application</w:t>
      </w:r>
    </w:p>
    <w:p w:rsidR="008C18AA" w:rsidRPr="000926B5" w:rsidRDefault="003144F4" w:rsidP="003144F4">
      <w:pPr>
        <w:pStyle w:val="SingleTxtG"/>
      </w:pPr>
      <w:r w:rsidRPr="000926B5">
        <w:t>7.</w:t>
      </w:r>
      <w:r w:rsidRPr="000926B5">
        <w:tab/>
      </w:r>
      <w:r w:rsidR="008C18AA" w:rsidRPr="000926B5">
        <w:t>The Committee</w:t>
      </w:r>
      <w:r w:rsidR="000926B5" w:rsidRPr="000926B5">
        <w:t xml:space="preserve"> notes that the State party has not </w:t>
      </w:r>
      <w:r w:rsidR="00755F38">
        <w:t>yet become a party to</w:t>
      </w:r>
      <w:r w:rsidR="000926B5" w:rsidRPr="000926B5">
        <w:t xml:space="preserve"> ILO </w:t>
      </w:r>
      <w:r w:rsidR="000926B5" w:rsidRPr="0071786E">
        <w:t>Convention No</w:t>
      </w:r>
      <w:r w:rsidR="008F26CA" w:rsidRPr="0071786E">
        <w:t>.</w:t>
      </w:r>
      <w:r w:rsidR="000926B5" w:rsidRPr="0071786E">
        <w:t xml:space="preserve"> 189 </w:t>
      </w:r>
      <w:r w:rsidR="00755F38" w:rsidRPr="0071786E">
        <w:t>(2011)</w:t>
      </w:r>
      <w:r w:rsidR="000926B5" w:rsidRPr="0071786E">
        <w:t xml:space="preserve"> </w:t>
      </w:r>
      <w:r w:rsidR="00755F38" w:rsidRPr="0071786E">
        <w:t>concerning decent work for d</w:t>
      </w:r>
      <w:r w:rsidR="000926B5" w:rsidRPr="0071786E">
        <w:t xml:space="preserve">omestic </w:t>
      </w:r>
      <w:r w:rsidR="00755F38" w:rsidRPr="0071786E">
        <w:t>w</w:t>
      </w:r>
      <w:r w:rsidR="000926B5" w:rsidRPr="0071786E">
        <w:t>orkers.</w:t>
      </w:r>
    </w:p>
    <w:p w:rsidR="0065506D" w:rsidRPr="003144F4" w:rsidRDefault="003144F4" w:rsidP="003144F4">
      <w:pPr>
        <w:pStyle w:val="SingleTxtG"/>
        <w:rPr>
          <w:b/>
        </w:rPr>
      </w:pPr>
      <w:r w:rsidRPr="003144F4">
        <w:t>8.</w:t>
      </w:r>
      <w:r w:rsidRPr="003144F4">
        <w:tab/>
      </w:r>
      <w:r w:rsidR="00D667E4" w:rsidRPr="003144F4">
        <w:rPr>
          <w:b/>
        </w:rPr>
        <w:t xml:space="preserve">The Committee </w:t>
      </w:r>
      <w:r w:rsidR="008C18AA" w:rsidRPr="003144F4">
        <w:rPr>
          <w:b/>
        </w:rPr>
        <w:t xml:space="preserve">invites the State party to consider ratifying </w:t>
      </w:r>
      <w:r w:rsidR="006E2EFD" w:rsidRPr="003144F4">
        <w:rPr>
          <w:b/>
        </w:rPr>
        <w:t>ILO Convention No</w:t>
      </w:r>
      <w:r w:rsidR="007741F9" w:rsidRPr="003144F4">
        <w:rPr>
          <w:b/>
        </w:rPr>
        <w:t>.</w:t>
      </w:r>
      <w:r w:rsidR="006E2EFD" w:rsidRPr="003144F4">
        <w:rPr>
          <w:b/>
        </w:rPr>
        <w:t xml:space="preserve"> 189.</w:t>
      </w:r>
    </w:p>
    <w:p w:rsidR="008513E6" w:rsidRPr="003144F4" w:rsidRDefault="003144F4" w:rsidP="003144F4">
      <w:pPr>
        <w:pStyle w:val="SingleTxtG"/>
      </w:pPr>
      <w:r w:rsidRPr="003144F4">
        <w:t>9.</w:t>
      </w:r>
      <w:r w:rsidRPr="003144F4">
        <w:tab/>
      </w:r>
      <w:r w:rsidR="008513E6" w:rsidRPr="003144F4">
        <w:t>The Committee notes that the State party has still not made the declarations provided for in articles 76 and 77 of the Convention, recognizing the competence of the Committee to receive communications from States parties and individuals.</w:t>
      </w:r>
    </w:p>
    <w:p w:rsidR="008513E6" w:rsidRPr="00E0295D" w:rsidRDefault="003144F4" w:rsidP="003144F4">
      <w:pPr>
        <w:pStyle w:val="SingleTxtG"/>
      </w:pPr>
      <w:r w:rsidRPr="00E0295D">
        <w:t>10.</w:t>
      </w:r>
      <w:r w:rsidRPr="00E0295D">
        <w:tab/>
      </w:r>
      <w:r w:rsidR="008513E6" w:rsidRPr="0065506D">
        <w:rPr>
          <w:b/>
          <w:bCs/>
        </w:rPr>
        <w:t xml:space="preserve">The Committee </w:t>
      </w:r>
      <w:r w:rsidR="00755F38">
        <w:rPr>
          <w:b/>
          <w:bCs/>
        </w:rPr>
        <w:t>reiterates its recommendation that</w:t>
      </w:r>
      <w:r w:rsidR="008513E6" w:rsidRPr="0065506D">
        <w:rPr>
          <w:b/>
          <w:bCs/>
        </w:rPr>
        <w:t xml:space="preserve"> the State party make the declaration</w:t>
      </w:r>
      <w:r w:rsidR="00755F38">
        <w:rPr>
          <w:b/>
          <w:bCs/>
        </w:rPr>
        <w:t>s</w:t>
      </w:r>
      <w:r w:rsidR="008513E6" w:rsidRPr="0065506D">
        <w:rPr>
          <w:b/>
          <w:bCs/>
        </w:rPr>
        <w:t xml:space="preserve"> provided for in articles 76 and 77 of the Convention</w:t>
      </w:r>
      <w:r w:rsidR="00DB4530" w:rsidRPr="00DB4530">
        <w:rPr>
          <w:bCs/>
        </w:rPr>
        <w:t xml:space="preserve"> </w:t>
      </w:r>
      <w:r w:rsidR="00DB4530">
        <w:rPr>
          <w:bCs/>
        </w:rPr>
        <w:t>(</w:t>
      </w:r>
      <w:r w:rsidR="00DB4530">
        <w:rPr>
          <w:b/>
          <w:bCs/>
        </w:rPr>
        <w:t>C</w:t>
      </w:r>
      <w:r w:rsidR="00DB4530" w:rsidRPr="0071786E">
        <w:rPr>
          <w:b/>
          <w:bCs/>
        </w:rPr>
        <w:t>MW/C/BIH/CO/1, para. 14</w:t>
      </w:r>
      <w:r w:rsidR="00DB4530">
        <w:rPr>
          <w:b/>
          <w:bCs/>
        </w:rPr>
        <w:t>)</w:t>
      </w:r>
      <w:r w:rsidR="008513E6" w:rsidRPr="00A0082D">
        <w:rPr>
          <w:bCs/>
        </w:rPr>
        <w:t>.</w:t>
      </w:r>
    </w:p>
    <w:p w:rsidR="00F12313" w:rsidRPr="00F12313" w:rsidRDefault="003144F4" w:rsidP="003144F4">
      <w:pPr>
        <w:pStyle w:val="SingleTxtG"/>
      </w:pPr>
      <w:r w:rsidRPr="00F12313">
        <w:t>11.</w:t>
      </w:r>
      <w:r w:rsidRPr="00F12313">
        <w:tab/>
      </w:r>
      <w:r w:rsidR="00F12313" w:rsidRPr="00E0295D">
        <w:rPr>
          <w:bCs/>
        </w:rPr>
        <w:t>While noting the complex political structure of the State party, the Committee is concerned</w:t>
      </w:r>
      <w:r w:rsidR="00F12313">
        <w:rPr>
          <w:bCs/>
        </w:rPr>
        <w:t xml:space="preserve"> about the lack of harmonization </w:t>
      </w:r>
      <w:r w:rsidR="000E16C0">
        <w:rPr>
          <w:bCs/>
        </w:rPr>
        <w:t>in</w:t>
      </w:r>
      <w:r w:rsidR="00E0295D">
        <w:rPr>
          <w:bCs/>
        </w:rPr>
        <w:t xml:space="preserve"> the legislation of the</w:t>
      </w:r>
      <w:r w:rsidR="0067722E">
        <w:rPr>
          <w:bCs/>
        </w:rPr>
        <w:t xml:space="preserve"> different</w:t>
      </w:r>
      <w:r w:rsidR="00E0295D">
        <w:rPr>
          <w:bCs/>
        </w:rPr>
        <w:t xml:space="preserve"> Entities</w:t>
      </w:r>
      <w:r w:rsidR="007741F9">
        <w:rPr>
          <w:bCs/>
        </w:rPr>
        <w:t xml:space="preserve"> </w:t>
      </w:r>
      <w:r w:rsidR="00F12313">
        <w:rPr>
          <w:bCs/>
        </w:rPr>
        <w:t>in certain areas of the Convention, such as employment, education and social security.</w:t>
      </w:r>
    </w:p>
    <w:p w:rsidR="00F12313" w:rsidRPr="00E0295D" w:rsidRDefault="003144F4" w:rsidP="003144F4">
      <w:pPr>
        <w:pStyle w:val="SingleTxtG"/>
        <w:rPr>
          <w:b/>
        </w:rPr>
      </w:pPr>
      <w:r w:rsidRPr="003144F4">
        <w:t>12.</w:t>
      </w:r>
      <w:r w:rsidRPr="003144F4">
        <w:tab/>
      </w:r>
      <w:r w:rsidR="00F12313" w:rsidRPr="00E0295D">
        <w:rPr>
          <w:b/>
          <w:bCs/>
        </w:rPr>
        <w:t>The Committee recommends that the State party encourage the Entities</w:t>
      </w:r>
      <w:r w:rsidR="00F12313">
        <w:rPr>
          <w:b/>
          <w:bCs/>
        </w:rPr>
        <w:t xml:space="preserve"> to harmonize their legislation </w:t>
      </w:r>
      <w:r w:rsidR="007741F9">
        <w:rPr>
          <w:b/>
          <w:bCs/>
        </w:rPr>
        <w:t>in order</w:t>
      </w:r>
      <w:r w:rsidR="00F12313">
        <w:rPr>
          <w:b/>
          <w:bCs/>
        </w:rPr>
        <w:t xml:space="preserve"> to ensure that migrant workers in the State party fully enjoy the rights enshrined in the Convention, especially in the areas of employment, education and social security.</w:t>
      </w:r>
    </w:p>
    <w:p w:rsidR="0065506D" w:rsidRPr="008C18AA" w:rsidRDefault="003144F4" w:rsidP="003144F4">
      <w:pPr>
        <w:pStyle w:val="SingleTxtG"/>
      </w:pPr>
      <w:r w:rsidRPr="008C18AA">
        <w:t>13.</w:t>
      </w:r>
      <w:r w:rsidRPr="008C18AA">
        <w:tab/>
      </w:r>
      <w:r w:rsidR="00D46D6A">
        <w:t xml:space="preserve">The Committee notes that, </w:t>
      </w:r>
      <w:r w:rsidR="00D46D6A" w:rsidRPr="008C18AA">
        <w:t>in April 2012</w:t>
      </w:r>
      <w:r w:rsidR="00D46D6A">
        <w:t xml:space="preserve">, </w:t>
      </w:r>
      <w:r w:rsidR="006E2EFD" w:rsidRPr="008C18AA">
        <w:t xml:space="preserve">a </w:t>
      </w:r>
      <w:r w:rsidR="00C83878">
        <w:t xml:space="preserve">new </w:t>
      </w:r>
      <w:r w:rsidR="006E2EFD" w:rsidRPr="008C18AA">
        <w:t xml:space="preserve">draft law </w:t>
      </w:r>
      <w:r w:rsidR="00562C26">
        <w:t>amending</w:t>
      </w:r>
      <w:r w:rsidR="006E2EFD" w:rsidRPr="008C18AA">
        <w:t xml:space="preserve"> the Law on Movement </w:t>
      </w:r>
      <w:r w:rsidR="00C83878">
        <w:t>and Stay of Aliens and Asylum</w:t>
      </w:r>
      <w:r w:rsidR="006E2EFD" w:rsidRPr="008C18AA">
        <w:t xml:space="preserve"> was </w:t>
      </w:r>
      <w:r w:rsidR="00755F38">
        <w:t>submitted</w:t>
      </w:r>
      <w:r w:rsidR="00C83878">
        <w:t xml:space="preserve"> by the Council of Ministers to</w:t>
      </w:r>
      <w:r w:rsidR="00D46D6A">
        <w:t xml:space="preserve"> </w:t>
      </w:r>
      <w:r w:rsidR="00C83878">
        <w:t xml:space="preserve">Parliament for </w:t>
      </w:r>
      <w:r w:rsidR="00D46D6A">
        <w:t>adoption</w:t>
      </w:r>
      <w:r w:rsidR="006E2EFD" w:rsidRPr="008C18AA">
        <w:t>.</w:t>
      </w:r>
    </w:p>
    <w:p w:rsidR="006E2EFD" w:rsidRPr="008C18AA" w:rsidRDefault="003144F4" w:rsidP="003144F4">
      <w:pPr>
        <w:pStyle w:val="SingleTxtG"/>
        <w:rPr>
          <w:b/>
        </w:rPr>
      </w:pPr>
      <w:r w:rsidRPr="003144F4">
        <w:t>14.</w:t>
      </w:r>
      <w:r w:rsidRPr="003144F4">
        <w:tab/>
      </w:r>
      <w:r w:rsidR="006E2EFD" w:rsidRPr="008C18AA">
        <w:rPr>
          <w:b/>
          <w:bCs/>
          <w:lang w:eastAsia="en-GB"/>
        </w:rPr>
        <w:t xml:space="preserve">The Committee </w:t>
      </w:r>
      <w:r w:rsidR="00E233EA">
        <w:rPr>
          <w:b/>
          <w:bCs/>
          <w:lang w:eastAsia="en-GB"/>
        </w:rPr>
        <w:t xml:space="preserve">urges the State party to </w:t>
      </w:r>
      <w:r w:rsidR="00E233EA" w:rsidRPr="00E233EA">
        <w:rPr>
          <w:b/>
          <w:bCs/>
          <w:lang w:eastAsia="en-GB"/>
        </w:rPr>
        <w:t xml:space="preserve">ensure that the </w:t>
      </w:r>
      <w:r w:rsidR="00E233EA" w:rsidRPr="001E0414">
        <w:rPr>
          <w:b/>
          <w:bCs/>
          <w:lang w:eastAsia="en-GB"/>
        </w:rPr>
        <w:t xml:space="preserve">new draft law </w:t>
      </w:r>
      <w:r w:rsidR="00E233EA">
        <w:rPr>
          <w:b/>
          <w:bCs/>
          <w:lang w:eastAsia="en-GB"/>
        </w:rPr>
        <w:t>amending</w:t>
      </w:r>
      <w:r w:rsidR="00E233EA" w:rsidRPr="001E0414">
        <w:rPr>
          <w:b/>
          <w:bCs/>
          <w:lang w:eastAsia="en-GB"/>
        </w:rPr>
        <w:t xml:space="preserve"> the Law on Movement and Stay of Aliens and Asylum</w:t>
      </w:r>
      <w:r w:rsidR="00E233EA">
        <w:rPr>
          <w:b/>
          <w:bCs/>
          <w:lang w:eastAsia="en-GB"/>
        </w:rPr>
        <w:t xml:space="preserve"> </w:t>
      </w:r>
      <w:r w:rsidR="00E233EA" w:rsidRPr="00E233EA">
        <w:rPr>
          <w:b/>
          <w:bCs/>
          <w:lang w:eastAsia="en-GB"/>
        </w:rPr>
        <w:t xml:space="preserve">fully complies with the provisions of the Convention </w:t>
      </w:r>
      <w:r w:rsidR="00E233EA">
        <w:rPr>
          <w:b/>
          <w:bCs/>
          <w:lang w:eastAsia="en-GB"/>
        </w:rPr>
        <w:t xml:space="preserve">and </w:t>
      </w:r>
      <w:r w:rsidR="00E36D15">
        <w:rPr>
          <w:b/>
          <w:bCs/>
          <w:lang w:eastAsia="en-GB"/>
        </w:rPr>
        <w:t>to adopt</w:t>
      </w:r>
      <w:r w:rsidR="001E0414">
        <w:rPr>
          <w:b/>
          <w:bCs/>
          <w:lang w:eastAsia="en-GB"/>
        </w:rPr>
        <w:t xml:space="preserve"> </w:t>
      </w:r>
      <w:r w:rsidR="00E233EA">
        <w:rPr>
          <w:b/>
          <w:bCs/>
          <w:lang w:eastAsia="en-GB"/>
        </w:rPr>
        <w:t xml:space="preserve">it </w:t>
      </w:r>
      <w:r w:rsidR="00E36D15">
        <w:rPr>
          <w:b/>
          <w:bCs/>
          <w:lang w:eastAsia="en-GB"/>
        </w:rPr>
        <w:t>without delay.</w:t>
      </w:r>
    </w:p>
    <w:p w:rsidR="008B2E59" w:rsidRDefault="008B2E59" w:rsidP="0071786E">
      <w:pPr>
        <w:pStyle w:val="H23G"/>
      </w:pPr>
      <w:r>
        <w:tab/>
      </w:r>
      <w:r>
        <w:tab/>
      </w:r>
      <w:r w:rsidRPr="0071786E">
        <w:t>Data collection</w:t>
      </w:r>
    </w:p>
    <w:p w:rsidR="0065506D" w:rsidRPr="005169D2" w:rsidRDefault="003144F4" w:rsidP="003144F4">
      <w:pPr>
        <w:pStyle w:val="SingleTxtG"/>
      </w:pPr>
      <w:r w:rsidRPr="005169D2">
        <w:t>15.</w:t>
      </w:r>
      <w:r w:rsidRPr="005169D2">
        <w:tab/>
      </w:r>
      <w:r w:rsidR="002A6287">
        <w:t>The Committee</w:t>
      </w:r>
      <w:r w:rsidR="002A6287" w:rsidRPr="005169D2">
        <w:t xml:space="preserve"> </w:t>
      </w:r>
      <w:r w:rsidR="00BD152D">
        <w:t>not</w:t>
      </w:r>
      <w:r w:rsidR="002A6287">
        <w:t>es</w:t>
      </w:r>
      <w:r w:rsidR="0065506D" w:rsidRPr="005169D2">
        <w:t xml:space="preserve"> </w:t>
      </w:r>
      <w:r w:rsidR="00221F62">
        <w:t xml:space="preserve">the State party’s efforts </w:t>
      </w:r>
      <w:r w:rsidR="008513E6">
        <w:t>to</w:t>
      </w:r>
      <w:r w:rsidR="00A66F00">
        <w:t xml:space="preserve"> improve data collection on </w:t>
      </w:r>
      <w:r w:rsidR="00221F62">
        <w:t>migration</w:t>
      </w:r>
      <w:r w:rsidR="00BD152D">
        <w:t xml:space="preserve"> related issues such as</w:t>
      </w:r>
      <w:r w:rsidR="00466E1E">
        <w:t xml:space="preserve"> the </w:t>
      </w:r>
      <w:r w:rsidR="00562C26">
        <w:t xml:space="preserve">preparation of </w:t>
      </w:r>
      <w:r w:rsidR="00466E1E">
        <w:t>Migration Profiles by the Ministry of Security</w:t>
      </w:r>
      <w:r w:rsidR="00BD152D">
        <w:t>,</w:t>
      </w:r>
      <w:r w:rsidR="00221F62">
        <w:t xml:space="preserve"> </w:t>
      </w:r>
      <w:r w:rsidR="002C0817">
        <w:t xml:space="preserve">the </w:t>
      </w:r>
      <w:r w:rsidR="00562C26">
        <w:t xml:space="preserve">compilation of </w:t>
      </w:r>
      <w:r w:rsidR="002C0817">
        <w:t xml:space="preserve">data </w:t>
      </w:r>
      <w:r w:rsidR="0065506D" w:rsidRPr="005169D2">
        <w:t>on illegal border crossing</w:t>
      </w:r>
      <w:r w:rsidR="00BD152D">
        <w:t>s</w:t>
      </w:r>
      <w:r w:rsidR="002A6287">
        <w:t xml:space="preserve"> and the information provided by the delegation</w:t>
      </w:r>
      <w:r w:rsidR="0065506D" w:rsidRPr="005169D2">
        <w:t xml:space="preserve"> </w:t>
      </w:r>
      <w:r w:rsidR="002C0817">
        <w:t xml:space="preserve">on the Government’s decision to conduct </w:t>
      </w:r>
      <w:r w:rsidR="00562C26">
        <w:t>a</w:t>
      </w:r>
      <w:r w:rsidR="002C0817">
        <w:t xml:space="preserve"> new census of the population. </w:t>
      </w:r>
      <w:r w:rsidR="00FA4933">
        <w:t>However, the Commi</w:t>
      </w:r>
      <w:r w:rsidR="00D16418">
        <w:t>ttee is concerned about the lack of data on the number of Bosnian citizens working abroad. In addition</w:t>
      </w:r>
      <w:r w:rsidR="002A6287">
        <w:t xml:space="preserve">, </w:t>
      </w:r>
      <w:r w:rsidR="00FA4933">
        <w:t>it</w:t>
      </w:r>
      <w:r w:rsidR="0065506D" w:rsidRPr="005169D2">
        <w:t xml:space="preserve"> </w:t>
      </w:r>
      <w:r w:rsidR="00851E9A" w:rsidRPr="005169D2">
        <w:t>regrets</w:t>
      </w:r>
      <w:r w:rsidR="0065506D" w:rsidRPr="005169D2">
        <w:t xml:space="preserve"> the lack of </w:t>
      </w:r>
      <w:r w:rsidR="00BD152D">
        <w:t xml:space="preserve">comprehensive information and statistics on the number, employment situation and access to basic services </w:t>
      </w:r>
      <w:r w:rsidR="0065506D" w:rsidRPr="005169D2">
        <w:t xml:space="preserve">of migrant workers and members of their families in an irregular situation. </w:t>
      </w:r>
      <w:r w:rsidR="00FA4933">
        <w:t>The Committee</w:t>
      </w:r>
      <w:r w:rsidR="005169D2" w:rsidRPr="005169D2">
        <w:t xml:space="preserve"> recalls that such information is indispensable to an understanding of their situation in the State party and an assessment of the implementation of the Convention.</w:t>
      </w:r>
    </w:p>
    <w:p w:rsidR="00851E9A" w:rsidRPr="00475B42" w:rsidRDefault="003144F4" w:rsidP="003144F4">
      <w:pPr>
        <w:pStyle w:val="SingleTxtG"/>
        <w:rPr>
          <w:b/>
        </w:rPr>
      </w:pPr>
      <w:r w:rsidRPr="003144F4">
        <w:t>16.</w:t>
      </w:r>
      <w:r w:rsidRPr="003144F4">
        <w:tab/>
      </w:r>
      <w:r w:rsidR="00851E9A" w:rsidRPr="003144F4">
        <w:rPr>
          <w:bCs/>
        </w:rPr>
        <w:t>T</w:t>
      </w:r>
      <w:r w:rsidR="00851E9A">
        <w:rPr>
          <w:b/>
          <w:bCs/>
        </w:rPr>
        <w:t>he Committee</w:t>
      </w:r>
      <w:r w:rsidR="00A66F00" w:rsidRPr="00A66F00">
        <w:rPr>
          <w:b/>
          <w:bCs/>
          <w:color w:val="000000"/>
          <w:lang w:eastAsia="en-GB"/>
        </w:rPr>
        <w:t xml:space="preserve"> </w:t>
      </w:r>
      <w:r w:rsidR="00BD152D">
        <w:rPr>
          <w:b/>
          <w:bCs/>
          <w:color w:val="000000"/>
          <w:lang w:eastAsia="en-GB"/>
        </w:rPr>
        <w:t>recommends that</w:t>
      </w:r>
      <w:r w:rsidR="00A66F00">
        <w:rPr>
          <w:b/>
          <w:bCs/>
          <w:color w:val="000000"/>
          <w:lang w:eastAsia="en-GB"/>
        </w:rPr>
        <w:t xml:space="preserve"> the State party pursue </w:t>
      </w:r>
      <w:r w:rsidR="00A66F00" w:rsidRPr="00A66F00">
        <w:rPr>
          <w:b/>
          <w:bCs/>
        </w:rPr>
        <w:t>its efforts to ensure that the data collection system takes into account all</w:t>
      </w:r>
      <w:r w:rsidR="00A66F00">
        <w:rPr>
          <w:b/>
          <w:bCs/>
        </w:rPr>
        <w:t xml:space="preserve"> aspects of the Convention and </w:t>
      </w:r>
      <w:r w:rsidR="00A66F00" w:rsidRPr="00A66F00">
        <w:rPr>
          <w:b/>
          <w:bCs/>
        </w:rPr>
        <w:t xml:space="preserve">collect information and statistical data, disaggregated by sex, age, nationality and </w:t>
      </w:r>
      <w:r w:rsidR="00A66F00" w:rsidRPr="00475B42">
        <w:rPr>
          <w:b/>
          <w:bCs/>
        </w:rPr>
        <w:t>fields of occupation.</w:t>
      </w:r>
      <w:r w:rsidR="00A66F00" w:rsidRPr="00475B42">
        <w:rPr>
          <w:b/>
        </w:rPr>
        <w:t xml:space="preserve"> In particular, it</w:t>
      </w:r>
      <w:r w:rsidR="00851E9A" w:rsidRPr="00475B42">
        <w:rPr>
          <w:b/>
          <w:bCs/>
        </w:rPr>
        <w:t xml:space="preserve"> </w:t>
      </w:r>
      <w:r w:rsidR="00BD152D">
        <w:rPr>
          <w:b/>
          <w:bCs/>
        </w:rPr>
        <w:t>recommends that</w:t>
      </w:r>
      <w:r w:rsidR="00851E9A" w:rsidRPr="00475B42">
        <w:rPr>
          <w:b/>
          <w:bCs/>
        </w:rPr>
        <w:t xml:space="preserve"> the State party</w:t>
      </w:r>
      <w:r w:rsidR="00475B42">
        <w:rPr>
          <w:b/>
          <w:bCs/>
        </w:rPr>
        <w:t xml:space="preserve"> include </w:t>
      </w:r>
      <w:r w:rsidR="00BD152D">
        <w:rPr>
          <w:b/>
          <w:bCs/>
        </w:rPr>
        <w:t xml:space="preserve">in its next periodic report </w:t>
      </w:r>
      <w:r w:rsidR="00475B42" w:rsidRPr="00475B42">
        <w:rPr>
          <w:b/>
          <w:bCs/>
        </w:rPr>
        <w:t xml:space="preserve">disaggregated information </w:t>
      </w:r>
      <w:r w:rsidR="00BD152D">
        <w:rPr>
          <w:b/>
          <w:bCs/>
        </w:rPr>
        <w:t>on the number of</w:t>
      </w:r>
      <w:r w:rsidR="00D16418">
        <w:rPr>
          <w:b/>
          <w:bCs/>
        </w:rPr>
        <w:t xml:space="preserve"> Bosnian citizens working abroad, as well as</w:t>
      </w:r>
      <w:r w:rsidR="00BD152D">
        <w:rPr>
          <w:b/>
          <w:bCs/>
        </w:rPr>
        <w:t xml:space="preserve"> migrant workers and members of their families, including those in an irregular situation, who are living in the State party; on the fields and conditions of employment of migrant workers; and on the enjoyment of their rights under the Convention</w:t>
      </w:r>
      <w:r w:rsidR="00475B42">
        <w:rPr>
          <w:b/>
          <w:bCs/>
        </w:rPr>
        <w:t xml:space="preserve">. </w:t>
      </w:r>
      <w:r w:rsidR="00BD152D">
        <w:rPr>
          <w:b/>
          <w:bCs/>
        </w:rPr>
        <w:t>When precise information is not available, t</w:t>
      </w:r>
      <w:r w:rsidR="00C95A0D" w:rsidRPr="00475B42">
        <w:rPr>
          <w:b/>
          <w:bCs/>
        </w:rPr>
        <w:t>he Committee would appreciate receiving data based on studies or estimates</w:t>
      </w:r>
      <w:r w:rsidR="00C95A0D">
        <w:rPr>
          <w:b/>
          <w:bCs/>
        </w:rPr>
        <w:t>.</w:t>
      </w:r>
    </w:p>
    <w:p w:rsidR="008B2E59" w:rsidRDefault="008B2E59" w:rsidP="002E3CA5">
      <w:pPr>
        <w:pStyle w:val="H23G"/>
      </w:pPr>
      <w:r>
        <w:tab/>
      </w:r>
      <w:r>
        <w:tab/>
      </w:r>
      <w:r w:rsidRPr="00782C9F">
        <w:t xml:space="preserve">Training </w:t>
      </w:r>
      <w:r w:rsidR="00F24E6B">
        <w:t>on</w:t>
      </w:r>
      <w:r w:rsidRPr="00782C9F">
        <w:t xml:space="preserve"> and dissemination of the Convention</w:t>
      </w:r>
    </w:p>
    <w:p w:rsidR="0002034D" w:rsidRDefault="003144F4" w:rsidP="003144F4">
      <w:pPr>
        <w:pStyle w:val="SingleTxtG"/>
      </w:pPr>
      <w:r>
        <w:t>17.</w:t>
      </w:r>
      <w:r>
        <w:tab/>
      </w:r>
      <w:r w:rsidR="00562C26">
        <w:t>T</w:t>
      </w:r>
      <w:r w:rsidR="006220A2">
        <w:t>he Committee notes that</w:t>
      </w:r>
      <w:r w:rsidR="0016276C">
        <w:t xml:space="preserve"> the </w:t>
      </w:r>
      <w:r w:rsidR="003B4DFF">
        <w:t>State party provide</w:t>
      </w:r>
      <w:r w:rsidR="00FF1240">
        <w:t>s</w:t>
      </w:r>
      <w:r w:rsidR="003B4DFF">
        <w:t xml:space="preserve"> training </w:t>
      </w:r>
      <w:r w:rsidR="00FF1240">
        <w:t>for</w:t>
      </w:r>
      <w:r w:rsidR="003B4DFF">
        <w:t xml:space="preserve"> public officials on migration </w:t>
      </w:r>
      <w:r w:rsidR="00FF1240">
        <w:t>and human trafficking</w:t>
      </w:r>
      <w:r w:rsidR="003B4DFF">
        <w:t xml:space="preserve">, </w:t>
      </w:r>
      <w:r w:rsidR="006220A2">
        <w:t xml:space="preserve">including </w:t>
      </w:r>
      <w:r w:rsidR="003B4DFF">
        <w:t xml:space="preserve">on the </w:t>
      </w:r>
      <w:r w:rsidR="00FF1240">
        <w:t xml:space="preserve">application of the </w:t>
      </w:r>
      <w:r w:rsidR="003B4DFF">
        <w:t>provisions of the Convention</w:t>
      </w:r>
      <w:r w:rsidR="00F35977">
        <w:t xml:space="preserve">. </w:t>
      </w:r>
      <w:r w:rsidR="006220A2">
        <w:t>However, t</w:t>
      </w:r>
      <w:r w:rsidR="00FF1240">
        <w:t xml:space="preserve">he Committee </w:t>
      </w:r>
      <w:r w:rsidR="0002034D">
        <w:t xml:space="preserve">reiterates its concern </w:t>
      </w:r>
      <w:r w:rsidR="00FF1240">
        <w:t>about</w:t>
      </w:r>
      <w:r w:rsidR="0002034D">
        <w:t xml:space="preserve"> the lack of measures</w:t>
      </w:r>
      <w:r w:rsidR="00562C26">
        <w:t xml:space="preserve"> taken</w:t>
      </w:r>
      <w:r w:rsidR="0002034D">
        <w:t xml:space="preserve"> to disseminate information and promote the Convention among </w:t>
      </w:r>
      <w:r w:rsidR="007741F9">
        <w:t xml:space="preserve">certain agencies and </w:t>
      </w:r>
      <w:r w:rsidR="0002034D">
        <w:t xml:space="preserve">other relevant stakeholders, </w:t>
      </w:r>
      <w:r w:rsidR="007741F9">
        <w:t>in particular</w:t>
      </w:r>
      <w:r w:rsidR="004D6A28">
        <w:t xml:space="preserve"> Migrant Service Cent</w:t>
      </w:r>
      <w:r w:rsidR="00233E84">
        <w:t>re</w:t>
      </w:r>
      <w:r w:rsidR="004D6A28">
        <w:t>s and</w:t>
      </w:r>
      <w:r w:rsidR="00F35977">
        <w:t xml:space="preserve"> civil society </w:t>
      </w:r>
      <w:r w:rsidR="00FF1240">
        <w:t>organizations</w:t>
      </w:r>
      <w:r w:rsidR="003032AC">
        <w:t xml:space="preserve"> </w:t>
      </w:r>
      <w:r w:rsidR="00F35977">
        <w:t>(</w:t>
      </w:r>
      <w:r w:rsidR="00F35977" w:rsidRPr="0071786E">
        <w:rPr>
          <w:bCs/>
        </w:rPr>
        <w:t>CMW/C/BIH/CO/1, para. 17</w:t>
      </w:r>
      <w:r w:rsidR="00F35977">
        <w:rPr>
          <w:bCs/>
        </w:rPr>
        <w:t>).</w:t>
      </w:r>
    </w:p>
    <w:p w:rsidR="00A929E2" w:rsidRPr="00A929E2" w:rsidRDefault="003144F4" w:rsidP="003144F4">
      <w:pPr>
        <w:pStyle w:val="SingleTxtG"/>
      </w:pPr>
      <w:r w:rsidRPr="00A929E2">
        <w:t>18.</w:t>
      </w:r>
      <w:r w:rsidRPr="00A929E2">
        <w:tab/>
      </w:r>
      <w:r w:rsidR="00A929E2" w:rsidRPr="00A929E2">
        <w:rPr>
          <w:b/>
          <w:bCs/>
        </w:rPr>
        <w:t>The Committee recommends that the State party:</w:t>
      </w:r>
    </w:p>
    <w:p w:rsidR="00A929E2" w:rsidRPr="00A929E2" w:rsidRDefault="00A929E2" w:rsidP="003144F4">
      <w:pPr>
        <w:pStyle w:val="SingleTxtG"/>
        <w:ind w:firstLine="567"/>
        <w:rPr>
          <w:b/>
          <w:bCs/>
        </w:rPr>
      </w:pPr>
      <w:r w:rsidRPr="00A929E2">
        <w:rPr>
          <w:b/>
          <w:bCs/>
        </w:rPr>
        <w:t>(</w:t>
      </w:r>
      <w:r w:rsidR="004D6A28">
        <w:rPr>
          <w:b/>
          <w:bCs/>
        </w:rPr>
        <w:t>a</w:t>
      </w:r>
      <w:r w:rsidR="003144F4">
        <w:rPr>
          <w:b/>
          <w:bCs/>
        </w:rPr>
        <w:t>)</w:t>
      </w:r>
      <w:r w:rsidR="003144F4">
        <w:rPr>
          <w:b/>
          <w:bCs/>
        </w:rPr>
        <w:tab/>
      </w:r>
      <w:r w:rsidRPr="00A929E2">
        <w:rPr>
          <w:b/>
          <w:bCs/>
        </w:rPr>
        <w:t xml:space="preserve">Take the necessary steps to ensure </w:t>
      </w:r>
      <w:r w:rsidR="00FF1240">
        <w:rPr>
          <w:b/>
          <w:bCs/>
        </w:rPr>
        <w:t>access by</w:t>
      </w:r>
      <w:r>
        <w:rPr>
          <w:b/>
          <w:bCs/>
        </w:rPr>
        <w:t xml:space="preserve"> migrant workers </w:t>
      </w:r>
      <w:r w:rsidR="00712DA8">
        <w:rPr>
          <w:b/>
          <w:bCs/>
        </w:rPr>
        <w:t xml:space="preserve">and members of their families </w:t>
      </w:r>
      <w:r w:rsidR="00FF1240">
        <w:rPr>
          <w:b/>
          <w:bCs/>
        </w:rPr>
        <w:t>to information</w:t>
      </w:r>
      <w:r>
        <w:rPr>
          <w:b/>
          <w:bCs/>
        </w:rPr>
        <w:t xml:space="preserve"> </w:t>
      </w:r>
      <w:r w:rsidRPr="00A929E2">
        <w:rPr>
          <w:b/>
          <w:bCs/>
        </w:rPr>
        <w:t xml:space="preserve">about their rights under the Convention; </w:t>
      </w:r>
      <w:r w:rsidR="004D6A28">
        <w:rPr>
          <w:b/>
          <w:bCs/>
        </w:rPr>
        <w:t>and</w:t>
      </w:r>
    </w:p>
    <w:p w:rsidR="00A929E2" w:rsidRPr="00A929E2" w:rsidRDefault="00A929E2" w:rsidP="003144F4">
      <w:pPr>
        <w:pStyle w:val="SingleTxtG"/>
        <w:ind w:firstLine="567"/>
        <w:rPr>
          <w:b/>
          <w:bCs/>
        </w:rPr>
      </w:pPr>
      <w:r w:rsidRPr="00A929E2">
        <w:rPr>
          <w:b/>
          <w:bCs/>
        </w:rPr>
        <w:t>(</w:t>
      </w:r>
      <w:r w:rsidR="004D6A28">
        <w:rPr>
          <w:b/>
          <w:bCs/>
        </w:rPr>
        <w:t>b</w:t>
      </w:r>
      <w:r w:rsidRPr="00A929E2">
        <w:rPr>
          <w:b/>
          <w:bCs/>
        </w:rPr>
        <w:t>)</w:t>
      </w:r>
      <w:r w:rsidR="003144F4">
        <w:rPr>
          <w:b/>
          <w:bCs/>
        </w:rPr>
        <w:tab/>
      </w:r>
      <w:r w:rsidRPr="00A929E2">
        <w:rPr>
          <w:b/>
          <w:bCs/>
        </w:rPr>
        <w:t xml:space="preserve">Continue </w:t>
      </w:r>
      <w:r w:rsidR="00712DA8">
        <w:rPr>
          <w:b/>
          <w:bCs/>
        </w:rPr>
        <w:t>cooperating</w:t>
      </w:r>
      <w:r w:rsidRPr="00A929E2">
        <w:rPr>
          <w:b/>
          <w:bCs/>
        </w:rPr>
        <w:t xml:space="preserve"> with</w:t>
      </w:r>
      <w:r w:rsidR="004D6A28">
        <w:rPr>
          <w:b/>
          <w:bCs/>
        </w:rPr>
        <w:t xml:space="preserve"> Migrant Service Cent</w:t>
      </w:r>
      <w:r w:rsidR="00233E84">
        <w:rPr>
          <w:b/>
          <w:bCs/>
        </w:rPr>
        <w:t>re</w:t>
      </w:r>
      <w:r w:rsidR="004D6A28">
        <w:rPr>
          <w:b/>
          <w:bCs/>
        </w:rPr>
        <w:t>s and</w:t>
      </w:r>
      <w:r w:rsidRPr="00A929E2">
        <w:rPr>
          <w:b/>
          <w:bCs/>
        </w:rPr>
        <w:t xml:space="preserve"> civil socie</w:t>
      </w:r>
      <w:r>
        <w:rPr>
          <w:b/>
          <w:bCs/>
        </w:rPr>
        <w:t>ty organizations</w:t>
      </w:r>
      <w:r w:rsidR="00562C26">
        <w:rPr>
          <w:b/>
          <w:bCs/>
        </w:rPr>
        <w:t xml:space="preserve"> </w:t>
      </w:r>
      <w:r w:rsidR="00712DA8">
        <w:rPr>
          <w:b/>
          <w:bCs/>
        </w:rPr>
        <w:t>in</w:t>
      </w:r>
      <w:r>
        <w:rPr>
          <w:b/>
          <w:bCs/>
        </w:rPr>
        <w:t xml:space="preserve"> promot</w:t>
      </w:r>
      <w:r w:rsidR="00712DA8">
        <w:rPr>
          <w:b/>
          <w:bCs/>
        </w:rPr>
        <w:t>ing</w:t>
      </w:r>
      <w:r>
        <w:rPr>
          <w:b/>
          <w:bCs/>
        </w:rPr>
        <w:t xml:space="preserve"> </w:t>
      </w:r>
      <w:r w:rsidR="00FF1240">
        <w:rPr>
          <w:b/>
          <w:bCs/>
        </w:rPr>
        <w:t>and disseminat</w:t>
      </w:r>
      <w:r w:rsidR="00712DA8">
        <w:rPr>
          <w:b/>
          <w:bCs/>
        </w:rPr>
        <w:t>ing</w:t>
      </w:r>
      <w:r w:rsidR="00FF1240">
        <w:rPr>
          <w:b/>
          <w:bCs/>
        </w:rPr>
        <w:t xml:space="preserve"> </w:t>
      </w:r>
      <w:r>
        <w:rPr>
          <w:b/>
          <w:bCs/>
        </w:rPr>
        <w:t xml:space="preserve">the </w:t>
      </w:r>
      <w:r w:rsidRPr="00A929E2">
        <w:rPr>
          <w:b/>
          <w:bCs/>
        </w:rPr>
        <w:t xml:space="preserve">Convention </w:t>
      </w:r>
      <w:r w:rsidR="00FF1240">
        <w:rPr>
          <w:b/>
          <w:bCs/>
        </w:rPr>
        <w:t>among all relevant stakeholders</w:t>
      </w:r>
      <w:r w:rsidRPr="00A929E2">
        <w:rPr>
          <w:b/>
          <w:bCs/>
        </w:rPr>
        <w:t>.</w:t>
      </w:r>
    </w:p>
    <w:p w:rsidR="00CA6A51" w:rsidRDefault="008B2E59" w:rsidP="00CA6A51">
      <w:pPr>
        <w:pStyle w:val="H23G"/>
      </w:pPr>
      <w:r>
        <w:tab/>
      </w:r>
      <w:r w:rsidRPr="005F6B78">
        <w:t>2.</w:t>
      </w:r>
      <w:r w:rsidRPr="005F6B78">
        <w:tab/>
        <w:t>Gene</w:t>
      </w:r>
      <w:r w:rsidR="00CA6A51" w:rsidRPr="005F6B78">
        <w:t>ral principles (arts. 7 and 83)</w:t>
      </w:r>
    </w:p>
    <w:p w:rsidR="002E173D" w:rsidRDefault="002E3CA5" w:rsidP="002E3CA5">
      <w:pPr>
        <w:pStyle w:val="H23G"/>
      </w:pPr>
      <w:r>
        <w:tab/>
      </w:r>
      <w:r>
        <w:tab/>
      </w:r>
      <w:r w:rsidR="001E0C71" w:rsidRPr="00331180">
        <w:t xml:space="preserve">Non-discrimination </w:t>
      </w:r>
    </w:p>
    <w:p w:rsidR="001E0C71" w:rsidRDefault="003144F4" w:rsidP="003144F4">
      <w:pPr>
        <w:pStyle w:val="SingleTxtG"/>
      </w:pPr>
      <w:r>
        <w:t>19.</w:t>
      </w:r>
      <w:r>
        <w:tab/>
      </w:r>
      <w:r w:rsidR="003032AC">
        <w:t xml:space="preserve">The Committee notes with concern that the Law on Prohibition of Discrimination adopted in 2009 has not been fully harmonized with the relevant </w:t>
      </w:r>
      <w:r w:rsidR="006C3F2D">
        <w:t>laws and provisions at entity</w:t>
      </w:r>
      <w:r w:rsidR="003032AC">
        <w:t>,</w:t>
      </w:r>
      <w:r w:rsidR="006C3F2D">
        <w:t xml:space="preserve"> district </w:t>
      </w:r>
      <w:r w:rsidR="003032AC">
        <w:t xml:space="preserve">and municipal </w:t>
      </w:r>
      <w:r w:rsidR="006C3F2D">
        <w:t>level</w:t>
      </w:r>
      <w:r w:rsidR="003032AC">
        <w:t>s</w:t>
      </w:r>
      <w:r w:rsidR="00625B78">
        <w:t xml:space="preserve">, </w:t>
      </w:r>
      <w:r w:rsidR="00EF4825">
        <w:t xml:space="preserve">as </w:t>
      </w:r>
      <w:r w:rsidR="003B097E">
        <w:t xml:space="preserve">required by article 24 of the </w:t>
      </w:r>
      <w:r w:rsidR="003032AC">
        <w:t>L</w:t>
      </w:r>
      <w:r w:rsidR="003B097E">
        <w:t>aw</w:t>
      </w:r>
      <w:r w:rsidR="00625B78">
        <w:t>,</w:t>
      </w:r>
      <w:r w:rsidR="003B097E">
        <w:t xml:space="preserve"> </w:t>
      </w:r>
      <w:r w:rsidR="003032AC">
        <w:t>which may adversely affect the equal enjoyment by migrant workers and members of their families of their rights under the Convention</w:t>
      </w:r>
      <w:r w:rsidR="00B2426F">
        <w:t>.</w:t>
      </w:r>
      <w:r w:rsidR="006C3F2D">
        <w:t xml:space="preserve"> </w:t>
      </w:r>
      <w:r w:rsidR="003032AC">
        <w:t>T</w:t>
      </w:r>
      <w:r w:rsidR="006C3F2D">
        <w:t xml:space="preserve">he Committee </w:t>
      </w:r>
      <w:r w:rsidR="003032AC">
        <w:t>also reiterates its concern about</w:t>
      </w:r>
      <w:r w:rsidR="006C3F2D">
        <w:t xml:space="preserve"> the </w:t>
      </w:r>
      <w:r w:rsidR="002A6287">
        <w:t xml:space="preserve">insufficient </w:t>
      </w:r>
      <w:r w:rsidR="006C3F2D">
        <w:t xml:space="preserve">information </w:t>
      </w:r>
      <w:r w:rsidR="003032AC">
        <w:t>on</w:t>
      </w:r>
      <w:r w:rsidR="006C3F2D">
        <w:t xml:space="preserve"> the implementation </w:t>
      </w:r>
      <w:r w:rsidR="003F4C54">
        <w:t>of</w:t>
      </w:r>
      <w:r w:rsidR="00737F41">
        <w:t xml:space="preserve"> the principle of non-discrimination, as enshrined in the existing legal framework</w:t>
      </w:r>
      <w:r w:rsidR="003F4C54">
        <w:t xml:space="preserve"> </w:t>
      </w:r>
      <w:r w:rsidR="006C3F2D">
        <w:t>(</w:t>
      </w:r>
      <w:r w:rsidR="006C3F2D" w:rsidRPr="0071786E">
        <w:t>CMW/C</w:t>
      </w:r>
      <w:r w:rsidR="00B61B75" w:rsidRPr="0071786E">
        <w:t>/</w:t>
      </w:r>
      <w:r w:rsidR="006C3F2D" w:rsidRPr="0071786E">
        <w:t>BIH/CO/1, para. 19</w:t>
      </w:r>
      <w:r w:rsidR="006C3F2D">
        <w:t>).</w:t>
      </w:r>
    </w:p>
    <w:p w:rsidR="001E0C71" w:rsidRPr="007F2E00" w:rsidRDefault="003144F4" w:rsidP="003144F4">
      <w:pPr>
        <w:pStyle w:val="SingleTxtG"/>
        <w:rPr>
          <w:b/>
        </w:rPr>
      </w:pPr>
      <w:r w:rsidRPr="003144F4">
        <w:t>20.</w:t>
      </w:r>
      <w:r w:rsidRPr="003144F4">
        <w:tab/>
      </w:r>
      <w:r w:rsidR="001E0C71" w:rsidRPr="007F2E00">
        <w:rPr>
          <w:b/>
        </w:rPr>
        <w:t xml:space="preserve">The Committee </w:t>
      </w:r>
      <w:r w:rsidR="003032AC">
        <w:rPr>
          <w:b/>
        </w:rPr>
        <w:t>recommends that</w:t>
      </w:r>
      <w:r w:rsidR="001E0C71" w:rsidRPr="007F2E00">
        <w:rPr>
          <w:b/>
        </w:rPr>
        <w:t xml:space="preserve"> </w:t>
      </w:r>
      <w:r w:rsidR="00FE7F60" w:rsidRPr="007F2E00">
        <w:rPr>
          <w:b/>
        </w:rPr>
        <w:t xml:space="preserve">the State party </w:t>
      </w:r>
      <w:r w:rsidR="00C7549D">
        <w:rPr>
          <w:b/>
        </w:rPr>
        <w:t>accomplish</w:t>
      </w:r>
      <w:r w:rsidR="00FE7F60" w:rsidRPr="007F2E00">
        <w:rPr>
          <w:b/>
        </w:rPr>
        <w:t xml:space="preserve"> the harmoni</w:t>
      </w:r>
      <w:r w:rsidR="00C7549D">
        <w:rPr>
          <w:b/>
        </w:rPr>
        <w:t>z</w:t>
      </w:r>
      <w:r w:rsidR="00FE7F60" w:rsidRPr="007F2E00">
        <w:rPr>
          <w:b/>
        </w:rPr>
        <w:t xml:space="preserve">ation of </w:t>
      </w:r>
      <w:r w:rsidR="00712DA8">
        <w:rPr>
          <w:b/>
        </w:rPr>
        <w:t>its</w:t>
      </w:r>
      <w:r w:rsidR="00FE7F60" w:rsidRPr="007F2E00">
        <w:rPr>
          <w:b/>
        </w:rPr>
        <w:t xml:space="preserve"> anti-discrimination legal framework</w:t>
      </w:r>
      <w:r w:rsidR="00C7549D">
        <w:rPr>
          <w:b/>
        </w:rPr>
        <w:t xml:space="preserve"> within a clearly defined</w:t>
      </w:r>
      <w:r w:rsidR="00FE7F60" w:rsidRPr="007F2E00">
        <w:rPr>
          <w:b/>
        </w:rPr>
        <w:t xml:space="preserve"> time</w:t>
      </w:r>
      <w:r w:rsidR="00B61B75">
        <w:rPr>
          <w:b/>
        </w:rPr>
        <w:t xml:space="preserve"> </w:t>
      </w:r>
      <w:r w:rsidR="00FE7F60" w:rsidRPr="007F2E00">
        <w:rPr>
          <w:b/>
        </w:rPr>
        <w:t xml:space="preserve">frame, and to include </w:t>
      </w:r>
      <w:r w:rsidR="00C7549D">
        <w:rPr>
          <w:b/>
        </w:rPr>
        <w:t xml:space="preserve">in its next periodic report </w:t>
      </w:r>
      <w:r w:rsidR="00FE7F60" w:rsidRPr="007F2E00">
        <w:rPr>
          <w:b/>
        </w:rPr>
        <w:t>detailed information on the application</w:t>
      </w:r>
      <w:r w:rsidR="001C3951" w:rsidRPr="007F2E00">
        <w:rPr>
          <w:b/>
        </w:rPr>
        <w:t xml:space="preserve"> of the </w:t>
      </w:r>
      <w:r w:rsidR="00C7549D">
        <w:rPr>
          <w:b/>
        </w:rPr>
        <w:t>Law on Prohibition of D</w:t>
      </w:r>
      <w:r w:rsidR="001C3951" w:rsidRPr="007F2E00">
        <w:rPr>
          <w:b/>
        </w:rPr>
        <w:t xml:space="preserve">iscrimination </w:t>
      </w:r>
      <w:r w:rsidR="00C7549D">
        <w:rPr>
          <w:b/>
        </w:rPr>
        <w:t>in relation to migrant workers</w:t>
      </w:r>
      <w:r w:rsidR="000061F5">
        <w:rPr>
          <w:b/>
        </w:rPr>
        <w:t>.</w:t>
      </w:r>
    </w:p>
    <w:p w:rsidR="00CA6A51" w:rsidRPr="007F2E00" w:rsidRDefault="002E3CA5" w:rsidP="002E3CA5">
      <w:pPr>
        <w:pStyle w:val="H23G"/>
      </w:pPr>
      <w:r>
        <w:tab/>
      </w:r>
      <w:r>
        <w:tab/>
      </w:r>
      <w:r w:rsidR="008B2E59" w:rsidRPr="00574E46">
        <w:t>Right to an effective remedy</w:t>
      </w:r>
    </w:p>
    <w:p w:rsidR="000655A8" w:rsidRPr="007F2E00" w:rsidRDefault="003144F4" w:rsidP="003144F4">
      <w:pPr>
        <w:pStyle w:val="SingleTxtG"/>
      </w:pPr>
      <w:r w:rsidRPr="007F2E00">
        <w:t>21.</w:t>
      </w:r>
      <w:r w:rsidRPr="007F2E00">
        <w:tab/>
      </w:r>
      <w:r w:rsidR="00A441CE" w:rsidRPr="007F2E00">
        <w:t xml:space="preserve">The Committee </w:t>
      </w:r>
      <w:r w:rsidR="00C7549D">
        <w:t>is concerned at the reportedly limited access</w:t>
      </w:r>
      <w:r w:rsidR="00A441CE" w:rsidRPr="007F2E00">
        <w:t xml:space="preserve"> by migrant workers and </w:t>
      </w:r>
      <w:r w:rsidR="00C7549D">
        <w:t xml:space="preserve">members of </w:t>
      </w:r>
      <w:r w:rsidR="00A441CE" w:rsidRPr="007F2E00">
        <w:t xml:space="preserve">their families </w:t>
      </w:r>
      <w:r w:rsidR="00C7549D">
        <w:t>who are victims of discrimination in the State party to effective remed</w:t>
      </w:r>
      <w:r w:rsidR="00712DA8">
        <w:t>ies</w:t>
      </w:r>
      <w:r w:rsidR="00711CC7" w:rsidRPr="007F2E00">
        <w:t xml:space="preserve">. </w:t>
      </w:r>
      <w:r w:rsidR="00C7549D">
        <w:t xml:space="preserve">In this regard, it notes </w:t>
      </w:r>
      <w:r w:rsidR="00B36D9B">
        <w:t xml:space="preserve">the very low number of </w:t>
      </w:r>
      <w:r w:rsidR="00C7549D">
        <w:t>complaints</w:t>
      </w:r>
      <w:r w:rsidR="00B36D9B">
        <w:t xml:space="preserve"> </w:t>
      </w:r>
      <w:r w:rsidR="00C7549D">
        <w:t>by migrant</w:t>
      </w:r>
      <w:r w:rsidR="007918C7">
        <w:t xml:space="preserve"> workers</w:t>
      </w:r>
      <w:r w:rsidR="00C7549D">
        <w:t xml:space="preserve"> </w:t>
      </w:r>
      <w:r w:rsidR="00B36D9B">
        <w:t xml:space="preserve">received by the </w:t>
      </w:r>
      <w:r w:rsidR="00AF7898">
        <w:t>Institution of the</w:t>
      </w:r>
      <w:r w:rsidR="00C7549D">
        <w:t xml:space="preserve"> </w:t>
      </w:r>
      <w:r w:rsidR="00B36D9B">
        <w:t>Ombudsman.</w:t>
      </w:r>
    </w:p>
    <w:p w:rsidR="00B36D9B" w:rsidRPr="007B6554" w:rsidRDefault="003144F4" w:rsidP="003144F4">
      <w:pPr>
        <w:pStyle w:val="SingleTxtG"/>
      </w:pPr>
      <w:r w:rsidRPr="007B6554">
        <w:t>22.</w:t>
      </w:r>
      <w:r w:rsidRPr="007B6554">
        <w:tab/>
      </w:r>
      <w:r w:rsidR="005D793F" w:rsidRPr="007F2E00">
        <w:rPr>
          <w:b/>
          <w:bCs/>
        </w:rPr>
        <w:t>The Committee urges the State party to</w:t>
      </w:r>
      <w:r w:rsidR="00B36D9B">
        <w:rPr>
          <w:b/>
          <w:bCs/>
        </w:rPr>
        <w:t>:</w:t>
      </w:r>
    </w:p>
    <w:p w:rsidR="00B36D9B" w:rsidRDefault="003144F4" w:rsidP="003144F4">
      <w:pPr>
        <w:pStyle w:val="SingleTxtG"/>
        <w:ind w:firstLine="567"/>
        <w:rPr>
          <w:b/>
          <w:bCs/>
        </w:rPr>
      </w:pPr>
      <w:r>
        <w:rPr>
          <w:b/>
          <w:bCs/>
        </w:rPr>
        <w:t>(a)</w:t>
      </w:r>
      <w:r>
        <w:rPr>
          <w:b/>
          <w:bCs/>
        </w:rPr>
        <w:tab/>
      </w:r>
      <w:r w:rsidR="00B36D9B">
        <w:rPr>
          <w:b/>
          <w:bCs/>
        </w:rPr>
        <w:t>E</w:t>
      </w:r>
      <w:r w:rsidR="005D793F" w:rsidRPr="007F2E00">
        <w:rPr>
          <w:b/>
          <w:bCs/>
        </w:rPr>
        <w:t>nsure that migrant workers and members of their families, including those</w:t>
      </w:r>
      <w:r w:rsidR="00574E46">
        <w:rPr>
          <w:b/>
          <w:bCs/>
        </w:rPr>
        <w:t xml:space="preserve"> in an irregular situation</w:t>
      </w:r>
      <w:r w:rsidR="00FC4F0B">
        <w:rPr>
          <w:b/>
          <w:bCs/>
        </w:rPr>
        <w:t>,</w:t>
      </w:r>
      <w:r w:rsidR="005D793F" w:rsidRPr="007F2E00">
        <w:rPr>
          <w:b/>
          <w:bCs/>
        </w:rPr>
        <w:t xml:space="preserve"> </w:t>
      </w:r>
      <w:r w:rsidR="00C7549D">
        <w:rPr>
          <w:b/>
          <w:bCs/>
        </w:rPr>
        <w:t>have</w:t>
      </w:r>
      <w:r w:rsidR="005D793F" w:rsidRPr="007F2E00">
        <w:rPr>
          <w:b/>
          <w:bCs/>
        </w:rPr>
        <w:t xml:space="preserve"> </w:t>
      </w:r>
      <w:r w:rsidR="00712DA8">
        <w:rPr>
          <w:b/>
          <w:bCs/>
        </w:rPr>
        <w:t>equal opportunities</w:t>
      </w:r>
      <w:r w:rsidR="005D793F" w:rsidRPr="007F2E00">
        <w:rPr>
          <w:b/>
          <w:bCs/>
        </w:rPr>
        <w:t xml:space="preserve"> </w:t>
      </w:r>
      <w:r w:rsidR="00FE329C">
        <w:rPr>
          <w:b/>
          <w:bCs/>
        </w:rPr>
        <w:t>to</w:t>
      </w:r>
      <w:r w:rsidR="00FE329C" w:rsidRPr="007F2E00">
        <w:rPr>
          <w:b/>
          <w:bCs/>
        </w:rPr>
        <w:t xml:space="preserve"> </w:t>
      </w:r>
      <w:r w:rsidR="005D793F" w:rsidRPr="007F2E00">
        <w:rPr>
          <w:b/>
          <w:bCs/>
        </w:rPr>
        <w:t xml:space="preserve">nationals of the State party to file complaints </w:t>
      </w:r>
      <w:r w:rsidR="00C7549D">
        <w:rPr>
          <w:b/>
          <w:bCs/>
        </w:rPr>
        <w:t>and obtain effective redress in the courts in case that their rights under the Convention have been violated</w:t>
      </w:r>
      <w:r w:rsidR="00A23592">
        <w:rPr>
          <w:b/>
          <w:bCs/>
        </w:rPr>
        <w:t>; and</w:t>
      </w:r>
    </w:p>
    <w:p w:rsidR="000655A8" w:rsidRPr="007F2E00" w:rsidRDefault="00B36D9B" w:rsidP="003144F4">
      <w:pPr>
        <w:pStyle w:val="SingleTxtG"/>
        <w:ind w:firstLine="567"/>
      </w:pPr>
      <w:r>
        <w:rPr>
          <w:b/>
          <w:bCs/>
        </w:rPr>
        <w:t>(b)</w:t>
      </w:r>
      <w:r w:rsidR="003144F4">
        <w:rPr>
          <w:b/>
          <w:bCs/>
        </w:rPr>
        <w:tab/>
      </w:r>
      <w:r>
        <w:rPr>
          <w:b/>
          <w:bCs/>
        </w:rPr>
        <w:t>Inform migrant workers</w:t>
      </w:r>
      <w:r w:rsidR="00574E46">
        <w:rPr>
          <w:b/>
          <w:bCs/>
        </w:rPr>
        <w:t xml:space="preserve"> </w:t>
      </w:r>
      <w:r w:rsidR="00C7549D">
        <w:rPr>
          <w:b/>
          <w:bCs/>
        </w:rPr>
        <w:t xml:space="preserve">and members of their families, including those in an irregular situation, </w:t>
      </w:r>
      <w:r w:rsidR="00A23592">
        <w:rPr>
          <w:b/>
          <w:bCs/>
        </w:rPr>
        <w:t>about the judicial and other</w:t>
      </w:r>
      <w:r w:rsidR="00F657FB">
        <w:rPr>
          <w:b/>
          <w:bCs/>
        </w:rPr>
        <w:t xml:space="preserve"> </w:t>
      </w:r>
      <w:r w:rsidR="00574E46">
        <w:rPr>
          <w:b/>
          <w:bCs/>
        </w:rPr>
        <w:t>remedies available to them.</w:t>
      </w:r>
    </w:p>
    <w:p w:rsidR="009718E9" w:rsidRDefault="008B2E59" w:rsidP="009718E9">
      <w:pPr>
        <w:pStyle w:val="H23G"/>
      </w:pPr>
      <w:r>
        <w:tab/>
      </w:r>
      <w:r w:rsidRPr="006D3D98">
        <w:t>3.</w:t>
      </w:r>
      <w:r w:rsidRPr="006D3D98">
        <w:tab/>
        <w:t>Human rights of all migrant workers and members of their families (arts. 8–35)</w:t>
      </w:r>
    </w:p>
    <w:p w:rsidR="009718E9" w:rsidRPr="009718E9" w:rsidRDefault="003144F4" w:rsidP="003144F4">
      <w:pPr>
        <w:pStyle w:val="SingleTxtG"/>
        <w:rPr>
          <w:bCs/>
        </w:rPr>
      </w:pPr>
      <w:r w:rsidRPr="009718E9">
        <w:rPr>
          <w:bCs/>
        </w:rPr>
        <w:t>23.</w:t>
      </w:r>
      <w:r w:rsidRPr="009718E9">
        <w:rPr>
          <w:bCs/>
        </w:rPr>
        <w:tab/>
      </w:r>
      <w:r w:rsidR="009718E9" w:rsidRPr="009718E9">
        <w:rPr>
          <w:bCs/>
        </w:rPr>
        <w:t xml:space="preserve">The Committee is concerned about the lack of information provided by the delegation on the </w:t>
      </w:r>
      <w:r w:rsidR="00FC4F0B">
        <w:rPr>
          <w:bCs/>
        </w:rPr>
        <w:t>policies</w:t>
      </w:r>
      <w:r w:rsidR="00FC4F0B" w:rsidRPr="009718E9">
        <w:rPr>
          <w:bCs/>
        </w:rPr>
        <w:t xml:space="preserve"> </w:t>
      </w:r>
      <w:r w:rsidR="009718E9" w:rsidRPr="009718E9">
        <w:rPr>
          <w:bCs/>
        </w:rPr>
        <w:t xml:space="preserve">in place </w:t>
      </w:r>
      <w:r w:rsidR="00FC4F0B">
        <w:rPr>
          <w:bCs/>
        </w:rPr>
        <w:t>to ensure the</w:t>
      </w:r>
      <w:r w:rsidR="009718E9" w:rsidRPr="009718E9">
        <w:rPr>
          <w:bCs/>
        </w:rPr>
        <w:t xml:space="preserve"> implement</w:t>
      </w:r>
      <w:r w:rsidR="00712DA8">
        <w:rPr>
          <w:bCs/>
        </w:rPr>
        <w:t>at</w:t>
      </w:r>
      <w:r w:rsidR="00FC4F0B">
        <w:rPr>
          <w:bCs/>
        </w:rPr>
        <w:t>ion</w:t>
      </w:r>
      <w:r w:rsidR="009718E9" w:rsidRPr="009718E9">
        <w:rPr>
          <w:bCs/>
        </w:rPr>
        <w:t xml:space="preserve"> </w:t>
      </w:r>
      <w:r w:rsidR="00712DA8">
        <w:rPr>
          <w:bCs/>
        </w:rPr>
        <w:t xml:space="preserve">of </w:t>
      </w:r>
      <w:r w:rsidR="009718E9" w:rsidRPr="009718E9">
        <w:rPr>
          <w:bCs/>
        </w:rPr>
        <w:t>the Agreement between the European Community and the State party on the readmission of persons residing without authorisation</w:t>
      </w:r>
      <w:r w:rsidR="00FC4F0B">
        <w:rPr>
          <w:bCs/>
        </w:rPr>
        <w:t>, and about the lack of procedural guarantees for migrant workers covered by the Agreement.</w:t>
      </w:r>
    </w:p>
    <w:p w:rsidR="00FC4F0B" w:rsidRDefault="003144F4" w:rsidP="003144F4">
      <w:pPr>
        <w:pStyle w:val="SingleTxtG"/>
        <w:rPr>
          <w:b/>
          <w:bCs/>
        </w:rPr>
      </w:pPr>
      <w:r w:rsidRPr="003144F4">
        <w:rPr>
          <w:bCs/>
        </w:rPr>
        <w:t>24.</w:t>
      </w:r>
      <w:r w:rsidRPr="003144F4">
        <w:rPr>
          <w:bCs/>
        </w:rPr>
        <w:tab/>
      </w:r>
      <w:r w:rsidR="009718E9" w:rsidRPr="009718E9">
        <w:rPr>
          <w:b/>
          <w:bCs/>
        </w:rPr>
        <w:t>T</w:t>
      </w:r>
      <w:r w:rsidR="00FC4F0B">
        <w:rPr>
          <w:b/>
          <w:bCs/>
        </w:rPr>
        <w:t>aking into account article 22 of the Convention, t</w:t>
      </w:r>
      <w:r w:rsidR="009718E9" w:rsidRPr="009718E9">
        <w:rPr>
          <w:b/>
          <w:bCs/>
        </w:rPr>
        <w:t>he Committee requests the State party to</w:t>
      </w:r>
      <w:r w:rsidR="00FC4F0B">
        <w:rPr>
          <w:b/>
          <w:bCs/>
        </w:rPr>
        <w:t>:</w:t>
      </w:r>
    </w:p>
    <w:p w:rsidR="00FC4F0B" w:rsidRDefault="003144F4" w:rsidP="003144F4">
      <w:pPr>
        <w:pStyle w:val="SingleTxtG"/>
        <w:ind w:firstLine="567"/>
        <w:rPr>
          <w:b/>
          <w:bCs/>
        </w:rPr>
      </w:pPr>
      <w:r>
        <w:rPr>
          <w:b/>
          <w:bCs/>
        </w:rPr>
        <w:t>(a)</w:t>
      </w:r>
      <w:r>
        <w:rPr>
          <w:b/>
          <w:bCs/>
        </w:rPr>
        <w:tab/>
      </w:r>
      <w:r w:rsidR="00FC4F0B">
        <w:rPr>
          <w:b/>
          <w:bCs/>
        </w:rPr>
        <w:t>Ensure that current and future readmission agreements concluded between the State party and host countries include appropriate procedural guarantees for migrant workers; and</w:t>
      </w:r>
    </w:p>
    <w:p w:rsidR="00FC4F0B" w:rsidRPr="009718E9" w:rsidRDefault="00FC4F0B" w:rsidP="003144F4">
      <w:pPr>
        <w:pStyle w:val="SingleTxtG"/>
        <w:ind w:firstLine="567"/>
        <w:rPr>
          <w:b/>
          <w:bCs/>
        </w:rPr>
      </w:pPr>
      <w:r w:rsidRPr="009975D2">
        <w:rPr>
          <w:b/>
          <w:bCs/>
        </w:rPr>
        <w:t>(b)</w:t>
      </w:r>
      <w:r w:rsidR="003144F4">
        <w:rPr>
          <w:b/>
          <w:bCs/>
        </w:rPr>
        <w:tab/>
      </w:r>
      <w:r w:rsidRPr="009975D2">
        <w:rPr>
          <w:b/>
          <w:bCs/>
        </w:rPr>
        <w:t>I</w:t>
      </w:r>
      <w:r w:rsidR="00547C4F" w:rsidRPr="009975D2">
        <w:rPr>
          <w:b/>
          <w:bCs/>
        </w:rPr>
        <w:t xml:space="preserve">mplement the Agreement </w:t>
      </w:r>
      <w:r w:rsidR="00712DA8" w:rsidRPr="009975D2">
        <w:rPr>
          <w:b/>
          <w:bCs/>
        </w:rPr>
        <w:t xml:space="preserve">with the European Community </w:t>
      </w:r>
      <w:r w:rsidR="00547C4F" w:rsidRPr="009975D2">
        <w:rPr>
          <w:b/>
          <w:bCs/>
        </w:rPr>
        <w:t>in accordance with the</w:t>
      </w:r>
      <w:r w:rsidR="00547C4F">
        <w:rPr>
          <w:b/>
          <w:bCs/>
        </w:rPr>
        <w:t xml:space="preserve"> </w:t>
      </w:r>
      <w:r w:rsidR="00712DA8">
        <w:rPr>
          <w:b/>
          <w:bCs/>
        </w:rPr>
        <w:t xml:space="preserve">provisions of the </w:t>
      </w:r>
      <w:r w:rsidR="00547C4F">
        <w:rPr>
          <w:b/>
          <w:bCs/>
        </w:rPr>
        <w:t>Convention and</w:t>
      </w:r>
      <w:r w:rsidR="009718E9" w:rsidRPr="009718E9">
        <w:rPr>
          <w:b/>
          <w:bCs/>
        </w:rPr>
        <w:t xml:space="preserve"> provide the Committee with information on </w:t>
      </w:r>
      <w:r w:rsidR="00A202E1">
        <w:rPr>
          <w:b/>
          <w:bCs/>
        </w:rPr>
        <w:t>its</w:t>
      </w:r>
      <w:r w:rsidR="009718E9" w:rsidRPr="009718E9">
        <w:rPr>
          <w:b/>
          <w:bCs/>
        </w:rPr>
        <w:t xml:space="preserve"> implementation in its next periodic report</w:t>
      </w:r>
      <w:r w:rsidR="00547C4F">
        <w:rPr>
          <w:b/>
          <w:bCs/>
        </w:rPr>
        <w:t xml:space="preserve">, </w:t>
      </w:r>
      <w:r w:rsidR="00712DA8">
        <w:rPr>
          <w:b/>
          <w:bCs/>
        </w:rPr>
        <w:t xml:space="preserve">which should also </w:t>
      </w:r>
      <w:r w:rsidR="00547C4F">
        <w:rPr>
          <w:b/>
          <w:bCs/>
        </w:rPr>
        <w:t>includ</w:t>
      </w:r>
      <w:r w:rsidR="00712DA8">
        <w:rPr>
          <w:b/>
          <w:bCs/>
        </w:rPr>
        <w:t>e</w:t>
      </w:r>
      <w:r w:rsidR="00547C4F">
        <w:rPr>
          <w:b/>
          <w:bCs/>
        </w:rPr>
        <w:t xml:space="preserve"> examples of individual cases</w:t>
      </w:r>
      <w:r>
        <w:rPr>
          <w:b/>
          <w:bCs/>
        </w:rPr>
        <w:t xml:space="preserve"> and statistical data on migrant workers readmitted under this Agreement</w:t>
      </w:r>
      <w:r w:rsidR="00A06AC9">
        <w:rPr>
          <w:b/>
          <w:bCs/>
        </w:rPr>
        <w:t>.</w:t>
      </w:r>
    </w:p>
    <w:p w:rsidR="001F7E7B" w:rsidRDefault="003144F4" w:rsidP="003144F4">
      <w:pPr>
        <w:pStyle w:val="SingleTxtG"/>
      </w:pPr>
      <w:r>
        <w:t>25.</w:t>
      </w:r>
      <w:r>
        <w:tab/>
      </w:r>
      <w:r w:rsidR="00C5355C" w:rsidRPr="00C33B1B">
        <w:rPr>
          <w:lang w:eastAsia="en-GB"/>
        </w:rPr>
        <w:t>T</w:t>
      </w:r>
      <w:r w:rsidR="00572953" w:rsidRPr="00C33B1B">
        <w:rPr>
          <w:lang w:eastAsia="en-GB"/>
        </w:rPr>
        <w:t xml:space="preserve">he Committee </w:t>
      </w:r>
      <w:r w:rsidR="001F7E7B">
        <w:rPr>
          <w:lang w:eastAsia="en-GB"/>
        </w:rPr>
        <w:t xml:space="preserve">is concerned </w:t>
      </w:r>
      <w:r w:rsidR="00A23592">
        <w:rPr>
          <w:lang w:eastAsia="en-GB"/>
        </w:rPr>
        <w:t>about</w:t>
      </w:r>
      <w:r w:rsidR="0097281C" w:rsidRPr="001F7E7B">
        <w:rPr>
          <w:lang w:eastAsia="en-GB"/>
        </w:rPr>
        <w:t xml:space="preserve"> the lack of </w:t>
      </w:r>
      <w:r w:rsidR="00A23592">
        <w:rPr>
          <w:lang w:eastAsia="en-GB"/>
        </w:rPr>
        <w:t xml:space="preserve">procedural </w:t>
      </w:r>
      <w:r w:rsidR="0097281C" w:rsidRPr="001F7E7B">
        <w:rPr>
          <w:lang w:eastAsia="en-GB"/>
        </w:rPr>
        <w:t xml:space="preserve">safeguards </w:t>
      </w:r>
      <w:r w:rsidR="00A23592">
        <w:rPr>
          <w:lang w:eastAsia="en-GB"/>
        </w:rPr>
        <w:t>concerning</w:t>
      </w:r>
      <w:r w:rsidR="0097281C" w:rsidRPr="001F7E7B">
        <w:rPr>
          <w:lang w:eastAsia="en-GB"/>
        </w:rPr>
        <w:t xml:space="preserve"> </w:t>
      </w:r>
      <w:r w:rsidR="001F7E7B" w:rsidRPr="001F7E7B">
        <w:rPr>
          <w:lang w:eastAsia="en-GB"/>
        </w:rPr>
        <w:t xml:space="preserve">decisions </w:t>
      </w:r>
      <w:r w:rsidR="00A2461F" w:rsidRPr="001F7E7B">
        <w:rPr>
          <w:lang w:eastAsia="en-GB"/>
        </w:rPr>
        <w:t>o</w:t>
      </w:r>
      <w:r w:rsidR="00A2461F">
        <w:rPr>
          <w:lang w:eastAsia="en-GB"/>
        </w:rPr>
        <w:t>n detention (“</w:t>
      </w:r>
      <w:r w:rsidR="001F7E7B">
        <w:rPr>
          <w:lang w:eastAsia="en-GB"/>
        </w:rPr>
        <w:t>placement under supervision</w:t>
      </w:r>
      <w:r w:rsidR="00A2461F">
        <w:rPr>
          <w:lang w:eastAsia="en-GB"/>
        </w:rPr>
        <w:t>”)</w:t>
      </w:r>
      <w:r w:rsidR="001F7E7B">
        <w:rPr>
          <w:lang w:eastAsia="en-GB"/>
        </w:rPr>
        <w:t xml:space="preserve"> under </w:t>
      </w:r>
      <w:r w:rsidR="001F7E7B" w:rsidRPr="00C33B1B">
        <w:rPr>
          <w:lang w:eastAsia="en-GB"/>
        </w:rPr>
        <w:t>the Law on Movement and Stay of Aliens</w:t>
      </w:r>
      <w:r w:rsidR="003F3B1F">
        <w:rPr>
          <w:lang w:eastAsia="en-GB"/>
        </w:rPr>
        <w:t xml:space="preserve"> and Asylum</w:t>
      </w:r>
      <w:r w:rsidR="009440A0">
        <w:rPr>
          <w:lang w:eastAsia="en-GB"/>
        </w:rPr>
        <w:t xml:space="preserve">, </w:t>
      </w:r>
      <w:r w:rsidR="001F7E7B">
        <w:rPr>
          <w:lang w:eastAsia="en-GB"/>
        </w:rPr>
        <w:t>in particular:</w:t>
      </w:r>
    </w:p>
    <w:p w:rsidR="009440A0" w:rsidRPr="00A80D54" w:rsidRDefault="00C059E3" w:rsidP="003144F4">
      <w:pPr>
        <w:pStyle w:val="SingleTxtG"/>
        <w:ind w:firstLine="567"/>
        <w:rPr>
          <w:bCs/>
          <w:lang w:eastAsia="en-GB"/>
        </w:rPr>
      </w:pPr>
      <w:r>
        <w:rPr>
          <w:bCs/>
          <w:lang w:eastAsia="en-GB"/>
        </w:rPr>
        <w:t>(a)</w:t>
      </w:r>
      <w:r w:rsidR="003144F4">
        <w:rPr>
          <w:bCs/>
          <w:lang w:eastAsia="en-GB"/>
        </w:rPr>
        <w:tab/>
      </w:r>
      <w:r w:rsidR="003F3B1F" w:rsidRPr="00A80D54">
        <w:rPr>
          <w:bCs/>
          <w:lang w:eastAsia="en-GB"/>
        </w:rPr>
        <w:t>The fact</w:t>
      </w:r>
      <w:r w:rsidR="009440A0" w:rsidRPr="00A80D54">
        <w:rPr>
          <w:bCs/>
          <w:lang w:eastAsia="en-GB"/>
        </w:rPr>
        <w:t xml:space="preserve"> that t</w:t>
      </w:r>
      <w:r w:rsidR="001F7E7B" w:rsidRPr="00A80D54">
        <w:rPr>
          <w:bCs/>
          <w:lang w:eastAsia="en-GB"/>
        </w:rPr>
        <w:t xml:space="preserve">he Law </w:t>
      </w:r>
      <w:r w:rsidR="009440A0" w:rsidRPr="00A80D54">
        <w:rPr>
          <w:bCs/>
          <w:lang w:eastAsia="en-GB"/>
        </w:rPr>
        <w:t xml:space="preserve">on Movement and Stay of Aliens </w:t>
      </w:r>
      <w:r w:rsidR="003F3B1F" w:rsidRPr="00A80D54">
        <w:rPr>
          <w:bCs/>
          <w:lang w:eastAsia="en-GB"/>
        </w:rPr>
        <w:t xml:space="preserve">and Asylum </w:t>
      </w:r>
      <w:r w:rsidR="00F03018" w:rsidRPr="00A80D54">
        <w:rPr>
          <w:bCs/>
          <w:lang w:eastAsia="en-GB"/>
        </w:rPr>
        <w:t>provides</w:t>
      </w:r>
      <w:r w:rsidR="00572953" w:rsidRPr="00A80D54">
        <w:rPr>
          <w:bCs/>
          <w:lang w:eastAsia="en-GB"/>
        </w:rPr>
        <w:t xml:space="preserve"> fo</w:t>
      </w:r>
      <w:r w:rsidR="004C1A88" w:rsidRPr="00A80D54">
        <w:rPr>
          <w:bCs/>
          <w:lang w:eastAsia="en-GB"/>
        </w:rPr>
        <w:t xml:space="preserve">r </w:t>
      </w:r>
      <w:r w:rsidR="003F3B1F" w:rsidRPr="00A80D54">
        <w:rPr>
          <w:bCs/>
          <w:lang w:eastAsia="en-GB"/>
        </w:rPr>
        <w:t>an</w:t>
      </w:r>
      <w:r w:rsidR="004C1A88" w:rsidRPr="00A80D54">
        <w:rPr>
          <w:bCs/>
          <w:lang w:eastAsia="en-GB"/>
        </w:rPr>
        <w:t xml:space="preserve"> extension of the </w:t>
      </w:r>
      <w:r w:rsidR="003F3B1F" w:rsidRPr="00C059E3">
        <w:rPr>
          <w:bCs/>
          <w:lang w:eastAsia="en-GB"/>
        </w:rPr>
        <w:t>length</w:t>
      </w:r>
      <w:r w:rsidR="004C1A88" w:rsidRPr="00C059E3">
        <w:rPr>
          <w:bCs/>
          <w:lang w:eastAsia="en-GB"/>
        </w:rPr>
        <w:t xml:space="preserve"> of </w:t>
      </w:r>
      <w:r w:rsidR="00F66F30" w:rsidRPr="00C059E3">
        <w:rPr>
          <w:bCs/>
          <w:lang w:eastAsia="en-GB"/>
        </w:rPr>
        <w:t xml:space="preserve">detention </w:t>
      </w:r>
      <w:r w:rsidR="004C1A88" w:rsidRPr="00C059E3">
        <w:rPr>
          <w:bCs/>
          <w:lang w:eastAsia="en-GB"/>
        </w:rPr>
        <w:t>beyond</w:t>
      </w:r>
      <w:r w:rsidR="009440A0" w:rsidRPr="00C059E3">
        <w:rPr>
          <w:bCs/>
          <w:lang w:eastAsia="en-GB"/>
        </w:rPr>
        <w:t xml:space="preserve"> 180 days</w:t>
      </w:r>
      <w:r w:rsidR="003F3B1F" w:rsidRPr="00C059E3">
        <w:rPr>
          <w:bCs/>
          <w:lang w:eastAsia="en-GB"/>
        </w:rPr>
        <w:t xml:space="preserve"> in exceptional cases</w:t>
      </w:r>
      <w:r w:rsidR="00712DA8">
        <w:rPr>
          <w:bCs/>
          <w:lang w:eastAsia="en-GB"/>
        </w:rPr>
        <w:t>,</w:t>
      </w:r>
      <w:r w:rsidR="00737F41" w:rsidRPr="00C059E3">
        <w:rPr>
          <w:bCs/>
          <w:lang w:eastAsia="en-GB"/>
        </w:rPr>
        <w:t xml:space="preserve"> and t</w:t>
      </w:r>
      <w:r w:rsidR="009440A0" w:rsidRPr="00C059E3">
        <w:rPr>
          <w:bCs/>
          <w:lang w:eastAsia="en-GB"/>
        </w:rPr>
        <w:t xml:space="preserve">he </w:t>
      </w:r>
      <w:r w:rsidR="003F3B1F" w:rsidRPr="00C059E3">
        <w:rPr>
          <w:bCs/>
          <w:lang w:eastAsia="en-GB"/>
        </w:rPr>
        <w:t>absence of a</w:t>
      </w:r>
      <w:r w:rsidR="00365FF8" w:rsidRPr="00C059E3">
        <w:rPr>
          <w:bCs/>
          <w:lang w:eastAsia="en-GB"/>
        </w:rPr>
        <w:t xml:space="preserve"> time</w:t>
      </w:r>
      <w:r w:rsidR="006323AA">
        <w:rPr>
          <w:bCs/>
          <w:lang w:eastAsia="en-GB"/>
        </w:rPr>
        <w:t xml:space="preserve"> </w:t>
      </w:r>
      <w:r w:rsidR="00365FF8" w:rsidRPr="00C059E3">
        <w:rPr>
          <w:bCs/>
          <w:lang w:eastAsia="en-GB"/>
        </w:rPr>
        <w:t xml:space="preserve">limit </w:t>
      </w:r>
      <w:r w:rsidR="00F66F30" w:rsidRPr="00C059E3">
        <w:rPr>
          <w:bCs/>
          <w:lang w:eastAsia="en-GB"/>
        </w:rPr>
        <w:t xml:space="preserve">in the </w:t>
      </w:r>
      <w:r w:rsidR="00712DA8">
        <w:rPr>
          <w:bCs/>
          <w:lang w:eastAsia="en-GB"/>
        </w:rPr>
        <w:t>L</w:t>
      </w:r>
      <w:r w:rsidR="00F66F30" w:rsidRPr="00C059E3">
        <w:rPr>
          <w:bCs/>
          <w:lang w:eastAsia="en-GB"/>
        </w:rPr>
        <w:t xml:space="preserve">aw </w:t>
      </w:r>
      <w:r w:rsidR="005560CD" w:rsidRPr="00C059E3">
        <w:rPr>
          <w:bCs/>
          <w:lang w:eastAsia="en-GB"/>
        </w:rPr>
        <w:t xml:space="preserve">for </w:t>
      </w:r>
      <w:r w:rsidR="004C1A88" w:rsidRPr="00C059E3">
        <w:rPr>
          <w:bCs/>
          <w:lang w:eastAsia="en-GB"/>
        </w:rPr>
        <w:t>administrative detention</w:t>
      </w:r>
      <w:r w:rsidR="00E4715B" w:rsidRPr="00C059E3">
        <w:rPr>
          <w:bCs/>
          <w:lang w:eastAsia="en-GB"/>
        </w:rPr>
        <w:t xml:space="preserve"> of migrant workers;</w:t>
      </w:r>
    </w:p>
    <w:p w:rsidR="00C33B1B" w:rsidRPr="00A80D54" w:rsidRDefault="009440A0" w:rsidP="003144F4">
      <w:pPr>
        <w:pStyle w:val="SingleTxtG"/>
        <w:ind w:firstLine="567"/>
        <w:rPr>
          <w:bCs/>
          <w:lang w:eastAsia="en-GB"/>
        </w:rPr>
      </w:pPr>
      <w:r w:rsidRPr="00A80D54">
        <w:rPr>
          <w:bCs/>
          <w:lang w:eastAsia="en-GB"/>
        </w:rPr>
        <w:t>(</w:t>
      </w:r>
      <w:r w:rsidR="00AE118F" w:rsidRPr="00A80D54">
        <w:rPr>
          <w:bCs/>
          <w:lang w:eastAsia="en-GB"/>
        </w:rPr>
        <w:t>b</w:t>
      </w:r>
      <w:r w:rsidRPr="00A80D54">
        <w:rPr>
          <w:bCs/>
          <w:lang w:eastAsia="en-GB"/>
        </w:rPr>
        <w:t>)</w:t>
      </w:r>
      <w:r w:rsidR="003144F4">
        <w:rPr>
          <w:bCs/>
          <w:lang w:eastAsia="en-GB"/>
        </w:rPr>
        <w:tab/>
      </w:r>
      <w:r w:rsidR="00C33B1B" w:rsidRPr="00A80D54">
        <w:rPr>
          <w:bCs/>
          <w:lang w:eastAsia="en-GB"/>
        </w:rPr>
        <w:t xml:space="preserve">The </w:t>
      </w:r>
      <w:r w:rsidR="003F3B1F" w:rsidRPr="00A80D54">
        <w:rPr>
          <w:bCs/>
          <w:lang w:eastAsia="en-GB"/>
        </w:rPr>
        <w:t xml:space="preserve">possibility of </w:t>
      </w:r>
      <w:r w:rsidR="00233162" w:rsidRPr="00A80D54">
        <w:rPr>
          <w:bCs/>
          <w:lang w:eastAsia="en-GB"/>
        </w:rPr>
        <w:t>issuing</w:t>
      </w:r>
      <w:r w:rsidR="00050D98" w:rsidRPr="00A80D54">
        <w:rPr>
          <w:bCs/>
          <w:lang w:eastAsia="en-GB"/>
        </w:rPr>
        <w:t xml:space="preserve"> detention</w:t>
      </w:r>
      <w:r w:rsidR="00C33B1B" w:rsidRPr="00A80D54">
        <w:rPr>
          <w:bCs/>
          <w:lang w:eastAsia="en-GB"/>
        </w:rPr>
        <w:t xml:space="preserve"> order</w:t>
      </w:r>
      <w:r w:rsidR="00712DA8">
        <w:rPr>
          <w:bCs/>
          <w:lang w:eastAsia="en-GB"/>
        </w:rPr>
        <w:t>s</w:t>
      </w:r>
      <w:r w:rsidR="00C33B1B" w:rsidRPr="00A80D54">
        <w:rPr>
          <w:bCs/>
          <w:lang w:eastAsia="en-GB"/>
        </w:rPr>
        <w:t xml:space="preserve"> placing migrant workers under supervision during appellate </w:t>
      </w:r>
      <w:r w:rsidR="00233162" w:rsidRPr="00C059E3">
        <w:rPr>
          <w:bCs/>
          <w:lang w:eastAsia="en-GB"/>
        </w:rPr>
        <w:t>proceedings</w:t>
      </w:r>
      <w:r w:rsidR="00C33B1B" w:rsidRPr="00C059E3">
        <w:rPr>
          <w:bCs/>
          <w:lang w:eastAsia="en-GB"/>
        </w:rPr>
        <w:t xml:space="preserve"> against decision</w:t>
      </w:r>
      <w:r w:rsidR="00233162" w:rsidRPr="00C059E3">
        <w:rPr>
          <w:bCs/>
          <w:lang w:eastAsia="en-GB"/>
        </w:rPr>
        <w:t>s</w:t>
      </w:r>
      <w:r w:rsidR="00C33B1B" w:rsidRPr="00C059E3">
        <w:rPr>
          <w:bCs/>
          <w:lang w:eastAsia="en-GB"/>
        </w:rPr>
        <w:t xml:space="preserve"> rejecting an application for a residence perm</w:t>
      </w:r>
      <w:r w:rsidR="00050D98" w:rsidRPr="00C059E3">
        <w:rPr>
          <w:bCs/>
          <w:lang w:eastAsia="en-GB"/>
        </w:rPr>
        <w:t>it</w:t>
      </w:r>
      <w:r w:rsidR="00E4715B" w:rsidRPr="00C059E3">
        <w:rPr>
          <w:bCs/>
          <w:lang w:eastAsia="en-GB"/>
        </w:rPr>
        <w:t>;</w:t>
      </w:r>
    </w:p>
    <w:p w:rsidR="00F256CF" w:rsidRDefault="00D27A3F" w:rsidP="003144F4">
      <w:pPr>
        <w:pStyle w:val="SingleTxtG"/>
        <w:ind w:firstLine="567"/>
        <w:rPr>
          <w:bCs/>
          <w:lang w:eastAsia="en-GB"/>
        </w:rPr>
      </w:pPr>
      <w:r>
        <w:rPr>
          <w:bCs/>
          <w:lang w:eastAsia="en-GB"/>
        </w:rPr>
        <w:t>(</w:t>
      </w:r>
      <w:r w:rsidR="00AE118F">
        <w:rPr>
          <w:bCs/>
          <w:lang w:eastAsia="en-GB"/>
        </w:rPr>
        <w:t>c</w:t>
      </w:r>
      <w:r>
        <w:rPr>
          <w:bCs/>
          <w:lang w:eastAsia="en-GB"/>
        </w:rPr>
        <w:t>)</w:t>
      </w:r>
      <w:r w:rsidR="003144F4">
        <w:rPr>
          <w:bCs/>
          <w:lang w:eastAsia="en-GB"/>
        </w:rPr>
        <w:tab/>
      </w:r>
      <w:r w:rsidR="00C33B1B" w:rsidRPr="00C33B1B">
        <w:rPr>
          <w:bCs/>
          <w:lang w:eastAsia="en-GB"/>
        </w:rPr>
        <w:t xml:space="preserve">The </w:t>
      </w:r>
      <w:r w:rsidR="00233162">
        <w:rPr>
          <w:bCs/>
          <w:lang w:eastAsia="en-GB"/>
        </w:rPr>
        <w:t>fact that</w:t>
      </w:r>
      <w:r w:rsidR="00C33B1B" w:rsidRPr="00C33B1B">
        <w:rPr>
          <w:bCs/>
          <w:lang w:eastAsia="en-GB"/>
        </w:rPr>
        <w:t xml:space="preserve"> residence permits are not extended until a final decision </w:t>
      </w:r>
      <w:r w:rsidR="00233162">
        <w:rPr>
          <w:bCs/>
          <w:lang w:eastAsia="en-GB"/>
        </w:rPr>
        <w:t xml:space="preserve">on the legality of the stay of a migrant worker </w:t>
      </w:r>
      <w:r w:rsidR="00C33B1B" w:rsidRPr="00C33B1B">
        <w:rPr>
          <w:bCs/>
          <w:lang w:eastAsia="en-GB"/>
        </w:rPr>
        <w:t>has been taken</w:t>
      </w:r>
      <w:r w:rsidR="00233162">
        <w:rPr>
          <w:bCs/>
          <w:lang w:eastAsia="en-GB"/>
        </w:rPr>
        <w:t xml:space="preserve">, </w:t>
      </w:r>
      <w:r w:rsidR="00712DA8">
        <w:rPr>
          <w:bCs/>
          <w:lang w:eastAsia="en-GB"/>
        </w:rPr>
        <w:t xml:space="preserve">which </w:t>
      </w:r>
      <w:r w:rsidR="00233162">
        <w:rPr>
          <w:bCs/>
          <w:lang w:eastAsia="en-GB"/>
        </w:rPr>
        <w:t>plac</w:t>
      </w:r>
      <w:r w:rsidR="00712DA8">
        <w:rPr>
          <w:bCs/>
          <w:lang w:eastAsia="en-GB"/>
        </w:rPr>
        <w:t>es</w:t>
      </w:r>
      <w:r w:rsidR="00233162">
        <w:rPr>
          <w:bCs/>
          <w:lang w:eastAsia="en-GB"/>
        </w:rPr>
        <w:t xml:space="preserve"> the</w:t>
      </w:r>
      <w:r w:rsidR="009F6E68">
        <w:rPr>
          <w:bCs/>
          <w:lang w:eastAsia="en-GB"/>
        </w:rPr>
        <w:t xml:space="preserve"> </w:t>
      </w:r>
      <w:r w:rsidR="00C33B1B" w:rsidRPr="00C33B1B">
        <w:rPr>
          <w:bCs/>
          <w:lang w:eastAsia="en-GB"/>
        </w:rPr>
        <w:t>migrant</w:t>
      </w:r>
      <w:r w:rsidR="00233162">
        <w:rPr>
          <w:bCs/>
          <w:lang w:eastAsia="en-GB"/>
        </w:rPr>
        <w:t xml:space="preserve"> worker concerned</w:t>
      </w:r>
      <w:r w:rsidR="00C33B1B" w:rsidRPr="00C33B1B">
        <w:rPr>
          <w:bCs/>
          <w:lang w:eastAsia="en-GB"/>
        </w:rPr>
        <w:t xml:space="preserve"> in a situation of</w:t>
      </w:r>
      <w:r w:rsidR="00E4715B">
        <w:rPr>
          <w:bCs/>
          <w:lang w:eastAsia="en-GB"/>
        </w:rPr>
        <w:t xml:space="preserve"> irregularity and vulnerability;</w:t>
      </w:r>
    </w:p>
    <w:p w:rsidR="00294C07" w:rsidRDefault="009F6E68" w:rsidP="003144F4">
      <w:pPr>
        <w:pStyle w:val="SingleTxtG"/>
        <w:ind w:firstLine="567"/>
      </w:pPr>
      <w:r>
        <w:rPr>
          <w:bCs/>
          <w:lang w:eastAsia="en-GB"/>
        </w:rPr>
        <w:t>(</w:t>
      </w:r>
      <w:r w:rsidR="00AE118F">
        <w:rPr>
          <w:bCs/>
          <w:lang w:eastAsia="en-GB"/>
        </w:rPr>
        <w:t>d</w:t>
      </w:r>
      <w:r>
        <w:rPr>
          <w:bCs/>
          <w:lang w:eastAsia="en-GB"/>
        </w:rPr>
        <w:t>)</w:t>
      </w:r>
      <w:r w:rsidR="003144F4">
        <w:rPr>
          <w:bCs/>
          <w:lang w:eastAsia="en-GB"/>
        </w:rPr>
        <w:tab/>
      </w:r>
      <w:r>
        <w:rPr>
          <w:bCs/>
          <w:lang w:eastAsia="en-GB"/>
        </w:rPr>
        <w:t xml:space="preserve">The </w:t>
      </w:r>
      <w:r w:rsidR="00233162">
        <w:rPr>
          <w:bCs/>
          <w:lang w:eastAsia="en-GB"/>
        </w:rPr>
        <w:t>limited accessibility of</w:t>
      </w:r>
      <w:r w:rsidR="00737F41">
        <w:rPr>
          <w:bCs/>
          <w:lang w:eastAsia="en-GB"/>
        </w:rPr>
        <w:t xml:space="preserve"> information and</w:t>
      </w:r>
      <w:r w:rsidR="00294C07">
        <w:t xml:space="preserve"> legal aid to </w:t>
      </w:r>
      <w:r w:rsidR="00233162">
        <w:t>appeal detention orders</w:t>
      </w:r>
      <w:r w:rsidR="00AE118F">
        <w:t xml:space="preserve"> </w:t>
      </w:r>
      <w:r w:rsidR="00712DA8">
        <w:t>against</w:t>
      </w:r>
      <w:r w:rsidR="00AE118F">
        <w:t xml:space="preserve"> </w:t>
      </w:r>
      <w:r w:rsidR="00233162">
        <w:t>migrant workers or members of their families</w:t>
      </w:r>
      <w:r w:rsidR="00294C07">
        <w:t>;</w:t>
      </w:r>
      <w:r w:rsidR="0048739B">
        <w:t xml:space="preserve"> and</w:t>
      </w:r>
    </w:p>
    <w:p w:rsidR="00D27A3F" w:rsidRDefault="00294C07" w:rsidP="003144F4">
      <w:pPr>
        <w:pStyle w:val="SingleTxtG"/>
        <w:ind w:firstLine="567"/>
      </w:pPr>
      <w:r>
        <w:t>(</w:t>
      </w:r>
      <w:r w:rsidR="00AE118F">
        <w:t>e</w:t>
      </w:r>
      <w:r>
        <w:t>)</w:t>
      </w:r>
      <w:r w:rsidR="003144F4">
        <w:tab/>
      </w:r>
      <w:r w:rsidR="00C059E3">
        <w:t>Reports</w:t>
      </w:r>
      <w:r w:rsidR="00350F34">
        <w:t xml:space="preserve"> that</w:t>
      </w:r>
      <w:r w:rsidR="00475FEF">
        <w:t>, in practice,</w:t>
      </w:r>
      <w:r w:rsidR="00350F34">
        <w:t xml:space="preserve"> </w:t>
      </w:r>
      <w:r>
        <w:t>migrant</w:t>
      </w:r>
      <w:r w:rsidR="00233162">
        <w:t xml:space="preserve"> worker</w:t>
      </w:r>
      <w:r>
        <w:t xml:space="preserve">s </w:t>
      </w:r>
      <w:r w:rsidR="00A06AC9">
        <w:t xml:space="preserve">apprehended </w:t>
      </w:r>
      <w:r w:rsidR="00233162">
        <w:t xml:space="preserve">without a valid </w:t>
      </w:r>
      <w:r w:rsidR="0048739B">
        <w:t xml:space="preserve">permission to </w:t>
      </w:r>
      <w:r w:rsidR="00233162">
        <w:t>enter</w:t>
      </w:r>
      <w:r w:rsidR="0048739B">
        <w:t>, to stay and to engage in a remunera</w:t>
      </w:r>
      <w:r w:rsidR="000F2AF5">
        <w:t>ted activity in the State party</w:t>
      </w:r>
      <w:r>
        <w:t xml:space="preserve"> are </w:t>
      </w:r>
      <w:r w:rsidR="00475FEF">
        <w:t xml:space="preserve">often </w:t>
      </w:r>
      <w:r>
        <w:t>detained</w:t>
      </w:r>
      <w:r w:rsidR="00475FEF">
        <w:t>, contrary to information provided by the delegation during the dialogue</w:t>
      </w:r>
      <w:r>
        <w:t>.</w:t>
      </w:r>
    </w:p>
    <w:p w:rsidR="00840F41" w:rsidRPr="005F6B78" w:rsidRDefault="003144F4" w:rsidP="006323AA">
      <w:pPr>
        <w:pStyle w:val="SingleTxtG"/>
        <w:ind w:left="1140" w:hanging="6"/>
        <w:rPr>
          <w:b/>
        </w:rPr>
      </w:pPr>
      <w:r w:rsidRPr="003144F4">
        <w:t>26.</w:t>
      </w:r>
      <w:r w:rsidRPr="003144F4">
        <w:tab/>
      </w:r>
      <w:r w:rsidR="0048739B">
        <w:rPr>
          <w:b/>
          <w:bCs/>
          <w:lang w:eastAsia="en-GB"/>
        </w:rPr>
        <w:t>In accordance with article 16 of the Convention, t</w:t>
      </w:r>
      <w:r w:rsidR="00840F41" w:rsidRPr="005F6B78">
        <w:rPr>
          <w:b/>
          <w:bCs/>
          <w:lang w:eastAsia="en-GB"/>
        </w:rPr>
        <w:t>he Committee recommends that the State party:</w:t>
      </w:r>
    </w:p>
    <w:p w:rsidR="00E574DB" w:rsidRDefault="00840F41" w:rsidP="003144F4">
      <w:pPr>
        <w:pStyle w:val="SingleTxtG"/>
        <w:ind w:firstLine="567"/>
        <w:rPr>
          <w:b/>
          <w:bCs/>
          <w:lang w:eastAsia="en-GB"/>
        </w:rPr>
      </w:pPr>
      <w:r w:rsidRPr="00840F41">
        <w:rPr>
          <w:b/>
          <w:bCs/>
          <w:lang w:eastAsia="en-GB"/>
        </w:rPr>
        <w:t>(a)</w:t>
      </w:r>
      <w:r w:rsidR="003144F4">
        <w:rPr>
          <w:b/>
          <w:bCs/>
          <w:lang w:eastAsia="en-GB"/>
        </w:rPr>
        <w:tab/>
      </w:r>
      <w:r w:rsidR="00327BE5">
        <w:rPr>
          <w:b/>
          <w:bCs/>
          <w:lang w:eastAsia="en-GB"/>
        </w:rPr>
        <w:t xml:space="preserve">Amend the Law on Movement and Stay of Aliens and Asylum to </w:t>
      </w:r>
      <w:r w:rsidR="0048739B">
        <w:rPr>
          <w:b/>
          <w:bCs/>
          <w:lang w:eastAsia="en-GB"/>
        </w:rPr>
        <w:t>define</w:t>
      </w:r>
      <w:r w:rsidR="00327BE5">
        <w:rPr>
          <w:b/>
          <w:bCs/>
          <w:lang w:eastAsia="en-GB"/>
        </w:rPr>
        <w:t xml:space="preserve"> </w:t>
      </w:r>
      <w:r w:rsidR="0048739B">
        <w:rPr>
          <w:b/>
          <w:bCs/>
          <w:lang w:eastAsia="en-GB"/>
        </w:rPr>
        <w:t>the</w:t>
      </w:r>
      <w:r w:rsidR="00327BE5">
        <w:rPr>
          <w:b/>
          <w:bCs/>
          <w:lang w:eastAsia="en-GB"/>
        </w:rPr>
        <w:t xml:space="preserve"> maximum length of administrative </w:t>
      </w:r>
      <w:r w:rsidRPr="00840F41">
        <w:rPr>
          <w:b/>
          <w:bCs/>
          <w:lang w:eastAsia="en-GB"/>
        </w:rPr>
        <w:t>detention</w:t>
      </w:r>
      <w:r w:rsidR="00327BE5">
        <w:rPr>
          <w:b/>
          <w:bCs/>
          <w:lang w:eastAsia="en-GB"/>
        </w:rPr>
        <w:t xml:space="preserve"> </w:t>
      </w:r>
      <w:r w:rsidR="0048739B">
        <w:rPr>
          <w:b/>
          <w:bCs/>
          <w:lang w:eastAsia="en-GB"/>
        </w:rPr>
        <w:t>that is not derogable</w:t>
      </w:r>
      <w:r w:rsidR="004E6B5B">
        <w:rPr>
          <w:b/>
          <w:bCs/>
          <w:lang w:eastAsia="en-GB"/>
        </w:rPr>
        <w:t>, with a view</w:t>
      </w:r>
      <w:r w:rsidR="00327BE5">
        <w:rPr>
          <w:b/>
          <w:bCs/>
          <w:lang w:eastAsia="en-GB"/>
        </w:rPr>
        <w:t xml:space="preserve"> to prevent</w:t>
      </w:r>
      <w:r w:rsidR="004E6B5B">
        <w:rPr>
          <w:b/>
          <w:bCs/>
          <w:lang w:eastAsia="en-GB"/>
        </w:rPr>
        <w:t>ing</w:t>
      </w:r>
      <w:r w:rsidR="00327BE5">
        <w:rPr>
          <w:b/>
          <w:bCs/>
          <w:lang w:eastAsia="en-GB"/>
        </w:rPr>
        <w:t xml:space="preserve"> prolonged </w:t>
      </w:r>
      <w:r w:rsidR="0048739B">
        <w:rPr>
          <w:b/>
          <w:bCs/>
          <w:lang w:eastAsia="en-GB"/>
        </w:rPr>
        <w:t>or</w:t>
      </w:r>
      <w:r w:rsidR="00327BE5">
        <w:rPr>
          <w:b/>
          <w:bCs/>
          <w:lang w:eastAsia="en-GB"/>
        </w:rPr>
        <w:t xml:space="preserve"> </w:t>
      </w:r>
      <w:r w:rsidR="0048739B">
        <w:rPr>
          <w:b/>
          <w:bCs/>
          <w:lang w:eastAsia="en-GB"/>
        </w:rPr>
        <w:t>indefinite</w:t>
      </w:r>
      <w:r w:rsidR="00327BE5">
        <w:rPr>
          <w:b/>
          <w:bCs/>
          <w:lang w:eastAsia="en-GB"/>
        </w:rPr>
        <w:t xml:space="preserve"> detention</w:t>
      </w:r>
      <w:r w:rsidRPr="00840F41">
        <w:rPr>
          <w:b/>
          <w:bCs/>
          <w:lang w:eastAsia="en-GB"/>
        </w:rPr>
        <w:t>;</w:t>
      </w:r>
    </w:p>
    <w:p w:rsidR="0097281C" w:rsidRDefault="009F6E68" w:rsidP="003144F4">
      <w:pPr>
        <w:pStyle w:val="SingleTxtG"/>
        <w:ind w:firstLine="567"/>
        <w:rPr>
          <w:b/>
          <w:bCs/>
          <w:lang w:eastAsia="en-GB"/>
        </w:rPr>
      </w:pPr>
      <w:r>
        <w:rPr>
          <w:b/>
          <w:bCs/>
          <w:lang w:eastAsia="en-GB"/>
        </w:rPr>
        <w:t>(</w:t>
      </w:r>
      <w:r w:rsidR="0048739B">
        <w:rPr>
          <w:b/>
          <w:bCs/>
          <w:lang w:eastAsia="en-GB"/>
        </w:rPr>
        <w:t>b</w:t>
      </w:r>
      <w:r w:rsidR="00C33B1B">
        <w:rPr>
          <w:b/>
          <w:bCs/>
          <w:lang w:eastAsia="en-GB"/>
        </w:rPr>
        <w:t>)</w:t>
      </w:r>
      <w:r w:rsidR="003144F4">
        <w:rPr>
          <w:b/>
          <w:bCs/>
          <w:lang w:eastAsia="en-GB"/>
        </w:rPr>
        <w:tab/>
      </w:r>
      <w:r w:rsidR="00C33B1B">
        <w:rPr>
          <w:b/>
          <w:bCs/>
          <w:lang w:eastAsia="en-GB"/>
        </w:rPr>
        <w:t>Consider extend</w:t>
      </w:r>
      <w:r w:rsidR="00C8157E">
        <w:rPr>
          <w:b/>
          <w:bCs/>
          <w:lang w:eastAsia="en-GB"/>
        </w:rPr>
        <w:t>ing</w:t>
      </w:r>
      <w:r w:rsidR="00C33B1B">
        <w:rPr>
          <w:b/>
          <w:bCs/>
          <w:lang w:eastAsia="en-GB"/>
        </w:rPr>
        <w:t xml:space="preserve"> residence permits </w:t>
      </w:r>
      <w:r w:rsidR="00434D6E" w:rsidRPr="00434D6E">
        <w:rPr>
          <w:b/>
          <w:bCs/>
          <w:lang w:eastAsia="en-GB"/>
        </w:rPr>
        <w:t xml:space="preserve">for the period during which an appeal against </w:t>
      </w:r>
      <w:r w:rsidR="0048739B">
        <w:rPr>
          <w:b/>
          <w:bCs/>
          <w:lang w:eastAsia="en-GB"/>
        </w:rPr>
        <w:t xml:space="preserve">a </w:t>
      </w:r>
      <w:r w:rsidR="00434D6E" w:rsidRPr="00434D6E">
        <w:rPr>
          <w:b/>
          <w:bCs/>
          <w:lang w:eastAsia="en-GB"/>
        </w:rPr>
        <w:t xml:space="preserve">decision of the </w:t>
      </w:r>
      <w:r w:rsidR="00C8157E">
        <w:rPr>
          <w:b/>
          <w:bCs/>
          <w:lang w:eastAsia="en-GB"/>
        </w:rPr>
        <w:t xml:space="preserve">Service for Foreigners’ Affairs </w:t>
      </w:r>
      <w:r w:rsidR="00434D6E" w:rsidRPr="00434D6E">
        <w:rPr>
          <w:b/>
          <w:bCs/>
          <w:lang w:eastAsia="en-GB"/>
        </w:rPr>
        <w:t>on the legality of a migrant’s stay is pending before the competent adminis</w:t>
      </w:r>
      <w:r w:rsidR="00AB2E51">
        <w:rPr>
          <w:b/>
          <w:bCs/>
          <w:lang w:eastAsia="en-GB"/>
        </w:rPr>
        <w:t>trative or judicial authorities;</w:t>
      </w:r>
    </w:p>
    <w:p w:rsidR="00294C07" w:rsidRPr="00AB2E51" w:rsidRDefault="00294C07" w:rsidP="003144F4">
      <w:pPr>
        <w:pStyle w:val="SingleTxtG"/>
        <w:ind w:firstLine="567"/>
        <w:rPr>
          <w:b/>
          <w:bCs/>
          <w:lang w:eastAsia="en-GB"/>
        </w:rPr>
      </w:pPr>
      <w:r>
        <w:rPr>
          <w:b/>
          <w:bCs/>
          <w:lang w:eastAsia="en-GB"/>
        </w:rPr>
        <w:t>(</w:t>
      </w:r>
      <w:r w:rsidR="0048739B">
        <w:rPr>
          <w:b/>
          <w:bCs/>
          <w:lang w:eastAsia="en-GB"/>
        </w:rPr>
        <w:t>c</w:t>
      </w:r>
      <w:r>
        <w:rPr>
          <w:b/>
          <w:bCs/>
          <w:lang w:eastAsia="en-GB"/>
        </w:rPr>
        <w:t>)</w:t>
      </w:r>
      <w:r w:rsidR="003144F4">
        <w:rPr>
          <w:b/>
          <w:bCs/>
          <w:lang w:eastAsia="en-GB"/>
        </w:rPr>
        <w:tab/>
      </w:r>
      <w:r>
        <w:rPr>
          <w:b/>
          <w:bCs/>
          <w:lang w:eastAsia="en-GB"/>
        </w:rPr>
        <w:t xml:space="preserve">Ensure that </w:t>
      </w:r>
      <w:r w:rsidR="0048739B">
        <w:rPr>
          <w:b/>
          <w:bCs/>
          <w:lang w:eastAsia="en-GB"/>
        </w:rPr>
        <w:t>detention orders</w:t>
      </w:r>
      <w:r w:rsidR="00BA1192">
        <w:rPr>
          <w:b/>
          <w:bCs/>
          <w:lang w:eastAsia="en-GB"/>
        </w:rPr>
        <w:t xml:space="preserve"> against migrant workers</w:t>
      </w:r>
      <w:r>
        <w:rPr>
          <w:b/>
          <w:bCs/>
          <w:lang w:eastAsia="en-GB"/>
        </w:rPr>
        <w:t>, in</w:t>
      </w:r>
      <w:r w:rsidR="00BA1192">
        <w:rPr>
          <w:b/>
          <w:bCs/>
          <w:lang w:eastAsia="en-GB"/>
        </w:rPr>
        <w:t>cluding</w:t>
      </w:r>
      <w:r w:rsidR="002A0786">
        <w:rPr>
          <w:b/>
          <w:bCs/>
          <w:lang w:eastAsia="en-GB"/>
        </w:rPr>
        <w:t xml:space="preserve"> those</w:t>
      </w:r>
      <w:r>
        <w:rPr>
          <w:b/>
          <w:bCs/>
          <w:lang w:eastAsia="en-GB"/>
        </w:rPr>
        <w:t xml:space="preserve"> in an irregular situation, are </w:t>
      </w:r>
      <w:r w:rsidR="00BA1192">
        <w:rPr>
          <w:b/>
          <w:bCs/>
          <w:lang w:eastAsia="en-GB"/>
        </w:rPr>
        <w:t xml:space="preserve">only </w:t>
      </w:r>
      <w:r>
        <w:rPr>
          <w:b/>
          <w:bCs/>
          <w:lang w:eastAsia="en-GB"/>
        </w:rPr>
        <w:t>taken</w:t>
      </w:r>
      <w:r w:rsidR="00B544A5">
        <w:rPr>
          <w:b/>
          <w:bCs/>
          <w:lang w:eastAsia="en-GB"/>
        </w:rPr>
        <w:t xml:space="preserve"> as a last resort,</w:t>
      </w:r>
      <w:r>
        <w:rPr>
          <w:b/>
          <w:bCs/>
          <w:lang w:eastAsia="en-GB"/>
        </w:rPr>
        <w:t xml:space="preserve"> on a case-by-case basis</w:t>
      </w:r>
      <w:r w:rsidR="00BA1192">
        <w:rPr>
          <w:b/>
          <w:bCs/>
          <w:lang w:eastAsia="en-GB"/>
        </w:rPr>
        <w:t>,</w:t>
      </w:r>
      <w:r>
        <w:rPr>
          <w:b/>
          <w:bCs/>
          <w:lang w:eastAsia="en-GB"/>
        </w:rPr>
        <w:t xml:space="preserve"> and strictly in compliance with </w:t>
      </w:r>
      <w:r w:rsidR="00BA1192">
        <w:rPr>
          <w:b/>
          <w:bCs/>
          <w:lang w:eastAsia="en-GB"/>
        </w:rPr>
        <w:t xml:space="preserve">applicable </w:t>
      </w:r>
      <w:r>
        <w:rPr>
          <w:b/>
          <w:bCs/>
          <w:lang w:eastAsia="en-GB"/>
        </w:rPr>
        <w:t>international standards;</w:t>
      </w:r>
    </w:p>
    <w:p w:rsidR="0097281C" w:rsidRDefault="005F6B78" w:rsidP="003144F4">
      <w:pPr>
        <w:pStyle w:val="SingleTxtG"/>
        <w:ind w:firstLine="567"/>
        <w:rPr>
          <w:b/>
          <w:bCs/>
        </w:rPr>
      </w:pPr>
      <w:r>
        <w:rPr>
          <w:b/>
          <w:bCs/>
        </w:rPr>
        <w:t>(</w:t>
      </w:r>
      <w:r w:rsidR="00BA1192">
        <w:rPr>
          <w:b/>
          <w:bCs/>
        </w:rPr>
        <w:t>d</w:t>
      </w:r>
      <w:r w:rsidR="0097281C">
        <w:rPr>
          <w:b/>
          <w:bCs/>
        </w:rPr>
        <w:t>)</w:t>
      </w:r>
      <w:r w:rsidR="003144F4">
        <w:rPr>
          <w:b/>
          <w:bCs/>
        </w:rPr>
        <w:tab/>
      </w:r>
      <w:r w:rsidR="00E52386">
        <w:rPr>
          <w:b/>
          <w:bCs/>
        </w:rPr>
        <w:t>Ensure that</w:t>
      </w:r>
      <w:r w:rsidR="00737F41">
        <w:rPr>
          <w:b/>
          <w:bCs/>
        </w:rPr>
        <w:t xml:space="preserve"> migrant</w:t>
      </w:r>
      <w:r w:rsidR="00AE118F">
        <w:rPr>
          <w:b/>
          <w:bCs/>
        </w:rPr>
        <w:t xml:space="preserve"> workers</w:t>
      </w:r>
      <w:r w:rsidR="00737F41">
        <w:rPr>
          <w:b/>
          <w:bCs/>
        </w:rPr>
        <w:t xml:space="preserve"> have access to </w:t>
      </w:r>
      <w:r w:rsidR="00E52386">
        <w:rPr>
          <w:b/>
          <w:bCs/>
        </w:rPr>
        <w:t>legal aid</w:t>
      </w:r>
      <w:r w:rsidR="00737F41">
        <w:rPr>
          <w:b/>
          <w:bCs/>
        </w:rPr>
        <w:t xml:space="preserve"> and information on available remedies</w:t>
      </w:r>
      <w:r w:rsidR="00E52386">
        <w:rPr>
          <w:b/>
          <w:bCs/>
        </w:rPr>
        <w:t xml:space="preserve"> to appeal</w:t>
      </w:r>
      <w:r w:rsidR="00737F41">
        <w:rPr>
          <w:b/>
          <w:bCs/>
        </w:rPr>
        <w:t xml:space="preserve"> decisions ordering</w:t>
      </w:r>
      <w:r w:rsidR="00E52386">
        <w:rPr>
          <w:b/>
          <w:bCs/>
        </w:rPr>
        <w:t xml:space="preserve"> the</w:t>
      </w:r>
      <w:r w:rsidR="00BA1192">
        <w:rPr>
          <w:b/>
          <w:bCs/>
        </w:rPr>
        <w:t>ir detention</w:t>
      </w:r>
      <w:r w:rsidR="004E6B5B">
        <w:rPr>
          <w:b/>
          <w:bCs/>
        </w:rPr>
        <w:t>,</w:t>
      </w:r>
      <w:r w:rsidR="00E52386">
        <w:rPr>
          <w:b/>
          <w:bCs/>
        </w:rPr>
        <w:t xml:space="preserve"> and </w:t>
      </w:r>
      <w:r w:rsidR="00787B84">
        <w:rPr>
          <w:b/>
          <w:bCs/>
        </w:rPr>
        <w:t>p</w:t>
      </w:r>
      <w:r w:rsidR="0097281C" w:rsidRPr="0097281C">
        <w:rPr>
          <w:b/>
          <w:bCs/>
        </w:rPr>
        <w:t>rovide in</w:t>
      </w:r>
      <w:r w:rsidR="00737F41">
        <w:rPr>
          <w:b/>
          <w:bCs/>
        </w:rPr>
        <w:t xml:space="preserve">formation thereon in its next periodic report, including examples of cases where </w:t>
      </w:r>
      <w:r w:rsidR="0097281C" w:rsidRPr="0097281C">
        <w:rPr>
          <w:b/>
          <w:bCs/>
        </w:rPr>
        <w:t>migrant workers in an irregular situati</w:t>
      </w:r>
      <w:r w:rsidR="00AB2E51">
        <w:rPr>
          <w:b/>
          <w:bCs/>
        </w:rPr>
        <w:t>on have received legal aid</w:t>
      </w:r>
      <w:r w:rsidR="00AB0876">
        <w:rPr>
          <w:b/>
          <w:bCs/>
        </w:rPr>
        <w:t>;</w:t>
      </w:r>
      <w:r w:rsidR="00BA1192">
        <w:rPr>
          <w:b/>
          <w:bCs/>
        </w:rPr>
        <w:t xml:space="preserve"> and</w:t>
      </w:r>
    </w:p>
    <w:p w:rsidR="00D27A3F" w:rsidRPr="00B05CBE" w:rsidRDefault="005F6B78" w:rsidP="003144F4">
      <w:pPr>
        <w:pStyle w:val="SingleTxtG"/>
        <w:ind w:firstLine="567"/>
        <w:rPr>
          <w:b/>
          <w:bCs/>
        </w:rPr>
      </w:pPr>
      <w:r>
        <w:rPr>
          <w:b/>
          <w:bCs/>
        </w:rPr>
        <w:t>(</w:t>
      </w:r>
      <w:r w:rsidR="00BA1192">
        <w:rPr>
          <w:b/>
          <w:bCs/>
        </w:rPr>
        <w:t>e</w:t>
      </w:r>
      <w:r w:rsidR="00AB2E51">
        <w:rPr>
          <w:b/>
          <w:bCs/>
        </w:rPr>
        <w:t>)</w:t>
      </w:r>
      <w:r w:rsidR="003144F4">
        <w:rPr>
          <w:b/>
          <w:bCs/>
        </w:rPr>
        <w:tab/>
      </w:r>
      <w:r w:rsidR="00BA1192">
        <w:rPr>
          <w:b/>
          <w:bCs/>
        </w:rPr>
        <w:t>E</w:t>
      </w:r>
      <w:r w:rsidR="00E543A9">
        <w:rPr>
          <w:b/>
          <w:bCs/>
        </w:rPr>
        <w:t>nsure</w:t>
      </w:r>
      <w:r w:rsidR="00AB2E51">
        <w:rPr>
          <w:b/>
          <w:bCs/>
        </w:rPr>
        <w:t xml:space="preserve"> </w:t>
      </w:r>
      <w:r w:rsidR="00E543A9">
        <w:rPr>
          <w:b/>
          <w:bCs/>
        </w:rPr>
        <w:t xml:space="preserve">timely </w:t>
      </w:r>
      <w:r w:rsidR="00AB2E51">
        <w:rPr>
          <w:b/>
          <w:bCs/>
        </w:rPr>
        <w:t xml:space="preserve">access </w:t>
      </w:r>
      <w:r w:rsidR="00BA1192">
        <w:rPr>
          <w:b/>
          <w:bCs/>
        </w:rPr>
        <w:t xml:space="preserve">by detained migrant workers </w:t>
      </w:r>
      <w:r w:rsidR="00AB2E51">
        <w:rPr>
          <w:b/>
          <w:bCs/>
        </w:rPr>
        <w:t xml:space="preserve">to </w:t>
      </w:r>
      <w:r w:rsidR="00BA1192">
        <w:rPr>
          <w:b/>
          <w:bCs/>
        </w:rPr>
        <w:t xml:space="preserve">effective </w:t>
      </w:r>
      <w:r w:rsidR="00AB2E51">
        <w:rPr>
          <w:b/>
          <w:bCs/>
        </w:rPr>
        <w:t>legal remedies</w:t>
      </w:r>
      <w:r w:rsidR="00B05CBE">
        <w:rPr>
          <w:b/>
          <w:bCs/>
        </w:rPr>
        <w:t>.</w:t>
      </w:r>
    </w:p>
    <w:p w:rsidR="00D27A3F" w:rsidRPr="005F6B78" w:rsidRDefault="003144F4" w:rsidP="003144F4">
      <w:pPr>
        <w:pStyle w:val="SingleTxtG"/>
      </w:pPr>
      <w:r w:rsidRPr="005F6B78">
        <w:t>27.</w:t>
      </w:r>
      <w:r w:rsidRPr="005F6B78">
        <w:tab/>
      </w:r>
      <w:r w:rsidR="00D27A3F" w:rsidRPr="005F6B78">
        <w:rPr>
          <w:bCs/>
        </w:rPr>
        <w:t xml:space="preserve">The Committee reiterates its concern at information </w:t>
      </w:r>
      <w:r w:rsidR="00BA1192">
        <w:rPr>
          <w:bCs/>
        </w:rPr>
        <w:t>about prolonged</w:t>
      </w:r>
      <w:r w:rsidR="00D27A3F" w:rsidRPr="005F6B78">
        <w:rPr>
          <w:bCs/>
        </w:rPr>
        <w:t xml:space="preserve"> detention of </w:t>
      </w:r>
      <w:r w:rsidR="00BA1192">
        <w:rPr>
          <w:bCs/>
        </w:rPr>
        <w:t>migrant workers</w:t>
      </w:r>
      <w:r w:rsidR="00D27A3F" w:rsidRPr="005F6B78">
        <w:rPr>
          <w:bCs/>
        </w:rPr>
        <w:t xml:space="preserve"> whose citizenship </w:t>
      </w:r>
      <w:r w:rsidR="00BA1192">
        <w:rPr>
          <w:bCs/>
        </w:rPr>
        <w:t>has been</w:t>
      </w:r>
      <w:r w:rsidR="00D27A3F" w:rsidRPr="005F6B78">
        <w:rPr>
          <w:bCs/>
        </w:rPr>
        <w:t xml:space="preserve"> revoked </w:t>
      </w:r>
      <w:r w:rsidR="00AB0876" w:rsidRPr="005F6B78">
        <w:rPr>
          <w:bCs/>
        </w:rPr>
        <w:t>(</w:t>
      </w:r>
      <w:r w:rsidR="00AB0876" w:rsidRPr="0071786E">
        <w:rPr>
          <w:bCs/>
        </w:rPr>
        <w:t>CMW/C/BIH/CO/1, para. 21</w:t>
      </w:r>
      <w:r w:rsidR="00AB0876" w:rsidRPr="005F6B78">
        <w:rPr>
          <w:bCs/>
        </w:rPr>
        <w:t xml:space="preserve">) </w:t>
      </w:r>
      <w:r w:rsidR="005F2599" w:rsidRPr="005F6B78">
        <w:rPr>
          <w:bCs/>
        </w:rPr>
        <w:t xml:space="preserve">and </w:t>
      </w:r>
      <w:r w:rsidR="00BA1192">
        <w:rPr>
          <w:bCs/>
        </w:rPr>
        <w:t xml:space="preserve">about their </w:t>
      </w:r>
      <w:r w:rsidR="005F2599" w:rsidRPr="005F6B78">
        <w:rPr>
          <w:bCs/>
        </w:rPr>
        <w:t xml:space="preserve">expulsion to countries where they may face </w:t>
      </w:r>
      <w:r w:rsidR="00BA1192">
        <w:rPr>
          <w:bCs/>
        </w:rPr>
        <w:t xml:space="preserve">a </w:t>
      </w:r>
      <w:r w:rsidR="005F2599" w:rsidRPr="005F6B78">
        <w:rPr>
          <w:bCs/>
        </w:rPr>
        <w:t>serious risk of</w:t>
      </w:r>
      <w:r w:rsidR="00E96BDA" w:rsidRPr="005F6B78">
        <w:rPr>
          <w:bCs/>
        </w:rPr>
        <w:t xml:space="preserve"> </w:t>
      </w:r>
      <w:r w:rsidR="00BA1192">
        <w:rPr>
          <w:bCs/>
        </w:rPr>
        <w:t xml:space="preserve">being subjected to </w:t>
      </w:r>
      <w:r w:rsidR="00E96BDA" w:rsidRPr="005F6B78">
        <w:rPr>
          <w:bCs/>
        </w:rPr>
        <w:t xml:space="preserve">ill-treatment. It further notes with concern the </w:t>
      </w:r>
      <w:r w:rsidR="00D27A3F" w:rsidRPr="005F6B78">
        <w:rPr>
          <w:bCs/>
        </w:rPr>
        <w:t>lack of information received by the Committee on their access to legal remedies.</w:t>
      </w:r>
    </w:p>
    <w:p w:rsidR="00AB0876" w:rsidRPr="005F6B78" w:rsidRDefault="003144F4" w:rsidP="003144F4">
      <w:pPr>
        <w:pStyle w:val="SingleTxtG"/>
        <w:rPr>
          <w:b/>
        </w:rPr>
      </w:pPr>
      <w:r w:rsidRPr="003144F4">
        <w:t>28.</w:t>
      </w:r>
      <w:r w:rsidRPr="003144F4">
        <w:tab/>
      </w:r>
      <w:r w:rsidR="00AB0876" w:rsidRPr="005F6B78">
        <w:rPr>
          <w:b/>
          <w:bCs/>
        </w:rPr>
        <w:t>The Committee</w:t>
      </w:r>
      <w:r w:rsidR="00281672" w:rsidRPr="005F6B78">
        <w:rPr>
          <w:b/>
          <w:bCs/>
        </w:rPr>
        <w:t xml:space="preserve"> </w:t>
      </w:r>
      <w:r w:rsidR="00AE4B9A">
        <w:rPr>
          <w:b/>
          <w:bCs/>
        </w:rPr>
        <w:t>recommends that</w:t>
      </w:r>
      <w:r w:rsidR="00281672" w:rsidRPr="005F6B78">
        <w:rPr>
          <w:b/>
          <w:bCs/>
        </w:rPr>
        <w:t xml:space="preserve"> the State party</w:t>
      </w:r>
      <w:r w:rsidR="00475B42" w:rsidRPr="005F6B78">
        <w:rPr>
          <w:b/>
          <w:bCs/>
        </w:rPr>
        <w:t xml:space="preserve"> </w:t>
      </w:r>
      <w:r w:rsidR="00281672" w:rsidRPr="005F6B78">
        <w:rPr>
          <w:b/>
          <w:bCs/>
        </w:rPr>
        <w:t xml:space="preserve">ensure that </w:t>
      </w:r>
      <w:r w:rsidR="00AE4B9A">
        <w:rPr>
          <w:b/>
          <w:bCs/>
        </w:rPr>
        <w:t>migrant workers</w:t>
      </w:r>
      <w:r w:rsidR="00281672" w:rsidRPr="005F6B78">
        <w:rPr>
          <w:b/>
          <w:bCs/>
        </w:rPr>
        <w:t xml:space="preserve"> </w:t>
      </w:r>
      <w:r w:rsidR="00AE4B9A">
        <w:rPr>
          <w:b/>
          <w:bCs/>
        </w:rPr>
        <w:t xml:space="preserve">who have been </w:t>
      </w:r>
      <w:r w:rsidR="005F2599" w:rsidRPr="005F6B78">
        <w:rPr>
          <w:b/>
          <w:bCs/>
        </w:rPr>
        <w:t xml:space="preserve">deprived of their citizenship </w:t>
      </w:r>
      <w:r w:rsidR="00AE4B9A">
        <w:rPr>
          <w:b/>
          <w:bCs/>
        </w:rPr>
        <w:t>have access to</w:t>
      </w:r>
      <w:r w:rsidR="005F2599" w:rsidRPr="005F6B78">
        <w:rPr>
          <w:b/>
          <w:bCs/>
        </w:rPr>
        <w:t xml:space="preserve"> effective legal remedies to </w:t>
      </w:r>
      <w:r w:rsidR="00AE4B9A">
        <w:rPr>
          <w:b/>
          <w:bCs/>
        </w:rPr>
        <w:t>submit the reasons why they should not be expelled to a third country, in particular when they would face a risk of ill-treatment upon return to that country</w:t>
      </w:r>
      <w:r w:rsidR="00281672" w:rsidRPr="005F6B78">
        <w:rPr>
          <w:b/>
          <w:bCs/>
        </w:rPr>
        <w:t>.</w:t>
      </w:r>
    </w:p>
    <w:p w:rsidR="00456DC6" w:rsidRPr="005F6B78" w:rsidRDefault="003144F4" w:rsidP="003144F4">
      <w:pPr>
        <w:pStyle w:val="SingleTxtG"/>
        <w:rPr>
          <w:b/>
        </w:rPr>
      </w:pPr>
      <w:r w:rsidRPr="003144F4">
        <w:t>29.</w:t>
      </w:r>
      <w:r w:rsidRPr="005F6B78">
        <w:rPr>
          <w:b/>
        </w:rPr>
        <w:tab/>
      </w:r>
      <w:r w:rsidR="004C1A88" w:rsidRPr="00281672">
        <w:t>The Committee is</w:t>
      </w:r>
      <w:r w:rsidR="00315E42" w:rsidRPr="00281672">
        <w:t xml:space="preserve"> </w:t>
      </w:r>
      <w:r w:rsidR="004C1A88" w:rsidRPr="00281672">
        <w:t xml:space="preserve">concerned </w:t>
      </w:r>
      <w:r w:rsidR="00420509">
        <w:t xml:space="preserve">that </w:t>
      </w:r>
      <w:r w:rsidR="005560CD" w:rsidRPr="00281672">
        <w:t xml:space="preserve">children </w:t>
      </w:r>
      <w:r w:rsidR="00774A59" w:rsidRPr="00281672">
        <w:t xml:space="preserve">of migrant workers are being </w:t>
      </w:r>
      <w:r w:rsidR="00910D8C">
        <w:t>placed</w:t>
      </w:r>
      <w:r w:rsidR="00910D8C" w:rsidRPr="00281672">
        <w:t xml:space="preserve"> </w:t>
      </w:r>
      <w:r w:rsidR="005560CD" w:rsidRPr="00281672">
        <w:t>in the Lukavica Immigration Centre</w:t>
      </w:r>
      <w:r w:rsidR="00774A59" w:rsidRPr="00281672">
        <w:t xml:space="preserve"> and that this facility is not adapted to the</w:t>
      </w:r>
      <w:r w:rsidR="00AE4B9A">
        <w:t>ir</w:t>
      </w:r>
      <w:r w:rsidR="00774A59" w:rsidRPr="00281672">
        <w:t xml:space="preserve"> need</w:t>
      </w:r>
      <w:r w:rsidR="00AE4B9A">
        <w:t>s</w:t>
      </w:r>
      <w:r w:rsidR="00774A59" w:rsidRPr="00281672">
        <w:t>.</w:t>
      </w:r>
    </w:p>
    <w:p w:rsidR="00774A59" w:rsidRDefault="003144F4" w:rsidP="003144F4">
      <w:pPr>
        <w:pStyle w:val="SingleTxtG"/>
        <w:rPr>
          <w:b/>
        </w:rPr>
      </w:pPr>
      <w:r w:rsidRPr="003144F4">
        <w:t>30.</w:t>
      </w:r>
      <w:r w:rsidRPr="003144F4">
        <w:tab/>
      </w:r>
      <w:r w:rsidR="00774A59" w:rsidRPr="005F6B78">
        <w:rPr>
          <w:b/>
        </w:rPr>
        <w:t xml:space="preserve">The Committee </w:t>
      </w:r>
      <w:r w:rsidR="00AE4B9A">
        <w:rPr>
          <w:b/>
        </w:rPr>
        <w:t>recommends that</w:t>
      </w:r>
      <w:r w:rsidR="00774A59" w:rsidRPr="005F6B78">
        <w:rPr>
          <w:b/>
        </w:rPr>
        <w:t xml:space="preserve"> the State party </w:t>
      </w:r>
      <w:r w:rsidR="00AE4B9A">
        <w:rPr>
          <w:b/>
        </w:rPr>
        <w:t>give priority to alternatives to</w:t>
      </w:r>
      <w:r w:rsidR="00774A59" w:rsidRPr="005F6B78">
        <w:rPr>
          <w:b/>
        </w:rPr>
        <w:t xml:space="preserve"> </w:t>
      </w:r>
      <w:r w:rsidR="00910D8C">
        <w:rPr>
          <w:b/>
        </w:rPr>
        <w:t>the placement of children</w:t>
      </w:r>
      <w:r w:rsidR="00910D8C" w:rsidRPr="005F6B78">
        <w:rPr>
          <w:b/>
        </w:rPr>
        <w:t xml:space="preserve"> </w:t>
      </w:r>
      <w:r w:rsidR="00315E42" w:rsidRPr="005F6B78">
        <w:rPr>
          <w:b/>
        </w:rPr>
        <w:t>of</w:t>
      </w:r>
      <w:r w:rsidR="00910D8C">
        <w:rPr>
          <w:b/>
        </w:rPr>
        <w:t xml:space="preserve"> detained</w:t>
      </w:r>
      <w:r w:rsidR="00315E42" w:rsidRPr="005F6B78">
        <w:rPr>
          <w:b/>
        </w:rPr>
        <w:t xml:space="preserve"> migrant workers</w:t>
      </w:r>
      <w:r w:rsidR="004E6B5B">
        <w:rPr>
          <w:b/>
        </w:rPr>
        <w:t xml:space="preserve"> in immigration centres</w:t>
      </w:r>
      <w:r w:rsidR="00E52D24">
        <w:rPr>
          <w:b/>
        </w:rPr>
        <w:t xml:space="preserve"> </w:t>
      </w:r>
      <w:r w:rsidR="004E6B5B">
        <w:rPr>
          <w:b/>
        </w:rPr>
        <w:t>and ensure</w:t>
      </w:r>
      <w:r w:rsidR="00AE4B9A">
        <w:rPr>
          <w:b/>
        </w:rPr>
        <w:t xml:space="preserve"> </w:t>
      </w:r>
      <w:r w:rsidR="00910D8C">
        <w:rPr>
          <w:b/>
        </w:rPr>
        <w:t xml:space="preserve">that </w:t>
      </w:r>
      <w:r w:rsidR="004E6B5B">
        <w:rPr>
          <w:b/>
        </w:rPr>
        <w:t>custodial</w:t>
      </w:r>
      <w:r w:rsidR="00AE4B9A">
        <w:rPr>
          <w:b/>
        </w:rPr>
        <w:t xml:space="preserve"> measure</w:t>
      </w:r>
      <w:r w:rsidR="004E6B5B">
        <w:rPr>
          <w:b/>
        </w:rPr>
        <w:t>s</w:t>
      </w:r>
      <w:r w:rsidR="00AE4B9A">
        <w:rPr>
          <w:b/>
        </w:rPr>
        <w:t xml:space="preserve"> </w:t>
      </w:r>
      <w:r w:rsidR="004E6B5B">
        <w:rPr>
          <w:b/>
        </w:rPr>
        <w:t>are</w:t>
      </w:r>
      <w:r w:rsidR="00910D8C">
        <w:rPr>
          <w:b/>
        </w:rPr>
        <w:t xml:space="preserve"> only taken as a</w:t>
      </w:r>
      <w:r w:rsidR="00A202E1">
        <w:rPr>
          <w:b/>
        </w:rPr>
        <w:t xml:space="preserve"> </w:t>
      </w:r>
      <w:r w:rsidR="00AE4B9A">
        <w:rPr>
          <w:b/>
        </w:rPr>
        <w:t>last resort</w:t>
      </w:r>
      <w:r w:rsidR="006D61B2">
        <w:rPr>
          <w:b/>
        </w:rPr>
        <w:t>,</w:t>
      </w:r>
      <w:r w:rsidR="009818D5" w:rsidRPr="005F6B78">
        <w:rPr>
          <w:b/>
        </w:rPr>
        <w:t xml:space="preserve"> when non–custodial measures are unavailable to uphold the right to family life.</w:t>
      </w:r>
    </w:p>
    <w:p w:rsidR="00400DFE" w:rsidRPr="005F6B78" w:rsidRDefault="003144F4" w:rsidP="003144F4">
      <w:pPr>
        <w:pStyle w:val="SingleTxtG"/>
        <w:rPr>
          <w:b/>
        </w:rPr>
      </w:pPr>
      <w:r w:rsidRPr="003144F4">
        <w:t>31.</w:t>
      </w:r>
      <w:r w:rsidRPr="003144F4">
        <w:tab/>
      </w:r>
      <w:r w:rsidR="001B6E04">
        <w:t xml:space="preserve">While </w:t>
      </w:r>
      <w:r w:rsidR="00AE4B9A">
        <w:t>noting</w:t>
      </w:r>
      <w:r w:rsidR="001B6E04">
        <w:t xml:space="preserve"> that</w:t>
      </w:r>
      <w:r w:rsidR="00AE118F">
        <w:t>,</w:t>
      </w:r>
      <w:r w:rsidR="005F6B78">
        <w:t xml:space="preserve"> under the Law on Movement and Stay of Aliens and Asylum,</w:t>
      </w:r>
      <w:r w:rsidR="001B6E04">
        <w:t xml:space="preserve"> </w:t>
      </w:r>
      <w:r w:rsidR="00AE4B9A">
        <w:t xml:space="preserve">an </w:t>
      </w:r>
      <w:r w:rsidR="001B6E04">
        <w:t>appeal automatically stay</w:t>
      </w:r>
      <w:r w:rsidR="00AE4B9A">
        <w:t>s</w:t>
      </w:r>
      <w:r w:rsidR="001B6E04">
        <w:t xml:space="preserve"> </w:t>
      </w:r>
      <w:r w:rsidR="00AE4B9A">
        <w:t xml:space="preserve">a </w:t>
      </w:r>
      <w:r w:rsidR="001B6E04">
        <w:t>decision on expulsion, t</w:t>
      </w:r>
      <w:r w:rsidR="00313D55">
        <w:t xml:space="preserve">he Committee </w:t>
      </w:r>
      <w:r w:rsidR="00AE4B9A">
        <w:t>is concerned about</w:t>
      </w:r>
      <w:r w:rsidR="00E3071D">
        <w:t xml:space="preserve"> </w:t>
      </w:r>
      <w:r w:rsidR="00313D55">
        <w:t>the short time-</w:t>
      </w:r>
      <w:r w:rsidR="001F7E7B" w:rsidRPr="001F7E7B">
        <w:t>limit for migrant workers to lodge appeals again</w:t>
      </w:r>
      <w:r w:rsidR="001F7E7B">
        <w:t xml:space="preserve">st </w:t>
      </w:r>
      <w:r w:rsidR="005F6B78">
        <w:t xml:space="preserve">such </w:t>
      </w:r>
      <w:r w:rsidR="001F7E7B">
        <w:t>decisions</w:t>
      </w:r>
      <w:r w:rsidR="00A26D05">
        <w:t xml:space="preserve">, particularly </w:t>
      </w:r>
      <w:r w:rsidR="00AE4B9A">
        <w:t>when they are</w:t>
      </w:r>
      <w:r w:rsidR="00A26D05">
        <w:t xml:space="preserve"> based on article 88</w:t>
      </w:r>
      <w:r w:rsidR="00AE4B9A">
        <w:t xml:space="preserve"> of the Law</w:t>
      </w:r>
      <w:r w:rsidR="00A26D05">
        <w:t xml:space="preserve">, </w:t>
      </w:r>
      <w:r w:rsidR="00AE4B9A">
        <w:t xml:space="preserve">in </w:t>
      </w:r>
      <w:r w:rsidR="00A26D05">
        <w:t xml:space="preserve">which </w:t>
      </w:r>
      <w:r w:rsidR="00AE4B9A">
        <w:t>case they must</w:t>
      </w:r>
      <w:r w:rsidR="00A26D05">
        <w:t xml:space="preserve"> be appealed within 24 hours.</w:t>
      </w:r>
    </w:p>
    <w:p w:rsidR="000847DB" w:rsidRPr="005F6B78" w:rsidRDefault="003144F4" w:rsidP="003144F4">
      <w:pPr>
        <w:pStyle w:val="SingleTxtG"/>
        <w:rPr>
          <w:b/>
        </w:rPr>
      </w:pPr>
      <w:r w:rsidRPr="003144F4">
        <w:t>32.</w:t>
      </w:r>
      <w:r w:rsidRPr="003144F4">
        <w:tab/>
      </w:r>
      <w:r w:rsidR="000414F5" w:rsidRPr="005F6B78">
        <w:rPr>
          <w:b/>
        </w:rPr>
        <w:t xml:space="preserve">The Committee recommends that the State party </w:t>
      </w:r>
      <w:r w:rsidR="00C6562B">
        <w:rPr>
          <w:b/>
        </w:rPr>
        <w:t>uphold all the procedural safeguards</w:t>
      </w:r>
      <w:r w:rsidR="000414F5" w:rsidRPr="005F6B78">
        <w:rPr>
          <w:b/>
        </w:rPr>
        <w:t xml:space="preserve"> </w:t>
      </w:r>
      <w:r w:rsidR="00C6562B">
        <w:rPr>
          <w:b/>
        </w:rPr>
        <w:t xml:space="preserve">contained </w:t>
      </w:r>
      <w:r w:rsidR="000414F5" w:rsidRPr="005F6B78">
        <w:rPr>
          <w:b/>
        </w:rPr>
        <w:t>in art</w:t>
      </w:r>
      <w:r w:rsidR="00A26D05" w:rsidRPr="005F6B78">
        <w:rPr>
          <w:b/>
        </w:rPr>
        <w:t>icle 22 of the Convention and</w:t>
      </w:r>
      <w:r w:rsidR="00914C27" w:rsidRPr="005F6B78">
        <w:rPr>
          <w:b/>
          <w:bCs/>
        </w:rPr>
        <w:t xml:space="preserve"> </w:t>
      </w:r>
      <w:r w:rsidR="00C6562B">
        <w:rPr>
          <w:b/>
          <w:bCs/>
        </w:rPr>
        <w:t xml:space="preserve">consider </w:t>
      </w:r>
      <w:r w:rsidR="00914C27" w:rsidRPr="005F6B78">
        <w:rPr>
          <w:b/>
          <w:bCs/>
        </w:rPr>
        <w:t>extending the time</w:t>
      </w:r>
      <w:r w:rsidR="006E4475">
        <w:rPr>
          <w:b/>
          <w:bCs/>
        </w:rPr>
        <w:t xml:space="preserve"> </w:t>
      </w:r>
      <w:r w:rsidR="00400DFE" w:rsidRPr="005F6B78">
        <w:rPr>
          <w:b/>
          <w:bCs/>
        </w:rPr>
        <w:t>li</w:t>
      </w:r>
      <w:r w:rsidR="00B263C6" w:rsidRPr="005F6B78">
        <w:rPr>
          <w:b/>
          <w:bCs/>
        </w:rPr>
        <w:t xml:space="preserve">mit for lodging appeals against </w:t>
      </w:r>
      <w:r w:rsidR="00400DFE" w:rsidRPr="005F6B78">
        <w:rPr>
          <w:b/>
          <w:bCs/>
        </w:rPr>
        <w:t>decisions on expulsion</w:t>
      </w:r>
      <w:r w:rsidR="00A26D05" w:rsidRPr="005F6B78">
        <w:rPr>
          <w:b/>
          <w:bCs/>
        </w:rPr>
        <w:t>.</w:t>
      </w:r>
    </w:p>
    <w:p w:rsidR="00FC200E" w:rsidRPr="005F6B78" w:rsidRDefault="003144F4" w:rsidP="003144F4">
      <w:pPr>
        <w:pStyle w:val="SingleTxtG"/>
        <w:rPr>
          <w:b/>
        </w:rPr>
      </w:pPr>
      <w:r w:rsidRPr="003144F4">
        <w:t>33.</w:t>
      </w:r>
      <w:r w:rsidRPr="003144F4">
        <w:tab/>
      </w:r>
      <w:r w:rsidR="00FC200E" w:rsidRPr="00FC200E">
        <w:t>The Committee is</w:t>
      </w:r>
      <w:r w:rsidR="00FE09CB">
        <w:t xml:space="preserve"> </w:t>
      </w:r>
      <w:r w:rsidR="00FC200E" w:rsidRPr="00FC200E">
        <w:t>concerned about</w:t>
      </w:r>
      <w:r w:rsidR="0026161B">
        <w:t xml:space="preserve"> the lack of</w:t>
      </w:r>
      <w:r w:rsidR="00FE09CB">
        <w:t xml:space="preserve"> measures taken to protect</w:t>
      </w:r>
      <w:r w:rsidR="00FC200E" w:rsidRPr="00FC200E">
        <w:t xml:space="preserve"> </w:t>
      </w:r>
      <w:r w:rsidR="00C6562B">
        <w:t xml:space="preserve">migrant </w:t>
      </w:r>
      <w:r w:rsidR="00FC200E" w:rsidRPr="00FC200E">
        <w:t xml:space="preserve">domestic workers, </w:t>
      </w:r>
      <w:r w:rsidR="00C6562B">
        <w:t>including</w:t>
      </w:r>
      <w:r w:rsidR="00FC200E" w:rsidRPr="00FC200E">
        <w:t xml:space="preserve"> those in an irregular situation, </w:t>
      </w:r>
      <w:r w:rsidR="00FE09CB" w:rsidRPr="00FC200E">
        <w:t xml:space="preserve">particularly </w:t>
      </w:r>
      <w:r w:rsidR="00C6562B">
        <w:t xml:space="preserve">women, who are regularly </w:t>
      </w:r>
      <w:r w:rsidR="00FE09CB" w:rsidRPr="00FC200E">
        <w:t xml:space="preserve">exposed to </w:t>
      </w:r>
      <w:r w:rsidR="00FE09CB">
        <w:t xml:space="preserve">exploitation and </w:t>
      </w:r>
      <w:r w:rsidR="00C6562B">
        <w:t>abuse</w:t>
      </w:r>
      <w:r w:rsidR="0067722E">
        <w:t>.</w:t>
      </w:r>
    </w:p>
    <w:p w:rsidR="00FC200E" w:rsidRPr="005F6B78" w:rsidRDefault="003144F4" w:rsidP="003144F4">
      <w:pPr>
        <w:pStyle w:val="SingleTxtG"/>
        <w:rPr>
          <w:b/>
        </w:rPr>
      </w:pPr>
      <w:r w:rsidRPr="003144F4">
        <w:t>34.</w:t>
      </w:r>
      <w:r w:rsidRPr="003144F4">
        <w:tab/>
      </w:r>
      <w:r w:rsidR="00A32B7F">
        <w:rPr>
          <w:b/>
          <w:bCs/>
        </w:rPr>
        <w:t>I</w:t>
      </w:r>
      <w:r w:rsidR="002B529A" w:rsidRPr="005F6B78">
        <w:rPr>
          <w:b/>
          <w:bCs/>
        </w:rPr>
        <w:t xml:space="preserve">n line with article 25 of the Convention, </w:t>
      </w:r>
      <w:r w:rsidR="00650A4D" w:rsidRPr="005F6B78">
        <w:rPr>
          <w:b/>
          <w:bCs/>
        </w:rPr>
        <w:t>t</w:t>
      </w:r>
      <w:r w:rsidR="00FC200E" w:rsidRPr="005F6B78">
        <w:rPr>
          <w:b/>
          <w:bCs/>
        </w:rPr>
        <w:t xml:space="preserve">he Committee </w:t>
      </w:r>
      <w:r w:rsidR="00C6562B">
        <w:rPr>
          <w:b/>
          <w:bCs/>
        </w:rPr>
        <w:t>recommends that</w:t>
      </w:r>
      <w:r w:rsidR="00D2228C" w:rsidRPr="005F6B78">
        <w:rPr>
          <w:b/>
          <w:bCs/>
        </w:rPr>
        <w:t xml:space="preserve"> </w:t>
      </w:r>
      <w:r w:rsidR="00FC200E" w:rsidRPr="005F6B78">
        <w:rPr>
          <w:b/>
          <w:bCs/>
        </w:rPr>
        <w:t xml:space="preserve">the State party: </w:t>
      </w:r>
    </w:p>
    <w:p w:rsidR="00E52D24" w:rsidRDefault="00FC200E" w:rsidP="003144F4">
      <w:pPr>
        <w:pStyle w:val="SingleTxtG"/>
        <w:ind w:firstLine="567"/>
        <w:rPr>
          <w:b/>
          <w:bCs/>
        </w:rPr>
      </w:pPr>
      <w:r w:rsidRPr="00FC200E">
        <w:rPr>
          <w:b/>
          <w:bCs/>
        </w:rPr>
        <w:t>(</w:t>
      </w:r>
      <w:r w:rsidR="00154F93">
        <w:rPr>
          <w:b/>
          <w:bCs/>
        </w:rPr>
        <w:t>a</w:t>
      </w:r>
      <w:r w:rsidRPr="00FC200E">
        <w:rPr>
          <w:b/>
          <w:bCs/>
        </w:rPr>
        <w:t>)</w:t>
      </w:r>
      <w:r w:rsidR="003144F4">
        <w:rPr>
          <w:b/>
          <w:bCs/>
        </w:rPr>
        <w:tab/>
      </w:r>
      <w:r w:rsidR="00E52D24">
        <w:rPr>
          <w:b/>
          <w:bCs/>
        </w:rPr>
        <w:t>Ensure that</w:t>
      </w:r>
      <w:r w:rsidR="00E52D24" w:rsidRPr="00FC200E">
        <w:rPr>
          <w:b/>
          <w:bCs/>
        </w:rPr>
        <w:t xml:space="preserve"> </w:t>
      </w:r>
      <w:r w:rsidRPr="00FC200E">
        <w:rPr>
          <w:b/>
          <w:bCs/>
        </w:rPr>
        <w:t>labour inspections</w:t>
      </w:r>
      <w:r w:rsidR="00E52D24">
        <w:rPr>
          <w:b/>
          <w:bCs/>
        </w:rPr>
        <w:t xml:space="preserve"> monitor the working conditions of migrant domestic workers;</w:t>
      </w:r>
    </w:p>
    <w:p w:rsidR="00FE09CB" w:rsidRPr="00FE09CB" w:rsidRDefault="003144F4" w:rsidP="003144F4">
      <w:pPr>
        <w:pStyle w:val="SingleTxtG"/>
        <w:ind w:firstLine="567"/>
        <w:rPr>
          <w:b/>
          <w:bCs/>
        </w:rPr>
      </w:pPr>
      <w:r>
        <w:rPr>
          <w:b/>
          <w:bCs/>
        </w:rPr>
        <w:t>(</w:t>
      </w:r>
      <w:r w:rsidR="00E52D24">
        <w:rPr>
          <w:b/>
          <w:bCs/>
        </w:rPr>
        <w:t>b)</w:t>
      </w:r>
      <w:r>
        <w:rPr>
          <w:b/>
          <w:bCs/>
        </w:rPr>
        <w:tab/>
      </w:r>
      <w:r w:rsidR="00E52D24">
        <w:rPr>
          <w:b/>
          <w:bCs/>
        </w:rPr>
        <w:t xml:space="preserve">Increase </w:t>
      </w:r>
      <w:r w:rsidR="00FC200E" w:rsidRPr="00FC200E">
        <w:rPr>
          <w:b/>
          <w:bCs/>
        </w:rPr>
        <w:t xml:space="preserve">fines and other penalties for employers exploiting migrant </w:t>
      </w:r>
      <w:r w:rsidR="00C6562B">
        <w:rPr>
          <w:b/>
          <w:bCs/>
        </w:rPr>
        <w:t xml:space="preserve">domestic </w:t>
      </w:r>
      <w:r w:rsidR="00FC200E" w:rsidRPr="00FC200E">
        <w:rPr>
          <w:b/>
          <w:bCs/>
        </w:rPr>
        <w:t xml:space="preserve">workers or subjecting them to forced labour and abuse, especially in the informal economy; </w:t>
      </w:r>
      <w:r w:rsidR="00C6562B">
        <w:rPr>
          <w:b/>
          <w:bCs/>
        </w:rPr>
        <w:t>and</w:t>
      </w:r>
    </w:p>
    <w:p w:rsidR="0026161B" w:rsidRPr="00A32B7F" w:rsidRDefault="00001D48" w:rsidP="003144F4">
      <w:pPr>
        <w:pStyle w:val="SingleTxtG"/>
        <w:ind w:firstLine="567"/>
        <w:rPr>
          <w:b/>
          <w:bCs/>
        </w:rPr>
      </w:pPr>
      <w:r>
        <w:rPr>
          <w:b/>
          <w:bCs/>
        </w:rPr>
        <w:t>(</w:t>
      </w:r>
      <w:r w:rsidR="00E52D24">
        <w:rPr>
          <w:b/>
          <w:bCs/>
        </w:rPr>
        <w:t>c</w:t>
      </w:r>
      <w:r w:rsidR="00FC200E" w:rsidRPr="00FC200E">
        <w:rPr>
          <w:b/>
          <w:bCs/>
        </w:rPr>
        <w:t>)</w:t>
      </w:r>
      <w:r w:rsidR="003144F4">
        <w:rPr>
          <w:b/>
          <w:bCs/>
        </w:rPr>
        <w:tab/>
      </w:r>
      <w:r w:rsidR="00FC200E" w:rsidRPr="00FC200E">
        <w:rPr>
          <w:b/>
          <w:bCs/>
        </w:rPr>
        <w:t xml:space="preserve">Ensure that </w:t>
      </w:r>
      <w:r w:rsidR="00C6562B">
        <w:rPr>
          <w:b/>
          <w:bCs/>
        </w:rPr>
        <w:t xml:space="preserve">migrant </w:t>
      </w:r>
      <w:r w:rsidR="00FC200E" w:rsidRPr="00FC200E">
        <w:rPr>
          <w:b/>
          <w:bCs/>
        </w:rPr>
        <w:t>domestic wo</w:t>
      </w:r>
      <w:r w:rsidR="00075A86">
        <w:rPr>
          <w:b/>
          <w:bCs/>
        </w:rPr>
        <w:t xml:space="preserve">rkers have access to effective </w:t>
      </w:r>
      <w:r w:rsidR="00FC200E" w:rsidRPr="00FC200E">
        <w:rPr>
          <w:b/>
          <w:bCs/>
        </w:rPr>
        <w:t>mechanisms for bringing complaints against employers,</w:t>
      </w:r>
      <w:r w:rsidR="00075A86">
        <w:rPr>
          <w:b/>
          <w:bCs/>
        </w:rPr>
        <w:t xml:space="preserve"> and prosecute and punish those </w:t>
      </w:r>
      <w:r w:rsidR="00FC200E" w:rsidRPr="00FC200E">
        <w:rPr>
          <w:b/>
          <w:bCs/>
        </w:rPr>
        <w:t>responsible for abuses against them, in line with the Committee’s g</w:t>
      </w:r>
      <w:r w:rsidR="00FC200E" w:rsidRPr="0071786E">
        <w:rPr>
          <w:b/>
          <w:bCs/>
        </w:rPr>
        <w:t>eneral comment No. 1 (20</w:t>
      </w:r>
      <w:r w:rsidR="00075A86" w:rsidRPr="0071786E">
        <w:rPr>
          <w:b/>
          <w:bCs/>
        </w:rPr>
        <w:t xml:space="preserve">10) on </w:t>
      </w:r>
      <w:r w:rsidR="00E3071D" w:rsidRPr="0071786E">
        <w:rPr>
          <w:b/>
          <w:bCs/>
        </w:rPr>
        <w:t>migrant domestic workers</w:t>
      </w:r>
      <w:r w:rsidR="00E3071D">
        <w:rPr>
          <w:b/>
          <w:bCs/>
        </w:rPr>
        <w:t>.</w:t>
      </w:r>
    </w:p>
    <w:p w:rsidR="00320750" w:rsidRDefault="003144F4" w:rsidP="003144F4">
      <w:pPr>
        <w:pStyle w:val="SingleTxtG"/>
      </w:pPr>
      <w:r>
        <w:t>35.</w:t>
      </w:r>
      <w:r>
        <w:tab/>
      </w:r>
      <w:r w:rsidR="00F705CE">
        <w:t>The Committee is con</w:t>
      </w:r>
      <w:r w:rsidR="00721AAC">
        <w:t xml:space="preserve">cerned that </w:t>
      </w:r>
      <w:r w:rsidR="00721AAC" w:rsidRPr="00886D0A">
        <w:t>children of migrant</w:t>
      </w:r>
      <w:r w:rsidR="00F705CE" w:rsidRPr="00886D0A">
        <w:t xml:space="preserve"> workers, including </w:t>
      </w:r>
      <w:r w:rsidR="00886D0A">
        <w:t xml:space="preserve">Roma children and </w:t>
      </w:r>
      <w:r w:rsidR="00972938" w:rsidRPr="00886D0A">
        <w:t>children</w:t>
      </w:r>
      <w:r w:rsidR="007918C7">
        <w:t xml:space="preserve"> of migrant workers</w:t>
      </w:r>
      <w:r w:rsidR="00F705CE" w:rsidRPr="00886D0A">
        <w:t xml:space="preserve"> in an irregular situation</w:t>
      </w:r>
      <w:r w:rsidR="00154F93" w:rsidRPr="00886D0A">
        <w:t>,</w:t>
      </w:r>
      <w:r w:rsidR="00F705CE">
        <w:t xml:space="preserve"> </w:t>
      </w:r>
      <w:r w:rsidR="001E1844">
        <w:t>are often not</w:t>
      </w:r>
      <w:r w:rsidR="00F705CE">
        <w:t xml:space="preserve"> </w:t>
      </w:r>
      <w:r w:rsidR="00154F93">
        <w:t xml:space="preserve">registered at birth and </w:t>
      </w:r>
      <w:r w:rsidR="005602A3">
        <w:t xml:space="preserve">issued personal </w:t>
      </w:r>
      <w:r w:rsidR="00721AAC">
        <w:t xml:space="preserve">identity </w:t>
      </w:r>
      <w:r w:rsidR="005602A3">
        <w:t>documents</w:t>
      </w:r>
      <w:r w:rsidR="00721AAC">
        <w:t xml:space="preserve">, which </w:t>
      </w:r>
      <w:r w:rsidR="001E1844">
        <w:t>impede</w:t>
      </w:r>
      <w:r w:rsidR="00154F93">
        <w:t>s</w:t>
      </w:r>
      <w:r w:rsidR="00721AAC">
        <w:t xml:space="preserve"> their access to health</w:t>
      </w:r>
      <w:r w:rsidR="001E1844">
        <w:t xml:space="preserve"> </w:t>
      </w:r>
      <w:r w:rsidR="00721AAC">
        <w:t xml:space="preserve">care, social benefits and </w:t>
      </w:r>
      <w:r w:rsidR="001E1844">
        <w:t>education</w:t>
      </w:r>
      <w:r w:rsidR="00721AAC">
        <w:t>.</w:t>
      </w:r>
    </w:p>
    <w:p w:rsidR="00721AAC" w:rsidRPr="005F6B78" w:rsidRDefault="003144F4" w:rsidP="003144F4">
      <w:pPr>
        <w:pStyle w:val="SingleTxtG"/>
      </w:pPr>
      <w:r w:rsidRPr="005F6B78">
        <w:t>36.</w:t>
      </w:r>
      <w:r w:rsidRPr="005F6B78">
        <w:tab/>
      </w:r>
      <w:r w:rsidR="00320750" w:rsidRPr="005F6B78">
        <w:rPr>
          <w:b/>
        </w:rPr>
        <w:t xml:space="preserve">The Committee </w:t>
      </w:r>
      <w:r w:rsidR="001E1844">
        <w:rPr>
          <w:b/>
        </w:rPr>
        <w:t>recommends that</w:t>
      </w:r>
      <w:r w:rsidR="00320750" w:rsidRPr="005F6B78">
        <w:rPr>
          <w:b/>
        </w:rPr>
        <w:t xml:space="preserve"> the State party</w:t>
      </w:r>
      <w:r w:rsidR="00721AAC" w:rsidRPr="005F6B78">
        <w:rPr>
          <w:b/>
        </w:rPr>
        <w:t>:</w:t>
      </w:r>
    </w:p>
    <w:p w:rsidR="00972938" w:rsidRDefault="00D91113" w:rsidP="00D91113">
      <w:pPr>
        <w:pStyle w:val="SingleTxtG"/>
        <w:ind w:firstLine="567"/>
        <w:rPr>
          <w:b/>
        </w:rPr>
      </w:pPr>
      <w:r>
        <w:rPr>
          <w:b/>
        </w:rPr>
        <w:t>(a)</w:t>
      </w:r>
      <w:r>
        <w:rPr>
          <w:b/>
        </w:rPr>
        <w:tab/>
      </w:r>
      <w:r w:rsidR="00721AAC">
        <w:rPr>
          <w:b/>
        </w:rPr>
        <w:t>I</w:t>
      </w:r>
      <w:r w:rsidR="00721AAC" w:rsidRPr="00721AAC">
        <w:rPr>
          <w:b/>
        </w:rPr>
        <w:t xml:space="preserve">ntensify its efforts to </w:t>
      </w:r>
      <w:r w:rsidR="009F6E68" w:rsidRPr="00721AAC">
        <w:rPr>
          <w:b/>
        </w:rPr>
        <w:t>e</w:t>
      </w:r>
      <w:r w:rsidR="004C7FE3" w:rsidRPr="00721AAC">
        <w:rPr>
          <w:b/>
        </w:rPr>
        <w:t>nsure that all children of migrant workers</w:t>
      </w:r>
      <w:r w:rsidR="00721AAC">
        <w:rPr>
          <w:b/>
        </w:rPr>
        <w:t xml:space="preserve"> are registered at birth</w:t>
      </w:r>
      <w:r w:rsidR="006109B9" w:rsidRPr="006109B9">
        <w:rPr>
          <w:b/>
        </w:rPr>
        <w:t xml:space="preserve"> </w:t>
      </w:r>
      <w:r w:rsidR="001E1844">
        <w:rPr>
          <w:b/>
        </w:rPr>
        <w:t>and issued personal identity documents</w:t>
      </w:r>
      <w:r w:rsidR="00721AAC">
        <w:rPr>
          <w:b/>
        </w:rPr>
        <w:t>;</w:t>
      </w:r>
    </w:p>
    <w:p w:rsidR="00721AAC" w:rsidRDefault="00972938" w:rsidP="00D91113">
      <w:pPr>
        <w:pStyle w:val="SingleTxtG"/>
        <w:ind w:firstLine="567"/>
        <w:rPr>
          <w:b/>
        </w:rPr>
      </w:pPr>
      <w:r>
        <w:rPr>
          <w:b/>
        </w:rPr>
        <w:t>(b)</w:t>
      </w:r>
      <w:r w:rsidR="00D91113">
        <w:rPr>
          <w:b/>
        </w:rPr>
        <w:tab/>
      </w:r>
      <w:r w:rsidR="007E4226">
        <w:rPr>
          <w:b/>
        </w:rPr>
        <w:t xml:space="preserve">Provide </w:t>
      </w:r>
      <w:r w:rsidRPr="000F7B22">
        <w:rPr>
          <w:b/>
        </w:rPr>
        <w:t>training</w:t>
      </w:r>
      <w:r w:rsidR="007E4226">
        <w:rPr>
          <w:b/>
        </w:rPr>
        <w:t xml:space="preserve"> to the</w:t>
      </w:r>
      <w:r w:rsidR="00843693">
        <w:rPr>
          <w:b/>
        </w:rPr>
        <w:t xml:space="preserve"> relevant</w:t>
      </w:r>
      <w:r w:rsidR="007E4226">
        <w:rPr>
          <w:b/>
        </w:rPr>
        <w:t xml:space="preserve"> law enforcement officers </w:t>
      </w:r>
      <w:r w:rsidR="00843693">
        <w:rPr>
          <w:b/>
        </w:rPr>
        <w:t>on the systematic birth registration of all children</w:t>
      </w:r>
      <w:r w:rsidR="007918C7">
        <w:rPr>
          <w:b/>
        </w:rPr>
        <w:t xml:space="preserve"> of migrant workers</w:t>
      </w:r>
      <w:r w:rsidR="00843693">
        <w:rPr>
          <w:b/>
        </w:rPr>
        <w:t>;</w:t>
      </w:r>
      <w:r w:rsidR="00DB3914">
        <w:rPr>
          <w:b/>
        </w:rPr>
        <w:t xml:space="preserve"> and</w:t>
      </w:r>
    </w:p>
    <w:p w:rsidR="00CD64E9" w:rsidRDefault="00972938" w:rsidP="00D91113">
      <w:pPr>
        <w:pStyle w:val="SingleTxtG"/>
        <w:ind w:firstLine="567"/>
        <w:rPr>
          <w:b/>
        </w:rPr>
      </w:pPr>
      <w:r>
        <w:rPr>
          <w:b/>
        </w:rPr>
        <w:t>(c</w:t>
      </w:r>
      <w:r w:rsidR="00721AAC">
        <w:rPr>
          <w:b/>
        </w:rPr>
        <w:t>)</w:t>
      </w:r>
      <w:r w:rsidR="00D91113">
        <w:rPr>
          <w:b/>
        </w:rPr>
        <w:tab/>
      </w:r>
      <w:r w:rsidR="00721AAC">
        <w:rPr>
          <w:b/>
        </w:rPr>
        <w:t>R</w:t>
      </w:r>
      <w:r w:rsidR="00CD64E9" w:rsidRPr="00721AAC">
        <w:rPr>
          <w:b/>
        </w:rPr>
        <w:t xml:space="preserve">aise awareness </w:t>
      </w:r>
      <w:r w:rsidR="00721AAC">
        <w:rPr>
          <w:b/>
        </w:rPr>
        <w:t>on</w:t>
      </w:r>
      <w:r w:rsidR="00721AAC" w:rsidRPr="00721AAC">
        <w:rPr>
          <w:b/>
        </w:rPr>
        <w:t xml:space="preserve"> the importance of birth registration </w:t>
      </w:r>
      <w:r w:rsidR="004C7FE3" w:rsidRPr="00721AAC">
        <w:rPr>
          <w:b/>
        </w:rPr>
        <w:t>among migrant workers</w:t>
      </w:r>
      <w:r w:rsidR="001E1844">
        <w:rPr>
          <w:b/>
        </w:rPr>
        <w:t xml:space="preserve"> and members of their families</w:t>
      </w:r>
      <w:r w:rsidR="00B20F63">
        <w:rPr>
          <w:b/>
        </w:rPr>
        <w:t>, especially those in an irregular situation</w:t>
      </w:r>
      <w:r w:rsidR="006109B9">
        <w:rPr>
          <w:b/>
        </w:rPr>
        <w:t>.</w:t>
      </w:r>
    </w:p>
    <w:p w:rsidR="00AA1FD2" w:rsidRDefault="003144F4" w:rsidP="003144F4">
      <w:pPr>
        <w:pStyle w:val="SingleTxtG"/>
      </w:pPr>
      <w:r>
        <w:t>37.</w:t>
      </w:r>
      <w:r>
        <w:tab/>
      </w:r>
      <w:r w:rsidR="00320750" w:rsidRPr="00320750">
        <w:t xml:space="preserve">The Committee is concerned </w:t>
      </w:r>
      <w:r w:rsidR="001E1844">
        <w:t>about</w:t>
      </w:r>
      <w:r w:rsidR="00320750" w:rsidRPr="00320750">
        <w:t xml:space="preserve"> the lack of information on access to </w:t>
      </w:r>
      <w:r w:rsidR="00320750" w:rsidRPr="003C0728">
        <w:t>education</w:t>
      </w:r>
      <w:r w:rsidR="00320750" w:rsidRPr="00320750">
        <w:t xml:space="preserve"> for</w:t>
      </w:r>
      <w:r w:rsidR="00320750">
        <w:t xml:space="preserve"> </w:t>
      </w:r>
      <w:r w:rsidR="00320750" w:rsidRPr="00320750">
        <w:t>children of migrant workers</w:t>
      </w:r>
      <w:r w:rsidR="00F37370" w:rsidRPr="00F37370">
        <w:t xml:space="preserve"> </w:t>
      </w:r>
      <w:r w:rsidR="00F37370" w:rsidRPr="00320750">
        <w:t>in the State party</w:t>
      </w:r>
      <w:r w:rsidR="00A7098D">
        <w:t xml:space="preserve">. </w:t>
      </w:r>
      <w:r w:rsidR="00A7098D" w:rsidRPr="00A7098D">
        <w:t xml:space="preserve">It is further concerned by the </w:t>
      </w:r>
      <w:r w:rsidR="00156CB3">
        <w:t>exclusion of children</w:t>
      </w:r>
      <w:r w:rsidR="007918C7">
        <w:t xml:space="preserve"> of migrant workers</w:t>
      </w:r>
      <w:r w:rsidR="00156CB3">
        <w:t xml:space="preserve"> from certain </w:t>
      </w:r>
      <w:r w:rsidR="002D4DFC">
        <w:t xml:space="preserve">mono-ethnic </w:t>
      </w:r>
      <w:r w:rsidR="00A7098D" w:rsidRPr="00A7098D">
        <w:t>school</w:t>
      </w:r>
      <w:r w:rsidR="00156CB3">
        <w:t>s based on their ethnicity.</w:t>
      </w:r>
    </w:p>
    <w:p w:rsidR="00650A4D" w:rsidRPr="005F6B78" w:rsidRDefault="003144F4" w:rsidP="003144F4">
      <w:pPr>
        <w:pStyle w:val="SingleTxtG"/>
      </w:pPr>
      <w:r w:rsidRPr="005F6B78">
        <w:t>38.</w:t>
      </w:r>
      <w:r w:rsidRPr="005F6B78">
        <w:tab/>
      </w:r>
      <w:r w:rsidR="00320750" w:rsidRPr="005F6B78">
        <w:rPr>
          <w:b/>
          <w:bCs/>
        </w:rPr>
        <w:t>The Committee recommends that the State party</w:t>
      </w:r>
      <w:r w:rsidR="00650A4D" w:rsidRPr="005F6B78">
        <w:rPr>
          <w:b/>
          <w:bCs/>
        </w:rPr>
        <w:t>:</w:t>
      </w:r>
    </w:p>
    <w:p w:rsidR="00320750" w:rsidRDefault="00D91113" w:rsidP="00D91113">
      <w:pPr>
        <w:pStyle w:val="SingleTxtG"/>
        <w:ind w:firstLine="567"/>
        <w:rPr>
          <w:b/>
          <w:bCs/>
        </w:rPr>
      </w:pPr>
      <w:r>
        <w:rPr>
          <w:b/>
          <w:bCs/>
        </w:rPr>
        <w:t>(a)</w:t>
      </w:r>
      <w:r>
        <w:rPr>
          <w:b/>
          <w:bCs/>
        </w:rPr>
        <w:tab/>
      </w:r>
      <w:r w:rsidR="001E1844">
        <w:rPr>
          <w:b/>
          <w:bCs/>
        </w:rPr>
        <w:t>E</w:t>
      </w:r>
      <w:r w:rsidR="00320750" w:rsidRPr="00320750">
        <w:rPr>
          <w:b/>
          <w:bCs/>
        </w:rPr>
        <w:t>nsure that all children of migrant workers have access to primary and secondary</w:t>
      </w:r>
      <w:r w:rsidR="00320750">
        <w:t xml:space="preserve"> </w:t>
      </w:r>
      <w:r w:rsidR="00320750" w:rsidRPr="00320750">
        <w:rPr>
          <w:b/>
          <w:bCs/>
        </w:rPr>
        <w:t xml:space="preserve">education on </w:t>
      </w:r>
      <w:r w:rsidR="001E1844">
        <w:rPr>
          <w:b/>
          <w:bCs/>
        </w:rPr>
        <w:t>the basis of</w:t>
      </w:r>
      <w:r w:rsidR="00320750" w:rsidRPr="00320750">
        <w:rPr>
          <w:b/>
          <w:bCs/>
        </w:rPr>
        <w:t xml:space="preserve"> equal</w:t>
      </w:r>
      <w:r w:rsidR="001E1844">
        <w:rPr>
          <w:b/>
          <w:bCs/>
        </w:rPr>
        <w:t>ity of treatment</w:t>
      </w:r>
      <w:r w:rsidR="00320750" w:rsidRPr="00320750">
        <w:rPr>
          <w:b/>
          <w:bCs/>
        </w:rPr>
        <w:t xml:space="preserve"> wi</w:t>
      </w:r>
      <w:r w:rsidR="00650A4D">
        <w:rPr>
          <w:b/>
          <w:bCs/>
        </w:rPr>
        <w:t>th nationals of the State party;</w:t>
      </w:r>
    </w:p>
    <w:p w:rsidR="00650A4D" w:rsidRDefault="002B529A" w:rsidP="00D91113">
      <w:pPr>
        <w:pStyle w:val="SingleTxtG"/>
        <w:ind w:firstLine="567"/>
        <w:rPr>
          <w:b/>
          <w:bCs/>
        </w:rPr>
      </w:pPr>
      <w:r>
        <w:rPr>
          <w:b/>
          <w:bCs/>
        </w:rPr>
        <w:t>(b)</w:t>
      </w:r>
      <w:r w:rsidR="00D91113">
        <w:rPr>
          <w:b/>
          <w:bCs/>
        </w:rPr>
        <w:tab/>
      </w:r>
      <w:r>
        <w:rPr>
          <w:b/>
          <w:bCs/>
        </w:rPr>
        <w:t xml:space="preserve">Take measures </w:t>
      </w:r>
      <w:r w:rsidR="00A7098D" w:rsidRPr="00A7098D">
        <w:rPr>
          <w:b/>
          <w:bCs/>
        </w:rPr>
        <w:t xml:space="preserve">to </w:t>
      </w:r>
      <w:r>
        <w:rPr>
          <w:b/>
          <w:bCs/>
        </w:rPr>
        <w:t>eliminate discrimination against children</w:t>
      </w:r>
      <w:r w:rsidR="007918C7">
        <w:rPr>
          <w:b/>
          <w:bCs/>
        </w:rPr>
        <w:t xml:space="preserve"> of migrant workers</w:t>
      </w:r>
      <w:r>
        <w:rPr>
          <w:b/>
          <w:bCs/>
        </w:rPr>
        <w:t xml:space="preserve"> in the educational system</w:t>
      </w:r>
      <w:r w:rsidR="00026705">
        <w:rPr>
          <w:b/>
          <w:bCs/>
        </w:rPr>
        <w:t>; and</w:t>
      </w:r>
    </w:p>
    <w:p w:rsidR="00026705" w:rsidRDefault="00026705" w:rsidP="00D91113">
      <w:pPr>
        <w:pStyle w:val="SingleTxtG"/>
        <w:ind w:firstLine="567"/>
      </w:pPr>
      <w:r>
        <w:rPr>
          <w:b/>
          <w:bCs/>
        </w:rPr>
        <w:t>(c)</w:t>
      </w:r>
      <w:r w:rsidR="00D91113">
        <w:rPr>
          <w:b/>
          <w:bCs/>
        </w:rPr>
        <w:tab/>
      </w:r>
      <w:r>
        <w:rPr>
          <w:b/>
          <w:bCs/>
        </w:rPr>
        <w:t>I</w:t>
      </w:r>
      <w:r w:rsidRPr="00320750">
        <w:rPr>
          <w:b/>
          <w:bCs/>
        </w:rPr>
        <w:t xml:space="preserve">nclude </w:t>
      </w:r>
      <w:r>
        <w:rPr>
          <w:b/>
          <w:bCs/>
        </w:rPr>
        <w:t xml:space="preserve">in its next periodic report </w:t>
      </w:r>
      <w:r w:rsidRPr="00320750">
        <w:rPr>
          <w:b/>
          <w:bCs/>
        </w:rPr>
        <w:t xml:space="preserve">information on </w:t>
      </w:r>
      <w:r>
        <w:rPr>
          <w:b/>
          <w:bCs/>
        </w:rPr>
        <w:t>the</w:t>
      </w:r>
      <w:r w:rsidRPr="00320750">
        <w:rPr>
          <w:b/>
          <w:bCs/>
        </w:rPr>
        <w:t xml:space="preserve"> measures </w:t>
      </w:r>
      <w:r>
        <w:rPr>
          <w:b/>
          <w:bCs/>
        </w:rPr>
        <w:t xml:space="preserve">taken in that regard </w:t>
      </w:r>
      <w:r w:rsidRPr="00320750">
        <w:rPr>
          <w:b/>
          <w:bCs/>
        </w:rPr>
        <w:t xml:space="preserve">and on </w:t>
      </w:r>
      <w:r>
        <w:rPr>
          <w:b/>
          <w:bCs/>
        </w:rPr>
        <w:t xml:space="preserve">the </w:t>
      </w:r>
      <w:r w:rsidRPr="00320750">
        <w:rPr>
          <w:b/>
          <w:bCs/>
        </w:rPr>
        <w:t xml:space="preserve">enrolment rates </w:t>
      </w:r>
      <w:r>
        <w:rPr>
          <w:b/>
          <w:bCs/>
        </w:rPr>
        <w:t>of</w:t>
      </w:r>
      <w:r w:rsidRPr="00320750">
        <w:rPr>
          <w:b/>
          <w:bCs/>
        </w:rPr>
        <w:t xml:space="preserve"> </w:t>
      </w:r>
      <w:r>
        <w:rPr>
          <w:b/>
          <w:bCs/>
        </w:rPr>
        <w:t>children</w:t>
      </w:r>
      <w:r w:rsidR="007918C7">
        <w:rPr>
          <w:b/>
          <w:bCs/>
        </w:rPr>
        <w:t xml:space="preserve"> of migrant workers</w:t>
      </w:r>
      <w:r w:rsidRPr="00320750">
        <w:rPr>
          <w:b/>
          <w:bCs/>
        </w:rPr>
        <w:t>, including those in an irregular situation</w:t>
      </w:r>
      <w:r>
        <w:rPr>
          <w:b/>
          <w:bCs/>
        </w:rPr>
        <w:t>.</w:t>
      </w:r>
    </w:p>
    <w:p w:rsidR="00BE793B" w:rsidRDefault="008B2E59" w:rsidP="00BE793B">
      <w:pPr>
        <w:pStyle w:val="H23G"/>
      </w:pPr>
      <w:r>
        <w:tab/>
      </w:r>
      <w:r w:rsidRPr="005F6B78">
        <w:t>4.</w:t>
      </w:r>
      <w:r w:rsidRPr="005F6B78">
        <w:tab/>
        <w:t>Other rights of migrant workers and members of their families who are documented or in a regular situation (arts. 36–56)</w:t>
      </w:r>
    </w:p>
    <w:p w:rsidR="00165691" w:rsidRPr="00AE5C39" w:rsidRDefault="003144F4" w:rsidP="003144F4">
      <w:pPr>
        <w:pStyle w:val="SingleTxtG"/>
      </w:pPr>
      <w:r w:rsidRPr="00AE5C39">
        <w:t>39.</w:t>
      </w:r>
      <w:r w:rsidRPr="00AE5C39">
        <w:tab/>
      </w:r>
      <w:r w:rsidR="006376A6">
        <w:t>The Committee regrets</w:t>
      </w:r>
      <w:r w:rsidR="006376A6" w:rsidRPr="006376A6">
        <w:t xml:space="preserve"> </w:t>
      </w:r>
      <w:r w:rsidR="00562C26">
        <w:t xml:space="preserve">that only a small </w:t>
      </w:r>
      <w:r w:rsidR="002D4DFC">
        <w:t xml:space="preserve">amount </w:t>
      </w:r>
      <w:r w:rsidR="00562C26">
        <w:t>of the large number of Bosnian</w:t>
      </w:r>
      <w:r w:rsidR="006376A6" w:rsidRPr="006376A6">
        <w:t xml:space="preserve"> nationals </w:t>
      </w:r>
      <w:r w:rsidR="00D137D8">
        <w:t>working</w:t>
      </w:r>
      <w:r w:rsidR="006376A6" w:rsidRPr="006376A6">
        <w:t xml:space="preserve"> abroad exercise</w:t>
      </w:r>
      <w:r w:rsidR="00EF0B13">
        <w:t>d</w:t>
      </w:r>
      <w:r w:rsidR="006376A6" w:rsidRPr="006376A6">
        <w:t xml:space="preserve"> their voting rights</w:t>
      </w:r>
      <w:r w:rsidR="00EF0B13">
        <w:t xml:space="preserve"> during the last elections held in the State party.</w:t>
      </w:r>
    </w:p>
    <w:p w:rsidR="00BE793B" w:rsidRPr="005F6B78" w:rsidRDefault="003144F4" w:rsidP="003144F4">
      <w:pPr>
        <w:pStyle w:val="SingleTxtG"/>
      </w:pPr>
      <w:r w:rsidRPr="005F6B78">
        <w:t>40.</w:t>
      </w:r>
      <w:r w:rsidRPr="005F6B78">
        <w:tab/>
      </w:r>
      <w:r w:rsidR="000F532C" w:rsidRPr="005F6B78">
        <w:rPr>
          <w:b/>
          <w:bCs/>
        </w:rPr>
        <w:t xml:space="preserve">In </w:t>
      </w:r>
      <w:r w:rsidR="00C720F9">
        <w:rPr>
          <w:b/>
          <w:bCs/>
        </w:rPr>
        <w:t xml:space="preserve">the </w:t>
      </w:r>
      <w:r w:rsidR="000F532C" w:rsidRPr="005F6B78">
        <w:rPr>
          <w:b/>
          <w:bCs/>
        </w:rPr>
        <w:t>light of the next general elections to be held in 2014, t</w:t>
      </w:r>
      <w:r w:rsidR="00BE793B" w:rsidRPr="005F6B78">
        <w:rPr>
          <w:b/>
          <w:bCs/>
        </w:rPr>
        <w:t xml:space="preserve">he Committee </w:t>
      </w:r>
      <w:r w:rsidR="00026705">
        <w:rPr>
          <w:b/>
          <w:bCs/>
        </w:rPr>
        <w:t>recommends that</w:t>
      </w:r>
      <w:r w:rsidR="00BE793B" w:rsidRPr="005F6B78">
        <w:rPr>
          <w:b/>
          <w:bCs/>
        </w:rPr>
        <w:t xml:space="preserve"> the State party </w:t>
      </w:r>
      <w:r w:rsidR="00842F49">
        <w:rPr>
          <w:b/>
          <w:bCs/>
        </w:rPr>
        <w:t>increase its efforts to</w:t>
      </w:r>
      <w:r w:rsidR="00842F49" w:rsidRPr="005F6B78">
        <w:rPr>
          <w:b/>
          <w:bCs/>
        </w:rPr>
        <w:t xml:space="preserve"> </w:t>
      </w:r>
      <w:r w:rsidR="00BE793B" w:rsidRPr="005F6B78">
        <w:rPr>
          <w:b/>
          <w:bCs/>
        </w:rPr>
        <w:t xml:space="preserve">facilitate the exercise of voting rights of </w:t>
      </w:r>
      <w:r w:rsidR="008363DE">
        <w:rPr>
          <w:b/>
          <w:bCs/>
        </w:rPr>
        <w:t>Bosnian nationals working</w:t>
      </w:r>
      <w:r w:rsidR="00CF5803" w:rsidRPr="005F6B78">
        <w:rPr>
          <w:b/>
          <w:bCs/>
        </w:rPr>
        <w:t xml:space="preserve"> abroad</w:t>
      </w:r>
      <w:r w:rsidR="00455FD0">
        <w:rPr>
          <w:b/>
          <w:bCs/>
        </w:rPr>
        <w:t>.</w:t>
      </w:r>
    </w:p>
    <w:p w:rsidR="006D72C2" w:rsidRDefault="00D91113" w:rsidP="00D91113">
      <w:pPr>
        <w:pStyle w:val="H23G"/>
      </w:pPr>
      <w:r>
        <w:tab/>
      </w:r>
      <w:r w:rsidR="006D72C2" w:rsidRPr="005F6B78">
        <w:t>5.</w:t>
      </w:r>
      <w:r w:rsidR="006D72C2" w:rsidRPr="005F6B78">
        <w:tab/>
        <w:t>Provisions applicable to particular categories of migrant workers and members of their family (arts. 57</w:t>
      </w:r>
      <w:r w:rsidR="00C720F9">
        <w:t>–</w:t>
      </w:r>
      <w:r w:rsidR="006D72C2" w:rsidRPr="005F6B78">
        <w:t>63)</w:t>
      </w:r>
    </w:p>
    <w:p w:rsidR="006D72C2" w:rsidRPr="005F6B78" w:rsidRDefault="003144F4" w:rsidP="003144F4">
      <w:pPr>
        <w:pStyle w:val="SingleTxtG"/>
      </w:pPr>
      <w:r w:rsidRPr="005F6B78">
        <w:t>41.</w:t>
      </w:r>
      <w:r w:rsidRPr="005F6B78">
        <w:tab/>
      </w:r>
      <w:r w:rsidR="000D796D">
        <w:t xml:space="preserve">While </w:t>
      </w:r>
      <w:r w:rsidR="008363DE">
        <w:t>noting</w:t>
      </w:r>
      <w:r w:rsidR="000D796D">
        <w:t xml:space="preserve"> the State party’s efforts to negotiate bilateral agreements with neighbouring countries to improve the protection of migrant workers and seasonal workers, t</w:t>
      </w:r>
      <w:r w:rsidR="006D72C2" w:rsidRPr="006D72C2">
        <w:t xml:space="preserve">he Committee </w:t>
      </w:r>
      <w:r w:rsidR="00E64BD0">
        <w:t>notes with</w:t>
      </w:r>
      <w:r w:rsidR="006D72C2">
        <w:t xml:space="preserve"> concern</w:t>
      </w:r>
      <w:r w:rsidR="007F4006">
        <w:t xml:space="preserve"> that no data is available on the number of seasonal workers employed in the State party and</w:t>
      </w:r>
      <w:r w:rsidR="006D72C2">
        <w:t xml:space="preserve"> </w:t>
      </w:r>
      <w:r w:rsidR="00E64BD0" w:rsidRPr="005F6B78">
        <w:rPr>
          <w:bCs/>
        </w:rPr>
        <w:t>that seasonal worker</w:t>
      </w:r>
      <w:r w:rsidR="00945937" w:rsidRPr="005F6B78">
        <w:rPr>
          <w:bCs/>
        </w:rPr>
        <w:t>s continue to</w:t>
      </w:r>
      <w:r w:rsidR="00E64BD0" w:rsidRPr="005F6B78">
        <w:rPr>
          <w:bCs/>
        </w:rPr>
        <w:t xml:space="preserve"> face violations of </w:t>
      </w:r>
      <w:r w:rsidR="00945937" w:rsidRPr="005F6B78">
        <w:rPr>
          <w:bCs/>
        </w:rPr>
        <w:t>fundamental</w:t>
      </w:r>
      <w:r w:rsidR="00E64BD0" w:rsidRPr="005F6B78">
        <w:rPr>
          <w:bCs/>
        </w:rPr>
        <w:t xml:space="preserve"> </w:t>
      </w:r>
      <w:r w:rsidR="00945937" w:rsidRPr="005F6B78">
        <w:rPr>
          <w:bCs/>
        </w:rPr>
        <w:t xml:space="preserve">labour rights, as acknowledged by the State party. </w:t>
      </w:r>
      <w:r w:rsidR="000D796D" w:rsidRPr="005F6B78">
        <w:rPr>
          <w:bCs/>
        </w:rPr>
        <w:t xml:space="preserve">The Committee </w:t>
      </w:r>
      <w:r w:rsidR="008363DE">
        <w:rPr>
          <w:bCs/>
        </w:rPr>
        <w:t>therefore</w:t>
      </w:r>
      <w:r w:rsidR="000D796D" w:rsidRPr="005F6B78">
        <w:rPr>
          <w:bCs/>
        </w:rPr>
        <w:t xml:space="preserve"> reiterates its concern that the </w:t>
      </w:r>
      <w:r w:rsidR="008363DE">
        <w:rPr>
          <w:bCs/>
        </w:rPr>
        <w:t>absence</w:t>
      </w:r>
      <w:r w:rsidR="000D796D" w:rsidRPr="005F6B78">
        <w:rPr>
          <w:bCs/>
        </w:rPr>
        <w:t xml:space="preserve"> of </w:t>
      </w:r>
      <w:r w:rsidR="008363DE">
        <w:rPr>
          <w:bCs/>
        </w:rPr>
        <w:t>legislation</w:t>
      </w:r>
      <w:r w:rsidR="000D796D" w:rsidRPr="005F6B78">
        <w:rPr>
          <w:bCs/>
        </w:rPr>
        <w:t xml:space="preserve"> protect</w:t>
      </w:r>
      <w:r w:rsidR="008363DE">
        <w:rPr>
          <w:bCs/>
        </w:rPr>
        <w:t>ing</w:t>
      </w:r>
      <w:r w:rsidR="000D796D" w:rsidRPr="005F6B78">
        <w:rPr>
          <w:bCs/>
        </w:rPr>
        <w:t xml:space="preserve"> seasonal workers </w:t>
      </w:r>
      <w:r w:rsidR="007F4006" w:rsidRPr="005F6B78">
        <w:rPr>
          <w:bCs/>
        </w:rPr>
        <w:t xml:space="preserve">employed </w:t>
      </w:r>
      <w:r w:rsidR="000D796D" w:rsidRPr="005F6B78">
        <w:rPr>
          <w:bCs/>
        </w:rPr>
        <w:t>in the State party make</w:t>
      </w:r>
      <w:r w:rsidR="00430FFE" w:rsidRPr="005F6B78">
        <w:rPr>
          <w:bCs/>
        </w:rPr>
        <w:t>s</w:t>
      </w:r>
      <w:r w:rsidR="000D796D" w:rsidRPr="005F6B78">
        <w:rPr>
          <w:bCs/>
        </w:rPr>
        <w:t xml:space="preserve"> them particularly vulnerable to </w:t>
      </w:r>
      <w:r w:rsidR="008363DE">
        <w:rPr>
          <w:bCs/>
        </w:rPr>
        <w:t>unjust</w:t>
      </w:r>
      <w:r w:rsidR="000D796D" w:rsidRPr="005F6B78">
        <w:rPr>
          <w:bCs/>
        </w:rPr>
        <w:t xml:space="preserve"> and exploitative</w:t>
      </w:r>
      <w:r w:rsidR="00FE09CB" w:rsidRPr="005F6B78">
        <w:rPr>
          <w:bCs/>
        </w:rPr>
        <w:t xml:space="preserve"> </w:t>
      </w:r>
      <w:r w:rsidR="000D796D" w:rsidRPr="005F6B78">
        <w:rPr>
          <w:bCs/>
        </w:rPr>
        <w:t xml:space="preserve">conditions </w:t>
      </w:r>
      <w:r w:rsidR="008363DE">
        <w:rPr>
          <w:bCs/>
        </w:rPr>
        <w:t xml:space="preserve">of work </w:t>
      </w:r>
      <w:r w:rsidR="00E64BD0">
        <w:t>(</w:t>
      </w:r>
      <w:r w:rsidR="00E64BD0" w:rsidRPr="0071786E">
        <w:rPr>
          <w:bCs/>
        </w:rPr>
        <w:t>CMW/C/BIH/CO/1, para. 33</w:t>
      </w:r>
      <w:r w:rsidR="00E64BD0" w:rsidRPr="005F6B78">
        <w:rPr>
          <w:bCs/>
        </w:rPr>
        <w:t>)</w:t>
      </w:r>
      <w:r w:rsidR="000D796D" w:rsidRPr="005F6B78">
        <w:rPr>
          <w:bCs/>
        </w:rPr>
        <w:t>.</w:t>
      </w:r>
    </w:p>
    <w:p w:rsidR="00E64BD0" w:rsidRPr="005F6B78" w:rsidRDefault="003144F4" w:rsidP="003144F4">
      <w:pPr>
        <w:pStyle w:val="SingleTxtG"/>
      </w:pPr>
      <w:r w:rsidRPr="005F6B78">
        <w:t>42.</w:t>
      </w:r>
      <w:r w:rsidRPr="005F6B78">
        <w:tab/>
      </w:r>
      <w:r w:rsidR="00E64BD0" w:rsidRPr="005F6B78">
        <w:rPr>
          <w:b/>
          <w:bCs/>
        </w:rPr>
        <w:t>The Commit</w:t>
      </w:r>
      <w:r w:rsidR="00945937" w:rsidRPr="005F6B78">
        <w:rPr>
          <w:b/>
          <w:bCs/>
        </w:rPr>
        <w:t>tee requests the State party to:</w:t>
      </w:r>
    </w:p>
    <w:p w:rsidR="00150431" w:rsidRDefault="00D91113" w:rsidP="00D91113">
      <w:pPr>
        <w:pStyle w:val="SingleTxtG"/>
        <w:ind w:firstLine="567"/>
        <w:rPr>
          <w:b/>
          <w:bCs/>
        </w:rPr>
      </w:pPr>
      <w:r>
        <w:rPr>
          <w:b/>
          <w:bCs/>
        </w:rPr>
        <w:t>(a)</w:t>
      </w:r>
      <w:r>
        <w:rPr>
          <w:b/>
          <w:bCs/>
        </w:rPr>
        <w:tab/>
      </w:r>
      <w:r w:rsidR="00150431">
        <w:rPr>
          <w:b/>
          <w:bCs/>
        </w:rPr>
        <w:t>Collect data</w:t>
      </w:r>
      <w:r w:rsidR="00150431" w:rsidRPr="00150431">
        <w:rPr>
          <w:b/>
          <w:bCs/>
        </w:rPr>
        <w:t xml:space="preserve"> </w:t>
      </w:r>
      <w:r w:rsidR="00150431" w:rsidRPr="00945937">
        <w:rPr>
          <w:b/>
          <w:bCs/>
        </w:rPr>
        <w:t xml:space="preserve">on </w:t>
      </w:r>
      <w:r w:rsidR="008363DE">
        <w:rPr>
          <w:b/>
          <w:bCs/>
        </w:rPr>
        <w:t xml:space="preserve">the number of </w:t>
      </w:r>
      <w:r w:rsidR="00150431" w:rsidRPr="00945937">
        <w:rPr>
          <w:b/>
          <w:bCs/>
        </w:rPr>
        <w:t>seasonal workers</w:t>
      </w:r>
      <w:r w:rsidR="008363DE">
        <w:rPr>
          <w:b/>
          <w:bCs/>
        </w:rPr>
        <w:t xml:space="preserve"> in the State party</w:t>
      </w:r>
      <w:r w:rsidR="00150431">
        <w:rPr>
          <w:b/>
          <w:bCs/>
        </w:rPr>
        <w:t>;</w:t>
      </w:r>
    </w:p>
    <w:p w:rsidR="00430FFE" w:rsidRDefault="00150431" w:rsidP="00D91113">
      <w:pPr>
        <w:pStyle w:val="SingleTxtG"/>
        <w:ind w:firstLine="567"/>
        <w:rPr>
          <w:b/>
          <w:bCs/>
        </w:rPr>
      </w:pPr>
      <w:r>
        <w:rPr>
          <w:b/>
          <w:bCs/>
        </w:rPr>
        <w:t>(b)</w:t>
      </w:r>
      <w:r w:rsidR="00D91113">
        <w:rPr>
          <w:b/>
          <w:bCs/>
        </w:rPr>
        <w:tab/>
      </w:r>
      <w:r w:rsidR="00430FFE">
        <w:rPr>
          <w:b/>
          <w:bCs/>
        </w:rPr>
        <w:t>Expedite</w:t>
      </w:r>
      <w:r w:rsidR="00945937" w:rsidRPr="00945937">
        <w:rPr>
          <w:b/>
          <w:bCs/>
        </w:rPr>
        <w:t xml:space="preserve"> </w:t>
      </w:r>
      <w:r w:rsidR="005C54E2">
        <w:rPr>
          <w:b/>
          <w:bCs/>
        </w:rPr>
        <w:t xml:space="preserve">the adoption of the amendment of article 84 of the Law on Movement and Stay of Aliens and Asylum, establishing a </w:t>
      </w:r>
      <w:r w:rsidR="00945937" w:rsidRPr="00945937">
        <w:rPr>
          <w:b/>
          <w:bCs/>
        </w:rPr>
        <w:t xml:space="preserve">system of registration </w:t>
      </w:r>
      <w:r>
        <w:rPr>
          <w:b/>
          <w:bCs/>
        </w:rPr>
        <w:t>of seasonal workers</w:t>
      </w:r>
      <w:r w:rsidR="00430FFE">
        <w:rPr>
          <w:b/>
          <w:bCs/>
        </w:rPr>
        <w:t>;</w:t>
      </w:r>
    </w:p>
    <w:p w:rsidR="00945937" w:rsidRPr="00945937" w:rsidRDefault="00FE09CB" w:rsidP="00D91113">
      <w:pPr>
        <w:pStyle w:val="SingleTxtG"/>
        <w:ind w:firstLine="567"/>
        <w:rPr>
          <w:b/>
          <w:bCs/>
        </w:rPr>
      </w:pPr>
      <w:r>
        <w:rPr>
          <w:b/>
          <w:bCs/>
        </w:rPr>
        <w:t>(c)</w:t>
      </w:r>
      <w:r w:rsidR="00D91113">
        <w:rPr>
          <w:b/>
          <w:bCs/>
        </w:rPr>
        <w:tab/>
      </w:r>
      <w:r>
        <w:rPr>
          <w:b/>
          <w:bCs/>
        </w:rPr>
        <w:t>M</w:t>
      </w:r>
      <w:r w:rsidRPr="00FE09CB">
        <w:rPr>
          <w:b/>
          <w:bCs/>
        </w:rPr>
        <w:t>onitor employment practices</w:t>
      </w:r>
      <w:r w:rsidR="007937D3">
        <w:rPr>
          <w:b/>
          <w:bCs/>
        </w:rPr>
        <w:t>, in particular</w:t>
      </w:r>
      <w:r w:rsidRPr="00FE09CB">
        <w:rPr>
          <w:b/>
          <w:bCs/>
        </w:rPr>
        <w:t xml:space="preserve"> in the construction industry, agriculture and domestic work</w:t>
      </w:r>
      <w:r w:rsidR="007937D3">
        <w:rPr>
          <w:b/>
          <w:bCs/>
        </w:rPr>
        <w:t>,</w:t>
      </w:r>
      <w:r w:rsidR="00C11142">
        <w:rPr>
          <w:b/>
          <w:bCs/>
        </w:rPr>
        <w:t xml:space="preserve"> as well as </w:t>
      </w:r>
      <w:r w:rsidR="00430FFE">
        <w:rPr>
          <w:b/>
          <w:bCs/>
        </w:rPr>
        <w:t>the</w:t>
      </w:r>
      <w:r w:rsidR="007F4006">
        <w:rPr>
          <w:b/>
          <w:bCs/>
        </w:rPr>
        <w:t xml:space="preserve"> work</w:t>
      </w:r>
      <w:r w:rsidR="008363DE">
        <w:rPr>
          <w:b/>
          <w:bCs/>
        </w:rPr>
        <w:t>ing</w:t>
      </w:r>
      <w:r w:rsidR="007F4006">
        <w:rPr>
          <w:b/>
          <w:bCs/>
        </w:rPr>
        <w:t xml:space="preserve"> conditions of seasonal workers employed in the State party,</w:t>
      </w:r>
      <w:r w:rsidR="00150431">
        <w:rPr>
          <w:b/>
          <w:bCs/>
        </w:rPr>
        <w:t xml:space="preserve"> including by </w:t>
      </w:r>
      <w:r w:rsidR="008363DE">
        <w:rPr>
          <w:b/>
          <w:bCs/>
        </w:rPr>
        <w:t>strengthening</w:t>
      </w:r>
      <w:r w:rsidR="00E20327">
        <w:rPr>
          <w:b/>
          <w:bCs/>
        </w:rPr>
        <w:t xml:space="preserve"> labour inspections</w:t>
      </w:r>
      <w:r w:rsidR="00945937" w:rsidRPr="00945937">
        <w:rPr>
          <w:b/>
          <w:bCs/>
        </w:rPr>
        <w:t>;</w:t>
      </w:r>
    </w:p>
    <w:p w:rsidR="00DB3914" w:rsidRDefault="00C11142" w:rsidP="00D91113">
      <w:pPr>
        <w:pStyle w:val="SingleTxtG"/>
        <w:ind w:firstLine="567"/>
        <w:rPr>
          <w:b/>
          <w:bCs/>
        </w:rPr>
      </w:pPr>
      <w:r>
        <w:rPr>
          <w:b/>
          <w:bCs/>
        </w:rPr>
        <w:t>(d</w:t>
      </w:r>
      <w:r w:rsidR="00945937" w:rsidRPr="00945937">
        <w:rPr>
          <w:b/>
          <w:bCs/>
        </w:rPr>
        <w:t>)</w:t>
      </w:r>
      <w:r w:rsidR="00D91113">
        <w:rPr>
          <w:b/>
          <w:bCs/>
        </w:rPr>
        <w:tab/>
      </w:r>
      <w:r w:rsidR="008363DE">
        <w:rPr>
          <w:b/>
          <w:bCs/>
        </w:rPr>
        <w:t>E</w:t>
      </w:r>
      <w:r w:rsidR="00150431">
        <w:rPr>
          <w:b/>
          <w:bCs/>
        </w:rPr>
        <w:t xml:space="preserve">nsure that seasonal workers enjoy the rights </w:t>
      </w:r>
      <w:r w:rsidR="008363DE">
        <w:rPr>
          <w:b/>
          <w:bCs/>
        </w:rPr>
        <w:t>protected</w:t>
      </w:r>
      <w:r w:rsidR="00150431">
        <w:rPr>
          <w:b/>
          <w:bCs/>
        </w:rPr>
        <w:t xml:space="preserve"> in </w:t>
      </w:r>
      <w:r w:rsidR="00150431" w:rsidRPr="0071786E">
        <w:rPr>
          <w:b/>
          <w:bCs/>
        </w:rPr>
        <w:t>part IV</w:t>
      </w:r>
      <w:r w:rsidR="00150431">
        <w:rPr>
          <w:b/>
          <w:bCs/>
        </w:rPr>
        <w:t xml:space="preserve"> in the Conventio</w:t>
      </w:r>
      <w:r w:rsidR="00E20327">
        <w:rPr>
          <w:b/>
          <w:bCs/>
        </w:rPr>
        <w:t>n</w:t>
      </w:r>
      <w:r w:rsidR="00150431">
        <w:rPr>
          <w:b/>
          <w:bCs/>
        </w:rPr>
        <w:t xml:space="preserve"> that can be applied to them by reason of their presence and work in the State party</w:t>
      </w:r>
      <w:r w:rsidR="008363DE">
        <w:rPr>
          <w:b/>
          <w:bCs/>
        </w:rPr>
        <w:t>, taking into account that they do not have their habitual residence in the State party</w:t>
      </w:r>
      <w:r w:rsidR="00DB3914">
        <w:rPr>
          <w:b/>
          <w:bCs/>
        </w:rPr>
        <w:t>;</w:t>
      </w:r>
      <w:r w:rsidR="007633FA">
        <w:rPr>
          <w:b/>
          <w:bCs/>
        </w:rPr>
        <w:t xml:space="preserve"> and</w:t>
      </w:r>
    </w:p>
    <w:p w:rsidR="006D72C2" w:rsidRPr="00C642F4" w:rsidRDefault="00DB3914" w:rsidP="00D91113">
      <w:pPr>
        <w:pStyle w:val="SingleTxtG"/>
        <w:ind w:firstLine="567"/>
        <w:rPr>
          <w:b/>
        </w:rPr>
      </w:pPr>
      <w:r>
        <w:rPr>
          <w:b/>
          <w:bCs/>
        </w:rPr>
        <w:t>(e)</w:t>
      </w:r>
      <w:r w:rsidR="00D91113">
        <w:rPr>
          <w:b/>
          <w:bCs/>
        </w:rPr>
        <w:tab/>
      </w:r>
      <w:r>
        <w:rPr>
          <w:b/>
          <w:bCs/>
        </w:rPr>
        <w:t>Pursue its efforts to sign further bilateral agreements.</w:t>
      </w:r>
    </w:p>
    <w:p w:rsidR="008B2E59" w:rsidRDefault="008B2E59" w:rsidP="008B2E59">
      <w:pPr>
        <w:pStyle w:val="H23G"/>
      </w:pPr>
      <w:r>
        <w:tab/>
      </w:r>
      <w:r w:rsidR="006D72C2" w:rsidRPr="005F6B78">
        <w:t>6</w:t>
      </w:r>
      <w:r w:rsidRPr="005F6B78">
        <w:t>.</w:t>
      </w:r>
      <w:r w:rsidRPr="005F6B78">
        <w:tab/>
        <w:t>Promotion of sound, equitable, humane and lawful conditions in connection with international migration of workers and members of their families (arts. 64–71)</w:t>
      </w:r>
    </w:p>
    <w:p w:rsidR="00240D63" w:rsidRDefault="003144F4" w:rsidP="003144F4">
      <w:pPr>
        <w:pStyle w:val="SingleTxtG"/>
      </w:pPr>
      <w:r>
        <w:t>43.</w:t>
      </w:r>
      <w:r>
        <w:tab/>
      </w:r>
      <w:r w:rsidR="00240D63">
        <w:t>While noting the continued work of the C</w:t>
      </w:r>
      <w:r w:rsidR="00240D63" w:rsidRPr="00240D63">
        <w:t>oordination</w:t>
      </w:r>
      <w:r w:rsidR="00240D63">
        <w:t xml:space="preserve"> Body established in 2009</w:t>
      </w:r>
      <w:r w:rsidR="001C6FEF">
        <w:t xml:space="preserve"> to monitor the implementation of </w:t>
      </w:r>
      <w:r w:rsidR="00002C73">
        <w:t xml:space="preserve">the </w:t>
      </w:r>
      <w:r w:rsidR="001C6FEF" w:rsidRPr="001C6FEF">
        <w:t>new Strategy on Migration and Asylum and the related Action Plan for the period 2012</w:t>
      </w:r>
      <w:r w:rsidR="00C720F9">
        <w:t>–</w:t>
      </w:r>
      <w:r w:rsidR="001C6FEF" w:rsidRPr="001C6FEF">
        <w:t>2015</w:t>
      </w:r>
      <w:r w:rsidR="00240D63">
        <w:t xml:space="preserve">, the Committee reiterates its concern </w:t>
      </w:r>
      <w:r w:rsidR="002D4DFC">
        <w:t>that the</w:t>
      </w:r>
      <w:r w:rsidR="00A117F7" w:rsidRPr="00A117F7">
        <w:t xml:space="preserve"> </w:t>
      </w:r>
      <w:r w:rsidR="00A117F7">
        <w:t xml:space="preserve">lack of coordination </w:t>
      </w:r>
      <w:r w:rsidR="00A117F7" w:rsidRPr="00240D63">
        <w:t>between the institutions and services that deal with the various aspects of migration policy</w:t>
      </w:r>
      <w:r w:rsidR="00A84A3E">
        <w:t xml:space="preserve"> at State and E</w:t>
      </w:r>
      <w:r w:rsidR="00A117F7">
        <w:t>ntity level</w:t>
      </w:r>
      <w:r w:rsidR="00002C73">
        <w:t>s</w:t>
      </w:r>
      <w:r w:rsidR="00A117F7">
        <w:t xml:space="preserve"> negatively impact on the implementation </w:t>
      </w:r>
      <w:r w:rsidR="00002C73">
        <w:t xml:space="preserve">by the State party </w:t>
      </w:r>
      <w:r w:rsidR="00A117F7">
        <w:t xml:space="preserve">of certain </w:t>
      </w:r>
      <w:r w:rsidR="00002C73">
        <w:t>rights</w:t>
      </w:r>
      <w:r w:rsidR="00A117F7">
        <w:t xml:space="preserve"> </w:t>
      </w:r>
      <w:r w:rsidR="00002C73">
        <w:t>protected under</w:t>
      </w:r>
      <w:r w:rsidR="00A117F7">
        <w:t xml:space="preserve"> the Convention </w:t>
      </w:r>
      <w:r w:rsidR="001C6FEF">
        <w:t>(</w:t>
      </w:r>
      <w:r w:rsidR="001C6FEF" w:rsidRPr="0071786E">
        <w:rPr>
          <w:bCs/>
        </w:rPr>
        <w:t>CMW/C/BIH/CO/1, para. 35)</w:t>
      </w:r>
      <w:r w:rsidR="001C6FEF">
        <w:rPr>
          <w:bCs/>
        </w:rPr>
        <w:t>.</w:t>
      </w:r>
    </w:p>
    <w:p w:rsidR="00240D63" w:rsidRPr="00B37DF6" w:rsidRDefault="003144F4" w:rsidP="003144F4">
      <w:pPr>
        <w:pStyle w:val="SingleTxtG"/>
        <w:rPr>
          <w:b/>
        </w:rPr>
      </w:pPr>
      <w:r w:rsidRPr="00D91113">
        <w:t>44.</w:t>
      </w:r>
      <w:r w:rsidRPr="00D91113">
        <w:tab/>
      </w:r>
      <w:r w:rsidR="00240D63" w:rsidRPr="00B37DF6">
        <w:rPr>
          <w:b/>
        </w:rPr>
        <w:t xml:space="preserve">The Committee recommends that </w:t>
      </w:r>
      <w:r w:rsidR="003D2BA6" w:rsidRPr="00B37DF6">
        <w:rPr>
          <w:b/>
        </w:rPr>
        <w:t xml:space="preserve">the State </w:t>
      </w:r>
      <w:r w:rsidR="00345593">
        <w:rPr>
          <w:b/>
        </w:rPr>
        <w:t>intensify its efforts</w:t>
      </w:r>
      <w:r w:rsidR="003D2BA6" w:rsidRPr="00B37DF6">
        <w:rPr>
          <w:b/>
        </w:rPr>
        <w:t xml:space="preserve"> to improve the coordination between m</w:t>
      </w:r>
      <w:r w:rsidR="00A84A3E" w:rsidRPr="00A84A3E">
        <w:rPr>
          <w:b/>
        </w:rPr>
        <w:t xml:space="preserve">inistries and agencies at </w:t>
      </w:r>
      <w:r w:rsidR="00A84A3E">
        <w:rPr>
          <w:b/>
        </w:rPr>
        <w:t>S</w:t>
      </w:r>
      <w:r w:rsidR="003D2BA6" w:rsidRPr="00B37DF6">
        <w:rPr>
          <w:b/>
        </w:rPr>
        <w:t>tate</w:t>
      </w:r>
      <w:r w:rsidR="00A84A3E" w:rsidRPr="00A84A3E">
        <w:rPr>
          <w:b/>
        </w:rPr>
        <w:t xml:space="preserve"> and </w:t>
      </w:r>
      <w:r w:rsidR="00A84A3E">
        <w:rPr>
          <w:b/>
        </w:rPr>
        <w:t>E</w:t>
      </w:r>
      <w:r w:rsidR="003D2BA6" w:rsidRPr="00B37DF6">
        <w:rPr>
          <w:b/>
        </w:rPr>
        <w:t>ntity level</w:t>
      </w:r>
      <w:r w:rsidR="00002C73">
        <w:rPr>
          <w:b/>
        </w:rPr>
        <w:t>s</w:t>
      </w:r>
      <w:r w:rsidR="003D2BA6" w:rsidRPr="00B37DF6">
        <w:rPr>
          <w:b/>
        </w:rPr>
        <w:t xml:space="preserve"> for the </w:t>
      </w:r>
      <w:r w:rsidR="00002C73">
        <w:rPr>
          <w:b/>
        </w:rPr>
        <w:t>effective</w:t>
      </w:r>
      <w:r w:rsidR="003D2BA6" w:rsidRPr="00B37DF6">
        <w:rPr>
          <w:b/>
        </w:rPr>
        <w:t xml:space="preserve"> implementation of the </w:t>
      </w:r>
      <w:r w:rsidR="00002C73">
        <w:rPr>
          <w:b/>
        </w:rPr>
        <w:t xml:space="preserve">rights protected under the Convention as well as the </w:t>
      </w:r>
      <w:r w:rsidR="003D2BA6" w:rsidRPr="00B37DF6">
        <w:rPr>
          <w:b/>
        </w:rPr>
        <w:t>new migration strategy</w:t>
      </w:r>
      <w:r w:rsidR="00FA35A3">
        <w:rPr>
          <w:b/>
        </w:rPr>
        <w:t xml:space="preserve"> for the period 2012</w:t>
      </w:r>
      <w:r w:rsidR="00C720F9">
        <w:rPr>
          <w:b/>
        </w:rPr>
        <w:t>–</w:t>
      </w:r>
      <w:r w:rsidR="00C63817">
        <w:rPr>
          <w:b/>
        </w:rPr>
        <w:t>2</w:t>
      </w:r>
      <w:r w:rsidR="00FA35A3">
        <w:rPr>
          <w:b/>
        </w:rPr>
        <w:t>015</w:t>
      </w:r>
      <w:r w:rsidR="003D2BA6" w:rsidRPr="00B37DF6">
        <w:rPr>
          <w:b/>
        </w:rPr>
        <w:t>.</w:t>
      </w:r>
    </w:p>
    <w:p w:rsidR="004D35F2" w:rsidRDefault="003144F4" w:rsidP="003144F4">
      <w:pPr>
        <w:pStyle w:val="SingleTxtG"/>
      </w:pPr>
      <w:r>
        <w:t>45.</w:t>
      </w:r>
      <w:r>
        <w:tab/>
      </w:r>
      <w:r w:rsidR="00C5392A">
        <w:t xml:space="preserve">The Committee </w:t>
      </w:r>
      <w:r w:rsidR="004558E8">
        <w:t>regrets</w:t>
      </w:r>
      <w:r w:rsidR="00C5392A">
        <w:t xml:space="preserve"> the lack of information on the </w:t>
      </w:r>
      <w:r w:rsidR="00C5392A" w:rsidRPr="00C5392A">
        <w:t>support prov</w:t>
      </w:r>
      <w:r w:rsidR="00C5392A">
        <w:t>ided by the State party to</w:t>
      </w:r>
      <w:r w:rsidR="00C5392A" w:rsidRPr="00C5392A">
        <w:t xml:space="preserve"> </w:t>
      </w:r>
      <w:r w:rsidR="00C5392A">
        <w:t>Bosnian</w:t>
      </w:r>
      <w:r w:rsidR="00C5392A" w:rsidRPr="00C5392A">
        <w:t xml:space="preserve"> </w:t>
      </w:r>
      <w:r w:rsidR="004558E8">
        <w:t>returnees</w:t>
      </w:r>
      <w:r w:rsidR="00C5392A">
        <w:t xml:space="preserve"> and on measures to facilitate their </w:t>
      </w:r>
      <w:r w:rsidR="004558E8">
        <w:t>durable</w:t>
      </w:r>
      <w:r w:rsidR="00C5392A" w:rsidRPr="00C5392A">
        <w:t xml:space="preserve"> economic, social and</w:t>
      </w:r>
      <w:r w:rsidR="00161783">
        <w:t xml:space="preserve"> </w:t>
      </w:r>
      <w:r w:rsidR="00C5392A">
        <w:t>cultural reintegration.</w:t>
      </w:r>
    </w:p>
    <w:p w:rsidR="001D777C" w:rsidRPr="004D35F2" w:rsidRDefault="003144F4" w:rsidP="003144F4">
      <w:pPr>
        <w:pStyle w:val="SingleTxtG"/>
      </w:pPr>
      <w:r w:rsidRPr="004D35F2">
        <w:t>46.</w:t>
      </w:r>
      <w:r w:rsidRPr="004D35F2">
        <w:tab/>
      </w:r>
      <w:r w:rsidR="00C5392A" w:rsidRPr="00240D63">
        <w:rPr>
          <w:b/>
          <w:bCs/>
        </w:rPr>
        <w:t xml:space="preserve">The Committee </w:t>
      </w:r>
      <w:r w:rsidR="004558E8" w:rsidRPr="00240D63">
        <w:rPr>
          <w:b/>
          <w:bCs/>
        </w:rPr>
        <w:t>recommends that</w:t>
      </w:r>
      <w:r w:rsidR="00C5392A" w:rsidRPr="00240D63">
        <w:rPr>
          <w:b/>
          <w:bCs/>
        </w:rPr>
        <w:t xml:space="preserve"> the State party</w:t>
      </w:r>
      <w:r w:rsidR="00C41E95" w:rsidRPr="00240D63">
        <w:rPr>
          <w:b/>
          <w:bCs/>
        </w:rPr>
        <w:t xml:space="preserve"> take measures</w:t>
      </w:r>
      <w:r w:rsidR="00C5392A" w:rsidRPr="00240D63">
        <w:rPr>
          <w:b/>
          <w:bCs/>
        </w:rPr>
        <w:t xml:space="preserve"> to assist in the </w:t>
      </w:r>
      <w:r w:rsidR="004558E8" w:rsidRPr="00240D63">
        <w:rPr>
          <w:b/>
          <w:bCs/>
        </w:rPr>
        <w:t>durable</w:t>
      </w:r>
      <w:r w:rsidR="00161783" w:rsidRPr="001C6FEF">
        <w:rPr>
          <w:b/>
          <w:bCs/>
        </w:rPr>
        <w:t xml:space="preserve"> </w:t>
      </w:r>
      <w:r w:rsidR="00C5392A" w:rsidRPr="001C6FEF">
        <w:rPr>
          <w:b/>
          <w:bCs/>
        </w:rPr>
        <w:t>reintegration of returning migrant</w:t>
      </w:r>
      <w:r w:rsidR="007918C7">
        <w:rPr>
          <w:b/>
          <w:bCs/>
        </w:rPr>
        <w:t xml:space="preserve"> workers</w:t>
      </w:r>
      <w:r w:rsidR="00C5392A" w:rsidRPr="001C6FEF">
        <w:rPr>
          <w:b/>
          <w:bCs/>
        </w:rPr>
        <w:t xml:space="preserve"> into the economic, social and cultural fabric of</w:t>
      </w:r>
      <w:r w:rsidR="00C41E95" w:rsidRPr="003D2BA6">
        <w:rPr>
          <w:b/>
          <w:bCs/>
        </w:rPr>
        <w:t xml:space="preserve"> the State party, and to inform the Committee ther</w:t>
      </w:r>
      <w:r w:rsidR="00C41E95" w:rsidRPr="00120012">
        <w:rPr>
          <w:b/>
          <w:bCs/>
        </w:rPr>
        <w:t>eof in its next periodic report.</w:t>
      </w:r>
    </w:p>
    <w:p w:rsidR="001D777C" w:rsidRDefault="003144F4" w:rsidP="003144F4">
      <w:pPr>
        <w:pStyle w:val="SingleTxtG"/>
      </w:pPr>
      <w:r>
        <w:t>47.</w:t>
      </w:r>
      <w:r>
        <w:tab/>
      </w:r>
      <w:r w:rsidR="008F4E5C">
        <w:t>Whil</w:t>
      </w:r>
      <w:r w:rsidR="001B5910">
        <w:t>e</w:t>
      </w:r>
      <w:r w:rsidR="008F4E5C">
        <w:t xml:space="preserve"> </w:t>
      </w:r>
      <w:r w:rsidR="004558E8">
        <w:t>acknowledging</w:t>
      </w:r>
      <w:r w:rsidR="009A00D0" w:rsidRPr="001D777C">
        <w:t xml:space="preserve"> the State party’s efforts</w:t>
      </w:r>
      <w:r w:rsidR="009A00D0">
        <w:t xml:space="preserve"> </w:t>
      </w:r>
      <w:r w:rsidR="009A00D0" w:rsidRPr="001D777C">
        <w:t xml:space="preserve">to </w:t>
      </w:r>
      <w:r w:rsidR="00757435">
        <w:t>combat</w:t>
      </w:r>
      <w:r w:rsidR="009A00D0" w:rsidRPr="001D777C">
        <w:t xml:space="preserve"> </w:t>
      </w:r>
      <w:r w:rsidR="009A00D0" w:rsidRPr="005362CD">
        <w:t>trafficking</w:t>
      </w:r>
      <w:r w:rsidR="009A00D0" w:rsidRPr="001D777C">
        <w:t xml:space="preserve"> in persons and</w:t>
      </w:r>
      <w:r w:rsidR="009A00D0">
        <w:t xml:space="preserve"> commercial sexual exploitation</w:t>
      </w:r>
      <w:r w:rsidR="00757435">
        <w:t xml:space="preserve"> </w:t>
      </w:r>
      <w:r w:rsidR="004558E8">
        <w:t>of migrant workers</w:t>
      </w:r>
      <w:r w:rsidR="009A00D0">
        <w:t>, t</w:t>
      </w:r>
      <w:r w:rsidR="001D777C" w:rsidRPr="001D777C">
        <w:t xml:space="preserve">he Committee </w:t>
      </w:r>
      <w:r w:rsidR="007018FC">
        <w:t>is concerned that</w:t>
      </w:r>
      <w:r w:rsidR="008D37BA" w:rsidRPr="008D37BA">
        <w:t xml:space="preserve"> </w:t>
      </w:r>
      <w:r w:rsidR="008D37BA">
        <w:t>t</w:t>
      </w:r>
      <w:r w:rsidR="005B460F">
        <w:t xml:space="preserve">he </w:t>
      </w:r>
      <w:r w:rsidR="00C02F95">
        <w:t xml:space="preserve">Criminal Codes of </w:t>
      </w:r>
      <w:r w:rsidR="004558E8">
        <w:t>both</w:t>
      </w:r>
      <w:r w:rsidR="00C02F95">
        <w:t xml:space="preserve"> </w:t>
      </w:r>
      <w:r w:rsidR="004558E8">
        <w:t>E</w:t>
      </w:r>
      <w:r w:rsidR="005B460F">
        <w:t xml:space="preserve">ntities and </w:t>
      </w:r>
      <w:r w:rsidR="00C02F95">
        <w:t xml:space="preserve">of </w:t>
      </w:r>
      <w:r w:rsidR="005B460F" w:rsidRPr="0071786E">
        <w:t>Br</w:t>
      </w:r>
      <w:r w:rsidR="0071786E" w:rsidRPr="0071786E">
        <w:t>č</w:t>
      </w:r>
      <w:r w:rsidR="005B460F" w:rsidRPr="0071786E">
        <w:t>ko</w:t>
      </w:r>
      <w:r w:rsidR="005B460F">
        <w:t xml:space="preserve"> D</w:t>
      </w:r>
      <w:r w:rsidR="008D37BA">
        <w:t>istrict have not yet been harmoni</w:t>
      </w:r>
      <w:r w:rsidR="004558E8">
        <w:t>z</w:t>
      </w:r>
      <w:r w:rsidR="008D37BA">
        <w:t xml:space="preserve">ed with the amended provisions of the </w:t>
      </w:r>
      <w:r w:rsidR="004558E8">
        <w:t xml:space="preserve">State </w:t>
      </w:r>
      <w:r w:rsidR="008D37BA">
        <w:t>Criminal Code</w:t>
      </w:r>
      <w:r w:rsidR="00120012">
        <w:t xml:space="preserve">, </w:t>
      </w:r>
      <w:r w:rsidR="00ED4E72">
        <w:t>including</w:t>
      </w:r>
      <w:r w:rsidR="00120012">
        <w:t xml:space="preserve"> the new definition of trafficking </w:t>
      </w:r>
      <w:r w:rsidR="00002C73">
        <w:t>in</w:t>
      </w:r>
      <w:r w:rsidR="00120012">
        <w:t xml:space="preserve"> </w:t>
      </w:r>
      <w:r w:rsidR="00C720F9">
        <w:t>a</w:t>
      </w:r>
      <w:r w:rsidR="00120012">
        <w:t xml:space="preserve">rticle 186 of the State Criminal </w:t>
      </w:r>
      <w:r w:rsidR="00002C73">
        <w:t>C</w:t>
      </w:r>
      <w:r w:rsidR="00120012">
        <w:t>ode</w:t>
      </w:r>
      <w:r w:rsidR="00B71378">
        <w:t>.</w:t>
      </w:r>
      <w:r w:rsidR="008D37BA">
        <w:t xml:space="preserve"> </w:t>
      </w:r>
      <w:r w:rsidR="004558E8">
        <w:t>I</w:t>
      </w:r>
      <w:r w:rsidR="00B71378">
        <w:t xml:space="preserve">t </w:t>
      </w:r>
      <w:r w:rsidR="00A45091">
        <w:t>is particularly</w:t>
      </w:r>
      <w:r w:rsidR="00B71378" w:rsidRPr="00B71378">
        <w:t xml:space="preserve"> concerned about </w:t>
      </w:r>
      <w:r w:rsidR="007B0192">
        <w:t xml:space="preserve">the high number of </w:t>
      </w:r>
      <w:r w:rsidR="004558E8">
        <w:t xml:space="preserve">migrant </w:t>
      </w:r>
      <w:r w:rsidR="00D72748">
        <w:t xml:space="preserve">children </w:t>
      </w:r>
      <w:r w:rsidR="004558E8">
        <w:t xml:space="preserve">who are </w:t>
      </w:r>
      <w:r w:rsidR="007B0192">
        <w:t>victims of trafficking and about</w:t>
      </w:r>
      <w:r w:rsidR="00A45091">
        <w:t xml:space="preserve"> remaining</w:t>
      </w:r>
      <w:r w:rsidR="007B0192">
        <w:t xml:space="preserve"> </w:t>
      </w:r>
      <w:r w:rsidR="00B71378" w:rsidRPr="00B71378">
        <w:t xml:space="preserve">gaps in the </w:t>
      </w:r>
      <w:r w:rsidR="00120012">
        <w:t xml:space="preserve">enforcement </w:t>
      </w:r>
      <w:r w:rsidR="00B71378" w:rsidRPr="00B71378">
        <w:t xml:space="preserve">of </w:t>
      </w:r>
      <w:r w:rsidR="004558E8">
        <w:t>anti-trafficking laws</w:t>
      </w:r>
      <w:r w:rsidR="004D35F2">
        <w:t>,</w:t>
      </w:r>
      <w:r w:rsidR="004D35F2" w:rsidRPr="004D35F2">
        <w:t xml:space="preserve"> </w:t>
      </w:r>
      <w:r w:rsidR="004D35F2">
        <w:t>in</w:t>
      </w:r>
      <w:r w:rsidR="00C720F9">
        <w:t xml:space="preserve"> the</w:t>
      </w:r>
      <w:r w:rsidR="004D35F2">
        <w:t xml:space="preserve"> light of the absence of convictions and prosecutions at State level in 2011</w:t>
      </w:r>
      <w:r w:rsidR="000044D7">
        <w:t>.</w:t>
      </w:r>
    </w:p>
    <w:p w:rsidR="00A574AA" w:rsidRPr="00E00DCC" w:rsidRDefault="003144F4" w:rsidP="003144F4">
      <w:pPr>
        <w:pStyle w:val="SingleTxtG"/>
      </w:pPr>
      <w:r w:rsidRPr="00E00DCC">
        <w:t>48.</w:t>
      </w:r>
      <w:r w:rsidRPr="00E00DCC">
        <w:tab/>
      </w:r>
      <w:r w:rsidR="00A574AA" w:rsidRPr="00240D63">
        <w:rPr>
          <w:b/>
        </w:rPr>
        <w:t xml:space="preserve">The Committee </w:t>
      </w:r>
      <w:r w:rsidR="008D37BA" w:rsidRPr="00240D63">
        <w:rPr>
          <w:b/>
        </w:rPr>
        <w:t>recommends that the State party:</w:t>
      </w:r>
    </w:p>
    <w:p w:rsidR="008D37BA" w:rsidRDefault="008D37BA" w:rsidP="00D91113">
      <w:pPr>
        <w:pStyle w:val="SingleTxtG"/>
        <w:ind w:firstLine="567"/>
        <w:rPr>
          <w:b/>
          <w:bCs/>
          <w:lang w:eastAsia="en-GB"/>
        </w:rPr>
      </w:pPr>
      <w:r w:rsidRPr="008D37BA">
        <w:rPr>
          <w:b/>
        </w:rPr>
        <w:t>(a)</w:t>
      </w:r>
      <w:r w:rsidR="00D91113">
        <w:rPr>
          <w:b/>
          <w:bCs/>
          <w:lang w:eastAsia="en-GB"/>
        </w:rPr>
        <w:tab/>
      </w:r>
      <w:r w:rsidR="005B460F">
        <w:rPr>
          <w:b/>
          <w:bCs/>
          <w:lang w:eastAsia="en-GB"/>
        </w:rPr>
        <w:t>Harmoni</w:t>
      </w:r>
      <w:r w:rsidR="004558E8">
        <w:rPr>
          <w:b/>
          <w:bCs/>
          <w:lang w:eastAsia="en-GB"/>
        </w:rPr>
        <w:t>z</w:t>
      </w:r>
      <w:r w:rsidR="005B460F">
        <w:rPr>
          <w:b/>
          <w:bCs/>
          <w:lang w:eastAsia="en-GB"/>
        </w:rPr>
        <w:t xml:space="preserve">e the </w:t>
      </w:r>
      <w:r w:rsidR="004558E8">
        <w:rPr>
          <w:b/>
          <w:bCs/>
          <w:lang w:eastAsia="en-GB"/>
        </w:rPr>
        <w:t>C</w:t>
      </w:r>
      <w:r w:rsidR="005B460F">
        <w:rPr>
          <w:b/>
          <w:bCs/>
          <w:lang w:eastAsia="en-GB"/>
        </w:rPr>
        <w:t xml:space="preserve">riminal </w:t>
      </w:r>
      <w:r w:rsidR="004558E8">
        <w:rPr>
          <w:b/>
          <w:bCs/>
          <w:lang w:eastAsia="en-GB"/>
        </w:rPr>
        <w:t>C</w:t>
      </w:r>
      <w:r w:rsidR="005B460F">
        <w:rPr>
          <w:b/>
          <w:bCs/>
          <w:lang w:eastAsia="en-GB"/>
        </w:rPr>
        <w:t xml:space="preserve">odes of </w:t>
      </w:r>
      <w:r w:rsidR="004558E8">
        <w:rPr>
          <w:b/>
          <w:bCs/>
          <w:lang w:eastAsia="en-GB"/>
        </w:rPr>
        <w:t>both</w:t>
      </w:r>
      <w:r w:rsidR="00C720F9">
        <w:rPr>
          <w:b/>
          <w:bCs/>
          <w:lang w:eastAsia="en-GB"/>
        </w:rPr>
        <w:t xml:space="preserve"> the</w:t>
      </w:r>
      <w:r w:rsidR="005B460F">
        <w:rPr>
          <w:b/>
          <w:bCs/>
          <w:lang w:eastAsia="en-GB"/>
        </w:rPr>
        <w:t xml:space="preserve"> </w:t>
      </w:r>
      <w:r w:rsidR="004558E8">
        <w:rPr>
          <w:b/>
          <w:bCs/>
          <w:lang w:eastAsia="en-GB"/>
        </w:rPr>
        <w:t>E</w:t>
      </w:r>
      <w:r w:rsidR="005B460F">
        <w:rPr>
          <w:b/>
          <w:bCs/>
          <w:lang w:eastAsia="en-GB"/>
        </w:rPr>
        <w:t xml:space="preserve">ntities and </w:t>
      </w:r>
      <w:r w:rsidR="00C720F9">
        <w:rPr>
          <w:b/>
          <w:bCs/>
          <w:lang w:eastAsia="en-GB"/>
        </w:rPr>
        <w:t xml:space="preserve">the </w:t>
      </w:r>
      <w:r w:rsidR="005B460F">
        <w:rPr>
          <w:b/>
          <w:bCs/>
          <w:lang w:eastAsia="en-GB"/>
        </w:rPr>
        <w:t>Br</w:t>
      </w:r>
      <w:r w:rsidR="0071786E">
        <w:rPr>
          <w:b/>
          <w:bCs/>
          <w:lang w:eastAsia="en-GB"/>
        </w:rPr>
        <w:t>č</w:t>
      </w:r>
      <w:r w:rsidR="005B460F">
        <w:rPr>
          <w:b/>
          <w:bCs/>
          <w:lang w:eastAsia="en-GB"/>
        </w:rPr>
        <w:t xml:space="preserve">ko District with </w:t>
      </w:r>
      <w:r w:rsidR="001B5910">
        <w:rPr>
          <w:b/>
          <w:bCs/>
          <w:lang w:eastAsia="en-GB"/>
        </w:rPr>
        <w:t xml:space="preserve">relevant </w:t>
      </w:r>
      <w:r w:rsidR="004558E8">
        <w:rPr>
          <w:b/>
          <w:bCs/>
          <w:lang w:eastAsia="en-GB"/>
        </w:rPr>
        <w:t>State</w:t>
      </w:r>
      <w:r w:rsidR="005B460F">
        <w:rPr>
          <w:b/>
          <w:bCs/>
          <w:lang w:eastAsia="en-GB"/>
        </w:rPr>
        <w:t xml:space="preserve"> legislation;</w:t>
      </w:r>
    </w:p>
    <w:p w:rsidR="005B460F" w:rsidRDefault="005B460F" w:rsidP="00D91113">
      <w:pPr>
        <w:pStyle w:val="SingleTxtG"/>
        <w:ind w:firstLine="567"/>
        <w:rPr>
          <w:b/>
          <w:bCs/>
          <w:lang w:eastAsia="en-GB"/>
        </w:rPr>
      </w:pPr>
      <w:r>
        <w:rPr>
          <w:b/>
          <w:bCs/>
          <w:lang w:eastAsia="en-GB"/>
        </w:rPr>
        <w:t>(b)</w:t>
      </w:r>
      <w:r w:rsidR="00D91113">
        <w:rPr>
          <w:b/>
          <w:bCs/>
          <w:lang w:eastAsia="en-GB"/>
        </w:rPr>
        <w:tab/>
      </w:r>
      <w:r>
        <w:rPr>
          <w:b/>
          <w:bCs/>
          <w:lang w:eastAsia="en-GB"/>
        </w:rPr>
        <w:t xml:space="preserve">Criminalize the </w:t>
      </w:r>
      <w:r w:rsidR="00BA2D1E">
        <w:rPr>
          <w:b/>
          <w:bCs/>
          <w:lang w:eastAsia="en-GB"/>
        </w:rPr>
        <w:t>sale and prostitution</w:t>
      </w:r>
      <w:r w:rsidR="004558E8">
        <w:rPr>
          <w:b/>
          <w:bCs/>
          <w:lang w:eastAsia="en-GB"/>
        </w:rPr>
        <w:t xml:space="preserve"> of children, including migrant children</w:t>
      </w:r>
      <w:r w:rsidR="000C7417">
        <w:rPr>
          <w:b/>
          <w:bCs/>
          <w:lang w:eastAsia="en-GB"/>
        </w:rPr>
        <w:t>, in l</w:t>
      </w:r>
      <w:r w:rsidR="00C02F95">
        <w:rPr>
          <w:b/>
          <w:bCs/>
          <w:lang w:eastAsia="en-GB"/>
        </w:rPr>
        <w:t>ine with the recommendations o</w:t>
      </w:r>
      <w:r w:rsidR="00C63817">
        <w:rPr>
          <w:b/>
          <w:bCs/>
          <w:lang w:eastAsia="en-GB"/>
        </w:rPr>
        <w:t>f</w:t>
      </w:r>
      <w:r w:rsidR="00C02F95">
        <w:rPr>
          <w:b/>
          <w:bCs/>
          <w:lang w:eastAsia="en-GB"/>
        </w:rPr>
        <w:t xml:space="preserve"> </w:t>
      </w:r>
      <w:r w:rsidR="000C7417">
        <w:rPr>
          <w:b/>
          <w:bCs/>
          <w:lang w:eastAsia="en-GB"/>
        </w:rPr>
        <w:t>the Committee o</w:t>
      </w:r>
      <w:r w:rsidR="001B5910">
        <w:rPr>
          <w:b/>
          <w:bCs/>
          <w:lang w:eastAsia="en-GB"/>
        </w:rPr>
        <w:t>n</w:t>
      </w:r>
      <w:r w:rsidR="000C7417">
        <w:rPr>
          <w:b/>
          <w:bCs/>
          <w:lang w:eastAsia="en-GB"/>
        </w:rPr>
        <w:t xml:space="preserve"> the Rights of the Child</w:t>
      </w:r>
      <w:r w:rsidR="00BA2D1E">
        <w:rPr>
          <w:b/>
          <w:bCs/>
          <w:lang w:eastAsia="en-GB"/>
        </w:rPr>
        <w:t>;</w:t>
      </w:r>
    </w:p>
    <w:p w:rsidR="00B75809" w:rsidRPr="008D37BA" w:rsidRDefault="00B75809" w:rsidP="00D91113">
      <w:pPr>
        <w:pStyle w:val="SingleTxtG"/>
        <w:ind w:firstLine="567"/>
        <w:rPr>
          <w:b/>
          <w:bCs/>
        </w:rPr>
      </w:pPr>
      <w:r>
        <w:rPr>
          <w:b/>
          <w:bCs/>
        </w:rPr>
        <w:t>(c)</w:t>
      </w:r>
      <w:r w:rsidR="00D91113">
        <w:rPr>
          <w:b/>
          <w:bCs/>
        </w:rPr>
        <w:tab/>
      </w:r>
      <w:r w:rsidRPr="008D37BA">
        <w:rPr>
          <w:b/>
          <w:bCs/>
        </w:rPr>
        <w:t xml:space="preserve">Increase its efforts to enforce anti-trafficking </w:t>
      </w:r>
      <w:r>
        <w:rPr>
          <w:b/>
          <w:bCs/>
        </w:rPr>
        <w:t>laws</w:t>
      </w:r>
      <w:r w:rsidRPr="008D37BA">
        <w:rPr>
          <w:b/>
          <w:bCs/>
        </w:rPr>
        <w:t xml:space="preserve"> </w:t>
      </w:r>
      <w:r>
        <w:rPr>
          <w:b/>
          <w:bCs/>
        </w:rPr>
        <w:t xml:space="preserve">and </w:t>
      </w:r>
      <w:r w:rsidRPr="008D37BA">
        <w:rPr>
          <w:b/>
          <w:bCs/>
        </w:rPr>
        <w:t xml:space="preserve">train police </w:t>
      </w:r>
      <w:r w:rsidR="004558E8">
        <w:rPr>
          <w:b/>
          <w:bCs/>
        </w:rPr>
        <w:t>officers</w:t>
      </w:r>
      <w:r w:rsidRPr="008D37BA">
        <w:rPr>
          <w:b/>
          <w:bCs/>
        </w:rPr>
        <w:t xml:space="preserve">, judges, prosecutors </w:t>
      </w:r>
      <w:r w:rsidR="004558E8">
        <w:rPr>
          <w:b/>
          <w:bCs/>
        </w:rPr>
        <w:t>and</w:t>
      </w:r>
      <w:r w:rsidRPr="008D37BA">
        <w:rPr>
          <w:b/>
          <w:bCs/>
        </w:rPr>
        <w:t xml:space="preserve"> social service providers</w:t>
      </w:r>
      <w:r w:rsidR="008E0DA9">
        <w:rPr>
          <w:b/>
          <w:bCs/>
        </w:rPr>
        <w:t xml:space="preserve"> on the existing legal framework</w:t>
      </w:r>
      <w:r w:rsidRPr="008D37BA">
        <w:rPr>
          <w:b/>
          <w:bCs/>
        </w:rPr>
        <w:t>;</w:t>
      </w:r>
    </w:p>
    <w:p w:rsidR="00B75809" w:rsidRPr="000044D7" w:rsidRDefault="000044D7" w:rsidP="00D91113">
      <w:pPr>
        <w:pStyle w:val="SingleTxtG"/>
        <w:ind w:firstLine="567"/>
        <w:rPr>
          <w:b/>
        </w:rPr>
      </w:pPr>
      <w:r>
        <w:rPr>
          <w:b/>
        </w:rPr>
        <w:t>(d</w:t>
      </w:r>
      <w:r w:rsidR="00AF4EED" w:rsidRPr="008D37BA">
        <w:rPr>
          <w:b/>
        </w:rPr>
        <w:t>)</w:t>
      </w:r>
      <w:r w:rsidR="00D91113">
        <w:rPr>
          <w:b/>
        </w:rPr>
        <w:tab/>
      </w:r>
      <w:r w:rsidR="00AF4EED" w:rsidRPr="008D37BA">
        <w:rPr>
          <w:b/>
          <w:bCs/>
        </w:rPr>
        <w:t xml:space="preserve">Allocate </w:t>
      </w:r>
      <w:r w:rsidR="004558E8">
        <w:rPr>
          <w:b/>
          <w:bCs/>
        </w:rPr>
        <w:t>adequate</w:t>
      </w:r>
      <w:r w:rsidR="00AF4EED" w:rsidRPr="008D37BA">
        <w:rPr>
          <w:b/>
          <w:bCs/>
        </w:rPr>
        <w:t xml:space="preserve"> resources to implement</w:t>
      </w:r>
      <w:r w:rsidR="004558E8">
        <w:rPr>
          <w:b/>
          <w:bCs/>
        </w:rPr>
        <w:t>ing</w:t>
      </w:r>
      <w:r w:rsidR="00AF4EED" w:rsidRPr="008D37BA">
        <w:rPr>
          <w:b/>
          <w:bCs/>
        </w:rPr>
        <w:t xml:space="preserve"> strategies to combat trafficking</w:t>
      </w:r>
      <w:r w:rsidR="00B75809">
        <w:rPr>
          <w:b/>
        </w:rPr>
        <w:t>;</w:t>
      </w:r>
    </w:p>
    <w:p w:rsidR="007D4961" w:rsidRDefault="00AF4EED" w:rsidP="00D91113">
      <w:pPr>
        <w:pStyle w:val="SingleTxtG"/>
        <w:ind w:firstLine="567"/>
        <w:rPr>
          <w:b/>
          <w:bCs/>
        </w:rPr>
      </w:pPr>
      <w:r>
        <w:rPr>
          <w:b/>
          <w:bCs/>
          <w:lang w:eastAsia="en-GB"/>
        </w:rPr>
        <w:t>(</w:t>
      </w:r>
      <w:r w:rsidR="004558E8">
        <w:rPr>
          <w:b/>
          <w:bCs/>
          <w:lang w:eastAsia="en-GB"/>
        </w:rPr>
        <w:t>e</w:t>
      </w:r>
      <w:r w:rsidRPr="008D37BA">
        <w:rPr>
          <w:b/>
          <w:bCs/>
          <w:lang w:eastAsia="en-GB"/>
        </w:rPr>
        <w:t>)</w:t>
      </w:r>
      <w:r w:rsidR="00D91113">
        <w:rPr>
          <w:b/>
          <w:bCs/>
          <w:lang w:eastAsia="en-GB"/>
        </w:rPr>
        <w:tab/>
      </w:r>
      <w:r w:rsidR="007D4961">
        <w:rPr>
          <w:b/>
          <w:bCs/>
        </w:rPr>
        <w:t>Develop effective mechanisms to</w:t>
      </w:r>
      <w:r w:rsidRPr="008D37BA">
        <w:rPr>
          <w:b/>
          <w:bCs/>
        </w:rPr>
        <w:t xml:space="preserve"> identify victims of traffick</w:t>
      </w:r>
      <w:r w:rsidR="007D4961">
        <w:rPr>
          <w:b/>
          <w:bCs/>
        </w:rPr>
        <w:t>ing</w:t>
      </w:r>
      <w:r w:rsidR="00CB5704">
        <w:rPr>
          <w:b/>
          <w:bCs/>
        </w:rPr>
        <w:t xml:space="preserve">, especially </w:t>
      </w:r>
      <w:r w:rsidR="004558E8">
        <w:rPr>
          <w:b/>
          <w:bCs/>
        </w:rPr>
        <w:t xml:space="preserve">migrant </w:t>
      </w:r>
      <w:r w:rsidR="00CB5704">
        <w:rPr>
          <w:b/>
          <w:bCs/>
        </w:rPr>
        <w:t>women and children</w:t>
      </w:r>
      <w:r w:rsidR="007D4961">
        <w:rPr>
          <w:b/>
          <w:bCs/>
        </w:rPr>
        <w:t>;</w:t>
      </w:r>
      <w:r w:rsidR="00C63817">
        <w:rPr>
          <w:b/>
          <w:bCs/>
        </w:rPr>
        <w:t xml:space="preserve"> and</w:t>
      </w:r>
    </w:p>
    <w:p w:rsidR="00B71378" w:rsidRPr="008D37BA" w:rsidRDefault="000044D7" w:rsidP="00D91113">
      <w:pPr>
        <w:pStyle w:val="SingleTxtG"/>
        <w:ind w:firstLine="567"/>
        <w:rPr>
          <w:b/>
          <w:bCs/>
          <w:lang w:eastAsia="en-GB"/>
        </w:rPr>
      </w:pPr>
      <w:r>
        <w:rPr>
          <w:b/>
          <w:bCs/>
          <w:lang w:eastAsia="en-GB"/>
        </w:rPr>
        <w:t>(</w:t>
      </w:r>
      <w:r w:rsidR="00C10580">
        <w:rPr>
          <w:b/>
          <w:bCs/>
          <w:lang w:eastAsia="en-GB"/>
        </w:rPr>
        <w:t>f</w:t>
      </w:r>
      <w:r w:rsidR="00AF4EED">
        <w:rPr>
          <w:b/>
          <w:bCs/>
          <w:lang w:eastAsia="en-GB"/>
        </w:rPr>
        <w:t>)</w:t>
      </w:r>
      <w:r w:rsidR="00D91113">
        <w:rPr>
          <w:b/>
          <w:bCs/>
          <w:lang w:eastAsia="en-GB"/>
        </w:rPr>
        <w:tab/>
      </w:r>
      <w:r w:rsidR="005B460F">
        <w:rPr>
          <w:b/>
          <w:bCs/>
          <w:lang w:eastAsia="en-GB"/>
        </w:rPr>
        <w:t xml:space="preserve">Provide adequate assistance, </w:t>
      </w:r>
      <w:r w:rsidR="00B71378" w:rsidRPr="00B71378">
        <w:rPr>
          <w:b/>
          <w:bCs/>
          <w:lang w:eastAsia="en-GB"/>
        </w:rPr>
        <w:t>protection</w:t>
      </w:r>
      <w:r w:rsidR="005B460F">
        <w:rPr>
          <w:b/>
          <w:bCs/>
          <w:lang w:eastAsia="en-GB"/>
        </w:rPr>
        <w:t xml:space="preserve"> and rehabilitation</w:t>
      </w:r>
      <w:r w:rsidR="00B71378" w:rsidRPr="00B71378">
        <w:rPr>
          <w:b/>
          <w:bCs/>
          <w:lang w:eastAsia="en-GB"/>
        </w:rPr>
        <w:t xml:space="preserve"> to all victims of trafficking in human beings, </w:t>
      </w:r>
      <w:r w:rsidR="004558E8">
        <w:rPr>
          <w:b/>
          <w:bCs/>
          <w:lang w:eastAsia="en-GB"/>
        </w:rPr>
        <w:t>including migrant</w:t>
      </w:r>
      <w:r w:rsidR="007918C7">
        <w:rPr>
          <w:b/>
          <w:bCs/>
          <w:lang w:eastAsia="en-GB"/>
        </w:rPr>
        <w:t xml:space="preserve"> workers</w:t>
      </w:r>
      <w:r w:rsidR="004558E8">
        <w:rPr>
          <w:b/>
          <w:bCs/>
          <w:lang w:eastAsia="en-GB"/>
        </w:rPr>
        <w:t xml:space="preserve">, </w:t>
      </w:r>
      <w:r w:rsidR="00B71378">
        <w:rPr>
          <w:b/>
          <w:bCs/>
          <w:lang w:eastAsia="en-GB"/>
        </w:rPr>
        <w:t>by</w:t>
      </w:r>
      <w:r w:rsidR="00CD250B" w:rsidRPr="00CD250B">
        <w:rPr>
          <w:b/>
          <w:bCs/>
          <w:lang w:eastAsia="en-GB"/>
        </w:rPr>
        <w:t xml:space="preserve"> funding </w:t>
      </w:r>
      <w:r w:rsidR="00C720F9">
        <w:rPr>
          <w:b/>
          <w:bCs/>
          <w:lang w:eastAsia="en-GB"/>
        </w:rPr>
        <w:t>non-governmental organization</w:t>
      </w:r>
      <w:r w:rsidR="00C720F9" w:rsidRPr="00CD250B">
        <w:rPr>
          <w:b/>
          <w:bCs/>
          <w:lang w:eastAsia="en-GB"/>
        </w:rPr>
        <w:t>s</w:t>
      </w:r>
      <w:r w:rsidR="00C720F9" w:rsidRPr="00B71378">
        <w:rPr>
          <w:b/>
          <w:bCs/>
          <w:lang w:eastAsia="en-GB"/>
        </w:rPr>
        <w:t xml:space="preserve"> </w:t>
      </w:r>
      <w:r w:rsidR="004558E8">
        <w:rPr>
          <w:b/>
          <w:bCs/>
          <w:lang w:eastAsia="en-GB"/>
        </w:rPr>
        <w:t>assisting those victims</w:t>
      </w:r>
      <w:r w:rsidR="001B5910">
        <w:rPr>
          <w:b/>
          <w:bCs/>
          <w:lang w:eastAsia="en-GB"/>
        </w:rPr>
        <w:t>,</w:t>
      </w:r>
      <w:r w:rsidR="004558E8">
        <w:rPr>
          <w:b/>
          <w:bCs/>
          <w:lang w:eastAsia="en-GB"/>
        </w:rPr>
        <w:t xml:space="preserve"> </w:t>
      </w:r>
      <w:r w:rsidR="00CD250B">
        <w:rPr>
          <w:b/>
          <w:bCs/>
          <w:lang w:eastAsia="en-GB"/>
        </w:rPr>
        <w:t xml:space="preserve">and </w:t>
      </w:r>
      <w:r w:rsidR="005F0A35">
        <w:rPr>
          <w:b/>
          <w:bCs/>
          <w:lang w:eastAsia="en-GB"/>
        </w:rPr>
        <w:t>ensure that victims of trafficking are informed of their rights</w:t>
      </w:r>
      <w:r w:rsidR="00165128">
        <w:rPr>
          <w:b/>
          <w:bCs/>
          <w:lang w:eastAsia="en-GB"/>
        </w:rPr>
        <w:t xml:space="preserve"> under the Convention</w:t>
      </w:r>
      <w:r w:rsidR="00CD250B">
        <w:rPr>
          <w:b/>
          <w:bCs/>
          <w:lang w:eastAsia="en-GB"/>
        </w:rPr>
        <w:t>.</w:t>
      </w:r>
    </w:p>
    <w:p w:rsidR="00A86679" w:rsidRPr="00A86679" w:rsidRDefault="008B2E59" w:rsidP="00A86679">
      <w:pPr>
        <w:pStyle w:val="H23G"/>
        <w:rPr>
          <w:lang w:val="en-US"/>
        </w:rPr>
      </w:pPr>
      <w:r>
        <w:tab/>
      </w:r>
      <w:r w:rsidR="006D72C2">
        <w:t>7</w:t>
      </w:r>
      <w:r w:rsidRPr="002E173D">
        <w:t>.</w:t>
      </w:r>
      <w:r w:rsidRPr="002E173D">
        <w:tab/>
      </w:r>
      <w:r w:rsidR="0057168B" w:rsidRPr="002E173D">
        <w:rPr>
          <w:lang w:val="en-US"/>
        </w:rPr>
        <w:t>Follow-up and dissemination</w:t>
      </w:r>
    </w:p>
    <w:p w:rsidR="0057168B" w:rsidRDefault="0057168B" w:rsidP="002E3CA5">
      <w:pPr>
        <w:pStyle w:val="H23G"/>
        <w:rPr>
          <w:lang w:val="en-US"/>
        </w:rPr>
      </w:pPr>
      <w:r w:rsidRPr="0057168B">
        <w:rPr>
          <w:lang w:val="en-US"/>
        </w:rPr>
        <w:tab/>
      </w:r>
      <w:r w:rsidRPr="0057168B">
        <w:rPr>
          <w:lang w:val="en-US"/>
        </w:rPr>
        <w:tab/>
        <w:t>Follow-up</w:t>
      </w:r>
    </w:p>
    <w:p w:rsidR="002E173D" w:rsidRPr="00040B2F" w:rsidRDefault="003144F4" w:rsidP="003144F4">
      <w:pPr>
        <w:pStyle w:val="SingleTxtG"/>
      </w:pPr>
      <w:r>
        <w:t>49.</w:t>
      </w:r>
      <w:r>
        <w:tab/>
      </w:r>
      <w:r w:rsidR="002E173D" w:rsidRPr="00040B2F">
        <w:t xml:space="preserve">The Committee requests that the State party include in its third periodic report detailed information on measures taken to follow up </w:t>
      </w:r>
      <w:r w:rsidR="004558E8" w:rsidRPr="00040B2F">
        <w:t xml:space="preserve">on </w:t>
      </w:r>
      <w:r w:rsidR="002E173D" w:rsidRPr="00040B2F">
        <w:t>the recommendations made in the present concluding observations. The Committee also recommends that the State party take all appropriate measures to ensure that these recommendations are implemented</w:t>
      </w:r>
      <w:r w:rsidR="004558E8" w:rsidRPr="00040B2F">
        <w:t>, including</w:t>
      </w:r>
      <w:r w:rsidR="002E173D" w:rsidRPr="00040B2F">
        <w:t xml:space="preserve"> by transmitting them for consideration and action to members of the Government, Parliament and the judiciary, as well as to </w:t>
      </w:r>
      <w:r w:rsidR="00541314" w:rsidRPr="00040B2F">
        <w:t>the relevant</w:t>
      </w:r>
      <w:r w:rsidR="002E173D" w:rsidRPr="00040B2F">
        <w:t xml:space="preserve"> authorities</w:t>
      </w:r>
      <w:r w:rsidR="00541314" w:rsidRPr="00040B2F">
        <w:t xml:space="preserve"> at the State, Entity, district and municipal levels</w:t>
      </w:r>
      <w:r w:rsidR="002E173D" w:rsidRPr="00040B2F">
        <w:t>.</w:t>
      </w:r>
    </w:p>
    <w:p w:rsidR="003032AC" w:rsidRPr="00040B2F" w:rsidRDefault="003144F4" w:rsidP="003144F4">
      <w:pPr>
        <w:pStyle w:val="SingleTxtG"/>
      </w:pPr>
      <w:r>
        <w:t>50.</w:t>
      </w:r>
      <w:r>
        <w:tab/>
      </w:r>
      <w:r w:rsidR="003032AC" w:rsidRPr="00040B2F">
        <w:t xml:space="preserve">The Committee encourages the State party to </w:t>
      </w:r>
      <w:r w:rsidR="00850492" w:rsidRPr="00040B2F">
        <w:t xml:space="preserve">intensify its efforts to </w:t>
      </w:r>
      <w:r w:rsidR="003032AC" w:rsidRPr="00040B2F">
        <w:t>involve civil society organizations in the preparation of the third periodic report.</w:t>
      </w:r>
    </w:p>
    <w:p w:rsidR="00BE793B" w:rsidRDefault="00BE793B" w:rsidP="002E3CA5">
      <w:pPr>
        <w:pStyle w:val="H23G"/>
        <w:rPr>
          <w:lang w:val="en-US"/>
        </w:rPr>
      </w:pPr>
      <w:r>
        <w:rPr>
          <w:lang w:val="en-US"/>
        </w:rPr>
        <w:tab/>
      </w:r>
      <w:r>
        <w:rPr>
          <w:lang w:val="en-US"/>
        </w:rPr>
        <w:tab/>
        <w:t>Dissemination</w:t>
      </w:r>
    </w:p>
    <w:p w:rsidR="0057168B" w:rsidRPr="00040B2F" w:rsidRDefault="003144F4" w:rsidP="003144F4">
      <w:pPr>
        <w:pStyle w:val="SingleTxtG"/>
      </w:pPr>
      <w:r>
        <w:t>51.</w:t>
      </w:r>
      <w:r>
        <w:tab/>
      </w:r>
      <w:r w:rsidR="002E173D" w:rsidRPr="00040B2F">
        <w:rPr>
          <w:lang w:eastAsia="en-GB"/>
        </w:rPr>
        <w:t>The Committee likewise requests that the State party disseminate the present concluding observations widely</w:t>
      </w:r>
      <w:r w:rsidR="00541314" w:rsidRPr="00040B2F">
        <w:rPr>
          <w:lang w:eastAsia="en-GB"/>
        </w:rPr>
        <w:t>, including</w:t>
      </w:r>
      <w:r w:rsidR="002E173D" w:rsidRPr="00040B2F">
        <w:rPr>
          <w:lang w:eastAsia="en-GB"/>
        </w:rPr>
        <w:t xml:space="preserve"> to the judiciary, non-governmental organizations and other members of civil society</w:t>
      </w:r>
      <w:r w:rsidR="00541314" w:rsidRPr="00040B2F">
        <w:rPr>
          <w:lang w:eastAsia="en-GB"/>
        </w:rPr>
        <w:t xml:space="preserve">, </w:t>
      </w:r>
      <w:r w:rsidR="00541314" w:rsidRPr="00040B2F">
        <w:t>and to take steps to make them known to Bosnian migrant</w:t>
      </w:r>
      <w:r w:rsidR="007918C7" w:rsidRPr="00040B2F">
        <w:t xml:space="preserve"> workers</w:t>
      </w:r>
      <w:r w:rsidR="00541314" w:rsidRPr="00040B2F">
        <w:t xml:space="preserve"> abroad and foreign migrant workers </w:t>
      </w:r>
      <w:r w:rsidR="001B5910" w:rsidRPr="00040B2F">
        <w:t>living</w:t>
      </w:r>
      <w:r w:rsidR="00541314" w:rsidRPr="00040B2F">
        <w:t xml:space="preserve"> or in transit in the State party</w:t>
      </w:r>
      <w:r w:rsidR="002E173D" w:rsidRPr="00040B2F">
        <w:rPr>
          <w:lang w:eastAsia="en-GB"/>
        </w:rPr>
        <w:t>.</w:t>
      </w:r>
    </w:p>
    <w:p w:rsidR="008B2E59" w:rsidRDefault="006D72C2" w:rsidP="008B2E59">
      <w:pPr>
        <w:pStyle w:val="H23G"/>
      </w:pPr>
      <w:r>
        <w:tab/>
        <w:t>8</w:t>
      </w:r>
      <w:r w:rsidR="0057168B">
        <w:t>.</w:t>
      </w:r>
      <w:r w:rsidR="0057168B">
        <w:tab/>
      </w:r>
      <w:r w:rsidR="008B2E59">
        <w:t>Next periodic report</w:t>
      </w:r>
    </w:p>
    <w:p w:rsidR="00095DF7" w:rsidRPr="00040B2F" w:rsidRDefault="003144F4" w:rsidP="003144F4">
      <w:pPr>
        <w:pStyle w:val="SingleTxtG"/>
      </w:pPr>
      <w:r>
        <w:t>52.</w:t>
      </w:r>
      <w:r>
        <w:tab/>
      </w:r>
      <w:r w:rsidR="008B2E59" w:rsidRPr="00040B2F">
        <w:t xml:space="preserve">The Committee requests the State party to submit its </w:t>
      </w:r>
      <w:r w:rsidR="00A41668" w:rsidRPr="00040B2F">
        <w:t>third</w:t>
      </w:r>
      <w:r w:rsidR="008B2E59" w:rsidRPr="00040B2F">
        <w:t xml:space="preserve"> periodic repor</w:t>
      </w:r>
      <w:r w:rsidR="00A41668" w:rsidRPr="00040B2F">
        <w:t>t by 1 October</w:t>
      </w:r>
      <w:r w:rsidR="008B2E59" w:rsidRPr="00040B2F">
        <w:t xml:space="preserve"> 2017.</w:t>
      </w:r>
    </w:p>
    <w:p w:rsidR="00E00DCC" w:rsidRPr="00257BF5" w:rsidRDefault="00257BF5" w:rsidP="00257BF5">
      <w:pPr>
        <w:pStyle w:val="SingleTxtG"/>
        <w:spacing w:before="240" w:after="0"/>
        <w:jc w:val="center"/>
        <w:rPr>
          <w:u w:val="single"/>
        </w:rPr>
      </w:pPr>
      <w:r>
        <w:rPr>
          <w:u w:val="single"/>
        </w:rPr>
        <w:tab/>
      </w:r>
      <w:r>
        <w:rPr>
          <w:u w:val="single"/>
        </w:rPr>
        <w:tab/>
      </w:r>
      <w:r>
        <w:rPr>
          <w:u w:val="single"/>
        </w:rPr>
        <w:tab/>
      </w:r>
    </w:p>
    <w:sectPr w:rsidR="00E00DCC" w:rsidRPr="00257BF5" w:rsidSect="00FA21B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977"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10" w:rsidRDefault="005F1A10"/>
  </w:endnote>
  <w:endnote w:type="continuationSeparator" w:id="0">
    <w:p w:rsidR="005F1A10" w:rsidRDefault="005F1A10"/>
  </w:endnote>
  <w:endnote w:type="continuationNotice" w:id="1">
    <w:p w:rsidR="005F1A10" w:rsidRDefault="005F1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C5" w:rsidRPr="008B2E59" w:rsidRDefault="00CC40C5" w:rsidP="008B2E59">
    <w:pPr>
      <w:pStyle w:val="Footer"/>
      <w:tabs>
        <w:tab w:val="right" w:pos="9638"/>
      </w:tabs>
    </w:pPr>
    <w:r w:rsidRPr="008B2E59">
      <w:rPr>
        <w:b/>
        <w:sz w:val="18"/>
      </w:rPr>
      <w:fldChar w:fldCharType="begin"/>
    </w:r>
    <w:r w:rsidRPr="008B2E59">
      <w:rPr>
        <w:b/>
        <w:sz w:val="18"/>
      </w:rPr>
      <w:instrText xml:space="preserve"> PAGE  \* MERGEFORMAT </w:instrText>
    </w:r>
    <w:r w:rsidRPr="008B2E59">
      <w:rPr>
        <w:b/>
        <w:sz w:val="18"/>
      </w:rPr>
      <w:fldChar w:fldCharType="separate"/>
    </w:r>
    <w:r w:rsidR="00B04C40">
      <w:rPr>
        <w:b/>
        <w:noProof/>
        <w:sz w:val="18"/>
      </w:rPr>
      <w:t>2</w:t>
    </w:r>
    <w:r w:rsidRPr="008B2E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C5" w:rsidRPr="008B2E59" w:rsidRDefault="00CC40C5" w:rsidP="008B2E59">
    <w:pPr>
      <w:pStyle w:val="Footer"/>
      <w:tabs>
        <w:tab w:val="right" w:pos="9638"/>
      </w:tabs>
      <w:rPr>
        <w:b/>
        <w:sz w:val="18"/>
      </w:rPr>
    </w:pPr>
    <w:r>
      <w:rPr>
        <w:sz w:val="20"/>
      </w:rPr>
      <w:tab/>
    </w:r>
    <w:r w:rsidRPr="008B2E59">
      <w:rPr>
        <w:b/>
        <w:sz w:val="18"/>
      </w:rPr>
      <w:fldChar w:fldCharType="begin"/>
    </w:r>
    <w:r w:rsidRPr="008B2E59">
      <w:rPr>
        <w:b/>
        <w:sz w:val="18"/>
      </w:rPr>
      <w:instrText xml:space="preserve"> PAGE  \* MERGEFORMAT </w:instrText>
    </w:r>
    <w:r w:rsidRPr="008B2E59">
      <w:rPr>
        <w:b/>
        <w:sz w:val="18"/>
      </w:rPr>
      <w:fldChar w:fldCharType="separate"/>
    </w:r>
    <w:r w:rsidR="00B04C40">
      <w:rPr>
        <w:b/>
        <w:noProof/>
        <w:sz w:val="18"/>
      </w:rPr>
      <w:t>9</w:t>
    </w:r>
    <w:r w:rsidRPr="008B2E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C5" w:rsidRPr="001B056E" w:rsidRDefault="00CC40C5">
    <w:r w:rsidRPr="001B056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Pr="001B056E">
      <w:t>GE.</w:t>
    </w:r>
    <w:r>
      <w:t>12-</w:t>
    </w:r>
    <w:r w:rsidR="00B04C40">
      <w:t>46213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10" w:rsidRPr="000B175B" w:rsidRDefault="005F1A10" w:rsidP="000B175B">
      <w:pPr>
        <w:tabs>
          <w:tab w:val="right" w:pos="2155"/>
        </w:tabs>
        <w:spacing w:after="80"/>
        <w:ind w:left="680"/>
        <w:rPr>
          <w:u w:val="single"/>
        </w:rPr>
      </w:pPr>
      <w:r>
        <w:rPr>
          <w:u w:val="single"/>
        </w:rPr>
        <w:tab/>
      </w:r>
    </w:p>
  </w:footnote>
  <w:footnote w:type="continuationSeparator" w:id="0">
    <w:p w:rsidR="005F1A10" w:rsidRPr="00FC68B7" w:rsidRDefault="005F1A10" w:rsidP="00FC68B7">
      <w:pPr>
        <w:tabs>
          <w:tab w:val="left" w:pos="2155"/>
        </w:tabs>
        <w:spacing w:after="80"/>
        <w:ind w:left="680"/>
        <w:rPr>
          <w:u w:val="single"/>
        </w:rPr>
      </w:pPr>
      <w:r>
        <w:rPr>
          <w:u w:val="single"/>
        </w:rPr>
        <w:tab/>
      </w:r>
    </w:p>
  </w:footnote>
  <w:footnote w:type="continuationNotice" w:id="1">
    <w:p w:rsidR="005F1A10" w:rsidRDefault="005F1A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C5" w:rsidRPr="008B2E59" w:rsidRDefault="00CC40C5">
    <w:pPr>
      <w:pStyle w:val="Header"/>
    </w:pPr>
    <w:r>
      <w:t>CMW/C/BIH/CO/2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C5" w:rsidRPr="008B2E59" w:rsidRDefault="00CC40C5" w:rsidP="008B2E59">
    <w:pPr>
      <w:pStyle w:val="Header"/>
      <w:jc w:val="right"/>
    </w:pPr>
    <w:r>
      <w:t>CMW/C/BIH/CO/2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0" w:rsidRDefault="00B04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DA6"/>
    <w:multiLevelType w:val="hybridMultilevel"/>
    <w:tmpl w:val="DDA821C2"/>
    <w:lvl w:ilvl="0" w:tplc="5886952A">
      <w:start w:val="1"/>
      <w:numFmt w:val="lowerLetter"/>
      <w:lvlText w:val="(%1)"/>
      <w:lvlJc w:val="left"/>
      <w:pPr>
        <w:ind w:left="1460" w:hanging="360"/>
      </w:pPr>
      <w:rPr>
        <w:rFonts w:cs="Times New Roman" w:hint="default"/>
      </w:rPr>
    </w:lvl>
    <w:lvl w:ilvl="1" w:tplc="08090019">
      <w:start w:val="1"/>
      <w:numFmt w:val="lowerLetter"/>
      <w:lvlText w:val="%2."/>
      <w:lvlJc w:val="left"/>
      <w:pPr>
        <w:ind w:left="2180" w:hanging="360"/>
      </w:pPr>
      <w:rPr>
        <w:rFonts w:cs="Times New Roman"/>
      </w:rPr>
    </w:lvl>
    <w:lvl w:ilvl="2" w:tplc="0809001B">
      <w:start w:val="1"/>
      <w:numFmt w:val="lowerRoman"/>
      <w:lvlText w:val="%3."/>
      <w:lvlJc w:val="right"/>
      <w:pPr>
        <w:ind w:left="2900" w:hanging="180"/>
      </w:pPr>
      <w:rPr>
        <w:rFonts w:cs="Times New Roman"/>
      </w:rPr>
    </w:lvl>
    <w:lvl w:ilvl="3" w:tplc="0809000F">
      <w:start w:val="1"/>
      <w:numFmt w:val="decimal"/>
      <w:lvlText w:val="%4."/>
      <w:lvlJc w:val="left"/>
      <w:pPr>
        <w:ind w:left="3620" w:hanging="360"/>
      </w:pPr>
      <w:rPr>
        <w:rFonts w:cs="Times New Roman"/>
      </w:rPr>
    </w:lvl>
    <w:lvl w:ilvl="4" w:tplc="08090019">
      <w:start w:val="1"/>
      <w:numFmt w:val="lowerLetter"/>
      <w:lvlText w:val="%5."/>
      <w:lvlJc w:val="left"/>
      <w:pPr>
        <w:ind w:left="4340" w:hanging="360"/>
      </w:pPr>
      <w:rPr>
        <w:rFonts w:cs="Times New Roman"/>
      </w:rPr>
    </w:lvl>
    <w:lvl w:ilvl="5" w:tplc="0809001B">
      <w:start w:val="1"/>
      <w:numFmt w:val="lowerRoman"/>
      <w:lvlText w:val="%6."/>
      <w:lvlJc w:val="right"/>
      <w:pPr>
        <w:ind w:left="5060" w:hanging="180"/>
      </w:pPr>
      <w:rPr>
        <w:rFonts w:cs="Times New Roman"/>
      </w:rPr>
    </w:lvl>
    <w:lvl w:ilvl="6" w:tplc="0809000F">
      <w:start w:val="1"/>
      <w:numFmt w:val="decimal"/>
      <w:lvlText w:val="%7."/>
      <w:lvlJc w:val="left"/>
      <w:pPr>
        <w:ind w:left="5780" w:hanging="360"/>
      </w:pPr>
      <w:rPr>
        <w:rFonts w:cs="Times New Roman"/>
      </w:rPr>
    </w:lvl>
    <w:lvl w:ilvl="7" w:tplc="08090019">
      <w:start w:val="1"/>
      <w:numFmt w:val="lowerLetter"/>
      <w:lvlText w:val="%8."/>
      <w:lvlJc w:val="left"/>
      <w:pPr>
        <w:ind w:left="6500" w:hanging="360"/>
      </w:pPr>
      <w:rPr>
        <w:rFonts w:cs="Times New Roman"/>
      </w:rPr>
    </w:lvl>
    <w:lvl w:ilvl="8" w:tplc="0809001B">
      <w:start w:val="1"/>
      <w:numFmt w:val="lowerRoman"/>
      <w:lvlText w:val="%9."/>
      <w:lvlJc w:val="right"/>
      <w:pPr>
        <w:ind w:left="7220" w:hanging="180"/>
      </w:pPr>
      <w:rPr>
        <w:rFonts w:cs="Times New Roman"/>
      </w:rPr>
    </w:lvl>
  </w:abstractNum>
  <w:abstractNum w:abstractNumId="1">
    <w:nsid w:val="01DF7538"/>
    <w:multiLevelType w:val="hybridMultilevel"/>
    <w:tmpl w:val="055E53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2023A1E"/>
    <w:multiLevelType w:val="hybridMultilevel"/>
    <w:tmpl w:val="28CC61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7D02D0"/>
    <w:multiLevelType w:val="hybridMultilevel"/>
    <w:tmpl w:val="B906B6F8"/>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CC2BE3"/>
    <w:multiLevelType w:val="hybridMultilevel"/>
    <w:tmpl w:val="62EC6E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52755A7"/>
    <w:multiLevelType w:val="hybridMultilevel"/>
    <w:tmpl w:val="33EC621C"/>
    <w:lvl w:ilvl="0" w:tplc="7D742A22">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066922B4"/>
    <w:multiLevelType w:val="hybridMultilevel"/>
    <w:tmpl w:val="60F05A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9F528AC"/>
    <w:multiLevelType w:val="hybridMultilevel"/>
    <w:tmpl w:val="055E53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0C8C01F5"/>
    <w:multiLevelType w:val="hybridMultilevel"/>
    <w:tmpl w:val="C1AEBE38"/>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0DE134D0"/>
    <w:multiLevelType w:val="hybridMultilevel"/>
    <w:tmpl w:val="BA3C3E00"/>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13609A7"/>
    <w:multiLevelType w:val="hybridMultilevel"/>
    <w:tmpl w:val="9CAE3FCA"/>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3CF1BD5"/>
    <w:multiLevelType w:val="hybridMultilevel"/>
    <w:tmpl w:val="BB727F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213AB1"/>
    <w:multiLevelType w:val="hybridMultilevel"/>
    <w:tmpl w:val="B2D88FF8"/>
    <w:lvl w:ilvl="0" w:tplc="7352863C">
      <w:start w:val="1"/>
      <w:numFmt w:val="lowerLetter"/>
      <w:lvlText w:val="(%1)"/>
      <w:lvlJc w:val="left"/>
      <w:pPr>
        <w:tabs>
          <w:tab w:val="num" w:pos="1460"/>
        </w:tabs>
        <w:ind w:left="1460" w:hanging="360"/>
      </w:pPr>
      <w:rPr>
        <w:rFonts w:cs="Times New Roman" w:hint="default"/>
      </w:rPr>
    </w:lvl>
    <w:lvl w:ilvl="1" w:tplc="04090019">
      <w:start w:val="1"/>
      <w:numFmt w:val="lowerLetter"/>
      <w:lvlText w:val="%2."/>
      <w:lvlJc w:val="left"/>
      <w:pPr>
        <w:tabs>
          <w:tab w:val="num" w:pos="2180"/>
        </w:tabs>
        <w:ind w:left="2180" w:hanging="360"/>
      </w:pPr>
      <w:rPr>
        <w:rFonts w:cs="Times New Roman"/>
      </w:rPr>
    </w:lvl>
    <w:lvl w:ilvl="2" w:tplc="0409001B">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14">
    <w:nsid w:val="16C40CB4"/>
    <w:multiLevelType w:val="hybridMultilevel"/>
    <w:tmpl w:val="5436F4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F6941BF"/>
    <w:multiLevelType w:val="hybridMultilevel"/>
    <w:tmpl w:val="134480D8"/>
    <w:lvl w:ilvl="0" w:tplc="C2283170">
      <w:start w:val="1"/>
      <w:numFmt w:val="low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6">
    <w:nsid w:val="23DA274F"/>
    <w:multiLevelType w:val="hybridMultilevel"/>
    <w:tmpl w:val="88A48C3A"/>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64B3314"/>
    <w:multiLevelType w:val="hybridMultilevel"/>
    <w:tmpl w:val="611CC7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C8D5A57"/>
    <w:multiLevelType w:val="hybridMultilevel"/>
    <w:tmpl w:val="8E0CFC66"/>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C401A43"/>
    <w:multiLevelType w:val="hybridMultilevel"/>
    <w:tmpl w:val="A5C4DF70"/>
    <w:lvl w:ilvl="0" w:tplc="2D2AED14">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0">
    <w:nsid w:val="3EFA387A"/>
    <w:multiLevelType w:val="hybridMultilevel"/>
    <w:tmpl w:val="8EE096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F086643"/>
    <w:multiLevelType w:val="hybridMultilevel"/>
    <w:tmpl w:val="52367C0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F0B4AF0"/>
    <w:multiLevelType w:val="hybridMultilevel"/>
    <w:tmpl w:val="055E53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FD10746"/>
    <w:multiLevelType w:val="hybridMultilevel"/>
    <w:tmpl w:val="5436F4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81C16A8"/>
    <w:multiLevelType w:val="hybridMultilevel"/>
    <w:tmpl w:val="BB727F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B303B07"/>
    <w:multiLevelType w:val="hybridMultilevel"/>
    <w:tmpl w:val="66621FE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CE9425E"/>
    <w:multiLevelType w:val="hybridMultilevel"/>
    <w:tmpl w:val="F75C3170"/>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48C49BC"/>
    <w:multiLevelType w:val="hybridMultilevel"/>
    <w:tmpl w:val="2C7ACC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56A0C83"/>
    <w:multiLevelType w:val="hybridMultilevel"/>
    <w:tmpl w:val="67F479CA"/>
    <w:lvl w:ilvl="0" w:tplc="7D742A2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62878F6"/>
    <w:multiLevelType w:val="hybridMultilevel"/>
    <w:tmpl w:val="831C28F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79A7E14"/>
    <w:multiLevelType w:val="hybridMultilevel"/>
    <w:tmpl w:val="33EC621C"/>
    <w:lvl w:ilvl="0" w:tplc="7D742A22">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9FA1854"/>
    <w:multiLevelType w:val="hybridMultilevel"/>
    <w:tmpl w:val="6C58D9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BE935A1"/>
    <w:multiLevelType w:val="hybridMultilevel"/>
    <w:tmpl w:val="5762A56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5CB0074F"/>
    <w:multiLevelType w:val="hybridMultilevel"/>
    <w:tmpl w:val="2B0848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0B01A6F"/>
    <w:multiLevelType w:val="hybridMultilevel"/>
    <w:tmpl w:val="66621FE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6D71F6E"/>
    <w:multiLevelType w:val="hybridMultilevel"/>
    <w:tmpl w:val="AECC69E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7AF7FCA"/>
    <w:multiLevelType w:val="hybridMultilevel"/>
    <w:tmpl w:val="B022B71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A3F1021"/>
    <w:multiLevelType w:val="hybridMultilevel"/>
    <w:tmpl w:val="218EC0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C8E1BD0"/>
    <w:multiLevelType w:val="hybridMultilevel"/>
    <w:tmpl w:val="42D0B348"/>
    <w:lvl w:ilvl="0" w:tplc="0F520AB2">
      <w:start w:val="1"/>
      <w:numFmt w:val="decimal"/>
      <w:lvlText w:val="%1."/>
      <w:lvlJc w:val="left"/>
      <w:pPr>
        <w:tabs>
          <w:tab w:val="num" w:pos="851"/>
        </w:tabs>
        <w:ind w:left="0" w:firstLine="0"/>
      </w:pPr>
      <w:rPr>
        <w:rFonts w:hint="default"/>
        <w:b w:val="0"/>
        <w:bCs/>
      </w:rPr>
    </w:lvl>
    <w:lvl w:ilvl="1" w:tplc="7C66D132">
      <w:start w:val="1"/>
      <w:numFmt w:val="lowerLetter"/>
      <w:lvlText w:val="(%2)"/>
      <w:lvlJc w:val="left"/>
      <w:pPr>
        <w:tabs>
          <w:tab w:val="num" w:pos="1800"/>
        </w:tabs>
        <w:ind w:left="1800" w:hanging="720"/>
      </w:pPr>
      <w:rPr>
        <w:rFonts w:hint="default"/>
      </w:rPr>
    </w:lvl>
    <w:lvl w:ilvl="2" w:tplc="994C8F70">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7"/>
  </w:num>
  <w:num w:numId="3">
    <w:abstractNumId w:val="13"/>
  </w:num>
  <w:num w:numId="4">
    <w:abstractNumId w:val="15"/>
  </w:num>
  <w:num w:numId="5">
    <w:abstractNumId w:val="0"/>
  </w:num>
  <w:num w:numId="6">
    <w:abstractNumId w:val="6"/>
  </w:num>
  <w:num w:numId="7">
    <w:abstractNumId w:val="29"/>
  </w:num>
  <w:num w:numId="8">
    <w:abstractNumId w:val="35"/>
  </w:num>
  <w:num w:numId="9">
    <w:abstractNumId w:val="39"/>
  </w:num>
  <w:num w:numId="10">
    <w:abstractNumId w:val="2"/>
  </w:num>
  <w:num w:numId="11">
    <w:abstractNumId w:val="25"/>
  </w:num>
  <w:num w:numId="12">
    <w:abstractNumId w:val="34"/>
  </w:num>
  <w:num w:numId="13">
    <w:abstractNumId w:val="36"/>
  </w:num>
  <w:num w:numId="14">
    <w:abstractNumId w:val="20"/>
  </w:num>
  <w:num w:numId="15">
    <w:abstractNumId w:val="38"/>
  </w:num>
  <w:num w:numId="16">
    <w:abstractNumId w:val="7"/>
  </w:num>
  <w:num w:numId="17">
    <w:abstractNumId w:val="31"/>
  </w:num>
  <w:num w:numId="18">
    <w:abstractNumId w:val="24"/>
  </w:num>
  <w:num w:numId="19">
    <w:abstractNumId w:val="12"/>
  </w:num>
  <w:num w:numId="20">
    <w:abstractNumId w:val="27"/>
  </w:num>
  <w:num w:numId="21">
    <w:abstractNumId w:val="8"/>
  </w:num>
  <w:num w:numId="22">
    <w:abstractNumId w:val="22"/>
  </w:num>
  <w:num w:numId="23">
    <w:abstractNumId w:val="1"/>
  </w:num>
  <w:num w:numId="24">
    <w:abstractNumId w:val="5"/>
  </w:num>
  <w:num w:numId="25">
    <w:abstractNumId w:val="33"/>
  </w:num>
  <w:num w:numId="26">
    <w:abstractNumId w:val="23"/>
  </w:num>
  <w:num w:numId="27">
    <w:abstractNumId w:val="14"/>
  </w:num>
  <w:num w:numId="28">
    <w:abstractNumId w:val="32"/>
  </w:num>
  <w:num w:numId="29">
    <w:abstractNumId w:val="17"/>
  </w:num>
  <w:num w:numId="30">
    <w:abstractNumId w:val="21"/>
  </w:num>
  <w:num w:numId="31">
    <w:abstractNumId w:val="9"/>
  </w:num>
  <w:num w:numId="32">
    <w:abstractNumId w:val="18"/>
  </w:num>
  <w:num w:numId="33">
    <w:abstractNumId w:val="11"/>
  </w:num>
  <w:num w:numId="34">
    <w:abstractNumId w:val="10"/>
  </w:num>
  <w:num w:numId="35">
    <w:abstractNumId w:val="26"/>
  </w:num>
  <w:num w:numId="36">
    <w:abstractNumId w:val="3"/>
  </w:num>
  <w:num w:numId="37">
    <w:abstractNumId w:val="16"/>
  </w:num>
  <w:num w:numId="38">
    <w:abstractNumId w:val="28"/>
  </w:num>
  <w:num w:numId="39">
    <w:abstractNumId w:val="19"/>
  </w:num>
  <w:num w:numId="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A93"/>
    <w:rsid w:val="000000B5"/>
    <w:rsid w:val="00001D48"/>
    <w:rsid w:val="00002C73"/>
    <w:rsid w:val="000044D7"/>
    <w:rsid w:val="000061F5"/>
    <w:rsid w:val="0000633C"/>
    <w:rsid w:val="000078BE"/>
    <w:rsid w:val="0002034D"/>
    <w:rsid w:val="00021150"/>
    <w:rsid w:val="00026705"/>
    <w:rsid w:val="00027F2B"/>
    <w:rsid w:val="000306E9"/>
    <w:rsid w:val="00032CF9"/>
    <w:rsid w:val="00040B2F"/>
    <w:rsid w:val="000414F5"/>
    <w:rsid w:val="00041C23"/>
    <w:rsid w:val="00050D98"/>
    <w:rsid w:val="00050F6B"/>
    <w:rsid w:val="00053E0C"/>
    <w:rsid w:val="0005429B"/>
    <w:rsid w:val="00054D61"/>
    <w:rsid w:val="000655A8"/>
    <w:rsid w:val="00072183"/>
    <w:rsid w:val="00072C8C"/>
    <w:rsid w:val="000733B5"/>
    <w:rsid w:val="00075A86"/>
    <w:rsid w:val="00080C93"/>
    <w:rsid w:val="00081E8E"/>
    <w:rsid w:val="000833BE"/>
    <w:rsid w:val="000847DB"/>
    <w:rsid w:val="000926B5"/>
    <w:rsid w:val="000931C0"/>
    <w:rsid w:val="00095DF7"/>
    <w:rsid w:val="000A5A51"/>
    <w:rsid w:val="000B0EFB"/>
    <w:rsid w:val="000B175B"/>
    <w:rsid w:val="000B2EBB"/>
    <w:rsid w:val="000B3A0F"/>
    <w:rsid w:val="000B4EF7"/>
    <w:rsid w:val="000C2D2E"/>
    <w:rsid w:val="000C52E2"/>
    <w:rsid w:val="000C6CD1"/>
    <w:rsid w:val="000C7417"/>
    <w:rsid w:val="000C7B2C"/>
    <w:rsid w:val="000D0867"/>
    <w:rsid w:val="000D2CF7"/>
    <w:rsid w:val="000D796D"/>
    <w:rsid w:val="000E0415"/>
    <w:rsid w:val="000E16C0"/>
    <w:rsid w:val="000E1DC9"/>
    <w:rsid w:val="000E3F0B"/>
    <w:rsid w:val="000F2AF5"/>
    <w:rsid w:val="000F532C"/>
    <w:rsid w:val="000F7B22"/>
    <w:rsid w:val="001103AA"/>
    <w:rsid w:val="00120012"/>
    <w:rsid w:val="00135A8D"/>
    <w:rsid w:val="00141229"/>
    <w:rsid w:val="00147EDD"/>
    <w:rsid w:val="00150431"/>
    <w:rsid w:val="00151EE8"/>
    <w:rsid w:val="0015346C"/>
    <w:rsid w:val="00154F93"/>
    <w:rsid w:val="00156CB3"/>
    <w:rsid w:val="00161783"/>
    <w:rsid w:val="0016276C"/>
    <w:rsid w:val="00163C90"/>
    <w:rsid w:val="00164995"/>
    <w:rsid w:val="00165128"/>
    <w:rsid w:val="00165691"/>
    <w:rsid w:val="00170D62"/>
    <w:rsid w:val="00172EC3"/>
    <w:rsid w:val="001776EE"/>
    <w:rsid w:val="00181DB2"/>
    <w:rsid w:val="0019104A"/>
    <w:rsid w:val="00191463"/>
    <w:rsid w:val="00192AFF"/>
    <w:rsid w:val="001939A3"/>
    <w:rsid w:val="00195DC1"/>
    <w:rsid w:val="001A61A8"/>
    <w:rsid w:val="001B056E"/>
    <w:rsid w:val="001B4B04"/>
    <w:rsid w:val="001B5910"/>
    <w:rsid w:val="001B6E04"/>
    <w:rsid w:val="001C3928"/>
    <w:rsid w:val="001C3951"/>
    <w:rsid w:val="001C6663"/>
    <w:rsid w:val="001C6AFD"/>
    <w:rsid w:val="001C6FEF"/>
    <w:rsid w:val="001C7895"/>
    <w:rsid w:val="001D26DF"/>
    <w:rsid w:val="001D42BC"/>
    <w:rsid w:val="001D7324"/>
    <w:rsid w:val="001D777C"/>
    <w:rsid w:val="001E0414"/>
    <w:rsid w:val="001E0C71"/>
    <w:rsid w:val="001E1844"/>
    <w:rsid w:val="001E6639"/>
    <w:rsid w:val="001F07B3"/>
    <w:rsid w:val="001F7E7B"/>
    <w:rsid w:val="00201EDE"/>
    <w:rsid w:val="00202DA8"/>
    <w:rsid w:val="00203150"/>
    <w:rsid w:val="0020568D"/>
    <w:rsid w:val="00206D69"/>
    <w:rsid w:val="002078DF"/>
    <w:rsid w:val="00207DC5"/>
    <w:rsid w:val="00211E0B"/>
    <w:rsid w:val="00215A03"/>
    <w:rsid w:val="00221F62"/>
    <w:rsid w:val="00227D2D"/>
    <w:rsid w:val="002324FA"/>
    <w:rsid w:val="00233162"/>
    <w:rsid w:val="00233E84"/>
    <w:rsid w:val="00240D63"/>
    <w:rsid w:val="00241D32"/>
    <w:rsid w:val="00250B24"/>
    <w:rsid w:val="002530D3"/>
    <w:rsid w:val="002534C4"/>
    <w:rsid w:val="00257BF5"/>
    <w:rsid w:val="002611EE"/>
    <w:rsid w:val="0026161B"/>
    <w:rsid w:val="0027015F"/>
    <w:rsid w:val="00271DF1"/>
    <w:rsid w:val="00272DF6"/>
    <w:rsid w:val="002745C7"/>
    <w:rsid w:val="00276A80"/>
    <w:rsid w:val="00280BC0"/>
    <w:rsid w:val="00281672"/>
    <w:rsid w:val="002820DE"/>
    <w:rsid w:val="002843E1"/>
    <w:rsid w:val="00287E4F"/>
    <w:rsid w:val="002912A3"/>
    <w:rsid w:val="00292104"/>
    <w:rsid w:val="00294C07"/>
    <w:rsid w:val="00297758"/>
    <w:rsid w:val="002A0786"/>
    <w:rsid w:val="002A6287"/>
    <w:rsid w:val="002B0127"/>
    <w:rsid w:val="002B054A"/>
    <w:rsid w:val="002B29B0"/>
    <w:rsid w:val="002B529A"/>
    <w:rsid w:val="002C0817"/>
    <w:rsid w:val="002C3F0E"/>
    <w:rsid w:val="002C6755"/>
    <w:rsid w:val="002C67EE"/>
    <w:rsid w:val="002D4DFC"/>
    <w:rsid w:val="002D7DAC"/>
    <w:rsid w:val="002E173D"/>
    <w:rsid w:val="002E3CA5"/>
    <w:rsid w:val="002E568F"/>
    <w:rsid w:val="002F175C"/>
    <w:rsid w:val="002F3073"/>
    <w:rsid w:val="003032AC"/>
    <w:rsid w:val="00306C94"/>
    <w:rsid w:val="0031289E"/>
    <w:rsid w:val="00313D55"/>
    <w:rsid w:val="003144F4"/>
    <w:rsid w:val="00315E42"/>
    <w:rsid w:val="00317A94"/>
    <w:rsid w:val="00320750"/>
    <w:rsid w:val="0032273C"/>
    <w:rsid w:val="003229D8"/>
    <w:rsid w:val="00322E77"/>
    <w:rsid w:val="00325F88"/>
    <w:rsid w:val="00327BE5"/>
    <w:rsid w:val="00331180"/>
    <w:rsid w:val="00333394"/>
    <w:rsid w:val="00342743"/>
    <w:rsid w:val="00345593"/>
    <w:rsid w:val="00350928"/>
    <w:rsid w:val="00350F34"/>
    <w:rsid w:val="00352709"/>
    <w:rsid w:val="003527BD"/>
    <w:rsid w:val="003579E4"/>
    <w:rsid w:val="003613B7"/>
    <w:rsid w:val="0036359E"/>
    <w:rsid w:val="00365FF8"/>
    <w:rsid w:val="00371178"/>
    <w:rsid w:val="00383D34"/>
    <w:rsid w:val="003A6810"/>
    <w:rsid w:val="003B06F4"/>
    <w:rsid w:val="003B097E"/>
    <w:rsid w:val="003B4DFF"/>
    <w:rsid w:val="003C0728"/>
    <w:rsid w:val="003C0C4E"/>
    <w:rsid w:val="003C22E3"/>
    <w:rsid w:val="003C2CC4"/>
    <w:rsid w:val="003C61CB"/>
    <w:rsid w:val="003C6CB3"/>
    <w:rsid w:val="003C6E84"/>
    <w:rsid w:val="003D2BA6"/>
    <w:rsid w:val="003D4B23"/>
    <w:rsid w:val="003E1083"/>
    <w:rsid w:val="003F0898"/>
    <w:rsid w:val="003F163D"/>
    <w:rsid w:val="003F3B1F"/>
    <w:rsid w:val="003F4C54"/>
    <w:rsid w:val="003F5650"/>
    <w:rsid w:val="003F7BCC"/>
    <w:rsid w:val="00400DFE"/>
    <w:rsid w:val="00406192"/>
    <w:rsid w:val="00410C89"/>
    <w:rsid w:val="0041191B"/>
    <w:rsid w:val="00420509"/>
    <w:rsid w:val="004217CC"/>
    <w:rsid w:val="004234FC"/>
    <w:rsid w:val="00426B9B"/>
    <w:rsid w:val="00430FFE"/>
    <w:rsid w:val="004325CB"/>
    <w:rsid w:val="00434D6E"/>
    <w:rsid w:val="00440653"/>
    <w:rsid w:val="00443F4C"/>
    <w:rsid w:val="00446E3D"/>
    <w:rsid w:val="004472D1"/>
    <w:rsid w:val="00452A02"/>
    <w:rsid w:val="0045495B"/>
    <w:rsid w:val="004558E8"/>
    <w:rsid w:val="00455FD0"/>
    <w:rsid w:val="00456549"/>
    <w:rsid w:val="00456DC6"/>
    <w:rsid w:val="0046391C"/>
    <w:rsid w:val="00466D04"/>
    <w:rsid w:val="00466E1E"/>
    <w:rsid w:val="004735C7"/>
    <w:rsid w:val="00475B42"/>
    <w:rsid w:val="00475E7B"/>
    <w:rsid w:val="00475FEF"/>
    <w:rsid w:val="0047693D"/>
    <w:rsid w:val="00481D5C"/>
    <w:rsid w:val="004855A9"/>
    <w:rsid w:val="0048739B"/>
    <w:rsid w:val="00491AA7"/>
    <w:rsid w:val="00497465"/>
    <w:rsid w:val="004A3A3E"/>
    <w:rsid w:val="004A3A53"/>
    <w:rsid w:val="004B414E"/>
    <w:rsid w:val="004B603D"/>
    <w:rsid w:val="004C064C"/>
    <w:rsid w:val="004C1A88"/>
    <w:rsid w:val="004C44D1"/>
    <w:rsid w:val="004C7FE3"/>
    <w:rsid w:val="004D35F2"/>
    <w:rsid w:val="004D3C67"/>
    <w:rsid w:val="004D6A28"/>
    <w:rsid w:val="004D7483"/>
    <w:rsid w:val="004D78AA"/>
    <w:rsid w:val="004E40E2"/>
    <w:rsid w:val="004E6B5B"/>
    <w:rsid w:val="004F0A12"/>
    <w:rsid w:val="005101D7"/>
    <w:rsid w:val="005108B1"/>
    <w:rsid w:val="005169D2"/>
    <w:rsid w:val="00516F84"/>
    <w:rsid w:val="005224C3"/>
    <w:rsid w:val="00522BCF"/>
    <w:rsid w:val="00524F8A"/>
    <w:rsid w:val="00527F81"/>
    <w:rsid w:val="00533E29"/>
    <w:rsid w:val="005362CD"/>
    <w:rsid w:val="0053783C"/>
    <w:rsid w:val="00541314"/>
    <w:rsid w:val="005420F2"/>
    <w:rsid w:val="00542700"/>
    <w:rsid w:val="00547C4F"/>
    <w:rsid w:val="0055097D"/>
    <w:rsid w:val="00553A81"/>
    <w:rsid w:val="005560CD"/>
    <w:rsid w:val="005602A3"/>
    <w:rsid w:val="005609D9"/>
    <w:rsid w:val="00562C26"/>
    <w:rsid w:val="00564465"/>
    <w:rsid w:val="00565BD8"/>
    <w:rsid w:val="00567C71"/>
    <w:rsid w:val="00570BF5"/>
    <w:rsid w:val="0057168B"/>
    <w:rsid w:val="00572953"/>
    <w:rsid w:val="00573EA2"/>
    <w:rsid w:val="00574E46"/>
    <w:rsid w:val="005761A3"/>
    <w:rsid w:val="005778B9"/>
    <w:rsid w:val="00594025"/>
    <w:rsid w:val="005A35C9"/>
    <w:rsid w:val="005B3DB3"/>
    <w:rsid w:val="005B460F"/>
    <w:rsid w:val="005C54E2"/>
    <w:rsid w:val="005D0DF3"/>
    <w:rsid w:val="005D3AD0"/>
    <w:rsid w:val="005D50E3"/>
    <w:rsid w:val="005D704A"/>
    <w:rsid w:val="005D793F"/>
    <w:rsid w:val="005E2B68"/>
    <w:rsid w:val="005F0A35"/>
    <w:rsid w:val="005F1A10"/>
    <w:rsid w:val="005F2599"/>
    <w:rsid w:val="005F5AB0"/>
    <w:rsid w:val="005F6B78"/>
    <w:rsid w:val="006001EE"/>
    <w:rsid w:val="006024E5"/>
    <w:rsid w:val="006109B9"/>
    <w:rsid w:val="00611FC4"/>
    <w:rsid w:val="00612246"/>
    <w:rsid w:val="00612F05"/>
    <w:rsid w:val="00615B21"/>
    <w:rsid w:val="006173A5"/>
    <w:rsid w:val="006176FB"/>
    <w:rsid w:val="00620BC7"/>
    <w:rsid w:val="006220A2"/>
    <w:rsid w:val="006225D1"/>
    <w:rsid w:val="00625B78"/>
    <w:rsid w:val="00625E41"/>
    <w:rsid w:val="00627894"/>
    <w:rsid w:val="006323AA"/>
    <w:rsid w:val="00635273"/>
    <w:rsid w:val="006376A6"/>
    <w:rsid w:val="00640B26"/>
    <w:rsid w:val="006425A6"/>
    <w:rsid w:val="0064373D"/>
    <w:rsid w:val="006456C1"/>
    <w:rsid w:val="006500BC"/>
    <w:rsid w:val="00650A4D"/>
    <w:rsid w:val="00652D0A"/>
    <w:rsid w:val="0065506D"/>
    <w:rsid w:val="006617C5"/>
    <w:rsid w:val="00662307"/>
    <w:rsid w:val="0067052E"/>
    <w:rsid w:val="006708A0"/>
    <w:rsid w:val="0067722E"/>
    <w:rsid w:val="006877AC"/>
    <w:rsid w:val="006A1F5B"/>
    <w:rsid w:val="006B7B54"/>
    <w:rsid w:val="006C1AF0"/>
    <w:rsid w:val="006C3835"/>
    <w:rsid w:val="006C3F2D"/>
    <w:rsid w:val="006D088C"/>
    <w:rsid w:val="006D3D98"/>
    <w:rsid w:val="006D5988"/>
    <w:rsid w:val="006D61B2"/>
    <w:rsid w:val="006D72C2"/>
    <w:rsid w:val="006E2009"/>
    <w:rsid w:val="006E2EFD"/>
    <w:rsid w:val="006E4475"/>
    <w:rsid w:val="006E4EE9"/>
    <w:rsid w:val="006E564B"/>
    <w:rsid w:val="006E59F3"/>
    <w:rsid w:val="006E6E4C"/>
    <w:rsid w:val="006F0425"/>
    <w:rsid w:val="006F28C3"/>
    <w:rsid w:val="006F7978"/>
    <w:rsid w:val="006F7D97"/>
    <w:rsid w:val="007018FC"/>
    <w:rsid w:val="00703CDA"/>
    <w:rsid w:val="00704FC1"/>
    <w:rsid w:val="00711CC7"/>
    <w:rsid w:val="00712DA8"/>
    <w:rsid w:val="0071786E"/>
    <w:rsid w:val="00721AAC"/>
    <w:rsid w:val="00724980"/>
    <w:rsid w:val="0072632A"/>
    <w:rsid w:val="00737F41"/>
    <w:rsid w:val="00742F16"/>
    <w:rsid w:val="007442B2"/>
    <w:rsid w:val="00745E53"/>
    <w:rsid w:val="00755F38"/>
    <w:rsid w:val="00757435"/>
    <w:rsid w:val="00763164"/>
    <w:rsid w:val="007633FA"/>
    <w:rsid w:val="00765534"/>
    <w:rsid w:val="00767221"/>
    <w:rsid w:val="007741F9"/>
    <w:rsid w:val="00774A59"/>
    <w:rsid w:val="00776673"/>
    <w:rsid w:val="00776C78"/>
    <w:rsid w:val="00776CF0"/>
    <w:rsid w:val="00783F16"/>
    <w:rsid w:val="00787B84"/>
    <w:rsid w:val="007918C7"/>
    <w:rsid w:val="00793040"/>
    <w:rsid w:val="007937D3"/>
    <w:rsid w:val="007A020D"/>
    <w:rsid w:val="007A206B"/>
    <w:rsid w:val="007A33EA"/>
    <w:rsid w:val="007A4242"/>
    <w:rsid w:val="007A671B"/>
    <w:rsid w:val="007B0192"/>
    <w:rsid w:val="007B07E5"/>
    <w:rsid w:val="007B6554"/>
    <w:rsid w:val="007B6BA5"/>
    <w:rsid w:val="007C1C98"/>
    <w:rsid w:val="007C3390"/>
    <w:rsid w:val="007C4D45"/>
    <w:rsid w:val="007C4F4B"/>
    <w:rsid w:val="007D4961"/>
    <w:rsid w:val="007D7C77"/>
    <w:rsid w:val="007E2A1D"/>
    <w:rsid w:val="007E36B7"/>
    <w:rsid w:val="007E4226"/>
    <w:rsid w:val="007E5C26"/>
    <w:rsid w:val="007F2E00"/>
    <w:rsid w:val="007F4006"/>
    <w:rsid w:val="007F4443"/>
    <w:rsid w:val="007F5D1E"/>
    <w:rsid w:val="007F6611"/>
    <w:rsid w:val="0081429C"/>
    <w:rsid w:val="00822A3B"/>
    <w:rsid w:val="00823416"/>
    <w:rsid w:val="008242D7"/>
    <w:rsid w:val="0082554C"/>
    <w:rsid w:val="00827441"/>
    <w:rsid w:val="0083208E"/>
    <w:rsid w:val="00834876"/>
    <w:rsid w:val="008363DE"/>
    <w:rsid w:val="00840F41"/>
    <w:rsid w:val="00842F49"/>
    <w:rsid w:val="00843197"/>
    <w:rsid w:val="00843693"/>
    <w:rsid w:val="00850492"/>
    <w:rsid w:val="008513E6"/>
    <w:rsid w:val="00851E9A"/>
    <w:rsid w:val="0086305E"/>
    <w:rsid w:val="008658F6"/>
    <w:rsid w:val="00867CD0"/>
    <w:rsid w:val="00880F79"/>
    <w:rsid w:val="008832EA"/>
    <w:rsid w:val="00886D0A"/>
    <w:rsid w:val="00893129"/>
    <w:rsid w:val="008968E3"/>
    <w:rsid w:val="00897510"/>
    <w:rsid w:val="008979B1"/>
    <w:rsid w:val="008A2440"/>
    <w:rsid w:val="008A3790"/>
    <w:rsid w:val="008A5714"/>
    <w:rsid w:val="008A6B25"/>
    <w:rsid w:val="008A6C4F"/>
    <w:rsid w:val="008B2335"/>
    <w:rsid w:val="008B2E59"/>
    <w:rsid w:val="008B4AF3"/>
    <w:rsid w:val="008B74A1"/>
    <w:rsid w:val="008C18AA"/>
    <w:rsid w:val="008C34E8"/>
    <w:rsid w:val="008D37BA"/>
    <w:rsid w:val="008D465C"/>
    <w:rsid w:val="008E0DA9"/>
    <w:rsid w:val="008E0F43"/>
    <w:rsid w:val="008E2CC8"/>
    <w:rsid w:val="008E5136"/>
    <w:rsid w:val="008F1D6E"/>
    <w:rsid w:val="008F26CA"/>
    <w:rsid w:val="008F4E5C"/>
    <w:rsid w:val="008F6259"/>
    <w:rsid w:val="00901731"/>
    <w:rsid w:val="0090482F"/>
    <w:rsid w:val="00910D8C"/>
    <w:rsid w:val="00914C27"/>
    <w:rsid w:val="009223CA"/>
    <w:rsid w:val="00923A60"/>
    <w:rsid w:val="00927CA7"/>
    <w:rsid w:val="00940F93"/>
    <w:rsid w:val="009440A0"/>
    <w:rsid w:val="00945937"/>
    <w:rsid w:val="00963F6C"/>
    <w:rsid w:val="00965BC0"/>
    <w:rsid w:val="00967A6A"/>
    <w:rsid w:val="009718E9"/>
    <w:rsid w:val="0097281C"/>
    <w:rsid w:val="0097284B"/>
    <w:rsid w:val="00972938"/>
    <w:rsid w:val="00973065"/>
    <w:rsid w:val="009818D5"/>
    <w:rsid w:val="00984194"/>
    <w:rsid w:val="00990711"/>
    <w:rsid w:val="00994732"/>
    <w:rsid w:val="009975D2"/>
    <w:rsid w:val="009A00D0"/>
    <w:rsid w:val="009A404C"/>
    <w:rsid w:val="009B0EB2"/>
    <w:rsid w:val="009C1578"/>
    <w:rsid w:val="009C7C52"/>
    <w:rsid w:val="009D2463"/>
    <w:rsid w:val="009D7DCF"/>
    <w:rsid w:val="009E2109"/>
    <w:rsid w:val="009E401B"/>
    <w:rsid w:val="009F3677"/>
    <w:rsid w:val="009F3999"/>
    <w:rsid w:val="009F52F4"/>
    <w:rsid w:val="009F5A9F"/>
    <w:rsid w:val="009F6E68"/>
    <w:rsid w:val="00A0082D"/>
    <w:rsid w:val="00A00C63"/>
    <w:rsid w:val="00A01489"/>
    <w:rsid w:val="00A03DD4"/>
    <w:rsid w:val="00A06AC9"/>
    <w:rsid w:val="00A07F3D"/>
    <w:rsid w:val="00A117F7"/>
    <w:rsid w:val="00A11DA7"/>
    <w:rsid w:val="00A17E51"/>
    <w:rsid w:val="00A202E1"/>
    <w:rsid w:val="00A23592"/>
    <w:rsid w:val="00A2461F"/>
    <w:rsid w:val="00A25C85"/>
    <w:rsid w:val="00A26D05"/>
    <w:rsid w:val="00A27524"/>
    <w:rsid w:val="00A32B7F"/>
    <w:rsid w:val="00A41668"/>
    <w:rsid w:val="00A441CE"/>
    <w:rsid w:val="00A44601"/>
    <w:rsid w:val="00A45091"/>
    <w:rsid w:val="00A46279"/>
    <w:rsid w:val="00A5384B"/>
    <w:rsid w:val="00A574AA"/>
    <w:rsid w:val="00A613F1"/>
    <w:rsid w:val="00A66F00"/>
    <w:rsid w:val="00A7098D"/>
    <w:rsid w:val="00A714A7"/>
    <w:rsid w:val="00A72F22"/>
    <w:rsid w:val="00A748A6"/>
    <w:rsid w:val="00A776B4"/>
    <w:rsid w:val="00A77818"/>
    <w:rsid w:val="00A80D54"/>
    <w:rsid w:val="00A84A3E"/>
    <w:rsid w:val="00A86679"/>
    <w:rsid w:val="00A929E2"/>
    <w:rsid w:val="00A94361"/>
    <w:rsid w:val="00AA1FD2"/>
    <w:rsid w:val="00AA23B2"/>
    <w:rsid w:val="00AA55D8"/>
    <w:rsid w:val="00AB01D5"/>
    <w:rsid w:val="00AB0876"/>
    <w:rsid w:val="00AB2E51"/>
    <w:rsid w:val="00AB689A"/>
    <w:rsid w:val="00AD0D05"/>
    <w:rsid w:val="00AD0F85"/>
    <w:rsid w:val="00AD429A"/>
    <w:rsid w:val="00AE118F"/>
    <w:rsid w:val="00AE25BC"/>
    <w:rsid w:val="00AE3731"/>
    <w:rsid w:val="00AE4B9A"/>
    <w:rsid w:val="00AE5C39"/>
    <w:rsid w:val="00AE689B"/>
    <w:rsid w:val="00AE6BFF"/>
    <w:rsid w:val="00AF39BE"/>
    <w:rsid w:val="00AF4EED"/>
    <w:rsid w:val="00AF5CD2"/>
    <w:rsid w:val="00AF7898"/>
    <w:rsid w:val="00B008EE"/>
    <w:rsid w:val="00B04C40"/>
    <w:rsid w:val="00B05CBE"/>
    <w:rsid w:val="00B10F98"/>
    <w:rsid w:val="00B16B3C"/>
    <w:rsid w:val="00B20F63"/>
    <w:rsid w:val="00B20FFB"/>
    <w:rsid w:val="00B23C6C"/>
    <w:rsid w:val="00B2426F"/>
    <w:rsid w:val="00B263C6"/>
    <w:rsid w:val="00B30179"/>
    <w:rsid w:val="00B33CB1"/>
    <w:rsid w:val="00B36D9B"/>
    <w:rsid w:val="00B37DF6"/>
    <w:rsid w:val="00B43BEC"/>
    <w:rsid w:val="00B440E5"/>
    <w:rsid w:val="00B47898"/>
    <w:rsid w:val="00B47BAF"/>
    <w:rsid w:val="00B53145"/>
    <w:rsid w:val="00B538FE"/>
    <w:rsid w:val="00B544A5"/>
    <w:rsid w:val="00B56E9C"/>
    <w:rsid w:val="00B61B75"/>
    <w:rsid w:val="00B61EE6"/>
    <w:rsid w:val="00B64B1F"/>
    <w:rsid w:val="00B6553F"/>
    <w:rsid w:val="00B66F97"/>
    <w:rsid w:val="00B71378"/>
    <w:rsid w:val="00B75809"/>
    <w:rsid w:val="00B81E12"/>
    <w:rsid w:val="00B850EB"/>
    <w:rsid w:val="00B85FB0"/>
    <w:rsid w:val="00B920E4"/>
    <w:rsid w:val="00B92DA5"/>
    <w:rsid w:val="00BA1192"/>
    <w:rsid w:val="00BA2D1E"/>
    <w:rsid w:val="00BB2F55"/>
    <w:rsid w:val="00BB6B22"/>
    <w:rsid w:val="00BC00BA"/>
    <w:rsid w:val="00BC6835"/>
    <w:rsid w:val="00BC74E9"/>
    <w:rsid w:val="00BD152D"/>
    <w:rsid w:val="00BD1CE0"/>
    <w:rsid w:val="00BD481B"/>
    <w:rsid w:val="00BD5867"/>
    <w:rsid w:val="00BD76FA"/>
    <w:rsid w:val="00BE1CB4"/>
    <w:rsid w:val="00BE2FE3"/>
    <w:rsid w:val="00BE793B"/>
    <w:rsid w:val="00BE7C1F"/>
    <w:rsid w:val="00BF383D"/>
    <w:rsid w:val="00BF68A8"/>
    <w:rsid w:val="00BF75F4"/>
    <w:rsid w:val="00C0033A"/>
    <w:rsid w:val="00C00491"/>
    <w:rsid w:val="00C01FF8"/>
    <w:rsid w:val="00C02F95"/>
    <w:rsid w:val="00C059E3"/>
    <w:rsid w:val="00C06512"/>
    <w:rsid w:val="00C10580"/>
    <w:rsid w:val="00C11142"/>
    <w:rsid w:val="00C117A6"/>
    <w:rsid w:val="00C14420"/>
    <w:rsid w:val="00C257FB"/>
    <w:rsid w:val="00C25B69"/>
    <w:rsid w:val="00C30ACF"/>
    <w:rsid w:val="00C33B1B"/>
    <w:rsid w:val="00C41E95"/>
    <w:rsid w:val="00C43C9F"/>
    <w:rsid w:val="00C463DD"/>
    <w:rsid w:val="00C46705"/>
    <w:rsid w:val="00C4724C"/>
    <w:rsid w:val="00C5355C"/>
    <w:rsid w:val="00C5392A"/>
    <w:rsid w:val="00C54F5B"/>
    <w:rsid w:val="00C55036"/>
    <w:rsid w:val="00C629A0"/>
    <w:rsid w:val="00C63817"/>
    <w:rsid w:val="00C642F4"/>
    <w:rsid w:val="00C6559E"/>
    <w:rsid w:val="00C6562B"/>
    <w:rsid w:val="00C720F9"/>
    <w:rsid w:val="00C745C3"/>
    <w:rsid w:val="00C7549D"/>
    <w:rsid w:val="00C8157E"/>
    <w:rsid w:val="00C83878"/>
    <w:rsid w:val="00C83E57"/>
    <w:rsid w:val="00C91D2E"/>
    <w:rsid w:val="00C92195"/>
    <w:rsid w:val="00C95A0D"/>
    <w:rsid w:val="00C9753C"/>
    <w:rsid w:val="00CA0846"/>
    <w:rsid w:val="00CA0C7D"/>
    <w:rsid w:val="00CA196A"/>
    <w:rsid w:val="00CA19B5"/>
    <w:rsid w:val="00CA6A51"/>
    <w:rsid w:val="00CB5704"/>
    <w:rsid w:val="00CC2946"/>
    <w:rsid w:val="00CC3245"/>
    <w:rsid w:val="00CC3F64"/>
    <w:rsid w:val="00CC40C5"/>
    <w:rsid w:val="00CC56DD"/>
    <w:rsid w:val="00CD250B"/>
    <w:rsid w:val="00CD4A16"/>
    <w:rsid w:val="00CD64E9"/>
    <w:rsid w:val="00CD7813"/>
    <w:rsid w:val="00CE0E13"/>
    <w:rsid w:val="00CE0FE6"/>
    <w:rsid w:val="00CE4A8F"/>
    <w:rsid w:val="00CE66D0"/>
    <w:rsid w:val="00CF2B6B"/>
    <w:rsid w:val="00CF44DA"/>
    <w:rsid w:val="00CF5803"/>
    <w:rsid w:val="00CF73CC"/>
    <w:rsid w:val="00D07AFE"/>
    <w:rsid w:val="00D11CF7"/>
    <w:rsid w:val="00D137D8"/>
    <w:rsid w:val="00D16418"/>
    <w:rsid w:val="00D2031B"/>
    <w:rsid w:val="00D2228C"/>
    <w:rsid w:val="00D25FE2"/>
    <w:rsid w:val="00D27A3F"/>
    <w:rsid w:val="00D361BB"/>
    <w:rsid w:val="00D43252"/>
    <w:rsid w:val="00D46D6A"/>
    <w:rsid w:val="00D51716"/>
    <w:rsid w:val="00D52A93"/>
    <w:rsid w:val="00D602A9"/>
    <w:rsid w:val="00D621D1"/>
    <w:rsid w:val="00D667E4"/>
    <w:rsid w:val="00D72748"/>
    <w:rsid w:val="00D7713B"/>
    <w:rsid w:val="00D91113"/>
    <w:rsid w:val="00D93FE0"/>
    <w:rsid w:val="00D95303"/>
    <w:rsid w:val="00D978C6"/>
    <w:rsid w:val="00DA3C1C"/>
    <w:rsid w:val="00DA5316"/>
    <w:rsid w:val="00DA7A60"/>
    <w:rsid w:val="00DB0332"/>
    <w:rsid w:val="00DB18E3"/>
    <w:rsid w:val="00DB3908"/>
    <w:rsid w:val="00DB3914"/>
    <w:rsid w:val="00DB4530"/>
    <w:rsid w:val="00DC2A76"/>
    <w:rsid w:val="00DC3775"/>
    <w:rsid w:val="00DC7B8E"/>
    <w:rsid w:val="00DD1965"/>
    <w:rsid w:val="00DD3F07"/>
    <w:rsid w:val="00DD5250"/>
    <w:rsid w:val="00DE5CF5"/>
    <w:rsid w:val="00DF52D3"/>
    <w:rsid w:val="00DF7B86"/>
    <w:rsid w:val="00DF7D4E"/>
    <w:rsid w:val="00E00DCC"/>
    <w:rsid w:val="00E0295D"/>
    <w:rsid w:val="00E133EA"/>
    <w:rsid w:val="00E149B0"/>
    <w:rsid w:val="00E20327"/>
    <w:rsid w:val="00E233EA"/>
    <w:rsid w:val="00E24A24"/>
    <w:rsid w:val="00E264BA"/>
    <w:rsid w:val="00E30284"/>
    <w:rsid w:val="00E3071D"/>
    <w:rsid w:val="00E36D15"/>
    <w:rsid w:val="00E42D90"/>
    <w:rsid w:val="00E462DD"/>
    <w:rsid w:val="00E4715B"/>
    <w:rsid w:val="00E52386"/>
    <w:rsid w:val="00E52D24"/>
    <w:rsid w:val="00E537EF"/>
    <w:rsid w:val="00E543A9"/>
    <w:rsid w:val="00E574DB"/>
    <w:rsid w:val="00E64BD0"/>
    <w:rsid w:val="00E67640"/>
    <w:rsid w:val="00E7184D"/>
    <w:rsid w:val="00E71BC8"/>
    <w:rsid w:val="00E7260F"/>
    <w:rsid w:val="00E73B9B"/>
    <w:rsid w:val="00E7458F"/>
    <w:rsid w:val="00E803B3"/>
    <w:rsid w:val="00E85562"/>
    <w:rsid w:val="00E8604A"/>
    <w:rsid w:val="00E86D94"/>
    <w:rsid w:val="00E93F78"/>
    <w:rsid w:val="00E95DA0"/>
    <w:rsid w:val="00E96630"/>
    <w:rsid w:val="00E96BDA"/>
    <w:rsid w:val="00EA667F"/>
    <w:rsid w:val="00EA72CD"/>
    <w:rsid w:val="00EB1AC5"/>
    <w:rsid w:val="00EB557A"/>
    <w:rsid w:val="00EC09CE"/>
    <w:rsid w:val="00EC48BA"/>
    <w:rsid w:val="00EC55CC"/>
    <w:rsid w:val="00ED4E72"/>
    <w:rsid w:val="00ED7705"/>
    <w:rsid w:val="00ED7A2A"/>
    <w:rsid w:val="00EE15FE"/>
    <w:rsid w:val="00EF0B13"/>
    <w:rsid w:val="00EF1D7F"/>
    <w:rsid w:val="00EF24B4"/>
    <w:rsid w:val="00EF4825"/>
    <w:rsid w:val="00F02B5F"/>
    <w:rsid w:val="00F03018"/>
    <w:rsid w:val="00F10E22"/>
    <w:rsid w:val="00F12313"/>
    <w:rsid w:val="00F24E6B"/>
    <w:rsid w:val="00F256CF"/>
    <w:rsid w:val="00F262FD"/>
    <w:rsid w:val="00F30D7D"/>
    <w:rsid w:val="00F337E7"/>
    <w:rsid w:val="00F34F34"/>
    <w:rsid w:val="00F35977"/>
    <w:rsid w:val="00F366E4"/>
    <w:rsid w:val="00F368F1"/>
    <w:rsid w:val="00F37370"/>
    <w:rsid w:val="00F3752F"/>
    <w:rsid w:val="00F403DA"/>
    <w:rsid w:val="00F41A95"/>
    <w:rsid w:val="00F46218"/>
    <w:rsid w:val="00F654CC"/>
    <w:rsid w:val="00F657FB"/>
    <w:rsid w:val="00F66F30"/>
    <w:rsid w:val="00F67FFC"/>
    <w:rsid w:val="00F705CE"/>
    <w:rsid w:val="00F81622"/>
    <w:rsid w:val="00F83BED"/>
    <w:rsid w:val="00F948CC"/>
    <w:rsid w:val="00FA21BE"/>
    <w:rsid w:val="00FA35A3"/>
    <w:rsid w:val="00FA4933"/>
    <w:rsid w:val="00FA73CE"/>
    <w:rsid w:val="00FB3523"/>
    <w:rsid w:val="00FC200E"/>
    <w:rsid w:val="00FC4F0B"/>
    <w:rsid w:val="00FC68B7"/>
    <w:rsid w:val="00FC7B9E"/>
    <w:rsid w:val="00FE09CB"/>
    <w:rsid w:val="00FE2386"/>
    <w:rsid w:val="00FE329C"/>
    <w:rsid w:val="00FE3E27"/>
    <w:rsid w:val="00FE5771"/>
    <w:rsid w:val="00FE7F60"/>
    <w:rsid w:val="00FF1240"/>
    <w:rsid w:val="00FF3D76"/>
    <w:rsid w:val="00FF443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val="en-GB"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semiHidden/>
    <w:rsid w:val="00C921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92195"/>
  </w:style>
  <w:style w:type="paragraph" w:customStyle="1" w:styleId="SingleTxtG">
    <w:name w:val="_ Single Txt_G"/>
    <w:basedOn w:val="Normal"/>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basedOn w:val="FootnoteReference"/>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B2E59"/>
    <w:rPr>
      <w:sz w:val="18"/>
      <w:lang w:val="en-GB" w:eastAsia="en-US" w:bidi="ar-SA"/>
    </w:rPr>
  </w:style>
  <w:style w:type="paragraph" w:styleId="NormalWeb">
    <w:name w:val="Normal (Web)"/>
    <w:basedOn w:val="Normal"/>
    <w:semiHidden/>
    <w:rsid w:val="008B2E59"/>
    <w:rPr>
      <w:sz w:val="24"/>
      <w:szCs w:val="24"/>
    </w:rPr>
  </w:style>
  <w:style w:type="paragraph" w:styleId="ListParagraph">
    <w:name w:val="List Paragraph"/>
    <w:basedOn w:val="Normal"/>
    <w:qFormat/>
    <w:rsid w:val="008B2E59"/>
    <w:pPr>
      <w:ind w:left="720"/>
    </w:pPr>
  </w:style>
  <w:style w:type="paragraph" w:styleId="BalloonText">
    <w:name w:val="Balloon Text"/>
    <w:basedOn w:val="Normal"/>
    <w:link w:val="BalloonTextChar"/>
    <w:rsid w:val="00491AA7"/>
    <w:pPr>
      <w:spacing w:line="240" w:lineRule="auto"/>
    </w:pPr>
    <w:rPr>
      <w:rFonts w:ascii="Tahoma" w:hAnsi="Tahoma" w:cs="Tahoma"/>
      <w:sz w:val="16"/>
      <w:szCs w:val="16"/>
    </w:rPr>
  </w:style>
  <w:style w:type="character" w:customStyle="1" w:styleId="BalloonTextChar">
    <w:name w:val="Balloon Text Char"/>
    <w:link w:val="BalloonText"/>
    <w:rsid w:val="00491AA7"/>
    <w:rPr>
      <w:rFonts w:ascii="Tahoma" w:hAnsi="Tahoma" w:cs="Tahoma"/>
      <w:sz w:val="16"/>
      <w:szCs w:val="16"/>
      <w:lang w:eastAsia="en-US"/>
    </w:rPr>
  </w:style>
  <w:style w:type="character" w:styleId="CommentReference">
    <w:name w:val="annotation reference"/>
    <w:rsid w:val="00DB0332"/>
    <w:rPr>
      <w:sz w:val="16"/>
      <w:szCs w:val="16"/>
    </w:rPr>
  </w:style>
  <w:style w:type="paragraph" w:styleId="CommentText">
    <w:name w:val="annotation text"/>
    <w:basedOn w:val="Normal"/>
    <w:link w:val="CommentTextChar"/>
    <w:rsid w:val="00DB0332"/>
  </w:style>
  <w:style w:type="character" w:customStyle="1" w:styleId="CommentTextChar">
    <w:name w:val="Comment Text Char"/>
    <w:link w:val="CommentText"/>
    <w:rsid w:val="00DB0332"/>
    <w:rPr>
      <w:lang w:eastAsia="en-US"/>
    </w:rPr>
  </w:style>
  <w:style w:type="paragraph" w:styleId="CommentSubject">
    <w:name w:val="annotation subject"/>
    <w:basedOn w:val="CommentText"/>
    <w:next w:val="CommentText"/>
    <w:link w:val="CommentSubjectChar"/>
    <w:rsid w:val="00DB0332"/>
    <w:rPr>
      <w:b/>
      <w:bCs/>
    </w:rPr>
  </w:style>
  <w:style w:type="character" w:customStyle="1" w:styleId="CommentSubjectChar">
    <w:name w:val="Comment Subject Char"/>
    <w:link w:val="CommentSubject"/>
    <w:rsid w:val="00DB03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24">
      <w:bodyDiv w:val="1"/>
      <w:marLeft w:val="0"/>
      <w:marRight w:val="0"/>
      <w:marTop w:val="0"/>
      <w:marBottom w:val="0"/>
      <w:divBdr>
        <w:top w:val="none" w:sz="0" w:space="0" w:color="auto"/>
        <w:left w:val="none" w:sz="0" w:space="0" w:color="auto"/>
        <w:bottom w:val="none" w:sz="0" w:space="0" w:color="auto"/>
        <w:right w:val="none" w:sz="0" w:space="0" w:color="auto"/>
      </w:divBdr>
    </w:div>
    <w:div w:id="173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3404</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2012-09-13T10:04:00Z</cp:lastPrinted>
  <dcterms:created xsi:type="dcterms:W3CDTF">2012-09-27T07:50:00Z</dcterms:created>
  <dcterms:modified xsi:type="dcterms:W3CDTF">2012-09-27T07:50:00Z</dcterms:modified>
</cp:coreProperties>
</file>