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CEE9E4" w14:textId="77777777" w:rsidTr="00F3005F">
        <w:trPr>
          <w:trHeight w:hRule="exact" w:val="851"/>
        </w:trPr>
        <w:tc>
          <w:tcPr>
            <w:tcW w:w="1280" w:type="dxa"/>
            <w:tcBorders>
              <w:bottom w:val="single" w:sz="4" w:space="0" w:color="auto"/>
            </w:tcBorders>
          </w:tcPr>
          <w:p w14:paraId="48CEE9E1" w14:textId="77777777" w:rsidR="002D5AAC" w:rsidRDefault="002D5AAC" w:rsidP="003725C2">
            <w:pPr>
              <w:pStyle w:val="NoSpacing"/>
              <w:kinsoku w:val="0"/>
              <w:overflowPunct w:val="0"/>
              <w:autoSpaceDE w:val="0"/>
              <w:autoSpaceDN w:val="0"/>
              <w:adjustRightInd w:val="0"/>
              <w:snapToGrid w:val="0"/>
            </w:pPr>
          </w:p>
        </w:tc>
        <w:tc>
          <w:tcPr>
            <w:tcW w:w="2273" w:type="dxa"/>
            <w:tcBorders>
              <w:bottom w:val="single" w:sz="4" w:space="0" w:color="auto"/>
            </w:tcBorders>
            <w:vAlign w:val="bottom"/>
          </w:tcPr>
          <w:p w14:paraId="48CEE9E2"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8CEE9E3" w14:textId="6C404A7C" w:rsidR="002D5AAC" w:rsidRDefault="003725C2" w:rsidP="002A00DE">
            <w:pPr>
              <w:jc w:val="right"/>
            </w:pPr>
            <w:r w:rsidRPr="003725C2">
              <w:rPr>
                <w:sz w:val="40"/>
              </w:rPr>
              <w:t>CRC</w:t>
            </w:r>
            <w:r>
              <w:t>/C/</w:t>
            </w:r>
            <w:r w:rsidR="00FC2BEC">
              <w:t>85</w:t>
            </w:r>
            <w:r w:rsidR="00F3005F">
              <w:t>/D/92/2019</w:t>
            </w:r>
          </w:p>
        </w:tc>
      </w:tr>
      <w:tr w:rsidR="002D5AAC" w14:paraId="48CEE9EB" w14:textId="77777777" w:rsidTr="00F3005F">
        <w:trPr>
          <w:trHeight w:hRule="exact" w:val="2835"/>
        </w:trPr>
        <w:tc>
          <w:tcPr>
            <w:tcW w:w="1280" w:type="dxa"/>
            <w:tcBorders>
              <w:top w:val="single" w:sz="4" w:space="0" w:color="auto"/>
              <w:bottom w:val="single" w:sz="12" w:space="0" w:color="auto"/>
            </w:tcBorders>
          </w:tcPr>
          <w:p w14:paraId="48CEE9E5" w14:textId="77777777" w:rsidR="002D5AAC" w:rsidRDefault="007D431B" w:rsidP="007F3812">
            <w:pPr>
              <w:spacing w:before="120"/>
              <w:jc w:val="center"/>
            </w:pPr>
            <w:r>
              <w:rPr>
                <w:noProof/>
                <w:lang w:val="en-GB" w:eastAsia="en-GB"/>
              </w:rPr>
              <w:drawing>
                <wp:inline distT="0" distB="0" distL="0" distR="0" wp14:anchorId="48CEEA14" wp14:editId="48CEEA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CEE9E6" w14:textId="77777777" w:rsidR="002D5AAC" w:rsidRPr="00F3005F" w:rsidRDefault="004D45DB" w:rsidP="007F3812">
            <w:pPr>
              <w:spacing w:before="120" w:line="440" w:lineRule="exact"/>
              <w:rPr>
                <w:b/>
                <w:sz w:val="40"/>
                <w:szCs w:val="40"/>
              </w:rPr>
            </w:pPr>
            <w:r w:rsidRPr="00F3005F">
              <w:rPr>
                <w:b/>
                <w:sz w:val="40"/>
                <w:szCs w:val="40"/>
              </w:rPr>
              <w:t>Convención sobre los</w:t>
            </w:r>
            <w:r w:rsidR="00FB2D3D" w:rsidRPr="00F3005F">
              <w:rPr>
                <w:b/>
                <w:sz w:val="40"/>
                <w:szCs w:val="40"/>
              </w:rPr>
              <w:br/>
            </w:r>
            <w:r w:rsidRPr="00F3005F">
              <w:rPr>
                <w:b/>
                <w:sz w:val="40"/>
                <w:szCs w:val="40"/>
              </w:rPr>
              <w:t>Derechos</w:t>
            </w:r>
            <w:r w:rsidR="00FB2D3D" w:rsidRPr="00F3005F">
              <w:rPr>
                <w:b/>
                <w:sz w:val="40"/>
                <w:szCs w:val="40"/>
              </w:rPr>
              <w:t xml:space="preserve"> </w:t>
            </w:r>
            <w:r w:rsidRPr="00F3005F">
              <w:rPr>
                <w:b/>
                <w:sz w:val="40"/>
                <w:szCs w:val="40"/>
              </w:rPr>
              <w:t>del Niño</w:t>
            </w:r>
          </w:p>
        </w:tc>
        <w:tc>
          <w:tcPr>
            <w:tcW w:w="2819" w:type="dxa"/>
            <w:tcBorders>
              <w:top w:val="single" w:sz="4" w:space="0" w:color="auto"/>
              <w:bottom w:val="single" w:sz="12" w:space="0" w:color="auto"/>
            </w:tcBorders>
          </w:tcPr>
          <w:p w14:paraId="48CEE9E7" w14:textId="6AD38081" w:rsidR="002D5AAC" w:rsidRPr="00F3005F" w:rsidRDefault="00F3005F" w:rsidP="007F3812">
            <w:pPr>
              <w:spacing w:before="240"/>
            </w:pPr>
            <w:proofErr w:type="spellStart"/>
            <w:r w:rsidRPr="00F3005F">
              <w:t>Distr</w:t>
            </w:r>
            <w:proofErr w:type="spellEnd"/>
            <w:r w:rsidRPr="00F3005F">
              <w:t xml:space="preserve">. </w:t>
            </w:r>
            <w:r w:rsidR="002A00DE">
              <w:t>general</w:t>
            </w:r>
          </w:p>
          <w:p w14:paraId="48CEE9E8" w14:textId="50C3212E" w:rsidR="003725C2" w:rsidRPr="00F3005F" w:rsidRDefault="00174A7E" w:rsidP="003725C2">
            <w:pPr>
              <w:spacing w:line="240" w:lineRule="exact"/>
            </w:pPr>
            <w:r>
              <w:t>2</w:t>
            </w:r>
            <w:r w:rsidR="001E1061">
              <w:t xml:space="preserve"> </w:t>
            </w:r>
            <w:r w:rsidR="00113794">
              <w:t xml:space="preserve">de </w:t>
            </w:r>
            <w:r>
              <w:t>noviembre</w:t>
            </w:r>
            <w:r w:rsidR="00F3005F" w:rsidRPr="00F3005F">
              <w:t xml:space="preserve"> de 2020</w:t>
            </w:r>
          </w:p>
          <w:p w14:paraId="370E1F8E" w14:textId="77777777" w:rsidR="00F3005F" w:rsidRPr="00F3005F" w:rsidRDefault="00F3005F" w:rsidP="003725C2">
            <w:pPr>
              <w:spacing w:line="240" w:lineRule="exact"/>
            </w:pPr>
          </w:p>
          <w:p w14:paraId="0951B0E4" w14:textId="7389156D" w:rsidR="00F3005F" w:rsidRPr="00F3005F" w:rsidRDefault="003725C2" w:rsidP="00F3005F">
            <w:pPr>
              <w:spacing w:line="240" w:lineRule="exact"/>
            </w:pPr>
            <w:r w:rsidRPr="00F3005F">
              <w:t xml:space="preserve">Original: </w:t>
            </w:r>
            <w:r w:rsidR="00F3005F" w:rsidRPr="00F3005F">
              <w:t>español</w:t>
            </w:r>
          </w:p>
          <w:p w14:paraId="48CEE9EA" w14:textId="68DCBB79" w:rsidR="00F3005F" w:rsidRPr="00F3005F" w:rsidRDefault="00F3005F" w:rsidP="003725C2">
            <w:pPr>
              <w:spacing w:line="240" w:lineRule="exact"/>
            </w:pPr>
          </w:p>
        </w:tc>
      </w:tr>
    </w:tbl>
    <w:p w14:paraId="219970AD" w14:textId="77777777" w:rsidR="00F3005F" w:rsidRPr="005D5092" w:rsidRDefault="00F3005F" w:rsidP="00F3005F">
      <w:pPr>
        <w:spacing w:before="120" w:line="240" w:lineRule="auto"/>
        <w:rPr>
          <w:b/>
          <w:sz w:val="24"/>
          <w:szCs w:val="24"/>
          <w:lang w:val="es-ES_tradnl"/>
        </w:rPr>
      </w:pPr>
      <w:r w:rsidRPr="005D5092">
        <w:rPr>
          <w:b/>
          <w:sz w:val="24"/>
          <w:szCs w:val="24"/>
          <w:lang w:val="es-ES_tradnl"/>
        </w:rPr>
        <w:t>Comité de los Derechos del Niño</w:t>
      </w:r>
    </w:p>
    <w:p w14:paraId="4F48C418" w14:textId="7CA2E411" w:rsidR="00F3005F" w:rsidRDefault="00F3005F" w:rsidP="007A7E9C">
      <w:pPr>
        <w:pStyle w:val="HChG"/>
        <w:rPr>
          <w:lang w:val="es-ES_tradnl"/>
        </w:rPr>
      </w:pPr>
      <w:r w:rsidRPr="005D5092">
        <w:rPr>
          <w:lang w:val="es-ES_tradnl"/>
        </w:rPr>
        <w:tab/>
      </w:r>
      <w:r w:rsidRPr="005D5092">
        <w:rPr>
          <w:lang w:val="es-ES_tradnl"/>
        </w:rPr>
        <w:tab/>
      </w:r>
      <w:r w:rsidR="00712937">
        <w:rPr>
          <w:lang w:val="es-ES_tradnl"/>
        </w:rPr>
        <w:t xml:space="preserve">Decisión </w:t>
      </w:r>
      <w:r w:rsidR="002A00DE" w:rsidRPr="002B6F1A">
        <w:t>aprobad</w:t>
      </w:r>
      <w:r w:rsidR="00712937">
        <w:t>a</w:t>
      </w:r>
      <w:r w:rsidR="002A00DE" w:rsidRPr="002B6F1A">
        <w:t xml:space="preserve"> por el Comité en relación con</w:t>
      </w:r>
      <w:r w:rsidR="002A00DE">
        <w:t xml:space="preserve"> </w:t>
      </w:r>
      <w:r w:rsidR="002A00DE" w:rsidRPr="002B6F1A">
        <w:t>el</w:t>
      </w:r>
      <w:r w:rsidR="001234E7">
        <w:t> </w:t>
      </w:r>
      <w:r w:rsidR="002A00DE" w:rsidRPr="002B6F1A">
        <w:t>Protocolo</w:t>
      </w:r>
      <w:r w:rsidR="001234E7">
        <w:t> </w:t>
      </w:r>
      <w:r w:rsidR="002A00DE" w:rsidRPr="002B6F1A">
        <w:t>Facultativo de la Convención sobre los</w:t>
      </w:r>
      <w:r w:rsidR="001234E7">
        <w:t> </w:t>
      </w:r>
      <w:r w:rsidR="002A00DE" w:rsidRPr="002B6F1A">
        <w:t>Derechos</w:t>
      </w:r>
      <w:r w:rsidR="001234E7">
        <w:t> </w:t>
      </w:r>
      <w:r w:rsidR="002A00DE" w:rsidRPr="002B6F1A">
        <w:t>del Niño relativo a un procedimiento</w:t>
      </w:r>
      <w:bookmarkStart w:id="0" w:name="_GoBack"/>
      <w:bookmarkEnd w:id="0"/>
      <w:r w:rsidR="002A00DE">
        <w:t xml:space="preserve"> </w:t>
      </w:r>
      <w:r w:rsidR="002A00DE" w:rsidRPr="002B6F1A">
        <w:t>de</w:t>
      </w:r>
      <w:r w:rsidR="001234E7">
        <w:t> </w:t>
      </w:r>
      <w:r w:rsidR="002A00DE" w:rsidRPr="002B6F1A">
        <w:t>comunicaciones res</w:t>
      </w:r>
      <w:r w:rsidR="002A00DE">
        <w:t xml:space="preserve">pecto de la </w:t>
      </w:r>
      <w:r w:rsidR="002A00DE">
        <w:rPr>
          <w:lang w:val="es-ES_tradnl"/>
        </w:rPr>
        <w:t>c</w:t>
      </w:r>
      <w:r w:rsidRPr="005D5092">
        <w:rPr>
          <w:lang w:val="es-ES_tradnl"/>
        </w:rPr>
        <w:t xml:space="preserve">omunicación </w:t>
      </w:r>
      <w:r w:rsidR="002A00DE">
        <w:rPr>
          <w:lang w:val="es-ES_tradnl"/>
        </w:rPr>
        <w:t>n</w:t>
      </w:r>
      <w:r w:rsidRPr="005D5092">
        <w:rPr>
          <w:lang w:val="es-ES_tradnl"/>
        </w:rPr>
        <w:t>úm. </w:t>
      </w:r>
      <w:r>
        <w:rPr>
          <w:lang w:val="es-ES_tradnl"/>
        </w:rPr>
        <w:t>92</w:t>
      </w:r>
      <w:r w:rsidRPr="005D5092">
        <w:rPr>
          <w:lang w:val="es-ES_tradnl"/>
        </w:rPr>
        <w:t>/201</w:t>
      </w:r>
      <w:r>
        <w:rPr>
          <w:lang w:val="es-ES_tradnl"/>
        </w:rPr>
        <w:t>9</w:t>
      </w:r>
      <w:r w:rsidR="002A00DE" w:rsidRPr="007A7E9C">
        <w:rPr>
          <w:rStyle w:val="FootnoteReference"/>
          <w:b w:val="0"/>
          <w:bCs/>
          <w:sz w:val="20"/>
          <w:vertAlign w:val="baseline"/>
          <w:lang w:val="es-ES_tradnl"/>
        </w:rPr>
        <w:footnoteReference w:customMarkFollows="1" w:id="1"/>
        <w:t>*</w:t>
      </w:r>
      <w:r w:rsidR="00173784">
        <w:rPr>
          <w:sz w:val="20"/>
          <w:lang w:val="es-ES_tradnl"/>
        </w:rPr>
        <w:t xml:space="preserve"> </w:t>
      </w:r>
      <w:r w:rsidR="002A00DE" w:rsidRPr="007A7E9C">
        <w:rPr>
          <w:rStyle w:val="FootnoteReference"/>
          <w:b w:val="0"/>
          <w:bCs/>
          <w:sz w:val="20"/>
          <w:vertAlign w:val="baseline"/>
          <w:lang w:val="es-ES_tradnl"/>
        </w:rPr>
        <w:footnoteReference w:customMarkFollows="1" w:id="2"/>
        <w:t>**</w:t>
      </w:r>
    </w:p>
    <w:p w14:paraId="3597AA74" w14:textId="38E19B84" w:rsidR="00F3005F" w:rsidRPr="005D5092" w:rsidRDefault="007E596F" w:rsidP="002264D8">
      <w:pPr>
        <w:pStyle w:val="SingleTxtG"/>
        <w:ind w:left="4820" w:hanging="3119"/>
        <w:jc w:val="left"/>
        <w:rPr>
          <w:lang w:val="es-ES_tradnl"/>
        </w:rPr>
      </w:pPr>
      <w:r>
        <w:rPr>
          <w:i/>
          <w:lang w:val="es-ES_tradnl"/>
        </w:rPr>
        <w:t>Comunicación p</w:t>
      </w:r>
      <w:r w:rsidR="00F3005F" w:rsidRPr="005D5092">
        <w:rPr>
          <w:i/>
          <w:lang w:val="es-ES_tradnl"/>
        </w:rPr>
        <w:t>resentada por</w:t>
      </w:r>
      <w:r w:rsidR="00F3005F" w:rsidRPr="007A7E9C">
        <w:rPr>
          <w:i/>
          <w:iCs/>
          <w:lang w:val="es-ES_tradnl"/>
        </w:rPr>
        <w:t>:</w:t>
      </w:r>
      <w:r w:rsidR="00F3005F" w:rsidRPr="005D5092">
        <w:rPr>
          <w:lang w:val="es-ES_tradnl"/>
        </w:rPr>
        <w:tab/>
      </w:r>
      <w:r w:rsidR="00C514B5">
        <w:rPr>
          <w:lang w:val="es-ES_tradnl"/>
        </w:rPr>
        <w:t>K.</w:t>
      </w:r>
      <w:r w:rsidR="002C7DD0">
        <w:rPr>
          <w:lang w:val="es-ES_tradnl"/>
        </w:rPr>
        <w:t xml:space="preserve"> </w:t>
      </w:r>
      <w:r w:rsidR="00C514B5">
        <w:rPr>
          <w:lang w:val="es-ES_tradnl"/>
        </w:rPr>
        <w:t>S.</w:t>
      </w:r>
      <w:r w:rsidR="002C7DD0">
        <w:rPr>
          <w:lang w:val="es-ES_tradnl"/>
        </w:rPr>
        <w:t xml:space="preserve"> </w:t>
      </w:r>
      <w:r w:rsidR="00C514B5">
        <w:rPr>
          <w:lang w:val="es-ES_tradnl"/>
        </w:rPr>
        <w:t>G.</w:t>
      </w:r>
    </w:p>
    <w:p w14:paraId="167306E6" w14:textId="11B72EEE" w:rsidR="00F3005F" w:rsidRPr="005D5092" w:rsidRDefault="00F3005F" w:rsidP="002264D8">
      <w:pPr>
        <w:pStyle w:val="SingleTxtG"/>
        <w:ind w:left="4820" w:hanging="3119"/>
        <w:jc w:val="left"/>
        <w:rPr>
          <w:lang w:val="es-ES_tradnl"/>
        </w:rPr>
      </w:pPr>
      <w:r w:rsidRPr="005D5092">
        <w:rPr>
          <w:i/>
          <w:iCs/>
          <w:lang w:val="es-ES_tradnl"/>
        </w:rPr>
        <w:t>Presunta víctima</w:t>
      </w:r>
      <w:r w:rsidRPr="007A7E9C">
        <w:rPr>
          <w:i/>
          <w:iCs/>
          <w:lang w:val="es-ES_tradnl"/>
        </w:rPr>
        <w:t>:</w:t>
      </w:r>
      <w:r w:rsidRPr="005D5092">
        <w:rPr>
          <w:lang w:val="es-ES_tradnl"/>
        </w:rPr>
        <w:tab/>
      </w:r>
      <w:r>
        <w:rPr>
          <w:lang w:val="es-ES_tradnl"/>
        </w:rPr>
        <w:t>A.</w:t>
      </w:r>
      <w:r w:rsidR="00174A7E">
        <w:rPr>
          <w:lang w:val="es-ES_tradnl"/>
        </w:rPr>
        <w:t xml:space="preserve"> </w:t>
      </w:r>
      <w:r>
        <w:rPr>
          <w:lang w:val="es-ES_tradnl"/>
        </w:rPr>
        <w:t>R.</w:t>
      </w:r>
      <w:r w:rsidR="00174A7E">
        <w:rPr>
          <w:lang w:val="es-ES_tradnl"/>
        </w:rPr>
        <w:t xml:space="preserve"> </w:t>
      </w:r>
      <w:r>
        <w:rPr>
          <w:lang w:val="es-ES_tradnl"/>
        </w:rPr>
        <w:t>G.</w:t>
      </w:r>
    </w:p>
    <w:p w14:paraId="55DC6877" w14:textId="77777777" w:rsidR="00F3005F" w:rsidRPr="005D5092" w:rsidRDefault="00F3005F" w:rsidP="002264D8">
      <w:pPr>
        <w:pStyle w:val="SingleTxtG"/>
        <w:ind w:left="4820" w:hanging="3119"/>
        <w:jc w:val="left"/>
        <w:rPr>
          <w:lang w:val="es-ES_tradnl"/>
        </w:rPr>
      </w:pPr>
      <w:r w:rsidRPr="005D5092">
        <w:rPr>
          <w:i/>
          <w:lang w:val="es-ES_tradnl"/>
        </w:rPr>
        <w:t>Estado parte</w:t>
      </w:r>
      <w:r w:rsidRPr="007A7E9C">
        <w:rPr>
          <w:i/>
          <w:lang w:val="es-ES_tradnl"/>
        </w:rPr>
        <w:t>:</w:t>
      </w:r>
      <w:r w:rsidRPr="005D5092">
        <w:rPr>
          <w:lang w:val="es-ES_tradnl"/>
        </w:rPr>
        <w:tab/>
      </w:r>
      <w:r>
        <w:rPr>
          <w:lang w:val="es-ES_tradnl"/>
        </w:rPr>
        <w:t>España</w:t>
      </w:r>
    </w:p>
    <w:p w14:paraId="03A07EF1" w14:textId="77777777" w:rsidR="00F3005F" w:rsidRPr="000C5F01" w:rsidRDefault="00F3005F" w:rsidP="002264D8">
      <w:pPr>
        <w:pStyle w:val="SingleTxtG"/>
        <w:ind w:left="4820" w:hanging="3119"/>
        <w:jc w:val="left"/>
        <w:rPr>
          <w:lang w:val="es-ES_tradnl"/>
        </w:rPr>
      </w:pPr>
      <w:r w:rsidRPr="005D5092">
        <w:rPr>
          <w:i/>
          <w:iCs/>
          <w:lang w:val="es-ES_tradnl"/>
        </w:rPr>
        <w:t>Fecha de la comunicación</w:t>
      </w:r>
      <w:r w:rsidRPr="007A7E9C">
        <w:rPr>
          <w:i/>
          <w:iCs/>
          <w:lang w:val="es-ES_tradnl"/>
        </w:rPr>
        <w:t>:</w:t>
      </w:r>
      <w:r w:rsidRPr="005D5092">
        <w:rPr>
          <w:lang w:val="es-ES_tradnl"/>
        </w:rPr>
        <w:tab/>
      </w:r>
      <w:r w:rsidRPr="000C5F01">
        <w:rPr>
          <w:lang w:val="es-ES_tradnl"/>
        </w:rPr>
        <w:t>21 de junio de 2019</w:t>
      </w:r>
    </w:p>
    <w:p w14:paraId="3F3291A2" w14:textId="4217E2EE" w:rsidR="00F3005F" w:rsidRPr="005D5092" w:rsidRDefault="00F3005F" w:rsidP="002264D8">
      <w:pPr>
        <w:pStyle w:val="SingleTxtG"/>
        <w:ind w:left="4820" w:hanging="3119"/>
        <w:jc w:val="left"/>
        <w:rPr>
          <w:lang w:val="es-ES_tradnl"/>
        </w:rPr>
      </w:pPr>
      <w:r w:rsidRPr="000C5F01">
        <w:rPr>
          <w:i/>
          <w:iCs/>
          <w:lang w:val="es-ES_tradnl"/>
        </w:rPr>
        <w:t>Fecha de adopción de la decisión</w:t>
      </w:r>
      <w:r w:rsidR="002658E9">
        <w:rPr>
          <w:i/>
          <w:iCs/>
          <w:lang w:val="es-ES_tradnl"/>
        </w:rPr>
        <w:t>:</w:t>
      </w:r>
      <w:r w:rsidRPr="000C5F01">
        <w:rPr>
          <w:i/>
          <w:iCs/>
          <w:lang w:val="es-ES_tradnl"/>
        </w:rPr>
        <w:tab/>
      </w:r>
      <w:r w:rsidR="00EF3F06">
        <w:rPr>
          <w:lang w:val="es-ES_tradnl"/>
        </w:rPr>
        <w:t>28</w:t>
      </w:r>
      <w:r>
        <w:rPr>
          <w:lang w:val="es-ES_tradnl"/>
        </w:rPr>
        <w:t xml:space="preserve"> de septiembre de 2020</w:t>
      </w:r>
    </w:p>
    <w:p w14:paraId="1B78843F" w14:textId="2969A558" w:rsidR="00F3005F" w:rsidRPr="00F26280" w:rsidRDefault="00F3005F" w:rsidP="002264D8">
      <w:pPr>
        <w:pStyle w:val="SingleTxtG"/>
        <w:ind w:left="4820" w:hanging="3119"/>
        <w:jc w:val="left"/>
      </w:pPr>
      <w:r w:rsidRPr="00F26280">
        <w:rPr>
          <w:i/>
        </w:rPr>
        <w:t>Asunto</w:t>
      </w:r>
      <w:r w:rsidR="002658E9">
        <w:rPr>
          <w:i/>
        </w:rPr>
        <w:t>:</w:t>
      </w:r>
      <w:r w:rsidRPr="00F26280">
        <w:tab/>
        <w:t xml:space="preserve">Interés superior del niño, </w:t>
      </w:r>
      <w:r>
        <w:t>abuso sexual</w:t>
      </w:r>
      <w:r w:rsidRPr="00F26280">
        <w:t xml:space="preserve">, </w:t>
      </w:r>
      <w:r>
        <w:t>separación del menor de los padres</w:t>
      </w:r>
      <w:r w:rsidRPr="00F26280">
        <w:t xml:space="preserve"> </w:t>
      </w:r>
    </w:p>
    <w:p w14:paraId="79761822" w14:textId="6DEE920D" w:rsidR="00F3005F" w:rsidRPr="005D5092" w:rsidRDefault="00F3005F" w:rsidP="002264D8">
      <w:pPr>
        <w:pStyle w:val="SingleTxtG"/>
        <w:ind w:left="4820" w:hanging="3119"/>
        <w:jc w:val="left"/>
        <w:rPr>
          <w:lang w:val="es-ES_tradnl"/>
        </w:rPr>
      </w:pPr>
      <w:r w:rsidRPr="005D5092">
        <w:rPr>
          <w:i/>
          <w:lang w:val="es-ES_tradnl"/>
        </w:rPr>
        <w:t>Cuesti</w:t>
      </w:r>
      <w:r w:rsidR="002658E9">
        <w:rPr>
          <w:i/>
          <w:lang w:val="es-ES_tradnl"/>
        </w:rPr>
        <w:t>ón</w:t>
      </w:r>
      <w:r w:rsidRPr="005D5092">
        <w:rPr>
          <w:i/>
          <w:lang w:val="es-ES_tradnl"/>
        </w:rPr>
        <w:t xml:space="preserve"> de </w:t>
      </w:r>
      <w:r w:rsidR="002658E9">
        <w:rPr>
          <w:i/>
          <w:lang w:val="es-ES_tradnl"/>
        </w:rPr>
        <w:t>p</w:t>
      </w:r>
      <w:r w:rsidRPr="005D5092">
        <w:rPr>
          <w:i/>
          <w:lang w:val="es-ES_tradnl"/>
        </w:rPr>
        <w:t>rocedimiento:</w:t>
      </w:r>
      <w:r w:rsidRPr="005D5092">
        <w:rPr>
          <w:lang w:val="es-ES_tradnl"/>
        </w:rPr>
        <w:tab/>
      </w:r>
      <w:r w:rsidRPr="00553AB7">
        <w:rPr>
          <w:lang w:val="es-ES_tradnl"/>
        </w:rPr>
        <w:t>Falta de fundamentación suficiente</w:t>
      </w:r>
    </w:p>
    <w:p w14:paraId="4288D9D8" w14:textId="77777777" w:rsidR="00F3005F" w:rsidRPr="005D5092" w:rsidRDefault="00F3005F" w:rsidP="002264D8">
      <w:pPr>
        <w:pStyle w:val="SingleTxtG"/>
        <w:ind w:left="4820" w:hanging="3119"/>
        <w:jc w:val="left"/>
        <w:rPr>
          <w:lang w:val="es-ES_tradnl"/>
        </w:rPr>
      </w:pPr>
      <w:r w:rsidRPr="005D5092">
        <w:rPr>
          <w:i/>
          <w:lang w:val="es-ES_tradnl"/>
        </w:rPr>
        <w:t>Artículos de la Convención</w:t>
      </w:r>
      <w:r w:rsidRPr="005D5092">
        <w:rPr>
          <w:lang w:val="es-ES_tradnl"/>
        </w:rPr>
        <w:t>:</w:t>
      </w:r>
      <w:r w:rsidRPr="005D5092">
        <w:rPr>
          <w:lang w:val="es-ES_tradnl"/>
        </w:rPr>
        <w:tab/>
      </w:r>
      <w:r>
        <w:rPr>
          <w:lang w:val="es-ES_tradnl"/>
        </w:rPr>
        <w:t>3, 6, 9, 12, 19, 34</w:t>
      </w:r>
    </w:p>
    <w:p w14:paraId="0AE3478A" w14:textId="056E9B67" w:rsidR="00697111" w:rsidRDefault="00F3005F" w:rsidP="00EB34CC">
      <w:pPr>
        <w:pStyle w:val="SingleTxtG"/>
        <w:ind w:left="4820" w:hanging="3119"/>
        <w:jc w:val="left"/>
        <w:rPr>
          <w:lang w:val="es-ES_tradnl"/>
        </w:rPr>
      </w:pPr>
      <w:r w:rsidRPr="005D5092">
        <w:rPr>
          <w:i/>
          <w:iCs/>
          <w:lang w:val="es-ES_tradnl"/>
        </w:rPr>
        <w:t>Artículo del Protocolo Facultativo</w:t>
      </w:r>
      <w:r w:rsidRPr="005D5092">
        <w:rPr>
          <w:lang w:val="es-ES_tradnl"/>
        </w:rPr>
        <w:t>:</w:t>
      </w:r>
      <w:r w:rsidRPr="005D5092">
        <w:rPr>
          <w:i/>
          <w:iCs/>
          <w:lang w:val="es-ES_tradnl"/>
        </w:rPr>
        <w:tab/>
      </w:r>
      <w:r w:rsidRPr="00D115CA">
        <w:rPr>
          <w:iCs/>
          <w:lang w:val="es-ES_tradnl"/>
        </w:rPr>
        <w:t>7</w:t>
      </w:r>
      <w:r w:rsidR="002658E9">
        <w:rPr>
          <w:iCs/>
          <w:lang w:val="es-ES_tradnl"/>
        </w:rPr>
        <w:t>, apartado</w:t>
      </w:r>
      <w:r w:rsidRPr="00D115CA">
        <w:rPr>
          <w:iCs/>
          <w:lang w:val="es-ES_tradnl"/>
        </w:rPr>
        <w:t xml:space="preserve"> f)</w:t>
      </w:r>
    </w:p>
    <w:p w14:paraId="63319DAC" w14:textId="62050B62" w:rsidR="00F3005F" w:rsidRDefault="00F3005F" w:rsidP="007A7E9C">
      <w:pPr>
        <w:pStyle w:val="SingleTxtG"/>
        <w:spacing w:before="240"/>
        <w:rPr>
          <w:lang w:val="es-ES_tradnl"/>
        </w:rPr>
      </w:pPr>
      <w:r>
        <w:rPr>
          <w:lang w:val="es-ES_tradnl"/>
        </w:rPr>
        <w:t>1.1</w:t>
      </w:r>
      <w:r>
        <w:rPr>
          <w:lang w:val="es-ES_tradnl"/>
        </w:rPr>
        <w:tab/>
        <w:t xml:space="preserve">La autora de la comunicación es </w:t>
      </w:r>
      <w:r w:rsidR="00C514B5">
        <w:rPr>
          <w:lang w:val="es-ES_tradnl"/>
        </w:rPr>
        <w:t>K.</w:t>
      </w:r>
      <w:r w:rsidR="00FB604B">
        <w:rPr>
          <w:lang w:val="es-ES_tradnl"/>
        </w:rPr>
        <w:t xml:space="preserve"> </w:t>
      </w:r>
      <w:r w:rsidR="00C514B5">
        <w:rPr>
          <w:lang w:val="es-ES_tradnl"/>
        </w:rPr>
        <w:t>S.</w:t>
      </w:r>
      <w:r w:rsidR="00FB604B">
        <w:rPr>
          <w:lang w:val="es-ES_tradnl"/>
        </w:rPr>
        <w:t xml:space="preserve"> </w:t>
      </w:r>
      <w:r w:rsidR="00C514B5">
        <w:rPr>
          <w:lang w:val="es-ES_tradnl"/>
        </w:rPr>
        <w:t>G.</w:t>
      </w:r>
      <w:r>
        <w:rPr>
          <w:lang w:val="es-ES_tradnl"/>
        </w:rPr>
        <w:t xml:space="preserve">, ciudadana </w:t>
      </w:r>
      <w:r w:rsidR="00F85021">
        <w:rPr>
          <w:lang w:val="es-ES_tradnl"/>
        </w:rPr>
        <w:t xml:space="preserve">del Reino Unido </w:t>
      </w:r>
      <w:r>
        <w:rPr>
          <w:lang w:val="es-ES_tradnl"/>
        </w:rPr>
        <w:t>nacida en 1989. Presenta la comunicación en nombre de su hijo, A.</w:t>
      </w:r>
      <w:r w:rsidR="00174A7E">
        <w:rPr>
          <w:lang w:val="es-ES_tradnl"/>
        </w:rPr>
        <w:t> </w:t>
      </w:r>
      <w:r>
        <w:rPr>
          <w:lang w:val="es-ES_tradnl"/>
        </w:rPr>
        <w:t>R.</w:t>
      </w:r>
      <w:r w:rsidR="00174A7E">
        <w:rPr>
          <w:lang w:val="es-ES_tradnl"/>
        </w:rPr>
        <w:t> </w:t>
      </w:r>
      <w:r>
        <w:rPr>
          <w:lang w:val="es-ES_tradnl"/>
        </w:rPr>
        <w:t xml:space="preserve">G., nacido el 29 de agosto de 2014. La autora se encuentra representada por abogado. El Protocolo </w:t>
      </w:r>
      <w:r w:rsidR="00FC1CD2">
        <w:rPr>
          <w:lang w:val="es-ES_tradnl"/>
        </w:rPr>
        <w:t>F</w:t>
      </w:r>
      <w:r>
        <w:rPr>
          <w:lang w:val="es-ES_tradnl"/>
        </w:rPr>
        <w:t>acultativo entró en vigor para el Estado parte el 14 de abril de 2014.</w:t>
      </w:r>
    </w:p>
    <w:p w14:paraId="017AB996" w14:textId="24581C8A" w:rsidR="00F3005F" w:rsidRPr="007A2D8A" w:rsidRDefault="00F3005F" w:rsidP="00F3005F">
      <w:pPr>
        <w:pStyle w:val="SingleTxtG"/>
        <w:rPr>
          <w:lang w:val="es-ES_tradnl"/>
        </w:rPr>
      </w:pPr>
      <w:r>
        <w:rPr>
          <w:lang w:val="es-ES_tradnl"/>
        </w:rPr>
        <w:t>1.2</w:t>
      </w:r>
      <w:r>
        <w:rPr>
          <w:lang w:val="es-ES_tradnl"/>
        </w:rPr>
        <w:tab/>
        <w:t xml:space="preserve">Con </w:t>
      </w:r>
      <w:r w:rsidRPr="007A2D8A">
        <w:rPr>
          <w:lang w:val="es-ES_tradnl"/>
        </w:rPr>
        <w:t xml:space="preserve">base </w:t>
      </w:r>
      <w:r>
        <w:rPr>
          <w:lang w:val="es-ES_tradnl"/>
        </w:rPr>
        <w:t>en e</w:t>
      </w:r>
      <w:r w:rsidRPr="007A2D8A">
        <w:rPr>
          <w:lang w:val="es-ES_tradnl"/>
        </w:rPr>
        <w:t xml:space="preserve">l </w:t>
      </w:r>
      <w:r>
        <w:rPr>
          <w:lang w:val="es-ES_tradnl"/>
        </w:rPr>
        <w:t xml:space="preserve">artículo 6 del Protocolo </w:t>
      </w:r>
      <w:r w:rsidR="00D37754">
        <w:rPr>
          <w:lang w:val="es-ES_tradnl"/>
        </w:rPr>
        <w:t>F</w:t>
      </w:r>
      <w:r>
        <w:rPr>
          <w:lang w:val="es-ES_tradnl"/>
        </w:rPr>
        <w:t xml:space="preserve">acultativo, </w:t>
      </w:r>
      <w:r w:rsidRPr="007A2D8A">
        <w:rPr>
          <w:lang w:val="es-ES_tradnl"/>
        </w:rPr>
        <w:t xml:space="preserve">el Comité, </w:t>
      </w:r>
      <w:r>
        <w:rPr>
          <w:lang w:val="es-ES_tradnl"/>
        </w:rPr>
        <w:t xml:space="preserve">por intermedio de su Grupo de Trabajo sobre </w:t>
      </w:r>
      <w:r w:rsidR="009458F0">
        <w:rPr>
          <w:lang w:val="es-ES_tradnl"/>
        </w:rPr>
        <w:t>las C</w:t>
      </w:r>
      <w:r>
        <w:rPr>
          <w:lang w:val="es-ES_tradnl"/>
        </w:rPr>
        <w:t xml:space="preserve">omunicaciones </w:t>
      </w:r>
      <w:r w:rsidRPr="007A2D8A">
        <w:rPr>
          <w:lang w:val="es-ES_tradnl"/>
        </w:rPr>
        <w:t>denegó</w:t>
      </w:r>
      <w:r>
        <w:rPr>
          <w:lang w:val="es-ES_tradnl"/>
        </w:rPr>
        <w:t>, e</w:t>
      </w:r>
      <w:r w:rsidRPr="000A52E5">
        <w:rPr>
          <w:lang w:val="es-ES_tradnl"/>
        </w:rPr>
        <w:t xml:space="preserve">l </w:t>
      </w:r>
      <w:r>
        <w:rPr>
          <w:lang w:val="es-ES_tradnl"/>
        </w:rPr>
        <w:t>4</w:t>
      </w:r>
      <w:r w:rsidRPr="000A52E5">
        <w:rPr>
          <w:lang w:val="es-ES_tradnl"/>
        </w:rPr>
        <w:t xml:space="preserve"> de </w:t>
      </w:r>
      <w:r>
        <w:rPr>
          <w:lang w:val="es-ES_tradnl"/>
        </w:rPr>
        <w:t>septiembre</w:t>
      </w:r>
      <w:r w:rsidRPr="000A52E5">
        <w:rPr>
          <w:lang w:val="es-ES_tradnl"/>
        </w:rPr>
        <w:t xml:space="preserve"> de 201</w:t>
      </w:r>
      <w:r>
        <w:rPr>
          <w:lang w:val="es-ES_tradnl"/>
        </w:rPr>
        <w:t>9,</w:t>
      </w:r>
      <w:r w:rsidRPr="007A2D8A">
        <w:rPr>
          <w:lang w:val="es-ES_tradnl"/>
        </w:rPr>
        <w:t xml:space="preserve"> la solicitud de</w:t>
      </w:r>
      <w:r>
        <w:rPr>
          <w:lang w:val="es-ES_tradnl"/>
        </w:rPr>
        <w:t xml:space="preserve"> </w:t>
      </w:r>
      <w:r w:rsidRPr="007A2D8A">
        <w:rPr>
          <w:lang w:val="es-ES_tradnl"/>
        </w:rPr>
        <w:t>la</w:t>
      </w:r>
      <w:r>
        <w:rPr>
          <w:lang w:val="es-ES_tradnl"/>
        </w:rPr>
        <w:t xml:space="preserve"> a</w:t>
      </w:r>
      <w:r w:rsidRPr="007A2D8A">
        <w:rPr>
          <w:lang w:val="es-ES_tradnl"/>
        </w:rPr>
        <w:t>utor</w:t>
      </w:r>
      <w:r>
        <w:rPr>
          <w:lang w:val="es-ES_tradnl"/>
        </w:rPr>
        <w:t>a</w:t>
      </w:r>
      <w:r w:rsidRPr="007A2D8A">
        <w:rPr>
          <w:lang w:val="es-ES_tradnl"/>
        </w:rPr>
        <w:t xml:space="preserve"> de adoptar medidas provisionales</w:t>
      </w:r>
      <w:r>
        <w:rPr>
          <w:lang w:val="es-ES_tradnl"/>
        </w:rPr>
        <w:t>. Dicha solicitud de medidas</w:t>
      </w:r>
      <w:r w:rsidRPr="007A2D8A">
        <w:rPr>
          <w:lang w:val="es-ES_tradnl"/>
        </w:rPr>
        <w:t xml:space="preserve"> </w:t>
      </w:r>
      <w:r>
        <w:rPr>
          <w:lang w:val="es-ES_tradnl"/>
        </w:rPr>
        <w:t>provisionales consistía</w:t>
      </w:r>
      <w:r w:rsidRPr="007A2D8A">
        <w:rPr>
          <w:lang w:val="es-ES_tradnl"/>
        </w:rPr>
        <w:t xml:space="preserve"> en la </w:t>
      </w:r>
      <w:r>
        <w:rPr>
          <w:lang w:val="es-ES_tradnl"/>
        </w:rPr>
        <w:t>suspensión del régimen de visitas estipulado en favor del padre de A.</w:t>
      </w:r>
      <w:r w:rsidR="00174A7E">
        <w:rPr>
          <w:lang w:val="es-ES_tradnl"/>
        </w:rPr>
        <w:t xml:space="preserve"> </w:t>
      </w:r>
      <w:r>
        <w:rPr>
          <w:lang w:val="es-ES_tradnl"/>
        </w:rPr>
        <w:t>R.</w:t>
      </w:r>
      <w:r w:rsidR="00174A7E">
        <w:rPr>
          <w:lang w:val="es-ES_tradnl"/>
        </w:rPr>
        <w:t xml:space="preserve"> </w:t>
      </w:r>
      <w:r>
        <w:rPr>
          <w:lang w:val="es-ES_tradnl"/>
        </w:rPr>
        <w:t>G. durante la pendencia de los procedimientos penales abiertos en donde se lo acusa por presuntos delitos sexuales contra su hijo</w:t>
      </w:r>
      <w:r w:rsidRPr="007A2D8A">
        <w:rPr>
          <w:lang w:val="es-ES_tradnl"/>
        </w:rPr>
        <w:t>. En la misma fecha e</w:t>
      </w:r>
      <w:r>
        <w:rPr>
          <w:lang w:val="es-ES_tradnl"/>
        </w:rPr>
        <w:t>l Comité estimó, conforme al artículo 18</w:t>
      </w:r>
      <w:r w:rsidR="009458F0">
        <w:rPr>
          <w:lang w:val="es-ES_tradnl"/>
        </w:rPr>
        <w:t xml:space="preserve">, párrafo </w:t>
      </w:r>
      <w:r>
        <w:rPr>
          <w:lang w:val="es-ES_tradnl"/>
        </w:rPr>
        <w:t>1</w:t>
      </w:r>
      <w:r w:rsidR="009458F0">
        <w:rPr>
          <w:lang w:val="es-ES_tradnl"/>
        </w:rPr>
        <w:t>,</w:t>
      </w:r>
      <w:r>
        <w:rPr>
          <w:lang w:val="es-ES_tradnl"/>
        </w:rPr>
        <w:t xml:space="preserve"> de su </w:t>
      </w:r>
      <w:r w:rsidR="009458F0">
        <w:rPr>
          <w:lang w:val="es-ES_tradnl"/>
        </w:rPr>
        <w:t>r</w:t>
      </w:r>
      <w:r>
        <w:rPr>
          <w:lang w:val="es-ES_tradnl"/>
        </w:rPr>
        <w:t xml:space="preserve">eglamento, que el examen de la admisibilidad no requería la remisión previa de la comunicación al Estado parte para que </w:t>
      </w:r>
      <w:r w:rsidR="00981CA2">
        <w:rPr>
          <w:lang w:val="es-ES_tradnl"/>
        </w:rPr>
        <w:t>e</w:t>
      </w:r>
      <w:r>
        <w:rPr>
          <w:lang w:val="es-ES_tradnl"/>
        </w:rPr>
        <w:t>ste formulara observaciones.</w:t>
      </w:r>
    </w:p>
    <w:p w14:paraId="5C2E6AC2" w14:textId="77777777" w:rsidR="00F3005F" w:rsidRPr="005D5092" w:rsidRDefault="00F3005F" w:rsidP="00F3005F">
      <w:pPr>
        <w:pStyle w:val="H23G"/>
        <w:ind w:right="1112"/>
        <w:rPr>
          <w:lang w:val="es-ES_tradnl"/>
        </w:rPr>
      </w:pPr>
      <w:r w:rsidRPr="005D5092">
        <w:rPr>
          <w:lang w:val="es-ES_tradnl"/>
        </w:rPr>
        <w:lastRenderedPageBreak/>
        <w:tab/>
      </w:r>
      <w:r w:rsidRPr="005D5092">
        <w:rPr>
          <w:lang w:val="es-ES_tradnl"/>
        </w:rPr>
        <w:tab/>
      </w:r>
      <w:r>
        <w:rPr>
          <w:lang w:val="es-ES_tradnl"/>
        </w:rPr>
        <w:t>Los hechos según la autora</w:t>
      </w:r>
    </w:p>
    <w:p w14:paraId="7BC28850" w14:textId="634BA296" w:rsidR="00F3005F" w:rsidRDefault="00F3005F" w:rsidP="00F54949">
      <w:pPr>
        <w:pStyle w:val="SingleTxtG"/>
        <w:rPr>
          <w:lang w:val="es-ES_tradnl"/>
        </w:rPr>
      </w:pPr>
      <w:r w:rsidRPr="005D5092">
        <w:rPr>
          <w:lang w:val="es-ES_tradnl"/>
        </w:rPr>
        <w:t>2.1</w:t>
      </w:r>
      <w:r w:rsidRPr="005D5092">
        <w:rPr>
          <w:lang w:val="es-ES_tradnl"/>
        </w:rPr>
        <w:tab/>
      </w:r>
      <w:r>
        <w:rPr>
          <w:lang w:val="es-ES_tradnl"/>
        </w:rPr>
        <w:t xml:space="preserve">La autora afirma que </w:t>
      </w:r>
      <w:r w:rsidR="00174A7E">
        <w:rPr>
          <w:lang w:val="es-ES_tradnl"/>
        </w:rPr>
        <w:t>A. R. G.</w:t>
      </w:r>
      <w:r>
        <w:rPr>
          <w:lang w:val="es-ES_tradnl"/>
        </w:rPr>
        <w:t xml:space="preserve"> fue abusado sexualmente por su padre en repetidas ocasiones cuando tenía entre dos y tres años de edad. Al respecto se iniciaron tres procesos judiciales: dos de naturaleza penal y uno de naturaleza civil. En el primer proceso penal se investigó al padre por presuntos delitos de agresión sexual y abuso sexual a su hijo por hechos producidos entre marzo de 2017 y mayo de 2018. Luego del inicio de este proceso penal, el padre de A.</w:t>
      </w:r>
      <w:r w:rsidR="00174A7E">
        <w:rPr>
          <w:lang w:val="es-ES_tradnl"/>
        </w:rPr>
        <w:t xml:space="preserve"> </w:t>
      </w:r>
      <w:r>
        <w:rPr>
          <w:lang w:val="es-ES_tradnl"/>
        </w:rPr>
        <w:t>R.</w:t>
      </w:r>
      <w:r w:rsidR="00174A7E">
        <w:rPr>
          <w:lang w:val="es-ES_tradnl"/>
        </w:rPr>
        <w:t xml:space="preserve"> </w:t>
      </w:r>
      <w:r>
        <w:rPr>
          <w:lang w:val="es-ES_tradnl"/>
        </w:rPr>
        <w:t>G. presentó una demanda de medidas provisionales en sede civil solicitando la guarda compartida del menor. El 18 de septiembre de 2017 el juez estableció la guarda de A.</w:t>
      </w:r>
      <w:r w:rsidR="00174A7E">
        <w:rPr>
          <w:lang w:val="es-ES_tradnl"/>
        </w:rPr>
        <w:t xml:space="preserve"> </w:t>
      </w:r>
      <w:r>
        <w:rPr>
          <w:lang w:val="es-ES_tradnl"/>
        </w:rPr>
        <w:t>R.</w:t>
      </w:r>
      <w:r w:rsidR="00174A7E">
        <w:rPr>
          <w:lang w:val="es-ES_tradnl"/>
        </w:rPr>
        <w:t xml:space="preserve"> </w:t>
      </w:r>
      <w:r>
        <w:rPr>
          <w:lang w:val="es-ES_tradnl"/>
        </w:rPr>
        <w:t xml:space="preserve">G. en favor de la madre con un régimen de visitas a favor del padre. En el tercer proceso vigente (el segundo proceso penal) se investigó al padre por el delito de lesiones a su hijo durante marzo de 2018. </w:t>
      </w:r>
    </w:p>
    <w:p w14:paraId="70F469AF" w14:textId="67A94721" w:rsidR="00F3005F" w:rsidRDefault="00F3005F" w:rsidP="00F3005F">
      <w:pPr>
        <w:pStyle w:val="SingleTxtG"/>
        <w:rPr>
          <w:lang w:val="es-ES_tradnl"/>
        </w:rPr>
      </w:pPr>
      <w:r>
        <w:rPr>
          <w:lang w:val="es-ES_tradnl"/>
        </w:rPr>
        <w:t>2.2</w:t>
      </w:r>
      <w:r>
        <w:rPr>
          <w:lang w:val="es-ES_tradnl"/>
        </w:rPr>
        <w:tab/>
        <w:t xml:space="preserve">Desde la presentación de la demanda que dio inicio al segundo proceso penal, la autora incumplió el régimen de visitas para proteger a </w:t>
      </w:r>
      <w:proofErr w:type="spellStart"/>
      <w:r>
        <w:rPr>
          <w:lang w:val="es-ES_tradnl"/>
        </w:rPr>
        <w:t>A</w:t>
      </w:r>
      <w:proofErr w:type="spellEnd"/>
      <w:r>
        <w:rPr>
          <w:lang w:val="es-ES_tradnl"/>
        </w:rPr>
        <w:t>.</w:t>
      </w:r>
      <w:r w:rsidR="00174A7E">
        <w:rPr>
          <w:lang w:val="es-ES_tradnl"/>
        </w:rPr>
        <w:t xml:space="preserve"> </w:t>
      </w:r>
      <w:r>
        <w:rPr>
          <w:lang w:val="es-ES_tradnl"/>
        </w:rPr>
        <w:t>R.</w:t>
      </w:r>
      <w:r w:rsidR="00174A7E">
        <w:rPr>
          <w:lang w:val="es-ES_tradnl"/>
        </w:rPr>
        <w:t xml:space="preserve"> </w:t>
      </w:r>
      <w:r>
        <w:rPr>
          <w:lang w:val="es-ES_tradnl"/>
        </w:rPr>
        <w:t>G. de su padre. Del mismo modo, el 19</w:t>
      </w:r>
      <w:r w:rsidR="00A0767C">
        <w:rPr>
          <w:lang w:val="es-ES_tradnl"/>
        </w:rPr>
        <w:t> </w:t>
      </w:r>
      <w:r>
        <w:rPr>
          <w:lang w:val="es-ES_tradnl"/>
        </w:rPr>
        <w:t>de marzo de 2018, la autora solicitó medidas cautelares consistentes en la emisión de una orden de protección a favor de A.</w:t>
      </w:r>
      <w:r w:rsidR="00174A7E">
        <w:rPr>
          <w:lang w:val="es-ES_tradnl"/>
        </w:rPr>
        <w:t xml:space="preserve"> </w:t>
      </w:r>
      <w:r>
        <w:rPr>
          <w:lang w:val="es-ES_tradnl"/>
        </w:rPr>
        <w:t>R.</w:t>
      </w:r>
      <w:r w:rsidR="00174A7E">
        <w:rPr>
          <w:lang w:val="es-ES_tradnl"/>
        </w:rPr>
        <w:t xml:space="preserve"> </w:t>
      </w:r>
      <w:r>
        <w:rPr>
          <w:lang w:val="es-ES_tradnl"/>
        </w:rPr>
        <w:t>G., prohibiendo el acercamiento y comunicación del padre respecto de A.</w:t>
      </w:r>
      <w:r w:rsidR="00174A7E">
        <w:rPr>
          <w:lang w:val="es-ES_tradnl"/>
        </w:rPr>
        <w:t xml:space="preserve"> </w:t>
      </w:r>
      <w:r>
        <w:rPr>
          <w:lang w:val="es-ES_tradnl"/>
        </w:rPr>
        <w:t>R.</w:t>
      </w:r>
      <w:r w:rsidR="00174A7E">
        <w:rPr>
          <w:lang w:val="es-ES_tradnl"/>
        </w:rPr>
        <w:t xml:space="preserve"> </w:t>
      </w:r>
      <w:r>
        <w:rPr>
          <w:lang w:val="es-ES_tradnl"/>
        </w:rPr>
        <w:t>G., así como la suspensión del régimen de visitas.</w:t>
      </w:r>
    </w:p>
    <w:p w14:paraId="6B874BE4" w14:textId="4203A7AC" w:rsidR="00F3005F" w:rsidRPr="004B4061" w:rsidRDefault="00F3005F" w:rsidP="00F3005F">
      <w:pPr>
        <w:pStyle w:val="SingleTxtG"/>
      </w:pPr>
      <w:r>
        <w:rPr>
          <w:lang w:val="es-ES_tradnl"/>
        </w:rPr>
        <w:t>2.3</w:t>
      </w:r>
      <w:r>
        <w:rPr>
          <w:lang w:val="es-ES_tradnl"/>
        </w:rPr>
        <w:tab/>
        <w:t xml:space="preserve">El 9 de julio de 2018, el </w:t>
      </w:r>
      <w:r w:rsidR="001F4615">
        <w:rPr>
          <w:lang w:val="es-ES_tradnl"/>
        </w:rPr>
        <w:t>J</w:t>
      </w:r>
      <w:r>
        <w:rPr>
          <w:lang w:val="es-ES_tradnl"/>
        </w:rPr>
        <w:t xml:space="preserve">uzgado de </w:t>
      </w:r>
      <w:r w:rsidR="001F4615">
        <w:rPr>
          <w:lang w:val="es-ES_tradnl"/>
        </w:rPr>
        <w:t>I</w:t>
      </w:r>
      <w:r>
        <w:rPr>
          <w:lang w:val="es-ES_tradnl"/>
        </w:rPr>
        <w:t>nstrucción núm. 1 de Blanes denegó las medidas cautelares solicitadas por la autora, sin perjuicio de que posteriores pesquisas pudieran aconsejar su adopción. El 30 de enero de 2019, la autora volvió a presentar una solicitud de medidas cautelares ante el mismo juzgado de instrucción, las cuales fueron denegadas el 27</w:t>
      </w:r>
      <w:r w:rsidR="00A0767C">
        <w:rPr>
          <w:lang w:val="es-ES_tradnl"/>
        </w:rPr>
        <w:t> </w:t>
      </w:r>
      <w:r>
        <w:rPr>
          <w:lang w:val="es-ES_tradnl"/>
        </w:rPr>
        <w:t xml:space="preserve">de febrero de 2019. Dicho auto fue apelado el 5 de marzo de 2019 ante la Audiencia Provincial de Girona. El 7 de mayo de 2019, la Audiencia Provincial de Girona afirmó la denegación de medidas cautelares, pero modificó el régimen de visitas, estableciendo un régimen de visitas de fines de semana alternos, sin pernocta, y en presencia de una tercera persona designada por el padre y </w:t>
      </w:r>
      <w:r w:rsidR="00981CA2">
        <w:rPr>
          <w:lang w:val="es-ES_tradnl"/>
        </w:rPr>
        <w:t xml:space="preserve">un </w:t>
      </w:r>
      <w:r>
        <w:rPr>
          <w:lang w:val="es-ES_tradnl"/>
        </w:rPr>
        <w:t xml:space="preserve">familiar de </w:t>
      </w:r>
      <w:r w:rsidR="00174A7E">
        <w:rPr>
          <w:lang w:val="es-ES_tradnl"/>
        </w:rPr>
        <w:t>A. R. G.</w:t>
      </w:r>
      <w:r>
        <w:rPr>
          <w:lang w:val="es-ES_tradnl"/>
        </w:rPr>
        <w:t xml:space="preserve"> o, en su defecto, en un punto de encuentro designado por los servicios sociales y en presencia de trabajadores sociales. </w:t>
      </w:r>
    </w:p>
    <w:p w14:paraId="4042859E" w14:textId="07989F06" w:rsidR="00F3005F" w:rsidRPr="00695576" w:rsidRDefault="00F3005F" w:rsidP="009672A8">
      <w:pPr>
        <w:pStyle w:val="H23G"/>
        <w:rPr>
          <w:rFonts w:eastAsia="Calibri"/>
        </w:rPr>
      </w:pPr>
      <w:r w:rsidRPr="005D5092">
        <w:rPr>
          <w:lang w:val="es-ES_tradnl"/>
        </w:rPr>
        <w:tab/>
      </w:r>
      <w:r w:rsidRPr="005D5092">
        <w:rPr>
          <w:lang w:val="es-ES_tradnl"/>
        </w:rPr>
        <w:tab/>
      </w:r>
      <w:r w:rsidRPr="00695576">
        <w:t>La queja</w:t>
      </w:r>
    </w:p>
    <w:p w14:paraId="30997945" w14:textId="56748505" w:rsidR="00F3005F" w:rsidRDefault="00F3005F" w:rsidP="009672A8">
      <w:pPr>
        <w:pStyle w:val="SingleTxtG"/>
        <w:rPr>
          <w:rFonts w:eastAsia="Calibri"/>
        </w:rPr>
      </w:pPr>
      <w:r w:rsidRPr="005535C8">
        <w:rPr>
          <w:rFonts w:eastAsia="Calibri"/>
        </w:rPr>
        <w:t>3.1</w:t>
      </w:r>
      <w:r w:rsidRPr="005535C8">
        <w:rPr>
          <w:rFonts w:eastAsia="Calibri"/>
        </w:rPr>
        <w:tab/>
        <w:t>La autora alega que el caso presenta un conflict</w:t>
      </w:r>
      <w:r>
        <w:rPr>
          <w:rFonts w:eastAsia="Calibri"/>
        </w:rPr>
        <w:t>o</w:t>
      </w:r>
      <w:r w:rsidRPr="005535C8">
        <w:rPr>
          <w:rFonts w:eastAsia="Calibri"/>
        </w:rPr>
        <w:t xml:space="preserve"> entre</w:t>
      </w:r>
      <w:r>
        <w:rPr>
          <w:rFonts w:eastAsia="Calibri"/>
        </w:rPr>
        <w:t xml:space="preserve"> los derechos de </w:t>
      </w:r>
      <w:r w:rsidR="00174A7E">
        <w:rPr>
          <w:rFonts w:eastAsia="Calibri"/>
        </w:rPr>
        <w:t>A. R. G.</w:t>
      </w:r>
      <w:r>
        <w:rPr>
          <w:rFonts w:eastAsia="Calibri"/>
        </w:rPr>
        <w:t xml:space="preserve"> (su interés superior, su derecho a la seguridad, a la vida, a la integridad física y psíquica, a la protección contra cualquier tipo de violencia) y el derecho a la presunción de inocencia del padre. Sin embargo, los tribunales españoles han priorizado el derecho del padre por encima de los derechos de </w:t>
      </w:r>
      <w:r w:rsidR="00174A7E">
        <w:rPr>
          <w:rFonts w:eastAsia="Calibri"/>
        </w:rPr>
        <w:t>A. R. G.</w:t>
      </w:r>
      <w:r>
        <w:rPr>
          <w:rFonts w:eastAsia="Calibri"/>
        </w:rPr>
        <w:t xml:space="preserve"> sin tener en cuenta el interés superior del niño, que tiene primacía sobre cualquier otro interés en juego.</w:t>
      </w:r>
    </w:p>
    <w:p w14:paraId="2109ED09" w14:textId="4F1FE689" w:rsidR="00F3005F" w:rsidRDefault="00F3005F" w:rsidP="009672A8">
      <w:pPr>
        <w:pStyle w:val="SingleTxtG"/>
        <w:rPr>
          <w:rFonts w:eastAsia="Calibri"/>
        </w:rPr>
      </w:pPr>
      <w:r>
        <w:rPr>
          <w:rFonts w:eastAsia="Calibri"/>
        </w:rPr>
        <w:t>3.2</w:t>
      </w:r>
      <w:r>
        <w:rPr>
          <w:rFonts w:eastAsia="Calibri"/>
        </w:rPr>
        <w:tab/>
        <w:t xml:space="preserve">La autora afirma que la modificación del régimen de visitas adoptada por la Audiencia Provincial no protege a </w:t>
      </w:r>
      <w:proofErr w:type="spellStart"/>
      <w:r w:rsidR="00174A7E">
        <w:rPr>
          <w:rFonts w:eastAsia="Calibri"/>
        </w:rPr>
        <w:t>A</w:t>
      </w:r>
      <w:proofErr w:type="spellEnd"/>
      <w:r w:rsidR="00174A7E">
        <w:rPr>
          <w:rFonts w:eastAsia="Calibri"/>
        </w:rPr>
        <w:t>. R. G.</w:t>
      </w:r>
      <w:r>
        <w:rPr>
          <w:rFonts w:eastAsia="Calibri"/>
        </w:rPr>
        <w:t xml:space="preserve"> de su padre, y lo obliga como víctima a ver a su agresor. Entre otros aspectos, la supresión de la pernocta no es ninguna garantía de que el delito no se vuelva a cometer, pues no existe ninguna garantía de que el menor no se quede a solas con el padre. Al mismo tiempo, la autora alega que la obligada relación con el padre va a afectar negativamente el desarrollo del menor.</w:t>
      </w:r>
    </w:p>
    <w:p w14:paraId="14D7272C" w14:textId="0D3E3490" w:rsidR="00F3005F" w:rsidRDefault="00F3005F" w:rsidP="009672A8">
      <w:pPr>
        <w:pStyle w:val="SingleTxtG"/>
        <w:rPr>
          <w:rFonts w:eastAsia="Calibri"/>
        </w:rPr>
      </w:pPr>
      <w:r>
        <w:rPr>
          <w:rFonts w:eastAsia="Calibri"/>
        </w:rPr>
        <w:t>3.3</w:t>
      </w:r>
      <w:r>
        <w:rPr>
          <w:rFonts w:eastAsia="Calibri"/>
        </w:rPr>
        <w:tab/>
        <w:t xml:space="preserve">La autora invoca una violación del artículo 3 de la Convención en la medida en que no se ha tenido en cuenta el interés superior del niño, considerado como interés primordial ante la existencia de otros intereses en juego. También se ha violado el derecho a la vida de </w:t>
      </w:r>
      <w:r w:rsidR="00174A7E">
        <w:rPr>
          <w:rFonts w:eastAsia="Calibri"/>
        </w:rPr>
        <w:t>A. R. G.</w:t>
      </w:r>
      <w:r>
        <w:rPr>
          <w:rFonts w:eastAsia="Calibri"/>
        </w:rPr>
        <w:t xml:space="preserve">, protegido por el artículo 6, el cual incluye el derecho a vivir con dignidad y libertad, pues se lo obliga a relacionarse con la persona que lo ha abusado sexualmente. </w:t>
      </w:r>
      <w:r w:rsidRPr="00F5646E">
        <w:rPr>
          <w:rFonts w:eastAsia="Calibri"/>
        </w:rPr>
        <w:t>En cuanto al artículo</w:t>
      </w:r>
      <w:r>
        <w:rPr>
          <w:rFonts w:eastAsia="Calibri"/>
        </w:rPr>
        <w:t xml:space="preserve"> 9, </w:t>
      </w:r>
      <w:r w:rsidR="00174A7E">
        <w:rPr>
          <w:rFonts w:eastAsia="Calibri"/>
        </w:rPr>
        <w:t>A. R. G.</w:t>
      </w:r>
      <w:r>
        <w:rPr>
          <w:rFonts w:eastAsia="Calibri"/>
        </w:rPr>
        <w:t xml:space="preserve"> tiene derecho a ser separado de su padre, el cual está siendo violado por el Estado parte. La autora alega también que no se ha tenido en cuenta adecuadamente el derecho de </w:t>
      </w:r>
      <w:r w:rsidR="00174A7E">
        <w:rPr>
          <w:rFonts w:eastAsia="Calibri"/>
        </w:rPr>
        <w:t>A. R. G.</w:t>
      </w:r>
      <w:r>
        <w:rPr>
          <w:rFonts w:eastAsia="Calibri"/>
        </w:rPr>
        <w:t xml:space="preserve"> de ser escuchado en los procesos judiciales, en violación del artículo 12 de la Convención. Finalmente, la autora sostiene que no se han </w:t>
      </w:r>
      <w:r>
        <w:rPr>
          <w:rFonts w:eastAsia="Calibri"/>
        </w:rPr>
        <w:lastRenderedPageBreak/>
        <w:t xml:space="preserve">tomado medidas necesarias para proteger a </w:t>
      </w:r>
      <w:proofErr w:type="spellStart"/>
      <w:r w:rsidR="00174A7E">
        <w:rPr>
          <w:rFonts w:eastAsia="Calibri"/>
        </w:rPr>
        <w:t>A</w:t>
      </w:r>
      <w:proofErr w:type="spellEnd"/>
      <w:r w:rsidR="00174A7E">
        <w:rPr>
          <w:rFonts w:eastAsia="Calibri"/>
        </w:rPr>
        <w:t>. R. G.</w:t>
      </w:r>
      <w:r>
        <w:rPr>
          <w:rFonts w:eastAsia="Calibri"/>
        </w:rPr>
        <w:t xml:space="preserve"> contra todas las formas de violencia, incluyendo abuso sexual, en violación de los art</w:t>
      </w:r>
      <w:r w:rsidR="00961D06">
        <w:rPr>
          <w:rFonts w:eastAsia="Calibri"/>
        </w:rPr>
        <w:t>ículos 19 y 34 de la Convención</w:t>
      </w:r>
      <w:r>
        <w:rPr>
          <w:rStyle w:val="FootnoteReference"/>
          <w:rFonts w:eastAsia="Calibri"/>
        </w:rPr>
        <w:footnoteReference w:id="3"/>
      </w:r>
      <w:r w:rsidR="00961D06">
        <w:rPr>
          <w:rFonts w:eastAsia="Calibri"/>
        </w:rPr>
        <w:t>.</w:t>
      </w:r>
    </w:p>
    <w:p w14:paraId="1D067F9B" w14:textId="77777777" w:rsidR="00F3005F" w:rsidRPr="005D5092" w:rsidRDefault="00F3005F" w:rsidP="00F3005F">
      <w:pPr>
        <w:pStyle w:val="H23G"/>
        <w:rPr>
          <w:lang w:val="es-ES_tradnl"/>
        </w:rPr>
      </w:pPr>
      <w:r w:rsidRPr="005D5092">
        <w:rPr>
          <w:lang w:val="es-ES_tradnl"/>
        </w:rPr>
        <w:tab/>
      </w:r>
      <w:r w:rsidRPr="005D5092">
        <w:rPr>
          <w:lang w:val="es-ES_tradnl"/>
        </w:rPr>
        <w:tab/>
        <w:t>Deliberaciones del Comité</w:t>
      </w:r>
    </w:p>
    <w:p w14:paraId="1D5A0EC4" w14:textId="77777777" w:rsidR="00F3005F" w:rsidRPr="005D5092" w:rsidRDefault="00F3005F" w:rsidP="00F3005F">
      <w:pPr>
        <w:pStyle w:val="H4G"/>
        <w:rPr>
          <w:lang w:val="es-ES_tradnl"/>
        </w:rPr>
      </w:pPr>
      <w:r w:rsidRPr="005D5092">
        <w:rPr>
          <w:lang w:val="es-ES_tradnl"/>
        </w:rPr>
        <w:tab/>
      </w:r>
      <w:r w:rsidRPr="005D5092">
        <w:rPr>
          <w:lang w:val="es-ES_tradnl"/>
        </w:rPr>
        <w:tab/>
        <w:t>Consideración de la admisibilidad</w:t>
      </w:r>
    </w:p>
    <w:p w14:paraId="22F5242F" w14:textId="2C6C2A28" w:rsidR="00F3005F" w:rsidRPr="005D5092" w:rsidRDefault="00F3005F" w:rsidP="00F3005F">
      <w:pPr>
        <w:pStyle w:val="SingleTxtG"/>
        <w:rPr>
          <w:lang w:val="es-ES_tradnl"/>
        </w:rPr>
      </w:pPr>
      <w:r w:rsidRPr="005D5092">
        <w:rPr>
          <w:lang w:val="es-ES_tradnl"/>
        </w:rPr>
        <w:t>4.1</w:t>
      </w:r>
      <w:r w:rsidRPr="005D5092">
        <w:rPr>
          <w:lang w:val="es-ES_tradnl"/>
        </w:rPr>
        <w:tab/>
      </w:r>
      <w:r>
        <w:rPr>
          <w:lang w:val="es-ES_tradnl"/>
        </w:rPr>
        <w:t>Antes de examina</w:t>
      </w:r>
      <w:r w:rsidRPr="005D5092">
        <w:rPr>
          <w:lang w:val="es-ES_tradnl"/>
        </w:rPr>
        <w:t xml:space="preserve">r toda queja formulada en una comunicación, el Comité debe decidir, de conformidad </w:t>
      </w:r>
      <w:r>
        <w:rPr>
          <w:lang w:val="es-ES_tradnl"/>
        </w:rPr>
        <w:t xml:space="preserve">con </w:t>
      </w:r>
      <w:r w:rsidR="006D57D5">
        <w:rPr>
          <w:lang w:val="es-ES_tradnl"/>
        </w:rPr>
        <w:t>e</w:t>
      </w:r>
      <w:r>
        <w:rPr>
          <w:lang w:val="es-ES_tradnl"/>
        </w:rPr>
        <w:t xml:space="preserve">l </w:t>
      </w:r>
      <w:r w:rsidR="006D57D5">
        <w:rPr>
          <w:lang w:val="es-ES_tradnl"/>
        </w:rPr>
        <w:t xml:space="preserve">artículo </w:t>
      </w:r>
      <w:r>
        <w:rPr>
          <w:lang w:val="es-ES_tradnl"/>
        </w:rPr>
        <w:t>20 de su reg</w:t>
      </w:r>
      <w:r w:rsidRPr="005D5092">
        <w:rPr>
          <w:lang w:val="es-ES_tradnl"/>
        </w:rPr>
        <w:t>l</w:t>
      </w:r>
      <w:r>
        <w:rPr>
          <w:lang w:val="es-ES_tradnl"/>
        </w:rPr>
        <w:t>a</w:t>
      </w:r>
      <w:r w:rsidRPr="005D5092">
        <w:rPr>
          <w:lang w:val="es-ES_tradnl"/>
        </w:rPr>
        <w:t>mento</w:t>
      </w:r>
      <w:r>
        <w:rPr>
          <w:lang w:val="es-ES_tradnl"/>
        </w:rPr>
        <w:t>, si la comunicación es admisible.</w:t>
      </w:r>
      <w:r w:rsidRPr="005D5092">
        <w:rPr>
          <w:lang w:val="es-ES_tradnl"/>
        </w:rPr>
        <w:t xml:space="preserve"> </w:t>
      </w:r>
    </w:p>
    <w:p w14:paraId="3179F4A5" w14:textId="740D7D2E" w:rsidR="00F3005F" w:rsidRDefault="00F3005F" w:rsidP="00F3005F">
      <w:pPr>
        <w:pStyle w:val="SingleTxtG"/>
        <w:rPr>
          <w:lang w:val="es-ES_tradnl"/>
        </w:rPr>
      </w:pPr>
      <w:r w:rsidRPr="005D5092">
        <w:rPr>
          <w:lang w:val="es-ES_tradnl"/>
        </w:rPr>
        <w:t>4.2</w:t>
      </w:r>
      <w:r w:rsidRPr="005D5092">
        <w:rPr>
          <w:lang w:val="es-ES_tradnl"/>
        </w:rPr>
        <w:tab/>
      </w:r>
      <w:r>
        <w:rPr>
          <w:lang w:val="es-ES_tradnl"/>
        </w:rPr>
        <w:t xml:space="preserve">El Comité toma nota de las alegaciones de la autora según las cuales los tribunales nacionales, al denegarle medidas cautelares que suspendan totalmente el régimen de visitas del padre, no tuvieron adecuadamente en cuenta el interés superior de </w:t>
      </w:r>
      <w:r w:rsidR="00174A7E">
        <w:rPr>
          <w:lang w:val="es-ES_tradnl"/>
        </w:rPr>
        <w:t>A. R. G.</w:t>
      </w:r>
      <w:r>
        <w:rPr>
          <w:lang w:val="es-ES_tradnl"/>
        </w:rPr>
        <w:t xml:space="preserve">, en violación de su derecho reconocido en el artículo 3 de la Convención. </w:t>
      </w:r>
      <w:r w:rsidRPr="00695576">
        <w:t>El Comité recuerda que, como regla general, es competencia de los órganos nacionales examinar los hechos y las pruebas e interpretar la legislación nacional, salvo que dicho examen o interpretación sea claramente arbitrario o equivalga a una denegación de justicia</w:t>
      </w:r>
      <w:r w:rsidRPr="0081745D">
        <w:rPr>
          <w:sz w:val="18"/>
          <w:szCs w:val="18"/>
          <w:vertAlign w:val="superscript"/>
        </w:rPr>
        <w:footnoteReference w:id="4"/>
      </w:r>
      <w:r w:rsidRPr="00695576">
        <w:t xml:space="preserve">. </w:t>
      </w:r>
      <w:r>
        <w:rPr>
          <w:lang w:val="es-ES_tradnl"/>
        </w:rPr>
        <w:t xml:space="preserve">El Comité observa que tanto la decisión del </w:t>
      </w:r>
      <w:r w:rsidR="00E61486">
        <w:rPr>
          <w:lang w:val="es-ES_tradnl"/>
        </w:rPr>
        <w:t>J</w:t>
      </w:r>
      <w:r>
        <w:rPr>
          <w:lang w:val="es-ES_tradnl"/>
        </w:rPr>
        <w:t xml:space="preserve">uzgado de </w:t>
      </w:r>
      <w:r w:rsidR="00E61486">
        <w:rPr>
          <w:lang w:val="es-ES_tradnl"/>
        </w:rPr>
        <w:t>I</w:t>
      </w:r>
      <w:r>
        <w:rPr>
          <w:lang w:val="es-ES_tradnl"/>
        </w:rPr>
        <w:t xml:space="preserve">nstrucción núm. 1 de Blanes como la de la Audiencia Provincial de Girona evaluaron el peligro existente para </w:t>
      </w:r>
      <w:r w:rsidR="00174A7E">
        <w:rPr>
          <w:lang w:val="es-ES_tradnl"/>
        </w:rPr>
        <w:t>A. R. G.</w:t>
      </w:r>
      <w:r>
        <w:rPr>
          <w:lang w:val="es-ES_tradnl"/>
        </w:rPr>
        <w:t xml:space="preserve"> y decidieron denegar la procedencia de medidas cautelares. En particular, la Audiencia Provincial modificó el régimen de visitas para evitar “situaciones en que padre e hijo estén solos”, invocando la necesidad de respetar el “principio de protección del interés del menor”. El Comité considera que, si bien la autora está disconforme con las decisiones adoptadas por las autoridades nacionales, no ha demostrado que la evaluación de los hechos y las pruebas presentadas ante dichas autoridades fuera claramente arbitraria o que equivaliera a una denegación de justicia. En consecuencia, el Comité considera que la presente queja no ha sido suficientemente fundamentada y la declara inadmisible</w:t>
      </w:r>
      <w:r w:rsidR="009672A8">
        <w:rPr>
          <w:lang w:val="es-ES_tradnl"/>
        </w:rPr>
        <w:t xml:space="preserve"> de conformidad con el artículo </w:t>
      </w:r>
      <w:r>
        <w:rPr>
          <w:lang w:val="es-ES_tradnl"/>
        </w:rPr>
        <w:t>7</w:t>
      </w:r>
      <w:r w:rsidR="009E16AB">
        <w:rPr>
          <w:lang w:val="es-ES_tradnl"/>
        </w:rPr>
        <w:t>, apar</w:t>
      </w:r>
      <w:r w:rsidR="00567287">
        <w:rPr>
          <w:lang w:val="es-ES_tradnl"/>
        </w:rPr>
        <w:t>t</w:t>
      </w:r>
      <w:r w:rsidR="009E16AB">
        <w:rPr>
          <w:lang w:val="es-ES_tradnl"/>
        </w:rPr>
        <w:t>ado</w:t>
      </w:r>
      <w:r>
        <w:rPr>
          <w:lang w:val="es-ES_tradnl"/>
        </w:rPr>
        <w:t xml:space="preserve"> f)</w:t>
      </w:r>
      <w:r w:rsidR="009E16AB">
        <w:rPr>
          <w:lang w:val="es-ES_tradnl"/>
        </w:rPr>
        <w:t>,</w:t>
      </w:r>
      <w:r>
        <w:rPr>
          <w:lang w:val="es-ES_tradnl"/>
        </w:rPr>
        <w:t xml:space="preserve"> del Protocolo Facultativo.</w:t>
      </w:r>
    </w:p>
    <w:p w14:paraId="2EAB220D" w14:textId="6C86220B" w:rsidR="00F3005F" w:rsidRDefault="00F3005F" w:rsidP="00F3005F">
      <w:pPr>
        <w:pStyle w:val="SingleTxtG"/>
        <w:rPr>
          <w:lang w:val="es-ES_tradnl"/>
        </w:rPr>
      </w:pPr>
      <w:r>
        <w:rPr>
          <w:lang w:val="es-ES_tradnl"/>
        </w:rPr>
        <w:t>4.</w:t>
      </w:r>
      <w:r w:rsidR="009672A8">
        <w:rPr>
          <w:lang w:val="es-ES_tradnl"/>
        </w:rPr>
        <w:t>3</w:t>
      </w:r>
      <w:r>
        <w:rPr>
          <w:lang w:val="es-ES_tradnl"/>
        </w:rPr>
        <w:tab/>
        <w:t xml:space="preserve">En cuanto a las quejas de la autora relacionadas con los artículos 6, 9, 12, 19 y 34 de la Convención, el Comité considera que la autora no ha fundamentado suficientemente en qué sentido los derechos de </w:t>
      </w:r>
      <w:r w:rsidR="00174A7E">
        <w:rPr>
          <w:lang w:val="es-ES_tradnl"/>
        </w:rPr>
        <w:t>A. R. G.</w:t>
      </w:r>
      <w:r>
        <w:rPr>
          <w:lang w:val="es-ES_tradnl"/>
        </w:rPr>
        <w:t xml:space="preserve"> </w:t>
      </w:r>
      <w:r w:rsidR="00927335">
        <w:rPr>
          <w:lang w:val="es-ES_tradnl"/>
        </w:rPr>
        <w:t xml:space="preserve">conforme a </w:t>
      </w:r>
      <w:r>
        <w:rPr>
          <w:lang w:val="es-ES_tradnl"/>
        </w:rPr>
        <w:t>estas disposiciones habrían sido vulnerados como resultado de la falta de suspensión total del régimen de visitas, modificado por la Audiencia Provincial. En consecuencia, el Comité concluye que las quejas mencionadas son manifiestamente infundadas y las declara asimismo inadmisibles en virtud del artículo 7</w:t>
      </w:r>
      <w:r w:rsidR="00B042C2">
        <w:rPr>
          <w:lang w:val="es-ES_tradnl"/>
        </w:rPr>
        <w:t>, apartado</w:t>
      </w:r>
      <w:r>
        <w:rPr>
          <w:lang w:val="es-ES_tradnl"/>
        </w:rPr>
        <w:t xml:space="preserve"> f)</w:t>
      </w:r>
      <w:r w:rsidR="00B042C2">
        <w:rPr>
          <w:lang w:val="es-ES_tradnl"/>
        </w:rPr>
        <w:t>,</w:t>
      </w:r>
      <w:r>
        <w:rPr>
          <w:lang w:val="es-ES_tradnl"/>
        </w:rPr>
        <w:t xml:space="preserve"> del Protocolo Facultativo.</w:t>
      </w:r>
    </w:p>
    <w:p w14:paraId="7CE60C9C" w14:textId="77777777" w:rsidR="00F3005F" w:rsidRPr="005D5092" w:rsidRDefault="00F3005F" w:rsidP="00F54949">
      <w:pPr>
        <w:pStyle w:val="SingleTxtG"/>
        <w:rPr>
          <w:lang w:val="es-ES_tradnl"/>
        </w:rPr>
      </w:pPr>
      <w:r w:rsidRPr="005D5092">
        <w:rPr>
          <w:lang w:val="es-ES_tradnl"/>
        </w:rPr>
        <w:t>5.</w:t>
      </w:r>
      <w:r w:rsidRPr="005D5092">
        <w:rPr>
          <w:lang w:val="es-ES_tradnl"/>
        </w:rPr>
        <w:tab/>
        <w:t xml:space="preserve">El Comité de </w:t>
      </w:r>
      <w:r>
        <w:rPr>
          <w:lang w:val="es-ES_tradnl"/>
        </w:rPr>
        <w:t xml:space="preserve">los </w:t>
      </w:r>
      <w:r w:rsidRPr="005D5092">
        <w:rPr>
          <w:lang w:val="es-ES_tradnl"/>
        </w:rPr>
        <w:t>Derechos del Niño decide:</w:t>
      </w:r>
    </w:p>
    <w:p w14:paraId="207EB7C8" w14:textId="35B7BED0" w:rsidR="00F3005F" w:rsidRPr="005D5092" w:rsidRDefault="00F3005F" w:rsidP="00F3005F">
      <w:pPr>
        <w:pStyle w:val="SingleTxtG"/>
        <w:ind w:firstLine="567"/>
        <w:rPr>
          <w:lang w:val="es-ES_tradnl"/>
        </w:rPr>
      </w:pPr>
      <w:r w:rsidRPr="005D5092">
        <w:rPr>
          <w:lang w:val="es-ES_tradnl"/>
        </w:rPr>
        <w:t>a)</w:t>
      </w:r>
      <w:r w:rsidRPr="005D5092">
        <w:rPr>
          <w:lang w:val="es-ES_tradnl"/>
        </w:rPr>
        <w:tab/>
      </w:r>
      <w:r>
        <w:rPr>
          <w:lang w:val="es-ES_tradnl"/>
        </w:rPr>
        <w:t xml:space="preserve">Que la comunicación es inadmisible de conformidad con el artículo </w:t>
      </w:r>
      <w:r w:rsidRPr="005D5092">
        <w:rPr>
          <w:lang w:val="es-ES_tradnl"/>
        </w:rPr>
        <w:t>7</w:t>
      </w:r>
      <w:r w:rsidR="00B042C2">
        <w:rPr>
          <w:lang w:val="es-ES_tradnl"/>
        </w:rPr>
        <w:t>, apartado</w:t>
      </w:r>
      <w:r w:rsidRPr="005D5092">
        <w:rPr>
          <w:lang w:val="es-ES_tradnl"/>
        </w:rPr>
        <w:t> </w:t>
      </w:r>
      <w:r>
        <w:rPr>
          <w:lang w:val="es-ES_tradnl"/>
        </w:rPr>
        <w:t>f</w:t>
      </w:r>
      <w:r w:rsidRPr="005D5092">
        <w:rPr>
          <w:lang w:val="es-ES_tradnl"/>
        </w:rPr>
        <w:t>)</w:t>
      </w:r>
      <w:r w:rsidR="00B042C2">
        <w:rPr>
          <w:lang w:val="es-ES_tradnl"/>
        </w:rPr>
        <w:t>,</w:t>
      </w:r>
      <w:r w:rsidRPr="005D5092">
        <w:rPr>
          <w:lang w:val="es-ES_tradnl"/>
        </w:rPr>
        <w:t xml:space="preserve"> </w:t>
      </w:r>
      <w:r>
        <w:rPr>
          <w:lang w:val="es-ES_tradnl"/>
        </w:rPr>
        <w:t>del Protocolo Facultativo</w:t>
      </w:r>
      <w:r w:rsidRPr="005D5092">
        <w:rPr>
          <w:lang w:val="es-ES_tradnl"/>
        </w:rPr>
        <w:t>;</w:t>
      </w:r>
    </w:p>
    <w:p w14:paraId="48CEEA13" w14:textId="651FEF14" w:rsidR="00381C24" w:rsidRDefault="00F3005F" w:rsidP="009672A8">
      <w:pPr>
        <w:pStyle w:val="SingleTxtG"/>
        <w:ind w:firstLine="567"/>
        <w:rPr>
          <w:lang w:val="es-ES_tradnl"/>
        </w:rPr>
      </w:pPr>
      <w:r w:rsidRPr="005D5092">
        <w:rPr>
          <w:lang w:val="es-ES_tradnl"/>
        </w:rPr>
        <w:t>b)</w:t>
      </w:r>
      <w:r w:rsidRPr="005D5092">
        <w:rPr>
          <w:lang w:val="es-ES_tradnl"/>
        </w:rPr>
        <w:tab/>
      </w:r>
      <w:r>
        <w:rPr>
          <w:lang w:val="es-ES_tradnl"/>
        </w:rPr>
        <w:t>Que la presente decisión será transmitida a la autora de la comunicación y, para información, al Estado parte.</w:t>
      </w:r>
    </w:p>
    <w:p w14:paraId="56A0D3D5" w14:textId="5D3D7848" w:rsidR="009672A8" w:rsidRPr="009672A8" w:rsidRDefault="009672A8" w:rsidP="009672A8">
      <w:pPr>
        <w:pStyle w:val="SingleTxtG"/>
        <w:suppressAutoHyphens/>
        <w:spacing w:before="240" w:after="0"/>
        <w:jc w:val="center"/>
        <w:rPr>
          <w:u w:val="single"/>
          <w:lang w:val="es-ES_tradnl"/>
        </w:rPr>
      </w:pPr>
      <w:r>
        <w:rPr>
          <w:u w:val="single"/>
          <w:lang w:val="es-ES_tradnl"/>
        </w:rPr>
        <w:tab/>
      </w:r>
      <w:r>
        <w:rPr>
          <w:u w:val="single"/>
          <w:lang w:val="es-ES_tradnl"/>
        </w:rPr>
        <w:tab/>
      </w:r>
      <w:r w:rsidR="00173784">
        <w:rPr>
          <w:u w:val="single"/>
          <w:lang w:val="es-ES_tradnl"/>
        </w:rPr>
        <w:tab/>
      </w:r>
    </w:p>
    <w:sectPr w:rsidR="009672A8" w:rsidRPr="009672A8" w:rsidSect="003725C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0098" w14:textId="77777777" w:rsidR="00CC4558" w:rsidRPr="007C2DEF" w:rsidRDefault="00CC4558" w:rsidP="007C2DEF">
      <w:pPr>
        <w:pStyle w:val="Footer"/>
      </w:pPr>
    </w:p>
  </w:endnote>
  <w:endnote w:type="continuationSeparator" w:id="0">
    <w:p w14:paraId="655ADAFB" w14:textId="77777777" w:rsidR="00CC4558" w:rsidRPr="007C2DEF" w:rsidRDefault="00CC4558"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A1C" w14:textId="4D68C6EB" w:rsidR="003725C2" w:rsidRPr="003725C2" w:rsidRDefault="003725C2" w:rsidP="003725C2">
    <w:pPr>
      <w:pStyle w:val="Footer"/>
      <w:tabs>
        <w:tab w:val="right" w:pos="9638"/>
      </w:tabs>
    </w:pPr>
    <w:r w:rsidRPr="003725C2">
      <w:rPr>
        <w:b/>
        <w:sz w:val="18"/>
      </w:rPr>
      <w:fldChar w:fldCharType="begin"/>
    </w:r>
    <w:r w:rsidRPr="003725C2">
      <w:rPr>
        <w:b/>
        <w:sz w:val="18"/>
      </w:rPr>
      <w:instrText xml:space="preserve"> PAGE  \* MERGEFORMAT </w:instrText>
    </w:r>
    <w:r w:rsidRPr="003725C2">
      <w:rPr>
        <w:b/>
        <w:sz w:val="18"/>
      </w:rPr>
      <w:fldChar w:fldCharType="separate"/>
    </w:r>
    <w:r w:rsidR="004D430E">
      <w:rPr>
        <w:b/>
        <w:noProof/>
        <w:sz w:val="18"/>
      </w:rPr>
      <w:t>2</w:t>
    </w:r>
    <w:r w:rsidRPr="003725C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A1D" w14:textId="785799BC" w:rsidR="003725C2" w:rsidRPr="003725C2" w:rsidRDefault="003725C2" w:rsidP="003725C2">
    <w:pPr>
      <w:pStyle w:val="Footer"/>
      <w:tabs>
        <w:tab w:val="right" w:pos="9638"/>
      </w:tabs>
      <w:rPr>
        <w:b/>
        <w:sz w:val="18"/>
      </w:rPr>
    </w:pPr>
    <w:r>
      <w:tab/>
    </w:r>
    <w:r w:rsidRPr="003725C2">
      <w:rPr>
        <w:b/>
        <w:sz w:val="18"/>
      </w:rPr>
      <w:fldChar w:fldCharType="begin"/>
    </w:r>
    <w:r w:rsidRPr="003725C2">
      <w:rPr>
        <w:b/>
        <w:sz w:val="18"/>
      </w:rPr>
      <w:instrText xml:space="preserve"> PAGE  \* MERGEFORMAT </w:instrText>
    </w:r>
    <w:r w:rsidRPr="003725C2">
      <w:rPr>
        <w:b/>
        <w:sz w:val="18"/>
      </w:rPr>
      <w:fldChar w:fldCharType="separate"/>
    </w:r>
    <w:r w:rsidR="004D430E">
      <w:rPr>
        <w:b/>
        <w:noProof/>
        <w:sz w:val="18"/>
      </w:rPr>
      <w:t>3</w:t>
    </w:r>
    <w:r w:rsidRPr="003725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A1E" w14:textId="58729074" w:rsidR="007E16A7" w:rsidRPr="006B24A5" w:rsidRDefault="006B24A5" w:rsidP="006B24A5">
    <w:pPr>
      <w:pStyle w:val="Footer"/>
      <w:spacing w:before="120" w:line="240" w:lineRule="auto"/>
      <w:rPr>
        <w:sz w:val="20"/>
      </w:rPr>
    </w:pPr>
    <w:r>
      <w:rPr>
        <w:sz w:val="20"/>
      </w:rPr>
      <w:t>GE.20-</w:t>
    </w:r>
    <w:proofErr w:type="gramStart"/>
    <w:r>
      <w:rPr>
        <w:sz w:val="20"/>
      </w:rPr>
      <w:t>14456  (</w:t>
    </w:r>
    <w:proofErr w:type="gramEnd"/>
    <w:r>
      <w:rPr>
        <w:sz w:val="20"/>
      </w:rPr>
      <w:t>S)</w:t>
    </w:r>
    <w:r>
      <w:rPr>
        <w:sz w:val="20"/>
      </w:rPr>
      <w:br/>
    </w:r>
    <w:r w:rsidRPr="006B24A5">
      <w:rPr>
        <w:rFonts w:ascii="C39T30Lfz" w:hAnsi="C39T30Lfz"/>
        <w:sz w:val="56"/>
      </w:rPr>
      <w:t>*2014456*</w:t>
    </w:r>
    <w:r w:rsidRPr="006B24A5">
      <w:rPr>
        <w:rFonts w:ascii="C39T30Lfz" w:hAnsi="C39T30Lfz"/>
        <w:noProof/>
        <w:sz w:val="56"/>
        <w:lang w:val="fr-CH" w:eastAsia="zh-CN"/>
      </w:rPr>
      <w:drawing>
        <wp:anchor distT="0" distB="0" distL="114300" distR="114300" simplePos="0" relativeHeight="251660288" behindDoc="0" locked="1" layoutInCell="1" allowOverlap="1" wp14:anchorId="3E1C9559" wp14:editId="699A3DB0">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0961B6E" wp14:editId="1C5087B3">
          <wp:simplePos x="0" y="0"/>
          <wp:positionH relativeFrom="margin">
            <wp:posOffset>5489575</wp:posOffset>
          </wp:positionH>
          <wp:positionV relativeFrom="margin">
            <wp:posOffset>8891905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C578" w14:textId="77777777" w:rsidR="00CC4558" w:rsidRPr="001075E9" w:rsidRDefault="00CC4558" w:rsidP="001075E9">
      <w:pPr>
        <w:tabs>
          <w:tab w:val="right" w:pos="2155"/>
        </w:tabs>
        <w:spacing w:after="80" w:line="240" w:lineRule="auto"/>
        <w:ind w:left="680"/>
        <w:rPr>
          <w:u w:val="single"/>
        </w:rPr>
      </w:pPr>
      <w:r>
        <w:rPr>
          <w:u w:val="single"/>
        </w:rPr>
        <w:tab/>
      </w:r>
    </w:p>
  </w:footnote>
  <w:footnote w:type="continuationSeparator" w:id="0">
    <w:p w14:paraId="068ECB75" w14:textId="77777777" w:rsidR="00CC4558" w:rsidRDefault="00CC4558" w:rsidP="007C2DEF">
      <w:pPr>
        <w:tabs>
          <w:tab w:val="right" w:pos="2155"/>
        </w:tabs>
        <w:spacing w:after="80" w:line="240" w:lineRule="auto"/>
        <w:ind w:left="680"/>
        <w:rPr>
          <w:u w:val="single"/>
        </w:rPr>
      </w:pPr>
      <w:r>
        <w:rPr>
          <w:u w:val="single"/>
        </w:rPr>
        <w:tab/>
      </w:r>
    </w:p>
  </w:footnote>
  <w:footnote w:id="1">
    <w:p w14:paraId="1959A156" w14:textId="3519FE1C" w:rsidR="002A00DE" w:rsidRPr="00C514B5" w:rsidRDefault="002A00DE">
      <w:pPr>
        <w:pStyle w:val="FootnoteText"/>
      </w:pPr>
      <w:r>
        <w:rPr>
          <w:rStyle w:val="FootnoteReference"/>
        </w:rPr>
        <w:tab/>
      </w:r>
      <w:r w:rsidRPr="007A7E9C">
        <w:rPr>
          <w:rStyle w:val="FootnoteReference"/>
          <w:sz w:val="20"/>
          <w:vertAlign w:val="baseline"/>
        </w:rPr>
        <w:t>*</w:t>
      </w:r>
      <w:r>
        <w:rPr>
          <w:rStyle w:val="FootnoteReference"/>
          <w:sz w:val="20"/>
          <w:vertAlign w:val="baseline"/>
        </w:rPr>
        <w:tab/>
      </w:r>
      <w:r w:rsidRPr="00DA714A">
        <w:t xml:space="preserve">Aprobada por el Comité en su </w:t>
      </w:r>
      <w:r>
        <w:t>85º</w:t>
      </w:r>
      <w:r w:rsidRPr="00DA714A">
        <w:t xml:space="preserve"> período de sesiones (</w:t>
      </w:r>
      <w:r>
        <w:t>14 de septiembre a 1 de octubre de 2020).</w:t>
      </w:r>
    </w:p>
  </w:footnote>
  <w:footnote w:id="2">
    <w:p w14:paraId="19C6C4AC" w14:textId="75B420AE" w:rsidR="002A00DE" w:rsidRPr="00C514B5" w:rsidRDefault="002A00DE">
      <w:pPr>
        <w:pStyle w:val="FootnoteText"/>
      </w:pPr>
      <w:r>
        <w:rPr>
          <w:rStyle w:val="FootnoteReference"/>
        </w:rPr>
        <w:tab/>
      </w:r>
      <w:r w:rsidRPr="007A7E9C">
        <w:rPr>
          <w:rStyle w:val="FootnoteReference"/>
          <w:sz w:val="20"/>
          <w:vertAlign w:val="baseline"/>
        </w:rPr>
        <w:t>**</w:t>
      </w:r>
      <w:r>
        <w:rPr>
          <w:rStyle w:val="FootnoteReference"/>
          <w:sz w:val="20"/>
          <w:vertAlign w:val="baseline"/>
        </w:rPr>
        <w:tab/>
      </w:r>
      <w:r w:rsidRPr="002877FA">
        <w:rPr>
          <w:szCs w:val="18"/>
        </w:rPr>
        <w:t>Participaron en el examen de la comunicación los siguientes miembros del Comité:</w:t>
      </w:r>
      <w:r w:rsidRPr="002877FA">
        <w:t xml:space="preserve"> </w:t>
      </w:r>
      <w:r w:rsidR="00055001" w:rsidRPr="002877FA">
        <w:rPr>
          <w:szCs w:val="18"/>
        </w:rPr>
        <w:t xml:space="preserve">Suzanne Aho </w:t>
      </w:r>
      <w:proofErr w:type="spellStart"/>
      <w:r w:rsidR="00055001" w:rsidRPr="002877FA">
        <w:rPr>
          <w:szCs w:val="18"/>
        </w:rPr>
        <w:t>Assouma</w:t>
      </w:r>
      <w:proofErr w:type="spellEnd"/>
      <w:r w:rsidR="00055001" w:rsidRPr="002877FA">
        <w:rPr>
          <w:szCs w:val="18"/>
        </w:rPr>
        <w:t xml:space="preserve">, </w:t>
      </w:r>
      <w:proofErr w:type="spellStart"/>
      <w:r w:rsidR="00055001" w:rsidRPr="002877FA">
        <w:rPr>
          <w:szCs w:val="18"/>
        </w:rPr>
        <w:t>Hynd</w:t>
      </w:r>
      <w:proofErr w:type="spellEnd"/>
      <w:r w:rsidR="00055001" w:rsidRPr="002877FA">
        <w:rPr>
          <w:szCs w:val="18"/>
        </w:rPr>
        <w:t xml:space="preserve"> </w:t>
      </w:r>
      <w:proofErr w:type="spellStart"/>
      <w:r w:rsidR="00055001" w:rsidRPr="002877FA">
        <w:rPr>
          <w:szCs w:val="18"/>
        </w:rPr>
        <w:t>Ayoubi</w:t>
      </w:r>
      <w:proofErr w:type="spellEnd"/>
      <w:r w:rsidR="00055001" w:rsidRPr="002877FA">
        <w:rPr>
          <w:szCs w:val="18"/>
        </w:rPr>
        <w:t xml:space="preserve"> </w:t>
      </w:r>
      <w:proofErr w:type="spellStart"/>
      <w:r w:rsidR="00055001" w:rsidRPr="002877FA">
        <w:rPr>
          <w:szCs w:val="18"/>
        </w:rPr>
        <w:t>Idrissi</w:t>
      </w:r>
      <w:proofErr w:type="spellEnd"/>
      <w:r w:rsidR="00055001" w:rsidRPr="002877FA">
        <w:rPr>
          <w:szCs w:val="18"/>
        </w:rPr>
        <w:t xml:space="preserve">, Bragi </w:t>
      </w:r>
      <w:proofErr w:type="spellStart"/>
      <w:r w:rsidR="00055001" w:rsidRPr="002877FA">
        <w:rPr>
          <w:szCs w:val="18"/>
        </w:rPr>
        <w:t>Gudbrandsson</w:t>
      </w:r>
      <w:proofErr w:type="spellEnd"/>
      <w:r w:rsidR="00055001" w:rsidRPr="002877FA">
        <w:rPr>
          <w:szCs w:val="18"/>
        </w:rPr>
        <w:t xml:space="preserve">, Philip </w:t>
      </w:r>
      <w:proofErr w:type="spellStart"/>
      <w:r w:rsidR="00055001" w:rsidRPr="002877FA">
        <w:rPr>
          <w:szCs w:val="18"/>
        </w:rPr>
        <w:t>Jaffé</w:t>
      </w:r>
      <w:proofErr w:type="spellEnd"/>
      <w:r w:rsidR="00055001" w:rsidRPr="002877FA">
        <w:rPr>
          <w:szCs w:val="18"/>
        </w:rPr>
        <w:t xml:space="preserve">, Olga A. </w:t>
      </w:r>
      <w:proofErr w:type="spellStart"/>
      <w:r w:rsidR="00055001" w:rsidRPr="002877FA">
        <w:rPr>
          <w:szCs w:val="18"/>
        </w:rPr>
        <w:t>Khazova</w:t>
      </w:r>
      <w:proofErr w:type="spellEnd"/>
      <w:r w:rsidR="00055001" w:rsidRPr="002877FA">
        <w:rPr>
          <w:szCs w:val="18"/>
        </w:rPr>
        <w:t xml:space="preserve">, </w:t>
      </w:r>
      <w:proofErr w:type="spellStart"/>
      <w:r w:rsidR="00055001" w:rsidRPr="002877FA">
        <w:rPr>
          <w:szCs w:val="18"/>
        </w:rPr>
        <w:t>Gehad</w:t>
      </w:r>
      <w:proofErr w:type="spellEnd"/>
      <w:r w:rsidR="00055001" w:rsidRPr="002877FA">
        <w:rPr>
          <w:szCs w:val="18"/>
        </w:rPr>
        <w:t xml:space="preserve"> Madi, </w:t>
      </w:r>
      <w:proofErr w:type="spellStart"/>
      <w:r w:rsidR="00055001" w:rsidRPr="002877FA">
        <w:rPr>
          <w:szCs w:val="18"/>
        </w:rPr>
        <w:t>Benyam</w:t>
      </w:r>
      <w:proofErr w:type="spellEnd"/>
      <w:r w:rsidR="00055001" w:rsidRPr="002877FA">
        <w:rPr>
          <w:szCs w:val="18"/>
        </w:rPr>
        <w:t xml:space="preserve"> </w:t>
      </w:r>
      <w:proofErr w:type="spellStart"/>
      <w:r w:rsidR="00055001" w:rsidRPr="002877FA">
        <w:rPr>
          <w:szCs w:val="18"/>
        </w:rPr>
        <w:t>Dawit</w:t>
      </w:r>
      <w:proofErr w:type="spellEnd"/>
      <w:r w:rsidR="00055001" w:rsidRPr="002877FA">
        <w:rPr>
          <w:szCs w:val="18"/>
        </w:rPr>
        <w:t xml:space="preserve"> </w:t>
      </w:r>
      <w:proofErr w:type="spellStart"/>
      <w:r w:rsidR="00055001" w:rsidRPr="002877FA">
        <w:rPr>
          <w:szCs w:val="18"/>
        </w:rPr>
        <w:t>Mezmur</w:t>
      </w:r>
      <w:proofErr w:type="spellEnd"/>
      <w:r w:rsidR="00055001" w:rsidRPr="002877FA">
        <w:rPr>
          <w:szCs w:val="18"/>
        </w:rPr>
        <w:t xml:space="preserve">, </w:t>
      </w:r>
      <w:proofErr w:type="spellStart"/>
      <w:r w:rsidR="00055001" w:rsidRPr="002877FA">
        <w:rPr>
          <w:szCs w:val="18"/>
        </w:rPr>
        <w:t>Otani</w:t>
      </w:r>
      <w:proofErr w:type="spellEnd"/>
      <w:r w:rsidR="00055001">
        <w:rPr>
          <w:szCs w:val="18"/>
        </w:rPr>
        <w:t xml:space="preserve"> </w:t>
      </w:r>
      <w:proofErr w:type="spellStart"/>
      <w:r w:rsidR="00055001" w:rsidRPr="002877FA">
        <w:rPr>
          <w:szCs w:val="18"/>
        </w:rPr>
        <w:t>Mikiko</w:t>
      </w:r>
      <w:proofErr w:type="spellEnd"/>
      <w:r w:rsidR="00055001" w:rsidRPr="002877FA">
        <w:rPr>
          <w:szCs w:val="18"/>
        </w:rPr>
        <w:t xml:space="preserve">, Luis Ernesto Pedernera Reyna, José Ángel Rodríguez Reyes, Ann Marie Skelton, </w:t>
      </w:r>
      <w:proofErr w:type="spellStart"/>
      <w:r w:rsidR="00055001" w:rsidRPr="002877FA">
        <w:rPr>
          <w:szCs w:val="18"/>
        </w:rPr>
        <w:t>Velina</w:t>
      </w:r>
      <w:proofErr w:type="spellEnd"/>
      <w:r w:rsidR="00055001" w:rsidRPr="002877FA">
        <w:rPr>
          <w:szCs w:val="18"/>
        </w:rPr>
        <w:t xml:space="preserve"> </w:t>
      </w:r>
      <w:proofErr w:type="spellStart"/>
      <w:r w:rsidR="00055001" w:rsidRPr="002877FA">
        <w:rPr>
          <w:szCs w:val="18"/>
        </w:rPr>
        <w:t>Todorova</w:t>
      </w:r>
      <w:proofErr w:type="spellEnd"/>
      <w:r w:rsidR="00055001" w:rsidRPr="002877FA">
        <w:rPr>
          <w:szCs w:val="18"/>
        </w:rPr>
        <w:t xml:space="preserve"> </w:t>
      </w:r>
      <w:r w:rsidR="00055001" w:rsidRPr="0083069B">
        <w:rPr>
          <w:szCs w:val="18"/>
        </w:rPr>
        <w:t>y</w:t>
      </w:r>
      <w:r w:rsidR="00055001" w:rsidRPr="002877FA">
        <w:rPr>
          <w:szCs w:val="18"/>
        </w:rPr>
        <w:t xml:space="preserve"> Renate Winter.</w:t>
      </w:r>
    </w:p>
  </w:footnote>
  <w:footnote w:id="3">
    <w:p w14:paraId="36D70814" w14:textId="67255086" w:rsidR="00F3005F" w:rsidRPr="004730D9" w:rsidRDefault="00F3005F" w:rsidP="00961D06">
      <w:pPr>
        <w:pStyle w:val="FootnoteText"/>
      </w:pPr>
      <w:r>
        <w:tab/>
      </w:r>
      <w:r>
        <w:rPr>
          <w:rStyle w:val="FootnoteReference"/>
        </w:rPr>
        <w:footnoteRef/>
      </w:r>
      <w:r w:rsidR="00961D06">
        <w:tab/>
      </w:r>
      <w:r>
        <w:t xml:space="preserve">La autora cita las observaciones generales </w:t>
      </w:r>
      <w:proofErr w:type="spellStart"/>
      <w:r>
        <w:t>núm</w:t>
      </w:r>
      <w:r w:rsidR="0019143A">
        <w:t>s</w:t>
      </w:r>
      <w:proofErr w:type="spellEnd"/>
      <w:r>
        <w:t>. 7</w:t>
      </w:r>
      <w:r w:rsidR="00C9338C">
        <w:t xml:space="preserve"> (2005) sobre la realización de los derechos del niño en la primera infancia;</w:t>
      </w:r>
      <w:r>
        <w:t xml:space="preserve"> 12</w:t>
      </w:r>
      <w:r w:rsidR="00C9338C">
        <w:t xml:space="preserve"> </w:t>
      </w:r>
      <w:r w:rsidR="001844DB">
        <w:t>(2009) sobre el derecho del niño a ser escuchado</w:t>
      </w:r>
      <w:r w:rsidR="006F3D51">
        <w:t>;</w:t>
      </w:r>
      <w:r>
        <w:t xml:space="preserve"> 13 </w:t>
      </w:r>
      <w:r w:rsidR="006F3D51">
        <w:t xml:space="preserve">(2011) sobre el derecho del niño a no ser objeto de ninguna forma de violencia, </w:t>
      </w:r>
      <w:r>
        <w:t>y 14</w:t>
      </w:r>
      <w:r w:rsidR="00376325">
        <w:t xml:space="preserve"> (2013) sobre el derecho del niño a que su interés superior sea una consideración primordial.</w:t>
      </w:r>
    </w:p>
  </w:footnote>
  <w:footnote w:id="4">
    <w:p w14:paraId="725DBCC2" w14:textId="0E359CEF" w:rsidR="00F3005F" w:rsidRPr="00E56CD1" w:rsidRDefault="00F3005F">
      <w:pPr>
        <w:pStyle w:val="FootnoteText"/>
      </w:pPr>
      <w:r w:rsidRPr="00E804E4">
        <w:tab/>
      </w:r>
      <w:r w:rsidRPr="0081745D">
        <w:rPr>
          <w:rStyle w:val="FootnoteReference"/>
        </w:rPr>
        <w:footnoteRef/>
      </w:r>
      <w:r w:rsidR="00961D06">
        <w:tab/>
      </w:r>
      <w:r w:rsidRPr="00E804E4">
        <w:t xml:space="preserve">Véanse, entre otras, las decisiones de inadmisibilidad del Comité en </w:t>
      </w:r>
      <w:r w:rsidRPr="00E804E4">
        <w:rPr>
          <w:i/>
          <w:iCs/>
        </w:rPr>
        <w:t>A.A.A. c. España</w:t>
      </w:r>
      <w:r w:rsidR="00416E7A">
        <w:rPr>
          <w:i/>
          <w:iCs/>
        </w:rPr>
        <w:t xml:space="preserve"> </w:t>
      </w:r>
      <w:r w:rsidRPr="00E804E4">
        <w:t>(CRC/C/73/D/2/201</w:t>
      </w:r>
      <w:r w:rsidR="00E82895">
        <w:t>5</w:t>
      </w:r>
      <w:r w:rsidRPr="00E804E4">
        <w:t xml:space="preserve">), párr. 4.2, y </w:t>
      </w:r>
      <w:bookmarkStart w:id="1" w:name="_Hlk54106449"/>
      <w:r w:rsidRPr="00843891">
        <w:rPr>
          <w:i/>
          <w:iCs/>
        </w:rPr>
        <w:t>Navarro y otr</w:t>
      </w:r>
      <w:r w:rsidR="00780AAE" w:rsidRPr="007A7E9C">
        <w:rPr>
          <w:i/>
          <w:iCs/>
        </w:rPr>
        <w:t>a</w:t>
      </w:r>
      <w:r w:rsidRPr="00843891">
        <w:rPr>
          <w:i/>
          <w:iCs/>
        </w:rPr>
        <w:t xml:space="preserve"> c. España</w:t>
      </w:r>
      <w:r w:rsidR="00780AAE" w:rsidRPr="007A7E9C">
        <w:t xml:space="preserve"> </w:t>
      </w:r>
      <w:r w:rsidR="00780AAE">
        <w:t>(</w:t>
      </w:r>
      <w:r w:rsidR="00780AAE" w:rsidRPr="007A7E9C">
        <w:t>CRC/C/81/D/19/2017</w:t>
      </w:r>
      <w:r w:rsidR="00780AAE">
        <w:t>)</w:t>
      </w:r>
      <w:r w:rsidRPr="00780AAE">
        <w:t>, párr. 6.4.</w:t>
      </w:r>
      <w:r w:rsidRPr="00E56CD1">
        <w:t xml:space="preserve">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A1A" w14:textId="15493114" w:rsidR="003725C2" w:rsidRPr="003725C2" w:rsidRDefault="00FC2BEC">
    <w:pPr>
      <w:pStyle w:val="Header"/>
    </w:pPr>
    <w:r>
      <w:t>CRC/C/85</w:t>
    </w:r>
    <w:r w:rsidR="002264D8" w:rsidRPr="002264D8">
      <w:t>/D/92/2019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A1B" w14:textId="12F60D4F" w:rsidR="003725C2" w:rsidRPr="003725C2" w:rsidRDefault="00FC2BEC" w:rsidP="003725C2">
    <w:pPr>
      <w:pStyle w:val="Header"/>
      <w:jc w:val="right"/>
    </w:pPr>
    <w:r>
      <w:t>CRC/C/85</w:t>
    </w:r>
    <w:r w:rsidR="002264D8" w:rsidRPr="002264D8">
      <w:t>/D/92/2019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0A18" w14:textId="77777777" w:rsidR="006B24A5" w:rsidRDefault="006B2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B7878"/>
    <w:multiLevelType w:val="multilevel"/>
    <w:tmpl w:val="C7467D0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A1"/>
    <w:rsid w:val="00002131"/>
    <w:rsid w:val="000070FF"/>
    <w:rsid w:val="00010A5A"/>
    <w:rsid w:val="00023B74"/>
    <w:rsid w:val="00026927"/>
    <w:rsid w:val="00033EE1"/>
    <w:rsid w:val="00034F88"/>
    <w:rsid w:val="00055001"/>
    <w:rsid w:val="00085DC7"/>
    <w:rsid w:val="000A6659"/>
    <w:rsid w:val="000B57E7"/>
    <w:rsid w:val="000F09DF"/>
    <w:rsid w:val="000F61B2"/>
    <w:rsid w:val="001075E9"/>
    <w:rsid w:val="00113794"/>
    <w:rsid w:val="001234E7"/>
    <w:rsid w:val="001256EA"/>
    <w:rsid w:val="00161852"/>
    <w:rsid w:val="00161C49"/>
    <w:rsid w:val="00173784"/>
    <w:rsid w:val="00174A7E"/>
    <w:rsid w:val="00180183"/>
    <w:rsid w:val="001844DB"/>
    <w:rsid w:val="0018649F"/>
    <w:rsid w:val="0019143A"/>
    <w:rsid w:val="00196389"/>
    <w:rsid w:val="001B5FFA"/>
    <w:rsid w:val="001C7A89"/>
    <w:rsid w:val="001D1565"/>
    <w:rsid w:val="001E1061"/>
    <w:rsid w:val="001F4615"/>
    <w:rsid w:val="00214F04"/>
    <w:rsid w:val="00220F72"/>
    <w:rsid w:val="002264D8"/>
    <w:rsid w:val="00227B80"/>
    <w:rsid w:val="00240004"/>
    <w:rsid w:val="00260755"/>
    <w:rsid w:val="002658E9"/>
    <w:rsid w:val="002931F6"/>
    <w:rsid w:val="002A00DE"/>
    <w:rsid w:val="002A2EFC"/>
    <w:rsid w:val="002A2FD8"/>
    <w:rsid w:val="002C0E18"/>
    <w:rsid w:val="002C7DD0"/>
    <w:rsid w:val="002D5AAC"/>
    <w:rsid w:val="002D6156"/>
    <w:rsid w:val="002F1ADA"/>
    <w:rsid w:val="00301299"/>
    <w:rsid w:val="00304C5C"/>
    <w:rsid w:val="00322004"/>
    <w:rsid w:val="003402C2"/>
    <w:rsid w:val="003725C2"/>
    <w:rsid w:val="00376325"/>
    <w:rsid w:val="00381C24"/>
    <w:rsid w:val="003958D0"/>
    <w:rsid w:val="003A2E32"/>
    <w:rsid w:val="003B00E5"/>
    <w:rsid w:val="003D3CA1"/>
    <w:rsid w:val="004043B6"/>
    <w:rsid w:val="00414A16"/>
    <w:rsid w:val="00416E7A"/>
    <w:rsid w:val="00427F10"/>
    <w:rsid w:val="00454E07"/>
    <w:rsid w:val="00463476"/>
    <w:rsid w:val="00482C41"/>
    <w:rsid w:val="004D430E"/>
    <w:rsid w:val="004D45DB"/>
    <w:rsid w:val="004F523D"/>
    <w:rsid w:val="0050108D"/>
    <w:rsid w:val="00536DF4"/>
    <w:rsid w:val="00567287"/>
    <w:rsid w:val="00572E19"/>
    <w:rsid w:val="005A182D"/>
    <w:rsid w:val="005C43E4"/>
    <w:rsid w:val="005D7179"/>
    <w:rsid w:val="005F0A3A"/>
    <w:rsid w:val="005F0B42"/>
    <w:rsid w:val="005F2AD1"/>
    <w:rsid w:val="00671424"/>
    <w:rsid w:val="00697111"/>
    <w:rsid w:val="006B1828"/>
    <w:rsid w:val="006B24A5"/>
    <w:rsid w:val="006B3A76"/>
    <w:rsid w:val="006C381A"/>
    <w:rsid w:val="006D54E7"/>
    <w:rsid w:val="006D57D5"/>
    <w:rsid w:val="006F35EE"/>
    <w:rsid w:val="006F3D51"/>
    <w:rsid w:val="006F7B0F"/>
    <w:rsid w:val="007021FF"/>
    <w:rsid w:val="00712937"/>
    <w:rsid w:val="00713034"/>
    <w:rsid w:val="00757357"/>
    <w:rsid w:val="00780AAE"/>
    <w:rsid w:val="007A059A"/>
    <w:rsid w:val="007A7E9C"/>
    <w:rsid w:val="007C2DEF"/>
    <w:rsid w:val="007D0A1F"/>
    <w:rsid w:val="007D431B"/>
    <w:rsid w:val="007E16A7"/>
    <w:rsid w:val="007E596F"/>
    <w:rsid w:val="007F3812"/>
    <w:rsid w:val="007F4281"/>
    <w:rsid w:val="00801D46"/>
    <w:rsid w:val="00810740"/>
    <w:rsid w:val="008136D8"/>
    <w:rsid w:val="00834B71"/>
    <w:rsid w:val="00843891"/>
    <w:rsid w:val="00844C11"/>
    <w:rsid w:val="0086445C"/>
    <w:rsid w:val="00867322"/>
    <w:rsid w:val="008675EF"/>
    <w:rsid w:val="008A08D7"/>
    <w:rsid w:val="008A1362"/>
    <w:rsid w:val="008A3EA3"/>
    <w:rsid w:val="008C2B1A"/>
    <w:rsid w:val="008E1429"/>
    <w:rsid w:val="00906890"/>
    <w:rsid w:val="00927335"/>
    <w:rsid w:val="00945724"/>
    <w:rsid w:val="009458F0"/>
    <w:rsid w:val="00951972"/>
    <w:rsid w:val="00952220"/>
    <w:rsid w:val="00961D06"/>
    <w:rsid w:val="009672A8"/>
    <w:rsid w:val="00981CA2"/>
    <w:rsid w:val="009A4D7D"/>
    <w:rsid w:val="009C646E"/>
    <w:rsid w:val="009D0923"/>
    <w:rsid w:val="009E1414"/>
    <w:rsid w:val="009E16AB"/>
    <w:rsid w:val="009F2326"/>
    <w:rsid w:val="00A02C7C"/>
    <w:rsid w:val="00A0767C"/>
    <w:rsid w:val="00A120C8"/>
    <w:rsid w:val="00A43957"/>
    <w:rsid w:val="00A917B3"/>
    <w:rsid w:val="00A97C80"/>
    <w:rsid w:val="00AB1B7D"/>
    <w:rsid w:val="00AB4B51"/>
    <w:rsid w:val="00B042C2"/>
    <w:rsid w:val="00B10CC7"/>
    <w:rsid w:val="00B22661"/>
    <w:rsid w:val="00B379E1"/>
    <w:rsid w:val="00B44819"/>
    <w:rsid w:val="00B471DE"/>
    <w:rsid w:val="00B55752"/>
    <w:rsid w:val="00B62458"/>
    <w:rsid w:val="00B8687E"/>
    <w:rsid w:val="00B96649"/>
    <w:rsid w:val="00BD33EE"/>
    <w:rsid w:val="00C40585"/>
    <w:rsid w:val="00C514B5"/>
    <w:rsid w:val="00C60F0C"/>
    <w:rsid w:val="00C67843"/>
    <w:rsid w:val="00C805C9"/>
    <w:rsid w:val="00C9338C"/>
    <w:rsid w:val="00C97EB2"/>
    <w:rsid w:val="00CA1679"/>
    <w:rsid w:val="00CA498E"/>
    <w:rsid w:val="00CC4558"/>
    <w:rsid w:val="00D01570"/>
    <w:rsid w:val="00D15EAE"/>
    <w:rsid w:val="00D318C7"/>
    <w:rsid w:val="00D33D63"/>
    <w:rsid w:val="00D37754"/>
    <w:rsid w:val="00D46310"/>
    <w:rsid w:val="00D6068A"/>
    <w:rsid w:val="00D725D8"/>
    <w:rsid w:val="00D83653"/>
    <w:rsid w:val="00D90138"/>
    <w:rsid w:val="00DD299D"/>
    <w:rsid w:val="00DF63E3"/>
    <w:rsid w:val="00E23796"/>
    <w:rsid w:val="00E4731E"/>
    <w:rsid w:val="00E61486"/>
    <w:rsid w:val="00E73F76"/>
    <w:rsid w:val="00E82895"/>
    <w:rsid w:val="00EB34CC"/>
    <w:rsid w:val="00EF1360"/>
    <w:rsid w:val="00EF3220"/>
    <w:rsid w:val="00EF3F06"/>
    <w:rsid w:val="00F01387"/>
    <w:rsid w:val="00F23FB6"/>
    <w:rsid w:val="00F3005F"/>
    <w:rsid w:val="00F54949"/>
    <w:rsid w:val="00F80811"/>
    <w:rsid w:val="00F85021"/>
    <w:rsid w:val="00F94155"/>
    <w:rsid w:val="00FA3077"/>
    <w:rsid w:val="00FB2D3D"/>
    <w:rsid w:val="00FB604B"/>
    <w:rsid w:val="00FB72D2"/>
    <w:rsid w:val="00FC1CD2"/>
    <w:rsid w:val="00FC2BEC"/>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8CEE9E1"/>
  <w15:docId w15:val="{570A12C3-4C9B-4266-AD4E-3AD3A70C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725C2"/>
    <w:rPr>
      <w:sz w:val="18"/>
      <w:lang w:val="es-ES" w:eastAsia="es-ES"/>
    </w:rPr>
  </w:style>
  <w:style w:type="character" w:customStyle="1" w:styleId="SingleTxtGChar">
    <w:name w:val="_ Single Txt_G Char"/>
    <w:link w:val="SingleTxtG"/>
    <w:rsid w:val="003725C2"/>
    <w:rPr>
      <w:lang w:val="es-ES" w:eastAsia="es-ES"/>
    </w:rPr>
  </w:style>
  <w:style w:type="character" w:customStyle="1" w:styleId="HChGChar">
    <w:name w:val="_ H _Ch_G Char"/>
    <w:link w:val="HChG"/>
    <w:locked/>
    <w:rsid w:val="00F3005F"/>
    <w:rPr>
      <w:b/>
      <w:sz w:val="28"/>
      <w:lang w:val="es-ES" w:eastAsia="es-ES"/>
    </w:rPr>
  </w:style>
  <w:style w:type="character" w:customStyle="1" w:styleId="H1GChar">
    <w:name w:val="_ H_1_G Char"/>
    <w:link w:val="H1G"/>
    <w:rsid w:val="00F3005F"/>
    <w:rPr>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 w:id="143774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6B521E43A844A97020D83ECB9FCD5" ma:contentTypeVersion="0" ma:contentTypeDescription="Create a new document." ma:contentTypeScope="" ma:versionID="13907e5d52aa6726d6aa3d8657921c4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FBF3-7FEE-44BA-A871-9D10D859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803947-5F38-4E8D-A956-4EB1D106CAAE}">
  <ds:schemaRefs>
    <ds:schemaRef ds:uri="http://schemas.microsoft.com/sharepoint/v3/contenttype/forms"/>
  </ds:schemaRefs>
</ds:datastoreItem>
</file>

<file path=customXml/itemProps3.xml><?xml version="1.0" encoding="utf-8"?>
<ds:datastoreItem xmlns:ds="http://schemas.openxmlformats.org/officeDocument/2006/customXml" ds:itemID="{CA6F94D9-6399-424F-AC30-8A88EB4F43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D10D32-A4E1-41C2-B416-5A059816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CRC/C/85/DR/92/2019/Rev.1</vt:lpstr>
      <vt:lpstr>CRC/C/85/DR/92/2019/Rev.1</vt:lpstr>
    </vt:vector>
  </TitlesOfParts>
  <Company>OHCHR</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CRC/C/85/D/92/2019</dc:title>
  <dc:subject/>
  <dc:creator>Maria Luisa ZEBALLOS-MORENO</dc:creator>
  <cp:keywords/>
  <dc:description/>
  <cp:lastModifiedBy>Maria Luisa Zeballos Moreno</cp:lastModifiedBy>
  <cp:revision>2</cp:revision>
  <cp:lastPrinted>2020-06-04T09:33:00Z</cp:lastPrinted>
  <dcterms:created xsi:type="dcterms:W3CDTF">2020-11-02T10:34:00Z</dcterms:created>
  <dcterms:modified xsi:type="dcterms:W3CDTF">2020-11-02T10:34:00Z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0x0101007556B521E43A844A97020D83ECB9FCD5</vt:lpwstr>
  </property>
</Properties>
</file>