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DC0149" w:rsidRPr="00DB58B5" w:rsidTr="009D5F1A">
        <w:trPr>
          <w:trHeight w:hRule="exact" w:val="851"/>
        </w:trPr>
        <w:tc>
          <w:tcPr>
            <w:tcW w:w="1276" w:type="dxa"/>
            <w:tcBorders>
              <w:bottom w:val="single" w:sz="4" w:space="0" w:color="auto"/>
            </w:tcBorders>
          </w:tcPr>
          <w:p w:rsidR="00DC0149" w:rsidRPr="00DB58B5" w:rsidRDefault="00DC0149" w:rsidP="00FC7FAA"/>
        </w:tc>
        <w:tc>
          <w:tcPr>
            <w:tcW w:w="2268" w:type="dxa"/>
            <w:tcBorders>
              <w:bottom w:val="single" w:sz="4" w:space="0" w:color="auto"/>
            </w:tcBorders>
            <w:vAlign w:val="bottom"/>
          </w:tcPr>
          <w:p w:rsidR="00DC0149" w:rsidRPr="00DB58B5" w:rsidRDefault="00DC0149" w:rsidP="009D5F1A">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DC0149" w:rsidRPr="00DB58B5" w:rsidRDefault="00FC7FAA" w:rsidP="00FC7FAA">
            <w:pPr>
              <w:jc w:val="right"/>
            </w:pPr>
            <w:r w:rsidRPr="00FC7FAA">
              <w:rPr>
                <w:sz w:val="40"/>
              </w:rPr>
              <w:t>CERD</w:t>
            </w:r>
            <w:r>
              <w:t>/C/92/3</w:t>
            </w:r>
          </w:p>
        </w:tc>
      </w:tr>
      <w:tr w:rsidR="00DC0149" w:rsidRPr="00DB58B5" w:rsidTr="009D5F1A">
        <w:trPr>
          <w:trHeight w:hRule="exact" w:val="2835"/>
        </w:trPr>
        <w:tc>
          <w:tcPr>
            <w:tcW w:w="1276" w:type="dxa"/>
            <w:tcBorders>
              <w:top w:val="single" w:sz="4" w:space="0" w:color="auto"/>
              <w:bottom w:val="single" w:sz="12" w:space="0" w:color="auto"/>
            </w:tcBorders>
          </w:tcPr>
          <w:p w:rsidR="00DC0149" w:rsidRPr="00DB58B5" w:rsidRDefault="00DC0149" w:rsidP="009D5F1A">
            <w:pPr>
              <w:spacing w:before="120"/>
              <w:jc w:val="center"/>
            </w:pPr>
            <w:r>
              <w:rPr>
                <w:noProof/>
                <w:lang w:eastAsia="fr-CH"/>
              </w:rPr>
              <w:drawing>
                <wp:inline distT="0" distB="0" distL="0" distR="0" wp14:anchorId="19A0A5A9" wp14:editId="42FFFBE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DC0149" w:rsidRPr="00740562" w:rsidRDefault="00DC0149" w:rsidP="009D5F1A">
            <w:pPr>
              <w:spacing w:before="120" w:line="380" w:lineRule="exact"/>
              <w:rPr>
                <w:b/>
                <w:sz w:val="40"/>
                <w:szCs w:val="40"/>
              </w:rPr>
            </w:pPr>
            <w:r>
              <w:rPr>
                <w:b/>
                <w:sz w:val="34"/>
                <w:szCs w:val="34"/>
              </w:rPr>
              <w:t>Convention internationale sur</w:t>
            </w:r>
            <w:r>
              <w:rPr>
                <w:b/>
                <w:sz w:val="34"/>
                <w:szCs w:val="34"/>
              </w:rPr>
              <w:br/>
              <w:t>l’élimination de toutes les formes</w:t>
            </w:r>
            <w:r>
              <w:rPr>
                <w:b/>
                <w:sz w:val="34"/>
                <w:szCs w:val="34"/>
              </w:rPr>
              <w:br/>
              <w:t>de discrimination raciale</w:t>
            </w:r>
          </w:p>
        </w:tc>
        <w:tc>
          <w:tcPr>
            <w:tcW w:w="2835" w:type="dxa"/>
            <w:tcBorders>
              <w:top w:val="single" w:sz="4" w:space="0" w:color="auto"/>
              <w:bottom w:val="single" w:sz="12" w:space="0" w:color="auto"/>
            </w:tcBorders>
          </w:tcPr>
          <w:p w:rsidR="00DC0149" w:rsidRDefault="00FC7FAA" w:rsidP="009D5F1A">
            <w:pPr>
              <w:spacing w:before="240"/>
            </w:pPr>
            <w:r>
              <w:t>Distr. générale</w:t>
            </w:r>
          </w:p>
          <w:p w:rsidR="00FC7FAA" w:rsidRDefault="00FC7FAA" w:rsidP="00FC7FAA">
            <w:pPr>
              <w:spacing w:line="240" w:lineRule="exact"/>
            </w:pPr>
            <w:r>
              <w:t>3 mars 2017</w:t>
            </w:r>
          </w:p>
          <w:p w:rsidR="00FC7FAA" w:rsidRDefault="00FC7FAA" w:rsidP="00FC7FAA">
            <w:pPr>
              <w:spacing w:line="240" w:lineRule="exact"/>
            </w:pPr>
            <w:r>
              <w:t>Français</w:t>
            </w:r>
          </w:p>
          <w:p w:rsidR="00FC7FAA" w:rsidRDefault="00FC7FAA" w:rsidP="00FC7FAA">
            <w:pPr>
              <w:spacing w:line="240" w:lineRule="exact"/>
            </w:pPr>
            <w:r>
              <w:t>Original : anglais</w:t>
            </w:r>
            <w:r w:rsidR="007562F5">
              <w:t xml:space="preserve"> </w:t>
            </w:r>
          </w:p>
          <w:p w:rsidR="007562F5" w:rsidRPr="00DB58B5" w:rsidRDefault="007562F5" w:rsidP="00FC7FAA">
            <w:pPr>
              <w:spacing w:line="240" w:lineRule="exact"/>
            </w:pPr>
            <w:r>
              <w:t>Anglais, espagnol et français seulement</w:t>
            </w:r>
          </w:p>
        </w:tc>
      </w:tr>
    </w:tbl>
    <w:p w:rsidR="00623CA8" w:rsidRDefault="00623CA8" w:rsidP="00623CA8">
      <w:pPr>
        <w:spacing w:before="120"/>
        <w:rPr>
          <w:b/>
          <w:sz w:val="24"/>
          <w:szCs w:val="24"/>
        </w:rPr>
      </w:pPr>
      <w:r w:rsidRPr="00C56102">
        <w:rPr>
          <w:b/>
          <w:sz w:val="24"/>
          <w:szCs w:val="24"/>
        </w:rPr>
        <w:t>Comité pour l’élimination de la discrimination raciale</w:t>
      </w:r>
    </w:p>
    <w:p w:rsidR="00FC7FAA" w:rsidRPr="00FC7FAA" w:rsidRDefault="00FC7FAA" w:rsidP="00FC7FAA">
      <w:pPr>
        <w:rPr>
          <w:b/>
          <w:bCs/>
          <w:lang w:val="fr-FR"/>
        </w:rPr>
      </w:pPr>
      <w:r w:rsidRPr="00FC7FAA">
        <w:rPr>
          <w:b/>
          <w:bCs/>
          <w:lang w:val="fr-FR"/>
        </w:rPr>
        <w:t>Quatre-vingt douzième session</w:t>
      </w:r>
    </w:p>
    <w:p w:rsidR="00FC7FAA" w:rsidRPr="00FC7FAA" w:rsidRDefault="00FC7FAA" w:rsidP="00FC7FAA">
      <w:pPr>
        <w:rPr>
          <w:lang w:val="fr-FR"/>
        </w:rPr>
      </w:pPr>
      <w:r w:rsidRPr="00FC7FAA">
        <w:rPr>
          <w:lang w:val="fr-FR"/>
        </w:rPr>
        <w:t>24 avril-12 mai 2017</w:t>
      </w:r>
    </w:p>
    <w:p w:rsidR="00FC7FAA" w:rsidRPr="00FC7FAA" w:rsidRDefault="00FC7FAA" w:rsidP="00FC7FAA">
      <w:pPr>
        <w:rPr>
          <w:lang w:val="fr-FR"/>
        </w:rPr>
      </w:pPr>
      <w:r>
        <w:rPr>
          <w:lang w:val="fr-FR"/>
        </w:rPr>
        <w:t>Point </w:t>
      </w:r>
      <w:r w:rsidRPr="00FC7FAA">
        <w:rPr>
          <w:lang w:val="fr-FR"/>
        </w:rPr>
        <w:t>10 de l’ordre du jour provisoire</w:t>
      </w:r>
    </w:p>
    <w:p w:rsidR="00984B29" w:rsidRDefault="00FC7FAA" w:rsidP="00FC7FAA">
      <w:pPr>
        <w:rPr>
          <w:b/>
          <w:lang w:val="fr-FR"/>
        </w:rPr>
      </w:pPr>
      <w:r w:rsidRPr="00FC7FAA">
        <w:rPr>
          <w:b/>
          <w:lang w:val="fr-FR"/>
        </w:rPr>
        <w:t xml:space="preserve">Examen des copies de pétitions, des copies de rapports et autres </w:t>
      </w:r>
      <w:r w:rsidRPr="00FC7FAA">
        <w:rPr>
          <w:b/>
          <w:lang w:val="fr-FR"/>
        </w:rPr>
        <w:br/>
        <w:t xml:space="preserve">renseignements relatifs aux territoires sous tutelle, aux territoires </w:t>
      </w:r>
      <w:r w:rsidRPr="00FC7FAA">
        <w:rPr>
          <w:b/>
          <w:lang w:val="fr-FR"/>
        </w:rPr>
        <w:br/>
        <w:t>non autonomes et à tous les autres territoires aux</w:t>
      </w:r>
      <w:r>
        <w:rPr>
          <w:b/>
          <w:lang w:val="fr-FR"/>
        </w:rPr>
        <w:t xml:space="preserve">quels s’applique </w:t>
      </w:r>
      <w:r>
        <w:rPr>
          <w:b/>
          <w:lang w:val="fr-FR"/>
        </w:rPr>
        <w:br/>
        <w:t>la résolution </w:t>
      </w:r>
      <w:r w:rsidRPr="00FC7FAA">
        <w:rPr>
          <w:b/>
          <w:lang w:val="fr-FR"/>
        </w:rPr>
        <w:t xml:space="preserve">1514 (XV) de l’Assemblée générale, conformément </w:t>
      </w:r>
      <w:r w:rsidRPr="00FC7FAA">
        <w:rPr>
          <w:b/>
          <w:lang w:val="fr-FR"/>
        </w:rPr>
        <w:br/>
        <w:t>à l’article 15 de la Convention</w:t>
      </w:r>
    </w:p>
    <w:p w:rsidR="00FC7FAA" w:rsidRPr="00FC7FAA" w:rsidRDefault="00FC7FAA" w:rsidP="00FC7FAA">
      <w:pPr>
        <w:pStyle w:val="HChG"/>
        <w:rPr>
          <w:lang w:val="fr-FR"/>
        </w:rPr>
      </w:pPr>
      <w:r>
        <w:rPr>
          <w:lang w:val="fr-FR"/>
        </w:rPr>
        <w:tab/>
      </w:r>
      <w:r>
        <w:rPr>
          <w:lang w:val="fr-FR"/>
        </w:rPr>
        <w:tab/>
      </w:r>
      <w:r w:rsidRPr="00FC7FAA">
        <w:rPr>
          <w:lang w:val="fr-FR"/>
        </w:rPr>
        <w:t>Examen des copies de pétitions, des copies de rapports</w:t>
      </w:r>
      <w:r>
        <w:rPr>
          <w:lang w:val="fr-FR"/>
        </w:rPr>
        <w:t xml:space="preserve"> </w:t>
      </w:r>
      <w:r w:rsidRPr="00FC7FAA">
        <w:rPr>
          <w:lang w:val="fr-FR"/>
        </w:rPr>
        <w:br/>
        <w:t>et autres renseignements relatifs aux territoires sous tutelle, aux territoires non autonomes et à tous les autres territoires auxquels s’applique la résolution 1514 (XV) de l’Assemblée générale, conformément à l’article 15 de la Convention</w:t>
      </w:r>
    </w:p>
    <w:p w:rsidR="00FC7FAA" w:rsidRPr="00FC7FAA" w:rsidRDefault="00FC7FAA" w:rsidP="00FC7FAA">
      <w:pPr>
        <w:pStyle w:val="H1G"/>
        <w:rPr>
          <w:lang w:val="fr-FR"/>
        </w:rPr>
      </w:pPr>
      <w:r w:rsidRPr="00FC7FAA">
        <w:rPr>
          <w:lang w:val="fr-FR"/>
        </w:rPr>
        <w:tab/>
      </w:r>
      <w:r w:rsidRPr="00FC7FAA">
        <w:rPr>
          <w:lang w:val="fr-FR"/>
        </w:rPr>
        <w:tab/>
        <w:t>Note du Secrétaire général</w:t>
      </w:r>
    </w:p>
    <w:p w:rsidR="00FC7FAA" w:rsidRPr="00FC7FAA" w:rsidRDefault="00FC7FAA" w:rsidP="00FC7FAA">
      <w:pPr>
        <w:pStyle w:val="SingleTxtG"/>
        <w:numPr>
          <w:ilvl w:val="0"/>
          <w:numId w:val="3"/>
        </w:numPr>
        <w:rPr>
          <w:lang w:val="fr-FR"/>
        </w:rPr>
      </w:pPr>
      <w:r w:rsidRPr="00FC7FAA">
        <w:rPr>
          <w:lang w:val="fr-FR"/>
        </w:rPr>
        <w:t>À sa quatre-vingt-neuvième session, le Comité pour l’élimination de la discrimination raciale a examiné des copies de rapports et d’autres renseignements relatifs aux territoires sous tutelle et aux territoires non autonomes, qui lui avaient été communiqués en 2016 en application des décisions du Conseil de tutelle et du Comité spécial chargé d’étudier la situation en ce qui concerne l’application de la Déclaration sur l’octroi de l’indépendance aux pays et aux peuples coloniaux, conformément à l’article 15 de la Convention internationale sur l’élimination de toutes les formes de discrimination raciale. Les opinions et recommandations du Comité</w:t>
      </w:r>
      <w:r w:rsidRPr="00FC7FAA">
        <w:rPr>
          <w:rStyle w:val="Appelnotedebasdep"/>
          <w:lang w:val="fr-FR"/>
        </w:rPr>
        <w:footnoteReference w:id="2"/>
      </w:r>
      <w:r w:rsidRPr="00FC7FAA">
        <w:rPr>
          <w:lang w:val="fr-FR"/>
        </w:rPr>
        <w:t xml:space="preserve"> ont été présentées à l’Assemblée générale à sa soixante et onzième session, comme le prévoit le paragraphe 3 de l’article 15 de la Convention, ainsi qu’aux organes intéressés de l’Organisation des Nations Unies.</w:t>
      </w:r>
    </w:p>
    <w:p w:rsidR="00FC7FAA" w:rsidRPr="00FC7FAA" w:rsidRDefault="00FC7FAA" w:rsidP="00FC7FAA">
      <w:pPr>
        <w:pStyle w:val="SingleTxtG"/>
        <w:numPr>
          <w:ilvl w:val="0"/>
          <w:numId w:val="3"/>
        </w:numPr>
        <w:rPr>
          <w:lang w:val="fr-FR"/>
        </w:rPr>
      </w:pPr>
      <w:r w:rsidRPr="00FC7FAA">
        <w:rPr>
          <w:lang w:val="fr-FR"/>
        </w:rPr>
        <w:t>À sa session de 2016, eu égard aux dispositions pertinentes de l’article 15 de la Convention, le Comité spécial a continué de suivre les travaux du Comité pour l’élimination de la discrimination raciale et à surveiller l’évolution de la situation dans les territoires</w:t>
      </w:r>
      <w:r w:rsidRPr="00FC7FAA">
        <w:rPr>
          <w:rStyle w:val="Appelnotedebasdep"/>
          <w:lang w:val="fr-FR"/>
        </w:rPr>
        <w:footnoteReference w:id="3"/>
      </w:r>
      <w:r w:rsidRPr="00FC7FAA">
        <w:rPr>
          <w:lang w:val="fr-FR"/>
        </w:rPr>
        <w:t xml:space="preserve">. </w:t>
      </w:r>
    </w:p>
    <w:p w:rsidR="00FC7FAA" w:rsidRPr="00FC7FAA" w:rsidRDefault="00FC7FAA" w:rsidP="00FC7FAA">
      <w:pPr>
        <w:pStyle w:val="SingleTxtG"/>
        <w:numPr>
          <w:ilvl w:val="0"/>
          <w:numId w:val="3"/>
        </w:numPr>
        <w:rPr>
          <w:lang w:val="fr-FR"/>
        </w:rPr>
      </w:pPr>
      <w:r w:rsidRPr="00FC7FAA">
        <w:rPr>
          <w:lang w:val="fr-FR"/>
        </w:rPr>
        <w:t>Toute autre mesure que le Comité spécial pourrait prendre concernant la communication de renseignements au Comité en application de l’article 15 de la Convention sera portée à l’attention du Comité en temps voulu.</w:t>
      </w:r>
    </w:p>
    <w:p w:rsidR="00FC7FAA" w:rsidRPr="00FC7FAA" w:rsidRDefault="00FC7FAA" w:rsidP="00FC7FAA">
      <w:pPr>
        <w:pStyle w:val="SingleTxtG"/>
        <w:numPr>
          <w:ilvl w:val="0"/>
          <w:numId w:val="3"/>
        </w:numPr>
        <w:rPr>
          <w:lang w:val="fr-FR"/>
        </w:rPr>
      </w:pPr>
      <w:r w:rsidRPr="00FC7FAA">
        <w:rPr>
          <w:lang w:val="fr-FR"/>
        </w:rPr>
        <w:t xml:space="preserve">Conformément aux décisions antérieures du Comité spécial et du Conseil de tutelle, le Secrétaire général communiquera toutefois au Comité, à sa quatre-vingt-douzième </w:t>
      </w:r>
      <w:r w:rsidRPr="00FC7FAA">
        <w:rPr>
          <w:lang w:val="fr-FR"/>
        </w:rPr>
        <w:lastRenderedPageBreak/>
        <w:t>session, des exemplaires des documents de travail relatifs aux différents territoires, établis par le secrétariat en 2016 à l’intention du Comité spécial et du Conseil de tutelle.</w:t>
      </w:r>
    </w:p>
    <w:p w:rsidR="00FC7FAA" w:rsidRPr="00FC7FAA" w:rsidRDefault="00FC7FAA" w:rsidP="00FC7FAA">
      <w:pPr>
        <w:pStyle w:val="SingleTxtG"/>
        <w:numPr>
          <w:ilvl w:val="0"/>
          <w:numId w:val="3"/>
        </w:numPr>
        <w:rPr>
          <w:lang w:val="fr-FR"/>
        </w:rPr>
      </w:pPr>
      <w:r w:rsidRPr="00FC7FAA">
        <w:rPr>
          <w:lang w:val="fr-FR"/>
        </w:rPr>
        <w:t xml:space="preserve">En conséquence, à sa quatre-vingt-douzième session, le Comité sera saisi des documents suivants : </w:t>
      </w:r>
    </w:p>
    <w:tbl>
      <w:tblPr>
        <w:tblW w:w="6804" w:type="dxa"/>
        <w:tblInd w:w="1701" w:type="dxa"/>
        <w:tblCellMar>
          <w:left w:w="0" w:type="dxa"/>
          <w:right w:w="0" w:type="dxa"/>
        </w:tblCellMar>
        <w:tblLook w:val="01E0" w:firstRow="1" w:lastRow="1" w:firstColumn="1" w:lastColumn="1" w:noHBand="0" w:noVBand="0"/>
      </w:tblPr>
      <w:tblGrid>
        <w:gridCol w:w="3252"/>
        <w:gridCol w:w="3552"/>
      </w:tblGrid>
      <w:tr w:rsidR="00FC7FAA" w:rsidRPr="00FC7FAA" w:rsidTr="007936CA">
        <w:tc>
          <w:tcPr>
            <w:tcW w:w="3252" w:type="dxa"/>
          </w:tcPr>
          <w:p w:rsidR="00FC7FAA" w:rsidRPr="00FC7FAA" w:rsidRDefault="00FC7FAA" w:rsidP="00FC7FAA">
            <w:pPr>
              <w:pStyle w:val="SingleTxtG"/>
              <w:ind w:left="0" w:right="0"/>
              <w:rPr>
                <w:bCs/>
                <w:lang w:val="fr-FR"/>
              </w:rPr>
            </w:pPr>
            <w:r w:rsidRPr="00FC7FAA">
              <w:rPr>
                <w:lang w:val="fr-FR"/>
              </w:rPr>
              <w:t>A/AC.109/2016/1</w:t>
            </w:r>
          </w:p>
        </w:tc>
        <w:tc>
          <w:tcPr>
            <w:tcW w:w="3552" w:type="dxa"/>
          </w:tcPr>
          <w:p w:rsidR="00FC7FAA" w:rsidRPr="00FC7FAA" w:rsidRDefault="00FC7FAA" w:rsidP="00FC7FAA">
            <w:pPr>
              <w:pStyle w:val="SingleTxtG"/>
              <w:ind w:left="0" w:right="0"/>
              <w:rPr>
                <w:bCs/>
                <w:lang w:val="fr-FR"/>
              </w:rPr>
            </w:pPr>
            <w:r w:rsidRPr="00FC7FAA">
              <w:rPr>
                <w:bCs/>
                <w:lang w:val="fr-FR"/>
              </w:rPr>
              <w:t>Samoa américaines</w:t>
            </w:r>
          </w:p>
        </w:tc>
      </w:tr>
      <w:tr w:rsidR="00FC7FAA" w:rsidRPr="00FC7FAA" w:rsidTr="007936CA">
        <w:tc>
          <w:tcPr>
            <w:tcW w:w="3252" w:type="dxa"/>
          </w:tcPr>
          <w:p w:rsidR="00FC7FAA" w:rsidRPr="00FC7FAA" w:rsidRDefault="00FC7FAA" w:rsidP="00FC7FAA">
            <w:pPr>
              <w:pStyle w:val="SingleTxtG"/>
              <w:ind w:left="0" w:right="0"/>
              <w:rPr>
                <w:bCs/>
                <w:lang w:val="fr-FR"/>
              </w:rPr>
            </w:pPr>
            <w:r w:rsidRPr="00FC7FAA">
              <w:rPr>
                <w:lang w:val="fr-FR"/>
              </w:rPr>
              <w:t>A/AC.109/2016/2</w:t>
            </w:r>
          </w:p>
        </w:tc>
        <w:tc>
          <w:tcPr>
            <w:tcW w:w="3552" w:type="dxa"/>
          </w:tcPr>
          <w:p w:rsidR="00FC7FAA" w:rsidRPr="00FC7FAA" w:rsidRDefault="00FC7FAA" w:rsidP="00FC7FAA">
            <w:pPr>
              <w:pStyle w:val="SingleTxtG"/>
              <w:ind w:left="0" w:right="0"/>
              <w:rPr>
                <w:bCs/>
                <w:lang w:val="fr-FR"/>
              </w:rPr>
            </w:pPr>
            <w:r w:rsidRPr="00FC7FAA">
              <w:rPr>
                <w:bCs/>
                <w:lang w:val="fr-FR"/>
              </w:rPr>
              <w:t xml:space="preserve">Anguilla </w:t>
            </w:r>
          </w:p>
        </w:tc>
      </w:tr>
      <w:tr w:rsidR="00FC7FAA" w:rsidRPr="00FC7FAA" w:rsidTr="007936CA">
        <w:tc>
          <w:tcPr>
            <w:tcW w:w="3252" w:type="dxa"/>
          </w:tcPr>
          <w:p w:rsidR="00FC7FAA" w:rsidRPr="00FC7FAA" w:rsidRDefault="00FC7FAA" w:rsidP="00FC7FAA">
            <w:pPr>
              <w:pStyle w:val="SingleTxtG"/>
              <w:ind w:left="0" w:right="0"/>
              <w:rPr>
                <w:bCs/>
                <w:lang w:val="fr-FR"/>
              </w:rPr>
            </w:pPr>
            <w:r w:rsidRPr="00FC7FAA">
              <w:rPr>
                <w:lang w:val="fr-FR"/>
              </w:rPr>
              <w:t>A/AC.109/2016/3</w:t>
            </w:r>
          </w:p>
        </w:tc>
        <w:tc>
          <w:tcPr>
            <w:tcW w:w="3552" w:type="dxa"/>
          </w:tcPr>
          <w:p w:rsidR="00FC7FAA" w:rsidRPr="00FC7FAA" w:rsidRDefault="00FC7FAA" w:rsidP="00FC7FAA">
            <w:pPr>
              <w:pStyle w:val="SingleTxtG"/>
              <w:ind w:left="0" w:right="0"/>
              <w:rPr>
                <w:bCs/>
                <w:lang w:val="fr-FR"/>
              </w:rPr>
            </w:pPr>
            <w:r w:rsidRPr="00FC7FAA">
              <w:rPr>
                <w:bCs/>
                <w:lang w:val="fr-FR"/>
              </w:rPr>
              <w:t>Bermudes</w:t>
            </w:r>
          </w:p>
        </w:tc>
      </w:tr>
      <w:tr w:rsidR="00FC7FAA" w:rsidRPr="00FC7FAA" w:rsidTr="007936CA">
        <w:tc>
          <w:tcPr>
            <w:tcW w:w="3252" w:type="dxa"/>
          </w:tcPr>
          <w:p w:rsidR="00FC7FAA" w:rsidRPr="00FC7FAA" w:rsidRDefault="00FC7FAA" w:rsidP="00FC7FAA">
            <w:pPr>
              <w:pStyle w:val="SingleTxtG"/>
              <w:ind w:left="0" w:right="0"/>
              <w:rPr>
                <w:bCs/>
                <w:lang w:val="fr-FR"/>
              </w:rPr>
            </w:pPr>
            <w:r w:rsidRPr="00FC7FAA">
              <w:rPr>
                <w:lang w:val="fr-FR"/>
              </w:rPr>
              <w:t>A/AC.109/2016/4</w:t>
            </w:r>
          </w:p>
        </w:tc>
        <w:tc>
          <w:tcPr>
            <w:tcW w:w="3552" w:type="dxa"/>
          </w:tcPr>
          <w:p w:rsidR="00FC7FAA" w:rsidRPr="00FC7FAA" w:rsidRDefault="00FC7FAA" w:rsidP="00FC7FAA">
            <w:pPr>
              <w:pStyle w:val="SingleTxtG"/>
              <w:ind w:left="0" w:right="0"/>
              <w:rPr>
                <w:bCs/>
                <w:lang w:val="fr-FR"/>
              </w:rPr>
            </w:pPr>
            <w:r w:rsidRPr="00FC7FAA">
              <w:rPr>
                <w:bCs/>
                <w:lang w:val="fr-FR"/>
              </w:rPr>
              <w:t>Îles Vierges britanniques</w:t>
            </w:r>
          </w:p>
        </w:tc>
      </w:tr>
      <w:tr w:rsidR="00FC7FAA" w:rsidRPr="00FC7FAA" w:rsidTr="007936CA">
        <w:tc>
          <w:tcPr>
            <w:tcW w:w="3252" w:type="dxa"/>
          </w:tcPr>
          <w:p w:rsidR="00FC7FAA" w:rsidRPr="00FC7FAA" w:rsidRDefault="00FC7FAA" w:rsidP="00FC7FAA">
            <w:pPr>
              <w:pStyle w:val="SingleTxtG"/>
              <w:ind w:left="0" w:right="0"/>
              <w:rPr>
                <w:bCs/>
                <w:lang w:val="fr-FR"/>
              </w:rPr>
            </w:pPr>
            <w:r w:rsidRPr="00FC7FAA">
              <w:rPr>
                <w:lang w:val="fr-FR"/>
              </w:rPr>
              <w:t>A/AC.109/2016/5</w:t>
            </w:r>
          </w:p>
        </w:tc>
        <w:tc>
          <w:tcPr>
            <w:tcW w:w="3552" w:type="dxa"/>
          </w:tcPr>
          <w:p w:rsidR="00FC7FAA" w:rsidRPr="00FC7FAA" w:rsidRDefault="00FC7FAA" w:rsidP="00FC7FAA">
            <w:pPr>
              <w:pStyle w:val="SingleTxtG"/>
              <w:ind w:left="0" w:right="0"/>
              <w:rPr>
                <w:bCs/>
                <w:lang w:val="fr-FR"/>
              </w:rPr>
            </w:pPr>
            <w:r w:rsidRPr="00FC7FAA">
              <w:rPr>
                <w:bCs/>
                <w:lang w:val="fr-FR"/>
              </w:rPr>
              <w:t>Îles Caïmanes</w:t>
            </w:r>
          </w:p>
        </w:tc>
      </w:tr>
      <w:tr w:rsidR="00FC7FAA" w:rsidRPr="00FC7FAA" w:rsidTr="007936CA">
        <w:tc>
          <w:tcPr>
            <w:tcW w:w="3252" w:type="dxa"/>
          </w:tcPr>
          <w:p w:rsidR="00FC7FAA" w:rsidRPr="00FC7FAA" w:rsidRDefault="00FC7FAA" w:rsidP="00FC7FAA">
            <w:pPr>
              <w:pStyle w:val="SingleTxtG"/>
              <w:ind w:left="0" w:right="0"/>
              <w:rPr>
                <w:bCs/>
                <w:lang w:val="fr-FR"/>
              </w:rPr>
            </w:pPr>
            <w:r w:rsidRPr="00FC7FAA">
              <w:rPr>
                <w:lang w:val="fr-FR"/>
              </w:rPr>
              <w:t>A/AC.109/2016/6</w:t>
            </w:r>
          </w:p>
        </w:tc>
        <w:tc>
          <w:tcPr>
            <w:tcW w:w="3552" w:type="dxa"/>
          </w:tcPr>
          <w:p w:rsidR="00FC7FAA" w:rsidRPr="00FC7FAA" w:rsidRDefault="00FC7FAA" w:rsidP="00FC7FAA">
            <w:pPr>
              <w:pStyle w:val="SingleTxtG"/>
              <w:ind w:left="0" w:right="0"/>
              <w:rPr>
                <w:bCs/>
                <w:lang w:val="fr-FR"/>
              </w:rPr>
            </w:pPr>
            <w:r w:rsidRPr="00FC7FAA">
              <w:rPr>
                <w:bCs/>
                <w:lang w:val="fr-FR"/>
              </w:rPr>
              <w:t>Îles Falkland (Malvinas)</w:t>
            </w:r>
          </w:p>
        </w:tc>
      </w:tr>
      <w:tr w:rsidR="00FC7FAA" w:rsidRPr="00FC7FAA" w:rsidTr="007936CA">
        <w:tc>
          <w:tcPr>
            <w:tcW w:w="3252" w:type="dxa"/>
          </w:tcPr>
          <w:p w:rsidR="00FC7FAA" w:rsidRPr="00FC7FAA" w:rsidRDefault="00FC7FAA" w:rsidP="00FC7FAA">
            <w:pPr>
              <w:pStyle w:val="SingleTxtG"/>
              <w:ind w:left="0" w:right="0"/>
              <w:rPr>
                <w:bCs/>
                <w:lang w:val="fr-FR"/>
              </w:rPr>
            </w:pPr>
            <w:r w:rsidRPr="00FC7FAA">
              <w:rPr>
                <w:lang w:val="fr-FR"/>
              </w:rPr>
              <w:t>A/AC.109/2016/7</w:t>
            </w:r>
          </w:p>
        </w:tc>
        <w:tc>
          <w:tcPr>
            <w:tcW w:w="3552" w:type="dxa"/>
          </w:tcPr>
          <w:p w:rsidR="00FC7FAA" w:rsidRPr="00FC7FAA" w:rsidRDefault="00FC7FAA" w:rsidP="00FC7FAA">
            <w:pPr>
              <w:pStyle w:val="SingleTxtG"/>
              <w:ind w:left="0" w:right="0"/>
              <w:rPr>
                <w:bCs/>
                <w:lang w:val="fr-FR"/>
              </w:rPr>
            </w:pPr>
            <w:r w:rsidRPr="00FC7FAA">
              <w:rPr>
                <w:bCs/>
                <w:lang w:val="fr-FR"/>
              </w:rPr>
              <w:t>Polynésie française</w:t>
            </w:r>
          </w:p>
        </w:tc>
      </w:tr>
      <w:tr w:rsidR="00FC7FAA" w:rsidRPr="00FC7FAA" w:rsidTr="007936CA">
        <w:tc>
          <w:tcPr>
            <w:tcW w:w="3252" w:type="dxa"/>
          </w:tcPr>
          <w:p w:rsidR="00FC7FAA" w:rsidRPr="00FC7FAA" w:rsidRDefault="00FC7FAA" w:rsidP="00FC7FAA">
            <w:pPr>
              <w:pStyle w:val="SingleTxtG"/>
              <w:ind w:left="0" w:right="0"/>
              <w:rPr>
                <w:bCs/>
                <w:lang w:val="fr-FR"/>
              </w:rPr>
            </w:pPr>
            <w:r w:rsidRPr="00FC7FAA">
              <w:rPr>
                <w:lang w:val="fr-FR"/>
              </w:rPr>
              <w:t>A/AC.109/2016/8</w:t>
            </w:r>
          </w:p>
        </w:tc>
        <w:tc>
          <w:tcPr>
            <w:tcW w:w="3552" w:type="dxa"/>
          </w:tcPr>
          <w:p w:rsidR="00FC7FAA" w:rsidRPr="00FC7FAA" w:rsidRDefault="00FC7FAA" w:rsidP="00FC7FAA">
            <w:pPr>
              <w:pStyle w:val="SingleTxtG"/>
              <w:ind w:left="0" w:right="0"/>
              <w:rPr>
                <w:bCs/>
                <w:lang w:val="fr-FR"/>
              </w:rPr>
            </w:pPr>
            <w:r w:rsidRPr="00FC7FAA">
              <w:rPr>
                <w:bCs/>
                <w:lang w:val="fr-FR"/>
              </w:rPr>
              <w:t>Gibraltar</w:t>
            </w:r>
          </w:p>
        </w:tc>
      </w:tr>
      <w:tr w:rsidR="00FC7FAA" w:rsidRPr="00FC7FAA" w:rsidTr="007936CA">
        <w:tc>
          <w:tcPr>
            <w:tcW w:w="3252" w:type="dxa"/>
          </w:tcPr>
          <w:p w:rsidR="00FC7FAA" w:rsidRPr="00FC7FAA" w:rsidRDefault="00FC7FAA" w:rsidP="00FC7FAA">
            <w:pPr>
              <w:pStyle w:val="SingleTxtG"/>
              <w:ind w:left="0" w:right="0"/>
              <w:rPr>
                <w:bCs/>
                <w:lang w:val="fr-FR"/>
              </w:rPr>
            </w:pPr>
            <w:r w:rsidRPr="00FC7FAA">
              <w:rPr>
                <w:lang w:val="fr-FR"/>
              </w:rPr>
              <w:t>A/AC.109/2016/9</w:t>
            </w:r>
          </w:p>
        </w:tc>
        <w:tc>
          <w:tcPr>
            <w:tcW w:w="3552" w:type="dxa"/>
          </w:tcPr>
          <w:p w:rsidR="00FC7FAA" w:rsidRPr="00FC7FAA" w:rsidRDefault="00FC7FAA" w:rsidP="00FC7FAA">
            <w:pPr>
              <w:pStyle w:val="SingleTxtG"/>
              <w:ind w:left="0" w:right="0"/>
              <w:rPr>
                <w:bCs/>
                <w:lang w:val="fr-FR"/>
              </w:rPr>
            </w:pPr>
            <w:r w:rsidRPr="00FC7FAA">
              <w:rPr>
                <w:bCs/>
                <w:lang w:val="fr-FR"/>
              </w:rPr>
              <w:t>Guam</w:t>
            </w:r>
          </w:p>
        </w:tc>
      </w:tr>
      <w:tr w:rsidR="00FC7FAA" w:rsidRPr="00FC7FAA" w:rsidTr="007936CA">
        <w:tc>
          <w:tcPr>
            <w:tcW w:w="3252" w:type="dxa"/>
          </w:tcPr>
          <w:p w:rsidR="00FC7FAA" w:rsidRPr="00FC7FAA" w:rsidRDefault="00FC7FAA" w:rsidP="00FC7FAA">
            <w:pPr>
              <w:pStyle w:val="SingleTxtG"/>
              <w:ind w:left="0" w:right="0"/>
              <w:rPr>
                <w:bCs/>
                <w:lang w:val="fr-FR"/>
              </w:rPr>
            </w:pPr>
            <w:r w:rsidRPr="00FC7FAA">
              <w:rPr>
                <w:lang w:val="fr-FR"/>
              </w:rPr>
              <w:t>A/AC.109/2016/10</w:t>
            </w:r>
          </w:p>
        </w:tc>
        <w:tc>
          <w:tcPr>
            <w:tcW w:w="3552" w:type="dxa"/>
          </w:tcPr>
          <w:p w:rsidR="00FC7FAA" w:rsidRPr="00FC7FAA" w:rsidRDefault="00FC7FAA" w:rsidP="00FC7FAA">
            <w:pPr>
              <w:pStyle w:val="SingleTxtG"/>
              <w:ind w:left="0" w:right="0"/>
              <w:rPr>
                <w:bCs/>
                <w:lang w:val="fr-FR"/>
              </w:rPr>
            </w:pPr>
            <w:r w:rsidRPr="00FC7FAA">
              <w:rPr>
                <w:bCs/>
                <w:lang w:val="fr-FR"/>
              </w:rPr>
              <w:t>Montserrat</w:t>
            </w:r>
          </w:p>
        </w:tc>
      </w:tr>
      <w:tr w:rsidR="00FC7FAA" w:rsidRPr="00FC7FAA" w:rsidTr="007936CA">
        <w:tc>
          <w:tcPr>
            <w:tcW w:w="3252" w:type="dxa"/>
          </w:tcPr>
          <w:p w:rsidR="00FC7FAA" w:rsidRPr="00FC7FAA" w:rsidRDefault="00FC7FAA" w:rsidP="00FC7FAA">
            <w:pPr>
              <w:pStyle w:val="SingleTxtG"/>
              <w:ind w:left="0" w:right="0"/>
              <w:rPr>
                <w:bCs/>
                <w:lang w:val="fr-FR"/>
              </w:rPr>
            </w:pPr>
            <w:r w:rsidRPr="00FC7FAA">
              <w:rPr>
                <w:lang w:val="fr-FR"/>
              </w:rPr>
              <w:t>A/AC.109/2016/11</w:t>
            </w:r>
          </w:p>
        </w:tc>
        <w:tc>
          <w:tcPr>
            <w:tcW w:w="3552" w:type="dxa"/>
          </w:tcPr>
          <w:p w:rsidR="00FC7FAA" w:rsidRPr="00FC7FAA" w:rsidRDefault="00FC7FAA" w:rsidP="00FC7FAA">
            <w:pPr>
              <w:pStyle w:val="SingleTxtG"/>
              <w:ind w:left="0" w:right="0"/>
              <w:rPr>
                <w:bCs/>
                <w:lang w:val="fr-FR"/>
              </w:rPr>
            </w:pPr>
            <w:r w:rsidRPr="00FC7FAA">
              <w:rPr>
                <w:bCs/>
                <w:lang w:val="fr-FR"/>
              </w:rPr>
              <w:t>Nouvelle-Calédonie</w:t>
            </w:r>
          </w:p>
        </w:tc>
      </w:tr>
      <w:tr w:rsidR="00FC7FAA" w:rsidRPr="00FC7FAA" w:rsidTr="007936CA">
        <w:tc>
          <w:tcPr>
            <w:tcW w:w="3252" w:type="dxa"/>
          </w:tcPr>
          <w:p w:rsidR="00FC7FAA" w:rsidRPr="00FC7FAA" w:rsidRDefault="00FC7FAA" w:rsidP="00FC7FAA">
            <w:pPr>
              <w:pStyle w:val="SingleTxtG"/>
              <w:ind w:left="0" w:right="0"/>
              <w:rPr>
                <w:bCs/>
                <w:lang w:val="fr-FR"/>
              </w:rPr>
            </w:pPr>
            <w:r w:rsidRPr="00FC7FAA">
              <w:rPr>
                <w:lang w:val="fr-FR"/>
              </w:rPr>
              <w:t>A/AC.109/2016/12</w:t>
            </w:r>
          </w:p>
        </w:tc>
        <w:tc>
          <w:tcPr>
            <w:tcW w:w="3552" w:type="dxa"/>
          </w:tcPr>
          <w:p w:rsidR="00FC7FAA" w:rsidRPr="00FC7FAA" w:rsidRDefault="00FC7FAA" w:rsidP="00FC7FAA">
            <w:pPr>
              <w:pStyle w:val="SingleTxtG"/>
              <w:ind w:left="0" w:right="0"/>
              <w:rPr>
                <w:bCs/>
                <w:lang w:val="fr-FR"/>
              </w:rPr>
            </w:pPr>
            <w:r w:rsidRPr="00FC7FAA">
              <w:rPr>
                <w:bCs/>
                <w:lang w:val="fr-FR"/>
              </w:rPr>
              <w:t>Pitcairn</w:t>
            </w:r>
          </w:p>
        </w:tc>
      </w:tr>
      <w:tr w:rsidR="00FC7FAA" w:rsidRPr="00FC7FAA" w:rsidTr="007936CA">
        <w:tc>
          <w:tcPr>
            <w:tcW w:w="3252" w:type="dxa"/>
          </w:tcPr>
          <w:p w:rsidR="00FC7FAA" w:rsidRPr="00FC7FAA" w:rsidRDefault="00FC7FAA" w:rsidP="00FC7FAA">
            <w:pPr>
              <w:pStyle w:val="SingleTxtG"/>
              <w:ind w:left="0" w:right="0"/>
              <w:rPr>
                <w:bCs/>
                <w:lang w:val="fr-FR"/>
              </w:rPr>
            </w:pPr>
            <w:r w:rsidRPr="00FC7FAA">
              <w:rPr>
                <w:lang w:val="fr-FR"/>
              </w:rPr>
              <w:t>A/AC.109/2016/13</w:t>
            </w:r>
          </w:p>
        </w:tc>
        <w:tc>
          <w:tcPr>
            <w:tcW w:w="3552" w:type="dxa"/>
          </w:tcPr>
          <w:p w:rsidR="00FC7FAA" w:rsidRPr="00FC7FAA" w:rsidRDefault="00FC7FAA" w:rsidP="00FC7FAA">
            <w:pPr>
              <w:pStyle w:val="SingleTxtG"/>
              <w:ind w:left="0" w:right="0"/>
              <w:rPr>
                <w:bCs/>
                <w:lang w:val="fr-FR"/>
              </w:rPr>
            </w:pPr>
            <w:r w:rsidRPr="00FC7FAA">
              <w:rPr>
                <w:bCs/>
                <w:lang w:val="fr-FR"/>
              </w:rPr>
              <w:t>Sainte-Hélène</w:t>
            </w:r>
          </w:p>
        </w:tc>
      </w:tr>
      <w:tr w:rsidR="00FC7FAA" w:rsidRPr="00FC7FAA" w:rsidTr="007936CA">
        <w:tc>
          <w:tcPr>
            <w:tcW w:w="3252" w:type="dxa"/>
          </w:tcPr>
          <w:p w:rsidR="00FC7FAA" w:rsidRPr="00FC7FAA" w:rsidRDefault="00FC7FAA" w:rsidP="00FC7FAA">
            <w:pPr>
              <w:pStyle w:val="SingleTxtG"/>
              <w:ind w:left="0" w:right="0"/>
              <w:rPr>
                <w:bCs/>
                <w:lang w:val="fr-FR"/>
              </w:rPr>
            </w:pPr>
            <w:r w:rsidRPr="00FC7FAA">
              <w:rPr>
                <w:lang w:val="fr-FR"/>
              </w:rPr>
              <w:t>A/AC.109/2016/14</w:t>
            </w:r>
          </w:p>
        </w:tc>
        <w:tc>
          <w:tcPr>
            <w:tcW w:w="3552" w:type="dxa"/>
          </w:tcPr>
          <w:p w:rsidR="00FC7FAA" w:rsidRPr="00FC7FAA" w:rsidRDefault="00FC7FAA" w:rsidP="00FC7FAA">
            <w:pPr>
              <w:pStyle w:val="SingleTxtG"/>
              <w:ind w:left="0" w:right="0"/>
              <w:rPr>
                <w:bCs/>
                <w:lang w:val="fr-FR"/>
              </w:rPr>
            </w:pPr>
            <w:r w:rsidRPr="00FC7FAA">
              <w:rPr>
                <w:bCs/>
                <w:lang w:val="fr-FR"/>
              </w:rPr>
              <w:t xml:space="preserve">Tokélaou </w:t>
            </w:r>
          </w:p>
        </w:tc>
      </w:tr>
      <w:tr w:rsidR="00FC7FAA" w:rsidRPr="00FC7FAA" w:rsidTr="007936CA">
        <w:tc>
          <w:tcPr>
            <w:tcW w:w="3252" w:type="dxa"/>
          </w:tcPr>
          <w:p w:rsidR="00FC7FAA" w:rsidRPr="00FC7FAA" w:rsidRDefault="00FC7FAA" w:rsidP="00FC7FAA">
            <w:pPr>
              <w:pStyle w:val="SingleTxtG"/>
              <w:ind w:left="0" w:right="0"/>
              <w:rPr>
                <w:bCs/>
                <w:lang w:val="fr-FR"/>
              </w:rPr>
            </w:pPr>
            <w:r w:rsidRPr="00FC7FAA">
              <w:rPr>
                <w:lang w:val="fr-FR"/>
              </w:rPr>
              <w:t>A/AC.109/2016/15</w:t>
            </w:r>
          </w:p>
        </w:tc>
        <w:tc>
          <w:tcPr>
            <w:tcW w:w="3552" w:type="dxa"/>
          </w:tcPr>
          <w:p w:rsidR="00FC7FAA" w:rsidRPr="00FC7FAA" w:rsidRDefault="00FC7FAA" w:rsidP="00FC7FAA">
            <w:pPr>
              <w:pStyle w:val="SingleTxtG"/>
              <w:ind w:left="0" w:right="0"/>
              <w:rPr>
                <w:bCs/>
                <w:lang w:val="fr-FR"/>
              </w:rPr>
            </w:pPr>
            <w:r w:rsidRPr="00FC7FAA">
              <w:rPr>
                <w:bCs/>
                <w:lang w:val="fr-FR"/>
              </w:rPr>
              <w:t>Îles Turques et Caïques</w:t>
            </w:r>
          </w:p>
        </w:tc>
      </w:tr>
      <w:tr w:rsidR="00FC7FAA" w:rsidRPr="00FC7FAA" w:rsidTr="007936CA">
        <w:tc>
          <w:tcPr>
            <w:tcW w:w="3252" w:type="dxa"/>
          </w:tcPr>
          <w:p w:rsidR="00FC7FAA" w:rsidRPr="00FC7FAA" w:rsidRDefault="00FC7FAA" w:rsidP="00FC7FAA">
            <w:pPr>
              <w:pStyle w:val="SingleTxtG"/>
              <w:ind w:left="0" w:right="0"/>
              <w:rPr>
                <w:bCs/>
                <w:lang w:val="fr-FR"/>
              </w:rPr>
            </w:pPr>
            <w:r w:rsidRPr="00FC7FAA">
              <w:rPr>
                <w:lang w:val="fr-FR"/>
              </w:rPr>
              <w:t>A/AC.109/2016/16</w:t>
            </w:r>
          </w:p>
        </w:tc>
        <w:tc>
          <w:tcPr>
            <w:tcW w:w="3552" w:type="dxa"/>
          </w:tcPr>
          <w:p w:rsidR="00FC7FAA" w:rsidRPr="00FC7FAA" w:rsidRDefault="00FC7FAA" w:rsidP="00FC7FAA">
            <w:pPr>
              <w:pStyle w:val="SingleTxtG"/>
              <w:ind w:left="0" w:right="0"/>
              <w:rPr>
                <w:bCs/>
                <w:lang w:val="fr-FR"/>
              </w:rPr>
            </w:pPr>
            <w:r w:rsidRPr="00FC7FAA">
              <w:rPr>
                <w:bCs/>
                <w:lang w:val="fr-FR"/>
              </w:rPr>
              <w:t>Îles Vierges américaines</w:t>
            </w:r>
          </w:p>
        </w:tc>
      </w:tr>
      <w:tr w:rsidR="00FC7FAA" w:rsidRPr="00FC7FAA" w:rsidTr="007936CA">
        <w:tc>
          <w:tcPr>
            <w:tcW w:w="3252" w:type="dxa"/>
          </w:tcPr>
          <w:p w:rsidR="00FC7FAA" w:rsidRPr="00FC7FAA" w:rsidRDefault="00FC7FAA" w:rsidP="00FC7FAA">
            <w:pPr>
              <w:pStyle w:val="SingleTxtG"/>
              <w:ind w:left="0" w:right="0"/>
              <w:rPr>
                <w:bCs/>
                <w:lang w:val="fr-FR"/>
              </w:rPr>
            </w:pPr>
            <w:r w:rsidRPr="00FC7FAA">
              <w:rPr>
                <w:lang w:val="fr-FR"/>
              </w:rPr>
              <w:t>A/AC.109/2016/17</w:t>
            </w:r>
          </w:p>
        </w:tc>
        <w:tc>
          <w:tcPr>
            <w:tcW w:w="3552" w:type="dxa"/>
          </w:tcPr>
          <w:p w:rsidR="00FC7FAA" w:rsidRPr="00FC7FAA" w:rsidRDefault="00FC7FAA" w:rsidP="00FC7FAA">
            <w:pPr>
              <w:pStyle w:val="SingleTxtG"/>
              <w:ind w:left="0" w:right="0"/>
              <w:rPr>
                <w:bCs/>
                <w:lang w:val="fr-FR"/>
              </w:rPr>
            </w:pPr>
            <w:r w:rsidRPr="00FC7FAA">
              <w:rPr>
                <w:bCs/>
                <w:lang w:val="fr-FR"/>
              </w:rPr>
              <w:t>Sahara occidental</w:t>
            </w:r>
          </w:p>
        </w:tc>
      </w:tr>
    </w:tbl>
    <w:p w:rsidR="00FC7FAA" w:rsidRPr="00FC7FAA" w:rsidRDefault="00FC7FAA" w:rsidP="00FC7FAA">
      <w:pPr>
        <w:pStyle w:val="SingleTxtG"/>
        <w:numPr>
          <w:ilvl w:val="0"/>
          <w:numId w:val="3"/>
        </w:numPr>
        <w:spacing w:before="240"/>
        <w:rPr>
          <w:lang w:val="fr-FR"/>
        </w:rPr>
      </w:pPr>
      <w:r w:rsidRPr="00FC7FAA">
        <w:rPr>
          <w:lang w:val="fr-FR"/>
        </w:rPr>
        <w:t>Le Comité recevra, dès qu’ils paraîtront, les documents de travail concernant d’autres territoires que le secrétariat aura établis ; il disposera aussi des copies des pétitions, documents et décisions que le Comité spécial aura décidé de lui transmettre en application de l’article 15 de la Convention.</w:t>
      </w:r>
    </w:p>
    <w:p w:rsidR="00FC7FAA" w:rsidRPr="00FC7FAA" w:rsidRDefault="00FC7FAA" w:rsidP="00FC7FAA">
      <w:pPr>
        <w:pStyle w:val="SingleTxtG"/>
        <w:spacing w:before="240" w:after="0"/>
        <w:jc w:val="center"/>
        <w:rPr>
          <w:u w:val="single"/>
        </w:rPr>
      </w:pPr>
      <w:r>
        <w:rPr>
          <w:u w:val="single"/>
          <w:lang w:val="fr-FR"/>
        </w:rPr>
        <w:tab/>
      </w:r>
      <w:r>
        <w:rPr>
          <w:u w:val="single"/>
          <w:lang w:val="fr-FR"/>
        </w:rPr>
        <w:tab/>
      </w:r>
      <w:r>
        <w:rPr>
          <w:u w:val="single"/>
          <w:lang w:val="fr-FR"/>
        </w:rPr>
        <w:tab/>
      </w:r>
    </w:p>
    <w:sectPr w:rsidR="00FC7FAA" w:rsidRPr="00FC7FAA" w:rsidSect="00FC7FAA">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A57" w:rsidRDefault="00E20A57" w:rsidP="00F95C08">
      <w:pPr>
        <w:spacing w:line="240" w:lineRule="auto"/>
      </w:pPr>
    </w:p>
  </w:endnote>
  <w:endnote w:type="continuationSeparator" w:id="0">
    <w:p w:rsidR="00E20A57" w:rsidRPr="00AC3823" w:rsidRDefault="00E20A57" w:rsidP="00AC3823">
      <w:pPr>
        <w:pStyle w:val="Pieddepage"/>
      </w:pPr>
    </w:p>
  </w:endnote>
  <w:endnote w:type="continuationNotice" w:id="1">
    <w:p w:rsidR="00E20A57" w:rsidRDefault="00E20A5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FAA" w:rsidRPr="00FC7FAA" w:rsidRDefault="00FC7FAA" w:rsidP="00FC7FAA">
    <w:pPr>
      <w:pStyle w:val="Pieddepage"/>
      <w:tabs>
        <w:tab w:val="right" w:pos="9638"/>
      </w:tabs>
    </w:pPr>
    <w:r w:rsidRPr="00FC7FAA">
      <w:rPr>
        <w:b/>
        <w:sz w:val="18"/>
      </w:rPr>
      <w:fldChar w:fldCharType="begin"/>
    </w:r>
    <w:r w:rsidRPr="00FC7FAA">
      <w:rPr>
        <w:b/>
        <w:sz w:val="18"/>
      </w:rPr>
      <w:instrText xml:space="preserve"> PAGE  \* MERGEFORMAT </w:instrText>
    </w:r>
    <w:r w:rsidRPr="00FC7FAA">
      <w:rPr>
        <w:b/>
        <w:sz w:val="18"/>
      </w:rPr>
      <w:fldChar w:fldCharType="separate"/>
    </w:r>
    <w:r w:rsidR="00974C88">
      <w:rPr>
        <w:b/>
        <w:noProof/>
        <w:sz w:val="18"/>
      </w:rPr>
      <w:t>2</w:t>
    </w:r>
    <w:r w:rsidRPr="00FC7FAA">
      <w:rPr>
        <w:b/>
        <w:sz w:val="18"/>
      </w:rPr>
      <w:fldChar w:fldCharType="end"/>
    </w:r>
    <w:r>
      <w:rPr>
        <w:b/>
        <w:sz w:val="18"/>
      </w:rPr>
      <w:tab/>
    </w:r>
    <w:r>
      <w:t>GE.17-03540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FAA" w:rsidRPr="00FC7FAA" w:rsidRDefault="00FC7FAA" w:rsidP="00FC7FAA">
    <w:pPr>
      <w:pStyle w:val="Pieddepage"/>
      <w:tabs>
        <w:tab w:val="right" w:pos="9638"/>
      </w:tabs>
      <w:rPr>
        <w:b/>
        <w:sz w:val="18"/>
      </w:rPr>
    </w:pPr>
    <w:r>
      <w:t>GE.17-03540</w:t>
    </w:r>
    <w:r>
      <w:tab/>
    </w:r>
    <w:r w:rsidRPr="00FC7FAA">
      <w:rPr>
        <w:b/>
        <w:sz w:val="18"/>
      </w:rPr>
      <w:fldChar w:fldCharType="begin"/>
    </w:r>
    <w:r w:rsidRPr="00FC7FAA">
      <w:rPr>
        <w:b/>
        <w:sz w:val="18"/>
      </w:rPr>
      <w:instrText xml:space="preserve"> PAGE  \* MERGEFORMAT </w:instrText>
    </w:r>
    <w:r w:rsidRPr="00FC7FAA">
      <w:rPr>
        <w:b/>
        <w:sz w:val="18"/>
      </w:rPr>
      <w:fldChar w:fldCharType="separate"/>
    </w:r>
    <w:r>
      <w:rPr>
        <w:b/>
        <w:noProof/>
        <w:sz w:val="18"/>
      </w:rPr>
      <w:t>3</w:t>
    </w:r>
    <w:r w:rsidRPr="00FC7FAA">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B29" w:rsidRPr="00FC7FAA" w:rsidRDefault="00FC7FAA" w:rsidP="00FC7FAA">
    <w:pPr>
      <w:pStyle w:val="Pieddepage"/>
      <w:spacing w:before="120"/>
      <w:rPr>
        <w:sz w:val="20"/>
      </w:rPr>
    </w:pPr>
    <w:r>
      <w:rPr>
        <w:sz w:val="20"/>
      </w:rPr>
      <w:t>GE.</w:t>
    </w:r>
    <w:r w:rsidR="00984B29">
      <w:rPr>
        <w:noProof/>
        <w:lang w:eastAsia="fr-CH"/>
      </w:rPr>
      <w:drawing>
        <wp:anchor distT="0" distB="0" distL="114300" distR="114300" simplePos="0" relativeHeight="251659264" behindDoc="0" locked="0" layoutInCell="1" allowOverlap="0" wp14:anchorId="3D3F1ECD" wp14:editId="398D619C">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17-03540  (F)    270317    280317</w:t>
    </w:r>
    <w:r>
      <w:rPr>
        <w:sz w:val="20"/>
      </w:rPr>
      <w:br/>
    </w:r>
    <w:r w:rsidRPr="00FC7FAA">
      <w:rPr>
        <w:rFonts w:ascii="C39T30Lfz" w:hAnsi="C39T30Lfz"/>
        <w:sz w:val="56"/>
      </w:rPr>
      <w:t></w:t>
    </w:r>
    <w:r w:rsidRPr="00FC7FAA">
      <w:rPr>
        <w:rFonts w:ascii="C39T30Lfz" w:hAnsi="C39T30Lfz"/>
        <w:sz w:val="56"/>
      </w:rPr>
      <w:t></w:t>
    </w:r>
    <w:r w:rsidRPr="00FC7FAA">
      <w:rPr>
        <w:rFonts w:ascii="C39T30Lfz" w:hAnsi="C39T30Lfz"/>
        <w:sz w:val="56"/>
      </w:rPr>
      <w:t></w:t>
    </w:r>
    <w:r w:rsidRPr="00FC7FAA">
      <w:rPr>
        <w:rFonts w:ascii="C39T30Lfz" w:hAnsi="C39T30Lfz"/>
        <w:sz w:val="56"/>
      </w:rPr>
      <w:t></w:t>
    </w:r>
    <w:r w:rsidRPr="00FC7FAA">
      <w:rPr>
        <w:rFonts w:ascii="C39T30Lfz" w:hAnsi="C39T30Lfz"/>
        <w:sz w:val="56"/>
      </w:rPr>
      <w:t></w:t>
    </w:r>
    <w:r w:rsidRPr="00FC7FAA">
      <w:rPr>
        <w:rFonts w:ascii="C39T30Lfz" w:hAnsi="C39T30Lfz"/>
        <w:sz w:val="56"/>
      </w:rPr>
      <w:t></w:t>
    </w:r>
    <w:r w:rsidRPr="00FC7FAA">
      <w:rPr>
        <w:rFonts w:ascii="C39T30Lfz" w:hAnsi="C39T30Lfz"/>
        <w:sz w:val="56"/>
      </w:rPr>
      <w:t></w:t>
    </w:r>
    <w:r w:rsidRPr="00FC7FAA">
      <w:rPr>
        <w:rFonts w:ascii="C39T30Lfz" w:hAnsi="C39T30Lfz"/>
        <w:sz w:val="56"/>
      </w:rPr>
      <w:t></w:t>
    </w:r>
    <w:r w:rsidRPr="00FC7FAA">
      <w:rPr>
        <w:rFonts w:ascii="C39T30Lfz" w:hAnsi="C39T30Lfz"/>
        <w:sz w:val="56"/>
      </w:rPr>
      <w:t></w:t>
    </w:r>
    <w:r>
      <w:rPr>
        <w:noProof/>
        <w:sz w:val="20"/>
        <w:lang w:eastAsia="fr-CH"/>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undocs.org/m2/QRCode.ashx?DS=CERD/C/92/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ERD/C/92/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A57" w:rsidRPr="00AC3823" w:rsidRDefault="00E20A57" w:rsidP="00AC3823">
      <w:pPr>
        <w:pStyle w:val="Pieddepage"/>
        <w:tabs>
          <w:tab w:val="right" w:pos="2155"/>
        </w:tabs>
        <w:spacing w:after="80" w:line="240" w:lineRule="atLeast"/>
        <w:ind w:left="680"/>
        <w:rPr>
          <w:u w:val="single"/>
        </w:rPr>
      </w:pPr>
      <w:r>
        <w:rPr>
          <w:u w:val="single"/>
        </w:rPr>
        <w:tab/>
      </w:r>
    </w:p>
  </w:footnote>
  <w:footnote w:type="continuationSeparator" w:id="0">
    <w:p w:rsidR="00E20A57" w:rsidRPr="00AC3823" w:rsidRDefault="00E20A57" w:rsidP="00AC3823">
      <w:pPr>
        <w:pStyle w:val="Pieddepage"/>
        <w:tabs>
          <w:tab w:val="right" w:pos="2155"/>
        </w:tabs>
        <w:spacing w:after="80" w:line="240" w:lineRule="atLeast"/>
        <w:ind w:left="680"/>
        <w:rPr>
          <w:u w:val="single"/>
        </w:rPr>
      </w:pPr>
      <w:r>
        <w:rPr>
          <w:u w:val="single"/>
        </w:rPr>
        <w:tab/>
      </w:r>
    </w:p>
  </w:footnote>
  <w:footnote w:type="continuationNotice" w:id="1">
    <w:p w:rsidR="00E20A57" w:rsidRPr="00AC3823" w:rsidRDefault="00E20A57">
      <w:pPr>
        <w:spacing w:line="240" w:lineRule="auto"/>
        <w:rPr>
          <w:sz w:val="2"/>
          <w:szCs w:val="2"/>
        </w:rPr>
      </w:pPr>
    </w:p>
  </w:footnote>
  <w:footnote w:id="2">
    <w:p w:rsidR="00FC7FAA" w:rsidRPr="003E5FA1" w:rsidRDefault="00FC7FAA" w:rsidP="00FC7FAA">
      <w:pPr>
        <w:pStyle w:val="Notedebasdepage"/>
        <w:rPr>
          <w:rFonts w:ascii="Times New (W1)" w:cs="Times New (W1)"/>
          <w:strike/>
          <w:lang w:val="fr-FR"/>
        </w:rPr>
      </w:pPr>
      <w:r w:rsidRPr="003E5FA1">
        <w:rPr>
          <w:lang w:val="fr-FR"/>
        </w:rPr>
        <w:tab/>
      </w:r>
      <w:r w:rsidRPr="003E5FA1">
        <w:rPr>
          <w:rStyle w:val="Appelnotedebasdep"/>
          <w:lang w:val="fr-FR"/>
        </w:rPr>
        <w:footnoteRef/>
      </w:r>
      <w:r w:rsidRPr="003E5FA1">
        <w:rPr>
          <w:lang w:val="fr-FR"/>
        </w:rPr>
        <w:tab/>
      </w:r>
      <w:r w:rsidRPr="003E5FA1">
        <w:rPr>
          <w:i/>
          <w:iCs/>
          <w:lang w:val="fr-FR"/>
        </w:rPr>
        <w:t xml:space="preserve">Documents officiels de l’Assemblée générale, </w:t>
      </w:r>
      <w:r>
        <w:rPr>
          <w:i/>
          <w:iCs/>
          <w:lang w:val="fr-FR"/>
        </w:rPr>
        <w:t>soixante et onzi</w:t>
      </w:r>
      <w:r w:rsidRPr="003E5FA1">
        <w:rPr>
          <w:i/>
          <w:iCs/>
          <w:lang w:val="fr-FR"/>
        </w:rPr>
        <w:t>ème session, Supplément n</w:t>
      </w:r>
      <w:r w:rsidRPr="00A8300C">
        <w:rPr>
          <w:i/>
          <w:iCs/>
          <w:vertAlign w:val="superscript"/>
          <w:lang w:val="fr-FR"/>
        </w:rPr>
        <w:t>o</w:t>
      </w:r>
      <w:r>
        <w:rPr>
          <w:i/>
          <w:iCs/>
          <w:lang w:val="fr-FR"/>
        </w:rPr>
        <w:t> </w:t>
      </w:r>
      <w:r w:rsidRPr="003E5FA1">
        <w:rPr>
          <w:i/>
          <w:lang w:val="fr-FR"/>
        </w:rPr>
        <w:t xml:space="preserve">18 </w:t>
      </w:r>
      <w:r w:rsidRPr="003E5FA1">
        <w:rPr>
          <w:rFonts w:ascii="Times New (W1)" w:cs="Times New (W1)"/>
          <w:lang w:val="fr-FR"/>
        </w:rPr>
        <w:t>(A/</w:t>
      </w:r>
      <w:r>
        <w:rPr>
          <w:rFonts w:ascii="Times New (W1)" w:cs="Times New (W1)"/>
          <w:lang w:val="fr-FR"/>
        </w:rPr>
        <w:t>71</w:t>
      </w:r>
      <w:r w:rsidRPr="003E5FA1">
        <w:rPr>
          <w:rFonts w:ascii="Times New (W1)" w:cs="Times New (W1)"/>
          <w:lang w:val="fr-FR"/>
        </w:rPr>
        <w:t>/18), chap.</w:t>
      </w:r>
      <w:r w:rsidRPr="003E5FA1">
        <w:rPr>
          <w:rFonts w:ascii="Times New (W1)" w:cs="Times New (W1)"/>
          <w:lang w:val="fr-FR"/>
        </w:rPr>
        <w:t> </w:t>
      </w:r>
      <w:r w:rsidRPr="003E5FA1">
        <w:rPr>
          <w:rFonts w:ascii="Times New (W1)" w:cs="Times New (W1)"/>
          <w:lang w:val="fr-FR"/>
        </w:rPr>
        <w:t>VIII,</w:t>
      </w:r>
      <w:r w:rsidRPr="003E5FA1">
        <w:rPr>
          <w:rFonts w:ascii="Times New (W1)" w:cs="Times New (W1)"/>
          <w:b/>
          <w:bCs/>
          <w:lang w:val="fr-FR"/>
        </w:rPr>
        <w:t xml:space="preserve"> </w:t>
      </w:r>
      <w:r w:rsidRPr="003E5FA1">
        <w:rPr>
          <w:lang w:val="fr-FR"/>
        </w:rPr>
        <w:t>pa</w:t>
      </w:r>
      <w:r>
        <w:rPr>
          <w:lang w:val="fr-FR"/>
        </w:rPr>
        <w:t>r</w:t>
      </w:r>
      <w:r w:rsidRPr="003E5FA1">
        <w:rPr>
          <w:lang w:val="fr-FR"/>
        </w:rPr>
        <w:t>. </w:t>
      </w:r>
      <w:r>
        <w:rPr>
          <w:lang w:val="fr-FR"/>
        </w:rPr>
        <w:t>44 à 46</w:t>
      </w:r>
      <w:r w:rsidRPr="003E5FA1">
        <w:rPr>
          <w:lang w:val="fr-FR"/>
        </w:rPr>
        <w:t xml:space="preserve">. </w:t>
      </w:r>
    </w:p>
  </w:footnote>
  <w:footnote w:id="3">
    <w:p w:rsidR="00FC7FAA" w:rsidRPr="003E5FA1" w:rsidRDefault="00FC7FAA" w:rsidP="00FC7FAA">
      <w:pPr>
        <w:pStyle w:val="Notedebasdepage"/>
        <w:rPr>
          <w:lang w:val="fr-FR"/>
        </w:rPr>
      </w:pPr>
      <w:r w:rsidRPr="003E5FA1">
        <w:rPr>
          <w:lang w:val="fr-FR"/>
        </w:rPr>
        <w:tab/>
      </w:r>
      <w:r w:rsidRPr="003E5FA1">
        <w:rPr>
          <w:rStyle w:val="Appelnotedebasdep"/>
          <w:lang w:val="fr-FR"/>
        </w:rPr>
        <w:footnoteRef/>
      </w:r>
      <w:r w:rsidRPr="003E5FA1">
        <w:rPr>
          <w:lang w:val="fr-FR"/>
        </w:rPr>
        <w:tab/>
      </w:r>
      <w:r>
        <w:rPr>
          <w:lang w:val="fr-FR"/>
        </w:rPr>
        <w:t>Voir</w:t>
      </w:r>
      <w:r w:rsidRPr="003E5FA1">
        <w:rPr>
          <w:lang w:val="fr-FR"/>
        </w:rPr>
        <w:t xml:space="preserve"> </w:t>
      </w:r>
      <w:r w:rsidRPr="003E5FA1">
        <w:rPr>
          <w:i/>
          <w:iCs/>
          <w:lang w:val="fr-FR"/>
        </w:rPr>
        <w:t xml:space="preserve">Documents officiels de l’Assemblée générale, </w:t>
      </w:r>
      <w:r w:rsidR="00974C88">
        <w:rPr>
          <w:i/>
          <w:iCs/>
          <w:lang w:val="fr-FR"/>
        </w:rPr>
        <w:t xml:space="preserve">soixante et </w:t>
      </w:r>
      <w:r w:rsidR="00974C88">
        <w:rPr>
          <w:i/>
          <w:iCs/>
          <w:lang w:val="fr-FR"/>
        </w:rPr>
        <w:t>onzième</w:t>
      </w:r>
      <w:bookmarkStart w:id="0" w:name="_GoBack"/>
      <w:bookmarkEnd w:id="0"/>
      <w:r w:rsidRPr="003E5FA1">
        <w:rPr>
          <w:i/>
          <w:iCs/>
          <w:lang w:val="fr-FR"/>
        </w:rPr>
        <w:t xml:space="preserve"> </w:t>
      </w:r>
      <w:r>
        <w:rPr>
          <w:i/>
          <w:iCs/>
          <w:lang w:val="fr-FR"/>
        </w:rPr>
        <w:t>s</w:t>
      </w:r>
      <w:r w:rsidRPr="003E5FA1">
        <w:rPr>
          <w:i/>
          <w:iCs/>
          <w:lang w:val="fr-FR"/>
        </w:rPr>
        <w:t>ession</w:t>
      </w:r>
      <w:r w:rsidRPr="003E5FA1">
        <w:rPr>
          <w:lang w:val="fr-FR"/>
        </w:rPr>
        <w:t xml:space="preserve">, </w:t>
      </w:r>
      <w:r w:rsidRPr="003E5FA1">
        <w:rPr>
          <w:i/>
          <w:iCs/>
          <w:lang w:val="fr-FR"/>
        </w:rPr>
        <w:t>Supplément n</w:t>
      </w:r>
      <w:r w:rsidRPr="00A8300C">
        <w:rPr>
          <w:i/>
          <w:iCs/>
          <w:vertAlign w:val="superscript"/>
          <w:lang w:val="fr-FR"/>
        </w:rPr>
        <w:t>o</w:t>
      </w:r>
      <w:r>
        <w:rPr>
          <w:i/>
          <w:iCs/>
          <w:lang w:val="fr-FR"/>
        </w:rPr>
        <w:t> </w:t>
      </w:r>
      <w:r w:rsidRPr="003E5FA1">
        <w:rPr>
          <w:i/>
          <w:lang w:val="fr-FR"/>
        </w:rPr>
        <w:t xml:space="preserve">23 </w:t>
      </w:r>
      <w:r w:rsidRPr="003E5FA1">
        <w:rPr>
          <w:lang w:val="fr-FR"/>
        </w:rPr>
        <w:t>(A/</w:t>
      </w:r>
      <w:r>
        <w:rPr>
          <w:lang w:val="fr-FR"/>
        </w:rPr>
        <w:t>71</w:t>
      </w:r>
      <w:r w:rsidRPr="003E5FA1">
        <w:rPr>
          <w:lang w:val="fr-FR"/>
        </w:rPr>
        <w:t>/23).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FAA" w:rsidRPr="00FC7FAA" w:rsidRDefault="00791385">
    <w:pPr>
      <w:pStyle w:val="En-tte"/>
    </w:pPr>
    <w:r>
      <w:fldChar w:fldCharType="begin"/>
    </w:r>
    <w:r>
      <w:instrText xml:space="preserve"> TITLE  \* MERGEFORMAT </w:instrText>
    </w:r>
    <w:r>
      <w:fldChar w:fldCharType="separate"/>
    </w:r>
    <w:r w:rsidR="007562F5">
      <w:t>CERD/C/92/3</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FAA" w:rsidRPr="00FC7FAA" w:rsidRDefault="00791385" w:rsidP="00FC7FAA">
    <w:pPr>
      <w:pStyle w:val="En-tte"/>
      <w:jc w:val="right"/>
    </w:pPr>
    <w:r>
      <w:fldChar w:fldCharType="begin"/>
    </w:r>
    <w:r>
      <w:instrText xml:space="preserve"> TITLE  \* MERGEFORMAT </w:instrText>
    </w:r>
    <w:r>
      <w:fldChar w:fldCharType="separate"/>
    </w:r>
    <w:r w:rsidR="007562F5">
      <w:t>CERD/C/92/3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A57"/>
    <w:rsid w:val="00017F94"/>
    <w:rsid w:val="00023842"/>
    <w:rsid w:val="000334F9"/>
    <w:rsid w:val="0007796D"/>
    <w:rsid w:val="000B7790"/>
    <w:rsid w:val="00111F2F"/>
    <w:rsid w:val="0014365E"/>
    <w:rsid w:val="00176178"/>
    <w:rsid w:val="001F525A"/>
    <w:rsid w:val="00215BEC"/>
    <w:rsid w:val="00223272"/>
    <w:rsid w:val="0024779E"/>
    <w:rsid w:val="00446FE5"/>
    <w:rsid w:val="00452396"/>
    <w:rsid w:val="005505B7"/>
    <w:rsid w:val="00573BE5"/>
    <w:rsid w:val="00586ED3"/>
    <w:rsid w:val="00596AA9"/>
    <w:rsid w:val="00623CA8"/>
    <w:rsid w:val="00712E6E"/>
    <w:rsid w:val="0071601D"/>
    <w:rsid w:val="007562F5"/>
    <w:rsid w:val="00780585"/>
    <w:rsid w:val="00783E9F"/>
    <w:rsid w:val="007A62E6"/>
    <w:rsid w:val="0080684C"/>
    <w:rsid w:val="00871C75"/>
    <w:rsid w:val="008776DC"/>
    <w:rsid w:val="008A4F4C"/>
    <w:rsid w:val="009705C8"/>
    <w:rsid w:val="00974C88"/>
    <w:rsid w:val="00984B29"/>
    <w:rsid w:val="009D5F1A"/>
    <w:rsid w:val="00A30353"/>
    <w:rsid w:val="00AC3823"/>
    <w:rsid w:val="00AE323C"/>
    <w:rsid w:val="00B00181"/>
    <w:rsid w:val="00B765F7"/>
    <w:rsid w:val="00BA0CA9"/>
    <w:rsid w:val="00BB0B66"/>
    <w:rsid w:val="00C02897"/>
    <w:rsid w:val="00D3439C"/>
    <w:rsid w:val="00DB1831"/>
    <w:rsid w:val="00DC0149"/>
    <w:rsid w:val="00DD3BFD"/>
    <w:rsid w:val="00DF6678"/>
    <w:rsid w:val="00E20A57"/>
    <w:rsid w:val="00F660DF"/>
    <w:rsid w:val="00F95C08"/>
    <w:rsid w:val="00FC7FAA"/>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BB0B66"/>
    <w:rPr>
      <w:color w:val="0000FF"/>
      <w:u w:val="none"/>
    </w:rPr>
  </w:style>
  <w:style w:type="character" w:styleId="Lienhypertextesuivivisit">
    <w:name w:val="FollowedHyperlink"/>
    <w:basedOn w:val="Policepardfaut"/>
    <w:unhideWhenUsed/>
    <w:rsid w:val="00BB0B66"/>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DC014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0149"/>
    <w:rPr>
      <w:rFonts w:ascii="Tahoma" w:hAnsi="Tahoma" w:cs="Tahoma"/>
      <w:sz w:val="16"/>
      <w:szCs w:val="16"/>
      <w:lang w:eastAsia="en-US"/>
    </w:rPr>
  </w:style>
  <w:style w:type="character" w:customStyle="1" w:styleId="HChGChar">
    <w:name w:val="_ H _Ch_G Char"/>
    <w:link w:val="HChG"/>
    <w:rsid w:val="00780585"/>
    <w:rPr>
      <w:rFonts w:ascii="Times New Roman" w:hAnsi="Times New Roman" w:cs="Times New Roman"/>
      <w:b/>
      <w:sz w:val="28"/>
      <w:szCs w:val="20"/>
      <w:lang w:eastAsia="en-US"/>
    </w:rPr>
  </w:style>
  <w:style w:type="character" w:customStyle="1" w:styleId="SingleTxtGChar">
    <w:name w:val="_ Single Txt_G Char"/>
    <w:link w:val="SingleTxtG"/>
    <w:locked/>
    <w:rsid w:val="00780585"/>
    <w:rPr>
      <w:rFonts w:ascii="Times New Roman" w:hAnsi="Times New Roman"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BB0B66"/>
    <w:rPr>
      <w:color w:val="0000FF"/>
      <w:u w:val="none"/>
    </w:rPr>
  </w:style>
  <w:style w:type="character" w:styleId="Lienhypertextesuivivisit">
    <w:name w:val="FollowedHyperlink"/>
    <w:basedOn w:val="Policepardfaut"/>
    <w:unhideWhenUsed/>
    <w:rsid w:val="00BB0B66"/>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DC014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0149"/>
    <w:rPr>
      <w:rFonts w:ascii="Tahoma" w:hAnsi="Tahoma" w:cs="Tahoma"/>
      <w:sz w:val="16"/>
      <w:szCs w:val="16"/>
      <w:lang w:eastAsia="en-US"/>
    </w:rPr>
  </w:style>
  <w:style w:type="character" w:customStyle="1" w:styleId="HChGChar">
    <w:name w:val="_ H _Ch_G Char"/>
    <w:link w:val="HChG"/>
    <w:rsid w:val="00780585"/>
    <w:rPr>
      <w:rFonts w:ascii="Times New Roman" w:hAnsi="Times New Roman" w:cs="Times New Roman"/>
      <w:b/>
      <w:sz w:val="28"/>
      <w:szCs w:val="20"/>
      <w:lang w:eastAsia="en-US"/>
    </w:rPr>
  </w:style>
  <w:style w:type="character" w:customStyle="1" w:styleId="SingleTxtGChar">
    <w:name w:val="_ Single Txt_G Char"/>
    <w:link w:val="SingleTxtG"/>
    <w:locked/>
    <w:rsid w:val="00780585"/>
    <w:rPr>
      <w:rFonts w:ascii="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0</TotalTime>
  <Pages>2</Pages>
  <Words>506</Words>
  <Characters>3132</Characters>
  <Application>Microsoft Office Word</Application>
  <DocSecurity>0</DocSecurity>
  <Lines>90</Lines>
  <Paragraphs>55</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3599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CERD/C/92/3</dc:title>
  <dc:subject/>
  <dc:creator>Bourion</dc:creator>
  <cp:keywords/>
  <cp:lastModifiedBy>Bourion</cp:lastModifiedBy>
  <cp:revision>2</cp:revision>
  <cp:lastPrinted>2017-03-28T05:48:00Z</cp:lastPrinted>
  <dcterms:created xsi:type="dcterms:W3CDTF">2017-03-28T05:57:00Z</dcterms:created>
  <dcterms:modified xsi:type="dcterms:W3CDTF">2017-03-28T05:57:00Z</dcterms:modified>
</cp:coreProperties>
</file>