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583C69" w:rsidP="00583C69">
            <w:pPr>
              <w:jc w:val="right"/>
            </w:pPr>
            <w:r w:rsidRPr="00583C69">
              <w:rPr>
                <w:sz w:val="40"/>
              </w:rPr>
              <w:t>CERD</w:t>
            </w:r>
            <w:r>
              <w:t>/SP/74/Add.1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583C69" w:rsidRDefault="00583C69" w:rsidP="00593658">
            <w:pPr>
              <w:spacing w:before="240"/>
            </w:pPr>
            <w:r>
              <w:t>Distr. générale</w:t>
            </w:r>
          </w:p>
          <w:p w:rsidR="00583C69" w:rsidRDefault="00583C69" w:rsidP="00583C69">
            <w:pPr>
              <w:spacing w:line="240" w:lineRule="exact"/>
            </w:pPr>
            <w:r>
              <w:t>31 octobre 2011</w:t>
            </w:r>
          </w:p>
          <w:p w:rsidR="00583C69" w:rsidRDefault="00583C69" w:rsidP="00583C69">
            <w:pPr>
              <w:spacing w:line="240" w:lineRule="exact"/>
            </w:pPr>
            <w:r>
              <w:t>Français</w:t>
            </w:r>
          </w:p>
          <w:p w:rsidR="002E0D40" w:rsidRPr="00DB58B5" w:rsidRDefault="00583C69" w:rsidP="00583C69">
            <w:pPr>
              <w:spacing w:line="240" w:lineRule="exact"/>
            </w:pPr>
            <w:r>
              <w:t>Original: anglais et français</w:t>
            </w:r>
          </w:p>
        </w:tc>
      </w:tr>
    </w:tbl>
    <w:p w:rsidR="00583C69" w:rsidRPr="00583C69" w:rsidRDefault="00583C69" w:rsidP="00583C69">
      <w:pPr>
        <w:spacing w:before="120"/>
        <w:rPr>
          <w:b/>
          <w:sz w:val="24"/>
          <w:szCs w:val="24"/>
        </w:rPr>
      </w:pPr>
      <w:r w:rsidRPr="00583C69">
        <w:rPr>
          <w:b/>
          <w:sz w:val="24"/>
          <w:szCs w:val="24"/>
        </w:rPr>
        <w:t>Réunion des États Parties</w:t>
      </w:r>
    </w:p>
    <w:p w:rsidR="00583C69" w:rsidRPr="00583C69" w:rsidRDefault="00583C69" w:rsidP="00583C69">
      <w:pPr>
        <w:rPr>
          <w:b/>
        </w:rPr>
      </w:pPr>
      <w:r w:rsidRPr="00583C69">
        <w:rPr>
          <w:b/>
        </w:rPr>
        <w:t>Vingt-quatrième réunion</w:t>
      </w:r>
    </w:p>
    <w:p w:rsidR="00583C69" w:rsidRPr="00583C69" w:rsidRDefault="00734D5B" w:rsidP="00583C69">
      <w:r>
        <w:t>New </w:t>
      </w:r>
      <w:r w:rsidR="00583C69" w:rsidRPr="00583C69">
        <w:t>York, 30 novembre 2011</w:t>
      </w:r>
    </w:p>
    <w:p w:rsidR="00583C69" w:rsidRPr="00583C69" w:rsidRDefault="00583C69" w:rsidP="00583C69">
      <w:r w:rsidRPr="00583C69">
        <w:t>Point 5 de l’ordre du jour provisoire</w:t>
      </w:r>
    </w:p>
    <w:p w:rsidR="00583C69" w:rsidRPr="00734D5B" w:rsidRDefault="00583C69" w:rsidP="00583C69">
      <w:pPr>
        <w:rPr>
          <w:b/>
        </w:rPr>
      </w:pPr>
      <w:r w:rsidRPr="00734D5B">
        <w:rPr>
          <w:b/>
        </w:rPr>
        <w:t>Élection de neuf membr</w:t>
      </w:r>
      <w:r w:rsidR="00915FE2">
        <w:rPr>
          <w:b/>
        </w:rPr>
        <w:t>es du Comité pour l’élimination</w:t>
      </w:r>
      <w:r w:rsidR="00915FE2">
        <w:rPr>
          <w:b/>
        </w:rPr>
        <w:br/>
        <w:t>d</w:t>
      </w:r>
      <w:r w:rsidRPr="00734D5B">
        <w:rPr>
          <w:b/>
        </w:rPr>
        <w:t>e</w:t>
      </w:r>
      <w:r w:rsidR="00915FE2">
        <w:rPr>
          <w:b/>
        </w:rPr>
        <w:t xml:space="preserve"> </w:t>
      </w:r>
      <w:r w:rsidRPr="00734D5B">
        <w:rPr>
          <w:b/>
        </w:rPr>
        <w:t>la discrimination raciale devant remplacer les membres</w:t>
      </w:r>
      <w:r w:rsidR="00915FE2">
        <w:rPr>
          <w:b/>
        </w:rPr>
        <w:br/>
      </w:r>
      <w:r w:rsidRPr="00734D5B">
        <w:rPr>
          <w:b/>
        </w:rPr>
        <w:t>dont</w:t>
      </w:r>
      <w:r w:rsidR="00915FE2">
        <w:rPr>
          <w:b/>
        </w:rPr>
        <w:t xml:space="preserve"> </w:t>
      </w:r>
      <w:r w:rsidRPr="00734D5B">
        <w:rPr>
          <w:b/>
        </w:rPr>
        <w:t>le mandat expire le 19 janvier 2012, conformément</w:t>
      </w:r>
      <w:r w:rsidR="00915FE2">
        <w:rPr>
          <w:b/>
        </w:rPr>
        <w:br/>
      </w:r>
      <w:r w:rsidRPr="00734D5B">
        <w:rPr>
          <w:b/>
        </w:rPr>
        <w:t>aux</w:t>
      </w:r>
      <w:r w:rsidR="00915FE2">
        <w:rPr>
          <w:b/>
        </w:rPr>
        <w:t xml:space="preserve"> </w:t>
      </w:r>
      <w:r w:rsidRPr="00734D5B">
        <w:rPr>
          <w:b/>
        </w:rPr>
        <w:t>dispositions de l’article 8 de la Convention (CERD/SP/74)</w:t>
      </w:r>
    </w:p>
    <w:p w:rsidR="00583C69" w:rsidRPr="00583C69" w:rsidRDefault="00583C69" w:rsidP="00583C69">
      <w:pPr>
        <w:pStyle w:val="HChG"/>
      </w:pPr>
      <w:r>
        <w:tab/>
      </w:r>
      <w:r>
        <w:tab/>
      </w:r>
      <w:r w:rsidRPr="00583C69">
        <w:t>Élection de neuf membres du Comité pour l’</w:t>
      </w:r>
      <w:r>
        <w:t>élimination de</w:t>
      </w:r>
      <w:r>
        <w:br/>
      </w:r>
      <w:r w:rsidRPr="00583C69">
        <w:t>la discrimination raciale devant remplacer les membres dont le mandat expire le 19 janvier 2012, conformément aux dispositions de l’article 8 de la Convention (CERD/SP/74)</w:t>
      </w:r>
    </w:p>
    <w:p w:rsidR="00583C69" w:rsidRPr="00583C69" w:rsidRDefault="00583C69" w:rsidP="00583C69">
      <w:pPr>
        <w:pStyle w:val="H1G"/>
      </w:pPr>
      <w:r>
        <w:tab/>
      </w:r>
      <w:r>
        <w:tab/>
      </w:r>
      <w:r w:rsidRPr="00583C69">
        <w:t>Note du Secrétaire général</w:t>
      </w:r>
      <w:r w:rsidR="00A86C3B" w:rsidRPr="00E92650">
        <w:rPr>
          <w:rStyle w:val="FootnoteReference"/>
          <w:b w:val="0"/>
          <w:sz w:val="20"/>
          <w:vertAlign w:val="baseline"/>
        </w:rPr>
        <w:footnoteReference w:customMarkFollows="1" w:id="2"/>
        <w:t>*</w:t>
      </w:r>
    </w:p>
    <w:p w:rsidR="00583C69" w:rsidRPr="00583C69" w:rsidRDefault="00583C69" w:rsidP="00583C69">
      <w:pPr>
        <w:pStyle w:val="H23G"/>
      </w:pPr>
      <w:r>
        <w:tab/>
      </w:r>
      <w:r>
        <w:tab/>
      </w:r>
      <w:r w:rsidRPr="00583C69">
        <w:t>Additif</w:t>
      </w:r>
    </w:p>
    <w:p w:rsidR="00583C69" w:rsidRPr="00583C69" w:rsidRDefault="00583C69" w:rsidP="00583C69">
      <w:pPr>
        <w:pStyle w:val="SingleTxtG"/>
      </w:pPr>
      <w:r w:rsidRPr="00583C69">
        <w:t>1.</w:t>
      </w:r>
      <w:r w:rsidRPr="00583C69">
        <w:tab/>
        <w:t>Conformément au paragraphe 4 de l’article 8 de la Convention internationale sur l’élimination de toutes les formes de discrimination raciale, le Secrétaire général convoquera la vingt-quatrième réunion des États Parties au siège de l’Organi</w:t>
      </w:r>
      <w:r>
        <w:t xml:space="preserve">sation des Nations Unies, le 30 </w:t>
      </w:r>
      <w:r w:rsidRPr="00583C69">
        <w:t>novembre 2011, en vue d’élire neuf membres du Comité pour l’élimination de la discrimination raciale devant remplacer ceux dont le mandat expire le 19 janvier 2012 (voir CERD/SP/74, annexe I).</w:t>
      </w:r>
    </w:p>
    <w:p w:rsidR="00583C69" w:rsidRPr="00583C69" w:rsidRDefault="00583C69" w:rsidP="00583C69">
      <w:pPr>
        <w:pStyle w:val="SingleTxtG"/>
      </w:pPr>
      <w:r w:rsidRPr="00583C69">
        <w:t>2.</w:t>
      </w:r>
      <w:r w:rsidRPr="00583C69">
        <w:tab/>
        <w:t xml:space="preserve">Les </w:t>
      </w:r>
      <w:r>
        <w:t>renseignements</w:t>
      </w:r>
      <w:r w:rsidRPr="00583C69">
        <w:t xml:space="preserve"> biographiques </w:t>
      </w:r>
      <w:r>
        <w:t>concernant neuf candidats reçus au 12 septembre 2011</w:t>
      </w:r>
      <w:r w:rsidRPr="00583C69">
        <w:t xml:space="preserve"> figurent dans le document CERD/SP/74.</w:t>
      </w:r>
    </w:p>
    <w:p w:rsidR="00583C69" w:rsidRPr="00583C69" w:rsidRDefault="00583C69" w:rsidP="00583C69">
      <w:pPr>
        <w:pStyle w:val="SingleTxtG"/>
      </w:pPr>
      <w:r w:rsidRPr="00583C69">
        <w:t>3.</w:t>
      </w:r>
      <w:r w:rsidRPr="00583C69">
        <w:tab/>
        <w:t xml:space="preserve">Le présent document contient les </w:t>
      </w:r>
      <w:r>
        <w:t>renseignements</w:t>
      </w:r>
      <w:r w:rsidRPr="00583C69">
        <w:t xml:space="preserve"> biographiques </w:t>
      </w:r>
      <w:r>
        <w:t>concernant trois autres candidats,</w:t>
      </w:r>
      <w:r w:rsidRPr="00583C69">
        <w:t xml:space="preserve"> présentés après le 12 septembre </w:t>
      </w:r>
      <w:r>
        <w:t xml:space="preserve">2011 </w:t>
      </w:r>
      <w:r w:rsidRPr="00583C69">
        <w:t>par l’Afrique du Sud</w:t>
      </w:r>
      <w:r>
        <w:t>, le Bénin, et l’Iraq</w:t>
      </w:r>
      <w:r w:rsidRPr="00583C69">
        <w:t>.</w:t>
      </w:r>
    </w:p>
    <w:p w:rsidR="00583C69" w:rsidRPr="00583C69" w:rsidRDefault="00583C69" w:rsidP="00583C69">
      <w:pPr>
        <w:pStyle w:val="HChG"/>
      </w:pPr>
      <w:r w:rsidRPr="00583C69">
        <w:br w:type="page"/>
        <w:t>Annexe</w:t>
      </w:r>
    </w:p>
    <w:p w:rsidR="00583C69" w:rsidRPr="00583C69" w:rsidRDefault="00583C69" w:rsidP="00583C69">
      <w:pPr>
        <w:pStyle w:val="HChG"/>
      </w:pPr>
      <w:r>
        <w:tab/>
      </w:r>
      <w:r>
        <w:tab/>
      </w:r>
      <w:r w:rsidR="0028371C">
        <w:t>Renseignements</w:t>
      </w:r>
      <w:r w:rsidRPr="00583C69">
        <w:t xml:space="preserve"> biographique</w:t>
      </w:r>
      <w:r w:rsidR="0028371C">
        <w:t>s</w:t>
      </w:r>
      <w:r w:rsidRPr="00583C69">
        <w:t xml:space="preserve"> </w:t>
      </w:r>
      <w:r w:rsidR="0028371C">
        <w:t>concernant les</w:t>
      </w:r>
      <w:r w:rsidRPr="00583C69">
        <w:t xml:space="preserve"> candidats</w:t>
      </w:r>
    </w:p>
    <w:p w:rsidR="00583C69" w:rsidRPr="00583C69" w:rsidRDefault="00F66054" w:rsidP="00F66054">
      <w:pPr>
        <w:pStyle w:val="H1G"/>
      </w:pPr>
      <w:r>
        <w:tab/>
      </w:r>
      <w:r>
        <w:tab/>
      </w:r>
      <w:r w:rsidR="00583C69" w:rsidRPr="00583C69">
        <w:t>M</w:t>
      </w:r>
      <w:r w:rsidR="00583C69" w:rsidRPr="00583C69">
        <w:rPr>
          <w:vertAlign w:val="superscript"/>
        </w:rPr>
        <w:t>me</w:t>
      </w:r>
      <w:r w:rsidR="00583C69" w:rsidRPr="00583C69">
        <w:t xml:space="preserve"> Thikra Abdraheem Alldad (Iraq)</w:t>
      </w:r>
    </w:p>
    <w:p w:rsidR="00583C69" w:rsidRPr="00583C69" w:rsidRDefault="00583C69" w:rsidP="00583C69">
      <w:pPr>
        <w:pStyle w:val="SingleTxtG"/>
      </w:pPr>
      <w:r w:rsidRPr="00583C69">
        <w:rPr>
          <w:b/>
        </w:rPr>
        <w:t>Date et lieu de naissance</w:t>
      </w:r>
      <w:r w:rsidRPr="00583C69">
        <w:t xml:space="preserve">: </w:t>
      </w:r>
      <w:r w:rsidR="0028371C">
        <w:t>28  février 1971, Bagdad (Iraq)</w:t>
      </w:r>
    </w:p>
    <w:p w:rsidR="00583C69" w:rsidRPr="00583C69" w:rsidRDefault="00583C69" w:rsidP="00583C69">
      <w:pPr>
        <w:pStyle w:val="SingleTxtG"/>
      </w:pPr>
      <w:r w:rsidRPr="00F66054">
        <w:rPr>
          <w:b/>
        </w:rPr>
        <w:t>Langues de travail</w:t>
      </w:r>
      <w:r w:rsidR="00FC575B">
        <w:t>: arabe, kurde, anglais</w:t>
      </w:r>
    </w:p>
    <w:p w:rsidR="00583C69" w:rsidRPr="00583C69" w:rsidRDefault="0028371C" w:rsidP="00583C69">
      <w:pPr>
        <w:pStyle w:val="SingleTxtG"/>
      </w:pPr>
      <w:r>
        <w:rPr>
          <w:b/>
        </w:rPr>
        <w:t>Situation/fonction</w:t>
      </w:r>
      <w:r w:rsidR="00583C69" w:rsidRPr="00583C69">
        <w:rPr>
          <w:b/>
        </w:rPr>
        <w:t xml:space="preserve"> actuelle</w:t>
      </w:r>
    </w:p>
    <w:p w:rsidR="00583C69" w:rsidRPr="00583C69" w:rsidRDefault="00583C69" w:rsidP="00583C69">
      <w:pPr>
        <w:pStyle w:val="SingleTxtG"/>
      </w:pPr>
      <w:r w:rsidRPr="00583C69">
        <w:t xml:space="preserve">Directrice générale des études et des recherches au Ministère </w:t>
      </w:r>
      <w:r w:rsidR="0028371C">
        <w:t xml:space="preserve">iraquien </w:t>
      </w:r>
      <w:r w:rsidRPr="00583C69">
        <w:t>des droits de l’homme</w:t>
      </w:r>
    </w:p>
    <w:p w:rsidR="00583C69" w:rsidRPr="00583C69" w:rsidRDefault="00583C69" w:rsidP="00583C69">
      <w:pPr>
        <w:pStyle w:val="SingleTxtG"/>
        <w:rPr>
          <w:b/>
        </w:rPr>
      </w:pPr>
      <w:r w:rsidRPr="00583C69">
        <w:rPr>
          <w:b/>
        </w:rPr>
        <w:t>Principales activités professionnelles</w:t>
      </w:r>
    </w:p>
    <w:p w:rsidR="00583C69" w:rsidRPr="00583C69" w:rsidRDefault="00583C69" w:rsidP="00583C69">
      <w:pPr>
        <w:pStyle w:val="SingleTxtG"/>
      </w:pPr>
      <w:r w:rsidRPr="00583C69">
        <w:t>A partici</w:t>
      </w:r>
      <w:r w:rsidR="00EF03C7">
        <w:t>pé à la H</w:t>
      </w:r>
      <w:r w:rsidRPr="00583C69">
        <w:t xml:space="preserve">aute autorité pour la préparation de la Conférence sur la formation du Conseil national après la </w:t>
      </w:r>
      <w:r w:rsidR="00EF03C7">
        <w:t>mise en place</w:t>
      </w:r>
      <w:r w:rsidRPr="00583C69">
        <w:t xml:space="preserve"> du Conseil de Gouvernement de l’Iraq en 2003.</w:t>
      </w:r>
    </w:p>
    <w:p w:rsidR="00583C69" w:rsidRPr="00583C69" w:rsidRDefault="00EF03C7" w:rsidP="00583C69">
      <w:pPr>
        <w:pStyle w:val="SingleTxtG"/>
      </w:pPr>
      <w:r>
        <w:t>Responsable de l’a</w:t>
      </w:r>
      <w:r w:rsidR="00583C69" w:rsidRPr="00583C69">
        <w:t>dministration générale pour la première session du Conseil national en 2005.</w:t>
      </w:r>
    </w:p>
    <w:p w:rsidR="00583C69" w:rsidRPr="00583C69" w:rsidRDefault="00EF03C7" w:rsidP="00583C69">
      <w:pPr>
        <w:pStyle w:val="SingleTxtG"/>
      </w:pPr>
      <w:r>
        <w:t>Présidente de la Commission</w:t>
      </w:r>
      <w:r w:rsidR="00583C69" w:rsidRPr="00583C69">
        <w:t xml:space="preserve"> de </w:t>
      </w:r>
      <w:r>
        <w:t xml:space="preserve">la </w:t>
      </w:r>
      <w:r w:rsidR="00583C69" w:rsidRPr="00583C69">
        <w:t>défense et de</w:t>
      </w:r>
      <w:r>
        <w:t xml:space="preserve"> la</w:t>
      </w:r>
      <w:r w:rsidR="00583C69" w:rsidRPr="00583C69">
        <w:t xml:space="preserve"> sécurité </w:t>
      </w:r>
      <w:r>
        <w:t>du Parlement de 2006 à 2010.</w:t>
      </w:r>
    </w:p>
    <w:p w:rsidR="00583C69" w:rsidRPr="00583C69" w:rsidRDefault="00EF03C7" w:rsidP="00583C69">
      <w:pPr>
        <w:pStyle w:val="SingleTxtG"/>
      </w:pPr>
      <w:r>
        <w:t>Chargée du s</w:t>
      </w:r>
      <w:r w:rsidR="00583C69" w:rsidRPr="00583C69">
        <w:t xml:space="preserve">uivi du soutien </w:t>
      </w:r>
      <w:r>
        <w:t>des</w:t>
      </w:r>
      <w:r w:rsidR="00583C69" w:rsidRPr="00583C69">
        <w:t xml:space="preserve"> enfants ayant des besoins spéciaux, en particulier dans les écoles.</w:t>
      </w:r>
    </w:p>
    <w:p w:rsidR="00583C69" w:rsidRPr="00583C69" w:rsidRDefault="00EF03C7" w:rsidP="00583C69">
      <w:pPr>
        <w:pStyle w:val="SingleTxtG"/>
      </w:pPr>
      <w:r>
        <w:t>Membre</w:t>
      </w:r>
      <w:r w:rsidR="00583C69" w:rsidRPr="00583C69">
        <w:t xml:space="preserve"> de nombreuses organisations de la société civile s’occupant des droits des femmes.</w:t>
      </w:r>
    </w:p>
    <w:p w:rsidR="00583C69" w:rsidRPr="00583C69" w:rsidRDefault="00EF03C7" w:rsidP="00583C69">
      <w:pPr>
        <w:pStyle w:val="SingleTxtG"/>
      </w:pPr>
      <w:r>
        <w:t>Visite</w:t>
      </w:r>
      <w:r w:rsidR="00583C69" w:rsidRPr="00583C69">
        <w:t xml:space="preserve"> </w:t>
      </w:r>
      <w:r>
        <w:t>des</w:t>
      </w:r>
      <w:r w:rsidR="00583C69" w:rsidRPr="00583C69">
        <w:t xml:space="preserve"> régions </w:t>
      </w:r>
      <w:r>
        <w:t>pauvres</w:t>
      </w:r>
      <w:r w:rsidR="00583C69" w:rsidRPr="00583C69">
        <w:t xml:space="preserve"> de l’Iraq </w:t>
      </w:r>
      <w:r>
        <w:t>pour</w:t>
      </w:r>
      <w:r w:rsidR="00583C69" w:rsidRPr="00583C69">
        <w:t xml:space="preserve"> déterminer les besoin</w:t>
      </w:r>
      <w:r>
        <w:t xml:space="preserve">s des habitants de ces régions et </w:t>
      </w:r>
      <w:r w:rsidR="00583C69" w:rsidRPr="00583C69">
        <w:t xml:space="preserve">soumission de rapports aux autorités compétentes en vue d’améliorer les conditions de vie de ces </w:t>
      </w:r>
      <w:r w:rsidR="007654A6">
        <w:t>catégories</w:t>
      </w:r>
      <w:r w:rsidR="00583C69" w:rsidRPr="00583C69">
        <w:t xml:space="preserve"> de personnes.</w:t>
      </w:r>
    </w:p>
    <w:p w:rsidR="00583C69" w:rsidRPr="00583C69" w:rsidRDefault="00583C69" w:rsidP="00583C69">
      <w:pPr>
        <w:pStyle w:val="SingleTxtG"/>
      </w:pPr>
      <w:r w:rsidRPr="00583C69">
        <w:t>Coordonnatrice du Ministère des droits de l’homme</w:t>
      </w:r>
      <w:r w:rsidR="00932EDA">
        <w:t>, en charge de la liaison</w:t>
      </w:r>
      <w:r w:rsidRPr="00583C69">
        <w:t xml:space="preserve"> avec la Commission économique et sociale pour </w:t>
      </w:r>
      <w:r w:rsidR="00932EDA">
        <w:t>l’Asie</w:t>
      </w:r>
      <w:r w:rsidR="00FC575B">
        <w:t xml:space="preserve"> occidentale (C</w:t>
      </w:r>
      <w:r w:rsidRPr="00583C69">
        <w:t xml:space="preserve">ESAO) pour la mise en œuvre du programme visant à promouvoir </w:t>
      </w:r>
      <w:r w:rsidR="00932EDA" w:rsidRPr="00583C69">
        <w:t xml:space="preserve">par l’éducation </w:t>
      </w:r>
      <w:r w:rsidRPr="00583C69">
        <w:t xml:space="preserve">les valeurs civiques et les compétences pratiques </w:t>
      </w:r>
      <w:r w:rsidR="00932EDA">
        <w:t xml:space="preserve">chez les </w:t>
      </w:r>
      <w:r w:rsidRPr="00583C69">
        <w:t>adolescents (12 à 19 ans).</w:t>
      </w:r>
    </w:p>
    <w:p w:rsidR="00583C69" w:rsidRPr="00583C69" w:rsidRDefault="00583C69" w:rsidP="00583C69">
      <w:pPr>
        <w:pStyle w:val="SingleTxtG"/>
      </w:pPr>
      <w:r w:rsidRPr="00583C69">
        <w:t>Coordonnatrice du Ministère des droits de l’homme</w:t>
      </w:r>
      <w:r w:rsidR="00932EDA">
        <w:t>, en charge de la liaison</w:t>
      </w:r>
      <w:r w:rsidRPr="00583C69">
        <w:t xml:space="preserve"> avec le Bureau des Nations Unies pour les services d’appui au</w:t>
      </w:r>
      <w:r w:rsidR="00932EDA">
        <w:t>x</w:t>
      </w:r>
      <w:r w:rsidRPr="00583C69">
        <w:t xml:space="preserve"> projet</w:t>
      </w:r>
      <w:r w:rsidR="00932EDA">
        <w:t>s</w:t>
      </w:r>
      <w:r w:rsidRPr="00583C69">
        <w:t xml:space="preserve"> (UNOPS) pour la mise en œuvre du projet relatif aux défenseurs des droits de l’homme.</w:t>
      </w:r>
    </w:p>
    <w:p w:rsidR="00583C69" w:rsidRPr="00583C69" w:rsidRDefault="00583C69" w:rsidP="00583C69">
      <w:pPr>
        <w:pStyle w:val="SingleTxtG"/>
        <w:rPr>
          <w:b/>
        </w:rPr>
      </w:pPr>
      <w:r w:rsidRPr="00583C69">
        <w:rPr>
          <w:b/>
        </w:rPr>
        <w:t>Études</w:t>
      </w:r>
    </w:p>
    <w:p w:rsidR="00583C69" w:rsidRPr="00583C69" w:rsidRDefault="00583C69" w:rsidP="00583C69">
      <w:pPr>
        <w:pStyle w:val="SingleTxtG"/>
      </w:pPr>
      <w:r w:rsidRPr="00583C69">
        <w:t>Licence en droit, mention honorable, Bagdad (Iraq)</w:t>
      </w:r>
    </w:p>
    <w:p w:rsidR="00583C69" w:rsidRPr="00583C69" w:rsidRDefault="00583C69" w:rsidP="00583C69">
      <w:pPr>
        <w:pStyle w:val="SingleTxtG"/>
      </w:pPr>
      <w:r w:rsidRPr="00583C69">
        <w:rPr>
          <w:b/>
        </w:rPr>
        <w:t>Autres activités principales liées au mandat du Comité</w:t>
      </w:r>
    </w:p>
    <w:p w:rsidR="00583C69" w:rsidRPr="00583C69" w:rsidRDefault="00583C69" w:rsidP="00583C69">
      <w:pPr>
        <w:pStyle w:val="SingleTxtG"/>
      </w:pPr>
      <w:r w:rsidRPr="00583C69">
        <w:t>Vice-Présidente de l’équipe chargée de rédiger le rapport de l’Iraq sur la mise en œuvre du Pacte international relatif aux droits économiques, sociaux et culturels (le projet de rapport a été affiché sur le site Web du Ministère).</w:t>
      </w:r>
    </w:p>
    <w:p w:rsidR="00583C69" w:rsidRPr="00583C69" w:rsidRDefault="009D751A" w:rsidP="00583C69">
      <w:pPr>
        <w:pStyle w:val="SingleTxtG"/>
      </w:pPr>
      <w:r>
        <w:t xml:space="preserve">Vice-Présidente de l’équipe </w:t>
      </w:r>
      <w:r w:rsidR="00583C69" w:rsidRPr="00583C69">
        <w:t xml:space="preserve">chargée de rédiger le rapport de l’Iraq sur la mise en œuvre de la Convention internationale sur l’élimination de toutes les formes de discrimination raciale. </w:t>
      </w:r>
    </w:p>
    <w:p w:rsidR="00583C69" w:rsidRPr="00583C69" w:rsidRDefault="00583C69" w:rsidP="00583C69">
      <w:pPr>
        <w:pStyle w:val="SingleTxtG"/>
      </w:pPr>
      <w:r w:rsidRPr="00583C69">
        <w:t xml:space="preserve">Membre de l’équipe de suivi de la mise en œuvre du Plan national pour les droits de l’homme adopté </w:t>
      </w:r>
      <w:r w:rsidR="00E444A2">
        <w:t>en exécution des</w:t>
      </w:r>
      <w:r w:rsidRPr="00583C69">
        <w:t xml:space="preserve"> obligations </w:t>
      </w:r>
      <w:r w:rsidR="00E444A2">
        <w:t>de l’Iraq au titre des c</w:t>
      </w:r>
      <w:r w:rsidRPr="00583C69">
        <w:t>onventions internationales.</w:t>
      </w:r>
    </w:p>
    <w:p w:rsidR="00583C69" w:rsidRPr="00583C69" w:rsidRDefault="00583C69" w:rsidP="00583C69">
      <w:pPr>
        <w:pStyle w:val="SingleTxtG"/>
      </w:pPr>
      <w:r w:rsidRPr="00583C69">
        <w:t xml:space="preserve">Membre de l’équipe chargée de rédiger le rapport de l’Iraq </w:t>
      </w:r>
      <w:r w:rsidR="00721861">
        <w:t xml:space="preserve">qui doit </w:t>
      </w:r>
      <w:r w:rsidRPr="00583C69">
        <w:t xml:space="preserve">être soumis en 2014 </w:t>
      </w:r>
      <w:r w:rsidR="00721861">
        <w:t xml:space="preserve">dans le cadre </w:t>
      </w:r>
      <w:r w:rsidRPr="00583C69">
        <w:t>de l’Examen périodique universel.</w:t>
      </w:r>
    </w:p>
    <w:p w:rsidR="00583C69" w:rsidRPr="00583C69" w:rsidRDefault="00583C69" w:rsidP="00583C69">
      <w:pPr>
        <w:pStyle w:val="SingleTxtG"/>
      </w:pPr>
      <w:r w:rsidRPr="00583C69">
        <w:rPr>
          <w:b/>
        </w:rPr>
        <w:t>Publications les plus récentes dans le domaine considéré</w:t>
      </w:r>
    </w:p>
    <w:p w:rsidR="00F66054" w:rsidRDefault="00583C69" w:rsidP="00583C69">
      <w:pPr>
        <w:pStyle w:val="SingleTxtG"/>
      </w:pPr>
      <w:r w:rsidRPr="00583C69">
        <w:t xml:space="preserve">Supervision de nombreuses recherches et études sur les violations des droits civils et politiques </w:t>
      </w:r>
      <w:r w:rsidR="00B1731F">
        <w:t>sous</w:t>
      </w:r>
      <w:r w:rsidRPr="00583C69">
        <w:t xml:space="preserve"> le régime précédent, sur les conditions de vie des élèves orphelins, sur la situation des élèves dans les écoles pour enfants ayant des besoins spéciaux et sur la situation des droits de l’homme en Iraq.</w:t>
      </w:r>
    </w:p>
    <w:p w:rsidR="00F66054" w:rsidRPr="00F66054" w:rsidRDefault="00F66054" w:rsidP="00F66054">
      <w:pPr>
        <w:pStyle w:val="H1G"/>
        <w:rPr>
          <w:lang w:val="es-ES"/>
        </w:rPr>
      </w:pPr>
      <w:r>
        <w:br w:type="page"/>
      </w:r>
      <w:r>
        <w:tab/>
      </w:r>
      <w:r>
        <w:tab/>
      </w:r>
      <w:r w:rsidRPr="00F66054">
        <w:rPr>
          <w:lang w:val="es-ES"/>
        </w:rPr>
        <w:t>M</w:t>
      </w:r>
      <w:r w:rsidRPr="00F66054">
        <w:rPr>
          <w:vertAlign w:val="superscript"/>
          <w:lang w:val="es-ES"/>
        </w:rPr>
        <w:t>me</w:t>
      </w:r>
      <w:r w:rsidRPr="00F66054">
        <w:rPr>
          <w:lang w:val="es-ES"/>
        </w:rPr>
        <w:t> </w:t>
      </w:r>
      <w:r w:rsidR="003C2CBA">
        <w:rPr>
          <w:lang w:val="es-ES"/>
        </w:rPr>
        <w:t>Olivia Aubierge Hungbo-</w:t>
      </w:r>
      <w:r w:rsidR="00EC7CC4">
        <w:rPr>
          <w:lang w:val="es-ES"/>
        </w:rPr>
        <w:t>Kploca (Bé</w:t>
      </w:r>
      <w:r w:rsidRPr="00F66054">
        <w:rPr>
          <w:lang w:val="es-ES"/>
        </w:rPr>
        <w:t>nin)</w:t>
      </w:r>
    </w:p>
    <w:p w:rsidR="00F66054" w:rsidRPr="00F66054" w:rsidRDefault="00F66054" w:rsidP="00F66054">
      <w:pPr>
        <w:pStyle w:val="SingleTxtG"/>
        <w:rPr>
          <w:lang w:val="fr-FR"/>
        </w:rPr>
      </w:pPr>
      <w:r w:rsidRPr="00F66054">
        <w:rPr>
          <w:b/>
          <w:bCs/>
        </w:rPr>
        <w:t xml:space="preserve">Date et lieu de naissance: </w:t>
      </w:r>
      <w:r w:rsidR="005E4B91">
        <w:t>26 a</w:t>
      </w:r>
      <w:r>
        <w:t>vril 1966,</w:t>
      </w:r>
      <w:r w:rsidRPr="00F66054">
        <w:t xml:space="preserve"> Cotonou</w:t>
      </w:r>
    </w:p>
    <w:p w:rsidR="00F66054" w:rsidRPr="00F66054" w:rsidRDefault="00F66054" w:rsidP="00F66054">
      <w:pPr>
        <w:pStyle w:val="SingleTxtG"/>
      </w:pPr>
      <w:r w:rsidRPr="00F66054">
        <w:rPr>
          <w:b/>
          <w:bCs/>
        </w:rPr>
        <w:t xml:space="preserve">Langues de travail: </w:t>
      </w:r>
      <w:r>
        <w:t>f</w:t>
      </w:r>
      <w:r w:rsidR="00915FE2">
        <w:t>rançais</w:t>
      </w:r>
    </w:p>
    <w:p w:rsidR="00F66054" w:rsidRPr="00F66054" w:rsidRDefault="00F35564" w:rsidP="00F66054">
      <w:pPr>
        <w:pStyle w:val="SingleTxtG"/>
        <w:rPr>
          <w:b/>
          <w:bCs/>
        </w:rPr>
      </w:pPr>
      <w:r>
        <w:rPr>
          <w:b/>
          <w:bCs/>
        </w:rPr>
        <w:t>Situation/fonction actuelle</w:t>
      </w:r>
      <w:r w:rsidR="00F66054" w:rsidRPr="00F66054">
        <w:rPr>
          <w:b/>
          <w:bCs/>
        </w:rPr>
        <w:t xml:space="preserve"> </w:t>
      </w:r>
    </w:p>
    <w:p w:rsidR="00F66054" w:rsidRPr="00F66054" w:rsidRDefault="00F35564" w:rsidP="00F66054">
      <w:pPr>
        <w:pStyle w:val="SingleTxtG"/>
      </w:pPr>
      <w:r>
        <w:t>Mariée, m</w:t>
      </w:r>
      <w:r w:rsidR="00F66054" w:rsidRPr="00F66054">
        <w:t>agis</w:t>
      </w:r>
      <w:r>
        <w:t>trat occupant les fonctions de juge au tribunal de première i</w:t>
      </w:r>
      <w:r w:rsidR="00F66054" w:rsidRPr="00F66054">
        <w:t>nstance de Cotonou.</w:t>
      </w:r>
    </w:p>
    <w:p w:rsidR="00F66054" w:rsidRPr="00F66054" w:rsidRDefault="00F66054" w:rsidP="00F66054">
      <w:pPr>
        <w:pStyle w:val="SingleTxtG"/>
        <w:rPr>
          <w:b/>
          <w:bCs/>
          <w:lang w:val="fr-FR"/>
        </w:rPr>
      </w:pPr>
      <w:r w:rsidRPr="00F66054">
        <w:rPr>
          <w:b/>
          <w:bCs/>
          <w:lang w:val="fr-FR"/>
        </w:rPr>
        <w:t>Principales activités professionnelles</w:t>
      </w:r>
    </w:p>
    <w:p w:rsidR="00F66054" w:rsidRPr="00F66054" w:rsidRDefault="00F66054" w:rsidP="00F66054">
      <w:pPr>
        <w:pStyle w:val="SingleTxtG"/>
        <w:rPr>
          <w:lang w:val="fr-FR"/>
        </w:rPr>
      </w:pPr>
      <w:r w:rsidRPr="00F66054">
        <w:rPr>
          <w:lang w:val="fr-FR"/>
        </w:rPr>
        <w:t xml:space="preserve">Président de la </w:t>
      </w:r>
      <w:r w:rsidR="00F35564">
        <w:rPr>
          <w:lang w:val="fr-FR"/>
        </w:rPr>
        <w:t>deuxième Chambre s</w:t>
      </w:r>
      <w:r w:rsidRPr="00F66054">
        <w:rPr>
          <w:lang w:val="fr-FR"/>
        </w:rPr>
        <w:t>ociale</w:t>
      </w:r>
    </w:p>
    <w:p w:rsidR="00F66054" w:rsidRPr="00F66054" w:rsidRDefault="00F66054" w:rsidP="00F66054">
      <w:pPr>
        <w:pStyle w:val="SingleTxtG"/>
        <w:rPr>
          <w:lang w:val="fr-FR"/>
        </w:rPr>
      </w:pPr>
      <w:r w:rsidRPr="00F66054">
        <w:rPr>
          <w:lang w:val="fr-FR"/>
        </w:rPr>
        <w:t xml:space="preserve">Président de la </w:t>
      </w:r>
      <w:r w:rsidR="00F35564">
        <w:rPr>
          <w:lang w:val="fr-FR"/>
        </w:rPr>
        <w:t>septième Chambre civile m</w:t>
      </w:r>
      <w:r w:rsidRPr="00F66054">
        <w:rPr>
          <w:lang w:val="fr-FR"/>
        </w:rPr>
        <w:t>oderne</w:t>
      </w:r>
    </w:p>
    <w:p w:rsidR="00F66054" w:rsidRPr="00F66054" w:rsidRDefault="00F66054" w:rsidP="00F66054">
      <w:pPr>
        <w:pStyle w:val="SingleTxtG"/>
        <w:rPr>
          <w:lang w:val="fr-FR"/>
        </w:rPr>
      </w:pPr>
      <w:r w:rsidRPr="00F66054">
        <w:rPr>
          <w:lang w:val="fr-FR"/>
        </w:rPr>
        <w:t>Juge délégué à la signature des divers actes administratifs</w:t>
      </w:r>
    </w:p>
    <w:p w:rsidR="00F66054" w:rsidRPr="00F66054" w:rsidRDefault="007F37B9" w:rsidP="00F66054">
      <w:pPr>
        <w:pStyle w:val="SingleTxtG"/>
        <w:rPr>
          <w:lang w:val="fr-FR"/>
        </w:rPr>
      </w:pPr>
      <w:r>
        <w:rPr>
          <w:lang w:val="fr-FR"/>
        </w:rPr>
        <w:t>Juge commissaire</w:t>
      </w:r>
    </w:p>
    <w:p w:rsidR="00F66054" w:rsidRPr="00F66054" w:rsidRDefault="00F66054" w:rsidP="00F66054">
      <w:pPr>
        <w:pStyle w:val="SingleTxtG"/>
        <w:rPr>
          <w:lang w:val="fr-FR"/>
        </w:rPr>
      </w:pPr>
      <w:r w:rsidRPr="00F66054">
        <w:rPr>
          <w:b/>
          <w:bCs/>
          <w:lang w:val="fr-FR"/>
        </w:rPr>
        <w:t>Études</w:t>
      </w:r>
    </w:p>
    <w:p w:rsidR="00F66054" w:rsidRPr="00F66054" w:rsidRDefault="007F37B9" w:rsidP="00F66054">
      <w:pPr>
        <w:pStyle w:val="SingleTxtG"/>
        <w:rPr>
          <w:lang w:val="fr-FR"/>
        </w:rPr>
      </w:pPr>
      <w:r>
        <w:rPr>
          <w:lang w:val="fr-FR"/>
        </w:rPr>
        <w:t xml:space="preserve">Maîtrise en </w:t>
      </w:r>
      <w:r w:rsidR="00383489">
        <w:rPr>
          <w:lang w:val="fr-FR"/>
        </w:rPr>
        <w:t xml:space="preserve">sciences </w:t>
      </w:r>
      <w:r>
        <w:rPr>
          <w:lang w:val="fr-FR"/>
        </w:rPr>
        <w:t>j</w:t>
      </w:r>
      <w:r w:rsidR="00F66054" w:rsidRPr="00F66054">
        <w:rPr>
          <w:lang w:val="fr-FR"/>
        </w:rPr>
        <w:t>uridiques. Diplôme de l’</w:t>
      </w:r>
      <w:r>
        <w:rPr>
          <w:lang w:val="fr-FR"/>
        </w:rPr>
        <w:t>École n</w:t>
      </w:r>
      <w:r w:rsidR="00F66054" w:rsidRPr="00F66054">
        <w:rPr>
          <w:lang w:val="fr-FR"/>
        </w:rPr>
        <w:t>ationale d’</w:t>
      </w:r>
      <w:r>
        <w:rPr>
          <w:lang w:val="fr-FR"/>
        </w:rPr>
        <w:t>administration et de m</w:t>
      </w:r>
      <w:r w:rsidR="00F66054" w:rsidRPr="00F66054">
        <w:rPr>
          <w:lang w:val="fr-FR"/>
        </w:rPr>
        <w:t>agistrature.</w:t>
      </w:r>
    </w:p>
    <w:p w:rsidR="00F66054" w:rsidRPr="00F66054" w:rsidRDefault="00F66054" w:rsidP="00F66054">
      <w:pPr>
        <w:pStyle w:val="SingleTxtG"/>
        <w:rPr>
          <w:lang w:val="fr-FR"/>
        </w:rPr>
      </w:pPr>
      <w:r w:rsidRPr="00F66054">
        <w:rPr>
          <w:lang w:val="fr-FR"/>
        </w:rPr>
        <w:t>Formation à l’outil informatique</w:t>
      </w:r>
      <w:r w:rsidR="00383489">
        <w:rPr>
          <w:lang w:val="fr-FR"/>
        </w:rPr>
        <w:t>.</w:t>
      </w:r>
    </w:p>
    <w:p w:rsidR="00F66054" w:rsidRPr="00F66054" w:rsidRDefault="00F66054" w:rsidP="00F66054">
      <w:pPr>
        <w:pStyle w:val="SingleTxtG"/>
        <w:rPr>
          <w:b/>
          <w:bCs/>
          <w:lang w:val="fr-FR"/>
        </w:rPr>
      </w:pPr>
      <w:r w:rsidRPr="00F66054">
        <w:rPr>
          <w:b/>
          <w:bCs/>
          <w:lang w:val="fr-FR"/>
        </w:rPr>
        <w:t xml:space="preserve">Autres activités principales </w:t>
      </w:r>
      <w:r w:rsidR="007F37B9">
        <w:rPr>
          <w:b/>
          <w:bCs/>
          <w:lang w:val="fr-FR"/>
        </w:rPr>
        <w:t>liées au mandat du Comité</w:t>
      </w:r>
    </w:p>
    <w:p w:rsidR="00933190" w:rsidRDefault="00F66054" w:rsidP="00F66054">
      <w:pPr>
        <w:pStyle w:val="SingleTxtG"/>
        <w:rPr>
          <w:lang w:val="fr-FR"/>
        </w:rPr>
      </w:pPr>
      <w:r w:rsidRPr="00F66054">
        <w:rPr>
          <w:lang w:val="fr-FR"/>
        </w:rPr>
        <w:t>Animatrice de groupements féminins dans le cadre de l’autonomisation des femmes et de la lutte contre les violences faites aux femmes et aux enfants</w:t>
      </w:r>
    </w:p>
    <w:p w:rsidR="00933190" w:rsidRPr="00933190" w:rsidRDefault="00933190" w:rsidP="00933190">
      <w:pPr>
        <w:pStyle w:val="H1G"/>
      </w:pPr>
      <w:r>
        <w:rPr>
          <w:lang w:val="fr-FR"/>
        </w:rPr>
        <w:br w:type="page"/>
      </w:r>
      <w:r>
        <w:rPr>
          <w:lang w:val="fr-FR"/>
        </w:rPr>
        <w:tab/>
      </w:r>
      <w:r>
        <w:rPr>
          <w:lang w:val="fr-FR"/>
        </w:rPr>
        <w:tab/>
      </w:r>
      <w:r w:rsidRPr="00933190">
        <w:t>M</w:t>
      </w:r>
      <w:r w:rsidRPr="00933190">
        <w:rPr>
          <w:vertAlign w:val="superscript"/>
        </w:rPr>
        <w:t>me</w:t>
      </w:r>
      <w:r w:rsidRPr="00933190">
        <w:t> Patricia Nozipho January-Bardill (Afrique du Sud)</w:t>
      </w:r>
    </w:p>
    <w:p w:rsidR="00933190" w:rsidRPr="00933190" w:rsidRDefault="00933190" w:rsidP="00933190">
      <w:pPr>
        <w:pStyle w:val="SingleTxtG"/>
      </w:pPr>
      <w:r w:rsidRPr="00933190">
        <w:rPr>
          <w:b/>
        </w:rPr>
        <w:t>Date et lieu de naissance:</w:t>
      </w:r>
      <w:r w:rsidRPr="00933190">
        <w:t xml:space="preserve"> 21 août 1950</w:t>
      </w:r>
    </w:p>
    <w:p w:rsidR="00933190" w:rsidRPr="00933190" w:rsidRDefault="00933190" w:rsidP="00933190">
      <w:pPr>
        <w:pStyle w:val="SingleTxtG"/>
      </w:pPr>
      <w:r w:rsidRPr="00933190">
        <w:rPr>
          <w:b/>
        </w:rPr>
        <w:t>Langue de travail:</w:t>
      </w:r>
      <w:r w:rsidRPr="00933190">
        <w:t xml:space="preserve"> anglais</w:t>
      </w:r>
    </w:p>
    <w:p w:rsidR="00933190" w:rsidRPr="00933190" w:rsidRDefault="00933190" w:rsidP="00933190">
      <w:pPr>
        <w:pStyle w:val="SingleTxtG"/>
        <w:rPr>
          <w:b/>
        </w:rPr>
      </w:pPr>
      <w:r w:rsidRPr="00933190">
        <w:rPr>
          <w:b/>
        </w:rPr>
        <w:t>Situation/fonction actuelle</w:t>
      </w:r>
    </w:p>
    <w:p w:rsidR="00933190" w:rsidRPr="00933190" w:rsidRDefault="00933190" w:rsidP="00933190">
      <w:pPr>
        <w:pStyle w:val="SingleTxtG"/>
      </w:pPr>
      <w:r w:rsidRPr="00933190">
        <w:t xml:space="preserve">Consultante indépendante </w:t>
      </w:r>
      <w:r>
        <w:t>en</w:t>
      </w:r>
      <w:r w:rsidRPr="00933190">
        <w:t xml:space="preserve"> communicati</w:t>
      </w:r>
      <w:r>
        <w:t>on</w:t>
      </w:r>
      <w:r w:rsidRPr="00933190">
        <w:t xml:space="preserve"> </w:t>
      </w:r>
      <w:r>
        <w:t>d’entreprise</w:t>
      </w:r>
      <w:r w:rsidRPr="00933190">
        <w:t xml:space="preserve">, affaires publiques, relations de haut niveau </w:t>
      </w:r>
      <w:r>
        <w:t>avec le gouvernement</w:t>
      </w:r>
      <w:r w:rsidRPr="00933190">
        <w:t xml:space="preserve"> et encadrement des parties prenantes. </w:t>
      </w:r>
      <w:r>
        <w:t>Membre du</w:t>
      </w:r>
      <w:r w:rsidRPr="00933190">
        <w:t xml:space="preserve"> conseil d’administration des </w:t>
      </w:r>
      <w:r w:rsidR="00CC3A18">
        <w:t>sociétés</w:t>
      </w:r>
      <w:r w:rsidRPr="00933190">
        <w:t xml:space="preserve"> et ONG suivantes: Anglo Gold Ashanti (Afrique du Sud), Afrisam Group (Afrique du Sud); Fonds de développement des fem</w:t>
      </w:r>
      <w:r w:rsidR="00CC3A18">
        <w:t>mes africaines (AWDF) (Ghana);</w:t>
      </w:r>
      <w:r w:rsidRPr="00933190">
        <w:t xml:space="preserve"> Présidente de l’AWDF de l’Afrique du Sud; Présidente de l’Autorité d’éducation et de formation </w:t>
      </w:r>
      <w:r w:rsidR="00CC3A18">
        <w:t xml:space="preserve">professionnelle </w:t>
      </w:r>
      <w:r w:rsidRPr="00933190">
        <w:t>du secteur de la santé et de la protection sociale (SETA) (Afrique du Sud); Présidente de l’Initiative de coopération Suisse-Afrique du Sud (SSACI) (Afrique du Sud).</w:t>
      </w:r>
    </w:p>
    <w:p w:rsidR="00933190" w:rsidRPr="00933190" w:rsidRDefault="00933190" w:rsidP="00933190">
      <w:pPr>
        <w:pStyle w:val="SingleTxtG"/>
        <w:rPr>
          <w:b/>
        </w:rPr>
      </w:pPr>
      <w:r w:rsidRPr="00933190">
        <w:rPr>
          <w:b/>
        </w:rPr>
        <w:t>Principales activités professionnelles</w:t>
      </w:r>
    </w:p>
    <w:p w:rsidR="00933190" w:rsidRPr="00933190" w:rsidRDefault="00933190" w:rsidP="00933190">
      <w:pPr>
        <w:pStyle w:val="SingleTxtG"/>
      </w:pPr>
      <w:r w:rsidRPr="00933190">
        <w:t xml:space="preserve">Je suis actuellement consultante dans le domaine </w:t>
      </w:r>
      <w:r w:rsidR="00CC3A18">
        <w:t>de la communication</w:t>
      </w:r>
      <w:r w:rsidRPr="00933190">
        <w:t xml:space="preserve"> </w:t>
      </w:r>
      <w:r w:rsidR="00CC3A18">
        <w:t>d’entreprise</w:t>
      </w:r>
      <w:r w:rsidRPr="00933190">
        <w:t>, l’encadrement des parties</w:t>
      </w:r>
      <w:r w:rsidR="00CC3A18">
        <w:t xml:space="preserve"> prenantes, l</w:t>
      </w:r>
      <w:r w:rsidRPr="00933190">
        <w:t xml:space="preserve">es relations de haut niveau </w:t>
      </w:r>
      <w:r w:rsidR="00CC3A18">
        <w:t>avec le gouvernement</w:t>
      </w:r>
      <w:r w:rsidRPr="00933190">
        <w:t xml:space="preserve"> et </w:t>
      </w:r>
      <w:r w:rsidR="00CC3A18">
        <w:t xml:space="preserve">le </w:t>
      </w:r>
      <w:r w:rsidRPr="00933190">
        <w:t xml:space="preserve">développement durable. Je </w:t>
      </w:r>
      <w:r w:rsidR="00CC3A18">
        <w:t>suis</w:t>
      </w:r>
      <w:r w:rsidRPr="00933190">
        <w:t xml:space="preserve"> aussi </w:t>
      </w:r>
      <w:r w:rsidR="00CC3A18">
        <w:t>membre de</w:t>
      </w:r>
      <w:r w:rsidRPr="00933190">
        <w:t xml:space="preserve"> tous les conseils d’administration énumérés plus haut. Mon expérience dans le secteur privé </w:t>
      </w:r>
      <w:r w:rsidR="00CC3A18">
        <w:t>a été extrêmement utile</w:t>
      </w:r>
      <w:r w:rsidRPr="00933190">
        <w:t xml:space="preserve">, en particulier du point de vue de la bonne gouvernance. J’aide actuellement le Département des relations et de la coopération internationales (DIRCO) à mettre en place une plate-forme de communication pour </w:t>
      </w:r>
      <w:r w:rsidR="00CC3A18">
        <w:t>présenter</w:t>
      </w:r>
      <w:r w:rsidRPr="00933190">
        <w:t xml:space="preserve"> le rôle de l’Afrique du Sud en tant que </w:t>
      </w:r>
      <w:r w:rsidR="00915FE2">
        <w:t>p</w:t>
      </w:r>
      <w:r w:rsidRPr="00933190">
        <w:t xml:space="preserve">résidente de la dix-septième session de la Conférence des Parties (UNFCCC) et </w:t>
      </w:r>
      <w:r w:rsidR="00CC3A18">
        <w:t>j’apporte mon concours au</w:t>
      </w:r>
      <w:r w:rsidRPr="00933190">
        <w:t xml:space="preserve"> Département de l’environnement de l’Afrique du Sud </w:t>
      </w:r>
      <w:r w:rsidR="00CC3A18">
        <w:t xml:space="preserve">pour </w:t>
      </w:r>
      <w:r w:rsidRPr="00933190">
        <w:t xml:space="preserve">faire connaître les programmes nationaux de lutte contre le changement climatique </w:t>
      </w:r>
      <w:r w:rsidR="00CC3A18">
        <w:t xml:space="preserve">en prévision </w:t>
      </w:r>
      <w:r w:rsidRPr="00933190">
        <w:t xml:space="preserve">de novembre 2011. </w:t>
      </w:r>
      <w:r w:rsidR="00CC3A18">
        <w:t>Je porte un vif</w:t>
      </w:r>
      <w:r w:rsidRPr="00933190">
        <w:t xml:space="preserve"> intérêt </w:t>
      </w:r>
      <w:r w:rsidR="00CC3A18">
        <w:t>à</w:t>
      </w:r>
      <w:r w:rsidRPr="00933190">
        <w:t xml:space="preserve"> la bonne gouvernance</w:t>
      </w:r>
      <w:r w:rsidR="00CC3A18">
        <w:t>,</w:t>
      </w:r>
      <w:r w:rsidRPr="00933190">
        <w:t xml:space="preserve"> et </w:t>
      </w:r>
      <w:r w:rsidR="00CC3A18">
        <w:t>en ma qualité de</w:t>
      </w:r>
      <w:r w:rsidRPr="00933190">
        <w:t xml:space="preserve"> </w:t>
      </w:r>
      <w:r w:rsidR="008357CC" w:rsidRPr="00933190">
        <w:t xml:space="preserve">présidente </w:t>
      </w:r>
      <w:r w:rsidRPr="00933190">
        <w:t xml:space="preserve">de trois organisations (voir mes fonctions actuelles) </w:t>
      </w:r>
      <w:r w:rsidR="008D3157">
        <w:t>m’attache à préserver et à</w:t>
      </w:r>
      <w:r w:rsidRPr="00933190">
        <w:t xml:space="preserve"> promouvoir la bonne gouvernance dans ces institutions. </w:t>
      </w:r>
      <w:r w:rsidR="008D3157">
        <w:t>Quand j’ai été nommée</w:t>
      </w:r>
      <w:r w:rsidRPr="00933190">
        <w:t xml:space="preserve"> </w:t>
      </w:r>
      <w:r w:rsidR="008D3157" w:rsidRPr="00933190">
        <w:t xml:space="preserve">responsable des affaires générales </w:t>
      </w:r>
      <w:r w:rsidR="008D3157">
        <w:t xml:space="preserve">du </w:t>
      </w:r>
      <w:r w:rsidRPr="00933190">
        <w:t>Groupe MTN (Mobile Telecommunications Network)</w:t>
      </w:r>
      <w:r w:rsidR="008D3157">
        <w:t>, en fonctions</w:t>
      </w:r>
      <w:r w:rsidRPr="00933190">
        <w:t xml:space="preserve"> de mars 2007 à avril 2011, j’avais pour principale mission de </w:t>
      </w:r>
      <w:r w:rsidR="008D3157">
        <w:t>mettre au point</w:t>
      </w:r>
      <w:r w:rsidRPr="00933190">
        <w:t xml:space="preserve"> les stratégies du Groupe dans le </w:t>
      </w:r>
      <w:r w:rsidR="008D3157">
        <w:t>domaine de la communication d</w:t>
      </w:r>
      <w:r w:rsidRPr="00933190">
        <w:t xml:space="preserve">’entreprise, </w:t>
      </w:r>
      <w:r w:rsidR="008D3157">
        <w:t>les</w:t>
      </w:r>
      <w:r w:rsidRPr="00933190">
        <w:t xml:space="preserve"> relations avec les parties prenantes, </w:t>
      </w:r>
      <w:r w:rsidR="008D3157">
        <w:t xml:space="preserve">les </w:t>
      </w:r>
      <w:r w:rsidRPr="00933190">
        <w:t>r</w:t>
      </w:r>
      <w:r w:rsidR="008D3157">
        <w:t>elations de haut niveau avec le gouvernement</w:t>
      </w:r>
      <w:r w:rsidRPr="00933190">
        <w:t xml:space="preserve"> et la gestion de la durabilité. </w:t>
      </w:r>
      <w:r w:rsidR="008D3157">
        <w:t>J’accomplis aujourd’hui les mêmes</w:t>
      </w:r>
      <w:r w:rsidRPr="00933190">
        <w:t xml:space="preserve"> tâches pour d’autres institutions d’Afrique du Sud. </w:t>
      </w:r>
    </w:p>
    <w:p w:rsidR="00933190" w:rsidRPr="00933190" w:rsidRDefault="00933190" w:rsidP="00933190">
      <w:pPr>
        <w:pStyle w:val="SingleTxtG"/>
        <w:rPr>
          <w:b/>
        </w:rPr>
      </w:pPr>
      <w:r w:rsidRPr="00933190">
        <w:rPr>
          <w:b/>
        </w:rPr>
        <w:t xml:space="preserve">Études </w:t>
      </w:r>
    </w:p>
    <w:p w:rsidR="00933190" w:rsidRPr="00933190" w:rsidRDefault="00933190" w:rsidP="00933190">
      <w:pPr>
        <w:pStyle w:val="SingleTxtG"/>
      </w:pPr>
      <w:r w:rsidRPr="00933190">
        <w:t>Licence en anglais et en philosophie; Certificat d’aptitude à l’enseignement (Université du Botswana, du Lesotho et du Swaziland, 1973); Maîtrise en linguistique ap</w:t>
      </w:r>
      <w:r w:rsidR="002B1E73">
        <w:t>pliquée (Université de l’Essex (Royaume-Uni)</w:t>
      </w:r>
      <w:r w:rsidRPr="00933190">
        <w:t xml:space="preserve"> 1984); Diplôme en gestion d</w:t>
      </w:r>
      <w:r w:rsidR="000124E4">
        <w:t>es ressources humaines (Damelin</w:t>
      </w:r>
      <w:r w:rsidRPr="00933190">
        <w:t xml:space="preserve"> Afrique du Sud, 1995); </w:t>
      </w:r>
      <w:r w:rsidR="000124E4">
        <w:t>plusieurs f</w:t>
      </w:r>
      <w:r w:rsidRPr="00933190">
        <w:t xml:space="preserve">ormations courtes dans le domaine de l’égalité des sexes et des races, </w:t>
      </w:r>
      <w:r w:rsidR="008249BB">
        <w:t>de la psychologie</w:t>
      </w:r>
      <w:r w:rsidRPr="00933190">
        <w:t xml:space="preserve">, de la programmation neurolinguistique et du perfectionnement des cadres. </w:t>
      </w:r>
    </w:p>
    <w:p w:rsidR="00933190" w:rsidRPr="00933190" w:rsidRDefault="00933190" w:rsidP="00933190">
      <w:pPr>
        <w:pStyle w:val="SingleTxtG"/>
        <w:rPr>
          <w:b/>
        </w:rPr>
      </w:pPr>
      <w:r w:rsidRPr="00933190">
        <w:rPr>
          <w:b/>
        </w:rPr>
        <w:t xml:space="preserve">Autres activités principales liées au mandat </w:t>
      </w:r>
      <w:r w:rsidR="00085BDB">
        <w:rPr>
          <w:b/>
        </w:rPr>
        <w:t>d</w:t>
      </w:r>
      <w:r w:rsidR="008249BB">
        <w:rPr>
          <w:b/>
        </w:rPr>
        <w:t>u Comité</w:t>
      </w:r>
      <w:r w:rsidRPr="00933190">
        <w:rPr>
          <w:b/>
        </w:rPr>
        <w:t xml:space="preserve"> </w:t>
      </w:r>
    </w:p>
    <w:p w:rsidR="00933190" w:rsidRPr="00933190" w:rsidRDefault="008249BB" w:rsidP="00933190">
      <w:pPr>
        <w:pStyle w:val="SingleTxtG"/>
      </w:pPr>
      <w:r>
        <w:t>Membre du C</w:t>
      </w:r>
      <w:r w:rsidR="00933190" w:rsidRPr="00933190">
        <w:t xml:space="preserve">omité pour l’élimination de la discrimination raciale pendant huit ans, de janvier 2000 à janvier 2008. Ambassadrice d’Afrique du Sud en Suisse et accréditée au Liechtenstein et au </w:t>
      </w:r>
      <w:r>
        <w:t>Saint-Siège</w:t>
      </w:r>
      <w:r w:rsidR="00933190" w:rsidRPr="00933190">
        <w:t xml:space="preserve"> entre avril 2001 et février 2005. Promue Directrice générale adjointe au </w:t>
      </w:r>
      <w:r w:rsidR="00B73701">
        <w:t>Département</w:t>
      </w:r>
      <w:r w:rsidR="00933190" w:rsidRPr="00933190">
        <w:t xml:space="preserve"> des affaires étrangères en tant que Chef de la gestion des ressources humaines et de l’Institut du service diplomatique</w:t>
      </w:r>
      <w:r w:rsidR="00B73701">
        <w:t>,</w:t>
      </w:r>
      <w:r w:rsidR="00933190" w:rsidRPr="00933190">
        <w:t xml:space="preserve"> </w:t>
      </w:r>
      <w:r w:rsidR="00B73701">
        <w:t>qui formait</w:t>
      </w:r>
      <w:r w:rsidR="00933190" w:rsidRPr="00933190">
        <w:t xml:space="preserve"> tous les diplomates sud-africains et </w:t>
      </w:r>
      <w:r w:rsidR="00B73701">
        <w:t>les préparait au</w:t>
      </w:r>
      <w:r w:rsidR="00933190" w:rsidRPr="00933190">
        <w:t xml:space="preserve"> service à l’étranger (février 2005 à mars 2007). Lorsque je suis entrée au Groupe MTN (Mobile Telecommunications Network) en mars 2007</w:t>
      </w:r>
      <w:r w:rsidR="004B31EE">
        <w:t>,</w:t>
      </w:r>
      <w:r w:rsidR="00933190" w:rsidRPr="00933190">
        <w:t xml:space="preserve"> en tant que Directrice des affaires générales, </w:t>
      </w:r>
      <w:r w:rsidR="004B31EE">
        <w:t>mes fonctions consistaient</w:t>
      </w:r>
      <w:r w:rsidR="00933190" w:rsidRPr="00933190">
        <w:t xml:space="preserve"> principalement </w:t>
      </w:r>
      <w:r w:rsidR="004B31EE">
        <w:t>à</w:t>
      </w:r>
      <w:r w:rsidR="00933190" w:rsidRPr="00933190">
        <w:t xml:space="preserve"> mettre au point l</w:t>
      </w:r>
      <w:r w:rsidR="004B31EE">
        <w:t>es stratégies du Groupe dans le domaine</w:t>
      </w:r>
      <w:r w:rsidR="00933190" w:rsidRPr="00933190">
        <w:t xml:space="preserve"> de la communication </w:t>
      </w:r>
      <w:r w:rsidR="004B31EE">
        <w:t>d</w:t>
      </w:r>
      <w:r w:rsidR="00933190" w:rsidRPr="00933190">
        <w:t xml:space="preserve">’entreprise, des relations avec les parties prenantes, des relations de haut niveau </w:t>
      </w:r>
      <w:r w:rsidR="004B31EE">
        <w:t xml:space="preserve">avec le gouvernement </w:t>
      </w:r>
      <w:r w:rsidR="00933190" w:rsidRPr="00933190">
        <w:t xml:space="preserve">et du développement des cadres. </w:t>
      </w:r>
      <w:r w:rsidR="004B31EE">
        <w:t>Cette expérience sera d’une grande utilité pour les travaux d’un</w:t>
      </w:r>
      <w:r w:rsidR="00933190" w:rsidRPr="00933190">
        <w:t xml:space="preserve"> organe conventionnel. </w:t>
      </w:r>
    </w:p>
    <w:p w:rsidR="00933190" w:rsidRPr="00933190" w:rsidRDefault="00933190" w:rsidP="00933190">
      <w:pPr>
        <w:pStyle w:val="SingleTxtG"/>
        <w:rPr>
          <w:b/>
        </w:rPr>
      </w:pPr>
      <w:r w:rsidRPr="00933190">
        <w:rPr>
          <w:b/>
        </w:rPr>
        <w:t>Publications les plus récentes dans le domaine considéré</w:t>
      </w:r>
    </w:p>
    <w:p w:rsidR="00B1731F" w:rsidRDefault="00933190" w:rsidP="00933190">
      <w:pPr>
        <w:pStyle w:val="SingleTxtG"/>
      </w:pPr>
      <w:r w:rsidRPr="00933190">
        <w:t xml:space="preserve">«La réponse du droit international au racisme», </w:t>
      </w:r>
      <w:r w:rsidR="00CB31AC">
        <w:rPr>
          <w:i/>
        </w:rPr>
        <w:t xml:space="preserve">in </w:t>
      </w:r>
      <w:r w:rsidRPr="00CB31AC">
        <w:rPr>
          <w:i/>
        </w:rPr>
        <w:t>Les dimensions du racisme</w:t>
      </w:r>
      <w:r w:rsidRPr="00933190">
        <w:t>, Nations Unies, New York et Genève, 2005.</w:t>
      </w:r>
    </w:p>
    <w:p w:rsidR="00320BB1" w:rsidRPr="00320BB1" w:rsidRDefault="00320BB1" w:rsidP="00320BB1">
      <w:pPr>
        <w:pStyle w:val="SingleTxtG"/>
        <w:spacing w:before="240" w:after="0"/>
        <w:jc w:val="center"/>
        <w:rPr>
          <w:u w:val="single"/>
        </w:rPr>
      </w:pPr>
      <w:r>
        <w:rPr>
          <w:u w:val="single"/>
        </w:rPr>
        <w:tab/>
      </w:r>
      <w:r>
        <w:rPr>
          <w:u w:val="single"/>
        </w:rPr>
        <w:tab/>
      </w:r>
      <w:r>
        <w:rPr>
          <w:u w:val="single"/>
        </w:rPr>
        <w:tab/>
      </w:r>
    </w:p>
    <w:sectPr w:rsidR="00320BB1" w:rsidRPr="00320BB1" w:rsidSect="00583C6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276" w:rsidRDefault="00511276"/>
  </w:endnote>
  <w:endnote w:type="continuationSeparator" w:id="0">
    <w:p w:rsidR="00511276" w:rsidRDefault="00511276"/>
  </w:endnote>
  <w:endnote w:type="continuationNotice" w:id="1">
    <w:p w:rsidR="00511276" w:rsidRDefault="0051127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69" w:rsidRPr="00583C69" w:rsidRDefault="00583C69" w:rsidP="00583C69">
    <w:pPr>
      <w:pStyle w:val="Footer"/>
      <w:tabs>
        <w:tab w:val="right" w:pos="9638"/>
      </w:tabs>
    </w:pPr>
    <w:r w:rsidRPr="00583C69">
      <w:rPr>
        <w:b/>
        <w:sz w:val="18"/>
      </w:rPr>
      <w:fldChar w:fldCharType="begin"/>
    </w:r>
    <w:r w:rsidRPr="00583C69">
      <w:rPr>
        <w:b/>
        <w:sz w:val="18"/>
      </w:rPr>
      <w:instrText xml:space="preserve"> PAGE  \* MERGEFORMAT </w:instrText>
    </w:r>
    <w:r w:rsidRPr="00583C69">
      <w:rPr>
        <w:b/>
        <w:sz w:val="18"/>
      </w:rPr>
      <w:fldChar w:fldCharType="separate"/>
    </w:r>
    <w:r w:rsidR="005F44F8">
      <w:rPr>
        <w:b/>
        <w:noProof/>
        <w:sz w:val="18"/>
      </w:rPr>
      <w:t>2</w:t>
    </w:r>
    <w:r w:rsidRPr="00583C69">
      <w:rPr>
        <w:b/>
        <w:sz w:val="18"/>
      </w:rPr>
      <w:fldChar w:fldCharType="end"/>
    </w:r>
    <w:r>
      <w:rPr>
        <w:b/>
        <w:sz w:val="18"/>
      </w:rPr>
      <w:tab/>
    </w:r>
    <w:r>
      <w:t>GE.11-46599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69" w:rsidRPr="00583C69" w:rsidRDefault="00583C69" w:rsidP="00583C69">
    <w:pPr>
      <w:pStyle w:val="Footer"/>
      <w:tabs>
        <w:tab w:val="right" w:pos="9638"/>
      </w:tabs>
      <w:rPr>
        <w:b/>
        <w:sz w:val="18"/>
      </w:rPr>
    </w:pPr>
    <w:r>
      <w:t>GE.11-46599</w:t>
    </w:r>
    <w:r>
      <w:tab/>
    </w:r>
    <w:r w:rsidRPr="00583C69">
      <w:rPr>
        <w:b/>
        <w:sz w:val="18"/>
      </w:rPr>
      <w:fldChar w:fldCharType="begin"/>
    </w:r>
    <w:r w:rsidRPr="00583C69">
      <w:rPr>
        <w:b/>
        <w:sz w:val="18"/>
      </w:rPr>
      <w:instrText xml:space="preserve"> PAGE  \* MERGEFORMAT </w:instrText>
    </w:r>
    <w:r w:rsidRPr="00583C69">
      <w:rPr>
        <w:b/>
        <w:sz w:val="18"/>
      </w:rPr>
      <w:fldChar w:fldCharType="separate"/>
    </w:r>
    <w:r w:rsidR="005F44F8">
      <w:rPr>
        <w:b/>
        <w:noProof/>
        <w:sz w:val="18"/>
      </w:rPr>
      <w:t>5</w:t>
    </w:r>
    <w:r w:rsidRPr="00583C6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AF" w:rsidRDefault="00583C69">
    <w:pPr>
      <w:pStyle w:val="Footer"/>
    </w:pPr>
    <w:r>
      <w:rPr>
        <w:sz w:val="20"/>
      </w:rPr>
      <w:t>GE.11-46599</w:t>
    </w:r>
    <w:r w:rsidR="008923AF">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w:t>
    </w:r>
    <w:r w:rsidR="005F44F8">
      <w:rPr>
        <w:sz w:val="20"/>
      </w:rPr>
      <w:t>151111    161111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276" w:rsidRPr="00D27D5E" w:rsidRDefault="00511276" w:rsidP="00D27D5E">
      <w:pPr>
        <w:tabs>
          <w:tab w:val="right" w:pos="2155"/>
        </w:tabs>
        <w:spacing w:after="80"/>
        <w:ind w:left="680"/>
        <w:rPr>
          <w:u w:val="single"/>
        </w:rPr>
      </w:pPr>
      <w:r>
        <w:rPr>
          <w:u w:val="single"/>
        </w:rPr>
        <w:tab/>
      </w:r>
    </w:p>
  </w:footnote>
  <w:footnote w:type="continuationSeparator" w:id="0">
    <w:p w:rsidR="00511276" w:rsidRPr="00AA7FE7" w:rsidRDefault="00511276" w:rsidP="00AA7FE7">
      <w:pPr>
        <w:tabs>
          <w:tab w:val="right" w:pos="2155"/>
        </w:tabs>
        <w:spacing w:after="80"/>
        <w:ind w:left="680"/>
        <w:rPr>
          <w:u w:val="single"/>
        </w:rPr>
      </w:pPr>
      <w:r w:rsidRPr="00AA7FE7">
        <w:rPr>
          <w:u w:val="single"/>
        </w:rPr>
        <w:tab/>
      </w:r>
    </w:p>
  </w:footnote>
  <w:footnote w:type="continuationNotice" w:id="1">
    <w:p w:rsidR="00511276" w:rsidRDefault="00511276"/>
  </w:footnote>
  <w:footnote w:id="2">
    <w:p w:rsidR="00A86C3B" w:rsidRPr="00A86C3B" w:rsidRDefault="00A86C3B">
      <w:pPr>
        <w:pStyle w:val="FootnoteText"/>
      </w:pPr>
      <w:r>
        <w:tab/>
      </w:r>
      <w:r w:rsidRPr="00A86C3B">
        <w:rPr>
          <w:rStyle w:val="FootnoteReference"/>
          <w:sz w:val="20"/>
          <w:vertAlign w:val="baseline"/>
        </w:rPr>
        <w:t>*</w:t>
      </w:r>
      <w:r>
        <w:rPr>
          <w:sz w:val="20"/>
        </w:rPr>
        <w:tab/>
      </w:r>
      <w:r>
        <w:t>Soumission tardive.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69" w:rsidRPr="00583C69" w:rsidRDefault="00583C69">
    <w:pPr>
      <w:pStyle w:val="Header"/>
    </w:pPr>
    <w:r>
      <w:t>CERD/SP/74/Add.1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69" w:rsidRPr="00583C69" w:rsidRDefault="00583C69" w:rsidP="00583C69">
    <w:pPr>
      <w:pStyle w:val="Header"/>
      <w:jc w:val="right"/>
    </w:pPr>
    <w:r>
      <w:t>CERD/SP/74/Add.1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23AF"/>
    <w:rsid w:val="000124E4"/>
    <w:rsid w:val="00016AC5"/>
    <w:rsid w:val="00054609"/>
    <w:rsid w:val="00085BDB"/>
    <w:rsid w:val="000A6F55"/>
    <w:rsid w:val="000E7579"/>
    <w:rsid w:val="000F41F2"/>
    <w:rsid w:val="001231AD"/>
    <w:rsid w:val="001450E6"/>
    <w:rsid w:val="00150465"/>
    <w:rsid w:val="00160540"/>
    <w:rsid w:val="00192EEB"/>
    <w:rsid w:val="00197832"/>
    <w:rsid w:val="001A20FB"/>
    <w:rsid w:val="001B3867"/>
    <w:rsid w:val="001C5A2A"/>
    <w:rsid w:val="001D72C5"/>
    <w:rsid w:val="001D7F8A"/>
    <w:rsid w:val="001E3FEB"/>
    <w:rsid w:val="001E4A02"/>
    <w:rsid w:val="00225A8C"/>
    <w:rsid w:val="002626D4"/>
    <w:rsid w:val="002659F1"/>
    <w:rsid w:val="00265CD7"/>
    <w:rsid w:val="0028371C"/>
    <w:rsid w:val="00287E79"/>
    <w:rsid w:val="002928F9"/>
    <w:rsid w:val="002A5D07"/>
    <w:rsid w:val="002B1E73"/>
    <w:rsid w:val="002D3F03"/>
    <w:rsid w:val="002E0D40"/>
    <w:rsid w:val="002E5B0C"/>
    <w:rsid w:val="00300D06"/>
    <w:rsid w:val="003016B7"/>
    <w:rsid w:val="00320BB1"/>
    <w:rsid w:val="003515AA"/>
    <w:rsid w:val="00367A8F"/>
    <w:rsid w:val="00374106"/>
    <w:rsid w:val="00383489"/>
    <w:rsid w:val="003976D5"/>
    <w:rsid w:val="003C2CBA"/>
    <w:rsid w:val="003D6C68"/>
    <w:rsid w:val="004159D0"/>
    <w:rsid w:val="00472145"/>
    <w:rsid w:val="004B31EE"/>
    <w:rsid w:val="00511276"/>
    <w:rsid w:val="00540389"/>
    <w:rsid w:val="00543D5E"/>
    <w:rsid w:val="00571F41"/>
    <w:rsid w:val="00583C69"/>
    <w:rsid w:val="00593658"/>
    <w:rsid w:val="005E4B91"/>
    <w:rsid w:val="005E5D1F"/>
    <w:rsid w:val="005F44F8"/>
    <w:rsid w:val="006034FC"/>
    <w:rsid w:val="00611D43"/>
    <w:rsid w:val="00612D48"/>
    <w:rsid w:val="00616B45"/>
    <w:rsid w:val="00630D9B"/>
    <w:rsid w:val="00631953"/>
    <w:rsid w:val="006439EC"/>
    <w:rsid w:val="00657120"/>
    <w:rsid w:val="00693E16"/>
    <w:rsid w:val="006B4590"/>
    <w:rsid w:val="006C340C"/>
    <w:rsid w:val="006D7B0B"/>
    <w:rsid w:val="006E6AE5"/>
    <w:rsid w:val="006F39E4"/>
    <w:rsid w:val="0070347C"/>
    <w:rsid w:val="007176C1"/>
    <w:rsid w:val="00721861"/>
    <w:rsid w:val="007231EF"/>
    <w:rsid w:val="00734D5B"/>
    <w:rsid w:val="007654A6"/>
    <w:rsid w:val="0078670C"/>
    <w:rsid w:val="0079619D"/>
    <w:rsid w:val="007F37B9"/>
    <w:rsid w:val="007F55CB"/>
    <w:rsid w:val="008249BB"/>
    <w:rsid w:val="008357CC"/>
    <w:rsid w:val="00844750"/>
    <w:rsid w:val="008923AF"/>
    <w:rsid w:val="008B44C4"/>
    <w:rsid w:val="008D2259"/>
    <w:rsid w:val="008D3157"/>
    <w:rsid w:val="008E7FAE"/>
    <w:rsid w:val="00911BF7"/>
    <w:rsid w:val="00915FE2"/>
    <w:rsid w:val="00932EDA"/>
    <w:rsid w:val="00933190"/>
    <w:rsid w:val="00977EC8"/>
    <w:rsid w:val="009C17F5"/>
    <w:rsid w:val="009D3A8C"/>
    <w:rsid w:val="009D751A"/>
    <w:rsid w:val="009E7956"/>
    <w:rsid w:val="00A2492E"/>
    <w:rsid w:val="00A82B6C"/>
    <w:rsid w:val="00A86C3B"/>
    <w:rsid w:val="00AA7D1A"/>
    <w:rsid w:val="00AA7FE7"/>
    <w:rsid w:val="00AB3173"/>
    <w:rsid w:val="00AB7EC5"/>
    <w:rsid w:val="00AC01AA"/>
    <w:rsid w:val="00AC67A1"/>
    <w:rsid w:val="00AC7977"/>
    <w:rsid w:val="00AE352C"/>
    <w:rsid w:val="00B1731F"/>
    <w:rsid w:val="00B32E2D"/>
    <w:rsid w:val="00B61990"/>
    <w:rsid w:val="00B73701"/>
    <w:rsid w:val="00BE6312"/>
    <w:rsid w:val="00BF0556"/>
    <w:rsid w:val="00C03431"/>
    <w:rsid w:val="00C261F8"/>
    <w:rsid w:val="00C33100"/>
    <w:rsid w:val="00CB31AC"/>
    <w:rsid w:val="00CC3A18"/>
    <w:rsid w:val="00CD1A71"/>
    <w:rsid w:val="00CD1FBB"/>
    <w:rsid w:val="00D016B5"/>
    <w:rsid w:val="00D034F1"/>
    <w:rsid w:val="00D27D5E"/>
    <w:rsid w:val="00D37345"/>
    <w:rsid w:val="00DB2D54"/>
    <w:rsid w:val="00DC156C"/>
    <w:rsid w:val="00DD3E10"/>
    <w:rsid w:val="00DE6D90"/>
    <w:rsid w:val="00DF002F"/>
    <w:rsid w:val="00E0244D"/>
    <w:rsid w:val="00E42D5E"/>
    <w:rsid w:val="00E444A2"/>
    <w:rsid w:val="00E804A0"/>
    <w:rsid w:val="00E81E94"/>
    <w:rsid w:val="00E82607"/>
    <w:rsid w:val="00E92650"/>
    <w:rsid w:val="00EC5A42"/>
    <w:rsid w:val="00EC7CC4"/>
    <w:rsid w:val="00EF03C7"/>
    <w:rsid w:val="00F35564"/>
    <w:rsid w:val="00F63BC6"/>
    <w:rsid w:val="00F66054"/>
    <w:rsid w:val="00FA5A79"/>
    <w:rsid w:val="00FB0BFE"/>
    <w:rsid w:val="00FB4C51"/>
    <w:rsid w:val="00FC575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1442</Words>
  <Characters>7932</Characters>
  <Application>Microsoft Office Outlook</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CERD/SP/74/Add.1</vt:lpstr>
    </vt:vector>
  </TitlesOfParts>
  <Company>CSD</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CERD/SP/74/Add.1</dc:title>
  <dc:subject/>
  <dc:creator>e.bourion</dc:creator>
  <cp:keywords/>
  <dc:description/>
  <cp:lastModifiedBy>Pool</cp:lastModifiedBy>
  <cp:revision>2</cp:revision>
  <cp:lastPrinted>2009-10-07T17:37:00Z</cp:lastPrinted>
  <dcterms:created xsi:type="dcterms:W3CDTF">2011-11-16T10:27:00Z</dcterms:created>
  <dcterms:modified xsi:type="dcterms:W3CDTF">2011-11-16T10:27:00Z</dcterms:modified>
</cp:coreProperties>
</file>