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C39B1" w:rsidP="007C39B1">
            <w:pPr>
              <w:bidi w:val="0"/>
              <w:spacing w:after="20"/>
              <w:jc w:val="left"/>
              <w:rPr>
                <w:szCs w:val="20"/>
              </w:rPr>
            </w:pPr>
            <w:r w:rsidRPr="007C39B1">
              <w:rPr>
                <w:sz w:val="40"/>
                <w:szCs w:val="20"/>
              </w:rPr>
              <w:t>CCPR</w:t>
            </w:r>
            <w:r>
              <w:rPr>
                <w:szCs w:val="20"/>
              </w:rPr>
              <w:t>/C/BGR/CO/3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C39B1" w:rsidRDefault="007C39B1" w:rsidP="007C39B1">
            <w:pPr>
              <w:bidi w:val="0"/>
              <w:spacing w:before="240"/>
              <w:jc w:val="left"/>
            </w:pPr>
            <w:r>
              <w:t>Distr.: General</w:t>
            </w:r>
          </w:p>
          <w:p w:rsidR="007C39B1" w:rsidRPr="00975726" w:rsidRDefault="007C39B1" w:rsidP="007C39B1">
            <w:pPr>
              <w:bidi w:val="0"/>
              <w:jc w:val="left"/>
              <w:rPr>
                <w:b/>
                <w:bCs/>
              </w:rPr>
            </w:pPr>
            <w:r>
              <w:t>19 August 2011</w:t>
            </w:r>
          </w:p>
          <w:p w:rsidR="007C39B1" w:rsidRDefault="007C39B1" w:rsidP="007C39B1">
            <w:pPr>
              <w:bidi w:val="0"/>
              <w:jc w:val="left"/>
            </w:pPr>
            <w:r>
              <w:t>Arabic</w:t>
            </w:r>
          </w:p>
          <w:p w:rsidR="00257225" w:rsidRPr="008B4BC6" w:rsidRDefault="007C39B1" w:rsidP="007C39B1">
            <w:pPr>
              <w:bidi w:val="0"/>
              <w:jc w:val="left"/>
            </w:pPr>
            <w:r>
              <w:t>Original: English</w:t>
            </w:r>
          </w:p>
        </w:tc>
      </w:tr>
    </w:tbl>
    <w:p w:rsidR="007C39B1" w:rsidRPr="009D27D7" w:rsidRDefault="007C39B1" w:rsidP="0088729E">
      <w:pPr>
        <w:spacing w:before="120" w:line="380" w:lineRule="exact"/>
        <w:rPr>
          <w:rFonts w:hint="cs"/>
          <w:b/>
          <w:bCs/>
          <w:sz w:val="26"/>
          <w:szCs w:val="36"/>
          <w:rtl/>
          <w:lang w:val="fr-CH"/>
        </w:rPr>
      </w:pPr>
      <w:r w:rsidRPr="009D27D7">
        <w:rPr>
          <w:rFonts w:hint="cs"/>
          <w:b/>
          <w:bCs/>
          <w:sz w:val="26"/>
          <w:szCs w:val="36"/>
          <w:rtl/>
          <w:lang w:val="fr-CH"/>
        </w:rPr>
        <w:t>اللجنة المعنية بحقوق الإنسان</w:t>
      </w:r>
    </w:p>
    <w:p w:rsidR="007C39B1" w:rsidRPr="009D27D7" w:rsidRDefault="007C39B1" w:rsidP="0088729E">
      <w:pPr>
        <w:spacing w:line="380" w:lineRule="exact"/>
        <w:rPr>
          <w:rFonts w:hint="cs"/>
          <w:b/>
          <w:bCs/>
          <w:rtl/>
          <w:lang w:val="fr-CH"/>
        </w:rPr>
      </w:pPr>
      <w:r w:rsidRPr="009D27D7">
        <w:rPr>
          <w:rFonts w:hint="cs"/>
          <w:b/>
          <w:bCs/>
          <w:rtl/>
          <w:lang w:val="fr-CH"/>
        </w:rPr>
        <w:t>الدورة الثانية بعد المائة</w:t>
      </w:r>
    </w:p>
    <w:p w:rsidR="007C39B1" w:rsidRDefault="007C39B1" w:rsidP="0088729E">
      <w:pPr>
        <w:spacing w:line="380" w:lineRule="exact"/>
        <w:rPr>
          <w:rFonts w:hint="cs"/>
          <w:rtl/>
          <w:lang w:val="fr-CH"/>
        </w:rPr>
      </w:pPr>
      <w:r>
        <w:rPr>
          <w:rFonts w:hint="cs"/>
          <w:rtl/>
          <w:lang w:val="fr-CH"/>
        </w:rPr>
        <w:t xml:space="preserve">جنيف، 11-29 </w:t>
      </w:r>
      <w:r w:rsidRPr="00144D3D">
        <w:rPr>
          <w:rFonts w:hint="cs"/>
          <w:sz w:val="30"/>
          <w:rtl/>
          <w:lang w:val="fr-CH"/>
        </w:rPr>
        <w:t xml:space="preserve">تموز/يوليه </w:t>
      </w:r>
      <w:r>
        <w:rPr>
          <w:rFonts w:hint="cs"/>
          <w:rtl/>
          <w:lang w:val="fr-CH"/>
        </w:rPr>
        <w:t>2011</w:t>
      </w:r>
    </w:p>
    <w:p w:rsidR="007C39B1" w:rsidRDefault="007C39B1" w:rsidP="0088729E">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40 من</w:t>
      </w:r>
      <w:r w:rsidR="0088729E">
        <w:rPr>
          <w:rFonts w:hint="eastAsia"/>
          <w:rtl/>
          <w:lang w:val="fr-CH"/>
        </w:rPr>
        <w:t> </w:t>
      </w:r>
      <w:r>
        <w:rPr>
          <w:rFonts w:hint="cs"/>
          <w:rtl/>
          <w:lang w:val="fr-CH"/>
        </w:rPr>
        <w:t>العهد</w:t>
      </w:r>
    </w:p>
    <w:p w:rsidR="007C39B1" w:rsidRDefault="007C39B1" w:rsidP="007C39B1">
      <w:pPr>
        <w:pStyle w:val="H1GA"/>
        <w:rPr>
          <w:rFonts w:hint="cs"/>
          <w:rtl/>
          <w:lang w:val="fr-CH"/>
        </w:rPr>
      </w:pPr>
      <w:r>
        <w:rPr>
          <w:rFonts w:hint="cs"/>
          <w:rtl/>
          <w:lang w:val="fr-CH"/>
        </w:rPr>
        <w:tab/>
      </w:r>
      <w:r>
        <w:rPr>
          <w:rFonts w:hint="cs"/>
          <w:rtl/>
          <w:lang w:val="fr-CH"/>
        </w:rPr>
        <w:tab/>
        <w:t>الملاحظات الختامية للجنة المعنية بحقوق الإنسان</w:t>
      </w:r>
    </w:p>
    <w:p w:rsidR="007C39B1" w:rsidRPr="00144D3D" w:rsidRDefault="007C39B1" w:rsidP="007C39B1">
      <w:pPr>
        <w:pStyle w:val="HChGA"/>
        <w:rPr>
          <w:rFonts w:hint="cs"/>
          <w:rtl/>
          <w:lang w:val="fr-CH"/>
        </w:rPr>
      </w:pPr>
      <w:r>
        <w:rPr>
          <w:rFonts w:hint="cs"/>
          <w:rtl/>
          <w:lang w:val="fr-CH"/>
        </w:rPr>
        <w:tab/>
      </w:r>
      <w:r>
        <w:rPr>
          <w:rFonts w:hint="cs"/>
          <w:rtl/>
          <w:lang w:val="fr-CH"/>
        </w:rPr>
        <w:tab/>
        <w:t>بلغاريا</w:t>
      </w:r>
    </w:p>
    <w:p w:rsidR="007C39B1" w:rsidRDefault="007C39B1" w:rsidP="000E0501">
      <w:pPr>
        <w:pStyle w:val="SingleTxtGA"/>
        <w:rPr>
          <w:rFonts w:hint="cs"/>
          <w:rtl/>
        </w:rPr>
      </w:pPr>
      <w:r>
        <w:rPr>
          <w:rFonts w:hint="cs"/>
          <w:rtl/>
          <w:lang w:val="fr-CH"/>
        </w:rPr>
        <w:t>1-</w:t>
      </w:r>
      <w:r>
        <w:rPr>
          <w:rFonts w:hint="cs"/>
          <w:rtl/>
          <w:lang w:val="fr-CH"/>
        </w:rPr>
        <w:tab/>
        <w:t xml:space="preserve">نظرت اللجنة المعنية بحقوق الإنسان في التقرير الدوري الثالث </w:t>
      </w:r>
      <w:r w:rsidR="000E0501">
        <w:rPr>
          <w:rFonts w:hint="cs"/>
          <w:rtl/>
          <w:lang w:val="fr-CH"/>
        </w:rPr>
        <w:t>الذي قدمته</w:t>
      </w:r>
      <w:r>
        <w:rPr>
          <w:rFonts w:hint="cs"/>
          <w:rtl/>
          <w:lang w:val="fr-CH"/>
        </w:rPr>
        <w:t xml:space="preserve"> بلغاريا </w:t>
      </w:r>
      <w:r w:rsidRPr="009F5724">
        <w:t>(CCPR/C/BGR/3)</w:t>
      </w:r>
      <w:r>
        <w:rPr>
          <w:rFonts w:hint="cs"/>
          <w:rtl/>
          <w:lang w:val="fr-CH"/>
        </w:rPr>
        <w:t xml:space="preserve"> في جلستيها 2808 و2809 (</w:t>
      </w:r>
      <w:r w:rsidRPr="009F5724">
        <w:t>CCPR/C/SR</w:t>
      </w:r>
      <w:r>
        <w:t>.</w:t>
      </w:r>
      <w:r w:rsidRPr="009F5724">
        <w:t>2808</w:t>
      </w:r>
      <w:r>
        <w:rPr>
          <w:rFonts w:hint="cs"/>
          <w:rtl/>
        </w:rPr>
        <w:t xml:space="preserve"> و</w:t>
      </w:r>
      <w:r>
        <w:t>2809</w:t>
      </w:r>
      <w:r>
        <w:rPr>
          <w:rFonts w:hint="cs"/>
          <w:rtl/>
        </w:rPr>
        <w:t xml:space="preserve">)، المعقودتين يومي 13 و14 </w:t>
      </w:r>
      <w:r w:rsidRPr="00144D3D">
        <w:rPr>
          <w:rFonts w:hint="cs"/>
          <w:sz w:val="30"/>
          <w:rtl/>
        </w:rPr>
        <w:t xml:space="preserve">تموز/يوليه </w:t>
      </w:r>
      <w:r>
        <w:rPr>
          <w:rFonts w:hint="cs"/>
          <w:rtl/>
        </w:rPr>
        <w:t>2011، و</w:t>
      </w:r>
      <w:r w:rsidR="000E0501">
        <w:rPr>
          <w:rFonts w:hint="cs"/>
          <w:rtl/>
        </w:rPr>
        <w:t xml:space="preserve">اعتمدت، </w:t>
      </w:r>
      <w:r>
        <w:rPr>
          <w:rFonts w:hint="cs"/>
          <w:rtl/>
        </w:rPr>
        <w:t xml:space="preserve">في جلستها 2823 </w:t>
      </w:r>
      <w:r w:rsidRPr="009F5724">
        <w:t>(CCPR/C/SR</w:t>
      </w:r>
      <w:r>
        <w:t>.</w:t>
      </w:r>
      <w:r w:rsidRPr="009F5724">
        <w:t>2823)</w:t>
      </w:r>
      <w:r>
        <w:rPr>
          <w:rFonts w:hint="cs"/>
          <w:rtl/>
        </w:rPr>
        <w:t>، المعقودة في</w:t>
      </w:r>
      <w:r w:rsidR="0088729E">
        <w:rPr>
          <w:rFonts w:hint="eastAsia"/>
        </w:rPr>
        <w:t> </w:t>
      </w:r>
      <w:r>
        <w:rPr>
          <w:rFonts w:hint="cs"/>
          <w:rtl/>
        </w:rPr>
        <w:t xml:space="preserve">25 </w:t>
      </w:r>
      <w:r w:rsidRPr="00144D3D">
        <w:rPr>
          <w:rFonts w:hint="cs"/>
          <w:sz w:val="30"/>
          <w:rtl/>
        </w:rPr>
        <w:t xml:space="preserve">تموز/يوليه </w:t>
      </w:r>
      <w:r>
        <w:rPr>
          <w:rFonts w:hint="cs"/>
          <w:rtl/>
        </w:rPr>
        <w:t>2011، الملاحظات الختامية التالية.</w:t>
      </w:r>
    </w:p>
    <w:p w:rsidR="007C39B1" w:rsidRPr="00144D3D" w:rsidRDefault="007C39B1" w:rsidP="0088729E">
      <w:pPr>
        <w:pStyle w:val="H1GA"/>
        <w:rPr>
          <w:rFonts w:hint="cs"/>
          <w:rtl/>
        </w:rPr>
      </w:pPr>
      <w:r>
        <w:rPr>
          <w:rFonts w:hint="cs"/>
          <w:rtl/>
        </w:rPr>
        <w:tab/>
        <w:t>ألف -</w:t>
      </w:r>
      <w:r>
        <w:rPr>
          <w:rFonts w:hint="cs"/>
          <w:rtl/>
        </w:rPr>
        <w:tab/>
        <w:t>مقدمة</w:t>
      </w:r>
    </w:p>
    <w:p w:rsidR="007C39B1" w:rsidRDefault="007C39B1" w:rsidP="000E0501">
      <w:pPr>
        <w:pStyle w:val="SingleTxtGA"/>
        <w:rPr>
          <w:rFonts w:hint="cs"/>
          <w:rtl/>
        </w:rPr>
      </w:pPr>
      <w:r>
        <w:rPr>
          <w:rFonts w:hint="cs"/>
          <w:rtl/>
          <w:lang w:val="fr-CH"/>
        </w:rPr>
        <w:t>2-</w:t>
      </w:r>
      <w:r>
        <w:rPr>
          <w:rFonts w:hint="cs"/>
          <w:rtl/>
          <w:lang w:val="fr-CH"/>
        </w:rPr>
        <w:tab/>
        <w:t>ترح</w:t>
      </w:r>
      <w:r w:rsidR="000E0501">
        <w:rPr>
          <w:rFonts w:hint="cs"/>
          <w:rtl/>
          <w:lang w:val="fr-CH"/>
        </w:rPr>
        <w:t>ّ</w:t>
      </w:r>
      <w:r>
        <w:rPr>
          <w:rFonts w:hint="cs"/>
          <w:rtl/>
          <w:lang w:val="fr-CH"/>
        </w:rPr>
        <w:t>ب اللجنة بتقديم التقرير الدوري الثالث لبلغاريا وبالمعلومات الواردة فيه، لكنها تأسف لأنه ق</w:t>
      </w:r>
      <w:r w:rsidR="00045D2C">
        <w:rPr>
          <w:rFonts w:hint="cs"/>
          <w:rtl/>
          <w:lang w:val="fr-CH"/>
        </w:rPr>
        <w:t>ُ</w:t>
      </w:r>
      <w:r>
        <w:rPr>
          <w:rFonts w:hint="cs"/>
          <w:rtl/>
          <w:lang w:val="fr-CH"/>
        </w:rPr>
        <w:t xml:space="preserve">دم في وقت متأخر. وتعرب عن ارتياحها للفرصة التي أتيحت أمامها لتجديد الحوار البناء مع الوفد الرفيع المستوى بشأن التدابير التي اتخذتها الدولة الطرف أثناء فترة تقديم </w:t>
      </w:r>
      <w:r w:rsidRPr="00552AF4">
        <w:rPr>
          <w:rFonts w:hint="cs"/>
          <w:spacing w:val="-4"/>
          <w:rtl/>
          <w:lang w:val="fr-CH"/>
        </w:rPr>
        <w:t>التقرير لتنفيذ أحكام العهد.</w:t>
      </w:r>
      <w:r w:rsidR="000E0501" w:rsidRPr="00552AF4">
        <w:rPr>
          <w:rFonts w:hint="cs"/>
          <w:spacing w:val="-4"/>
          <w:rtl/>
          <w:lang w:val="fr-CH"/>
        </w:rPr>
        <w:t xml:space="preserve"> كما</w:t>
      </w:r>
      <w:r w:rsidRPr="00552AF4">
        <w:rPr>
          <w:rFonts w:hint="cs"/>
          <w:spacing w:val="-4"/>
          <w:rtl/>
          <w:lang w:val="fr-CH"/>
        </w:rPr>
        <w:t xml:space="preserve"> تعرب عن ارتياحها للردود الخطية </w:t>
      </w:r>
      <w:r w:rsidRPr="00552AF4">
        <w:rPr>
          <w:spacing w:val="-4"/>
        </w:rPr>
        <w:t>(CCPR/C/BGR/Q/3/Add.1)</w:t>
      </w:r>
      <w:r>
        <w:rPr>
          <w:rFonts w:hint="cs"/>
          <w:rtl/>
        </w:rPr>
        <w:t xml:space="preserve"> على قائمة </w:t>
      </w:r>
      <w:r w:rsidR="000E0501">
        <w:rPr>
          <w:rFonts w:hint="cs"/>
          <w:rtl/>
        </w:rPr>
        <w:t>المسائل</w:t>
      </w:r>
      <w:r>
        <w:rPr>
          <w:rFonts w:hint="cs"/>
          <w:rtl/>
        </w:rPr>
        <w:t xml:space="preserve"> التي استكملها الوفد من خلال تقديم ردود شفوية وللمعلومات الإضافية المقدمة خطياً. </w:t>
      </w:r>
    </w:p>
    <w:p w:rsidR="007C39B1" w:rsidRPr="00144D3D" w:rsidRDefault="007C39B1" w:rsidP="0088729E">
      <w:pPr>
        <w:pStyle w:val="H1GA"/>
        <w:rPr>
          <w:rFonts w:hint="cs"/>
          <w:rtl/>
        </w:rPr>
      </w:pPr>
      <w:r>
        <w:rPr>
          <w:rFonts w:hint="cs"/>
          <w:rtl/>
        </w:rPr>
        <w:tab/>
        <w:t>باء -</w:t>
      </w:r>
      <w:r>
        <w:rPr>
          <w:rFonts w:hint="cs"/>
          <w:rtl/>
        </w:rPr>
        <w:tab/>
        <w:t>الجوانب الإيجابية</w:t>
      </w:r>
    </w:p>
    <w:p w:rsidR="007C39B1" w:rsidRDefault="007C39B1" w:rsidP="007C39B1">
      <w:pPr>
        <w:pStyle w:val="SingleTxtGA"/>
        <w:rPr>
          <w:rFonts w:hint="cs"/>
          <w:rtl/>
          <w:lang w:val="fr-CH"/>
        </w:rPr>
      </w:pPr>
      <w:r>
        <w:rPr>
          <w:rFonts w:hint="cs"/>
          <w:rtl/>
          <w:lang w:val="fr-CH"/>
        </w:rPr>
        <w:t>3-</w:t>
      </w:r>
      <w:r>
        <w:rPr>
          <w:rFonts w:hint="cs"/>
          <w:rtl/>
          <w:lang w:val="fr-CH"/>
        </w:rPr>
        <w:tab/>
        <w:t>ترح</w:t>
      </w:r>
      <w:r w:rsidR="00552AF4">
        <w:rPr>
          <w:rFonts w:hint="cs"/>
          <w:rtl/>
          <w:lang w:val="fr-CH"/>
        </w:rPr>
        <w:t>ّ</w:t>
      </w:r>
      <w:r>
        <w:rPr>
          <w:rFonts w:hint="cs"/>
          <w:rtl/>
          <w:lang w:val="fr-CH"/>
        </w:rPr>
        <w:t>ب اللجنة بالخطوات التشريعية والمؤسسية التي اتخذتها الدولة الطرف والواردة أدناه:</w:t>
      </w:r>
    </w:p>
    <w:p w:rsidR="007C39B1" w:rsidRDefault="007C39B1" w:rsidP="007C39B1">
      <w:pPr>
        <w:pStyle w:val="SingleTxtGA"/>
        <w:rPr>
          <w:rFonts w:hint="cs"/>
          <w:rtl/>
          <w:lang w:val="fr-CH"/>
        </w:rPr>
      </w:pPr>
      <w:r>
        <w:rPr>
          <w:rFonts w:hint="cs"/>
          <w:rtl/>
          <w:lang w:val="fr-CH"/>
        </w:rPr>
        <w:tab/>
        <w:t>(أ)</w:t>
      </w:r>
      <w:r>
        <w:rPr>
          <w:rFonts w:hint="cs"/>
          <w:rtl/>
          <w:lang w:val="fr-CH"/>
        </w:rPr>
        <w:tab/>
        <w:t>اعتماد قانون يتعلق بالخدمة البديلة للخدمة العسكرية، في عام 1999؛</w:t>
      </w:r>
    </w:p>
    <w:p w:rsidR="007C39B1" w:rsidRDefault="007C39B1" w:rsidP="009E4595">
      <w:pPr>
        <w:pStyle w:val="SingleTxtGA"/>
        <w:rPr>
          <w:rFonts w:hint="cs"/>
          <w:rtl/>
          <w:lang w:val="fr-CH"/>
        </w:rPr>
      </w:pPr>
      <w:r>
        <w:rPr>
          <w:rFonts w:hint="cs"/>
          <w:rtl/>
          <w:lang w:val="fr-CH"/>
        </w:rPr>
        <w:tab/>
        <w:t>(ب)</w:t>
      </w:r>
      <w:r>
        <w:rPr>
          <w:rFonts w:hint="cs"/>
          <w:rtl/>
          <w:lang w:val="fr-CH"/>
        </w:rPr>
        <w:tab/>
        <w:t>تعديل القانون المتعلق بالدفاع والقوات المسلحة لجمهورية بلغاريا، في عام</w:t>
      </w:r>
      <w:r w:rsidR="009E4595">
        <w:rPr>
          <w:rFonts w:hint="eastAsia"/>
          <w:rtl/>
          <w:lang w:val="fr-CH"/>
        </w:rPr>
        <w:t> </w:t>
      </w:r>
      <w:r>
        <w:rPr>
          <w:rFonts w:hint="cs"/>
          <w:rtl/>
          <w:lang w:val="fr-CH"/>
        </w:rPr>
        <w:t>2007؛</w:t>
      </w:r>
    </w:p>
    <w:p w:rsidR="007C39B1" w:rsidRDefault="007C39B1" w:rsidP="007C39B1">
      <w:pPr>
        <w:pStyle w:val="SingleTxtGA"/>
        <w:rPr>
          <w:rFonts w:hint="cs"/>
          <w:rtl/>
          <w:lang w:val="fr-CH"/>
        </w:rPr>
      </w:pPr>
      <w:r>
        <w:rPr>
          <w:rFonts w:hint="cs"/>
          <w:rtl/>
          <w:lang w:val="fr-CH"/>
        </w:rPr>
        <w:tab/>
        <w:t>(ج)</w:t>
      </w:r>
      <w:r>
        <w:rPr>
          <w:rFonts w:hint="cs"/>
          <w:rtl/>
          <w:lang w:val="fr-CH"/>
        </w:rPr>
        <w:tab/>
        <w:t xml:space="preserve">إلغاء الخدمة العسكرية ابتداءً من 1 </w:t>
      </w:r>
      <w:r w:rsidRPr="00144D3D">
        <w:rPr>
          <w:rFonts w:hint="cs"/>
          <w:sz w:val="30"/>
          <w:rtl/>
          <w:lang w:val="fr-CH"/>
        </w:rPr>
        <w:t xml:space="preserve">كانون الثاني/يناير </w:t>
      </w:r>
      <w:r>
        <w:rPr>
          <w:rFonts w:hint="cs"/>
          <w:rtl/>
          <w:lang w:val="fr-CH"/>
        </w:rPr>
        <w:t>2008؛</w:t>
      </w:r>
    </w:p>
    <w:p w:rsidR="007C39B1" w:rsidRDefault="007C39B1" w:rsidP="007C39B1">
      <w:pPr>
        <w:pStyle w:val="SingleTxtGA"/>
        <w:rPr>
          <w:rFonts w:hint="cs"/>
          <w:rtl/>
          <w:lang w:val="fr-CH"/>
        </w:rPr>
      </w:pPr>
      <w:r>
        <w:rPr>
          <w:rFonts w:hint="cs"/>
          <w:rtl/>
          <w:lang w:val="fr-CH"/>
        </w:rPr>
        <w:tab/>
        <w:t>(د)</w:t>
      </w:r>
      <w:r>
        <w:rPr>
          <w:rFonts w:hint="cs"/>
          <w:rtl/>
          <w:lang w:val="fr-CH"/>
        </w:rPr>
        <w:tab/>
        <w:t>اعتماد قانون بشأن مكافحة الاتجار بالبشر، في عام 2003، وإنشاء لجنة وطنية لمكافحة الاتجار؛</w:t>
      </w:r>
    </w:p>
    <w:p w:rsidR="007C39B1" w:rsidRDefault="007C39B1" w:rsidP="007C39B1">
      <w:pPr>
        <w:pStyle w:val="SingleTxtGA"/>
        <w:rPr>
          <w:rFonts w:hint="cs"/>
          <w:rtl/>
          <w:lang w:val="fr-CH"/>
        </w:rPr>
      </w:pPr>
      <w:r>
        <w:rPr>
          <w:rFonts w:hint="cs"/>
          <w:rtl/>
          <w:lang w:val="fr-CH"/>
        </w:rPr>
        <w:tab/>
        <w:t>(</w:t>
      </w:r>
      <w:r w:rsidRPr="00144D3D">
        <w:rPr>
          <w:rFonts w:hint="cs"/>
          <w:sz w:val="30"/>
          <w:rtl/>
          <w:lang w:val="fr-CH"/>
        </w:rPr>
        <w:t>ﻫ</w:t>
      </w:r>
      <w:r>
        <w:rPr>
          <w:rFonts w:hint="cs"/>
          <w:rtl/>
          <w:lang w:val="fr-CH"/>
        </w:rPr>
        <w:t>)</w:t>
      </w:r>
      <w:r>
        <w:rPr>
          <w:rFonts w:hint="cs"/>
          <w:rtl/>
          <w:lang w:val="fr-CH"/>
        </w:rPr>
        <w:tab/>
        <w:t>تعديل الدستور، في عام 2007، لإنشاء مجلس القضاء الأعلى والحد من الحصانة القضائية؛</w:t>
      </w:r>
    </w:p>
    <w:p w:rsidR="007C39B1" w:rsidRDefault="007C39B1" w:rsidP="00122905">
      <w:pPr>
        <w:pStyle w:val="SingleTxtGA"/>
        <w:rPr>
          <w:rFonts w:hint="cs"/>
          <w:rtl/>
          <w:lang w:val="fr-CH"/>
        </w:rPr>
      </w:pPr>
      <w:r>
        <w:rPr>
          <w:rFonts w:hint="cs"/>
          <w:rtl/>
          <w:lang w:val="fr-CH"/>
        </w:rPr>
        <w:tab/>
        <w:t>(و)</w:t>
      </w:r>
      <w:r>
        <w:rPr>
          <w:rFonts w:hint="cs"/>
          <w:rtl/>
          <w:lang w:val="fr-CH"/>
        </w:rPr>
        <w:tab/>
        <w:t xml:space="preserve">اعتماد </w:t>
      </w:r>
      <w:proofErr w:type="spellStart"/>
      <w:r w:rsidR="00122905">
        <w:rPr>
          <w:rFonts w:hint="cs"/>
          <w:rtl/>
          <w:lang w:val="fr-CH"/>
        </w:rPr>
        <w:t>ا</w:t>
      </w:r>
      <w:r>
        <w:rPr>
          <w:rFonts w:hint="cs"/>
          <w:rtl/>
          <w:lang w:val="fr-CH"/>
        </w:rPr>
        <w:t>ستراتيجية</w:t>
      </w:r>
      <w:proofErr w:type="spellEnd"/>
      <w:r>
        <w:rPr>
          <w:rFonts w:hint="cs"/>
          <w:rtl/>
          <w:lang w:val="fr-CH"/>
        </w:rPr>
        <w:t xml:space="preserve"> متكاملة لمكافحة الجريمة والفساد، في عام 2010.</w:t>
      </w:r>
    </w:p>
    <w:p w:rsidR="007C39B1" w:rsidRDefault="007C39B1" w:rsidP="007C39B1">
      <w:pPr>
        <w:pStyle w:val="SingleTxtGA"/>
        <w:rPr>
          <w:rFonts w:hint="cs"/>
          <w:rtl/>
          <w:lang w:val="fr-CH"/>
        </w:rPr>
      </w:pPr>
      <w:r>
        <w:rPr>
          <w:rFonts w:hint="cs"/>
          <w:rtl/>
          <w:lang w:val="fr-CH"/>
        </w:rPr>
        <w:t>4-</w:t>
      </w:r>
      <w:r>
        <w:rPr>
          <w:rFonts w:hint="cs"/>
          <w:rtl/>
          <w:lang w:val="fr-CH"/>
        </w:rPr>
        <w:tab/>
        <w:t>وترح</w:t>
      </w:r>
      <w:r w:rsidR="00552AF4">
        <w:rPr>
          <w:rFonts w:hint="cs"/>
          <w:rtl/>
          <w:lang w:val="fr-CH"/>
        </w:rPr>
        <w:t>ّ</w:t>
      </w:r>
      <w:r>
        <w:rPr>
          <w:rFonts w:hint="cs"/>
          <w:rtl/>
          <w:lang w:val="fr-CH"/>
        </w:rPr>
        <w:t>ب اللجنة بتصديق الدولة الطرف على الصكوك الدولية التالية:</w:t>
      </w:r>
    </w:p>
    <w:p w:rsidR="007C39B1" w:rsidRDefault="007C39B1" w:rsidP="007C39B1">
      <w:pPr>
        <w:pStyle w:val="SingleTxtGA"/>
        <w:rPr>
          <w:rFonts w:hint="cs"/>
          <w:rtl/>
          <w:lang w:val="fr-CH"/>
        </w:rPr>
      </w:pPr>
      <w:r>
        <w:rPr>
          <w:rFonts w:hint="cs"/>
          <w:rtl/>
          <w:lang w:val="fr-CH"/>
        </w:rPr>
        <w:tab/>
        <w:t>(أ)</w:t>
      </w:r>
      <w:r>
        <w:rPr>
          <w:rFonts w:hint="cs"/>
          <w:rtl/>
          <w:lang w:val="fr-CH"/>
        </w:rPr>
        <w:tab/>
        <w:t>البروتوكول الاختياري الثاني الملحق بالعهد الدولي الخاص بالحقوق المدنية والسياسية، في عام 1999؛</w:t>
      </w:r>
    </w:p>
    <w:p w:rsidR="007C39B1" w:rsidRDefault="007C39B1" w:rsidP="007C39B1">
      <w:pPr>
        <w:pStyle w:val="SingleTxtGA"/>
        <w:rPr>
          <w:rFonts w:hint="cs"/>
          <w:rtl/>
          <w:lang w:val="fr-CH"/>
        </w:rPr>
      </w:pPr>
      <w:r>
        <w:rPr>
          <w:rFonts w:hint="cs"/>
          <w:rtl/>
          <w:lang w:val="fr-CH"/>
        </w:rPr>
        <w:tab/>
        <w:t>(ب)</w:t>
      </w:r>
      <w:r>
        <w:rPr>
          <w:rFonts w:hint="cs"/>
          <w:rtl/>
          <w:lang w:val="fr-CH"/>
        </w:rPr>
        <w:tab/>
        <w:t>اتفاقية الأمم المتحدة لمكافحة الجريمة المنظمة عبر الوطنية، في عام 2001؛</w:t>
      </w:r>
    </w:p>
    <w:p w:rsidR="007C39B1" w:rsidRDefault="007C39B1" w:rsidP="007C39B1">
      <w:pPr>
        <w:pStyle w:val="SingleTxtGA"/>
        <w:rPr>
          <w:rFonts w:hint="cs"/>
          <w:rtl/>
          <w:lang w:val="fr-CH"/>
        </w:rPr>
      </w:pPr>
      <w:r>
        <w:rPr>
          <w:rFonts w:hint="cs"/>
          <w:rtl/>
          <w:lang w:val="fr-CH"/>
        </w:rPr>
        <w:tab/>
        <w:t>(ج)</w:t>
      </w:r>
      <w:r>
        <w:rPr>
          <w:rFonts w:hint="cs"/>
          <w:rtl/>
          <w:lang w:val="fr-CH"/>
        </w:rPr>
        <w:tab/>
        <w:t>بروتوكول منع وقمع ومعاقبة الاتجار بالأشخاص وبخاصة النساء والأطفال، في عام 2001؛</w:t>
      </w:r>
    </w:p>
    <w:p w:rsidR="007C39B1" w:rsidRDefault="007C39B1" w:rsidP="007C39B1">
      <w:pPr>
        <w:pStyle w:val="SingleTxtGA"/>
        <w:rPr>
          <w:rFonts w:hint="cs"/>
          <w:rtl/>
          <w:lang w:val="fr-CH"/>
        </w:rPr>
      </w:pPr>
      <w:r>
        <w:rPr>
          <w:rFonts w:hint="cs"/>
          <w:rtl/>
          <w:lang w:val="fr-CH"/>
        </w:rPr>
        <w:tab/>
        <w:t>(د)</w:t>
      </w:r>
      <w:r>
        <w:rPr>
          <w:rFonts w:hint="cs"/>
          <w:rtl/>
          <w:lang w:val="fr-CH"/>
        </w:rPr>
        <w:tab/>
        <w:t>البروتوكول الاختياري لاتفاقية القضاء على جميع أشكال التمييز ضد المرأة، في عام 2006؛</w:t>
      </w:r>
    </w:p>
    <w:p w:rsidR="007C39B1" w:rsidRDefault="007C39B1" w:rsidP="007C39B1">
      <w:pPr>
        <w:pStyle w:val="SingleTxtGA"/>
        <w:rPr>
          <w:rFonts w:hint="cs"/>
          <w:rtl/>
          <w:lang w:val="fr-CH"/>
        </w:rPr>
      </w:pPr>
      <w:r>
        <w:rPr>
          <w:rFonts w:hint="cs"/>
          <w:rtl/>
          <w:lang w:val="fr-CH"/>
        </w:rPr>
        <w:tab/>
        <w:t>(</w:t>
      </w:r>
      <w:r w:rsidRPr="00A45740">
        <w:rPr>
          <w:rFonts w:hint="cs"/>
          <w:sz w:val="30"/>
          <w:rtl/>
          <w:lang w:val="fr-CH"/>
        </w:rPr>
        <w:t>ﻫ</w:t>
      </w:r>
      <w:r>
        <w:rPr>
          <w:rFonts w:hint="cs"/>
          <w:rtl/>
          <w:lang w:val="fr-CH"/>
        </w:rPr>
        <w:t>)</w:t>
      </w:r>
      <w:r>
        <w:rPr>
          <w:rFonts w:hint="cs"/>
          <w:rtl/>
          <w:lang w:val="fr-CH"/>
        </w:rPr>
        <w:tab/>
        <w:t>البروتوكول الاختياري لاتفاقية حقوق الطفل المتعلق بإشراك الأطفال في النزاعات المسلحة، في عام 2001؛</w:t>
      </w:r>
    </w:p>
    <w:p w:rsidR="007C39B1" w:rsidRDefault="007C39B1" w:rsidP="007C39B1">
      <w:pPr>
        <w:pStyle w:val="SingleTxtGA"/>
        <w:rPr>
          <w:rFonts w:hint="cs"/>
          <w:rtl/>
          <w:lang w:val="fr-CH"/>
        </w:rPr>
      </w:pPr>
      <w:r>
        <w:rPr>
          <w:rFonts w:hint="cs"/>
          <w:rtl/>
          <w:lang w:val="fr-CH"/>
        </w:rPr>
        <w:tab/>
        <w:t>(و)</w:t>
      </w:r>
      <w:r>
        <w:rPr>
          <w:rFonts w:hint="cs"/>
          <w:rtl/>
          <w:lang w:val="fr-CH"/>
        </w:rPr>
        <w:tab/>
        <w:t>البروتوكول الاختياري لاتفاقية حقوق الطفل المتعلق ببيع الأطفال وبغاء الأطفال واستغلال الأطفال في المواد الإباحية، في عام 2001.</w:t>
      </w:r>
    </w:p>
    <w:p w:rsidR="007C39B1" w:rsidRDefault="007C39B1" w:rsidP="0088729E">
      <w:pPr>
        <w:pStyle w:val="H1GA"/>
        <w:rPr>
          <w:rFonts w:hint="cs"/>
          <w:rtl/>
          <w:lang w:val="fr-CH"/>
        </w:rPr>
      </w:pPr>
      <w:r>
        <w:rPr>
          <w:rFonts w:hint="cs"/>
          <w:rtl/>
          <w:lang w:val="fr-CH"/>
        </w:rPr>
        <w:tab/>
        <w:t>جيم -</w:t>
      </w:r>
      <w:r>
        <w:rPr>
          <w:rFonts w:hint="cs"/>
          <w:rtl/>
          <w:lang w:val="fr-CH"/>
        </w:rPr>
        <w:tab/>
        <w:t>دواعي القلق الرئيسية والتوصيات</w:t>
      </w:r>
    </w:p>
    <w:p w:rsidR="007C39B1" w:rsidRDefault="007C39B1" w:rsidP="00045D2C">
      <w:pPr>
        <w:pStyle w:val="SingleTxtGA"/>
        <w:rPr>
          <w:rFonts w:hint="cs"/>
          <w:rtl/>
          <w:lang w:val="fr-CH"/>
        </w:rPr>
      </w:pPr>
      <w:r>
        <w:rPr>
          <w:rFonts w:hint="cs"/>
          <w:rtl/>
          <w:lang w:val="fr-CH"/>
        </w:rPr>
        <w:t>5-</w:t>
      </w:r>
      <w:r>
        <w:rPr>
          <w:rFonts w:hint="cs"/>
          <w:rtl/>
          <w:lang w:val="fr-CH"/>
        </w:rPr>
        <w:tab/>
        <w:t xml:space="preserve">فيما تأخذ اللجنة علماً بالفقرة 4 من المادة 5 من الدستور التي </w:t>
      </w:r>
      <w:proofErr w:type="spellStart"/>
      <w:r>
        <w:rPr>
          <w:rFonts w:hint="cs"/>
          <w:rtl/>
          <w:lang w:val="fr-CH"/>
        </w:rPr>
        <w:t>تنص</w:t>
      </w:r>
      <w:proofErr w:type="spellEnd"/>
      <w:r>
        <w:rPr>
          <w:rFonts w:hint="cs"/>
          <w:rtl/>
          <w:lang w:val="fr-CH"/>
        </w:rPr>
        <w:t xml:space="preserve"> على أن </w:t>
      </w:r>
      <w:r w:rsidR="00552AF4">
        <w:rPr>
          <w:rFonts w:hint="cs"/>
          <w:rtl/>
          <w:lang w:val="fr-CH"/>
        </w:rPr>
        <w:t>ل</w:t>
      </w:r>
      <w:r>
        <w:rPr>
          <w:rFonts w:hint="cs"/>
          <w:rtl/>
          <w:lang w:val="fr-CH"/>
        </w:rPr>
        <w:t xml:space="preserve">أحكام العهد </w:t>
      </w:r>
      <w:r w:rsidR="00552AF4">
        <w:rPr>
          <w:rFonts w:hint="cs"/>
          <w:rtl/>
          <w:lang w:val="fr-CH"/>
        </w:rPr>
        <w:t>الأسبقية</w:t>
      </w:r>
      <w:r>
        <w:rPr>
          <w:rFonts w:hint="cs"/>
          <w:rtl/>
          <w:lang w:val="fr-CH"/>
        </w:rPr>
        <w:t xml:space="preserve"> على القانون الوطني، وترحب بوجود آليات يمكن لضحايا الانتهاك</w:t>
      </w:r>
      <w:r w:rsidR="00552AF4">
        <w:rPr>
          <w:rFonts w:hint="cs"/>
          <w:rtl/>
          <w:lang w:val="fr-CH"/>
        </w:rPr>
        <w:t>ات</w:t>
      </w:r>
      <w:r>
        <w:rPr>
          <w:rFonts w:hint="cs"/>
          <w:rtl/>
          <w:lang w:val="fr-CH"/>
        </w:rPr>
        <w:t xml:space="preserve"> الوصول من خلالها إلى سبل الانتصاف، </w:t>
      </w:r>
      <w:r w:rsidR="00552AF4">
        <w:rPr>
          <w:rFonts w:hint="cs"/>
          <w:rtl/>
          <w:lang w:val="fr-CH"/>
        </w:rPr>
        <w:t>فإنها تشعر</w:t>
      </w:r>
      <w:r>
        <w:rPr>
          <w:rFonts w:hint="cs"/>
          <w:rtl/>
          <w:lang w:val="fr-CH"/>
        </w:rPr>
        <w:t xml:space="preserve"> </w:t>
      </w:r>
      <w:r w:rsidR="00552AF4">
        <w:rPr>
          <w:rFonts w:hint="cs"/>
          <w:rtl/>
          <w:lang w:val="fr-CH"/>
        </w:rPr>
        <w:t>ب</w:t>
      </w:r>
      <w:r>
        <w:rPr>
          <w:rFonts w:hint="cs"/>
          <w:rtl/>
          <w:lang w:val="fr-CH"/>
        </w:rPr>
        <w:t>القلق لأن المحاكم المحلية لا</w:t>
      </w:r>
      <w:r w:rsidR="00552AF4">
        <w:rPr>
          <w:rFonts w:hint="eastAsia"/>
          <w:rtl/>
          <w:lang w:val="fr-CH"/>
        </w:rPr>
        <w:t> </w:t>
      </w:r>
      <w:r>
        <w:rPr>
          <w:rFonts w:hint="cs"/>
          <w:rtl/>
          <w:lang w:val="fr-CH"/>
        </w:rPr>
        <w:t>تعتبر العهد</w:t>
      </w:r>
      <w:r w:rsidR="00552AF4">
        <w:rPr>
          <w:rFonts w:hint="cs"/>
          <w:rtl/>
          <w:lang w:val="fr-CH"/>
        </w:rPr>
        <w:t>،</w:t>
      </w:r>
      <w:r>
        <w:rPr>
          <w:rFonts w:hint="cs"/>
          <w:rtl/>
          <w:lang w:val="fr-CH"/>
        </w:rPr>
        <w:t xml:space="preserve"> دائماً</w:t>
      </w:r>
      <w:r w:rsidR="00045D2C">
        <w:rPr>
          <w:rFonts w:hint="cs"/>
          <w:rtl/>
          <w:lang w:val="fr-CH"/>
        </w:rPr>
        <w:t>،</w:t>
      </w:r>
      <w:r>
        <w:rPr>
          <w:rFonts w:hint="cs"/>
          <w:rtl/>
          <w:lang w:val="fr-CH"/>
        </w:rPr>
        <w:t xml:space="preserve"> جزء</w:t>
      </w:r>
      <w:r w:rsidR="00552AF4">
        <w:rPr>
          <w:rFonts w:hint="cs"/>
          <w:rtl/>
          <w:lang w:val="fr-CH"/>
        </w:rPr>
        <w:t>اً</w:t>
      </w:r>
      <w:r>
        <w:rPr>
          <w:rFonts w:hint="cs"/>
          <w:rtl/>
          <w:lang w:val="fr-CH"/>
        </w:rPr>
        <w:t xml:space="preserve"> من الإطار القانوني التي يتعين عليها الرجوع إليه، ولأن مجلس </w:t>
      </w:r>
      <w:r w:rsidR="00552AF4">
        <w:rPr>
          <w:rFonts w:hint="cs"/>
          <w:rtl/>
          <w:lang w:val="fr-CH"/>
        </w:rPr>
        <w:t xml:space="preserve">القضاء </w:t>
      </w:r>
      <w:r>
        <w:rPr>
          <w:rFonts w:hint="cs"/>
          <w:rtl/>
          <w:lang w:val="fr-CH"/>
        </w:rPr>
        <w:t xml:space="preserve">الأعلى لا يملك أي سجلات بشأن قضايا تم فيها </w:t>
      </w:r>
      <w:r w:rsidR="00552AF4">
        <w:rPr>
          <w:rFonts w:hint="cs"/>
          <w:rtl/>
          <w:lang w:val="fr-CH"/>
        </w:rPr>
        <w:t xml:space="preserve">الاحتجاج </w:t>
      </w:r>
      <w:r>
        <w:rPr>
          <w:rFonts w:hint="cs"/>
          <w:rtl/>
          <w:lang w:val="fr-CH"/>
        </w:rPr>
        <w:t>مباشرةً بأحكام العهد (المادة 2 من العهد).</w:t>
      </w:r>
    </w:p>
    <w:p w:rsidR="007C39B1" w:rsidRDefault="00552AF4" w:rsidP="00552AF4">
      <w:pPr>
        <w:pStyle w:val="SingleTxtGA"/>
        <w:rPr>
          <w:rFonts w:hint="cs"/>
          <w:b/>
          <w:bCs/>
          <w:rtl/>
          <w:lang w:val="fr-CH"/>
        </w:rPr>
      </w:pPr>
      <w:r>
        <w:rPr>
          <w:rFonts w:hint="cs"/>
          <w:b/>
          <w:bCs/>
          <w:rtl/>
          <w:lang w:val="fr-CH"/>
        </w:rPr>
        <w:tab/>
      </w:r>
      <w:r w:rsidR="007C39B1">
        <w:rPr>
          <w:rFonts w:hint="cs"/>
          <w:b/>
          <w:bCs/>
          <w:rtl/>
          <w:lang w:val="fr-CH"/>
        </w:rPr>
        <w:t xml:space="preserve">ينبغي للدولة الطرف أن تتخذ جميع التدابير اللازمة لضمان </w:t>
      </w:r>
      <w:r>
        <w:rPr>
          <w:rFonts w:hint="cs"/>
          <w:b/>
          <w:bCs/>
          <w:rtl/>
          <w:lang w:val="fr-CH"/>
        </w:rPr>
        <w:t>إلمام</w:t>
      </w:r>
      <w:r w:rsidR="007C39B1">
        <w:rPr>
          <w:rFonts w:hint="cs"/>
          <w:b/>
          <w:bCs/>
          <w:rtl/>
          <w:lang w:val="fr-CH"/>
        </w:rPr>
        <w:t xml:space="preserve"> القضاة والمدعين العامين والمحامين بأحكام العهد، لتمكينهم من الاحتكام </w:t>
      </w:r>
      <w:r>
        <w:rPr>
          <w:rFonts w:hint="cs"/>
          <w:b/>
          <w:bCs/>
          <w:rtl/>
          <w:lang w:val="fr-CH"/>
        </w:rPr>
        <w:t xml:space="preserve">إلى </w:t>
      </w:r>
      <w:r w:rsidR="007C39B1">
        <w:rPr>
          <w:rFonts w:hint="cs"/>
          <w:b/>
          <w:bCs/>
          <w:rtl/>
          <w:lang w:val="fr-CH"/>
        </w:rPr>
        <w:t xml:space="preserve">العهد وتطبيقه في القضايا ذات الصلة. وينبغي </w:t>
      </w:r>
      <w:r>
        <w:rPr>
          <w:rFonts w:hint="cs"/>
          <w:b/>
          <w:bCs/>
          <w:rtl/>
          <w:lang w:val="fr-CH"/>
        </w:rPr>
        <w:t>لها</w:t>
      </w:r>
      <w:r w:rsidR="007C39B1">
        <w:rPr>
          <w:rFonts w:hint="cs"/>
          <w:b/>
          <w:bCs/>
          <w:rtl/>
          <w:lang w:val="fr-CH"/>
        </w:rPr>
        <w:t xml:space="preserve"> أن تورد في تقريرها الدوري المقبل أمثلة مفصلة عن تطبيق العهد من جانب المحاكم الو</w:t>
      </w:r>
      <w:r>
        <w:rPr>
          <w:rFonts w:hint="cs"/>
          <w:b/>
          <w:bCs/>
          <w:rtl/>
          <w:lang w:val="fr-CH"/>
        </w:rPr>
        <w:t xml:space="preserve">طنية ووصول الأفراد الذين يدعون حدوث </w:t>
      </w:r>
      <w:r w:rsidR="007C39B1">
        <w:rPr>
          <w:rFonts w:hint="cs"/>
          <w:b/>
          <w:bCs/>
          <w:rtl/>
          <w:lang w:val="fr-CH"/>
        </w:rPr>
        <w:t xml:space="preserve">انتهاك </w:t>
      </w:r>
      <w:r>
        <w:rPr>
          <w:rFonts w:hint="cs"/>
          <w:b/>
          <w:bCs/>
          <w:rtl/>
          <w:lang w:val="fr-CH"/>
        </w:rPr>
        <w:t>ل</w:t>
      </w:r>
      <w:r w:rsidR="007C39B1">
        <w:rPr>
          <w:rFonts w:hint="cs"/>
          <w:b/>
          <w:bCs/>
          <w:rtl/>
          <w:lang w:val="fr-CH"/>
        </w:rPr>
        <w:t>لحقوق الواردة في العهد، إلى سبل انتصاف منصوص عليها في القانون.</w:t>
      </w:r>
    </w:p>
    <w:p w:rsidR="007C39B1" w:rsidRDefault="007C39B1" w:rsidP="00122905">
      <w:pPr>
        <w:pStyle w:val="SingleTxtGA"/>
        <w:rPr>
          <w:rFonts w:hint="cs"/>
          <w:rtl/>
          <w:lang w:val="fr-CH"/>
        </w:rPr>
      </w:pPr>
      <w:r>
        <w:rPr>
          <w:rFonts w:hint="cs"/>
          <w:rtl/>
          <w:lang w:val="fr-CH"/>
        </w:rPr>
        <w:t>6-</w:t>
      </w:r>
      <w:r>
        <w:rPr>
          <w:rFonts w:hint="cs"/>
          <w:rtl/>
          <w:lang w:val="fr-CH"/>
        </w:rPr>
        <w:tab/>
      </w:r>
      <w:r w:rsidR="00045D2C">
        <w:rPr>
          <w:rFonts w:hint="cs"/>
          <w:rtl/>
          <w:lang w:val="fr-CH"/>
        </w:rPr>
        <w:t>و</w:t>
      </w:r>
      <w:r>
        <w:rPr>
          <w:rFonts w:hint="cs"/>
          <w:rtl/>
          <w:lang w:val="fr-CH"/>
        </w:rPr>
        <w:t xml:space="preserve">فيما ترحب اللجنة بتنفيذ </w:t>
      </w:r>
      <w:proofErr w:type="spellStart"/>
      <w:r w:rsidR="00122905">
        <w:rPr>
          <w:rFonts w:hint="cs"/>
          <w:rtl/>
          <w:lang w:val="fr-CH"/>
        </w:rPr>
        <w:t>ا</w:t>
      </w:r>
      <w:r>
        <w:rPr>
          <w:rFonts w:hint="cs"/>
          <w:rtl/>
          <w:lang w:val="fr-CH"/>
        </w:rPr>
        <w:t>ستراتيجية</w:t>
      </w:r>
      <w:proofErr w:type="spellEnd"/>
      <w:r>
        <w:rPr>
          <w:rFonts w:hint="cs"/>
          <w:rtl/>
          <w:lang w:val="fr-CH"/>
        </w:rPr>
        <w:t xml:space="preserve"> وطنية للتشجيع على المساواة بين الجنسين (200</w:t>
      </w:r>
      <w:r w:rsidR="00552AF4">
        <w:rPr>
          <w:rFonts w:hint="cs"/>
          <w:rtl/>
          <w:lang w:val="fr-CH"/>
        </w:rPr>
        <w:t>9</w:t>
      </w:r>
      <w:r>
        <w:rPr>
          <w:rFonts w:hint="cs"/>
          <w:rtl/>
          <w:lang w:val="fr-CH"/>
        </w:rPr>
        <w:t xml:space="preserve">-2015)، </w:t>
      </w:r>
      <w:r w:rsidR="00552AF4">
        <w:rPr>
          <w:rFonts w:hint="cs"/>
          <w:rtl/>
          <w:lang w:val="fr-CH"/>
        </w:rPr>
        <w:t>فإنها تشعر</w:t>
      </w:r>
      <w:r>
        <w:rPr>
          <w:rFonts w:hint="cs"/>
          <w:rtl/>
          <w:lang w:val="fr-CH"/>
        </w:rPr>
        <w:t xml:space="preserve"> </w:t>
      </w:r>
      <w:r w:rsidR="00552AF4">
        <w:rPr>
          <w:rFonts w:hint="cs"/>
          <w:rtl/>
          <w:lang w:val="fr-CH"/>
        </w:rPr>
        <w:t>ب</w:t>
      </w:r>
      <w:r>
        <w:rPr>
          <w:rFonts w:hint="cs"/>
          <w:rtl/>
          <w:lang w:val="fr-CH"/>
        </w:rPr>
        <w:t xml:space="preserve">القلق </w:t>
      </w:r>
      <w:r w:rsidR="00552AF4">
        <w:rPr>
          <w:rFonts w:hint="cs"/>
          <w:rtl/>
          <w:lang w:val="fr-CH"/>
        </w:rPr>
        <w:t xml:space="preserve">لتواصل انتشار </w:t>
      </w:r>
      <w:r>
        <w:rPr>
          <w:rFonts w:hint="cs"/>
          <w:rtl/>
          <w:lang w:val="fr-CH"/>
        </w:rPr>
        <w:t xml:space="preserve">الممارسات والرسائل المتعلقة بالتمييز </w:t>
      </w:r>
      <w:r w:rsidR="00552AF4">
        <w:rPr>
          <w:rFonts w:hint="cs"/>
          <w:rtl/>
          <w:lang w:val="fr-CH"/>
        </w:rPr>
        <w:t xml:space="preserve">في مجالات عديدة من بينها </w:t>
      </w:r>
      <w:r>
        <w:rPr>
          <w:rFonts w:hint="cs"/>
          <w:rtl/>
          <w:lang w:val="fr-CH"/>
        </w:rPr>
        <w:t>وسائط الإعلام</w:t>
      </w:r>
      <w:r w:rsidR="00552AF4">
        <w:rPr>
          <w:rFonts w:hint="cs"/>
          <w:rtl/>
          <w:lang w:val="fr-CH"/>
        </w:rPr>
        <w:t>،</w:t>
      </w:r>
      <w:r>
        <w:rPr>
          <w:rFonts w:hint="cs"/>
          <w:rtl/>
          <w:lang w:val="fr-CH"/>
        </w:rPr>
        <w:t xml:space="preserve"> </w:t>
      </w:r>
      <w:r w:rsidR="00552AF4">
        <w:rPr>
          <w:rFonts w:hint="cs"/>
          <w:rtl/>
          <w:lang w:val="fr-CH"/>
        </w:rPr>
        <w:t xml:space="preserve">ولعدم اعتماد </w:t>
      </w:r>
      <w:r>
        <w:rPr>
          <w:rFonts w:hint="cs"/>
          <w:rtl/>
          <w:lang w:val="fr-CH"/>
        </w:rPr>
        <w:t>تشريع بشأن تكافؤ الفرص بين الرجل والمرأة (المواد 2 و3 و26).</w:t>
      </w:r>
    </w:p>
    <w:p w:rsidR="007C39B1" w:rsidRPr="00C22145" w:rsidRDefault="00473500" w:rsidP="00473500">
      <w:pPr>
        <w:pStyle w:val="SingleTxtGA"/>
        <w:rPr>
          <w:rFonts w:hint="cs"/>
          <w:b/>
          <w:bCs/>
          <w:rtl/>
          <w:lang w:val="fr-CH"/>
        </w:rPr>
      </w:pPr>
      <w:r>
        <w:rPr>
          <w:rFonts w:hint="cs"/>
          <w:b/>
          <w:bCs/>
          <w:rtl/>
          <w:lang w:val="fr-CH"/>
        </w:rPr>
        <w:tab/>
      </w:r>
      <w:r w:rsidR="007C39B1">
        <w:rPr>
          <w:rFonts w:hint="cs"/>
          <w:b/>
          <w:bCs/>
          <w:rtl/>
          <w:lang w:val="fr-CH"/>
        </w:rPr>
        <w:t xml:space="preserve">ينبغي للدولة الطرف أن تضع سياسات إضافية لتحقيق المساواة الفعالة بين الجنسين واعتماد وتنفيذ تشريع محدد بشأن المساواة بين الرجل والمرأة، تعترف من خلاله رسمياً بالطبيعة المحددة للتمييز ضد المرأة ومعالجته بصورة </w:t>
      </w:r>
      <w:r>
        <w:rPr>
          <w:rFonts w:hint="cs"/>
          <w:b/>
          <w:bCs/>
          <w:rtl/>
          <w:lang w:val="fr-CH"/>
        </w:rPr>
        <w:t>ملائمة</w:t>
      </w:r>
      <w:r w:rsidR="007C39B1">
        <w:rPr>
          <w:rFonts w:hint="cs"/>
          <w:b/>
          <w:bCs/>
          <w:rtl/>
          <w:lang w:val="fr-CH"/>
        </w:rPr>
        <w:t xml:space="preserve">. وفضلاً عن ذلك، ينبغي للدولة الطرف أن تعتمد التدابير اللازمة لرصد </w:t>
      </w:r>
      <w:r>
        <w:rPr>
          <w:rFonts w:hint="cs"/>
          <w:b/>
          <w:bCs/>
          <w:rtl/>
          <w:lang w:val="fr-CH"/>
        </w:rPr>
        <w:t>عملية بث</w:t>
      </w:r>
      <w:r w:rsidR="007C39B1">
        <w:rPr>
          <w:rFonts w:hint="cs"/>
          <w:b/>
          <w:bCs/>
          <w:rtl/>
          <w:lang w:val="fr-CH"/>
        </w:rPr>
        <w:t xml:space="preserve"> رسائل عن القوالب النمطية لنوع الجنس في المجتمع</w:t>
      </w:r>
      <w:r>
        <w:rPr>
          <w:rFonts w:hint="cs"/>
          <w:b/>
          <w:bCs/>
          <w:rtl/>
          <w:lang w:val="fr-CH"/>
        </w:rPr>
        <w:t xml:space="preserve"> ووضع حدّ لها</w:t>
      </w:r>
      <w:r w:rsidR="007C39B1">
        <w:rPr>
          <w:rFonts w:hint="cs"/>
          <w:b/>
          <w:bCs/>
          <w:rtl/>
          <w:lang w:val="fr-CH"/>
        </w:rPr>
        <w:t>.</w:t>
      </w:r>
    </w:p>
    <w:p w:rsidR="007C39B1" w:rsidRDefault="007C39B1" w:rsidP="00A4544A">
      <w:pPr>
        <w:pStyle w:val="SingleTxtGA"/>
        <w:rPr>
          <w:rFonts w:hint="cs"/>
          <w:rtl/>
          <w:lang w:val="fr-CH"/>
        </w:rPr>
      </w:pPr>
      <w:r>
        <w:rPr>
          <w:rFonts w:hint="cs"/>
          <w:rtl/>
          <w:lang w:val="fr-CH"/>
        </w:rPr>
        <w:t>7-</w:t>
      </w:r>
      <w:r>
        <w:rPr>
          <w:rFonts w:hint="cs"/>
          <w:rtl/>
          <w:lang w:val="fr-CH"/>
        </w:rPr>
        <w:tab/>
        <w:t xml:space="preserve">وفيما تأخذ اللجنة علماً بالبرنامج الإطاري لإدماج </w:t>
      </w:r>
      <w:proofErr w:type="spellStart"/>
      <w:r>
        <w:rPr>
          <w:rFonts w:hint="cs"/>
          <w:rtl/>
          <w:lang w:val="fr-CH"/>
        </w:rPr>
        <w:t>الروما</w:t>
      </w:r>
      <w:proofErr w:type="spellEnd"/>
      <w:r>
        <w:rPr>
          <w:rFonts w:hint="cs"/>
          <w:rtl/>
          <w:lang w:val="fr-CH"/>
        </w:rPr>
        <w:t xml:space="preserve"> في المجتمع البلغاري (2010-2020)، </w:t>
      </w:r>
      <w:r w:rsidR="00A4544A">
        <w:rPr>
          <w:rFonts w:hint="cs"/>
          <w:rtl/>
          <w:lang w:val="fr-CH"/>
        </w:rPr>
        <w:t>فإنها تشعر ب</w:t>
      </w:r>
      <w:r>
        <w:rPr>
          <w:rFonts w:hint="cs"/>
          <w:rtl/>
          <w:lang w:val="fr-CH"/>
        </w:rPr>
        <w:t xml:space="preserve">القلق إزاء استمرار انتشار التمييز الذي </w:t>
      </w:r>
      <w:r w:rsidR="00A4544A">
        <w:rPr>
          <w:rFonts w:hint="cs"/>
          <w:rtl/>
          <w:lang w:val="fr-CH"/>
        </w:rPr>
        <w:t>ت</w:t>
      </w:r>
      <w:r>
        <w:rPr>
          <w:rFonts w:hint="cs"/>
          <w:rtl/>
          <w:lang w:val="fr-CH"/>
        </w:rPr>
        <w:t xml:space="preserve">تعرض له </w:t>
      </w:r>
      <w:r w:rsidR="00A4544A">
        <w:rPr>
          <w:rFonts w:hint="cs"/>
          <w:rtl/>
          <w:lang w:val="fr-CH"/>
        </w:rPr>
        <w:t>طائفة</w:t>
      </w:r>
      <w:r>
        <w:rPr>
          <w:rFonts w:hint="cs"/>
          <w:rtl/>
          <w:lang w:val="fr-CH"/>
        </w:rPr>
        <w:t xml:space="preserve"> </w:t>
      </w:r>
      <w:proofErr w:type="spellStart"/>
      <w:r>
        <w:rPr>
          <w:rFonts w:hint="cs"/>
          <w:rtl/>
          <w:lang w:val="fr-CH"/>
        </w:rPr>
        <w:t>الروما</w:t>
      </w:r>
      <w:proofErr w:type="spellEnd"/>
      <w:r>
        <w:rPr>
          <w:rFonts w:hint="cs"/>
          <w:rtl/>
          <w:lang w:val="fr-CH"/>
        </w:rPr>
        <w:t xml:space="preserve">، ولا </w:t>
      </w:r>
      <w:proofErr w:type="spellStart"/>
      <w:r>
        <w:rPr>
          <w:rFonts w:hint="cs"/>
          <w:rtl/>
          <w:lang w:val="fr-CH"/>
        </w:rPr>
        <w:t>سيما</w:t>
      </w:r>
      <w:proofErr w:type="spellEnd"/>
      <w:r>
        <w:rPr>
          <w:rFonts w:hint="cs"/>
          <w:rtl/>
          <w:lang w:val="fr-CH"/>
        </w:rPr>
        <w:t xml:space="preserve"> فيما يتعلق بالوصول إلى التعليم والقضاء والعمل والسكن والمنشآت التجارية. </w:t>
      </w:r>
      <w:r w:rsidR="00A4544A">
        <w:rPr>
          <w:rFonts w:hint="cs"/>
          <w:rtl/>
          <w:lang w:val="fr-CH"/>
        </w:rPr>
        <w:t>كما تشعر ب</w:t>
      </w:r>
      <w:r>
        <w:rPr>
          <w:rFonts w:hint="cs"/>
          <w:rtl/>
          <w:lang w:val="fr-CH"/>
        </w:rPr>
        <w:t xml:space="preserve">القلق لانخفاض عدد الحالات التي تم التحقيق فيها ومحاكمة ومعاقبة </w:t>
      </w:r>
      <w:r w:rsidR="00A4544A">
        <w:rPr>
          <w:rFonts w:hint="cs"/>
          <w:rtl/>
          <w:lang w:val="fr-CH"/>
        </w:rPr>
        <w:t>الجناة</w:t>
      </w:r>
      <w:r>
        <w:rPr>
          <w:rFonts w:hint="cs"/>
          <w:rtl/>
          <w:lang w:val="fr-CH"/>
        </w:rPr>
        <w:t xml:space="preserve"> (المواد 2 و25 و26 و27).</w:t>
      </w:r>
    </w:p>
    <w:p w:rsidR="007C39B1" w:rsidRPr="0081173C" w:rsidRDefault="00A4544A" w:rsidP="00A4544A">
      <w:pPr>
        <w:pStyle w:val="SingleTxtGA"/>
        <w:rPr>
          <w:rFonts w:hint="cs"/>
          <w:b/>
          <w:bCs/>
          <w:rtl/>
          <w:lang w:val="fr-CH"/>
        </w:rPr>
      </w:pPr>
      <w:r>
        <w:rPr>
          <w:rFonts w:hint="cs"/>
          <w:b/>
          <w:bCs/>
          <w:rtl/>
          <w:lang w:val="fr-CH"/>
        </w:rPr>
        <w:tab/>
      </w:r>
      <w:r w:rsidR="007C39B1">
        <w:rPr>
          <w:rFonts w:hint="cs"/>
          <w:b/>
          <w:bCs/>
          <w:rtl/>
          <w:lang w:val="fr-CH"/>
        </w:rPr>
        <w:t>ينبغي للدولة الطرف أن تواصل جهودها المبذولة للقضاء على القوالب ال</w:t>
      </w:r>
      <w:r>
        <w:rPr>
          <w:rFonts w:hint="cs"/>
          <w:b/>
          <w:bCs/>
          <w:rtl/>
          <w:lang w:val="fr-CH"/>
        </w:rPr>
        <w:t xml:space="preserve">نمطية وانتشار التمييز ضد </w:t>
      </w:r>
      <w:proofErr w:type="spellStart"/>
      <w:r>
        <w:rPr>
          <w:rFonts w:hint="cs"/>
          <w:b/>
          <w:bCs/>
          <w:rtl/>
          <w:lang w:val="fr-CH"/>
        </w:rPr>
        <w:t>الروما</w:t>
      </w:r>
      <w:proofErr w:type="spellEnd"/>
      <w:r w:rsidR="007C39B1">
        <w:rPr>
          <w:rFonts w:hint="cs"/>
          <w:b/>
          <w:bCs/>
          <w:rtl/>
          <w:lang w:val="fr-CH"/>
        </w:rPr>
        <w:t xml:space="preserve"> وذلك </w:t>
      </w:r>
      <w:r>
        <w:rPr>
          <w:rFonts w:hint="cs"/>
          <w:b/>
          <w:bCs/>
          <w:rtl/>
          <w:lang w:val="fr-CH"/>
        </w:rPr>
        <w:t>بوسائل</w:t>
      </w:r>
      <w:r w:rsidR="007C39B1">
        <w:rPr>
          <w:rFonts w:hint="cs"/>
          <w:b/>
          <w:bCs/>
          <w:rtl/>
          <w:lang w:val="fr-CH"/>
        </w:rPr>
        <w:t xml:space="preserve"> منها زيادة حملات بث الوعي التي تشجع على التسامح واحترام التنوع. وينبغي </w:t>
      </w:r>
      <w:r>
        <w:rPr>
          <w:rFonts w:hint="cs"/>
          <w:b/>
          <w:bCs/>
          <w:rtl/>
          <w:lang w:val="fr-CH"/>
        </w:rPr>
        <w:t xml:space="preserve">لها </w:t>
      </w:r>
      <w:r w:rsidR="007C39B1">
        <w:rPr>
          <w:rFonts w:hint="cs"/>
          <w:b/>
          <w:bCs/>
          <w:rtl/>
          <w:lang w:val="fr-CH"/>
        </w:rPr>
        <w:t xml:space="preserve">أن تعتمد تدابير لتعزيز المساواة في </w:t>
      </w:r>
      <w:r>
        <w:rPr>
          <w:rFonts w:hint="cs"/>
          <w:b/>
          <w:bCs/>
          <w:rtl/>
          <w:lang w:val="fr-CH"/>
        </w:rPr>
        <w:t>الاستفادة من</w:t>
      </w:r>
      <w:r w:rsidR="007C39B1">
        <w:rPr>
          <w:rFonts w:hint="cs"/>
          <w:b/>
          <w:bCs/>
          <w:rtl/>
          <w:lang w:val="fr-CH"/>
        </w:rPr>
        <w:t xml:space="preserve"> الفرص والخدمات في جميع الميادين وعلى جميع المستويات </w:t>
      </w:r>
      <w:r>
        <w:rPr>
          <w:rFonts w:hint="cs"/>
          <w:b/>
          <w:bCs/>
          <w:rtl/>
          <w:lang w:val="fr-CH"/>
        </w:rPr>
        <w:t>عن طريق</w:t>
      </w:r>
      <w:r w:rsidR="007C39B1">
        <w:rPr>
          <w:rFonts w:hint="cs"/>
          <w:b/>
          <w:bCs/>
          <w:rtl/>
          <w:lang w:val="fr-CH"/>
        </w:rPr>
        <w:t xml:space="preserve"> اتخاذ إجراءات مناسبة بغية التصدي لأوجه </w:t>
      </w:r>
      <w:proofErr w:type="spellStart"/>
      <w:r>
        <w:rPr>
          <w:rFonts w:hint="cs"/>
          <w:b/>
          <w:bCs/>
          <w:rtl/>
          <w:lang w:val="fr-CH"/>
        </w:rPr>
        <w:t>اللامساواة</w:t>
      </w:r>
      <w:proofErr w:type="spellEnd"/>
      <w:r w:rsidR="007C39B1">
        <w:rPr>
          <w:rFonts w:hint="cs"/>
          <w:b/>
          <w:bCs/>
          <w:rtl/>
          <w:lang w:val="fr-CH"/>
        </w:rPr>
        <w:t xml:space="preserve"> القائمة. وأخيراً، ينبغي </w:t>
      </w:r>
      <w:r>
        <w:rPr>
          <w:rFonts w:hint="cs"/>
          <w:b/>
          <w:bCs/>
          <w:rtl/>
          <w:lang w:val="fr-CH"/>
        </w:rPr>
        <w:t>لها</w:t>
      </w:r>
      <w:r w:rsidR="007C39B1">
        <w:rPr>
          <w:rFonts w:hint="cs"/>
          <w:b/>
          <w:bCs/>
          <w:rtl/>
          <w:lang w:val="fr-CH"/>
        </w:rPr>
        <w:t xml:space="preserve"> أن تكفل التحقيق بصورة منتظمة في حالات التمييز، ومقاضاة ومعاقبة </w:t>
      </w:r>
      <w:proofErr w:type="spellStart"/>
      <w:r w:rsidR="007C39B1">
        <w:rPr>
          <w:rFonts w:hint="cs"/>
          <w:b/>
          <w:bCs/>
          <w:rtl/>
          <w:lang w:val="fr-CH"/>
        </w:rPr>
        <w:t>المسؤولين</w:t>
      </w:r>
      <w:proofErr w:type="spellEnd"/>
      <w:r w:rsidR="007C39B1">
        <w:rPr>
          <w:rFonts w:hint="cs"/>
          <w:b/>
          <w:bCs/>
          <w:rtl/>
          <w:lang w:val="fr-CH"/>
        </w:rPr>
        <w:t xml:space="preserve"> عنها وتقديم التعويض المناسب إلى</w:t>
      </w:r>
      <w:r>
        <w:rPr>
          <w:rFonts w:hint="eastAsia"/>
          <w:b/>
          <w:bCs/>
          <w:rtl/>
          <w:lang w:val="fr-CH"/>
        </w:rPr>
        <w:t> </w:t>
      </w:r>
      <w:r w:rsidR="007C39B1">
        <w:rPr>
          <w:rFonts w:hint="cs"/>
          <w:b/>
          <w:bCs/>
          <w:rtl/>
          <w:lang w:val="fr-CH"/>
        </w:rPr>
        <w:t>الضحايا.</w:t>
      </w:r>
    </w:p>
    <w:p w:rsidR="007C39B1" w:rsidRDefault="007C39B1" w:rsidP="0080099B">
      <w:pPr>
        <w:pStyle w:val="SingleTxtGA"/>
        <w:rPr>
          <w:rFonts w:hint="cs"/>
          <w:rtl/>
          <w:lang w:val="fr-CH"/>
        </w:rPr>
      </w:pPr>
      <w:r>
        <w:rPr>
          <w:rFonts w:hint="cs"/>
          <w:rtl/>
          <w:lang w:val="fr-CH"/>
        </w:rPr>
        <w:t>8-</w:t>
      </w:r>
      <w:r>
        <w:rPr>
          <w:rFonts w:hint="cs"/>
          <w:rtl/>
          <w:lang w:val="fr-CH"/>
        </w:rPr>
        <w:tab/>
        <w:t xml:space="preserve">ويساور اللجنة القلق إزاء ارتفاع عدد حالات التعذيب وغيره من المعاملة </w:t>
      </w:r>
      <w:proofErr w:type="spellStart"/>
      <w:r>
        <w:rPr>
          <w:rFonts w:hint="cs"/>
          <w:rtl/>
          <w:lang w:val="fr-CH"/>
        </w:rPr>
        <w:t>اللاإنسانية</w:t>
      </w:r>
      <w:proofErr w:type="spellEnd"/>
      <w:r>
        <w:rPr>
          <w:rFonts w:hint="cs"/>
          <w:rtl/>
          <w:lang w:val="fr-CH"/>
        </w:rPr>
        <w:t xml:space="preserve"> والمهينة التي يتعرض لها بصفة خاصة الأشخاص من </w:t>
      </w:r>
      <w:r w:rsidR="0080099B">
        <w:rPr>
          <w:rFonts w:hint="cs"/>
          <w:rtl/>
          <w:lang w:val="fr-CH"/>
        </w:rPr>
        <w:t>طائفة</w:t>
      </w:r>
      <w:r>
        <w:rPr>
          <w:rFonts w:hint="cs"/>
          <w:rtl/>
          <w:lang w:val="fr-CH"/>
        </w:rPr>
        <w:t xml:space="preserve"> </w:t>
      </w:r>
      <w:proofErr w:type="spellStart"/>
      <w:r>
        <w:rPr>
          <w:rFonts w:hint="cs"/>
          <w:rtl/>
          <w:lang w:val="fr-CH"/>
        </w:rPr>
        <w:t>الروما</w:t>
      </w:r>
      <w:proofErr w:type="spellEnd"/>
      <w:r>
        <w:rPr>
          <w:rFonts w:hint="cs"/>
          <w:rtl/>
          <w:lang w:val="fr-CH"/>
        </w:rPr>
        <w:t xml:space="preserve">، على أيدي الموظفين المكلفين بإنفاذ القانون، بما في ذلك عدم تقديم المساعدة الطبية لإنقاذ الحياة والتمييز القائم على دوافع عرقية. </w:t>
      </w:r>
      <w:r w:rsidR="0080099B">
        <w:rPr>
          <w:rFonts w:hint="cs"/>
          <w:rtl/>
          <w:lang w:val="fr-CH"/>
        </w:rPr>
        <w:t>كما تشعر</w:t>
      </w:r>
      <w:r>
        <w:rPr>
          <w:rFonts w:hint="cs"/>
          <w:rtl/>
          <w:lang w:val="fr-CH"/>
        </w:rPr>
        <w:t xml:space="preserve"> </w:t>
      </w:r>
      <w:r w:rsidR="0080099B">
        <w:rPr>
          <w:rFonts w:hint="cs"/>
          <w:rtl/>
          <w:lang w:val="fr-CH"/>
        </w:rPr>
        <w:t>ب</w:t>
      </w:r>
      <w:r>
        <w:rPr>
          <w:rFonts w:hint="cs"/>
          <w:rtl/>
          <w:lang w:val="fr-CH"/>
        </w:rPr>
        <w:t>القلق لأن النتائج المترتبة على مقاضاة مرتكبي هذه الأفعال، لم</w:t>
      </w:r>
      <w:r w:rsidR="0080099B">
        <w:rPr>
          <w:rFonts w:hint="eastAsia"/>
          <w:rtl/>
          <w:lang w:val="fr-CH"/>
        </w:rPr>
        <w:t> </w:t>
      </w:r>
      <w:r>
        <w:rPr>
          <w:rFonts w:hint="cs"/>
          <w:rtl/>
          <w:lang w:val="fr-CH"/>
        </w:rPr>
        <w:t xml:space="preserve">تفض إلى معاقبة موظفي الشرطة المعنيين، ولا إلى تقديم تعويضات إلى الضحايا. </w:t>
      </w:r>
      <w:r w:rsidR="0080099B">
        <w:rPr>
          <w:rFonts w:hint="cs"/>
          <w:rtl/>
          <w:lang w:val="fr-CH"/>
        </w:rPr>
        <w:t>وتشعر</w:t>
      </w:r>
      <w:r>
        <w:rPr>
          <w:rFonts w:hint="cs"/>
          <w:rtl/>
          <w:lang w:val="fr-CH"/>
        </w:rPr>
        <w:t xml:space="preserve"> </w:t>
      </w:r>
      <w:r w:rsidR="0080099B">
        <w:rPr>
          <w:rFonts w:hint="cs"/>
          <w:rtl/>
          <w:lang w:val="fr-CH"/>
        </w:rPr>
        <w:t>ب</w:t>
      </w:r>
      <w:r>
        <w:rPr>
          <w:rFonts w:hint="cs"/>
          <w:rtl/>
          <w:lang w:val="fr-CH"/>
        </w:rPr>
        <w:t xml:space="preserve">القلق </w:t>
      </w:r>
      <w:r w:rsidR="0080099B">
        <w:rPr>
          <w:rFonts w:hint="cs"/>
          <w:rtl/>
          <w:lang w:val="fr-CH"/>
        </w:rPr>
        <w:t xml:space="preserve">أيضاً </w:t>
      </w:r>
      <w:r>
        <w:rPr>
          <w:rFonts w:hint="cs"/>
          <w:rtl/>
          <w:lang w:val="fr-CH"/>
        </w:rPr>
        <w:t>لأن هناك في النظام الحالي مجا</w:t>
      </w:r>
      <w:r w:rsidR="0080099B">
        <w:rPr>
          <w:rFonts w:hint="cs"/>
          <w:rtl/>
          <w:lang w:val="fr-CH"/>
        </w:rPr>
        <w:t>لاً</w:t>
      </w:r>
      <w:r>
        <w:rPr>
          <w:rFonts w:hint="cs"/>
          <w:rtl/>
          <w:lang w:val="fr-CH"/>
        </w:rPr>
        <w:t xml:space="preserve"> للتصرف بدون موضوعية ولا مصداقية، مما </w:t>
      </w:r>
      <w:r w:rsidR="0080099B">
        <w:rPr>
          <w:rFonts w:hint="cs"/>
          <w:rtl/>
          <w:lang w:val="fr-CH"/>
        </w:rPr>
        <w:t>يُسهِّل</w:t>
      </w:r>
      <w:r>
        <w:rPr>
          <w:rFonts w:hint="cs"/>
          <w:rtl/>
          <w:lang w:val="fr-CH"/>
        </w:rPr>
        <w:t xml:space="preserve"> إفلات موظفي الشرطة الذين يشتركون في انتهاكات حقوق الإنسان، من العقاب (المواد 2 و7 و9 و14).</w:t>
      </w:r>
    </w:p>
    <w:p w:rsidR="007C39B1" w:rsidRPr="00802BBB" w:rsidRDefault="0080099B" w:rsidP="0080099B">
      <w:pPr>
        <w:pStyle w:val="SingleTxtGA"/>
        <w:rPr>
          <w:rFonts w:hint="cs"/>
          <w:b/>
          <w:bCs/>
          <w:rtl/>
          <w:lang w:val="fr-CH"/>
        </w:rPr>
      </w:pPr>
      <w:r>
        <w:rPr>
          <w:rFonts w:hint="cs"/>
          <w:b/>
          <w:bCs/>
          <w:rtl/>
          <w:lang w:val="fr-CH"/>
        </w:rPr>
        <w:tab/>
      </w:r>
      <w:r w:rsidR="007C39B1">
        <w:rPr>
          <w:rFonts w:hint="cs"/>
          <w:b/>
          <w:bCs/>
          <w:rtl/>
          <w:lang w:val="fr-CH"/>
        </w:rPr>
        <w:t>وينبغي للدولة الطرف أن تتخذ التدابير اللازمة للقضاء على جميع أشكال المضايقة من جانب الشرطة وسوء المعاملة أثناء التحقيق</w:t>
      </w:r>
      <w:r>
        <w:rPr>
          <w:rFonts w:hint="cs"/>
          <w:b/>
          <w:bCs/>
          <w:rtl/>
          <w:lang w:val="fr-CH"/>
        </w:rPr>
        <w:t xml:space="preserve">ات التي </w:t>
      </w:r>
      <w:r w:rsidR="007C39B1">
        <w:rPr>
          <w:rFonts w:hint="cs"/>
          <w:b/>
          <w:bCs/>
          <w:rtl/>
          <w:lang w:val="fr-CH"/>
        </w:rPr>
        <w:t>تجريه</w:t>
      </w:r>
      <w:r>
        <w:rPr>
          <w:rFonts w:hint="cs"/>
          <w:b/>
          <w:bCs/>
          <w:rtl/>
          <w:lang w:val="fr-CH"/>
        </w:rPr>
        <w:t>ا</w:t>
      </w:r>
      <w:r w:rsidR="007C39B1">
        <w:rPr>
          <w:rFonts w:hint="cs"/>
          <w:b/>
          <w:bCs/>
          <w:rtl/>
          <w:lang w:val="fr-CH"/>
        </w:rPr>
        <w:t xml:space="preserve"> الشرطة، بما في ذلك إجراء تحقيقات فورية، ومقاضاة مرتكبي هذه الأفعال واعتماد أحكام لحماية وتعويض الضحايا ب</w:t>
      </w:r>
      <w:r>
        <w:rPr>
          <w:rFonts w:hint="cs"/>
          <w:b/>
          <w:bCs/>
          <w:rtl/>
          <w:lang w:val="fr-CH"/>
        </w:rPr>
        <w:t xml:space="preserve">شكل </w:t>
      </w:r>
      <w:r w:rsidR="007C39B1">
        <w:rPr>
          <w:rFonts w:hint="cs"/>
          <w:b/>
          <w:bCs/>
          <w:rtl/>
          <w:lang w:val="fr-CH"/>
        </w:rPr>
        <w:t>فعلي. وينبغي ضمان المستوى المطلوب لاستقلالية التحقيق</w:t>
      </w:r>
      <w:r>
        <w:rPr>
          <w:rFonts w:hint="cs"/>
          <w:b/>
          <w:bCs/>
          <w:rtl/>
          <w:lang w:val="fr-CH"/>
        </w:rPr>
        <w:t>ات</w:t>
      </w:r>
      <w:r w:rsidR="007C39B1">
        <w:rPr>
          <w:rFonts w:hint="cs"/>
          <w:b/>
          <w:bCs/>
          <w:rtl/>
          <w:lang w:val="fr-CH"/>
        </w:rPr>
        <w:t xml:space="preserve"> القضائي</w:t>
      </w:r>
      <w:r>
        <w:rPr>
          <w:rFonts w:hint="cs"/>
          <w:b/>
          <w:bCs/>
          <w:rtl/>
          <w:lang w:val="fr-CH"/>
        </w:rPr>
        <w:t>ة</w:t>
      </w:r>
      <w:r w:rsidR="007C39B1">
        <w:rPr>
          <w:rFonts w:hint="cs"/>
          <w:b/>
          <w:bCs/>
          <w:rtl/>
          <w:lang w:val="fr-CH"/>
        </w:rPr>
        <w:t xml:space="preserve"> المتعلق</w:t>
      </w:r>
      <w:r>
        <w:rPr>
          <w:rFonts w:hint="cs"/>
          <w:b/>
          <w:bCs/>
          <w:rtl/>
          <w:lang w:val="fr-CH"/>
        </w:rPr>
        <w:t>ة</w:t>
      </w:r>
      <w:r w:rsidR="007C39B1">
        <w:rPr>
          <w:rFonts w:hint="cs"/>
          <w:b/>
          <w:bCs/>
          <w:rtl/>
          <w:lang w:val="fr-CH"/>
        </w:rPr>
        <w:t xml:space="preserve"> بالموظفين المكلفين بإنفاذ القانون. وينبغي </w:t>
      </w:r>
      <w:r>
        <w:rPr>
          <w:rFonts w:hint="cs"/>
          <w:b/>
          <w:bCs/>
          <w:rtl/>
          <w:lang w:val="fr-CH"/>
        </w:rPr>
        <w:t>لها</w:t>
      </w:r>
      <w:r w:rsidR="007C39B1">
        <w:rPr>
          <w:rFonts w:hint="cs"/>
          <w:b/>
          <w:bCs/>
          <w:rtl/>
          <w:lang w:val="fr-CH"/>
        </w:rPr>
        <w:t xml:space="preserve"> أن تكفل إنشاء وتنفيذ آلية مراقبة مستقلة </w:t>
      </w:r>
      <w:r>
        <w:rPr>
          <w:rFonts w:hint="cs"/>
          <w:b/>
          <w:bCs/>
          <w:rtl/>
          <w:lang w:val="fr-CH"/>
        </w:rPr>
        <w:t>تعنى</w:t>
      </w:r>
      <w:r w:rsidR="007C39B1">
        <w:rPr>
          <w:rFonts w:hint="cs"/>
          <w:b/>
          <w:bCs/>
          <w:rtl/>
          <w:lang w:val="fr-CH"/>
        </w:rPr>
        <w:t xml:space="preserve"> بالملاحقة القضائية والإدانات في حالات الشكاوى المقدمة ضد </w:t>
      </w:r>
      <w:r>
        <w:rPr>
          <w:rFonts w:hint="cs"/>
          <w:b/>
          <w:bCs/>
          <w:rtl/>
          <w:lang w:val="fr-CH"/>
        </w:rPr>
        <w:t>السلوكيات الإجرامية</w:t>
      </w:r>
      <w:r w:rsidR="007C39B1">
        <w:rPr>
          <w:rFonts w:hint="cs"/>
          <w:b/>
          <w:bCs/>
          <w:rtl/>
          <w:lang w:val="fr-CH"/>
        </w:rPr>
        <w:t xml:space="preserve"> من جانب أفراد الشرطة. </w:t>
      </w:r>
    </w:p>
    <w:p w:rsidR="007C39B1" w:rsidRDefault="007C39B1" w:rsidP="0080099B">
      <w:pPr>
        <w:pStyle w:val="SingleTxtGA"/>
        <w:rPr>
          <w:rFonts w:hint="cs"/>
          <w:rtl/>
          <w:lang w:val="fr-CH"/>
        </w:rPr>
      </w:pPr>
      <w:r>
        <w:rPr>
          <w:rFonts w:hint="cs"/>
          <w:rtl/>
          <w:lang w:val="fr-CH"/>
        </w:rPr>
        <w:t>9-</w:t>
      </w:r>
      <w:r>
        <w:rPr>
          <w:rFonts w:hint="cs"/>
          <w:rtl/>
          <w:lang w:val="fr-CH"/>
        </w:rPr>
        <w:tab/>
        <w:t xml:space="preserve">وتأسف اللجنة للممارسات التي تنم عن التعصب والتي حدثت مؤخراً إزاء الأقليات الدينية والأقليات الدينية غير التقليدية في بلغاريا (110 حالات </w:t>
      </w:r>
      <w:r w:rsidR="0080099B">
        <w:rPr>
          <w:rFonts w:hint="cs"/>
          <w:rtl/>
          <w:lang w:val="fr-CH"/>
        </w:rPr>
        <w:t>سُجلت فيها أعمال تخريب لمساجد وأبلغ عنها في العقدين الأخيرين</w:t>
      </w:r>
      <w:r>
        <w:rPr>
          <w:rFonts w:hint="cs"/>
          <w:rtl/>
          <w:lang w:val="fr-CH"/>
        </w:rPr>
        <w:t xml:space="preserve">، والهجوم على مسلمين وهم يؤدون الصلاة أمام مسجد بانية </w:t>
      </w:r>
      <w:proofErr w:type="spellStart"/>
      <w:r>
        <w:rPr>
          <w:rFonts w:hint="cs"/>
          <w:rtl/>
          <w:lang w:val="fr-CH"/>
        </w:rPr>
        <w:t>باشي</w:t>
      </w:r>
      <w:proofErr w:type="spellEnd"/>
      <w:r>
        <w:rPr>
          <w:rFonts w:hint="cs"/>
          <w:rtl/>
          <w:lang w:val="fr-CH"/>
        </w:rPr>
        <w:t xml:space="preserve"> في </w:t>
      </w:r>
      <w:r w:rsidR="0080099B">
        <w:rPr>
          <w:rFonts w:hint="cs"/>
          <w:rtl/>
          <w:lang w:val="fr-CH"/>
        </w:rPr>
        <w:t>قلب</w:t>
      </w:r>
      <w:r>
        <w:rPr>
          <w:rFonts w:hint="cs"/>
          <w:rtl/>
          <w:lang w:val="fr-CH"/>
        </w:rPr>
        <w:t xml:space="preserve"> مدينة صوفيا، في 20 </w:t>
      </w:r>
      <w:r w:rsidRPr="00802BBB">
        <w:rPr>
          <w:rFonts w:hint="cs"/>
          <w:sz w:val="30"/>
          <w:rtl/>
          <w:lang w:val="fr-CH"/>
        </w:rPr>
        <w:t xml:space="preserve">أيار/مايو </w:t>
      </w:r>
      <w:r>
        <w:rPr>
          <w:rFonts w:hint="cs"/>
          <w:rtl/>
          <w:lang w:val="fr-CH"/>
        </w:rPr>
        <w:t>2011). وفيما تأخذ اللجنة علماً بالإطار القانوني القائم المتعلق بمكافحة التمييز والخطب بدافع الكراهية،</w:t>
      </w:r>
      <w:r w:rsidR="0080099B">
        <w:rPr>
          <w:rFonts w:hint="cs"/>
          <w:rtl/>
          <w:lang w:val="fr-CH"/>
        </w:rPr>
        <w:t xml:space="preserve"> فإنها</w:t>
      </w:r>
      <w:r>
        <w:rPr>
          <w:rFonts w:hint="cs"/>
          <w:rtl/>
          <w:lang w:val="fr-CH"/>
        </w:rPr>
        <w:t xml:space="preserve"> تأسف لسوء تنفيذ التشريع المعني (المواد 18 و20 و26).</w:t>
      </w:r>
    </w:p>
    <w:p w:rsidR="007C39B1" w:rsidRPr="00802BBB" w:rsidRDefault="0080099B" w:rsidP="00AE60D3">
      <w:pPr>
        <w:pStyle w:val="SingleTxtGA"/>
        <w:rPr>
          <w:rFonts w:hint="cs"/>
          <w:b/>
          <w:bCs/>
          <w:rtl/>
          <w:lang w:val="fr-CH"/>
        </w:rPr>
      </w:pPr>
      <w:r>
        <w:rPr>
          <w:rFonts w:hint="cs"/>
          <w:b/>
          <w:bCs/>
          <w:rtl/>
          <w:lang w:val="fr-CH"/>
        </w:rPr>
        <w:tab/>
      </w:r>
      <w:r w:rsidR="007C39B1">
        <w:rPr>
          <w:rFonts w:hint="cs"/>
          <w:b/>
          <w:bCs/>
          <w:rtl/>
          <w:lang w:val="fr-CH"/>
        </w:rPr>
        <w:t xml:space="preserve">ينبغي للدولة الطرف أن تتخذ جميع التدابير اللازمة للتشجيع على مكافحة الجرائم المرتكبة بدافع الكراهية، </w:t>
      </w:r>
      <w:r>
        <w:rPr>
          <w:rFonts w:hint="cs"/>
          <w:b/>
          <w:bCs/>
          <w:rtl/>
          <w:lang w:val="fr-CH"/>
        </w:rPr>
        <w:t>وخطاب التحريض</w:t>
      </w:r>
      <w:r w:rsidR="007C39B1">
        <w:rPr>
          <w:rFonts w:hint="cs"/>
          <w:b/>
          <w:bCs/>
          <w:rtl/>
          <w:lang w:val="fr-CH"/>
        </w:rPr>
        <w:t xml:space="preserve"> على الكراهية ومضايقة الأقليات والمجتمعات الدينية، ولا</w:t>
      </w:r>
      <w:r w:rsidR="009E4595">
        <w:rPr>
          <w:rFonts w:hint="cs"/>
          <w:b/>
          <w:bCs/>
          <w:rtl/>
          <w:lang w:val="fr-CH"/>
        </w:rPr>
        <w:t xml:space="preserve"> </w:t>
      </w:r>
      <w:proofErr w:type="spellStart"/>
      <w:r w:rsidR="007C39B1">
        <w:rPr>
          <w:rFonts w:hint="cs"/>
          <w:b/>
          <w:bCs/>
          <w:rtl/>
          <w:lang w:val="fr-CH"/>
        </w:rPr>
        <w:t>سيما</w:t>
      </w:r>
      <w:proofErr w:type="spellEnd"/>
      <w:r w:rsidR="007C39B1">
        <w:rPr>
          <w:rFonts w:hint="cs"/>
          <w:b/>
          <w:bCs/>
          <w:rtl/>
          <w:lang w:val="fr-CH"/>
        </w:rPr>
        <w:t xml:space="preserve"> </w:t>
      </w:r>
      <w:proofErr w:type="spellStart"/>
      <w:r w:rsidR="007C39B1">
        <w:rPr>
          <w:rFonts w:hint="cs"/>
          <w:b/>
          <w:bCs/>
          <w:rtl/>
          <w:lang w:val="fr-CH"/>
        </w:rPr>
        <w:t>الروما</w:t>
      </w:r>
      <w:proofErr w:type="spellEnd"/>
      <w:r w:rsidR="007C39B1">
        <w:rPr>
          <w:rFonts w:hint="cs"/>
          <w:b/>
          <w:bCs/>
          <w:rtl/>
          <w:lang w:val="fr-CH"/>
        </w:rPr>
        <w:t xml:space="preserve"> والمسلمين، والتحقيق فيها والمعاقبة عليها، وذلك </w:t>
      </w:r>
      <w:r w:rsidR="00AE60D3">
        <w:rPr>
          <w:rFonts w:hint="cs"/>
          <w:b/>
          <w:bCs/>
          <w:rtl/>
          <w:lang w:val="fr-CH"/>
        </w:rPr>
        <w:t>عن طريق</w:t>
      </w:r>
      <w:r w:rsidR="007C39B1">
        <w:rPr>
          <w:rFonts w:hint="cs"/>
          <w:b/>
          <w:bCs/>
          <w:rtl/>
          <w:lang w:val="fr-CH"/>
        </w:rPr>
        <w:t xml:space="preserve"> التنفيذ الكامل للتشريع القائم وتنظيم حملات توعية على مستوى البلد لصالح الأقليات والمجموعات الدينية والسكان بشكل عام.</w:t>
      </w:r>
    </w:p>
    <w:p w:rsidR="007C39B1" w:rsidRDefault="007C39B1" w:rsidP="00AE60D3">
      <w:pPr>
        <w:pStyle w:val="SingleTxtGA"/>
        <w:rPr>
          <w:rFonts w:hint="cs"/>
          <w:rtl/>
          <w:lang w:val="fr-CH"/>
        </w:rPr>
      </w:pPr>
      <w:r>
        <w:rPr>
          <w:rFonts w:hint="cs"/>
          <w:rtl/>
          <w:lang w:val="fr-CH"/>
        </w:rPr>
        <w:t>10-</w:t>
      </w:r>
      <w:r>
        <w:rPr>
          <w:rFonts w:hint="cs"/>
          <w:rtl/>
          <w:lang w:val="fr-CH"/>
        </w:rPr>
        <w:tab/>
        <w:t xml:space="preserve">ويساور اللجنة القلق إزاء المعلومات الواردة عن العنف والممارسات التمييزية ضد الأطفال والبالغين ذوي الإعاقة في أوساط المؤسسات الطبية، بما في ذلك الحرمان من الحرية، واستعمال وسائل تقييد الحركة والإكراه على علاجات </w:t>
      </w:r>
      <w:r w:rsidR="00AE60D3">
        <w:rPr>
          <w:rFonts w:hint="cs"/>
          <w:rtl/>
          <w:lang w:val="fr-CH"/>
        </w:rPr>
        <w:t>جراحِّية</w:t>
      </w:r>
      <w:r>
        <w:rPr>
          <w:rFonts w:hint="cs"/>
          <w:rtl/>
          <w:lang w:val="fr-CH"/>
        </w:rPr>
        <w:t xml:space="preserve"> وذات آثار لا رجعة فيها مثل </w:t>
      </w:r>
      <w:r w:rsidR="00AE60D3">
        <w:rPr>
          <w:rFonts w:hint="cs"/>
          <w:rtl/>
          <w:lang w:val="fr-CH"/>
        </w:rPr>
        <w:t>الأدوية المضادة للذ</w:t>
      </w:r>
      <w:r w:rsidR="00045D2C">
        <w:rPr>
          <w:rFonts w:hint="cs"/>
          <w:rtl/>
          <w:lang w:val="fr-CH"/>
        </w:rPr>
        <w:t>ّ</w:t>
      </w:r>
      <w:r w:rsidR="00AE60D3">
        <w:rPr>
          <w:rFonts w:hint="cs"/>
          <w:rtl/>
          <w:lang w:val="fr-CH"/>
        </w:rPr>
        <w:t>هان</w:t>
      </w:r>
      <w:r>
        <w:rPr>
          <w:rFonts w:hint="cs"/>
          <w:rtl/>
          <w:lang w:val="fr-CH"/>
        </w:rPr>
        <w:t xml:space="preserve"> المؤثرة على الجهاز العصبي. و</w:t>
      </w:r>
      <w:r w:rsidR="00AE60D3">
        <w:rPr>
          <w:rFonts w:hint="cs"/>
          <w:rtl/>
          <w:lang w:val="fr-CH"/>
        </w:rPr>
        <w:t xml:space="preserve">تشعر </w:t>
      </w:r>
      <w:r>
        <w:rPr>
          <w:rFonts w:hint="cs"/>
          <w:rtl/>
          <w:lang w:val="fr-CH"/>
        </w:rPr>
        <w:t xml:space="preserve">اللجنة </w:t>
      </w:r>
      <w:r w:rsidR="00AE60D3">
        <w:rPr>
          <w:rFonts w:hint="cs"/>
          <w:rtl/>
          <w:lang w:val="fr-CH"/>
        </w:rPr>
        <w:t>ب</w:t>
      </w:r>
      <w:r>
        <w:rPr>
          <w:rFonts w:hint="cs"/>
          <w:rtl/>
          <w:lang w:val="fr-CH"/>
        </w:rPr>
        <w:t>القلق أيضاً إزاء الصعوبات التي يواجهها الأشخاص المودع</w:t>
      </w:r>
      <w:r w:rsidR="00AE60D3">
        <w:rPr>
          <w:rFonts w:hint="cs"/>
          <w:rtl/>
          <w:lang w:val="fr-CH"/>
        </w:rPr>
        <w:t>و</w:t>
      </w:r>
      <w:r>
        <w:rPr>
          <w:rFonts w:hint="cs"/>
          <w:rtl/>
          <w:lang w:val="fr-CH"/>
        </w:rPr>
        <w:t xml:space="preserve">ن في هذه المؤسسات عند إعادة </w:t>
      </w:r>
      <w:r w:rsidR="00AE60D3">
        <w:rPr>
          <w:rFonts w:hint="cs"/>
          <w:rtl/>
          <w:lang w:val="fr-CH"/>
        </w:rPr>
        <w:t>اندماجهم</w:t>
      </w:r>
      <w:r>
        <w:rPr>
          <w:rFonts w:hint="cs"/>
          <w:rtl/>
          <w:lang w:val="fr-CH"/>
        </w:rPr>
        <w:t xml:space="preserve"> في</w:t>
      </w:r>
      <w:r w:rsidR="00AE60D3">
        <w:rPr>
          <w:rFonts w:hint="eastAsia"/>
          <w:rtl/>
          <w:lang w:val="fr-CH"/>
        </w:rPr>
        <w:t> </w:t>
      </w:r>
      <w:r>
        <w:rPr>
          <w:rFonts w:hint="cs"/>
          <w:rtl/>
          <w:lang w:val="fr-CH"/>
        </w:rPr>
        <w:t>المجتمع، وإزاء عدم وجود برامج التأهيل النفسي الاجتماعي لهم (المواد 2 و6 و7 و9 و10 و26).</w:t>
      </w:r>
    </w:p>
    <w:p w:rsidR="007C39B1" w:rsidRPr="00802BBB" w:rsidRDefault="00AE60D3" w:rsidP="00AE60D3">
      <w:pPr>
        <w:pStyle w:val="SingleTxtGA"/>
        <w:rPr>
          <w:rFonts w:hint="cs"/>
          <w:b/>
          <w:bCs/>
          <w:rtl/>
          <w:lang w:val="fr-CH"/>
        </w:rPr>
      </w:pPr>
      <w:r>
        <w:rPr>
          <w:rFonts w:hint="cs"/>
          <w:b/>
          <w:bCs/>
          <w:rtl/>
          <w:lang w:val="fr-CH"/>
        </w:rPr>
        <w:tab/>
      </w:r>
      <w:r w:rsidR="007C39B1">
        <w:rPr>
          <w:rFonts w:hint="cs"/>
          <w:b/>
          <w:bCs/>
          <w:rtl/>
          <w:lang w:val="fr-CH"/>
        </w:rPr>
        <w:t xml:space="preserve">ينبغي للدولة الطرف أن تنفذ سياسة تقوم على عدم التسامح التام فيما يتعلق بالعنف والممارسة التمييزية ضد الأطفال والبالغين ذوي الإعاقة، في الأوساط الطبية، وأن تتخذ التدابير اللازمة لضمان التحقيق الفعال والشامل في جميع </w:t>
      </w:r>
      <w:r w:rsidR="00045D2C">
        <w:rPr>
          <w:rFonts w:hint="cs"/>
          <w:b/>
          <w:bCs/>
          <w:rtl/>
          <w:lang w:val="fr-CH"/>
        </w:rPr>
        <w:t>ال</w:t>
      </w:r>
      <w:r w:rsidR="007C39B1">
        <w:rPr>
          <w:rFonts w:hint="cs"/>
          <w:b/>
          <w:bCs/>
          <w:rtl/>
          <w:lang w:val="fr-CH"/>
        </w:rPr>
        <w:t xml:space="preserve">ادعاءات </w:t>
      </w:r>
      <w:r w:rsidR="00045D2C">
        <w:rPr>
          <w:rFonts w:hint="cs"/>
          <w:b/>
          <w:bCs/>
          <w:rtl/>
          <w:lang w:val="fr-CH"/>
        </w:rPr>
        <w:t>ب</w:t>
      </w:r>
      <w:r w:rsidR="007C39B1">
        <w:rPr>
          <w:rFonts w:hint="cs"/>
          <w:b/>
          <w:bCs/>
          <w:rtl/>
          <w:lang w:val="fr-CH"/>
        </w:rPr>
        <w:t>التعذيب وسوء المعاملة، وكذلك مقاضاة ومعاقبة مرتكبي هذه الأفعال المزعومين</w:t>
      </w:r>
      <w:r>
        <w:rPr>
          <w:rFonts w:hint="cs"/>
          <w:b/>
          <w:bCs/>
          <w:rtl/>
          <w:lang w:val="fr-CH"/>
        </w:rPr>
        <w:t>، على النحو الملائم</w:t>
      </w:r>
      <w:r w:rsidR="007C39B1">
        <w:rPr>
          <w:rFonts w:hint="cs"/>
          <w:b/>
          <w:bCs/>
          <w:rtl/>
          <w:lang w:val="fr-CH"/>
        </w:rPr>
        <w:t xml:space="preserve">. وينبغي </w:t>
      </w:r>
      <w:r>
        <w:rPr>
          <w:rFonts w:hint="cs"/>
          <w:b/>
          <w:bCs/>
          <w:rtl/>
          <w:lang w:val="fr-CH"/>
        </w:rPr>
        <w:t xml:space="preserve">لها </w:t>
      </w:r>
      <w:r w:rsidR="007C39B1">
        <w:rPr>
          <w:rFonts w:hint="cs"/>
          <w:b/>
          <w:bCs/>
          <w:rtl/>
          <w:lang w:val="fr-CH"/>
        </w:rPr>
        <w:t xml:space="preserve">أيضاً أن تضع وتنفذ برامج لإعادة تأهيل </w:t>
      </w:r>
      <w:r>
        <w:rPr>
          <w:rFonts w:hint="cs"/>
          <w:b/>
          <w:bCs/>
          <w:rtl/>
          <w:lang w:val="fr-CH"/>
        </w:rPr>
        <w:t xml:space="preserve">الأشخاص المودعين في المؤسسات </w:t>
      </w:r>
      <w:proofErr w:type="spellStart"/>
      <w:r>
        <w:rPr>
          <w:rFonts w:hint="cs"/>
          <w:b/>
          <w:bCs/>
          <w:rtl/>
          <w:lang w:val="fr-CH"/>
        </w:rPr>
        <w:t>الاستشفائية</w:t>
      </w:r>
      <w:proofErr w:type="spellEnd"/>
      <w:r>
        <w:rPr>
          <w:rFonts w:hint="cs"/>
          <w:b/>
          <w:bCs/>
          <w:rtl/>
          <w:lang w:val="fr-CH"/>
        </w:rPr>
        <w:t xml:space="preserve"> نفسياً</w:t>
      </w:r>
      <w:r w:rsidR="007C39B1">
        <w:rPr>
          <w:rFonts w:hint="cs"/>
          <w:b/>
          <w:bCs/>
          <w:rtl/>
          <w:lang w:val="fr-CH"/>
        </w:rPr>
        <w:t>.</w:t>
      </w:r>
    </w:p>
    <w:p w:rsidR="007C39B1" w:rsidRDefault="007C39B1" w:rsidP="009E4595">
      <w:pPr>
        <w:pStyle w:val="SingleTxtGA"/>
        <w:rPr>
          <w:rFonts w:hint="cs"/>
          <w:rtl/>
          <w:lang w:val="fr-CH"/>
        </w:rPr>
      </w:pPr>
      <w:r>
        <w:rPr>
          <w:rFonts w:hint="cs"/>
          <w:rtl/>
          <w:lang w:val="fr-CH"/>
        </w:rPr>
        <w:t>11-</w:t>
      </w:r>
      <w:r>
        <w:rPr>
          <w:rFonts w:hint="cs"/>
          <w:rtl/>
          <w:lang w:val="fr-CH"/>
        </w:rPr>
        <w:tab/>
      </w:r>
      <w:r w:rsidR="009E4595">
        <w:rPr>
          <w:rFonts w:hint="cs"/>
          <w:rtl/>
          <w:lang w:val="fr-CH"/>
        </w:rPr>
        <w:t>و</w:t>
      </w:r>
      <w:r>
        <w:rPr>
          <w:rFonts w:hint="cs"/>
          <w:rtl/>
          <w:lang w:val="fr-CH"/>
        </w:rPr>
        <w:t xml:space="preserve">يساور اللجنة القلق لأن الدولة الطرف اعترفت بتشريعها المتعلق بالظروف التي يمكن في إطارها للموظفين المكلفين بإنفاذ القوانين اللجوء إلى القوة وهو تشريع لا يتطابق، فيما يبدو، مع المعايير الدولية ذات الصلة، الأمر الذي قد يؤدي إلى </w:t>
      </w:r>
      <w:r w:rsidR="00AE60D3">
        <w:rPr>
          <w:rFonts w:hint="cs"/>
          <w:rtl/>
          <w:lang w:val="fr-CH"/>
        </w:rPr>
        <w:t>الإضرار الفادح</w:t>
      </w:r>
      <w:r>
        <w:rPr>
          <w:rFonts w:hint="cs"/>
          <w:rtl/>
          <w:lang w:val="fr-CH"/>
        </w:rPr>
        <w:t xml:space="preserve"> </w:t>
      </w:r>
      <w:r w:rsidR="00AE60D3">
        <w:rPr>
          <w:rFonts w:hint="cs"/>
          <w:rtl/>
          <w:lang w:val="fr-CH"/>
        </w:rPr>
        <w:t>ب</w:t>
      </w:r>
      <w:r>
        <w:rPr>
          <w:rFonts w:hint="cs"/>
          <w:rtl/>
          <w:lang w:val="fr-CH"/>
        </w:rPr>
        <w:t xml:space="preserve">الحق في الحياة. وتلاحظ اللجنة أن القواعد </w:t>
      </w:r>
      <w:r w:rsidR="00AE60D3">
        <w:rPr>
          <w:rFonts w:hint="cs"/>
          <w:rtl/>
          <w:lang w:val="fr-CH"/>
        </w:rPr>
        <w:t xml:space="preserve">المعمول </w:t>
      </w:r>
      <w:proofErr w:type="spellStart"/>
      <w:r w:rsidR="00AE60D3">
        <w:rPr>
          <w:rFonts w:hint="cs"/>
          <w:rtl/>
          <w:lang w:val="fr-CH"/>
        </w:rPr>
        <w:t>بها</w:t>
      </w:r>
      <w:proofErr w:type="spellEnd"/>
      <w:r w:rsidR="00AE60D3">
        <w:rPr>
          <w:rFonts w:hint="cs"/>
          <w:rtl/>
          <w:lang w:val="fr-CH"/>
        </w:rPr>
        <w:t xml:space="preserve"> حالياً في ا</w:t>
      </w:r>
      <w:r>
        <w:rPr>
          <w:rFonts w:hint="cs"/>
          <w:rtl/>
          <w:lang w:val="fr-CH"/>
        </w:rPr>
        <w:t xml:space="preserve">لدولة الطرف، </w:t>
      </w:r>
      <w:r w:rsidR="00AE60D3">
        <w:rPr>
          <w:rFonts w:hint="cs"/>
          <w:rtl/>
          <w:lang w:val="fr-CH"/>
        </w:rPr>
        <w:t>و</w:t>
      </w:r>
      <w:r>
        <w:rPr>
          <w:rFonts w:hint="cs"/>
          <w:rtl/>
          <w:lang w:val="fr-CH"/>
        </w:rPr>
        <w:t xml:space="preserve">التي اعتمدت </w:t>
      </w:r>
      <w:r w:rsidR="00AE60D3">
        <w:rPr>
          <w:rFonts w:hint="cs"/>
          <w:rtl/>
          <w:lang w:val="fr-CH"/>
        </w:rPr>
        <w:t>نتيجة ل</w:t>
      </w:r>
      <w:r>
        <w:rPr>
          <w:rFonts w:hint="cs"/>
          <w:rtl/>
          <w:lang w:val="fr-CH"/>
        </w:rPr>
        <w:t>قانون وزارة الداخلية، (</w:t>
      </w:r>
      <w:r w:rsidR="00AE60D3">
        <w:rPr>
          <w:rFonts w:hint="cs"/>
          <w:rtl/>
          <w:lang w:val="fr-CH"/>
        </w:rPr>
        <w:t>الذي تجري مراجعته</w:t>
      </w:r>
      <w:r>
        <w:rPr>
          <w:rFonts w:hint="cs"/>
          <w:rtl/>
          <w:lang w:val="fr-CH"/>
        </w:rPr>
        <w:t xml:space="preserve"> الآن)، لا ترسي، فيما يبدو، شروطاً للامتثال بالكامل للمعايير الدولية في حال اللجوء إلى القوة المهلكة (المادة 6).</w:t>
      </w:r>
    </w:p>
    <w:p w:rsidR="007C39B1" w:rsidRPr="00AE60D3" w:rsidRDefault="00AE60D3" w:rsidP="007C39B1">
      <w:pPr>
        <w:pStyle w:val="SingleTxtGA"/>
        <w:rPr>
          <w:rFonts w:hint="cs"/>
          <w:b/>
          <w:bCs/>
          <w:spacing w:val="-2"/>
          <w:rtl/>
          <w:lang w:val="fr-CH"/>
        </w:rPr>
      </w:pPr>
      <w:r>
        <w:rPr>
          <w:rFonts w:hint="cs"/>
          <w:b/>
          <w:bCs/>
          <w:rtl/>
          <w:lang w:val="fr-CH"/>
        </w:rPr>
        <w:tab/>
      </w:r>
      <w:r w:rsidR="007C39B1" w:rsidRPr="00AE60D3">
        <w:rPr>
          <w:rFonts w:hint="cs"/>
          <w:b/>
          <w:bCs/>
          <w:spacing w:val="-2"/>
          <w:rtl/>
          <w:lang w:val="fr-CH"/>
        </w:rPr>
        <w:t>ينبغي للدولة أن تكفل، على وجه السرعة، تطابق تشريعها ولوائحها مع</w:t>
      </w:r>
      <w:r w:rsidR="007C39B1">
        <w:rPr>
          <w:rFonts w:hint="cs"/>
          <w:b/>
          <w:bCs/>
          <w:rtl/>
          <w:lang w:val="fr-CH"/>
        </w:rPr>
        <w:t xml:space="preserve"> </w:t>
      </w:r>
      <w:r w:rsidR="007C39B1" w:rsidRPr="00AE60D3">
        <w:rPr>
          <w:rFonts w:hint="cs"/>
          <w:b/>
          <w:bCs/>
          <w:spacing w:val="-2"/>
          <w:rtl/>
          <w:lang w:val="fr-CH"/>
        </w:rPr>
        <w:t xml:space="preserve">مقتضيات الحق في الحياة، ولا </w:t>
      </w:r>
      <w:proofErr w:type="spellStart"/>
      <w:r w:rsidR="007C39B1" w:rsidRPr="00AE60D3">
        <w:rPr>
          <w:rFonts w:hint="cs"/>
          <w:b/>
          <w:bCs/>
          <w:spacing w:val="-2"/>
          <w:rtl/>
          <w:lang w:val="fr-CH"/>
        </w:rPr>
        <w:t>سيما</w:t>
      </w:r>
      <w:proofErr w:type="spellEnd"/>
      <w:r w:rsidR="007C39B1" w:rsidRPr="00AE60D3">
        <w:rPr>
          <w:rFonts w:hint="cs"/>
          <w:b/>
          <w:bCs/>
          <w:spacing w:val="-2"/>
          <w:rtl/>
          <w:lang w:val="fr-CH"/>
        </w:rPr>
        <w:t xml:space="preserve"> على النحو المنصوص عليه في مبادئ الأمم المتحدة الأساسية بشأن استخدام القوة والأسلحة النارية من جانب الموظفين المكلفين بإنفاذ القوانين.</w:t>
      </w:r>
    </w:p>
    <w:p w:rsidR="007C39B1" w:rsidRDefault="007C39B1" w:rsidP="00AE60D3">
      <w:pPr>
        <w:pStyle w:val="SingleTxtGA"/>
        <w:rPr>
          <w:rFonts w:hint="cs"/>
          <w:rtl/>
          <w:lang w:val="fr-CH"/>
        </w:rPr>
      </w:pPr>
      <w:r>
        <w:rPr>
          <w:rFonts w:hint="cs"/>
          <w:rtl/>
          <w:lang w:val="fr-CH"/>
        </w:rPr>
        <w:t>12-</w:t>
      </w:r>
      <w:r>
        <w:rPr>
          <w:rFonts w:hint="cs"/>
          <w:rtl/>
          <w:lang w:val="fr-CH"/>
        </w:rPr>
        <w:tab/>
        <w:t xml:space="preserve">وتأسف اللجنة لانخفاض عدد القضايا المبلغ عنها المتعلقة بالعنف المنزلي، ولا </w:t>
      </w:r>
      <w:proofErr w:type="spellStart"/>
      <w:r>
        <w:rPr>
          <w:rFonts w:hint="cs"/>
          <w:rtl/>
          <w:lang w:val="fr-CH"/>
        </w:rPr>
        <w:t>سيما</w:t>
      </w:r>
      <w:proofErr w:type="spellEnd"/>
      <w:r>
        <w:rPr>
          <w:rFonts w:hint="cs"/>
          <w:rtl/>
          <w:lang w:val="fr-CH"/>
        </w:rPr>
        <w:t xml:space="preserve"> ضد المرأة، التي قُدِّمت بالفعل إلى المحاكم وتم بموجبها معاقبة الجناة. و</w:t>
      </w:r>
      <w:r w:rsidR="00AE60D3">
        <w:rPr>
          <w:rFonts w:hint="cs"/>
          <w:rtl/>
          <w:lang w:val="fr-CH"/>
        </w:rPr>
        <w:t xml:space="preserve">هي تأسف </w:t>
      </w:r>
      <w:r>
        <w:rPr>
          <w:rFonts w:hint="cs"/>
          <w:rtl/>
          <w:lang w:val="fr-CH"/>
        </w:rPr>
        <w:t>في هذا الصدد، لأن الملاحقة القانونية</w:t>
      </w:r>
      <w:r w:rsidR="00AE60D3">
        <w:rPr>
          <w:rFonts w:hint="cs"/>
          <w:rtl/>
          <w:lang w:val="fr-CH"/>
        </w:rPr>
        <w:t>،</w:t>
      </w:r>
      <w:r>
        <w:rPr>
          <w:rFonts w:hint="cs"/>
          <w:rtl/>
          <w:lang w:val="fr-CH"/>
        </w:rPr>
        <w:t xml:space="preserve"> في إطار مثل هذه القضايا</w:t>
      </w:r>
      <w:r w:rsidR="00AE60D3">
        <w:rPr>
          <w:rFonts w:hint="cs"/>
          <w:rtl/>
          <w:lang w:val="fr-CH"/>
        </w:rPr>
        <w:t>،</w:t>
      </w:r>
      <w:r>
        <w:rPr>
          <w:rFonts w:hint="cs"/>
          <w:rtl/>
          <w:lang w:val="fr-CH"/>
        </w:rPr>
        <w:t xml:space="preserve"> تقتصر، في الأحوال العادية، على القضايا التي ينتهك فيها المجرم أمر</w:t>
      </w:r>
      <w:r w:rsidR="00AE60D3">
        <w:rPr>
          <w:rFonts w:hint="cs"/>
          <w:rtl/>
          <w:lang w:val="fr-CH"/>
        </w:rPr>
        <w:t>اً</w:t>
      </w:r>
      <w:r>
        <w:rPr>
          <w:rFonts w:hint="cs"/>
          <w:rtl/>
          <w:lang w:val="fr-CH"/>
        </w:rPr>
        <w:t xml:space="preserve"> إداري</w:t>
      </w:r>
      <w:r w:rsidR="00AE60D3">
        <w:rPr>
          <w:rFonts w:hint="cs"/>
          <w:rtl/>
          <w:lang w:val="fr-CH"/>
        </w:rPr>
        <w:t>اً</w:t>
      </w:r>
      <w:r>
        <w:rPr>
          <w:rFonts w:hint="cs"/>
          <w:rtl/>
          <w:lang w:val="fr-CH"/>
        </w:rPr>
        <w:t xml:space="preserve"> بالحماية، وإنه وفقاً للمادة 161(1) من القانون الجنائي، ينبغي للشخص المتضرر تقديم شكوى بالادعاء بالتعرض للعنف المنزلي في حال</w:t>
      </w:r>
      <w:r w:rsidR="00AE60D3">
        <w:rPr>
          <w:rFonts w:hint="cs"/>
          <w:rtl/>
          <w:lang w:val="fr-CH"/>
        </w:rPr>
        <w:t xml:space="preserve"> لحق </w:t>
      </w:r>
      <w:proofErr w:type="spellStart"/>
      <w:r w:rsidR="00AE60D3">
        <w:rPr>
          <w:rFonts w:hint="cs"/>
          <w:rtl/>
          <w:lang w:val="fr-CH"/>
        </w:rPr>
        <w:t>به</w:t>
      </w:r>
      <w:proofErr w:type="spellEnd"/>
      <w:r>
        <w:rPr>
          <w:rFonts w:hint="cs"/>
          <w:rtl/>
          <w:lang w:val="fr-CH"/>
        </w:rPr>
        <w:t xml:space="preserve"> أذى بدني خفيف أو متوسط (المواد 1 و3 و6 و26).</w:t>
      </w:r>
    </w:p>
    <w:p w:rsidR="007C39B1" w:rsidRDefault="00AE60D3" w:rsidP="00AE60D3">
      <w:pPr>
        <w:pStyle w:val="SingleTxtGA"/>
        <w:rPr>
          <w:rFonts w:hint="cs"/>
          <w:b/>
          <w:bCs/>
          <w:rtl/>
          <w:lang w:val="fr-CH"/>
        </w:rPr>
      </w:pPr>
      <w:r>
        <w:rPr>
          <w:rFonts w:hint="cs"/>
          <w:b/>
          <w:bCs/>
          <w:rtl/>
          <w:lang w:val="fr-CH"/>
        </w:rPr>
        <w:tab/>
      </w:r>
      <w:r w:rsidR="007C39B1">
        <w:rPr>
          <w:rFonts w:hint="cs"/>
          <w:b/>
          <w:bCs/>
          <w:rtl/>
          <w:lang w:val="fr-CH"/>
        </w:rPr>
        <w:t>ينبغي للدولة الطرف أن تواصل</w:t>
      </w:r>
      <w:r>
        <w:rPr>
          <w:rFonts w:hint="cs"/>
          <w:b/>
          <w:bCs/>
          <w:rtl/>
          <w:lang w:val="fr-CH"/>
        </w:rPr>
        <w:t>، على وجه الاستعجال،</w:t>
      </w:r>
      <w:r w:rsidR="007C39B1">
        <w:rPr>
          <w:rFonts w:hint="cs"/>
          <w:b/>
          <w:bCs/>
          <w:rtl/>
          <w:lang w:val="fr-CH"/>
        </w:rPr>
        <w:t xml:space="preserve"> جهودها لمنع العنف المنزلي، ولا </w:t>
      </w:r>
      <w:proofErr w:type="spellStart"/>
      <w:r w:rsidR="007C39B1">
        <w:rPr>
          <w:rFonts w:hint="cs"/>
          <w:b/>
          <w:bCs/>
          <w:rtl/>
          <w:lang w:val="fr-CH"/>
        </w:rPr>
        <w:t>سيما</w:t>
      </w:r>
      <w:proofErr w:type="spellEnd"/>
      <w:r w:rsidR="007C39B1">
        <w:rPr>
          <w:rFonts w:hint="cs"/>
          <w:b/>
          <w:bCs/>
          <w:rtl/>
          <w:lang w:val="fr-CH"/>
        </w:rPr>
        <w:t xml:space="preserve"> العنف المنزلي ضد المرأة، وأن تشجع الضحايا على إبلاغ السلطات عن هذه الحالات. وينبغي </w:t>
      </w:r>
      <w:r>
        <w:rPr>
          <w:rFonts w:hint="cs"/>
          <w:b/>
          <w:bCs/>
          <w:rtl/>
          <w:lang w:val="fr-CH"/>
        </w:rPr>
        <w:t>لها</w:t>
      </w:r>
      <w:r w:rsidR="007C39B1">
        <w:rPr>
          <w:rFonts w:hint="cs"/>
          <w:b/>
          <w:bCs/>
          <w:rtl/>
          <w:lang w:val="fr-CH"/>
        </w:rPr>
        <w:t xml:space="preserve"> أن </w:t>
      </w:r>
      <w:r>
        <w:rPr>
          <w:rFonts w:hint="cs"/>
          <w:b/>
          <w:bCs/>
          <w:rtl/>
          <w:lang w:val="fr-CH"/>
        </w:rPr>
        <w:t>ت</w:t>
      </w:r>
      <w:r w:rsidR="007C39B1">
        <w:rPr>
          <w:rFonts w:hint="cs"/>
          <w:b/>
          <w:bCs/>
          <w:rtl/>
          <w:lang w:val="fr-CH"/>
        </w:rPr>
        <w:t xml:space="preserve">رصد هذه الحالات بشكل يراعي نوع الجنس، وبتحليل الأسباب التي تجعل الإبلاغ عنها نادراً. وينبغي </w:t>
      </w:r>
      <w:r>
        <w:rPr>
          <w:rFonts w:hint="cs"/>
          <w:b/>
          <w:bCs/>
          <w:rtl/>
          <w:lang w:val="fr-CH"/>
        </w:rPr>
        <w:t>لها كذلك</w:t>
      </w:r>
      <w:r w:rsidR="007C39B1">
        <w:rPr>
          <w:rFonts w:hint="cs"/>
          <w:b/>
          <w:bCs/>
          <w:rtl/>
          <w:lang w:val="fr-CH"/>
        </w:rPr>
        <w:t xml:space="preserve"> أن تكفل التحقيق الجنائي في جميع حالات العنف المنزلي ومقاضاة الجناة وإنزال العقوبة </w:t>
      </w:r>
      <w:r>
        <w:rPr>
          <w:rFonts w:hint="cs"/>
          <w:b/>
          <w:bCs/>
          <w:rtl/>
          <w:lang w:val="fr-CH"/>
        </w:rPr>
        <w:t>بهم</w:t>
      </w:r>
      <w:r w:rsidR="007C39B1">
        <w:rPr>
          <w:rFonts w:hint="cs"/>
          <w:b/>
          <w:bCs/>
          <w:rtl/>
          <w:lang w:val="fr-CH"/>
        </w:rPr>
        <w:t>.</w:t>
      </w:r>
    </w:p>
    <w:p w:rsidR="007C39B1" w:rsidRDefault="007C39B1" w:rsidP="00AE60D3">
      <w:pPr>
        <w:pStyle w:val="SingleTxtGA"/>
        <w:rPr>
          <w:rFonts w:hint="cs"/>
          <w:rtl/>
          <w:lang w:val="fr-CH"/>
        </w:rPr>
      </w:pPr>
      <w:r>
        <w:rPr>
          <w:rFonts w:hint="cs"/>
          <w:rtl/>
          <w:lang w:val="fr-CH"/>
        </w:rPr>
        <w:t>13-</w:t>
      </w:r>
      <w:r>
        <w:rPr>
          <w:rFonts w:hint="cs"/>
          <w:rtl/>
          <w:lang w:val="fr-CH"/>
        </w:rPr>
        <w:tab/>
        <w:t xml:space="preserve">وفيما تأخذ اللجنة علماً بالتعديلات التي أجرتها الدولة الطرف على القانون الجنائي منذ عام 2004، </w:t>
      </w:r>
      <w:r w:rsidR="00AE60D3">
        <w:rPr>
          <w:rFonts w:hint="cs"/>
          <w:rtl/>
          <w:lang w:val="fr-CH"/>
        </w:rPr>
        <w:t>فإنها تشعر ب</w:t>
      </w:r>
      <w:r>
        <w:rPr>
          <w:rFonts w:hint="cs"/>
          <w:rtl/>
          <w:lang w:val="fr-CH"/>
        </w:rPr>
        <w:t xml:space="preserve">القلق لأن التشريع الوطني لا يجرم </w:t>
      </w:r>
      <w:r w:rsidR="00AE60D3">
        <w:rPr>
          <w:rFonts w:hint="cs"/>
          <w:rtl/>
          <w:lang w:val="fr-CH"/>
        </w:rPr>
        <w:t xml:space="preserve">بعد </w:t>
      </w:r>
      <w:r>
        <w:rPr>
          <w:rFonts w:hint="cs"/>
          <w:rtl/>
          <w:lang w:val="fr-CH"/>
        </w:rPr>
        <w:t xml:space="preserve">التعذيب والمعاملة </w:t>
      </w:r>
      <w:proofErr w:type="spellStart"/>
      <w:r>
        <w:rPr>
          <w:rFonts w:hint="cs"/>
          <w:rtl/>
          <w:lang w:val="fr-CH"/>
        </w:rPr>
        <w:t>اللاإنسانية</w:t>
      </w:r>
      <w:proofErr w:type="spellEnd"/>
      <w:r>
        <w:rPr>
          <w:rFonts w:hint="cs"/>
          <w:rtl/>
          <w:lang w:val="fr-CH"/>
        </w:rPr>
        <w:t xml:space="preserve"> والمهينة، وفقاً للمعايير الدولية، و</w:t>
      </w:r>
      <w:r w:rsidR="00AE60D3">
        <w:rPr>
          <w:rFonts w:hint="cs"/>
          <w:rtl/>
          <w:lang w:val="fr-CH"/>
        </w:rPr>
        <w:t>لأن</w:t>
      </w:r>
      <w:r>
        <w:rPr>
          <w:rFonts w:hint="cs"/>
          <w:rtl/>
          <w:lang w:val="fr-CH"/>
        </w:rPr>
        <w:t xml:space="preserve"> المادت</w:t>
      </w:r>
      <w:r w:rsidR="00AE60D3">
        <w:rPr>
          <w:rFonts w:hint="cs"/>
          <w:rtl/>
          <w:lang w:val="fr-CH"/>
        </w:rPr>
        <w:t>ي</w:t>
      </w:r>
      <w:r>
        <w:rPr>
          <w:rFonts w:hint="cs"/>
          <w:rtl/>
          <w:lang w:val="fr-CH"/>
        </w:rPr>
        <w:t xml:space="preserve">ن 287 و143 من القانون الجنائي، </w:t>
      </w:r>
      <w:r w:rsidR="00AE60D3">
        <w:rPr>
          <w:rFonts w:hint="cs"/>
          <w:rtl/>
          <w:lang w:val="fr-CH"/>
        </w:rPr>
        <w:t>لا</w:t>
      </w:r>
      <w:r w:rsidR="00AE60D3">
        <w:rPr>
          <w:rFonts w:hint="eastAsia"/>
          <w:rtl/>
          <w:lang w:val="fr-CH"/>
        </w:rPr>
        <w:t> </w:t>
      </w:r>
      <w:r w:rsidR="00AE60D3">
        <w:rPr>
          <w:rFonts w:hint="cs"/>
          <w:rtl/>
          <w:lang w:val="fr-CH"/>
        </w:rPr>
        <w:t xml:space="preserve">تشملان </w:t>
      </w:r>
      <w:r>
        <w:rPr>
          <w:rFonts w:hint="cs"/>
          <w:rtl/>
          <w:lang w:val="fr-CH"/>
        </w:rPr>
        <w:t>تماماً هذه الجرائم (المادة 7).</w:t>
      </w:r>
    </w:p>
    <w:p w:rsidR="007C39B1" w:rsidRDefault="007C39B1" w:rsidP="00045D2C">
      <w:pPr>
        <w:pStyle w:val="SingleTxtGA"/>
        <w:rPr>
          <w:rFonts w:hint="cs"/>
          <w:b/>
          <w:bCs/>
          <w:rtl/>
        </w:rPr>
      </w:pPr>
      <w:r>
        <w:rPr>
          <w:rFonts w:hint="cs"/>
          <w:b/>
          <w:bCs/>
          <w:rtl/>
          <w:lang w:val="fr-CH"/>
        </w:rPr>
        <w:tab/>
        <w:t>ينبغي للدولة الطرف أن تعتمد تعريفاً للتعذيب يتطابق بالكامل مع أحكام المادتين</w:t>
      </w:r>
      <w:r w:rsidR="00045D2C">
        <w:rPr>
          <w:rFonts w:hint="eastAsia"/>
          <w:b/>
          <w:bCs/>
          <w:rtl/>
          <w:lang w:val="fr-CH"/>
        </w:rPr>
        <w:t> </w:t>
      </w:r>
      <w:r>
        <w:rPr>
          <w:rFonts w:hint="cs"/>
          <w:b/>
          <w:bCs/>
          <w:rtl/>
          <w:lang w:val="fr-CH"/>
        </w:rPr>
        <w:t xml:space="preserve">1 و4 من اتفاقية </w:t>
      </w:r>
      <w:r>
        <w:rPr>
          <w:rFonts w:hint="cs"/>
          <w:b/>
          <w:bCs/>
          <w:rtl/>
        </w:rPr>
        <w:t>مناهضة التعذيب، ومع أحكام المادة 7 من العهد.</w:t>
      </w:r>
    </w:p>
    <w:p w:rsidR="007C39B1" w:rsidRDefault="007C39B1" w:rsidP="00AE60D3">
      <w:pPr>
        <w:pStyle w:val="SingleTxtGA"/>
        <w:rPr>
          <w:rFonts w:hint="cs"/>
          <w:rtl/>
        </w:rPr>
      </w:pPr>
      <w:r w:rsidRPr="00AD1960">
        <w:rPr>
          <w:rFonts w:hint="cs"/>
          <w:rtl/>
        </w:rPr>
        <w:t>14-</w:t>
      </w:r>
      <w:r w:rsidRPr="00AD1960">
        <w:rPr>
          <w:rFonts w:hint="cs"/>
          <w:rtl/>
        </w:rPr>
        <w:tab/>
      </w:r>
      <w:r>
        <w:rPr>
          <w:rFonts w:hint="cs"/>
          <w:rtl/>
        </w:rPr>
        <w:t xml:space="preserve">وفيما ترحب اللجنة </w:t>
      </w:r>
      <w:r w:rsidR="00AE60D3">
        <w:rPr>
          <w:rFonts w:hint="cs"/>
          <w:rtl/>
        </w:rPr>
        <w:t>بمنع</w:t>
      </w:r>
      <w:r>
        <w:rPr>
          <w:rFonts w:hint="cs"/>
          <w:rtl/>
        </w:rPr>
        <w:t xml:space="preserve"> العقاب البدني </w:t>
      </w:r>
      <w:r w:rsidR="00AE60D3">
        <w:rPr>
          <w:rFonts w:hint="cs"/>
          <w:rtl/>
        </w:rPr>
        <w:t>قانوناً</w:t>
      </w:r>
      <w:r>
        <w:rPr>
          <w:rFonts w:hint="cs"/>
          <w:rtl/>
        </w:rPr>
        <w:t xml:space="preserve"> في المنزل والمدارس و</w:t>
      </w:r>
      <w:r w:rsidR="00AE60D3">
        <w:rPr>
          <w:rFonts w:hint="cs"/>
          <w:rtl/>
        </w:rPr>
        <w:t xml:space="preserve">في إطار </w:t>
      </w:r>
      <w:r>
        <w:rPr>
          <w:rFonts w:hint="cs"/>
          <w:rtl/>
        </w:rPr>
        <w:t xml:space="preserve">النظام </w:t>
      </w:r>
      <w:r w:rsidR="00AE60D3">
        <w:rPr>
          <w:rFonts w:hint="cs"/>
          <w:rtl/>
        </w:rPr>
        <w:t>الجنائي</w:t>
      </w:r>
      <w:r>
        <w:rPr>
          <w:rFonts w:hint="cs"/>
          <w:rtl/>
        </w:rPr>
        <w:t xml:space="preserve"> وأوساط الرعاية البديلة و</w:t>
      </w:r>
      <w:r w:rsidR="00AE60D3">
        <w:rPr>
          <w:rFonts w:hint="cs"/>
          <w:rtl/>
        </w:rPr>
        <w:t>أوساط</w:t>
      </w:r>
      <w:r>
        <w:rPr>
          <w:rFonts w:hint="cs"/>
          <w:rtl/>
        </w:rPr>
        <w:t xml:space="preserve"> العمل، </w:t>
      </w:r>
      <w:r w:rsidR="00AE60D3">
        <w:rPr>
          <w:rFonts w:hint="cs"/>
          <w:rtl/>
        </w:rPr>
        <w:t>فإنها تشعر بالقلق</w:t>
      </w:r>
      <w:r>
        <w:rPr>
          <w:rFonts w:hint="cs"/>
          <w:rtl/>
        </w:rPr>
        <w:t xml:space="preserve"> لأن الأطفال لا يزالون ضحايا مثل هذه الممارسات</w:t>
      </w:r>
      <w:r w:rsidR="0096071D">
        <w:rPr>
          <w:rFonts w:hint="cs"/>
          <w:rtl/>
        </w:rPr>
        <w:t>،</w:t>
      </w:r>
      <w:r>
        <w:rPr>
          <w:rFonts w:hint="cs"/>
          <w:rtl/>
        </w:rPr>
        <w:t xml:space="preserve"> ولعدم تقديم معلومات عن الملاحقة القضائية لهذه الممارسات (المادتان 7 و24).</w:t>
      </w:r>
    </w:p>
    <w:p w:rsidR="007C39B1" w:rsidRDefault="007C39B1" w:rsidP="0096071D">
      <w:pPr>
        <w:pStyle w:val="SingleTxtGA"/>
        <w:rPr>
          <w:rFonts w:hint="cs"/>
          <w:b/>
          <w:bCs/>
          <w:rtl/>
        </w:rPr>
      </w:pPr>
      <w:r>
        <w:rPr>
          <w:rFonts w:hint="cs"/>
          <w:b/>
          <w:bCs/>
          <w:rtl/>
        </w:rPr>
        <w:tab/>
        <w:t xml:space="preserve">ينبغي للدولة الطرف أن تتخذ تدابير عملية لوضع حد للعقاب البدني في جميع الأوساط. وينبغي أن تشجع على </w:t>
      </w:r>
      <w:proofErr w:type="spellStart"/>
      <w:r w:rsidR="0096071D">
        <w:rPr>
          <w:rFonts w:hint="cs"/>
          <w:b/>
          <w:bCs/>
          <w:rtl/>
        </w:rPr>
        <w:t>ا</w:t>
      </w:r>
      <w:r>
        <w:rPr>
          <w:rFonts w:hint="cs"/>
          <w:b/>
          <w:bCs/>
          <w:rtl/>
        </w:rPr>
        <w:t>تباع</w:t>
      </w:r>
      <w:proofErr w:type="spellEnd"/>
      <w:r>
        <w:rPr>
          <w:rFonts w:hint="cs"/>
          <w:b/>
          <w:bCs/>
          <w:rtl/>
        </w:rPr>
        <w:t xml:space="preserve"> أشكال تأديبية لا تقوم على العنف كبدائل للعقاب البدني وينبغي أن تواصل تنظيم حملات إعلامية عامة لبث الوعي بالآثار الضارة لهذه الممارسات.</w:t>
      </w:r>
    </w:p>
    <w:p w:rsidR="007C39B1" w:rsidRDefault="007C39B1" w:rsidP="0096071D">
      <w:pPr>
        <w:pStyle w:val="SingleTxtGA"/>
        <w:rPr>
          <w:rFonts w:hint="cs"/>
          <w:rtl/>
        </w:rPr>
      </w:pPr>
      <w:r>
        <w:rPr>
          <w:rFonts w:hint="cs"/>
          <w:rtl/>
        </w:rPr>
        <w:t>15-</w:t>
      </w:r>
      <w:r>
        <w:rPr>
          <w:rFonts w:hint="cs"/>
          <w:rtl/>
        </w:rPr>
        <w:tab/>
        <w:t xml:space="preserve">ويساور اللجنة القلق إزاء انتشار </w:t>
      </w:r>
      <w:r w:rsidR="0096071D">
        <w:rPr>
          <w:rFonts w:hint="cs"/>
          <w:rtl/>
        </w:rPr>
        <w:t>اللجوء إلى</w:t>
      </w:r>
      <w:r>
        <w:rPr>
          <w:rFonts w:hint="cs"/>
          <w:rtl/>
        </w:rPr>
        <w:t xml:space="preserve"> ترتيبات الزواج غير الرسمي في مجتمع </w:t>
      </w:r>
      <w:proofErr w:type="spellStart"/>
      <w:r>
        <w:rPr>
          <w:rFonts w:hint="cs"/>
          <w:rtl/>
        </w:rPr>
        <w:t>الروما</w:t>
      </w:r>
      <w:proofErr w:type="spellEnd"/>
      <w:r>
        <w:rPr>
          <w:rFonts w:hint="cs"/>
          <w:rtl/>
        </w:rPr>
        <w:t>، ولا </w:t>
      </w:r>
      <w:proofErr w:type="spellStart"/>
      <w:r>
        <w:rPr>
          <w:rFonts w:hint="cs"/>
          <w:rtl/>
        </w:rPr>
        <w:t>سيما</w:t>
      </w:r>
      <w:proofErr w:type="spellEnd"/>
      <w:r>
        <w:rPr>
          <w:rFonts w:hint="cs"/>
          <w:rtl/>
        </w:rPr>
        <w:t xml:space="preserve"> </w:t>
      </w:r>
      <w:r w:rsidR="0096071D">
        <w:rPr>
          <w:rFonts w:hint="cs"/>
          <w:rtl/>
        </w:rPr>
        <w:t xml:space="preserve">زواج </w:t>
      </w:r>
      <w:r>
        <w:rPr>
          <w:rFonts w:hint="cs"/>
          <w:rtl/>
        </w:rPr>
        <w:t>الفتيات دون سن</w:t>
      </w:r>
      <w:r>
        <w:rPr>
          <w:rFonts w:hint="eastAsia"/>
          <w:rtl/>
        </w:rPr>
        <w:t> </w:t>
      </w:r>
      <w:r>
        <w:rPr>
          <w:rFonts w:hint="cs"/>
          <w:rtl/>
        </w:rPr>
        <w:t>14 عاماً، على الرغم من أن السن الدنيا للزواج ه</w:t>
      </w:r>
      <w:r w:rsidR="0096071D">
        <w:rPr>
          <w:rFonts w:hint="cs"/>
          <w:rtl/>
        </w:rPr>
        <w:t>ي</w:t>
      </w:r>
      <w:r>
        <w:rPr>
          <w:rFonts w:hint="cs"/>
          <w:rtl/>
        </w:rPr>
        <w:t xml:space="preserve"> 18 عاماً (المادتان 7 و23).</w:t>
      </w:r>
    </w:p>
    <w:p w:rsidR="007C39B1" w:rsidRDefault="007C39B1" w:rsidP="00045D2C">
      <w:pPr>
        <w:pStyle w:val="SingleTxtGA"/>
        <w:rPr>
          <w:rFonts w:hint="cs"/>
          <w:b/>
          <w:bCs/>
          <w:rtl/>
        </w:rPr>
      </w:pPr>
      <w:r>
        <w:rPr>
          <w:rFonts w:hint="cs"/>
          <w:b/>
          <w:bCs/>
          <w:rtl/>
        </w:rPr>
        <w:tab/>
        <w:t xml:space="preserve">ينبغي للدولة الطرف أن تعتمد وتنفذ آلية وقائية على نطاق </w:t>
      </w:r>
      <w:r w:rsidR="0096071D">
        <w:rPr>
          <w:rFonts w:hint="cs"/>
          <w:b/>
          <w:bCs/>
          <w:rtl/>
        </w:rPr>
        <w:t>قطري تحمي الفتيات اللائي تقل أعماره</w:t>
      </w:r>
      <w:r w:rsidR="00045D2C">
        <w:rPr>
          <w:rFonts w:hint="cs"/>
          <w:b/>
          <w:bCs/>
          <w:rtl/>
        </w:rPr>
        <w:t>ن</w:t>
      </w:r>
      <w:r w:rsidR="0096071D">
        <w:rPr>
          <w:rFonts w:hint="cs"/>
          <w:b/>
          <w:bCs/>
          <w:rtl/>
        </w:rPr>
        <w:t xml:space="preserve"> عن </w:t>
      </w:r>
      <w:r>
        <w:rPr>
          <w:rFonts w:hint="cs"/>
          <w:b/>
          <w:bCs/>
          <w:rtl/>
        </w:rPr>
        <w:t xml:space="preserve">السن القانونية للزواج </w:t>
      </w:r>
      <w:r w:rsidR="0096071D">
        <w:rPr>
          <w:rFonts w:hint="cs"/>
          <w:b/>
          <w:bCs/>
          <w:rtl/>
        </w:rPr>
        <w:t>عن طريق</w:t>
      </w:r>
      <w:r>
        <w:rPr>
          <w:rFonts w:hint="cs"/>
          <w:b/>
          <w:bCs/>
          <w:rtl/>
        </w:rPr>
        <w:t xml:space="preserve"> تنفيذ استراتيجيات لبث الوعي في المجتمع تركز على الآثار المترتبة على ترتيبات الزواج المبكر غير الرسمية وحقوق وواجبات الأشخاص المعنيين.</w:t>
      </w:r>
    </w:p>
    <w:p w:rsidR="007C39B1" w:rsidRDefault="007C39B1" w:rsidP="0096071D">
      <w:pPr>
        <w:pStyle w:val="SingleTxtGA"/>
        <w:rPr>
          <w:rFonts w:hint="cs"/>
          <w:rtl/>
        </w:rPr>
      </w:pPr>
      <w:r>
        <w:rPr>
          <w:rFonts w:hint="cs"/>
          <w:rtl/>
        </w:rPr>
        <w:t>16-</w:t>
      </w:r>
      <w:r>
        <w:rPr>
          <w:rFonts w:hint="cs"/>
          <w:rtl/>
        </w:rPr>
        <w:tab/>
        <w:t xml:space="preserve">ويساور اللجنة القلق إزاء عدم كفاية الضمانات الإجرائية المنصوص عليها في إجراء تحديد </w:t>
      </w:r>
      <w:r w:rsidR="0096071D">
        <w:rPr>
          <w:rFonts w:hint="cs"/>
          <w:rtl/>
        </w:rPr>
        <w:t>صفة</w:t>
      </w:r>
      <w:r>
        <w:rPr>
          <w:rFonts w:hint="cs"/>
          <w:rtl/>
        </w:rPr>
        <w:t xml:space="preserve"> اللاجئ، ولا </w:t>
      </w:r>
      <w:proofErr w:type="spellStart"/>
      <w:r>
        <w:rPr>
          <w:rFonts w:hint="cs"/>
          <w:rtl/>
        </w:rPr>
        <w:t>سيما</w:t>
      </w:r>
      <w:proofErr w:type="spellEnd"/>
      <w:r>
        <w:rPr>
          <w:rFonts w:hint="cs"/>
          <w:rtl/>
        </w:rPr>
        <w:t xml:space="preserve"> فيما يتعلق بالتأخير بين التسجيل الأولي للطلب وإمكانية </w:t>
      </w:r>
      <w:r w:rsidR="0096071D">
        <w:rPr>
          <w:rFonts w:hint="cs"/>
          <w:rtl/>
        </w:rPr>
        <w:t>الاستفادة من</w:t>
      </w:r>
      <w:r>
        <w:rPr>
          <w:rFonts w:hint="cs"/>
          <w:rtl/>
        </w:rPr>
        <w:t xml:space="preserve"> إجراء تحديد </w:t>
      </w:r>
      <w:r w:rsidR="0096071D">
        <w:rPr>
          <w:rFonts w:hint="cs"/>
          <w:rtl/>
        </w:rPr>
        <w:t>صفة</w:t>
      </w:r>
      <w:r>
        <w:rPr>
          <w:rFonts w:hint="cs"/>
          <w:rtl/>
        </w:rPr>
        <w:t xml:space="preserve"> اللاجئ، و</w:t>
      </w:r>
      <w:r w:rsidR="0096071D">
        <w:rPr>
          <w:rFonts w:hint="cs"/>
          <w:rtl/>
        </w:rPr>
        <w:t>الافتقار إلى</w:t>
      </w:r>
      <w:r>
        <w:rPr>
          <w:rFonts w:hint="cs"/>
          <w:rtl/>
        </w:rPr>
        <w:t xml:space="preserve"> الأحكام القانون</w:t>
      </w:r>
      <w:r w:rsidR="0096071D">
        <w:rPr>
          <w:rFonts w:hint="cs"/>
          <w:rtl/>
        </w:rPr>
        <w:t>ية</w:t>
      </w:r>
      <w:r>
        <w:rPr>
          <w:rFonts w:hint="cs"/>
          <w:rtl/>
        </w:rPr>
        <w:t xml:space="preserve"> المتعلق</w:t>
      </w:r>
      <w:r w:rsidR="0096071D">
        <w:rPr>
          <w:rFonts w:hint="cs"/>
          <w:rtl/>
        </w:rPr>
        <w:t>ة</w:t>
      </w:r>
      <w:r>
        <w:rPr>
          <w:rFonts w:hint="cs"/>
          <w:rtl/>
        </w:rPr>
        <w:t xml:space="preserve"> باللجوء واللاجئين التي تكفل إجراء مقابلات في إطار إجراء تحديد </w:t>
      </w:r>
      <w:r w:rsidR="0096071D">
        <w:rPr>
          <w:rFonts w:hint="cs"/>
          <w:rtl/>
        </w:rPr>
        <w:t>صفة</w:t>
      </w:r>
      <w:r>
        <w:rPr>
          <w:rFonts w:hint="cs"/>
          <w:rtl/>
        </w:rPr>
        <w:t xml:space="preserve"> اللاجئ وتسجيلها </w:t>
      </w:r>
      <w:r w:rsidR="0096071D">
        <w:rPr>
          <w:rFonts w:hint="cs"/>
          <w:rtl/>
        </w:rPr>
        <w:t>بالصوت</w:t>
      </w:r>
      <w:r>
        <w:rPr>
          <w:rFonts w:hint="cs"/>
          <w:rtl/>
        </w:rPr>
        <w:t xml:space="preserve"> وإمكانية </w:t>
      </w:r>
      <w:r w:rsidR="0096071D">
        <w:rPr>
          <w:rFonts w:hint="cs"/>
          <w:rtl/>
        </w:rPr>
        <w:t>اطلاع</w:t>
      </w:r>
      <w:r w:rsidRPr="00801BBD">
        <w:rPr>
          <w:rFonts w:hint="cs"/>
          <w:rtl/>
        </w:rPr>
        <w:t xml:space="preserve"> </w:t>
      </w:r>
      <w:r>
        <w:rPr>
          <w:rFonts w:hint="cs"/>
          <w:rtl/>
        </w:rPr>
        <w:t>مقدمي الطلبات</w:t>
      </w:r>
      <w:r w:rsidRPr="00801BBD">
        <w:rPr>
          <w:rFonts w:hint="cs"/>
          <w:rtl/>
        </w:rPr>
        <w:t xml:space="preserve"> </w:t>
      </w:r>
      <w:r>
        <w:rPr>
          <w:rFonts w:hint="cs"/>
          <w:rtl/>
        </w:rPr>
        <w:t xml:space="preserve">وممثليهم القانونيين </w:t>
      </w:r>
      <w:r w:rsidR="0096071D">
        <w:rPr>
          <w:rFonts w:hint="cs"/>
          <w:rtl/>
        </w:rPr>
        <w:t>ع</w:t>
      </w:r>
      <w:r>
        <w:rPr>
          <w:rFonts w:hint="cs"/>
          <w:rtl/>
        </w:rPr>
        <w:t>لى الملفات الشخصية قبل اتخاذ القرار (المواد 7 و10 و13).</w:t>
      </w:r>
    </w:p>
    <w:p w:rsidR="007C39B1" w:rsidRDefault="007C39B1" w:rsidP="007C39B1">
      <w:pPr>
        <w:pStyle w:val="SingleTxtGA"/>
        <w:rPr>
          <w:rFonts w:hint="cs"/>
          <w:b/>
          <w:bCs/>
          <w:rtl/>
        </w:rPr>
      </w:pPr>
      <w:r>
        <w:rPr>
          <w:rFonts w:hint="cs"/>
          <w:b/>
          <w:bCs/>
          <w:rtl/>
        </w:rPr>
        <w:tab/>
        <w:t>ينبغي للدولة الطرف أن تراجع إجراء اللجوء وقرارات الوكالة الحكومية للاجئين المتخذة بشأن طلبات الحصول على الحماية الدولية، لضمان وصول جميع ملتمسي اللجوء إلى نظام لجوء عادل وفعّال.</w:t>
      </w:r>
    </w:p>
    <w:p w:rsidR="007C39B1" w:rsidRDefault="007C39B1" w:rsidP="0096071D">
      <w:pPr>
        <w:pStyle w:val="SingleTxtGA"/>
        <w:rPr>
          <w:rFonts w:hint="cs"/>
          <w:rtl/>
        </w:rPr>
      </w:pPr>
      <w:r>
        <w:rPr>
          <w:rFonts w:hint="cs"/>
          <w:rtl/>
        </w:rPr>
        <w:t>17-</w:t>
      </w:r>
      <w:r>
        <w:rPr>
          <w:rFonts w:hint="cs"/>
          <w:rtl/>
        </w:rPr>
        <w:tab/>
        <w:t xml:space="preserve">ولا تزال اللجنة تشعر بالقلق </w:t>
      </w:r>
      <w:r w:rsidR="0096071D">
        <w:rPr>
          <w:rFonts w:hint="cs"/>
          <w:rtl/>
        </w:rPr>
        <w:t>لعدم قدرة</w:t>
      </w:r>
      <w:r>
        <w:rPr>
          <w:rFonts w:hint="cs"/>
          <w:rtl/>
        </w:rPr>
        <w:t xml:space="preserve"> الأشخاص الذين يعانون من إعاقات عقلية</w:t>
      </w:r>
      <w:r w:rsidR="0096071D">
        <w:rPr>
          <w:rFonts w:hint="cs"/>
          <w:rtl/>
        </w:rPr>
        <w:t>، حتى الآن،</w:t>
      </w:r>
      <w:r>
        <w:rPr>
          <w:rFonts w:hint="cs"/>
          <w:rtl/>
        </w:rPr>
        <w:t xml:space="preserve"> على </w:t>
      </w:r>
      <w:r w:rsidR="0096071D">
        <w:rPr>
          <w:rFonts w:hint="cs"/>
          <w:rtl/>
        </w:rPr>
        <w:t xml:space="preserve">الاستفادة من </w:t>
      </w:r>
      <w:r>
        <w:rPr>
          <w:rFonts w:hint="cs"/>
          <w:rtl/>
        </w:rPr>
        <w:t>ضمانات إجرائية وموضوعية مناسبة لحماية أنفسهم من عدم تناسب القيود المفروضة على تمتعهم بالحقوق التي يكفلها العهد. و</w:t>
      </w:r>
      <w:r w:rsidR="0096071D">
        <w:rPr>
          <w:rFonts w:hint="cs"/>
          <w:rtl/>
        </w:rPr>
        <w:t xml:space="preserve">تشعر اللجنة بالقلق، </w:t>
      </w:r>
      <w:r>
        <w:rPr>
          <w:rFonts w:hint="cs"/>
          <w:rtl/>
        </w:rPr>
        <w:t xml:space="preserve">بصفة خاصة، </w:t>
      </w:r>
      <w:r w:rsidR="0096071D">
        <w:rPr>
          <w:rFonts w:hint="cs"/>
          <w:rtl/>
        </w:rPr>
        <w:t xml:space="preserve">لعدم استطاعة </w:t>
      </w:r>
      <w:r>
        <w:rPr>
          <w:rFonts w:hint="cs"/>
          <w:rtl/>
        </w:rPr>
        <w:t>الأشخاص المحرومين من أهليتهم القانونية اللجوء إلى سبل للطعن في انتهاك حقوقهم، و</w:t>
      </w:r>
      <w:r w:rsidR="0096071D">
        <w:rPr>
          <w:rFonts w:hint="cs"/>
          <w:rtl/>
        </w:rPr>
        <w:t>لعدم وجود</w:t>
      </w:r>
      <w:r>
        <w:rPr>
          <w:rFonts w:hint="cs"/>
          <w:rtl/>
        </w:rPr>
        <w:t xml:space="preserve"> آلية تفتيش مستقلة لمؤسسات الصحة العقلية ولأن نظام الوصاي</w:t>
      </w:r>
      <w:r w:rsidR="0096071D">
        <w:rPr>
          <w:rFonts w:hint="cs"/>
          <w:rtl/>
        </w:rPr>
        <w:t>ة</w:t>
      </w:r>
      <w:r>
        <w:rPr>
          <w:rFonts w:hint="cs"/>
          <w:rtl/>
        </w:rPr>
        <w:t xml:space="preserve"> </w:t>
      </w:r>
      <w:r w:rsidR="0096071D">
        <w:rPr>
          <w:rFonts w:hint="cs"/>
          <w:rtl/>
        </w:rPr>
        <w:t xml:space="preserve">كثيراً </w:t>
      </w:r>
      <w:r>
        <w:rPr>
          <w:rFonts w:hint="cs"/>
          <w:rtl/>
        </w:rPr>
        <w:t>ما </w:t>
      </w:r>
      <w:r w:rsidR="0096071D">
        <w:rPr>
          <w:rFonts w:hint="cs"/>
          <w:rtl/>
        </w:rPr>
        <w:t xml:space="preserve">يؤدي إلى </w:t>
      </w:r>
      <w:r>
        <w:rPr>
          <w:rFonts w:hint="cs"/>
          <w:rtl/>
        </w:rPr>
        <w:t xml:space="preserve">تدخل موظفين من نفس المؤسسة </w:t>
      </w:r>
      <w:r w:rsidR="0096071D">
        <w:rPr>
          <w:rFonts w:hint="cs"/>
          <w:rtl/>
        </w:rPr>
        <w:t>التي يودع</w:t>
      </w:r>
      <w:r>
        <w:rPr>
          <w:rFonts w:hint="cs"/>
          <w:rtl/>
        </w:rPr>
        <w:t xml:space="preserve"> فيها الفرد (المواد 9 و2 و10 و25 و26).</w:t>
      </w:r>
    </w:p>
    <w:p w:rsidR="007C39B1" w:rsidRDefault="007C39B1" w:rsidP="007C39B1">
      <w:pPr>
        <w:pStyle w:val="SingleTxtGA"/>
        <w:rPr>
          <w:rFonts w:hint="cs"/>
          <w:b/>
          <w:bCs/>
          <w:rtl/>
        </w:rPr>
      </w:pPr>
      <w:r>
        <w:rPr>
          <w:rFonts w:hint="cs"/>
          <w:rtl/>
        </w:rPr>
        <w:tab/>
      </w:r>
      <w:r>
        <w:rPr>
          <w:rFonts w:hint="cs"/>
          <w:b/>
          <w:bCs/>
          <w:rtl/>
        </w:rPr>
        <w:t>ينبغي للدولة الطرف أن:</w:t>
      </w:r>
    </w:p>
    <w:p w:rsidR="007C39B1" w:rsidRDefault="007C39B1" w:rsidP="007C39B1">
      <w:pPr>
        <w:pStyle w:val="SingleTxtGA"/>
        <w:rPr>
          <w:rFonts w:hint="cs"/>
          <w:b/>
          <w:bCs/>
          <w:rtl/>
        </w:rPr>
      </w:pPr>
      <w:r>
        <w:rPr>
          <w:rFonts w:hint="cs"/>
          <w:b/>
          <w:bCs/>
          <w:rtl/>
        </w:rPr>
        <w:tab/>
        <w:t>(أ)</w:t>
      </w:r>
      <w:r>
        <w:rPr>
          <w:rFonts w:hint="cs"/>
          <w:b/>
          <w:bCs/>
          <w:rtl/>
        </w:rPr>
        <w:tab/>
        <w:t>تراجع سياستها في مجال حرمان الأشخاص الذين يعانون من إعاقات عقلية من الأهلية القانونية ومراعاة الضرورة والتناسب عند اتخاذ أي إجراء على أساس فردي، مع توفير ضمانات إجرائية فعّالة، وكفالة استفادة الأشخاص المحرومين من الأهلية القانونية على وجه السرعة من المراجعة القضائية لقرارات إيداعهم؛</w:t>
      </w:r>
    </w:p>
    <w:p w:rsidR="007C39B1" w:rsidRDefault="007C39B1" w:rsidP="001B29B2">
      <w:pPr>
        <w:pStyle w:val="SingleTxtGA"/>
        <w:rPr>
          <w:rFonts w:hint="cs"/>
          <w:b/>
          <w:bCs/>
          <w:rtl/>
        </w:rPr>
      </w:pPr>
      <w:r>
        <w:rPr>
          <w:rFonts w:hint="cs"/>
          <w:b/>
          <w:bCs/>
          <w:rtl/>
        </w:rPr>
        <w:tab/>
        <w:t>(ب)</w:t>
      </w:r>
      <w:r>
        <w:rPr>
          <w:rFonts w:hint="cs"/>
          <w:b/>
          <w:bCs/>
          <w:rtl/>
        </w:rPr>
        <w:tab/>
        <w:t xml:space="preserve">تكفل قدرة الأشخاص الذين يعانون من إعاقات عقلية أو من يمثلهم ممارسة الحق في التظلم الفعال ضد انتهاك حقوقهم، وأن تنظر في إتاحة بدائل أقل تقييداً من الحبس والعلاج </w:t>
      </w:r>
      <w:proofErr w:type="spellStart"/>
      <w:r>
        <w:rPr>
          <w:rFonts w:hint="cs"/>
          <w:b/>
          <w:bCs/>
          <w:rtl/>
        </w:rPr>
        <w:t>الق</w:t>
      </w:r>
      <w:r w:rsidR="001B29B2">
        <w:rPr>
          <w:rFonts w:hint="cs"/>
          <w:b/>
          <w:bCs/>
          <w:rtl/>
        </w:rPr>
        <w:t>س</w:t>
      </w:r>
      <w:r>
        <w:rPr>
          <w:rFonts w:hint="cs"/>
          <w:b/>
          <w:bCs/>
          <w:rtl/>
        </w:rPr>
        <w:t>ريين</w:t>
      </w:r>
      <w:proofErr w:type="spellEnd"/>
      <w:r>
        <w:rPr>
          <w:rFonts w:hint="cs"/>
          <w:b/>
          <w:bCs/>
          <w:rtl/>
        </w:rPr>
        <w:t xml:space="preserve"> للأشخاص الذين يعانون من إعاقة عقلية؛</w:t>
      </w:r>
    </w:p>
    <w:p w:rsidR="007C39B1" w:rsidRDefault="007C39B1" w:rsidP="001B29B2">
      <w:pPr>
        <w:pStyle w:val="SingleTxtGA"/>
        <w:rPr>
          <w:rFonts w:hint="cs"/>
          <w:b/>
          <w:bCs/>
          <w:rtl/>
        </w:rPr>
      </w:pPr>
      <w:r>
        <w:rPr>
          <w:rFonts w:hint="cs"/>
          <w:b/>
          <w:bCs/>
          <w:rtl/>
        </w:rPr>
        <w:tab/>
        <w:t>(ج)</w:t>
      </w:r>
      <w:r>
        <w:rPr>
          <w:rFonts w:hint="cs"/>
          <w:b/>
          <w:bCs/>
          <w:rtl/>
        </w:rPr>
        <w:tab/>
        <w:t xml:space="preserve">أن تتخذ تدابير مناسبة لمنع جميع أشكال سوء المعاملة في مؤسسات الأمراض العقلية، بما في ذلك عن طريق إنشاء نظم تفتيش تراعي مبادئ الأمم المتحدة لحماية الأشخاص المصابين </w:t>
      </w:r>
      <w:r w:rsidR="001B29B2">
        <w:rPr>
          <w:rFonts w:hint="cs"/>
          <w:b/>
          <w:bCs/>
          <w:rtl/>
        </w:rPr>
        <w:t>بأمراض</w:t>
      </w:r>
      <w:r>
        <w:rPr>
          <w:rFonts w:hint="cs"/>
          <w:b/>
          <w:bCs/>
          <w:rtl/>
        </w:rPr>
        <w:t xml:space="preserve"> عقلي</w:t>
      </w:r>
      <w:r w:rsidR="001B29B2">
        <w:rPr>
          <w:rFonts w:hint="cs"/>
          <w:b/>
          <w:bCs/>
          <w:rtl/>
        </w:rPr>
        <w:t>ة</w:t>
      </w:r>
      <w:r>
        <w:rPr>
          <w:rFonts w:hint="cs"/>
          <w:b/>
          <w:bCs/>
          <w:rtl/>
        </w:rPr>
        <w:t xml:space="preserve"> وتحسين العناية بالصحة العقلية (التي اعتمدتها الجمعية العامة في القرار 46/119).</w:t>
      </w:r>
    </w:p>
    <w:p w:rsidR="007C39B1" w:rsidRDefault="007C39B1" w:rsidP="001B29B2">
      <w:pPr>
        <w:pStyle w:val="SingleTxtGA"/>
        <w:rPr>
          <w:rFonts w:hint="cs"/>
          <w:rtl/>
        </w:rPr>
      </w:pPr>
      <w:r>
        <w:rPr>
          <w:rFonts w:hint="cs"/>
          <w:rtl/>
        </w:rPr>
        <w:t>18-</w:t>
      </w:r>
      <w:r>
        <w:rPr>
          <w:rFonts w:hint="cs"/>
          <w:rtl/>
        </w:rPr>
        <w:tab/>
        <w:t xml:space="preserve">ولا تزال اللجنة تشعر بالقلق إزاء الاكتظاظ في السجون وإزاء </w:t>
      </w:r>
      <w:r w:rsidR="001B29B2">
        <w:rPr>
          <w:rFonts w:hint="cs"/>
          <w:rtl/>
        </w:rPr>
        <w:t>ال</w:t>
      </w:r>
      <w:r>
        <w:rPr>
          <w:rFonts w:hint="cs"/>
          <w:rtl/>
        </w:rPr>
        <w:t xml:space="preserve">ظروف </w:t>
      </w:r>
      <w:r w:rsidR="001B29B2">
        <w:rPr>
          <w:rFonts w:hint="cs"/>
          <w:rtl/>
        </w:rPr>
        <w:t>الصحية</w:t>
      </w:r>
      <w:r>
        <w:rPr>
          <w:rFonts w:hint="cs"/>
          <w:rtl/>
        </w:rPr>
        <w:t xml:space="preserve"> في مرافق الاحتجاز، بما في ذلك انعدام الوصول إلى الماء الصالح للشرب، وحالات قطع الماء والكهرباء بصورة منتظمة. و</w:t>
      </w:r>
      <w:r w:rsidR="001B29B2">
        <w:rPr>
          <w:rFonts w:hint="cs"/>
          <w:rtl/>
        </w:rPr>
        <w:t>هي تشعر ب</w:t>
      </w:r>
      <w:r>
        <w:rPr>
          <w:rFonts w:hint="cs"/>
          <w:rtl/>
        </w:rPr>
        <w:t>القلق</w:t>
      </w:r>
      <w:r w:rsidRPr="00753FFD">
        <w:rPr>
          <w:rFonts w:hint="cs"/>
          <w:rtl/>
        </w:rPr>
        <w:t xml:space="preserve"> </w:t>
      </w:r>
      <w:r>
        <w:rPr>
          <w:rFonts w:hint="cs"/>
          <w:rtl/>
        </w:rPr>
        <w:t xml:space="preserve">أيضاً إزاء النقص في الخدمات الطبية، </w:t>
      </w:r>
      <w:r w:rsidR="001B29B2">
        <w:rPr>
          <w:rFonts w:hint="cs"/>
          <w:rtl/>
        </w:rPr>
        <w:t>ومحدودية الاستفادة من</w:t>
      </w:r>
      <w:r>
        <w:rPr>
          <w:rFonts w:hint="cs"/>
          <w:rtl/>
        </w:rPr>
        <w:t xml:space="preserve"> المساعدة المتخصصة وقلة الموظفين المدربين العاملين في المؤسسات العقابية. وفضلاً عن ذلك، يساور اللجنة القلق إزاء ممارسات الفساد المزعومة داخل المؤسسات العقابية حيث يحصل بعض السجناء على معاملة تمييزية (المادة 10).</w:t>
      </w:r>
    </w:p>
    <w:p w:rsidR="007C39B1" w:rsidRDefault="007C39B1" w:rsidP="00586F98">
      <w:pPr>
        <w:pStyle w:val="SingleTxtGA"/>
        <w:rPr>
          <w:rFonts w:hint="cs"/>
          <w:b/>
          <w:bCs/>
          <w:rtl/>
        </w:rPr>
      </w:pPr>
      <w:r>
        <w:rPr>
          <w:rFonts w:hint="cs"/>
          <w:b/>
          <w:bCs/>
          <w:rtl/>
        </w:rPr>
        <w:tab/>
        <w:t xml:space="preserve">ينبغي للدولة الطرف أن تكفل الاحترام الكامل للقواعد النموذجية الدنيا لمعاملة السجناء وتنفيذ برامجها لإنشاء سجون جديدة. وينبغي </w:t>
      </w:r>
      <w:r w:rsidR="001B29B2">
        <w:rPr>
          <w:rFonts w:hint="cs"/>
          <w:b/>
          <w:bCs/>
          <w:rtl/>
        </w:rPr>
        <w:t xml:space="preserve">لها </w:t>
      </w:r>
      <w:r>
        <w:rPr>
          <w:rFonts w:hint="cs"/>
          <w:b/>
          <w:bCs/>
          <w:rtl/>
        </w:rPr>
        <w:t xml:space="preserve">أن تكفل أيضاً إجراء التحقيق المستقل والفوري ومقاضاة موظفي الدولة والجهات الفاعلة الخاصة </w:t>
      </w:r>
      <w:proofErr w:type="spellStart"/>
      <w:r>
        <w:rPr>
          <w:rFonts w:hint="cs"/>
          <w:b/>
          <w:bCs/>
          <w:rtl/>
        </w:rPr>
        <w:t>المسؤولة</w:t>
      </w:r>
      <w:proofErr w:type="spellEnd"/>
      <w:r>
        <w:rPr>
          <w:rFonts w:hint="cs"/>
          <w:b/>
          <w:bCs/>
          <w:rtl/>
        </w:rPr>
        <w:t xml:space="preserve"> عن الفساد في المؤسسات العقابية. وفضلاً عن ذلك، ينبغي </w:t>
      </w:r>
      <w:r w:rsidR="00586F98">
        <w:rPr>
          <w:rFonts w:hint="cs"/>
          <w:b/>
          <w:bCs/>
          <w:rtl/>
        </w:rPr>
        <w:t>لها</w:t>
      </w:r>
      <w:r>
        <w:rPr>
          <w:rFonts w:hint="cs"/>
          <w:b/>
          <w:bCs/>
          <w:rtl/>
        </w:rPr>
        <w:t xml:space="preserve"> أن تعزز جهودها للأخذ ببدائل، في نظام العقاب الجنائي،</w:t>
      </w:r>
      <w:r w:rsidRPr="006F3DC3">
        <w:rPr>
          <w:rFonts w:hint="cs"/>
          <w:b/>
          <w:bCs/>
          <w:rtl/>
        </w:rPr>
        <w:t xml:space="preserve"> </w:t>
      </w:r>
      <w:r>
        <w:rPr>
          <w:rFonts w:hint="cs"/>
          <w:b/>
          <w:bCs/>
          <w:rtl/>
        </w:rPr>
        <w:t>لا تقوم على الحبس.</w:t>
      </w:r>
    </w:p>
    <w:p w:rsidR="007C39B1" w:rsidRDefault="007C39B1" w:rsidP="001E4575">
      <w:pPr>
        <w:pStyle w:val="SingleTxtGA"/>
        <w:rPr>
          <w:rFonts w:hint="cs"/>
          <w:rtl/>
        </w:rPr>
      </w:pPr>
      <w:r>
        <w:rPr>
          <w:rFonts w:hint="cs"/>
          <w:rtl/>
        </w:rPr>
        <w:t>19-</w:t>
      </w:r>
      <w:r>
        <w:rPr>
          <w:rFonts w:hint="cs"/>
          <w:rtl/>
        </w:rPr>
        <w:tab/>
        <w:t>وتأخذ اللجنة علماً باعتماد الرؤية المعروضة في خطة إنهاء ممارسة إيداع الأطفال في مؤسسات</w:t>
      </w:r>
      <w:r w:rsidR="00586F98">
        <w:rPr>
          <w:rFonts w:hint="cs"/>
          <w:rtl/>
        </w:rPr>
        <w:t xml:space="preserve"> </w:t>
      </w:r>
      <w:proofErr w:type="spellStart"/>
      <w:r w:rsidR="00586F98">
        <w:rPr>
          <w:rFonts w:hint="cs"/>
          <w:rtl/>
        </w:rPr>
        <w:t>استشفائية</w:t>
      </w:r>
      <w:proofErr w:type="spellEnd"/>
      <w:r>
        <w:rPr>
          <w:rFonts w:hint="cs"/>
          <w:rtl/>
        </w:rPr>
        <w:t xml:space="preserve">، في جمهورية بلغاريا، في 24 شباط/فبراير 2010، التي تنظر في إمكانية إقفال جميع مؤسسات رعاية الطفل خلال </w:t>
      </w:r>
      <w:proofErr w:type="spellStart"/>
      <w:r>
        <w:rPr>
          <w:rFonts w:hint="cs"/>
          <w:rtl/>
        </w:rPr>
        <w:t>ال</w:t>
      </w:r>
      <w:proofErr w:type="spellEnd"/>
      <w:r>
        <w:rPr>
          <w:rFonts w:hint="cs"/>
          <w:rtl/>
        </w:rPr>
        <w:t>‍ 15 عاماً المقبلة والتوقف عن إيداع الأطفال دون سن 3 أعوام في مؤسسات. وعلى الرغم من ذلك،</w:t>
      </w:r>
      <w:r w:rsidR="00045D2C">
        <w:rPr>
          <w:rFonts w:hint="cs"/>
          <w:rtl/>
        </w:rPr>
        <w:t xml:space="preserve"> </w:t>
      </w:r>
      <w:r>
        <w:rPr>
          <w:rFonts w:hint="cs"/>
          <w:rtl/>
        </w:rPr>
        <w:t>لا تزال اللجنة تشعر بالقلق إزاء عدد الأطفال الذين سيظلون</w:t>
      </w:r>
      <w:r>
        <w:rPr>
          <w:rFonts w:hint="eastAsia"/>
          <w:rtl/>
        </w:rPr>
        <w:t xml:space="preserve"> </w:t>
      </w:r>
      <w:r w:rsidR="001E4575">
        <w:rPr>
          <w:rFonts w:hint="cs"/>
          <w:rtl/>
        </w:rPr>
        <w:t>في تلك</w:t>
      </w:r>
      <w:r>
        <w:rPr>
          <w:rFonts w:hint="eastAsia"/>
          <w:rtl/>
        </w:rPr>
        <w:t xml:space="preserve"> المؤسسات </w:t>
      </w:r>
      <w:r w:rsidR="001E4575">
        <w:rPr>
          <w:rFonts w:hint="cs"/>
          <w:rtl/>
        </w:rPr>
        <w:t>طوال ا</w:t>
      </w:r>
      <w:r>
        <w:rPr>
          <w:rFonts w:hint="eastAsia"/>
          <w:rtl/>
        </w:rPr>
        <w:t xml:space="preserve">لسنوات </w:t>
      </w:r>
      <w:proofErr w:type="spellStart"/>
      <w:r>
        <w:rPr>
          <w:rFonts w:hint="eastAsia"/>
          <w:rtl/>
        </w:rPr>
        <w:t>ال</w:t>
      </w:r>
      <w:proofErr w:type="spellEnd"/>
      <w:r>
        <w:rPr>
          <w:rFonts w:hint="eastAsia"/>
          <w:rtl/>
        </w:rPr>
        <w:t xml:space="preserve">‍ 15 المقبلة. </w:t>
      </w:r>
      <w:r>
        <w:rPr>
          <w:rFonts w:hint="cs"/>
          <w:rtl/>
        </w:rPr>
        <w:t>وفضلاً عن ذلك، تأسف اللجنة لعدم اتخاذ تدابير ملموسة، بموجب هذه الخطة، لإنشاء نظام مجتمعي للرعاية ولعدم وجود إجراء للرصد لتقييم تنفيذ ونتائج هذه الخطة. (المادتان 24 و10).</w:t>
      </w:r>
    </w:p>
    <w:p w:rsidR="007C39B1" w:rsidRDefault="007C39B1" w:rsidP="007C39B1">
      <w:pPr>
        <w:pStyle w:val="SingleTxtGA"/>
        <w:rPr>
          <w:rFonts w:hint="cs"/>
          <w:b/>
          <w:bCs/>
          <w:rtl/>
        </w:rPr>
      </w:pPr>
      <w:r>
        <w:rPr>
          <w:rFonts w:hint="cs"/>
          <w:b/>
          <w:bCs/>
          <w:rtl/>
        </w:rPr>
        <w:tab/>
        <w:t>ينبغي للجنة أن تتخذ فوراً إجراءات لإغلاق جميع مؤسسات رعاية الأطفال وأن تضع بدائل عملية تحل محل الإيداع في مؤسسات</w:t>
      </w:r>
      <w:r w:rsidR="001E4575">
        <w:rPr>
          <w:rFonts w:hint="cs"/>
          <w:b/>
          <w:bCs/>
          <w:rtl/>
        </w:rPr>
        <w:t xml:space="preserve"> </w:t>
      </w:r>
      <w:proofErr w:type="spellStart"/>
      <w:r w:rsidR="001E4575">
        <w:rPr>
          <w:rFonts w:hint="cs"/>
          <w:b/>
          <w:bCs/>
          <w:rtl/>
        </w:rPr>
        <w:t>استشفائية</w:t>
      </w:r>
      <w:proofErr w:type="spellEnd"/>
      <w:r>
        <w:rPr>
          <w:rFonts w:hint="cs"/>
          <w:b/>
          <w:bCs/>
          <w:rtl/>
        </w:rPr>
        <w:t xml:space="preserve"> وتمول تمويلاً كافياً لإنشاء نظام قابل للدوام والبقاء يتطابق مع الحقوق المنصوص عليها في العهد.</w:t>
      </w:r>
    </w:p>
    <w:p w:rsidR="007C39B1" w:rsidRDefault="007C39B1" w:rsidP="001E4575">
      <w:pPr>
        <w:pStyle w:val="SingleTxtGA"/>
        <w:rPr>
          <w:rFonts w:hint="cs"/>
          <w:b/>
          <w:bCs/>
          <w:rtl/>
        </w:rPr>
      </w:pPr>
      <w:r>
        <w:rPr>
          <w:rFonts w:hint="cs"/>
          <w:b/>
          <w:bCs/>
          <w:rtl/>
        </w:rPr>
        <w:tab/>
      </w:r>
      <w:r w:rsidR="001E4575">
        <w:rPr>
          <w:rFonts w:hint="cs"/>
          <w:b/>
          <w:bCs/>
          <w:rtl/>
        </w:rPr>
        <w:t>و</w:t>
      </w:r>
      <w:r>
        <w:rPr>
          <w:rFonts w:hint="cs"/>
          <w:b/>
          <w:bCs/>
          <w:rtl/>
        </w:rPr>
        <w:t xml:space="preserve">ينبغي للدولة الطرف أيضاً أن تضع إجراء للمراقبة لتقييم تنفيذ ونتائج خطة العمل الرامية إلى إغلاق جميع </w:t>
      </w:r>
      <w:r w:rsidR="001E4575">
        <w:rPr>
          <w:rFonts w:hint="cs"/>
          <w:b/>
          <w:bCs/>
          <w:rtl/>
        </w:rPr>
        <w:t>ال</w:t>
      </w:r>
      <w:r>
        <w:rPr>
          <w:rFonts w:hint="cs"/>
          <w:b/>
          <w:bCs/>
          <w:rtl/>
        </w:rPr>
        <w:t xml:space="preserve">مؤسسات </w:t>
      </w:r>
      <w:r w:rsidR="001E4575">
        <w:rPr>
          <w:rFonts w:hint="cs"/>
          <w:b/>
          <w:bCs/>
          <w:rtl/>
        </w:rPr>
        <w:t xml:space="preserve">التي يودع فيها أطفال </w:t>
      </w:r>
      <w:r>
        <w:rPr>
          <w:rFonts w:hint="cs"/>
          <w:b/>
          <w:bCs/>
          <w:rtl/>
        </w:rPr>
        <w:t>وإيجاد بدائل جديدة لرعاية الطفل.</w:t>
      </w:r>
    </w:p>
    <w:p w:rsidR="007C39B1" w:rsidRDefault="007C39B1" w:rsidP="001E4575">
      <w:pPr>
        <w:pStyle w:val="SingleTxtGA"/>
        <w:rPr>
          <w:rFonts w:hint="cs"/>
          <w:rtl/>
        </w:rPr>
      </w:pPr>
      <w:r>
        <w:rPr>
          <w:rFonts w:hint="cs"/>
          <w:rtl/>
        </w:rPr>
        <w:t>20-</w:t>
      </w:r>
      <w:r>
        <w:rPr>
          <w:rFonts w:hint="cs"/>
          <w:rtl/>
        </w:rPr>
        <w:tab/>
      </w:r>
      <w:r w:rsidR="001E4575">
        <w:rPr>
          <w:rFonts w:hint="cs"/>
          <w:rtl/>
        </w:rPr>
        <w:t>و</w:t>
      </w:r>
      <w:r>
        <w:rPr>
          <w:rFonts w:hint="cs"/>
          <w:rtl/>
        </w:rPr>
        <w:t xml:space="preserve">فيما تلاحظ اللجنة التدابير الأخيرة التي اعتُمدت في هذا الصدد، </w:t>
      </w:r>
      <w:r w:rsidR="001E4575">
        <w:rPr>
          <w:rFonts w:hint="cs"/>
          <w:rtl/>
        </w:rPr>
        <w:t>فإنها تشعر ب</w:t>
      </w:r>
      <w:r>
        <w:rPr>
          <w:rFonts w:hint="cs"/>
          <w:rtl/>
        </w:rPr>
        <w:t xml:space="preserve">القلق إزاء الادعاءات باستمرار الفساد داخل نظام القضاء بوجه عام وآثاره السلبية على التمتع الكامل بالحقوق التي يكفلها العهد. وفضلاً عن ذلك، </w:t>
      </w:r>
      <w:r w:rsidR="001E4575">
        <w:rPr>
          <w:rFonts w:hint="cs"/>
          <w:rtl/>
        </w:rPr>
        <w:t>فإنها تشعر</w:t>
      </w:r>
      <w:r>
        <w:rPr>
          <w:rFonts w:hint="cs"/>
          <w:rtl/>
        </w:rPr>
        <w:t xml:space="preserve"> </w:t>
      </w:r>
      <w:r w:rsidR="001E4575">
        <w:rPr>
          <w:rFonts w:hint="cs"/>
          <w:rtl/>
        </w:rPr>
        <w:t>ب</w:t>
      </w:r>
      <w:r>
        <w:rPr>
          <w:rFonts w:hint="cs"/>
          <w:rtl/>
        </w:rPr>
        <w:t>القلق إزاء عدم التوصل إلى نتائج مقنعة في إطار مكافحة الفساد على المستويات الرفيعة وما يترتب عليه من عدم ثقة الجمهور في إقامة العدل (المادة 14).</w:t>
      </w:r>
    </w:p>
    <w:p w:rsidR="007C39B1" w:rsidRDefault="007C39B1" w:rsidP="001E4575">
      <w:pPr>
        <w:pStyle w:val="SingleTxtGA"/>
        <w:rPr>
          <w:rFonts w:hint="cs"/>
          <w:b/>
          <w:bCs/>
          <w:rtl/>
        </w:rPr>
      </w:pPr>
      <w:r>
        <w:rPr>
          <w:rFonts w:hint="cs"/>
          <w:b/>
          <w:bCs/>
          <w:rtl/>
        </w:rPr>
        <w:tab/>
        <w:t xml:space="preserve">ينبغي للدولة الطرف أن تعزز جهودها الرامية إلى مكافحة الفساد في جميع </w:t>
      </w:r>
      <w:r w:rsidR="001E4575">
        <w:rPr>
          <w:rFonts w:hint="cs"/>
          <w:b/>
          <w:bCs/>
          <w:rtl/>
        </w:rPr>
        <w:t>مجالات</w:t>
      </w:r>
      <w:r>
        <w:rPr>
          <w:rFonts w:hint="cs"/>
          <w:b/>
          <w:bCs/>
          <w:rtl/>
        </w:rPr>
        <w:t xml:space="preserve"> المجتمع وأن تكفل التحقيق الفوري والشامل في جميع حالات الاشتباه في الفساد وأن تنفذ بصفة خاصة</w:t>
      </w:r>
      <w:r>
        <w:rPr>
          <w:rFonts w:hint="eastAsia"/>
          <w:b/>
          <w:bCs/>
          <w:rtl/>
        </w:rPr>
        <w:t xml:space="preserve"> </w:t>
      </w:r>
      <w:proofErr w:type="spellStart"/>
      <w:r w:rsidR="001E4575">
        <w:rPr>
          <w:rFonts w:hint="cs"/>
          <w:b/>
          <w:bCs/>
          <w:rtl/>
        </w:rPr>
        <w:t>ا</w:t>
      </w:r>
      <w:r>
        <w:rPr>
          <w:rFonts w:hint="cs"/>
          <w:b/>
          <w:bCs/>
          <w:rtl/>
        </w:rPr>
        <w:t>ستراتيجيتها</w:t>
      </w:r>
      <w:proofErr w:type="spellEnd"/>
      <w:r>
        <w:rPr>
          <w:rFonts w:hint="eastAsia"/>
          <w:b/>
          <w:bCs/>
          <w:rtl/>
        </w:rPr>
        <w:t xml:space="preserve"> </w:t>
      </w:r>
      <w:r w:rsidR="001E4575">
        <w:rPr>
          <w:rFonts w:hint="cs"/>
          <w:b/>
          <w:bCs/>
          <w:rtl/>
        </w:rPr>
        <w:t>المتكاملة</w:t>
      </w:r>
      <w:r>
        <w:rPr>
          <w:rFonts w:hint="eastAsia"/>
          <w:b/>
          <w:bCs/>
          <w:rtl/>
        </w:rPr>
        <w:t xml:space="preserve"> لمكافحة الجريمة والفساد </w:t>
      </w:r>
      <w:r>
        <w:rPr>
          <w:rFonts w:hint="cs"/>
          <w:b/>
          <w:bCs/>
          <w:rtl/>
        </w:rPr>
        <w:t>تنفيذاً كاملاً</w:t>
      </w:r>
      <w:r w:rsidR="00045D2C">
        <w:rPr>
          <w:rFonts w:hint="cs"/>
          <w:b/>
          <w:bCs/>
          <w:rtl/>
        </w:rPr>
        <w:t xml:space="preserve"> </w:t>
      </w:r>
      <w:r>
        <w:rPr>
          <w:rFonts w:hint="eastAsia"/>
          <w:b/>
          <w:bCs/>
          <w:rtl/>
        </w:rPr>
        <w:t>(انظر الفقرة 3(و)</w:t>
      </w:r>
      <w:r>
        <w:rPr>
          <w:rFonts w:hint="cs"/>
          <w:b/>
          <w:bCs/>
          <w:rtl/>
        </w:rPr>
        <w:t xml:space="preserve"> أعلاه</w:t>
      </w:r>
      <w:r>
        <w:rPr>
          <w:rFonts w:hint="eastAsia"/>
          <w:b/>
          <w:bCs/>
          <w:rtl/>
        </w:rPr>
        <w:t>)</w:t>
      </w:r>
      <w:r>
        <w:rPr>
          <w:rFonts w:hint="cs"/>
          <w:b/>
          <w:bCs/>
          <w:rtl/>
        </w:rPr>
        <w:t>.</w:t>
      </w:r>
    </w:p>
    <w:p w:rsidR="007C39B1" w:rsidRDefault="007C39B1" w:rsidP="009E4595">
      <w:pPr>
        <w:pStyle w:val="SingleTxtGA"/>
        <w:rPr>
          <w:rFonts w:hint="cs"/>
          <w:rtl/>
        </w:rPr>
      </w:pPr>
      <w:r>
        <w:rPr>
          <w:rFonts w:hint="cs"/>
          <w:rtl/>
        </w:rPr>
        <w:t>21-</w:t>
      </w:r>
      <w:r>
        <w:rPr>
          <w:rFonts w:hint="cs"/>
          <w:rtl/>
        </w:rPr>
        <w:tab/>
        <w:t xml:space="preserve">ويساور اللجنة القلق </w:t>
      </w:r>
      <w:r w:rsidR="00933F58">
        <w:rPr>
          <w:rFonts w:hint="cs"/>
          <w:rtl/>
        </w:rPr>
        <w:t>لعدم احترام</w:t>
      </w:r>
      <w:r>
        <w:rPr>
          <w:rFonts w:hint="cs"/>
          <w:rtl/>
        </w:rPr>
        <w:t xml:space="preserve"> الهيئات الأخرى غير هيئة القضاء </w:t>
      </w:r>
      <w:r w:rsidR="00933F58">
        <w:rPr>
          <w:rFonts w:hint="cs"/>
          <w:rtl/>
        </w:rPr>
        <w:t>احتراماً كاملاً</w:t>
      </w:r>
      <w:r>
        <w:rPr>
          <w:rFonts w:hint="cs"/>
          <w:rtl/>
        </w:rPr>
        <w:t xml:space="preserve"> </w:t>
      </w:r>
      <w:r w:rsidR="00933F58">
        <w:rPr>
          <w:rFonts w:hint="cs"/>
          <w:rtl/>
        </w:rPr>
        <w:t>ل</w:t>
      </w:r>
      <w:r>
        <w:rPr>
          <w:rFonts w:hint="cs"/>
          <w:rtl/>
        </w:rPr>
        <w:t xml:space="preserve">مبدأ استقلالية القضاء، كما أن هذا المبدأ غير مطبق بالكامل من جانب هيئة القضاء. </w:t>
      </w:r>
      <w:r w:rsidR="00933F58">
        <w:rPr>
          <w:rFonts w:hint="cs"/>
          <w:rtl/>
        </w:rPr>
        <w:t>كما</w:t>
      </w:r>
      <w:r w:rsidR="009E4595">
        <w:rPr>
          <w:rFonts w:hint="eastAsia"/>
          <w:rtl/>
        </w:rPr>
        <w:t> </w:t>
      </w:r>
      <w:r w:rsidR="00933F58">
        <w:rPr>
          <w:rFonts w:hint="cs"/>
          <w:rtl/>
        </w:rPr>
        <w:t>تشعر</w:t>
      </w:r>
      <w:r>
        <w:rPr>
          <w:rFonts w:hint="cs"/>
          <w:rtl/>
        </w:rPr>
        <w:t xml:space="preserve"> </w:t>
      </w:r>
      <w:r w:rsidR="00933F58">
        <w:rPr>
          <w:rFonts w:hint="cs"/>
          <w:rtl/>
        </w:rPr>
        <w:t>ب</w:t>
      </w:r>
      <w:r>
        <w:rPr>
          <w:rFonts w:hint="cs"/>
          <w:rtl/>
        </w:rPr>
        <w:t>القلق أيضاً لأن هذا الوضع يؤدي إلى انعدام ثقة الجمهور العام في القضاء (المادة</w:t>
      </w:r>
      <w:r w:rsidR="009E4595">
        <w:rPr>
          <w:rFonts w:hint="eastAsia"/>
          <w:rtl/>
        </w:rPr>
        <w:t> </w:t>
      </w:r>
      <w:r>
        <w:rPr>
          <w:rFonts w:hint="cs"/>
          <w:rtl/>
        </w:rPr>
        <w:t>14 و17).</w:t>
      </w:r>
    </w:p>
    <w:p w:rsidR="007C39B1" w:rsidRDefault="007C39B1" w:rsidP="007C39B1">
      <w:pPr>
        <w:pStyle w:val="SingleTxtGA"/>
        <w:rPr>
          <w:rFonts w:hint="cs"/>
          <w:b/>
          <w:bCs/>
          <w:rtl/>
        </w:rPr>
      </w:pPr>
      <w:r>
        <w:rPr>
          <w:rFonts w:hint="cs"/>
          <w:b/>
          <w:bCs/>
          <w:rtl/>
        </w:rPr>
        <w:tab/>
        <w:t>ينبغي للدولة الطرف أن تتأكد من أن مبدأ استقلالية القضاء هو مبدأ يُحترم ويُفهم بالكامل، وينبغي وضع أنشطة لبث وعي سلطات القضاء والموظفين المكلفين بإنفاذ القوانين والسكان بشكل عام</w:t>
      </w:r>
      <w:r w:rsidRPr="0091526B">
        <w:rPr>
          <w:rFonts w:hint="cs"/>
          <w:b/>
          <w:bCs/>
          <w:rtl/>
        </w:rPr>
        <w:t xml:space="preserve"> </w:t>
      </w:r>
      <w:r>
        <w:rPr>
          <w:rFonts w:hint="cs"/>
          <w:b/>
          <w:bCs/>
          <w:rtl/>
        </w:rPr>
        <w:t>بشأن القيم الأساسية لاستقلالية القضاء.</w:t>
      </w:r>
    </w:p>
    <w:p w:rsidR="007C39B1" w:rsidRDefault="007C39B1" w:rsidP="00933F58">
      <w:pPr>
        <w:pStyle w:val="SingleTxtGA"/>
        <w:rPr>
          <w:rFonts w:hint="cs"/>
          <w:rtl/>
        </w:rPr>
      </w:pPr>
      <w:r>
        <w:rPr>
          <w:rFonts w:hint="cs"/>
          <w:rtl/>
        </w:rPr>
        <w:t>22-</w:t>
      </w:r>
      <w:r>
        <w:rPr>
          <w:rFonts w:hint="cs"/>
          <w:rtl/>
        </w:rPr>
        <w:tab/>
        <w:t>ولا تزال اللجنة تشعر بالقلق إزاء انتشار ممارسة</w:t>
      </w:r>
      <w:r w:rsidRPr="0091526B">
        <w:rPr>
          <w:rFonts w:hint="cs"/>
          <w:rtl/>
          <w:lang/>
        </w:rPr>
        <w:t xml:space="preserve"> </w:t>
      </w:r>
      <w:proofErr w:type="spellStart"/>
      <w:r>
        <w:rPr>
          <w:rFonts w:hint="cs"/>
          <w:rtl/>
          <w:lang/>
        </w:rPr>
        <w:t>التنصت</w:t>
      </w:r>
      <w:proofErr w:type="spellEnd"/>
      <w:r>
        <w:rPr>
          <w:rFonts w:hint="cs"/>
          <w:rtl/>
          <w:lang/>
        </w:rPr>
        <w:t xml:space="preserve"> على المكالمات الهاتفية</w:t>
      </w:r>
      <w:r>
        <w:rPr>
          <w:rFonts w:hint="cs"/>
          <w:rtl/>
        </w:rPr>
        <w:t xml:space="preserve"> التي يجيزها قانون </w:t>
      </w:r>
      <w:r w:rsidR="00933F58">
        <w:rPr>
          <w:rFonts w:hint="cs"/>
          <w:rtl/>
        </w:rPr>
        <w:t>وسائل المراقبة الخاصة</w:t>
      </w:r>
      <w:r>
        <w:rPr>
          <w:rFonts w:hint="cs"/>
          <w:rtl/>
        </w:rPr>
        <w:t xml:space="preserve">، وهي ممارسة تصل إلى تدخل السلطات العامة في الحق في احترام المراسلات وخصوصية الفرد. </w:t>
      </w:r>
      <w:r w:rsidR="00933F58">
        <w:rPr>
          <w:rFonts w:hint="cs"/>
          <w:rtl/>
        </w:rPr>
        <w:t>وتشعر</w:t>
      </w:r>
      <w:r>
        <w:rPr>
          <w:rFonts w:hint="cs"/>
          <w:rtl/>
        </w:rPr>
        <w:t xml:space="preserve"> </w:t>
      </w:r>
      <w:r w:rsidR="00933F58">
        <w:rPr>
          <w:rFonts w:hint="cs"/>
          <w:rtl/>
        </w:rPr>
        <w:t>ب</w:t>
      </w:r>
      <w:r>
        <w:rPr>
          <w:rFonts w:hint="cs"/>
          <w:rtl/>
        </w:rPr>
        <w:t xml:space="preserve">القلق أيضاً </w:t>
      </w:r>
      <w:r w:rsidR="00933F58">
        <w:rPr>
          <w:rFonts w:hint="cs"/>
          <w:rtl/>
        </w:rPr>
        <w:t xml:space="preserve">لعدم </w:t>
      </w:r>
      <w:proofErr w:type="spellStart"/>
      <w:r w:rsidR="00933F58">
        <w:rPr>
          <w:rFonts w:hint="cs"/>
          <w:rtl/>
        </w:rPr>
        <w:t>اتباع</w:t>
      </w:r>
      <w:proofErr w:type="spellEnd"/>
      <w:r w:rsidR="00933F58">
        <w:rPr>
          <w:rFonts w:hint="cs"/>
          <w:rtl/>
        </w:rPr>
        <w:t xml:space="preserve"> منهج يقضي بإعلام</w:t>
      </w:r>
      <w:r>
        <w:rPr>
          <w:rFonts w:hint="cs"/>
          <w:rtl/>
        </w:rPr>
        <w:t xml:space="preserve"> الأفراد الذين </w:t>
      </w:r>
      <w:r w:rsidR="00933F58">
        <w:rPr>
          <w:rFonts w:hint="cs"/>
          <w:rtl/>
        </w:rPr>
        <w:t xml:space="preserve">تم </w:t>
      </w:r>
      <w:proofErr w:type="spellStart"/>
      <w:r w:rsidR="00933F58">
        <w:rPr>
          <w:rFonts w:hint="cs"/>
          <w:rtl/>
        </w:rPr>
        <w:t>التنصت</w:t>
      </w:r>
      <w:proofErr w:type="spellEnd"/>
      <w:r w:rsidR="00933F58">
        <w:rPr>
          <w:rFonts w:hint="cs"/>
          <w:rtl/>
        </w:rPr>
        <w:t xml:space="preserve"> </w:t>
      </w:r>
      <w:r>
        <w:rPr>
          <w:rFonts w:hint="cs"/>
          <w:rtl/>
        </w:rPr>
        <w:t>على مكالماتهم الهاتفية بصورة غير قانونية، بذلك، مما حال دون لجو</w:t>
      </w:r>
      <w:r w:rsidR="00933F58">
        <w:rPr>
          <w:rFonts w:hint="cs"/>
          <w:rtl/>
        </w:rPr>
        <w:t>ئ</w:t>
      </w:r>
      <w:r>
        <w:rPr>
          <w:rFonts w:hint="cs"/>
          <w:rtl/>
        </w:rPr>
        <w:t xml:space="preserve">هم إلى وسائل </w:t>
      </w:r>
      <w:r w:rsidR="00933F58">
        <w:rPr>
          <w:rFonts w:hint="cs"/>
          <w:rtl/>
        </w:rPr>
        <w:t>الانتصاف</w:t>
      </w:r>
      <w:r>
        <w:rPr>
          <w:rFonts w:hint="cs"/>
          <w:rtl/>
        </w:rPr>
        <w:t xml:space="preserve"> القانونية (المادتان 14 و17).</w:t>
      </w:r>
    </w:p>
    <w:p w:rsidR="007C39B1" w:rsidRDefault="007C39B1" w:rsidP="00933F58">
      <w:pPr>
        <w:pStyle w:val="SingleTxtGA"/>
        <w:rPr>
          <w:rFonts w:hint="cs"/>
          <w:b/>
          <w:bCs/>
          <w:rtl/>
        </w:rPr>
      </w:pPr>
      <w:r>
        <w:rPr>
          <w:rFonts w:hint="cs"/>
          <w:b/>
          <w:bCs/>
          <w:rtl/>
        </w:rPr>
        <w:tab/>
        <w:t xml:space="preserve">ينبغي للدولة الطرف أن تتخذ جميع التدابير اللازمة لضمان عدم استخدام المكالمات الهاتفية التي يتم </w:t>
      </w:r>
      <w:proofErr w:type="spellStart"/>
      <w:r>
        <w:rPr>
          <w:rFonts w:hint="cs"/>
          <w:b/>
          <w:bCs/>
          <w:rtl/>
        </w:rPr>
        <w:t>التنصت</w:t>
      </w:r>
      <w:proofErr w:type="spellEnd"/>
      <w:r>
        <w:rPr>
          <w:rFonts w:hint="cs"/>
          <w:b/>
          <w:bCs/>
          <w:rtl/>
        </w:rPr>
        <w:t xml:space="preserve"> عليها إلا كدليل مكمل في القضايا الجنائية وضمان اللجوء إليها </w:t>
      </w:r>
      <w:r w:rsidR="00045D2C">
        <w:rPr>
          <w:rFonts w:hint="cs"/>
          <w:b/>
          <w:bCs/>
          <w:rtl/>
        </w:rPr>
        <w:t>ف</w:t>
      </w:r>
      <w:r w:rsidR="00933F58">
        <w:rPr>
          <w:rFonts w:hint="cs"/>
          <w:b/>
          <w:bCs/>
          <w:rtl/>
        </w:rPr>
        <w:t>قط</w:t>
      </w:r>
      <w:r>
        <w:rPr>
          <w:rFonts w:hint="cs"/>
          <w:b/>
          <w:bCs/>
          <w:rtl/>
        </w:rPr>
        <w:t xml:space="preserve"> فيما يتعلق بمرافعات المحكمة. وينبغي للدولة الطرف أن تكفل إعلام الأشخاص الذين تم </w:t>
      </w:r>
      <w:proofErr w:type="spellStart"/>
      <w:r>
        <w:rPr>
          <w:rFonts w:hint="cs"/>
          <w:b/>
          <w:bCs/>
          <w:rtl/>
        </w:rPr>
        <w:t>التنصت</w:t>
      </w:r>
      <w:proofErr w:type="spellEnd"/>
      <w:r>
        <w:rPr>
          <w:rFonts w:hint="cs"/>
          <w:b/>
          <w:bCs/>
          <w:rtl/>
        </w:rPr>
        <w:t xml:space="preserve"> عليهم بصورة خاطئة، بانتظام، بذلك، وأن </w:t>
      </w:r>
      <w:r w:rsidR="00933F58">
        <w:rPr>
          <w:rFonts w:hint="cs"/>
          <w:b/>
          <w:bCs/>
          <w:rtl/>
        </w:rPr>
        <w:t>تتاح لهم فرصة</w:t>
      </w:r>
      <w:r>
        <w:rPr>
          <w:rFonts w:hint="cs"/>
          <w:b/>
          <w:bCs/>
          <w:rtl/>
        </w:rPr>
        <w:t xml:space="preserve"> الوصول إلى سبل انتصاف مناسبة.</w:t>
      </w:r>
    </w:p>
    <w:p w:rsidR="007C39B1" w:rsidRDefault="007C39B1" w:rsidP="00644729">
      <w:pPr>
        <w:pStyle w:val="SingleTxtGA"/>
        <w:rPr>
          <w:rFonts w:hint="cs"/>
          <w:rtl/>
        </w:rPr>
      </w:pPr>
      <w:r>
        <w:rPr>
          <w:rFonts w:hint="cs"/>
          <w:rtl/>
        </w:rPr>
        <w:t>23-</w:t>
      </w:r>
      <w:r>
        <w:rPr>
          <w:rFonts w:hint="cs"/>
          <w:rtl/>
        </w:rPr>
        <w:tab/>
        <w:t xml:space="preserve">وتأسف اللجنة </w:t>
      </w:r>
      <w:r w:rsidR="00644729">
        <w:rPr>
          <w:rFonts w:hint="cs"/>
          <w:rtl/>
        </w:rPr>
        <w:t>لتأخُّر</w:t>
      </w:r>
      <w:r>
        <w:rPr>
          <w:rFonts w:hint="cs"/>
          <w:rtl/>
        </w:rPr>
        <w:t xml:space="preserve"> الدولة الطرف في </w:t>
      </w:r>
      <w:r w:rsidR="00644729">
        <w:rPr>
          <w:rFonts w:hint="cs"/>
          <w:rtl/>
        </w:rPr>
        <w:t>إصلاح</w:t>
      </w:r>
      <w:r>
        <w:rPr>
          <w:rFonts w:hint="cs"/>
          <w:rtl/>
        </w:rPr>
        <w:t xml:space="preserve"> نظام قضاء الأحداث (انظر </w:t>
      </w:r>
      <w:r w:rsidRPr="009F5724">
        <w:t>CRC/C/BGR/CO/2</w:t>
      </w:r>
      <w:r>
        <w:rPr>
          <w:rFonts w:hint="cs"/>
          <w:rtl/>
        </w:rPr>
        <w:t>، الفقرتان 6 و7) (المادتان 14 و24).</w:t>
      </w:r>
    </w:p>
    <w:p w:rsidR="007C39B1" w:rsidRDefault="007C39B1" w:rsidP="00644729">
      <w:pPr>
        <w:pStyle w:val="SingleTxtGA"/>
        <w:rPr>
          <w:rFonts w:hint="cs"/>
          <w:b/>
          <w:bCs/>
          <w:rtl/>
        </w:rPr>
      </w:pPr>
      <w:r>
        <w:rPr>
          <w:rFonts w:hint="cs"/>
          <w:b/>
          <w:bCs/>
          <w:rtl/>
        </w:rPr>
        <w:tab/>
        <w:t>ينبغي للدولة الطرف أن تنظر</w:t>
      </w:r>
      <w:r w:rsidR="00644729">
        <w:rPr>
          <w:rFonts w:hint="cs"/>
          <w:b/>
          <w:bCs/>
          <w:rtl/>
        </w:rPr>
        <w:t>، على سبيل</w:t>
      </w:r>
      <w:r>
        <w:rPr>
          <w:rFonts w:hint="cs"/>
          <w:b/>
          <w:bCs/>
          <w:rtl/>
        </w:rPr>
        <w:t xml:space="preserve"> الأولوية</w:t>
      </w:r>
      <w:r w:rsidR="00644729">
        <w:rPr>
          <w:rFonts w:hint="cs"/>
          <w:b/>
          <w:bCs/>
          <w:rtl/>
        </w:rPr>
        <w:t>،</w:t>
      </w:r>
      <w:r>
        <w:rPr>
          <w:rFonts w:hint="cs"/>
          <w:b/>
          <w:bCs/>
          <w:rtl/>
        </w:rPr>
        <w:t xml:space="preserve"> في </w:t>
      </w:r>
      <w:r w:rsidR="00644729">
        <w:rPr>
          <w:rFonts w:hint="cs"/>
          <w:b/>
          <w:bCs/>
          <w:rtl/>
        </w:rPr>
        <w:t xml:space="preserve">اعتماد </w:t>
      </w:r>
      <w:r>
        <w:rPr>
          <w:rFonts w:hint="cs"/>
          <w:b/>
          <w:bCs/>
          <w:rtl/>
        </w:rPr>
        <w:t xml:space="preserve">نظام قضاء الأحداث </w:t>
      </w:r>
      <w:r w:rsidR="00644729">
        <w:rPr>
          <w:rFonts w:hint="cs"/>
          <w:b/>
          <w:bCs/>
          <w:rtl/>
        </w:rPr>
        <w:t xml:space="preserve">وتنفيذه </w:t>
      </w:r>
      <w:r>
        <w:rPr>
          <w:rFonts w:hint="cs"/>
          <w:b/>
          <w:bCs/>
          <w:rtl/>
        </w:rPr>
        <w:t>بشكل يتطابق مع الحقوق التي يحميها العهد.</w:t>
      </w:r>
    </w:p>
    <w:p w:rsidR="007C39B1" w:rsidRDefault="007C39B1" w:rsidP="00644729">
      <w:pPr>
        <w:pStyle w:val="SingleTxtGA"/>
        <w:rPr>
          <w:rFonts w:hint="cs"/>
          <w:rtl/>
        </w:rPr>
      </w:pPr>
      <w:r>
        <w:rPr>
          <w:rFonts w:hint="cs"/>
          <w:rtl/>
        </w:rPr>
        <w:t>24-</w:t>
      </w:r>
      <w:r>
        <w:rPr>
          <w:rFonts w:hint="cs"/>
          <w:rtl/>
        </w:rPr>
        <w:tab/>
        <w:t xml:space="preserve">ويساور اللجنة القلق إزاء ازدياد عدد حالات إخلاء </w:t>
      </w:r>
      <w:r w:rsidR="00644729">
        <w:rPr>
          <w:rFonts w:hint="cs"/>
          <w:rtl/>
        </w:rPr>
        <w:t xml:space="preserve">أفراد طائفة </w:t>
      </w:r>
      <w:proofErr w:type="spellStart"/>
      <w:r>
        <w:rPr>
          <w:rFonts w:hint="cs"/>
          <w:rtl/>
        </w:rPr>
        <w:t>الروما</w:t>
      </w:r>
      <w:proofErr w:type="spellEnd"/>
      <w:r>
        <w:rPr>
          <w:rFonts w:hint="cs"/>
          <w:rtl/>
        </w:rPr>
        <w:t xml:space="preserve"> من بيوتهم، بما في ذلك </w:t>
      </w:r>
      <w:r w:rsidR="00644729">
        <w:rPr>
          <w:rFonts w:hint="cs"/>
          <w:rtl/>
        </w:rPr>
        <w:t xml:space="preserve">عن طريق </w:t>
      </w:r>
      <w:r>
        <w:rPr>
          <w:rFonts w:hint="cs"/>
          <w:rtl/>
        </w:rPr>
        <w:t xml:space="preserve">عمليات واسعة النطاق للإخلاء كالأمر بالإخلاء الصادر في 23 تموز/يوليه 2011 بحق جماعة </w:t>
      </w:r>
      <w:proofErr w:type="spellStart"/>
      <w:r>
        <w:rPr>
          <w:rFonts w:hint="cs"/>
          <w:rtl/>
        </w:rPr>
        <w:t>الروما</w:t>
      </w:r>
      <w:proofErr w:type="spellEnd"/>
      <w:r>
        <w:rPr>
          <w:rFonts w:hint="cs"/>
          <w:rtl/>
        </w:rPr>
        <w:t xml:space="preserve"> </w:t>
      </w:r>
      <w:proofErr w:type="spellStart"/>
      <w:r w:rsidR="00644729">
        <w:rPr>
          <w:rFonts w:hint="cs"/>
          <w:rtl/>
        </w:rPr>
        <w:t>دوبري</w:t>
      </w:r>
      <w:proofErr w:type="spellEnd"/>
      <w:r w:rsidR="00644729">
        <w:rPr>
          <w:rFonts w:hint="cs"/>
          <w:rtl/>
        </w:rPr>
        <w:t xml:space="preserve"> </w:t>
      </w:r>
      <w:proofErr w:type="spellStart"/>
      <w:r>
        <w:rPr>
          <w:rFonts w:hint="cs"/>
          <w:rtl/>
        </w:rPr>
        <w:t>جيليزكوف</w:t>
      </w:r>
      <w:proofErr w:type="spellEnd"/>
      <w:r>
        <w:rPr>
          <w:rFonts w:hint="cs"/>
          <w:rtl/>
        </w:rPr>
        <w:t xml:space="preserve"> في منطقة صوفيا. وتشكل هذه الممارسات انتهاكات صارخة محتملة لطائفة واسعة من حقوق الإنسان معترف </w:t>
      </w:r>
      <w:proofErr w:type="spellStart"/>
      <w:r>
        <w:rPr>
          <w:rFonts w:hint="cs"/>
          <w:rtl/>
        </w:rPr>
        <w:t>بها</w:t>
      </w:r>
      <w:proofErr w:type="spellEnd"/>
      <w:r>
        <w:rPr>
          <w:rFonts w:hint="cs"/>
          <w:rtl/>
        </w:rPr>
        <w:t xml:space="preserve"> دولياً ولا يجوز القيام </w:t>
      </w:r>
      <w:proofErr w:type="spellStart"/>
      <w:r>
        <w:rPr>
          <w:rFonts w:hint="cs"/>
          <w:rtl/>
        </w:rPr>
        <w:t>بها</w:t>
      </w:r>
      <w:proofErr w:type="spellEnd"/>
      <w:r>
        <w:rPr>
          <w:rFonts w:hint="cs"/>
          <w:rtl/>
        </w:rPr>
        <w:t xml:space="preserve"> إ</w:t>
      </w:r>
      <w:r w:rsidR="00644729">
        <w:rPr>
          <w:rFonts w:hint="cs"/>
          <w:rtl/>
        </w:rPr>
        <w:t>لا</w:t>
      </w:r>
      <w:r>
        <w:rPr>
          <w:rFonts w:hint="cs"/>
          <w:rtl/>
        </w:rPr>
        <w:t xml:space="preserve"> في ظروف استثنائية وبشكل </w:t>
      </w:r>
      <w:r w:rsidR="00644729">
        <w:rPr>
          <w:rFonts w:hint="cs"/>
          <w:rtl/>
        </w:rPr>
        <w:t>يتطابق</w:t>
      </w:r>
      <w:r>
        <w:rPr>
          <w:rFonts w:hint="cs"/>
          <w:rtl/>
        </w:rPr>
        <w:t xml:space="preserve"> بالكامل مع قانون حقوق الإنسان الدولي (المادتان 17 و26).</w:t>
      </w:r>
    </w:p>
    <w:p w:rsidR="007C39B1" w:rsidRDefault="007C39B1" w:rsidP="00644729">
      <w:pPr>
        <w:pStyle w:val="SingleTxtGA"/>
        <w:rPr>
          <w:rFonts w:hint="cs"/>
          <w:b/>
          <w:bCs/>
          <w:rtl/>
        </w:rPr>
      </w:pPr>
      <w:r>
        <w:rPr>
          <w:rFonts w:hint="cs"/>
          <w:b/>
          <w:bCs/>
          <w:rtl/>
        </w:rPr>
        <w:tab/>
        <w:t>ينبغي للدولة الطرف أن تحد بشكل صار</w:t>
      </w:r>
      <w:r w:rsidR="00644729">
        <w:rPr>
          <w:rFonts w:hint="cs"/>
          <w:b/>
          <w:bCs/>
          <w:rtl/>
        </w:rPr>
        <w:t xml:space="preserve">م من اللجوء إلى الإخلاء </w:t>
      </w:r>
      <w:proofErr w:type="spellStart"/>
      <w:r w:rsidR="00644729">
        <w:rPr>
          <w:rFonts w:hint="cs"/>
          <w:b/>
          <w:bCs/>
          <w:rtl/>
        </w:rPr>
        <w:t>القسري</w:t>
      </w:r>
      <w:proofErr w:type="spellEnd"/>
      <w:r w:rsidR="00644729">
        <w:rPr>
          <w:rFonts w:hint="cs"/>
          <w:b/>
          <w:bCs/>
          <w:rtl/>
        </w:rPr>
        <w:t xml:space="preserve"> ع</w:t>
      </w:r>
      <w:r>
        <w:rPr>
          <w:rFonts w:hint="cs"/>
          <w:b/>
          <w:bCs/>
          <w:rtl/>
        </w:rPr>
        <w:t xml:space="preserve">ن </w:t>
      </w:r>
      <w:r w:rsidR="00644729">
        <w:rPr>
          <w:rFonts w:hint="cs"/>
          <w:b/>
          <w:bCs/>
          <w:rtl/>
        </w:rPr>
        <w:t>طريق</w:t>
      </w:r>
      <w:r>
        <w:rPr>
          <w:rFonts w:hint="cs"/>
          <w:b/>
          <w:bCs/>
          <w:rtl/>
        </w:rPr>
        <w:t xml:space="preserve"> اعتماد جميع بدائل الإخلاء الممكنة وضمان توفير مساكن بديلة للأسر المتأثرة.</w:t>
      </w:r>
    </w:p>
    <w:p w:rsidR="007C39B1" w:rsidRDefault="007C39B1" w:rsidP="00644729">
      <w:pPr>
        <w:pStyle w:val="SingleTxtGA"/>
        <w:rPr>
          <w:rFonts w:hint="cs"/>
          <w:rtl/>
        </w:rPr>
      </w:pPr>
      <w:r>
        <w:rPr>
          <w:rFonts w:hint="cs"/>
          <w:rtl/>
        </w:rPr>
        <w:t>25-</w:t>
      </w:r>
      <w:r>
        <w:rPr>
          <w:rFonts w:hint="cs"/>
          <w:rtl/>
        </w:rPr>
        <w:tab/>
        <w:t xml:space="preserve">وفيما تأخذ اللجنة علماً بأن حرية الدين معترف </w:t>
      </w:r>
      <w:proofErr w:type="spellStart"/>
      <w:r>
        <w:rPr>
          <w:rFonts w:hint="cs"/>
          <w:rtl/>
        </w:rPr>
        <w:t>بها</w:t>
      </w:r>
      <w:proofErr w:type="spellEnd"/>
      <w:r>
        <w:rPr>
          <w:rFonts w:hint="cs"/>
          <w:rtl/>
        </w:rPr>
        <w:t xml:space="preserve"> كحق أساسي بموجب القانون المحلي، </w:t>
      </w:r>
      <w:r w:rsidR="00644729">
        <w:rPr>
          <w:rFonts w:hint="cs"/>
          <w:rtl/>
        </w:rPr>
        <w:t>فإنها تشعر</w:t>
      </w:r>
      <w:r>
        <w:rPr>
          <w:rFonts w:hint="cs"/>
          <w:rtl/>
        </w:rPr>
        <w:t xml:space="preserve"> </w:t>
      </w:r>
      <w:r w:rsidR="00644729">
        <w:rPr>
          <w:rFonts w:hint="cs"/>
          <w:rtl/>
        </w:rPr>
        <w:t>ب</w:t>
      </w:r>
      <w:r>
        <w:rPr>
          <w:rFonts w:hint="cs"/>
          <w:rtl/>
        </w:rPr>
        <w:t xml:space="preserve">القلق إزاء الغموض </w:t>
      </w:r>
      <w:r w:rsidR="00644729">
        <w:rPr>
          <w:rFonts w:hint="cs"/>
          <w:rtl/>
        </w:rPr>
        <w:t>الذي يكتنف</w:t>
      </w:r>
      <w:r>
        <w:rPr>
          <w:rFonts w:hint="cs"/>
          <w:rtl/>
        </w:rPr>
        <w:t xml:space="preserve"> قانون الطوائف الدينية لعام 2002 الذي </w:t>
      </w:r>
      <w:r w:rsidR="00644729">
        <w:rPr>
          <w:rFonts w:hint="cs"/>
          <w:rtl/>
        </w:rPr>
        <w:t xml:space="preserve">يحتوي على </w:t>
      </w:r>
      <w:r>
        <w:rPr>
          <w:rFonts w:hint="cs"/>
          <w:rtl/>
        </w:rPr>
        <w:t>إجراء محدد لتسجيل الكنيسة البلغارية الأرثو</w:t>
      </w:r>
      <w:r w:rsidR="00644729">
        <w:rPr>
          <w:rFonts w:hint="cs"/>
          <w:rtl/>
        </w:rPr>
        <w:t>ذ</w:t>
      </w:r>
      <w:r>
        <w:rPr>
          <w:rFonts w:hint="cs"/>
          <w:rtl/>
        </w:rPr>
        <w:t>كسية (المادتان 2 و18).</w:t>
      </w:r>
    </w:p>
    <w:p w:rsidR="007C39B1" w:rsidRPr="00D5262B" w:rsidRDefault="007C39B1" w:rsidP="00644729">
      <w:pPr>
        <w:pStyle w:val="SingleTxtGA"/>
        <w:rPr>
          <w:rFonts w:hint="cs"/>
          <w:b/>
          <w:bCs/>
          <w:rtl/>
        </w:rPr>
      </w:pPr>
      <w:r w:rsidRPr="00D5262B">
        <w:rPr>
          <w:rFonts w:hint="cs"/>
          <w:b/>
          <w:bCs/>
          <w:rtl/>
        </w:rPr>
        <w:tab/>
        <w:t>ينبغي للدولة الطرف</w:t>
      </w:r>
      <w:r w:rsidR="00045D2C">
        <w:rPr>
          <w:rFonts w:hint="cs"/>
          <w:b/>
          <w:bCs/>
          <w:rtl/>
        </w:rPr>
        <w:t xml:space="preserve"> أن</w:t>
      </w:r>
      <w:r w:rsidRPr="00D5262B">
        <w:rPr>
          <w:rFonts w:hint="cs"/>
          <w:b/>
          <w:bCs/>
          <w:rtl/>
        </w:rPr>
        <w:t xml:space="preserve"> </w:t>
      </w:r>
      <w:r w:rsidR="00644729">
        <w:rPr>
          <w:rFonts w:hint="cs"/>
          <w:b/>
          <w:bCs/>
          <w:rtl/>
        </w:rPr>
        <w:t>تراجع</w:t>
      </w:r>
      <w:r w:rsidRPr="00D5262B">
        <w:rPr>
          <w:rFonts w:hint="cs"/>
          <w:b/>
          <w:bCs/>
          <w:rtl/>
        </w:rPr>
        <w:t xml:space="preserve"> أحكام قانون الطوائف الدينية لعام 2002 بغية تنسيق إجراء التسجيل وطرائقه بالنسبة لجميع المنظمات الدينية. وينبغي </w:t>
      </w:r>
      <w:r w:rsidR="00644729">
        <w:rPr>
          <w:rFonts w:hint="cs"/>
          <w:b/>
          <w:bCs/>
          <w:rtl/>
        </w:rPr>
        <w:t>لها</w:t>
      </w:r>
      <w:r w:rsidRPr="00D5262B">
        <w:rPr>
          <w:rFonts w:hint="cs"/>
          <w:b/>
          <w:bCs/>
          <w:rtl/>
        </w:rPr>
        <w:t xml:space="preserve"> أن تكفل أيضاً تدريب السلطات المحلية والموظفين المكلفين </w:t>
      </w:r>
      <w:r>
        <w:rPr>
          <w:rFonts w:hint="cs"/>
          <w:b/>
          <w:bCs/>
          <w:rtl/>
        </w:rPr>
        <w:t>ب</w:t>
      </w:r>
      <w:r w:rsidRPr="00D5262B">
        <w:rPr>
          <w:rFonts w:hint="cs"/>
          <w:b/>
          <w:bCs/>
          <w:rtl/>
        </w:rPr>
        <w:t xml:space="preserve">إنفاذ القوانين لتجنب التدخل غير الضروري </w:t>
      </w:r>
      <w:r>
        <w:rPr>
          <w:rFonts w:hint="cs"/>
          <w:b/>
          <w:bCs/>
          <w:rtl/>
        </w:rPr>
        <w:t xml:space="preserve">في </w:t>
      </w:r>
      <w:r w:rsidR="00644729">
        <w:rPr>
          <w:rFonts w:hint="cs"/>
          <w:b/>
          <w:bCs/>
          <w:rtl/>
        </w:rPr>
        <w:t xml:space="preserve">ممارسة </w:t>
      </w:r>
      <w:r w:rsidRPr="00D5262B">
        <w:rPr>
          <w:rFonts w:hint="cs"/>
          <w:b/>
          <w:bCs/>
          <w:rtl/>
        </w:rPr>
        <w:t>الحق في حرية الدين.</w:t>
      </w:r>
    </w:p>
    <w:p w:rsidR="007C39B1" w:rsidRDefault="007C39B1" w:rsidP="00644729">
      <w:pPr>
        <w:pStyle w:val="SingleTxtGA"/>
        <w:rPr>
          <w:rFonts w:hint="cs"/>
          <w:rtl/>
        </w:rPr>
      </w:pPr>
      <w:r>
        <w:rPr>
          <w:rFonts w:hint="cs"/>
          <w:rtl/>
        </w:rPr>
        <w:t>26-</w:t>
      </w:r>
      <w:r>
        <w:rPr>
          <w:rFonts w:hint="cs"/>
          <w:rtl/>
        </w:rPr>
        <w:tab/>
        <w:t>ويساور اللجنة القلق إزاء خطاب الكراهية وعدم التسامح في الأماكن العامة</w:t>
      </w:r>
      <w:r w:rsidR="00644729">
        <w:rPr>
          <w:rFonts w:hint="cs"/>
          <w:rtl/>
        </w:rPr>
        <w:t>، الذي تتردّد أصداؤه في بعض وسائط الإعلام</w:t>
      </w:r>
      <w:r>
        <w:rPr>
          <w:rFonts w:hint="cs"/>
          <w:rtl/>
        </w:rPr>
        <w:t xml:space="preserve"> (المادة 19).</w:t>
      </w:r>
    </w:p>
    <w:p w:rsidR="007C39B1" w:rsidRDefault="007C39B1" w:rsidP="00644729">
      <w:pPr>
        <w:pStyle w:val="SingleTxtGA"/>
        <w:rPr>
          <w:rFonts w:hint="cs"/>
          <w:b/>
          <w:bCs/>
          <w:rtl/>
        </w:rPr>
      </w:pPr>
      <w:r>
        <w:rPr>
          <w:rFonts w:hint="cs"/>
          <w:b/>
          <w:bCs/>
          <w:rtl/>
        </w:rPr>
        <w:tab/>
        <w:t>ينبغي للدولة الطرف أن تعزز التدابير</w:t>
      </w:r>
      <w:r w:rsidR="00644729">
        <w:rPr>
          <w:rFonts w:hint="cs"/>
          <w:b/>
          <w:bCs/>
          <w:rtl/>
        </w:rPr>
        <w:t xml:space="preserve"> المتخذة</w:t>
      </w:r>
      <w:r>
        <w:rPr>
          <w:rFonts w:hint="cs"/>
          <w:b/>
          <w:bCs/>
          <w:rtl/>
        </w:rPr>
        <w:t xml:space="preserve"> لمنع وحظر الدعوة إلى خطاب الكراهية وعدم التسامح والتمييز، وذلك بشكل يتطابق بالكامل مع </w:t>
      </w:r>
      <w:r w:rsidR="00644729">
        <w:rPr>
          <w:rFonts w:hint="cs"/>
          <w:b/>
          <w:bCs/>
          <w:rtl/>
        </w:rPr>
        <w:t>أحكام</w:t>
      </w:r>
      <w:r>
        <w:rPr>
          <w:rFonts w:hint="cs"/>
          <w:b/>
          <w:bCs/>
          <w:rtl/>
        </w:rPr>
        <w:t xml:space="preserve"> المادة 19 من</w:t>
      </w:r>
      <w:r w:rsidR="00644729">
        <w:rPr>
          <w:rFonts w:hint="eastAsia"/>
          <w:b/>
          <w:bCs/>
          <w:rtl/>
        </w:rPr>
        <w:t> </w:t>
      </w:r>
      <w:r>
        <w:rPr>
          <w:rFonts w:hint="cs"/>
          <w:b/>
          <w:bCs/>
          <w:rtl/>
        </w:rPr>
        <w:t>العهد.</w:t>
      </w:r>
    </w:p>
    <w:p w:rsidR="007C39B1" w:rsidRDefault="007C39B1" w:rsidP="009E4595">
      <w:pPr>
        <w:pStyle w:val="SingleTxtGA"/>
        <w:rPr>
          <w:rFonts w:hint="cs"/>
          <w:rtl/>
        </w:rPr>
      </w:pPr>
      <w:r>
        <w:rPr>
          <w:rFonts w:hint="cs"/>
          <w:rtl/>
        </w:rPr>
        <w:t>27-</w:t>
      </w:r>
      <w:r>
        <w:rPr>
          <w:rFonts w:hint="cs"/>
          <w:rtl/>
        </w:rPr>
        <w:tab/>
      </w:r>
      <w:r w:rsidR="00644729">
        <w:rPr>
          <w:rFonts w:hint="cs"/>
          <w:rtl/>
        </w:rPr>
        <w:t>و</w:t>
      </w:r>
      <w:r>
        <w:rPr>
          <w:rFonts w:hint="cs"/>
          <w:rtl/>
        </w:rPr>
        <w:t>ينبغي للدولة الطرف أن تنشر</w:t>
      </w:r>
      <w:r w:rsidR="00644729">
        <w:rPr>
          <w:rFonts w:hint="cs"/>
          <w:rtl/>
        </w:rPr>
        <w:t>،</w:t>
      </w:r>
      <w:r>
        <w:rPr>
          <w:rFonts w:hint="cs"/>
          <w:rtl/>
        </w:rPr>
        <w:t xml:space="preserve"> على نطاق واسع</w:t>
      </w:r>
      <w:r w:rsidR="00644729">
        <w:rPr>
          <w:rFonts w:hint="cs"/>
          <w:rtl/>
        </w:rPr>
        <w:t>،</w:t>
      </w:r>
      <w:r>
        <w:rPr>
          <w:rFonts w:hint="cs"/>
          <w:rtl/>
        </w:rPr>
        <w:t xml:space="preserve"> العهد والبروتوكولين الاختياريين للعهد، ونص التقرير الدولي الثالث، والردود الخطية التي قدمتها رداً على قائمة المسائل التي وضعتها اللجنة، والملاحظات الختامية الراهنة في صفوف القضاة والسلطات التشريعية والإدارية والمجتمع المدني والمنظما</w:t>
      </w:r>
      <w:r w:rsidR="00644729">
        <w:rPr>
          <w:rFonts w:hint="cs"/>
          <w:rtl/>
        </w:rPr>
        <w:t>ت غير الحكومية العاملة في البلد</w:t>
      </w:r>
      <w:r>
        <w:rPr>
          <w:rFonts w:hint="cs"/>
          <w:rtl/>
        </w:rPr>
        <w:t>، وكذلك في صفوف الجمهور العام. وينبغي ترجمة التقرير والملاحظات الختامية إلى اللغات الرسمية الأخرى للدولة</w:t>
      </w:r>
      <w:r w:rsidR="009E4595">
        <w:rPr>
          <w:rFonts w:hint="eastAsia"/>
          <w:rtl/>
        </w:rPr>
        <w:t> </w:t>
      </w:r>
      <w:r>
        <w:rPr>
          <w:rFonts w:hint="cs"/>
          <w:rtl/>
        </w:rPr>
        <w:t>الطرف.</w:t>
      </w:r>
    </w:p>
    <w:p w:rsidR="007C39B1" w:rsidRDefault="007C39B1" w:rsidP="007C39B1">
      <w:pPr>
        <w:pStyle w:val="SingleTxtGA"/>
        <w:rPr>
          <w:rFonts w:hint="cs"/>
          <w:rtl/>
        </w:rPr>
      </w:pPr>
      <w:r>
        <w:rPr>
          <w:rFonts w:hint="cs"/>
          <w:rtl/>
        </w:rPr>
        <w:t>28-</w:t>
      </w:r>
      <w:r>
        <w:rPr>
          <w:rFonts w:hint="cs"/>
          <w:rtl/>
        </w:rPr>
        <w:tab/>
      </w:r>
      <w:r w:rsidR="00644729">
        <w:rPr>
          <w:rFonts w:hint="cs"/>
          <w:rtl/>
        </w:rPr>
        <w:t>و</w:t>
      </w:r>
      <w:r>
        <w:rPr>
          <w:rFonts w:hint="cs"/>
          <w:rtl/>
        </w:rPr>
        <w:t>وفقاً للفقرة 5 من المادة 17 من النظام الداخلي للجنة، ينبغي للدولة الطرف أن تقدم</w:t>
      </w:r>
      <w:r w:rsidR="00644729">
        <w:rPr>
          <w:rFonts w:hint="cs"/>
          <w:rtl/>
        </w:rPr>
        <w:t>،</w:t>
      </w:r>
      <w:r>
        <w:rPr>
          <w:rFonts w:hint="cs"/>
          <w:rtl/>
        </w:rPr>
        <w:t xml:space="preserve"> في غضون سنة واحدة، معلومات ذات صلة عن تنفيذ توصيات اللجنة، الواردة في الفقرات 8 و11 و21 أعلاه.</w:t>
      </w:r>
    </w:p>
    <w:p w:rsidR="007C39B1" w:rsidRPr="00D5262B" w:rsidRDefault="007C39B1" w:rsidP="00644729">
      <w:pPr>
        <w:pStyle w:val="SingleTxtGA"/>
        <w:rPr>
          <w:rFonts w:hint="cs"/>
          <w:rtl/>
        </w:rPr>
      </w:pPr>
      <w:r>
        <w:rPr>
          <w:rFonts w:hint="cs"/>
          <w:rtl/>
        </w:rPr>
        <w:t>29-</w:t>
      </w:r>
      <w:r>
        <w:rPr>
          <w:rFonts w:hint="cs"/>
          <w:rtl/>
        </w:rPr>
        <w:tab/>
        <w:t xml:space="preserve">وتطلب اللجنة إلى الدولة الطرف أن تقدم في تقريرها الدوري الرابع، الذي يحين موعد تقديمه في 29 تموز/يوليه 2015، معلومات محددة ومحدثة عن تنفيذ جميع توصيات اللجنة وعن العهد ككل، </w:t>
      </w:r>
      <w:r w:rsidR="00644729">
        <w:rPr>
          <w:rFonts w:hint="cs"/>
          <w:rtl/>
        </w:rPr>
        <w:t xml:space="preserve">كما </w:t>
      </w:r>
      <w:r>
        <w:rPr>
          <w:rFonts w:hint="cs"/>
          <w:rtl/>
        </w:rPr>
        <w:t xml:space="preserve">تطلب </w:t>
      </w:r>
      <w:r w:rsidR="00644729">
        <w:rPr>
          <w:rFonts w:hint="cs"/>
          <w:rtl/>
        </w:rPr>
        <w:t>إلى الدولة الطرف</w:t>
      </w:r>
      <w:r>
        <w:rPr>
          <w:rFonts w:hint="cs"/>
          <w:rtl/>
        </w:rPr>
        <w:t xml:space="preserve">، أن </w:t>
      </w:r>
      <w:r w:rsidR="00644729">
        <w:rPr>
          <w:rFonts w:hint="cs"/>
          <w:rtl/>
        </w:rPr>
        <w:t>تتشاور،</w:t>
      </w:r>
      <w:r>
        <w:rPr>
          <w:rFonts w:hint="cs"/>
          <w:rtl/>
        </w:rPr>
        <w:t xml:space="preserve"> عند إعداد تقريرها الدوري الرابع، على نطاق واسع مع المجتمع المدني والمنظمات غير الحكومية العاملة في البلد.</w:t>
      </w:r>
    </w:p>
    <w:p w:rsidR="007C39B1" w:rsidRPr="007C39B1" w:rsidRDefault="007C39B1" w:rsidP="007C39B1">
      <w:pPr>
        <w:spacing w:before="120"/>
        <w:jc w:val="center"/>
        <w:rPr>
          <w:rFonts w:hint="cs"/>
          <w:u w:val="single"/>
          <w:rtl/>
        </w:rPr>
      </w:pPr>
      <w:r>
        <w:rPr>
          <w:u w:val="single"/>
          <w:rtl/>
        </w:rPr>
        <w:tab/>
      </w:r>
      <w:r>
        <w:rPr>
          <w:u w:val="single"/>
          <w:rtl/>
        </w:rPr>
        <w:tab/>
      </w:r>
      <w:r>
        <w:rPr>
          <w:u w:val="single"/>
          <w:rtl/>
        </w:rPr>
        <w:tab/>
      </w:r>
    </w:p>
    <w:sectPr w:rsidR="007C39B1" w:rsidRPr="007C39B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BF" w:rsidRPr="00FE6865" w:rsidRDefault="00585CBF" w:rsidP="00FE6865">
      <w:pPr>
        <w:pStyle w:val="Footer"/>
      </w:pPr>
    </w:p>
  </w:endnote>
  <w:endnote w:type="continuationSeparator" w:id="0">
    <w:p w:rsidR="00585CBF" w:rsidRDefault="00585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D3" w:rsidRPr="007C39B1" w:rsidRDefault="00AE60D3" w:rsidP="007C39B1">
    <w:pPr>
      <w:pStyle w:val="Footer"/>
      <w:tabs>
        <w:tab w:val="right" w:pos="9598"/>
      </w:tabs>
    </w:pPr>
    <w:r>
      <w:t>GE</w:t>
    </w:r>
    <w:r>
      <w:rPr>
        <w:rtl/>
      </w:rPr>
      <w:t>.</w:t>
    </w:r>
    <w:r>
      <w:t>11</w:t>
    </w:r>
    <w:r>
      <w:rPr>
        <w:rtl/>
      </w:rPr>
      <w:t>-</w:t>
    </w:r>
    <w:r>
      <w:t>44900</w:t>
    </w:r>
    <w:r>
      <w:rPr>
        <w:rtl/>
      </w:rPr>
      <w:tab/>
    </w:r>
    <w:r w:rsidRPr="007C39B1">
      <w:rPr>
        <w:b/>
        <w:sz w:val="18"/>
      </w:rPr>
      <w:fldChar w:fldCharType="begin"/>
    </w:r>
    <w:r w:rsidRPr="007C39B1">
      <w:rPr>
        <w:b/>
        <w:sz w:val="18"/>
        <w:rtl/>
      </w:rPr>
      <w:instrText xml:space="preserve"> </w:instrText>
    </w:r>
    <w:r w:rsidRPr="007C39B1">
      <w:rPr>
        <w:b/>
        <w:sz w:val="18"/>
      </w:rPr>
      <w:instrText>PAGE</w:instrText>
    </w:r>
    <w:r w:rsidRPr="007C39B1">
      <w:rPr>
        <w:b/>
        <w:sz w:val="18"/>
        <w:rtl/>
      </w:rPr>
      <w:instrText xml:space="preserve">  \* </w:instrText>
    </w:r>
    <w:r w:rsidRPr="007C39B1">
      <w:rPr>
        <w:b/>
        <w:sz w:val="18"/>
      </w:rPr>
      <w:instrText>MERGEFORMAT</w:instrText>
    </w:r>
    <w:r w:rsidRPr="007C39B1">
      <w:rPr>
        <w:b/>
        <w:sz w:val="18"/>
        <w:rtl/>
      </w:rPr>
      <w:instrText xml:space="preserve"> </w:instrText>
    </w:r>
    <w:r w:rsidRPr="007C39B1">
      <w:rPr>
        <w:b/>
        <w:sz w:val="18"/>
      </w:rPr>
      <w:fldChar w:fldCharType="separate"/>
    </w:r>
    <w:r w:rsidR="002113E1">
      <w:rPr>
        <w:b/>
        <w:noProof/>
        <w:sz w:val="18"/>
      </w:rPr>
      <w:t>2</w:t>
    </w:r>
    <w:r w:rsidRPr="007C39B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D3" w:rsidRPr="007C39B1" w:rsidRDefault="00AE60D3" w:rsidP="007C39B1">
    <w:pPr>
      <w:pStyle w:val="Footer"/>
      <w:tabs>
        <w:tab w:val="right" w:pos="9598"/>
      </w:tabs>
      <w:rPr>
        <w:b/>
        <w:sz w:val="18"/>
      </w:rPr>
    </w:pPr>
    <w:r w:rsidRPr="007C39B1">
      <w:rPr>
        <w:b/>
        <w:sz w:val="18"/>
        <w:rtl/>
      </w:rPr>
      <w:fldChar w:fldCharType="begin"/>
    </w:r>
    <w:r w:rsidRPr="007C39B1">
      <w:rPr>
        <w:b/>
        <w:sz w:val="18"/>
        <w:rtl/>
      </w:rPr>
      <w:instrText xml:space="preserve"> </w:instrText>
    </w:r>
    <w:r w:rsidRPr="007C39B1">
      <w:rPr>
        <w:b/>
        <w:sz w:val="18"/>
      </w:rPr>
      <w:instrText>PAGE</w:instrText>
    </w:r>
    <w:r w:rsidRPr="007C39B1">
      <w:rPr>
        <w:b/>
        <w:sz w:val="18"/>
        <w:rtl/>
      </w:rPr>
      <w:instrText xml:space="preserve">  \* </w:instrText>
    </w:r>
    <w:r w:rsidRPr="007C39B1">
      <w:rPr>
        <w:b/>
        <w:sz w:val="18"/>
      </w:rPr>
      <w:instrText>MERGEFORMAT</w:instrText>
    </w:r>
    <w:r w:rsidRPr="007C39B1">
      <w:rPr>
        <w:b/>
        <w:sz w:val="18"/>
        <w:rtl/>
      </w:rPr>
      <w:instrText xml:space="preserve"> </w:instrText>
    </w:r>
    <w:r w:rsidRPr="007C39B1">
      <w:rPr>
        <w:b/>
        <w:sz w:val="18"/>
        <w:rtl/>
      </w:rPr>
      <w:fldChar w:fldCharType="separate"/>
    </w:r>
    <w:r w:rsidR="00F569C4">
      <w:rPr>
        <w:b/>
        <w:noProof/>
        <w:sz w:val="18"/>
      </w:rPr>
      <w:t>9</w:t>
    </w:r>
    <w:r w:rsidRPr="007C39B1">
      <w:rPr>
        <w:b/>
        <w:sz w:val="18"/>
        <w:rtl/>
      </w:rPr>
      <w:fldChar w:fldCharType="end"/>
    </w:r>
    <w:r>
      <w:rPr>
        <w:b/>
        <w:sz w:val="18"/>
        <w:rtl/>
      </w:rPr>
      <w:tab/>
    </w:r>
    <w:r>
      <w:t>GE</w:t>
    </w:r>
    <w:r>
      <w:rPr>
        <w:rtl/>
      </w:rPr>
      <w:t>.</w:t>
    </w:r>
    <w:r>
      <w:t>11</w:t>
    </w:r>
    <w:r>
      <w:rPr>
        <w:rtl/>
      </w:rPr>
      <w:t>-</w:t>
    </w:r>
    <w:r>
      <w:t>44900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D3" w:rsidRDefault="00AE60D3" w:rsidP="009E4595">
    <w:pPr>
      <w:pStyle w:val="Footer"/>
      <w:jc w:val="right"/>
    </w:pPr>
    <w:r>
      <w:rPr>
        <w:sz w:val="20"/>
      </w:rPr>
      <w:t>(A)    GE</w:t>
    </w:r>
    <w:r>
      <w:rPr>
        <w:sz w:val="20"/>
        <w:rtl/>
      </w:rPr>
      <w:t>.</w:t>
    </w:r>
    <w:r>
      <w:rPr>
        <w:sz w:val="20"/>
      </w:rPr>
      <w:t>11</w:t>
    </w:r>
    <w:r>
      <w:rPr>
        <w:sz w:val="20"/>
        <w:rtl/>
      </w:rPr>
      <w:t>-</w:t>
    </w:r>
    <w:r>
      <w:rPr>
        <w:sz w:val="20"/>
      </w:rPr>
      <w:t>44900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031011    0</w:t>
    </w:r>
    <w:r w:rsidR="009E4595">
      <w:rPr>
        <w:sz w:val="20"/>
      </w:rPr>
      <w:t>5</w:t>
    </w:r>
    <w:r>
      <w:rPr>
        <w:sz w:val="20"/>
      </w:rPr>
      <w:t>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BF" w:rsidRDefault="00585CBF" w:rsidP="007E4686">
      <w:pPr>
        <w:pStyle w:val="Footer"/>
        <w:bidi/>
        <w:spacing w:after="80" w:line="200" w:lineRule="exact"/>
        <w:ind w:left="680"/>
      </w:pPr>
      <w:r>
        <w:rPr>
          <w:rFonts w:hint="cs"/>
          <w:rtl/>
        </w:rPr>
        <w:t>__________</w:t>
      </w:r>
    </w:p>
  </w:footnote>
  <w:footnote w:type="continuationSeparator" w:id="0">
    <w:p w:rsidR="00585CBF" w:rsidRDefault="00585CBF" w:rsidP="007E4686">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D3" w:rsidRPr="007C39B1" w:rsidRDefault="00AE60D3" w:rsidP="007C39B1">
    <w:pPr>
      <w:pStyle w:val="Header"/>
      <w:jc w:val="right"/>
    </w:pPr>
    <w:r w:rsidRPr="007C39B1">
      <w:t>CCPR/C/BGR/CO/3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D3" w:rsidRPr="007C39B1" w:rsidRDefault="00AE60D3" w:rsidP="007C39B1">
    <w:pPr>
      <w:pStyle w:val="Header"/>
      <w:jc w:val="left"/>
    </w:pPr>
    <w:r w:rsidRPr="007C39B1">
      <w:t>CCPR/C/BGR/CO/3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D3" w:rsidRDefault="00AE60D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AE60D3" w:rsidRPr="008F6743" w:rsidRDefault="00AE60D3"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059"/>
    <w:rsid w:val="00040E25"/>
    <w:rsid w:val="00041548"/>
    <w:rsid w:val="00042149"/>
    <w:rsid w:val="00045D2C"/>
    <w:rsid w:val="000648EA"/>
    <w:rsid w:val="000957C8"/>
    <w:rsid w:val="00097049"/>
    <w:rsid w:val="000A04D5"/>
    <w:rsid w:val="000B52F2"/>
    <w:rsid w:val="000D0EAE"/>
    <w:rsid w:val="000D5380"/>
    <w:rsid w:val="000D6654"/>
    <w:rsid w:val="000E0501"/>
    <w:rsid w:val="000E103D"/>
    <w:rsid w:val="000F0264"/>
    <w:rsid w:val="000F2EBF"/>
    <w:rsid w:val="000F3A9F"/>
    <w:rsid w:val="000F5FF6"/>
    <w:rsid w:val="001022B5"/>
    <w:rsid w:val="00113FA5"/>
    <w:rsid w:val="00122905"/>
    <w:rsid w:val="001455A0"/>
    <w:rsid w:val="001602A3"/>
    <w:rsid w:val="001A5161"/>
    <w:rsid w:val="001A60BD"/>
    <w:rsid w:val="001B29B2"/>
    <w:rsid w:val="001C6D53"/>
    <w:rsid w:val="001E4575"/>
    <w:rsid w:val="002113E1"/>
    <w:rsid w:val="00232277"/>
    <w:rsid w:val="0023736D"/>
    <w:rsid w:val="00257225"/>
    <w:rsid w:val="00310160"/>
    <w:rsid w:val="00341A8C"/>
    <w:rsid w:val="003519E6"/>
    <w:rsid w:val="00355F81"/>
    <w:rsid w:val="003B4356"/>
    <w:rsid w:val="003F08A8"/>
    <w:rsid w:val="004250E3"/>
    <w:rsid w:val="00472A81"/>
    <w:rsid w:val="00473500"/>
    <w:rsid w:val="004A20A6"/>
    <w:rsid w:val="004B2C92"/>
    <w:rsid w:val="004D6A3A"/>
    <w:rsid w:val="004F4AD7"/>
    <w:rsid w:val="00552AF4"/>
    <w:rsid w:val="00557CD3"/>
    <w:rsid w:val="00571432"/>
    <w:rsid w:val="005732A2"/>
    <w:rsid w:val="005762A5"/>
    <w:rsid w:val="00585CBF"/>
    <w:rsid w:val="00586F98"/>
    <w:rsid w:val="00590BA3"/>
    <w:rsid w:val="005B46D9"/>
    <w:rsid w:val="005B7AE0"/>
    <w:rsid w:val="005E23F5"/>
    <w:rsid w:val="005F146F"/>
    <w:rsid w:val="005F71B6"/>
    <w:rsid w:val="00644729"/>
    <w:rsid w:val="00654786"/>
    <w:rsid w:val="00660FD4"/>
    <w:rsid w:val="00665BE4"/>
    <w:rsid w:val="006A4425"/>
    <w:rsid w:val="006B00A4"/>
    <w:rsid w:val="006B4669"/>
    <w:rsid w:val="006D3CFA"/>
    <w:rsid w:val="006F6BF8"/>
    <w:rsid w:val="00700059"/>
    <w:rsid w:val="00702AEC"/>
    <w:rsid w:val="00707BDF"/>
    <w:rsid w:val="00710727"/>
    <w:rsid w:val="00715F45"/>
    <w:rsid w:val="0072608F"/>
    <w:rsid w:val="00731815"/>
    <w:rsid w:val="00731B84"/>
    <w:rsid w:val="00734AE7"/>
    <w:rsid w:val="0079344E"/>
    <w:rsid w:val="007C39B1"/>
    <w:rsid w:val="007C69B7"/>
    <w:rsid w:val="007E197F"/>
    <w:rsid w:val="007E2786"/>
    <w:rsid w:val="007E4686"/>
    <w:rsid w:val="007F68C4"/>
    <w:rsid w:val="0080099B"/>
    <w:rsid w:val="008153DE"/>
    <w:rsid w:val="00852A10"/>
    <w:rsid w:val="00862634"/>
    <w:rsid w:val="00866C59"/>
    <w:rsid w:val="00877306"/>
    <w:rsid w:val="00885524"/>
    <w:rsid w:val="0088729E"/>
    <w:rsid w:val="008A6242"/>
    <w:rsid w:val="008B4BC6"/>
    <w:rsid w:val="008F6743"/>
    <w:rsid w:val="00901E57"/>
    <w:rsid w:val="009070DF"/>
    <w:rsid w:val="00933F58"/>
    <w:rsid w:val="00935F0E"/>
    <w:rsid w:val="0095208F"/>
    <w:rsid w:val="0096071D"/>
    <w:rsid w:val="00977B3F"/>
    <w:rsid w:val="009814AE"/>
    <w:rsid w:val="009901D3"/>
    <w:rsid w:val="00996BBE"/>
    <w:rsid w:val="009B2C03"/>
    <w:rsid w:val="009D17B9"/>
    <w:rsid w:val="009D1DD5"/>
    <w:rsid w:val="009E4595"/>
    <w:rsid w:val="009F722C"/>
    <w:rsid w:val="00A26157"/>
    <w:rsid w:val="00A265C3"/>
    <w:rsid w:val="00A43F9A"/>
    <w:rsid w:val="00A4544A"/>
    <w:rsid w:val="00A53F38"/>
    <w:rsid w:val="00A543D4"/>
    <w:rsid w:val="00AD0014"/>
    <w:rsid w:val="00AD4CF2"/>
    <w:rsid w:val="00AE60D3"/>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136E"/>
    <w:rsid w:val="00E6524A"/>
    <w:rsid w:val="00E660D6"/>
    <w:rsid w:val="00E771AB"/>
    <w:rsid w:val="00EA796F"/>
    <w:rsid w:val="00EB077B"/>
    <w:rsid w:val="00EC50B9"/>
    <w:rsid w:val="00ED26A0"/>
    <w:rsid w:val="00F1727A"/>
    <w:rsid w:val="00F34764"/>
    <w:rsid w:val="00F54E3C"/>
    <w:rsid w:val="00F569C4"/>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2746</Words>
  <Characters>15654</Characters>
  <Application>Microsoft Office Outlook</Application>
  <DocSecurity>4</DocSecurity>
  <Lines>130</Lines>
  <Paragraphs>36</Paragraphs>
  <ScaleCrop>false</ScaleCrop>
  <HeadingPairs>
    <vt:vector size="2" baseType="variant">
      <vt:variant>
        <vt:lpstr>العنوان</vt:lpstr>
      </vt:variant>
      <vt:variant>
        <vt:i4>1</vt:i4>
      </vt:variant>
    </vt:vector>
  </HeadingPairs>
  <TitlesOfParts>
    <vt:vector size="1" baseType="lpstr">
      <vt:lpstr>CCPR/C/BGR/CO/3</vt:lpstr>
    </vt:vector>
  </TitlesOfParts>
  <Company>CSD</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CCPR/C/BGR/CO/3</dc:title>
  <dc:subject/>
  <dc:creator>Mary</dc:creator>
  <cp:keywords/>
  <dc:description/>
  <cp:lastModifiedBy>Mary</cp:lastModifiedBy>
  <cp:revision>2</cp:revision>
  <cp:lastPrinted>2009-10-16T12:16:00Z</cp:lastPrinted>
  <dcterms:created xsi:type="dcterms:W3CDTF">2011-10-05T12:48:00Z</dcterms:created>
  <dcterms:modified xsi:type="dcterms:W3CDTF">2011-10-05T12:48:00Z</dcterms:modified>
</cp:coreProperties>
</file>