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1F6DFD" w:rsidP="001F6DFD">
            <w:pPr>
              <w:jc w:val="right"/>
            </w:pPr>
            <w:r w:rsidRPr="001F6DFD">
              <w:rPr>
                <w:sz w:val="40"/>
              </w:rPr>
              <w:t>CCPR</w:t>
            </w:r>
            <w:r>
              <w:t>/C/BGR/CO/3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1F6DFD" w:rsidRDefault="001F6DFD" w:rsidP="00464EEE">
            <w:pPr>
              <w:spacing w:before="240"/>
            </w:pPr>
            <w:r>
              <w:t>Distr. générale</w:t>
            </w:r>
          </w:p>
          <w:p w:rsidR="001F6DFD" w:rsidRDefault="001F6DFD" w:rsidP="001F6DFD">
            <w:pPr>
              <w:spacing w:line="240" w:lineRule="exact"/>
            </w:pPr>
            <w:r>
              <w:t>19 août 2011</w:t>
            </w:r>
          </w:p>
          <w:p w:rsidR="001F6DFD" w:rsidRDefault="001F6DFD" w:rsidP="001F6DFD">
            <w:pPr>
              <w:spacing w:line="240" w:lineRule="exact"/>
            </w:pPr>
            <w:r>
              <w:t>Français</w:t>
            </w:r>
          </w:p>
          <w:p w:rsidR="00AF1CE8" w:rsidRPr="00DB58B5" w:rsidRDefault="001F6DFD" w:rsidP="001F6DFD">
            <w:pPr>
              <w:spacing w:line="240" w:lineRule="exact"/>
            </w:pPr>
            <w:r>
              <w:t>Original: anglais</w:t>
            </w:r>
          </w:p>
        </w:tc>
      </w:tr>
    </w:tbl>
    <w:p w:rsidR="00DF3BF1" w:rsidRDefault="00DF3BF1" w:rsidP="001F6DFD">
      <w:pPr>
        <w:spacing w:before="120"/>
        <w:rPr>
          <w:b/>
          <w:sz w:val="24"/>
          <w:szCs w:val="24"/>
        </w:rPr>
      </w:pPr>
      <w:r w:rsidRPr="00DF3BF1">
        <w:rPr>
          <w:b/>
          <w:sz w:val="24"/>
          <w:szCs w:val="24"/>
        </w:rPr>
        <w:t>Comité des droits de l’homme</w:t>
      </w:r>
    </w:p>
    <w:p w:rsidR="001F6DFD" w:rsidRPr="006B0E02" w:rsidRDefault="001F6DFD" w:rsidP="001F6DFD">
      <w:pPr>
        <w:suppressAutoHyphens w:val="0"/>
        <w:rPr>
          <w:b/>
        </w:rPr>
      </w:pPr>
      <w:r w:rsidRPr="006B0E02">
        <w:rPr>
          <w:b/>
        </w:rPr>
        <w:t>10</w:t>
      </w:r>
      <w:r>
        <w:rPr>
          <w:b/>
        </w:rPr>
        <w:t>2</w:t>
      </w:r>
      <w:r w:rsidRPr="0076720F">
        <w:rPr>
          <w:b/>
          <w:vertAlign w:val="superscript"/>
        </w:rPr>
        <w:t>e</w:t>
      </w:r>
      <w:r>
        <w:rPr>
          <w:b/>
        </w:rPr>
        <w:t xml:space="preserve"> </w:t>
      </w:r>
      <w:r w:rsidRPr="006B0E02">
        <w:rPr>
          <w:b/>
        </w:rPr>
        <w:t>session</w:t>
      </w:r>
    </w:p>
    <w:p w:rsidR="001F6DFD" w:rsidRDefault="001F6DFD" w:rsidP="001F6DFD">
      <w:pPr>
        <w:suppressAutoHyphens w:val="0"/>
      </w:pPr>
      <w:r>
        <w:t>Genève, 11-29 juillet 2011</w:t>
      </w:r>
    </w:p>
    <w:p w:rsidR="001F6DFD" w:rsidRPr="00A646DA" w:rsidRDefault="001F6DFD" w:rsidP="001F6DFD">
      <w:pPr>
        <w:pStyle w:val="HChG"/>
      </w:pPr>
      <w:r>
        <w:tab/>
      </w:r>
      <w:r>
        <w:tab/>
      </w:r>
      <w:r w:rsidRPr="00A646DA">
        <w:t xml:space="preserve">Examen des rapports </w:t>
      </w:r>
      <w:r w:rsidR="009B761E">
        <w:t>soumis</w:t>
      </w:r>
      <w:r w:rsidRPr="00A646DA">
        <w:t xml:space="preserve"> par les États parties </w:t>
      </w:r>
      <w:r w:rsidR="009B761E">
        <w:t>conformément à</w:t>
      </w:r>
      <w:r w:rsidRPr="00A646DA">
        <w:t xml:space="preserve"> l’article 40 du Pacte</w:t>
      </w:r>
    </w:p>
    <w:p w:rsidR="001F6DFD" w:rsidRPr="00A646DA" w:rsidRDefault="001F6DFD" w:rsidP="001F6DFD">
      <w:pPr>
        <w:pStyle w:val="H1G"/>
      </w:pPr>
      <w:r>
        <w:tab/>
      </w:r>
      <w:r>
        <w:tab/>
      </w:r>
      <w:r w:rsidR="009B761E">
        <w:t>O</w:t>
      </w:r>
      <w:r w:rsidRPr="00A646DA">
        <w:t xml:space="preserve">bservations finales du Comité des droits de l’homme </w:t>
      </w:r>
    </w:p>
    <w:p w:rsidR="001F6DFD" w:rsidRPr="00A646DA" w:rsidRDefault="001F6DFD" w:rsidP="001F6DFD">
      <w:pPr>
        <w:pStyle w:val="HChG"/>
      </w:pPr>
      <w:r>
        <w:tab/>
      </w:r>
      <w:r>
        <w:tab/>
      </w:r>
      <w:r w:rsidRPr="00A646DA">
        <w:t>Bulgarie</w:t>
      </w:r>
    </w:p>
    <w:p w:rsidR="001F6DFD" w:rsidRDefault="001F6DFD" w:rsidP="001F6DFD">
      <w:pPr>
        <w:pStyle w:val="SingleTxtG"/>
      </w:pPr>
      <w:r>
        <w:t>1.</w:t>
      </w:r>
      <w:r>
        <w:tab/>
        <w:t xml:space="preserve">Le Comité a examiné le troisième rapport périodique </w:t>
      </w:r>
      <w:r w:rsidR="00186F0E">
        <w:t>de</w:t>
      </w:r>
      <w:r>
        <w:t xml:space="preserve"> la Bulgarie (CCPR/C/BGR/3) à ses 2808</w:t>
      </w:r>
      <w:r w:rsidRPr="00A646DA">
        <w:rPr>
          <w:vertAlign w:val="superscript"/>
        </w:rPr>
        <w:t>e</w:t>
      </w:r>
      <w:r>
        <w:t xml:space="preserve"> et 2809</w:t>
      </w:r>
      <w:r w:rsidRPr="00A646DA">
        <w:rPr>
          <w:vertAlign w:val="superscript"/>
        </w:rPr>
        <w:t>e</w:t>
      </w:r>
      <w:r>
        <w:t xml:space="preserve"> séances (CCPR/C/SR.2808 et SR.2809), les 13 et 14</w:t>
      </w:r>
      <w:r w:rsidR="002B1392">
        <w:t> </w:t>
      </w:r>
      <w:r>
        <w:t>juillet 2011</w:t>
      </w:r>
      <w:r w:rsidR="007F041B">
        <w:t>,</w:t>
      </w:r>
      <w:r w:rsidR="002B1392">
        <w:t xml:space="preserve"> et a adopté, à</w:t>
      </w:r>
      <w:r>
        <w:t xml:space="preserve"> sa 2823</w:t>
      </w:r>
      <w:r w:rsidRPr="00A646DA">
        <w:rPr>
          <w:vertAlign w:val="superscript"/>
        </w:rPr>
        <w:t>e</w:t>
      </w:r>
      <w:r>
        <w:t xml:space="preserve"> séance</w:t>
      </w:r>
      <w:r w:rsidR="002B1392">
        <w:t xml:space="preserve">, </w:t>
      </w:r>
      <w:r>
        <w:t>le 25 juillet 2011</w:t>
      </w:r>
      <w:r w:rsidR="002B1392">
        <w:t xml:space="preserve"> (CCPR/C/SR.2823) </w:t>
      </w:r>
      <w:r>
        <w:t>les observations finales ci-après.</w:t>
      </w:r>
    </w:p>
    <w:p w:rsidR="001F6DFD" w:rsidRPr="00A646DA" w:rsidRDefault="001F6DFD" w:rsidP="001F6DFD">
      <w:pPr>
        <w:pStyle w:val="H1G"/>
      </w:pPr>
      <w:r>
        <w:tab/>
      </w:r>
      <w:r w:rsidRPr="00A646DA">
        <w:t>A.</w:t>
      </w:r>
      <w:r w:rsidRPr="00A646DA">
        <w:tab/>
        <w:t>Introduction</w:t>
      </w:r>
    </w:p>
    <w:p w:rsidR="001F6DFD" w:rsidRDefault="001F6DFD" w:rsidP="001F6DFD">
      <w:pPr>
        <w:pStyle w:val="SingleTxtG"/>
      </w:pPr>
      <w:r>
        <w:t>2.</w:t>
      </w:r>
      <w:r>
        <w:tab/>
        <w:t xml:space="preserve">Le Comité accueille avec satisfaction le troisième rapport périodique de la Bulgarie et les renseignements qu’il contient </w:t>
      </w:r>
      <w:r w:rsidR="00294261">
        <w:t>mais regrette</w:t>
      </w:r>
      <w:r>
        <w:t xml:space="preserve"> qu’il ait été </w:t>
      </w:r>
      <w:r w:rsidR="00294261">
        <w:t xml:space="preserve">soumis </w:t>
      </w:r>
      <w:r>
        <w:t xml:space="preserve">tardivement. Il </w:t>
      </w:r>
      <w:r w:rsidR="00294261">
        <w:t>apprécie</w:t>
      </w:r>
      <w:r>
        <w:t xml:space="preserve"> l’occasion offerte de renouer un dialogue constructif avec la délégation de haut niveau sur les mesures prises </w:t>
      </w:r>
      <w:r w:rsidR="00294261">
        <w:t xml:space="preserve">par l’État partie </w:t>
      </w:r>
      <w:r>
        <w:t xml:space="preserve">au cours de la période considérée pour </w:t>
      </w:r>
      <w:r w:rsidR="00294261">
        <w:t xml:space="preserve">donner effet aux dispositions </w:t>
      </w:r>
      <w:r>
        <w:t xml:space="preserve">du Pacte. Le Comité </w:t>
      </w:r>
      <w:r w:rsidR="00294261">
        <w:t>apprécie également les réponses écrites</w:t>
      </w:r>
      <w:r>
        <w:t xml:space="preserve"> (CCPR/C/BGR/Q/3/Add.1) apportées à la liste des points à traiter, qui ont été complétées par les réponses </w:t>
      </w:r>
      <w:r w:rsidR="002821B0">
        <w:t>fournies oralement</w:t>
      </w:r>
      <w:r>
        <w:t xml:space="preserve"> par la délégation ainsi que par les renseignements qui ont été communiqués par écrit.</w:t>
      </w:r>
    </w:p>
    <w:p w:rsidR="001F6DFD" w:rsidRPr="00A646DA" w:rsidRDefault="001F6DFD" w:rsidP="001F6DFD">
      <w:pPr>
        <w:pStyle w:val="H1G"/>
      </w:pPr>
      <w:r>
        <w:tab/>
      </w:r>
      <w:r w:rsidRPr="00A646DA">
        <w:t>B.</w:t>
      </w:r>
      <w:r w:rsidRPr="00A646DA">
        <w:tab/>
        <w:t>Aspects positifs</w:t>
      </w:r>
    </w:p>
    <w:p w:rsidR="001F6DFD" w:rsidRDefault="001F6DFD" w:rsidP="001F6DFD">
      <w:pPr>
        <w:pStyle w:val="SingleTxtG"/>
      </w:pPr>
      <w:r>
        <w:t>3.</w:t>
      </w:r>
      <w:r>
        <w:tab/>
        <w:t xml:space="preserve">Le Comité </w:t>
      </w:r>
      <w:r w:rsidR="007B66FC">
        <w:t>accueille avec satisfaction</w:t>
      </w:r>
      <w:r>
        <w:t xml:space="preserve"> les mesures légis</w:t>
      </w:r>
      <w:r w:rsidR="007B66FC">
        <w:t>latives et institutionnelles ci</w:t>
      </w:r>
      <w:r w:rsidR="007B66FC">
        <w:noBreakHyphen/>
      </w:r>
      <w:r>
        <w:t>après:</w:t>
      </w:r>
    </w:p>
    <w:p w:rsidR="001F6DFD" w:rsidRDefault="007B66FC" w:rsidP="007B66FC">
      <w:pPr>
        <w:pStyle w:val="SingleTxtG"/>
        <w:ind w:firstLine="567"/>
      </w:pPr>
      <w:r>
        <w:t>a</w:t>
      </w:r>
      <w:r w:rsidR="001F6DFD">
        <w:t>)</w:t>
      </w:r>
      <w:r w:rsidR="001F6DFD">
        <w:tab/>
        <w:t xml:space="preserve">L’adoption de la loi sur le service </w:t>
      </w:r>
      <w:r w:rsidR="00EE643B">
        <w:t>civil</w:t>
      </w:r>
      <w:r w:rsidR="001F6DFD">
        <w:t xml:space="preserve"> de substitution</w:t>
      </w:r>
      <w:r w:rsidR="00EE643B">
        <w:t xml:space="preserve"> au service militaire, </w:t>
      </w:r>
      <w:r w:rsidR="00BE7FF8">
        <w:t>en</w:t>
      </w:r>
      <w:r w:rsidR="00EE643B">
        <w:t xml:space="preserve"> 1999</w:t>
      </w:r>
      <w:r w:rsidR="001F6DFD">
        <w:t>;</w:t>
      </w:r>
    </w:p>
    <w:p w:rsidR="001F6DFD" w:rsidRDefault="007B66FC" w:rsidP="007B66FC">
      <w:pPr>
        <w:pStyle w:val="SingleTxtG"/>
        <w:ind w:firstLine="567"/>
      </w:pPr>
      <w:r>
        <w:t>b</w:t>
      </w:r>
      <w:r w:rsidR="001F6DFD">
        <w:t>)</w:t>
      </w:r>
      <w:r w:rsidR="001F6DFD">
        <w:tab/>
      </w:r>
      <w:r w:rsidR="00BE7FF8">
        <w:t>La modification de la loi sur la défense et les forces armées de la République de Bulgarie, en 2007</w:t>
      </w:r>
      <w:r w:rsidR="00B962D8">
        <w:t>;</w:t>
      </w:r>
    </w:p>
    <w:p w:rsidR="00B962D8" w:rsidRDefault="007B66FC" w:rsidP="007B66FC">
      <w:pPr>
        <w:pStyle w:val="SingleTxtG"/>
        <w:ind w:firstLine="567"/>
      </w:pPr>
      <w:r>
        <w:t>c</w:t>
      </w:r>
      <w:r w:rsidR="001F6DFD">
        <w:t>)</w:t>
      </w:r>
      <w:r w:rsidR="001F6DFD">
        <w:tab/>
      </w:r>
      <w:r w:rsidR="00B962D8">
        <w:t>La suppression du service militaire au 1</w:t>
      </w:r>
      <w:r w:rsidR="00B962D8" w:rsidRPr="00B962D8">
        <w:rPr>
          <w:vertAlign w:val="superscript"/>
        </w:rPr>
        <w:t>er</w:t>
      </w:r>
      <w:r w:rsidR="00B962D8">
        <w:t xml:space="preserve"> janvier 2008;</w:t>
      </w:r>
    </w:p>
    <w:p w:rsidR="007D001A" w:rsidRDefault="00150EBD" w:rsidP="007B66FC">
      <w:pPr>
        <w:pStyle w:val="SingleTxtG"/>
        <w:ind w:firstLine="567"/>
      </w:pPr>
      <w:r>
        <w:t>d)</w:t>
      </w:r>
      <w:r>
        <w:tab/>
        <w:t xml:space="preserve">L’adoption </w:t>
      </w:r>
      <w:r w:rsidR="003D35BE">
        <w:t xml:space="preserve">de </w:t>
      </w:r>
      <w:r>
        <w:t>la loi sur la lutte contre la traite des êtres humains en 2003, et la création de la Commission nationale antitraite</w:t>
      </w:r>
      <w:r w:rsidR="007D001A">
        <w:t>;</w:t>
      </w:r>
    </w:p>
    <w:p w:rsidR="001F6DFD" w:rsidRDefault="007D001A" w:rsidP="007B66FC">
      <w:pPr>
        <w:pStyle w:val="SingleTxtG"/>
        <w:ind w:firstLine="567"/>
      </w:pPr>
      <w:r>
        <w:t>e)</w:t>
      </w:r>
      <w:r>
        <w:tab/>
        <w:t xml:space="preserve">L’amendement apporté à la </w:t>
      </w:r>
      <w:r w:rsidR="008A042B">
        <w:t>Constitution en</w:t>
      </w:r>
      <w:r>
        <w:t xml:space="preserve"> 2007, portant création d’un Conseil judiciaire suprême et limitant l’immunité judiciaire</w:t>
      </w:r>
      <w:r w:rsidR="000D5AD6">
        <w:t>;</w:t>
      </w:r>
    </w:p>
    <w:p w:rsidR="000D5AD6" w:rsidRDefault="000D5AD6" w:rsidP="007B66FC">
      <w:pPr>
        <w:pStyle w:val="SingleTxtG"/>
        <w:ind w:firstLine="567"/>
      </w:pPr>
      <w:r>
        <w:t>f)</w:t>
      </w:r>
      <w:r>
        <w:tab/>
        <w:t>L’adoption d’une Stratégie intégrée de lutte contre la criminalité et la corruption, en 2010.</w:t>
      </w:r>
    </w:p>
    <w:p w:rsidR="001F6DFD" w:rsidRPr="009F5411" w:rsidRDefault="001F6DFD" w:rsidP="001F6DFD">
      <w:pPr>
        <w:pStyle w:val="SingleTxtG"/>
      </w:pPr>
      <w:r w:rsidRPr="009F5411">
        <w:t>4.</w:t>
      </w:r>
      <w:r w:rsidRPr="009F5411">
        <w:tab/>
        <w:t xml:space="preserve">Le Comité </w:t>
      </w:r>
      <w:r w:rsidR="00DA36C3">
        <w:t>accueille avec satisfaction la ratification des instruments internationaux ci-après</w:t>
      </w:r>
      <w:r w:rsidRPr="009F5411">
        <w:t>:</w:t>
      </w:r>
    </w:p>
    <w:p w:rsidR="001F6DFD" w:rsidRPr="009F5411" w:rsidRDefault="001F6DFD" w:rsidP="001F6DFD">
      <w:pPr>
        <w:pStyle w:val="SingleTxtG"/>
        <w:ind w:firstLine="567"/>
      </w:pPr>
      <w:r w:rsidRPr="009F5411">
        <w:t>a)</w:t>
      </w:r>
      <w:r w:rsidRPr="009F5411">
        <w:tab/>
        <w:t>Le deuxième Protocole facultatif se rapportant au Pacte international relatif aux droits civils et politiques, en 1999;</w:t>
      </w:r>
    </w:p>
    <w:p w:rsidR="001F6DFD" w:rsidRPr="009F5411" w:rsidRDefault="001F6DFD" w:rsidP="001F6DFD">
      <w:pPr>
        <w:pStyle w:val="SingleTxtG"/>
        <w:ind w:firstLine="567"/>
      </w:pPr>
      <w:r w:rsidRPr="009F5411">
        <w:t>b)</w:t>
      </w:r>
      <w:r w:rsidRPr="009F5411">
        <w:tab/>
        <w:t>La Convention des Nations Unies contre la crimin</w:t>
      </w:r>
      <w:r w:rsidR="00EF6BB6">
        <w:t>alité transnationale organisée, en 2001</w:t>
      </w:r>
      <w:r w:rsidRPr="009F5411">
        <w:t>;</w:t>
      </w:r>
    </w:p>
    <w:p w:rsidR="001F6DFD" w:rsidRPr="009F5411" w:rsidRDefault="001F6DFD" w:rsidP="001F6DFD">
      <w:pPr>
        <w:pStyle w:val="SingleTxtG"/>
        <w:ind w:firstLine="567"/>
      </w:pPr>
      <w:r w:rsidRPr="009F5411">
        <w:t>c)</w:t>
      </w:r>
      <w:r w:rsidRPr="009F5411">
        <w:tab/>
        <w:t>Le Protocole visant à prévenir, réprimer et punir la traite des personnes, en particu</w:t>
      </w:r>
      <w:r w:rsidR="00EF6BB6">
        <w:t>lier des femmes et des enfants, en 2001</w:t>
      </w:r>
      <w:r w:rsidRPr="009F5411">
        <w:t>;</w:t>
      </w:r>
    </w:p>
    <w:p w:rsidR="001F6DFD" w:rsidRPr="009F5411" w:rsidRDefault="001F6DFD" w:rsidP="001F6DFD">
      <w:pPr>
        <w:pStyle w:val="SingleTxtG"/>
        <w:ind w:firstLine="567"/>
      </w:pPr>
      <w:r w:rsidRPr="009F5411">
        <w:t>d)</w:t>
      </w:r>
      <w:r w:rsidRPr="009F5411">
        <w:tab/>
        <w:t>Le Protocole facultatif se rapportant à la Convention sur l’élimination de toutes les formes de discrimination à l’égard des femmes</w:t>
      </w:r>
      <w:r>
        <w:t>,</w:t>
      </w:r>
      <w:r w:rsidRPr="009F5411">
        <w:t xml:space="preserve"> en 2006</w:t>
      </w:r>
      <w:r>
        <w:t>;</w:t>
      </w:r>
    </w:p>
    <w:p w:rsidR="001F6DFD" w:rsidRPr="009F5411" w:rsidRDefault="001F6DFD" w:rsidP="001F6DFD">
      <w:pPr>
        <w:pStyle w:val="SingleTxtG"/>
        <w:ind w:firstLine="567"/>
      </w:pPr>
      <w:r w:rsidRPr="009F5411">
        <w:t>e)</w:t>
      </w:r>
      <w:r w:rsidRPr="009F5411">
        <w:tab/>
        <w:t>Le Protocole facultatif à la Convention relative aux droits de l’enfant, concernant l’implication d’e</w:t>
      </w:r>
      <w:r w:rsidR="00E010C1">
        <w:t xml:space="preserve">nfants dans les conflits armés, </w:t>
      </w:r>
      <w:r w:rsidR="003D35BE">
        <w:t>en 2001</w:t>
      </w:r>
      <w:r w:rsidRPr="009F5411">
        <w:t>;</w:t>
      </w:r>
    </w:p>
    <w:p w:rsidR="001F6DFD" w:rsidRPr="009F5411" w:rsidRDefault="001F6DFD" w:rsidP="001F6DFD">
      <w:pPr>
        <w:pStyle w:val="SingleTxtG"/>
        <w:ind w:firstLine="567"/>
      </w:pPr>
      <w:r w:rsidRPr="009F5411">
        <w:t>f)</w:t>
      </w:r>
      <w:r w:rsidRPr="009F5411">
        <w:tab/>
        <w:t>Le Protocole facultatif à la Convention relative aux droits de l’enfant, concernant la vente d’enfants, la prostitution des enfants et la pornographie mettant en scène des enfants, en 2001.</w:t>
      </w:r>
    </w:p>
    <w:p w:rsidR="001F6DFD" w:rsidRPr="009F5411" w:rsidRDefault="001F6DFD" w:rsidP="001F6DFD">
      <w:pPr>
        <w:pStyle w:val="H1G"/>
      </w:pPr>
      <w:r>
        <w:tab/>
      </w:r>
      <w:r w:rsidRPr="009F5411">
        <w:t>C.</w:t>
      </w:r>
      <w:r w:rsidRPr="009F5411">
        <w:tab/>
        <w:t>Principaux sujets de préoccupation et recommandations</w:t>
      </w:r>
    </w:p>
    <w:p w:rsidR="001F6DFD" w:rsidRPr="009F5411" w:rsidRDefault="001F6DFD" w:rsidP="001F6DFD">
      <w:pPr>
        <w:pStyle w:val="SingleTxtG"/>
      </w:pPr>
      <w:r w:rsidRPr="009F5411">
        <w:t>5.</w:t>
      </w:r>
      <w:r w:rsidRPr="009F5411">
        <w:tab/>
      </w:r>
      <w:r>
        <w:t>Le Comité</w:t>
      </w:r>
      <w:r w:rsidRPr="009F5411">
        <w:t xml:space="preserve"> pren</w:t>
      </w:r>
      <w:r>
        <w:t>d</w:t>
      </w:r>
      <w:r w:rsidRPr="009F5411">
        <w:t xml:space="preserve"> note du paragraphe</w:t>
      </w:r>
      <w:r>
        <w:t xml:space="preserve"> </w:t>
      </w:r>
      <w:r w:rsidRPr="009F5411">
        <w:t>4 de l’article</w:t>
      </w:r>
      <w:r>
        <w:t xml:space="preserve"> </w:t>
      </w:r>
      <w:r w:rsidRPr="009F5411">
        <w:t xml:space="preserve">5 de la Constitution où il est </w:t>
      </w:r>
      <w:r w:rsidR="00240514">
        <w:t>énoncé</w:t>
      </w:r>
      <w:r w:rsidRPr="009F5411">
        <w:t xml:space="preserve"> que les dispositions du Pacte l’emportent sur</w:t>
      </w:r>
      <w:r>
        <w:t xml:space="preserve"> le droit interne et </w:t>
      </w:r>
      <w:r w:rsidR="00E41AAF">
        <w:t>relève avec satisfaction</w:t>
      </w:r>
      <w:r w:rsidRPr="009F5411">
        <w:t xml:space="preserve"> l’existence de mécanismes permettant aux victimes de violation</w:t>
      </w:r>
      <w:r>
        <w:t>s</w:t>
      </w:r>
      <w:r w:rsidRPr="009F5411">
        <w:t xml:space="preserve"> du Pacte </w:t>
      </w:r>
      <w:r w:rsidR="00E202AA">
        <w:t>d’accéder</w:t>
      </w:r>
      <w:r>
        <w:t xml:space="preserve"> à des voies</w:t>
      </w:r>
      <w:r w:rsidRPr="009F5411">
        <w:t xml:space="preserve"> de recours, </w:t>
      </w:r>
      <w:r>
        <w:t>mais constate</w:t>
      </w:r>
      <w:r w:rsidRPr="009F5411">
        <w:t xml:space="preserve"> avec préoccupation que les tribunaux nationaux ne considèrent pas systématiquement le Pacte comme faisant partie intégrante du cadre juridique auquel ils doivent se référer et que, d’après la jurisprudence du Conseil judiciaire suprême, </w:t>
      </w:r>
      <w:r>
        <w:t>s</w:t>
      </w:r>
      <w:r w:rsidRPr="009F5411">
        <w:t>es dispositions n’ont jamais été invoquées directement (art. 2</w:t>
      </w:r>
      <w:r w:rsidR="00E202AA">
        <w:t xml:space="preserve"> du Pacte</w:t>
      </w:r>
      <w:r w:rsidRPr="009F5411">
        <w:t>).</w:t>
      </w:r>
    </w:p>
    <w:p w:rsidR="001F6DFD" w:rsidRPr="009F5411" w:rsidRDefault="001F6DFD" w:rsidP="001F6DFD">
      <w:pPr>
        <w:pStyle w:val="SingleTxtG"/>
        <w:ind w:left="1701"/>
        <w:rPr>
          <w:b/>
        </w:rPr>
      </w:pPr>
      <w:r w:rsidRPr="009F5411">
        <w:rPr>
          <w:b/>
        </w:rPr>
        <w:t xml:space="preserve">L’État partie devrait prendre toutes les mesures qui s’imposent pour faire </w:t>
      </w:r>
      <w:r w:rsidR="00E202AA">
        <w:rPr>
          <w:b/>
        </w:rPr>
        <w:t>en sorte que les</w:t>
      </w:r>
      <w:r w:rsidRPr="009F5411">
        <w:rPr>
          <w:b/>
        </w:rPr>
        <w:t xml:space="preserve"> juges, </w:t>
      </w:r>
      <w:r w:rsidR="00E202AA">
        <w:rPr>
          <w:b/>
        </w:rPr>
        <w:t xml:space="preserve">les </w:t>
      </w:r>
      <w:r w:rsidRPr="009F5411">
        <w:rPr>
          <w:b/>
        </w:rPr>
        <w:t xml:space="preserve">procureurs et </w:t>
      </w:r>
      <w:r w:rsidR="00E202AA">
        <w:rPr>
          <w:b/>
        </w:rPr>
        <w:t xml:space="preserve">les </w:t>
      </w:r>
      <w:r w:rsidRPr="009F5411">
        <w:rPr>
          <w:b/>
        </w:rPr>
        <w:t xml:space="preserve">avocats </w:t>
      </w:r>
      <w:r w:rsidR="00E202AA">
        <w:rPr>
          <w:b/>
        </w:rPr>
        <w:t xml:space="preserve">connaissent les dispositions du Pacte </w:t>
      </w:r>
      <w:r w:rsidRPr="009F5411">
        <w:rPr>
          <w:b/>
        </w:rPr>
        <w:t xml:space="preserve">afin de </w:t>
      </w:r>
      <w:r w:rsidR="00E202AA">
        <w:rPr>
          <w:b/>
        </w:rPr>
        <w:t xml:space="preserve">pouvoir les invoquer et </w:t>
      </w:r>
      <w:r w:rsidRPr="009F5411">
        <w:rPr>
          <w:b/>
        </w:rPr>
        <w:t xml:space="preserve">appliquer </w:t>
      </w:r>
      <w:r w:rsidR="00E202AA">
        <w:rPr>
          <w:b/>
        </w:rPr>
        <w:t>le Pacte</w:t>
      </w:r>
      <w:r w:rsidRPr="009F5411">
        <w:rPr>
          <w:b/>
        </w:rPr>
        <w:t xml:space="preserve"> dans les cas opportuns. Il devrait donner dans son prochain rapport périodique des exemples détaillés de l’application du Pacte par les tribunaux et de l’accès aux recours prévu</w:t>
      </w:r>
      <w:r w:rsidR="00B84D98">
        <w:rPr>
          <w:b/>
        </w:rPr>
        <w:t>s</w:t>
      </w:r>
      <w:r w:rsidRPr="009F5411">
        <w:rPr>
          <w:b/>
        </w:rPr>
        <w:t xml:space="preserve"> par la législation par des personnes </w:t>
      </w:r>
      <w:r w:rsidR="00B84D98">
        <w:rPr>
          <w:b/>
        </w:rPr>
        <w:t>qui font valoir une</w:t>
      </w:r>
      <w:r w:rsidRPr="009F5411">
        <w:rPr>
          <w:b/>
        </w:rPr>
        <w:t xml:space="preserve"> </w:t>
      </w:r>
      <w:r>
        <w:rPr>
          <w:b/>
        </w:rPr>
        <w:t>violation de leurs droits, tels</w:t>
      </w:r>
      <w:r w:rsidRPr="009F5411">
        <w:rPr>
          <w:b/>
        </w:rPr>
        <w:t xml:space="preserve"> </w:t>
      </w:r>
      <w:r w:rsidR="00B84D98">
        <w:rPr>
          <w:b/>
        </w:rPr>
        <w:t xml:space="preserve">qu’ils sont </w:t>
      </w:r>
      <w:r>
        <w:rPr>
          <w:b/>
        </w:rPr>
        <w:t>consacrés</w:t>
      </w:r>
      <w:r w:rsidRPr="009F5411">
        <w:rPr>
          <w:b/>
        </w:rPr>
        <w:t xml:space="preserve"> par le Pacte.</w:t>
      </w:r>
    </w:p>
    <w:p w:rsidR="001F6DFD" w:rsidRPr="009F5411" w:rsidRDefault="001F6DFD" w:rsidP="001F6DFD">
      <w:pPr>
        <w:pStyle w:val="SingleTxtG"/>
      </w:pPr>
      <w:r w:rsidRPr="009F5411">
        <w:t>6.</w:t>
      </w:r>
      <w:r w:rsidRPr="009F5411">
        <w:tab/>
      </w:r>
      <w:r>
        <w:t>Le Comité accueille avec satisfaction</w:t>
      </w:r>
      <w:r w:rsidRPr="009F5411">
        <w:t xml:space="preserve"> la mise en œuvre de la Stratégie nationale (2009-2015) visant à encourager l’</w:t>
      </w:r>
      <w:r>
        <w:t>égalité des sexes</w:t>
      </w:r>
      <w:r w:rsidRPr="009F5411">
        <w:t xml:space="preserve"> </w:t>
      </w:r>
      <w:r>
        <w:t>mais</w:t>
      </w:r>
      <w:r w:rsidRPr="009F5411">
        <w:t xml:space="preserve"> note que les pratiques et messages discriminatoires continuent d’être très répandus, y compris dans les médias, et </w:t>
      </w:r>
      <w:r w:rsidR="00A55F19">
        <w:t>qu’aucun texte législatif spécifique n’a été adopté</w:t>
      </w:r>
      <w:r w:rsidRPr="009F5411">
        <w:t xml:space="preserve"> sur l’égalité des chances </w:t>
      </w:r>
      <w:r w:rsidR="00A55F19">
        <w:t>pour les femmes et l</w:t>
      </w:r>
      <w:r w:rsidRPr="009F5411">
        <w:t>es hommes (art. 2, 3 et 26).</w:t>
      </w:r>
    </w:p>
    <w:p w:rsidR="001F6DFD" w:rsidRPr="009F5411" w:rsidRDefault="001F6DFD" w:rsidP="001F6DFD">
      <w:pPr>
        <w:pStyle w:val="SingleTxtG"/>
        <w:ind w:left="1701"/>
        <w:rPr>
          <w:b/>
        </w:rPr>
      </w:pPr>
      <w:r w:rsidRPr="009F5411">
        <w:rPr>
          <w:b/>
        </w:rPr>
        <w:t xml:space="preserve">L’État partie devrait élaborer </w:t>
      </w:r>
      <w:r w:rsidR="00124CEE">
        <w:rPr>
          <w:b/>
        </w:rPr>
        <w:t>de nouvelles politiques</w:t>
      </w:r>
      <w:r w:rsidRPr="009F5411">
        <w:rPr>
          <w:b/>
        </w:rPr>
        <w:t xml:space="preserve"> pour que l’égalité entre les sexes devienne effective, </w:t>
      </w:r>
      <w:r>
        <w:rPr>
          <w:b/>
        </w:rPr>
        <w:t xml:space="preserve">et </w:t>
      </w:r>
      <w:r w:rsidRPr="009F5411">
        <w:rPr>
          <w:b/>
        </w:rPr>
        <w:t>adopter et mettre en œuvre une législation spécifique</w:t>
      </w:r>
      <w:r w:rsidR="000F0492">
        <w:rPr>
          <w:b/>
        </w:rPr>
        <w:t>ment consacrée à</w:t>
      </w:r>
      <w:r w:rsidRPr="009F5411">
        <w:rPr>
          <w:b/>
        </w:rPr>
        <w:t xml:space="preserve"> l’égalité </w:t>
      </w:r>
      <w:r w:rsidR="000F0492">
        <w:rPr>
          <w:b/>
        </w:rPr>
        <w:t>des</w:t>
      </w:r>
      <w:r w:rsidRPr="009F5411">
        <w:rPr>
          <w:b/>
        </w:rPr>
        <w:t xml:space="preserve"> hommes et </w:t>
      </w:r>
      <w:r w:rsidR="000F0492">
        <w:rPr>
          <w:b/>
        </w:rPr>
        <w:t xml:space="preserve">des </w:t>
      </w:r>
      <w:r w:rsidRPr="009F5411">
        <w:rPr>
          <w:b/>
        </w:rPr>
        <w:t>femmes</w:t>
      </w:r>
      <w:r>
        <w:rPr>
          <w:b/>
        </w:rPr>
        <w:t>;</w:t>
      </w:r>
      <w:r w:rsidRPr="009F5411">
        <w:rPr>
          <w:b/>
        </w:rPr>
        <w:t xml:space="preserve"> </w:t>
      </w:r>
      <w:r>
        <w:rPr>
          <w:b/>
        </w:rPr>
        <w:t>il reconnaîtrait</w:t>
      </w:r>
      <w:r w:rsidRPr="009F5411">
        <w:rPr>
          <w:b/>
        </w:rPr>
        <w:t xml:space="preserve"> ainsi officiellement le caractère particulier de la discrimination dont les femmes sont victimes et trait</w:t>
      </w:r>
      <w:r>
        <w:rPr>
          <w:b/>
        </w:rPr>
        <w:t>erait</w:t>
      </w:r>
      <w:r w:rsidRPr="009F5411">
        <w:rPr>
          <w:b/>
        </w:rPr>
        <w:t xml:space="preserve"> </w:t>
      </w:r>
      <w:r>
        <w:rPr>
          <w:b/>
        </w:rPr>
        <w:t xml:space="preserve">la </w:t>
      </w:r>
      <w:r w:rsidRPr="009F5411">
        <w:rPr>
          <w:b/>
        </w:rPr>
        <w:t xml:space="preserve">question </w:t>
      </w:r>
      <w:r>
        <w:rPr>
          <w:b/>
        </w:rPr>
        <w:t>de manière adéquate</w:t>
      </w:r>
      <w:r w:rsidRPr="009F5411">
        <w:rPr>
          <w:b/>
        </w:rPr>
        <w:t xml:space="preserve">. </w:t>
      </w:r>
      <w:r w:rsidR="008F1152">
        <w:rPr>
          <w:b/>
        </w:rPr>
        <w:t>De plus</w:t>
      </w:r>
      <w:r w:rsidRPr="009F5411">
        <w:rPr>
          <w:b/>
        </w:rPr>
        <w:t xml:space="preserve">, l’État partie devrait prendre les mesures nécessaires pour </w:t>
      </w:r>
      <w:r>
        <w:rPr>
          <w:b/>
        </w:rPr>
        <w:t>repérer</w:t>
      </w:r>
      <w:r w:rsidRPr="009F5411">
        <w:rPr>
          <w:b/>
        </w:rPr>
        <w:t xml:space="preserve"> et faire </w:t>
      </w:r>
      <w:r w:rsidR="008F1152">
        <w:rPr>
          <w:b/>
        </w:rPr>
        <w:t>disparaître</w:t>
      </w:r>
      <w:r w:rsidRPr="009F5411">
        <w:rPr>
          <w:b/>
        </w:rPr>
        <w:t xml:space="preserve"> les messages </w:t>
      </w:r>
      <w:r w:rsidR="008F1152">
        <w:rPr>
          <w:b/>
        </w:rPr>
        <w:t xml:space="preserve">stéréotypés </w:t>
      </w:r>
      <w:r w:rsidRPr="009F5411">
        <w:rPr>
          <w:b/>
        </w:rPr>
        <w:t xml:space="preserve">sexistes dans </w:t>
      </w:r>
      <w:r w:rsidR="008F1152">
        <w:rPr>
          <w:b/>
        </w:rPr>
        <w:t>la société</w:t>
      </w:r>
      <w:r w:rsidRPr="009F5411">
        <w:rPr>
          <w:b/>
        </w:rPr>
        <w:t>.</w:t>
      </w:r>
    </w:p>
    <w:p w:rsidR="001F6DFD" w:rsidRDefault="001F6DFD" w:rsidP="001F6DFD">
      <w:pPr>
        <w:pStyle w:val="SingleTxtG"/>
      </w:pPr>
      <w:r w:rsidRPr="009F5411">
        <w:t>7.</w:t>
      </w:r>
      <w:r w:rsidRPr="009F5411">
        <w:tab/>
        <w:t xml:space="preserve">Le Comité accueille avec satisfaction le Programme-cadre pour l’intégration équitable des Roms dans la société bulgare (2010-2020) mais constate avec préoccupation que la population rom continue d’être l’objet d’une discrimination généralisée, en particulier en ce qui concerne l’accès à l’éducation, à la justice, à l’emploi, au logement et aux établissements commerciaux. Il est préoccupé également par le petit nombre de cas de discrimination dans ces domaines qui ont </w:t>
      </w:r>
      <w:r>
        <w:t xml:space="preserve">fait l’objet d’enquêtes et ont </w:t>
      </w:r>
      <w:r w:rsidRPr="009F5411">
        <w:t>été jugés et punis (art. 2, 25, 26 et 27).</w:t>
      </w:r>
    </w:p>
    <w:p w:rsidR="001F6DFD" w:rsidRPr="00B85E60" w:rsidRDefault="001F6DFD" w:rsidP="001F6DFD">
      <w:pPr>
        <w:pStyle w:val="SingleTxtG"/>
        <w:ind w:left="1701"/>
        <w:rPr>
          <w:b/>
        </w:rPr>
      </w:pPr>
      <w:r w:rsidRPr="00B85E60">
        <w:rPr>
          <w:b/>
        </w:rPr>
        <w:t xml:space="preserve">L’État partie devrait poursuivre ses efforts en vue d’éliminer les stéréotypes et la discrimination généralisée dont les Roms sont victimes, notamment en </w:t>
      </w:r>
      <w:r>
        <w:rPr>
          <w:b/>
        </w:rPr>
        <w:t xml:space="preserve">multipliant les </w:t>
      </w:r>
      <w:r w:rsidRPr="00B85E60">
        <w:rPr>
          <w:b/>
        </w:rPr>
        <w:t xml:space="preserve">campagnes de sensibilisation </w:t>
      </w:r>
      <w:r>
        <w:rPr>
          <w:b/>
        </w:rPr>
        <w:t>visant à</w:t>
      </w:r>
      <w:r w:rsidRPr="00B85E60">
        <w:rPr>
          <w:b/>
        </w:rPr>
        <w:t xml:space="preserve"> promo</w:t>
      </w:r>
      <w:r>
        <w:rPr>
          <w:b/>
        </w:rPr>
        <w:t>uvoir</w:t>
      </w:r>
      <w:r w:rsidRPr="00B85E60">
        <w:rPr>
          <w:b/>
        </w:rPr>
        <w:t xml:space="preserve"> la tolérance et </w:t>
      </w:r>
      <w:r>
        <w:rPr>
          <w:b/>
        </w:rPr>
        <w:t xml:space="preserve">le </w:t>
      </w:r>
      <w:r w:rsidRPr="00B85E60">
        <w:rPr>
          <w:b/>
        </w:rPr>
        <w:t xml:space="preserve">respect de la diversité. L’État partie devrait adopter des mesures pour promouvoir l’accès </w:t>
      </w:r>
      <w:r w:rsidR="009D1894">
        <w:rPr>
          <w:b/>
        </w:rPr>
        <w:t xml:space="preserve">en toute égalité </w:t>
      </w:r>
      <w:r w:rsidRPr="00B85E60">
        <w:rPr>
          <w:b/>
        </w:rPr>
        <w:t>aux possibilités et aux services dans tous les domaines et à tous les niveaux par des moyens appropriés en vue d’éliminer les inégalités existantes. Enfin, l’État partie devrait veiller à ce que les cas de discrimination fassent systématique</w:t>
      </w:r>
      <w:r>
        <w:rPr>
          <w:b/>
        </w:rPr>
        <w:t xml:space="preserve">ment </w:t>
      </w:r>
      <w:r w:rsidRPr="00B85E60">
        <w:rPr>
          <w:b/>
        </w:rPr>
        <w:t>l’objet d’enquête</w:t>
      </w:r>
      <w:r>
        <w:rPr>
          <w:b/>
        </w:rPr>
        <w:t>s</w:t>
      </w:r>
      <w:r w:rsidRPr="00B85E60">
        <w:rPr>
          <w:b/>
        </w:rPr>
        <w:t xml:space="preserve">, à ce que les responsables soient traduits en justice et punis et à ce qu’une indemnisation </w:t>
      </w:r>
      <w:r w:rsidR="009D1894">
        <w:rPr>
          <w:b/>
        </w:rPr>
        <w:t>adéquate soit assurée aux victimes</w:t>
      </w:r>
      <w:r w:rsidRPr="00B85E60">
        <w:rPr>
          <w:b/>
        </w:rPr>
        <w:t>.</w:t>
      </w:r>
    </w:p>
    <w:p w:rsidR="001F6DFD" w:rsidRPr="00B85E60" w:rsidRDefault="001F6DFD" w:rsidP="004D7AAA">
      <w:pPr>
        <w:pStyle w:val="SingleTxtG"/>
      </w:pPr>
      <w:r w:rsidRPr="00B85E60">
        <w:t>8.</w:t>
      </w:r>
      <w:r w:rsidRPr="00B85E60">
        <w:tab/>
        <w:t xml:space="preserve">Le Comité est préoccupé par le grand nombre de cas de torture et </w:t>
      </w:r>
      <w:r w:rsidR="004D7AAA">
        <w:t>d’</w:t>
      </w:r>
      <w:r w:rsidRPr="00B85E60">
        <w:t xml:space="preserve">autres traitements inhumains et dégradants, y compris la non-assistance à personne en danger, et de discrimination fondée sur des motifs raciaux, en particulier à l’égard de personnes d’origine rom, </w:t>
      </w:r>
      <w:r w:rsidR="004D7AAA">
        <w:t>imputables à des agents des</w:t>
      </w:r>
      <w:r w:rsidRPr="00B85E60">
        <w:t xml:space="preserve"> forces de l’ordre. Il note </w:t>
      </w:r>
      <w:r w:rsidR="004D7AAA">
        <w:t>aussi</w:t>
      </w:r>
      <w:r w:rsidRPr="00B85E60">
        <w:t xml:space="preserve"> avec préoccupation </w:t>
      </w:r>
      <w:r>
        <w:t xml:space="preserve">que, dans </w:t>
      </w:r>
      <w:r w:rsidRPr="00B85E60">
        <w:t>aucun de ces cas</w:t>
      </w:r>
      <w:r>
        <w:t>, les</w:t>
      </w:r>
      <w:r w:rsidRPr="00B85E60">
        <w:t xml:space="preserve"> policiers poursuivis </w:t>
      </w:r>
      <w:r>
        <w:t>n’ont été sanc</w:t>
      </w:r>
      <w:r w:rsidRPr="00B85E60">
        <w:rPr>
          <w:spacing w:val="-2"/>
        </w:rPr>
        <w:t xml:space="preserve">tionnés et </w:t>
      </w:r>
      <w:r w:rsidR="007A5829">
        <w:rPr>
          <w:spacing w:val="-2"/>
        </w:rPr>
        <w:t>qu’aucune réparation n’a été accordée aux victimes</w:t>
      </w:r>
      <w:r w:rsidRPr="00B85E60">
        <w:rPr>
          <w:spacing w:val="-2"/>
        </w:rPr>
        <w:t xml:space="preserve">. Il juge préoccupant que le système actuel </w:t>
      </w:r>
      <w:r w:rsidR="007A5829">
        <w:rPr>
          <w:spacing w:val="-2"/>
        </w:rPr>
        <w:t>semble manquer</w:t>
      </w:r>
      <w:r w:rsidRPr="00B85E60">
        <w:rPr>
          <w:spacing w:val="-2"/>
        </w:rPr>
        <w:t xml:space="preserve"> d’objectivité et de crédibilité et facilite </w:t>
      </w:r>
      <w:r w:rsidRPr="00B85E60">
        <w:rPr>
          <w:spacing w:val="-4"/>
        </w:rPr>
        <w:t>l’impunité des policiers impliqués dans des violations des droits de l’homme (art.</w:t>
      </w:r>
      <w:r>
        <w:rPr>
          <w:spacing w:val="-4"/>
        </w:rPr>
        <w:t xml:space="preserve"> </w:t>
      </w:r>
      <w:r w:rsidRPr="00B85E60">
        <w:rPr>
          <w:spacing w:val="-4"/>
        </w:rPr>
        <w:t>2, 7, 9 et 14).</w:t>
      </w:r>
    </w:p>
    <w:p w:rsidR="001F6DFD" w:rsidRPr="00B85E60" w:rsidRDefault="001F6DFD" w:rsidP="001F6DFD">
      <w:pPr>
        <w:pStyle w:val="SingleTxtG"/>
        <w:ind w:left="1701"/>
        <w:rPr>
          <w:b/>
        </w:rPr>
      </w:pPr>
      <w:r w:rsidRPr="00B85E60">
        <w:rPr>
          <w:b/>
        </w:rPr>
        <w:t xml:space="preserve">L’État partie devrait prendre les mesures voulues pour éliminer toutes les formes de harcèlement par la police et de </w:t>
      </w:r>
      <w:r w:rsidR="0009463D">
        <w:rPr>
          <w:b/>
        </w:rPr>
        <w:t>mauvais traitements pendant</w:t>
      </w:r>
      <w:r w:rsidRPr="00B85E60">
        <w:rPr>
          <w:b/>
        </w:rPr>
        <w:t xml:space="preserve"> les enquêtes de police, et notamment mener </w:t>
      </w:r>
      <w:r w:rsidR="0009463D">
        <w:rPr>
          <w:b/>
        </w:rPr>
        <w:t>d</w:t>
      </w:r>
      <w:r w:rsidRPr="00B85E60">
        <w:rPr>
          <w:b/>
        </w:rPr>
        <w:t xml:space="preserve">es enquêtes </w:t>
      </w:r>
      <w:r w:rsidR="0009463D">
        <w:rPr>
          <w:b/>
        </w:rPr>
        <w:t>sans délai</w:t>
      </w:r>
      <w:r w:rsidRPr="00B85E60">
        <w:rPr>
          <w:b/>
        </w:rPr>
        <w:t xml:space="preserve">, poursuivre les responsables, adopter des dispositions en vue de garantir une protection effective et faire en sorte que les victimes disposent de recours. Le niveau requis d’indépendance des enquêtes judiciaires dans lesquelles des </w:t>
      </w:r>
      <w:r w:rsidR="00E601FE">
        <w:rPr>
          <w:b/>
        </w:rPr>
        <w:t>agents des forces</w:t>
      </w:r>
      <w:r w:rsidRPr="00B85E60">
        <w:rPr>
          <w:b/>
        </w:rPr>
        <w:t xml:space="preserve"> </w:t>
      </w:r>
      <w:r w:rsidR="003D35BE">
        <w:rPr>
          <w:b/>
        </w:rPr>
        <w:t xml:space="preserve">de </w:t>
      </w:r>
      <w:r w:rsidRPr="00B85E60">
        <w:rPr>
          <w:b/>
        </w:rPr>
        <w:t xml:space="preserve">l’ordre sont impliqués devrait être garanti. L’État partie devrait </w:t>
      </w:r>
      <w:r w:rsidR="00E601FE">
        <w:rPr>
          <w:b/>
        </w:rPr>
        <w:t xml:space="preserve">mettre en place </w:t>
      </w:r>
      <w:r w:rsidRPr="00B85E60">
        <w:rPr>
          <w:b/>
        </w:rPr>
        <w:t xml:space="preserve">un mécanisme indépendant </w:t>
      </w:r>
      <w:r w:rsidR="00E601FE">
        <w:rPr>
          <w:b/>
        </w:rPr>
        <w:t>de contrôle des poursuites et d</w:t>
      </w:r>
      <w:r w:rsidRPr="00B85E60">
        <w:rPr>
          <w:b/>
        </w:rPr>
        <w:t>es condamnations dans les cas de plainte pour comportement déli</w:t>
      </w:r>
      <w:r w:rsidR="00E601FE">
        <w:rPr>
          <w:b/>
        </w:rPr>
        <w:t>ctueux de membres de la police et en assurer le fonctionnement.</w:t>
      </w:r>
    </w:p>
    <w:p w:rsidR="001F6DFD" w:rsidRPr="00B85E60" w:rsidRDefault="001F6DFD" w:rsidP="001F6DFD">
      <w:pPr>
        <w:pStyle w:val="SingleTxtG"/>
      </w:pPr>
      <w:r w:rsidRPr="00B85E60">
        <w:t>9.</w:t>
      </w:r>
      <w:r w:rsidRPr="00B85E60">
        <w:tab/>
        <w:t xml:space="preserve">Le Comité </w:t>
      </w:r>
      <w:r w:rsidR="00C218BA">
        <w:t xml:space="preserve">note avec regret </w:t>
      </w:r>
      <w:r w:rsidRPr="00B85E60">
        <w:t>les récent</w:t>
      </w:r>
      <w:r>
        <w:t>e</w:t>
      </w:r>
      <w:r w:rsidRPr="00B85E60">
        <w:t xml:space="preserve">s </w:t>
      </w:r>
      <w:r>
        <w:t>manifestations</w:t>
      </w:r>
      <w:r w:rsidRPr="00B85E60">
        <w:t xml:space="preserve"> d’intolérance </w:t>
      </w:r>
      <w:r>
        <w:t>envers</w:t>
      </w:r>
      <w:r w:rsidRPr="00B85E60">
        <w:t xml:space="preserve"> de</w:t>
      </w:r>
      <w:r>
        <w:t>s</w:t>
      </w:r>
      <w:r w:rsidRPr="00B85E60">
        <w:t xml:space="preserve"> minorités religieuses </w:t>
      </w:r>
      <w:r w:rsidR="001F4DD7">
        <w:t>et</w:t>
      </w:r>
      <w:r w:rsidRPr="00B85E60">
        <w:t xml:space="preserve"> de</w:t>
      </w:r>
      <w:r>
        <w:t>s</w:t>
      </w:r>
      <w:r w:rsidRPr="00B85E60">
        <w:t xml:space="preserve"> groupes religieux non traditionnels en Bulgari</w:t>
      </w:r>
      <w:r>
        <w:t>e (110 cas de vandalisme dirigé</w:t>
      </w:r>
      <w:r w:rsidRPr="00B85E60">
        <w:t xml:space="preserve"> contre des mosquées au cours de</w:t>
      </w:r>
      <w:r>
        <w:t>s</w:t>
      </w:r>
      <w:r w:rsidRPr="00B85E60">
        <w:t xml:space="preserve"> </w:t>
      </w:r>
      <w:r w:rsidR="001F4DD7">
        <w:t>vingt dernières années</w:t>
      </w:r>
      <w:r>
        <w:t xml:space="preserve"> et agression</w:t>
      </w:r>
      <w:r w:rsidRPr="00B85E60">
        <w:t xml:space="preserve"> de musulmans en prière devant la mosquée Banya Bashi </w:t>
      </w:r>
      <w:r w:rsidR="001F4DD7">
        <w:t>dans le</w:t>
      </w:r>
      <w:r w:rsidRPr="00B85E60">
        <w:t xml:space="preserve"> centre de Sofia le 20</w:t>
      </w:r>
      <w:r w:rsidR="001F4DD7">
        <w:t> </w:t>
      </w:r>
      <w:r w:rsidRPr="00B85E60">
        <w:t xml:space="preserve">mai 2011). Constatant qu’il existe un cadre juridique </w:t>
      </w:r>
      <w:r w:rsidR="001F4DD7">
        <w:t>pour lutter</w:t>
      </w:r>
      <w:r w:rsidRPr="00B85E60">
        <w:t xml:space="preserve"> contre la discrimination et </w:t>
      </w:r>
      <w:r w:rsidR="001F4DD7">
        <w:t>l’incitation à la haine</w:t>
      </w:r>
      <w:r w:rsidRPr="00B85E60">
        <w:t xml:space="preserve">, le Comité </w:t>
      </w:r>
      <w:r w:rsidR="001F4DD7">
        <w:t>regrette que la législation</w:t>
      </w:r>
      <w:r w:rsidRPr="00B85E60">
        <w:t xml:space="preserve"> pertinente </w:t>
      </w:r>
      <w:r w:rsidR="001F4DD7">
        <w:t xml:space="preserve">soit insuffisamment appliquée </w:t>
      </w:r>
      <w:r w:rsidRPr="00B85E60">
        <w:t>(art.</w:t>
      </w:r>
      <w:r>
        <w:t xml:space="preserve"> </w:t>
      </w:r>
      <w:r w:rsidRPr="00B85E60">
        <w:t>18, 20 et 26).</w:t>
      </w:r>
    </w:p>
    <w:p w:rsidR="001F6DFD" w:rsidRPr="00B85E60" w:rsidRDefault="001F6DFD" w:rsidP="001F6DFD">
      <w:pPr>
        <w:pStyle w:val="SingleTxtG"/>
        <w:ind w:left="1701"/>
        <w:rPr>
          <w:b/>
        </w:rPr>
      </w:pPr>
      <w:r w:rsidRPr="00B85E60">
        <w:rPr>
          <w:b/>
        </w:rPr>
        <w:t xml:space="preserve">L’État partie devrait prendre toutes les mesures nécessaires pour promouvoir la prévention et la répression des crimes motivés par la haine, </w:t>
      </w:r>
      <w:r w:rsidR="00201082">
        <w:rPr>
          <w:b/>
        </w:rPr>
        <w:t xml:space="preserve">de l’incitation à la haine </w:t>
      </w:r>
      <w:r w:rsidRPr="00B85E60">
        <w:rPr>
          <w:b/>
        </w:rPr>
        <w:t xml:space="preserve">et du harcèlement contre les minorités et les communautés religieuses, en particulier les Roms et les musulmans, ainsi que </w:t>
      </w:r>
      <w:r w:rsidR="00201082">
        <w:rPr>
          <w:b/>
        </w:rPr>
        <w:t xml:space="preserve">les </w:t>
      </w:r>
      <w:r w:rsidRPr="00B85E60">
        <w:rPr>
          <w:b/>
        </w:rPr>
        <w:t xml:space="preserve">enquêtes sur ces actes, </w:t>
      </w:r>
      <w:r>
        <w:rPr>
          <w:b/>
        </w:rPr>
        <w:t>en</w:t>
      </w:r>
      <w:r w:rsidRPr="00B85E60">
        <w:rPr>
          <w:b/>
        </w:rPr>
        <w:t xml:space="preserve"> appli</w:t>
      </w:r>
      <w:r>
        <w:rPr>
          <w:b/>
        </w:rPr>
        <w:t xml:space="preserve">quant pleinement </w:t>
      </w:r>
      <w:r w:rsidRPr="00B85E60">
        <w:rPr>
          <w:b/>
        </w:rPr>
        <w:t xml:space="preserve">la législation existante et </w:t>
      </w:r>
      <w:r>
        <w:rPr>
          <w:b/>
        </w:rPr>
        <w:t xml:space="preserve">en menant </w:t>
      </w:r>
      <w:r w:rsidRPr="00B85E60">
        <w:rPr>
          <w:b/>
        </w:rPr>
        <w:t xml:space="preserve">des campagnes </w:t>
      </w:r>
      <w:r>
        <w:rPr>
          <w:b/>
        </w:rPr>
        <w:t xml:space="preserve">nationales </w:t>
      </w:r>
      <w:r w:rsidRPr="00B85E60">
        <w:rPr>
          <w:b/>
        </w:rPr>
        <w:t>de sensibilisation visant les minorités, les groupes religieux et la population dans son ensemble.</w:t>
      </w:r>
    </w:p>
    <w:p w:rsidR="001F6DFD" w:rsidRPr="00B85E60" w:rsidRDefault="001F6DFD" w:rsidP="001F6DFD">
      <w:pPr>
        <w:pStyle w:val="SingleTxtG"/>
      </w:pPr>
      <w:r w:rsidRPr="00B85E60">
        <w:t>10.</w:t>
      </w:r>
      <w:r w:rsidRPr="00B85E60">
        <w:tab/>
        <w:t xml:space="preserve">Le Comité est préoccupé par les informations faisant état de pratiques violentes et discriminatoires </w:t>
      </w:r>
      <w:r w:rsidR="003F2115">
        <w:t>subies par des</w:t>
      </w:r>
      <w:r w:rsidRPr="00B85E60">
        <w:t xml:space="preserve"> enfants et des adultes handicapés </w:t>
      </w:r>
      <w:r w:rsidR="003F2115">
        <w:t>dans l</w:t>
      </w:r>
      <w:r w:rsidRPr="00B85E60">
        <w:t xml:space="preserve">es établissements médicaux, </w:t>
      </w:r>
      <w:r w:rsidR="003F2115">
        <w:t>notamment</w:t>
      </w:r>
      <w:r w:rsidRPr="00B85E60">
        <w:t xml:space="preserve"> la privation de liberté, l’usage d</w:t>
      </w:r>
      <w:r w:rsidR="003F2115">
        <w:t xml:space="preserve">e moyens de contention </w:t>
      </w:r>
      <w:r w:rsidRPr="00B85E60">
        <w:t xml:space="preserve">et l’administration forcée de traitements attentatoires </w:t>
      </w:r>
      <w:r w:rsidR="003F2115">
        <w:t>à l’intégrité et irréversibles comme des</w:t>
      </w:r>
      <w:r w:rsidRPr="00B85E60">
        <w:t xml:space="preserve"> neuroleptiques. Il est également préoccupé par les difficultés de réinsertion que rencontrent les personnes placées en institution et par l’absence de programmes </w:t>
      </w:r>
      <w:r>
        <w:t xml:space="preserve">visant à favoriser leur </w:t>
      </w:r>
      <w:r w:rsidRPr="00B85E60">
        <w:t>réadaptation psychosociale (art. 2, 6, 7, 9, 10 et 26).</w:t>
      </w:r>
    </w:p>
    <w:p w:rsidR="001F6DFD" w:rsidRPr="00324B07" w:rsidRDefault="001F6DFD" w:rsidP="001F6DFD">
      <w:pPr>
        <w:pStyle w:val="SingleTxtG"/>
        <w:ind w:left="1701"/>
        <w:rPr>
          <w:b/>
        </w:rPr>
      </w:pPr>
      <w:r w:rsidRPr="00324B07">
        <w:rPr>
          <w:b/>
        </w:rPr>
        <w:t xml:space="preserve">L’État partie devrait appliquer une politique de tolérance zéro à l’égard des pratiques violentes et discriminatoires dont </w:t>
      </w:r>
      <w:r>
        <w:rPr>
          <w:b/>
        </w:rPr>
        <w:t>d</w:t>
      </w:r>
      <w:r w:rsidRPr="00324B07">
        <w:rPr>
          <w:b/>
        </w:rPr>
        <w:t xml:space="preserve">es enfants et </w:t>
      </w:r>
      <w:r>
        <w:rPr>
          <w:b/>
        </w:rPr>
        <w:t>d</w:t>
      </w:r>
      <w:r w:rsidRPr="00324B07">
        <w:rPr>
          <w:b/>
        </w:rPr>
        <w:t>es adulte</w:t>
      </w:r>
      <w:r w:rsidR="00453A78">
        <w:rPr>
          <w:b/>
        </w:rPr>
        <w:t>s handicapés sont l’objet dans l</w:t>
      </w:r>
      <w:r w:rsidRPr="00324B07">
        <w:rPr>
          <w:b/>
        </w:rPr>
        <w:t xml:space="preserve">es établissements médicaux et prendre les mesures voulues pour garantir que toutes les allégations de torture et de </w:t>
      </w:r>
      <w:r w:rsidR="00453A78">
        <w:rPr>
          <w:b/>
        </w:rPr>
        <w:t>mauvais traitements</w:t>
      </w:r>
      <w:r w:rsidRPr="00324B07">
        <w:rPr>
          <w:b/>
        </w:rPr>
        <w:t xml:space="preserve"> donnent lieu à des enquêtes effectives et approfondies et que les auteurs présumés de ces actes soient </w:t>
      </w:r>
      <w:r>
        <w:rPr>
          <w:b/>
        </w:rPr>
        <w:t>dûment poursuivi</w:t>
      </w:r>
      <w:r w:rsidRPr="00324B07">
        <w:rPr>
          <w:b/>
        </w:rPr>
        <w:t xml:space="preserve">s et sanctionnés. L’État partie devrait également </w:t>
      </w:r>
      <w:r w:rsidR="00453A78">
        <w:rPr>
          <w:b/>
        </w:rPr>
        <w:t>établir</w:t>
      </w:r>
      <w:r w:rsidRPr="00324B07">
        <w:rPr>
          <w:b/>
        </w:rPr>
        <w:t xml:space="preserve"> et </w:t>
      </w:r>
      <w:r w:rsidR="00453A78">
        <w:rPr>
          <w:b/>
        </w:rPr>
        <w:t>mettre en œuvre</w:t>
      </w:r>
      <w:r w:rsidRPr="00324B07">
        <w:rPr>
          <w:b/>
        </w:rPr>
        <w:t xml:space="preserve"> des programmes de réadaptation psychosociale pour les personnes placées en établissement.</w:t>
      </w:r>
    </w:p>
    <w:p w:rsidR="001F6DFD" w:rsidRPr="00324B07" w:rsidRDefault="001F6DFD" w:rsidP="001F6DFD">
      <w:pPr>
        <w:pStyle w:val="SingleTxtG"/>
      </w:pPr>
      <w:r w:rsidRPr="00324B07">
        <w:t>11.</w:t>
      </w:r>
      <w:r w:rsidRPr="00324B07">
        <w:tab/>
        <w:t xml:space="preserve">Le Comité constate avec préoccupation que, comme l’État partie l’a reconnu, la législation </w:t>
      </w:r>
      <w:r w:rsidR="00453A78">
        <w:t>régissant</w:t>
      </w:r>
      <w:r w:rsidRPr="00324B07">
        <w:t xml:space="preserve"> les conditions dans lesquelles les </w:t>
      </w:r>
      <w:r w:rsidR="00453A78">
        <w:t>agents des forces</w:t>
      </w:r>
      <w:r w:rsidRPr="00324B07">
        <w:t xml:space="preserve"> de l’ordre peuvent </w:t>
      </w:r>
      <w:r w:rsidR="00453A78">
        <w:t>faire usage d’une force potentiellement</w:t>
      </w:r>
      <w:r w:rsidRPr="00324B07">
        <w:t xml:space="preserve"> meurtrière </w:t>
      </w:r>
      <w:r w:rsidR="00453A78">
        <w:t>semble incompatible avec les</w:t>
      </w:r>
      <w:r w:rsidRPr="00324B07">
        <w:t xml:space="preserve"> internationales pertinentes, ce qui peut entraîner un risque grave </w:t>
      </w:r>
      <w:r>
        <w:t>d’atteinte au</w:t>
      </w:r>
      <w:r w:rsidRPr="00324B07">
        <w:t xml:space="preserve"> droit à la vie. Le Comité </w:t>
      </w:r>
      <w:r w:rsidR="003526F8">
        <w:t>note que les règles actuelles adoptées par</w:t>
      </w:r>
      <w:r w:rsidRPr="00324B07">
        <w:t xml:space="preserve"> l’État partie </w:t>
      </w:r>
      <w:r>
        <w:t>dans le cadre</w:t>
      </w:r>
      <w:r w:rsidRPr="00324B07">
        <w:t xml:space="preserve"> de la loi </w:t>
      </w:r>
      <w:r w:rsidR="003526F8">
        <w:t>relative au</w:t>
      </w:r>
      <w:r w:rsidRPr="00324B07">
        <w:t xml:space="preserve"> Ministère de l'intérieur (actuellement </w:t>
      </w:r>
      <w:r w:rsidR="003526F8">
        <w:t xml:space="preserve">en révision) ne semblent pas énoncer </w:t>
      </w:r>
      <w:r w:rsidRPr="00324B07">
        <w:t>clairement de</w:t>
      </w:r>
      <w:r w:rsidR="003526F8">
        <w:t>s</w:t>
      </w:r>
      <w:r w:rsidRPr="00324B07">
        <w:t xml:space="preserve"> conditions </w:t>
      </w:r>
      <w:r w:rsidR="003526F8">
        <w:t>qui soient entièrement conformes</w:t>
      </w:r>
      <w:r w:rsidRPr="00324B07">
        <w:t xml:space="preserve"> aux normes internationales </w:t>
      </w:r>
      <w:r>
        <w:t>relatives</w:t>
      </w:r>
      <w:r w:rsidRPr="00324B07">
        <w:t xml:space="preserve"> à l’</w:t>
      </w:r>
      <w:r w:rsidR="003526F8">
        <w:t>application</w:t>
      </w:r>
      <w:r w:rsidRPr="00324B07">
        <w:t xml:space="preserve"> de la force meurtrière (art.</w:t>
      </w:r>
      <w:r>
        <w:t xml:space="preserve"> </w:t>
      </w:r>
      <w:r w:rsidRPr="00324B07">
        <w:t>6).</w:t>
      </w:r>
    </w:p>
    <w:p w:rsidR="001F6DFD" w:rsidRPr="00324B07" w:rsidRDefault="001F6DFD" w:rsidP="001F6DFD">
      <w:pPr>
        <w:pStyle w:val="SingleTxtG"/>
        <w:ind w:left="1701"/>
        <w:rPr>
          <w:b/>
        </w:rPr>
      </w:pPr>
      <w:r w:rsidRPr="00324B07">
        <w:rPr>
          <w:b/>
        </w:rPr>
        <w:t xml:space="preserve">L’État partie devrait d’urgence faire en sorte que sa législation et ses dispositions réglementaires soient conformes aux exigences du </w:t>
      </w:r>
      <w:r w:rsidR="00271EB0">
        <w:rPr>
          <w:b/>
        </w:rPr>
        <w:t xml:space="preserve">respect du </w:t>
      </w:r>
      <w:r w:rsidRPr="00324B07">
        <w:rPr>
          <w:b/>
        </w:rPr>
        <w:t>droit à la vie, en particuli</w:t>
      </w:r>
      <w:r w:rsidR="00271EB0">
        <w:rPr>
          <w:b/>
        </w:rPr>
        <w:t>er telles qu’énoncées dans les P</w:t>
      </w:r>
      <w:r w:rsidRPr="00324B07">
        <w:rPr>
          <w:b/>
        </w:rPr>
        <w:t>rincipes de base sur le recours à la force et l’utilisation des armes à feu par les respons</w:t>
      </w:r>
      <w:r>
        <w:rPr>
          <w:b/>
        </w:rPr>
        <w:t>ables de l’application des lois.</w:t>
      </w:r>
    </w:p>
    <w:p w:rsidR="001F6DFD" w:rsidRPr="00324B07" w:rsidRDefault="001F6DFD" w:rsidP="001F6DFD">
      <w:pPr>
        <w:pStyle w:val="SingleTxtG"/>
      </w:pPr>
      <w:r w:rsidRPr="00324B07">
        <w:t>12.</w:t>
      </w:r>
      <w:r w:rsidRPr="00324B07">
        <w:tab/>
        <w:t xml:space="preserve">Le Comité </w:t>
      </w:r>
      <w:r w:rsidR="00DD010A">
        <w:t>note avec regret</w:t>
      </w:r>
      <w:r w:rsidRPr="00324B07">
        <w:t xml:space="preserve"> que le nombre d’affaires </w:t>
      </w:r>
      <w:r>
        <w:t xml:space="preserve">de violence </w:t>
      </w:r>
      <w:r w:rsidR="0057585D">
        <w:t>au foyer,</w:t>
      </w:r>
      <w:r w:rsidR="00DD010A">
        <w:t xml:space="preserve"> en particulier à l’égard des femmes, </w:t>
      </w:r>
      <w:r w:rsidRPr="00324B07">
        <w:t xml:space="preserve">effectivement portées devant la justice et ayant donné lieu à des sanctions </w:t>
      </w:r>
      <w:r w:rsidR="00DD010A">
        <w:t>est</w:t>
      </w:r>
      <w:r w:rsidRPr="00324B07">
        <w:t xml:space="preserve"> faible. Il regrette à ce propos que les poursuites au pénal soient généralement limitées </w:t>
      </w:r>
      <w:r w:rsidR="0057585D">
        <w:t>aux cas dans lesquels</w:t>
      </w:r>
      <w:r w:rsidRPr="00324B07">
        <w:t xml:space="preserve"> l’auteur de l’infraction a violé l’ordonnance administrative de protection et que, en vertu du paragraphe 1 de l’article 161 du Code pénal, des allégations de violence </w:t>
      </w:r>
      <w:r w:rsidR="0057585D">
        <w:t>au foyer</w:t>
      </w:r>
      <w:r w:rsidRPr="00324B07">
        <w:t xml:space="preserve"> </w:t>
      </w:r>
      <w:r>
        <w:t xml:space="preserve">ne </w:t>
      </w:r>
      <w:r w:rsidR="0057585D">
        <w:t>puisse</w:t>
      </w:r>
      <w:r>
        <w:t xml:space="preserve">nt être présentées que </w:t>
      </w:r>
      <w:r w:rsidR="0057585D">
        <w:t>dans le cadre d’une plainte pour</w:t>
      </w:r>
      <w:r w:rsidRPr="00324B07">
        <w:t xml:space="preserve"> lésions corporelles </w:t>
      </w:r>
      <w:r>
        <w:t>simples</w:t>
      </w:r>
      <w:r w:rsidRPr="00324B07">
        <w:t xml:space="preserve"> ou de gravité moyenne (art.</w:t>
      </w:r>
      <w:r>
        <w:t xml:space="preserve"> </w:t>
      </w:r>
      <w:r w:rsidRPr="00324B07">
        <w:t>2, 3, 6 et 26).</w:t>
      </w:r>
    </w:p>
    <w:p w:rsidR="001F6DFD" w:rsidRPr="00324B07" w:rsidRDefault="001F6DFD" w:rsidP="001F6DFD">
      <w:pPr>
        <w:pStyle w:val="SingleTxtG"/>
        <w:ind w:left="1701"/>
        <w:rPr>
          <w:b/>
        </w:rPr>
      </w:pPr>
      <w:r w:rsidRPr="00324B07">
        <w:rPr>
          <w:b/>
        </w:rPr>
        <w:t xml:space="preserve">L’État partie devrait poursuivre </w:t>
      </w:r>
      <w:r w:rsidR="00401195">
        <w:rPr>
          <w:b/>
        </w:rPr>
        <w:t>énergiquement son action visant à prévenir la violence au foyer, en particulier la violence contre les femmes, et encourager les victimes à signaler aux autorités les cas de violence. Il devrait soumettre ces cas à une surveillance spéciale et analyser les raisons pour lesquelles ils sont rarement signalés. Il devrait également faire en sorte que tous les cas de violence au foyer fassent l’objet d’enquêtes pénales et que les auteurs des actes commis soient poursuivis et sanctionnés dans tous les cas</w:t>
      </w:r>
      <w:r w:rsidRPr="00324B07">
        <w:rPr>
          <w:b/>
        </w:rPr>
        <w:t>.</w:t>
      </w:r>
    </w:p>
    <w:p w:rsidR="001F6DFD" w:rsidRPr="00324B07" w:rsidRDefault="001F6DFD" w:rsidP="001F6DFD">
      <w:pPr>
        <w:pStyle w:val="SingleTxtG"/>
      </w:pPr>
      <w:r w:rsidRPr="00324B07">
        <w:t>13</w:t>
      </w:r>
      <w:r>
        <w:t>.</w:t>
      </w:r>
      <w:r w:rsidRPr="00324B07">
        <w:tab/>
      </w:r>
      <w:r>
        <w:t>Le Comité donne</w:t>
      </w:r>
      <w:r w:rsidRPr="00324B07">
        <w:t xml:space="preserve"> acte des amendements apportés au Code pénal depuis 2004, </w:t>
      </w:r>
      <w:r>
        <w:t>mais regrette</w:t>
      </w:r>
      <w:r w:rsidRPr="00324B07">
        <w:t xml:space="preserve"> que la législation nationale ne </w:t>
      </w:r>
      <w:r w:rsidR="003B701E">
        <w:t>prévoie</w:t>
      </w:r>
      <w:r w:rsidRPr="00324B07">
        <w:t xml:space="preserve"> toujours pas </w:t>
      </w:r>
      <w:r w:rsidR="003B701E">
        <w:t>l’incrimination de la torture et d</w:t>
      </w:r>
      <w:r w:rsidRPr="00324B07">
        <w:t>es traitements inhumains et dégradants conformément aux normes internationales, les articles 287 et 143 du Code pénal ne couvrant pas entièrement ces infractions (art.</w:t>
      </w:r>
      <w:r>
        <w:t xml:space="preserve"> </w:t>
      </w:r>
      <w:r w:rsidRPr="00324B07">
        <w:t>7).</w:t>
      </w:r>
    </w:p>
    <w:p w:rsidR="001F6DFD" w:rsidRPr="00324B07" w:rsidRDefault="001F6DFD" w:rsidP="001F6DFD">
      <w:pPr>
        <w:pStyle w:val="SingleTxtG"/>
        <w:ind w:left="1701"/>
        <w:rPr>
          <w:b/>
        </w:rPr>
      </w:pPr>
      <w:r w:rsidRPr="00324B07">
        <w:rPr>
          <w:b/>
        </w:rPr>
        <w:t>L’État partie</w:t>
      </w:r>
      <w:r w:rsidRPr="00324B07">
        <w:t xml:space="preserve"> </w:t>
      </w:r>
      <w:r w:rsidRPr="00324B07">
        <w:rPr>
          <w:b/>
        </w:rPr>
        <w:t xml:space="preserve">devrait adopter une définition de la torture qui soit </w:t>
      </w:r>
      <w:r w:rsidR="00B40A0E">
        <w:rPr>
          <w:b/>
        </w:rPr>
        <w:t xml:space="preserve">entièrement </w:t>
      </w:r>
      <w:r w:rsidRPr="00324B07">
        <w:rPr>
          <w:b/>
        </w:rPr>
        <w:t>conforme aux articles 1</w:t>
      </w:r>
      <w:r w:rsidRPr="00324B07">
        <w:rPr>
          <w:b/>
          <w:vertAlign w:val="superscript"/>
        </w:rPr>
        <w:t>er</w:t>
      </w:r>
      <w:r w:rsidRPr="00324B07">
        <w:rPr>
          <w:b/>
        </w:rPr>
        <w:t xml:space="preserve"> et 4 de la Convention contre la torture </w:t>
      </w:r>
      <w:r w:rsidR="00B40A0E">
        <w:rPr>
          <w:b/>
        </w:rPr>
        <w:t xml:space="preserve">et </w:t>
      </w:r>
      <w:r w:rsidRPr="00324B07">
        <w:rPr>
          <w:b/>
        </w:rPr>
        <w:t>à l’article</w:t>
      </w:r>
      <w:r w:rsidR="003A20B4">
        <w:rPr>
          <w:b/>
        </w:rPr>
        <w:t> </w:t>
      </w:r>
      <w:r w:rsidRPr="00324B07">
        <w:rPr>
          <w:b/>
        </w:rPr>
        <w:t>7 du Pacte.</w:t>
      </w:r>
    </w:p>
    <w:p w:rsidR="001F6DFD" w:rsidRPr="008E272F" w:rsidRDefault="001F6DFD" w:rsidP="001F6DFD">
      <w:pPr>
        <w:pStyle w:val="SingleTxtG"/>
      </w:pPr>
      <w:r w:rsidRPr="008E272F">
        <w:t>14.</w:t>
      </w:r>
      <w:r w:rsidRPr="008E272F">
        <w:tab/>
      </w:r>
      <w:r w:rsidR="003A20B4">
        <w:t>Le Comité note</w:t>
      </w:r>
      <w:r>
        <w:t xml:space="preserve"> avec satisfaction</w:t>
      </w:r>
      <w:r w:rsidRPr="008E272F">
        <w:t xml:space="preserve"> que les châtiments corporels</w:t>
      </w:r>
      <w:r>
        <w:t xml:space="preserve"> so</w:t>
      </w:r>
      <w:r w:rsidRPr="008E272F">
        <w:t xml:space="preserve">nt interdits dans la famille, à l’école, dans le système pénitentiaire, dans les autres structures d’accueil et au travail, </w:t>
      </w:r>
      <w:r w:rsidR="003A20B4">
        <w:t>mais il</w:t>
      </w:r>
      <w:r w:rsidRPr="008E272F">
        <w:t xml:space="preserve"> est préoccupé par le fait que les enfants sont enco</w:t>
      </w:r>
      <w:r w:rsidR="003A20B4">
        <w:t>re victimes de telles pratiques</w:t>
      </w:r>
      <w:r w:rsidRPr="008E272F">
        <w:t xml:space="preserve"> et qu’aucune information n’existe sur les poursuites judicaires </w:t>
      </w:r>
      <w:r w:rsidR="003A20B4">
        <w:t>engagées pour</w:t>
      </w:r>
      <w:r>
        <w:t xml:space="preserve"> ces</w:t>
      </w:r>
      <w:r w:rsidRPr="008E272F">
        <w:t xml:space="preserve"> pratiques (art.</w:t>
      </w:r>
      <w:r>
        <w:t xml:space="preserve"> </w:t>
      </w:r>
      <w:r w:rsidRPr="008E272F">
        <w:t>7 et 24).</w:t>
      </w:r>
    </w:p>
    <w:p w:rsidR="001F6DFD" w:rsidRPr="008E272F" w:rsidRDefault="001F6DFD" w:rsidP="001F6DFD">
      <w:pPr>
        <w:pStyle w:val="SingleTxtG"/>
        <w:ind w:left="1701"/>
      </w:pPr>
      <w:r w:rsidRPr="008E272F">
        <w:rPr>
          <w:b/>
        </w:rPr>
        <w:t xml:space="preserve">L’État partie devrait prendre des mesures concrètes pour </w:t>
      </w:r>
      <w:r w:rsidR="00F44C87">
        <w:rPr>
          <w:b/>
        </w:rPr>
        <w:t>mettre fin à la pratique des châtiments corporels dans toutes les circonstances</w:t>
      </w:r>
      <w:r w:rsidRPr="008E272F">
        <w:rPr>
          <w:b/>
        </w:rPr>
        <w:t xml:space="preserve">. Il devrait encourager les formes non violentes de discipline pour remplacer les châtiments corporels et devrait poursuivre les campagnes d’information visant à sensibiliser davantage le grand public </w:t>
      </w:r>
      <w:r>
        <w:rPr>
          <w:b/>
        </w:rPr>
        <w:t xml:space="preserve">à </w:t>
      </w:r>
      <w:r w:rsidRPr="008E272F">
        <w:rPr>
          <w:b/>
        </w:rPr>
        <w:t xml:space="preserve">leurs effets </w:t>
      </w:r>
      <w:r w:rsidR="00B605E1">
        <w:rPr>
          <w:b/>
        </w:rPr>
        <w:t>préjudiciables</w:t>
      </w:r>
      <w:r w:rsidRPr="008E272F">
        <w:rPr>
          <w:b/>
        </w:rPr>
        <w:t>.</w:t>
      </w:r>
    </w:p>
    <w:p w:rsidR="001F6DFD" w:rsidRPr="008E272F" w:rsidRDefault="001F6DFD" w:rsidP="001F6DFD">
      <w:pPr>
        <w:pStyle w:val="SingleTxtG"/>
      </w:pPr>
      <w:r w:rsidRPr="008E272F">
        <w:t>15.</w:t>
      </w:r>
      <w:r w:rsidRPr="008E272F">
        <w:tab/>
        <w:t xml:space="preserve">Le Comité est préoccupé par la pratique répandue des mariages arrangés </w:t>
      </w:r>
      <w:r w:rsidR="000C6EC2">
        <w:t xml:space="preserve">non officiels </w:t>
      </w:r>
      <w:r w:rsidRPr="008E272F">
        <w:t xml:space="preserve">dans la communauté rom, en particulier pour les </w:t>
      </w:r>
      <w:r w:rsidR="000C6EC2">
        <w:t>jeunes filles</w:t>
      </w:r>
      <w:r w:rsidRPr="008E272F">
        <w:t xml:space="preserve"> de moins de 14</w:t>
      </w:r>
      <w:r w:rsidR="000C6EC2">
        <w:t> </w:t>
      </w:r>
      <w:r w:rsidRPr="008E272F">
        <w:t>ans, alors que l’âge minimum du mariage est de 18</w:t>
      </w:r>
      <w:r>
        <w:t xml:space="preserve"> </w:t>
      </w:r>
      <w:r w:rsidRPr="008E272F">
        <w:t>ans (art.</w:t>
      </w:r>
      <w:r>
        <w:t xml:space="preserve"> </w:t>
      </w:r>
      <w:r w:rsidRPr="008E272F">
        <w:t>7</w:t>
      </w:r>
      <w:r>
        <w:t xml:space="preserve"> et</w:t>
      </w:r>
      <w:r w:rsidRPr="008E272F">
        <w:t xml:space="preserve"> 23).</w:t>
      </w:r>
    </w:p>
    <w:p w:rsidR="001F6DFD" w:rsidRPr="008E272F" w:rsidRDefault="001F6DFD" w:rsidP="001F6DFD">
      <w:pPr>
        <w:pStyle w:val="SingleTxtG"/>
        <w:ind w:left="1701"/>
      </w:pPr>
      <w:r w:rsidRPr="008E272F">
        <w:rPr>
          <w:b/>
        </w:rPr>
        <w:t>L’État partie devrait adopter et mettre en œuvre</w:t>
      </w:r>
      <w:r w:rsidR="000C6EC2">
        <w:rPr>
          <w:b/>
        </w:rPr>
        <w:t xml:space="preserve"> dans tout le pays</w:t>
      </w:r>
      <w:r w:rsidRPr="008E272F">
        <w:rPr>
          <w:b/>
        </w:rPr>
        <w:t xml:space="preserve"> un mécanisme de prévention visant à protéger les filles n’ayant pas atteint l’âge légal du mariage, au moyen </w:t>
      </w:r>
      <w:r w:rsidR="000C6EC2">
        <w:rPr>
          <w:b/>
        </w:rPr>
        <w:t>de stratégies</w:t>
      </w:r>
      <w:r w:rsidRPr="008E272F">
        <w:rPr>
          <w:b/>
        </w:rPr>
        <w:t xml:space="preserve"> de sensibilisation auprès de la communauté</w:t>
      </w:r>
      <w:r w:rsidR="000C6EC2">
        <w:rPr>
          <w:b/>
        </w:rPr>
        <w:t>,</w:t>
      </w:r>
      <w:r w:rsidRPr="008E272F">
        <w:rPr>
          <w:b/>
        </w:rPr>
        <w:t xml:space="preserve"> mettant l’accent sur les conséquences des mariages précoces et des mariages arrangés, et sur les droits et les devoirs des personnes concernées.</w:t>
      </w:r>
    </w:p>
    <w:p w:rsidR="001F6DFD" w:rsidRPr="008E272F" w:rsidRDefault="001F6DFD" w:rsidP="001F6DFD">
      <w:pPr>
        <w:pStyle w:val="SingleTxtG"/>
      </w:pPr>
      <w:r w:rsidRPr="008E272F">
        <w:t>16.</w:t>
      </w:r>
      <w:r w:rsidRPr="008E272F">
        <w:tab/>
        <w:t xml:space="preserve">Le Comité est préoccupé par </w:t>
      </w:r>
      <w:r w:rsidR="000C6EC2">
        <w:t>l’insuffisance des garanties</w:t>
      </w:r>
      <w:r w:rsidRPr="008E272F">
        <w:t xml:space="preserve"> de procédure </w:t>
      </w:r>
      <w:r>
        <w:t>accompagnant</w:t>
      </w:r>
      <w:r w:rsidRPr="008E272F">
        <w:t xml:space="preserve"> la procédure de détermination du statut de réfugié, en particulier en ce qui concerne les délais qui s’écoulent entre l’enregistrement initial de la demande et l’o</w:t>
      </w:r>
      <w:r>
        <w:t>uverture</w:t>
      </w:r>
      <w:r w:rsidRPr="008E272F">
        <w:t xml:space="preserve"> de la </w:t>
      </w:r>
      <w:r>
        <w:t>procédure de détermination</w:t>
      </w:r>
      <w:r w:rsidRPr="008E272F">
        <w:t xml:space="preserve">, et par le fait que la loi sur </w:t>
      </w:r>
      <w:r>
        <w:t>le droit d</w:t>
      </w:r>
      <w:r w:rsidRPr="008E272F">
        <w:t>’asi</w:t>
      </w:r>
      <w:r w:rsidR="000C6EC2">
        <w:t xml:space="preserve">le et les réfugiés ne contient </w:t>
      </w:r>
      <w:r w:rsidRPr="008E272F">
        <w:t xml:space="preserve">pas de dispositions garantissant un enregistrement audio des entretiens </w:t>
      </w:r>
      <w:r>
        <w:t xml:space="preserve">menés en vue de </w:t>
      </w:r>
      <w:r w:rsidRPr="008E272F">
        <w:t xml:space="preserve">la détermination du statut de réfugié et l’accès des requérants et de leur représentant légal </w:t>
      </w:r>
      <w:r>
        <w:t>au</w:t>
      </w:r>
      <w:r w:rsidRPr="008E272F">
        <w:t xml:space="preserve"> dossier personnel </w:t>
      </w:r>
      <w:r>
        <w:t xml:space="preserve">des premiers </w:t>
      </w:r>
      <w:r w:rsidRPr="008E272F">
        <w:t>avant qu</w:t>
      </w:r>
      <w:r>
        <w:t>’une</w:t>
      </w:r>
      <w:r w:rsidRPr="008E272F">
        <w:t xml:space="preserve"> décision ne soit prise (art.</w:t>
      </w:r>
      <w:r w:rsidR="003D35BE">
        <w:t> </w:t>
      </w:r>
      <w:r w:rsidRPr="008E272F">
        <w:t>7, 10 et 13).</w:t>
      </w:r>
    </w:p>
    <w:p w:rsidR="001F6DFD" w:rsidRPr="008E272F" w:rsidRDefault="001F6DFD" w:rsidP="001F6DFD">
      <w:pPr>
        <w:pStyle w:val="SingleTxtG"/>
        <w:ind w:left="1701"/>
      </w:pPr>
      <w:r w:rsidRPr="008E272F">
        <w:rPr>
          <w:b/>
        </w:rPr>
        <w:t xml:space="preserve">L’État partie devrait revoir la procédure d’asile et les décisions rendues sur les demandes de protection internationale par l’Agence </w:t>
      </w:r>
      <w:r>
        <w:rPr>
          <w:b/>
        </w:rPr>
        <w:t>nationale</w:t>
      </w:r>
      <w:r w:rsidRPr="008E272F">
        <w:rPr>
          <w:b/>
        </w:rPr>
        <w:t xml:space="preserve"> pour les réfugiés afin de garantir </w:t>
      </w:r>
      <w:r w:rsidR="00103949">
        <w:rPr>
          <w:b/>
        </w:rPr>
        <w:t>qu’un</w:t>
      </w:r>
      <w:r w:rsidRPr="008E272F">
        <w:rPr>
          <w:b/>
        </w:rPr>
        <w:t xml:space="preserve"> système équitable et efficace </w:t>
      </w:r>
      <w:r w:rsidR="00103949">
        <w:rPr>
          <w:b/>
        </w:rPr>
        <w:t>soit offert à tous les demandeurs d’asile</w:t>
      </w:r>
      <w:r w:rsidRPr="008E272F">
        <w:rPr>
          <w:b/>
        </w:rPr>
        <w:t>.</w:t>
      </w:r>
    </w:p>
    <w:p w:rsidR="001F6DFD" w:rsidRPr="008E272F" w:rsidRDefault="001F6DFD" w:rsidP="001F6DFD">
      <w:pPr>
        <w:pStyle w:val="SingleTxtG"/>
      </w:pPr>
      <w:r w:rsidRPr="008E272F">
        <w:t>17.</w:t>
      </w:r>
      <w:r w:rsidRPr="008E272F">
        <w:tab/>
        <w:t xml:space="preserve">Le Comité reste préoccupé par </w:t>
      </w:r>
      <w:r w:rsidR="00103949">
        <w:t>le fait que les personnes</w:t>
      </w:r>
      <w:r w:rsidRPr="008E272F">
        <w:t xml:space="preserve"> handicapées mentales </w:t>
      </w:r>
      <w:r w:rsidR="00103949">
        <w:t xml:space="preserve">ne bénéficient pas de </w:t>
      </w:r>
      <w:r w:rsidRPr="008E272F">
        <w:t xml:space="preserve">garanties de procédure et de fond suffisantes pour </w:t>
      </w:r>
      <w:r w:rsidR="00722A3C">
        <w:t>les protéger contre des restrictions disproportionnées dans l’exercice des droits que leur reconnaît le Pacte</w:t>
      </w:r>
      <w:r w:rsidRPr="008E272F">
        <w:t xml:space="preserve">. Le Comité est en particulier préoccupé par le fait que les personnes privées de leur capacité juridique n’ont aucune possibilité de recourir en justice contre des violations de leurs droits, qu’il n’existe </w:t>
      </w:r>
      <w:r w:rsidR="00722A3C">
        <w:t>pas de</w:t>
      </w:r>
      <w:r w:rsidRPr="008E272F">
        <w:t xml:space="preserve"> mécanisme indépendant chargé d’inspecter les établissements psychiatriques, et que le système de tutelle </w:t>
      </w:r>
      <w:r>
        <w:t>fait</w:t>
      </w:r>
      <w:r w:rsidRPr="008E272F">
        <w:t xml:space="preserve"> souvent </w:t>
      </w:r>
      <w:r>
        <w:t xml:space="preserve">intervenir du personnel </w:t>
      </w:r>
      <w:r w:rsidRPr="008E272F">
        <w:t>appartenant à l’établissement même où se trouve la personne internée (art.</w:t>
      </w:r>
      <w:r>
        <w:t xml:space="preserve"> </w:t>
      </w:r>
      <w:r w:rsidRPr="008E272F">
        <w:t>2, 9, 10, 25</w:t>
      </w:r>
      <w:r>
        <w:t xml:space="preserve"> et</w:t>
      </w:r>
      <w:r w:rsidRPr="008E272F">
        <w:t xml:space="preserve"> 26).</w:t>
      </w:r>
    </w:p>
    <w:p w:rsidR="001F6DFD" w:rsidRPr="008E272F" w:rsidRDefault="001F6DFD" w:rsidP="001F6DFD">
      <w:pPr>
        <w:pStyle w:val="SingleTxtG"/>
        <w:ind w:left="1701"/>
        <w:rPr>
          <w:b/>
        </w:rPr>
      </w:pPr>
      <w:r w:rsidRPr="008E272F">
        <w:rPr>
          <w:b/>
        </w:rPr>
        <w:t>L’État partie devrait:</w:t>
      </w:r>
    </w:p>
    <w:p w:rsidR="001F6DFD" w:rsidRPr="008E272F" w:rsidRDefault="001F6DFD" w:rsidP="001F6DFD">
      <w:pPr>
        <w:pStyle w:val="SingleTxtG"/>
        <w:ind w:left="1701" w:firstLine="567"/>
        <w:rPr>
          <w:b/>
        </w:rPr>
      </w:pPr>
      <w:r w:rsidRPr="008E272F">
        <w:rPr>
          <w:b/>
        </w:rPr>
        <w:t>a)</w:t>
      </w:r>
      <w:r w:rsidRPr="008E272F">
        <w:rPr>
          <w:b/>
        </w:rPr>
        <w:tab/>
        <w:t xml:space="preserve">Revoir sa politique consistant à priver les personnes handicapées mentales de leur capacité juridique </w:t>
      </w:r>
      <w:r>
        <w:rPr>
          <w:b/>
        </w:rPr>
        <w:t xml:space="preserve">et mettre en place </w:t>
      </w:r>
      <w:r w:rsidRPr="008E272F">
        <w:rPr>
          <w:b/>
        </w:rPr>
        <w:t>de</w:t>
      </w:r>
      <w:r>
        <w:rPr>
          <w:b/>
        </w:rPr>
        <w:t>s</w:t>
      </w:r>
      <w:r w:rsidRPr="008E272F">
        <w:rPr>
          <w:b/>
        </w:rPr>
        <w:t xml:space="preserve"> garanties procédurales efficaces</w:t>
      </w:r>
      <w:r>
        <w:rPr>
          <w:b/>
        </w:rPr>
        <w:t xml:space="preserve"> de façon que les mesures prises </w:t>
      </w:r>
      <w:r w:rsidRPr="008E272F">
        <w:rPr>
          <w:b/>
        </w:rPr>
        <w:t xml:space="preserve">à titre individuel </w:t>
      </w:r>
      <w:r>
        <w:rPr>
          <w:b/>
        </w:rPr>
        <w:t>soient nécessaires et proportionnées</w:t>
      </w:r>
      <w:r w:rsidRPr="008E272F">
        <w:rPr>
          <w:b/>
        </w:rPr>
        <w:t>, en veillant en tout état de cause à ce que toute personne privée de sa capacité juridique ait la possibilité d</w:t>
      </w:r>
      <w:r>
        <w:rPr>
          <w:b/>
        </w:rPr>
        <w:t xml:space="preserve">’obtenir </w:t>
      </w:r>
      <w:r w:rsidR="00E970D8">
        <w:rPr>
          <w:b/>
        </w:rPr>
        <w:t xml:space="preserve">rapidement </w:t>
      </w:r>
      <w:r>
        <w:rPr>
          <w:b/>
        </w:rPr>
        <w:t>que</w:t>
      </w:r>
      <w:r w:rsidRPr="008E272F">
        <w:rPr>
          <w:b/>
        </w:rPr>
        <w:t xml:space="preserve"> les décisions </w:t>
      </w:r>
      <w:r>
        <w:rPr>
          <w:b/>
        </w:rPr>
        <w:t xml:space="preserve">la concernant soient </w:t>
      </w:r>
      <w:r w:rsidRPr="008E272F">
        <w:rPr>
          <w:b/>
        </w:rPr>
        <w:t>soumises à un examen judiciaire effectif;</w:t>
      </w:r>
    </w:p>
    <w:p w:rsidR="001F6DFD" w:rsidRPr="008E272F" w:rsidRDefault="001F6DFD" w:rsidP="006437A4">
      <w:pPr>
        <w:pStyle w:val="SingleTxtG"/>
        <w:spacing w:after="90"/>
        <w:ind w:left="1701" w:firstLine="567"/>
        <w:rPr>
          <w:b/>
        </w:rPr>
      </w:pPr>
      <w:r w:rsidRPr="008E272F">
        <w:rPr>
          <w:b/>
        </w:rPr>
        <w:tab/>
        <w:t>b)</w:t>
      </w:r>
      <w:r w:rsidRPr="008E272F">
        <w:rPr>
          <w:b/>
        </w:rPr>
        <w:tab/>
        <w:t>Veiller à ce que les personnes handicapées mentales ou leur représentant légal puissent exercer le droit à un recours utile contre la violation de leurs droits et envisager d</w:t>
      </w:r>
      <w:r>
        <w:rPr>
          <w:b/>
        </w:rPr>
        <w:t>’autres</w:t>
      </w:r>
      <w:r w:rsidRPr="008E272F">
        <w:rPr>
          <w:b/>
        </w:rPr>
        <w:t xml:space="preserve"> solutions</w:t>
      </w:r>
      <w:r>
        <w:rPr>
          <w:b/>
        </w:rPr>
        <w:t>,</w:t>
      </w:r>
      <w:r w:rsidRPr="008E272F">
        <w:rPr>
          <w:b/>
        </w:rPr>
        <w:t xml:space="preserve"> moins restrictives</w:t>
      </w:r>
      <w:r>
        <w:rPr>
          <w:b/>
        </w:rPr>
        <w:t>,</w:t>
      </w:r>
      <w:r w:rsidRPr="008E272F">
        <w:rPr>
          <w:b/>
        </w:rPr>
        <w:t xml:space="preserve"> </w:t>
      </w:r>
      <w:r>
        <w:rPr>
          <w:b/>
        </w:rPr>
        <w:t>que</w:t>
      </w:r>
      <w:r w:rsidRPr="008E272F">
        <w:rPr>
          <w:b/>
        </w:rPr>
        <w:t xml:space="preserve"> l’internement et </w:t>
      </w:r>
      <w:r>
        <w:rPr>
          <w:b/>
        </w:rPr>
        <w:t>le</w:t>
      </w:r>
      <w:r w:rsidRPr="008E272F">
        <w:rPr>
          <w:b/>
        </w:rPr>
        <w:t xml:space="preserve"> traitement forcés de </w:t>
      </w:r>
      <w:r>
        <w:rPr>
          <w:b/>
        </w:rPr>
        <w:t>ces personnes</w:t>
      </w:r>
      <w:r w:rsidRPr="008E272F">
        <w:rPr>
          <w:b/>
        </w:rPr>
        <w:t xml:space="preserve">; </w:t>
      </w:r>
    </w:p>
    <w:p w:rsidR="001F6DFD" w:rsidRPr="008E272F" w:rsidRDefault="001F6DFD" w:rsidP="006437A4">
      <w:pPr>
        <w:pStyle w:val="SingleTxtG"/>
        <w:spacing w:after="90"/>
        <w:ind w:left="1701" w:firstLine="567"/>
      </w:pPr>
      <w:r w:rsidRPr="008E272F">
        <w:rPr>
          <w:b/>
        </w:rPr>
        <w:tab/>
        <w:t>c)</w:t>
      </w:r>
      <w:r w:rsidRPr="008E272F">
        <w:rPr>
          <w:b/>
        </w:rPr>
        <w:tab/>
        <w:t xml:space="preserve">Prendre des mesures appropriées pour prévenir </w:t>
      </w:r>
      <w:r w:rsidR="00E970D8">
        <w:rPr>
          <w:b/>
        </w:rPr>
        <w:t>toutes formes de mauvais traitements</w:t>
      </w:r>
      <w:r w:rsidRPr="008E272F">
        <w:rPr>
          <w:b/>
        </w:rPr>
        <w:t xml:space="preserve"> dans les établissements psychiatriques, notamment en créant des </w:t>
      </w:r>
      <w:r w:rsidR="006411BE">
        <w:rPr>
          <w:b/>
        </w:rPr>
        <w:t>mécanismes</w:t>
      </w:r>
      <w:r w:rsidRPr="008E272F">
        <w:rPr>
          <w:b/>
        </w:rPr>
        <w:t xml:space="preserve"> d’inspection qui tiennent compte des Principes des Nations</w:t>
      </w:r>
      <w:r>
        <w:rPr>
          <w:b/>
        </w:rPr>
        <w:t xml:space="preserve"> </w:t>
      </w:r>
      <w:r w:rsidRPr="008E272F">
        <w:rPr>
          <w:b/>
        </w:rPr>
        <w:t>Unies pour la protection des personnes atteintes de maladie mentale et pour l’amélioration des soins de santé mentale (adoptés par l’Assemblée générale dans la résolution 46/119).</w:t>
      </w:r>
    </w:p>
    <w:p w:rsidR="001F6DFD" w:rsidRPr="008E272F" w:rsidRDefault="001F6DFD" w:rsidP="006437A4">
      <w:pPr>
        <w:pStyle w:val="SingleTxtG"/>
        <w:spacing w:after="90"/>
      </w:pPr>
      <w:r w:rsidRPr="008E272F">
        <w:t>18.</w:t>
      </w:r>
      <w:r w:rsidRPr="008E272F">
        <w:tab/>
        <w:t xml:space="preserve">Le Comité reste préoccupé par la surpopulation </w:t>
      </w:r>
      <w:r>
        <w:t>carcérale</w:t>
      </w:r>
      <w:r w:rsidRPr="008E272F">
        <w:t xml:space="preserve"> et les conditions sanitaires qui règnent dans les lieux de détention, notamment par l’absence d’eau potable et par les coupures régulières d’eau et d’électricité. </w:t>
      </w:r>
      <w:r w:rsidR="00A265A8">
        <w:t>I</w:t>
      </w:r>
      <w:r w:rsidR="009713D1">
        <w:t>l est préoccupé également par les services médicaux déficients,</w:t>
      </w:r>
      <w:r w:rsidRPr="008E272F">
        <w:t xml:space="preserve"> </w:t>
      </w:r>
      <w:r w:rsidR="009713D1">
        <w:t>l’accessibilité réduite à</w:t>
      </w:r>
      <w:r w:rsidRPr="008E272F">
        <w:t xml:space="preserve"> de</w:t>
      </w:r>
      <w:r w:rsidR="009713D1">
        <w:t>s</w:t>
      </w:r>
      <w:r w:rsidRPr="008E272F">
        <w:t xml:space="preserve"> soins spécialisés et le manque de personnel pénitentiaire formé. Il est en outre préoccupé par </w:t>
      </w:r>
      <w:r w:rsidR="00A265A8">
        <w:t>la</w:t>
      </w:r>
      <w:r w:rsidRPr="008E272F">
        <w:t xml:space="preserve"> corruption qui </w:t>
      </w:r>
      <w:r w:rsidR="00A265A8">
        <w:t xml:space="preserve">serait pratiquée </w:t>
      </w:r>
      <w:r w:rsidRPr="008E272F">
        <w:t>dans les établissement</w:t>
      </w:r>
      <w:r w:rsidR="003D35BE">
        <w:t>s pénitentiaires et permettrai</w:t>
      </w:r>
      <w:r w:rsidRPr="008E272F">
        <w:t>t à certains détenus d’</w:t>
      </w:r>
      <w:r>
        <w:t>obtenir</w:t>
      </w:r>
      <w:r w:rsidRPr="008E272F">
        <w:t xml:space="preserve"> des privilèges (art.</w:t>
      </w:r>
      <w:r w:rsidR="00A265A8">
        <w:t> </w:t>
      </w:r>
      <w:r w:rsidRPr="008E272F">
        <w:t>10).</w:t>
      </w:r>
    </w:p>
    <w:p w:rsidR="001F6DFD" w:rsidRPr="00F43A07" w:rsidRDefault="001F6DFD" w:rsidP="006437A4">
      <w:pPr>
        <w:pStyle w:val="SingleTxtG"/>
        <w:spacing w:after="90"/>
        <w:ind w:left="1701"/>
        <w:rPr>
          <w:b/>
        </w:rPr>
      </w:pPr>
      <w:r w:rsidRPr="00F43A07">
        <w:rPr>
          <w:b/>
        </w:rPr>
        <w:t>L’État partie devrait garantir le respect total de l’Ensemble de règles minima pour le traitement des détenus et mettre à exécution ses projets de construction de nouvelles prisons. L’État partie</w:t>
      </w:r>
      <w:r>
        <w:rPr>
          <w:b/>
        </w:rPr>
        <w:t xml:space="preserve"> </w:t>
      </w:r>
      <w:r w:rsidRPr="00F43A07">
        <w:rPr>
          <w:b/>
        </w:rPr>
        <w:t xml:space="preserve">devrait également faire en sorte que les agents de l’État et </w:t>
      </w:r>
      <w:r>
        <w:rPr>
          <w:b/>
        </w:rPr>
        <w:t>du secteur privé</w:t>
      </w:r>
      <w:r w:rsidRPr="00F43A07">
        <w:rPr>
          <w:b/>
        </w:rPr>
        <w:t xml:space="preserve"> responsables de la corruption dans le système pénitentiaire fassent l’objet d’enquêtes indépendantes et immédiates</w:t>
      </w:r>
      <w:r>
        <w:rPr>
          <w:b/>
        </w:rPr>
        <w:t>,</w:t>
      </w:r>
      <w:r w:rsidRPr="00F43A07">
        <w:rPr>
          <w:b/>
        </w:rPr>
        <w:t xml:space="preserve"> </w:t>
      </w:r>
      <w:r w:rsidR="00224F0B">
        <w:rPr>
          <w:b/>
        </w:rPr>
        <w:t>et poursuivis</w:t>
      </w:r>
      <w:r w:rsidRPr="00F43A07">
        <w:rPr>
          <w:b/>
        </w:rPr>
        <w:t xml:space="preserve">. </w:t>
      </w:r>
      <w:r w:rsidR="003F3AF0">
        <w:rPr>
          <w:b/>
        </w:rPr>
        <w:t>Il devrait en outre</w:t>
      </w:r>
      <w:r w:rsidRPr="00F43A07">
        <w:rPr>
          <w:b/>
        </w:rPr>
        <w:t xml:space="preserve"> </w:t>
      </w:r>
      <w:r>
        <w:rPr>
          <w:b/>
        </w:rPr>
        <w:t xml:space="preserve">s’attacher davantage à </w:t>
      </w:r>
      <w:r w:rsidRPr="00F43A07">
        <w:rPr>
          <w:b/>
        </w:rPr>
        <w:t>introduire</w:t>
      </w:r>
      <w:r w:rsidR="003F3AF0">
        <w:rPr>
          <w:b/>
        </w:rPr>
        <w:t xml:space="preserve"> dans le système pénal</w:t>
      </w:r>
      <w:r w:rsidRPr="00F43A07">
        <w:rPr>
          <w:b/>
        </w:rPr>
        <w:t xml:space="preserve"> des peines de </w:t>
      </w:r>
      <w:r w:rsidR="003F3AF0">
        <w:rPr>
          <w:b/>
        </w:rPr>
        <w:t>substitution à l’incarcération</w:t>
      </w:r>
      <w:r w:rsidRPr="00F43A07">
        <w:rPr>
          <w:b/>
        </w:rPr>
        <w:t>.</w:t>
      </w:r>
    </w:p>
    <w:p w:rsidR="001F6DFD" w:rsidRPr="00F43A07" w:rsidRDefault="001F6DFD" w:rsidP="006437A4">
      <w:pPr>
        <w:pStyle w:val="SingleTxtG"/>
        <w:spacing w:after="90"/>
      </w:pPr>
      <w:r w:rsidRPr="00F43A07">
        <w:t>19.</w:t>
      </w:r>
      <w:r w:rsidRPr="00F43A07">
        <w:tab/>
        <w:t xml:space="preserve">Le Comité </w:t>
      </w:r>
      <w:r w:rsidR="006055FD">
        <w:t xml:space="preserve">relève </w:t>
      </w:r>
      <w:r w:rsidRPr="00F43A07">
        <w:t>l’adoption</w:t>
      </w:r>
      <w:r>
        <w:t>,</w:t>
      </w:r>
      <w:r w:rsidRPr="00F43A07">
        <w:t xml:space="preserve"> le 24</w:t>
      </w:r>
      <w:r>
        <w:t xml:space="preserve"> </w:t>
      </w:r>
      <w:r w:rsidRPr="00F43A07">
        <w:t>février 2010</w:t>
      </w:r>
      <w:r>
        <w:t>,</w:t>
      </w:r>
      <w:r w:rsidRPr="00F43A07">
        <w:t xml:space="preserve"> du plan de «Prise en char</w:t>
      </w:r>
      <w:r>
        <w:t>ge des enfants hors institution</w:t>
      </w:r>
      <w:r w:rsidRPr="00F43A07">
        <w:t xml:space="preserve"> dans la République de Bulgarie», qui </w:t>
      </w:r>
      <w:r w:rsidR="006055FD">
        <w:t>prévoit</w:t>
      </w:r>
      <w:r w:rsidRPr="00F43A07">
        <w:t xml:space="preserve"> la fermeture de toutes les institutions pour enfants au cours des </w:t>
      </w:r>
      <w:r>
        <w:t xml:space="preserve">quinze </w:t>
      </w:r>
      <w:r w:rsidRPr="00F43A07">
        <w:t xml:space="preserve">prochaines années, et </w:t>
      </w:r>
      <w:r>
        <w:t>la suppression du placement en institution</w:t>
      </w:r>
      <w:r w:rsidRPr="00F43A07">
        <w:t xml:space="preserve"> des enfants âgés de moins de 3</w:t>
      </w:r>
      <w:r>
        <w:t xml:space="preserve"> </w:t>
      </w:r>
      <w:r w:rsidRPr="00F43A07">
        <w:t xml:space="preserve">ans. Néanmoins, le Comité reste préoccupé par le nombre d’enfants qui resteront dans </w:t>
      </w:r>
      <w:r w:rsidR="006055FD">
        <w:t>ces</w:t>
      </w:r>
      <w:r w:rsidRPr="00F43A07">
        <w:t xml:space="preserve"> institutions pendant les </w:t>
      </w:r>
      <w:r>
        <w:t xml:space="preserve">quinze </w:t>
      </w:r>
      <w:r w:rsidRPr="00F43A07">
        <w:rPr>
          <w:spacing w:val="-2"/>
        </w:rPr>
        <w:t xml:space="preserve">années à venir. En outre, </w:t>
      </w:r>
      <w:r w:rsidR="006055FD">
        <w:rPr>
          <w:spacing w:val="-2"/>
        </w:rPr>
        <w:t>il</w:t>
      </w:r>
      <w:r w:rsidRPr="00F43A07">
        <w:rPr>
          <w:spacing w:val="-2"/>
        </w:rPr>
        <w:t xml:space="preserve"> regrette l’absence </w:t>
      </w:r>
      <w:r w:rsidR="006055FD">
        <w:rPr>
          <w:spacing w:val="-2"/>
        </w:rPr>
        <w:t>dans le plan de mesures concrètes</w:t>
      </w:r>
      <w:r w:rsidRPr="00F43A07">
        <w:rPr>
          <w:spacing w:val="-2"/>
        </w:rPr>
        <w:t xml:space="preserve"> visant à mettre en place un système de prise en charge dans la collectivité, et l’absence de procédure d’évaluation de la mise en œuvre et des résultats </w:t>
      </w:r>
      <w:r w:rsidR="006055FD">
        <w:rPr>
          <w:spacing w:val="-2"/>
        </w:rPr>
        <w:t>du</w:t>
      </w:r>
      <w:r w:rsidRPr="00F43A07">
        <w:rPr>
          <w:spacing w:val="-2"/>
        </w:rPr>
        <w:t xml:space="preserve"> plan (art.</w:t>
      </w:r>
      <w:r>
        <w:rPr>
          <w:spacing w:val="-2"/>
        </w:rPr>
        <w:t xml:space="preserve"> </w:t>
      </w:r>
      <w:r w:rsidRPr="00F43A07">
        <w:rPr>
          <w:spacing w:val="-2"/>
        </w:rPr>
        <w:t>24</w:t>
      </w:r>
      <w:r>
        <w:rPr>
          <w:spacing w:val="-2"/>
        </w:rPr>
        <w:t xml:space="preserve"> et</w:t>
      </w:r>
      <w:r w:rsidRPr="00F43A07">
        <w:rPr>
          <w:spacing w:val="-2"/>
        </w:rPr>
        <w:t xml:space="preserve"> 10).</w:t>
      </w:r>
    </w:p>
    <w:p w:rsidR="001F6DFD" w:rsidRPr="00F43A07" w:rsidRDefault="001F6DFD" w:rsidP="006437A4">
      <w:pPr>
        <w:pStyle w:val="SingleTxtG"/>
        <w:spacing w:after="90"/>
        <w:ind w:left="1701"/>
        <w:rPr>
          <w:b/>
        </w:rPr>
      </w:pPr>
      <w:r w:rsidRPr="00F43A07">
        <w:rPr>
          <w:b/>
        </w:rPr>
        <w:t xml:space="preserve">L’État partie devrait </w:t>
      </w:r>
      <w:r w:rsidR="003F1BFE">
        <w:rPr>
          <w:b/>
        </w:rPr>
        <w:t>prendre d’urgence des mesures pour fermer</w:t>
      </w:r>
      <w:r w:rsidRPr="00F43A07">
        <w:rPr>
          <w:b/>
        </w:rPr>
        <w:t xml:space="preserve"> toutes les institutions pour enfants, </w:t>
      </w:r>
      <w:r w:rsidR="003F1BFE">
        <w:rPr>
          <w:b/>
        </w:rPr>
        <w:t xml:space="preserve">et mettre en place des moyens concrets de substitution au placement en institution, en dégageant des </w:t>
      </w:r>
      <w:r w:rsidRPr="00F43A07">
        <w:rPr>
          <w:b/>
        </w:rPr>
        <w:t>fonds suffisants pour mettre en place et maintenir un système de pr</w:t>
      </w:r>
      <w:r>
        <w:rPr>
          <w:b/>
        </w:rPr>
        <w:t>ise en charge ou pr</w:t>
      </w:r>
      <w:r w:rsidRPr="00F43A07">
        <w:rPr>
          <w:b/>
        </w:rPr>
        <w:t xml:space="preserve">otection viable et compatible avec les droits énoncés dans le Pacte. L’État partie devrait aussi </w:t>
      </w:r>
      <w:r w:rsidR="003F1BFE">
        <w:rPr>
          <w:b/>
        </w:rPr>
        <w:t>établir</w:t>
      </w:r>
      <w:r w:rsidRPr="00F43A07">
        <w:rPr>
          <w:b/>
        </w:rPr>
        <w:t xml:space="preserv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7A4">
      <w:pPr>
        <w:pStyle w:val="SingleTxtG"/>
        <w:spacing w:after="90"/>
      </w:pPr>
      <w:r w:rsidRPr="00F43A07">
        <w:t>20.</w:t>
      </w:r>
      <w:r w:rsidRPr="00F43A07">
        <w:tab/>
      </w:r>
      <w:r>
        <w:t xml:space="preserve">Le Comité prend </w:t>
      </w:r>
      <w:r w:rsidRPr="00F43A07">
        <w:t xml:space="preserve">note des mesures adoptées </w:t>
      </w:r>
      <w:r w:rsidR="00767C3D">
        <w:t>récemment</w:t>
      </w:r>
      <w:r w:rsidRPr="00F43A07">
        <w:t xml:space="preserve">, </w:t>
      </w:r>
      <w:r>
        <w:t>mais il</w:t>
      </w:r>
      <w:r w:rsidRPr="00F43A07">
        <w:t xml:space="preserve"> est préoccupé par les allégations de corruption</w:t>
      </w:r>
      <w:r>
        <w:t xml:space="preserve"> persistante</w:t>
      </w:r>
      <w:r w:rsidRPr="00F43A07">
        <w:t xml:space="preserve"> </w:t>
      </w:r>
      <w:r w:rsidR="00C84999">
        <w:t>dans le</w:t>
      </w:r>
      <w:r w:rsidRPr="00F43A07">
        <w:t xml:space="preserve"> système judiciaire </w:t>
      </w:r>
      <w:r w:rsidR="00C84999">
        <w:t xml:space="preserve">en général </w:t>
      </w:r>
      <w:r w:rsidRPr="00F43A07">
        <w:t xml:space="preserve">et </w:t>
      </w:r>
      <w:r>
        <w:t>par</w:t>
      </w:r>
      <w:r w:rsidRPr="00F43A07">
        <w:t xml:space="preserve"> ses conséquences négatives </w:t>
      </w:r>
      <w:r w:rsidR="00C84999">
        <w:t>pour</w:t>
      </w:r>
      <w:r w:rsidRPr="00F43A07">
        <w:t xml:space="preserve"> le plein exercice des droits garantis par le Pacte. En outre, le Comité est préoccupé par l’absence de résultats convaincants dans la lutte contre la corruption </w:t>
      </w:r>
      <w:r w:rsidR="00C84999">
        <w:t xml:space="preserve">à un </w:t>
      </w:r>
      <w:r w:rsidRPr="00F43A07">
        <w:t>haut niveau et par l</w:t>
      </w:r>
      <w:r>
        <w:t>e manque</w:t>
      </w:r>
      <w:r w:rsidRPr="00F43A07">
        <w:t xml:space="preserve"> de confiance </w:t>
      </w:r>
      <w:r w:rsidR="00C84999">
        <w:t>de la population</w:t>
      </w:r>
      <w:r w:rsidRPr="00F43A07">
        <w:t xml:space="preserve"> dans l’administration de la justice </w:t>
      </w:r>
      <w:r>
        <w:t>qui en résulte</w:t>
      </w:r>
      <w:r w:rsidRPr="00F43A07">
        <w:t xml:space="preserve"> (art.</w:t>
      </w:r>
      <w:r>
        <w:t xml:space="preserve"> </w:t>
      </w:r>
      <w:r w:rsidRPr="00F43A07">
        <w:t>14).</w:t>
      </w:r>
    </w:p>
    <w:p w:rsidR="001F6DFD" w:rsidRPr="00F43A07" w:rsidRDefault="001F6DFD" w:rsidP="006437A4">
      <w:pPr>
        <w:pStyle w:val="SingleTxtG"/>
        <w:spacing w:after="90"/>
        <w:ind w:left="1701"/>
        <w:rPr>
          <w:b/>
        </w:rPr>
      </w:pPr>
      <w:r w:rsidRPr="00F43A07">
        <w:rPr>
          <w:b/>
        </w:rPr>
        <w:t xml:space="preserve">L’État partie devrait </w:t>
      </w:r>
      <w:r w:rsidR="00C84999">
        <w:rPr>
          <w:b/>
        </w:rPr>
        <w:t>intensifier</w:t>
      </w:r>
      <w:r w:rsidRPr="00F43A07">
        <w:rPr>
          <w:b/>
        </w:rPr>
        <w:t xml:space="preserve"> ses efforts pour combattre la corruption dans toutes les sphères de la société et pour garantir que des enquêtes approfondies </w:t>
      </w:r>
      <w:r w:rsidR="00C84999">
        <w:rPr>
          <w:b/>
        </w:rPr>
        <w:t xml:space="preserve">soient </w:t>
      </w:r>
      <w:r w:rsidRPr="00F43A07">
        <w:rPr>
          <w:b/>
        </w:rPr>
        <w:t xml:space="preserve">ouvertes sans délai sur tous les </w:t>
      </w:r>
      <w:r>
        <w:rPr>
          <w:b/>
        </w:rPr>
        <w:t>cas</w:t>
      </w:r>
      <w:r w:rsidRPr="00F43A07">
        <w:rPr>
          <w:b/>
        </w:rPr>
        <w:t xml:space="preserve"> </w:t>
      </w:r>
      <w:r w:rsidR="008C44BE">
        <w:rPr>
          <w:b/>
        </w:rPr>
        <w:t xml:space="preserve">soupçonnés de corruption </w:t>
      </w:r>
      <w:r w:rsidRPr="00F43A07">
        <w:rPr>
          <w:b/>
        </w:rPr>
        <w:t xml:space="preserve">et, en particulier, </w:t>
      </w:r>
      <w:r>
        <w:rPr>
          <w:b/>
        </w:rPr>
        <w:t xml:space="preserve">pour </w:t>
      </w:r>
      <w:r w:rsidR="008C44BE">
        <w:rPr>
          <w:b/>
        </w:rPr>
        <w:t>donner pleinement effet à sa S</w:t>
      </w:r>
      <w:r w:rsidRPr="00F43A07">
        <w:rPr>
          <w:b/>
        </w:rPr>
        <w:t xml:space="preserve">tratégie intégrée de lutte contre la criminalité et la corruption (voir </w:t>
      </w:r>
      <w:r w:rsidR="008C44BE">
        <w:rPr>
          <w:b/>
        </w:rPr>
        <w:t>plus haut par. 3 f)</w:t>
      </w:r>
      <w:r w:rsidRPr="00F43A07">
        <w:rPr>
          <w:b/>
        </w:rPr>
        <w:t>).</w:t>
      </w:r>
    </w:p>
    <w:p w:rsidR="001F6DFD" w:rsidRPr="00F43A07" w:rsidRDefault="001F6DFD" w:rsidP="006437A4">
      <w:pPr>
        <w:pStyle w:val="SingleTxtG"/>
        <w:spacing w:after="100"/>
      </w:pPr>
      <w:r w:rsidRPr="00F43A07">
        <w:t>21.</w:t>
      </w:r>
      <w:r w:rsidRPr="00F43A07">
        <w:tab/>
        <w:t xml:space="preserve">Le Comité </w:t>
      </w:r>
      <w:r w:rsidR="00D65B3C">
        <w:t>s’inquiète de ce</w:t>
      </w:r>
      <w:r w:rsidRPr="00F43A07">
        <w:t xml:space="preserve"> que le principe de l’indépendance de la magistrature n’est pas pleinement respecté par les organes n’appartenant pas à l’appareil judiciaire et qu’il n</w:t>
      </w:r>
      <w:r>
        <w:t>e l</w:t>
      </w:r>
      <w:r w:rsidRPr="00F43A07">
        <w:t xml:space="preserve">’est pas non plus </w:t>
      </w:r>
      <w:r w:rsidR="00D65B3C">
        <w:t xml:space="preserve">parfaitement </w:t>
      </w:r>
      <w:r w:rsidRPr="00F43A07">
        <w:t xml:space="preserve">au sein du pouvoir judiciaire. </w:t>
      </w:r>
      <w:r w:rsidR="00D65B3C">
        <w:t>Il</w:t>
      </w:r>
      <w:r w:rsidRPr="00F43A07">
        <w:t xml:space="preserve"> est également préoccupé par le manque de confiance </w:t>
      </w:r>
      <w:r w:rsidR="00D65B3C">
        <w:t>de la population en général dans la justice</w:t>
      </w:r>
      <w:r w:rsidRPr="00F43A07">
        <w:t xml:space="preserve"> qui découle de cette situation (art.</w:t>
      </w:r>
      <w:r>
        <w:t xml:space="preserve"> </w:t>
      </w:r>
      <w:r w:rsidRPr="00F43A07">
        <w:t>14).</w:t>
      </w:r>
    </w:p>
    <w:p w:rsidR="001F6DFD" w:rsidRPr="00F43A07" w:rsidRDefault="001F6DFD" w:rsidP="006437A4">
      <w:pPr>
        <w:pStyle w:val="SingleTxtG"/>
        <w:spacing w:after="100"/>
        <w:ind w:left="1701"/>
        <w:rPr>
          <w:b/>
        </w:rPr>
      </w:pPr>
      <w:r w:rsidRPr="00F43A07">
        <w:rPr>
          <w:b/>
        </w:rPr>
        <w:t>L’État partie</w:t>
      </w:r>
      <w:r w:rsidRPr="00F43A07">
        <w:t xml:space="preserve"> </w:t>
      </w:r>
      <w:r w:rsidRPr="00F43A07">
        <w:rPr>
          <w:b/>
        </w:rPr>
        <w:t>devrait s’assurer que le principe de l’indépendance de la magistrature est pleinement respecté et compris, et devrait développer des activités pour sensibiliser les autorités judiciaires, les agents de la force publique et la population en général aux valeurs fondamentales qui s</w:t>
      </w:r>
      <w:r>
        <w:rPr>
          <w:b/>
        </w:rPr>
        <w:t>ont celles</w:t>
      </w:r>
      <w:r w:rsidRPr="00F43A07">
        <w:rPr>
          <w:b/>
        </w:rPr>
        <w:t xml:space="preserve"> </w:t>
      </w:r>
      <w:r>
        <w:rPr>
          <w:b/>
        </w:rPr>
        <w:t>d’</w:t>
      </w:r>
      <w:r w:rsidRPr="00F43A07">
        <w:rPr>
          <w:b/>
        </w:rPr>
        <w:t>un pouvoir judiciaire indépendant.</w:t>
      </w:r>
    </w:p>
    <w:p w:rsidR="001F6DFD" w:rsidRPr="00F43A07" w:rsidRDefault="001F6DFD" w:rsidP="006437A4">
      <w:pPr>
        <w:pStyle w:val="SingleTxtG"/>
        <w:spacing w:after="100"/>
      </w:pPr>
      <w:r w:rsidRPr="00F43A07">
        <w:t>22.</w:t>
      </w:r>
      <w:r w:rsidRPr="00F43A07">
        <w:tab/>
        <w:t xml:space="preserve">Le Comité reste préoccupé par la pratique répandue des écoutes téléphoniques dans le cadre de la loi relative aux moyens spéciaux de surveillance, </w:t>
      </w:r>
      <w:r>
        <w:t xml:space="preserve">ce </w:t>
      </w:r>
      <w:r w:rsidRPr="00F43A07">
        <w:t>qui re</w:t>
      </w:r>
      <w:r>
        <w:t>présente</w:t>
      </w:r>
      <w:r w:rsidRPr="00F43A07">
        <w:t xml:space="preserve"> une immixtion d’une autorité publique </w:t>
      </w:r>
      <w:r w:rsidR="000C6CCB">
        <w:t>dans le droit au respect de la vie privée et de la correspondance</w:t>
      </w:r>
      <w:r w:rsidRPr="00F43A07">
        <w:t xml:space="preserve">. Le Comité est également préoccupé par le fait que les personnes qui ont </w:t>
      </w:r>
      <w:r w:rsidR="000C6CCB">
        <w:t xml:space="preserve">été </w:t>
      </w:r>
      <w:r w:rsidRPr="00F43A07">
        <w:t>l’objet d’une surveillance illégale n’en sont pas systématiquement informées et ne sont donc pas en mesure d</w:t>
      </w:r>
      <w:r>
        <w:t>e se prévaloir de</w:t>
      </w:r>
      <w:r w:rsidRPr="00F43A07">
        <w:t xml:space="preserve"> voies de recours (art.</w:t>
      </w:r>
      <w:r>
        <w:t xml:space="preserve"> </w:t>
      </w:r>
      <w:r w:rsidRPr="00F43A07">
        <w:t>14 et 17)</w:t>
      </w:r>
      <w:r>
        <w:t>.</w:t>
      </w:r>
    </w:p>
    <w:p w:rsidR="001F6DFD" w:rsidRPr="001821DE" w:rsidRDefault="001F6DFD" w:rsidP="006437A4">
      <w:pPr>
        <w:pStyle w:val="SingleTxtG"/>
        <w:spacing w:after="100"/>
        <w:ind w:left="1701"/>
        <w:rPr>
          <w:b/>
        </w:rPr>
      </w:pPr>
      <w:r w:rsidRPr="001821DE">
        <w:rPr>
          <w:b/>
        </w:rPr>
        <w:t>L’État partie devrait prendre toutes les mesures nécessaires pour garantir que les conversations téléphoniques surveillées soient considérées seulement comme un complément de preuve dans les affaires pénales et soient utilisées stricteme</w:t>
      </w:r>
      <w:r w:rsidR="000C6CCB">
        <w:rPr>
          <w:b/>
        </w:rPr>
        <w:t xml:space="preserve">nt dans le cadre des audiences. Il devrait </w:t>
      </w:r>
      <w:r w:rsidR="003D35BE">
        <w:rPr>
          <w:b/>
        </w:rPr>
        <w:t xml:space="preserve">faire </w:t>
      </w:r>
      <w:r w:rsidRPr="001821DE">
        <w:rPr>
          <w:b/>
        </w:rPr>
        <w:t>en sorte que les personnes qui ont été surveillées abusivement en soient systématiquement informées et qu’elles aient accès à des recours appropriés.</w:t>
      </w:r>
    </w:p>
    <w:p w:rsidR="001F6DFD" w:rsidRPr="001821DE" w:rsidRDefault="001F6DFD" w:rsidP="006437A4">
      <w:pPr>
        <w:pStyle w:val="SingleTxtG"/>
        <w:spacing w:after="100"/>
      </w:pPr>
      <w:r w:rsidRPr="001821DE">
        <w:t>23.</w:t>
      </w:r>
      <w:r w:rsidRPr="001821DE">
        <w:tab/>
      </w:r>
      <w:r>
        <w:t>Le Comité</w:t>
      </w:r>
      <w:r w:rsidRPr="001821DE">
        <w:t xml:space="preserve"> </w:t>
      </w:r>
      <w:r w:rsidR="0028202B">
        <w:t xml:space="preserve">regrette le retard pris par l’État partie dans la réforme du </w:t>
      </w:r>
      <w:r w:rsidRPr="001821DE">
        <w:t xml:space="preserve">système de justice pour mineurs </w:t>
      </w:r>
      <w:r w:rsidR="0028202B">
        <w:t>(voir CRC/C/BGR/CO/2, par. 6 et 7)</w:t>
      </w:r>
      <w:r w:rsidRPr="001821DE">
        <w:t xml:space="preserve"> (art. 14 et 24).</w:t>
      </w:r>
    </w:p>
    <w:p w:rsidR="001F6DFD" w:rsidRPr="001821DE" w:rsidRDefault="001F6DFD" w:rsidP="006437A4">
      <w:pPr>
        <w:pStyle w:val="SingleTxtG"/>
        <w:spacing w:after="100"/>
        <w:ind w:left="1701"/>
        <w:rPr>
          <w:b/>
        </w:rPr>
      </w:pPr>
      <w:r w:rsidRPr="001821DE">
        <w:rPr>
          <w:b/>
        </w:rPr>
        <w:t xml:space="preserve">L’État partie devrait envisager, à titre prioritaire, d’adopter et de mettre en œuvre la réforme du système de justice pour mineurs </w:t>
      </w:r>
      <w:r w:rsidR="00034C3C">
        <w:rPr>
          <w:b/>
        </w:rPr>
        <w:t>pour le rendre compatible avec les droits protégés par le Pacte</w:t>
      </w:r>
      <w:r w:rsidRPr="001821DE">
        <w:rPr>
          <w:b/>
        </w:rPr>
        <w:t>.</w:t>
      </w:r>
    </w:p>
    <w:p w:rsidR="001F6DFD" w:rsidRPr="001821DE" w:rsidRDefault="001F6DFD" w:rsidP="006437A4">
      <w:pPr>
        <w:pStyle w:val="SingleTxtG"/>
        <w:spacing w:after="100"/>
      </w:pPr>
      <w:r w:rsidRPr="001821DE">
        <w:t>24.</w:t>
      </w:r>
      <w:r w:rsidRPr="001821DE">
        <w:tab/>
        <w:t xml:space="preserve">Le Comité est préoccupé par le nombre croissant d’expulsions forcées de Roms de leur logement, notamment dans le cadre </w:t>
      </w:r>
      <w:r w:rsidR="00133CBB">
        <w:t xml:space="preserve">de campagnes </w:t>
      </w:r>
      <w:r w:rsidRPr="001821DE">
        <w:t>d’expulsions à grande échelle, comme l’exécution d’un</w:t>
      </w:r>
      <w:r>
        <w:t xml:space="preserve"> arrêté d’expulsion notifié</w:t>
      </w:r>
      <w:r w:rsidRPr="001821DE">
        <w:t xml:space="preserve"> le 23 juin 2011 à la communauté rom de Dobri Jeliazkov, dans le district de Sofia. De telles pratiques pourraient constituer des violations flagrantes d’un </w:t>
      </w:r>
      <w:r w:rsidR="00133CBB">
        <w:t>grand nombre</w:t>
      </w:r>
      <w:r w:rsidRPr="001821DE">
        <w:t xml:space="preserve"> de droits </w:t>
      </w:r>
      <w:r w:rsidR="00133CBB">
        <w:t>fondamentaux</w:t>
      </w:r>
      <w:r w:rsidRPr="001821DE">
        <w:t xml:space="preserve"> internationalement reconnus et ne peuvent être utilisées que dans des circonstances exceptionnelles et dans le </w:t>
      </w:r>
      <w:r w:rsidR="00133CBB">
        <w:t>respect complet</w:t>
      </w:r>
      <w:r w:rsidRPr="001821DE">
        <w:t xml:space="preserve"> du droit international </w:t>
      </w:r>
      <w:r w:rsidR="00133CBB">
        <w:t>des</w:t>
      </w:r>
      <w:r w:rsidRPr="001821DE">
        <w:t xml:space="preserve"> droits de l’homme (art. 17 et 26).</w:t>
      </w:r>
    </w:p>
    <w:p w:rsidR="001F6DFD" w:rsidRPr="001821DE" w:rsidRDefault="001F6DFD" w:rsidP="006437A4">
      <w:pPr>
        <w:pStyle w:val="SingleTxtG"/>
        <w:spacing w:after="100"/>
        <w:ind w:left="1701"/>
        <w:rPr>
          <w:b/>
        </w:rPr>
      </w:pPr>
      <w:r w:rsidRPr="001821DE">
        <w:rPr>
          <w:b/>
        </w:rPr>
        <w:t xml:space="preserve">L’État partie devrait limiter strictement le recours aux expulsions forcées </w:t>
      </w:r>
      <w:r>
        <w:rPr>
          <w:b/>
        </w:rPr>
        <w:t>en se tournant vers</w:t>
      </w:r>
      <w:r w:rsidRPr="001821DE">
        <w:rPr>
          <w:b/>
        </w:rPr>
        <w:t xml:space="preserve"> toutes les autres solutions possibles, et garantir un logement de remplacement aux familles expulsées.</w:t>
      </w:r>
    </w:p>
    <w:p w:rsidR="001F6DFD" w:rsidRPr="001821DE" w:rsidRDefault="001F6DFD" w:rsidP="006437A4">
      <w:pPr>
        <w:pStyle w:val="SingleTxtG"/>
        <w:spacing w:after="100"/>
      </w:pPr>
      <w:r w:rsidRPr="001821DE">
        <w:t>25.</w:t>
      </w:r>
      <w:r w:rsidRPr="001821DE">
        <w:tab/>
      </w:r>
      <w:r>
        <w:t>Le Comité</w:t>
      </w:r>
      <w:r w:rsidRPr="001821DE">
        <w:t xml:space="preserve"> not</w:t>
      </w:r>
      <w:r>
        <w:t>e</w:t>
      </w:r>
      <w:r w:rsidRPr="001821DE">
        <w:t xml:space="preserve"> que la liberté de religion est reconnue comme un droit fondamental</w:t>
      </w:r>
      <w:r>
        <w:t xml:space="preserve"> dans le droit interne</w:t>
      </w:r>
      <w:r w:rsidRPr="001821DE">
        <w:t xml:space="preserve">, </w:t>
      </w:r>
      <w:r>
        <w:t>mais il</w:t>
      </w:r>
      <w:r w:rsidRPr="001821DE">
        <w:t xml:space="preserve"> est préoccupé par l’ambiguïté de la loi de 2002 sur les confessions religieuses, qui prévoit une procédure d’enregistrement spécifique pour l’Église orthodoxe bulgare (art. 2 et 18).</w:t>
      </w:r>
    </w:p>
    <w:p w:rsidR="001F6DFD" w:rsidRPr="001821DE" w:rsidRDefault="001F6DFD" w:rsidP="006437A4">
      <w:pPr>
        <w:pStyle w:val="SingleTxtG"/>
        <w:spacing w:after="100"/>
        <w:ind w:left="1701"/>
        <w:rPr>
          <w:b/>
        </w:rPr>
      </w:pPr>
      <w:r w:rsidRPr="001821DE">
        <w:rPr>
          <w:b/>
        </w:rPr>
        <w:t xml:space="preserve">L’État partie devrait revoir les dispositions de la loi de 2002 sur les confessions religieuses, </w:t>
      </w:r>
      <w:r w:rsidR="0013627E">
        <w:rPr>
          <w:b/>
        </w:rPr>
        <w:t>afin d’</w:t>
      </w:r>
      <w:r w:rsidRPr="001821DE">
        <w:rPr>
          <w:b/>
        </w:rPr>
        <w:t xml:space="preserve">harmoniser les procédures et modalités d’enregistrement de toutes les organisations religieuses. </w:t>
      </w:r>
      <w:r w:rsidR="0013627E">
        <w:rPr>
          <w:b/>
        </w:rPr>
        <w:t>Il</w:t>
      </w:r>
      <w:r w:rsidRPr="001821DE">
        <w:rPr>
          <w:b/>
        </w:rPr>
        <w:t xml:space="preserve"> devrait également dispenser une formation aux agents des autorités locales et aux fonctionnaires chargés de l’application des lois afin qu’ils se gardent de </w:t>
      </w:r>
      <w:r>
        <w:rPr>
          <w:b/>
        </w:rPr>
        <w:t>porter atteinte sans nécessité</w:t>
      </w:r>
      <w:r w:rsidRPr="001821DE">
        <w:rPr>
          <w:b/>
        </w:rPr>
        <w:t xml:space="preserve"> à la liberté de religion.</w:t>
      </w:r>
    </w:p>
    <w:p w:rsidR="00280A63" w:rsidRDefault="001F6DFD" w:rsidP="001F6DFD">
      <w:pPr>
        <w:pStyle w:val="SingleTxtG"/>
      </w:pPr>
      <w:r w:rsidRPr="001821DE">
        <w:t>26.</w:t>
      </w:r>
      <w:r w:rsidRPr="001821DE">
        <w:tab/>
      </w:r>
      <w:r w:rsidR="00280A63">
        <w:t>Le Comité est préoccupé par les manifestations d’incitation aux propos haineux et d’intolérance dans le domaine public, dont certains médias se font l’écho (art. 19).</w:t>
      </w:r>
    </w:p>
    <w:p w:rsidR="00280A63" w:rsidRPr="00280A63" w:rsidRDefault="00280A63" w:rsidP="00280A63">
      <w:pPr>
        <w:pStyle w:val="SingleTxtG"/>
        <w:ind w:left="1701"/>
        <w:rPr>
          <w:b/>
        </w:rPr>
      </w:pPr>
      <w:r>
        <w:rPr>
          <w:b/>
        </w:rPr>
        <w:t>L’État partie devrait intensifier ses actions en vue de prévenir et d’interdire l’incitation aux propos haineux, à l’intolérance et à la discrimination, comme l’exige l’article 19 du Pacte.</w:t>
      </w:r>
    </w:p>
    <w:p w:rsidR="001F6DFD" w:rsidRPr="001821DE" w:rsidRDefault="00280A63" w:rsidP="001F6DFD">
      <w:pPr>
        <w:pStyle w:val="SingleTxtG"/>
      </w:pPr>
      <w:r>
        <w:t>27.</w:t>
      </w:r>
      <w:r>
        <w:tab/>
      </w:r>
      <w:r w:rsidR="001F6DFD" w:rsidRPr="001821DE">
        <w:t xml:space="preserve">L’État partie devrait diffuser largement le texte du Pacte, des deux Protocoles facultatifs se rapportant au Pacte, du troisième rapport périodique, des réponses écrites à la liste des points à traiter établie par le Comité, et des présentes observations finales auprès des autorités judiciaires, législatives et administratives, de la société civile et des organisations non gouvernementales présentes dans le pays, ainsi qu’auprès du grand public. </w:t>
      </w:r>
      <w:r w:rsidR="003974EE">
        <w:t>Le rapport et les observations finales devraient être traduits dans la langue officielle du pays</w:t>
      </w:r>
      <w:r w:rsidR="001F6DFD" w:rsidRPr="001821DE">
        <w:t>.</w:t>
      </w:r>
    </w:p>
    <w:p w:rsidR="003974EE" w:rsidRDefault="003974EE" w:rsidP="003974EE">
      <w:pPr>
        <w:pStyle w:val="SingleTxtG"/>
      </w:pPr>
      <w:r>
        <w:t>28.</w:t>
      </w:r>
      <w:r w:rsidR="001F6DFD" w:rsidRPr="001821DE">
        <w:tab/>
        <w:t xml:space="preserve">Conformément au paragraphe 5 de l’article 71 du Règlement intérieur du Comité, l’État partie devrait </w:t>
      </w:r>
      <w:r w:rsidR="00416BB7">
        <w:t>faire parvenir</w:t>
      </w:r>
      <w:r w:rsidR="001F6DFD" w:rsidRPr="001821DE">
        <w:t>, dans un délai d’un a</w:t>
      </w:r>
      <w:r w:rsidR="00416BB7">
        <w:t>n, d</w:t>
      </w:r>
      <w:r w:rsidR="001F6DFD" w:rsidRPr="001821DE">
        <w:t xml:space="preserve">es </w:t>
      </w:r>
      <w:r w:rsidR="00416BB7">
        <w:t>renseignements</w:t>
      </w:r>
      <w:r w:rsidR="001F6DFD" w:rsidRPr="001821DE">
        <w:t xml:space="preserve"> sur la suite donnée aux recommandations figurant aux paragraphes 8, 1</w:t>
      </w:r>
      <w:r w:rsidR="001F6DFD">
        <w:t>1 et 21</w:t>
      </w:r>
      <w:r w:rsidR="001F6DFD" w:rsidRPr="001821DE">
        <w:t>.</w:t>
      </w:r>
    </w:p>
    <w:p w:rsidR="001F6DFD" w:rsidRDefault="003974EE" w:rsidP="003974EE">
      <w:pPr>
        <w:pStyle w:val="SingleTxtG"/>
      </w:pPr>
      <w:r>
        <w:t>29</w:t>
      </w:r>
      <w:r w:rsidR="001F6DFD" w:rsidRPr="001821DE">
        <w:t>.</w:t>
      </w:r>
      <w:r w:rsidR="001F6DFD" w:rsidRPr="001821DE">
        <w:tab/>
        <w:t xml:space="preserve">Le Comité </w:t>
      </w:r>
      <w:r w:rsidR="00416BB7">
        <w:t>demande à</w:t>
      </w:r>
      <w:r w:rsidR="001F6DFD" w:rsidRPr="001821DE">
        <w:t xml:space="preserve"> l’État </w:t>
      </w:r>
      <w:r w:rsidR="001F6DFD">
        <w:t xml:space="preserve">partie </w:t>
      </w:r>
      <w:r w:rsidR="001F6DFD" w:rsidRPr="001821DE">
        <w:t xml:space="preserve">de faire figurer dans son prochain rapport périodique, qui </w:t>
      </w:r>
      <w:r w:rsidR="00416BB7">
        <w:t>devrait lui parvenir avant le 29 juillet 2015</w:t>
      </w:r>
      <w:r w:rsidR="001F6DFD" w:rsidRPr="001821DE">
        <w:t xml:space="preserve">, des renseignements </w:t>
      </w:r>
      <w:r w:rsidR="00416BB7">
        <w:t xml:space="preserve">spécifiques et </w:t>
      </w:r>
      <w:r w:rsidR="001F6DFD" w:rsidRPr="001821DE">
        <w:t xml:space="preserve">à jour sur </w:t>
      </w:r>
      <w:r w:rsidR="003D35BE">
        <w:t>toutes l</w:t>
      </w:r>
      <w:r w:rsidR="009E70B4">
        <w:t>es autres recommandations et sur l’application du Pacte dans son ensemble. Le Comité demande aussi que pour élaborer le prochain rapport périodique l’État partie consulte largement la société civile et les organisations non gouvernementales.</w:t>
      </w:r>
    </w:p>
    <w:p w:rsidR="003974EE" w:rsidRPr="003974EE" w:rsidRDefault="003974EE" w:rsidP="003974EE">
      <w:pPr>
        <w:pStyle w:val="SingleTxtG"/>
        <w:spacing w:before="240" w:after="0"/>
        <w:jc w:val="center"/>
        <w:rPr>
          <w:u w:val="single"/>
        </w:rPr>
      </w:pPr>
      <w:r>
        <w:rPr>
          <w:u w:val="single"/>
        </w:rPr>
        <w:tab/>
      </w:r>
      <w:r>
        <w:rPr>
          <w:u w:val="single"/>
        </w:rPr>
        <w:tab/>
      </w:r>
      <w:r>
        <w:rPr>
          <w:u w:val="single"/>
        </w:rPr>
        <w:tab/>
      </w:r>
    </w:p>
    <w:sectPr w:rsidR="003974EE" w:rsidRPr="003974EE" w:rsidSect="001F6DF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CC" w:rsidRDefault="00260ACC"/>
  </w:endnote>
  <w:endnote w:type="continuationSeparator" w:id="0">
    <w:p w:rsidR="00260ACC" w:rsidRDefault="00260ACC"/>
  </w:endnote>
  <w:endnote w:type="continuationNotice" w:id="1">
    <w:p w:rsidR="00260ACC" w:rsidRDefault="00260A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CC" w:rsidRPr="001F6DFD" w:rsidRDefault="00260ACC" w:rsidP="001F6DFD">
    <w:pPr>
      <w:pStyle w:val="Footer"/>
      <w:tabs>
        <w:tab w:val="right" w:pos="9638"/>
      </w:tabs>
    </w:pPr>
    <w:r w:rsidRPr="001F6DFD">
      <w:rPr>
        <w:b/>
        <w:sz w:val="18"/>
      </w:rPr>
      <w:fldChar w:fldCharType="begin"/>
    </w:r>
    <w:r w:rsidRPr="001F6DFD">
      <w:rPr>
        <w:b/>
        <w:sz w:val="18"/>
      </w:rPr>
      <w:instrText xml:space="preserve"> PAGE  \* MERGEFORMAT </w:instrText>
    </w:r>
    <w:r w:rsidRPr="001F6DFD">
      <w:rPr>
        <w:b/>
        <w:sz w:val="18"/>
      </w:rPr>
      <w:fldChar w:fldCharType="separate"/>
    </w:r>
    <w:r>
      <w:rPr>
        <w:b/>
        <w:noProof/>
        <w:sz w:val="18"/>
      </w:rPr>
      <w:t>8</w:t>
    </w:r>
    <w:r w:rsidRPr="001F6DFD">
      <w:rPr>
        <w:b/>
        <w:sz w:val="18"/>
      </w:rPr>
      <w:fldChar w:fldCharType="end"/>
    </w:r>
    <w:r>
      <w:rPr>
        <w:b/>
        <w:sz w:val="18"/>
      </w:rPr>
      <w:tab/>
    </w:r>
    <w:r>
      <w:t>GE.11-44903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CC" w:rsidRPr="001F6DFD" w:rsidRDefault="00260ACC" w:rsidP="001F6DFD">
    <w:pPr>
      <w:pStyle w:val="Footer"/>
      <w:tabs>
        <w:tab w:val="right" w:pos="9638"/>
      </w:tabs>
      <w:rPr>
        <w:b/>
        <w:sz w:val="18"/>
      </w:rPr>
    </w:pPr>
    <w:r>
      <w:t>GE.11-44903</w:t>
    </w:r>
    <w:r>
      <w:tab/>
    </w:r>
    <w:r w:rsidRPr="001F6DFD">
      <w:rPr>
        <w:b/>
        <w:sz w:val="18"/>
      </w:rPr>
      <w:fldChar w:fldCharType="begin"/>
    </w:r>
    <w:r w:rsidRPr="001F6DFD">
      <w:rPr>
        <w:b/>
        <w:sz w:val="18"/>
      </w:rPr>
      <w:instrText xml:space="preserve"> PAGE  \* MERGEFORMAT </w:instrText>
    </w:r>
    <w:r w:rsidRPr="001F6DFD">
      <w:rPr>
        <w:b/>
        <w:sz w:val="18"/>
      </w:rPr>
      <w:fldChar w:fldCharType="separate"/>
    </w:r>
    <w:r>
      <w:rPr>
        <w:b/>
        <w:noProof/>
        <w:sz w:val="18"/>
      </w:rPr>
      <w:t>7</w:t>
    </w:r>
    <w:r w:rsidRPr="001F6DF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CC" w:rsidRDefault="00260ACC">
    <w:pPr>
      <w:pStyle w:val="Footer"/>
    </w:pPr>
    <w:r>
      <w:rPr>
        <w:sz w:val="20"/>
      </w:rPr>
      <w:t>GE.11-44903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120911    130911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CC" w:rsidRPr="00D27D5E" w:rsidRDefault="00260ACC" w:rsidP="00D27D5E">
      <w:pPr>
        <w:tabs>
          <w:tab w:val="right" w:pos="2155"/>
        </w:tabs>
        <w:spacing w:after="80"/>
        <w:ind w:left="680"/>
        <w:rPr>
          <w:u w:val="single"/>
        </w:rPr>
      </w:pPr>
      <w:r>
        <w:rPr>
          <w:u w:val="single"/>
        </w:rPr>
        <w:tab/>
      </w:r>
    </w:p>
  </w:footnote>
  <w:footnote w:type="continuationSeparator" w:id="0">
    <w:p w:rsidR="00260ACC" w:rsidRPr="00091505" w:rsidRDefault="00260ACC" w:rsidP="00091505">
      <w:pPr>
        <w:tabs>
          <w:tab w:val="right" w:pos="2155"/>
        </w:tabs>
        <w:spacing w:after="80"/>
        <w:ind w:left="680"/>
        <w:rPr>
          <w:u w:val="single"/>
        </w:rPr>
      </w:pPr>
      <w:r w:rsidRPr="00091505">
        <w:rPr>
          <w:u w:val="single"/>
        </w:rPr>
        <w:tab/>
      </w:r>
    </w:p>
  </w:footnote>
  <w:footnote w:type="continuationNotice" w:id="1">
    <w:p w:rsidR="00260ACC" w:rsidRDefault="00260A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CC" w:rsidRPr="001F6DFD" w:rsidRDefault="00260ACC">
    <w:pPr>
      <w:pStyle w:val="Header"/>
    </w:pPr>
    <w:r>
      <w:t>CCPR/C/BGR/CO/3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CC" w:rsidRPr="001F6DFD" w:rsidRDefault="00260ACC" w:rsidP="001F6DFD">
    <w:pPr>
      <w:pStyle w:val="Header"/>
      <w:jc w:val="right"/>
    </w:pPr>
    <w:r>
      <w:t>CCPR/C/BGR/CO/3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67E"/>
    <w:rsid w:val="00016AC5"/>
    <w:rsid w:val="00034C3C"/>
    <w:rsid w:val="00091505"/>
    <w:rsid w:val="0009463D"/>
    <w:rsid w:val="0009767E"/>
    <w:rsid w:val="000A147A"/>
    <w:rsid w:val="000C6CCB"/>
    <w:rsid w:val="000C6EC2"/>
    <w:rsid w:val="000D5AD6"/>
    <w:rsid w:val="000F0492"/>
    <w:rsid w:val="000F41F2"/>
    <w:rsid w:val="00103949"/>
    <w:rsid w:val="00124CEE"/>
    <w:rsid w:val="00133CBB"/>
    <w:rsid w:val="0013627E"/>
    <w:rsid w:val="00150EBD"/>
    <w:rsid w:val="00160540"/>
    <w:rsid w:val="00186F0E"/>
    <w:rsid w:val="00192EEB"/>
    <w:rsid w:val="001A20FB"/>
    <w:rsid w:val="001B102E"/>
    <w:rsid w:val="001C3080"/>
    <w:rsid w:val="001D7F8A"/>
    <w:rsid w:val="001E3FEB"/>
    <w:rsid w:val="001E4A02"/>
    <w:rsid w:val="001F25C4"/>
    <w:rsid w:val="001F4DD7"/>
    <w:rsid w:val="001F6DFD"/>
    <w:rsid w:val="00201082"/>
    <w:rsid w:val="00224F0B"/>
    <w:rsid w:val="00225A8C"/>
    <w:rsid w:val="00240514"/>
    <w:rsid w:val="00260ACC"/>
    <w:rsid w:val="002659F1"/>
    <w:rsid w:val="00271EB0"/>
    <w:rsid w:val="00280A63"/>
    <w:rsid w:val="0028202B"/>
    <w:rsid w:val="002821B0"/>
    <w:rsid w:val="00287E79"/>
    <w:rsid w:val="00290A03"/>
    <w:rsid w:val="002928F9"/>
    <w:rsid w:val="00294261"/>
    <w:rsid w:val="002975C8"/>
    <w:rsid w:val="002A5D07"/>
    <w:rsid w:val="002B1392"/>
    <w:rsid w:val="002E0222"/>
    <w:rsid w:val="002E1A7F"/>
    <w:rsid w:val="003016B7"/>
    <w:rsid w:val="00325F45"/>
    <w:rsid w:val="003515AA"/>
    <w:rsid w:val="003526F8"/>
    <w:rsid w:val="00366F5B"/>
    <w:rsid w:val="00374106"/>
    <w:rsid w:val="003974EE"/>
    <w:rsid w:val="003976D5"/>
    <w:rsid w:val="003A20B4"/>
    <w:rsid w:val="003B701E"/>
    <w:rsid w:val="003D35BE"/>
    <w:rsid w:val="003D6C68"/>
    <w:rsid w:val="003F1BFE"/>
    <w:rsid w:val="003F2115"/>
    <w:rsid w:val="003F3AF0"/>
    <w:rsid w:val="00401195"/>
    <w:rsid w:val="00413931"/>
    <w:rsid w:val="004159D0"/>
    <w:rsid w:val="00416BB7"/>
    <w:rsid w:val="00453A78"/>
    <w:rsid w:val="00464EEE"/>
    <w:rsid w:val="004D7AAA"/>
    <w:rsid w:val="00543D5E"/>
    <w:rsid w:val="00571F41"/>
    <w:rsid w:val="0057585D"/>
    <w:rsid w:val="005D03B8"/>
    <w:rsid w:val="005E5D1F"/>
    <w:rsid w:val="005F39C2"/>
    <w:rsid w:val="006055FD"/>
    <w:rsid w:val="006111E0"/>
    <w:rsid w:val="00611D43"/>
    <w:rsid w:val="00612D48"/>
    <w:rsid w:val="00616B45"/>
    <w:rsid w:val="00630D9B"/>
    <w:rsid w:val="00631953"/>
    <w:rsid w:val="006411BE"/>
    <w:rsid w:val="006437A4"/>
    <w:rsid w:val="006439EC"/>
    <w:rsid w:val="006B4590"/>
    <w:rsid w:val="006C340C"/>
    <w:rsid w:val="0070347C"/>
    <w:rsid w:val="0071451B"/>
    <w:rsid w:val="007176C1"/>
    <w:rsid w:val="00722A3C"/>
    <w:rsid w:val="00725DC9"/>
    <w:rsid w:val="00737DEE"/>
    <w:rsid w:val="00767C3D"/>
    <w:rsid w:val="00775D99"/>
    <w:rsid w:val="00796940"/>
    <w:rsid w:val="007A5829"/>
    <w:rsid w:val="007B66FC"/>
    <w:rsid w:val="007C7846"/>
    <w:rsid w:val="007D001A"/>
    <w:rsid w:val="007F041B"/>
    <w:rsid w:val="007F55CB"/>
    <w:rsid w:val="00844750"/>
    <w:rsid w:val="00873B3C"/>
    <w:rsid w:val="00892241"/>
    <w:rsid w:val="008A042B"/>
    <w:rsid w:val="008A39ED"/>
    <w:rsid w:val="008B44C4"/>
    <w:rsid w:val="008C44BE"/>
    <w:rsid w:val="008E7FAE"/>
    <w:rsid w:val="008F1152"/>
    <w:rsid w:val="008F53ED"/>
    <w:rsid w:val="00911BF7"/>
    <w:rsid w:val="009349C5"/>
    <w:rsid w:val="00943FFD"/>
    <w:rsid w:val="009713D1"/>
    <w:rsid w:val="00977EC8"/>
    <w:rsid w:val="00993DE6"/>
    <w:rsid w:val="009B761E"/>
    <w:rsid w:val="009D1894"/>
    <w:rsid w:val="009D3A8C"/>
    <w:rsid w:val="009E70B4"/>
    <w:rsid w:val="009E7956"/>
    <w:rsid w:val="00A228B4"/>
    <w:rsid w:val="00A2424A"/>
    <w:rsid w:val="00A2492E"/>
    <w:rsid w:val="00A265A8"/>
    <w:rsid w:val="00A55F19"/>
    <w:rsid w:val="00A720C2"/>
    <w:rsid w:val="00AA3390"/>
    <w:rsid w:val="00AB51C8"/>
    <w:rsid w:val="00AC67A1"/>
    <w:rsid w:val="00AC7977"/>
    <w:rsid w:val="00AE352C"/>
    <w:rsid w:val="00AF1CE8"/>
    <w:rsid w:val="00B32E2D"/>
    <w:rsid w:val="00B40A0E"/>
    <w:rsid w:val="00B605E1"/>
    <w:rsid w:val="00B61990"/>
    <w:rsid w:val="00B84D98"/>
    <w:rsid w:val="00B93051"/>
    <w:rsid w:val="00B962D8"/>
    <w:rsid w:val="00BE7FF8"/>
    <w:rsid w:val="00BF0556"/>
    <w:rsid w:val="00C218BA"/>
    <w:rsid w:val="00C261F8"/>
    <w:rsid w:val="00C33100"/>
    <w:rsid w:val="00C4083C"/>
    <w:rsid w:val="00C84999"/>
    <w:rsid w:val="00CA6A02"/>
    <w:rsid w:val="00CB5A09"/>
    <w:rsid w:val="00CD1A71"/>
    <w:rsid w:val="00CD1FBB"/>
    <w:rsid w:val="00CF5128"/>
    <w:rsid w:val="00D016B5"/>
    <w:rsid w:val="00D034F1"/>
    <w:rsid w:val="00D14506"/>
    <w:rsid w:val="00D27D5E"/>
    <w:rsid w:val="00D35B2D"/>
    <w:rsid w:val="00D65B3C"/>
    <w:rsid w:val="00DA36C3"/>
    <w:rsid w:val="00DD010A"/>
    <w:rsid w:val="00DE6D90"/>
    <w:rsid w:val="00DF002F"/>
    <w:rsid w:val="00DF1912"/>
    <w:rsid w:val="00DF3BF1"/>
    <w:rsid w:val="00E010C1"/>
    <w:rsid w:val="00E0244D"/>
    <w:rsid w:val="00E144C5"/>
    <w:rsid w:val="00E202AA"/>
    <w:rsid w:val="00E368FF"/>
    <w:rsid w:val="00E41AAF"/>
    <w:rsid w:val="00E601FE"/>
    <w:rsid w:val="00E81E94"/>
    <w:rsid w:val="00E82607"/>
    <w:rsid w:val="00E970D8"/>
    <w:rsid w:val="00EE643B"/>
    <w:rsid w:val="00EF6BB6"/>
    <w:rsid w:val="00F33865"/>
    <w:rsid w:val="00F44C87"/>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3874</Words>
  <Characters>21392</Characters>
  <Application>Microsoft Office Outlook</Application>
  <DocSecurity>4</DocSecurity>
  <Lines>349</Lines>
  <Paragraphs>82</Paragraphs>
  <ScaleCrop>false</ScaleCrop>
  <HeadingPairs>
    <vt:vector size="2" baseType="variant">
      <vt:variant>
        <vt:lpstr>Titre</vt:lpstr>
      </vt:variant>
      <vt:variant>
        <vt:i4>1</vt:i4>
      </vt:variant>
    </vt:vector>
  </HeadingPairs>
  <TitlesOfParts>
    <vt:vector size="1" baseType="lpstr">
      <vt:lpstr>CCPR/C/BGR/CO/3</vt:lpstr>
    </vt:vector>
  </TitlesOfParts>
  <Company>CSD</Company>
  <LinksUpToDate>false</LinksUpToDate>
  <CharactersWithSpaces>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CCPR/C/BGR/CO/3</dc:title>
  <dc:subject>final</dc:subject>
  <dc:creator>Nath Vittoz</dc:creator>
  <cp:keywords/>
  <dc:description/>
  <cp:lastModifiedBy>Y.Gibert</cp:lastModifiedBy>
  <cp:revision>2</cp:revision>
  <cp:lastPrinted>2009-10-07T17:31:00Z</cp:lastPrinted>
  <dcterms:created xsi:type="dcterms:W3CDTF">2011-09-13T13:25:00Z</dcterms:created>
  <dcterms:modified xsi:type="dcterms:W3CDTF">2011-09-13T13:25:00Z</dcterms:modified>
</cp:coreProperties>
</file>