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A51107" w:rsidP="008F1E70">
            <w:pPr>
              <w:bidi w:val="0"/>
              <w:spacing w:after="20"/>
              <w:jc w:val="left"/>
              <w:rPr>
                <w:szCs w:val="20"/>
              </w:rPr>
            </w:pPr>
            <w:r w:rsidRPr="00A51107">
              <w:rPr>
                <w:sz w:val="40"/>
                <w:szCs w:val="20"/>
              </w:rPr>
              <w:t>C</w:t>
            </w:r>
            <w:r w:rsidRPr="008F1E70">
              <w:rPr>
                <w:sz w:val="40"/>
                <w:szCs w:val="40"/>
              </w:rPr>
              <w:t>ERD</w:t>
            </w:r>
            <w:r>
              <w:rPr>
                <w:szCs w:val="20"/>
              </w:rPr>
              <w:t>/C/NPL/CO/17-23</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val="fr-CH"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8F1E70" w:rsidRPr="00A85A54" w:rsidRDefault="008F1E70" w:rsidP="008F1E70">
            <w:pPr>
              <w:spacing w:before="120" w:line="600" w:lineRule="exact"/>
              <w:ind w:right="499"/>
              <w:rPr>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p w:rsidR="006B3E27" w:rsidRPr="008F1E70" w:rsidRDefault="006B3E27" w:rsidP="00BA5E8B">
            <w:pPr>
              <w:spacing w:before="120" w:after="40" w:line="640" w:lineRule="exact"/>
              <w:jc w:val="left"/>
              <w:rPr>
                <w:b/>
                <w:bCs/>
                <w:sz w:val="56"/>
                <w:szCs w:val="56"/>
              </w:rPr>
            </w:pPr>
          </w:p>
        </w:tc>
        <w:tc>
          <w:tcPr>
            <w:tcW w:w="3402" w:type="dxa"/>
            <w:tcBorders>
              <w:top w:val="single" w:sz="4" w:space="0" w:color="auto"/>
              <w:bottom w:val="single" w:sz="12" w:space="0" w:color="auto"/>
            </w:tcBorders>
          </w:tcPr>
          <w:p w:rsidR="006B3E27" w:rsidRDefault="008F1E70" w:rsidP="008F1E70">
            <w:pPr>
              <w:bidi w:val="0"/>
              <w:spacing w:before="240"/>
              <w:jc w:val="left"/>
              <w:rPr>
                <w:szCs w:val="20"/>
              </w:rPr>
            </w:pPr>
            <w:r>
              <w:rPr>
                <w:szCs w:val="20"/>
              </w:rPr>
              <w:t>Distr.: General</w:t>
            </w:r>
          </w:p>
          <w:p w:rsidR="008F1E70" w:rsidRDefault="008F1E70" w:rsidP="008F1E70">
            <w:pPr>
              <w:bidi w:val="0"/>
              <w:jc w:val="left"/>
              <w:rPr>
                <w:szCs w:val="20"/>
              </w:rPr>
            </w:pPr>
            <w:r>
              <w:rPr>
                <w:szCs w:val="20"/>
              </w:rPr>
              <w:t>29 May 2018</w:t>
            </w:r>
          </w:p>
          <w:p w:rsidR="008F1E70" w:rsidRDefault="008F1E70" w:rsidP="008F1E70">
            <w:pPr>
              <w:bidi w:val="0"/>
              <w:jc w:val="left"/>
              <w:rPr>
                <w:szCs w:val="20"/>
              </w:rPr>
            </w:pPr>
            <w:r>
              <w:rPr>
                <w:szCs w:val="20"/>
              </w:rPr>
              <w:t>Arabic</w:t>
            </w:r>
          </w:p>
          <w:p w:rsidR="008F1E70" w:rsidRPr="003E159A" w:rsidRDefault="008F1E70" w:rsidP="008F1E70">
            <w:pPr>
              <w:bidi w:val="0"/>
              <w:jc w:val="left"/>
              <w:rPr>
                <w:szCs w:val="20"/>
              </w:rPr>
            </w:pPr>
            <w:r>
              <w:rPr>
                <w:szCs w:val="20"/>
              </w:rPr>
              <w:t>Original: English</w:t>
            </w:r>
          </w:p>
        </w:tc>
      </w:tr>
    </w:tbl>
    <w:p w:rsidR="008F1E70" w:rsidRDefault="008F1E70" w:rsidP="008F1E70">
      <w:pPr>
        <w:spacing w:before="120" w:line="380" w:lineRule="exact"/>
        <w:jc w:val="left"/>
        <w:rPr>
          <w:b/>
          <w:bCs/>
          <w:sz w:val="36"/>
          <w:szCs w:val="36"/>
          <w:rtl/>
        </w:rPr>
      </w:pPr>
      <w:r>
        <w:rPr>
          <w:rFonts w:hint="cs"/>
          <w:b/>
          <w:bCs/>
          <w:sz w:val="36"/>
          <w:szCs w:val="36"/>
          <w:rtl/>
        </w:rPr>
        <w:t>لجنة القضاء على التمييز العنصري</w:t>
      </w:r>
    </w:p>
    <w:p w:rsidR="008F1E70" w:rsidRPr="00DC0308" w:rsidRDefault="008F1E70" w:rsidP="008F1E70">
      <w:pPr>
        <w:pStyle w:val="HChGA"/>
        <w:rPr>
          <w:rtl/>
          <w:lang w:eastAsia="zh-TW"/>
        </w:rPr>
      </w:pPr>
      <w:r>
        <w:rPr>
          <w:rtl/>
          <w:lang w:eastAsia="zh-TW"/>
        </w:rPr>
        <w:tab/>
      </w:r>
      <w:r>
        <w:rPr>
          <w:rtl/>
          <w:lang w:eastAsia="zh-TW"/>
        </w:rPr>
        <w:tab/>
      </w:r>
      <w:r w:rsidRPr="00DC0308">
        <w:rPr>
          <w:rtl/>
          <w:lang w:eastAsia="zh-TW"/>
        </w:rPr>
        <w:t>الملاحظات الختامية بشأن التقرير الجامع للتقارير الدورية من السابع عشر إلى الثالث والعشرين لنيبال</w:t>
      </w:r>
      <w:r w:rsidRPr="008F1E70">
        <w:rPr>
          <w:rStyle w:val="FootnoteReference"/>
          <w:b/>
          <w:bCs w:val="0"/>
          <w:sz w:val="20"/>
          <w:vertAlign w:val="baseline"/>
          <w:rtl/>
          <w:lang w:eastAsia="zh-TW"/>
        </w:rPr>
        <w:footnoteReference w:customMarkFollows="1" w:id="1"/>
        <w:t>*</w:t>
      </w:r>
    </w:p>
    <w:p w:rsidR="008F1E70" w:rsidRPr="0096600E" w:rsidRDefault="008F1E70" w:rsidP="0055200C">
      <w:pPr>
        <w:pStyle w:val="SingleTxtGA"/>
        <w:rPr>
          <w:rtl/>
          <w:lang w:eastAsia="zh-TW"/>
        </w:rPr>
      </w:pPr>
      <w:r>
        <w:rPr>
          <w:rtl/>
          <w:lang w:eastAsia="zh-TW"/>
        </w:rPr>
        <w:t>١-</w:t>
      </w:r>
      <w:r>
        <w:rPr>
          <w:rtl/>
          <w:lang w:eastAsia="zh-TW"/>
        </w:rPr>
        <w:tab/>
        <w:t>نظرت اللجنة في التقرير الجامع للتقارير الدورية من السابع عشر إلى الثالث والعشرين لنيبال (</w:t>
      </w:r>
      <w:r w:rsidR="004B7CC1">
        <w:rPr>
          <w:szCs w:val="20"/>
          <w:lang w:eastAsia="zh-TW"/>
        </w:rPr>
        <w:t>CERD/C/N</w:t>
      </w:r>
      <w:r w:rsidRPr="00DC0308">
        <w:rPr>
          <w:szCs w:val="20"/>
          <w:lang w:eastAsia="zh-TW"/>
        </w:rPr>
        <w:t>P</w:t>
      </w:r>
      <w:r w:rsidR="004B7CC1">
        <w:rPr>
          <w:szCs w:val="20"/>
          <w:lang w:eastAsia="zh-TW"/>
        </w:rPr>
        <w:t>L</w:t>
      </w:r>
      <w:r w:rsidRPr="00DC0308">
        <w:rPr>
          <w:szCs w:val="20"/>
          <w:lang w:eastAsia="zh-TW"/>
        </w:rPr>
        <w:t>/17-23</w:t>
      </w:r>
      <w:r>
        <w:rPr>
          <w:rtl/>
          <w:lang w:eastAsia="zh-TW"/>
        </w:rPr>
        <w:t xml:space="preserve">)، المقدمة في وثيقة واحدة، في جلستيها </w:t>
      </w:r>
      <w:r>
        <w:rPr>
          <w:lang w:eastAsia="zh-TW"/>
        </w:rPr>
        <w:t>2626</w:t>
      </w:r>
      <w:r>
        <w:rPr>
          <w:rtl/>
          <w:lang w:eastAsia="zh-TW"/>
        </w:rPr>
        <w:t xml:space="preserve"> و</w:t>
      </w:r>
      <w:r>
        <w:rPr>
          <w:lang w:eastAsia="zh-TW"/>
        </w:rPr>
        <w:t>2627</w:t>
      </w:r>
      <w:r>
        <w:rPr>
          <w:rtl/>
          <w:lang w:eastAsia="zh-TW"/>
        </w:rPr>
        <w:t xml:space="preserve"> (انظر</w:t>
      </w:r>
      <w:r w:rsidR="0055200C">
        <w:rPr>
          <w:rFonts w:hint="eastAsia"/>
          <w:rtl/>
          <w:lang w:eastAsia="zh-TW" w:bidi="ar-DZ"/>
        </w:rPr>
        <w:t> </w:t>
      </w:r>
      <w:r w:rsidRPr="00DC0308">
        <w:rPr>
          <w:szCs w:val="20"/>
          <w:lang w:eastAsia="zh-TW"/>
        </w:rPr>
        <w:t>CERD/C/SR.2626</w:t>
      </w:r>
      <w:r>
        <w:rPr>
          <w:rtl/>
          <w:lang w:eastAsia="zh-TW"/>
        </w:rPr>
        <w:t xml:space="preserve"> و</w:t>
      </w:r>
      <w:r w:rsidRPr="00DC0308">
        <w:rPr>
          <w:szCs w:val="20"/>
          <w:lang w:eastAsia="zh-TW"/>
        </w:rPr>
        <w:t>2627</w:t>
      </w:r>
      <w:r>
        <w:rPr>
          <w:rtl/>
          <w:lang w:eastAsia="zh-TW"/>
        </w:rPr>
        <w:t>) المعقودتين في 30 نيسان/أبريل و1 أيار/مايو 2018. واعتمدت الملاحظات الختامية التالية في جلستها 2639 المعقودة في ٩ أيار/مايو ٢٠١٨.</w:t>
      </w:r>
    </w:p>
    <w:p w:rsidR="008F1E70" w:rsidRPr="00DC0308" w:rsidRDefault="008F1E70" w:rsidP="008F1E70">
      <w:pPr>
        <w:pStyle w:val="H1GA"/>
        <w:rPr>
          <w:rtl/>
        </w:rPr>
      </w:pPr>
      <w:r>
        <w:rPr>
          <w:rtl/>
        </w:rPr>
        <w:tab/>
      </w:r>
      <w:r w:rsidRPr="00DC0308">
        <w:rPr>
          <w:rtl/>
        </w:rPr>
        <w:t>ألف</w:t>
      </w:r>
      <w:r>
        <w:rPr>
          <w:rtl/>
        </w:rPr>
        <w:t>-</w:t>
      </w:r>
      <w:r>
        <w:rPr>
          <w:rtl/>
        </w:rPr>
        <w:tab/>
        <w:t>مقدمة</w:t>
      </w:r>
    </w:p>
    <w:p w:rsidR="008F1E70" w:rsidRPr="008F1E70" w:rsidRDefault="008F1E70" w:rsidP="008F1E70">
      <w:pPr>
        <w:pStyle w:val="SingleTxtGA"/>
        <w:rPr>
          <w:rtl/>
          <w:lang w:eastAsia="zh-TW" w:bidi="ar-DZ"/>
        </w:rPr>
      </w:pPr>
      <w:r>
        <w:rPr>
          <w:rtl/>
          <w:lang w:eastAsia="zh-TW"/>
        </w:rPr>
        <w:t>٢-</w:t>
      </w:r>
      <w:r>
        <w:rPr>
          <w:rtl/>
          <w:lang w:eastAsia="zh-TW"/>
        </w:rPr>
        <w:tab/>
        <w:t>ترحّب اللجنة بتقديم التقارير الدورية من السابع عشر إلى الثالث والعشرين للدولة الطرف، وإن كانت تأسف لتأخر تقديمها مدة ثماني سنوات. وهي تعرب عن تقديرها للحوار المفتوح والبناء الذي جرى مع وفد الدولة الطرف. وتود اللجنة أن تشكر الوفد على المعلومات التي قدمها أثناء النظر في التقرير.</w:t>
      </w:r>
    </w:p>
    <w:p w:rsidR="008F1E70" w:rsidRPr="00DC0308" w:rsidRDefault="008F1E70" w:rsidP="008F1E70">
      <w:pPr>
        <w:pStyle w:val="H1GA"/>
        <w:rPr>
          <w:rtl/>
          <w:lang w:eastAsia="zh-TW"/>
        </w:rPr>
      </w:pPr>
      <w:r>
        <w:rPr>
          <w:rtl/>
          <w:lang w:eastAsia="zh-TW"/>
        </w:rPr>
        <w:tab/>
      </w:r>
      <w:r w:rsidRPr="00DC0308">
        <w:rPr>
          <w:rtl/>
          <w:lang w:eastAsia="zh-TW"/>
        </w:rPr>
        <w:t>باء</w:t>
      </w:r>
      <w:r>
        <w:rPr>
          <w:rtl/>
          <w:lang w:eastAsia="zh-TW"/>
        </w:rPr>
        <w:t>-</w:t>
      </w:r>
      <w:r>
        <w:rPr>
          <w:rtl/>
          <w:lang w:eastAsia="zh-TW"/>
        </w:rPr>
        <w:tab/>
      </w:r>
      <w:r w:rsidRPr="00DC0308">
        <w:rPr>
          <w:rtl/>
          <w:lang w:eastAsia="zh-TW"/>
        </w:rPr>
        <w:t>الجوانب الإيجابية</w:t>
      </w:r>
    </w:p>
    <w:p w:rsidR="008F1E70" w:rsidRPr="0096600E" w:rsidRDefault="008F1E70" w:rsidP="008F1E70">
      <w:pPr>
        <w:pStyle w:val="SingleTxtGA"/>
        <w:rPr>
          <w:rtl/>
          <w:lang w:eastAsia="zh-TW"/>
        </w:rPr>
      </w:pPr>
      <w:r>
        <w:rPr>
          <w:rtl/>
          <w:lang w:eastAsia="zh-TW"/>
        </w:rPr>
        <w:t>٣-</w:t>
      </w:r>
      <w:r>
        <w:rPr>
          <w:rtl/>
          <w:lang w:eastAsia="zh-TW"/>
        </w:rPr>
        <w:tab/>
        <w:t xml:space="preserve">ترحّب اللجنة بتصديق الدولة الطرف على ما يلي أو انضمامها اليه: </w:t>
      </w:r>
    </w:p>
    <w:p w:rsidR="008F1E70" w:rsidRPr="0096600E" w:rsidRDefault="008F1E70" w:rsidP="008F1E70">
      <w:pPr>
        <w:pStyle w:val="SingleTxtGA"/>
        <w:rPr>
          <w:rFonts w:hint="cs"/>
          <w:rtl/>
          <w:lang w:eastAsia="zh-TW" w:bidi="ar-DZ"/>
        </w:rPr>
      </w:pPr>
      <w:r>
        <w:rPr>
          <w:rtl/>
          <w:lang w:eastAsia="zh-TW"/>
        </w:rPr>
        <w:tab/>
        <w:t>(أ)</w:t>
      </w:r>
      <w:r>
        <w:rPr>
          <w:rtl/>
        </w:rPr>
        <w:tab/>
      </w:r>
      <w:r>
        <w:rPr>
          <w:rtl/>
          <w:lang w:eastAsia="zh-TW"/>
        </w:rPr>
        <w:t>البروتوكولان الاختياريان لاتفاقية حقوق الطفل بشأن اشتراك الأطفال في المنازعات المسلحة، في عام 2007، وبشأن بيع الأطفال واستغلال الأطفال في البغاء و</w:t>
      </w:r>
      <w:r w:rsidR="004B7CC1">
        <w:rPr>
          <w:rtl/>
          <w:lang w:eastAsia="zh-TW"/>
        </w:rPr>
        <w:t>في المواد الإباحية، في عام 200</w:t>
      </w:r>
      <w:r w:rsidR="004B7CC1">
        <w:rPr>
          <w:rFonts w:hint="cs"/>
          <w:rtl/>
          <w:lang w:eastAsia="zh-TW"/>
        </w:rPr>
        <w:t>6؛</w:t>
      </w:r>
    </w:p>
    <w:p w:rsidR="008F1E70" w:rsidRPr="0096600E" w:rsidRDefault="008F1E70" w:rsidP="008F1E70">
      <w:pPr>
        <w:pStyle w:val="SingleTxtGA"/>
        <w:rPr>
          <w:rtl/>
          <w:lang w:eastAsia="zh-TW"/>
        </w:rPr>
      </w:pPr>
      <w:r>
        <w:rPr>
          <w:rtl/>
          <w:lang w:eastAsia="zh-TW"/>
        </w:rPr>
        <w:tab/>
        <w:t>(ب)</w:t>
      </w:r>
      <w:r>
        <w:rPr>
          <w:rtl/>
          <w:lang w:eastAsia="zh-TW"/>
        </w:rPr>
        <w:tab/>
        <w:t>البروتوكول الاخ</w:t>
      </w:r>
      <w:bookmarkStart w:id="0" w:name="_GoBack"/>
      <w:bookmarkEnd w:id="0"/>
      <w:r>
        <w:rPr>
          <w:rtl/>
          <w:lang w:eastAsia="zh-TW"/>
        </w:rPr>
        <w:t>تياري لاتفاقية القضاء على جميع أشكال التمييز ضد المرأة، في عام 2007؛</w:t>
      </w:r>
    </w:p>
    <w:p w:rsidR="008F1E70" w:rsidRPr="0096600E" w:rsidRDefault="008F1E70" w:rsidP="004B7CC1">
      <w:pPr>
        <w:pStyle w:val="SingleTxtGA"/>
        <w:rPr>
          <w:rtl/>
          <w:lang w:eastAsia="zh-TW"/>
        </w:rPr>
      </w:pPr>
      <w:r>
        <w:rPr>
          <w:rtl/>
          <w:lang w:eastAsia="zh-TW"/>
        </w:rPr>
        <w:tab/>
      </w:r>
      <w:r>
        <w:rPr>
          <w:rFonts w:hint="cs"/>
          <w:rtl/>
          <w:lang w:eastAsia="zh-TW"/>
        </w:rPr>
        <w:t>(</w:t>
      </w:r>
      <w:r>
        <w:rPr>
          <w:rtl/>
          <w:lang w:eastAsia="zh-TW"/>
        </w:rPr>
        <w:t>ج)</w:t>
      </w:r>
      <w:r>
        <w:rPr>
          <w:rtl/>
          <w:lang w:eastAsia="zh-TW"/>
        </w:rPr>
        <w:tab/>
        <w:t>اتفاقية منظمة العمل الدولية بشأن الشعوب الأصلية والقبلية، 1989 (رقم</w:t>
      </w:r>
      <w:r>
        <w:rPr>
          <w:rFonts w:hint="cs"/>
          <w:rtl/>
          <w:lang w:eastAsia="zh-TW"/>
        </w:rPr>
        <w:t> </w:t>
      </w:r>
      <w:r>
        <w:rPr>
          <w:rtl/>
          <w:lang w:eastAsia="zh-TW"/>
        </w:rPr>
        <w:t>169)، في عام 2007</w:t>
      </w:r>
      <w:r w:rsidR="004B7CC1">
        <w:rPr>
          <w:rFonts w:hint="cs"/>
          <w:rtl/>
          <w:lang w:eastAsia="zh-TW"/>
        </w:rPr>
        <w:t>؛</w:t>
      </w:r>
    </w:p>
    <w:p w:rsidR="008F1E70" w:rsidRPr="0096600E" w:rsidRDefault="008F1E70" w:rsidP="008F1E70">
      <w:pPr>
        <w:pStyle w:val="SingleTxtGA"/>
        <w:rPr>
          <w:rtl/>
          <w:lang w:eastAsia="zh-TW" w:bidi="ar-DZ"/>
        </w:rPr>
      </w:pPr>
      <w:r>
        <w:rPr>
          <w:rtl/>
          <w:lang w:eastAsia="zh-TW"/>
        </w:rPr>
        <w:lastRenderedPageBreak/>
        <w:tab/>
        <w:t>(د)</w:t>
      </w:r>
      <w:r>
        <w:rPr>
          <w:rtl/>
        </w:rPr>
        <w:tab/>
      </w:r>
      <w:r>
        <w:rPr>
          <w:rtl/>
          <w:lang w:eastAsia="zh-TW"/>
        </w:rPr>
        <w:t>اتفاقية حقوق الأشخاص ذوي الإعاقة وبروتوكولها الاختياري، في عام</w:t>
      </w:r>
      <w:r>
        <w:rPr>
          <w:rFonts w:hint="cs"/>
          <w:rtl/>
          <w:lang w:eastAsia="zh-TW"/>
        </w:rPr>
        <w:t> </w:t>
      </w:r>
      <w:r w:rsidR="00995C87">
        <w:rPr>
          <w:rtl/>
          <w:lang w:eastAsia="zh-TW"/>
        </w:rPr>
        <w:t>2010</w:t>
      </w:r>
      <w:r w:rsidR="00995C87">
        <w:rPr>
          <w:rFonts w:hint="cs"/>
          <w:rtl/>
          <w:lang w:eastAsia="zh-TW"/>
        </w:rPr>
        <w:t>.</w:t>
      </w:r>
    </w:p>
    <w:p w:rsidR="008F1E70" w:rsidRPr="0096600E" w:rsidRDefault="008F1E70" w:rsidP="008F1E70">
      <w:pPr>
        <w:pStyle w:val="SingleTxtGA"/>
        <w:rPr>
          <w:rtl/>
          <w:lang w:eastAsia="zh-TW"/>
        </w:rPr>
      </w:pPr>
      <w:r>
        <w:rPr>
          <w:rtl/>
          <w:lang w:eastAsia="zh-TW"/>
        </w:rPr>
        <w:t>٤-</w:t>
      </w:r>
      <w:r>
        <w:rPr>
          <w:rtl/>
          <w:lang w:eastAsia="zh-TW"/>
        </w:rPr>
        <w:tab/>
        <w:t>وترحب اللجنة أيضاً بجهود الدولة الطرف الرامية إلى تعديل تشريعاتها وسياساتها وبرامجها وتدابيرها الإدارية لضمان مزيد حماية حقوق الإنسان وتنفيذ الاتفاقية، بما في ذلك ما</w:t>
      </w:r>
      <w:r>
        <w:rPr>
          <w:rFonts w:hint="cs"/>
          <w:rtl/>
          <w:lang w:eastAsia="zh-TW"/>
        </w:rPr>
        <w:t> </w:t>
      </w:r>
      <w:r>
        <w:rPr>
          <w:rtl/>
          <w:lang w:eastAsia="zh-TW"/>
        </w:rPr>
        <w:t>يلي:</w:t>
      </w:r>
    </w:p>
    <w:p w:rsidR="008F1E70" w:rsidRPr="0096600E" w:rsidRDefault="008F1E70" w:rsidP="008F1E70">
      <w:pPr>
        <w:pStyle w:val="SingleTxtGA"/>
        <w:rPr>
          <w:rtl/>
          <w:lang w:eastAsia="zh-TW"/>
        </w:rPr>
      </w:pPr>
      <w:r>
        <w:rPr>
          <w:rtl/>
          <w:lang w:eastAsia="zh-TW"/>
        </w:rPr>
        <w:tab/>
        <w:t>(أ)</w:t>
      </w:r>
      <w:r>
        <w:rPr>
          <w:rtl/>
        </w:rPr>
        <w:tab/>
      </w:r>
      <w:r>
        <w:rPr>
          <w:rtl/>
          <w:lang w:eastAsia="zh-TW"/>
        </w:rPr>
        <w:t>دستور نيبال (2015)؛</w:t>
      </w:r>
      <w:r>
        <w:rPr>
          <w:rFonts w:cs="Times New Roman" w:hint="cs"/>
          <w:rtl/>
          <w:lang w:eastAsia="zh-TW"/>
        </w:rPr>
        <w:t>‬</w:t>
      </w:r>
      <w:r>
        <w:t>‬</w:t>
      </w:r>
      <w:r>
        <w:t>‬</w:t>
      </w:r>
      <w:r>
        <w:t>‬</w:t>
      </w:r>
      <w:r w:rsidR="004F5C75">
        <w:t>‬</w:t>
      </w:r>
    </w:p>
    <w:p w:rsidR="008F1E70" w:rsidRPr="0096600E" w:rsidRDefault="008F1E70" w:rsidP="008F1E70">
      <w:pPr>
        <w:pStyle w:val="SingleTxtGA"/>
        <w:rPr>
          <w:rtl/>
          <w:lang w:eastAsia="zh-TW"/>
        </w:rPr>
      </w:pPr>
      <w:r>
        <w:rPr>
          <w:rtl/>
          <w:lang w:eastAsia="zh-TW"/>
        </w:rPr>
        <w:tab/>
        <w:t>(ب)</w:t>
      </w:r>
      <w:r>
        <w:rPr>
          <w:rtl/>
          <w:lang w:eastAsia="zh-TW"/>
        </w:rPr>
        <w:tab/>
        <w:t>قانون اللجنة الوطنية لحقوق الإنسان (2012)؛</w:t>
      </w:r>
      <w:r>
        <w:rPr>
          <w:rFonts w:cs="Times New Roman" w:hint="cs"/>
          <w:rtl/>
          <w:lang w:eastAsia="zh-TW"/>
        </w:rPr>
        <w:t>‬</w:t>
      </w:r>
      <w:r>
        <w:rPr>
          <w:rtl/>
          <w:lang w:eastAsia="zh-TW"/>
        </w:rPr>
        <w:t xml:space="preserve"> </w:t>
      </w:r>
    </w:p>
    <w:p w:rsidR="008F1E70" w:rsidRPr="0096600E" w:rsidRDefault="008F1E70" w:rsidP="008F1E70">
      <w:pPr>
        <w:pStyle w:val="SingleTxtGA"/>
        <w:rPr>
          <w:rtl/>
          <w:lang w:eastAsia="zh-TW"/>
        </w:rPr>
      </w:pPr>
      <w:r>
        <w:rPr>
          <w:rtl/>
          <w:lang w:eastAsia="zh-TW"/>
        </w:rPr>
        <w:tab/>
        <w:t>(ج)</w:t>
      </w:r>
      <w:r>
        <w:rPr>
          <w:rtl/>
          <w:lang w:eastAsia="zh-TW"/>
        </w:rPr>
        <w:tab/>
        <w:t>قانون مكافحة التمييز الطبقي والنبذ (الجريمة والعقاب) (2011)؛</w:t>
      </w:r>
    </w:p>
    <w:p w:rsidR="008F1E70" w:rsidRPr="0096600E" w:rsidRDefault="008F1E70" w:rsidP="00995C87">
      <w:pPr>
        <w:pStyle w:val="SingleTxtGA"/>
        <w:rPr>
          <w:rtl/>
          <w:lang w:eastAsia="zh-TW"/>
        </w:rPr>
      </w:pPr>
      <w:r>
        <w:rPr>
          <w:rtl/>
          <w:lang w:eastAsia="zh-TW"/>
        </w:rPr>
        <w:tab/>
        <w:t>(د)</w:t>
      </w:r>
      <w:r>
        <w:rPr>
          <w:rtl/>
          <w:lang w:eastAsia="zh-TW"/>
        </w:rPr>
        <w:tab/>
        <w:t>خطة العمل الوطنية لحقوق الإنسان (2014</w:t>
      </w:r>
      <w:r w:rsidR="00995C87">
        <w:rPr>
          <w:rtl/>
          <w:lang w:eastAsia="zh-TW"/>
        </w:rPr>
        <w:noBreakHyphen/>
      </w:r>
      <w:r>
        <w:rPr>
          <w:rtl/>
          <w:lang w:eastAsia="zh-TW"/>
        </w:rPr>
        <w:t xml:space="preserve">2019)؛ </w:t>
      </w:r>
    </w:p>
    <w:p w:rsidR="008F1E70" w:rsidRPr="0096600E" w:rsidRDefault="008F1E70" w:rsidP="008F1E70">
      <w:pPr>
        <w:pStyle w:val="SingleTxtGA"/>
        <w:rPr>
          <w:rtl/>
          <w:lang w:eastAsia="zh-TW"/>
        </w:rPr>
      </w:pPr>
      <w:r>
        <w:rPr>
          <w:rtl/>
          <w:lang w:eastAsia="zh-TW"/>
        </w:rPr>
        <w:tab/>
        <w:t>(هـ)</w:t>
      </w:r>
      <w:r>
        <w:rPr>
          <w:rtl/>
          <w:lang w:eastAsia="zh-TW"/>
        </w:rPr>
        <w:tab/>
        <w:t>خطة العمل الوطنية لمكافحة الاتجار بالبشر (2011).</w:t>
      </w:r>
    </w:p>
    <w:p w:rsidR="008F1E70" w:rsidRPr="008414C7" w:rsidRDefault="008F1E70" w:rsidP="008F1E70">
      <w:pPr>
        <w:pStyle w:val="H1GA"/>
        <w:rPr>
          <w:rtl/>
          <w:lang w:eastAsia="zh-TW"/>
        </w:rPr>
      </w:pPr>
      <w:r>
        <w:rPr>
          <w:rtl/>
          <w:lang w:eastAsia="zh-TW"/>
        </w:rPr>
        <w:tab/>
      </w:r>
      <w:r w:rsidRPr="008414C7">
        <w:rPr>
          <w:rtl/>
          <w:lang w:eastAsia="zh-TW"/>
        </w:rPr>
        <w:t>جيم</w:t>
      </w:r>
      <w:r>
        <w:rPr>
          <w:rFonts w:hint="cs"/>
          <w:rtl/>
          <w:lang w:eastAsia="zh-TW"/>
        </w:rPr>
        <w:t>-</w:t>
      </w:r>
      <w:r>
        <w:rPr>
          <w:rFonts w:hint="cs"/>
          <w:rtl/>
          <w:lang w:eastAsia="zh-TW"/>
        </w:rPr>
        <w:tab/>
      </w:r>
      <w:r>
        <w:rPr>
          <w:rtl/>
          <w:lang w:eastAsia="zh-TW"/>
        </w:rPr>
        <w:t>دواعي القلق</w:t>
      </w:r>
      <w:r w:rsidRPr="008414C7">
        <w:rPr>
          <w:rtl/>
          <w:lang w:eastAsia="zh-TW"/>
        </w:rPr>
        <w:t xml:space="preserve"> والتوصيات </w:t>
      </w:r>
    </w:p>
    <w:p w:rsidR="008F1E70" w:rsidRPr="008414C7" w:rsidRDefault="008F1E70" w:rsidP="008F1E70">
      <w:pPr>
        <w:pStyle w:val="H23GA"/>
        <w:rPr>
          <w:rtl/>
        </w:rPr>
      </w:pPr>
      <w:r>
        <w:tab/>
      </w:r>
      <w:r>
        <w:tab/>
      </w:r>
      <w:r w:rsidRPr="008414C7">
        <w:rPr>
          <w:rtl/>
        </w:rPr>
        <w:t>تطبيق الاتفاقية على الصعيد المحلي</w:t>
      </w:r>
    </w:p>
    <w:p w:rsidR="008F1E70" w:rsidRPr="0096600E" w:rsidRDefault="008F1E70" w:rsidP="008F1E70">
      <w:pPr>
        <w:pStyle w:val="SingleTxtGA"/>
        <w:rPr>
          <w:rtl/>
          <w:lang w:eastAsia="zh-TW"/>
        </w:rPr>
      </w:pPr>
      <w:r>
        <w:rPr>
          <w:rtl/>
          <w:lang w:eastAsia="zh-TW"/>
        </w:rPr>
        <w:t>٥-</w:t>
      </w:r>
      <w:r>
        <w:rPr>
          <w:rtl/>
          <w:lang w:eastAsia="zh-TW"/>
        </w:rPr>
        <w:tab/>
        <w:t xml:space="preserve">يساور اللجنة القلق إزاء عدم وجود معلومات عن الدعاوى القضائية التي تم فيها صراحة الاحتجاج بالاتفاقية وتطبيقها (المادتان 1-2). </w:t>
      </w:r>
    </w:p>
    <w:p w:rsidR="008F1E70" w:rsidRPr="0096600E" w:rsidRDefault="008F1E70" w:rsidP="008F1E70">
      <w:pPr>
        <w:pStyle w:val="SingleTxtGA"/>
        <w:rPr>
          <w:rtl/>
          <w:lang w:eastAsia="zh-TW"/>
        </w:rPr>
      </w:pPr>
      <w:r>
        <w:rPr>
          <w:rtl/>
          <w:lang w:eastAsia="zh-TW"/>
        </w:rPr>
        <w:t>٦-</w:t>
      </w:r>
      <w:r>
        <w:rPr>
          <w:rtl/>
          <w:lang w:eastAsia="zh-TW"/>
        </w:rPr>
        <w:tab/>
      </w:r>
      <w:r w:rsidRPr="008414C7">
        <w:rPr>
          <w:b/>
          <w:bCs/>
          <w:rtl/>
          <w:lang w:eastAsia="zh-TW"/>
        </w:rPr>
        <w:t>تطلب اللجنة أن تقدم الدولة الطرف معلومات عن عدد ونوع القضايا التي احتجّ فيها القضاة مباشرة بأحكام الاتفاقية</w:t>
      </w:r>
      <w:r>
        <w:rPr>
          <w:rtl/>
          <w:lang w:eastAsia="zh-TW"/>
        </w:rPr>
        <w:t>.</w:t>
      </w:r>
    </w:p>
    <w:p w:rsidR="008F1E70" w:rsidRPr="008414C7" w:rsidRDefault="008F1E70" w:rsidP="008F1E70">
      <w:pPr>
        <w:pStyle w:val="H23GA"/>
        <w:rPr>
          <w:rtl/>
        </w:rPr>
      </w:pPr>
      <w:r w:rsidRPr="008414C7">
        <w:tab/>
      </w:r>
      <w:r w:rsidRPr="008414C7">
        <w:tab/>
      </w:r>
      <w:r w:rsidRPr="008414C7">
        <w:rPr>
          <w:rtl/>
        </w:rPr>
        <w:t>تعريف التمييز العنصري وتجريمه</w:t>
      </w:r>
    </w:p>
    <w:p w:rsidR="008F1E70" w:rsidRPr="0096600E" w:rsidRDefault="008F1E70" w:rsidP="008F1E70">
      <w:pPr>
        <w:pStyle w:val="SingleTxtGA"/>
        <w:rPr>
          <w:rtl/>
          <w:lang w:eastAsia="zh-TW"/>
        </w:rPr>
      </w:pPr>
      <w:r>
        <w:rPr>
          <w:rtl/>
          <w:lang w:eastAsia="zh-TW"/>
        </w:rPr>
        <w:t>٧-</w:t>
      </w:r>
      <w:r>
        <w:rPr>
          <w:rtl/>
          <w:lang w:eastAsia="zh-TW"/>
        </w:rPr>
        <w:tab/>
        <w:t>يساور اللجنة القلق لأن قانون مكافحة التمييز الطبقي والنبذ (الجريمة والعقاب) لعام</w:t>
      </w:r>
      <w:r>
        <w:rPr>
          <w:rFonts w:hint="cs"/>
          <w:rtl/>
          <w:lang w:eastAsia="zh-TW"/>
        </w:rPr>
        <w:t> </w:t>
      </w:r>
      <w:r>
        <w:rPr>
          <w:rtl/>
          <w:lang w:eastAsia="zh-TW"/>
        </w:rPr>
        <w:t>2011 لا يحظر التمييز على أساس اللون أو الأصل القومي أو الإثني، ولا يحظر صراحة أشكال التمييز المباشرة وغير المباشرة (المواد 1-2 و5).</w:t>
      </w:r>
    </w:p>
    <w:p w:rsidR="008F1E70" w:rsidRPr="0096600E" w:rsidRDefault="008F1E70" w:rsidP="008F1E70">
      <w:pPr>
        <w:pStyle w:val="SingleTxtGA"/>
        <w:rPr>
          <w:rtl/>
          <w:lang w:eastAsia="zh-TW"/>
        </w:rPr>
      </w:pPr>
      <w:r>
        <w:rPr>
          <w:rtl/>
          <w:lang w:eastAsia="zh-TW"/>
        </w:rPr>
        <w:t>٨-</w:t>
      </w:r>
      <w:r>
        <w:rPr>
          <w:rtl/>
          <w:lang w:eastAsia="zh-TW"/>
        </w:rPr>
        <w:tab/>
      </w:r>
      <w:r w:rsidRPr="008414C7">
        <w:rPr>
          <w:b/>
          <w:bCs/>
          <w:rtl/>
          <w:lang w:eastAsia="zh-TW"/>
        </w:rPr>
        <w:t>تحث</w:t>
      </w:r>
      <w:r>
        <w:rPr>
          <w:b/>
          <w:bCs/>
          <w:rtl/>
          <w:lang w:eastAsia="zh-TW"/>
        </w:rPr>
        <w:t xml:space="preserve"> اللجنة الدولة الطرف على كفالة</w:t>
      </w:r>
      <w:r w:rsidRPr="008414C7">
        <w:rPr>
          <w:b/>
          <w:bCs/>
          <w:rtl/>
          <w:lang w:eastAsia="zh-TW"/>
        </w:rPr>
        <w:t xml:space="preserve"> أن يتضمن تشريعها المحلي تعريف</w:t>
      </w:r>
      <w:r w:rsidR="0055200C">
        <w:rPr>
          <w:b/>
          <w:bCs/>
          <w:rtl/>
          <w:lang w:eastAsia="zh-TW"/>
        </w:rPr>
        <w:t xml:space="preserve">اً </w:t>
      </w:r>
      <w:r w:rsidRPr="008414C7">
        <w:rPr>
          <w:b/>
          <w:bCs/>
          <w:rtl/>
          <w:lang w:eastAsia="zh-TW"/>
        </w:rPr>
        <w:t>لجميع أشكال التمييز العنصري المحددة في المادة ١ من الاتفاقية، بما في ذلك التمييز على أساس اللون والأصل القومي أو الإثني، وأحكام</w:t>
      </w:r>
      <w:r w:rsidR="0055200C">
        <w:rPr>
          <w:b/>
          <w:bCs/>
          <w:rtl/>
          <w:lang w:eastAsia="zh-TW"/>
        </w:rPr>
        <w:t xml:space="preserve">اً </w:t>
      </w:r>
      <w:r>
        <w:rPr>
          <w:b/>
          <w:bCs/>
          <w:rtl/>
          <w:lang w:eastAsia="zh-TW"/>
        </w:rPr>
        <w:t>تجرمّها</w:t>
      </w:r>
      <w:r w:rsidRPr="008414C7">
        <w:rPr>
          <w:b/>
          <w:bCs/>
          <w:rtl/>
          <w:lang w:eastAsia="zh-TW"/>
        </w:rPr>
        <w:t>، وأن يحظر التمييز المباشر وغير المباشر في جميع مجالات الحياة العامة</w:t>
      </w:r>
      <w:r>
        <w:rPr>
          <w:rtl/>
          <w:lang w:eastAsia="zh-TW"/>
        </w:rPr>
        <w:t>.</w:t>
      </w:r>
    </w:p>
    <w:p w:rsidR="008F1E70" w:rsidRPr="008414C7" w:rsidRDefault="008F1E70" w:rsidP="008F1E70">
      <w:pPr>
        <w:pStyle w:val="H23GA"/>
        <w:rPr>
          <w:rtl/>
        </w:rPr>
      </w:pPr>
      <w:r>
        <w:tab/>
      </w:r>
      <w:r>
        <w:tab/>
      </w:r>
      <w:r w:rsidRPr="008414C7">
        <w:rPr>
          <w:rtl/>
        </w:rPr>
        <w:t>المؤسسات الوطنية لحقوق الإنسان</w:t>
      </w:r>
    </w:p>
    <w:p w:rsidR="008F1E70" w:rsidRPr="0096600E" w:rsidRDefault="008F1E70" w:rsidP="008F1E70">
      <w:pPr>
        <w:pStyle w:val="SingleTxtGA"/>
        <w:rPr>
          <w:rtl/>
          <w:lang w:eastAsia="zh-TW"/>
        </w:rPr>
      </w:pPr>
      <w:r>
        <w:rPr>
          <w:rtl/>
          <w:lang w:eastAsia="zh-TW"/>
        </w:rPr>
        <w:t>٩-</w:t>
      </w:r>
      <w:r>
        <w:rPr>
          <w:rtl/>
          <w:lang w:eastAsia="zh-TW"/>
        </w:rPr>
        <w:tab/>
        <w:t>تحيط اللجنة علم</w:t>
      </w:r>
      <w:r w:rsidR="0055200C">
        <w:rPr>
          <w:rtl/>
          <w:lang w:eastAsia="zh-TW"/>
        </w:rPr>
        <w:t xml:space="preserve">اً </w:t>
      </w:r>
      <w:r>
        <w:rPr>
          <w:rtl/>
          <w:lang w:eastAsia="zh-TW"/>
        </w:rPr>
        <w:t>بأن التحالف العالمي للمؤسسات الوطنية لحقوق الإنسان صنّف اللجنة الوطنية لحقوق الإنسان ضمن الفئة "ألف". ومع ذلك، يساور اللجنة القلق لأن اللجنة الوطنية لحقوق الإنسان لم تتلقّ سوى خمس شكاوى متعلقة بالتمييز الطبقي في عامي 2012 و2013، ولأنه لا توجد معلومات واضحة وشاملة بشأن نتائج استعراض هذه الشكاوى. وينتاب اللجنة القلق أيض</w:t>
      </w:r>
      <w:r w:rsidR="0055200C">
        <w:rPr>
          <w:rtl/>
          <w:lang w:eastAsia="zh-TW"/>
        </w:rPr>
        <w:t xml:space="preserve">اً </w:t>
      </w:r>
      <w:r>
        <w:rPr>
          <w:rtl/>
          <w:lang w:eastAsia="zh-TW"/>
        </w:rPr>
        <w:t>لأن لجنة الإدماج الوطنية ولجنة ماديشي ولجنة ثارو لم تبدأ عملها بعدُ، ولأن لجنة داليت الوطنية تعمل في كاتماندو فقط بسبب نقص التمويل (المادة ٢).</w:t>
      </w:r>
    </w:p>
    <w:p w:rsidR="008F1E70" w:rsidRPr="0096600E" w:rsidRDefault="008F1E70" w:rsidP="008F1E70">
      <w:pPr>
        <w:pStyle w:val="SingleTxtGA"/>
        <w:rPr>
          <w:rtl/>
          <w:lang w:eastAsia="zh-TW"/>
        </w:rPr>
      </w:pPr>
      <w:r>
        <w:rPr>
          <w:rtl/>
          <w:lang w:eastAsia="zh-TW"/>
        </w:rPr>
        <w:lastRenderedPageBreak/>
        <w:t>١٠-</w:t>
      </w:r>
      <w:r>
        <w:rPr>
          <w:rtl/>
          <w:lang w:eastAsia="zh-TW"/>
        </w:rPr>
        <w:tab/>
      </w:r>
      <w:r w:rsidRPr="00EC1CB6">
        <w:rPr>
          <w:b/>
          <w:bCs/>
          <w:rtl/>
          <w:lang w:eastAsia="zh-TW"/>
        </w:rPr>
        <w:t>توصي اللجنة الدولة الطرف، تمشي</w:t>
      </w:r>
      <w:r w:rsidR="0055200C">
        <w:rPr>
          <w:b/>
          <w:bCs/>
          <w:rtl/>
          <w:lang w:eastAsia="zh-TW"/>
        </w:rPr>
        <w:t xml:space="preserve">اً </w:t>
      </w:r>
      <w:r w:rsidRPr="00EC1CB6">
        <w:rPr>
          <w:b/>
          <w:bCs/>
          <w:rtl/>
          <w:lang w:eastAsia="zh-TW"/>
        </w:rPr>
        <w:t xml:space="preserve">مع المبادئ المتعلقة بمركز المؤسسات الوطنية لتعزيز وحماية حقوق الإنسان (مبادئ باريس)، بتوفير الموارد الكافية لضمان </w:t>
      </w:r>
      <w:r>
        <w:rPr>
          <w:b/>
          <w:bCs/>
          <w:rtl/>
          <w:lang w:eastAsia="zh-TW"/>
        </w:rPr>
        <w:t>أن تؤدي</w:t>
      </w:r>
      <w:r w:rsidRPr="00EC1CB6">
        <w:rPr>
          <w:b/>
          <w:bCs/>
          <w:rtl/>
          <w:lang w:eastAsia="zh-TW"/>
        </w:rPr>
        <w:t xml:space="preserve"> مؤسساتها الوطنية لحقوق الإنسان</w:t>
      </w:r>
      <w:r>
        <w:rPr>
          <w:b/>
          <w:bCs/>
          <w:rtl/>
          <w:lang w:eastAsia="zh-TW"/>
        </w:rPr>
        <w:t xml:space="preserve"> وظائفها بصورة فعالة، وأن </w:t>
      </w:r>
      <w:r w:rsidRPr="00EC1CB6">
        <w:rPr>
          <w:b/>
          <w:bCs/>
          <w:rtl/>
          <w:lang w:eastAsia="zh-TW"/>
        </w:rPr>
        <w:t>تنف</w:t>
      </w:r>
      <w:r>
        <w:rPr>
          <w:b/>
          <w:bCs/>
          <w:rtl/>
          <w:lang w:eastAsia="zh-TW"/>
        </w:rPr>
        <w:t>َّ</w:t>
      </w:r>
      <w:r w:rsidRPr="00EC1CB6">
        <w:rPr>
          <w:b/>
          <w:bCs/>
          <w:rtl/>
          <w:lang w:eastAsia="zh-TW"/>
        </w:rPr>
        <w:t>ذ توصيات</w:t>
      </w:r>
      <w:r>
        <w:rPr>
          <w:b/>
          <w:bCs/>
          <w:rtl/>
          <w:lang w:eastAsia="zh-TW"/>
        </w:rPr>
        <w:t>ها</w:t>
      </w:r>
      <w:r w:rsidRPr="00EC1CB6">
        <w:rPr>
          <w:b/>
          <w:bCs/>
          <w:rtl/>
          <w:lang w:eastAsia="zh-TW"/>
        </w:rPr>
        <w:t xml:space="preserve">. وتطلب اللجنة إلى الدولة الطرف أن تقدم في تقريرها الدوري القادم إحصاءات عن عدد ونوع ونتائج الشكاوى المتعلقة بالتمييز العنصري أو الطبقي </w:t>
      </w:r>
      <w:r>
        <w:rPr>
          <w:b/>
          <w:bCs/>
          <w:rtl/>
          <w:lang w:eastAsia="zh-TW"/>
        </w:rPr>
        <w:t>و</w:t>
      </w:r>
      <w:r w:rsidRPr="00EC1CB6">
        <w:rPr>
          <w:b/>
          <w:bCs/>
          <w:rtl/>
          <w:lang w:eastAsia="zh-TW"/>
        </w:rPr>
        <w:t>المقدمة إلى المؤسسة الوطنية لحقوق الإنسان وغيرها من الهيئات</w:t>
      </w:r>
      <w:r>
        <w:rPr>
          <w:rtl/>
          <w:lang w:eastAsia="zh-TW"/>
        </w:rPr>
        <w:t xml:space="preserve">. </w:t>
      </w:r>
    </w:p>
    <w:p w:rsidR="008F1E70" w:rsidRPr="00EC1CB6" w:rsidRDefault="008F1E70" w:rsidP="008F1E70">
      <w:pPr>
        <w:pStyle w:val="H23GA"/>
        <w:rPr>
          <w:rtl/>
        </w:rPr>
      </w:pPr>
      <w:r>
        <w:tab/>
      </w:r>
      <w:r>
        <w:tab/>
      </w:r>
      <w:r w:rsidRPr="00EC1CB6">
        <w:rPr>
          <w:rtl/>
        </w:rPr>
        <w:t>أفعال التمييز العنصري</w:t>
      </w:r>
    </w:p>
    <w:p w:rsidR="008F1E70" w:rsidRPr="0096600E" w:rsidRDefault="008F1E70" w:rsidP="0055200C">
      <w:pPr>
        <w:pStyle w:val="SingleTxtGA"/>
        <w:rPr>
          <w:rtl/>
          <w:lang w:eastAsia="zh-TW"/>
        </w:rPr>
      </w:pPr>
      <w:r>
        <w:rPr>
          <w:rtl/>
          <w:lang w:eastAsia="zh-TW"/>
        </w:rPr>
        <w:t>١١-</w:t>
      </w:r>
      <w:r>
        <w:rPr>
          <w:rtl/>
          <w:lang w:eastAsia="zh-TW"/>
        </w:rPr>
        <w:tab/>
        <w:t>يساور اللجنة القلق لأن الشكاوى المقدمة في إطار قانون مكافحة التمييز الطبقي والنبذ (الجريمة والعقاب) لعام ٢٠١١ يجب أن تقدم في غضون ثلاثة أشهر من حدوث الانتهاكات المزعومة. وإذ تحيط اللجنة علم</w:t>
      </w:r>
      <w:r w:rsidR="0055200C">
        <w:rPr>
          <w:rtl/>
          <w:lang w:eastAsia="zh-TW"/>
        </w:rPr>
        <w:t xml:space="preserve">اً </w:t>
      </w:r>
      <w:r>
        <w:rPr>
          <w:rtl/>
          <w:lang w:eastAsia="zh-TW"/>
        </w:rPr>
        <w:t>بتصريح الوفد أن الشكاوى المقدمة إلى المحكمة العليا بشأن التمييز الطبقي في الفترة 2016-2017، وعددها 659 شكوى، أفضت إلى 39 حكم بالإدانة، يساورها القلق إزاء عدم وجود معلومات مفصلة عن هذه القضايا، وإزاء ورود تقارير تفيد بأن القانون لم ينفذ تنفيذ</w:t>
      </w:r>
      <w:r w:rsidR="0055200C">
        <w:rPr>
          <w:rtl/>
          <w:lang w:eastAsia="zh-TW"/>
        </w:rPr>
        <w:t xml:space="preserve">اً </w:t>
      </w:r>
      <w:r>
        <w:rPr>
          <w:rtl/>
          <w:lang w:eastAsia="zh-TW"/>
        </w:rPr>
        <w:t>فعال</w:t>
      </w:r>
      <w:r w:rsidR="0055200C">
        <w:rPr>
          <w:rtl/>
          <w:lang w:eastAsia="zh-TW"/>
        </w:rPr>
        <w:t xml:space="preserve">اً. </w:t>
      </w:r>
      <w:r>
        <w:rPr>
          <w:rtl/>
          <w:lang w:eastAsia="zh-TW"/>
        </w:rPr>
        <w:t>كما ينتاب اللجنة القلق أيض</w:t>
      </w:r>
      <w:r w:rsidR="0055200C">
        <w:rPr>
          <w:rtl/>
          <w:lang w:eastAsia="zh-TW"/>
        </w:rPr>
        <w:t xml:space="preserve">اً </w:t>
      </w:r>
      <w:r>
        <w:rPr>
          <w:rtl/>
          <w:lang w:eastAsia="zh-TW"/>
        </w:rPr>
        <w:t>إزاء التقارير التي تفيد بأن موظفي إنفاذ القانون يتلكؤون في تنفيذ القانون تلقائي</w:t>
      </w:r>
      <w:r w:rsidR="0055200C">
        <w:rPr>
          <w:rtl/>
          <w:lang w:eastAsia="zh-TW"/>
        </w:rPr>
        <w:t xml:space="preserve">اً </w:t>
      </w:r>
      <w:r>
        <w:rPr>
          <w:rtl/>
          <w:lang w:eastAsia="zh-TW"/>
        </w:rPr>
        <w:t>في حالات التمييز الطبقي، ولا</w:t>
      </w:r>
      <w:r w:rsidR="0055200C">
        <w:rPr>
          <w:rFonts w:hint="cs"/>
          <w:rtl/>
          <w:lang w:eastAsia="zh-TW"/>
        </w:rPr>
        <w:t> </w:t>
      </w:r>
      <w:r>
        <w:rPr>
          <w:rtl/>
          <w:lang w:eastAsia="zh-TW"/>
        </w:rPr>
        <w:t>يعدّون تقارير الإبلاغ الأولى بصورة منهجية لمباشرة التحقيقات الجنائية عند تلقيهم ادعاءات ذات صلة (المواد 2 و5-6).</w:t>
      </w:r>
    </w:p>
    <w:p w:rsidR="008F1E70" w:rsidRPr="00051B41" w:rsidRDefault="008F1E70" w:rsidP="008F1E70">
      <w:pPr>
        <w:pStyle w:val="SingleTxtGA"/>
        <w:rPr>
          <w:b/>
          <w:bCs/>
          <w:rtl/>
          <w:lang w:eastAsia="zh-TW"/>
        </w:rPr>
      </w:pPr>
      <w:r>
        <w:rPr>
          <w:rtl/>
          <w:lang w:eastAsia="zh-TW"/>
        </w:rPr>
        <w:t>١٢-</w:t>
      </w:r>
      <w:r>
        <w:rPr>
          <w:rtl/>
          <w:lang w:eastAsia="zh-TW"/>
        </w:rPr>
        <w:tab/>
      </w:r>
      <w:r w:rsidRPr="00051B41">
        <w:rPr>
          <w:b/>
          <w:bCs/>
          <w:rtl/>
          <w:lang w:eastAsia="zh-TW"/>
        </w:rPr>
        <w:t xml:space="preserve">توصي اللجنة الدولة الطرف بما يلي: </w:t>
      </w:r>
    </w:p>
    <w:p w:rsidR="008F1E70" w:rsidRPr="00051B41" w:rsidRDefault="008F1E70" w:rsidP="008F1E70">
      <w:pPr>
        <w:pStyle w:val="SingleTxtGA"/>
        <w:rPr>
          <w:b/>
          <w:bCs/>
          <w:rtl/>
          <w:lang w:eastAsia="zh-TW"/>
        </w:rPr>
      </w:pPr>
      <w:r w:rsidRPr="008F1E70">
        <w:rPr>
          <w:lang w:eastAsia="zh-TW"/>
        </w:rPr>
        <w:tab/>
      </w:r>
      <w:r w:rsidRPr="008F1E70">
        <w:rPr>
          <w:rtl/>
          <w:lang w:eastAsia="zh-TW"/>
        </w:rPr>
        <w:t>(أ)</w:t>
      </w:r>
      <w:r w:rsidRPr="008F1E70">
        <w:rPr>
          <w:rFonts w:ascii="Times New Roman Bold" w:hAnsi="Times New Roman Bold"/>
          <w:b/>
          <w:bCs/>
          <w:spacing w:val="-4"/>
          <w:rtl/>
          <w:lang w:eastAsia="zh-TW"/>
        </w:rPr>
        <w:tab/>
        <w:t>تعديل قانون مكافحة التمييز الطبقي والنبذ (الجريمة والعقاب) لعام ٢٠١١ بغرض تمديد</w:t>
      </w:r>
      <w:r w:rsidRPr="00051B41">
        <w:rPr>
          <w:b/>
          <w:bCs/>
          <w:rtl/>
          <w:lang w:eastAsia="zh-TW"/>
        </w:rPr>
        <w:t xml:space="preserve"> فترة التقادم المحددة لتقديم الشكاوى؛ </w:t>
      </w:r>
    </w:p>
    <w:p w:rsidR="008F1E70" w:rsidRPr="00051B41" w:rsidRDefault="008F1E70" w:rsidP="0055200C">
      <w:pPr>
        <w:pStyle w:val="SingleTxtGA"/>
        <w:rPr>
          <w:b/>
          <w:bCs/>
          <w:rtl/>
          <w:lang w:eastAsia="zh-TW"/>
        </w:rPr>
      </w:pPr>
      <w:r w:rsidRPr="008F1E70">
        <w:rPr>
          <w:lang w:eastAsia="zh-TW"/>
        </w:rPr>
        <w:tab/>
      </w:r>
      <w:r w:rsidRPr="008F1E70">
        <w:rPr>
          <w:rtl/>
          <w:lang w:eastAsia="zh-TW"/>
        </w:rPr>
        <w:t>(ب)</w:t>
      </w:r>
      <w:r w:rsidRPr="00051B41">
        <w:rPr>
          <w:b/>
          <w:bCs/>
          <w:rtl/>
          <w:lang w:eastAsia="zh-TW"/>
        </w:rPr>
        <w:tab/>
        <w:t>التأكد من أن موظفي إنفاذ القانون يسجلون رسمي</w:t>
      </w:r>
      <w:r w:rsidR="0055200C">
        <w:rPr>
          <w:b/>
          <w:bCs/>
          <w:rtl/>
          <w:lang w:eastAsia="zh-TW"/>
        </w:rPr>
        <w:t xml:space="preserve">اً </w:t>
      </w:r>
      <w:r w:rsidRPr="00051B41">
        <w:rPr>
          <w:b/>
          <w:bCs/>
          <w:rtl/>
          <w:lang w:eastAsia="zh-TW"/>
        </w:rPr>
        <w:t>جميع الشكاوى ا</w:t>
      </w:r>
      <w:r>
        <w:rPr>
          <w:b/>
          <w:bCs/>
          <w:rtl/>
          <w:lang w:eastAsia="zh-TW"/>
        </w:rPr>
        <w:t>لجنائية المتعلقة بالتمييز العنصري</w:t>
      </w:r>
      <w:r w:rsidRPr="00051B41">
        <w:rPr>
          <w:b/>
          <w:bCs/>
          <w:rtl/>
          <w:lang w:eastAsia="zh-TW"/>
        </w:rPr>
        <w:t xml:space="preserve"> من خلال إعدادهم تقا</w:t>
      </w:r>
      <w:r>
        <w:rPr>
          <w:b/>
          <w:bCs/>
          <w:rtl/>
          <w:lang w:eastAsia="zh-TW"/>
        </w:rPr>
        <w:t>رير الإبلاغ الأولى، ومن أن</w:t>
      </w:r>
      <w:r w:rsidRPr="00051B41">
        <w:rPr>
          <w:b/>
          <w:bCs/>
          <w:rtl/>
          <w:lang w:eastAsia="zh-TW"/>
        </w:rPr>
        <w:t xml:space="preserve"> الذين لا</w:t>
      </w:r>
      <w:r w:rsidR="0055200C">
        <w:rPr>
          <w:rFonts w:hint="cs"/>
          <w:b/>
          <w:bCs/>
          <w:rtl/>
          <w:lang w:eastAsia="zh-TW"/>
        </w:rPr>
        <w:t> </w:t>
      </w:r>
      <w:r w:rsidRPr="00051B41">
        <w:rPr>
          <w:b/>
          <w:bCs/>
          <w:rtl/>
          <w:lang w:eastAsia="zh-TW"/>
        </w:rPr>
        <w:t xml:space="preserve">يفعلون ذلك </w:t>
      </w:r>
      <w:r>
        <w:rPr>
          <w:b/>
          <w:bCs/>
          <w:rtl/>
          <w:lang w:eastAsia="zh-TW"/>
        </w:rPr>
        <w:t xml:space="preserve">منهم </w:t>
      </w:r>
      <w:r w:rsidRPr="00051B41">
        <w:rPr>
          <w:b/>
          <w:bCs/>
          <w:rtl/>
          <w:lang w:eastAsia="zh-TW"/>
        </w:rPr>
        <w:t>يعاقبون؛</w:t>
      </w:r>
    </w:p>
    <w:p w:rsidR="008F1E70" w:rsidRPr="00051B41" w:rsidRDefault="008F1E70" w:rsidP="008F1E70">
      <w:pPr>
        <w:pStyle w:val="SingleTxtGA"/>
        <w:rPr>
          <w:b/>
          <w:bCs/>
          <w:rtl/>
          <w:lang w:eastAsia="zh-TW"/>
        </w:rPr>
      </w:pPr>
      <w:r w:rsidRPr="00051B41">
        <w:rPr>
          <w:b/>
          <w:bCs/>
          <w:lang w:eastAsia="zh-TW"/>
        </w:rPr>
        <w:tab/>
      </w:r>
      <w:r w:rsidRPr="008F1E70">
        <w:rPr>
          <w:rtl/>
          <w:lang w:eastAsia="zh-TW"/>
        </w:rPr>
        <w:t>(ج)</w:t>
      </w:r>
      <w:r w:rsidRPr="00051B41">
        <w:rPr>
          <w:b/>
          <w:bCs/>
          <w:rtl/>
          <w:lang w:eastAsia="zh-TW"/>
        </w:rPr>
        <w:tab/>
        <w:t>التأكد من أن يجري باستمرار التحقيق في أعمال التميي</w:t>
      </w:r>
      <w:r>
        <w:rPr>
          <w:b/>
          <w:bCs/>
          <w:rtl/>
          <w:lang w:eastAsia="zh-TW"/>
        </w:rPr>
        <w:t>ز العنصري ومحاكمة المذنبين ومعاقبتهم، ومن أن يزوّد</w:t>
      </w:r>
      <w:r w:rsidRPr="00051B41">
        <w:rPr>
          <w:b/>
          <w:bCs/>
          <w:rtl/>
          <w:lang w:eastAsia="zh-TW"/>
        </w:rPr>
        <w:t xml:space="preserve"> </w:t>
      </w:r>
      <w:r>
        <w:rPr>
          <w:b/>
          <w:bCs/>
          <w:rtl/>
          <w:lang w:eastAsia="zh-TW"/>
        </w:rPr>
        <w:t>ا</w:t>
      </w:r>
      <w:r w:rsidRPr="00051B41">
        <w:rPr>
          <w:b/>
          <w:bCs/>
          <w:rtl/>
          <w:lang w:eastAsia="zh-TW"/>
        </w:rPr>
        <w:t xml:space="preserve">لضحايا </w:t>
      </w:r>
      <w:r>
        <w:rPr>
          <w:b/>
          <w:bCs/>
          <w:rtl/>
          <w:lang w:eastAsia="zh-TW"/>
        </w:rPr>
        <w:t>ب</w:t>
      </w:r>
      <w:r w:rsidRPr="00051B41">
        <w:rPr>
          <w:b/>
          <w:bCs/>
          <w:rtl/>
          <w:lang w:eastAsia="zh-TW"/>
        </w:rPr>
        <w:t xml:space="preserve">سبل الانتصاف المناسبة؛ </w:t>
      </w:r>
    </w:p>
    <w:p w:rsidR="008F1E70" w:rsidRPr="00051B41" w:rsidRDefault="008F1E70" w:rsidP="008F1E70">
      <w:pPr>
        <w:pStyle w:val="SingleTxtGA"/>
        <w:rPr>
          <w:b/>
          <w:bCs/>
          <w:rtl/>
          <w:lang w:eastAsia="zh-TW"/>
        </w:rPr>
      </w:pPr>
      <w:r w:rsidRPr="008F1E70">
        <w:rPr>
          <w:rtl/>
          <w:lang w:eastAsia="zh-TW"/>
        </w:rPr>
        <w:tab/>
        <w:t>(د)</w:t>
      </w:r>
      <w:r w:rsidRPr="008F1E70">
        <w:rPr>
          <w:rtl/>
          <w:lang w:eastAsia="zh-TW"/>
        </w:rPr>
        <w:tab/>
      </w:r>
      <w:r>
        <w:rPr>
          <w:b/>
          <w:bCs/>
          <w:rtl/>
          <w:lang w:eastAsia="zh-TW"/>
        </w:rPr>
        <w:t>نشر المعلومات بصورة واسعة على</w:t>
      </w:r>
      <w:r w:rsidRPr="00051B41">
        <w:rPr>
          <w:b/>
          <w:bCs/>
          <w:rtl/>
          <w:lang w:eastAsia="zh-TW"/>
        </w:rPr>
        <w:t xml:space="preserve"> </w:t>
      </w:r>
      <w:r>
        <w:rPr>
          <w:b/>
          <w:bCs/>
          <w:rtl/>
          <w:lang w:eastAsia="zh-TW"/>
        </w:rPr>
        <w:t>عامة الجمهور</w:t>
      </w:r>
      <w:r w:rsidRPr="00051B41">
        <w:rPr>
          <w:b/>
          <w:bCs/>
          <w:rtl/>
          <w:lang w:eastAsia="zh-TW"/>
        </w:rPr>
        <w:t xml:space="preserve"> </w:t>
      </w:r>
      <w:r>
        <w:rPr>
          <w:b/>
          <w:bCs/>
          <w:rtl/>
          <w:lang w:eastAsia="zh-TW"/>
        </w:rPr>
        <w:t>في جميع أنحاء البلد وعلى</w:t>
      </w:r>
      <w:r w:rsidRPr="00051B41">
        <w:rPr>
          <w:b/>
          <w:bCs/>
          <w:rtl/>
          <w:lang w:eastAsia="zh-TW"/>
        </w:rPr>
        <w:t xml:space="preserve"> موظفي إنفاذ القوانين ب</w:t>
      </w:r>
      <w:r>
        <w:rPr>
          <w:b/>
          <w:bCs/>
          <w:rtl/>
          <w:lang w:eastAsia="zh-TW"/>
        </w:rPr>
        <w:t xml:space="preserve">شأن </w:t>
      </w:r>
      <w:r w:rsidRPr="00051B41">
        <w:rPr>
          <w:b/>
          <w:bCs/>
          <w:rtl/>
          <w:lang w:eastAsia="zh-TW"/>
        </w:rPr>
        <w:t xml:space="preserve">قوانين مكافحة التمييز العنصري وما يتصل بها من آليات تقديم الشكاوى. </w:t>
      </w:r>
    </w:p>
    <w:p w:rsidR="008F1E70" w:rsidRPr="00051B41" w:rsidRDefault="008F1E70" w:rsidP="008F1E70">
      <w:pPr>
        <w:pStyle w:val="H23GA"/>
        <w:rPr>
          <w:rtl/>
        </w:rPr>
      </w:pPr>
      <w:r w:rsidRPr="00051B41">
        <w:tab/>
      </w:r>
      <w:r>
        <w:tab/>
      </w:r>
      <w:r>
        <w:rPr>
          <w:rtl/>
        </w:rPr>
        <w:t>الفصل</w:t>
      </w:r>
    </w:p>
    <w:p w:rsidR="008F1E70" w:rsidRPr="0096600E" w:rsidRDefault="008F1E70" w:rsidP="00995C87">
      <w:pPr>
        <w:pStyle w:val="SingleTxtGA"/>
        <w:rPr>
          <w:b/>
          <w:rtl/>
          <w:lang w:eastAsia="zh-TW"/>
        </w:rPr>
      </w:pPr>
      <w:r>
        <w:rPr>
          <w:rtl/>
          <w:lang w:eastAsia="zh-TW"/>
        </w:rPr>
        <w:t>١٣-</w:t>
      </w:r>
      <w:r>
        <w:rPr>
          <w:rtl/>
          <w:lang w:eastAsia="zh-TW"/>
        </w:rPr>
        <w:tab/>
        <w:t>إذ تلاحظ اللجنة أن الدولة الطرف تحظر عدة ممارسات متصلة بالفصل الطبقي، يساورها قلق بالغ إزاء التقارير التي تفيد بأن هذا الفصل لا يزال سائدا</w:t>
      </w:r>
      <w:r w:rsidR="00995C87">
        <w:rPr>
          <w:rFonts w:hint="cs"/>
          <w:rtl/>
          <w:lang w:eastAsia="zh-TW"/>
        </w:rPr>
        <w:t>ً</w:t>
      </w:r>
      <w:r>
        <w:rPr>
          <w:rtl/>
          <w:lang w:eastAsia="zh-TW"/>
        </w:rPr>
        <w:t xml:space="preserve"> في الواقع العملي، بم</w:t>
      </w:r>
      <w:r w:rsidR="0055200C">
        <w:rPr>
          <w:rtl/>
          <w:lang w:eastAsia="zh-TW"/>
        </w:rPr>
        <w:t xml:space="preserve">ا </w:t>
      </w:r>
      <w:r>
        <w:rPr>
          <w:rtl/>
          <w:lang w:eastAsia="zh-TW"/>
        </w:rPr>
        <w:t>يمنع أفراد الطبقات المهمشة، بما فيها جماعة الداليت، من الزواج من أفراد طبقات أخرى، ومن الوصول إلى أماكن العبادة، والأماكن العامة، والمصادر العامة للأغذية والمياه، والمرافق التعليمية، والمساكن التي يعيش فيها أفراد طب</w:t>
      </w:r>
      <w:r w:rsidR="00995C87">
        <w:rPr>
          <w:rtl/>
          <w:lang w:eastAsia="zh-TW"/>
        </w:rPr>
        <w:t>قات أخرى، على نحو آمن (المواد 2</w:t>
      </w:r>
      <w:r>
        <w:rPr>
          <w:rtl/>
          <w:lang w:eastAsia="zh-TW"/>
        </w:rPr>
        <w:t>-3 و5).</w:t>
      </w:r>
    </w:p>
    <w:p w:rsidR="008F1E70" w:rsidRPr="00253FAD" w:rsidRDefault="008F1E70" w:rsidP="008F1E70">
      <w:pPr>
        <w:pStyle w:val="SingleTxtGA"/>
        <w:rPr>
          <w:b/>
          <w:bCs/>
          <w:rtl/>
          <w:lang w:eastAsia="zh-TW"/>
        </w:rPr>
      </w:pPr>
      <w:r>
        <w:rPr>
          <w:rtl/>
          <w:lang w:eastAsia="zh-TW"/>
        </w:rPr>
        <w:lastRenderedPageBreak/>
        <w:t>١٤</w:t>
      </w:r>
      <w:r>
        <w:rPr>
          <w:b/>
          <w:bCs/>
          <w:rtl/>
          <w:lang w:eastAsia="zh-TW"/>
        </w:rPr>
        <w:t>-</w:t>
      </w:r>
      <w:r>
        <w:rPr>
          <w:b/>
          <w:bCs/>
          <w:rtl/>
          <w:lang w:eastAsia="zh-TW"/>
        </w:rPr>
        <w:tab/>
      </w:r>
      <w:r w:rsidRPr="00253FAD">
        <w:rPr>
          <w:b/>
          <w:bCs/>
          <w:rtl/>
          <w:lang w:eastAsia="zh-TW"/>
        </w:rPr>
        <w:t xml:space="preserve">توصي اللجنة الدولة الطرف بما يلي: </w:t>
      </w:r>
    </w:p>
    <w:p w:rsidR="008F1E70" w:rsidRPr="00253FAD" w:rsidRDefault="008F1E70" w:rsidP="008F1E70">
      <w:pPr>
        <w:pStyle w:val="SingleTxtGA"/>
        <w:rPr>
          <w:b/>
          <w:bCs/>
          <w:rtl/>
          <w:lang w:eastAsia="zh-TW"/>
        </w:rPr>
      </w:pPr>
      <w:r w:rsidRPr="008F1E70">
        <w:rPr>
          <w:lang w:eastAsia="zh-TW"/>
        </w:rPr>
        <w:tab/>
      </w:r>
      <w:r w:rsidRPr="008F1E70">
        <w:rPr>
          <w:rtl/>
          <w:lang w:eastAsia="zh-TW"/>
        </w:rPr>
        <w:t>(أ)</w:t>
      </w:r>
      <w:r w:rsidRPr="00253FAD">
        <w:rPr>
          <w:b/>
          <w:bCs/>
          <w:rtl/>
          <w:lang w:eastAsia="zh-TW"/>
        </w:rPr>
        <w:tab/>
        <w:t>رصد حوادث العنف المرتبط</w:t>
      </w:r>
      <w:r>
        <w:rPr>
          <w:b/>
          <w:bCs/>
          <w:rtl/>
          <w:lang w:eastAsia="zh-TW"/>
        </w:rPr>
        <w:t>ة</w:t>
      </w:r>
      <w:r w:rsidRPr="00253FAD">
        <w:rPr>
          <w:b/>
          <w:bCs/>
          <w:rtl/>
          <w:lang w:eastAsia="zh-TW"/>
        </w:rPr>
        <w:t xml:space="preserve"> بالزوا</w:t>
      </w:r>
      <w:r>
        <w:rPr>
          <w:b/>
          <w:bCs/>
          <w:rtl/>
          <w:lang w:eastAsia="zh-TW"/>
        </w:rPr>
        <w:t>ج بين أفراد من طبقات مختلفة والفصل</w:t>
      </w:r>
      <w:r w:rsidRPr="00253FAD">
        <w:rPr>
          <w:b/>
          <w:bCs/>
          <w:rtl/>
          <w:lang w:eastAsia="zh-TW"/>
        </w:rPr>
        <w:t xml:space="preserve"> الطبقي والتحقيق فيها ومحاكمة </w:t>
      </w:r>
      <w:r>
        <w:rPr>
          <w:b/>
          <w:bCs/>
          <w:rtl/>
          <w:lang w:eastAsia="zh-TW"/>
        </w:rPr>
        <w:t>المذنبين</w:t>
      </w:r>
      <w:r w:rsidRPr="00253FAD">
        <w:rPr>
          <w:b/>
          <w:bCs/>
          <w:rtl/>
          <w:lang w:eastAsia="zh-TW"/>
        </w:rPr>
        <w:t xml:space="preserve"> ومعاقبتهم، وتوفير الحماية وسبل الانتصاف للضحايا؛</w:t>
      </w:r>
    </w:p>
    <w:p w:rsidR="008F1E70" w:rsidRPr="00253FAD" w:rsidRDefault="008F1E70" w:rsidP="008F1E70">
      <w:pPr>
        <w:pStyle w:val="SingleTxtGA"/>
        <w:rPr>
          <w:b/>
          <w:bCs/>
          <w:rtl/>
          <w:lang w:eastAsia="zh-TW"/>
        </w:rPr>
      </w:pPr>
      <w:r w:rsidRPr="008F1E70">
        <w:rPr>
          <w:lang w:eastAsia="zh-TW"/>
        </w:rPr>
        <w:tab/>
      </w:r>
      <w:r w:rsidRPr="008F1E70">
        <w:rPr>
          <w:rtl/>
          <w:lang w:eastAsia="zh-TW"/>
        </w:rPr>
        <w:t>(ب)</w:t>
      </w:r>
      <w:r w:rsidRPr="008F1E70">
        <w:rPr>
          <w:rtl/>
          <w:lang w:eastAsia="zh-TW"/>
        </w:rPr>
        <w:tab/>
      </w:r>
      <w:r w:rsidRPr="00253FAD">
        <w:rPr>
          <w:b/>
          <w:bCs/>
          <w:rtl/>
          <w:lang w:eastAsia="zh-TW"/>
        </w:rPr>
        <w:t xml:space="preserve">تنظيم </w:t>
      </w:r>
      <w:r>
        <w:rPr>
          <w:b/>
          <w:bCs/>
          <w:rtl/>
          <w:lang w:eastAsia="zh-TW"/>
        </w:rPr>
        <w:t>حملات توعية وتثقيف لفائدة عامة الجمهور</w:t>
      </w:r>
      <w:r w:rsidRPr="00253FAD">
        <w:rPr>
          <w:b/>
          <w:bCs/>
          <w:rtl/>
          <w:lang w:eastAsia="zh-TW"/>
        </w:rPr>
        <w:t xml:space="preserve"> على نطاق البلد بهدف القضاء على مفهوم التسلسل الهرمي العنصري أو الطبقي، وإنهاء ممارسات </w:t>
      </w:r>
      <w:r>
        <w:rPr>
          <w:b/>
          <w:bCs/>
          <w:rtl/>
          <w:lang w:eastAsia="zh-TW"/>
        </w:rPr>
        <w:t>الفصل</w:t>
      </w:r>
      <w:r w:rsidRPr="00253FAD">
        <w:rPr>
          <w:b/>
          <w:bCs/>
          <w:rtl/>
          <w:lang w:eastAsia="zh-TW"/>
        </w:rPr>
        <w:t xml:space="preserve"> الاجتماعي ومنع العنف </w:t>
      </w:r>
      <w:r>
        <w:rPr>
          <w:b/>
          <w:bCs/>
          <w:rtl/>
          <w:lang w:eastAsia="zh-TW"/>
        </w:rPr>
        <w:t>بين أفراد مختلف ال</w:t>
      </w:r>
      <w:r w:rsidRPr="00253FAD">
        <w:rPr>
          <w:b/>
          <w:bCs/>
          <w:rtl/>
          <w:lang w:eastAsia="zh-TW"/>
        </w:rPr>
        <w:t xml:space="preserve">طبقات؛ </w:t>
      </w:r>
    </w:p>
    <w:p w:rsidR="008F1E70" w:rsidRPr="00253FAD" w:rsidRDefault="00B26350" w:rsidP="00B26350">
      <w:pPr>
        <w:pStyle w:val="SingleTxtGA"/>
        <w:rPr>
          <w:b/>
          <w:bCs/>
          <w:rtl/>
          <w:lang w:eastAsia="zh-TW"/>
        </w:rPr>
      </w:pPr>
      <w:r>
        <w:rPr>
          <w:rtl/>
          <w:lang w:eastAsia="zh-TW"/>
        </w:rPr>
        <w:tab/>
      </w:r>
      <w:r w:rsidR="008F1E70" w:rsidRPr="008F1E70">
        <w:rPr>
          <w:rtl/>
          <w:lang w:eastAsia="zh-TW"/>
        </w:rPr>
        <w:t>(ج)</w:t>
      </w:r>
      <w:r>
        <w:rPr>
          <w:b/>
          <w:bCs/>
          <w:rtl/>
          <w:lang w:eastAsia="zh-TW"/>
        </w:rPr>
        <w:tab/>
      </w:r>
      <w:r w:rsidR="008F1E70" w:rsidRPr="00253FAD">
        <w:rPr>
          <w:b/>
          <w:bCs/>
          <w:rtl/>
          <w:lang w:eastAsia="zh-TW"/>
        </w:rPr>
        <w:t>التأكد من أن المناهج التعليمية والكتب المدرسية تدين التم</w:t>
      </w:r>
      <w:r w:rsidR="008F1E70">
        <w:rPr>
          <w:b/>
          <w:bCs/>
          <w:rtl/>
          <w:lang w:eastAsia="zh-TW"/>
        </w:rPr>
        <w:t>ييز الطبقي والنبذ، وتتضمن صور</w:t>
      </w:r>
      <w:r w:rsidR="0055200C">
        <w:rPr>
          <w:b/>
          <w:bCs/>
          <w:rtl/>
          <w:lang w:eastAsia="zh-TW"/>
        </w:rPr>
        <w:t xml:space="preserve">اً </w:t>
      </w:r>
      <w:r w:rsidR="008F1E70" w:rsidRPr="00253FAD">
        <w:rPr>
          <w:b/>
          <w:bCs/>
          <w:rtl/>
          <w:lang w:eastAsia="zh-TW"/>
        </w:rPr>
        <w:t>إيجابي</w:t>
      </w:r>
      <w:r w:rsidR="008F1E70">
        <w:rPr>
          <w:b/>
          <w:bCs/>
          <w:rtl/>
          <w:lang w:eastAsia="zh-TW"/>
        </w:rPr>
        <w:t>ة لثقافة ومساهمات جميع الطبقات، ولا تستخدم</w:t>
      </w:r>
      <w:r w:rsidR="008F1E70" w:rsidRPr="00253FAD">
        <w:rPr>
          <w:b/>
          <w:bCs/>
          <w:rtl/>
          <w:lang w:eastAsia="zh-TW"/>
        </w:rPr>
        <w:t xml:space="preserve"> لغة</w:t>
      </w:r>
      <w:r w:rsidR="008F1E70">
        <w:rPr>
          <w:b/>
          <w:bCs/>
          <w:rtl/>
          <w:lang w:eastAsia="zh-TW"/>
        </w:rPr>
        <w:t xml:space="preserve"> مهينة أو تمييزية تجاه أي طبق</w:t>
      </w:r>
      <w:r w:rsidR="008F1E70" w:rsidRPr="00253FAD">
        <w:rPr>
          <w:b/>
          <w:bCs/>
          <w:rtl/>
          <w:lang w:eastAsia="zh-TW"/>
        </w:rPr>
        <w:t xml:space="preserve">ة. </w:t>
      </w:r>
    </w:p>
    <w:p w:rsidR="008F1E70" w:rsidRPr="00253FAD" w:rsidRDefault="008F1E70" w:rsidP="008F1E70">
      <w:pPr>
        <w:pStyle w:val="H23GA"/>
        <w:rPr>
          <w:rtl/>
        </w:rPr>
      </w:pPr>
      <w:r w:rsidRPr="00253FAD">
        <w:tab/>
      </w:r>
      <w:r w:rsidRPr="00253FAD">
        <w:tab/>
      </w:r>
      <w:r w:rsidRPr="00253FAD">
        <w:rPr>
          <w:rtl/>
        </w:rPr>
        <w:t>خطاب التحريض على الكراهية العنصرية والجرائم المرتكبة بدافع الكراهية</w:t>
      </w:r>
    </w:p>
    <w:p w:rsidR="008F1E70" w:rsidRPr="0096600E" w:rsidRDefault="008F1E70" w:rsidP="008F1E70">
      <w:pPr>
        <w:pStyle w:val="SingleTxtGA"/>
        <w:rPr>
          <w:b/>
          <w:rtl/>
          <w:lang w:eastAsia="zh-TW"/>
        </w:rPr>
      </w:pPr>
      <w:r>
        <w:rPr>
          <w:rtl/>
          <w:lang w:eastAsia="zh-TW"/>
        </w:rPr>
        <w:t>١٥-</w:t>
      </w:r>
      <w:r>
        <w:rPr>
          <w:rtl/>
          <w:lang w:eastAsia="zh-TW"/>
        </w:rPr>
        <w:tab/>
        <w:t>يساور اللجنة القلق إزاء عدم وجود معلومات عما إذا كانت الكراهية العنصرية أو الطبقية تشكل عامل</w:t>
      </w:r>
      <w:r w:rsidR="0055200C">
        <w:rPr>
          <w:rtl/>
          <w:lang w:eastAsia="zh-TW"/>
        </w:rPr>
        <w:t xml:space="preserve">اً </w:t>
      </w:r>
      <w:r>
        <w:rPr>
          <w:rtl/>
          <w:lang w:eastAsia="zh-TW"/>
        </w:rPr>
        <w:t>مشدد</w:t>
      </w:r>
      <w:r w:rsidR="0055200C">
        <w:rPr>
          <w:rtl/>
          <w:lang w:eastAsia="zh-TW"/>
        </w:rPr>
        <w:t xml:space="preserve">اً </w:t>
      </w:r>
      <w:r>
        <w:rPr>
          <w:rtl/>
          <w:lang w:eastAsia="zh-TW"/>
        </w:rPr>
        <w:t>عند إصدار الأحكام الجنائية. وينتابها القلق أيض</w:t>
      </w:r>
      <w:r w:rsidR="0055200C">
        <w:rPr>
          <w:rtl/>
          <w:lang w:eastAsia="zh-TW"/>
        </w:rPr>
        <w:t xml:space="preserve">اً </w:t>
      </w:r>
      <w:r>
        <w:rPr>
          <w:rtl/>
          <w:lang w:eastAsia="zh-TW"/>
        </w:rPr>
        <w:t xml:space="preserve">إزاء عدم وجود إحصاءات ومعلومات عن حوادث خطاب التحريض على الكراهية العنصرية أو الطبقية، وعن التدابير المتخذة لإنفاذ القوانين ذات الصلة ومعاقبة المذنبين. كما يساور اللجنة القلق إزاء التقارير التي تفيد بأن الدولة الطرف لا تراقب الدعاية والمنظمات العنصرية على النحو الواجب، ولا تشارك في الجهود المنهجية لتوعية عامة الجمهور بغرض القضاء على أفكار الاستعلاء العنصري والطبقي (المادتان 2 و4). </w:t>
      </w:r>
    </w:p>
    <w:p w:rsidR="008F1E70" w:rsidRPr="00E17E9C" w:rsidRDefault="008F1E70" w:rsidP="008F1E70">
      <w:pPr>
        <w:pStyle w:val="SingleTxtGA"/>
        <w:rPr>
          <w:b/>
          <w:bCs/>
          <w:rtl/>
          <w:lang w:eastAsia="zh-TW"/>
        </w:rPr>
      </w:pPr>
      <w:r w:rsidRPr="008F1E70">
        <w:rPr>
          <w:rtl/>
          <w:lang w:eastAsia="zh-TW"/>
        </w:rPr>
        <w:t>١٦-</w:t>
      </w:r>
      <w:r>
        <w:rPr>
          <w:b/>
          <w:bCs/>
          <w:rtl/>
          <w:lang w:eastAsia="zh-TW"/>
        </w:rPr>
        <w:tab/>
      </w:r>
      <w:r w:rsidRPr="00E17E9C">
        <w:rPr>
          <w:b/>
          <w:bCs/>
          <w:rtl/>
          <w:lang w:eastAsia="zh-TW"/>
        </w:rPr>
        <w:t xml:space="preserve">إذ تُذكّر اللجنة بتوصيتها العامة رقم </w:t>
      </w:r>
      <w:r>
        <w:rPr>
          <w:rFonts w:hint="cs"/>
          <w:b/>
          <w:bCs/>
          <w:rtl/>
          <w:lang w:eastAsia="zh-TW"/>
        </w:rPr>
        <w:t>7</w:t>
      </w:r>
      <w:r w:rsidRPr="00E17E9C">
        <w:rPr>
          <w:b/>
          <w:bCs/>
          <w:rtl/>
          <w:lang w:eastAsia="zh-TW"/>
        </w:rPr>
        <w:t>(1985) بشأن المادة 4 من الاتفاقية، و</w:t>
      </w:r>
      <w:r>
        <w:rPr>
          <w:b/>
          <w:bCs/>
          <w:rtl/>
          <w:lang w:eastAsia="zh-TW"/>
        </w:rPr>
        <w:t xml:space="preserve">توصيتها العامة </w:t>
      </w:r>
      <w:r w:rsidRPr="00E17E9C">
        <w:rPr>
          <w:b/>
          <w:bCs/>
          <w:rtl/>
          <w:lang w:eastAsia="zh-TW"/>
        </w:rPr>
        <w:t>رقم 35(2013) بشأن مكافحة خطاب التحريض على الكراهية العنصرية، ف</w:t>
      </w:r>
      <w:r>
        <w:rPr>
          <w:b/>
          <w:bCs/>
          <w:rtl/>
          <w:lang w:eastAsia="zh-TW"/>
        </w:rPr>
        <w:t xml:space="preserve">إنها </w:t>
      </w:r>
      <w:r w:rsidRPr="00E17E9C">
        <w:rPr>
          <w:b/>
          <w:bCs/>
          <w:rtl/>
          <w:lang w:eastAsia="zh-TW"/>
        </w:rPr>
        <w:t>توصي الدولةَ الطرف بما يلي:</w:t>
      </w:r>
    </w:p>
    <w:p w:rsidR="008F1E70" w:rsidRPr="00E17E9C" w:rsidRDefault="008F1E70" w:rsidP="008F1E70">
      <w:pPr>
        <w:pStyle w:val="SingleTxtGA"/>
        <w:rPr>
          <w:b/>
          <w:bCs/>
          <w:rtl/>
          <w:lang w:eastAsia="zh-TW"/>
        </w:rPr>
      </w:pPr>
      <w:r w:rsidRPr="008F1E70">
        <w:rPr>
          <w:lang w:eastAsia="zh-TW"/>
        </w:rPr>
        <w:tab/>
      </w:r>
      <w:r w:rsidRPr="008F1E70">
        <w:rPr>
          <w:rtl/>
          <w:lang w:eastAsia="zh-TW"/>
        </w:rPr>
        <w:t>(أ)</w:t>
      </w:r>
      <w:r>
        <w:rPr>
          <w:b/>
          <w:bCs/>
          <w:rtl/>
          <w:lang w:eastAsia="zh-TW"/>
        </w:rPr>
        <w:tab/>
      </w:r>
      <w:r w:rsidRPr="00E17E9C">
        <w:rPr>
          <w:b/>
          <w:bCs/>
          <w:rtl/>
          <w:lang w:eastAsia="zh-TW"/>
        </w:rPr>
        <w:t>التأكد من أن الكراهية العنصرية والطبقية تشكل ظرف</w:t>
      </w:r>
      <w:r w:rsidR="0055200C">
        <w:rPr>
          <w:b/>
          <w:bCs/>
          <w:rtl/>
          <w:lang w:eastAsia="zh-TW"/>
        </w:rPr>
        <w:t xml:space="preserve">اً </w:t>
      </w:r>
      <w:r w:rsidRPr="00E17E9C">
        <w:rPr>
          <w:b/>
          <w:bCs/>
          <w:rtl/>
          <w:lang w:eastAsia="zh-TW"/>
        </w:rPr>
        <w:t>مشدد</w:t>
      </w:r>
      <w:r w:rsidR="0055200C">
        <w:rPr>
          <w:b/>
          <w:bCs/>
          <w:rtl/>
          <w:lang w:eastAsia="zh-TW"/>
        </w:rPr>
        <w:t xml:space="preserve">اً </w:t>
      </w:r>
      <w:r w:rsidRPr="00E17E9C">
        <w:rPr>
          <w:b/>
          <w:bCs/>
          <w:rtl/>
          <w:lang w:eastAsia="zh-TW"/>
        </w:rPr>
        <w:t>للعقوبة</w:t>
      </w:r>
      <w:r>
        <w:rPr>
          <w:b/>
          <w:bCs/>
          <w:rtl/>
          <w:lang w:eastAsia="zh-TW"/>
        </w:rPr>
        <w:t xml:space="preserve">، </w:t>
      </w:r>
      <w:r w:rsidRPr="00E17E9C">
        <w:rPr>
          <w:b/>
          <w:bCs/>
          <w:rtl/>
          <w:lang w:eastAsia="zh-TW"/>
        </w:rPr>
        <w:t>في القانون والواقع العملي</w:t>
      </w:r>
      <w:r>
        <w:rPr>
          <w:b/>
          <w:bCs/>
          <w:rtl/>
          <w:lang w:eastAsia="zh-TW"/>
        </w:rPr>
        <w:t xml:space="preserve"> على حد سواء،</w:t>
      </w:r>
      <w:r w:rsidRPr="00E17E9C">
        <w:rPr>
          <w:b/>
          <w:bCs/>
          <w:rtl/>
          <w:lang w:eastAsia="zh-TW"/>
        </w:rPr>
        <w:t xml:space="preserve"> عندما تكون الدافع وراء </w:t>
      </w:r>
      <w:r>
        <w:rPr>
          <w:b/>
          <w:bCs/>
          <w:rtl/>
          <w:lang w:eastAsia="zh-TW"/>
        </w:rPr>
        <w:t>الجريمة</w:t>
      </w:r>
      <w:r w:rsidRPr="00E17E9C">
        <w:rPr>
          <w:b/>
          <w:bCs/>
          <w:rtl/>
          <w:lang w:eastAsia="zh-TW"/>
        </w:rPr>
        <w:t xml:space="preserve">؛ </w:t>
      </w:r>
    </w:p>
    <w:p w:rsidR="008F1E70" w:rsidRPr="00E17E9C" w:rsidRDefault="008F1E70" w:rsidP="008F1E70">
      <w:pPr>
        <w:pStyle w:val="SingleTxtGA"/>
        <w:rPr>
          <w:b/>
          <w:bCs/>
          <w:rtl/>
          <w:lang w:eastAsia="zh-TW"/>
        </w:rPr>
      </w:pPr>
      <w:r w:rsidRPr="008F1E70">
        <w:rPr>
          <w:lang w:eastAsia="zh-TW"/>
        </w:rPr>
        <w:tab/>
      </w:r>
      <w:r w:rsidRPr="008F1E70">
        <w:rPr>
          <w:rtl/>
          <w:lang w:eastAsia="zh-TW"/>
        </w:rPr>
        <w:t>(ب)</w:t>
      </w:r>
      <w:r>
        <w:rPr>
          <w:b/>
          <w:bCs/>
          <w:rtl/>
          <w:lang w:eastAsia="zh-TW"/>
        </w:rPr>
        <w:tab/>
      </w:r>
      <w:r w:rsidRPr="00E17E9C">
        <w:rPr>
          <w:b/>
          <w:bCs/>
          <w:rtl/>
          <w:lang w:eastAsia="zh-TW"/>
        </w:rPr>
        <w:t>التأكد م</w:t>
      </w:r>
      <w:r>
        <w:rPr>
          <w:b/>
          <w:bCs/>
          <w:rtl/>
          <w:lang w:eastAsia="zh-TW"/>
        </w:rPr>
        <w:t>ن أن موظفي إنفاذ القانون يقومون</w:t>
      </w:r>
      <w:r w:rsidRPr="00E17E9C">
        <w:rPr>
          <w:b/>
          <w:bCs/>
          <w:rtl/>
          <w:lang w:eastAsia="zh-TW"/>
        </w:rPr>
        <w:t>، على النحو الواجب، بتحديد الجرائم المرتكبة بدافع الكراهية العنصرية والمنظمات العنصرية وخطابات التحريض على الكراهية العنصرية و</w:t>
      </w:r>
      <w:r>
        <w:rPr>
          <w:b/>
          <w:bCs/>
          <w:rtl/>
          <w:lang w:eastAsia="zh-TW"/>
        </w:rPr>
        <w:t>ب</w:t>
      </w:r>
      <w:r w:rsidRPr="00E17E9C">
        <w:rPr>
          <w:b/>
          <w:bCs/>
          <w:rtl/>
          <w:lang w:eastAsia="zh-TW"/>
        </w:rPr>
        <w:t xml:space="preserve">تسجيلها والتحقيق فيها ومحاكمة المذنبين ومعاقبتهم؛ </w:t>
      </w:r>
    </w:p>
    <w:p w:rsidR="008F1E70" w:rsidRPr="00E17E9C" w:rsidRDefault="008F1E70" w:rsidP="008F1E70">
      <w:pPr>
        <w:pStyle w:val="SingleTxtGA"/>
        <w:rPr>
          <w:b/>
          <w:bCs/>
          <w:rtl/>
          <w:lang w:eastAsia="zh-TW"/>
        </w:rPr>
      </w:pPr>
      <w:r w:rsidRPr="008F1E70">
        <w:rPr>
          <w:rtl/>
          <w:lang w:eastAsia="zh-TW"/>
        </w:rPr>
        <w:tab/>
        <w:t>(ج)</w:t>
      </w:r>
      <w:r>
        <w:rPr>
          <w:b/>
          <w:bCs/>
          <w:rtl/>
          <w:lang w:eastAsia="zh-TW"/>
        </w:rPr>
        <w:tab/>
      </w:r>
      <w:r w:rsidRPr="00E17E9C">
        <w:rPr>
          <w:b/>
          <w:bCs/>
          <w:rtl/>
          <w:lang w:eastAsia="zh-TW"/>
        </w:rPr>
        <w:t>تنظيم برامج للتوعية وإجراء حوارات في جميع أنحاء البلد بغرض القضاء على الكراهية والتحيز على أساس الطبقية والعنصرية في المجتمع المحلي.</w:t>
      </w:r>
    </w:p>
    <w:p w:rsidR="008F1E70" w:rsidRPr="0096600E" w:rsidRDefault="008F1E70" w:rsidP="00B26350">
      <w:pPr>
        <w:pStyle w:val="SingleTxtGA"/>
        <w:rPr>
          <w:b/>
          <w:rtl/>
          <w:lang w:eastAsia="zh-TW"/>
        </w:rPr>
      </w:pPr>
      <w:r w:rsidRPr="008F1E70">
        <w:rPr>
          <w:rtl/>
          <w:lang w:eastAsia="zh-TW"/>
        </w:rPr>
        <w:t>١٧-</w:t>
      </w:r>
      <w:r>
        <w:rPr>
          <w:b/>
          <w:bCs/>
          <w:rtl/>
          <w:lang w:eastAsia="zh-TW"/>
        </w:rPr>
        <w:tab/>
      </w:r>
      <w:r w:rsidRPr="00E17E9C">
        <w:rPr>
          <w:b/>
          <w:bCs/>
          <w:rtl/>
          <w:lang w:eastAsia="zh-TW"/>
        </w:rPr>
        <w:t>وتطلب اللجنة إلى الدولة الطرف أن تجمع إحصاءات مصنّفة بحسب الأصل الطبقي أو الإثني للضحية بشأن التحقيقات والمحاكمات وأحكام الإدانة والعقوبات وسبل الانتصاف في</w:t>
      </w:r>
      <w:r>
        <w:rPr>
          <w:b/>
          <w:bCs/>
          <w:rtl/>
          <w:lang w:eastAsia="zh-TW"/>
        </w:rPr>
        <w:t>ما يتصل</w:t>
      </w:r>
      <w:r w:rsidRPr="00E17E9C">
        <w:rPr>
          <w:b/>
          <w:bCs/>
          <w:rtl/>
          <w:lang w:eastAsia="zh-TW"/>
        </w:rPr>
        <w:t xml:space="preserve"> بالجرائم المرتكبة بدافع الكراهية العنص</w:t>
      </w:r>
      <w:r>
        <w:rPr>
          <w:b/>
          <w:bCs/>
          <w:rtl/>
          <w:lang w:eastAsia="zh-TW"/>
        </w:rPr>
        <w:t>رية أو الطبقية، بما في ذلك</w:t>
      </w:r>
      <w:r w:rsidR="00B26350">
        <w:rPr>
          <w:rFonts w:hint="cs"/>
          <w:b/>
          <w:bCs/>
          <w:rtl/>
          <w:lang w:eastAsia="zh-TW"/>
        </w:rPr>
        <w:t> </w:t>
      </w:r>
      <w:r>
        <w:rPr>
          <w:b/>
          <w:bCs/>
          <w:rtl/>
          <w:lang w:eastAsia="zh-TW"/>
        </w:rPr>
        <w:t>أفعال</w:t>
      </w:r>
      <w:r w:rsidRPr="00E17E9C">
        <w:rPr>
          <w:b/>
          <w:bCs/>
          <w:rtl/>
          <w:lang w:eastAsia="zh-TW"/>
        </w:rPr>
        <w:t xml:space="preserve"> استخدام خطاب الكراهية والتحريض على الكراهية، وأن تقدمها في تقريرها الدوري المقبل</w:t>
      </w:r>
      <w:r>
        <w:rPr>
          <w:rtl/>
          <w:lang w:eastAsia="zh-TW"/>
        </w:rPr>
        <w:t>.</w:t>
      </w:r>
    </w:p>
    <w:p w:rsidR="008F1E70" w:rsidRPr="004B7731" w:rsidRDefault="008F1E70" w:rsidP="008F1E70">
      <w:pPr>
        <w:pStyle w:val="H23GA"/>
        <w:rPr>
          <w:rtl/>
        </w:rPr>
      </w:pPr>
      <w:r w:rsidRPr="004B7731">
        <w:lastRenderedPageBreak/>
        <w:t xml:space="preserve"> </w:t>
      </w:r>
      <w:r>
        <w:rPr>
          <w:rtl/>
        </w:rPr>
        <w:tab/>
      </w:r>
      <w:r>
        <w:rPr>
          <w:rtl/>
        </w:rPr>
        <w:tab/>
      </w:r>
      <w:r w:rsidRPr="004B7731">
        <w:rPr>
          <w:rtl/>
        </w:rPr>
        <w:t>تحفظ/إعلان</w:t>
      </w:r>
    </w:p>
    <w:p w:rsidR="008F1E70" w:rsidRPr="0096600E" w:rsidRDefault="008F1E70" w:rsidP="008F1E70">
      <w:pPr>
        <w:pStyle w:val="SingleTxtGA"/>
        <w:rPr>
          <w:rtl/>
          <w:lang w:eastAsia="zh-TW"/>
        </w:rPr>
      </w:pPr>
      <w:r>
        <w:rPr>
          <w:rtl/>
          <w:lang w:eastAsia="zh-TW"/>
        </w:rPr>
        <w:t>١٨-</w:t>
      </w:r>
      <w:r>
        <w:rPr>
          <w:rtl/>
          <w:lang w:eastAsia="zh-TW"/>
        </w:rPr>
        <w:tab/>
        <w:t>لا تزال اللجنة قلقة لأن تحفظ الدولة الطرف على المادة ٤ وإعلانها بشأن المادة ٦ يتعارضان مع التزامات الدول الأطراف بمقتضى هاتين المادتين (المادتان ٢ و٤).</w:t>
      </w:r>
    </w:p>
    <w:p w:rsidR="008F1E70" w:rsidRPr="0096600E" w:rsidRDefault="008F1E70" w:rsidP="008F1E70">
      <w:pPr>
        <w:pStyle w:val="SingleTxtGA"/>
        <w:rPr>
          <w:b/>
          <w:bCs/>
          <w:rtl/>
          <w:lang w:eastAsia="zh-TW"/>
        </w:rPr>
      </w:pPr>
      <w:r>
        <w:rPr>
          <w:rtl/>
          <w:lang w:eastAsia="zh-TW"/>
        </w:rPr>
        <w:t>١٩-</w:t>
      </w:r>
      <w:r>
        <w:rPr>
          <w:rtl/>
          <w:lang w:eastAsia="zh-TW"/>
        </w:rPr>
        <w:tab/>
      </w:r>
      <w:r w:rsidRPr="004B7731">
        <w:rPr>
          <w:b/>
          <w:bCs/>
          <w:rtl/>
          <w:lang w:eastAsia="zh-TW"/>
        </w:rPr>
        <w:t>تحث اللجنة الدولة الطرف على سحب تحفظها المتعلق بالمادة ٤ وإعلانها المتعلق بالمادة ٦ من الاتفاقية</w:t>
      </w:r>
      <w:r>
        <w:rPr>
          <w:rtl/>
          <w:lang w:eastAsia="zh-TW"/>
        </w:rPr>
        <w:t>.</w:t>
      </w:r>
    </w:p>
    <w:p w:rsidR="008F1E70" w:rsidRPr="004B7731" w:rsidRDefault="008F1E70" w:rsidP="008F1E70">
      <w:pPr>
        <w:pStyle w:val="H23GA"/>
        <w:rPr>
          <w:rtl/>
        </w:rPr>
      </w:pPr>
      <w:r w:rsidRPr="004B7731">
        <w:tab/>
      </w:r>
      <w:r w:rsidRPr="004B7731">
        <w:tab/>
      </w:r>
      <w:r w:rsidRPr="004B7731">
        <w:rPr>
          <w:rtl/>
        </w:rPr>
        <w:t xml:space="preserve">الحصول على </w:t>
      </w:r>
      <w:r>
        <w:rPr>
          <w:rtl/>
        </w:rPr>
        <w:t xml:space="preserve">سبل </w:t>
      </w:r>
      <w:r w:rsidRPr="004B7731">
        <w:rPr>
          <w:rtl/>
        </w:rPr>
        <w:t>الإغاثة من الزلزال</w:t>
      </w:r>
    </w:p>
    <w:p w:rsidR="008F1E70" w:rsidRPr="0096600E" w:rsidRDefault="008F1E70" w:rsidP="008F1E70">
      <w:pPr>
        <w:pStyle w:val="SingleTxtGA"/>
        <w:rPr>
          <w:b/>
          <w:bCs/>
          <w:rtl/>
          <w:lang w:eastAsia="zh-TW"/>
        </w:rPr>
      </w:pPr>
      <w:r>
        <w:rPr>
          <w:rtl/>
          <w:lang w:eastAsia="zh-TW"/>
        </w:rPr>
        <w:t>٢٠-</w:t>
      </w:r>
      <w:r>
        <w:rPr>
          <w:rtl/>
          <w:lang w:eastAsia="zh-TW"/>
        </w:rPr>
        <w:tab/>
        <w:t>يساور اللجنة القلق إزاء التقارير التي تفيد بأن الطبقات المهمّشة تضررت بصورة مفرطة من زلزال عام ٢٠١٥ مقارنة بغيرها ولا تزال الأقل احتمال</w:t>
      </w:r>
      <w:r w:rsidR="0055200C">
        <w:rPr>
          <w:rtl/>
          <w:lang w:eastAsia="zh-TW"/>
        </w:rPr>
        <w:t xml:space="preserve">اً </w:t>
      </w:r>
      <w:r>
        <w:rPr>
          <w:rtl/>
          <w:lang w:eastAsia="zh-TW"/>
        </w:rPr>
        <w:t xml:space="preserve">في الحصول على المساعدة المتصلة بذلك. </w:t>
      </w:r>
    </w:p>
    <w:p w:rsidR="008F1E70" w:rsidRPr="004B7731" w:rsidRDefault="008F1E70" w:rsidP="00995C87">
      <w:pPr>
        <w:pStyle w:val="SingleTxtGA"/>
        <w:rPr>
          <w:b/>
          <w:bCs/>
          <w:rtl/>
          <w:lang w:eastAsia="zh-TW"/>
        </w:rPr>
      </w:pPr>
      <w:r>
        <w:rPr>
          <w:rtl/>
          <w:lang w:eastAsia="zh-TW"/>
        </w:rPr>
        <w:t>٢١-</w:t>
      </w:r>
      <w:r>
        <w:rPr>
          <w:rtl/>
          <w:lang w:eastAsia="zh-TW"/>
        </w:rPr>
        <w:tab/>
      </w:r>
      <w:r w:rsidRPr="004B7731">
        <w:rPr>
          <w:b/>
          <w:bCs/>
          <w:rtl/>
          <w:lang w:eastAsia="zh-TW"/>
        </w:rPr>
        <w:t>ت</w:t>
      </w:r>
      <w:r>
        <w:rPr>
          <w:b/>
          <w:bCs/>
          <w:rtl/>
          <w:lang w:eastAsia="zh-TW"/>
        </w:rPr>
        <w:t>وصي اللجنة الدولة الطرف بأن تسرع</w:t>
      </w:r>
      <w:r w:rsidRPr="004B7731">
        <w:rPr>
          <w:b/>
          <w:bCs/>
          <w:rtl/>
          <w:lang w:eastAsia="zh-TW"/>
        </w:rPr>
        <w:t xml:space="preserve"> في اتخاذ التدابير اللازمة لضمان تقديم مساعدة التعافي من الكوارث دون تمييز إلى جميع المحتاجين، بمن فيهم أفراد الطبقات المهمشة في المناطق النائية. </w:t>
      </w:r>
    </w:p>
    <w:p w:rsidR="008F1E70" w:rsidRPr="004B7731" w:rsidRDefault="008F1E70" w:rsidP="008F1E70">
      <w:pPr>
        <w:pStyle w:val="H23GA"/>
        <w:rPr>
          <w:rtl/>
        </w:rPr>
      </w:pPr>
      <w:r w:rsidRPr="004B7731">
        <w:tab/>
      </w:r>
      <w:r w:rsidRPr="004B7731">
        <w:tab/>
      </w:r>
      <w:r w:rsidRPr="004B7731">
        <w:rPr>
          <w:rtl/>
        </w:rPr>
        <w:t>الشعوب الأصلية</w:t>
      </w:r>
    </w:p>
    <w:p w:rsidR="008F1E70" w:rsidRPr="0096600E" w:rsidRDefault="008F1E70" w:rsidP="008F1E70">
      <w:pPr>
        <w:pStyle w:val="SingleTxtGA"/>
        <w:rPr>
          <w:b/>
          <w:bCs/>
          <w:rtl/>
          <w:lang w:eastAsia="zh-TW"/>
        </w:rPr>
      </w:pPr>
      <w:r>
        <w:rPr>
          <w:rtl/>
          <w:lang w:eastAsia="zh-TW"/>
        </w:rPr>
        <w:t>٢٢-</w:t>
      </w:r>
      <w:r>
        <w:rPr>
          <w:rtl/>
          <w:lang w:eastAsia="zh-TW"/>
        </w:rPr>
        <w:tab/>
        <w:t>يساور اللجنة القلق إزاء التقارير التي تفيد بأنه تعذّر على الشعوب الأصلية المشاركة على نحو ملائم ومجد في صياغة دستور عام 2015، لأن ممثليها لم يختاروا بطريقة حرة بل من</w:t>
      </w:r>
      <w:r>
        <w:rPr>
          <w:rFonts w:hint="cs"/>
          <w:rtl/>
          <w:lang w:eastAsia="zh-TW"/>
        </w:rPr>
        <w:t> </w:t>
      </w:r>
      <w:r>
        <w:rPr>
          <w:rtl/>
          <w:lang w:eastAsia="zh-TW"/>
        </w:rPr>
        <w:t>خلال الأحزاب السياسية. ويساور اللجنة القلق أيض</w:t>
      </w:r>
      <w:r w:rsidR="0055200C">
        <w:rPr>
          <w:rtl/>
          <w:lang w:eastAsia="zh-TW"/>
        </w:rPr>
        <w:t xml:space="preserve">اً </w:t>
      </w:r>
      <w:r>
        <w:rPr>
          <w:rtl/>
          <w:lang w:eastAsia="zh-TW"/>
        </w:rPr>
        <w:t>لأن التشريعات المحلية لا تعترف سوى بـ 59 شعب</w:t>
      </w:r>
      <w:r w:rsidR="0055200C">
        <w:rPr>
          <w:rtl/>
          <w:lang w:eastAsia="zh-TW"/>
        </w:rPr>
        <w:t xml:space="preserve">اً </w:t>
      </w:r>
      <w:r>
        <w:rPr>
          <w:rtl/>
          <w:lang w:eastAsia="zh-TW"/>
        </w:rPr>
        <w:t>من أصل 81 شعب</w:t>
      </w:r>
      <w:r w:rsidR="0055200C">
        <w:rPr>
          <w:rtl/>
          <w:lang w:eastAsia="zh-TW"/>
        </w:rPr>
        <w:t xml:space="preserve">اً </w:t>
      </w:r>
      <w:r>
        <w:rPr>
          <w:rtl/>
          <w:lang w:eastAsia="zh-TW"/>
        </w:rPr>
        <w:t>أصلي</w:t>
      </w:r>
      <w:r w:rsidR="0055200C">
        <w:rPr>
          <w:rtl/>
          <w:lang w:eastAsia="zh-TW"/>
        </w:rPr>
        <w:t xml:space="preserve">اً </w:t>
      </w:r>
      <w:r>
        <w:rPr>
          <w:rtl/>
          <w:lang w:eastAsia="zh-TW"/>
        </w:rPr>
        <w:t>موجود</w:t>
      </w:r>
      <w:r w:rsidR="0055200C">
        <w:rPr>
          <w:rtl/>
          <w:lang w:eastAsia="zh-TW"/>
        </w:rPr>
        <w:t xml:space="preserve">اً </w:t>
      </w:r>
      <w:r>
        <w:rPr>
          <w:rtl/>
          <w:lang w:eastAsia="zh-TW"/>
        </w:rPr>
        <w:t>في نيبال. كما أن اللجنة قلقة إزاء عدم وجود قوانين تكفل حقوق الشعوب الأصلية في امتلاك واستخدام وتطوير أراضيها ومواردها التقليدية، وإزاء الادعاءات التي تفيد بأن هذه الحقوق انتُهكت في سياق أنشطة توليد الطاقة المائية وتوسيع الطرق وغيرها من الأنشطة الإنمائية التي كثير</w:t>
      </w:r>
      <w:r w:rsidR="0055200C">
        <w:rPr>
          <w:rtl/>
          <w:lang w:eastAsia="zh-TW"/>
        </w:rPr>
        <w:t xml:space="preserve">اً </w:t>
      </w:r>
      <w:r>
        <w:rPr>
          <w:rtl/>
          <w:lang w:eastAsia="zh-TW"/>
        </w:rPr>
        <w:t>ما تقترن بعملية التشريد القسري. وينتاب اللجنة قلق بالغ إزاء التقارير التي تشير إلى تعرض قادة الشعوب الأصلية، بمن فيهم أعضاء شعب ثارو، لمضايقات شديدة على يد عملاء الدولة. ويساور اللجنة القلق إزاء تجريم ذبح الأبقار، بما يقوض حقوق الشعوب الأصلية التي ينطوي أكلها للحوم الأبقار على أهمية ثقافية (المواد 2 و5-6).</w:t>
      </w:r>
    </w:p>
    <w:p w:rsidR="008F1E70" w:rsidRPr="00BB4A9E" w:rsidRDefault="008F1E70" w:rsidP="008F1E70">
      <w:pPr>
        <w:pStyle w:val="SingleTxtGA"/>
        <w:rPr>
          <w:b/>
          <w:bCs/>
          <w:rtl/>
          <w:lang w:eastAsia="zh-TW"/>
        </w:rPr>
      </w:pPr>
      <w:r>
        <w:rPr>
          <w:rtl/>
          <w:lang w:eastAsia="zh-TW"/>
        </w:rPr>
        <w:t>٢٣-</w:t>
      </w:r>
      <w:r>
        <w:rPr>
          <w:rtl/>
          <w:lang w:eastAsia="zh-TW"/>
        </w:rPr>
        <w:tab/>
      </w:r>
      <w:r w:rsidRPr="00BB4A9E">
        <w:rPr>
          <w:b/>
          <w:bCs/>
          <w:rtl/>
          <w:lang w:eastAsia="zh-TW"/>
        </w:rPr>
        <w:t>تأخذ اللجنة في اعتبارها توصيتها العامة رقم 23(1997) بشأن حقوق الشعوب الأصلية، فَتوصي الدولة الطرف بما يلي:</w:t>
      </w:r>
    </w:p>
    <w:p w:rsidR="008F1E70" w:rsidRPr="00BB4A9E" w:rsidRDefault="008F1E70" w:rsidP="008F1E70">
      <w:pPr>
        <w:pStyle w:val="SingleTxtGA"/>
        <w:rPr>
          <w:b/>
          <w:bCs/>
          <w:rtl/>
          <w:lang w:eastAsia="zh-TW"/>
        </w:rPr>
      </w:pPr>
      <w:r w:rsidRPr="008F1E70">
        <w:rPr>
          <w:lang w:eastAsia="zh-TW"/>
        </w:rPr>
        <w:tab/>
      </w:r>
      <w:r w:rsidRPr="008F1E70">
        <w:rPr>
          <w:rtl/>
          <w:lang w:eastAsia="zh-TW"/>
        </w:rPr>
        <w:t>(أ)</w:t>
      </w:r>
      <w:r w:rsidRPr="00BB4A9E">
        <w:rPr>
          <w:b/>
          <w:bCs/>
          <w:rtl/>
          <w:lang w:eastAsia="zh-TW"/>
        </w:rPr>
        <w:tab/>
        <w:t>التأكد من أن تشريعاتها المحلية تعترف رسمي</w:t>
      </w:r>
      <w:r w:rsidR="0055200C">
        <w:rPr>
          <w:b/>
          <w:bCs/>
          <w:rtl/>
          <w:lang w:eastAsia="zh-TW"/>
        </w:rPr>
        <w:t xml:space="preserve">اً </w:t>
      </w:r>
      <w:r w:rsidRPr="00BB4A9E">
        <w:rPr>
          <w:b/>
          <w:bCs/>
          <w:rtl/>
          <w:lang w:eastAsia="zh-TW"/>
        </w:rPr>
        <w:t xml:space="preserve">بجميع الشعوب الأصلية </w:t>
      </w:r>
      <w:r>
        <w:rPr>
          <w:b/>
          <w:bCs/>
          <w:rtl/>
          <w:lang w:eastAsia="zh-TW"/>
        </w:rPr>
        <w:t xml:space="preserve">الموجودة </w:t>
      </w:r>
      <w:r w:rsidRPr="00BB4A9E">
        <w:rPr>
          <w:b/>
          <w:bCs/>
          <w:rtl/>
          <w:lang w:eastAsia="zh-TW"/>
        </w:rPr>
        <w:t>في نيبال؛</w:t>
      </w:r>
    </w:p>
    <w:p w:rsidR="008F1E70" w:rsidRPr="00BB4A9E" w:rsidRDefault="008F1E70" w:rsidP="008F1E70">
      <w:pPr>
        <w:pStyle w:val="SingleTxtGA"/>
        <w:rPr>
          <w:b/>
          <w:bCs/>
          <w:rtl/>
          <w:lang w:eastAsia="zh-TW"/>
        </w:rPr>
      </w:pPr>
      <w:r w:rsidRPr="008F1E70">
        <w:rPr>
          <w:lang w:eastAsia="zh-TW"/>
        </w:rPr>
        <w:tab/>
      </w:r>
      <w:r w:rsidRPr="008F1E70">
        <w:rPr>
          <w:rtl/>
          <w:lang w:eastAsia="zh-TW"/>
        </w:rPr>
        <w:t>(ب)</w:t>
      </w:r>
      <w:r>
        <w:rPr>
          <w:b/>
          <w:bCs/>
          <w:rtl/>
          <w:lang w:eastAsia="zh-TW"/>
        </w:rPr>
        <w:tab/>
        <w:t>كفالة</w:t>
      </w:r>
      <w:r w:rsidRPr="00BB4A9E">
        <w:rPr>
          <w:b/>
          <w:bCs/>
          <w:rtl/>
          <w:lang w:eastAsia="zh-TW"/>
        </w:rPr>
        <w:t xml:space="preserve"> </w:t>
      </w:r>
      <w:r>
        <w:rPr>
          <w:b/>
          <w:bCs/>
          <w:rtl/>
          <w:lang w:eastAsia="zh-TW"/>
        </w:rPr>
        <w:t xml:space="preserve">أن يحترم </w:t>
      </w:r>
      <w:r w:rsidRPr="00BB4A9E">
        <w:rPr>
          <w:b/>
          <w:bCs/>
          <w:rtl/>
          <w:lang w:eastAsia="zh-TW"/>
        </w:rPr>
        <w:t>حق الشعوب الأصلية في المشاركة في الهيئات الحكومية بموجب المادة ٤٢ من الدستور احترام</w:t>
      </w:r>
      <w:r w:rsidR="0055200C">
        <w:rPr>
          <w:b/>
          <w:bCs/>
          <w:rtl/>
          <w:lang w:eastAsia="zh-TW"/>
        </w:rPr>
        <w:t xml:space="preserve">اً </w:t>
      </w:r>
      <w:r w:rsidRPr="00BB4A9E">
        <w:rPr>
          <w:b/>
          <w:bCs/>
          <w:rtl/>
          <w:lang w:eastAsia="zh-TW"/>
        </w:rPr>
        <w:t>فعلي</w:t>
      </w:r>
      <w:r w:rsidR="0055200C">
        <w:rPr>
          <w:b/>
          <w:bCs/>
          <w:rtl/>
          <w:lang w:eastAsia="zh-TW"/>
        </w:rPr>
        <w:t xml:space="preserve">اً، </w:t>
      </w:r>
      <w:r w:rsidRPr="00BB4A9E">
        <w:rPr>
          <w:b/>
          <w:bCs/>
          <w:rtl/>
          <w:lang w:eastAsia="zh-TW"/>
        </w:rPr>
        <w:t>و</w:t>
      </w:r>
      <w:r>
        <w:rPr>
          <w:b/>
          <w:bCs/>
          <w:rtl/>
          <w:lang w:eastAsia="zh-TW"/>
        </w:rPr>
        <w:t>أن ي</w:t>
      </w:r>
      <w:r w:rsidRPr="00BB4A9E">
        <w:rPr>
          <w:b/>
          <w:bCs/>
          <w:rtl/>
          <w:lang w:eastAsia="zh-TW"/>
        </w:rPr>
        <w:t>سمح للش</w:t>
      </w:r>
      <w:r>
        <w:rPr>
          <w:b/>
          <w:bCs/>
          <w:rtl/>
          <w:lang w:eastAsia="zh-TW"/>
        </w:rPr>
        <w:t>عوب الأصلية باختيار ممثليها بطريق</w:t>
      </w:r>
      <w:r w:rsidRPr="00BB4A9E">
        <w:rPr>
          <w:b/>
          <w:bCs/>
          <w:rtl/>
          <w:lang w:eastAsia="zh-TW"/>
        </w:rPr>
        <w:t>ة حرة؛</w:t>
      </w:r>
    </w:p>
    <w:p w:rsidR="008F1E70" w:rsidRPr="00BB4A9E" w:rsidRDefault="008F1E70" w:rsidP="008F1E70">
      <w:pPr>
        <w:pStyle w:val="SingleTxtGA"/>
        <w:rPr>
          <w:b/>
          <w:bCs/>
          <w:rtl/>
          <w:lang w:eastAsia="zh-TW"/>
        </w:rPr>
      </w:pPr>
      <w:r w:rsidRPr="008F1E70">
        <w:rPr>
          <w:lang w:eastAsia="zh-TW"/>
        </w:rPr>
        <w:lastRenderedPageBreak/>
        <w:tab/>
      </w:r>
      <w:r w:rsidRPr="008F1E70">
        <w:rPr>
          <w:rtl/>
          <w:lang w:eastAsia="zh-TW"/>
        </w:rPr>
        <w:t>(ج)</w:t>
      </w:r>
      <w:r>
        <w:rPr>
          <w:b/>
          <w:bCs/>
          <w:rtl/>
          <w:lang w:eastAsia="zh-TW"/>
        </w:rPr>
        <w:tab/>
        <w:t>بلوغ</w:t>
      </w:r>
      <w:r w:rsidRPr="00BB4A9E">
        <w:rPr>
          <w:b/>
          <w:bCs/>
          <w:rtl/>
          <w:lang w:eastAsia="zh-TW"/>
        </w:rPr>
        <w:t xml:space="preserve"> حل تفاوضي مناسب لتسوية النزاع المتعلق بحقوق الشعوب الأصلية في أراضيها التقليدية ومواردها الطبيعية، بطرق منها تنقيح تشريعها المتعلق بهذه المسألة ومراعاة اتفاقية منظمة العمل الدولية رقم ١٦٩؛ </w:t>
      </w:r>
    </w:p>
    <w:p w:rsidR="008F1E70" w:rsidRPr="00BB4A9E" w:rsidRDefault="008F1E70" w:rsidP="008F1E70">
      <w:pPr>
        <w:pStyle w:val="SingleTxtGA"/>
        <w:rPr>
          <w:b/>
          <w:bCs/>
          <w:rtl/>
          <w:lang w:eastAsia="zh-TW"/>
        </w:rPr>
      </w:pPr>
      <w:r w:rsidRPr="008F1E70">
        <w:rPr>
          <w:lang w:eastAsia="zh-TW"/>
        </w:rPr>
        <w:tab/>
      </w:r>
      <w:r w:rsidRPr="008F1E70">
        <w:rPr>
          <w:rtl/>
          <w:lang w:eastAsia="zh-TW"/>
        </w:rPr>
        <w:t>(د)</w:t>
      </w:r>
      <w:r>
        <w:rPr>
          <w:b/>
          <w:bCs/>
          <w:rtl/>
          <w:lang w:eastAsia="zh-TW"/>
        </w:rPr>
        <w:tab/>
      </w:r>
      <w:r w:rsidRPr="00BB4A9E">
        <w:rPr>
          <w:b/>
          <w:bCs/>
          <w:rtl/>
          <w:lang w:eastAsia="zh-TW"/>
        </w:rPr>
        <w:t xml:space="preserve">الحصول على الموافقة الحرة والمسبقة والمستنيرة للشعوب الأصلية قبل إقرار أي مشروع يؤثر في استخدام أراضيها ومواردها التقليدية؛ </w:t>
      </w:r>
    </w:p>
    <w:p w:rsidR="008F1E70" w:rsidRPr="00BB4A9E" w:rsidRDefault="008F1E70" w:rsidP="008F1E70">
      <w:pPr>
        <w:pStyle w:val="SingleTxtGA"/>
        <w:rPr>
          <w:b/>
          <w:bCs/>
          <w:rtl/>
          <w:lang w:eastAsia="zh-TW"/>
        </w:rPr>
      </w:pPr>
      <w:r w:rsidRPr="00BB4A9E">
        <w:rPr>
          <w:b/>
          <w:bCs/>
          <w:lang w:eastAsia="zh-TW"/>
        </w:rPr>
        <w:tab/>
      </w:r>
      <w:r w:rsidRPr="008F1E70">
        <w:rPr>
          <w:rtl/>
          <w:lang w:eastAsia="zh-TW"/>
        </w:rPr>
        <w:t>(هـ)</w:t>
      </w:r>
      <w:r>
        <w:rPr>
          <w:rtl/>
        </w:rPr>
        <w:tab/>
      </w:r>
      <w:r w:rsidRPr="00BB4A9E">
        <w:rPr>
          <w:b/>
          <w:bCs/>
          <w:rtl/>
          <w:lang w:eastAsia="zh-TW"/>
        </w:rPr>
        <w:t>اتخاذ جميع التدابير</w:t>
      </w:r>
      <w:r>
        <w:rPr>
          <w:b/>
          <w:bCs/>
          <w:rtl/>
          <w:lang w:eastAsia="zh-TW"/>
        </w:rPr>
        <w:t xml:space="preserve"> اللازمة، بما فيها</w:t>
      </w:r>
      <w:r w:rsidRPr="00BB4A9E">
        <w:rPr>
          <w:b/>
          <w:bCs/>
          <w:rtl/>
          <w:lang w:eastAsia="zh-TW"/>
        </w:rPr>
        <w:t xml:space="preserve"> التدابير التشريعية</w:t>
      </w:r>
      <w:r>
        <w:rPr>
          <w:b/>
          <w:bCs/>
          <w:rtl/>
          <w:lang w:eastAsia="zh-TW"/>
        </w:rPr>
        <w:t>،</w:t>
      </w:r>
      <w:r w:rsidRPr="00BB4A9E">
        <w:rPr>
          <w:b/>
          <w:bCs/>
          <w:rtl/>
          <w:lang w:eastAsia="zh-TW"/>
        </w:rPr>
        <w:t xml:space="preserve"> لضمان إجراء عمليات الإخلاء بما يتفق والمعايير الدولية، وتقديم التعويض</w:t>
      </w:r>
      <w:r>
        <w:rPr>
          <w:b/>
          <w:bCs/>
          <w:rtl/>
          <w:lang w:eastAsia="zh-TW"/>
        </w:rPr>
        <w:t>ات</w:t>
      </w:r>
      <w:r w:rsidRPr="00BB4A9E">
        <w:rPr>
          <w:b/>
          <w:bCs/>
          <w:rtl/>
          <w:lang w:eastAsia="zh-TW"/>
        </w:rPr>
        <w:t xml:space="preserve"> وبدائل </w:t>
      </w:r>
      <w:r>
        <w:rPr>
          <w:b/>
          <w:bCs/>
          <w:rtl/>
          <w:lang w:eastAsia="zh-TW"/>
        </w:rPr>
        <w:t xml:space="preserve">السكان </w:t>
      </w:r>
      <w:r w:rsidRPr="00BB4A9E">
        <w:rPr>
          <w:b/>
          <w:bCs/>
          <w:rtl/>
          <w:lang w:eastAsia="zh-TW"/>
        </w:rPr>
        <w:t>المناسبة ل</w:t>
      </w:r>
      <w:r>
        <w:rPr>
          <w:b/>
          <w:bCs/>
          <w:rtl/>
          <w:lang w:eastAsia="zh-TW"/>
        </w:rPr>
        <w:t>لأشخاص المتضررين من</w:t>
      </w:r>
      <w:r w:rsidRPr="00BB4A9E">
        <w:rPr>
          <w:b/>
          <w:bCs/>
          <w:rtl/>
          <w:lang w:eastAsia="zh-TW"/>
        </w:rPr>
        <w:t xml:space="preserve"> عمليات الإخلاء؛</w:t>
      </w:r>
      <w:r w:rsidRPr="00BB4A9E">
        <w:rPr>
          <w:rFonts w:cs="Times New Roman" w:hint="cs"/>
          <w:b/>
          <w:bCs/>
          <w:rtl/>
          <w:lang w:eastAsia="zh-TW"/>
        </w:rPr>
        <w:t>‬</w:t>
      </w:r>
      <w:r w:rsidRPr="00BB4A9E">
        <w:rPr>
          <w:b/>
          <w:bCs/>
        </w:rPr>
        <w:t>‬</w:t>
      </w:r>
      <w:r>
        <w:t>‬</w:t>
      </w:r>
      <w:r>
        <w:t>‬</w:t>
      </w:r>
      <w:r w:rsidR="004F5C75">
        <w:t>‬</w:t>
      </w:r>
    </w:p>
    <w:p w:rsidR="008F1E70" w:rsidRPr="0096600E" w:rsidRDefault="008F1E70" w:rsidP="008F1E70">
      <w:pPr>
        <w:pStyle w:val="SingleTxtGA"/>
        <w:rPr>
          <w:b/>
          <w:rtl/>
          <w:lang w:eastAsia="zh-TW"/>
        </w:rPr>
      </w:pPr>
      <w:r w:rsidRPr="008F1E70">
        <w:rPr>
          <w:rtl/>
          <w:lang w:eastAsia="zh-TW"/>
        </w:rPr>
        <w:tab/>
        <w:t>(و)</w:t>
      </w:r>
      <w:r>
        <w:rPr>
          <w:b/>
          <w:bCs/>
          <w:rtl/>
          <w:lang w:eastAsia="zh-TW"/>
        </w:rPr>
        <w:tab/>
        <w:t>كفالة سلامة الشعوب الأصلية التي تعرضت</w:t>
      </w:r>
      <w:r w:rsidRPr="00BB4A9E">
        <w:rPr>
          <w:b/>
          <w:bCs/>
          <w:rtl/>
          <w:lang w:eastAsia="zh-TW"/>
        </w:rPr>
        <w:t xml:space="preserve"> للتهديد والمضايقة وغيرها من الأعم</w:t>
      </w:r>
      <w:r>
        <w:rPr>
          <w:b/>
          <w:bCs/>
          <w:rtl/>
          <w:lang w:eastAsia="zh-TW"/>
        </w:rPr>
        <w:t>ال التعسفية وأعمال العنف على أيدي</w:t>
      </w:r>
      <w:r w:rsidRPr="00BB4A9E">
        <w:rPr>
          <w:b/>
          <w:bCs/>
          <w:rtl/>
          <w:lang w:eastAsia="zh-TW"/>
        </w:rPr>
        <w:t xml:space="preserve"> </w:t>
      </w:r>
      <w:r>
        <w:rPr>
          <w:b/>
          <w:bCs/>
          <w:rtl/>
          <w:lang w:eastAsia="zh-TW"/>
        </w:rPr>
        <w:t>عم</w:t>
      </w:r>
      <w:r w:rsidRPr="00BB4A9E">
        <w:rPr>
          <w:b/>
          <w:bCs/>
          <w:rtl/>
          <w:lang w:eastAsia="zh-TW"/>
        </w:rPr>
        <w:t xml:space="preserve">لاء الحكومة و/أو الأفراد؛ واتخاذ التدابير اللازمة لمنع هذه الأعمال والتحقيق فيها ومعاقبة </w:t>
      </w:r>
      <w:r>
        <w:rPr>
          <w:b/>
          <w:bCs/>
          <w:rtl/>
          <w:lang w:eastAsia="zh-TW"/>
        </w:rPr>
        <w:t>المذنبين</w:t>
      </w:r>
      <w:r>
        <w:rPr>
          <w:rtl/>
          <w:lang w:eastAsia="zh-TW"/>
        </w:rPr>
        <w:t>.</w:t>
      </w:r>
    </w:p>
    <w:p w:rsidR="008F1E70" w:rsidRPr="00DB3CE7" w:rsidRDefault="008F1E70" w:rsidP="008F1E70">
      <w:pPr>
        <w:pStyle w:val="SingleTxtGA"/>
        <w:rPr>
          <w:b/>
          <w:bCs/>
          <w:rtl/>
          <w:lang w:eastAsia="zh-TW"/>
        </w:rPr>
      </w:pPr>
      <w:r w:rsidRPr="008F1E70">
        <w:rPr>
          <w:rtl/>
          <w:lang w:eastAsia="zh-TW"/>
        </w:rPr>
        <w:t>٢٤-</w:t>
      </w:r>
      <w:r w:rsidRPr="008F1E70">
        <w:rPr>
          <w:rtl/>
          <w:lang w:eastAsia="zh-TW"/>
        </w:rPr>
        <w:tab/>
      </w:r>
      <w:r w:rsidRPr="00DB3CE7">
        <w:rPr>
          <w:b/>
          <w:bCs/>
          <w:rtl/>
          <w:lang w:eastAsia="zh-TW"/>
        </w:rPr>
        <w:t>وتدعو اللجنة أيض</w:t>
      </w:r>
      <w:r w:rsidR="0055200C">
        <w:rPr>
          <w:b/>
          <w:bCs/>
          <w:rtl/>
          <w:lang w:eastAsia="zh-TW"/>
        </w:rPr>
        <w:t xml:space="preserve">اً </w:t>
      </w:r>
      <w:r w:rsidRPr="00DB3CE7">
        <w:rPr>
          <w:b/>
          <w:bCs/>
          <w:rtl/>
          <w:lang w:eastAsia="zh-TW"/>
        </w:rPr>
        <w:t>الدولة الطرف إلى إلغاء القوانين التي تجرّم جوانب من ثقافات الشعوب الأصلية، بغية ضمان إمكانية إعمال الشعوب الأصلية (</w:t>
      </w:r>
      <w:r>
        <w:rPr>
          <w:b/>
          <w:bCs/>
          <w:rtl/>
          <w:lang w:eastAsia="zh-TW"/>
        </w:rPr>
        <w:t>ال</w:t>
      </w:r>
      <w:r w:rsidRPr="00DB3CE7">
        <w:rPr>
          <w:b/>
          <w:bCs/>
          <w:rtl/>
          <w:lang w:eastAsia="zh-TW"/>
        </w:rPr>
        <w:t>آديفاسي/</w:t>
      </w:r>
      <w:r>
        <w:rPr>
          <w:b/>
          <w:bCs/>
          <w:rtl/>
          <w:lang w:eastAsia="zh-TW"/>
        </w:rPr>
        <w:t>ال</w:t>
      </w:r>
      <w:r w:rsidRPr="00DB3CE7">
        <w:rPr>
          <w:b/>
          <w:bCs/>
          <w:rtl/>
          <w:lang w:eastAsia="zh-TW"/>
        </w:rPr>
        <w:t>جاناجاتي) لحقوقها الثقافية والدينية بصورة حرة.</w:t>
      </w:r>
    </w:p>
    <w:p w:rsidR="008F1E70" w:rsidRPr="00B16A36" w:rsidRDefault="008F1E70" w:rsidP="008F1E70">
      <w:pPr>
        <w:pStyle w:val="H23GA"/>
        <w:rPr>
          <w:rtl/>
        </w:rPr>
      </w:pPr>
      <w:r w:rsidRPr="00B16A36">
        <w:tab/>
      </w:r>
      <w:r w:rsidRPr="00B16A36">
        <w:tab/>
      </w:r>
      <w:r w:rsidRPr="00B16A36">
        <w:rPr>
          <w:rtl/>
        </w:rPr>
        <w:t>التعليم</w:t>
      </w:r>
    </w:p>
    <w:p w:rsidR="008F1E70" w:rsidRPr="0096600E" w:rsidRDefault="008F1E70" w:rsidP="008F1E70">
      <w:pPr>
        <w:pStyle w:val="SingleTxtGA"/>
        <w:rPr>
          <w:b/>
          <w:bCs/>
          <w:rtl/>
          <w:lang w:eastAsia="zh-TW"/>
        </w:rPr>
      </w:pPr>
      <w:r>
        <w:rPr>
          <w:rtl/>
          <w:lang w:eastAsia="zh-TW"/>
        </w:rPr>
        <w:t>٢٥-</w:t>
      </w:r>
      <w:r>
        <w:rPr>
          <w:rtl/>
          <w:lang w:eastAsia="zh-TW"/>
        </w:rPr>
        <w:tab/>
        <w:t>ينتاب اللجنة القلق لأن الشعوب الأصلية وجماعة الداليت، لا سيما النساء، لا تزال تعاني من نقص التمثيل في التعليم الثانوي والعالي وفي الوظائف التعليمية، كما يتبين من إحصاءات الدولة الطرف. ويساورها القلق أيض</w:t>
      </w:r>
      <w:r w:rsidR="0055200C">
        <w:rPr>
          <w:rtl/>
          <w:lang w:eastAsia="zh-TW"/>
        </w:rPr>
        <w:t xml:space="preserve">اً </w:t>
      </w:r>
      <w:r>
        <w:rPr>
          <w:rtl/>
          <w:lang w:eastAsia="zh-TW"/>
        </w:rPr>
        <w:t xml:space="preserve">إزاء التقارير التي تفيد بأن معدلات الإلمام بالقراءة والكتابة في صفوف أفراد ماديشي الموجودين في منطقة تيراي وأفراد داليت الموجودين في التلال أقل بكثير من المتوسط الوطني، وبأن أفراد جماعة الداليت يعانون من نقص التمثيل في المناهج التعليمية ويتعرضون للتمييز في المدارس (المادتان 2 و5). </w:t>
      </w:r>
    </w:p>
    <w:p w:rsidR="008F1E70" w:rsidRPr="00DB3CE7" w:rsidRDefault="008F1E70" w:rsidP="008F1E70">
      <w:pPr>
        <w:pStyle w:val="SingleTxtGA"/>
        <w:rPr>
          <w:b/>
          <w:bCs/>
          <w:rtl/>
          <w:lang w:eastAsia="zh-TW"/>
        </w:rPr>
      </w:pPr>
      <w:r>
        <w:rPr>
          <w:rtl/>
          <w:lang w:eastAsia="zh-TW"/>
        </w:rPr>
        <w:t>٢٦-</w:t>
      </w:r>
      <w:r>
        <w:rPr>
          <w:rtl/>
          <w:lang w:eastAsia="zh-TW"/>
        </w:rPr>
        <w:tab/>
      </w:r>
      <w:r w:rsidRPr="00DB3CE7">
        <w:rPr>
          <w:b/>
          <w:bCs/>
          <w:rtl/>
          <w:lang w:eastAsia="zh-TW"/>
        </w:rPr>
        <w:t>إذ تأخذ اللجنة في</w:t>
      </w:r>
      <w:r>
        <w:rPr>
          <w:b/>
          <w:bCs/>
          <w:rtl/>
          <w:lang w:eastAsia="zh-TW"/>
        </w:rPr>
        <w:t xml:space="preserve"> الاعتبار توصيتها العامة رقم ٣٢</w:t>
      </w:r>
      <w:r w:rsidRPr="00DB3CE7">
        <w:rPr>
          <w:b/>
          <w:bCs/>
          <w:rtl/>
          <w:lang w:eastAsia="zh-TW"/>
        </w:rPr>
        <w:t>(2009) بشأن معنى ونطاق التدابير الخاصة الواردة في ال</w:t>
      </w:r>
      <w:r>
        <w:rPr>
          <w:b/>
          <w:bCs/>
          <w:rtl/>
          <w:lang w:eastAsia="zh-TW"/>
        </w:rPr>
        <w:t>اتفاقية، وتوصيتها العامة رقم ٢٥</w:t>
      </w:r>
      <w:r w:rsidRPr="00DB3CE7">
        <w:rPr>
          <w:b/>
          <w:bCs/>
          <w:rtl/>
          <w:lang w:eastAsia="zh-TW"/>
        </w:rPr>
        <w:t>(2000) بشأن الأبعاد الجنسانية للتمييز العنصري، فإنها من أجل ضمان وصول جميع الأطفال إلى التعليم على نحو شامل وعادل، توصي الدولة الطرف بما يلي:</w:t>
      </w:r>
    </w:p>
    <w:p w:rsidR="008F1E70" w:rsidRPr="00DB3CE7" w:rsidRDefault="008F1E70" w:rsidP="008F1E70">
      <w:pPr>
        <w:pStyle w:val="SingleTxtGA"/>
        <w:rPr>
          <w:b/>
          <w:bCs/>
          <w:rtl/>
          <w:lang w:eastAsia="zh-TW"/>
        </w:rPr>
      </w:pPr>
      <w:r w:rsidRPr="008F1E70">
        <w:rPr>
          <w:lang w:eastAsia="zh-TW"/>
        </w:rPr>
        <w:tab/>
      </w:r>
      <w:r w:rsidRPr="008F1E70">
        <w:rPr>
          <w:rtl/>
          <w:lang w:eastAsia="zh-TW"/>
        </w:rPr>
        <w:t>(أ)</w:t>
      </w:r>
      <w:r>
        <w:rPr>
          <w:b/>
          <w:bCs/>
          <w:rtl/>
          <w:lang w:eastAsia="zh-TW"/>
        </w:rPr>
        <w:tab/>
      </w:r>
      <w:r w:rsidRPr="00DB3CE7">
        <w:rPr>
          <w:b/>
          <w:bCs/>
          <w:rtl/>
          <w:lang w:eastAsia="zh-TW"/>
        </w:rPr>
        <w:t>تعزيز التدابير الخاصة من أجل إدماج جميع أطفال الشعوب الأصلية و</w:t>
      </w:r>
      <w:r>
        <w:rPr>
          <w:b/>
          <w:bCs/>
          <w:rtl/>
          <w:lang w:eastAsia="zh-TW"/>
        </w:rPr>
        <w:t>جماعة ال</w:t>
      </w:r>
      <w:r w:rsidRPr="00DB3CE7">
        <w:rPr>
          <w:b/>
          <w:bCs/>
          <w:rtl/>
          <w:lang w:eastAsia="zh-TW"/>
        </w:rPr>
        <w:t>داليت والطبقات الممثلة تمثيل</w:t>
      </w:r>
      <w:r w:rsidR="0055200C">
        <w:rPr>
          <w:b/>
          <w:bCs/>
          <w:rtl/>
          <w:lang w:eastAsia="zh-TW"/>
        </w:rPr>
        <w:t xml:space="preserve">اً </w:t>
      </w:r>
      <w:r w:rsidRPr="00DB3CE7">
        <w:rPr>
          <w:b/>
          <w:bCs/>
          <w:rtl/>
          <w:lang w:eastAsia="zh-TW"/>
        </w:rPr>
        <w:t>ناقص</w:t>
      </w:r>
      <w:r w:rsidR="0055200C">
        <w:rPr>
          <w:b/>
          <w:bCs/>
          <w:rtl/>
          <w:lang w:eastAsia="zh-TW"/>
        </w:rPr>
        <w:t xml:space="preserve">اً، </w:t>
      </w:r>
      <w:r w:rsidRPr="00DB3CE7">
        <w:rPr>
          <w:b/>
          <w:bCs/>
          <w:rtl/>
          <w:lang w:eastAsia="zh-TW"/>
        </w:rPr>
        <w:t>ولا سيما النساء، إدماج</w:t>
      </w:r>
      <w:r w:rsidR="0055200C">
        <w:rPr>
          <w:b/>
          <w:bCs/>
          <w:rtl/>
          <w:lang w:eastAsia="zh-TW"/>
        </w:rPr>
        <w:t xml:space="preserve">اً </w:t>
      </w:r>
      <w:r w:rsidRPr="00DB3CE7">
        <w:rPr>
          <w:b/>
          <w:bCs/>
          <w:rtl/>
          <w:lang w:eastAsia="zh-TW"/>
        </w:rPr>
        <w:t>كامل</w:t>
      </w:r>
      <w:r w:rsidR="0055200C">
        <w:rPr>
          <w:b/>
          <w:bCs/>
          <w:rtl/>
          <w:lang w:eastAsia="zh-TW"/>
        </w:rPr>
        <w:t xml:space="preserve">اً </w:t>
      </w:r>
      <w:r w:rsidRPr="00DB3CE7">
        <w:rPr>
          <w:b/>
          <w:bCs/>
          <w:rtl/>
          <w:lang w:eastAsia="zh-TW"/>
        </w:rPr>
        <w:t xml:space="preserve">في جميع مراحل التعليم وفي الوظائف التعليمية، بطرق منها توفير ما يلزم من الموارد البشرية والتقنية والمالية؛ </w:t>
      </w:r>
    </w:p>
    <w:p w:rsidR="008F1E70" w:rsidRPr="00DB3CE7" w:rsidRDefault="008F1E70" w:rsidP="008F1E70">
      <w:pPr>
        <w:pStyle w:val="SingleTxtGA"/>
        <w:rPr>
          <w:b/>
          <w:bCs/>
          <w:rtl/>
          <w:lang w:eastAsia="zh-TW"/>
        </w:rPr>
      </w:pPr>
      <w:r w:rsidRPr="008F1E70">
        <w:rPr>
          <w:lang w:eastAsia="zh-TW"/>
        </w:rPr>
        <w:tab/>
      </w:r>
      <w:r w:rsidRPr="008F1E70">
        <w:rPr>
          <w:rtl/>
          <w:lang w:eastAsia="zh-TW"/>
        </w:rPr>
        <w:t>(ب)</w:t>
      </w:r>
      <w:r>
        <w:rPr>
          <w:b/>
          <w:bCs/>
          <w:rtl/>
          <w:lang w:eastAsia="zh-TW"/>
        </w:rPr>
        <w:tab/>
      </w:r>
      <w:r w:rsidRPr="00DB3CE7">
        <w:rPr>
          <w:b/>
          <w:bCs/>
          <w:rtl/>
          <w:lang w:eastAsia="zh-TW"/>
        </w:rPr>
        <w:t>تنفيذ برامج محددة الهدف في المدارس، مع زيادة التمويل</w:t>
      </w:r>
      <w:r>
        <w:rPr>
          <w:b/>
          <w:bCs/>
          <w:rtl/>
          <w:lang w:eastAsia="zh-TW"/>
        </w:rPr>
        <w:t xml:space="preserve"> المخصص لذلك</w:t>
      </w:r>
      <w:r w:rsidRPr="00DB3CE7">
        <w:rPr>
          <w:b/>
          <w:bCs/>
          <w:rtl/>
          <w:lang w:eastAsia="zh-TW"/>
        </w:rPr>
        <w:t>، لتحسين معدلات الإلمام بالقراءة والكتابة، و</w:t>
      </w:r>
      <w:r>
        <w:rPr>
          <w:b/>
          <w:bCs/>
          <w:rtl/>
          <w:lang w:eastAsia="zh-TW"/>
        </w:rPr>
        <w:t>مكافحة التمييز الطبقي من قبل</w:t>
      </w:r>
      <w:r w:rsidRPr="00DB3CE7">
        <w:rPr>
          <w:b/>
          <w:bCs/>
          <w:rtl/>
          <w:lang w:eastAsia="zh-TW"/>
        </w:rPr>
        <w:t xml:space="preserve"> الطلبة والمدرسين، لا سيما في المناطق التي تقطنها الشعوب الأصلية و</w:t>
      </w:r>
      <w:r>
        <w:rPr>
          <w:b/>
          <w:bCs/>
          <w:rtl/>
          <w:lang w:eastAsia="zh-TW"/>
        </w:rPr>
        <w:t>جماعة ال</w:t>
      </w:r>
      <w:r w:rsidRPr="00DB3CE7">
        <w:rPr>
          <w:b/>
          <w:bCs/>
          <w:rtl/>
          <w:lang w:eastAsia="zh-TW"/>
        </w:rPr>
        <w:t xml:space="preserve">داليت وغيرها من الطبقات المهمشة أو الجماعات العرقية؛ </w:t>
      </w:r>
    </w:p>
    <w:p w:rsidR="008F1E70" w:rsidRPr="00DB3CE7" w:rsidRDefault="008F1E70" w:rsidP="008F1E70">
      <w:pPr>
        <w:pStyle w:val="SingleTxtGA"/>
        <w:rPr>
          <w:b/>
          <w:bCs/>
          <w:rtl/>
          <w:lang w:eastAsia="zh-TW"/>
        </w:rPr>
      </w:pPr>
      <w:r>
        <w:rPr>
          <w:b/>
          <w:bCs/>
          <w:rtl/>
          <w:lang w:eastAsia="zh-TW"/>
        </w:rPr>
        <w:lastRenderedPageBreak/>
        <w:tab/>
      </w:r>
      <w:r w:rsidRPr="008F1E70">
        <w:rPr>
          <w:rtl/>
          <w:lang w:eastAsia="zh-TW"/>
        </w:rPr>
        <w:t>(ج)</w:t>
      </w:r>
      <w:r>
        <w:rPr>
          <w:b/>
          <w:bCs/>
          <w:rtl/>
          <w:lang w:eastAsia="zh-TW"/>
        </w:rPr>
        <w:tab/>
      </w:r>
      <w:r w:rsidRPr="00DB3CE7">
        <w:rPr>
          <w:b/>
          <w:bCs/>
          <w:rtl/>
          <w:lang w:eastAsia="zh-TW"/>
        </w:rPr>
        <w:t>ضمان التمثيل النسبي للطبقات والجماعات العرقية المهمشة في جميع الهيئات والمجالس واللجان التعليمية الوطنية.</w:t>
      </w:r>
    </w:p>
    <w:p w:rsidR="008F1E70" w:rsidRPr="00DD72B1" w:rsidRDefault="008F1E70" w:rsidP="008F1E70">
      <w:pPr>
        <w:pStyle w:val="H23GA"/>
        <w:rPr>
          <w:rtl/>
        </w:rPr>
      </w:pPr>
      <w:r w:rsidRPr="00DD72B1">
        <w:tab/>
      </w:r>
      <w:r w:rsidRPr="00DD72B1">
        <w:tab/>
      </w:r>
      <w:r w:rsidRPr="00DD72B1">
        <w:rPr>
          <w:rtl/>
        </w:rPr>
        <w:t>الاتجار بالأشخاص والرق</w:t>
      </w:r>
    </w:p>
    <w:p w:rsidR="008F1E70" w:rsidRPr="0096600E" w:rsidRDefault="008F1E70" w:rsidP="00995C87">
      <w:pPr>
        <w:pStyle w:val="SingleTxtGA"/>
        <w:rPr>
          <w:rtl/>
          <w:lang w:eastAsia="zh-TW"/>
        </w:rPr>
      </w:pPr>
      <w:r>
        <w:rPr>
          <w:rtl/>
          <w:lang w:eastAsia="zh-TW"/>
        </w:rPr>
        <w:t>٢٧-</w:t>
      </w:r>
      <w:r>
        <w:rPr>
          <w:rtl/>
          <w:lang w:eastAsia="zh-TW"/>
        </w:rPr>
        <w:tab/>
        <w:t>في حين ترحب اللجنة بجهود الدولة الطرف الرامية إلى مكافحة الاتجار بالبشر وأشكال الرق المعاصرة، يساورها قلق بالغ إزاء التقارير التي تفيد بأن أكثر من</w:t>
      </w:r>
      <w:r w:rsidR="00995C87">
        <w:rPr>
          <w:rFonts w:hint="cs"/>
          <w:rtl/>
          <w:lang w:eastAsia="zh-TW"/>
        </w:rPr>
        <w:t xml:space="preserve"> </w:t>
      </w:r>
      <w:r>
        <w:rPr>
          <w:rtl/>
          <w:lang w:eastAsia="zh-TW"/>
        </w:rPr>
        <w:t xml:space="preserve">000 </w:t>
      </w:r>
      <w:r w:rsidR="00995C87">
        <w:rPr>
          <w:rFonts w:hint="cs"/>
          <w:rtl/>
          <w:lang w:eastAsia="zh-TW"/>
        </w:rPr>
        <w:t xml:space="preserve">200 </w:t>
      </w:r>
      <w:r>
        <w:rPr>
          <w:rtl/>
          <w:lang w:eastAsia="zh-TW"/>
        </w:rPr>
        <w:t xml:space="preserve">شخص يتعرضون للاسترقاق في الدولة الطرف، بما في ذلك لأغراض الاستغلال الجنسي والعمل القسري والسخرة والاسترقاق المنزلي والزواج القسري. وينتاب اللجنة القلق لأن القانون المحلي يحظر ممارسات السخرة، بما في ذلك ممارسات </w:t>
      </w:r>
      <w:r w:rsidRPr="00DD72B1">
        <w:rPr>
          <w:i/>
          <w:iCs/>
          <w:rtl/>
          <w:lang w:eastAsia="zh-TW"/>
        </w:rPr>
        <w:t>الهاليا</w:t>
      </w:r>
      <w:r>
        <w:rPr>
          <w:rtl/>
          <w:lang w:eastAsia="zh-TW"/>
        </w:rPr>
        <w:t xml:space="preserve"> و</w:t>
      </w:r>
      <w:r>
        <w:rPr>
          <w:i/>
          <w:iCs/>
          <w:rtl/>
          <w:lang w:eastAsia="zh-TW"/>
        </w:rPr>
        <w:t>الكاماييا،</w:t>
      </w:r>
      <w:r>
        <w:rPr>
          <w:rtl/>
          <w:lang w:eastAsia="zh-TW"/>
        </w:rPr>
        <w:t xml:space="preserve"> التي تؤثر بصورة مفرطة في جماعة الداليت وغيرها من الطبقات المهمشة، لكن التقارير تشير إلى أن هذه الممارسات لا تزال قائمة في الواقع. ويساور اللجنة القلق أيض</w:t>
      </w:r>
      <w:r w:rsidR="0055200C">
        <w:rPr>
          <w:rtl/>
          <w:lang w:eastAsia="zh-TW"/>
        </w:rPr>
        <w:t xml:space="preserve">اً </w:t>
      </w:r>
      <w:r>
        <w:rPr>
          <w:rtl/>
          <w:lang w:eastAsia="zh-TW"/>
        </w:rPr>
        <w:t>لأنه على الرغم من أن الدولة الطرف اتخذت التدابير وخصصت الأموال لإعادة توطين وتأهيل العمال المسترقين سابق</w:t>
      </w:r>
      <w:r w:rsidR="0055200C">
        <w:rPr>
          <w:rtl/>
          <w:lang w:eastAsia="zh-TW"/>
        </w:rPr>
        <w:t xml:space="preserve">اً </w:t>
      </w:r>
      <w:r>
        <w:rPr>
          <w:rtl/>
          <w:lang w:eastAsia="zh-TW"/>
        </w:rPr>
        <w:t>من خلال تزويدهم بالأراضي و/أو المنازل والمهارات المدرة للدخل، تشير التقارير إلى أن هذه الجهود لا تمول بما يكفي. كما يساور اللجنة القلق إزاء التقارير التي تفيد بأن أفراد جماعة الآديفاسي/الجاناجاتي يمثلون ما يناهز نصف ضحايا الاتجار؛ وبأنه لا توجد إجراءات تشغيل موحدة لتحديد هوية ضحايا الاتجار؛ وبأن الملاحقات الجنائية للمتورطين في الاتجار بالبشر تراجعت كثير</w:t>
      </w:r>
      <w:r w:rsidR="0055200C">
        <w:rPr>
          <w:rtl/>
          <w:lang w:eastAsia="zh-TW"/>
        </w:rPr>
        <w:t xml:space="preserve">اً </w:t>
      </w:r>
      <w:r>
        <w:rPr>
          <w:rtl/>
          <w:lang w:eastAsia="zh-TW"/>
        </w:rPr>
        <w:t xml:space="preserve">في عام ٢٠١٦؛ وبأن العديد من العمال المهاجرين النيباليين يتعرضون لممارسات توظيف خادعة يمكن أن تؤدي إلى الاتجار بالبشر والرق (المواد 2 و5-6). </w:t>
      </w:r>
    </w:p>
    <w:p w:rsidR="008F1E70" w:rsidRPr="00222BB7" w:rsidRDefault="008F1E70" w:rsidP="008F1E70">
      <w:pPr>
        <w:pStyle w:val="SingleTxtGA"/>
        <w:rPr>
          <w:b/>
          <w:bCs/>
          <w:rtl/>
          <w:lang w:eastAsia="zh-TW"/>
        </w:rPr>
      </w:pPr>
      <w:r>
        <w:rPr>
          <w:rtl/>
          <w:lang w:eastAsia="zh-TW"/>
        </w:rPr>
        <w:t>٢٨</w:t>
      </w:r>
      <w:r>
        <w:rPr>
          <w:b/>
          <w:bCs/>
          <w:rtl/>
          <w:lang w:eastAsia="zh-TW"/>
        </w:rPr>
        <w:t>-</w:t>
      </w:r>
      <w:r>
        <w:rPr>
          <w:b/>
          <w:bCs/>
          <w:rtl/>
          <w:lang w:eastAsia="zh-TW"/>
        </w:rPr>
        <w:tab/>
      </w:r>
      <w:r w:rsidRPr="00222BB7">
        <w:rPr>
          <w:b/>
          <w:bCs/>
          <w:rtl/>
          <w:lang w:eastAsia="zh-TW"/>
        </w:rPr>
        <w:t>توصي اللجنة الدولة الطرف بما يلي:</w:t>
      </w:r>
    </w:p>
    <w:p w:rsidR="008F1E70" w:rsidRPr="00222BB7" w:rsidRDefault="008F1E70" w:rsidP="008F1E70">
      <w:pPr>
        <w:pStyle w:val="SingleTxtGA"/>
        <w:rPr>
          <w:b/>
          <w:bCs/>
          <w:rtl/>
          <w:lang w:eastAsia="zh-TW"/>
        </w:rPr>
      </w:pPr>
      <w:r w:rsidRPr="00222BB7">
        <w:rPr>
          <w:b/>
          <w:bCs/>
          <w:lang w:eastAsia="zh-TW"/>
        </w:rPr>
        <w:tab/>
      </w:r>
      <w:r w:rsidRPr="008F1E70">
        <w:rPr>
          <w:rtl/>
          <w:lang w:eastAsia="zh-TW"/>
        </w:rPr>
        <w:t>(أ)</w:t>
      </w:r>
      <w:r>
        <w:rPr>
          <w:b/>
          <w:bCs/>
          <w:rtl/>
          <w:lang w:eastAsia="zh-TW"/>
        </w:rPr>
        <w:tab/>
      </w:r>
      <w:r w:rsidRPr="00222BB7">
        <w:rPr>
          <w:b/>
          <w:bCs/>
          <w:rtl/>
          <w:lang w:eastAsia="zh-TW"/>
        </w:rPr>
        <w:t>تكثيف جهودها الرامية إلى</w:t>
      </w:r>
      <w:r>
        <w:rPr>
          <w:b/>
          <w:bCs/>
          <w:rtl/>
          <w:lang w:eastAsia="zh-TW"/>
        </w:rPr>
        <w:t xml:space="preserve"> منع الاتجار بالأشخاص والرق</w:t>
      </w:r>
      <w:r w:rsidRPr="00222BB7">
        <w:rPr>
          <w:b/>
          <w:bCs/>
          <w:rtl/>
          <w:lang w:eastAsia="zh-TW"/>
        </w:rPr>
        <w:t xml:space="preserve"> والاستغلال الجنسي والعمل القسري؛ </w:t>
      </w:r>
    </w:p>
    <w:p w:rsidR="008F1E70" w:rsidRPr="00222BB7" w:rsidRDefault="008F1E70" w:rsidP="008F1E70">
      <w:pPr>
        <w:pStyle w:val="SingleTxtGA"/>
        <w:rPr>
          <w:b/>
          <w:bCs/>
          <w:rtl/>
          <w:lang w:eastAsia="zh-TW"/>
        </w:rPr>
      </w:pPr>
      <w:r w:rsidRPr="008F1E70">
        <w:rPr>
          <w:lang w:eastAsia="zh-TW"/>
        </w:rPr>
        <w:tab/>
      </w:r>
      <w:r w:rsidRPr="008F1E70">
        <w:rPr>
          <w:rtl/>
          <w:lang w:eastAsia="zh-TW"/>
        </w:rPr>
        <w:t>(ب)</w:t>
      </w:r>
      <w:r>
        <w:rPr>
          <w:b/>
          <w:bCs/>
          <w:rtl/>
          <w:lang w:eastAsia="zh-TW"/>
        </w:rPr>
        <w:tab/>
      </w:r>
      <w:r w:rsidRPr="00222BB7">
        <w:rPr>
          <w:b/>
          <w:bCs/>
          <w:rtl/>
          <w:lang w:eastAsia="zh-TW"/>
        </w:rPr>
        <w:t>تنفيذ إجراءات تشغيل موح</w:t>
      </w:r>
      <w:r>
        <w:rPr>
          <w:b/>
          <w:bCs/>
          <w:rtl/>
          <w:lang w:eastAsia="zh-TW"/>
        </w:rPr>
        <w:t>ّ</w:t>
      </w:r>
      <w:r w:rsidRPr="00222BB7">
        <w:rPr>
          <w:b/>
          <w:bCs/>
          <w:rtl/>
          <w:lang w:eastAsia="zh-TW"/>
        </w:rPr>
        <w:t>دة من أجل اتباع نهج استباقي في تحديد ومساعدة ضحايا الاتجار والرق؛</w:t>
      </w:r>
    </w:p>
    <w:p w:rsidR="008F1E70" w:rsidRPr="00222BB7" w:rsidRDefault="008F1E70" w:rsidP="008F1E70">
      <w:pPr>
        <w:pStyle w:val="SingleTxtGA"/>
        <w:rPr>
          <w:b/>
          <w:bCs/>
          <w:rtl/>
          <w:lang w:eastAsia="zh-TW"/>
        </w:rPr>
      </w:pPr>
      <w:r w:rsidRPr="00222BB7">
        <w:rPr>
          <w:b/>
          <w:bCs/>
          <w:lang w:eastAsia="zh-TW"/>
        </w:rPr>
        <w:tab/>
      </w:r>
      <w:r w:rsidRPr="008F1E70">
        <w:rPr>
          <w:rtl/>
          <w:lang w:eastAsia="zh-TW"/>
        </w:rPr>
        <w:t>(ج)</w:t>
      </w:r>
      <w:r>
        <w:rPr>
          <w:b/>
          <w:bCs/>
          <w:rtl/>
          <w:lang w:eastAsia="zh-TW"/>
        </w:rPr>
        <w:tab/>
      </w:r>
      <w:r w:rsidRPr="00222BB7">
        <w:rPr>
          <w:b/>
          <w:bCs/>
          <w:rtl/>
          <w:lang w:eastAsia="zh-TW"/>
        </w:rPr>
        <w:t>تعزيز جهودها الرامية إلى القضاء على ممارسات التوظيف الاستغلالية والخادعة التي تستهدف العمال المهاجرين، وتقديم المتورطين في الاتجار بالبشر وأشكال الرق المعاصرة إلى العدالة؛</w:t>
      </w:r>
    </w:p>
    <w:p w:rsidR="008F1E70" w:rsidRPr="00222BB7" w:rsidRDefault="008F1E70" w:rsidP="008F1E70">
      <w:pPr>
        <w:pStyle w:val="SingleTxtGA"/>
        <w:rPr>
          <w:b/>
          <w:bCs/>
          <w:rtl/>
          <w:lang w:eastAsia="zh-TW"/>
        </w:rPr>
      </w:pPr>
      <w:r w:rsidRPr="008F1E70">
        <w:rPr>
          <w:lang w:eastAsia="zh-TW"/>
        </w:rPr>
        <w:tab/>
      </w:r>
      <w:r w:rsidRPr="008F1E70">
        <w:rPr>
          <w:rtl/>
          <w:lang w:eastAsia="zh-TW"/>
        </w:rPr>
        <w:t>(د)</w:t>
      </w:r>
      <w:r w:rsidRPr="008F1E70">
        <w:rPr>
          <w:rtl/>
          <w:lang w:eastAsia="zh-TW"/>
        </w:rPr>
        <w:tab/>
      </w:r>
      <w:r>
        <w:rPr>
          <w:b/>
          <w:bCs/>
          <w:rtl/>
          <w:lang w:eastAsia="zh-TW"/>
        </w:rPr>
        <w:t>توفير</w:t>
      </w:r>
      <w:r w:rsidRPr="00222BB7">
        <w:rPr>
          <w:b/>
          <w:bCs/>
          <w:rtl/>
          <w:lang w:eastAsia="zh-TW"/>
        </w:rPr>
        <w:t xml:space="preserve"> المعلومات والمشورة بشأن سبل الهجرة الآمنة في المجتمعات المحلية المعرضة للهجرة؛ </w:t>
      </w:r>
    </w:p>
    <w:p w:rsidR="008F1E70" w:rsidRPr="00222BB7" w:rsidRDefault="008F1E70" w:rsidP="008F1E70">
      <w:pPr>
        <w:pStyle w:val="SingleTxtGA"/>
        <w:rPr>
          <w:b/>
          <w:bCs/>
          <w:rtl/>
          <w:lang w:eastAsia="zh-TW"/>
        </w:rPr>
      </w:pPr>
      <w:r w:rsidRPr="008F1E70">
        <w:rPr>
          <w:lang w:eastAsia="zh-TW"/>
        </w:rPr>
        <w:tab/>
      </w:r>
      <w:r w:rsidRPr="008F1E70">
        <w:rPr>
          <w:rtl/>
          <w:lang w:eastAsia="zh-TW"/>
        </w:rPr>
        <w:t>(هـ)</w:t>
      </w:r>
      <w:r w:rsidRPr="008F1E70">
        <w:rPr>
          <w:rtl/>
          <w:lang w:eastAsia="zh-TW"/>
        </w:rPr>
        <w:tab/>
      </w:r>
      <w:r w:rsidRPr="00222BB7">
        <w:rPr>
          <w:b/>
          <w:bCs/>
          <w:rtl/>
          <w:lang w:eastAsia="zh-TW"/>
        </w:rPr>
        <w:t>تعزيز جهودها الرامية إلى تمويل عمليات إعادة التوطين والتأهيل الطوعية والمستدامة للعمال المسترقين سابق</w:t>
      </w:r>
      <w:r w:rsidR="0055200C">
        <w:rPr>
          <w:b/>
          <w:bCs/>
          <w:rtl/>
          <w:lang w:eastAsia="zh-TW"/>
        </w:rPr>
        <w:t xml:space="preserve">اً، </w:t>
      </w:r>
      <w:r w:rsidRPr="00222BB7">
        <w:rPr>
          <w:b/>
          <w:bCs/>
          <w:rtl/>
          <w:lang w:eastAsia="zh-TW"/>
        </w:rPr>
        <w:t>بوسائل منها توفير السكن اللائق بتكلفة ميسورة وسبل العيش البديلة؛</w:t>
      </w:r>
    </w:p>
    <w:p w:rsidR="008F1E70" w:rsidRPr="00222BB7" w:rsidRDefault="008F1E70" w:rsidP="008F1E70">
      <w:pPr>
        <w:pStyle w:val="SingleTxtGA"/>
        <w:rPr>
          <w:b/>
          <w:bCs/>
          <w:rtl/>
          <w:lang w:eastAsia="zh-TW"/>
        </w:rPr>
      </w:pPr>
      <w:r w:rsidRPr="008F1E70">
        <w:rPr>
          <w:rtl/>
          <w:lang w:eastAsia="zh-TW"/>
        </w:rPr>
        <w:tab/>
        <w:t>(و)</w:t>
      </w:r>
      <w:r w:rsidRPr="008F1E70">
        <w:rPr>
          <w:rtl/>
          <w:lang w:eastAsia="zh-TW"/>
        </w:rPr>
        <w:tab/>
      </w:r>
      <w:r w:rsidRPr="00222BB7">
        <w:rPr>
          <w:b/>
          <w:bCs/>
          <w:rtl/>
          <w:lang w:eastAsia="zh-TW"/>
        </w:rPr>
        <w:t>تضمين تقريرها الدوري المقبل بيانات، مصنفة حسب الأصل العرق</w:t>
      </w:r>
      <w:r>
        <w:rPr>
          <w:b/>
          <w:bCs/>
          <w:rtl/>
          <w:lang w:eastAsia="zh-TW"/>
        </w:rPr>
        <w:t>ي أو الطبقي، عن عدد أفعال</w:t>
      </w:r>
      <w:r w:rsidRPr="00222BB7">
        <w:rPr>
          <w:b/>
          <w:bCs/>
          <w:rtl/>
          <w:lang w:eastAsia="zh-TW"/>
        </w:rPr>
        <w:t xml:space="preserve"> الاتجار بالبشر والاسترقاق التي </w:t>
      </w:r>
      <w:r>
        <w:rPr>
          <w:b/>
          <w:bCs/>
          <w:rtl/>
          <w:lang w:eastAsia="zh-TW"/>
        </w:rPr>
        <w:t xml:space="preserve">جرى التحقيق </w:t>
      </w:r>
      <w:r w:rsidRPr="00222BB7">
        <w:rPr>
          <w:b/>
          <w:bCs/>
          <w:rtl/>
          <w:lang w:eastAsia="zh-TW"/>
        </w:rPr>
        <w:t>فيها و</w:t>
      </w:r>
      <w:r>
        <w:rPr>
          <w:b/>
          <w:bCs/>
          <w:rtl/>
          <w:lang w:eastAsia="zh-TW"/>
        </w:rPr>
        <w:t>محاكمة المذنبين ومعاقبتهم</w:t>
      </w:r>
      <w:r w:rsidRPr="00222BB7">
        <w:rPr>
          <w:b/>
          <w:bCs/>
          <w:rtl/>
          <w:lang w:eastAsia="zh-TW"/>
        </w:rPr>
        <w:t>، وعن سبل الانتصاف المتاحة للضحايا.</w:t>
      </w:r>
    </w:p>
    <w:p w:rsidR="008F1E70" w:rsidRPr="00222BB7" w:rsidRDefault="008F1E70" w:rsidP="008F1E70">
      <w:pPr>
        <w:pStyle w:val="H23GA"/>
        <w:rPr>
          <w:rtl/>
        </w:rPr>
      </w:pPr>
      <w:r w:rsidRPr="00222BB7">
        <w:lastRenderedPageBreak/>
        <w:tab/>
      </w:r>
      <w:r w:rsidRPr="00222BB7">
        <w:tab/>
      </w:r>
      <w:r w:rsidRPr="00222BB7">
        <w:rPr>
          <w:rtl/>
        </w:rPr>
        <w:t>عدم ملكية الأراضي</w:t>
      </w:r>
    </w:p>
    <w:p w:rsidR="008F1E70" w:rsidRPr="0096600E" w:rsidRDefault="008F1E70" w:rsidP="008F1E70">
      <w:pPr>
        <w:pStyle w:val="SingleTxtGA"/>
        <w:rPr>
          <w:bCs/>
          <w:rtl/>
          <w:lang w:eastAsia="zh-TW"/>
        </w:rPr>
      </w:pPr>
      <w:r>
        <w:rPr>
          <w:rtl/>
          <w:lang w:eastAsia="zh-TW"/>
        </w:rPr>
        <w:t>٢٩-</w:t>
      </w:r>
      <w:r>
        <w:rPr>
          <w:rtl/>
          <w:lang w:eastAsia="zh-TW"/>
        </w:rPr>
        <w:tab/>
        <w:t>يساور اللجنة القلق إزاء التقارير التي تفيد بأن ظاهرة عدم ملكية الأراضي منتشرة بصورة مفرطة بين أفراد جماعة الداليت وجماعة الآديفاسي/الجانجاتي، مما يجعلهم معرضين للاستغلال الاقتصادي بشكل خاص من جانب ملاك الأراضي. وتلاحظ اللجنة تصريحات الوفد بشأن ملكية الأراضي، لكن يساورها القلق إزاء التقارير التي تفيد بأن أحكام القوانين المحلية المتعلقة بتحديد الحدود القصوى لملكية الأراضي وإعادة توزيع الأراضي لم تنفذ، وبأن عدد</w:t>
      </w:r>
      <w:r w:rsidR="0055200C">
        <w:rPr>
          <w:rtl/>
          <w:lang w:eastAsia="zh-TW"/>
        </w:rPr>
        <w:t xml:space="preserve">اً </w:t>
      </w:r>
      <w:r>
        <w:rPr>
          <w:rtl/>
          <w:lang w:eastAsia="zh-TW"/>
        </w:rPr>
        <w:t>صغير</w:t>
      </w:r>
      <w:r w:rsidR="0055200C">
        <w:rPr>
          <w:rtl/>
          <w:lang w:eastAsia="zh-TW"/>
        </w:rPr>
        <w:t xml:space="preserve">اً </w:t>
      </w:r>
      <w:r>
        <w:rPr>
          <w:rtl/>
          <w:lang w:eastAsia="zh-TW"/>
        </w:rPr>
        <w:t xml:space="preserve">من كبار الملاك يملك جل الأراضي الزراعية على حساب أفراد المجتمعات المحلية غير المالكين للأراضي، بمن فيهم ملايين الأفراد من الطبقات المحرومة (المادتان 2 و5). </w:t>
      </w:r>
    </w:p>
    <w:p w:rsidR="008F1E70" w:rsidRPr="00EC7CB3" w:rsidRDefault="008F1E70" w:rsidP="00995C87">
      <w:pPr>
        <w:pStyle w:val="SingleTxtGA"/>
        <w:rPr>
          <w:b/>
          <w:bCs/>
          <w:rtl/>
          <w:lang w:eastAsia="zh-TW"/>
        </w:rPr>
      </w:pPr>
      <w:r>
        <w:rPr>
          <w:rtl/>
          <w:lang w:eastAsia="zh-TW"/>
        </w:rPr>
        <w:t>٣٠-</w:t>
      </w:r>
      <w:r>
        <w:rPr>
          <w:rtl/>
          <w:lang w:eastAsia="zh-TW"/>
        </w:rPr>
        <w:tab/>
      </w:r>
      <w:r w:rsidRPr="00EC7CB3">
        <w:rPr>
          <w:b/>
          <w:bCs/>
          <w:rtl/>
          <w:lang w:eastAsia="zh-TW"/>
        </w:rPr>
        <w:t xml:space="preserve">توصي اللجنة الدولة الطرف باتخاذ جميع التدابير اللازمة، بطرق منها تنفيذ القوانين ذات الصلة، للقضاء على أنماط توزيع الأراضي التي </w:t>
      </w:r>
      <w:r>
        <w:rPr>
          <w:b/>
          <w:bCs/>
          <w:rtl/>
          <w:lang w:eastAsia="zh-TW"/>
        </w:rPr>
        <w:t>تمثل بحكم الواقع تمييز</w:t>
      </w:r>
      <w:r w:rsidR="0055200C">
        <w:rPr>
          <w:b/>
          <w:bCs/>
          <w:rtl/>
          <w:lang w:eastAsia="zh-TW"/>
        </w:rPr>
        <w:t xml:space="preserve">اً </w:t>
      </w:r>
      <w:r>
        <w:rPr>
          <w:b/>
          <w:bCs/>
          <w:rtl/>
          <w:lang w:eastAsia="zh-TW"/>
        </w:rPr>
        <w:t>ضد جماعة</w:t>
      </w:r>
      <w:r w:rsidRPr="00EC7CB3">
        <w:rPr>
          <w:b/>
          <w:bCs/>
          <w:rtl/>
          <w:lang w:eastAsia="zh-TW"/>
        </w:rPr>
        <w:t xml:space="preserve"> </w:t>
      </w:r>
      <w:r>
        <w:rPr>
          <w:b/>
          <w:bCs/>
          <w:rtl/>
          <w:lang w:eastAsia="zh-TW"/>
        </w:rPr>
        <w:t>ال</w:t>
      </w:r>
      <w:r w:rsidRPr="00EC7CB3">
        <w:rPr>
          <w:b/>
          <w:bCs/>
          <w:rtl/>
          <w:lang w:eastAsia="zh-TW"/>
        </w:rPr>
        <w:t xml:space="preserve">داليت وغيرها من الطبقات المهمّشة أو الجماعات الإثنية. </w:t>
      </w:r>
    </w:p>
    <w:p w:rsidR="008F1E70" w:rsidRPr="00EC7CB3" w:rsidRDefault="008F1E70" w:rsidP="008F1E70">
      <w:pPr>
        <w:pStyle w:val="H23GA"/>
        <w:rPr>
          <w:rtl/>
        </w:rPr>
      </w:pPr>
      <w:r w:rsidRPr="00EC7CB3">
        <w:tab/>
      </w:r>
      <w:r w:rsidRPr="00EC7CB3">
        <w:tab/>
      </w:r>
      <w:r w:rsidRPr="00EC7CB3">
        <w:rPr>
          <w:rtl/>
        </w:rPr>
        <w:t>التخصص المهني الطبقي</w:t>
      </w:r>
    </w:p>
    <w:p w:rsidR="008F1E70" w:rsidRPr="0096600E" w:rsidRDefault="008F1E70" w:rsidP="008F1E70">
      <w:pPr>
        <w:pStyle w:val="SingleTxtGA"/>
        <w:rPr>
          <w:bCs/>
          <w:rtl/>
          <w:lang w:eastAsia="zh-TW"/>
        </w:rPr>
      </w:pPr>
      <w:r>
        <w:rPr>
          <w:rtl/>
          <w:lang w:eastAsia="zh-TW"/>
        </w:rPr>
        <w:t>٣١-</w:t>
      </w:r>
      <w:r>
        <w:rPr>
          <w:rtl/>
          <w:lang w:eastAsia="zh-TW"/>
        </w:rPr>
        <w:tab/>
        <w:t xml:space="preserve">يساور اللجنة قلق بالغ إزاء الطريقة التي يعوق بها التخصص المهني الطبقي التنقل الاجتماعي والاقتصادي ويفضي بأعضاء بعض الطبقات إلى شغل وظائف مهينة و/أو استغلالية (المادتان 2 و5). </w:t>
      </w:r>
    </w:p>
    <w:p w:rsidR="008F1E70" w:rsidRPr="00EC7CB3" w:rsidRDefault="008F1E70" w:rsidP="008F1E70">
      <w:pPr>
        <w:pStyle w:val="SingleTxtGA"/>
        <w:rPr>
          <w:b/>
          <w:bCs/>
          <w:rtl/>
          <w:lang w:eastAsia="zh-TW"/>
        </w:rPr>
      </w:pPr>
      <w:r>
        <w:rPr>
          <w:rtl/>
          <w:lang w:eastAsia="zh-TW"/>
        </w:rPr>
        <w:t>٣٢-</w:t>
      </w:r>
      <w:r>
        <w:rPr>
          <w:rtl/>
          <w:lang w:eastAsia="zh-TW"/>
        </w:rPr>
        <w:tab/>
      </w:r>
      <w:r w:rsidRPr="00EC7CB3">
        <w:rPr>
          <w:b/>
          <w:bCs/>
          <w:rtl/>
          <w:lang w:eastAsia="zh-TW"/>
        </w:rPr>
        <w:t xml:space="preserve">توصي اللجنة الدولة الطرف بتنفيذ التدابير اللازمة لكفالة وتعزيز التنقل المهني للطبقات المهمشة، بطرق منها </w:t>
      </w:r>
      <w:r>
        <w:rPr>
          <w:b/>
          <w:bCs/>
          <w:rtl/>
          <w:lang w:eastAsia="zh-TW"/>
        </w:rPr>
        <w:t xml:space="preserve">توفير </w:t>
      </w:r>
      <w:r w:rsidRPr="00EC7CB3">
        <w:rPr>
          <w:b/>
          <w:bCs/>
          <w:rtl/>
          <w:lang w:eastAsia="zh-TW"/>
        </w:rPr>
        <w:t>حوافز التوظيف والتدريب المهني والتوعية المجتمعية وبرامج التمكين.</w:t>
      </w:r>
    </w:p>
    <w:p w:rsidR="008F1E70" w:rsidRPr="0096600E" w:rsidRDefault="008F1E70" w:rsidP="008F1E70">
      <w:pPr>
        <w:pStyle w:val="H23GA"/>
        <w:rPr>
          <w:rtl/>
        </w:rPr>
      </w:pPr>
      <w:r w:rsidRPr="00EC7CB3">
        <w:tab/>
      </w:r>
      <w:r w:rsidRPr="00EC7CB3">
        <w:tab/>
      </w:r>
      <w:r w:rsidRPr="00EC7CB3">
        <w:rPr>
          <w:rtl/>
        </w:rPr>
        <w:t>المواطَنة</w:t>
      </w:r>
    </w:p>
    <w:p w:rsidR="008F1E70" w:rsidRPr="0096600E" w:rsidRDefault="008F1E70" w:rsidP="008F1E70">
      <w:pPr>
        <w:pStyle w:val="SingleTxtGA"/>
        <w:rPr>
          <w:b/>
          <w:bCs/>
          <w:rtl/>
          <w:lang w:eastAsia="zh-TW"/>
        </w:rPr>
      </w:pPr>
      <w:r>
        <w:rPr>
          <w:rtl/>
          <w:lang w:eastAsia="zh-TW"/>
        </w:rPr>
        <w:t>٣٣-</w:t>
      </w:r>
      <w:r>
        <w:rPr>
          <w:rtl/>
          <w:lang w:eastAsia="zh-TW"/>
        </w:rPr>
        <w:tab/>
        <w:t>يساور اللجنة القلق إزاء التقارير التي تفيد بأن بعض المسؤولين الحكوميين يسعون إلى ثني أفراد جماعة الداليت عن طلب الحصول على الجنسية. واللجنة قلقة أيض</w:t>
      </w:r>
      <w:r w:rsidR="0055200C">
        <w:rPr>
          <w:rtl/>
          <w:lang w:eastAsia="zh-TW"/>
        </w:rPr>
        <w:t xml:space="preserve">اً </w:t>
      </w:r>
      <w:r>
        <w:rPr>
          <w:rtl/>
          <w:lang w:eastAsia="zh-TW"/>
        </w:rPr>
        <w:t>إزاء تقارير تفيد بأن العديد من البالغين من طبقة ماديشي الموجودة في منطقة تراي الذين حصل والدوهم على الجنسية بالولادة قبل صدور دستور عام ٢٠١٥ حُرموا من الجنسية عن طريق النسب، بما يشكل انتهاك</w:t>
      </w:r>
      <w:r w:rsidR="0055200C">
        <w:rPr>
          <w:rtl/>
          <w:lang w:eastAsia="zh-TW"/>
        </w:rPr>
        <w:t xml:space="preserve">اً </w:t>
      </w:r>
      <w:r w:rsidR="00B26350">
        <w:rPr>
          <w:rtl/>
          <w:lang w:eastAsia="zh-TW"/>
        </w:rPr>
        <w:t>للمادة ١١</w:t>
      </w:r>
      <w:r>
        <w:rPr>
          <w:rtl/>
          <w:lang w:eastAsia="zh-TW"/>
        </w:rPr>
        <w:t>(٣) من الدستور (المادتان 2 و5).</w:t>
      </w:r>
    </w:p>
    <w:p w:rsidR="008F1E70" w:rsidRPr="00EC7CB3" w:rsidRDefault="008F1E70" w:rsidP="008F1E70">
      <w:pPr>
        <w:pStyle w:val="SingleTxtGA"/>
        <w:rPr>
          <w:b/>
          <w:bCs/>
          <w:rtl/>
          <w:lang w:eastAsia="zh-TW"/>
        </w:rPr>
      </w:pPr>
      <w:r>
        <w:rPr>
          <w:rtl/>
          <w:lang w:eastAsia="zh-TW"/>
        </w:rPr>
        <w:t>٣٤-</w:t>
      </w:r>
      <w:r>
        <w:rPr>
          <w:rtl/>
          <w:lang w:eastAsia="zh-TW"/>
        </w:rPr>
        <w:tab/>
      </w:r>
      <w:r w:rsidRPr="00EC7CB3">
        <w:rPr>
          <w:b/>
          <w:bCs/>
          <w:rtl/>
          <w:lang w:eastAsia="zh-TW"/>
        </w:rPr>
        <w:t>توصي اللجنة الدولة الطرف ب</w:t>
      </w:r>
      <w:r>
        <w:rPr>
          <w:b/>
          <w:bCs/>
          <w:rtl/>
          <w:lang w:eastAsia="zh-TW"/>
        </w:rPr>
        <w:t>ك</w:t>
      </w:r>
      <w:r w:rsidRPr="00EC7CB3">
        <w:rPr>
          <w:b/>
          <w:bCs/>
          <w:rtl/>
          <w:lang w:eastAsia="zh-TW"/>
        </w:rPr>
        <w:t>ف</w:t>
      </w:r>
      <w:r>
        <w:rPr>
          <w:b/>
          <w:bCs/>
          <w:rtl/>
          <w:lang w:eastAsia="zh-TW"/>
        </w:rPr>
        <w:t>ا</w:t>
      </w:r>
      <w:r w:rsidRPr="00EC7CB3">
        <w:rPr>
          <w:b/>
          <w:bCs/>
          <w:rtl/>
          <w:lang w:eastAsia="zh-TW"/>
        </w:rPr>
        <w:t>ل</w:t>
      </w:r>
      <w:r>
        <w:rPr>
          <w:b/>
          <w:bCs/>
          <w:rtl/>
          <w:lang w:eastAsia="zh-TW"/>
        </w:rPr>
        <w:t>ة</w:t>
      </w:r>
      <w:r w:rsidRPr="00EC7CB3">
        <w:rPr>
          <w:b/>
          <w:bCs/>
          <w:rtl/>
          <w:lang w:eastAsia="zh-TW"/>
        </w:rPr>
        <w:t xml:space="preserve"> ما يلي: أن تتضمن قوانينها وأنظمتها وممارساتها إجراءات واضحة لإصدار شهادات الجنسية دون تمييز قائم على الطبق</w:t>
      </w:r>
      <w:r>
        <w:rPr>
          <w:b/>
          <w:bCs/>
          <w:rtl/>
          <w:lang w:eastAsia="zh-TW"/>
        </w:rPr>
        <w:t>ي</w:t>
      </w:r>
      <w:r w:rsidRPr="00EC7CB3">
        <w:rPr>
          <w:b/>
          <w:bCs/>
          <w:rtl/>
          <w:lang w:eastAsia="zh-TW"/>
        </w:rPr>
        <w:t xml:space="preserve">ة؛ وأن تسجل طلبات الحصول على الجنسية في الوقت المناسب؛ وأن تقدم </w:t>
      </w:r>
      <w:r>
        <w:rPr>
          <w:b/>
          <w:bCs/>
          <w:rtl/>
          <w:lang w:eastAsia="zh-TW"/>
        </w:rPr>
        <w:t>ال</w:t>
      </w:r>
      <w:r w:rsidRPr="00EC7CB3">
        <w:rPr>
          <w:b/>
          <w:bCs/>
          <w:rtl/>
          <w:lang w:eastAsia="zh-TW"/>
        </w:rPr>
        <w:t xml:space="preserve">قرارات </w:t>
      </w:r>
      <w:r>
        <w:rPr>
          <w:b/>
          <w:bCs/>
          <w:rtl/>
          <w:lang w:eastAsia="zh-TW"/>
        </w:rPr>
        <w:t>ال</w:t>
      </w:r>
      <w:r w:rsidRPr="00EC7CB3">
        <w:rPr>
          <w:b/>
          <w:bCs/>
          <w:rtl/>
          <w:lang w:eastAsia="zh-TW"/>
        </w:rPr>
        <w:t>خطية و</w:t>
      </w:r>
      <w:r>
        <w:rPr>
          <w:b/>
          <w:bCs/>
          <w:rtl/>
          <w:lang w:eastAsia="zh-TW"/>
        </w:rPr>
        <w:t>ال</w:t>
      </w:r>
      <w:r w:rsidRPr="00EC7CB3">
        <w:rPr>
          <w:b/>
          <w:bCs/>
          <w:rtl/>
          <w:lang w:eastAsia="zh-TW"/>
        </w:rPr>
        <w:t xml:space="preserve">معللة لرفض تلك الطلبات في إطار زمني معقول؛ وأن تتاح آلية تظلم للطعن في </w:t>
      </w:r>
      <w:r>
        <w:rPr>
          <w:b/>
          <w:bCs/>
          <w:rtl/>
          <w:lang w:eastAsia="zh-TW"/>
        </w:rPr>
        <w:t xml:space="preserve">قرارات </w:t>
      </w:r>
      <w:r w:rsidRPr="00EC7CB3">
        <w:rPr>
          <w:b/>
          <w:bCs/>
          <w:rtl/>
          <w:lang w:eastAsia="zh-TW"/>
        </w:rPr>
        <w:t>رفض طلبات الحصول على الجنسية و</w:t>
      </w:r>
      <w:r>
        <w:rPr>
          <w:b/>
          <w:bCs/>
          <w:rtl/>
          <w:lang w:eastAsia="zh-TW"/>
        </w:rPr>
        <w:t xml:space="preserve">أن </w:t>
      </w:r>
      <w:r w:rsidRPr="00EC7CB3">
        <w:rPr>
          <w:b/>
          <w:bCs/>
          <w:rtl/>
          <w:lang w:eastAsia="zh-TW"/>
        </w:rPr>
        <w:t xml:space="preserve">يكون من السهل الوصول إليها. </w:t>
      </w:r>
    </w:p>
    <w:p w:rsidR="008F1E70" w:rsidRPr="00EC7CB3" w:rsidRDefault="008F1E70" w:rsidP="008F1E70">
      <w:pPr>
        <w:pStyle w:val="H23GA"/>
        <w:rPr>
          <w:rtl/>
        </w:rPr>
      </w:pPr>
      <w:r w:rsidRPr="00EC7CB3">
        <w:tab/>
      </w:r>
      <w:r w:rsidRPr="00EC7CB3">
        <w:tab/>
      </w:r>
      <w:r w:rsidRPr="00EC7CB3">
        <w:rPr>
          <w:rtl/>
        </w:rPr>
        <w:t xml:space="preserve">نساء </w:t>
      </w:r>
      <w:r>
        <w:rPr>
          <w:rtl/>
        </w:rPr>
        <w:t>ال</w:t>
      </w:r>
      <w:r w:rsidRPr="00EC7CB3">
        <w:rPr>
          <w:rtl/>
        </w:rPr>
        <w:t>داليت</w:t>
      </w:r>
    </w:p>
    <w:p w:rsidR="008F1E70" w:rsidRPr="0096600E" w:rsidRDefault="008F1E70" w:rsidP="008F1E70">
      <w:pPr>
        <w:pStyle w:val="SingleTxtGA"/>
        <w:rPr>
          <w:rtl/>
          <w:lang w:eastAsia="zh-TW"/>
        </w:rPr>
      </w:pPr>
      <w:r>
        <w:rPr>
          <w:rtl/>
          <w:lang w:eastAsia="zh-TW"/>
        </w:rPr>
        <w:t>٣٥-</w:t>
      </w:r>
      <w:r>
        <w:rPr>
          <w:rtl/>
          <w:lang w:eastAsia="zh-TW"/>
        </w:rPr>
        <w:tab/>
        <w:t>يساور اللجنة قلق بالغ إزاء التقارير التي تفيد بأن ممارسات العنف الجنسي وغيره من أشكال العنف ضد نساء الداليت شائعة وكثير</w:t>
      </w:r>
      <w:r w:rsidR="0055200C">
        <w:rPr>
          <w:rtl/>
          <w:lang w:eastAsia="zh-TW"/>
        </w:rPr>
        <w:t xml:space="preserve">اً </w:t>
      </w:r>
      <w:r>
        <w:rPr>
          <w:rtl/>
          <w:lang w:eastAsia="zh-TW"/>
        </w:rPr>
        <w:t>ما يفلت المتورطون فيها من العقاب. ويساور اللجنة القلق أيض</w:t>
      </w:r>
      <w:r w:rsidR="0055200C">
        <w:rPr>
          <w:rtl/>
          <w:lang w:eastAsia="zh-TW"/>
        </w:rPr>
        <w:t xml:space="preserve">اً </w:t>
      </w:r>
      <w:r>
        <w:rPr>
          <w:rtl/>
          <w:lang w:eastAsia="zh-TW"/>
        </w:rPr>
        <w:t>إزاء التقارير التي تفيد بأنه نظر</w:t>
      </w:r>
      <w:r w:rsidR="0055200C">
        <w:rPr>
          <w:rtl/>
          <w:lang w:eastAsia="zh-TW"/>
        </w:rPr>
        <w:t xml:space="preserve">اً </w:t>
      </w:r>
      <w:r>
        <w:rPr>
          <w:rtl/>
          <w:lang w:eastAsia="zh-TW"/>
        </w:rPr>
        <w:t xml:space="preserve">إلى أن ٤٠ في المائة من أفراد جماعة الداليت </w:t>
      </w:r>
      <w:r>
        <w:rPr>
          <w:rtl/>
          <w:lang w:eastAsia="zh-TW"/>
        </w:rPr>
        <w:lastRenderedPageBreak/>
        <w:t>يعانون من الفقر، فإن معظم فتيات الداليت يتزوجن قبل سن الخامسة عشرة، بما يعرضهن بشدة لخطر التعرض للعنف الجنسي والعنف العائلي، ويحول دون حصولهن على التعليم. واللجنة قلقة كذلك إزاء التقارير التي تشير إلى وجود تفاوتات طبقية في مجال الصحة الإنجابية والوفيات النفاسية، لأن احتمال استفادة نساء الداليت من خدمات قابلة ماهرة قليل جد</w:t>
      </w:r>
      <w:r w:rsidR="0055200C">
        <w:rPr>
          <w:rtl/>
          <w:lang w:eastAsia="zh-TW"/>
        </w:rPr>
        <w:t xml:space="preserve">اً. </w:t>
      </w:r>
      <w:r>
        <w:rPr>
          <w:rtl/>
          <w:lang w:eastAsia="zh-TW"/>
        </w:rPr>
        <w:t xml:space="preserve">كما ينتاب اللجنة القلق إزاء تدني مستوى التمثيل السياسي لنساء الداليت (المواد 2 و5-6). </w:t>
      </w:r>
    </w:p>
    <w:p w:rsidR="008F1E70" w:rsidRPr="00305A50" w:rsidRDefault="008F1E70" w:rsidP="008F1E70">
      <w:pPr>
        <w:pStyle w:val="SingleTxtGA"/>
        <w:rPr>
          <w:b/>
          <w:bCs/>
          <w:rtl/>
          <w:lang w:eastAsia="zh-TW"/>
        </w:rPr>
      </w:pPr>
      <w:r>
        <w:rPr>
          <w:rtl/>
          <w:lang w:eastAsia="zh-TW"/>
        </w:rPr>
        <w:t>٣٦-</w:t>
      </w:r>
      <w:r>
        <w:rPr>
          <w:rtl/>
          <w:lang w:eastAsia="zh-TW"/>
        </w:rPr>
        <w:tab/>
      </w:r>
      <w:r w:rsidRPr="00305A50">
        <w:rPr>
          <w:b/>
          <w:bCs/>
          <w:rtl/>
          <w:lang w:eastAsia="zh-TW"/>
        </w:rPr>
        <w:t>توصي اللجنة الدولة الطرف بما يلي:</w:t>
      </w:r>
    </w:p>
    <w:p w:rsidR="008F1E70" w:rsidRPr="00305A50" w:rsidRDefault="008F1E70" w:rsidP="008F1E70">
      <w:pPr>
        <w:pStyle w:val="SingleTxtGA"/>
        <w:rPr>
          <w:b/>
          <w:bCs/>
          <w:rtl/>
          <w:lang w:eastAsia="zh-TW"/>
        </w:rPr>
      </w:pPr>
      <w:r w:rsidRPr="008F1E70">
        <w:rPr>
          <w:lang w:eastAsia="zh-TW"/>
        </w:rPr>
        <w:tab/>
      </w:r>
      <w:r w:rsidRPr="008F1E70">
        <w:rPr>
          <w:rtl/>
          <w:lang w:eastAsia="zh-TW"/>
        </w:rPr>
        <w:t>(أ)</w:t>
      </w:r>
      <w:r w:rsidRPr="008F1E70">
        <w:rPr>
          <w:rtl/>
          <w:lang w:eastAsia="zh-TW"/>
        </w:rPr>
        <w:tab/>
      </w:r>
      <w:r w:rsidRPr="00305A50">
        <w:rPr>
          <w:b/>
          <w:bCs/>
          <w:rtl/>
          <w:lang w:eastAsia="zh-TW"/>
        </w:rPr>
        <w:t>تكثيف جهودها الرامية إلى القضاء على العنف ضد المرأة، بطرق منها تنظيم حملات توعية، وتشجيع الإبلاغ، والتحقيق في جميع الحالات المبلغ عنها</w:t>
      </w:r>
      <w:r>
        <w:rPr>
          <w:b/>
          <w:bCs/>
          <w:rtl/>
          <w:lang w:eastAsia="zh-TW"/>
        </w:rPr>
        <w:t>، ومحاكمة المذنبين</w:t>
      </w:r>
      <w:r w:rsidRPr="00305A50">
        <w:rPr>
          <w:b/>
          <w:bCs/>
          <w:rtl/>
          <w:lang w:eastAsia="zh-TW"/>
        </w:rPr>
        <w:t xml:space="preserve"> ومعاقبتهم، وتوفير الحماية وسبل الانتصاف للضحايا؛</w:t>
      </w:r>
    </w:p>
    <w:p w:rsidR="008F1E70" w:rsidRPr="00305A50" w:rsidRDefault="008F1E70" w:rsidP="008F1E70">
      <w:pPr>
        <w:pStyle w:val="SingleTxtGA"/>
        <w:rPr>
          <w:b/>
          <w:bCs/>
          <w:rtl/>
          <w:lang w:eastAsia="zh-TW"/>
        </w:rPr>
      </w:pPr>
      <w:r w:rsidRPr="008F1E70">
        <w:rPr>
          <w:lang w:eastAsia="zh-TW"/>
        </w:rPr>
        <w:tab/>
      </w:r>
      <w:r w:rsidRPr="008F1E70">
        <w:rPr>
          <w:rtl/>
          <w:lang w:eastAsia="zh-TW"/>
        </w:rPr>
        <w:t>(ب)</w:t>
      </w:r>
      <w:r>
        <w:rPr>
          <w:b/>
          <w:bCs/>
          <w:rtl/>
          <w:lang w:eastAsia="zh-TW"/>
        </w:rPr>
        <w:tab/>
      </w:r>
      <w:r w:rsidRPr="00305A50">
        <w:rPr>
          <w:b/>
          <w:bCs/>
          <w:rtl/>
          <w:lang w:eastAsia="zh-TW"/>
        </w:rPr>
        <w:t>التشغيل الفعال لاستراتيجيتها الرامية إلى إنهاء زواج الأطف</w:t>
      </w:r>
      <w:r>
        <w:rPr>
          <w:b/>
          <w:bCs/>
          <w:rtl/>
          <w:lang w:eastAsia="zh-TW"/>
        </w:rPr>
        <w:t>ال بحلول عام</w:t>
      </w:r>
      <w:r>
        <w:rPr>
          <w:rFonts w:hint="cs"/>
          <w:b/>
          <w:bCs/>
          <w:rtl/>
          <w:lang w:eastAsia="zh-TW"/>
        </w:rPr>
        <w:t> </w:t>
      </w:r>
      <w:r>
        <w:rPr>
          <w:b/>
          <w:bCs/>
          <w:rtl/>
          <w:lang w:eastAsia="zh-TW"/>
        </w:rPr>
        <w:t>٢٠٣٠، بطرق منها وضع</w:t>
      </w:r>
      <w:r w:rsidRPr="00305A50">
        <w:rPr>
          <w:b/>
          <w:bCs/>
          <w:rtl/>
          <w:lang w:eastAsia="zh-TW"/>
        </w:rPr>
        <w:t xml:space="preserve"> الأنشطة والأهداف والجداول الزمنية و</w:t>
      </w:r>
      <w:r>
        <w:rPr>
          <w:b/>
          <w:bCs/>
          <w:rtl/>
          <w:lang w:eastAsia="zh-TW"/>
        </w:rPr>
        <w:t>الميزا</w:t>
      </w:r>
      <w:r w:rsidRPr="00305A50">
        <w:rPr>
          <w:b/>
          <w:bCs/>
          <w:rtl/>
          <w:lang w:eastAsia="zh-TW"/>
        </w:rPr>
        <w:t>نيات</w:t>
      </w:r>
      <w:r>
        <w:rPr>
          <w:b/>
          <w:bCs/>
          <w:rtl/>
          <w:lang w:eastAsia="zh-TW"/>
        </w:rPr>
        <w:t xml:space="preserve"> ذات الصلة</w:t>
      </w:r>
      <w:r w:rsidRPr="00305A50">
        <w:rPr>
          <w:b/>
          <w:bCs/>
          <w:rtl/>
          <w:lang w:eastAsia="zh-TW"/>
        </w:rPr>
        <w:t>، و</w:t>
      </w:r>
      <w:r>
        <w:rPr>
          <w:b/>
          <w:bCs/>
          <w:rtl/>
          <w:lang w:eastAsia="zh-TW"/>
        </w:rPr>
        <w:t xml:space="preserve">وضع </w:t>
      </w:r>
      <w:r w:rsidRPr="00305A50">
        <w:rPr>
          <w:b/>
          <w:bCs/>
          <w:rtl/>
          <w:lang w:eastAsia="zh-TW"/>
        </w:rPr>
        <w:t>أساليب جمع البيانات؛</w:t>
      </w:r>
    </w:p>
    <w:p w:rsidR="008F1E70" w:rsidRPr="00305A50" w:rsidRDefault="008F1E70" w:rsidP="008F1E70">
      <w:pPr>
        <w:pStyle w:val="SingleTxtGA"/>
        <w:rPr>
          <w:b/>
          <w:bCs/>
          <w:rtl/>
          <w:lang w:eastAsia="zh-TW"/>
        </w:rPr>
      </w:pPr>
      <w:r w:rsidRPr="008F1E70">
        <w:rPr>
          <w:lang w:eastAsia="zh-TW"/>
        </w:rPr>
        <w:tab/>
      </w:r>
      <w:r w:rsidRPr="008F1E70">
        <w:rPr>
          <w:rtl/>
          <w:lang w:eastAsia="zh-TW"/>
        </w:rPr>
        <w:t>(ج)</w:t>
      </w:r>
      <w:r w:rsidRPr="008F1E70">
        <w:rPr>
          <w:rtl/>
          <w:lang w:eastAsia="zh-TW"/>
        </w:rPr>
        <w:tab/>
      </w:r>
      <w:r w:rsidRPr="00305A50">
        <w:rPr>
          <w:b/>
          <w:bCs/>
          <w:rtl/>
          <w:lang w:eastAsia="zh-TW"/>
        </w:rPr>
        <w:t>توفير التعليم الابتدائي الإلزامي والمجاني والجيد في جميع أنحاء البلد؛</w:t>
      </w:r>
    </w:p>
    <w:p w:rsidR="008F1E70" w:rsidRPr="00305A50" w:rsidRDefault="008F1E70" w:rsidP="008F1E70">
      <w:pPr>
        <w:pStyle w:val="SingleTxtGA"/>
        <w:rPr>
          <w:b/>
          <w:bCs/>
          <w:rtl/>
          <w:lang w:eastAsia="zh-TW"/>
        </w:rPr>
      </w:pPr>
      <w:r w:rsidRPr="008F1E70">
        <w:rPr>
          <w:lang w:eastAsia="zh-TW"/>
        </w:rPr>
        <w:tab/>
      </w:r>
      <w:r w:rsidRPr="008F1E70">
        <w:rPr>
          <w:rtl/>
          <w:lang w:eastAsia="zh-TW"/>
        </w:rPr>
        <w:t>(د)</w:t>
      </w:r>
      <w:r w:rsidRPr="008F1E70">
        <w:rPr>
          <w:rtl/>
          <w:lang w:eastAsia="zh-TW"/>
        </w:rPr>
        <w:tab/>
      </w:r>
      <w:r>
        <w:rPr>
          <w:b/>
          <w:bCs/>
          <w:rtl/>
          <w:lang w:eastAsia="zh-TW"/>
        </w:rPr>
        <w:t>توعية</w:t>
      </w:r>
      <w:r w:rsidRPr="00305A50">
        <w:rPr>
          <w:b/>
          <w:bCs/>
          <w:rtl/>
          <w:lang w:eastAsia="zh-TW"/>
        </w:rPr>
        <w:t xml:space="preserve"> المجتمعات المحلية المتضررة بالحظر القانوني </w:t>
      </w:r>
      <w:r>
        <w:rPr>
          <w:b/>
          <w:bCs/>
          <w:rtl/>
          <w:lang w:eastAsia="zh-TW"/>
        </w:rPr>
        <w:t>لزواج الأطفال، وكذا ب</w:t>
      </w:r>
      <w:r w:rsidRPr="00305A50">
        <w:rPr>
          <w:b/>
          <w:bCs/>
          <w:rtl/>
          <w:lang w:eastAsia="zh-TW"/>
        </w:rPr>
        <w:t>قيمة الفتيات وتعليمهن وقدرتهن على تحقيق الاستقلال الاقتصادي؛</w:t>
      </w:r>
    </w:p>
    <w:p w:rsidR="008F1E70" w:rsidRPr="00305A50" w:rsidRDefault="008F1E70" w:rsidP="008F1E70">
      <w:pPr>
        <w:pStyle w:val="SingleTxtGA"/>
        <w:rPr>
          <w:b/>
          <w:bCs/>
          <w:rtl/>
          <w:lang w:eastAsia="zh-TW"/>
        </w:rPr>
      </w:pPr>
      <w:r w:rsidRPr="008F1E70">
        <w:rPr>
          <w:lang w:eastAsia="zh-TW"/>
        </w:rPr>
        <w:tab/>
      </w:r>
      <w:r w:rsidRPr="008F1E70">
        <w:rPr>
          <w:rtl/>
          <w:lang w:eastAsia="zh-TW"/>
        </w:rPr>
        <w:t>(هـ)</w:t>
      </w:r>
      <w:r w:rsidRPr="008F1E70">
        <w:rPr>
          <w:rtl/>
          <w:lang w:eastAsia="zh-TW"/>
        </w:rPr>
        <w:tab/>
      </w:r>
      <w:r w:rsidRPr="00305A50">
        <w:rPr>
          <w:b/>
          <w:bCs/>
          <w:rtl/>
          <w:lang w:eastAsia="zh-TW"/>
        </w:rPr>
        <w:t xml:space="preserve">الحد من الفقر في </w:t>
      </w:r>
      <w:r>
        <w:rPr>
          <w:b/>
          <w:bCs/>
          <w:rtl/>
          <w:lang w:eastAsia="zh-TW"/>
        </w:rPr>
        <w:t>صفوف أفراد ال</w:t>
      </w:r>
      <w:r w:rsidRPr="00305A50">
        <w:rPr>
          <w:b/>
          <w:bCs/>
          <w:rtl/>
          <w:lang w:eastAsia="zh-TW"/>
        </w:rPr>
        <w:t xml:space="preserve">داليت، بطرق منها توفير </w:t>
      </w:r>
      <w:r>
        <w:rPr>
          <w:b/>
          <w:bCs/>
          <w:rtl/>
          <w:lang w:eastAsia="zh-TW"/>
        </w:rPr>
        <w:t>التدريب و</w:t>
      </w:r>
      <w:r w:rsidRPr="00305A50">
        <w:rPr>
          <w:b/>
          <w:bCs/>
          <w:rtl/>
          <w:lang w:eastAsia="zh-TW"/>
        </w:rPr>
        <w:t xml:space="preserve">المهارات المدرة للدخل </w:t>
      </w:r>
      <w:r>
        <w:rPr>
          <w:b/>
          <w:bCs/>
          <w:rtl/>
          <w:lang w:eastAsia="zh-TW"/>
        </w:rPr>
        <w:t>ل</w:t>
      </w:r>
      <w:r w:rsidRPr="00305A50">
        <w:rPr>
          <w:b/>
          <w:bCs/>
          <w:rtl/>
          <w:lang w:eastAsia="zh-TW"/>
        </w:rPr>
        <w:t xml:space="preserve">شباب </w:t>
      </w:r>
      <w:r>
        <w:rPr>
          <w:b/>
          <w:bCs/>
          <w:rtl/>
          <w:lang w:eastAsia="zh-TW"/>
        </w:rPr>
        <w:t>ال</w:t>
      </w:r>
      <w:r w:rsidRPr="00305A50">
        <w:rPr>
          <w:b/>
          <w:bCs/>
          <w:rtl/>
          <w:lang w:eastAsia="zh-TW"/>
        </w:rPr>
        <w:t>داليت؛</w:t>
      </w:r>
    </w:p>
    <w:p w:rsidR="008F1E70" w:rsidRPr="00305A50" w:rsidRDefault="008F1E70" w:rsidP="008F1E70">
      <w:pPr>
        <w:pStyle w:val="SingleTxtGA"/>
        <w:rPr>
          <w:b/>
          <w:bCs/>
          <w:rtl/>
          <w:lang w:eastAsia="zh-TW"/>
        </w:rPr>
      </w:pPr>
      <w:r w:rsidRPr="008F1E70">
        <w:rPr>
          <w:lang w:eastAsia="zh-TW"/>
        </w:rPr>
        <w:tab/>
      </w:r>
      <w:r w:rsidRPr="008F1E70">
        <w:rPr>
          <w:rtl/>
          <w:lang w:eastAsia="zh-TW"/>
        </w:rPr>
        <w:t>(و)</w:t>
      </w:r>
      <w:r>
        <w:rPr>
          <w:b/>
          <w:bCs/>
          <w:rtl/>
          <w:lang w:eastAsia="zh-TW"/>
        </w:rPr>
        <w:tab/>
      </w:r>
      <w:r w:rsidRPr="00305A50">
        <w:rPr>
          <w:b/>
          <w:bCs/>
          <w:rtl/>
          <w:lang w:eastAsia="zh-TW"/>
        </w:rPr>
        <w:t xml:space="preserve">زيادة فرص استفادة نساء </w:t>
      </w:r>
      <w:r>
        <w:rPr>
          <w:b/>
          <w:bCs/>
          <w:rtl/>
          <w:lang w:eastAsia="zh-TW"/>
        </w:rPr>
        <w:t>ال</w:t>
      </w:r>
      <w:r w:rsidRPr="00305A50">
        <w:rPr>
          <w:b/>
          <w:bCs/>
          <w:rtl/>
          <w:lang w:eastAsia="zh-TW"/>
        </w:rPr>
        <w:t>داليت من خدمات القابلات الماهرات وحصول</w:t>
      </w:r>
      <w:r>
        <w:rPr>
          <w:b/>
          <w:bCs/>
          <w:rtl/>
          <w:lang w:eastAsia="zh-TW"/>
        </w:rPr>
        <w:t>هن</w:t>
      </w:r>
      <w:r w:rsidRPr="00305A50">
        <w:rPr>
          <w:b/>
          <w:bCs/>
          <w:rtl/>
          <w:lang w:eastAsia="zh-TW"/>
        </w:rPr>
        <w:t xml:space="preserve"> على الرعاية السابقة للولادة والتغذية السليمة؛</w:t>
      </w:r>
    </w:p>
    <w:p w:rsidR="008F1E70" w:rsidRPr="00305A50" w:rsidRDefault="008F1E70" w:rsidP="008F1E70">
      <w:pPr>
        <w:pStyle w:val="SingleTxtGA"/>
        <w:rPr>
          <w:b/>
          <w:bCs/>
          <w:rtl/>
          <w:lang w:eastAsia="zh-TW"/>
        </w:rPr>
      </w:pPr>
      <w:r w:rsidRPr="008F1E70">
        <w:rPr>
          <w:rtl/>
          <w:lang w:eastAsia="zh-TW"/>
        </w:rPr>
        <w:tab/>
        <w:t>(ز)</w:t>
      </w:r>
      <w:r w:rsidRPr="008F1E70">
        <w:rPr>
          <w:rtl/>
          <w:lang w:eastAsia="zh-TW"/>
        </w:rPr>
        <w:tab/>
      </w:r>
      <w:r w:rsidRPr="00305A50">
        <w:rPr>
          <w:b/>
          <w:bCs/>
          <w:rtl/>
          <w:lang w:eastAsia="zh-TW"/>
        </w:rPr>
        <w:t xml:space="preserve">زيادة مستوى المشاركة السياسية لنساء </w:t>
      </w:r>
      <w:r>
        <w:rPr>
          <w:b/>
          <w:bCs/>
          <w:rtl/>
          <w:lang w:eastAsia="zh-TW"/>
        </w:rPr>
        <w:t>ال</w:t>
      </w:r>
      <w:r w:rsidRPr="00305A50">
        <w:rPr>
          <w:b/>
          <w:bCs/>
          <w:rtl/>
          <w:lang w:eastAsia="zh-TW"/>
        </w:rPr>
        <w:t>داليت.</w:t>
      </w:r>
    </w:p>
    <w:p w:rsidR="008F1E70" w:rsidRPr="0096600E" w:rsidRDefault="008F1E70" w:rsidP="008F1E70">
      <w:pPr>
        <w:pStyle w:val="H23GA"/>
        <w:rPr>
          <w:rtl/>
        </w:rPr>
      </w:pPr>
      <w:r w:rsidRPr="00305A50">
        <w:tab/>
      </w:r>
      <w:r w:rsidRPr="00305A50">
        <w:tab/>
      </w:r>
      <w:r w:rsidRPr="00305A50">
        <w:rPr>
          <w:rtl/>
        </w:rPr>
        <w:t>المهاجرون واللاجئون وملتمسو اللجوء</w:t>
      </w:r>
    </w:p>
    <w:p w:rsidR="008F1E70" w:rsidRPr="0096600E" w:rsidRDefault="008F1E70" w:rsidP="0055200C">
      <w:pPr>
        <w:pStyle w:val="SingleTxtGA"/>
        <w:rPr>
          <w:rtl/>
          <w:lang w:eastAsia="zh-TW"/>
        </w:rPr>
      </w:pPr>
      <w:r>
        <w:rPr>
          <w:rtl/>
          <w:lang w:eastAsia="zh-TW"/>
        </w:rPr>
        <w:t>٣٧-</w:t>
      </w:r>
      <w:r>
        <w:rPr>
          <w:rtl/>
          <w:lang w:eastAsia="zh-TW"/>
        </w:rPr>
        <w:tab/>
        <w:t>لا يزال القلق يساور اللجنة لأن الدولة الطرف تفتقر إلى نظام رسمي للاعتراف باللاجئين يضمن احترام مبدأ عدم الإعادة القسرية، ولأنها، على الرغم من قيامها لدواعي إنسانية بتوفير المأوى المؤقت لآلاف اللاجئين الوافدين من منطقة التبت المستقلة ذاتي</w:t>
      </w:r>
      <w:r w:rsidR="0055200C">
        <w:rPr>
          <w:rtl/>
          <w:lang w:eastAsia="zh-TW"/>
        </w:rPr>
        <w:t xml:space="preserve">اً </w:t>
      </w:r>
      <w:r>
        <w:rPr>
          <w:rtl/>
          <w:lang w:eastAsia="zh-TW"/>
        </w:rPr>
        <w:t>وبوتان، تصرح أنها لا تستطيع لأسباب اعتبارية قبول أي لاجئين آخرين. ويساور اللجنة القلق أيض</w:t>
      </w:r>
      <w:r w:rsidR="0055200C">
        <w:rPr>
          <w:rtl/>
          <w:lang w:eastAsia="zh-TW"/>
        </w:rPr>
        <w:t xml:space="preserve">اً </w:t>
      </w:r>
      <w:r>
        <w:rPr>
          <w:rtl/>
          <w:lang w:eastAsia="zh-TW"/>
        </w:rPr>
        <w:t>إزاء التقارير الواردة من عدد كبير من الأشخاص عديمي الجنسية في نيبال، والتقارير التي تفيد بأن اللاجئين التبتيين وأطفالهم، بمن فيهم الذين ولدوا في نيبال وعاشوا في نيبال لعقود من الزمن، لا</w:t>
      </w:r>
      <w:r w:rsidR="0055200C">
        <w:rPr>
          <w:rFonts w:hint="cs"/>
          <w:rtl/>
          <w:lang w:eastAsia="zh-TW"/>
        </w:rPr>
        <w:t> </w:t>
      </w:r>
      <w:r>
        <w:rPr>
          <w:rtl/>
          <w:lang w:eastAsia="zh-TW"/>
        </w:rPr>
        <w:t>يحصلون على وثائق هوية وبالتالي يقع تغريمهم واعتقالهم وترحيلهم بسبب الإقامة غير القانونية، ويتعذر عليهم الحصول على التعليم، وفتح حساب مصرفي، والحصول على رخصة قيادة، والسفر (المواد 2 و5-6).</w:t>
      </w:r>
    </w:p>
    <w:p w:rsidR="008F1E70" w:rsidRPr="0096600E" w:rsidRDefault="008F1E70" w:rsidP="008F1E70">
      <w:pPr>
        <w:pStyle w:val="SingleTxtGA"/>
        <w:rPr>
          <w:b/>
          <w:rtl/>
          <w:lang w:eastAsia="zh-TW"/>
        </w:rPr>
      </w:pPr>
      <w:r>
        <w:rPr>
          <w:rtl/>
          <w:lang w:eastAsia="zh-TW"/>
        </w:rPr>
        <w:t>٣٨-</w:t>
      </w:r>
      <w:r>
        <w:rPr>
          <w:rtl/>
          <w:lang w:eastAsia="zh-TW"/>
        </w:rPr>
        <w:tab/>
      </w:r>
      <w:r w:rsidRPr="006F29F0">
        <w:rPr>
          <w:b/>
          <w:bCs/>
          <w:rtl/>
          <w:lang w:eastAsia="zh-TW"/>
        </w:rPr>
        <w:t>تحث اللجنة الدولة الطرف مجدد</w:t>
      </w:r>
      <w:r w:rsidR="0055200C">
        <w:rPr>
          <w:b/>
          <w:bCs/>
          <w:rtl/>
          <w:lang w:eastAsia="zh-TW"/>
        </w:rPr>
        <w:t xml:space="preserve">اً </w:t>
      </w:r>
      <w:r w:rsidRPr="006F29F0">
        <w:rPr>
          <w:b/>
          <w:bCs/>
          <w:rtl/>
          <w:lang w:eastAsia="zh-TW"/>
        </w:rPr>
        <w:t>(انظر</w:t>
      </w:r>
      <w:r w:rsidRPr="006F29F0">
        <w:rPr>
          <w:b/>
          <w:bCs/>
          <w:szCs w:val="20"/>
          <w:rtl/>
          <w:lang w:eastAsia="zh-TW"/>
        </w:rPr>
        <w:t xml:space="preserve"> </w:t>
      </w:r>
      <w:r w:rsidRPr="006F29F0">
        <w:rPr>
          <w:b/>
          <w:bCs/>
          <w:szCs w:val="20"/>
          <w:lang w:eastAsia="zh-TW"/>
        </w:rPr>
        <w:t>CERD/C/64/CO/5</w:t>
      </w:r>
      <w:r w:rsidRPr="006F29F0">
        <w:rPr>
          <w:b/>
          <w:bCs/>
          <w:rtl/>
          <w:lang w:eastAsia="zh-TW"/>
        </w:rPr>
        <w:t xml:space="preserve">، الفقرة ١٩) على التصديق على الصكوك الدولية المتعلقة بحماية اللاجئين واعتماد تشريعات وطنية تتفق مع المعايير الواردة في تلك الصكوك. </w:t>
      </w:r>
      <w:r>
        <w:rPr>
          <w:b/>
          <w:bCs/>
          <w:rtl/>
          <w:lang w:eastAsia="zh-TW"/>
        </w:rPr>
        <w:t xml:space="preserve">كما </w:t>
      </w:r>
      <w:r w:rsidRPr="006F29F0">
        <w:rPr>
          <w:b/>
          <w:bCs/>
          <w:rtl/>
          <w:lang w:eastAsia="zh-TW"/>
        </w:rPr>
        <w:t xml:space="preserve">توصي اللجنة الدولة الطرف </w:t>
      </w:r>
      <w:r>
        <w:rPr>
          <w:b/>
          <w:bCs/>
          <w:rtl/>
          <w:lang w:eastAsia="zh-TW"/>
        </w:rPr>
        <w:t xml:space="preserve">بتزويد </w:t>
      </w:r>
      <w:r w:rsidRPr="006F29F0">
        <w:rPr>
          <w:b/>
          <w:bCs/>
          <w:rtl/>
          <w:lang w:eastAsia="zh-TW"/>
        </w:rPr>
        <w:t xml:space="preserve">اللاجئين </w:t>
      </w:r>
      <w:r w:rsidRPr="006F29F0">
        <w:rPr>
          <w:b/>
          <w:bCs/>
          <w:rtl/>
          <w:lang w:eastAsia="zh-TW"/>
        </w:rPr>
        <w:lastRenderedPageBreak/>
        <w:t>الموجودين على</w:t>
      </w:r>
      <w:r>
        <w:rPr>
          <w:b/>
          <w:bCs/>
          <w:rtl/>
          <w:lang w:eastAsia="zh-TW"/>
        </w:rPr>
        <w:t xml:space="preserve"> أراضيها بوثائق هوية.</w:t>
      </w:r>
      <w:r>
        <w:rPr>
          <w:rFonts w:cs="Times New Roman" w:hint="cs"/>
          <w:b/>
          <w:bCs/>
          <w:rtl/>
          <w:lang w:eastAsia="zh-TW"/>
        </w:rPr>
        <w:t>‬</w:t>
      </w:r>
      <w:r>
        <w:rPr>
          <w:b/>
          <w:bCs/>
          <w:rtl/>
          <w:lang w:eastAsia="zh-TW"/>
        </w:rPr>
        <w:t xml:space="preserve"> </w:t>
      </w:r>
      <w:r>
        <w:rPr>
          <w:rFonts w:ascii="Traditional Arabic" w:hAnsi="Traditional Arabic" w:hint="cs"/>
          <w:b/>
          <w:bCs/>
          <w:rtl/>
          <w:lang w:eastAsia="zh-TW"/>
        </w:rPr>
        <w:t>و</w:t>
      </w:r>
      <w:r w:rsidRPr="006F29F0">
        <w:rPr>
          <w:b/>
          <w:bCs/>
          <w:rtl/>
          <w:lang w:eastAsia="zh-TW"/>
        </w:rPr>
        <w:t>تُشجّع الدولة الطرف على الانضمام إلى اتفاقية وضع الأشخاص عديمي الجنسية لعام 1954 واتفاقية خفض حالات انعدام الجنسية لعام</w:t>
      </w:r>
      <w:r>
        <w:rPr>
          <w:rFonts w:hint="cs"/>
          <w:b/>
          <w:bCs/>
          <w:rtl/>
          <w:lang w:eastAsia="zh-TW"/>
        </w:rPr>
        <w:t> </w:t>
      </w:r>
      <w:r w:rsidRPr="006F29F0">
        <w:rPr>
          <w:b/>
          <w:bCs/>
          <w:rtl/>
          <w:lang w:eastAsia="zh-TW"/>
        </w:rPr>
        <w:t>1961.</w:t>
      </w:r>
      <w:r>
        <w:rPr>
          <w:rtl/>
          <w:lang w:eastAsia="zh-TW"/>
        </w:rPr>
        <w:t xml:space="preserve"> </w:t>
      </w:r>
      <w:r>
        <w:t>‬</w:t>
      </w:r>
      <w:r>
        <w:t>‬</w:t>
      </w:r>
      <w:r>
        <w:t>‬</w:t>
      </w:r>
      <w:r w:rsidR="004F5C75">
        <w:t>‬</w:t>
      </w:r>
    </w:p>
    <w:p w:rsidR="008F1E70" w:rsidRPr="006F29F0" w:rsidRDefault="008F1E70" w:rsidP="008F1E70">
      <w:pPr>
        <w:pStyle w:val="H1GA"/>
        <w:rPr>
          <w:rtl/>
          <w:lang w:eastAsia="zh-TW"/>
        </w:rPr>
      </w:pPr>
      <w:r>
        <w:rPr>
          <w:rtl/>
          <w:lang w:eastAsia="zh-TW"/>
        </w:rPr>
        <w:tab/>
      </w:r>
      <w:r w:rsidRPr="006F29F0">
        <w:rPr>
          <w:rtl/>
          <w:lang w:eastAsia="zh-TW"/>
        </w:rPr>
        <w:t>دال</w:t>
      </w:r>
      <w:r>
        <w:rPr>
          <w:rtl/>
          <w:lang w:eastAsia="zh-TW"/>
        </w:rPr>
        <w:t>-</w:t>
      </w:r>
      <w:r>
        <w:rPr>
          <w:rtl/>
          <w:lang w:eastAsia="zh-TW"/>
        </w:rPr>
        <w:tab/>
      </w:r>
      <w:r w:rsidRPr="006F29F0">
        <w:rPr>
          <w:rtl/>
          <w:lang w:eastAsia="zh-TW"/>
        </w:rPr>
        <w:t xml:space="preserve">توصيات أخرى </w:t>
      </w:r>
    </w:p>
    <w:p w:rsidR="008F1E70" w:rsidRPr="006F29F0" w:rsidRDefault="008F1E70" w:rsidP="008F1E70">
      <w:pPr>
        <w:pStyle w:val="H23GA"/>
        <w:rPr>
          <w:rtl/>
        </w:rPr>
      </w:pPr>
      <w:r w:rsidRPr="006F29F0">
        <w:tab/>
      </w:r>
      <w:r w:rsidRPr="006F29F0">
        <w:tab/>
      </w:r>
      <w:r w:rsidRPr="006F29F0">
        <w:rPr>
          <w:rtl/>
        </w:rPr>
        <w:t>التصديق على معاهدات أخرى</w:t>
      </w:r>
    </w:p>
    <w:p w:rsidR="008F1E70" w:rsidRPr="00626327" w:rsidRDefault="008F1E70" w:rsidP="00995C87">
      <w:pPr>
        <w:pStyle w:val="SingleTxtGA"/>
        <w:rPr>
          <w:b/>
          <w:bCs/>
          <w:rtl/>
          <w:lang w:eastAsia="zh-TW"/>
        </w:rPr>
      </w:pPr>
      <w:r>
        <w:rPr>
          <w:rtl/>
          <w:lang w:eastAsia="zh-TW"/>
        </w:rPr>
        <w:t>٣٩-</w:t>
      </w:r>
      <w:r>
        <w:rPr>
          <w:rtl/>
          <w:lang w:eastAsia="zh-TW"/>
        </w:rPr>
        <w:tab/>
      </w:r>
      <w:r w:rsidRPr="00626327">
        <w:rPr>
          <w:b/>
          <w:bCs/>
          <w:rtl/>
          <w:lang w:eastAsia="zh-TW"/>
        </w:rPr>
        <w:t>إذ تضع اللجنة في اعتبارها عدم قابلية حقوق الإنسان للتجزئة، تشجع الدولة الطرف على النظر في التصديق على المعاهدات الدولية لحقوق الإنسان الدولية التي لم</w:t>
      </w:r>
      <w:r w:rsidR="00995C87">
        <w:rPr>
          <w:rFonts w:hint="cs"/>
          <w:b/>
          <w:bCs/>
          <w:rtl/>
          <w:lang w:eastAsia="zh-TW"/>
        </w:rPr>
        <w:t> </w:t>
      </w:r>
      <w:r w:rsidRPr="00626327">
        <w:rPr>
          <w:b/>
          <w:bCs/>
          <w:rtl/>
          <w:lang w:eastAsia="zh-TW"/>
        </w:rPr>
        <w:t>تصدق عليها بعدُ، ولا سيما المعاهدات ذات الأحكام التي لها صلة مباشرة بالجماعات التي قد تتعرض للتمييز العنصري، بما في ذلك الاتفاقية الدولية لحماية جميع الأشخاص من الاختفاء القسري والاتفاقية الدولية لحماية حقوق جميع العمال المهاجرين وأفراد أسرهم.</w:t>
      </w:r>
    </w:p>
    <w:p w:rsidR="008F1E70" w:rsidRPr="006F29F0" w:rsidRDefault="008F1E70" w:rsidP="008F1E70">
      <w:pPr>
        <w:pStyle w:val="H23GA"/>
        <w:rPr>
          <w:rtl/>
        </w:rPr>
      </w:pPr>
      <w:r>
        <w:tab/>
      </w:r>
      <w:r>
        <w:tab/>
      </w:r>
      <w:r w:rsidRPr="006F29F0">
        <w:rPr>
          <w:rtl/>
        </w:rPr>
        <w:t>تعديل المادة ٨ من الاتفاقية</w:t>
      </w:r>
    </w:p>
    <w:p w:rsidR="008F1E70" w:rsidRPr="00626327" w:rsidRDefault="008F1E70" w:rsidP="008F1E70">
      <w:pPr>
        <w:pStyle w:val="SingleTxtGA"/>
        <w:rPr>
          <w:b/>
          <w:bCs/>
          <w:rtl/>
          <w:lang w:eastAsia="zh-TW"/>
        </w:rPr>
      </w:pPr>
      <w:r>
        <w:rPr>
          <w:rtl/>
          <w:lang w:eastAsia="zh-TW"/>
        </w:rPr>
        <w:t>٤٠-</w:t>
      </w:r>
      <w:r>
        <w:rPr>
          <w:rtl/>
          <w:lang w:eastAsia="zh-TW"/>
        </w:rPr>
        <w:tab/>
      </w:r>
      <w:r w:rsidRPr="00626327">
        <w:rPr>
          <w:b/>
          <w:bCs/>
          <w:rtl/>
          <w:lang w:eastAsia="zh-TW"/>
        </w:rPr>
        <w:t>توصي اللجنة الدولة الطرف بالتصديق على تعديل الفقرة 6 من المادة 8 من الاتفاقية، الذي اعتُمد في 15 كانون الثاني/يناير 1992 في الاجتماع الرابع عشر للدول الأطراف في الاتفاقية، وأقرته الجمعية العامة في قرارها 47/111.</w:t>
      </w:r>
    </w:p>
    <w:p w:rsidR="008F1E70" w:rsidRPr="0096600E" w:rsidRDefault="008F1E70" w:rsidP="008F1E70">
      <w:pPr>
        <w:pStyle w:val="H23GA"/>
        <w:rPr>
          <w:rtl/>
        </w:rPr>
      </w:pPr>
      <w:r>
        <w:rPr>
          <w:rtl/>
        </w:rPr>
        <w:tab/>
      </w:r>
      <w:r>
        <w:rPr>
          <w:rtl/>
        </w:rPr>
        <w:tab/>
      </w:r>
      <w:r w:rsidRPr="006F29F0">
        <w:rPr>
          <w:rtl/>
        </w:rPr>
        <w:t>الإعلان المنصوص عليه في المادة 14 من الاتفاقية</w:t>
      </w:r>
      <w:r>
        <w:rPr>
          <w:rFonts w:cs="Times New Roman" w:hint="cs"/>
          <w:rtl/>
        </w:rPr>
        <w:t>‬</w:t>
      </w:r>
    </w:p>
    <w:p w:rsidR="008F1E70" w:rsidRPr="00626327" w:rsidRDefault="008F1E70" w:rsidP="008F1E70">
      <w:pPr>
        <w:pStyle w:val="SingleTxtGA"/>
        <w:rPr>
          <w:b/>
          <w:bCs/>
          <w:rtl/>
          <w:lang w:eastAsia="zh-TW"/>
        </w:rPr>
      </w:pPr>
      <w:r>
        <w:rPr>
          <w:rtl/>
          <w:lang w:eastAsia="zh-TW"/>
        </w:rPr>
        <w:t>٤١-</w:t>
      </w:r>
      <w:r>
        <w:rPr>
          <w:rtl/>
          <w:lang w:eastAsia="zh-TW"/>
        </w:rPr>
        <w:tab/>
      </w:r>
      <w:r w:rsidRPr="00626327">
        <w:rPr>
          <w:b/>
          <w:bCs/>
          <w:rtl/>
          <w:lang w:eastAsia="zh-TW"/>
        </w:rPr>
        <w:t>تشجع اللجنة الدولة الطرف على إصدار الإعلان الاختياري المنصوص عليه في المادة</w:t>
      </w:r>
      <w:r w:rsidRPr="00626327">
        <w:rPr>
          <w:rFonts w:hint="cs"/>
          <w:b/>
          <w:bCs/>
          <w:rtl/>
          <w:lang w:eastAsia="zh-TW"/>
        </w:rPr>
        <w:t> </w:t>
      </w:r>
      <w:r w:rsidRPr="00626327">
        <w:rPr>
          <w:b/>
          <w:bCs/>
          <w:rtl/>
          <w:lang w:eastAsia="zh-TW"/>
        </w:rPr>
        <w:t>14 من الاتفاقية والاعتراف بذلك باختصاص اللجنة في تلقي الشكاوى من الأفراد والنظر فيها.</w:t>
      </w:r>
    </w:p>
    <w:p w:rsidR="008F1E70" w:rsidRPr="006F29F0" w:rsidRDefault="008F1E70" w:rsidP="008F1E70">
      <w:pPr>
        <w:pStyle w:val="H23GA"/>
        <w:rPr>
          <w:rtl/>
        </w:rPr>
      </w:pPr>
      <w:r>
        <w:tab/>
      </w:r>
      <w:r>
        <w:tab/>
      </w:r>
      <w:r w:rsidRPr="006F29F0">
        <w:rPr>
          <w:rtl/>
        </w:rPr>
        <w:t>متابعة إعلان وبرنامج عمل ديربان</w:t>
      </w:r>
    </w:p>
    <w:p w:rsidR="008F1E70" w:rsidRPr="00626327" w:rsidRDefault="008F1E70" w:rsidP="0055200C">
      <w:pPr>
        <w:pStyle w:val="SingleTxtGA"/>
        <w:rPr>
          <w:b/>
          <w:bCs/>
          <w:rtl/>
          <w:lang w:eastAsia="zh-TW"/>
        </w:rPr>
      </w:pPr>
      <w:r>
        <w:rPr>
          <w:rtl/>
          <w:lang w:eastAsia="zh-TW"/>
        </w:rPr>
        <w:t>٤٢-</w:t>
      </w:r>
      <w:r>
        <w:rPr>
          <w:rtl/>
          <w:lang w:eastAsia="zh-TW"/>
        </w:rPr>
        <w:tab/>
      </w:r>
      <w:r w:rsidRPr="00626327">
        <w:rPr>
          <w:b/>
          <w:bCs/>
          <w:rtl/>
          <w:lang w:eastAsia="zh-TW"/>
        </w:rPr>
        <w:t>تحيط اللجنة علم</w:t>
      </w:r>
      <w:r w:rsidR="0055200C" w:rsidRPr="00626327">
        <w:rPr>
          <w:b/>
          <w:bCs/>
          <w:rtl/>
          <w:lang w:eastAsia="zh-TW"/>
        </w:rPr>
        <w:t xml:space="preserve">اً </w:t>
      </w:r>
      <w:r w:rsidRPr="00626327">
        <w:rPr>
          <w:b/>
          <w:bCs/>
          <w:rtl/>
          <w:lang w:eastAsia="zh-TW"/>
        </w:rPr>
        <w:t xml:space="preserve">بالمعلومات التي قدّمتها الدولة الطرف بشأن التدابير التي اتخذتها لتنفيذ إعلان وبرنامج عمل ديربان اللذين اعتمدهما المؤتمر العالمي لمناهضة العنصرية والتمييز العنصري وكره الأجانب وما يتصل بذلك من تعصب </w:t>
      </w:r>
      <w:r w:rsidR="0055200C" w:rsidRPr="00626327">
        <w:rPr>
          <w:rFonts w:hint="cs"/>
          <w:b/>
          <w:bCs/>
          <w:rtl/>
          <w:lang w:eastAsia="zh-TW"/>
        </w:rPr>
        <w:t>(2001</w:t>
      </w:r>
      <w:r w:rsidRPr="00626327">
        <w:rPr>
          <w:b/>
          <w:bCs/>
          <w:rtl/>
          <w:lang w:eastAsia="zh-TW"/>
        </w:rPr>
        <w:t>)، وتشجعها على مواصلة هذه الجهود وتقديم التقارير في هذا الصدد.</w:t>
      </w:r>
    </w:p>
    <w:p w:rsidR="008F1E70" w:rsidRPr="006F29F0" w:rsidRDefault="008F1E70" w:rsidP="008F1E70">
      <w:pPr>
        <w:pStyle w:val="H23GA"/>
        <w:rPr>
          <w:rtl/>
        </w:rPr>
      </w:pPr>
      <w:r>
        <w:tab/>
      </w:r>
      <w:r>
        <w:tab/>
      </w:r>
      <w:r w:rsidRPr="006F29F0">
        <w:rPr>
          <w:rtl/>
        </w:rPr>
        <w:t xml:space="preserve">العقد الدولي للمنحدرين من أصل أفريقي </w:t>
      </w:r>
    </w:p>
    <w:p w:rsidR="008F1E70" w:rsidRPr="00626327" w:rsidRDefault="008F1E70" w:rsidP="00626327">
      <w:pPr>
        <w:pStyle w:val="SingleTxtGA"/>
        <w:rPr>
          <w:b/>
          <w:bCs/>
          <w:rtl/>
          <w:lang w:eastAsia="zh-TW"/>
        </w:rPr>
      </w:pPr>
      <w:r>
        <w:rPr>
          <w:rtl/>
          <w:lang w:eastAsia="zh-TW"/>
        </w:rPr>
        <w:t>٤٣</w:t>
      </w:r>
      <w:r w:rsidRPr="00626327">
        <w:rPr>
          <w:spacing w:val="6"/>
          <w:rtl/>
          <w:lang w:eastAsia="zh-TW"/>
        </w:rPr>
        <w:t>-</w:t>
      </w:r>
      <w:r w:rsidRPr="00626327">
        <w:rPr>
          <w:spacing w:val="6"/>
          <w:rtl/>
          <w:lang w:eastAsia="zh-TW"/>
        </w:rPr>
        <w:tab/>
      </w:r>
      <w:r w:rsidRPr="00626327">
        <w:rPr>
          <w:b/>
          <w:bCs/>
          <w:spacing w:val="6"/>
          <w:rtl/>
          <w:lang w:eastAsia="zh-TW"/>
        </w:rPr>
        <w:t xml:space="preserve">في ضوء قرار الجمعية العامة 68/237 الذي أعلنت فيه الجمعية </w:t>
      </w:r>
      <w:r w:rsidRPr="00626327">
        <w:rPr>
          <w:rFonts w:ascii="Times New Roman Bold" w:hAnsi="Times New Roman Bold"/>
          <w:b/>
          <w:bCs/>
          <w:spacing w:val="-4"/>
          <w:rtl/>
          <w:lang w:eastAsia="zh-TW"/>
        </w:rPr>
        <w:t>الفترة</w:t>
      </w:r>
      <w:r w:rsidR="00626327" w:rsidRPr="00626327">
        <w:rPr>
          <w:rFonts w:ascii="Times New Roman Bold" w:hAnsi="Times New Roman Bold" w:hint="cs"/>
          <w:b/>
          <w:bCs/>
          <w:spacing w:val="-4"/>
          <w:rtl/>
          <w:lang w:eastAsia="zh-TW"/>
        </w:rPr>
        <w:t> </w:t>
      </w:r>
      <w:r w:rsidRPr="00626327">
        <w:rPr>
          <w:rFonts w:ascii="Times New Roman Bold" w:hAnsi="Times New Roman Bold"/>
          <w:b/>
          <w:bCs/>
          <w:spacing w:val="-4"/>
          <w:rtl/>
          <w:lang w:eastAsia="zh-TW"/>
        </w:rPr>
        <w:t>٢٠١٥-٢٠٢٤ عقداً دولياً للمنحدرين من أصل أفريقي، وقرار الجمعية ١٦/٦٩ بشأن</w:t>
      </w:r>
      <w:r w:rsidRPr="00626327">
        <w:rPr>
          <w:b/>
          <w:bCs/>
          <w:rtl/>
          <w:lang w:eastAsia="zh-TW"/>
        </w:rPr>
        <w:t xml:space="preserve"> برنامج الأنشطة لتنفيذ العقد، تطلب اللجنة إلى الدولة الطرف أن تدرج في تقريرها الدوري المقبل معلومات دقيقة عن التدابير الملموسة المعتمدة في ذلك الإطار، مع مراعاة توصيتها العامة رقم</w:t>
      </w:r>
      <w:r w:rsidRPr="00626327">
        <w:rPr>
          <w:rFonts w:hint="cs"/>
          <w:b/>
          <w:bCs/>
          <w:rtl/>
          <w:lang w:eastAsia="zh-TW"/>
        </w:rPr>
        <w:t> </w:t>
      </w:r>
      <w:r w:rsidRPr="00626327">
        <w:rPr>
          <w:b/>
          <w:bCs/>
          <w:rtl/>
          <w:lang w:eastAsia="zh-TW"/>
        </w:rPr>
        <w:t>٣٤(٢٠١١) بشأن التمييز العنصري ضد المنحدرين من أصل أفريقي.</w:t>
      </w:r>
    </w:p>
    <w:p w:rsidR="008F1E70" w:rsidRPr="004E1649" w:rsidRDefault="008F1E70" w:rsidP="008F1E70">
      <w:pPr>
        <w:pStyle w:val="H23GA"/>
        <w:rPr>
          <w:rtl/>
        </w:rPr>
      </w:pPr>
      <w:r>
        <w:lastRenderedPageBreak/>
        <w:tab/>
      </w:r>
      <w:r>
        <w:tab/>
      </w:r>
      <w:r w:rsidRPr="004E1649">
        <w:rPr>
          <w:rtl/>
        </w:rPr>
        <w:t>التشاور مع المجتمع المدني</w:t>
      </w:r>
    </w:p>
    <w:p w:rsidR="008F1E70" w:rsidRPr="00626327" w:rsidRDefault="008F1E70" w:rsidP="008F1E70">
      <w:pPr>
        <w:pStyle w:val="SingleTxtGA"/>
        <w:rPr>
          <w:b/>
          <w:bCs/>
          <w:rtl/>
          <w:lang w:eastAsia="zh-TW"/>
        </w:rPr>
      </w:pPr>
      <w:r>
        <w:rPr>
          <w:rtl/>
          <w:lang w:eastAsia="zh-TW"/>
        </w:rPr>
        <w:t>٤٤-</w:t>
      </w:r>
      <w:r>
        <w:rPr>
          <w:rtl/>
          <w:lang w:eastAsia="zh-TW"/>
        </w:rPr>
        <w:tab/>
      </w:r>
      <w:r w:rsidRPr="00626327">
        <w:rPr>
          <w:b/>
          <w:bCs/>
          <w:rtl/>
          <w:lang w:eastAsia="zh-TW"/>
        </w:rPr>
        <w:t>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w:t>
      </w:r>
    </w:p>
    <w:p w:rsidR="008F1E70" w:rsidRPr="004E1649" w:rsidRDefault="008F1E70" w:rsidP="008F1E70">
      <w:pPr>
        <w:pStyle w:val="H23GA"/>
        <w:rPr>
          <w:rtl/>
        </w:rPr>
      </w:pPr>
      <w:r>
        <w:tab/>
      </w:r>
      <w:r>
        <w:tab/>
      </w:r>
      <w:r w:rsidRPr="004E1649">
        <w:rPr>
          <w:rtl/>
        </w:rPr>
        <w:t>نشر المعلومات</w:t>
      </w:r>
    </w:p>
    <w:p w:rsidR="008F1E70" w:rsidRPr="00626327" w:rsidRDefault="008F1E70" w:rsidP="008F1E70">
      <w:pPr>
        <w:pStyle w:val="SingleTxtGA"/>
        <w:rPr>
          <w:b/>
          <w:bCs/>
          <w:rtl/>
          <w:lang w:eastAsia="zh-TW"/>
        </w:rPr>
      </w:pPr>
      <w:r>
        <w:rPr>
          <w:rtl/>
          <w:lang w:eastAsia="zh-TW"/>
        </w:rPr>
        <w:t>٤٥-</w:t>
      </w:r>
      <w:r>
        <w:rPr>
          <w:rtl/>
          <w:lang w:eastAsia="zh-TW"/>
        </w:rPr>
        <w:tab/>
      </w:r>
      <w:r w:rsidRPr="00626327">
        <w:rPr>
          <w:b/>
          <w:bCs/>
          <w:rtl/>
          <w:lang w:eastAsia="zh-TW"/>
        </w:rPr>
        <w:t>توصي اللجنة الدولة الطرف بإتاحة تقاريرها لعامة الجمهور وتيسير الاطلاع عليها وقت تقديمها، وبنشر الملاحظات الختامية للجنة المتعلقة بتلك التقارير باللغات الرسمية وغيرها من اللغات الشائع استخدامها في البلد، حسب الاقتضاء.</w:t>
      </w:r>
    </w:p>
    <w:p w:rsidR="008F1E70" w:rsidRPr="004E1649" w:rsidRDefault="008F1E70" w:rsidP="008F1E70">
      <w:pPr>
        <w:pStyle w:val="H23GA"/>
        <w:rPr>
          <w:rtl/>
        </w:rPr>
      </w:pPr>
      <w:r>
        <w:tab/>
      </w:r>
      <w:r>
        <w:tab/>
      </w:r>
      <w:r w:rsidRPr="004E1649">
        <w:rPr>
          <w:rtl/>
        </w:rPr>
        <w:t>وثيقة أساسية موحدة</w:t>
      </w:r>
    </w:p>
    <w:p w:rsidR="008F1E70" w:rsidRPr="0096600E" w:rsidRDefault="008F1E70" w:rsidP="00995C87">
      <w:pPr>
        <w:pStyle w:val="SingleTxtGA"/>
        <w:spacing w:line="360" w:lineRule="exact"/>
        <w:rPr>
          <w:b/>
          <w:bCs/>
          <w:rtl/>
          <w:lang w:eastAsia="zh-TW"/>
        </w:rPr>
      </w:pPr>
      <w:r>
        <w:rPr>
          <w:rtl/>
          <w:lang w:eastAsia="zh-TW"/>
        </w:rPr>
        <w:t>٤٦-</w:t>
      </w:r>
      <w:r>
        <w:rPr>
          <w:rtl/>
          <w:lang w:eastAsia="zh-TW"/>
        </w:rPr>
        <w:tab/>
      </w:r>
      <w:r w:rsidRPr="00626327">
        <w:rPr>
          <w:b/>
          <w:bCs/>
          <w:rtl/>
          <w:lang w:eastAsia="zh-TW"/>
        </w:rPr>
        <w:t>إذ تلاحظ اللجنة أن الدولة الطرف قدمت وثيقتها الأساسية الموحدة في عام</w:t>
      </w:r>
      <w:r w:rsidR="00626327">
        <w:rPr>
          <w:rFonts w:hint="cs"/>
          <w:b/>
          <w:bCs/>
          <w:rtl/>
          <w:lang w:eastAsia="zh-TW"/>
        </w:rPr>
        <w:t> </w:t>
      </w:r>
      <w:r w:rsidRPr="00626327">
        <w:rPr>
          <w:b/>
          <w:bCs/>
          <w:rtl/>
          <w:lang w:eastAsia="zh-TW"/>
        </w:rPr>
        <w:t>1994 (</w:t>
      </w:r>
      <w:r w:rsidRPr="00626327">
        <w:rPr>
          <w:b/>
          <w:bCs/>
          <w:lang w:eastAsia="zh-TW"/>
        </w:rPr>
        <w:t>HRI/CORE/1/Add.42</w:t>
      </w:r>
      <w:r w:rsidRPr="00626327">
        <w:rPr>
          <w:b/>
          <w:bCs/>
          <w:rtl/>
          <w:lang w:eastAsia="zh-TW"/>
        </w:rPr>
        <w:t>) فإنها تشجّعها على تحديث وثيقتها الأساسية الموحّدة وفقاً للمبادئ التوجيهية المنسّقة لتقديم التقارير بموجب المعاهدات الدولية لحقوق الإنسان، ولا سيما المبادئ التوجيهية لتقديم وثيقة أساسية موحدة، التي اعتُمدت في الاجتماع الخامس المشترك بين لجان هيئات معاهدات حقوق الإنسان المعقود في حزيران/يونيه 2006 (</w:t>
      </w:r>
      <w:r w:rsidRPr="00626327">
        <w:rPr>
          <w:b/>
          <w:bCs/>
          <w:lang w:eastAsia="zh-TW"/>
        </w:rPr>
        <w:t>HRI/GEN</w:t>
      </w:r>
      <w:r w:rsidR="00995C87">
        <w:rPr>
          <w:b/>
          <w:bCs/>
          <w:lang w:eastAsia="zh-TW"/>
        </w:rPr>
        <w:t>.</w:t>
      </w:r>
      <w:r w:rsidRPr="00626327">
        <w:rPr>
          <w:b/>
          <w:bCs/>
          <w:lang w:eastAsia="zh-TW"/>
        </w:rPr>
        <w:t>2/Rev.6</w:t>
      </w:r>
      <w:r w:rsidRPr="00626327">
        <w:rPr>
          <w:b/>
          <w:bCs/>
          <w:rtl/>
          <w:lang w:eastAsia="zh-TW"/>
        </w:rPr>
        <w:t>، الفصل الأول). وفي ضوء قرار الجمعية العامة</w:t>
      </w:r>
      <w:r w:rsidR="00626327">
        <w:rPr>
          <w:rFonts w:hint="cs"/>
          <w:b/>
          <w:bCs/>
          <w:rtl/>
          <w:lang w:eastAsia="zh-TW"/>
        </w:rPr>
        <w:t> </w:t>
      </w:r>
      <w:r w:rsidRPr="00626327">
        <w:rPr>
          <w:b/>
          <w:bCs/>
          <w:rtl/>
          <w:lang w:eastAsia="zh-TW"/>
        </w:rPr>
        <w:t>68/268، تحث اللجنــة الدولة الطــرف علــى التقيّـــد بالحــد الأقصــى لعــدد الكلمــات في هذه الوثائق، وهو 400 42 كلمة.</w:t>
      </w:r>
    </w:p>
    <w:p w:rsidR="008F1E70" w:rsidRPr="004E1649" w:rsidRDefault="008F1E70" w:rsidP="008F1E70">
      <w:pPr>
        <w:pStyle w:val="H23GA"/>
        <w:rPr>
          <w:rtl/>
        </w:rPr>
      </w:pPr>
      <w:r>
        <w:tab/>
      </w:r>
      <w:r>
        <w:tab/>
      </w:r>
      <w:r w:rsidRPr="004E1649">
        <w:rPr>
          <w:rtl/>
        </w:rPr>
        <w:t>متابعة هذه الملاحظات الختامية</w:t>
      </w:r>
    </w:p>
    <w:p w:rsidR="008F1E70" w:rsidRPr="00626327" w:rsidRDefault="008F1E70" w:rsidP="00995C87">
      <w:pPr>
        <w:pStyle w:val="SingleTxtGA"/>
        <w:spacing w:line="360" w:lineRule="exact"/>
        <w:rPr>
          <w:rFonts w:ascii="Times New Roman Bold" w:hAnsi="Times New Roman Bold"/>
          <w:b/>
          <w:bCs/>
          <w:spacing w:val="-4"/>
          <w:rtl/>
          <w:lang w:eastAsia="zh-TW"/>
        </w:rPr>
      </w:pPr>
      <w:r>
        <w:rPr>
          <w:rtl/>
          <w:lang w:eastAsia="zh-TW"/>
        </w:rPr>
        <w:t>٤٧-</w:t>
      </w:r>
      <w:r>
        <w:rPr>
          <w:rtl/>
          <w:lang w:eastAsia="zh-TW"/>
        </w:rPr>
        <w:tab/>
      </w:r>
      <w:r w:rsidRPr="00626327">
        <w:rPr>
          <w:b/>
          <w:bCs/>
          <w:rtl/>
          <w:lang w:eastAsia="zh-TW"/>
        </w:rPr>
        <w:t>تطلب اللجنة إلى الدولة الطرف، وفق</w:t>
      </w:r>
      <w:r w:rsidR="0055200C" w:rsidRPr="00626327">
        <w:rPr>
          <w:b/>
          <w:bCs/>
          <w:rtl/>
          <w:lang w:eastAsia="zh-TW"/>
        </w:rPr>
        <w:t xml:space="preserve">اً </w:t>
      </w:r>
      <w:r w:rsidRPr="00626327">
        <w:rPr>
          <w:b/>
          <w:bCs/>
          <w:rtl/>
          <w:lang w:eastAsia="zh-TW"/>
        </w:rPr>
        <w:t>للفقرة (1</w:t>
      </w:r>
      <w:r w:rsidR="00995C87">
        <w:rPr>
          <w:rFonts w:hint="cs"/>
          <w:b/>
          <w:bCs/>
          <w:rtl/>
          <w:lang w:eastAsia="zh-TW"/>
        </w:rPr>
        <w:t>)</w:t>
      </w:r>
      <w:r w:rsidRPr="00626327">
        <w:rPr>
          <w:b/>
          <w:bCs/>
          <w:rtl/>
          <w:lang w:eastAsia="zh-TW"/>
        </w:rPr>
        <w:t xml:space="preserve"> من المادة 9 من الاتفاقية </w:t>
      </w:r>
      <w:r w:rsidRPr="00626327">
        <w:rPr>
          <w:rFonts w:ascii="Times New Roman Bold" w:hAnsi="Times New Roman Bold"/>
          <w:b/>
          <w:bCs/>
          <w:spacing w:val="-4"/>
          <w:rtl/>
          <w:lang w:eastAsia="zh-TW"/>
        </w:rPr>
        <w:t>والمادة</w:t>
      </w:r>
      <w:r w:rsidRPr="00626327">
        <w:rPr>
          <w:rFonts w:ascii="Times New Roman Bold" w:hAnsi="Times New Roman Bold" w:hint="cs"/>
          <w:b/>
          <w:bCs/>
          <w:spacing w:val="-4"/>
          <w:rtl/>
          <w:lang w:eastAsia="zh-TW"/>
        </w:rPr>
        <w:t> </w:t>
      </w:r>
      <w:r w:rsidRPr="00626327">
        <w:rPr>
          <w:rFonts w:ascii="Times New Roman Bold" w:hAnsi="Times New Roman Bold"/>
          <w:b/>
          <w:bCs/>
          <w:spacing w:val="-4"/>
          <w:rtl/>
          <w:lang w:eastAsia="zh-TW"/>
        </w:rPr>
        <w:t>65 من نظامها الداخلي، أن تقدم إليها، في غضون سنة واحدة من اعتماد هذه الملاحظات الختامية، معلومات عن تنفيذها للتوصيات الواردة في الفقرتين 10 و21 أعلاه.</w:t>
      </w:r>
      <w:r w:rsidRPr="00626327">
        <w:rPr>
          <w:rFonts w:ascii="Times New Roman Bold" w:hAnsi="Times New Roman Bold" w:cs="Times New Roman" w:hint="cs"/>
          <w:b/>
          <w:bCs/>
          <w:spacing w:val="-4"/>
          <w:rtl/>
          <w:lang w:eastAsia="zh-TW"/>
        </w:rPr>
        <w:t>‬</w:t>
      </w:r>
      <w:r w:rsidRPr="00626327">
        <w:rPr>
          <w:rFonts w:ascii="Times New Roman Bold" w:hAnsi="Times New Roman Bold"/>
          <w:b/>
          <w:bCs/>
          <w:spacing w:val="-4"/>
          <w:rtl/>
          <w:lang w:eastAsia="zh-TW"/>
        </w:rPr>
        <w:t xml:space="preserve"> </w:t>
      </w:r>
    </w:p>
    <w:p w:rsidR="008F1E70" w:rsidRPr="004E1649" w:rsidRDefault="008F1E70" w:rsidP="008F1E70">
      <w:pPr>
        <w:pStyle w:val="H23GA"/>
        <w:rPr>
          <w:rtl/>
        </w:rPr>
      </w:pPr>
      <w:r>
        <w:tab/>
      </w:r>
      <w:r>
        <w:tab/>
      </w:r>
      <w:r w:rsidRPr="004E1649">
        <w:rPr>
          <w:rtl/>
        </w:rPr>
        <w:t>الفقرات ذات الأهمية الخاصة</w:t>
      </w:r>
    </w:p>
    <w:p w:rsidR="008F1E70" w:rsidRPr="0096600E" w:rsidRDefault="008F1E70" w:rsidP="00626327">
      <w:pPr>
        <w:pStyle w:val="SingleTxtGA"/>
        <w:spacing w:line="360" w:lineRule="exact"/>
        <w:rPr>
          <w:b/>
          <w:bCs/>
          <w:rtl/>
          <w:lang w:eastAsia="zh-TW"/>
        </w:rPr>
      </w:pPr>
      <w:r>
        <w:rPr>
          <w:rtl/>
          <w:lang w:eastAsia="zh-TW"/>
        </w:rPr>
        <w:t>٤٨-</w:t>
      </w:r>
      <w:r>
        <w:rPr>
          <w:rtl/>
          <w:lang w:eastAsia="zh-TW"/>
        </w:rPr>
        <w:tab/>
      </w:r>
      <w:r w:rsidRPr="00626327">
        <w:rPr>
          <w:b/>
          <w:bCs/>
          <w:rtl/>
          <w:lang w:eastAsia="zh-TW"/>
        </w:rPr>
        <w:t xml:space="preserve">تود اللجنة أن توجه انتباه الدولة الطرف إلى الأهمية الخاصة للتوصيات الواردة في الفقرات 12 و23 و28 و36 أعلاه، وتطلب إلى الدول الطرف أن تقدم في تقريرها الدوري المقبل معلومات مفصلة عن التدابير الملموسة المتخذة لتنفيذ هذه التوصيات. </w:t>
      </w:r>
    </w:p>
    <w:p w:rsidR="008F1E70" w:rsidRPr="00CF3EF8" w:rsidRDefault="008F1E70" w:rsidP="008F1E70">
      <w:pPr>
        <w:pStyle w:val="H23GA"/>
        <w:rPr>
          <w:rtl/>
        </w:rPr>
      </w:pPr>
      <w:r>
        <w:tab/>
      </w:r>
      <w:r>
        <w:tab/>
      </w:r>
      <w:r w:rsidRPr="00CF3EF8">
        <w:rPr>
          <w:rtl/>
        </w:rPr>
        <w:t>إعداد التقرير الدوري المقبل</w:t>
      </w:r>
    </w:p>
    <w:p w:rsidR="008F1E70" w:rsidRPr="00626327" w:rsidRDefault="008F1E70" w:rsidP="00626327">
      <w:pPr>
        <w:pStyle w:val="SingleTxtGA"/>
        <w:spacing w:line="360" w:lineRule="exact"/>
        <w:rPr>
          <w:b/>
          <w:bCs/>
          <w:spacing w:val="-4"/>
          <w:rtl/>
          <w:lang w:eastAsia="zh-TW"/>
        </w:rPr>
      </w:pPr>
      <w:r>
        <w:rPr>
          <w:rtl/>
          <w:lang w:eastAsia="zh-TW"/>
        </w:rPr>
        <w:t>٤٩-</w:t>
      </w:r>
      <w:r w:rsidRPr="00626327">
        <w:rPr>
          <w:b/>
          <w:bCs/>
          <w:rtl/>
          <w:lang w:eastAsia="zh-TW"/>
        </w:rPr>
        <w:tab/>
        <w:t xml:space="preserve">توصي اللجنة الدولة الطرف بأن تقدّم تقريرها الجامع للتقريرين الدوريين الرابع والعشرين والخامس والعشرين، في وثيقة واحدة، بحلول 1 آذار/مارس 2022، مع مراعاة المبادئ </w:t>
      </w:r>
      <w:r w:rsidRPr="00626327">
        <w:rPr>
          <w:b/>
          <w:bCs/>
          <w:spacing w:val="-4"/>
          <w:rtl/>
          <w:lang w:eastAsia="zh-TW"/>
        </w:rPr>
        <w:t>التوجيهية لتقديم التقارير التي اعتمدتها اللجنة أثناء دورتها الحادية والسبعين (</w:t>
      </w:r>
      <w:r w:rsidRPr="00626327">
        <w:rPr>
          <w:b/>
          <w:bCs/>
          <w:spacing w:val="-4"/>
          <w:szCs w:val="20"/>
          <w:lang w:eastAsia="zh-TW"/>
        </w:rPr>
        <w:t>CERD/C/2007/1</w:t>
      </w:r>
      <w:r w:rsidRPr="00626327">
        <w:rPr>
          <w:b/>
          <w:bCs/>
          <w:spacing w:val="-4"/>
          <w:rtl/>
          <w:lang w:eastAsia="zh-TW"/>
        </w:rPr>
        <w:t>)، ومعالجة جميع النقاط المثارة في هذه الملاحظات الختامية. وفي ضوء قرار الجمعية العامة 68/268، تحث اللجنة الدولة الطرف على التقيد بالحد الأقصى لعدد الكلمات البالغ 200 21 كلمة للتقارير الدورية.</w:t>
      </w:r>
    </w:p>
    <w:p w:rsidR="00B54045" w:rsidRPr="008F1E70" w:rsidRDefault="008F1E70" w:rsidP="008F1E70">
      <w:pPr>
        <w:spacing w:before="120"/>
        <w:jc w:val="center"/>
        <w:rPr>
          <w:u w:val="single"/>
          <w:rtl/>
          <w:lang w:bidi="ar-DZ"/>
        </w:rPr>
      </w:pPr>
      <w:r>
        <w:rPr>
          <w:u w:val="single"/>
          <w:rtl/>
          <w:lang w:bidi="ar-DZ"/>
        </w:rPr>
        <w:tab/>
      </w:r>
      <w:r>
        <w:rPr>
          <w:u w:val="single"/>
          <w:rtl/>
          <w:lang w:bidi="ar-DZ"/>
        </w:rPr>
        <w:tab/>
      </w:r>
      <w:r>
        <w:rPr>
          <w:u w:val="single"/>
          <w:rtl/>
          <w:lang w:bidi="ar-DZ"/>
        </w:rPr>
        <w:tab/>
      </w:r>
    </w:p>
    <w:sectPr w:rsidR="00B54045" w:rsidRPr="008F1E70" w:rsidSect="00A5110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4D" w:rsidRPr="002901D9" w:rsidRDefault="0065744D" w:rsidP="002901D9">
      <w:pPr>
        <w:spacing w:after="60" w:line="240" w:lineRule="auto"/>
        <w:rPr>
          <w:i/>
          <w:iCs/>
        </w:rPr>
      </w:pPr>
      <w:r>
        <w:rPr>
          <w:rFonts w:hint="cs"/>
          <w:i/>
          <w:iCs/>
          <w:rtl/>
        </w:rPr>
        <w:t>الحواشي</w:t>
      </w:r>
    </w:p>
  </w:endnote>
  <w:endnote w:type="continuationSeparator" w:id="0">
    <w:p w:rsidR="0065744D" w:rsidRDefault="0065744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7" w:rsidRPr="008F1E70" w:rsidRDefault="008F1E70" w:rsidP="008F1E70">
    <w:pPr>
      <w:pStyle w:val="Footer"/>
      <w:tabs>
        <w:tab w:val="right" w:pos="9598"/>
      </w:tabs>
      <w:rPr>
        <w:sz w:val="17"/>
      </w:rPr>
    </w:pPr>
    <w:r>
      <w:rPr>
        <w:sz w:val="17"/>
      </w:rPr>
      <w:t>GE.18-08528</w:t>
    </w:r>
    <w:r>
      <w:rPr>
        <w:sz w:val="17"/>
      </w:rPr>
      <w:tab/>
    </w:r>
    <w:r w:rsidRPr="008F1E70">
      <w:rPr>
        <w:b/>
        <w:sz w:val="18"/>
      </w:rPr>
      <w:fldChar w:fldCharType="begin"/>
    </w:r>
    <w:r w:rsidRPr="008F1E70">
      <w:rPr>
        <w:b/>
        <w:sz w:val="18"/>
      </w:rPr>
      <w:instrText xml:space="preserve"> PAGE  \* MERGEFORMAT </w:instrText>
    </w:r>
    <w:r w:rsidRPr="008F1E70">
      <w:rPr>
        <w:b/>
        <w:sz w:val="18"/>
      </w:rPr>
      <w:fldChar w:fldCharType="separate"/>
    </w:r>
    <w:r w:rsidR="004F5C75">
      <w:rPr>
        <w:b/>
        <w:noProof/>
        <w:sz w:val="18"/>
      </w:rPr>
      <w:t>2</w:t>
    </w:r>
    <w:r w:rsidRPr="008F1E7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8F1E70" w:rsidRDefault="008F1E70" w:rsidP="006959B0">
    <w:pPr>
      <w:pStyle w:val="Footer"/>
      <w:tabs>
        <w:tab w:val="right" w:pos="9599"/>
      </w:tabs>
      <w:jc w:val="left"/>
      <w:rPr>
        <w:b/>
        <w:sz w:val="18"/>
        <w:lang w:val="en-US"/>
      </w:rPr>
    </w:pPr>
    <w:r w:rsidRPr="008F1E70">
      <w:rPr>
        <w:b/>
        <w:sz w:val="18"/>
        <w:lang w:val="en-US"/>
      </w:rPr>
      <w:fldChar w:fldCharType="begin"/>
    </w:r>
    <w:r w:rsidRPr="008F1E70">
      <w:rPr>
        <w:b/>
        <w:sz w:val="18"/>
        <w:lang w:val="en-US"/>
      </w:rPr>
      <w:instrText xml:space="preserve"> PAGE  \* MERGEFORMAT </w:instrText>
    </w:r>
    <w:r w:rsidRPr="008F1E70">
      <w:rPr>
        <w:b/>
        <w:sz w:val="18"/>
        <w:lang w:val="en-US"/>
      </w:rPr>
      <w:fldChar w:fldCharType="separate"/>
    </w:r>
    <w:r w:rsidR="004F5C75">
      <w:rPr>
        <w:b/>
        <w:noProof/>
        <w:sz w:val="18"/>
        <w:lang w:val="en-US"/>
      </w:rPr>
      <w:t>11</w:t>
    </w:r>
    <w:r w:rsidRPr="008F1E70">
      <w:rPr>
        <w:b/>
        <w:sz w:val="18"/>
        <w:lang w:val="en-US"/>
      </w:rPr>
      <w:fldChar w:fldCharType="end"/>
    </w:r>
    <w:r>
      <w:rPr>
        <w:b/>
        <w:sz w:val="18"/>
        <w:lang w:val="en-US"/>
      </w:rPr>
      <w:tab/>
    </w:r>
    <w:r>
      <w:rPr>
        <w:sz w:val="17"/>
        <w:lang w:val="en-US"/>
      </w:rPr>
      <w:t>GE.18-08528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A51107" w:rsidP="00F6741C">
    <w:pPr>
      <w:pStyle w:val="Footer"/>
      <w:spacing w:before="360"/>
      <w:jc w:val="right"/>
      <w:rPr>
        <w:sz w:val="20"/>
        <w:szCs w:val="20"/>
      </w:rPr>
    </w:pPr>
    <w:r>
      <w:rPr>
        <w:sz w:val="20"/>
        <w:szCs w:val="20"/>
      </w:rPr>
      <w:t>GE.18-08528</w:t>
    </w:r>
    <w:r w:rsidR="00FD4BC9">
      <w:rPr>
        <w:noProof/>
        <w:lang w:val="fr-CH" w:eastAsia="zh-CN"/>
      </w:rPr>
      <w:drawing>
        <wp:anchor distT="0" distB="0" distL="114300" distR="114300" simplePos="0" relativeHeight="251664384" behindDoc="1" locked="1" layoutInCell="0" allowOverlap="1" wp14:anchorId="485691B1" wp14:editId="3C200D1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A51107" w:rsidRPr="00A51107" w:rsidRDefault="00A51107" w:rsidP="00A51107">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4D" w:rsidRPr="0054762C" w:rsidRDefault="0065744D" w:rsidP="000E524A">
      <w:pPr>
        <w:pStyle w:val="Footer"/>
        <w:bidi/>
        <w:spacing w:after="80" w:line="200" w:lineRule="exact"/>
        <w:ind w:left="680"/>
      </w:pPr>
      <w:r>
        <w:rPr>
          <w:rtl/>
        </w:rPr>
        <w:t>__________</w:t>
      </w:r>
    </w:p>
  </w:footnote>
  <w:footnote w:type="continuationSeparator" w:id="0">
    <w:p w:rsidR="0065744D" w:rsidRDefault="0065744D" w:rsidP="00656392">
      <w:pPr>
        <w:spacing w:line="240" w:lineRule="auto"/>
      </w:pPr>
      <w:r>
        <w:continuationSeparator/>
      </w:r>
    </w:p>
  </w:footnote>
  <w:footnote w:id="1">
    <w:p w:rsidR="008F1E70" w:rsidRPr="008F1E70" w:rsidRDefault="008F1E70" w:rsidP="00995C87">
      <w:pPr>
        <w:pStyle w:val="FootnoteText1"/>
        <w:textDirection w:val="tbRlV"/>
        <w:rPr>
          <w:rtl/>
        </w:rPr>
      </w:pPr>
      <w:r>
        <w:rPr>
          <w:rtl/>
          <w:lang w:eastAsia="zh-TW"/>
        </w:rPr>
        <w:t>*</w:t>
      </w:r>
      <w:r>
        <w:rPr>
          <w:rtl/>
          <w:lang w:eastAsia="zh-TW"/>
        </w:rPr>
        <w:tab/>
      </w:r>
      <w:r w:rsidRPr="008F1E70">
        <w:rPr>
          <w:rtl/>
        </w:rPr>
        <w:t>اعتمدتها اللجنة في دورتها الخامسة والتسعين (</w:t>
      </w:r>
      <w:r w:rsidR="00995C87">
        <w:rPr>
          <w:rFonts w:hint="cs"/>
          <w:rtl/>
        </w:rPr>
        <w:t>23</w:t>
      </w:r>
      <w:r w:rsidR="00571A00">
        <w:rPr>
          <w:rFonts w:hint="cs"/>
          <w:rtl/>
        </w:rPr>
        <w:t xml:space="preserve"> </w:t>
      </w:r>
      <w:r w:rsidRPr="008F1E70">
        <w:rPr>
          <w:rtl/>
        </w:rPr>
        <w:t>نيسان/أبريل -</w:t>
      </w:r>
      <w:r w:rsidRPr="008F1E70">
        <w:rPr>
          <w:rFonts w:hint="cs"/>
          <w:rtl/>
        </w:rPr>
        <w:t xml:space="preserve"> </w:t>
      </w:r>
      <w:r w:rsidRPr="008F1E70">
        <w:rPr>
          <w:rtl/>
        </w:rPr>
        <w:t>11 أيار/مايو 2018).</w:t>
      </w:r>
      <w:r w:rsidRPr="008F1E70">
        <w:rPr>
          <w:rFonts w:cs="Times New Roman" w:hint="cs"/>
          <w:rtl/>
        </w:rPr>
        <w:t>‬</w:t>
      </w:r>
      <w:r w:rsidRPr="008F1E70">
        <w:t>‬</w:t>
      </w:r>
      <w:r w:rsidRPr="008F1E70">
        <w:t>‬</w:t>
      </w:r>
      <w:r w:rsidRPr="008F1E70">
        <w:t>‬</w:t>
      </w:r>
      <w:r w:rsidR="004F5C7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7" w:rsidRPr="008F1E70" w:rsidRDefault="008F1E70" w:rsidP="008F1E70">
    <w:pPr>
      <w:pStyle w:val="Header"/>
      <w:jc w:val="right"/>
    </w:pPr>
    <w:r w:rsidRPr="008F1E70">
      <w:t>CERD/C/NPL/CO/17-23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7" w:rsidRPr="008F1E70" w:rsidRDefault="008F1E70" w:rsidP="008F1E70">
    <w:pPr>
      <w:pStyle w:val="Header"/>
      <w:jc w:val="left"/>
    </w:pPr>
    <w:r w:rsidRPr="008F1E70">
      <w:t>CERD/C/NPL/CO/17-23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5744D"/>
    <w:rsid w:val="000076D5"/>
    <w:rsid w:val="00043663"/>
    <w:rsid w:val="000505CF"/>
    <w:rsid w:val="000D701C"/>
    <w:rsid w:val="000E2A71"/>
    <w:rsid w:val="000E524A"/>
    <w:rsid w:val="00160263"/>
    <w:rsid w:val="001773DB"/>
    <w:rsid w:val="00181F96"/>
    <w:rsid w:val="00193C2D"/>
    <w:rsid w:val="001A1371"/>
    <w:rsid w:val="001B346A"/>
    <w:rsid w:val="001E1CAD"/>
    <w:rsid w:val="001E290D"/>
    <w:rsid w:val="002144FA"/>
    <w:rsid w:val="0023469A"/>
    <w:rsid w:val="00243C8A"/>
    <w:rsid w:val="00267A0E"/>
    <w:rsid w:val="002901D9"/>
    <w:rsid w:val="002976C2"/>
    <w:rsid w:val="002C1A0E"/>
    <w:rsid w:val="00325CC1"/>
    <w:rsid w:val="003260FF"/>
    <w:rsid w:val="00343D95"/>
    <w:rsid w:val="00374341"/>
    <w:rsid w:val="003D1062"/>
    <w:rsid w:val="003E159A"/>
    <w:rsid w:val="00406EC0"/>
    <w:rsid w:val="004205C7"/>
    <w:rsid w:val="00420D7B"/>
    <w:rsid w:val="00450B21"/>
    <w:rsid w:val="00453B63"/>
    <w:rsid w:val="00455780"/>
    <w:rsid w:val="004B0A1C"/>
    <w:rsid w:val="004B7CC1"/>
    <w:rsid w:val="004D298E"/>
    <w:rsid w:val="004E32F4"/>
    <w:rsid w:val="004F5C75"/>
    <w:rsid w:val="00517BC9"/>
    <w:rsid w:val="005212F8"/>
    <w:rsid w:val="00527E4C"/>
    <w:rsid w:val="0054472E"/>
    <w:rsid w:val="0054762C"/>
    <w:rsid w:val="0055200C"/>
    <w:rsid w:val="005662A9"/>
    <w:rsid w:val="00571A00"/>
    <w:rsid w:val="005817D9"/>
    <w:rsid w:val="005827D4"/>
    <w:rsid w:val="0059622A"/>
    <w:rsid w:val="005C5878"/>
    <w:rsid w:val="005C7CEA"/>
    <w:rsid w:val="005D3C0B"/>
    <w:rsid w:val="005E5217"/>
    <w:rsid w:val="005F0FA4"/>
    <w:rsid w:val="005F30EE"/>
    <w:rsid w:val="0060473A"/>
    <w:rsid w:val="00606EDF"/>
    <w:rsid w:val="00626327"/>
    <w:rsid w:val="00656392"/>
    <w:rsid w:val="0065744D"/>
    <w:rsid w:val="0068781D"/>
    <w:rsid w:val="006959B0"/>
    <w:rsid w:val="006B3E27"/>
    <w:rsid w:val="006B6507"/>
    <w:rsid w:val="006C104C"/>
    <w:rsid w:val="00733704"/>
    <w:rsid w:val="00740188"/>
    <w:rsid w:val="0078071A"/>
    <w:rsid w:val="007A70BB"/>
    <w:rsid w:val="00852A9A"/>
    <w:rsid w:val="00871544"/>
    <w:rsid w:val="008930DB"/>
    <w:rsid w:val="00895D16"/>
    <w:rsid w:val="008F1E70"/>
    <w:rsid w:val="008F49E1"/>
    <w:rsid w:val="0090370F"/>
    <w:rsid w:val="009269D2"/>
    <w:rsid w:val="00942135"/>
    <w:rsid w:val="009521B0"/>
    <w:rsid w:val="00995C87"/>
    <w:rsid w:val="009A7E9F"/>
    <w:rsid w:val="009E5018"/>
    <w:rsid w:val="00A12B37"/>
    <w:rsid w:val="00A50EC0"/>
    <w:rsid w:val="00A51107"/>
    <w:rsid w:val="00A74331"/>
    <w:rsid w:val="00AB6758"/>
    <w:rsid w:val="00B13763"/>
    <w:rsid w:val="00B26350"/>
    <w:rsid w:val="00B477A4"/>
    <w:rsid w:val="00B54045"/>
    <w:rsid w:val="00BA5E8B"/>
    <w:rsid w:val="00C022F5"/>
    <w:rsid w:val="00C438D7"/>
    <w:rsid w:val="00C53FE8"/>
    <w:rsid w:val="00C81B50"/>
    <w:rsid w:val="00CA655B"/>
    <w:rsid w:val="00CB3C3C"/>
    <w:rsid w:val="00CB42DB"/>
    <w:rsid w:val="00CD09BE"/>
    <w:rsid w:val="00CD1801"/>
    <w:rsid w:val="00D10EF1"/>
    <w:rsid w:val="00D42810"/>
    <w:rsid w:val="00D914A7"/>
    <w:rsid w:val="00DD13C3"/>
    <w:rsid w:val="00DD596E"/>
    <w:rsid w:val="00DD621E"/>
    <w:rsid w:val="00DF0575"/>
    <w:rsid w:val="00E22487"/>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0473B4"/>
  <w15:docId w15:val="{50C7036E-FC29-4D89-A434-CFD64B6F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8F1E70"/>
    <w:pPr>
      <w:keepNext/>
      <w:keepLines/>
      <w:tabs>
        <w:tab w:val="right" w:pos="851"/>
      </w:tabs>
      <w:bidi w:val="0"/>
      <w:spacing w:before="360" w:after="240" w:line="300" w:lineRule="exact"/>
      <w:ind w:left="1134" w:right="1134" w:hanging="1134"/>
      <w:jc w:val="left"/>
    </w:pPr>
    <w:rPr>
      <w:rFonts w:eastAsia="SimSun" w:hAnsi="Calibri" w:hint="cs"/>
      <w:b/>
      <w:sz w:val="28"/>
      <w:lang w:val="en-GB" w:eastAsia="zh-CN"/>
    </w:rPr>
  </w:style>
  <w:style w:type="paragraph" w:customStyle="1" w:styleId="H1G">
    <w:name w:val="_ H_1_G"/>
    <w:basedOn w:val="Normal"/>
    <w:next w:val="Normal"/>
    <w:qFormat/>
    <w:rsid w:val="008F1E70"/>
    <w:pPr>
      <w:keepNext/>
      <w:keepLines/>
      <w:tabs>
        <w:tab w:val="right" w:pos="851"/>
      </w:tabs>
      <w:bidi w:val="0"/>
      <w:spacing w:before="360" w:after="240" w:line="270" w:lineRule="exact"/>
      <w:ind w:left="1134" w:right="1134" w:hanging="1134"/>
      <w:jc w:val="left"/>
    </w:pPr>
    <w:rPr>
      <w:rFonts w:eastAsia="SimSun" w:hAnsi="Calibri" w:hint="cs"/>
      <w:b/>
      <w:sz w:val="24"/>
      <w:lang w:val="en-GB" w:eastAsia="zh-CN"/>
    </w:rPr>
  </w:style>
  <w:style w:type="paragraph" w:customStyle="1" w:styleId="H23G">
    <w:name w:val="_ H_2/3_G"/>
    <w:basedOn w:val="Normal"/>
    <w:next w:val="Normal"/>
    <w:qFormat/>
    <w:rsid w:val="008F1E70"/>
    <w:pPr>
      <w:keepNext/>
      <w:keepLines/>
      <w:tabs>
        <w:tab w:val="right" w:pos="851"/>
      </w:tabs>
      <w:bidi w:val="0"/>
      <w:spacing w:before="240" w:after="120" w:line="240" w:lineRule="exact"/>
      <w:ind w:left="1134" w:right="1134" w:hanging="1134"/>
      <w:jc w:val="left"/>
    </w:pPr>
    <w:rPr>
      <w:rFonts w:eastAsia="SimSun" w:hAnsi="Calibri" w:hint="cs"/>
      <w:b/>
      <w:lang w:val="en-GB" w:eastAsia="zh-CN"/>
    </w:rPr>
  </w:style>
  <w:style w:type="paragraph" w:customStyle="1" w:styleId="SingleTxtG">
    <w:name w:val="_ Single Txt_G"/>
    <w:basedOn w:val="Normal"/>
    <w:link w:val="SingleTxtGChar"/>
    <w:qFormat/>
    <w:rsid w:val="008F1E70"/>
    <w:pPr>
      <w:bidi w:val="0"/>
      <w:spacing w:after="120"/>
      <w:ind w:left="1134" w:right="1134"/>
      <w:jc w:val="both"/>
    </w:pPr>
    <w:rPr>
      <w:rFonts w:eastAsia="SimSun" w:hAnsi="Calibri"/>
      <w:lang w:val="en-GB" w:eastAsia="zh-CN"/>
    </w:rPr>
  </w:style>
  <w:style w:type="character" w:customStyle="1" w:styleId="SingleTxtGChar">
    <w:name w:val="_ Single Txt_G Char"/>
    <w:link w:val="SingleTxtG"/>
    <w:rsid w:val="008F1E70"/>
    <w:rPr>
      <w:rFonts w:ascii="Times New Roman" w:eastAsia="SimSun" w:hAnsi="Calibri"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EB53-F8E4-471C-9D22-C5192B0B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11</Pages>
  <Words>3551</Words>
  <Characters>18856</Characters>
  <Application>Microsoft Office Word</Application>
  <DocSecurity>0</DocSecurity>
  <Lines>342</Lines>
  <Paragraphs>134</Paragraphs>
  <ScaleCrop>false</ScaleCrop>
  <HeadingPairs>
    <vt:vector size="2" baseType="variant">
      <vt:variant>
        <vt:lpstr>Title</vt:lpstr>
      </vt:variant>
      <vt:variant>
        <vt:i4>1</vt:i4>
      </vt:variant>
    </vt:vector>
  </HeadingPairs>
  <TitlesOfParts>
    <vt:vector size="1" baseType="lpstr">
      <vt:lpstr>CERD/C/NPL/CO/17-23</vt:lpstr>
    </vt:vector>
  </TitlesOfParts>
  <Company>DCM</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CERD/C/NPL/CO/17-23</dc:title>
  <dc:subject>GE.1808528A</dc:subject>
  <dc:creator>MBU, SRO</dc:creator>
  <cp:keywords>ODS No.1814129</cp:keywords>
  <dc:description>Original: English _x000d_
Distribution: General_x000d_
Date:29 May 2018</dc:description>
  <cp:lastModifiedBy>Muntoha Buhnam</cp:lastModifiedBy>
  <cp:revision>3</cp:revision>
  <cp:lastPrinted>2018-06-06T13:00:00Z</cp:lastPrinted>
  <dcterms:created xsi:type="dcterms:W3CDTF">2018-06-06T13:00:00Z</dcterms:created>
  <dcterms:modified xsi:type="dcterms:W3CDTF">2018-06-06T13:01:00Z</dcterms:modified>
  <cp:category>Final</cp:category>
</cp:coreProperties>
</file>