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E654FB" w14:paraId="214634C9" w14:textId="77777777" w:rsidTr="001E45CF">
        <w:trPr>
          <w:trHeight w:hRule="exact" w:val="851"/>
        </w:trPr>
        <w:tc>
          <w:tcPr>
            <w:tcW w:w="1274" w:type="dxa"/>
            <w:tcBorders>
              <w:bottom w:val="single" w:sz="4" w:space="0" w:color="auto"/>
            </w:tcBorders>
          </w:tcPr>
          <w:p w14:paraId="6C7F7344" w14:textId="77777777" w:rsidR="00B116DD" w:rsidRPr="00E654FB" w:rsidRDefault="00B116DD" w:rsidP="0077261B">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7075EB04" w14:textId="77777777" w:rsidR="006B3E27" w:rsidRPr="00E654FB" w:rsidRDefault="006B3E27" w:rsidP="005540EB">
            <w:pPr>
              <w:spacing w:after="80" w:line="480" w:lineRule="exact"/>
              <w:ind w:left="57"/>
              <w:jc w:val="left"/>
              <w:rPr>
                <w:sz w:val="30"/>
                <w:szCs w:val="30"/>
                <w:rtl/>
              </w:rPr>
            </w:pPr>
            <w:r w:rsidRPr="00E654FB">
              <w:rPr>
                <w:rFonts w:hint="cs"/>
                <w:sz w:val="30"/>
                <w:szCs w:val="30"/>
                <w:rtl/>
              </w:rPr>
              <w:t>الأمم المتحدة</w:t>
            </w:r>
          </w:p>
        </w:tc>
        <w:tc>
          <w:tcPr>
            <w:tcW w:w="3261" w:type="dxa"/>
            <w:tcBorders>
              <w:bottom w:val="single" w:sz="4" w:space="0" w:color="auto"/>
            </w:tcBorders>
            <w:vAlign w:val="bottom"/>
          </w:tcPr>
          <w:p w14:paraId="76C5E745" w14:textId="23DB7C16" w:rsidR="006B3E27" w:rsidRPr="009A3A9A" w:rsidRDefault="009A3A9A" w:rsidP="009A3A9A">
            <w:pPr>
              <w:bidi w:val="0"/>
              <w:jc w:val="left"/>
            </w:pPr>
            <w:r w:rsidRPr="007D4D2B">
              <w:rPr>
                <w:sz w:val="40"/>
              </w:rPr>
              <w:t>CMW</w:t>
            </w:r>
            <w:r w:rsidRPr="007D4D2B">
              <w:t>/C/CPV/CO/</w:t>
            </w:r>
            <w:r w:rsidRPr="009F3E84">
              <w:t>1</w:t>
            </w:r>
            <w:r w:rsidRPr="007D4D2B">
              <w:t>-</w:t>
            </w:r>
            <w:r w:rsidRPr="009F3E84">
              <w:t>3</w:t>
            </w:r>
          </w:p>
        </w:tc>
      </w:tr>
      <w:tr w:rsidR="006B3E27" w:rsidRPr="00E654FB" w14:paraId="4CAF0DD0" w14:textId="77777777" w:rsidTr="001E45CF">
        <w:trPr>
          <w:trHeight w:hRule="exact" w:val="2554"/>
        </w:trPr>
        <w:tc>
          <w:tcPr>
            <w:tcW w:w="1274" w:type="dxa"/>
            <w:tcBorders>
              <w:top w:val="single" w:sz="4" w:space="0" w:color="auto"/>
              <w:bottom w:val="single" w:sz="12" w:space="0" w:color="auto"/>
            </w:tcBorders>
          </w:tcPr>
          <w:p w14:paraId="1D63BA18" w14:textId="77777777" w:rsidR="006B3E27" w:rsidRPr="00E654FB" w:rsidRDefault="0059622A" w:rsidP="001E45CF">
            <w:pPr>
              <w:jc w:val="center"/>
              <w:rPr>
                <w:rtl/>
              </w:rPr>
            </w:pPr>
            <w:r w:rsidRPr="00E654FB">
              <w:rPr>
                <w:noProof/>
              </w:rPr>
              <w:drawing>
                <wp:inline distT="0" distB="0" distL="0" distR="0" wp14:anchorId="292FB817" wp14:editId="26B61237">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5E6F19B" w14:textId="77777777" w:rsidR="006B3E27" w:rsidRPr="009F3E84" w:rsidRDefault="001E1CAD" w:rsidP="005540EB">
            <w:pPr>
              <w:spacing w:before="120" w:after="40" w:line="560" w:lineRule="exact"/>
              <w:ind w:left="57"/>
              <w:jc w:val="left"/>
              <w:rPr>
                <w:b/>
                <w:bCs/>
                <w:sz w:val="42"/>
                <w:szCs w:val="42"/>
                <w:rtl/>
              </w:rPr>
            </w:pPr>
            <w:r w:rsidRPr="009F3E84">
              <w:rPr>
                <w:rFonts w:hint="cs"/>
                <w:b/>
                <w:bCs/>
                <w:sz w:val="42"/>
                <w:szCs w:val="42"/>
                <w:rtl/>
              </w:rPr>
              <w:t>ا</w:t>
            </w:r>
            <w:r w:rsidR="00523BAE" w:rsidRPr="009F3E84">
              <w:rPr>
                <w:rFonts w:hint="cs"/>
                <w:b/>
                <w:bCs/>
                <w:sz w:val="42"/>
                <w:szCs w:val="42"/>
                <w:rtl/>
              </w:rPr>
              <w:t>لا</w:t>
            </w:r>
            <w:r w:rsidR="004A14A6" w:rsidRPr="009F3E84">
              <w:rPr>
                <w:rFonts w:hint="cs"/>
                <w:b/>
                <w:bCs/>
                <w:sz w:val="42"/>
                <w:szCs w:val="42"/>
                <w:rtl/>
              </w:rPr>
              <w:t>تفاقي</w:t>
            </w:r>
            <w:r w:rsidR="00523BAE" w:rsidRPr="009F3E84">
              <w:rPr>
                <w:rFonts w:hint="cs"/>
                <w:b/>
                <w:bCs/>
                <w:sz w:val="42"/>
                <w:szCs w:val="42"/>
                <w:rtl/>
              </w:rPr>
              <w:t>ـ</w:t>
            </w:r>
            <w:r w:rsidR="004A14A6" w:rsidRPr="009F3E84">
              <w:rPr>
                <w:rFonts w:hint="cs"/>
                <w:b/>
                <w:bCs/>
                <w:sz w:val="42"/>
                <w:szCs w:val="42"/>
                <w:rtl/>
              </w:rPr>
              <w:t xml:space="preserve">ة </w:t>
            </w:r>
            <w:r w:rsidR="00523BAE" w:rsidRPr="009F3E84">
              <w:rPr>
                <w:rFonts w:hint="cs"/>
                <w:b/>
                <w:bCs/>
                <w:sz w:val="42"/>
                <w:szCs w:val="42"/>
                <w:rtl/>
              </w:rPr>
              <w:t xml:space="preserve">الدوليـة </w:t>
            </w:r>
            <w:r w:rsidR="0045649E" w:rsidRPr="009F3E84">
              <w:rPr>
                <w:rFonts w:hint="cs"/>
                <w:b/>
                <w:bCs/>
                <w:sz w:val="42"/>
                <w:szCs w:val="42"/>
                <w:rtl/>
              </w:rPr>
              <w:t>لحماية حقوق جميع العمال المهاجرين وأفراد أسره</w:t>
            </w:r>
            <w:r w:rsidR="0086216C" w:rsidRPr="009F3E84">
              <w:rPr>
                <w:rFonts w:hint="cs"/>
                <w:b/>
                <w:bCs/>
                <w:sz w:val="42"/>
                <w:szCs w:val="42"/>
                <w:rtl/>
              </w:rPr>
              <w:t>م</w:t>
            </w:r>
          </w:p>
        </w:tc>
        <w:tc>
          <w:tcPr>
            <w:tcW w:w="3261" w:type="dxa"/>
            <w:tcBorders>
              <w:top w:val="single" w:sz="4" w:space="0" w:color="auto"/>
              <w:bottom w:val="single" w:sz="12" w:space="0" w:color="auto"/>
            </w:tcBorders>
          </w:tcPr>
          <w:p w14:paraId="32049ABF" w14:textId="703CEBBA" w:rsidR="007F26E8" w:rsidRPr="007F26E8" w:rsidRDefault="007F26E8" w:rsidP="007F26E8">
            <w:pPr>
              <w:suppressAutoHyphens/>
              <w:bidi w:val="0"/>
              <w:spacing w:before="240"/>
              <w:jc w:val="left"/>
              <w:rPr>
                <w:rFonts w:eastAsia="Times New Roman" w:cs="Times New Roman"/>
                <w:lang w:val="en-GB"/>
              </w:rPr>
            </w:pPr>
            <w:r w:rsidRPr="007F26E8">
              <w:rPr>
                <w:rFonts w:eastAsia="Times New Roman" w:cs="Times New Roman"/>
                <w:lang w:val="en-GB"/>
              </w:rPr>
              <w:t>Dist</w:t>
            </w:r>
            <w:r w:rsidR="007D4D2B" w:rsidRPr="007F26E8">
              <w:rPr>
                <w:rFonts w:eastAsia="Times New Roman" w:cs="Times New Roman"/>
                <w:color w:val="000000"/>
                <w:lang w:val="en-GB"/>
              </w:rPr>
              <w:t>r.:</w:t>
            </w:r>
            <w:r w:rsidRPr="007F26E8">
              <w:rPr>
                <w:rFonts w:eastAsia="Times New Roman" w:cs="Times New Roman"/>
                <w:lang w:val="en-GB"/>
              </w:rPr>
              <w:t xml:space="preserve"> General</w:t>
            </w:r>
          </w:p>
          <w:p w14:paraId="75B16FF1" w14:textId="77777777" w:rsidR="007F26E8" w:rsidRPr="007F26E8" w:rsidRDefault="007F26E8" w:rsidP="007F26E8">
            <w:pPr>
              <w:bidi w:val="0"/>
              <w:jc w:val="left"/>
              <w:rPr>
                <w:rFonts w:eastAsia="Times New Roman" w:cs="Times New Roman"/>
                <w:lang w:val="en-GB"/>
              </w:rPr>
            </w:pPr>
            <w:r w:rsidRPr="007F26E8">
              <w:rPr>
                <w:rFonts w:eastAsia="Times New Roman" w:cs="Times New Roman"/>
                <w:lang w:val="en-GB"/>
              </w:rPr>
              <w:t>2 June 2022</w:t>
            </w:r>
          </w:p>
          <w:p w14:paraId="33207999" w14:textId="69A020F5" w:rsidR="007F26E8" w:rsidRPr="007F26E8" w:rsidRDefault="007F26E8" w:rsidP="007F26E8">
            <w:pPr>
              <w:bidi w:val="0"/>
              <w:jc w:val="left"/>
              <w:rPr>
                <w:rFonts w:eastAsia="Times New Roman" w:cs="Times New Roman"/>
                <w:lang w:val="en-GB"/>
              </w:rPr>
            </w:pPr>
            <w:r>
              <w:rPr>
                <w:rFonts w:eastAsia="Times New Roman" w:cs="Times New Roman"/>
                <w:lang w:val="en-GB"/>
              </w:rPr>
              <w:t>Arabic</w:t>
            </w:r>
          </w:p>
          <w:p w14:paraId="57CF7457" w14:textId="470E657F" w:rsidR="009A3A9A" w:rsidRPr="009A3A9A" w:rsidRDefault="007F26E8" w:rsidP="007F26E8">
            <w:pPr>
              <w:bidi w:val="0"/>
              <w:spacing w:line="240" w:lineRule="exact"/>
              <w:jc w:val="left"/>
            </w:pPr>
            <w:r w:rsidRPr="007F26E8">
              <w:rPr>
                <w:rFonts w:eastAsia="Times New Roman" w:cs="Times New Roman"/>
                <w:lang w:val="en-GB" w:eastAsia="en-US"/>
              </w:rPr>
              <w:t>Origina</w:t>
            </w:r>
            <w:r w:rsidR="007D4D2B" w:rsidRPr="007D4D2B">
              <w:rPr>
                <w:rFonts w:eastAsia="Times New Roman" w:cs="Times New Roman"/>
                <w:color w:val="000000"/>
                <w:lang w:val="en-GB" w:eastAsia="en-US"/>
              </w:rPr>
              <w:t xml:space="preserve">l: </w:t>
            </w:r>
            <w:r w:rsidRPr="007F26E8">
              <w:rPr>
                <w:rFonts w:eastAsia="Times New Roman" w:cs="Times New Roman"/>
                <w:lang w:val="en-GB" w:eastAsia="en-US"/>
              </w:rPr>
              <w:t>English</w:t>
            </w:r>
          </w:p>
        </w:tc>
      </w:tr>
    </w:tbl>
    <w:p w14:paraId="620D6393" w14:textId="77777777" w:rsidR="007935FF" w:rsidRPr="009F3E84" w:rsidRDefault="007935FF" w:rsidP="007935FF">
      <w:pPr>
        <w:pStyle w:val="SingleTxtGA"/>
        <w:spacing w:before="120"/>
        <w:ind w:left="0"/>
        <w:rPr>
          <w:b/>
          <w:bCs/>
          <w:sz w:val="26"/>
          <w:szCs w:val="26"/>
          <w:lang w:val="en-US"/>
        </w:rPr>
      </w:pPr>
      <w:r w:rsidRPr="009F3E84">
        <w:rPr>
          <w:b/>
          <w:bCs/>
          <w:sz w:val="26"/>
          <w:szCs w:val="26"/>
          <w:rtl/>
          <w:lang w:val="en-US"/>
        </w:rPr>
        <w:t>اللجنة المعنية بحماية حقوق جميع العمال المهاجرين وأفراد أسرهم</w:t>
      </w:r>
    </w:p>
    <w:p w14:paraId="36B1E115" w14:textId="7E6DD621" w:rsidR="007935FF" w:rsidRPr="009F3E84" w:rsidRDefault="007935FF" w:rsidP="007935FF">
      <w:pPr>
        <w:pStyle w:val="HChGA"/>
      </w:pPr>
      <w:r w:rsidRPr="009F3E84">
        <w:rPr>
          <w:rtl/>
        </w:rPr>
        <w:tab/>
      </w:r>
      <w:r w:rsidRPr="009F3E84">
        <w:rPr>
          <w:rtl/>
        </w:rPr>
        <w:tab/>
      </w:r>
      <w:r w:rsidRPr="009F3E84">
        <w:rPr>
          <w:rFonts w:ascii="Times New Roman Bold" w:hAnsi="Times New Roman Bold"/>
          <w:spacing w:val="-4"/>
          <w:rtl/>
        </w:rPr>
        <w:t>ملاحظات ختامية بشأن التقرير الجامع للتقارير الدورية من الأول إلى الثالث</w:t>
      </w:r>
      <w:r w:rsidRPr="009F3E84">
        <w:rPr>
          <w:rtl/>
        </w:rPr>
        <w:t xml:space="preserve"> ل</w:t>
      </w:r>
      <w:r w:rsidR="00972938" w:rsidRPr="009F3E84">
        <w:rPr>
          <w:rtl/>
        </w:rPr>
        <w:t>كابو فيردي</w:t>
      </w:r>
      <w:r w:rsidRPr="009F3E84">
        <w:rPr>
          <w:rStyle w:val="FootnoteReference"/>
          <w:sz w:val="22"/>
          <w:szCs w:val="22"/>
          <w:vertAlign w:val="baseline"/>
          <w:rtl/>
        </w:rPr>
        <w:footnoteReference w:customMarkFollows="1" w:id="1"/>
        <w:t>*</w:t>
      </w:r>
    </w:p>
    <w:p w14:paraId="6114C4EF" w14:textId="4092F46F" w:rsidR="007935FF" w:rsidRPr="002C3608" w:rsidRDefault="007935FF" w:rsidP="007935FF">
      <w:pPr>
        <w:pStyle w:val="SingleTxtGA"/>
        <w:rPr>
          <w:rFonts w:hint="cs"/>
          <w:rtl/>
          <w:lang w:val="fr-CH"/>
        </w:rPr>
      </w:pPr>
      <w:r w:rsidRPr="009F3E84">
        <w:rPr>
          <w:rtl/>
          <w:lang w:val="en-US"/>
        </w:rPr>
        <w:t>1</w:t>
      </w:r>
      <w:r w:rsidRPr="007935FF">
        <w:rPr>
          <w:rtl/>
          <w:lang w:val="en-US"/>
        </w:rPr>
        <w:t>-</w:t>
      </w:r>
      <w:r w:rsidRPr="007935FF">
        <w:rPr>
          <w:rtl/>
          <w:lang w:val="en-US"/>
        </w:rPr>
        <w:tab/>
        <w:t>نظرت اللجنة في التقرير الجامع للتقارير الدورية من الأول إلى الثالث ل</w:t>
      </w:r>
      <w:r w:rsidR="00972938">
        <w:rPr>
          <w:rtl/>
          <w:lang w:val="en-US"/>
        </w:rPr>
        <w:t>كابو فيردي</w:t>
      </w:r>
      <w:r w:rsidR="007D4D2B">
        <w:rPr>
          <w:rStyle w:val="FootnoteReference"/>
          <w:szCs w:val="22"/>
          <w:rtl/>
          <w:lang w:val="en-US"/>
        </w:rPr>
        <w:t>(</w:t>
      </w:r>
      <w:r w:rsidR="007D4D2B" w:rsidRPr="009F3E84">
        <w:rPr>
          <w:rStyle w:val="FootnoteReference"/>
          <w:szCs w:val="22"/>
          <w:lang w:val="en-US"/>
        </w:rPr>
        <w:footnoteReference w:id="2"/>
      </w:r>
      <w:r w:rsidR="00C5021E" w:rsidRPr="00C5021E">
        <w:rPr>
          <w:vertAlign w:val="superscript"/>
          <w:rtl/>
          <w:lang w:val="en-US"/>
        </w:rPr>
        <w:t>)</w:t>
      </w:r>
      <w:r w:rsidRPr="007935FF">
        <w:rPr>
          <w:rtl/>
          <w:lang w:val="en-US"/>
        </w:rPr>
        <w:t xml:space="preserve"> في </w:t>
      </w:r>
      <w:r w:rsidRPr="007F26E8">
        <w:rPr>
          <w:spacing w:val="-4"/>
          <w:rtl/>
          <w:lang w:val="en-US"/>
        </w:rPr>
        <w:t xml:space="preserve">جلساتها </w:t>
      </w:r>
      <w:r w:rsidRPr="009F3E84">
        <w:rPr>
          <w:spacing w:val="-4"/>
          <w:rtl/>
          <w:lang w:val="en-US"/>
        </w:rPr>
        <w:t>480</w:t>
      </w:r>
      <w:r w:rsidRPr="007F26E8">
        <w:rPr>
          <w:spacing w:val="-4"/>
          <w:rtl/>
          <w:lang w:val="en-US"/>
        </w:rPr>
        <w:t xml:space="preserve"> و</w:t>
      </w:r>
      <w:r w:rsidRPr="009F3E84">
        <w:rPr>
          <w:spacing w:val="-4"/>
          <w:rtl/>
          <w:lang w:val="en-US"/>
        </w:rPr>
        <w:t>481</w:t>
      </w:r>
      <w:r w:rsidRPr="007F26E8">
        <w:rPr>
          <w:spacing w:val="-4"/>
          <w:rtl/>
          <w:lang w:val="en-US"/>
        </w:rPr>
        <w:t xml:space="preserve"> و</w:t>
      </w:r>
      <w:r w:rsidRPr="009F3E84">
        <w:rPr>
          <w:spacing w:val="-4"/>
          <w:rtl/>
          <w:lang w:val="en-US"/>
        </w:rPr>
        <w:t>482</w:t>
      </w:r>
      <w:r w:rsidRPr="007F26E8">
        <w:rPr>
          <w:spacing w:val="-4"/>
          <w:rtl/>
          <w:lang w:val="en-US"/>
        </w:rPr>
        <w:t xml:space="preserve"> المعقودة في </w:t>
      </w:r>
      <w:r w:rsidRPr="009F3E84">
        <w:rPr>
          <w:spacing w:val="-4"/>
          <w:rtl/>
          <w:lang w:val="en-US"/>
        </w:rPr>
        <w:t>31</w:t>
      </w:r>
      <w:r w:rsidRPr="007F26E8">
        <w:rPr>
          <w:spacing w:val="-4"/>
          <w:rtl/>
          <w:lang w:val="en-US"/>
        </w:rPr>
        <w:t xml:space="preserve"> آذار/مارس و</w:t>
      </w:r>
      <w:r w:rsidRPr="009F3E84">
        <w:rPr>
          <w:spacing w:val="-4"/>
          <w:rtl/>
          <w:lang w:val="en-US"/>
        </w:rPr>
        <w:t>1</w:t>
      </w:r>
      <w:r w:rsidRPr="007F26E8">
        <w:rPr>
          <w:spacing w:val="-4"/>
          <w:rtl/>
          <w:lang w:val="en-US"/>
        </w:rPr>
        <w:t xml:space="preserve"> نيسان/أبريل </w:t>
      </w:r>
      <w:r w:rsidRPr="009F3E84">
        <w:rPr>
          <w:spacing w:val="-4"/>
          <w:rtl/>
          <w:lang w:val="en-US"/>
        </w:rPr>
        <w:t>2022</w:t>
      </w:r>
      <w:r w:rsidR="007D4D2B">
        <w:rPr>
          <w:rStyle w:val="FootnoteReference"/>
          <w:spacing w:val="-4"/>
          <w:szCs w:val="22"/>
          <w:rtl/>
          <w:lang w:val="en-US"/>
        </w:rPr>
        <w:t>(</w:t>
      </w:r>
      <w:r w:rsidR="007D4D2B" w:rsidRPr="009F3E84">
        <w:rPr>
          <w:rStyle w:val="FootnoteReference"/>
          <w:spacing w:val="-4"/>
          <w:szCs w:val="22"/>
          <w:lang w:val="en-US"/>
        </w:rPr>
        <w:footnoteReference w:id="3"/>
      </w:r>
      <w:r w:rsidR="007D4D2B" w:rsidRPr="007D4D2B">
        <w:rPr>
          <w:color w:val="000000"/>
          <w:spacing w:val="-4"/>
          <w:vertAlign w:val="superscript"/>
          <w:rtl/>
          <w:lang w:val="en-US"/>
        </w:rPr>
        <w:t>)</w:t>
      </w:r>
      <w:r w:rsidR="007D4D2B" w:rsidRPr="007D4D2B">
        <w:rPr>
          <w:color w:val="000000"/>
          <w:spacing w:val="-4"/>
          <w:rtl/>
          <w:lang w:val="en-US"/>
        </w:rPr>
        <w:t>.</w:t>
      </w:r>
      <w:r w:rsidR="007D4D2B" w:rsidRPr="007D4D2B">
        <w:rPr>
          <w:color w:val="000000"/>
          <w:spacing w:val="-4"/>
          <w:rtl/>
          <w:lang w:val="en-US"/>
        </w:rPr>
        <w:t xml:space="preserve"> </w:t>
      </w:r>
      <w:r w:rsidRPr="007F26E8">
        <w:rPr>
          <w:spacing w:val="-4"/>
          <w:rtl/>
          <w:lang w:val="en-US"/>
        </w:rPr>
        <w:t>واعتمدت هذه الملاحظات</w:t>
      </w:r>
      <w:r w:rsidRPr="007935FF">
        <w:rPr>
          <w:rtl/>
          <w:lang w:val="en-US"/>
        </w:rPr>
        <w:t xml:space="preserve"> الختامية في جلستها </w:t>
      </w:r>
      <w:r w:rsidRPr="009F3E84">
        <w:rPr>
          <w:rtl/>
          <w:lang w:val="en-US"/>
        </w:rPr>
        <w:t>492</w:t>
      </w:r>
      <w:r w:rsidRPr="007935FF">
        <w:rPr>
          <w:rtl/>
          <w:lang w:val="en-US"/>
        </w:rPr>
        <w:t xml:space="preserve">، المعقودة في </w:t>
      </w:r>
      <w:r w:rsidRPr="009F3E84">
        <w:rPr>
          <w:rtl/>
          <w:lang w:val="en-US"/>
        </w:rPr>
        <w:t>8</w:t>
      </w:r>
      <w:r w:rsidRPr="007935FF">
        <w:rPr>
          <w:rtl/>
          <w:lang w:val="en-US"/>
        </w:rPr>
        <w:t xml:space="preserve"> نيسان/أبريل </w:t>
      </w:r>
      <w:r w:rsidRPr="009F3E84">
        <w:rPr>
          <w:rtl/>
          <w:lang w:val="en-US"/>
        </w:rPr>
        <w:t>202</w:t>
      </w:r>
      <w:r w:rsidR="007D4D2B" w:rsidRPr="009F3E84">
        <w:rPr>
          <w:color w:val="000000"/>
          <w:rtl/>
          <w:lang w:val="en-US"/>
        </w:rPr>
        <w:t>2</w:t>
      </w:r>
      <w:r w:rsidR="007D4D2B" w:rsidRPr="007D4D2B">
        <w:rPr>
          <w:color w:val="000000"/>
          <w:rtl/>
          <w:lang w:val="en-US"/>
        </w:rPr>
        <w:t>.</w:t>
      </w:r>
    </w:p>
    <w:p w14:paraId="74D3EAA6" w14:textId="6535EFDC" w:rsidR="007935FF" w:rsidRPr="009F3E84" w:rsidRDefault="007F26E8" w:rsidP="007F26E8">
      <w:pPr>
        <w:pStyle w:val="H1GA"/>
      </w:pPr>
      <w:r w:rsidRPr="009F3E84">
        <w:rPr>
          <w:rtl/>
        </w:rPr>
        <w:tab/>
      </w:r>
      <w:r w:rsidR="007935FF" w:rsidRPr="009F3E84">
        <w:rPr>
          <w:rtl/>
        </w:rPr>
        <w:t>ألف-</w:t>
      </w:r>
      <w:r w:rsidR="007935FF" w:rsidRPr="009F3E84">
        <w:rPr>
          <w:rtl/>
        </w:rPr>
        <w:tab/>
        <w:t>مقدمة</w:t>
      </w:r>
    </w:p>
    <w:p w14:paraId="00DDDCBE" w14:textId="7828A41C" w:rsidR="007935FF" w:rsidRPr="007935FF" w:rsidRDefault="007935FF" w:rsidP="007935FF">
      <w:pPr>
        <w:pStyle w:val="SingleTxtGA"/>
        <w:rPr>
          <w:lang w:val="en-US"/>
        </w:rPr>
      </w:pPr>
      <w:r w:rsidRPr="009F3E84">
        <w:rPr>
          <w:rtl/>
          <w:lang w:val="en-US"/>
        </w:rPr>
        <w:t>2</w:t>
      </w:r>
      <w:r w:rsidRPr="007935FF">
        <w:rPr>
          <w:rtl/>
          <w:lang w:val="en-US"/>
        </w:rPr>
        <w:t>-</w:t>
      </w:r>
      <w:r w:rsidRPr="007935FF">
        <w:rPr>
          <w:rtl/>
          <w:lang w:val="en-US"/>
        </w:rPr>
        <w:tab/>
        <w:t>ترحب اللجنة بتقديم التقرير الجامع للتقارير الدورية من الأول إلى الثالث للدولة الطرف، وهو</w:t>
      </w:r>
      <w:r w:rsidR="00B06FDB">
        <w:rPr>
          <w:rFonts w:hint="cs"/>
          <w:rtl/>
          <w:lang w:val="en-US"/>
        </w:rPr>
        <w:t> </w:t>
      </w:r>
      <w:r w:rsidRPr="007935FF">
        <w:rPr>
          <w:rtl/>
          <w:lang w:val="en-US"/>
        </w:rPr>
        <w:t xml:space="preserve">أول تقرير تقدمه الدولة الطرف إلى هيئات المعاهدات وقد أعدته اللجنة المشتركة بين الوزارات لإعداد </w:t>
      </w:r>
      <w:r w:rsidRPr="00B160EB">
        <w:rPr>
          <w:spacing w:val="-4"/>
          <w:rtl/>
          <w:lang w:val="en-US"/>
        </w:rPr>
        <w:t xml:space="preserve">التقارير الوطنية، المنشأة في عام </w:t>
      </w:r>
      <w:r w:rsidRPr="009F3E84">
        <w:rPr>
          <w:spacing w:val="-4"/>
          <w:rtl/>
          <w:lang w:val="en-US"/>
        </w:rPr>
        <w:t>201</w:t>
      </w:r>
      <w:r w:rsidR="007D4D2B" w:rsidRPr="009F3E84">
        <w:rPr>
          <w:color w:val="000000"/>
          <w:spacing w:val="-4"/>
          <w:rtl/>
          <w:lang w:val="en-US"/>
        </w:rPr>
        <w:t>7</w:t>
      </w:r>
      <w:r w:rsidR="007D4D2B" w:rsidRPr="00B160EB">
        <w:rPr>
          <w:color w:val="000000"/>
          <w:spacing w:val="-4"/>
          <w:rtl/>
          <w:lang w:val="en-US"/>
        </w:rPr>
        <w:t xml:space="preserve">. </w:t>
      </w:r>
      <w:r w:rsidRPr="00B160EB">
        <w:rPr>
          <w:spacing w:val="-4"/>
          <w:rtl/>
          <w:lang w:val="en-US"/>
        </w:rPr>
        <w:t>وترحب اللجنة كذلك بالمعلومات الإضافية التي قدمها الوفد الرفيع</w:t>
      </w:r>
      <w:r w:rsidRPr="007935FF">
        <w:rPr>
          <w:rtl/>
          <w:lang w:val="en-US"/>
        </w:rPr>
        <w:t xml:space="preserve"> المستوى والمتعدد القطاعات الذي ترأسه وزير الأسرة والإدماج والتنمية الاجتماعية، فرناندو </w:t>
      </w:r>
      <w:proofErr w:type="spellStart"/>
      <w:r w:rsidRPr="007935FF">
        <w:rPr>
          <w:rtl/>
          <w:lang w:val="en-US"/>
        </w:rPr>
        <w:t>إليسيو</w:t>
      </w:r>
      <w:proofErr w:type="spellEnd"/>
      <w:r w:rsidRPr="007935FF">
        <w:rPr>
          <w:rtl/>
          <w:lang w:val="en-US"/>
        </w:rPr>
        <w:t xml:space="preserve"> </w:t>
      </w:r>
      <w:proofErr w:type="spellStart"/>
      <w:r w:rsidRPr="007935FF">
        <w:rPr>
          <w:rtl/>
          <w:lang w:val="en-US"/>
        </w:rPr>
        <w:t>فريري</w:t>
      </w:r>
      <w:proofErr w:type="spellEnd"/>
      <w:r w:rsidRPr="007935FF">
        <w:rPr>
          <w:rtl/>
          <w:lang w:val="en-US"/>
        </w:rPr>
        <w:t>، ويضم ممثلين عن مكتب رئيس الوزراء، ووزارة الخارجية والتعاون والتكامل الإقليمي، ووزارة الأسرة والإدماج والتنمية الاجتماعية، ووزارة المجتمعات المحلية، والهيئة العليا للهجرة، ودائرة الهجرة والحدود، فضل</w:t>
      </w:r>
      <w:r w:rsidR="00EA4188">
        <w:rPr>
          <w:rtl/>
          <w:lang w:val="en-US"/>
        </w:rPr>
        <w:t xml:space="preserve">اً </w:t>
      </w:r>
      <w:r w:rsidRPr="007935FF">
        <w:rPr>
          <w:rtl/>
          <w:lang w:val="en-US"/>
        </w:rPr>
        <w:t xml:space="preserve">عن الممثلة الدائمة، كلارا </w:t>
      </w:r>
      <w:proofErr w:type="spellStart"/>
      <w:r w:rsidRPr="007935FF">
        <w:rPr>
          <w:rtl/>
          <w:lang w:val="en-US"/>
        </w:rPr>
        <w:t>ديلغادو</w:t>
      </w:r>
      <w:proofErr w:type="spellEnd"/>
      <w:r w:rsidRPr="007935FF">
        <w:rPr>
          <w:rtl/>
          <w:lang w:val="en-US"/>
        </w:rPr>
        <w:t xml:space="preserve"> </w:t>
      </w:r>
      <w:proofErr w:type="spellStart"/>
      <w:r w:rsidRPr="007935FF">
        <w:rPr>
          <w:rtl/>
          <w:lang w:val="en-US"/>
        </w:rPr>
        <w:t>خيسوس</w:t>
      </w:r>
      <w:proofErr w:type="spellEnd"/>
      <w:r w:rsidRPr="007935FF">
        <w:rPr>
          <w:rtl/>
          <w:lang w:val="en-US"/>
        </w:rPr>
        <w:t>، ومسؤولين من البعثة الدائمة ل</w:t>
      </w:r>
      <w:r w:rsidR="00972938">
        <w:rPr>
          <w:rtl/>
          <w:lang w:val="en-US"/>
        </w:rPr>
        <w:t>كابو فيردي</w:t>
      </w:r>
      <w:r w:rsidRPr="007935FF">
        <w:rPr>
          <w:rtl/>
          <w:lang w:val="en-US"/>
        </w:rPr>
        <w:t xml:space="preserve"> لدى مكتب الأمم المتحدة في جنيف. </w:t>
      </w:r>
    </w:p>
    <w:p w14:paraId="5A6A1101" w14:textId="4E17A9A9" w:rsidR="007935FF" w:rsidRPr="007935FF" w:rsidRDefault="007935FF" w:rsidP="007935FF">
      <w:pPr>
        <w:pStyle w:val="SingleTxtGA"/>
        <w:rPr>
          <w:lang w:val="en-US"/>
        </w:rPr>
      </w:pPr>
      <w:r w:rsidRPr="009F3E84">
        <w:rPr>
          <w:rtl/>
          <w:lang w:val="en-US"/>
        </w:rPr>
        <w:t>3</w:t>
      </w:r>
      <w:r w:rsidRPr="007935FF">
        <w:rPr>
          <w:rtl/>
          <w:lang w:val="en-US"/>
        </w:rPr>
        <w:t>-</w:t>
      </w:r>
      <w:r w:rsidRPr="007935FF">
        <w:rPr>
          <w:rtl/>
          <w:lang w:val="en-US"/>
        </w:rPr>
        <w:tab/>
        <w:t xml:space="preserve">وتعرب اللجنة عن تقديرها للحوار الصريح والبنَّاء الذي أُجري مع الوفد. بيد أن اللجنة تأسف لأن الردود على قائمة المسائل، المقرر تقديمها في </w:t>
      </w:r>
      <w:r w:rsidRPr="009F3E84">
        <w:rPr>
          <w:rtl/>
          <w:lang w:val="en-US"/>
        </w:rPr>
        <w:t>1</w:t>
      </w:r>
      <w:r w:rsidRPr="007935FF">
        <w:rPr>
          <w:rtl/>
          <w:lang w:val="en-US"/>
        </w:rPr>
        <w:t xml:space="preserve"> تشرين الأول/أكتوبر </w:t>
      </w:r>
      <w:r w:rsidRPr="009F3E84">
        <w:rPr>
          <w:rtl/>
          <w:lang w:val="en-US"/>
        </w:rPr>
        <w:t>2019</w:t>
      </w:r>
      <w:r w:rsidRPr="007935FF">
        <w:rPr>
          <w:rtl/>
          <w:lang w:val="en-US"/>
        </w:rPr>
        <w:t xml:space="preserve">، لم تقدم إلا في </w:t>
      </w:r>
      <w:r w:rsidRPr="009F3E84">
        <w:rPr>
          <w:rtl/>
          <w:lang w:val="en-US"/>
        </w:rPr>
        <w:t>31</w:t>
      </w:r>
      <w:r w:rsidRPr="007935FF">
        <w:rPr>
          <w:rtl/>
          <w:lang w:val="en-US"/>
        </w:rPr>
        <w:t xml:space="preserve"> آذار/مارس </w:t>
      </w:r>
      <w:r w:rsidRPr="009F3E84">
        <w:rPr>
          <w:rtl/>
          <w:lang w:val="en-US"/>
        </w:rPr>
        <w:t>2022</w:t>
      </w:r>
      <w:r w:rsidRPr="007935FF">
        <w:rPr>
          <w:rtl/>
          <w:lang w:val="en-US"/>
        </w:rPr>
        <w:t>، أي بعد الاجتماع الحواري الأول مع الدولة الطرف. ولم يتح ذلك وقت</w:t>
      </w:r>
      <w:r w:rsidR="00EA4188">
        <w:rPr>
          <w:rtl/>
          <w:lang w:val="en-US"/>
        </w:rPr>
        <w:t xml:space="preserve">اً </w:t>
      </w:r>
      <w:r w:rsidRPr="007935FF">
        <w:rPr>
          <w:rtl/>
          <w:lang w:val="en-US"/>
        </w:rPr>
        <w:t>كافي</w:t>
      </w:r>
      <w:r w:rsidR="00EA4188">
        <w:rPr>
          <w:rtl/>
          <w:lang w:val="en-US"/>
        </w:rPr>
        <w:t xml:space="preserve">اً </w:t>
      </w:r>
      <w:r w:rsidRPr="007935FF">
        <w:rPr>
          <w:rtl/>
          <w:lang w:val="en-US"/>
        </w:rPr>
        <w:t>لترجمته إلى لغات عمل اللجنة، ولذلك فإن الردود لم تكن متاحة للنظر فيها على النحو الواجب.</w:t>
      </w:r>
    </w:p>
    <w:p w14:paraId="321B451B" w14:textId="31785EFF" w:rsidR="007935FF" w:rsidRPr="00972938" w:rsidRDefault="007935FF" w:rsidP="007935FF">
      <w:pPr>
        <w:pStyle w:val="SingleTxtGA"/>
        <w:rPr>
          <w:spacing w:val="-2"/>
          <w:lang w:val="en-US"/>
        </w:rPr>
      </w:pPr>
      <w:r w:rsidRPr="009F3E84">
        <w:rPr>
          <w:spacing w:val="-2"/>
          <w:rtl/>
          <w:lang w:val="en-US"/>
        </w:rPr>
        <w:t>4</w:t>
      </w:r>
      <w:r w:rsidRPr="00972938">
        <w:rPr>
          <w:spacing w:val="-2"/>
          <w:rtl/>
          <w:lang w:val="en-US"/>
        </w:rPr>
        <w:t>-</w:t>
      </w:r>
      <w:r w:rsidRPr="00972938">
        <w:rPr>
          <w:spacing w:val="-2"/>
          <w:rtl/>
          <w:lang w:val="en-US"/>
        </w:rPr>
        <w:tab/>
        <w:t xml:space="preserve">وتدرك اللجنة أن </w:t>
      </w:r>
      <w:r w:rsidR="00972938" w:rsidRPr="00972938">
        <w:rPr>
          <w:spacing w:val="-2"/>
          <w:rtl/>
          <w:lang w:val="en-US"/>
        </w:rPr>
        <w:t>كابو فيردي</w:t>
      </w:r>
      <w:r w:rsidRPr="00972938">
        <w:rPr>
          <w:spacing w:val="-2"/>
          <w:rtl/>
          <w:lang w:val="en-US"/>
        </w:rPr>
        <w:t xml:space="preserve"> أحرزت تقدم</w:t>
      </w:r>
      <w:r w:rsidR="00EA4188">
        <w:rPr>
          <w:spacing w:val="-2"/>
          <w:rtl/>
          <w:lang w:val="en-US"/>
        </w:rPr>
        <w:t xml:space="preserve">اً </w:t>
      </w:r>
      <w:r w:rsidRPr="00972938">
        <w:rPr>
          <w:spacing w:val="-2"/>
          <w:rtl/>
          <w:lang w:val="en-US"/>
        </w:rPr>
        <w:t>في حماية حقوق رعاياها في الخارج. و</w:t>
      </w:r>
      <w:r w:rsidR="00972938" w:rsidRPr="00972938">
        <w:rPr>
          <w:spacing w:val="-2"/>
          <w:rtl/>
          <w:lang w:val="en-US"/>
        </w:rPr>
        <w:t>كابو فيردي</w:t>
      </w:r>
      <w:r w:rsidRPr="00972938">
        <w:rPr>
          <w:spacing w:val="-2"/>
          <w:rtl/>
          <w:lang w:val="en-US"/>
        </w:rPr>
        <w:t xml:space="preserve"> هي البلد الأصلي للعديد من العمال المهاجرين، حيث يعيش في الخارج حوالي مليون مواطن من </w:t>
      </w:r>
      <w:r w:rsidR="00972938" w:rsidRPr="00972938">
        <w:rPr>
          <w:spacing w:val="-2"/>
          <w:rtl/>
          <w:lang w:val="en-US"/>
        </w:rPr>
        <w:t>كابو فيردي</w:t>
      </w:r>
      <w:r w:rsidRPr="00972938">
        <w:rPr>
          <w:spacing w:val="-2"/>
          <w:rtl/>
          <w:lang w:val="en-US"/>
        </w:rPr>
        <w:t>، وهو ما يمثل أكثر من نصف مجموع السكان المقيمين في الدولة الطرف. لكن اللجنة تلاحظ أيض</w:t>
      </w:r>
      <w:r w:rsidR="00EA4188">
        <w:rPr>
          <w:spacing w:val="-2"/>
          <w:rtl/>
          <w:lang w:val="en-US"/>
        </w:rPr>
        <w:t xml:space="preserve">اً </w:t>
      </w:r>
      <w:r w:rsidRPr="00972938">
        <w:rPr>
          <w:spacing w:val="-2"/>
          <w:rtl/>
          <w:lang w:val="en-US"/>
        </w:rPr>
        <w:t>أن الدولة الطرف تواجه عدة تحديات من حيث حماية حقوق العمال المهاجرين بوصفها بلد عبور ومقصد.</w:t>
      </w:r>
    </w:p>
    <w:p w14:paraId="5B36F7C5" w14:textId="613FC9D9" w:rsidR="007935FF" w:rsidRPr="009F3E84" w:rsidRDefault="007F26E8" w:rsidP="007F26E8">
      <w:pPr>
        <w:pStyle w:val="H1GA"/>
      </w:pPr>
      <w:r w:rsidRPr="009F3E84">
        <w:rPr>
          <w:rtl/>
        </w:rPr>
        <w:lastRenderedPageBreak/>
        <w:tab/>
      </w:r>
      <w:r w:rsidR="007935FF" w:rsidRPr="009F3E84">
        <w:rPr>
          <w:rtl/>
        </w:rPr>
        <w:t>باء-</w:t>
      </w:r>
      <w:r w:rsidR="007935FF" w:rsidRPr="009F3E84">
        <w:rPr>
          <w:rtl/>
        </w:rPr>
        <w:tab/>
        <w:t>الجوانب الإيجابية</w:t>
      </w:r>
    </w:p>
    <w:p w14:paraId="66CC2E09" w14:textId="28A470C3" w:rsidR="007935FF" w:rsidRPr="007935FF" w:rsidRDefault="007935FF" w:rsidP="007D4D2B">
      <w:pPr>
        <w:pStyle w:val="SingleTxtGA"/>
        <w:spacing w:line="350" w:lineRule="exact"/>
        <w:rPr>
          <w:lang w:val="en-US"/>
        </w:rPr>
      </w:pPr>
      <w:r w:rsidRPr="009F3E84">
        <w:rPr>
          <w:rtl/>
          <w:lang w:val="en-US"/>
        </w:rPr>
        <w:t>5</w:t>
      </w:r>
      <w:r w:rsidRPr="007935FF">
        <w:rPr>
          <w:rtl/>
          <w:lang w:val="en-US"/>
        </w:rPr>
        <w:t>-</w:t>
      </w:r>
      <w:r w:rsidRPr="007935FF">
        <w:rPr>
          <w:rtl/>
          <w:lang w:val="en-US"/>
        </w:rPr>
        <w:tab/>
      </w:r>
      <w:r w:rsidRPr="007D4D2B">
        <w:rPr>
          <w:spacing w:val="-4"/>
          <w:rtl/>
          <w:lang w:val="en-US"/>
        </w:rPr>
        <w:t>تحيط اللجنة</w:t>
      </w:r>
      <w:r w:rsidR="00EA4188">
        <w:rPr>
          <w:spacing w:val="-4"/>
          <w:rtl/>
          <w:lang w:val="en-US"/>
        </w:rPr>
        <w:t xml:space="preserve"> علماً </w:t>
      </w:r>
      <w:r w:rsidRPr="007D4D2B">
        <w:rPr>
          <w:spacing w:val="-4"/>
          <w:rtl/>
          <w:lang w:val="en-US"/>
        </w:rPr>
        <w:t xml:space="preserve">مع التقدير بالتصديق في عام </w:t>
      </w:r>
      <w:r w:rsidRPr="009F3E84">
        <w:rPr>
          <w:spacing w:val="-4"/>
          <w:rtl/>
          <w:lang w:val="en-US"/>
        </w:rPr>
        <w:t>2016</w:t>
      </w:r>
      <w:r w:rsidRPr="007D4D2B">
        <w:rPr>
          <w:spacing w:val="-4"/>
          <w:rtl/>
          <w:lang w:val="en-US"/>
        </w:rPr>
        <w:t xml:space="preserve"> على البروتوكول الاختياري لاتفاقية مناهضة</w:t>
      </w:r>
      <w:r w:rsidRPr="007935FF">
        <w:rPr>
          <w:rtl/>
          <w:lang w:val="en-US"/>
        </w:rPr>
        <w:t xml:space="preserve"> التعذيب وغيره من ضروب </w:t>
      </w:r>
      <w:proofErr w:type="gramStart"/>
      <w:r w:rsidRPr="007935FF">
        <w:rPr>
          <w:rtl/>
          <w:lang w:val="en-US"/>
        </w:rPr>
        <w:t>المعاملة</w:t>
      </w:r>
      <w:proofErr w:type="gramEnd"/>
      <w:r w:rsidRPr="007935FF">
        <w:rPr>
          <w:rtl/>
          <w:lang w:val="en-US"/>
        </w:rPr>
        <w:t xml:space="preserve"> أو العقوبة القاسية أو اللاإنسانية أو المهينة.</w:t>
      </w:r>
    </w:p>
    <w:p w14:paraId="420EF792" w14:textId="77777777" w:rsidR="007935FF" w:rsidRPr="007935FF" w:rsidRDefault="007935FF" w:rsidP="007D4D2B">
      <w:pPr>
        <w:pStyle w:val="SingleTxtGA"/>
        <w:spacing w:line="350" w:lineRule="exact"/>
        <w:rPr>
          <w:lang w:val="en-US"/>
        </w:rPr>
      </w:pPr>
      <w:r w:rsidRPr="009F3E84">
        <w:rPr>
          <w:rtl/>
          <w:lang w:val="en-US"/>
        </w:rPr>
        <w:t>6</w:t>
      </w:r>
      <w:r w:rsidRPr="007935FF">
        <w:rPr>
          <w:rtl/>
          <w:lang w:val="en-US"/>
        </w:rPr>
        <w:t>-</w:t>
      </w:r>
      <w:r w:rsidRPr="007935FF">
        <w:rPr>
          <w:rtl/>
          <w:lang w:val="en-US"/>
        </w:rPr>
        <w:tab/>
        <w:t>وترحّب اللجنة باعتماد التدابير التشريعية التالية:</w:t>
      </w:r>
    </w:p>
    <w:p w14:paraId="337A0F46" w14:textId="27B80AA1" w:rsidR="007935FF" w:rsidRDefault="007935FF" w:rsidP="007D4D2B">
      <w:pPr>
        <w:pStyle w:val="SingleTxtGA"/>
        <w:spacing w:line="350" w:lineRule="exact"/>
        <w:rPr>
          <w:lang w:val="en-US"/>
        </w:rPr>
      </w:pPr>
      <w:r>
        <w:rPr>
          <w:rtl/>
          <w:lang w:val="en-US"/>
        </w:rPr>
        <w:tab/>
      </w:r>
      <w:r w:rsidRPr="007935FF">
        <w:rPr>
          <w:rtl/>
          <w:lang w:val="en-US"/>
        </w:rPr>
        <w:t>(أ)</w:t>
      </w:r>
      <w:r w:rsidRPr="007935FF">
        <w:rPr>
          <w:rtl/>
          <w:lang w:val="en-US"/>
        </w:rPr>
        <w:tab/>
      </w:r>
      <w:r w:rsidRPr="007D4D2B">
        <w:rPr>
          <w:spacing w:val="-4"/>
          <w:rtl/>
          <w:lang w:val="en-US"/>
        </w:rPr>
        <w:t xml:space="preserve">التعديلات التي أدخلت عام </w:t>
      </w:r>
      <w:r w:rsidRPr="009F3E84">
        <w:rPr>
          <w:spacing w:val="-4"/>
          <w:rtl/>
          <w:lang w:val="en-US"/>
        </w:rPr>
        <w:t>2017</w:t>
      </w:r>
      <w:r w:rsidRPr="007D4D2B">
        <w:rPr>
          <w:spacing w:val="-4"/>
          <w:rtl/>
          <w:lang w:val="en-US"/>
        </w:rPr>
        <w:t xml:space="preserve"> على القانون رقم </w:t>
      </w:r>
      <w:r w:rsidR="002C3608" w:rsidRPr="009F3E84">
        <w:t>19</w:t>
      </w:r>
      <w:r w:rsidR="002C3608" w:rsidRPr="0042601C">
        <w:t>/IX/</w:t>
      </w:r>
      <w:r w:rsidR="002C3608" w:rsidRPr="009F3E84">
        <w:t>2017</w:t>
      </w:r>
      <w:r w:rsidRPr="007D4D2B">
        <w:rPr>
          <w:spacing w:val="-4"/>
          <w:rtl/>
          <w:lang w:val="en-US"/>
        </w:rPr>
        <w:t xml:space="preserve"> بشأن دخول الرعايا</w:t>
      </w:r>
      <w:r w:rsidRPr="007935FF">
        <w:rPr>
          <w:rtl/>
          <w:lang w:val="en-US"/>
        </w:rPr>
        <w:t xml:space="preserve"> الأجانب إلى </w:t>
      </w:r>
      <w:r w:rsidR="00972938">
        <w:rPr>
          <w:rtl/>
          <w:lang w:val="en-US"/>
        </w:rPr>
        <w:t>كابو فيردي</w:t>
      </w:r>
      <w:r w:rsidRPr="007935FF">
        <w:rPr>
          <w:rtl/>
          <w:lang w:val="en-US"/>
        </w:rPr>
        <w:t xml:space="preserve"> وإقامتهم فيها وخروجهم منها وإبعادهم عنها، بما في ذلك اعتماد منصة إلكترونية لطلبات التأشيرة؛ </w:t>
      </w:r>
    </w:p>
    <w:p w14:paraId="515BE331" w14:textId="704766A8" w:rsidR="007935FF" w:rsidRDefault="007935FF" w:rsidP="007D4D2B">
      <w:pPr>
        <w:pStyle w:val="SingleTxtGA"/>
        <w:spacing w:line="350" w:lineRule="exact"/>
        <w:rPr>
          <w:lang w:val="en-US"/>
        </w:rPr>
      </w:pPr>
      <w:r>
        <w:rPr>
          <w:rtl/>
          <w:lang w:val="en-US"/>
        </w:rPr>
        <w:tab/>
        <w:t>(</w:t>
      </w:r>
      <w:r w:rsidRPr="007935FF">
        <w:rPr>
          <w:rtl/>
          <w:lang w:val="en-US"/>
        </w:rPr>
        <w:t>ب)</w:t>
      </w:r>
      <w:r w:rsidRPr="007935FF">
        <w:rPr>
          <w:rtl/>
          <w:lang w:val="en-US"/>
        </w:rPr>
        <w:tab/>
        <w:t xml:space="preserve">اعتماد القانون رقم </w:t>
      </w:r>
      <w:r w:rsidR="002C3608" w:rsidRPr="009F3E84">
        <w:t>113</w:t>
      </w:r>
      <w:r w:rsidR="002C3608" w:rsidRPr="0042601C">
        <w:t>/VIII/</w:t>
      </w:r>
      <w:r w:rsidR="002C3608" w:rsidRPr="009F3E84">
        <w:t>2016</w:t>
      </w:r>
      <w:r w:rsidRPr="007935FF">
        <w:rPr>
          <w:rtl/>
          <w:lang w:val="en-US"/>
        </w:rPr>
        <w:t xml:space="preserve"> في عام </w:t>
      </w:r>
      <w:r w:rsidRPr="009F3E84">
        <w:rPr>
          <w:rtl/>
          <w:lang w:val="en-US"/>
        </w:rPr>
        <w:t>2016</w:t>
      </w:r>
      <w:r w:rsidRPr="007935FF">
        <w:rPr>
          <w:rtl/>
          <w:lang w:val="en-US"/>
        </w:rPr>
        <w:t>، بما في ذلك دخول قائمة الأعمال الخطرة للأطفال والمراهقين حيز التنفيذ، والتي تحظر على الأطفال القيام بأشكال معينة من العمل وتنص على آليات للرصد؛</w:t>
      </w:r>
    </w:p>
    <w:p w14:paraId="35322048" w14:textId="4D27AFC2" w:rsidR="007935FF" w:rsidRPr="007935FF" w:rsidRDefault="007935FF" w:rsidP="007D4D2B">
      <w:pPr>
        <w:pStyle w:val="SingleTxtGA"/>
        <w:spacing w:line="350" w:lineRule="exact"/>
        <w:rPr>
          <w:lang w:val="en-US"/>
        </w:rPr>
      </w:pPr>
      <w:r>
        <w:rPr>
          <w:rtl/>
          <w:lang w:val="en-US"/>
        </w:rPr>
        <w:tab/>
        <w:t>(</w:t>
      </w:r>
      <w:r w:rsidRPr="007935FF">
        <w:rPr>
          <w:rtl/>
          <w:lang w:val="en-US"/>
        </w:rPr>
        <w:t>ج)</w:t>
      </w:r>
      <w:r w:rsidRPr="007935FF">
        <w:rPr>
          <w:rtl/>
          <w:lang w:val="en-US"/>
        </w:rPr>
        <w:tab/>
      </w:r>
      <w:r w:rsidRPr="007D4D2B">
        <w:rPr>
          <w:spacing w:val="-4"/>
          <w:rtl/>
          <w:lang w:val="en-US"/>
        </w:rPr>
        <w:t xml:space="preserve">تنقيح قانون العقوبات في عام </w:t>
      </w:r>
      <w:r w:rsidRPr="009F3E84">
        <w:rPr>
          <w:spacing w:val="-4"/>
          <w:rtl/>
          <w:lang w:val="en-US"/>
        </w:rPr>
        <w:t>2015</w:t>
      </w:r>
      <w:r w:rsidRPr="007D4D2B">
        <w:rPr>
          <w:spacing w:val="-4"/>
          <w:rtl/>
          <w:lang w:val="en-US"/>
        </w:rPr>
        <w:t>، لتجريم الاتجار بالأشخاص وإعفاء ضحايا الاتجار</w:t>
      </w:r>
      <w:r w:rsidRPr="007935FF">
        <w:rPr>
          <w:rtl/>
          <w:lang w:val="en-US"/>
        </w:rPr>
        <w:t xml:space="preserve"> من أي جزاءات على الدخول غير القانوني إلى البلد. </w:t>
      </w:r>
    </w:p>
    <w:p w14:paraId="23F65541" w14:textId="77777777" w:rsidR="007935FF" w:rsidRDefault="007935FF" w:rsidP="007D4D2B">
      <w:pPr>
        <w:pStyle w:val="SingleTxtGA"/>
        <w:spacing w:line="350" w:lineRule="exact"/>
        <w:rPr>
          <w:lang w:val="en-US"/>
        </w:rPr>
      </w:pPr>
      <w:r w:rsidRPr="009F3E84">
        <w:rPr>
          <w:rtl/>
          <w:lang w:val="en-US"/>
        </w:rPr>
        <w:t>7</w:t>
      </w:r>
      <w:r w:rsidRPr="007935FF">
        <w:rPr>
          <w:rtl/>
          <w:lang w:val="en-US"/>
        </w:rPr>
        <w:t>-</w:t>
      </w:r>
      <w:r w:rsidRPr="007935FF">
        <w:rPr>
          <w:rtl/>
          <w:lang w:val="en-US"/>
        </w:rPr>
        <w:tab/>
        <w:t xml:space="preserve">وترحب اللجنة باتخاذ التدابير المؤسسية </w:t>
      </w:r>
      <w:proofErr w:type="spellStart"/>
      <w:r w:rsidRPr="007935FF">
        <w:rPr>
          <w:rtl/>
          <w:lang w:val="en-US"/>
        </w:rPr>
        <w:t>والسياساتية</w:t>
      </w:r>
      <w:proofErr w:type="spellEnd"/>
      <w:r w:rsidRPr="007935FF">
        <w:rPr>
          <w:rtl/>
          <w:lang w:val="en-US"/>
        </w:rPr>
        <w:t xml:space="preserve"> التالية: </w:t>
      </w:r>
    </w:p>
    <w:p w14:paraId="60A5388D" w14:textId="7268006D" w:rsidR="007D4D2B" w:rsidRPr="007D4D2B" w:rsidRDefault="007935FF" w:rsidP="007D4D2B">
      <w:pPr>
        <w:pStyle w:val="SingleTxtGA"/>
        <w:spacing w:line="350" w:lineRule="exact"/>
        <w:rPr>
          <w:color w:val="000000"/>
          <w:lang w:val="en-US"/>
        </w:rPr>
      </w:pPr>
      <w:r>
        <w:rPr>
          <w:rtl/>
          <w:lang w:val="en-US"/>
        </w:rPr>
        <w:tab/>
        <w:t>(</w:t>
      </w:r>
      <w:r w:rsidRPr="007935FF">
        <w:rPr>
          <w:rtl/>
          <w:lang w:val="en-US"/>
        </w:rPr>
        <w:t>أ)</w:t>
      </w:r>
      <w:r w:rsidRPr="007935FF">
        <w:rPr>
          <w:rtl/>
          <w:lang w:val="en-US"/>
        </w:rPr>
        <w:tab/>
        <w:t>خطة العمل الثانية للإدماج الاجتماعي للمهاجرين (</w:t>
      </w:r>
      <w:r w:rsidRPr="009F3E84">
        <w:rPr>
          <w:rtl/>
          <w:lang w:val="en-US"/>
        </w:rPr>
        <w:t>2018</w:t>
      </w:r>
      <w:r w:rsidRPr="007935FF">
        <w:rPr>
          <w:rtl/>
          <w:lang w:val="en-US"/>
        </w:rPr>
        <w:t>-</w:t>
      </w:r>
      <w:r w:rsidRPr="009F3E84">
        <w:rPr>
          <w:rtl/>
          <w:lang w:val="en-US"/>
        </w:rPr>
        <w:t>2020</w:t>
      </w:r>
      <w:r w:rsidR="007D4D2B" w:rsidRPr="007D4D2B">
        <w:rPr>
          <w:color w:val="000000"/>
          <w:rtl/>
          <w:lang w:val="en-US"/>
        </w:rPr>
        <w:t>)</w:t>
      </w:r>
      <w:r w:rsidR="007D4D2B" w:rsidRPr="007D4D2B">
        <w:rPr>
          <w:color w:val="000000"/>
          <w:rtl/>
          <w:lang w:val="en-US"/>
        </w:rPr>
        <w:t>،</w:t>
      </w:r>
      <w:r w:rsidR="007D4D2B" w:rsidRPr="007D4D2B">
        <w:rPr>
          <w:color w:val="000000"/>
          <w:rtl/>
          <w:lang w:val="en-US"/>
        </w:rPr>
        <w:t xml:space="preserve"> </w:t>
      </w:r>
      <w:r w:rsidRPr="007935FF">
        <w:rPr>
          <w:rtl/>
          <w:lang w:val="en-US"/>
        </w:rPr>
        <w:t xml:space="preserve">التي مددت حتى عام </w:t>
      </w:r>
      <w:r w:rsidRPr="009F3E84">
        <w:rPr>
          <w:rtl/>
          <w:lang w:val="en-US"/>
        </w:rPr>
        <w:t>2021</w:t>
      </w:r>
      <w:r w:rsidRPr="007935FF">
        <w:rPr>
          <w:rtl/>
          <w:lang w:val="en-US"/>
        </w:rPr>
        <w:t xml:space="preserve"> بسبب جائحة مرض فيروس كورونا (كوفيد-</w:t>
      </w:r>
      <w:r w:rsidRPr="009F3E84">
        <w:rPr>
          <w:rtl/>
          <w:lang w:val="en-US"/>
        </w:rPr>
        <w:t>19</w:t>
      </w:r>
      <w:r w:rsidR="007D4D2B" w:rsidRPr="007D4D2B">
        <w:rPr>
          <w:color w:val="000000"/>
          <w:rtl/>
          <w:lang w:val="en-US"/>
        </w:rPr>
        <w:t>)</w:t>
      </w:r>
      <w:r w:rsidR="007D4D2B" w:rsidRPr="007D4D2B">
        <w:rPr>
          <w:color w:val="000000"/>
          <w:rtl/>
          <w:lang w:val="en-US"/>
        </w:rPr>
        <w:t>؛</w:t>
      </w:r>
    </w:p>
    <w:p w14:paraId="1B6B1876" w14:textId="644FFC44" w:rsidR="007935FF" w:rsidRDefault="007935FF" w:rsidP="007D4D2B">
      <w:pPr>
        <w:pStyle w:val="SingleTxtGA"/>
        <w:spacing w:line="350" w:lineRule="exact"/>
        <w:rPr>
          <w:lang w:val="en-US"/>
        </w:rPr>
      </w:pPr>
      <w:r>
        <w:rPr>
          <w:rtl/>
          <w:lang w:val="en-US"/>
        </w:rPr>
        <w:tab/>
        <w:t>(</w:t>
      </w:r>
      <w:r w:rsidRPr="007935FF">
        <w:rPr>
          <w:rtl/>
          <w:lang w:val="en-US"/>
        </w:rPr>
        <w:t>ب)</w:t>
      </w:r>
      <w:r w:rsidRPr="007935FF">
        <w:rPr>
          <w:rtl/>
          <w:lang w:val="en-US"/>
        </w:rPr>
        <w:tab/>
        <w:t>الخطة الوطنية الأولى لمكافحة الاتجار بالأشخاص (</w:t>
      </w:r>
      <w:r w:rsidRPr="009F3E84">
        <w:rPr>
          <w:rtl/>
          <w:lang w:val="en-US"/>
        </w:rPr>
        <w:t>2018</w:t>
      </w:r>
      <w:r w:rsidRPr="007935FF">
        <w:rPr>
          <w:rtl/>
          <w:lang w:val="en-US"/>
        </w:rPr>
        <w:t>-</w:t>
      </w:r>
      <w:r w:rsidRPr="009F3E84">
        <w:rPr>
          <w:rtl/>
          <w:lang w:val="en-US"/>
        </w:rPr>
        <w:t>2021</w:t>
      </w:r>
      <w:r w:rsidR="007D4D2B" w:rsidRPr="007D4D2B">
        <w:rPr>
          <w:color w:val="000000"/>
          <w:rtl/>
          <w:lang w:val="en-US"/>
        </w:rPr>
        <w:t xml:space="preserve">)؛ </w:t>
      </w:r>
    </w:p>
    <w:p w14:paraId="441A8202" w14:textId="7091305E" w:rsidR="007D4D2B" w:rsidRPr="007D4D2B" w:rsidRDefault="007935FF" w:rsidP="007D4D2B">
      <w:pPr>
        <w:pStyle w:val="SingleTxtGA"/>
        <w:spacing w:line="350" w:lineRule="exact"/>
        <w:rPr>
          <w:color w:val="000000"/>
          <w:lang w:val="en-US"/>
        </w:rPr>
      </w:pPr>
      <w:r>
        <w:rPr>
          <w:rtl/>
          <w:lang w:val="en-US"/>
        </w:rPr>
        <w:tab/>
        <w:t>(</w:t>
      </w:r>
      <w:r w:rsidRPr="007935FF">
        <w:rPr>
          <w:rtl/>
          <w:lang w:val="en-US"/>
        </w:rPr>
        <w:t>ج)</w:t>
      </w:r>
      <w:r w:rsidRPr="007935FF">
        <w:rPr>
          <w:rtl/>
          <w:lang w:val="en-US"/>
        </w:rPr>
        <w:tab/>
        <w:t xml:space="preserve">برنامج دعم العودة الطوعية إلى البلد الأصلي (المرسوم بقانون رقم </w:t>
      </w:r>
      <w:r w:rsidRPr="009F3E84">
        <w:rPr>
          <w:rtl/>
          <w:lang w:val="en-US"/>
        </w:rPr>
        <w:t>46</w:t>
      </w:r>
      <w:r w:rsidRPr="007935FF">
        <w:rPr>
          <w:rtl/>
          <w:lang w:val="en-US"/>
        </w:rPr>
        <w:t>/</w:t>
      </w:r>
      <w:r w:rsidRPr="009F3E84">
        <w:rPr>
          <w:rtl/>
          <w:lang w:val="en-US"/>
        </w:rPr>
        <w:t>2019</w:t>
      </w:r>
      <w:r w:rsidR="007D4D2B" w:rsidRPr="007D4D2B">
        <w:rPr>
          <w:color w:val="000000"/>
          <w:rtl/>
          <w:lang w:val="en-US"/>
        </w:rPr>
        <w:t>)؛</w:t>
      </w:r>
    </w:p>
    <w:p w14:paraId="23D1A83C" w14:textId="164650B7" w:rsidR="007D4D2B" w:rsidRPr="007D4D2B" w:rsidRDefault="007935FF" w:rsidP="007D4D2B">
      <w:pPr>
        <w:pStyle w:val="SingleTxtGA"/>
        <w:spacing w:line="350" w:lineRule="exact"/>
        <w:rPr>
          <w:color w:val="000000"/>
          <w:lang w:val="en-US"/>
        </w:rPr>
      </w:pPr>
      <w:r>
        <w:rPr>
          <w:rtl/>
          <w:lang w:val="en-US"/>
        </w:rPr>
        <w:tab/>
        <w:t>(</w:t>
      </w:r>
      <w:r w:rsidRPr="007935FF">
        <w:rPr>
          <w:rtl/>
          <w:lang w:val="en-US"/>
        </w:rPr>
        <w:t>د)</w:t>
      </w:r>
      <w:r w:rsidRPr="007935FF">
        <w:rPr>
          <w:rtl/>
          <w:lang w:val="en-US"/>
        </w:rPr>
        <w:tab/>
        <w:t>خطة العمل الوطنية الثانية لحقوق الإنسان والمواطنة (</w:t>
      </w:r>
      <w:r w:rsidRPr="009F3E84">
        <w:rPr>
          <w:rtl/>
          <w:lang w:val="en-US"/>
        </w:rPr>
        <w:t>2017</w:t>
      </w:r>
      <w:r w:rsidRPr="007935FF">
        <w:rPr>
          <w:rtl/>
          <w:lang w:val="en-US"/>
        </w:rPr>
        <w:t>-</w:t>
      </w:r>
      <w:r w:rsidRPr="009F3E84">
        <w:rPr>
          <w:rtl/>
          <w:lang w:val="en-US"/>
        </w:rPr>
        <w:t>202</w:t>
      </w:r>
      <w:r w:rsidR="007D4D2B" w:rsidRPr="009F3E84">
        <w:rPr>
          <w:color w:val="000000"/>
          <w:rtl/>
          <w:lang w:val="en-US"/>
        </w:rPr>
        <w:t>2</w:t>
      </w:r>
      <w:r w:rsidR="007D4D2B" w:rsidRPr="007D4D2B">
        <w:rPr>
          <w:color w:val="000000"/>
          <w:rtl/>
          <w:lang w:val="en-US"/>
        </w:rPr>
        <w:t>).</w:t>
      </w:r>
    </w:p>
    <w:p w14:paraId="67BACF0C" w14:textId="3D2FC676" w:rsidR="007935FF" w:rsidRPr="007935FF" w:rsidRDefault="007935FF" w:rsidP="007D4D2B">
      <w:pPr>
        <w:pStyle w:val="SingleTxtGA"/>
        <w:spacing w:line="350" w:lineRule="exact"/>
        <w:rPr>
          <w:lang w:val="en-US"/>
        </w:rPr>
      </w:pPr>
      <w:r w:rsidRPr="009F3E84">
        <w:rPr>
          <w:rtl/>
          <w:lang w:val="en-US"/>
        </w:rPr>
        <w:t>8</w:t>
      </w:r>
      <w:r w:rsidRPr="007935FF">
        <w:rPr>
          <w:rtl/>
          <w:lang w:val="en-US"/>
        </w:rPr>
        <w:t>-</w:t>
      </w:r>
      <w:r w:rsidRPr="007935FF">
        <w:rPr>
          <w:rtl/>
          <w:lang w:val="en-US"/>
        </w:rPr>
        <w:tab/>
        <w:t xml:space="preserve">وتلاحظ اللجنة تصويت الدولة الطرف لصالح الاتفاق العالمي من أجل الهجرة الآمنة والمنظمة والنظامية، الذي أقرته الجمعية العامة في </w:t>
      </w:r>
      <w:r w:rsidRPr="009F3E84">
        <w:rPr>
          <w:rtl/>
          <w:lang w:val="en-US"/>
        </w:rPr>
        <w:t>19</w:t>
      </w:r>
      <w:r w:rsidRPr="007935FF">
        <w:rPr>
          <w:rtl/>
          <w:lang w:val="en-US"/>
        </w:rPr>
        <w:t xml:space="preserve"> كانون الأول/ديسمبر </w:t>
      </w:r>
      <w:r w:rsidRPr="009F3E84">
        <w:rPr>
          <w:rtl/>
          <w:lang w:val="en-US"/>
        </w:rPr>
        <w:t>2018</w:t>
      </w:r>
      <w:r w:rsidRPr="007935FF">
        <w:rPr>
          <w:rtl/>
          <w:lang w:val="en-US"/>
        </w:rPr>
        <w:t xml:space="preserve"> بموجب قرارها </w:t>
      </w:r>
      <w:r w:rsidRPr="009F3E84">
        <w:rPr>
          <w:rtl/>
          <w:lang w:val="en-US"/>
        </w:rPr>
        <w:t>73</w:t>
      </w:r>
      <w:r w:rsidRPr="007935FF">
        <w:rPr>
          <w:rtl/>
          <w:lang w:val="en-US"/>
        </w:rPr>
        <w:t>/</w:t>
      </w:r>
      <w:r w:rsidRPr="009F3E84">
        <w:rPr>
          <w:rtl/>
          <w:lang w:val="en-US"/>
        </w:rPr>
        <w:t>195</w:t>
      </w:r>
      <w:r w:rsidRPr="007935FF">
        <w:rPr>
          <w:rtl/>
          <w:lang w:val="en-US"/>
        </w:rPr>
        <w:t xml:space="preserve">، وتوصي بأن تعمل الدولة الطرف على تنفيذ هذا الاتفاق وبأن تكفل الامتثال الكامل لأحكام الاتفاقية. </w:t>
      </w:r>
    </w:p>
    <w:p w14:paraId="04A5DF46" w14:textId="77777777" w:rsidR="007935FF" w:rsidRPr="007935FF" w:rsidRDefault="007935FF" w:rsidP="007D4D2B">
      <w:pPr>
        <w:pStyle w:val="SingleTxtGA"/>
        <w:spacing w:line="350" w:lineRule="exact"/>
        <w:rPr>
          <w:lang w:val="en-US"/>
        </w:rPr>
      </w:pPr>
      <w:r w:rsidRPr="009F3E84">
        <w:rPr>
          <w:rtl/>
          <w:lang w:val="en-US"/>
        </w:rPr>
        <w:t>9</w:t>
      </w:r>
      <w:r w:rsidRPr="007935FF">
        <w:rPr>
          <w:rtl/>
          <w:lang w:val="en-US"/>
        </w:rPr>
        <w:t>-</w:t>
      </w:r>
      <w:r w:rsidRPr="007935FF">
        <w:rPr>
          <w:rtl/>
          <w:lang w:val="en-US"/>
        </w:rPr>
        <w:tab/>
      </w:r>
      <w:r w:rsidRPr="00B160EB">
        <w:rPr>
          <w:spacing w:val="-4"/>
          <w:rtl/>
          <w:lang w:val="en-US"/>
        </w:rPr>
        <w:t>وتلاحظ اللجنة أن الدعوة التي وجهتها الدولة الطرف إلى الإجراءات الخاصة لمجلس حقوق الإنسان</w:t>
      </w:r>
      <w:r w:rsidRPr="007935FF">
        <w:rPr>
          <w:rtl/>
          <w:lang w:val="en-US"/>
        </w:rPr>
        <w:t xml:space="preserve"> في عام </w:t>
      </w:r>
      <w:r w:rsidRPr="009F3E84">
        <w:rPr>
          <w:rtl/>
          <w:lang w:val="en-US"/>
        </w:rPr>
        <w:t>2013</w:t>
      </w:r>
      <w:r w:rsidRPr="007935FF">
        <w:rPr>
          <w:rtl/>
          <w:lang w:val="en-US"/>
        </w:rPr>
        <w:t xml:space="preserve"> تمثل إجراءً إيجابياً.</w:t>
      </w:r>
    </w:p>
    <w:p w14:paraId="6A7320B9" w14:textId="1B0F0F42" w:rsidR="007935FF" w:rsidRPr="009F3E84" w:rsidRDefault="007F26E8" w:rsidP="007F26E8">
      <w:pPr>
        <w:pStyle w:val="H1GA"/>
      </w:pPr>
      <w:r w:rsidRPr="009F3E84">
        <w:rPr>
          <w:rtl/>
        </w:rPr>
        <w:tab/>
      </w:r>
      <w:r w:rsidR="007935FF" w:rsidRPr="009F3E84">
        <w:rPr>
          <w:rtl/>
        </w:rPr>
        <w:t>جيم-</w:t>
      </w:r>
      <w:r w:rsidR="007935FF" w:rsidRPr="009F3E84">
        <w:rPr>
          <w:rtl/>
        </w:rPr>
        <w:tab/>
        <w:t>دواعي القلق الرئيسية والتوصيات</w:t>
      </w:r>
    </w:p>
    <w:p w14:paraId="4BA73CB8" w14:textId="4D9C8A0A" w:rsidR="007D4D2B" w:rsidRPr="009F3E84" w:rsidRDefault="007F26E8" w:rsidP="007D4D2B">
      <w:pPr>
        <w:pStyle w:val="H23GA"/>
        <w:spacing w:line="350" w:lineRule="exact"/>
        <w:rPr>
          <w:color w:val="000000"/>
        </w:rPr>
      </w:pPr>
      <w:r w:rsidRPr="009F3E84">
        <w:rPr>
          <w:rtl/>
        </w:rPr>
        <w:tab/>
      </w:r>
      <w:r w:rsidR="007935FF" w:rsidRPr="009F3E84">
        <w:rPr>
          <w:rtl/>
        </w:rPr>
        <w:t>1-</w:t>
      </w:r>
      <w:r w:rsidR="007935FF" w:rsidRPr="009F3E84">
        <w:rPr>
          <w:rtl/>
        </w:rPr>
        <w:tab/>
        <w:t>تدابير التنفيذ العامة (المادتان 73 و8</w:t>
      </w:r>
      <w:r w:rsidR="007D4D2B" w:rsidRPr="009F3E84">
        <w:rPr>
          <w:color w:val="000000"/>
          <w:rtl/>
        </w:rPr>
        <w:t>4)</w:t>
      </w:r>
    </w:p>
    <w:p w14:paraId="7348B204" w14:textId="69D1498A" w:rsidR="007935FF" w:rsidRPr="009F3E84" w:rsidRDefault="007935FF" w:rsidP="007D4D2B">
      <w:pPr>
        <w:pStyle w:val="H23GA"/>
        <w:spacing w:line="350" w:lineRule="exact"/>
      </w:pPr>
      <w:r w:rsidRPr="009F3E84">
        <w:rPr>
          <w:rtl/>
        </w:rPr>
        <w:tab/>
      </w:r>
      <w:r w:rsidRPr="009F3E84">
        <w:rPr>
          <w:rtl/>
        </w:rPr>
        <w:tab/>
        <w:t>السياق الحالي</w:t>
      </w:r>
    </w:p>
    <w:p w14:paraId="46E24B39" w14:textId="77777777" w:rsidR="007935FF" w:rsidRPr="009F3E84" w:rsidRDefault="007935FF" w:rsidP="007D4D2B">
      <w:pPr>
        <w:pStyle w:val="SingleTxtGA"/>
        <w:spacing w:line="350" w:lineRule="exact"/>
        <w:rPr>
          <w:b/>
          <w:bCs/>
          <w:lang w:val="en-US"/>
        </w:rPr>
      </w:pPr>
      <w:r w:rsidRPr="009F3E84">
        <w:rPr>
          <w:rtl/>
          <w:lang w:val="en-US"/>
        </w:rPr>
        <w:t>10</w:t>
      </w:r>
      <w:r w:rsidRPr="007935FF">
        <w:rPr>
          <w:rtl/>
          <w:lang w:val="en-US"/>
        </w:rPr>
        <w:t>-</w:t>
      </w:r>
      <w:r w:rsidRPr="007935FF">
        <w:rPr>
          <w:rtl/>
          <w:lang w:val="en-US"/>
        </w:rPr>
        <w:tab/>
      </w:r>
      <w:r w:rsidRPr="009F3E84">
        <w:rPr>
          <w:b/>
          <w:bCs/>
          <w:rtl/>
          <w:lang w:val="en-US"/>
        </w:rPr>
        <w:t xml:space="preserve">توصي اللجنة بقيام الدولة الطرف بحماية حقوق المهاجرين وأفراد أسرهم، لا سيما حقهم في الصحة، والتخفيف من الآثار الضارة الناجمة عن جائحة كوفيد-19 في ضوء المذكرة التوجيهية المشتركة بشأن آثار جائحة كوفيد-19 على حقوق الإنسان للمهاجرين، الصادرة عن اللجنة والمقرر </w:t>
      </w:r>
      <w:r w:rsidRPr="009F3E84">
        <w:rPr>
          <w:rFonts w:ascii="Times New Roman Bold" w:hAnsi="Times New Roman Bold"/>
          <w:b/>
          <w:bCs/>
          <w:spacing w:val="-4"/>
          <w:rtl/>
          <w:lang w:val="en-US"/>
        </w:rPr>
        <w:t>الخاص المعني بحقوق الإنسان للمهاجرين؛ وتوصي اللجنة بأن تكفل الدولة الطرف، على وجه الخصوص</w:t>
      </w:r>
      <w:r w:rsidRPr="009F3E84">
        <w:rPr>
          <w:b/>
          <w:bCs/>
          <w:rtl/>
          <w:lang w:val="en-US"/>
        </w:rPr>
        <w:t xml:space="preserve">، </w:t>
      </w:r>
      <w:r w:rsidRPr="009F3E84">
        <w:rPr>
          <w:rFonts w:ascii="Times New Roman Bold" w:hAnsi="Times New Roman Bold"/>
          <w:b/>
          <w:bCs/>
          <w:spacing w:val="-2"/>
          <w:rtl/>
          <w:lang w:val="en-US"/>
        </w:rPr>
        <w:t>المساواة في الحصول على لقاح كوفيد-19 لجميع المهاجرين وأفراد أسرهم، بصرف النظر عن جنسيتهم</w:t>
      </w:r>
      <w:r w:rsidRPr="009F3E84">
        <w:rPr>
          <w:b/>
          <w:bCs/>
          <w:rtl/>
          <w:lang w:val="en-US"/>
        </w:rPr>
        <w:t xml:space="preserve"> أو وضعهم من حيث الهجرة، أو أي سبب آخر من أسباب التمييز المحظورة، وفقاً لتوصيات هذه اللجنة وغيرها من آليات حقوق الإنسان الإقليمية الواردة في المذكرة المذكورة أعلاه.</w:t>
      </w:r>
    </w:p>
    <w:p w14:paraId="726CA8A3" w14:textId="77777777" w:rsidR="007935FF" w:rsidRPr="009F3E84" w:rsidRDefault="007935FF" w:rsidP="00B83204">
      <w:pPr>
        <w:pStyle w:val="H23GA"/>
      </w:pPr>
      <w:r w:rsidRPr="009F3E84">
        <w:rPr>
          <w:rtl/>
        </w:rPr>
        <w:lastRenderedPageBreak/>
        <w:tab/>
      </w:r>
      <w:r w:rsidRPr="009F3E84">
        <w:rPr>
          <w:rtl/>
        </w:rPr>
        <w:tab/>
        <w:t>التشريعات والتطبيق</w:t>
      </w:r>
    </w:p>
    <w:p w14:paraId="4D8E7ABD" w14:textId="1DB07276" w:rsidR="007935FF" w:rsidRPr="007935FF" w:rsidRDefault="007935FF" w:rsidP="007935FF">
      <w:pPr>
        <w:pStyle w:val="SingleTxtGA"/>
        <w:rPr>
          <w:lang w:val="en-US"/>
        </w:rPr>
      </w:pPr>
      <w:r w:rsidRPr="009F3E84">
        <w:rPr>
          <w:rtl/>
          <w:lang w:val="en-US"/>
        </w:rPr>
        <w:t>11</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 xml:space="preserve">بالمعلومات التي قدمتها الدولة الطرف ومفادها أن القانون المتعلق بدخول </w:t>
      </w:r>
      <w:r w:rsidRPr="007D4D2B">
        <w:rPr>
          <w:spacing w:val="-4"/>
          <w:rtl/>
          <w:lang w:val="en-US"/>
        </w:rPr>
        <w:t xml:space="preserve">الرعايا الأجانب إلى </w:t>
      </w:r>
      <w:r w:rsidR="00972938">
        <w:rPr>
          <w:spacing w:val="-4"/>
          <w:rtl/>
          <w:lang w:val="en-US"/>
        </w:rPr>
        <w:t>كابو فيردي</w:t>
      </w:r>
      <w:r w:rsidRPr="007D4D2B">
        <w:rPr>
          <w:spacing w:val="-4"/>
          <w:rtl/>
          <w:lang w:val="en-US"/>
        </w:rPr>
        <w:t xml:space="preserve"> وإقامتهم فيها وخروجهم منها وإبعادهم عنها (القانون رقم </w:t>
      </w:r>
      <w:r w:rsidR="002C3608" w:rsidRPr="009F3E84">
        <w:t>66</w:t>
      </w:r>
      <w:r w:rsidR="002C3608" w:rsidRPr="0042601C">
        <w:t>/VIII/</w:t>
      </w:r>
      <w:r w:rsidR="002C3608" w:rsidRPr="009F3E84">
        <w:t>2014</w:t>
      </w:r>
      <w:r w:rsidRPr="007D4D2B">
        <w:rPr>
          <w:spacing w:val="-4"/>
          <w:rtl/>
          <w:lang w:val="en-US"/>
        </w:rPr>
        <w:t>،</w:t>
      </w:r>
      <w:r w:rsidRPr="007935FF">
        <w:rPr>
          <w:rtl/>
          <w:lang w:val="en-US"/>
        </w:rPr>
        <w:t xml:space="preserve"> </w:t>
      </w:r>
      <w:r w:rsidRPr="007D4D2B">
        <w:rPr>
          <w:spacing w:val="-4"/>
          <w:rtl/>
          <w:lang w:val="en-US"/>
        </w:rPr>
        <w:t xml:space="preserve">بصيغته المعدلة بالقانون رقم </w:t>
      </w:r>
      <w:r w:rsidR="002C3608" w:rsidRPr="009F3E84">
        <w:t>80</w:t>
      </w:r>
      <w:r w:rsidR="002C3608" w:rsidRPr="0042601C">
        <w:t>/VIII/</w:t>
      </w:r>
      <w:r w:rsidR="002C3608" w:rsidRPr="009F3E84">
        <w:t>2015</w:t>
      </w:r>
      <w:r w:rsidRPr="007D4D2B">
        <w:rPr>
          <w:spacing w:val="-4"/>
          <w:rtl/>
          <w:lang w:val="en-US"/>
        </w:rPr>
        <w:t xml:space="preserve"> والقانون رقم </w:t>
      </w:r>
      <w:r w:rsidR="002C3608" w:rsidRPr="009F3E84">
        <w:t>19</w:t>
      </w:r>
      <w:r w:rsidR="002C3608" w:rsidRPr="0042601C">
        <w:t>/IX/</w:t>
      </w:r>
      <w:r w:rsidR="002C3608" w:rsidRPr="009F3E84">
        <w:t>2017</w:t>
      </w:r>
      <w:r w:rsidR="007D4D2B" w:rsidRPr="007D4D2B">
        <w:rPr>
          <w:spacing w:val="-4"/>
          <w:rtl/>
          <w:lang w:val="en-US"/>
        </w:rPr>
        <w:t xml:space="preserve">) </w:t>
      </w:r>
      <w:r w:rsidRPr="007D4D2B">
        <w:rPr>
          <w:spacing w:val="-4"/>
          <w:rtl/>
          <w:lang w:val="en-US"/>
        </w:rPr>
        <w:t>قد عزز الإطار القانوني الوطني</w:t>
      </w:r>
      <w:r w:rsidRPr="007935FF">
        <w:rPr>
          <w:rtl/>
          <w:lang w:val="en-US"/>
        </w:rPr>
        <w:t xml:space="preserve"> في الدولة الطرف، بسبل منها توسيع نطاق تطبيقه ليشمل عديمي الجنسية. وترحب اللجنة بوجه خاص بكون هذا القانون قد ألغى المرسوم بقانون رقم </w:t>
      </w:r>
      <w:r w:rsidRPr="009F3E84">
        <w:rPr>
          <w:rtl/>
          <w:lang w:val="en-US"/>
        </w:rPr>
        <w:t>6</w:t>
      </w:r>
      <w:r w:rsidRPr="007935FF">
        <w:rPr>
          <w:rtl/>
          <w:lang w:val="en-US"/>
        </w:rPr>
        <w:t>/</w:t>
      </w:r>
      <w:r w:rsidRPr="009F3E84">
        <w:rPr>
          <w:rtl/>
          <w:lang w:val="en-US"/>
        </w:rPr>
        <w:t>97</w:t>
      </w:r>
      <w:r w:rsidRPr="007935FF">
        <w:rPr>
          <w:rtl/>
          <w:lang w:val="en-US"/>
        </w:rPr>
        <w:t xml:space="preserve"> الذي تضمن أحكام</w:t>
      </w:r>
      <w:r w:rsidR="00EA4188">
        <w:rPr>
          <w:rtl/>
          <w:lang w:val="en-US"/>
        </w:rPr>
        <w:t xml:space="preserve">اً </w:t>
      </w:r>
      <w:r w:rsidRPr="007935FF">
        <w:rPr>
          <w:rtl/>
          <w:lang w:val="en-US"/>
        </w:rPr>
        <w:t>تنتهك الاتفاقية</w:t>
      </w:r>
      <w:r w:rsidR="007D4D2B">
        <w:rPr>
          <w:rStyle w:val="FootnoteReference"/>
          <w:szCs w:val="22"/>
          <w:rtl/>
          <w:lang w:val="en-US"/>
        </w:rPr>
        <w:t>(</w:t>
      </w:r>
      <w:r w:rsidR="007D4D2B" w:rsidRPr="009F3E84">
        <w:rPr>
          <w:rStyle w:val="FootnoteReference"/>
          <w:szCs w:val="22"/>
          <w:lang w:val="en-US"/>
        </w:rPr>
        <w:footnoteReference w:id="4"/>
      </w:r>
      <w:r w:rsidR="007D4D2B" w:rsidRPr="007D4D2B">
        <w:rPr>
          <w:color w:val="000000"/>
          <w:vertAlign w:val="superscript"/>
          <w:rtl/>
          <w:lang w:val="en-US"/>
        </w:rPr>
        <w:t>)</w:t>
      </w:r>
      <w:r w:rsidR="007D4D2B" w:rsidRPr="007D4D2B">
        <w:rPr>
          <w:color w:val="000000"/>
          <w:rtl/>
          <w:lang w:val="en-US"/>
        </w:rPr>
        <w:t>.</w:t>
      </w:r>
      <w:r w:rsidR="007D4D2B" w:rsidRPr="007D4D2B">
        <w:rPr>
          <w:color w:val="000000"/>
          <w:rtl/>
          <w:lang w:val="en-US"/>
        </w:rPr>
        <w:t xml:space="preserve"> </w:t>
      </w:r>
      <w:r w:rsidRPr="007935FF">
        <w:rPr>
          <w:rtl/>
          <w:lang w:val="en-US"/>
        </w:rPr>
        <w:t xml:space="preserve">بيد أن اللجنة تشعر بالقلق لأن مبدأ المساواة في الحقوق والواجبات بين مواطني </w:t>
      </w:r>
      <w:r w:rsidR="00972938">
        <w:rPr>
          <w:rtl/>
          <w:lang w:val="en-US"/>
        </w:rPr>
        <w:t>كابو فيردي</w:t>
      </w:r>
      <w:r w:rsidRPr="007935FF">
        <w:rPr>
          <w:rtl/>
          <w:lang w:val="en-US"/>
        </w:rPr>
        <w:t xml:space="preserve"> والمواطنين الأجانب الوارد في المادة </w:t>
      </w:r>
      <w:r w:rsidRPr="009F3E84">
        <w:rPr>
          <w:rtl/>
          <w:lang w:val="en-US"/>
        </w:rPr>
        <w:t>64</w:t>
      </w:r>
      <w:r w:rsidRPr="007935FF">
        <w:rPr>
          <w:rtl/>
          <w:lang w:val="en-US"/>
        </w:rPr>
        <w:t xml:space="preserve"> لا ينطبق إلا على العمال المهاجرين النظاميين وأفراد أسرهم، ولأن اللوائح التنفيذية للقانون رقم </w:t>
      </w:r>
      <w:r w:rsidR="002C3608" w:rsidRPr="009F3E84">
        <w:t>106</w:t>
      </w:r>
      <w:r w:rsidR="002C3608" w:rsidRPr="0042601C">
        <w:t>/V/</w:t>
      </w:r>
      <w:r w:rsidR="002C3608" w:rsidRPr="009F3E84">
        <w:t>99</w:t>
      </w:r>
      <w:r w:rsidRPr="007935FF">
        <w:rPr>
          <w:rtl/>
          <w:lang w:val="en-US"/>
        </w:rPr>
        <w:t xml:space="preserve"> بشأن اللجوء ومركز اللاجئ لم تعتمد بعد مرور أكثر من </w:t>
      </w:r>
      <w:r w:rsidRPr="009F3E84">
        <w:rPr>
          <w:rtl/>
          <w:lang w:val="en-US"/>
        </w:rPr>
        <w:t>20</w:t>
      </w:r>
      <w:r w:rsidRPr="007935FF">
        <w:rPr>
          <w:rtl/>
          <w:lang w:val="en-US"/>
        </w:rPr>
        <w:t xml:space="preserve"> عام</w:t>
      </w:r>
      <w:r w:rsidR="00EA4188">
        <w:rPr>
          <w:rtl/>
          <w:lang w:val="en-US"/>
        </w:rPr>
        <w:t xml:space="preserve">اً </w:t>
      </w:r>
      <w:r w:rsidRPr="007935FF">
        <w:rPr>
          <w:rtl/>
          <w:lang w:val="en-US"/>
        </w:rPr>
        <w:t>على اعتماد القانون،</w:t>
      </w:r>
      <w:r w:rsidR="007F26E8">
        <w:rPr>
          <w:rtl/>
          <w:lang w:val="en-US"/>
        </w:rPr>
        <w:t xml:space="preserve"> </w:t>
      </w:r>
      <w:r w:rsidRPr="007935FF">
        <w:rPr>
          <w:rtl/>
          <w:lang w:val="en-US"/>
        </w:rPr>
        <w:t>وتلاحظ التفسير الذي قدمته الدولة الطرف بأنها تقوم حالي</w:t>
      </w:r>
      <w:r w:rsidR="00EA4188">
        <w:rPr>
          <w:rtl/>
          <w:lang w:val="en-US"/>
        </w:rPr>
        <w:t xml:space="preserve">اً </w:t>
      </w:r>
      <w:r w:rsidRPr="007935FF">
        <w:rPr>
          <w:rtl/>
          <w:lang w:val="en-US"/>
        </w:rPr>
        <w:t xml:space="preserve">باستعراض التشريع نفسه. </w:t>
      </w:r>
    </w:p>
    <w:p w14:paraId="0C5658F3" w14:textId="7E35B17A" w:rsidR="007935FF" w:rsidRPr="009F3E84" w:rsidRDefault="007935FF" w:rsidP="007935FF">
      <w:pPr>
        <w:pStyle w:val="SingleTxtGA"/>
        <w:rPr>
          <w:b/>
          <w:bCs/>
          <w:lang w:val="en-US"/>
        </w:rPr>
      </w:pPr>
      <w:r w:rsidRPr="009F3E84">
        <w:rPr>
          <w:rtl/>
          <w:lang w:val="en-US"/>
        </w:rPr>
        <w:t>12</w:t>
      </w:r>
      <w:r w:rsidRPr="007935FF">
        <w:rPr>
          <w:rtl/>
          <w:lang w:val="en-US"/>
        </w:rPr>
        <w:t>-</w:t>
      </w:r>
      <w:r w:rsidRPr="007935FF">
        <w:rPr>
          <w:rtl/>
          <w:lang w:val="en-US"/>
        </w:rPr>
        <w:tab/>
      </w:r>
      <w:r w:rsidRPr="009F3E84">
        <w:rPr>
          <w:b/>
          <w:bCs/>
          <w:rtl/>
          <w:lang w:val="en-US"/>
        </w:rPr>
        <w:t>تذكّر اللجنة بتوصياتها السابقة</w:t>
      </w:r>
      <w:r w:rsidR="007D4D2B" w:rsidRPr="009F3E84">
        <w:rPr>
          <w:rStyle w:val="FootnoteReference"/>
          <w:b/>
          <w:bCs/>
          <w:szCs w:val="22"/>
          <w:rtl/>
          <w:lang w:val="en-US"/>
        </w:rPr>
        <w:t>(</w:t>
      </w:r>
      <w:r w:rsidR="007D4D2B" w:rsidRPr="009F3E84">
        <w:rPr>
          <w:rStyle w:val="FootnoteReference"/>
          <w:b/>
          <w:bCs/>
          <w:szCs w:val="22"/>
          <w:lang w:val="en-US"/>
        </w:rPr>
        <w:footnoteReference w:id="5"/>
      </w:r>
      <w:r w:rsidR="00C5021E" w:rsidRPr="009F3E84">
        <w:rPr>
          <w:b/>
          <w:bCs/>
          <w:vertAlign w:val="superscript"/>
          <w:rtl/>
          <w:lang w:val="en-US"/>
        </w:rPr>
        <w:t>)</w:t>
      </w:r>
      <w:r w:rsidRPr="009F3E84">
        <w:rPr>
          <w:b/>
          <w:bCs/>
          <w:rtl/>
          <w:lang w:val="en-US"/>
        </w:rPr>
        <w:t xml:space="preserve"> وتوصي الدولة الطرف بما يلي:</w:t>
      </w:r>
    </w:p>
    <w:p w14:paraId="2E3B1D84" w14:textId="33DA676C" w:rsidR="007D4D2B" w:rsidRPr="009F3E84" w:rsidRDefault="00B160EB" w:rsidP="007935FF">
      <w:pPr>
        <w:pStyle w:val="SingleTxtGA"/>
        <w:rPr>
          <w:b/>
          <w:bCs/>
          <w:color w:val="000000"/>
          <w:lang w:val="en-US"/>
        </w:rPr>
      </w:pPr>
      <w:r w:rsidRPr="00B160EB">
        <w:rPr>
          <w:rtl/>
          <w:lang w:val="en-US"/>
        </w:rPr>
        <w:tab/>
        <w:t>(أ)</w:t>
      </w:r>
      <w:r w:rsidRPr="00B160EB">
        <w:rPr>
          <w:rtl/>
          <w:lang w:val="en-US"/>
        </w:rPr>
        <w:tab/>
      </w:r>
      <w:r w:rsidR="007935FF" w:rsidRPr="009F3E84">
        <w:rPr>
          <w:b/>
          <w:bCs/>
          <w:rtl/>
          <w:lang w:val="en-US"/>
        </w:rPr>
        <w:t>اتخاذ الخطوات اللازمة لمواءمة تشريعاتها مع أحكام الاتفاقية، مع مراعاة التعليقات العامة للجنة رقم 1(201</w:t>
      </w:r>
      <w:r w:rsidR="007D4D2B" w:rsidRPr="009F3E84">
        <w:rPr>
          <w:b/>
          <w:bCs/>
          <w:color w:val="000000"/>
          <w:rtl/>
          <w:lang w:val="en-US"/>
        </w:rPr>
        <w:t xml:space="preserve">1) </w:t>
      </w:r>
      <w:r w:rsidR="007935FF" w:rsidRPr="009F3E84">
        <w:rPr>
          <w:b/>
          <w:bCs/>
          <w:rtl/>
          <w:lang w:val="en-US"/>
        </w:rPr>
        <w:t>ورقم 2(201</w:t>
      </w:r>
      <w:r w:rsidR="007D4D2B" w:rsidRPr="009F3E84">
        <w:rPr>
          <w:b/>
          <w:bCs/>
          <w:color w:val="000000"/>
          <w:rtl/>
          <w:lang w:val="en-US"/>
        </w:rPr>
        <w:t xml:space="preserve">3) </w:t>
      </w:r>
      <w:r w:rsidR="007935FF" w:rsidRPr="009F3E84">
        <w:rPr>
          <w:b/>
          <w:bCs/>
          <w:rtl/>
          <w:lang w:val="en-US"/>
        </w:rPr>
        <w:t>ورقم 5(2021</w:t>
      </w:r>
      <w:r w:rsidR="007D4D2B" w:rsidRPr="009F3E84">
        <w:rPr>
          <w:b/>
          <w:bCs/>
          <w:color w:val="000000"/>
          <w:rtl/>
          <w:lang w:val="en-US"/>
        </w:rPr>
        <w:t xml:space="preserve">)، </w:t>
      </w:r>
      <w:r w:rsidR="007935FF" w:rsidRPr="009F3E84">
        <w:rPr>
          <w:b/>
          <w:bCs/>
          <w:rtl/>
          <w:lang w:val="en-US"/>
        </w:rPr>
        <w:t>والتعليقين العامين المشتركين رقم 3 ورقم</w:t>
      </w:r>
      <w:r w:rsidRPr="009F3E84">
        <w:rPr>
          <w:rFonts w:hint="cs"/>
          <w:b/>
          <w:bCs/>
          <w:rtl/>
          <w:lang w:val="en-US"/>
        </w:rPr>
        <w:t> </w:t>
      </w:r>
      <w:r w:rsidR="007935FF" w:rsidRPr="009F3E84">
        <w:rPr>
          <w:b/>
          <w:bCs/>
          <w:rtl/>
          <w:lang w:val="en-US"/>
        </w:rPr>
        <w:t>4 للجنة المعنية بحماية حقوق جميع العمال المهاجرين وأفراد أسرهم/رقم 22 ورقم 23 للجنة حقوق الطفل (2017</w:t>
      </w:r>
      <w:r w:rsidR="007D4D2B" w:rsidRPr="009F3E84">
        <w:rPr>
          <w:b/>
          <w:bCs/>
          <w:color w:val="000000"/>
          <w:rtl/>
          <w:lang w:val="en-US"/>
        </w:rPr>
        <w:t>)؛</w:t>
      </w:r>
    </w:p>
    <w:p w14:paraId="2D73EC24" w14:textId="71D3E5F8" w:rsidR="007935FF" w:rsidRPr="009F3E84" w:rsidRDefault="00B160EB" w:rsidP="007935FF">
      <w:pPr>
        <w:pStyle w:val="SingleTxtGA"/>
        <w:rPr>
          <w:b/>
          <w:bCs/>
          <w:lang w:val="en-US"/>
        </w:rPr>
      </w:pPr>
      <w:r w:rsidRPr="00B160EB">
        <w:rPr>
          <w:rtl/>
          <w:lang w:val="en-US"/>
        </w:rPr>
        <w:tab/>
        <w:t>(ب)</w:t>
      </w:r>
      <w:r w:rsidRPr="00B160EB">
        <w:rPr>
          <w:rtl/>
          <w:lang w:val="en-US"/>
        </w:rPr>
        <w:tab/>
      </w:r>
      <w:r w:rsidR="007935FF" w:rsidRPr="009F3E84">
        <w:rPr>
          <w:b/>
          <w:bCs/>
          <w:rtl/>
          <w:lang w:val="en-US"/>
        </w:rPr>
        <w:t xml:space="preserve">الانتهاء دون إبطاء من استعراض وتنقيح القانون رقم </w:t>
      </w:r>
      <w:r w:rsidR="002C3608" w:rsidRPr="009F3E84">
        <w:rPr>
          <w:b/>
          <w:bCs/>
          <w:rtl/>
        </w:rPr>
        <w:t>106/</w:t>
      </w:r>
      <w:r w:rsidR="002C3608" w:rsidRPr="009F3E84">
        <w:rPr>
          <w:b/>
          <w:bCs/>
        </w:rPr>
        <w:t>V/99</w:t>
      </w:r>
      <w:r w:rsidR="007935FF" w:rsidRPr="009F3E84">
        <w:rPr>
          <w:b/>
          <w:bCs/>
          <w:rtl/>
          <w:lang w:val="en-US"/>
        </w:rPr>
        <w:t>، وفي غضون ذلك، الإسراع باعتماد لوائح لإنفاذ التشريعات الحالية، بغية ضمان حماية ملتمسي اللجوء والأشخاص المحتاجين إلى حماية إضافية وغيرهم من الأشخاص المحتاجين إلى الحماية الدولية؛</w:t>
      </w:r>
    </w:p>
    <w:p w14:paraId="0AFA5367" w14:textId="0ACD0606" w:rsidR="007935FF" w:rsidRPr="009F3E84" w:rsidRDefault="00B160EB" w:rsidP="007935FF">
      <w:pPr>
        <w:pStyle w:val="SingleTxtGA"/>
        <w:rPr>
          <w:b/>
          <w:bCs/>
          <w:lang w:val="en-US"/>
        </w:rPr>
      </w:pPr>
      <w:r w:rsidRPr="00B160EB">
        <w:rPr>
          <w:rtl/>
          <w:lang w:val="en-US"/>
        </w:rPr>
        <w:tab/>
        <w:t>(ج)</w:t>
      </w:r>
      <w:r w:rsidRPr="00B160EB">
        <w:rPr>
          <w:rtl/>
          <w:lang w:val="en-US"/>
        </w:rPr>
        <w:tab/>
      </w:r>
      <w:r w:rsidR="007935FF" w:rsidRPr="009F3E84">
        <w:rPr>
          <w:rFonts w:ascii="Times New Roman Bold" w:hAnsi="Times New Roman Bold"/>
          <w:b/>
          <w:bCs/>
          <w:spacing w:val="-2"/>
          <w:rtl/>
          <w:lang w:val="en-US"/>
        </w:rPr>
        <w:t>تضمين تقريرها الدوري المقبل مزيد</w:t>
      </w:r>
      <w:r w:rsidR="00EA4188" w:rsidRPr="009F3E84">
        <w:rPr>
          <w:rFonts w:ascii="Times New Roman Bold" w:hAnsi="Times New Roman Bold"/>
          <w:b/>
          <w:bCs/>
          <w:spacing w:val="-2"/>
          <w:rtl/>
          <w:lang w:val="en-US"/>
        </w:rPr>
        <w:t xml:space="preserve">اً </w:t>
      </w:r>
      <w:r w:rsidR="007935FF" w:rsidRPr="009F3E84">
        <w:rPr>
          <w:rFonts w:ascii="Times New Roman Bold" w:hAnsi="Times New Roman Bold"/>
          <w:b/>
          <w:bCs/>
          <w:spacing w:val="-2"/>
          <w:rtl/>
          <w:lang w:val="en-US"/>
        </w:rPr>
        <w:t>من المعلومات عن مدى تطبيق محاكمها المحلية</w:t>
      </w:r>
      <w:r w:rsidR="007935FF" w:rsidRPr="009F3E84">
        <w:rPr>
          <w:b/>
          <w:bCs/>
          <w:rtl/>
          <w:lang w:val="en-US"/>
        </w:rPr>
        <w:t xml:space="preserve"> لأحكام الاتفاقية وللتعليقات العامة للجنة.</w:t>
      </w:r>
    </w:p>
    <w:p w14:paraId="405E4DF1" w14:textId="77777777" w:rsidR="007935FF" w:rsidRPr="009F3E84" w:rsidRDefault="007935FF" w:rsidP="00B83204">
      <w:pPr>
        <w:pStyle w:val="H23GA"/>
      </w:pPr>
      <w:r w:rsidRPr="009F3E84">
        <w:rPr>
          <w:rtl/>
        </w:rPr>
        <w:tab/>
      </w:r>
      <w:r w:rsidRPr="009F3E84">
        <w:rPr>
          <w:rtl/>
        </w:rPr>
        <w:tab/>
        <w:t>المادتان 76 و77</w:t>
      </w:r>
    </w:p>
    <w:p w14:paraId="7CE0E0E0" w14:textId="07BA8EB5" w:rsidR="007935FF" w:rsidRPr="007935FF" w:rsidRDefault="007935FF" w:rsidP="007935FF">
      <w:pPr>
        <w:pStyle w:val="SingleTxtGA"/>
        <w:rPr>
          <w:lang w:val="en-US"/>
        </w:rPr>
      </w:pPr>
      <w:r w:rsidRPr="009F3E84">
        <w:rPr>
          <w:rtl/>
          <w:lang w:val="en-US"/>
        </w:rPr>
        <w:t>13</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بالتفسير الذي قدمته الدولة الطرف والذي أشارت فيه إلى أنها تجري حالي</w:t>
      </w:r>
      <w:r w:rsidR="00EA4188">
        <w:rPr>
          <w:rtl/>
          <w:lang w:val="en-US"/>
        </w:rPr>
        <w:t xml:space="preserve">اً </w:t>
      </w:r>
      <w:r w:rsidRPr="00B160EB">
        <w:rPr>
          <w:spacing w:val="-2"/>
          <w:rtl/>
          <w:lang w:val="en-US"/>
        </w:rPr>
        <w:t>تحليل</w:t>
      </w:r>
      <w:r w:rsidR="00EA4188">
        <w:rPr>
          <w:spacing w:val="-2"/>
          <w:rtl/>
          <w:lang w:val="en-US"/>
        </w:rPr>
        <w:t xml:space="preserve">اً </w:t>
      </w:r>
      <w:r w:rsidRPr="00B160EB">
        <w:rPr>
          <w:spacing w:val="-2"/>
          <w:rtl/>
          <w:lang w:val="en-US"/>
        </w:rPr>
        <w:t>مقارن</w:t>
      </w:r>
      <w:r w:rsidR="00EA4188">
        <w:rPr>
          <w:spacing w:val="-2"/>
          <w:rtl/>
          <w:lang w:val="en-US"/>
        </w:rPr>
        <w:t xml:space="preserve">اً </w:t>
      </w:r>
      <w:r w:rsidRPr="00B160EB">
        <w:rPr>
          <w:spacing w:val="-2"/>
          <w:rtl/>
          <w:lang w:val="en-US"/>
        </w:rPr>
        <w:t xml:space="preserve">إزاء بلدان أخرى قبل أن تنظر في إصدار الإعلانين المنصوص عليهما في المادتين </w:t>
      </w:r>
      <w:r w:rsidRPr="009F3E84">
        <w:rPr>
          <w:spacing w:val="-2"/>
          <w:rtl/>
          <w:lang w:val="en-US"/>
        </w:rPr>
        <w:t>76</w:t>
      </w:r>
      <w:r w:rsidRPr="00B160EB">
        <w:rPr>
          <w:spacing w:val="-2"/>
          <w:rtl/>
          <w:lang w:val="en-US"/>
        </w:rPr>
        <w:t xml:space="preserve"> و</w:t>
      </w:r>
      <w:r w:rsidRPr="009F3E84">
        <w:rPr>
          <w:spacing w:val="-2"/>
          <w:rtl/>
          <w:lang w:val="en-US"/>
        </w:rPr>
        <w:t>77</w:t>
      </w:r>
      <w:r w:rsidRPr="007935FF">
        <w:rPr>
          <w:rtl/>
          <w:lang w:val="en-US"/>
        </w:rPr>
        <w:t xml:space="preserve"> من الاتفاقية. </w:t>
      </w:r>
    </w:p>
    <w:p w14:paraId="5A1FF8C5" w14:textId="133A1891" w:rsidR="007935FF" w:rsidRPr="009F3E84" w:rsidRDefault="007935FF" w:rsidP="007935FF">
      <w:pPr>
        <w:pStyle w:val="SingleTxtGA"/>
        <w:rPr>
          <w:b/>
          <w:bCs/>
          <w:lang w:val="en-US"/>
        </w:rPr>
      </w:pPr>
      <w:r w:rsidRPr="009F3E84">
        <w:rPr>
          <w:rtl/>
          <w:lang w:val="en-US"/>
        </w:rPr>
        <w:t>14</w:t>
      </w:r>
      <w:r w:rsidRPr="007935FF">
        <w:rPr>
          <w:rtl/>
          <w:lang w:val="en-US"/>
        </w:rPr>
        <w:t>-</w:t>
      </w:r>
      <w:r w:rsidRPr="007935FF">
        <w:rPr>
          <w:rtl/>
          <w:lang w:val="en-US"/>
        </w:rPr>
        <w:tab/>
      </w:r>
      <w:r w:rsidRPr="009F3E84">
        <w:rPr>
          <w:rFonts w:ascii="Times New Roman Bold" w:hAnsi="Times New Roman Bold"/>
          <w:b/>
          <w:bCs/>
          <w:spacing w:val="-4"/>
          <w:rtl/>
          <w:lang w:val="en-US"/>
        </w:rPr>
        <w:t>تكرر اللجنة توصيتها السابقة</w:t>
      </w:r>
      <w:r w:rsidR="007D4D2B" w:rsidRPr="009F3E84">
        <w:rPr>
          <w:rStyle w:val="FootnoteReference"/>
          <w:rFonts w:ascii="Times New Roman Bold" w:hAnsi="Times New Roman Bold"/>
          <w:b/>
          <w:bCs/>
          <w:spacing w:val="-4"/>
          <w:szCs w:val="22"/>
          <w:rtl/>
          <w:lang w:val="en-US"/>
        </w:rPr>
        <w:t>(</w:t>
      </w:r>
      <w:r w:rsidR="007D4D2B" w:rsidRPr="009F3E84">
        <w:rPr>
          <w:rStyle w:val="FootnoteReference"/>
          <w:rFonts w:ascii="Times New Roman Bold" w:hAnsi="Times New Roman Bold"/>
          <w:b/>
          <w:bCs/>
          <w:spacing w:val="-4"/>
          <w:szCs w:val="22"/>
          <w:lang w:val="en-US"/>
        </w:rPr>
        <w:footnoteReference w:id="6"/>
      </w:r>
      <w:r w:rsidR="00C5021E" w:rsidRPr="009F3E84">
        <w:rPr>
          <w:rFonts w:ascii="Times New Roman Bold" w:hAnsi="Times New Roman Bold"/>
          <w:b/>
          <w:bCs/>
          <w:spacing w:val="-4"/>
          <w:vertAlign w:val="superscript"/>
          <w:rtl/>
          <w:lang w:val="en-US"/>
        </w:rPr>
        <w:t>)</w:t>
      </w:r>
      <w:r w:rsidRPr="009F3E84">
        <w:rPr>
          <w:rFonts w:ascii="Times New Roman Bold" w:hAnsi="Times New Roman Bold"/>
          <w:b/>
          <w:bCs/>
          <w:spacing w:val="-4"/>
          <w:rtl/>
          <w:lang w:val="en-US"/>
        </w:rPr>
        <w:t xml:space="preserve"> بأن تنظر الدولة الطرف في إصدار الإعلانين المنصوص عليهما</w:t>
      </w:r>
      <w:r w:rsidRPr="009F3E84">
        <w:rPr>
          <w:b/>
          <w:bCs/>
          <w:rtl/>
          <w:lang w:val="en-US"/>
        </w:rPr>
        <w:t xml:space="preserve"> </w:t>
      </w:r>
      <w:r w:rsidRPr="009F3E84">
        <w:rPr>
          <w:rFonts w:ascii="Times New Roman Bold" w:hAnsi="Times New Roman Bold"/>
          <w:b/>
          <w:bCs/>
          <w:spacing w:val="-2"/>
          <w:rtl/>
          <w:lang w:val="en-US"/>
        </w:rPr>
        <w:t>في المادتين 76 و77 من الاتفاقية بشأن الاعتراف باختصاص اللجنة بتلقي البلاغات المقدمة من الدول</w:t>
      </w:r>
      <w:r w:rsidRPr="009F3E84">
        <w:rPr>
          <w:b/>
          <w:bCs/>
          <w:spacing w:val="-2"/>
          <w:rtl/>
          <w:lang w:val="en-US"/>
        </w:rPr>
        <w:t xml:space="preserve"> الأطراف</w:t>
      </w:r>
      <w:r w:rsidRPr="009F3E84">
        <w:rPr>
          <w:b/>
          <w:bCs/>
          <w:rtl/>
          <w:lang w:val="en-US"/>
        </w:rPr>
        <w:t xml:space="preserve"> ومن الأفراد بشأن انتهاكات الحقوق التي تكفلها الاتفاقية والنظر في تلك البلاغات.</w:t>
      </w:r>
    </w:p>
    <w:p w14:paraId="1797801A" w14:textId="77777777" w:rsidR="007935FF" w:rsidRPr="009F3E84" w:rsidRDefault="007935FF" w:rsidP="00B83204">
      <w:pPr>
        <w:pStyle w:val="H23GA"/>
      </w:pPr>
      <w:r w:rsidRPr="009F3E84">
        <w:rPr>
          <w:rtl/>
        </w:rPr>
        <w:tab/>
      </w:r>
      <w:r w:rsidRPr="009F3E84">
        <w:rPr>
          <w:rtl/>
        </w:rPr>
        <w:tab/>
        <w:t>التصديق على الصكوك ذات الصلة</w:t>
      </w:r>
    </w:p>
    <w:p w14:paraId="2A1A1374" w14:textId="2BCF54EA" w:rsidR="007935FF" w:rsidRPr="007935FF" w:rsidRDefault="007935FF" w:rsidP="007935FF">
      <w:pPr>
        <w:pStyle w:val="SingleTxtGA"/>
        <w:rPr>
          <w:lang w:val="en-US"/>
        </w:rPr>
      </w:pPr>
      <w:r w:rsidRPr="009F3E84">
        <w:rPr>
          <w:rtl/>
          <w:lang w:val="en-US"/>
        </w:rPr>
        <w:t>15</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بالتفسير الذي قدمته الدولة الطرف، والذي أشارت فيه إلى أنها تتخذ خطوات</w:t>
      </w:r>
      <w:r w:rsidR="00B160EB">
        <w:rPr>
          <w:rFonts w:hint="cs"/>
          <w:rtl/>
          <w:lang w:val="en-US"/>
        </w:rPr>
        <w:t> </w:t>
      </w:r>
      <w:r w:rsidRPr="007935FF">
        <w:rPr>
          <w:rtl/>
          <w:lang w:val="en-US"/>
        </w:rPr>
        <w:t>ملموسة، بما في ذلك تعزيز الاقتصاد النظامي، بغية الامتثال لاتفاقيات منظمة العمل الدولية التي لم</w:t>
      </w:r>
      <w:r w:rsidR="007F26E8">
        <w:rPr>
          <w:rtl/>
          <w:lang w:val="en-US"/>
        </w:rPr>
        <w:t xml:space="preserve"> </w:t>
      </w:r>
      <w:r w:rsidRPr="007935FF">
        <w:rPr>
          <w:rtl/>
          <w:lang w:val="en-US"/>
        </w:rPr>
        <w:t xml:space="preserve">تنضم إليها بعد. </w:t>
      </w:r>
    </w:p>
    <w:p w14:paraId="4558B335" w14:textId="6EAA8FCD" w:rsidR="007D4D2B" w:rsidRPr="009F3E84" w:rsidRDefault="007935FF" w:rsidP="00B160EB">
      <w:pPr>
        <w:pStyle w:val="SingleTxtGA"/>
        <w:spacing w:line="354" w:lineRule="exact"/>
        <w:rPr>
          <w:b/>
          <w:bCs/>
          <w:color w:val="000000"/>
          <w:lang w:val="en-US"/>
        </w:rPr>
      </w:pPr>
      <w:r w:rsidRPr="009F3E84">
        <w:rPr>
          <w:rtl/>
          <w:lang w:val="en-US"/>
        </w:rPr>
        <w:lastRenderedPageBreak/>
        <w:t>16</w:t>
      </w:r>
      <w:r w:rsidRPr="007935FF">
        <w:rPr>
          <w:rtl/>
          <w:lang w:val="en-US"/>
        </w:rPr>
        <w:t>-</w:t>
      </w:r>
      <w:r w:rsidRPr="007935FF">
        <w:rPr>
          <w:rtl/>
          <w:lang w:val="en-US"/>
        </w:rPr>
        <w:tab/>
      </w:r>
      <w:r w:rsidRPr="009F3E84">
        <w:rPr>
          <w:b/>
          <w:bCs/>
          <w:rtl/>
          <w:lang w:val="en-US"/>
        </w:rPr>
        <w:t>تكرر اللجنة توصياتها السابقة</w:t>
      </w:r>
      <w:r w:rsidR="007D4D2B" w:rsidRPr="009F3E84">
        <w:rPr>
          <w:rStyle w:val="FootnoteReference"/>
          <w:b/>
          <w:bCs/>
          <w:szCs w:val="22"/>
          <w:rtl/>
          <w:lang w:val="en-US"/>
        </w:rPr>
        <w:t>(</w:t>
      </w:r>
      <w:r w:rsidR="007D4D2B" w:rsidRPr="009F3E84">
        <w:rPr>
          <w:rStyle w:val="FootnoteReference"/>
          <w:b/>
          <w:bCs/>
          <w:szCs w:val="22"/>
          <w:lang w:val="en-US"/>
        </w:rPr>
        <w:footnoteReference w:id="7"/>
      </w:r>
      <w:r w:rsidR="007D4D2B" w:rsidRPr="009F3E84">
        <w:rPr>
          <w:b/>
          <w:bCs/>
          <w:color w:val="000000"/>
          <w:vertAlign w:val="superscript"/>
          <w:rtl/>
          <w:lang w:val="en-US"/>
        </w:rPr>
        <w:t>)</w:t>
      </w:r>
      <w:r w:rsidR="007D4D2B" w:rsidRPr="009F3E84">
        <w:rPr>
          <w:b/>
          <w:bCs/>
          <w:color w:val="000000"/>
          <w:rtl/>
          <w:lang w:val="en-US"/>
        </w:rPr>
        <w:t xml:space="preserve">، </w:t>
      </w:r>
      <w:r w:rsidRPr="009F3E84">
        <w:rPr>
          <w:b/>
          <w:bCs/>
          <w:rtl/>
          <w:lang w:val="en-US"/>
        </w:rPr>
        <w:t>وتوصي الدولة الطرف بالتصديق على الاتفاقيات التالية أو</w:t>
      </w:r>
      <w:r w:rsidR="00B160EB" w:rsidRPr="009F3E84">
        <w:rPr>
          <w:rFonts w:hint="cs"/>
          <w:b/>
          <w:bCs/>
          <w:rtl/>
          <w:lang w:val="en-US"/>
        </w:rPr>
        <w:t> </w:t>
      </w:r>
      <w:r w:rsidRPr="009F3E84">
        <w:rPr>
          <w:b/>
          <w:bCs/>
          <w:rtl/>
          <w:lang w:val="en-US"/>
        </w:rPr>
        <w:t>الانضمام إليها في أقرب وقت ممكن: اتفاقية العمال المهاجرين (مراجعة</w:t>
      </w:r>
      <w:r w:rsidR="007D4D2B" w:rsidRPr="009F3E84">
        <w:rPr>
          <w:b/>
          <w:bCs/>
          <w:color w:val="000000"/>
          <w:rtl/>
          <w:lang w:val="en-US"/>
        </w:rPr>
        <w:t xml:space="preserve">)، </w:t>
      </w:r>
      <w:r w:rsidRPr="009F3E84">
        <w:rPr>
          <w:b/>
          <w:bCs/>
          <w:rtl/>
          <w:lang w:val="en-US"/>
        </w:rPr>
        <w:t>1949 (رقم 9</w:t>
      </w:r>
      <w:r w:rsidR="007D4D2B" w:rsidRPr="009F3E84">
        <w:rPr>
          <w:b/>
          <w:bCs/>
          <w:color w:val="000000"/>
          <w:rtl/>
          <w:lang w:val="en-US"/>
        </w:rPr>
        <w:t xml:space="preserve">7) </w:t>
      </w:r>
      <w:r w:rsidRPr="009F3E84">
        <w:rPr>
          <w:b/>
          <w:bCs/>
          <w:rtl/>
          <w:lang w:val="en-US"/>
        </w:rPr>
        <w:t xml:space="preserve">لمنظمة </w:t>
      </w:r>
      <w:r w:rsidRPr="009F3E84">
        <w:rPr>
          <w:rFonts w:ascii="Times New Roman Bold" w:hAnsi="Times New Roman Bold"/>
          <w:b/>
          <w:bCs/>
          <w:spacing w:val="-4"/>
          <w:rtl/>
          <w:lang w:val="en-US"/>
        </w:rPr>
        <w:t>العمل الدولية؛ واتفاقية تحديد المستويات الدنيا للأجور، 1970 (رقم 131</w:t>
      </w:r>
      <w:r w:rsidR="007D4D2B" w:rsidRPr="009F3E84">
        <w:rPr>
          <w:rFonts w:ascii="Times New Roman Bold" w:hAnsi="Times New Roman Bold"/>
          <w:b/>
          <w:bCs/>
          <w:color w:val="000000"/>
          <w:spacing w:val="-4"/>
          <w:rtl/>
          <w:lang w:val="en-US"/>
        </w:rPr>
        <w:t xml:space="preserve">)، </w:t>
      </w:r>
      <w:r w:rsidRPr="009F3E84">
        <w:rPr>
          <w:rFonts w:ascii="Times New Roman Bold" w:hAnsi="Times New Roman Bold"/>
          <w:b/>
          <w:bCs/>
          <w:spacing w:val="-4"/>
          <w:rtl/>
          <w:lang w:val="en-US"/>
        </w:rPr>
        <w:t>لمنظمة العمل الدولية؛ واتفاقية</w:t>
      </w:r>
      <w:r w:rsidRPr="009F3E84">
        <w:rPr>
          <w:b/>
          <w:bCs/>
          <w:rtl/>
          <w:lang w:val="en-US"/>
        </w:rPr>
        <w:t xml:space="preserve"> </w:t>
      </w:r>
      <w:r w:rsidRPr="009F3E84">
        <w:rPr>
          <w:rFonts w:ascii="Times New Roman Bold" w:hAnsi="Times New Roman Bold"/>
          <w:b/>
          <w:bCs/>
          <w:spacing w:val="-4"/>
          <w:rtl/>
          <w:lang w:val="en-US"/>
        </w:rPr>
        <w:t>العمال المهاجرين (أحكام تكميلية</w:t>
      </w:r>
      <w:r w:rsidR="007D4D2B" w:rsidRPr="009F3E84">
        <w:rPr>
          <w:rFonts w:ascii="Times New Roman Bold" w:hAnsi="Times New Roman Bold"/>
          <w:b/>
          <w:bCs/>
          <w:color w:val="000000"/>
          <w:spacing w:val="-4"/>
          <w:rtl/>
          <w:lang w:val="en-US"/>
        </w:rPr>
        <w:t xml:space="preserve">)، </w:t>
      </w:r>
      <w:r w:rsidRPr="009F3E84">
        <w:rPr>
          <w:rFonts w:ascii="Times New Roman Bold" w:hAnsi="Times New Roman Bold"/>
          <w:b/>
          <w:bCs/>
          <w:spacing w:val="-4"/>
          <w:rtl/>
          <w:lang w:val="en-US"/>
        </w:rPr>
        <w:t>1975 (رقم 14</w:t>
      </w:r>
      <w:r w:rsidR="007D4D2B" w:rsidRPr="009F3E84">
        <w:rPr>
          <w:rFonts w:ascii="Times New Roman Bold" w:hAnsi="Times New Roman Bold"/>
          <w:b/>
          <w:bCs/>
          <w:color w:val="000000"/>
          <w:spacing w:val="-4"/>
          <w:rtl/>
          <w:lang w:val="en-US"/>
        </w:rPr>
        <w:t xml:space="preserve">3) </w:t>
      </w:r>
      <w:r w:rsidRPr="009F3E84">
        <w:rPr>
          <w:rFonts w:ascii="Times New Roman Bold" w:hAnsi="Times New Roman Bold"/>
          <w:b/>
          <w:bCs/>
          <w:spacing w:val="-4"/>
          <w:rtl/>
          <w:lang w:val="en-US"/>
        </w:rPr>
        <w:t>لمنظمة العمل الدولية؛ واتفاقية السلامة والصحة في</w:t>
      </w:r>
      <w:r w:rsidRPr="009F3E84">
        <w:rPr>
          <w:b/>
          <w:bCs/>
          <w:rtl/>
          <w:lang w:val="en-US"/>
        </w:rPr>
        <w:t xml:space="preserve"> </w:t>
      </w:r>
      <w:r w:rsidRPr="009F3E84">
        <w:rPr>
          <w:rFonts w:ascii="Times New Roman Bold" w:hAnsi="Times New Roman Bold"/>
          <w:b/>
          <w:bCs/>
          <w:spacing w:val="-4"/>
          <w:rtl/>
          <w:lang w:val="en-US"/>
        </w:rPr>
        <w:t>البناء، 1988 (رقم 16</w:t>
      </w:r>
      <w:r w:rsidR="007D4D2B" w:rsidRPr="009F3E84">
        <w:rPr>
          <w:rFonts w:ascii="Times New Roman Bold" w:hAnsi="Times New Roman Bold"/>
          <w:b/>
          <w:bCs/>
          <w:color w:val="000000"/>
          <w:spacing w:val="-4"/>
          <w:rtl/>
          <w:lang w:val="en-US"/>
        </w:rPr>
        <w:t xml:space="preserve">7) </w:t>
      </w:r>
      <w:r w:rsidRPr="009F3E84">
        <w:rPr>
          <w:rFonts w:ascii="Times New Roman Bold" w:hAnsi="Times New Roman Bold"/>
          <w:b/>
          <w:bCs/>
          <w:spacing w:val="-4"/>
          <w:rtl/>
          <w:lang w:val="en-US"/>
        </w:rPr>
        <w:t>لمنظمة العمل الدولية؛ واتفاقية وكالات الاستخدام الخاصة، 1997 (رقم 18</w:t>
      </w:r>
      <w:r w:rsidR="007D4D2B" w:rsidRPr="009F3E84">
        <w:rPr>
          <w:rFonts w:ascii="Times New Roman Bold" w:hAnsi="Times New Roman Bold"/>
          <w:b/>
          <w:bCs/>
          <w:color w:val="000000"/>
          <w:spacing w:val="-4"/>
          <w:rtl/>
          <w:lang w:val="en-US"/>
        </w:rPr>
        <w:t>1)</w:t>
      </w:r>
      <w:r w:rsidR="007D4D2B" w:rsidRPr="009F3E84">
        <w:rPr>
          <w:b/>
          <w:bCs/>
          <w:color w:val="000000"/>
          <w:rtl/>
          <w:lang w:val="en-US"/>
        </w:rPr>
        <w:t xml:space="preserve"> </w:t>
      </w:r>
      <w:r w:rsidRPr="009F3E84">
        <w:rPr>
          <w:b/>
          <w:bCs/>
          <w:rtl/>
          <w:lang w:val="en-US"/>
        </w:rPr>
        <w:t>لمنظمة العمل الدولية؛ واتفاقية العمال المنزليين، 2011 (رقم 18</w:t>
      </w:r>
      <w:r w:rsidR="007D4D2B" w:rsidRPr="009F3E84">
        <w:rPr>
          <w:b/>
          <w:bCs/>
          <w:color w:val="000000"/>
          <w:rtl/>
          <w:lang w:val="en-US"/>
        </w:rPr>
        <w:t xml:space="preserve">9) </w:t>
      </w:r>
      <w:r w:rsidRPr="009F3E84">
        <w:rPr>
          <w:b/>
          <w:bCs/>
          <w:rtl/>
          <w:lang w:val="en-US"/>
        </w:rPr>
        <w:t>لمنظمة العمل الدولية. وتوصي اللجنة أيضاً بأن تنظر الدولة الطرف في التصديق على اتفاقية منظمة العمل الدولية بشأن القضاء على العنف والتحرش في عالم العمل، 2019 (رقم 19</w:t>
      </w:r>
      <w:r w:rsidR="007D4D2B" w:rsidRPr="009F3E84">
        <w:rPr>
          <w:b/>
          <w:bCs/>
          <w:color w:val="000000"/>
          <w:rtl/>
          <w:lang w:val="en-US"/>
        </w:rPr>
        <w:t>0).</w:t>
      </w:r>
    </w:p>
    <w:p w14:paraId="6AB82826" w14:textId="76DFCFFE" w:rsidR="007935FF" w:rsidRPr="009F3E84" w:rsidRDefault="007935FF" w:rsidP="00B160EB">
      <w:pPr>
        <w:pStyle w:val="H23GA"/>
        <w:spacing w:line="354" w:lineRule="exact"/>
      </w:pPr>
      <w:r w:rsidRPr="009F3E84">
        <w:rPr>
          <w:rtl/>
        </w:rPr>
        <w:tab/>
      </w:r>
      <w:r w:rsidRPr="009F3E84">
        <w:rPr>
          <w:rtl/>
        </w:rPr>
        <w:tab/>
        <w:t>السياسة والاستراتيجية الشاملتان</w:t>
      </w:r>
    </w:p>
    <w:p w14:paraId="35E93969" w14:textId="370DD253" w:rsidR="007935FF" w:rsidRPr="007935FF" w:rsidRDefault="007935FF" w:rsidP="00B160EB">
      <w:pPr>
        <w:pStyle w:val="SingleTxtGA"/>
        <w:spacing w:line="354" w:lineRule="exact"/>
        <w:rPr>
          <w:lang w:val="en-US"/>
        </w:rPr>
      </w:pPr>
      <w:r w:rsidRPr="009F3E84">
        <w:rPr>
          <w:rtl/>
          <w:lang w:val="en-US"/>
        </w:rPr>
        <w:t>17</w:t>
      </w:r>
      <w:r w:rsidRPr="007935FF">
        <w:rPr>
          <w:rtl/>
          <w:lang w:val="en-US"/>
        </w:rPr>
        <w:t>-</w:t>
      </w:r>
      <w:r w:rsidRPr="007935FF">
        <w:rPr>
          <w:rtl/>
          <w:lang w:val="en-US"/>
        </w:rPr>
        <w:tab/>
      </w:r>
      <w:r w:rsidRPr="00B160EB">
        <w:rPr>
          <w:spacing w:val="-4"/>
          <w:rtl/>
          <w:lang w:val="en-US"/>
        </w:rPr>
        <w:t>تحيط اللجنة</w:t>
      </w:r>
      <w:r w:rsidR="00EA4188">
        <w:rPr>
          <w:spacing w:val="-4"/>
          <w:rtl/>
          <w:lang w:val="en-US"/>
        </w:rPr>
        <w:t xml:space="preserve"> علماً </w:t>
      </w:r>
      <w:r w:rsidRPr="00B160EB">
        <w:rPr>
          <w:spacing w:val="-4"/>
          <w:rtl/>
          <w:lang w:val="en-US"/>
        </w:rPr>
        <w:t xml:space="preserve">بالاستراتيجية الوطنية للهجرة والتنمية، المعمول بها منذ عام </w:t>
      </w:r>
      <w:r w:rsidRPr="009F3E84">
        <w:rPr>
          <w:spacing w:val="-4"/>
          <w:rtl/>
          <w:lang w:val="en-US"/>
        </w:rPr>
        <w:t>2013</w:t>
      </w:r>
      <w:r w:rsidRPr="00B160EB">
        <w:rPr>
          <w:spacing w:val="-4"/>
          <w:rtl/>
          <w:lang w:val="en-US"/>
        </w:rPr>
        <w:t>، والاستراتيجية</w:t>
      </w:r>
      <w:r w:rsidRPr="007935FF">
        <w:rPr>
          <w:rtl/>
          <w:lang w:val="en-US"/>
        </w:rPr>
        <w:t xml:space="preserve"> الوطنية للهجرة، المعمول بها منذ عام </w:t>
      </w:r>
      <w:r w:rsidRPr="009F3E84">
        <w:rPr>
          <w:rtl/>
          <w:lang w:val="en-US"/>
        </w:rPr>
        <w:t>2012</w:t>
      </w:r>
      <w:r w:rsidRPr="007935FF">
        <w:rPr>
          <w:rtl/>
          <w:lang w:val="en-US"/>
        </w:rPr>
        <w:t>، وخطة العمل الثانية للإدماج الاجتماعي للمهاجرين (</w:t>
      </w:r>
      <w:r w:rsidRPr="009F3E84">
        <w:rPr>
          <w:rtl/>
          <w:lang w:val="en-US"/>
        </w:rPr>
        <w:t>2018</w:t>
      </w:r>
      <w:r w:rsidRPr="007935FF">
        <w:rPr>
          <w:rtl/>
          <w:lang w:val="en-US"/>
        </w:rPr>
        <w:t>-</w:t>
      </w:r>
      <w:r w:rsidRPr="009F3E84">
        <w:rPr>
          <w:rtl/>
          <w:lang w:val="en-US"/>
        </w:rPr>
        <w:t>2020</w:t>
      </w:r>
      <w:r w:rsidR="007D4D2B" w:rsidRPr="007D4D2B">
        <w:rPr>
          <w:color w:val="000000"/>
          <w:rtl/>
          <w:lang w:val="en-US"/>
        </w:rPr>
        <w:t xml:space="preserve">)، </w:t>
      </w:r>
      <w:r w:rsidRPr="007935FF">
        <w:rPr>
          <w:rtl/>
          <w:lang w:val="en-US"/>
        </w:rPr>
        <w:t xml:space="preserve">التي تم تمديدها حتى عام </w:t>
      </w:r>
      <w:r w:rsidRPr="009F3E84">
        <w:rPr>
          <w:rtl/>
          <w:lang w:val="en-US"/>
        </w:rPr>
        <w:t>2021</w:t>
      </w:r>
      <w:r w:rsidRPr="007935FF">
        <w:rPr>
          <w:rtl/>
          <w:lang w:val="en-US"/>
        </w:rPr>
        <w:t xml:space="preserve">، والتي تهدف جميعها إلى تعزيز أدوات وآليات إدارة </w:t>
      </w:r>
      <w:r w:rsidRPr="00B160EB">
        <w:rPr>
          <w:spacing w:val="-2"/>
          <w:rtl/>
          <w:lang w:val="en-US"/>
        </w:rPr>
        <w:t>التنقل وتدفقات الهجرة، وتعزيز الإدماج الاجتماعي للمهاجرين. بيد أن اللجنة تشعر بالقلق لأن الدولة الطرف</w:t>
      </w:r>
      <w:r w:rsidRPr="007935FF">
        <w:rPr>
          <w:rtl/>
          <w:lang w:val="en-US"/>
        </w:rPr>
        <w:t xml:space="preserve"> لم تنفذها بالكامل بعد ولأن مستوى تنفيذها يختلف بين جزيرة وأخرى من جزر الدولة الطرف.</w:t>
      </w:r>
    </w:p>
    <w:p w14:paraId="2372C2C6" w14:textId="77777777" w:rsidR="007935FF" w:rsidRPr="009F3E84" w:rsidRDefault="007935FF" w:rsidP="00B160EB">
      <w:pPr>
        <w:pStyle w:val="SingleTxtGA"/>
        <w:spacing w:line="354" w:lineRule="exact"/>
        <w:rPr>
          <w:b/>
          <w:bCs/>
          <w:lang w:val="en-US"/>
        </w:rPr>
      </w:pPr>
      <w:r w:rsidRPr="009F3E84">
        <w:rPr>
          <w:rtl/>
          <w:lang w:val="en-US"/>
        </w:rPr>
        <w:t>18</w:t>
      </w:r>
      <w:r w:rsidRPr="007935FF">
        <w:rPr>
          <w:rtl/>
          <w:lang w:val="en-US"/>
        </w:rPr>
        <w:t>-</w:t>
      </w:r>
      <w:r w:rsidRPr="007935FF">
        <w:rPr>
          <w:rtl/>
          <w:lang w:val="en-US"/>
        </w:rPr>
        <w:tab/>
      </w:r>
      <w:r w:rsidRPr="009F3E84">
        <w:rPr>
          <w:b/>
          <w:bCs/>
          <w:rtl/>
          <w:lang w:val="en-US"/>
        </w:rPr>
        <w:t>توصي اللجنة الدولة الطرف بما يلي:</w:t>
      </w:r>
    </w:p>
    <w:p w14:paraId="7CDAD43B" w14:textId="791EC084" w:rsidR="007935FF" w:rsidRPr="009F3E84" w:rsidRDefault="00B160EB" w:rsidP="00B160EB">
      <w:pPr>
        <w:pStyle w:val="SingleTxtGA"/>
        <w:spacing w:line="354" w:lineRule="exact"/>
        <w:rPr>
          <w:b/>
          <w:bCs/>
          <w:lang w:val="en-US"/>
        </w:rPr>
      </w:pPr>
      <w:r w:rsidRPr="00B160EB">
        <w:rPr>
          <w:rtl/>
          <w:lang w:val="en-US"/>
        </w:rPr>
        <w:tab/>
        <w:t>(أ)</w:t>
      </w:r>
      <w:r w:rsidRPr="00B160EB">
        <w:rPr>
          <w:rtl/>
          <w:lang w:val="en-US"/>
        </w:rPr>
        <w:tab/>
      </w:r>
      <w:r w:rsidR="007935FF" w:rsidRPr="009F3E84">
        <w:rPr>
          <w:rFonts w:ascii="Times New Roman Bold" w:hAnsi="Times New Roman Bold"/>
          <w:b/>
          <w:bCs/>
          <w:spacing w:val="-4"/>
          <w:rtl/>
          <w:lang w:val="en-US"/>
        </w:rPr>
        <w:t>ضمان التنفيذ الكامل للاستراتيجية الوطنية للهجرة إلى الخارج والتنمية، والاستراتيجية</w:t>
      </w:r>
      <w:r w:rsidR="007935FF" w:rsidRPr="009F3E84">
        <w:rPr>
          <w:b/>
          <w:bCs/>
          <w:rtl/>
          <w:lang w:val="en-US"/>
        </w:rPr>
        <w:t xml:space="preserve"> الوطنية للهجرة، وخطة العمل الثانية للإدماج الاجتماعي للمهاجرين؛</w:t>
      </w:r>
    </w:p>
    <w:p w14:paraId="5E5B194F" w14:textId="02BB5AC0" w:rsidR="007935FF" w:rsidRPr="009F3E84" w:rsidRDefault="00B160EB" w:rsidP="00B160EB">
      <w:pPr>
        <w:pStyle w:val="SingleTxtGA"/>
        <w:spacing w:line="354" w:lineRule="exact"/>
        <w:rPr>
          <w:b/>
          <w:bCs/>
          <w:lang w:val="en-US"/>
        </w:rPr>
      </w:pPr>
      <w:r w:rsidRPr="00B160EB">
        <w:rPr>
          <w:rtl/>
          <w:lang w:val="en-US"/>
        </w:rPr>
        <w:tab/>
        <w:t>(ب)</w:t>
      </w:r>
      <w:r w:rsidRPr="00B160EB">
        <w:rPr>
          <w:rtl/>
          <w:lang w:val="en-US"/>
        </w:rPr>
        <w:tab/>
      </w:r>
      <w:r w:rsidR="007935FF" w:rsidRPr="009F3E84">
        <w:rPr>
          <w:b/>
          <w:bCs/>
          <w:rtl/>
          <w:lang w:val="en-US"/>
        </w:rPr>
        <w:t>اعتماد سياسة وخطة عمل واحدة وشاملة للهجرة تستجيب للمنظور الجنساني وتستند إلى حقوق الإنسان، مع أطر زمنية ومؤشرات ومعايير واضحة للرصد والتقييم، وتوفير الموارد البشرية والتقنية والمالية الكافية لتنفيذها؛</w:t>
      </w:r>
    </w:p>
    <w:p w14:paraId="364CBD61" w14:textId="4B8F906C" w:rsidR="007935FF" w:rsidRPr="009F3E84" w:rsidRDefault="00B160EB" w:rsidP="00B160EB">
      <w:pPr>
        <w:pStyle w:val="SingleTxtGA"/>
        <w:spacing w:line="354" w:lineRule="exact"/>
        <w:rPr>
          <w:b/>
          <w:bCs/>
          <w:lang w:val="en-US"/>
        </w:rPr>
      </w:pPr>
      <w:r w:rsidRPr="00B160EB">
        <w:rPr>
          <w:rtl/>
          <w:lang w:val="en-US"/>
        </w:rPr>
        <w:tab/>
        <w:t>(ج)</w:t>
      </w:r>
      <w:r w:rsidRPr="00B160EB">
        <w:rPr>
          <w:rtl/>
          <w:lang w:val="en-US"/>
        </w:rPr>
        <w:tab/>
      </w:r>
      <w:r w:rsidR="007935FF" w:rsidRPr="009F3E84">
        <w:rPr>
          <w:b/>
          <w:bCs/>
          <w:rtl/>
          <w:lang w:val="en-US"/>
        </w:rPr>
        <w:t>تضمين تقريرها الدوري المقبل معلومات مستكملة، مدعَّمة بإحصاءات، عن التدابير الملموسة المتخذة لتنفيذ السياسة وخطة العمل المذكورتين أعلاه.</w:t>
      </w:r>
    </w:p>
    <w:p w14:paraId="390A099B" w14:textId="77777777" w:rsidR="007935FF" w:rsidRPr="009F3E84" w:rsidRDefault="007935FF" w:rsidP="00B160EB">
      <w:pPr>
        <w:pStyle w:val="H23GA"/>
        <w:spacing w:line="354" w:lineRule="exact"/>
      </w:pPr>
      <w:r w:rsidRPr="009F3E84">
        <w:rPr>
          <w:rtl/>
        </w:rPr>
        <w:tab/>
      </w:r>
      <w:r w:rsidRPr="009F3E84">
        <w:rPr>
          <w:rtl/>
        </w:rPr>
        <w:tab/>
        <w:t>التنسيق</w:t>
      </w:r>
    </w:p>
    <w:p w14:paraId="511F5134" w14:textId="18C95335" w:rsidR="007935FF" w:rsidRPr="007935FF" w:rsidRDefault="007935FF" w:rsidP="00B160EB">
      <w:pPr>
        <w:pStyle w:val="SingleTxtGA"/>
        <w:spacing w:line="354" w:lineRule="exact"/>
        <w:rPr>
          <w:lang w:val="en-US"/>
        </w:rPr>
      </w:pPr>
      <w:r w:rsidRPr="009F3E84">
        <w:rPr>
          <w:rtl/>
          <w:lang w:val="en-US"/>
        </w:rPr>
        <w:t>19</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 xml:space="preserve">بمختلف المنصات الرامية إلى ضمان تنسيق سياسات الهجرة، مثل الهيئة العليا للهجرة المنشأة في عام </w:t>
      </w:r>
      <w:r w:rsidRPr="009F3E84">
        <w:rPr>
          <w:rtl/>
          <w:lang w:val="en-US"/>
        </w:rPr>
        <w:t>2020</w:t>
      </w:r>
      <w:r w:rsidRPr="007935FF">
        <w:rPr>
          <w:rtl/>
          <w:lang w:val="en-US"/>
        </w:rPr>
        <w:t xml:space="preserve">، والمجلس الوطني للهجرة واللجنة الوطنية للهجرة والتنمية، وخطط الدولة الطرف لإنشاء مراكز خدمات ووحدات محلية تعنى بمسائل الهجرة في خمس بلديات عام </w:t>
      </w:r>
      <w:r w:rsidRPr="009F3E84">
        <w:rPr>
          <w:rtl/>
          <w:lang w:val="en-US"/>
        </w:rPr>
        <w:t>202</w:t>
      </w:r>
      <w:r w:rsidR="007D4D2B" w:rsidRPr="009F3E84">
        <w:rPr>
          <w:color w:val="000000"/>
          <w:rtl/>
          <w:lang w:val="en-US"/>
        </w:rPr>
        <w:t>2</w:t>
      </w:r>
      <w:r w:rsidR="007D4D2B" w:rsidRPr="007D4D2B">
        <w:rPr>
          <w:color w:val="000000"/>
          <w:rtl/>
          <w:lang w:val="en-US"/>
        </w:rPr>
        <w:t xml:space="preserve">. </w:t>
      </w:r>
      <w:r w:rsidRPr="007935FF">
        <w:rPr>
          <w:rtl/>
          <w:lang w:val="en-US"/>
        </w:rPr>
        <w:t>بيد أن اللجنة تشعر بالقلق لأن الموارد البشرية والتقنية والمالية اللازمة لعملها الفعال قد قُلِّصت تدريجي</w:t>
      </w:r>
      <w:r w:rsidR="00075809">
        <w:rPr>
          <w:rtl/>
          <w:lang w:val="en-US"/>
        </w:rPr>
        <w:t>اً،</w:t>
      </w:r>
      <w:r w:rsidRPr="007935FF">
        <w:rPr>
          <w:rtl/>
          <w:lang w:val="en-US"/>
        </w:rPr>
        <w:t xml:space="preserve"> بسبب جائحة كوفيد-</w:t>
      </w:r>
      <w:r w:rsidRPr="009F3E84">
        <w:rPr>
          <w:rtl/>
          <w:lang w:val="en-US"/>
        </w:rPr>
        <w:t>19</w:t>
      </w:r>
      <w:r w:rsidRPr="007935FF">
        <w:rPr>
          <w:rtl/>
          <w:lang w:val="en-US"/>
        </w:rPr>
        <w:t>؛ ولأن أعضاء المنصات المشتركة بين المؤسسات المذكورة يتغيرون كثير</w:t>
      </w:r>
      <w:r w:rsidR="00075809">
        <w:rPr>
          <w:rtl/>
          <w:lang w:val="en-US"/>
        </w:rPr>
        <w:t>اً؛</w:t>
      </w:r>
      <w:r w:rsidRPr="007935FF">
        <w:rPr>
          <w:rtl/>
          <w:lang w:val="en-US"/>
        </w:rPr>
        <w:t xml:space="preserve"> ولأن اجتماعات المنصات لا تعقد بانتظام. </w:t>
      </w:r>
    </w:p>
    <w:p w14:paraId="70D770DD" w14:textId="1E58040E" w:rsidR="007935FF" w:rsidRPr="009F3E84" w:rsidRDefault="007935FF" w:rsidP="00B160EB">
      <w:pPr>
        <w:pStyle w:val="SingleTxtGA"/>
        <w:spacing w:line="354" w:lineRule="exact"/>
        <w:rPr>
          <w:b/>
          <w:bCs/>
          <w:lang w:val="en-US"/>
        </w:rPr>
      </w:pPr>
      <w:r w:rsidRPr="009F3E84">
        <w:rPr>
          <w:rtl/>
          <w:lang w:val="en-US"/>
        </w:rPr>
        <w:t>20</w:t>
      </w:r>
      <w:r w:rsidRPr="007935FF">
        <w:rPr>
          <w:rtl/>
          <w:lang w:val="en-US"/>
        </w:rPr>
        <w:t>-</w:t>
      </w:r>
      <w:r w:rsidRPr="007935FF">
        <w:rPr>
          <w:rtl/>
          <w:lang w:val="en-US"/>
        </w:rPr>
        <w:tab/>
      </w:r>
      <w:r w:rsidRPr="009F3E84">
        <w:rPr>
          <w:b/>
          <w:bCs/>
          <w:rtl/>
          <w:lang w:val="en-US"/>
        </w:rPr>
        <w:t>تذكّر اللجنة بتوصياتها السابقة</w:t>
      </w:r>
      <w:r w:rsidR="007D4D2B" w:rsidRPr="009F3E84">
        <w:rPr>
          <w:rStyle w:val="FootnoteReference"/>
          <w:b/>
          <w:bCs/>
          <w:szCs w:val="22"/>
          <w:rtl/>
          <w:lang w:val="en-US"/>
        </w:rPr>
        <w:t>(</w:t>
      </w:r>
      <w:r w:rsidR="007D4D2B" w:rsidRPr="009F3E84">
        <w:rPr>
          <w:rStyle w:val="FootnoteReference"/>
          <w:b/>
          <w:bCs/>
          <w:szCs w:val="22"/>
          <w:lang w:val="en-US"/>
        </w:rPr>
        <w:footnoteReference w:id="8"/>
      </w:r>
      <w:r w:rsidR="007D4D2B" w:rsidRPr="009F3E84">
        <w:rPr>
          <w:b/>
          <w:bCs/>
          <w:color w:val="000000"/>
          <w:vertAlign w:val="superscript"/>
          <w:rtl/>
          <w:lang w:val="en-US"/>
        </w:rPr>
        <w:t>)</w:t>
      </w:r>
      <w:r w:rsidR="007D4D2B" w:rsidRPr="009F3E84">
        <w:rPr>
          <w:b/>
          <w:bCs/>
          <w:color w:val="000000"/>
          <w:rtl/>
          <w:lang w:val="en-US"/>
        </w:rPr>
        <w:t>،</w:t>
      </w:r>
      <w:r w:rsidR="007D4D2B" w:rsidRPr="009F3E84">
        <w:rPr>
          <w:b/>
          <w:bCs/>
          <w:color w:val="000000"/>
          <w:rtl/>
          <w:lang w:val="en-US"/>
        </w:rPr>
        <w:t xml:space="preserve"> </w:t>
      </w:r>
      <w:r w:rsidRPr="009F3E84">
        <w:rPr>
          <w:b/>
          <w:bCs/>
          <w:rtl/>
          <w:lang w:val="en-US"/>
        </w:rPr>
        <w:t>وتوصي الدولة الطرف بما يلي:</w:t>
      </w:r>
    </w:p>
    <w:p w14:paraId="24AC4415" w14:textId="6181AD6A" w:rsidR="007935FF" w:rsidRPr="009F3E84" w:rsidRDefault="00B160EB" w:rsidP="00B160EB">
      <w:pPr>
        <w:pStyle w:val="SingleTxtGA"/>
        <w:spacing w:line="354" w:lineRule="exact"/>
        <w:rPr>
          <w:b/>
          <w:bCs/>
          <w:lang w:val="en-US"/>
        </w:rPr>
      </w:pPr>
      <w:r w:rsidRPr="00B160EB">
        <w:rPr>
          <w:rtl/>
          <w:lang w:val="en-US"/>
        </w:rPr>
        <w:tab/>
        <w:t>(أ)</w:t>
      </w:r>
      <w:r w:rsidRPr="00B160EB">
        <w:rPr>
          <w:rtl/>
          <w:lang w:val="en-US"/>
        </w:rPr>
        <w:tab/>
      </w:r>
      <w:r w:rsidR="007935FF" w:rsidRPr="009F3E84">
        <w:rPr>
          <w:b/>
          <w:bCs/>
          <w:rtl/>
          <w:lang w:val="en-US"/>
        </w:rPr>
        <w:t>تحديد أو إنشاء هيئة دائمة ملائمة على مستوى عال مشترك بين الوزارات تسند إلى ولاية واضحة وتُخوَّل ما يكفي من الصلاحيات لتنسيق جميع الأنشطة المتعلقة بتنفيذ الاتفاقية في جميع القطاعات وعلى مستوى شامل لعدة قطاعات وعلى الصعد الوطني والإقليمي والمحلي؛</w:t>
      </w:r>
    </w:p>
    <w:p w14:paraId="4E2873D9" w14:textId="227933BA" w:rsidR="007935FF" w:rsidRPr="009F3E84" w:rsidRDefault="00B160EB" w:rsidP="007935FF">
      <w:pPr>
        <w:pStyle w:val="SingleTxtGA"/>
        <w:rPr>
          <w:b/>
          <w:bCs/>
          <w:lang w:val="en-US"/>
        </w:rPr>
      </w:pPr>
      <w:r w:rsidRPr="00B160EB">
        <w:rPr>
          <w:rtl/>
          <w:lang w:val="en-US"/>
        </w:rPr>
        <w:lastRenderedPageBreak/>
        <w:tab/>
        <w:t>(ب)</w:t>
      </w:r>
      <w:r w:rsidRPr="00B160EB">
        <w:rPr>
          <w:rtl/>
          <w:lang w:val="en-US"/>
        </w:rPr>
        <w:tab/>
      </w:r>
      <w:r w:rsidR="007935FF" w:rsidRPr="009F3E84">
        <w:rPr>
          <w:b/>
          <w:bCs/>
          <w:rtl/>
          <w:lang w:val="en-US"/>
        </w:rPr>
        <w:t>ضمان تزويد هيئة التنسيق المذكورة بالموارد البشرية والتقنية والمالية اللازمة لتشغيلها على نحو فعال ومستدام، وإشراك منظمات المجتمع المدني، ولا سيما منظمات المهاجرين، في</w:t>
      </w:r>
      <w:r w:rsidR="00EA4188" w:rsidRPr="009F3E84">
        <w:rPr>
          <w:rFonts w:hint="cs"/>
          <w:b/>
          <w:bCs/>
          <w:rtl/>
          <w:lang w:val="en-US"/>
        </w:rPr>
        <w:t> </w:t>
      </w:r>
      <w:r w:rsidR="007935FF" w:rsidRPr="009F3E84">
        <w:rPr>
          <w:b/>
          <w:bCs/>
          <w:rtl/>
          <w:lang w:val="en-US"/>
        </w:rPr>
        <w:t>مهام ولايتها.</w:t>
      </w:r>
    </w:p>
    <w:p w14:paraId="00F1339D" w14:textId="77777777" w:rsidR="007935FF" w:rsidRPr="009F3E84" w:rsidRDefault="007935FF" w:rsidP="00B83204">
      <w:pPr>
        <w:pStyle w:val="H23GA"/>
      </w:pPr>
      <w:r w:rsidRPr="009F3E84">
        <w:rPr>
          <w:rtl/>
        </w:rPr>
        <w:tab/>
      </w:r>
      <w:r w:rsidRPr="009F3E84">
        <w:rPr>
          <w:rtl/>
        </w:rPr>
        <w:tab/>
        <w:t>جمع البيانات والحق في الخصوصية</w:t>
      </w:r>
    </w:p>
    <w:p w14:paraId="4055B11A" w14:textId="07715811" w:rsidR="007935FF" w:rsidRPr="00B160EB" w:rsidRDefault="007935FF" w:rsidP="007935FF">
      <w:pPr>
        <w:pStyle w:val="SingleTxtGA"/>
        <w:rPr>
          <w:spacing w:val="-2"/>
          <w:lang w:val="en-US"/>
        </w:rPr>
      </w:pPr>
      <w:r w:rsidRPr="009F3E84">
        <w:rPr>
          <w:rtl/>
          <w:lang w:val="en-US"/>
        </w:rPr>
        <w:t>21</w:t>
      </w:r>
      <w:r w:rsidRPr="007935FF">
        <w:rPr>
          <w:rtl/>
          <w:lang w:val="en-US"/>
        </w:rPr>
        <w:t>-</w:t>
      </w:r>
      <w:r w:rsidRPr="007935FF">
        <w:rPr>
          <w:rtl/>
          <w:lang w:val="en-US"/>
        </w:rPr>
        <w:tab/>
      </w:r>
      <w:r w:rsidRPr="00B160EB">
        <w:rPr>
          <w:spacing w:val="-2"/>
          <w:rtl/>
          <w:lang w:val="en-US"/>
        </w:rPr>
        <w:t>تلاحظ اللجنة الجهود المتواصلة التي تبذلها الدولة الطرف لتحسين جمع وتصنيف البيانات المتعلقة</w:t>
      </w:r>
      <w:r w:rsidR="00F3567F">
        <w:rPr>
          <w:rFonts w:hint="cs"/>
          <w:spacing w:val="-2"/>
          <w:rtl/>
          <w:lang w:val="en-US"/>
        </w:rPr>
        <w:t xml:space="preserve"> </w:t>
      </w:r>
      <w:r w:rsidRPr="00F3567F">
        <w:rPr>
          <w:spacing w:val="2"/>
          <w:rtl/>
          <w:lang w:val="en-US"/>
        </w:rPr>
        <w:t>بالمهاجرين والمسائل المتصلة بالهجرة من جانب المعهد الوطني للإحصاء ومديرية الأجانب والحدود،</w:t>
      </w:r>
      <w:r w:rsidR="00F3567F" w:rsidRPr="00F3567F">
        <w:rPr>
          <w:rFonts w:hint="cs"/>
          <w:spacing w:val="2"/>
          <w:rtl/>
          <w:lang w:val="en-US"/>
        </w:rPr>
        <w:t xml:space="preserve"> </w:t>
      </w:r>
      <w:r w:rsidRPr="00F3567F">
        <w:rPr>
          <w:spacing w:val="2"/>
          <w:rtl/>
          <w:lang w:val="en-US"/>
        </w:rPr>
        <w:t>بما في</w:t>
      </w:r>
      <w:r w:rsidRPr="00B160EB">
        <w:rPr>
          <w:spacing w:val="-2"/>
          <w:rtl/>
          <w:lang w:val="en-US"/>
        </w:rPr>
        <w:t xml:space="preserve"> ذلك من أجل تحليل الأسباب الهيكلية للهجرة؛ وتنفيذ خطتها إنشاء مرصد للهجرة؛ وإعدادها موجز</w:t>
      </w:r>
      <w:r w:rsidR="00DC1988">
        <w:rPr>
          <w:spacing w:val="-2"/>
          <w:rtl/>
          <w:lang w:val="en-US"/>
        </w:rPr>
        <w:t xml:space="preserve">اً </w:t>
      </w:r>
      <w:r w:rsidRPr="00F3567F">
        <w:rPr>
          <w:spacing w:val="-4"/>
          <w:rtl/>
          <w:lang w:val="en-US"/>
        </w:rPr>
        <w:t>ثاني</w:t>
      </w:r>
      <w:r w:rsidR="00DC1988" w:rsidRPr="00F3567F">
        <w:rPr>
          <w:spacing w:val="-4"/>
          <w:rtl/>
          <w:lang w:val="en-US"/>
        </w:rPr>
        <w:t xml:space="preserve">اً </w:t>
      </w:r>
      <w:r w:rsidRPr="00F3567F">
        <w:rPr>
          <w:spacing w:val="-4"/>
          <w:rtl/>
          <w:lang w:val="en-US"/>
        </w:rPr>
        <w:t xml:space="preserve">للهجرة عام </w:t>
      </w:r>
      <w:r w:rsidRPr="009F3E84">
        <w:rPr>
          <w:spacing w:val="-4"/>
          <w:rtl/>
          <w:lang w:val="en-US"/>
        </w:rPr>
        <w:t>202</w:t>
      </w:r>
      <w:r w:rsidR="007D4D2B" w:rsidRPr="009F3E84">
        <w:rPr>
          <w:color w:val="000000"/>
          <w:spacing w:val="-4"/>
          <w:rtl/>
          <w:lang w:val="en-US"/>
        </w:rPr>
        <w:t>1</w:t>
      </w:r>
      <w:r w:rsidR="007D4D2B" w:rsidRPr="00F3567F">
        <w:rPr>
          <w:color w:val="000000"/>
          <w:spacing w:val="-4"/>
          <w:rtl/>
          <w:lang w:val="en-US"/>
        </w:rPr>
        <w:t xml:space="preserve">. </w:t>
      </w:r>
      <w:r w:rsidRPr="00F3567F">
        <w:rPr>
          <w:spacing w:val="-4"/>
          <w:rtl/>
          <w:lang w:val="en-US"/>
        </w:rPr>
        <w:t>لكن اللجنة لا تزال قلقة إزاء عدم وجود بيانات وإحصاءات مفصلة، يمكن أن تسترشد</w:t>
      </w:r>
      <w:r w:rsidRPr="00B160EB">
        <w:rPr>
          <w:spacing w:val="-2"/>
          <w:rtl/>
          <w:lang w:val="en-US"/>
        </w:rPr>
        <w:t xml:space="preserve"> </w:t>
      </w:r>
      <w:r w:rsidRPr="00F3567F">
        <w:rPr>
          <w:spacing w:val="-6"/>
          <w:rtl/>
          <w:lang w:val="en-US"/>
        </w:rPr>
        <w:t>بها سياسات الهجرة على نحو أفضل، بما في ذلك ما يتعلق بظروف عمل العمال المهاجرين، وبالنساء المهاجرات</w:t>
      </w:r>
      <w:r w:rsidRPr="00B160EB">
        <w:rPr>
          <w:spacing w:val="-4"/>
          <w:rtl/>
          <w:lang w:val="en-US"/>
        </w:rPr>
        <w:t>،</w:t>
      </w:r>
      <w:r w:rsidRPr="00B160EB">
        <w:rPr>
          <w:spacing w:val="-2"/>
          <w:rtl/>
          <w:lang w:val="en-US"/>
        </w:rPr>
        <w:t xml:space="preserve"> والأطفال المهاجرين، والمهاجرين غير النظاميين، ومواطني </w:t>
      </w:r>
      <w:r w:rsidR="00972938">
        <w:rPr>
          <w:spacing w:val="-2"/>
          <w:rtl/>
          <w:lang w:val="en-US"/>
        </w:rPr>
        <w:t>كابو فيردي</w:t>
      </w:r>
      <w:r w:rsidRPr="00B160EB">
        <w:rPr>
          <w:spacing w:val="-2"/>
          <w:rtl/>
          <w:lang w:val="en-US"/>
        </w:rPr>
        <w:t xml:space="preserve"> في الشتات.</w:t>
      </w:r>
    </w:p>
    <w:p w14:paraId="2276976F" w14:textId="65124D24" w:rsidR="007935FF" w:rsidRPr="009F3E84" w:rsidRDefault="007935FF" w:rsidP="007935FF">
      <w:pPr>
        <w:pStyle w:val="SingleTxtGA"/>
        <w:rPr>
          <w:b/>
          <w:bCs/>
          <w:lang w:val="en-US"/>
        </w:rPr>
      </w:pPr>
      <w:r w:rsidRPr="009F3E84">
        <w:rPr>
          <w:rtl/>
          <w:lang w:val="en-US"/>
        </w:rPr>
        <w:t>22</w:t>
      </w:r>
      <w:r w:rsidRPr="007935FF">
        <w:rPr>
          <w:rtl/>
          <w:lang w:val="en-US"/>
        </w:rPr>
        <w:t>-</w:t>
      </w:r>
      <w:r w:rsidRPr="007935FF">
        <w:rPr>
          <w:rtl/>
          <w:lang w:val="en-US"/>
        </w:rPr>
        <w:tab/>
      </w:r>
      <w:r w:rsidRPr="009F3E84">
        <w:rPr>
          <w:rFonts w:ascii="Times New Roman Bold" w:hAnsi="Times New Roman Bold"/>
          <w:b/>
          <w:bCs/>
          <w:spacing w:val="-2"/>
          <w:rtl/>
          <w:lang w:val="en-US"/>
        </w:rPr>
        <w:t>تكرر اللجنة تأكيد توصياتها السابقة</w:t>
      </w:r>
      <w:r w:rsidR="007D4D2B" w:rsidRPr="009F3E84">
        <w:rPr>
          <w:rStyle w:val="FootnoteReference"/>
          <w:rFonts w:ascii="Times New Roman Bold" w:hAnsi="Times New Roman Bold"/>
          <w:b/>
          <w:bCs/>
          <w:spacing w:val="-2"/>
          <w:szCs w:val="22"/>
          <w:rtl/>
          <w:lang w:val="en-US"/>
        </w:rPr>
        <w:t>(</w:t>
      </w:r>
      <w:r w:rsidR="007D4D2B" w:rsidRPr="009F3E84">
        <w:rPr>
          <w:rStyle w:val="FootnoteReference"/>
          <w:rFonts w:ascii="Times New Roman Bold" w:hAnsi="Times New Roman Bold"/>
          <w:b/>
          <w:bCs/>
          <w:spacing w:val="-2"/>
          <w:szCs w:val="22"/>
          <w:lang w:val="en-US"/>
        </w:rPr>
        <w:footnoteReference w:id="9"/>
      </w:r>
      <w:r w:rsidR="007D4D2B" w:rsidRPr="009F3E84">
        <w:rPr>
          <w:rFonts w:ascii="Times New Roman Bold" w:hAnsi="Times New Roman Bold"/>
          <w:b/>
          <w:bCs/>
          <w:color w:val="000000"/>
          <w:spacing w:val="-2"/>
          <w:vertAlign w:val="superscript"/>
          <w:rtl/>
          <w:lang w:val="en-US"/>
        </w:rPr>
        <w:t>)</w:t>
      </w:r>
      <w:r w:rsidR="007D4D2B" w:rsidRPr="009F3E84">
        <w:rPr>
          <w:rFonts w:ascii="Times New Roman Bold" w:hAnsi="Times New Roman Bold"/>
          <w:b/>
          <w:bCs/>
          <w:color w:val="000000"/>
          <w:spacing w:val="-2"/>
          <w:rtl/>
          <w:lang w:val="en-US"/>
        </w:rPr>
        <w:t xml:space="preserve">، </w:t>
      </w:r>
      <w:r w:rsidRPr="009F3E84">
        <w:rPr>
          <w:rFonts w:ascii="Times New Roman Bold" w:hAnsi="Times New Roman Bold"/>
          <w:b/>
          <w:bCs/>
          <w:spacing w:val="-2"/>
          <w:rtl/>
          <w:lang w:val="en-US"/>
        </w:rPr>
        <w:t>وتوصي، تمشي</w:t>
      </w:r>
      <w:r w:rsidR="00DC1988" w:rsidRPr="009F3E84">
        <w:rPr>
          <w:rFonts w:ascii="Times New Roman Bold" w:hAnsi="Times New Roman Bold"/>
          <w:b/>
          <w:bCs/>
          <w:spacing w:val="-2"/>
          <w:rtl/>
          <w:lang w:val="en-US"/>
        </w:rPr>
        <w:t xml:space="preserve">اً </w:t>
      </w:r>
      <w:r w:rsidRPr="009F3E84">
        <w:rPr>
          <w:rFonts w:ascii="Times New Roman Bold" w:hAnsi="Times New Roman Bold"/>
          <w:b/>
          <w:bCs/>
          <w:spacing w:val="-2"/>
          <w:rtl/>
          <w:lang w:val="en-US"/>
        </w:rPr>
        <w:t>مع الغاية 17-18 من أهداف التنمية</w:t>
      </w:r>
      <w:r w:rsidRPr="009F3E84">
        <w:rPr>
          <w:b/>
          <w:bCs/>
          <w:rtl/>
          <w:lang w:val="en-US"/>
        </w:rPr>
        <w:t xml:space="preserve"> المستدامة، بأن تطبق الدولة الطرف نهج</w:t>
      </w:r>
      <w:r w:rsidR="00DC1988" w:rsidRPr="009F3E84">
        <w:rPr>
          <w:b/>
          <w:bCs/>
          <w:rtl/>
          <w:lang w:val="en-US"/>
        </w:rPr>
        <w:t xml:space="preserve">اً </w:t>
      </w:r>
      <w:r w:rsidRPr="009F3E84">
        <w:rPr>
          <w:b/>
          <w:bCs/>
          <w:rtl/>
          <w:lang w:val="en-US"/>
        </w:rPr>
        <w:t xml:space="preserve">يراعي المنظور الجنساني ويستند إلى حقوق الإنسان، وبأن </w:t>
      </w:r>
      <w:r w:rsidRPr="009F3E84">
        <w:rPr>
          <w:rFonts w:ascii="Times New Roman Bold" w:hAnsi="Times New Roman Bold"/>
          <w:b/>
          <w:bCs/>
          <w:spacing w:val="-4"/>
          <w:rtl/>
          <w:lang w:val="en-US"/>
        </w:rPr>
        <w:t>تكفل حماية المعلومات الشخصية للعمال المهاجرين وأفراد أسرهم ومحوها بمجرد تحقيق الغرض من جمعها،</w:t>
      </w:r>
      <w:r w:rsidR="007F26E8" w:rsidRPr="009F3E84">
        <w:rPr>
          <w:b/>
          <w:bCs/>
          <w:rtl/>
          <w:lang w:val="en-US"/>
        </w:rPr>
        <w:t xml:space="preserve"> </w:t>
      </w:r>
      <w:r w:rsidRPr="009F3E84">
        <w:rPr>
          <w:rFonts w:ascii="Times New Roman Bold" w:hAnsi="Times New Roman Bold"/>
          <w:b/>
          <w:bCs/>
          <w:spacing w:val="-4"/>
          <w:rtl/>
          <w:lang w:val="en-US"/>
        </w:rPr>
        <w:t>بحيث لا يتم استخدام البيانات الشخصية لمراقبة المهاجرين أو للتمييز ضدهم في الخدمات العامة والخاصة.</w:t>
      </w:r>
      <w:r w:rsidR="007F26E8" w:rsidRPr="009F3E84">
        <w:rPr>
          <w:b/>
          <w:bCs/>
          <w:rtl/>
          <w:lang w:val="en-US"/>
        </w:rPr>
        <w:t xml:space="preserve"> </w:t>
      </w:r>
      <w:r w:rsidRPr="009F3E84">
        <w:rPr>
          <w:b/>
          <w:bCs/>
          <w:rtl/>
          <w:lang w:val="en-US"/>
        </w:rPr>
        <w:t>توصي اللجنة الدولة الطرف</w:t>
      </w:r>
      <w:r w:rsidR="00EA4188" w:rsidRPr="009F3E84">
        <w:rPr>
          <w:b/>
          <w:bCs/>
          <w:rtl/>
          <w:lang w:val="en-US"/>
        </w:rPr>
        <w:t xml:space="preserve"> أيضاً </w:t>
      </w:r>
      <w:r w:rsidRPr="009F3E84">
        <w:rPr>
          <w:b/>
          <w:bCs/>
          <w:rtl/>
          <w:lang w:val="en-US"/>
        </w:rPr>
        <w:t>بما يلي:</w:t>
      </w:r>
    </w:p>
    <w:p w14:paraId="25AE5884" w14:textId="17D3DF4F" w:rsidR="007935FF" w:rsidRPr="009F3E84" w:rsidRDefault="00B160EB" w:rsidP="007935FF">
      <w:pPr>
        <w:pStyle w:val="SingleTxtGA"/>
        <w:rPr>
          <w:b/>
          <w:bCs/>
          <w:lang w:val="en-US"/>
        </w:rPr>
      </w:pPr>
      <w:r w:rsidRPr="00B160EB">
        <w:rPr>
          <w:rtl/>
          <w:lang w:val="en-US"/>
        </w:rPr>
        <w:tab/>
        <w:t>(أ)</w:t>
      </w:r>
      <w:r w:rsidRPr="00B160EB">
        <w:rPr>
          <w:rtl/>
          <w:lang w:val="en-US"/>
        </w:rPr>
        <w:tab/>
      </w:r>
      <w:r w:rsidR="007935FF" w:rsidRPr="009F3E84">
        <w:rPr>
          <w:b/>
          <w:bCs/>
          <w:rtl/>
          <w:lang w:val="en-US"/>
        </w:rPr>
        <w:t>مواصلة تعزيز نظامها الحالي لجمع البيانات عن وضع العمال المهاجرين في الدولة الطرف، بصرف النظر عن وضعهم كمهاجرين؛ وعن أفراد أسرهم؛ وعن العمال المهاجرين العابرين والمواطنين العاملين في الخارج، وظروف عملهم؛ وعن العائدين وعن الأطفال الذين يهاجرون إلى الخارج، بمن فيهم الأطفال غير المصحوبين؛ وعن أزواج وأطفال العمال المهاجرين الذين تُركوا وراءهم، على أن تغطي هذه البيانات جميع جوانب الاتفاقية لكي تستخدمها جميع الهيئات الحكومية التي تقدم الخدمات والمساعدة للعمال المهاجرين وأفراد أسرهم؛</w:t>
      </w:r>
    </w:p>
    <w:p w14:paraId="4B975F8F" w14:textId="635BAB79" w:rsidR="007935FF" w:rsidRPr="009F3E84" w:rsidRDefault="00B160EB" w:rsidP="007935FF">
      <w:pPr>
        <w:pStyle w:val="SingleTxtGA"/>
        <w:rPr>
          <w:b/>
          <w:bCs/>
          <w:lang w:val="en-US"/>
        </w:rPr>
      </w:pPr>
      <w:r w:rsidRPr="00B160EB">
        <w:rPr>
          <w:rtl/>
          <w:lang w:val="en-US"/>
        </w:rPr>
        <w:tab/>
        <w:t>(ب)</w:t>
      </w:r>
      <w:r w:rsidRPr="00B160EB">
        <w:rPr>
          <w:rtl/>
          <w:lang w:val="en-US"/>
        </w:rPr>
        <w:tab/>
      </w:r>
      <w:r w:rsidR="007935FF" w:rsidRPr="009F3E84">
        <w:rPr>
          <w:rFonts w:ascii="Times New Roman Bold" w:hAnsi="Times New Roman Bold"/>
          <w:b/>
          <w:bCs/>
          <w:spacing w:val="-4"/>
          <w:rtl/>
          <w:lang w:val="en-US"/>
        </w:rPr>
        <w:t xml:space="preserve">تضمين هذا النظام حالة جميع العمال المهاجرين وأفراد أسرهم الذين تُعتبر </w:t>
      </w:r>
      <w:r w:rsidR="00972938" w:rsidRPr="009F3E84">
        <w:rPr>
          <w:rFonts w:ascii="Times New Roman Bold" w:hAnsi="Times New Roman Bold"/>
          <w:b/>
          <w:bCs/>
          <w:spacing w:val="-4"/>
          <w:rtl/>
          <w:lang w:val="en-US"/>
        </w:rPr>
        <w:t>كابو فيردي</w:t>
      </w:r>
      <w:r w:rsidR="007935FF" w:rsidRPr="009F3E84">
        <w:rPr>
          <w:b/>
          <w:bCs/>
          <w:rtl/>
          <w:lang w:val="en-US"/>
        </w:rPr>
        <w:t xml:space="preserve"> بالنسبة إليهم بلد </w:t>
      </w:r>
      <w:proofErr w:type="gramStart"/>
      <w:r w:rsidR="007935FF" w:rsidRPr="009F3E84">
        <w:rPr>
          <w:b/>
          <w:bCs/>
          <w:rtl/>
          <w:lang w:val="en-US"/>
        </w:rPr>
        <w:t>منشأ</w:t>
      </w:r>
      <w:proofErr w:type="gramEnd"/>
      <w:r w:rsidR="007935FF" w:rsidRPr="009F3E84">
        <w:rPr>
          <w:b/>
          <w:bCs/>
          <w:rtl/>
          <w:lang w:val="en-US"/>
        </w:rPr>
        <w:t xml:space="preserve"> أو عبور أو مقصد أو عودة، وتجميع بيانات مصنفة، بحسب جملة أمور، بينها نوع الجنس والعمر والجنسية وسبب دخول البلد ومغادرته ونوع العمل المنجز، وبحسب فئات معينة من العمال المهاجرين، والأصل العرقي، ووضع الهجرة، والإعاقة؛</w:t>
      </w:r>
    </w:p>
    <w:p w14:paraId="03B3EAFE" w14:textId="072A865C" w:rsidR="007935FF" w:rsidRPr="009F3E84" w:rsidRDefault="00B160EB" w:rsidP="007935FF">
      <w:pPr>
        <w:pStyle w:val="SingleTxtGA"/>
        <w:rPr>
          <w:b/>
          <w:bCs/>
          <w:lang w:val="en-US"/>
        </w:rPr>
      </w:pPr>
      <w:r w:rsidRPr="00B160EB">
        <w:rPr>
          <w:rtl/>
          <w:lang w:val="en-US"/>
        </w:rPr>
        <w:tab/>
        <w:t>(ج)</w:t>
      </w:r>
      <w:r w:rsidRPr="00B160EB">
        <w:rPr>
          <w:rtl/>
          <w:lang w:val="en-US"/>
        </w:rPr>
        <w:tab/>
      </w:r>
      <w:r w:rsidR="007935FF" w:rsidRPr="009F3E84">
        <w:rPr>
          <w:b/>
          <w:bCs/>
          <w:rtl/>
          <w:lang w:val="en-US"/>
        </w:rPr>
        <w:t>ضمان تنسيق وتكامل ونشر هذه البيانات وتصميم مؤشرات لقياس التقدم المحرز ونتائج السياسات والبرامج القائمة على هذه البيانات؛</w:t>
      </w:r>
    </w:p>
    <w:p w14:paraId="3A0701CC" w14:textId="1D733E99" w:rsidR="007935FF" w:rsidRPr="009F3E84" w:rsidRDefault="00B160EB" w:rsidP="007935FF">
      <w:pPr>
        <w:pStyle w:val="SingleTxtGA"/>
        <w:rPr>
          <w:b/>
          <w:bCs/>
          <w:lang w:val="en-US"/>
        </w:rPr>
      </w:pPr>
      <w:r w:rsidRPr="00B160EB">
        <w:rPr>
          <w:rtl/>
          <w:lang w:val="en-US"/>
        </w:rPr>
        <w:tab/>
        <w:t>(د)</w:t>
      </w:r>
      <w:r w:rsidRPr="00B160EB">
        <w:rPr>
          <w:rtl/>
          <w:lang w:val="en-US"/>
        </w:rPr>
        <w:tab/>
      </w:r>
      <w:r w:rsidR="007935FF" w:rsidRPr="009F3E84">
        <w:rPr>
          <w:b/>
          <w:bCs/>
          <w:rtl/>
          <w:lang w:val="en-US"/>
        </w:rPr>
        <w:t>تضمين تقريرها الدوري المقبل بيانات تستند إلى دراسات أو تقديرات حيث يتعذر الحصول على معلومات دقيقة، مثل المعلومات المتعلقة بالعمال المهاجرين غير النظاميين.</w:t>
      </w:r>
    </w:p>
    <w:p w14:paraId="39DCB3AB" w14:textId="77777777" w:rsidR="007935FF" w:rsidRPr="009F3E84" w:rsidRDefault="007935FF" w:rsidP="00B83204">
      <w:pPr>
        <w:pStyle w:val="H23GA"/>
      </w:pPr>
      <w:r w:rsidRPr="009F3E84">
        <w:rPr>
          <w:rtl/>
        </w:rPr>
        <w:tab/>
      </w:r>
      <w:r w:rsidRPr="009F3E84">
        <w:rPr>
          <w:rtl/>
        </w:rPr>
        <w:tab/>
        <w:t>الرصد المستقل</w:t>
      </w:r>
    </w:p>
    <w:p w14:paraId="62E588AD" w14:textId="78064B0F" w:rsidR="007935FF" w:rsidRPr="007935FF" w:rsidRDefault="007935FF" w:rsidP="007935FF">
      <w:pPr>
        <w:pStyle w:val="SingleTxtGA"/>
        <w:rPr>
          <w:lang w:val="en-US"/>
        </w:rPr>
      </w:pPr>
      <w:r w:rsidRPr="009F3E84">
        <w:rPr>
          <w:rtl/>
          <w:lang w:val="en-US"/>
        </w:rPr>
        <w:t>23</w:t>
      </w:r>
      <w:r w:rsidRPr="007935FF">
        <w:rPr>
          <w:rtl/>
          <w:lang w:val="en-US"/>
        </w:rPr>
        <w:t>-</w:t>
      </w:r>
      <w:r w:rsidRPr="007935FF">
        <w:rPr>
          <w:rtl/>
          <w:lang w:val="en-US"/>
        </w:rPr>
        <w:tab/>
      </w:r>
      <w:r w:rsidRPr="00972938">
        <w:rPr>
          <w:spacing w:val="-2"/>
          <w:rtl/>
          <w:lang w:val="en-US"/>
        </w:rPr>
        <w:t xml:space="preserve">يساور اللجنة القلق لأن طلب اللجنة الوطنية لحقوق الإنسان والمواطنة، وهي المؤسسة الوطنية لحقوق الإنسان في الدولة الطرف، الحصول على الاعتماد من التحالف العالمي للمؤسسات الوطنية لحقوق </w:t>
      </w:r>
      <w:r w:rsidRPr="007935FF">
        <w:rPr>
          <w:rtl/>
          <w:lang w:val="en-US"/>
        </w:rPr>
        <w:t>الإنسان قد رُفض في حزيران/</w:t>
      </w:r>
      <w:proofErr w:type="gramStart"/>
      <w:r w:rsidRPr="007935FF">
        <w:rPr>
          <w:rtl/>
          <w:lang w:val="en-US"/>
        </w:rPr>
        <w:t>يونيه</w:t>
      </w:r>
      <w:proofErr w:type="gramEnd"/>
      <w:r w:rsidRPr="007935FF">
        <w:rPr>
          <w:rtl/>
          <w:lang w:val="en-US"/>
        </w:rPr>
        <w:t xml:space="preserve"> </w:t>
      </w:r>
      <w:r w:rsidRPr="009F3E84">
        <w:rPr>
          <w:rtl/>
          <w:lang w:val="en-US"/>
        </w:rPr>
        <w:t>2021</w:t>
      </w:r>
      <w:r w:rsidRPr="007935FF">
        <w:rPr>
          <w:rtl/>
          <w:lang w:val="en-US"/>
        </w:rPr>
        <w:t>، لأنه لم يعتبر ممتثل</w:t>
      </w:r>
      <w:r w:rsidR="00DC1988">
        <w:rPr>
          <w:rtl/>
          <w:lang w:val="en-US"/>
        </w:rPr>
        <w:t xml:space="preserve">اً </w:t>
      </w:r>
      <w:r w:rsidRPr="007935FF">
        <w:rPr>
          <w:rtl/>
          <w:lang w:val="en-US"/>
        </w:rPr>
        <w:t>للمبادئ المتعلقة بمركز المؤسسات الوطنية لتعزيز وحماية حقوق الإنسان (مبادئ باريس</w:t>
      </w:r>
      <w:r w:rsidR="007D4D2B" w:rsidRPr="007D4D2B">
        <w:rPr>
          <w:color w:val="000000"/>
          <w:rtl/>
          <w:lang w:val="en-US"/>
        </w:rPr>
        <w:t xml:space="preserve">). </w:t>
      </w:r>
      <w:r w:rsidRPr="007935FF">
        <w:rPr>
          <w:rtl/>
          <w:lang w:val="en-US"/>
        </w:rPr>
        <w:t>ويساورها القلق</w:t>
      </w:r>
      <w:r w:rsidR="00EA4188">
        <w:rPr>
          <w:rtl/>
          <w:lang w:val="en-US"/>
        </w:rPr>
        <w:t xml:space="preserve"> أيضاً </w:t>
      </w:r>
      <w:r w:rsidRPr="007935FF">
        <w:rPr>
          <w:rtl/>
          <w:lang w:val="en-US"/>
        </w:rPr>
        <w:t xml:space="preserve">لأن مشروع النظام الأساسي، </w:t>
      </w:r>
      <w:r w:rsidRPr="007935FF">
        <w:rPr>
          <w:rtl/>
          <w:lang w:val="en-US"/>
        </w:rPr>
        <w:lastRenderedPageBreak/>
        <w:t xml:space="preserve">الذي يهدف إلى جعل اللجنة متمشية مع مبادئ باريس، ما زال ينتظر الموافقة عليه منذ عام </w:t>
      </w:r>
      <w:r w:rsidRPr="009F3E84">
        <w:rPr>
          <w:rtl/>
          <w:lang w:val="en-US"/>
        </w:rPr>
        <w:t>2011</w:t>
      </w:r>
      <w:r w:rsidRPr="007935FF">
        <w:rPr>
          <w:rtl/>
          <w:lang w:val="en-US"/>
        </w:rPr>
        <w:t xml:space="preserve">، ويساورها القلق كذلك إزاء الخطط الرامية إلى تفكيك اللجنة وإدراج ولايتها ضمن ولاية مكتب أمين المظالم. </w:t>
      </w:r>
    </w:p>
    <w:p w14:paraId="5D544D27" w14:textId="77777777" w:rsidR="007935FF" w:rsidRPr="009F3E84" w:rsidRDefault="007935FF" w:rsidP="00972938">
      <w:pPr>
        <w:pStyle w:val="SingleTxtGA"/>
        <w:spacing w:line="351" w:lineRule="exact"/>
        <w:rPr>
          <w:b/>
          <w:bCs/>
          <w:lang w:val="en-US"/>
        </w:rPr>
      </w:pPr>
      <w:r w:rsidRPr="009F3E84">
        <w:rPr>
          <w:rtl/>
          <w:lang w:val="en-US"/>
        </w:rPr>
        <w:t>24</w:t>
      </w:r>
      <w:r w:rsidRPr="007935FF">
        <w:rPr>
          <w:rtl/>
          <w:lang w:val="en-US"/>
        </w:rPr>
        <w:t>-</w:t>
      </w:r>
      <w:r w:rsidRPr="007935FF">
        <w:rPr>
          <w:rtl/>
          <w:lang w:val="en-US"/>
        </w:rPr>
        <w:tab/>
      </w:r>
      <w:r w:rsidRPr="009F3E84">
        <w:rPr>
          <w:b/>
          <w:bCs/>
          <w:rtl/>
          <w:lang w:val="en-US"/>
        </w:rPr>
        <w:t>توصي اللجنة الدولة الطرف بما يلي:</w:t>
      </w:r>
    </w:p>
    <w:p w14:paraId="2D25A50E" w14:textId="19122D8C" w:rsidR="007935FF" w:rsidRPr="009F3E84" w:rsidRDefault="00B160EB" w:rsidP="00972938">
      <w:pPr>
        <w:pStyle w:val="SingleTxtGA"/>
        <w:spacing w:line="351" w:lineRule="exact"/>
        <w:rPr>
          <w:b/>
          <w:bCs/>
          <w:lang w:val="en-US"/>
        </w:rPr>
      </w:pPr>
      <w:r w:rsidRPr="00B160EB">
        <w:rPr>
          <w:rtl/>
          <w:lang w:val="en-US"/>
        </w:rPr>
        <w:tab/>
        <w:t>(أ)</w:t>
      </w:r>
      <w:r w:rsidRPr="00B160EB">
        <w:rPr>
          <w:rtl/>
          <w:lang w:val="en-US"/>
        </w:rPr>
        <w:tab/>
      </w:r>
      <w:r w:rsidR="007935FF" w:rsidRPr="009F3E84">
        <w:rPr>
          <w:b/>
          <w:bCs/>
          <w:rtl/>
          <w:lang w:val="en-US"/>
        </w:rPr>
        <w:t>اتخاذ تدابير عاجلة وملموسة لضمان الموافقة على مشروع النظام الأساسي للجنة الوطنية لحقوق الإنسان والمواطنة في أقرب وقت ممكن من أجل الحفاظ على وجودها؛</w:t>
      </w:r>
    </w:p>
    <w:p w14:paraId="6F5D1DF1" w14:textId="3E19605D" w:rsidR="007935FF" w:rsidRPr="009F3E84" w:rsidRDefault="00B160EB" w:rsidP="00972938">
      <w:pPr>
        <w:pStyle w:val="SingleTxtGA"/>
        <w:spacing w:line="351" w:lineRule="exact"/>
        <w:rPr>
          <w:b/>
          <w:bCs/>
          <w:lang w:val="en-US"/>
        </w:rPr>
      </w:pPr>
      <w:r w:rsidRPr="00B160EB">
        <w:rPr>
          <w:rtl/>
          <w:lang w:val="en-US"/>
        </w:rPr>
        <w:tab/>
        <w:t>(ب)</w:t>
      </w:r>
      <w:r w:rsidRPr="00B160EB">
        <w:rPr>
          <w:rtl/>
          <w:lang w:val="en-US"/>
        </w:rPr>
        <w:tab/>
      </w:r>
      <w:r w:rsidR="007935FF" w:rsidRPr="009F3E84">
        <w:rPr>
          <w:rFonts w:ascii="Times New Roman Bold" w:hAnsi="Times New Roman Bold"/>
          <w:b/>
          <w:bCs/>
          <w:spacing w:val="-4"/>
          <w:rtl/>
          <w:lang w:val="en-US"/>
        </w:rPr>
        <w:t>تزويد اللجنة بولاية واسعة النطاق لتعزيز وحماية حقوق العمال المهاجرين وأفراد أسرهم</w:t>
      </w:r>
      <w:r w:rsidR="007935FF" w:rsidRPr="009F3E84">
        <w:rPr>
          <w:b/>
          <w:bCs/>
          <w:rtl/>
          <w:lang w:val="en-US"/>
        </w:rPr>
        <w:t xml:space="preserve"> بموجب الاتفاقية على نحو فعال، ولتمكينها من النظر في الشكاوى الفردية المقدمة من جميع العمال المهاجرين بغض النظر عن جنسيتهم، وتوفير سبل انتصاف لهم؛</w:t>
      </w:r>
    </w:p>
    <w:p w14:paraId="090C388B" w14:textId="61C3E882" w:rsidR="007935FF" w:rsidRPr="009F3E84" w:rsidRDefault="00B160EB" w:rsidP="00972938">
      <w:pPr>
        <w:pStyle w:val="SingleTxtGA"/>
        <w:spacing w:line="351" w:lineRule="exact"/>
        <w:rPr>
          <w:b/>
          <w:bCs/>
          <w:lang w:val="en-US"/>
        </w:rPr>
      </w:pPr>
      <w:r w:rsidRPr="00B160EB">
        <w:rPr>
          <w:rtl/>
          <w:lang w:val="en-US"/>
        </w:rPr>
        <w:tab/>
      </w:r>
      <w:r w:rsidRPr="00DC1988">
        <w:rPr>
          <w:spacing w:val="-2"/>
          <w:rtl/>
          <w:lang w:val="en-US"/>
        </w:rPr>
        <w:t>(ج)</w:t>
      </w:r>
      <w:r w:rsidRPr="00DC1988">
        <w:rPr>
          <w:spacing w:val="-2"/>
          <w:rtl/>
          <w:lang w:val="en-US"/>
        </w:rPr>
        <w:tab/>
      </w:r>
      <w:r w:rsidR="007935FF" w:rsidRPr="009F3E84">
        <w:rPr>
          <w:b/>
          <w:bCs/>
          <w:spacing w:val="-2"/>
          <w:rtl/>
          <w:lang w:val="en-US"/>
        </w:rPr>
        <w:t>توفير الموارد البشرية والتقنية والمالية الكافية للجنة لتمكينها من الاضطلاع بولايتها</w:t>
      </w:r>
      <w:r w:rsidR="007935FF" w:rsidRPr="009F3E84">
        <w:rPr>
          <w:b/>
          <w:bCs/>
          <w:rtl/>
          <w:lang w:val="en-US"/>
        </w:rPr>
        <w:t xml:space="preserve"> بفعالية في امتثال تام لمبادئ باريس. </w:t>
      </w:r>
    </w:p>
    <w:p w14:paraId="34E1EC1C" w14:textId="247A83C0" w:rsidR="007935FF" w:rsidRPr="009F3E84" w:rsidRDefault="007935FF" w:rsidP="00972938">
      <w:pPr>
        <w:pStyle w:val="H23GA"/>
        <w:spacing w:line="351" w:lineRule="exact"/>
      </w:pPr>
      <w:r w:rsidRPr="009F3E84">
        <w:rPr>
          <w:rtl/>
        </w:rPr>
        <w:tab/>
      </w:r>
      <w:r w:rsidRPr="009F3E84">
        <w:rPr>
          <w:rtl/>
        </w:rPr>
        <w:tab/>
        <w:t>التدريب في مجال الاتفاقية ونشر المعلومات المتعلقة بها</w:t>
      </w:r>
    </w:p>
    <w:p w14:paraId="5A2BD02D" w14:textId="63749A0C" w:rsidR="007935FF" w:rsidRPr="007935FF" w:rsidRDefault="007935FF" w:rsidP="00972938">
      <w:pPr>
        <w:pStyle w:val="SingleTxtGA"/>
        <w:spacing w:line="351" w:lineRule="exact"/>
        <w:rPr>
          <w:lang w:val="en-US"/>
        </w:rPr>
      </w:pPr>
      <w:r w:rsidRPr="009F3E84">
        <w:rPr>
          <w:rtl/>
          <w:lang w:val="en-US"/>
        </w:rPr>
        <w:t>25</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بنشر الاتفاقية وتعميمها على نحو موجه باللغة البرتغالية، وببرامج التدريب لمجتمعات المهاجرين، وبالمعلومات التي قدمتها الدولة الطرف ومفادها أن خطة العمل الوطنية الثانية لحقوق الإنسان والمواطنة (</w:t>
      </w:r>
      <w:r w:rsidRPr="009F3E84">
        <w:rPr>
          <w:rtl/>
          <w:lang w:val="en-US"/>
        </w:rPr>
        <w:t>2017</w:t>
      </w:r>
      <w:r w:rsidRPr="007935FF">
        <w:rPr>
          <w:rtl/>
          <w:lang w:val="en-US"/>
        </w:rPr>
        <w:t>-</w:t>
      </w:r>
      <w:r w:rsidRPr="009F3E84">
        <w:rPr>
          <w:rtl/>
          <w:lang w:val="en-US"/>
        </w:rPr>
        <w:t>202</w:t>
      </w:r>
      <w:r w:rsidR="007D4D2B" w:rsidRPr="009F3E84">
        <w:rPr>
          <w:color w:val="000000"/>
          <w:rtl/>
          <w:lang w:val="en-US"/>
        </w:rPr>
        <w:t>1</w:t>
      </w:r>
      <w:r w:rsidR="007D4D2B" w:rsidRPr="007D4D2B">
        <w:rPr>
          <w:color w:val="000000"/>
          <w:rtl/>
          <w:lang w:val="en-US"/>
        </w:rPr>
        <w:t xml:space="preserve">) </w:t>
      </w:r>
      <w:r w:rsidRPr="007935FF">
        <w:rPr>
          <w:rtl/>
          <w:lang w:val="en-US"/>
        </w:rPr>
        <w:t xml:space="preserve">تتوخى إعلام ودعم سكان </w:t>
      </w:r>
      <w:r w:rsidR="00972938">
        <w:rPr>
          <w:rtl/>
          <w:lang w:val="en-US"/>
        </w:rPr>
        <w:t>كابو فيردي</w:t>
      </w:r>
      <w:r w:rsidRPr="007935FF">
        <w:rPr>
          <w:rtl/>
          <w:lang w:val="en-US"/>
        </w:rPr>
        <w:t xml:space="preserve"> الراغبين في الهجرة. ومع ذلك، يساور اللجنة القلق لأن المعلومات قد لا تصل بما فيه الكفاية إلى جميع مجتمعات العمال المهاجرين، ولأن برامج التدريب قد لا تكون ذات صلة بالاتفاقية. </w:t>
      </w:r>
    </w:p>
    <w:p w14:paraId="54E1AB1D" w14:textId="544E8BE9" w:rsidR="007935FF" w:rsidRPr="009F3E84" w:rsidRDefault="007935FF" w:rsidP="00972938">
      <w:pPr>
        <w:pStyle w:val="SingleTxtGA"/>
        <w:spacing w:line="351" w:lineRule="exact"/>
        <w:rPr>
          <w:b/>
          <w:bCs/>
          <w:lang w:val="en-US"/>
        </w:rPr>
      </w:pPr>
      <w:r w:rsidRPr="009F3E84">
        <w:rPr>
          <w:rtl/>
          <w:lang w:val="en-US"/>
        </w:rPr>
        <w:t>26</w:t>
      </w:r>
      <w:r w:rsidRPr="007935FF">
        <w:rPr>
          <w:rtl/>
          <w:lang w:val="en-US"/>
        </w:rPr>
        <w:t>-</w:t>
      </w:r>
      <w:r w:rsidRPr="007935FF">
        <w:rPr>
          <w:rtl/>
          <w:lang w:val="en-US"/>
        </w:rPr>
        <w:tab/>
      </w:r>
      <w:r w:rsidRPr="009F3E84">
        <w:rPr>
          <w:b/>
          <w:bCs/>
          <w:rtl/>
          <w:lang w:val="en-US"/>
        </w:rPr>
        <w:t>تذكّر اللجنة بتوصياتها السابقة</w:t>
      </w:r>
      <w:r w:rsidR="007D4D2B" w:rsidRPr="009F3E84">
        <w:rPr>
          <w:rStyle w:val="FootnoteReference"/>
          <w:b/>
          <w:bCs/>
          <w:szCs w:val="22"/>
          <w:rtl/>
          <w:lang w:val="en-US"/>
        </w:rPr>
        <w:t>(</w:t>
      </w:r>
      <w:r w:rsidR="007D4D2B" w:rsidRPr="009F3E84">
        <w:rPr>
          <w:rStyle w:val="FootnoteReference"/>
          <w:b/>
          <w:bCs/>
          <w:szCs w:val="22"/>
          <w:lang w:val="en-US"/>
        </w:rPr>
        <w:footnoteReference w:id="10"/>
      </w:r>
      <w:r w:rsidR="007D4D2B" w:rsidRPr="009F3E84">
        <w:rPr>
          <w:b/>
          <w:bCs/>
          <w:color w:val="000000"/>
          <w:vertAlign w:val="superscript"/>
          <w:rtl/>
          <w:lang w:val="en-US"/>
        </w:rPr>
        <w:t>)</w:t>
      </w:r>
      <w:r w:rsidR="007D4D2B" w:rsidRPr="009F3E84">
        <w:rPr>
          <w:b/>
          <w:bCs/>
          <w:color w:val="000000"/>
          <w:rtl/>
          <w:lang w:val="en-US"/>
        </w:rPr>
        <w:t>،</w:t>
      </w:r>
      <w:r w:rsidR="007D4D2B" w:rsidRPr="009F3E84">
        <w:rPr>
          <w:b/>
          <w:bCs/>
          <w:color w:val="000000"/>
          <w:rtl/>
          <w:lang w:val="en-US"/>
        </w:rPr>
        <w:t xml:space="preserve"> </w:t>
      </w:r>
      <w:r w:rsidRPr="009F3E84">
        <w:rPr>
          <w:b/>
          <w:bCs/>
          <w:rtl/>
          <w:lang w:val="en-US"/>
        </w:rPr>
        <w:t>وتوصي الدولة الطرف بما يلي:</w:t>
      </w:r>
    </w:p>
    <w:p w14:paraId="4E0FEF98" w14:textId="27F52E62" w:rsidR="007935FF" w:rsidRPr="009F3E84" w:rsidRDefault="00B160EB" w:rsidP="00972938">
      <w:pPr>
        <w:pStyle w:val="SingleTxtGA"/>
        <w:spacing w:line="351" w:lineRule="exact"/>
        <w:rPr>
          <w:b/>
          <w:bCs/>
          <w:lang w:val="en-US"/>
        </w:rPr>
      </w:pPr>
      <w:r w:rsidRPr="00B160EB">
        <w:rPr>
          <w:rtl/>
          <w:lang w:val="en-US"/>
        </w:rPr>
        <w:tab/>
        <w:t>(أ)</w:t>
      </w:r>
      <w:r w:rsidRPr="00B160EB">
        <w:rPr>
          <w:rtl/>
          <w:lang w:val="en-US"/>
        </w:rPr>
        <w:tab/>
      </w:r>
      <w:r w:rsidR="007935FF" w:rsidRPr="009F3E84">
        <w:rPr>
          <w:b/>
          <w:bCs/>
          <w:spacing w:val="-4"/>
          <w:rtl/>
          <w:lang w:val="en-US"/>
        </w:rPr>
        <w:t xml:space="preserve">وضع برامج تثقيفية وتدريبية بشأن حقوق العمال المهاجرين وأفراد أسرهم التي </w:t>
      </w:r>
      <w:r w:rsidR="007935FF" w:rsidRPr="009F3E84">
        <w:rPr>
          <w:rFonts w:ascii="Times New Roman Bold" w:hAnsi="Times New Roman Bold"/>
          <w:b/>
          <w:bCs/>
          <w:spacing w:val="-4"/>
          <w:rtl/>
          <w:lang w:val="en-US"/>
        </w:rPr>
        <w:t>تكفلها الاتفاقية، وضمان إتاحة هذه البرامج لجميع الأشخاص العاملين في مجال الهجرة، ولا سيما سلطات إنفاذ القوانين ومراقبة الحدود، والقضاة، وموظفي النيابة، والموظفين القنصليين والوطنيين والإقليميين والمحليين، والأخصائيين الاجتماعيين، ومنظمات المجتمع المدني، بما في ذلك منظمات المهاجرين؛</w:t>
      </w:r>
      <w:r w:rsidR="007935FF" w:rsidRPr="009F3E84">
        <w:rPr>
          <w:b/>
          <w:bCs/>
          <w:rtl/>
          <w:lang w:val="en-US"/>
        </w:rPr>
        <w:t xml:space="preserve"> </w:t>
      </w:r>
    </w:p>
    <w:p w14:paraId="6B5E1934" w14:textId="0840964E" w:rsidR="007935FF" w:rsidRPr="009F3E84" w:rsidRDefault="00B160EB" w:rsidP="00972938">
      <w:pPr>
        <w:pStyle w:val="SingleTxtGA"/>
        <w:spacing w:line="351" w:lineRule="exact"/>
        <w:rPr>
          <w:b/>
          <w:bCs/>
          <w:lang w:val="en-US"/>
        </w:rPr>
      </w:pPr>
      <w:r w:rsidRPr="00B160EB">
        <w:rPr>
          <w:rtl/>
          <w:lang w:val="en-US"/>
        </w:rPr>
        <w:tab/>
        <w:t>(ب)</w:t>
      </w:r>
      <w:r w:rsidRPr="00B160EB">
        <w:rPr>
          <w:rtl/>
          <w:lang w:val="en-US"/>
        </w:rPr>
        <w:tab/>
      </w:r>
      <w:r w:rsidR="007935FF" w:rsidRPr="009F3E84">
        <w:rPr>
          <w:b/>
          <w:bCs/>
          <w:rtl/>
          <w:lang w:val="en-US"/>
        </w:rPr>
        <w:t>اتخاذ مزيد من الخطوات لضمان حصول العمال المهاجرين على المعلومات والتوجيه بشأن حقوقهم التي تكفلها الاتفاقية بجميع اللغات الشائع استعمالها في الدولة الطرف، ولا سيما عن طريق البرامج التوجيهية السابقة للتوظيف والمغادرة؛</w:t>
      </w:r>
    </w:p>
    <w:p w14:paraId="77E7815D" w14:textId="43BB565A" w:rsidR="007935FF" w:rsidRPr="009F3E84" w:rsidRDefault="00B160EB" w:rsidP="00972938">
      <w:pPr>
        <w:pStyle w:val="SingleTxtGA"/>
        <w:spacing w:line="351" w:lineRule="exact"/>
        <w:rPr>
          <w:b/>
          <w:bCs/>
          <w:lang w:val="en-US"/>
        </w:rPr>
      </w:pPr>
      <w:r w:rsidRPr="00B160EB">
        <w:rPr>
          <w:rtl/>
          <w:lang w:val="en-US"/>
        </w:rPr>
        <w:tab/>
        <w:t>(ج)</w:t>
      </w:r>
      <w:r w:rsidRPr="00B160EB">
        <w:rPr>
          <w:rtl/>
          <w:lang w:val="en-US"/>
        </w:rPr>
        <w:tab/>
      </w:r>
      <w:r w:rsidR="007935FF" w:rsidRPr="009F3E84">
        <w:rPr>
          <w:b/>
          <w:bCs/>
          <w:rtl/>
          <w:lang w:val="en-US"/>
        </w:rPr>
        <w:t xml:space="preserve">تعزيز عملها مع منظمات المجتمع المدني، بما فيها منظمات المهاجرين، ووسائط الإعلام لنشر المعلومات عن الاتفاقية والترويج لها في جميع أنحاء الدولة الطرف، ومواصلة التشاور معها في إعداد تقاريرها الدورية. </w:t>
      </w:r>
    </w:p>
    <w:p w14:paraId="0A6B21E6" w14:textId="632D15BF" w:rsidR="007D4D2B" w:rsidRPr="009F3E84" w:rsidRDefault="00B83204" w:rsidP="00972938">
      <w:pPr>
        <w:pStyle w:val="H23GA"/>
        <w:spacing w:line="351" w:lineRule="exact"/>
        <w:rPr>
          <w:color w:val="000000"/>
        </w:rPr>
      </w:pPr>
      <w:r w:rsidRPr="009F3E84">
        <w:rPr>
          <w:rtl/>
        </w:rPr>
        <w:tab/>
      </w:r>
      <w:r w:rsidR="007935FF" w:rsidRPr="009F3E84">
        <w:rPr>
          <w:rtl/>
        </w:rPr>
        <w:t>2-</w:t>
      </w:r>
      <w:r w:rsidR="007935FF" w:rsidRPr="009F3E84">
        <w:rPr>
          <w:rtl/>
        </w:rPr>
        <w:tab/>
        <w:t>المبادئ العامة (المادتان 7 و8</w:t>
      </w:r>
      <w:r w:rsidR="007D4D2B" w:rsidRPr="009F3E84">
        <w:rPr>
          <w:color w:val="000000"/>
          <w:rtl/>
        </w:rPr>
        <w:t>3)</w:t>
      </w:r>
    </w:p>
    <w:p w14:paraId="4200D173" w14:textId="4B00258F" w:rsidR="007935FF" w:rsidRPr="009F3E84" w:rsidRDefault="007935FF" w:rsidP="00972938">
      <w:pPr>
        <w:pStyle w:val="H23GA"/>
        <w:spacing w:line="351" w:lineRule="exact"/>
      </w:pPr>
      <w:r w:rsidRPr="009F3E84">
        <w:rPr>
          <w:rtl/>
        </w:rPr>
        <w:tab/>
      </w:r>
      <w:r w:rsidRPr="009F3E84">
        <w:rPr>
          <w:rtl/>
        </w:rPr>
        <w:tab/>
        <w:t>عدم التمييز</w:t>
      </w:r>
    </w:p>
    <w:p w14:paraId="34700324" w14:textId="47B06B68" w:rsidR="007935FF" w:rsidRPr="007935FF" w:rsidRDefault="007935FF" w:rsidP="00972938">
      <w:pPr>
        <w:pStyle w:val="SingleTxtGA"/>
        <w:spacing w:line="351" w:lineRule="exact"/>
        <w:rPr>
          <w:lang w:val="en-US"/>
        </w:rPr>
      </w:pPr>
      <w:r w:rsidRPr="009F3E84">
        <w:rPr>
          <w:rtl/>
          <w:lang w:val="en-US"/>
        </w:rPr>
        <w:t>27</w:t>
      </w:r>
      <w:r w:rsidRPr="007935FF">
        <w:rPr>
          <w:rtl/>
          <w:lang w:val="en-US"/>
        </w:rPr>
        <w:t>-</w:t>
      </w:r>
      <w:r w:rsidRPr="007935FF">
        <w:rPr>
          <w:rtl/>
          <w:lang w:val="en-US"/>
        </w:rPr>
        <w:tab/>
      </w:r>
      <w:r w:rsidRPr="00F3567F">
        <w:rPr>
          <w:rtl/>
          <w:lang w:val="en-US"/>
        </w:rPr>
        <w:t>تحيط اللجنة</w:t>
      </w:r>
      <w:r w:rsidR="00EA4188" w:rsidRPr="00F3567F">
        <w:rPr>
          <w:rtl/>
          <w:lang w:val="en-US"/>
        </w:rPr>
        <w:t xml:space="preserve"> علماً </w:t>
      </w:r>
      <w:r w:rsidRPr="00F3567F">
        <w:rPr>
          <w:rtl/>
          <w:lang w:val="en-US"/>
        </w:rPr>
        <w:t xml:space="preserve">بمنشورات عام </w:t>
      </w:r>
      <w:r w:rsidRPr="009F3E84">
        <w:rPr>
          <w:rtl/>
          <w:lang w:val="en-US"/>
        </w:rPr>
        <w:t>2019</w:t>
      </w:r>
      <w:r w:rsidRPr="00F3567F">
        <w:rPr>
          <w:rtl/>
          <w:lang w:val="en-US"/>
        </w:rPr>
        <w:t xml:space="preserve"> بشأن الجاليات الأجنبية والمهاجرين الأجانب في </w:t>
      </w:r>
      <w:r w:rsidR="00972938" w:rsidRPr="00F3567F">
        <w:rPr>
          <w:spacing w:val="2"/>
          <w:rtl/>
          <w:lang w:val="en-US"/>
        </w:rPr>
        <w:t>كابو فيردي</w:t>
      </w:r>
      <w:r w:rsidRPr="00F3567F">
        <w:rPr>
          <w:spacing w:val="2"/>
          <w:rtl/>
          <w:lang w:val="en-US"/>
        </w:rPr>
        <w:t xml:space="preserve">؛ وبحملة الإعلام والتوعية لعام </w:t>
      </w:r>
      <w:r w:rsidRPr="009F3E84">
        <w:rPr>
          <w:spacing w:val="2"/>
          <w:rtl/>
          <w:lang w:val="en-US"/>
        </w:rPr>
        <w:t>2017</w:t>
      </w:r>
      <w:r w:rsidRPr="00F3567F">
        <w:rPr>
          <w:spacing w:val="2"/>
          <w:rtl/>
          <w:lang w:val="en-US"/>
        </w:rPr>
        <w:t xml:space="preserve"> المعنونة "</w:t>
      </w:r>
      <w:r w:rsidR="00972938" w:rsidRPr="00F3567F">
        <w:rPr>
          <w:spacing w:val="2"/>
          <w:rtl/>
          <w:lang w:val="en-US"/>
        </w:rPr>
        <w:t>كابو فيردي</w:t>
      </w:r>
      <w:r w:rsidRPr="00F3567F">
        <w:rPr>
          <w:spacing w:val="2"/>
          <w:rtl/>
          <w:lang w:val="en-US"/>
        </w:rPr>
        <w:t xml:space="preserve"> للجميع" كاستراتيجية لتعزيز احترام الاختلافات في سياق الهجرة ومنع الممارسات التمييزية؛ وبهدف مكافحة التمييز وكره الأجانب في خطة العمل الوطنية الثانية لحقوق الإنسان والمواطنة (</w:t>
      </w:r>
      <w:r w:rsidRPr="009F3E84">
        <w:rPr>
          <w:spacing w:val="2"/>
          <w:rtl/>
          <w:lang w:val="en-US"/>
        </w:rPr>
        <w:t>2017</w:t>
      </w:r>
      <w:r w:rsidRPr="00F3567F">
        <w:rPr>
          <w:spacing w:val="2"/>
          <w:rtl/>
          <w:lang w:val="en-US"/>
        </w:rPr>
        <w:t>-</w:t>
      </w:r>
      <w:r w:rsidRPr="009F3E84">
        <w:rPr>
          <w:spacing w:val="2"/>
          <w:rtl/>
          <w:lang w:val="en-US"/>
        </w:rPr>
        <w:t>2022</w:t>
      </w:r>
      <w:r w:rsidR="007D4D2B" w:rsidRPr="00F3567F">
        <w:rPr>
          <w:color w:val="000000"/>
          <w:spacing w:val="2"/>
          <w:rtl/>
          <w:lang w:val="en-US"/>
        </w:rPr>
        <w:t xml:space="preserve">)؛ </w:t>
      </w:r>
      <w:r w:rsidRPr="00F3567F">
        <w:rPr>
          <w:spacing w:val="2"/>
          <w:rtl/>
          <w:lang w:val="en-US"/>
        </w:rPr>
        <w:t xml:space="preserve">وبمشروع القانون الخاص </w:t>
      </w:r>
      <w:r w:rsidRPr="00F3567F">
        <w:rPr>
          <w:spacing w:val="2"/>
          <w:rtl/>
          <w:lang w:val="en-US"/>
        </w:rPr>
        <w:lastRenderedPageBreak/>
        <w:t>بمكافحة</w:t>
      </w:r>
      <w:r w:rsidRPr="00972938">
        <w:rPr>
          <w:spacing w:val="-4"/>
          <w:rtl/>
          <w:lang w:val="en-US"/>
        </w:rPr>
        <w:t xml:space="preserve"> التمييز</w:t>
      </w:r>
      <w:r w:rsidRPr="007935FF">
        <w:rPr>
          <w:rtl/>
          <w:lang w:val="en-US"/>
        </w:rPr>
        <w:t xml:space="preserve"> الذي بادرت به اللجنة الوطنية لحقوق الإنسان والمواطنة، المعروض حالي</w:t>
      </w:r>
      <w:r w:rsidR="00DC1988">
        <w:rPr>
          <w:rtl/>
          <w:lang w:val="en-US"/>
        </w:rPr>
        <w:t xml:space="preserve">اً </w:t>
      </w:r>
      <w:r w:rsidRPr="007935FF">
        <w:rPr>
          <w:rtl/>
          <w:lang w:val="en-US"/>
        </w:rPr>
        <w:t xml:space="preserve">على البرلمان. </w:t>
      </w:r>
      <w:r w:rsidRPr="00F3567F">
        <w:rPr>
          <w:spacing w:val="-4"/>
          <w:rtl/>
          <w:lang w:val="en-US"/>
        </w:rPr>
        <w:t>لكن اللجنة تشعر بالقلق إزاء استمرار المواقف التمييزية ضد العمال المهاجرين في الدولة الطرف، بما في ذلك</w:t>
      </w:r>
      <w:r w:rsidRPr="007935FF">
        <w:rPr>
          <w:rtl/>
          <w:lang w:val="en-US"/>
        </w:rPr>
        <w:t xml:space="preserve"> بين المسؤولين؛ ونادر</w:t>
      </w:r>
      <w:r w:rsidR="00DC1988">
        <w:rPr>
          <w:rtl/>
          <w:lang w:val="en-US"/>
        </w:rPr>
        <w:t xml:space="preserve">اً </w:t>
      </w:r>
      <w:r w:rsidRPr="007935FF">
        <w:rPr>
          <w:rtl/>
          <w:lang w:val="en-US"/>
        </w:rPr>
        <w:t>ما يتم التحقيق في الانتهاكات المزعومة؛ ولا يحاكَم الجناة المزعومون أو يدانون.</w:t>
      </w:r>
    </w:p>
    <w:p w14:paraId="0E452A45" w14:textId="2896F7A4" w:rsidR="007935FF" w:rsidRPr="009F3E84" w:rsidRDefault="007935FF" w:rsidP="007935FF">
      <w:pPr>
        <w:pStyle w:val="SingleTxtGA"/>
        <w:rPr>
          <w:b/>
          <w:bCs/>
          <w:lang w:val="en-US"/>
        </w:rPr>
      </w:pPr>
      <w:r w:rsidRPr="009F3E84">
        <w:rPr>
          <w:rtl/>
          <w:lang w:val="en-US"/>
        </w:rPr>
        <w:t>28</w:t>
      </w:r>
      <w:r w:rsidRPr="007935FF">
        <w:rPr>
          <w:rtl/>
          <w:lang w:val="en-US"/>
        </w:rPr>
        <w:t>-</w:t>
      </w:r>
      <w:r w:rsidRPr="007935FF">
        <w:rPr>
          <w:rtl/>
          <w:lang w:val="en-US"/>
        </w:rPr>
        <w:tab/>
      </w:r>
      <w:r w:rsidRPr="009F3E84">
        <w:rPr>
          <w:b/>
          <w:bCs/>
          <w:rtl/>
          <w:lang w:val="en-US"/>
        </w:rPr>
        <w:t>تذكّر اللجنة بتوصياتها السابقة</w:t>
      </w:r>
      <w:r w:rsidR="007D4D2B" w:rsidRPr="009F3E84">
        <w:rPr>
          <w:rStyle w:val="FootnoteReference"/>
          <w:b/>
          <w:bCs/>
          <w:szCs w:val="22"/>
          <w:rtl/>
          <w:lang w:val="en-US"/>
        </w:rPr>
        <w:t>(</w:t>
      </w:r>
      <w:r w:rsidR="007D4D2B" w:rsidRPr="009F3E84">
        <w:rPr>
          <w:rStyle w:val="FootnoteReference"/>
          <w:b/>
          <w:bCs/>
          <w:szCs w:val="22"/>
          <w:lang w:val="en-US"/>
        </w:rPr>
        <w:footnoteReference w:id="11"/>
      </w:r>
      <w:r w:rsidR="007D4D2B" w:rsidRPr="009F3E84">
        <w:rPr>
          <w:b/>
          <w:bCs/>
          <w:color w:val="000000"/>
          <w:vertAlign w:val="superscript"/>
          <w:rtl/>
          <w:lang w:val="en-US"/>
        </w:rPr>
        <w:t>)</w:t>
      </w:r>
      <w:r w:rsidR="007D4D2B" w:rsidRPr="009F3E84">
        <w:rPr>
          <w:b/>
          <w:bCs/>
          <w:color w:val="000000"/>
          <w:rtl/>
          <w:lang w:val="en-US"/>
        </w:rPr>
        <w:t>،</w:t>
      </w:r>
      <w:r w:rsidR="007D4D2B" w:rsidRPr="009F3E84">
        <w:rPr>
          <w:b/>
          <w:bCs/>
          <w:color w:val="000000"/>
          <w:rtl/>
          <w:lang w:val="en-US"/>
        </w:rPr>
        <w:t xml:space="preserve"> </w:t>
      </w:r>
      <w:r w:rsidRPr="009F3E84">
        <w:rPr>
          <w:b/>
          <w:bCs/>
          <w:rtl/>
          <w:lang w:val="en-US"/>
        </w:rPr>
        <w:t>وتوصي الدولة الطرف بما يلي:</w:t>
      </w:r>
    </w:p>
    <w:p w14:paraId="2647F134" w14:textId="3E088DF1" w:rsidR="007935FF" w:rsidRPr="009F3E84" w:rsidRDefault="00B160EB" w:rsidP="007935FF">
      <w:pPr>
        <w:pStyle w:val="SingleTxtGA"/>
        <w:rPr>
          <w:b/>
          <w:bCs/>
          <w:lang w:val="en-US"/>
        </w:rPr>
      </w:pPr>
      <w:r w:rsidRPr="00B160EB">
        <w:rPr>
          <w:rtl/>
          <w:lang w:val="en-US"/>
        </w:rPr>
        <w:tab/>
        <w:t>(أ)</w:t>
      </w:r>
      <w:r w:rsidRPr="00B160EB">
        <w:rPr>
          <w:rtl/>
          <w:lang w:val="en-US"/>
        </w:rPr>
        <w:tab/>
      </w:r>
      <w:r w:rsidR="007935FF" w:rsidRPr="009F3E84">
        <w:rPr>
          <w:b/>
          <w:bCs/>
          <w:rtl/>
          <w:lang w:val="en-US"/>
        </w:rPr>
        <w:t xml:space="preserve">اتخاذ جميع التدابير التشريعية </w:t>
      </w:r>
      <w:proofErr w:type="spellStart"/>
      <w:r w:rsidR="007935FF" w:rsidRPr="009F3E84">
        <w:rPr>
          <w:b/>
          <w:bCs/>
          <w:rtl/>
          <w:lang w:val="en-US"/>
        </w:rPr>
        <w:t>والسياساتية</w:t>
      </w:r>
      <w:proofErr w:type="spellEnd"/>
      <w:r w:rsidR="007935FF" w:rsidRPr="009F3E84">
        <w:rPr>
          <w:b/>
          <w:bCs/>
          <w:rtl/>
          <w:lang w:val="en-US"/>
        </w:rPr>
        <w:t xml:space="preserve"> لضمان تمكين جميع العمال المهاجرين وأفراد أسرهم داخل إقليم الدولة الطرف أو الخاضعين لولايتها القضائية، بغض النظر عن وضعهم، من التمتّع دون تمييز بالحقوق المعترف بها في الاتفاقية، وفقاً لمادتها 7، بسبل منها الإسراع في اعتماد مشروع القانون الخاص بمكافحة التمييز؛ </w:t>
      </w:r>
    </w:p>
    <w:p w14:paraId="3534897A" w14:textId="090E82F4" w:rsidR="007935FF" w:rsidRPr="009F3E84" w:rsidRDefault="00B160EB" w:rsidP="007935FF">
      <w:pPr>
        <w:pStyle w:val="SingleTxtGA"/>
        <w:rPr>
          <w:rFonts w:ascii="Times New Roman Bold" w:hAnsi="Times New Roman Bold"/>
          <w:b/>
          <w:bCs/>
          <w:spacing w:val="-4"/>
          <w:lang w:val="en-US"/>
        </w:rPr>
      </w:pPr>
      <w:r w:rsidRPr="00B160EB">
        <w:rPr>
          <w:rtl/>
          <w:lang w:val="en-US"/>
        </w:rPr>
        <w:tab/>
        <w:t>(ب)</w:t>
      </w:r>
      <w:r w:rsidRPr="00B160EB">
        <w:rPr>
          <w:rtl/>
          <w:lang w:val="en-US"/>
        </w:rPr>
        <w:tab/>
      </w:r>
      <w:r w:rsidR="007935FF" w:rsidRPr="009F3E84">
        <w:rPr>
          <w:rFonts w:ascii="Times New Roman Bold" w:hAnsi="Times New Roman Bold"/>
          <w:b/>
          <w:bCs/>
          <w:spacing w:val="-2"/>
          <w:rtl/>
          <w:lang w:val="en-US"/>
        </w:rPr>
        <w:t>إذكاء وعي جميع أصحاب المصلحة المعنيين، ولا سيما موظفو الهجرة وعامة</w:t>
      </w:r>
      <w:r w:rsidR="007935FF" w:rsidRPr="009F3E84">
        <w:rPr>
          <w:rFonts w:ascii="Times New Roman Bold" w:hAnsi="Times New Roman Bold"/>
          <w:b/>
          <w:bCs/>
          <w:spacing w:val="-4"/>
          <w:rtl/>
          <w:lang w:val="en-US"/>
        </w:rPr>
        <w:t xml:space="preserve"> الناس بحقوق العمال المهاجرين وأفراد أسرهم، وبأهمية القضاء على التمييز ضدهم وعلى الوصم الاجتماعي أيض</w:t>
      </w:r>
      <w:r w:rsidR="00075809" w:rsidRPr="009F3E84">
        <w:rPr>
          <w:rFonts w:ascii="Times New Roman Bold" w:hAnsi="Times New Roman Bold"/>
          <w:b/>
          <w:bCs/>
          <w:spacing w:val="-4"/>
          <w:rtl/>
          <w:lang w:val="en-US"/>
        </w:rPr>
        <w:t>اً؛</w:t>
      </w:r>
    </w:p>
    <w:p w14:paraId="21F9E746" w14:textId="015910F9" w:rsidR="007935FF" w:rsidRPr="009F3E84" w:rsidRDefault="00B160EB" w:rsidP="007935FF">
      <w:pPr>
        <w:pStyle w:val="SingleTxtGA"/>
        <w:rPr>
          <w:b/>
          <w:bCs/>
          <w:lang w:val="en-US"/>
        </w:rPr>
      </w:pPr>
      <w:r w:rsidRPr="00B160EB">
        <w:rPr>
          <w:rtl/>
          <w:lang w:val="en-US"/>
        </w:rPr>
        <w:tab/>
        <w:t>(ج)</w:t>
      </w:r>
      <w:r w:rsidRPr="00B160EB">
        <w:rPr>
          <w:rtl/>
          <w:lang w:val="en-US"/>
        </w:rPr>
        <w:tab/>
      </w:r>
      <w:r w:rsidR="007935FF" w:rsidRPr="009F3E84">
        <w:rPr>
          <w:rFonts w:ascii="Times New Roman Bold" w:hAnsi="Times New Roman Bold"/>
          <w:b/>
          <w:bCs/>
          <w:spacing w:val="-4"/>
          <w:rtl/>
          <w:lang w:val="en-US"/>
        </w:rPr>
        <w:t xml:space="preserve">زيادة جهودها للتحقيق في الممارسات التمييزية ومقاضاة مرتكبيها ومعاقبتهم من خلال </w:t>
      </w:r>
      <w:r w:rsidR="007935FF" w:rsidRPr="009F3E84">
        <w:rPr>
          <w:b/>
          <w:bCs/>
          <w:rtl/>
          <w:lang w:val="en-US"/>
        </w:rPr>
        <w:t xml:space="preserve">التطبيق الصارم لأحكام القانون الجنائي، مثل المادة 161 من قانون العقوبات بشأن جريمة التمييز. </w:t>
      </w:r>
    </w:p>
    <w:p w14:paraId="0B2A3DA0" w14:textId="77777777" w:rsidR="007935FF" w:rsidRPr="009F3E84" w:rsidRDefault="007935FF" w:rsidP="00B83204">
      <w:pPr>
        <w:pStyle w:val="H23GA"/>
      </w:pPr>
      <w:r w:rsidRPr="009F3E84">
        <w:rPr>
          <w:rtl/>
        </w:rPr>
        <w:tab/>
      </w:r>
      <w:r w:rsidRPr="009F3E84">
        <w:rPr>
          <w:rtl/>
        </w:rPr>
        <w:tab/>
        <w:t>الحق في سبيل انتصاف فعال</w:t>
      </w:r>
    </w:p>
    <w:p w14:paraId="6E8AEAC1" w14:textId="5310E3BC" w:rsidR="007935FF" w:rsidRPr="00972938" w:rsidRDefault="007935FF" w:rsidP="007935FF">
      <w:pPr>
        <w:pStyle w:val="SingleTxtGA"/>
        <w:rPr>
          <w:spacing w:val="-4"/>
          <w:lang w:val="en-US"/>
        </w:rPr>
      </w:pPr>
      <w:r w:rsidRPr="009F3E84">
        <w:rPr>
          <w:spacing w:val="-4"/>
          <w:rtl/>
          <w:lang w:val="en-US"/>
        </w:rPr>
        <w:t>29</w:t>
      </w:r>
      <w:r w:rsidRPr="00972938">
        <w:rPr>
          <w:spacing w:val="-4"/>
          <w:rtl/>
          <w:lang w:val="en-US"/>
        </w:rPr>
        <w:t>-</w:t>
      </w:r>
      <w:r w:rsidRPr="00972938">
        <w:rPr>
          <w:spacing w:val="-4"/>
          <w:rtl/>
          <w:lang w:val="en-US"/>
        </w:rPr>
        <w:tab/>
        <w:t xml:space="preserve">تلاحظ اللجنة أن الدستور، والقانون المتعلق بدخول الرعايا الأجانب إلى </w:t>
      </w:r>
      <w:r w:rsidR="00972938" w:rsidRPr="00972938">
        <w:rPr>
          <w:spacing w:val="-4"/>
          <w:rtl/>
          <w:lang w:val="en-US"/>
        </w:rPr>
        <w:t>كابو فيردي</w:t>
      </w:r>
      <w:r w:rsidRPr="00972938">
        <w:rPr>
          <w:spacing w:val="-4"/>
          <w:rtl/>
          <w:lang w:val="en-US"/>
        </w:rPr>
        <w:t xml:space="preserve"> وإقامتهم فيها وخروجهم منها وإبعادهم عنها، وقانون العمل، تنص على إمكانية لجوء جميع العمال المهاجرين إلى العدالة بصرف النظر عن وضعهم، بما في ذلك الوصول إلى سبل تقديم شكاوى فردية إلى مكتب أمين المظالم، والمديرية العامة للعمل، والمفتشية العامة للعمل، واللجنة الوطنية لحقوق الإنسان والمواطنة، إذا كان الضحية المزعوم لانتهاك حقوق الإنسان مهاجر</w:t>
      </w:r>
      <w:r w:rsidR="00075809">
        <w:rPr>
          <w:spacing w:val="-4"/>
          <w:rtl/>
          <w:lang w:val="en-US"/>
        </w:rPr>
        <w:t>اً.</w:t>
      </w:r>
      <w:r w:rsidRPr="00972938">
        <w:rPr>
          <w:spacing w:val="-4"/>
          <w:rtl/>
          <w:lang w:val="en-US"/>
        </w:rPr>
        <w:t xml:space="preserve"> بيد أن اللجنة تشعر بالقلق لأن التشريع قد يفتقر إلى الوضوح الكافي فيما يتعلق بالحدود الزمنية للاستئناف، ولأن القرارات لا تُبلَّغ دائم</w:t>
      </w:r>
      <w:r w:rsidR="00DC1988">
        <w:rPr>
          <w:spacing w:val="-4"/>
          <w:rtl/>
          <w:lang w:val="en-US"/>
        </w:rPr>
        <w:t xml:space="preserve">اً </w:t>
      </w:r>
      <w:r w:rsidRPr="00972938">
        <w:rPr>
          <w:spacing w:val="-4"/>
          <w:rtl/>
          <w:lang w:val="en-US"/>
        </w:rPr>
        <w:t>بلغة يفهمها العامل المهاجر وأفراد أسرته، ولأن إمكانية الحصول على الترجمة الشفوية والترجمة التحريرية للطعن في القرارات ليست متاحة دائم</w:t>
      </w:r>
      <w:r w:rsidR="00075809">
        <w:rPr>
          <w:spacing w:val="-4"/>
          <w:rtl/>
          <w:lang w:val="en-US"/>
        </w:rPr>
        <w:t>اً.</w:t>
      </w:r>
    </w:p>
    <w:p w14:paraId="3C53CECE" w14:textId="63902C40" w:rsidR="007935FF" w:rsidRPr="009F3E84" w:rsidRDefault="007935FF" w:rsidP="007935FF">
      <w:pPr>
        <w:pStyle w:val="SingleTxtGA"/>
        <w:rPr>
          <w:b/>
          <w:bCs/>
          <w:lang w:val="en-US"/>
        </w:rPr>
      </w:pPr>
      <w:r w:rsidRPr="009F3E84">
        <w:rPr>
          <w:rtl/>
          <w:lang w:val="en-US"/>
        </w:rPr>
        <w:t>30</w:t>
      </w:r>
      <w:r w:rsidRPr="007935FF">
        <w:rPr>
          <w:rtl/>
          <w:lang w:val="en-US"/>
        </w:rPr>
        <w:t>-</w:t>
      </w:r>
      <w:r w:rsidRPr="007935FF">
        <w:rPr>
          <w:rtl/>
          <w:lang w:val="en-US"/>
        </w:rPr>
        <w:tab/>
      </w:r>
      <w:r w:rsidRPr="009F3E84">
        <w:rPr>
          <w:b/>
          <w:bCs/>
          <w:rtl/>
          <w:lang w:val="en-US"/>
        </w:rPr>
        <w:t>تذكّر اللجنة بتوصياتها السابقة</w:t>
      </w:r>
      <w:r w:rsidR="007D4D2B" w:rsidRPr="009F3E84">
        <w:rPr>
          <w:rStyle w:val="FootnoteReference"/>
          <w:b/>
          <w:bCs/>
          <w:szCs w:val="22"/>
          <w:rtl/>
          <w:lang w:val="en-US"/>
        </w:rPr>
        <w:t>(</w:t>
      </w:r>
      <w:r w:rsidR="007D4D2B" w:rsidRPr="009F3E84">
        <w:rPr>
          <w:rStyle w:val="FootnoteReference"/>
          <w:b/>
          <w:bCs/>
          <w:szCs w:val="22"/>
          <w:lang w:val="en-US"/>
        </w:rPr>
        <w:footnoteReference w:id="12"/>
      </w:r>
      <w:r w:rsidR="007D4D2B" w:rsidRPr="009F3E84">
        <w:rPr>
          <w:b/>
          <w:bCs/>
          <w:color w:val="000000"/>
          <w:vertAlign w:val="superscript"/>
          <w:rtl/>
          <w:lang w:val="en-US"/>
        </w:rPr>
        <w:t>)</w:t>
      </w:r>
      <w:r w:rsidR="007D4D2B" w:rsidRPr="009F3E84">
        <w:rPr>
          <w:b/>
          <w:bCs/>
          <w:color w:val="000000"/>
          <w:rtl/>
          <w:lang w:val="en-US"/>
        </w:rPr>
        <w:t>،</w:t>
      </w:r>
      <w:r w:rsidR="007D4D2B" w:rsidRPr="009F3E84">
        <w:rPr>
          <w:b/>
          <w:bCs/>
          <w:color w:val="000000"/>
          <w:rtl/>
          <w:lang w:val="en-US"/>
        </w:rPr>
        <w:t xml:space="preserve"> </w:t>
      </w:r>
      <w:r w:rsidRPr="009F3E84">
        <w:rPr>
          <w:b/>
          <w:bCs/>
          <w:rtl/>
          <w:lang w:val="en-US"/>
        </w:rPr>
        <w:t>وتوصي الدولة الطرف بما يلي:</w:t>
      </w:r>
    </w:p>
    <w:p w14:paraId="18ECFB7D" w14:textId="755A00C9" w:rsidR="007935FF" w:rsidRPr="009F3E84" w:rsidRDefault="00B160EB" w:rsidP="007935FF">
      <w:pPr>
        <w:pStyle w:val="SingleTxtGA"/>
        <w:rPr>
          <w:b/>
          <w:bCs/>
          <w:spacing w:val="-2"/>
          <w:lang w:val="en-US"/>
        </w:rPr>
      </w:pPr>
      <w:r w:rsidRPr="00972938">
        <w:rPr>
          <w:spacing w:val="-2"/>
          <w:rtl/>
          <w:lang w:val="en-US"/>
        </w:rPr>
        <w:tab/>
        <w:t>(أ)</w:t>
      </w:r>
      <w:r w:rsidRPr="00972938">
        <w:rPr>
          <w:spacing w:val="-2"/>
          <w:rtl/>
          <w:lang w:val="en-US"/>
        </w:rPr>
        <w:tab/>
      </w:r>
      <w:r w:rsidR="007935FF" w:rsidRPr="009F3E84">
        <w:rPr>
          <w:b/>
          <w:bCs/>
          <w:spacing w:val="-2"/>
          <w:rtl/>
          <w:lang w:val="en-US"/>
        </w:rPr>
        <w:t xml:space="preserve">أن تضمن، في الممارسة العملية، حصول العمّال المهاجرين وأفراد أسرهم، بمن فيهم الذين هم في وضع غير نظامي، على ما يتاح لمواطني الدولة الطرف من فرص لتقديم الشكاوى والحصول </w:t>
      </w:r>
      <w:r w:rsidR="007935FF" w:rsidRPr="009F3E84">
        <w:rPr>
          <w:rFonts w:ascii="Times New Roman Bold" w:hAnsi="Times New Roman Bold"/>
          <w:b/>
          <w:bCs/>
          <w:spacing w:val="-4"/>
          <w:rtl/>
          <w:lang w:val="en-US"/>
        </w:rPr>
        <w:t>على جبر فعليّ أمام المحاكم، في الحالات التي تُنتهك فيها حقوقهم المكفولة بموجب الاتفاقية، بما في ذلك</w:t>
      </w:r>
      <w:r w:rsidR="007935FF" w:rsidRPr="009F3E84">
        <w:rPr>
          <w:b/>
          <w:bCs/>
          <w:spacing w:val="-2"/>
          <w:rtl/>
          <w:lang w:val="en-US"/>
        </w:rPr>
        <w:t xml:space="preserve"> </w:t>
      </w:r>
      <w:r w:rsidR="007935FF" w:rsidRPr="009F3E84">
        <w:rPr>
          <w:rFonts w:ascii="Times New Roman Bold" w:hAnsi="Times New Roman Bold"/>
          <w:b/>
          <w:bCs/>
          <w:rtl/>
          <w:lang w:val="en-US"/>
        </w:rPr>
        <w:t xml:space="preserve">عن طريق إزالة العقبات التي تعترض </w:t>
      </w:r>
      <w:proofErr w:type="spellStart"/>
      <w:r w:rsidR="007935FF" w:rsidRPr="009F3E84">
        <w:rPr>
          <w:rFonts w:ascii="Times New Roman Bold" w:hAnsi="Times New Roman Bold"/>
          <w:b/>
          <w:bCs/>
          <w:rtl/>
          <w:lang w:val="en-US"/>
        </w:rPr>
        <w:t>لجوءهم</w:t>
      </w:r>
      <w:proofErr w:type="spellEnd"/>
      <w:r w:rsidR="007935FF" w:rsidRPr="009F3E84">
        <w:rPr>
          <w:rFonts w:ascii="Times New Roman Bold" w:hAnsi="Times New Roman Bold"/>
          <w:b/>
          <w:bCs/>
          <w:rtl/>
          <w:lang w:val="en-US"/>
        </w:rPr>
        <w:t xml:space="preserve"> إلى القضاء، بما في ذلك القضاء المتنقل، فيما يتعلق بالمهاجرين غير النظاميين، وعن طريق توضيح الحدود الزمنية القانونية لتقديم الطعون؛</w:t>
      </w:r>
    </w:p>
    <w:p w14:paraId="0849E468" w14:textId="569CB343" w:rsidR="007935FF" w:rsidRPr="009F3E84" w:rsidRDefault="00B160EB" w:rsidP="007935FF">
      <w:pPr>
        <w:pStyle w:val="SingleTxtGA"/>
        <w:rPr>
          <w:b/>
          <w:bCs/>
          <w:lang w:val="en-US"/>
        </w:rPr>
      </w:pPr>
      <w:r w:rsidRPr="00B160EB">
        <w:rPr>
          <w:rtl/>
          <w:lang w:val="en-US"/>
        </w:rPr>
        <w:tab/>
        <w:t>(ب)</w:t>
      </w:r>
      <w:r w:rsidRPr="00B160EB">
        <w:rPr>
          <w:rtl/>
          <w:lang w:val="en-US"/>
        </w:rPr>
        <w:tab/>
      </w:r>
      <w:r w:rsidR="007935FF" w:rsidRPr="009F3E84">
        <w:rPr>
          <w:b/>
          <w:bCs/>
          <w:rtl/>
          <w:lang w:val="en-US"/>
        </w:rPr>
        <w:t>كفالة أن تستند المساعدة القانونية إلى مبدأ عدم التمييز، وتسهيل الحصول عليها وإتاحتها مجاناً؛</w:t>
      </w:r>
    </w:p>
    <w:p w14:paraId="318E3093" w14:textId="0DCEDA83" w:rsidR="007935FF" w:rsidRPr="009F3E84" w:rsidRDefault="00B160EB" w:rsidP="007935FF">
      <w:pPr>
        <w:pStyle w:val="SingleTxtGA"/>
        <w:rPr>
          <w:b/>
          <w:bCs/>
          <w:lang w:val="en-US"/>
        </w:rPr>
      </w:pPr>
      <w:r w:rsidRPr="00B160EB">
        <w:rPr>
          <w:rtl/>
          <w:lang w:val="en-US"/>
        </w:rPr>
        <w:tab/>
        <w:t>(ج)</w:t>
      </w:r>
      <w:r w:rsidRPr="00B160EB">
        <w:rPr>
          <w:rtl/>
          <w:lang w:val="en-US"/>
        </w:rPr>
        <w:tab/>
      </w:r>
      <w:r w:rsidR="007935FF" w:rsidRPr="009F3E84">
        <w:rPr>
          <w:b/>
          <w:bCs/>
          <w:rtl/>
          <w:lang w:val="en-US"/>
        </w:rPr>
        <w:t>تكثيف جهودها لضمان إعلام العمال المهاجرين وأفراد أسرهم، بمن فيهم الذين هم</w:t>
      </w:r>
      <w:r w:rsidR="00F3567F" w:rsidRPr="009F3E84">
        <w:rPr>
          <w:rFonts w:hint="cs"/>
          <w:b/>
          <w:bCs/>
          <w:rtl/>
          <w:lang w:val="en-US"/>
        </w:rPr>
        <w:t> </w:t>
      </w:r>
      <w:r w:rsidR="007935FF" w:rsidRPr="009F3E84">
        <w:rPr>
          <w:b/>
          <w:bCs/>
          <w:rtl/>
          <w:lang w:val="en-US"/>
        </w:rPr>
        <w:t>في وضع غير قانوني، بسبل الانتصاف القضائية وغيرها من سبل الانتصاف المتاحة لهم، وإبلاغهم</w:t>
      </w:r>
      <w:r w:rsidR="00F3567F" w:rsidRPr="009F3E84">
        <w:rPr>
          <w:rFonts w:hint="cs"/>
          <w:b/>
          <w:bCs/>
          <w:rtl/>
          <w:lang w:val="en-US"/>
        </w:rPr>
        <w:t> </w:t>
      </w:r>
      <w:r w:rsidR="007935FF" w:rsidRPr="009F3E84">
        <w:rPr>
          <w:b/>
          <w:bCs/>
          <w:rtl/>
          <w:lang w:val="en-US"/>
        </w:rPr>
        <w:t>كتابة على النحو الواجب بلغة يفهمونها بأسباب اتخاذ قرار إداري أو قضائي، بما في ذلك القرارات المتعلقة برفض الدخول.</w:t>
      </w:r>
    </w:p>
    <w:p w14:paraId="36EA579C" w14:textId="772F5800" w:rsidR="007935FF" w:rsidRPr="009F3E84" w:rsidRDefault="00B83204" w:rsidP="00F3567F">
      <w:pPr>
        <w:pStyle w:val="H23GA"/>
        <w:spacing w:line="346" w:lineRule="exact"/>
      </w:pPr>
      <w:r w:rsidRPr="009F3E84">
        <w:rPr>
          <w:rtl/>
        </w:rPr>
        <w:lastRenderedPageBreak/>
        <w:tab/>
      </w:r>
      <w:r w:rsidR="007935FF" w:rsidRPr="009F3E84">
        <w:rPr>
          <w:rtl/>
        </w:rPr>
        <w:t>3-</w:t>
      </w:r>
      <w:r w:rsidR="007935FF" w:rsidRPr="009F3E84">
        <w:rPr>
          <w:rtl/>
        </w:rPr>
        <w:tab/>
        <w:t>حقوق الإنسان لجميع العمّال المهاجرين وأفراد أسرهم (المواد 8-3</w:t>
      </w:r>
      <w:r w:rsidR="007D4D2B" w:rsidRPr="009F3E84">
        <w:rPr>
          <w:color w:val="000000"/>
          <w:rtl/>
        </w:rPr>
        <w:t xml:space="preserve">5) </w:t>
      </w:r>
    </w:p>
    <w:p w14:paraId="572FDE34" w14:textId="77777777" w:rsidR="007935FF" w:rsidRPr="009F3E84" w:rsidRDefault="007935FF" w:rsidP="00F3567F">
      <w:pPr>
        <w:pStyle w:val="H23GA"/>
        <w:spacing w:line="346" w:lineRule="exact"/>
      </w:pPr>
      <w:r w:rsidRPr="009F3E84">
        <w:rPr>
          <w:rtl/>
        </w:rPr>
        <w:tab/>
      </w:r>
      <w:r w:rsidRPr="009F3E84">
        <w:rPr>
          <w:rtl/>
        </w:rPr>
        <w:tab/>
        <w:t>إدارة الحدود والمهاجرون العابرون</w:t>
      </w:r>
    </w:p>
    <w:p w14:paraId="626C4542" w14:textId="6167BFCC" w:rsidR="007935FF" w:rsidRPr="007935FF" w:rsidRDefault="007935FF" w:rsidP="00F3567F">
      <w:pPr>
        <w:pStyle w:val="SingleTxtGA"/>
        <w:spacing w:line="346" w:lineRule="exact"/>
        <w:rPr>
          <w:lang w:val="en-US"/>
        </w:rPr>
      </w:pPr>
      <w:r w:rsidRPr="009F3E84">
        <w:rPr>
          <w:rtl/>
          <w:lang w:val="en-US"/>
        </w:rPr>
        <w:t>31</w:t>
      </w:r>
      <w:r w:rsidRPr="007935FF">
        <w:rPr>
          <w:rtl/>
          <w:lang w:val="en-US"/>
        </w:rPr>
        <w:t>-</w:t>
      </w:r>
      <w:r w:rsidRPr="007935FF">
        <w:rPr>
          <w:rtl/>
          <w:lang w:val="en-US"/>
        </w:rPr>
        <w:tab/>
        <w:t>تلاحظ اللجنة الجهود التي تبذلها الدولة الطرف لتبسيط وتسريع إجراءات طلب التأشيرة وعبور الحدود. بيد أن اللجنة تشعر بالقلق إزاء وجود نظام حدودي في الدولة الطرف يركز على مكافحة الهجرة "غير الشرعية" التي تُعتبر تهديد</w:t>
      </w:r>
      <w:r w:rsidR="00DC1988">
        <w:rPr>
          <w:rtl/>
          <w:lang w:val="en-US"/>
        </w:rPr>
        <w:t xml:space="preserve">اً </w:t>
      </w:r>
      <w:r w:rsidRPr="007935FF">
        <w:rPr>
          <w:rtl/>
          <w:lang w:val="en-US"/>
        </w:rPr>
        <w:t>أمني</w:t>
      </w:r>
      <w:r w:rsidR="00075809">
        <w:rPr>
          <w:rtl/>
          <w:lang w:val="en-US"/>
        </w:rPr>
        <w:t>اً،</w:t>
      </w:r>
      <w:r w:rsidRPr="007935FF">
        <w:rPr>
          <w:rtl/>
          <w:lang w:val="en-US"/>
        </w:rPr>
        <w:t xml:space="preserve"> وإزاء التقارير التي تفيد باستخدام بعض ضباط شرطة الحدود لغة أو سلوكيات مسيئة للعمال المهاجرين وأفراد أسرهم.</w:t>
      </w:r>
    </w:p>
    <w:p w14:paraId="1B701123" w14:textId="3EBF6296" w:rsidR="007935FF" w:rsidRPr="009F3E84" w:rsidRDefault="007935FF" w:rsidP="00F3567F">
      <w:pPr>
        <w:pStyle w:val="SingleTxtGA"/>
        <w:spacing w:line="346" w:lineRule="exact"/>
        <w:rPr>
          <w:b/>
          <w:bCs/>
          <w:spacing w:val="-4"/>
          <w:lang w:val="en-US"/>
        </w:rPr>
      </w:pPr>
      <w:r w:rsidRPr="009F3E84">
        <w:rPr>
          <w:spacing w:val="-4"/>
          <w:rtl/>
          <w:lang w:val="en-US"/>
        </w:rPr>
        <w:t>32</w:t>
      </w:r>
      <w:r w:rsidRPr="00F3567F">
        <w:rPr>
          <w:spacing w:val="-4"/>
          <w:rtl/>
          <w:lang w:val="en-US"/>
        </w:rPr>
        <w:t>-</w:t>
      </w:r>
      <w:r w:rsidRPr="00F3567F">
        <w:rPr>
          <w:spacing w:val="-4"/>
          <w:rtl/>
          <w:lang w:val="en-US"/>
        </w:rPr>
        <w:tab/>
      </w:r>
      <w:r w:rsidRPr="009F3E84">
        <w:rPr>
          <w:rFonts w:ascii="Times New Roman Bold" w:hAnsi="Times New Roman Bold"/>
          <w:b/>
          <w:bCs/>
          <w:spacing w:val="-4"/>
          <w:rtl/>
          <w:lang w:val="en-US"/>
        </w:rPr>
        <w:t xml:space="preserve">وفقاً للمبادئ والخطوط التوجيهية </w:t>
      </w:r>
      <w:proofErr w:type="spellStart"/>
      <w:r w:rsidRPr="009F3E84">
        <w:rPr>
          <w:rFonts w:ascii="Times New Roman Bold" w:hAnsi="Times New Roman Bold"/>
          <w:b/>
          <w:bCs/>
          <w:spacing w:val="-4"/>
          <w:rtl/>
          <w:lang w:val="en-US"/>
        </w:rPr>
        <w:t>الموصى</w:t>
      </w:r>
      <w:proofErr w:type="spellEnd"/>
      <w:r w:rsidRPr="009F3E84">
        <w:rPr>
          <w:rFonts w:ascii="Times New Roman Bold" w:hAnsi="Times New Roman Bold"/>
          <w:b/>
          <w:bCs/>
          <w:spacing w:val="-4"/>
          <w:rtl/>
          <w:lang w:val="en-US"/>
        </w:rPr>
        <w:t xml:space="preserve"> بها فيما يتعلق بحقوق الإنسان على الحدود الدولية،</w:t>
      </w:r>
      <w:r w:rsidRPr="009F3E84">
        <w:rPr>
          <w:b/>
          <w:bCs/>
          <w:spacing w:val="-4"/>
          <w:rtl/>
          <w:lang w:val="en-US"/>
        </w:rPr>
        <w:t xml:space="preserve"> التي وضعتها مفوضية الأمم المتحدة السامية لحقوق الإنسان، توصي اللجنة بقيام الدولة الطرف بما</w:t>
      </w:r>
      <w:r w:rsidR="00DC1988" w:rsidRPr="009F3E84">
        <w:rPr>
          <w:rFonts w:hint="cs"/>
          <w:b/>
          <w:bCs/>
          <w:spacing w:val="-4"/>
          <w:rtl/>
          <w:lang w:val="en-US"/>
        </w:rPr>
        <w:t> </w:t>
      </w:r>
      <w:r w:rsidRPr="009F3E84">
        <w:rPr>
          <w:b/>
          <w:bCs/>
          <w:spacing w:val="-4"/>
          <w:rtl/>
          <w:lang w:val="en-US"/>
        </w:rPr>
        <w:t>يلي:</w:t>
      </w:r>
    </w:p>
    <w:p w14:paraId="0DA3317F" w14:textId="755A0702" w:rsidR="007935FF" w:rsidRPr="009F3E84" w:rsidRDefault="00B160EB" w:rsidP="00F3567F">
      <w:pPr>
        <w:pStyle w:val="SingleTxtGA"/>
        <w:spacing w:line="346" w:lineRule="exact"/>
        <w:rPr>
          <w:b/>
          <w:bCs/>
          <w:lang w:val="en-US"/>
        </w:rPr>
      </w:pPr>
      <w:r w:rsidRPr="00B160EB">
        <w:rPr>
          <w:rtl/>
          <w:lang w:val="en-US"/>
        </w:rPr>
        <w:tab/>
        <w:t>(أ)</w:t>
      </w:r>
      <w:r w:rsidRPr="00B160EB">
        <w:rPr>
          <w:rtl/>
          <w:lang w:val="en-US"/>
        </w:rPr>
        <w:tab/>
      </w:r>
      <w:r w:rsidR="007935FF" w:rsidRPr="009F3E84">
        <w:rPr>
          <w:b/>
          <w:bCs/>
          <w:rtl/>
          <w:lang w:val="en-US"/>
        </w:rPr>
        <w:t>اعتماد نهج قائم على حقوق الإنسان بشأن إدارة الحدود، بما في ذلك إجراء مشاورات فعالة مع الجهات المعنية صاحبة المصلحة على الصعيد الوطني مثل الهيئات القضائية وهيئات حقوق الإنسان والأوساط الأكاديمية وجهات المجتمع المدني الفاعلة، بما في ذلك منظمات المهاجرين، فيما يتعلق بوضع التدابير المتصلة بالحدود واعتمادها وتنفيذها؛</w:t>
      </w:r>
    </w:p>
    <w:p w14:paraId="480AEA73" w14:textId="168E93D5" w:rsidR="007935FF" w:rsidRPr="009F3E84" w:rsidRDefault="00B160EB" w:rsidP="00F3567F">
      <w:pPr>
        <w:pStyle w:val="SingleTxtGA"/>
        <w:spacing w:line="346" w:lineRule="exact"/>
        <w:rPr>
          <w:b/>
          <w:bCs/>
          <w:lang w:val="en-US"/>
        </w:rPr>
      </w:pPr>
      <w:r w:rsidRPr="00B160EB">
        <w:rPr>
          <w:rtl/>
          <w:lang w:val="en-US"/>
        </w:rPr>
        <w:tab/>
        <w:t>(ب)</w:t>
      </w:r>
      <w:r w:rsidRPr="00B160EB">
        <w:rPr>
          <w:rtl/>
          <w:lang w:val="en-US"/>
        </w:rPr>
        <w:tab/>
      </w:r>
      <w:r w:rsidR="007935FF" w:rsidRPr="009F3E84">
        <w:rPr>
          <w:b/>
          <w:bCs/>
          <w:rtl/>
          <w:lang w:val="en-US"/>
        </w:rPr>
        <w:t>ضمان تمتع المهاجرين الذين عانوا من انتهاكات أو تجاوزات لحقوق الإنسان نتيجة لتدابير إدارة الحدود بفرص متساوية وفعالة للوصول إلى العدالة وسبل الانتصاف، ومقاضاة المنتهكين ومعاقبتهم على النحو المناسب، وتدريب سلطات الحدود بشكل منهجي على القانون الدولي لحقوق الإنسان ذي الصلة بعملهم.</w:t>
      </w:r>
    </w:p>
    <w:p w14:paraId="65D1246D" w14:textId="77777777" w:rsidR="007935FF" w:rsidRPr="009F3E84" w:rsidRDefault="007935FF" w:rsidP="00F3567F">
      <w:pPr>
        <w:pStyle w:val="H23GA"/>
        <w:spacing w:line="346" w:lineRule="exact"/>
      </w:pPr>
      <w:r w:rsidRPr="009F3E84">
        <w:rPr>
          <w:rtl/>
        </w:rPr>
        <w:tab/>
      </w:r>
      <w:r w:rsidRPr="009F3E84">
        <w:rPr>
          <w:rtl/>
        </w:rPr>
        <w:tab/>
        <w:t>حق المغادرة</w:t>
      </w:r>
    </w:p>
    <w:p w14:paraId="236F63F5" w14:textId="0483F613" w:rsidR="007935FF" w:rsidRPr="007935FF" w:rsidRDefault="007935FF" w:rsidP="00F3567F">
      <w:pPr>
        <w:pStyle w:val="SingleTxtGA"/>
        <w:spacing w:line="346" w:lineRule="exact"/>
        <w:rPr>
          <w:lang w:val="en-US"/>
        </w:rPr>
      </w:pPr>
      <w:r w:rsidRPr="009F3E84">
        <w:rPr>
          <w:rtl/>
          <w:lang w:val="en-US"/>
        </w:rPr>
        <w:t>33</w:t>
      </w:r>
      <w:r w:rsidRPr="007935FF">
        <w:rPr>
          <w:rtl/>
          <w:lang w:val="en-US"/>
        </w:rPr>
        <w:t>-</w:t>
      </w:r>
      <w:r w:rsidRPr="007935FF">
        <w:rPr>
          <w:rtl/>
          <w:lang w:val="en-US"/>
        </w:rPr>
        <w:tab/>
      </w:r>
      <w:r w:rsidRPr="00F3567F">
        <w:rPr>
          <w:spacing w:val="-2"/>
          <w:rtl/>
          <w:lang w:val="en-US"/>
        </w:rPr>
        <w:t xml:space="preserve">تلاحظ اللجنة مع التقدير أن المادة </w:t>
      </w:r>
      <w:r w:rsidRPr="009F3E84">
        <w:rPr>
          <w:spacing w:val="-2"/>
          <w:rtl/>
          <w:lang w:val="en-US"/>
        </w:rPr>
        <w:t>50</w:t>
      </w:r>
      <w:r w:rsidRPr="00F3567F">
        <w:rPr>
          <w:spacing w:val="-2"/>
          <w:rtl/>
          <w:lang w:val="en-US"/>
        </w:rPr>
        <w:t>(</w:t>
      </w:r>
      <w:r w:rsidR="007D4D2B" w:rsidRPr="009F3E84">
        <w:rPr>
          <w:color w:val="000000"/>
          <w:spacing w:val="-2"/>
          <w:rtl/>
          <w:lang w:val="en-US"/>
        </w:rPr>
        <w:t>1</w:t>
      </w:r>
      <w:r w:rsidR="007D4D2B" w:rsidRPr="00F3567F">
        <w:rPr>
          <w:color w:val="000000"/>
          <w:spacing w:val="-2"/>
          <w:rtl/>
          <w:lang w:val="en-US"/>
        </w:rPr>
        <w:t xml:space="preserve">) </w:t>
      </w:r>
      <w:r w:rsidRPr="00F3567F">
        <w:rPr>
          <w:spacing w:val="-2"/>
          <w:rtl/>
          <w:lang w:val="en-US"/>
        </w:rPr>
        <w:t>من الدستور تكفل الحق في مغادرة إقليم الدولة الطرف.</w:t>
      </w:r>
      <w:r w:rsidRPr="007935FF">
        <w:rPr>
          <w:rtl/>
          <w:lang w:val="en-US"/>
        </w:rPr>
        <w:t xml:space="preserve"> ومع ذلك، يساور اللجنة القلق إزاء التقارير التي تفيد بأن العمال المهاجرين غير النظاميين وأفراد أسرهم قد </w:t>
      </w:r>
      <w:r w:rsidRPr="00F3567F">
        <w:rPr>
          <w:spacing w:val="-2"/>
          <w:rtl/>
          <w:lang w:val="en-US"/>
        </w:rPr>
        <w:t>يُمنعون في بعض الأحيان من مغادرة الدولة الطرف بسبب عدم قدرتهم على دفع الغرامات المفروضة عليهم</w:t>
      </w:r>
      <w:r w:rsidRPr="007935FF">
        <w:rPr>
          <w:rtl/>
          <w:lang w:val="en-US"/>
        </w:rPr>
        <w:t xml:space="preserve"> نتيجة للدخول أو الإقامة غير النظاميين، ما لم يُبلغوا لجنة تحليل طلبات العودة الطوعية والبت فيها أنهم على استعداد لمغادرة البلد طوع</w:t>
      </w:r>
      <w:r w:rsidR="00075809">
        <w:rPr>
          <w:rtl/>
          <w:lang w:val="en-US"/>
        </w:rPr>
        <w:t>اً،</w:t>
      </w:r>
      <w:r w:rsidR="007F26E8">
        <w:rPr>
          <w:rtl/>
          <w:lang w:val="en-US"/>
        </w:rPr>
        <w:t xml:space="preserve"> </w:t>
      </w:r>
      <w:r w:rsidRPr="007935FF">
        <w:rPr>
          <w:rtl/>
          <w:lang w:val="en-US"/>
        </w:rPr>
        <w:t>وفق</w:t>
      </w:r>
      <w:r w:rsidR="00DC1988">
        <w:rPr>
          <w:rtl/>
          <w:lang w:val="en-US"/>
        </w:rPr>
        <w:t xml:space="preserve">اً </w:t>
      </w:r>
      <w:r w:rsidRPr="007935FF">
        <w:rPr>
          <w:rtl/>
          <w:lang w:val="en-US"/>
        </w:rPr>
        <w:t xml:space="preserve">للمرسوم بقانون رقم </w:t>
      </w:r>
      <w:r w:rsidRPr="009F3E84">
        <w:rPr>
          <w:rtl/>
          <w:lang w:val="en-US"/>
        </w:rPr>
        <w:t>46</w:t>
      </w:r>
      <w:r w:rsidRPr="007935FF">
        <w:rPr>
          <w:rtl/>
          <w:lang w:val="en-US"/>
        </w:rPr>
        <w:t>/</w:t>
      </w:r>
      <w:r w:rsidRPr="009F3E84">
        <w:rPr>
          <w:rtl/>
          <w:lang w:val="en-US"/>
        </w:rPr>
        <w:t>201</w:t>
      </w:r>
      <w:r w:rsidR="007D4D2B" w:rsidRPr="009F3E84">
        <w:rPr>
          <w:color w:val="000000"/>
          <w:rtl/>
          <w:lang w:val="en-US"/>
        </w:rPr>
        <w:t>9</w:t>
      </w:r>
      <w:r w:rsidR="007D4D2B" w:rsidRPr="007D4D2B">
        <w:rPr>
          <w:color w:val="000000"/>
          <w:rtl/>
          <w:lang w:val="en-US"/>
        </w:rPr>
        <w:t xml:space="preserve">. </w:t>
      </w:r>
    </w:p>
    <w:p w14:paraId="035A793C" w14:textId="4AD136D0" w:rsidR="007935FF" w:rsidRPr="009F3E84" w:rsidRDefault="007935FF" w:rsidP="00F3567F">
      <w:pPr>
        <w:pStyle w:val="SingleTxtGA"/>
        <w:spacing w:line="346" w:lineRule="exact"/>
        <w:rPr>
          <w:b/>
          <w:bCs/>
          <w:spacing w:val="-4"/>
          <w:lang w:val="en-US"/>
        </w:rPr>
      </w:pPr>
      <w:r w:rsidRPr="009F3E84">
        <w:rPr>
          <w:spacing w:val="-4"/>
          <w:rtl/>
          <w:lang w:val="en-US"/>
        </w:rPr>
        <w:t>34</w:t>
      </w:r>
      <w:r w:rsidRPr="00F3567F">
        <w:rPr>
          <w:spacing w:val="-4"/>
          <w:rtl/>
          <w:lang w:val="en-US"/>
        </w:rPr>
        <w:t>-</w:t>
      </w:r>
      <w:r w:rsidRPr="00F3567F">
        <w:rPr>
          <w:spacing w:val="-4"/>
          <w:rtl/>
          <w:lang w:val="en-US"/>
        </w:rPr>
        <w:tab/>
      </w:r>
      <w:r w:rsidRPr="009F3E84">
        <w:rPr>
          <w:b/>
          <w:bCs/>
          <w:spacing w:val="-4"/>
          <w:rtl/>
          <w:lang w:val="en-US"/>
        </w:rPr>
        <w:t>تحث اللجنة الدولة الطرف على اتخاذ التدابير التشريعية وغيرها من التدابير المناسبة لضمان عدم منع العمال المهاجرين غير النظاميين وأفراد أسرهم من مغادرة الدولة الطرف لمجرد عدم القدرة على دفع غرامة عن الدخول أو الإقامة غير النظاميين، على أن تأخذ في الحسبان أن العودة كي توصف بالطوعية لا بد أن يكون قرار العودة مستنير</w:t>
      </w:r>
      <w:r w:rsidR="00DC1988" w:rsidRPr="009F3E84">
        <w:rPr>
          <w:b/>
          <w:bCs/>
          <w:spacing w:val="-4"/>
          <w:rtl/>
          <w:lang w:val="en-US"/>
        </w:rPr>
        <w:t xml:space="preserve">اً </w:t>
      </w:r>
      <w:r w:rsidRPr="009F3E84">
        <w:rPr>
          <w:b/>
          <w:bCs/>
          <w:spacing w:val="-4"/>
          <w:rtl/>
          <w:lang w:val="en-US"/>
        </w:rPr>
        <w:t>تمام</w:t>
      </w:r>
      <w:r w:rsidR="00DC1988" w:rsidRPr="009F3E84">
        <w:rPr>
          <w:b/>
          <w:bCs/>
          <w:spacing w:val="-4"/>
          <w:rtl/>
          <w:lang w:val="en-US"/>
        </w:rPr>
        <w:t xml:space="preserve">اً </w:t>
      </w:r>
      <w:r w:rsidRPr="009F3E84">
        <w:rPr>
          <w:b/>
          <w:bCs/>
          <w:spacing w:val="-4"/>
          <w:rtl/>
          <w:lang w:val="en-US"/>
        </w:rPr>
        <w:t xml:space="preserve">وأن يُتخذ دون قيود وفي ضوء بدائل صالحة كافية، بينها تصاريح مؤقتة </w:t>
      </w:r>
      <w:proofErr w:type="gramStart"/>
      <w:r w:rsidRPr="009F3E84">
        <w:rPr>
          <w:b/>
          <w:bCs/>
          <w:spacing w:val="-4"/>
          <w:rtl/>
          <w:lang w:val="en-US"/>
        </w:rPr>
        <w:t>للعمل</w:t>
      </w:r>
      <w:proofErr w:type="gramEnd"/>
      <w:r w:rsidRPr="009F3E84">
        <w:rPr>
          <w:b/>
          <w:bCs/>
          <w:spacing w:val="-4"/>
          <w:rtl/>
          <w:lang w:val="en-US"/>
        </w:rPr>
        <w:t xml:space="preserve"> أو الدراسة أو الأغراض الإنسانية أو فرص للحصول على الإقامة الدائمة أو الجنسية.</w:t>
      </w:r>
    </w:p>
    <w:p w14:paraId="40E9B45C" w14:textId="77777777" w:rsidR="007935FF" w:rsidRPr="009F3E84" w:rsidRDefault="007935FF" w:rsidP="00F3567F">
      <w:pPr>
        <w:pStyle w:val="H23GA"/>
        <w:spacing w:line="346" w:lineRule="exact"/>
      </w:pPr>
      <w:r w:rsidRPr="009F3E84">
        <w:rPr>
          <w:rtl/>
        </w:rPr>
        <w:tab/>
      </w:r>
      <w:r w:rsidRPr="009F3E84">
        <w:rPr>
          <w:rtl/>
        </w:rPr>
        <w:tab/>
        <w:t>حرية الفكر والوجدان والدين</w:t>
      </w:r>
    </w:p>
    <w:p w14:paraId="60B904C9" w14:textId="022FBE9E" w:rsidR="007935FF" w:rsidRPr="007935FF" w:rsidRDefault="007935FF" w:rsidP="00F3567F">
      <w:pPr>
        <w:pStyle w:val="SingleTxtGA"/>
        <w:spacing w:line="346" w:lineRule="exact"/>
        <w:rPr>
          <w:lang w:val="en-US"/>
        </w:rPr>
      </w:pPr>
      <w:r w:rsidRPr="009F3E84">
        <w:rPr>
          <w:rtl/>
          <w:lang w:val="en-US"/>
        </w:rPr>
        <w:t>35</w:t>
      </w:r>
      <w:r w:rsidRPr="007935FF">
        <w:rPr>
          <w:rtl/>
          <w:lang w:val="en-US"/>
        </w:rPr>
        <w:t>-</w:t>
      </w:r>
      <w:r w:rsidRPr="007935FF">
        <w:rPr>
          <w:rtl/>
          <w:lang w:val="en-US"/>
        </w:rPr>
        <w:tab/>
        <w:t>تلاحظ اللجنة أن الدستور يكفل حرية الفكر والدين والعبادة بوصفها حقوق</w:t>
      </w:r>
      <w:r w:rsidR="00DC1988">
        <w:rPr>
          <w:rtl/>
          <w:lang w:val="en-US"/>
        </w:rPr>
        <w:t xml:space="preserve">اً </w:t>
      </w:r>
      <w:r w:rsidRPr="007935FF">
        <w:rPr>
          <w:rtl/>
          <w:lang w:val="en-US"/>
        </w:rPr>
        <w:t>دستورية للجميع. بيد</w:t>
      </w:r>
      <w:r w:rsidR="00972938">
        <w:rPr>
          <w:rFonts w:hint="cs"/>
          <w:rtl/>
          <w:lang w:val="en-US"/>
        </w:rPr>
        <w:t> </w:t>
      </w:r>
      <w:r w:rsidRPr="007935FF">
        <w:rPr>
          <w:rtl/>
          <w:lang w:val="en-US"/>
        </w:rPr>
        <w:t xml:space="preserve">أنها تشعر بالقلق لأن التعديلات المدخلة على قانون الحرية الدينية والعبادة، التي تشترط حصول </w:t>
      </w:r>
      <w:r w:rsidRPr="00972938">
        <w:rPr>
          <w:spacing w:val="-2"/>
          <w:rtl/>
          <w:lang w:val="en-US"/>
        </w:rPr>
        <w:t xml:space="preserve">الجماعات الدينية على توقيعات موثقة من </w:t>
      </w:r>
      <w:r w:rsidRPr="009F3E84">
        <w:rPr>
          <w:spacing w:val="-2"/>
          <w:rtl/>
          <w:lang w:val="en-US"/>
        </w:rPr>
        <w:t>500</w:t>
      </w:r>
      <w:r w:rsidRPr="00972938">
        <w:rPr>
          <w:spacing w:val="-2"/>
          <w:rtl/>
          <w:lang w:val="en-US"/>
        </w:rPr>
        <w:t xml:space="preserve"> عضو قبل أن تتمكن من بدء أي أنشطة في الدولة الطرف،</w:t>
      </w:r>
      <w:r w:rsidRPr="007935FF">
        <w:rPr>
          <w:rtl/>
          <w:lang w:val="en-US"/>
        </w:rPr>
        <w:t xml:space="preserve"> قد تشكل عقبات تعيق ممارسة مجتمعات المهاجرين حقهم في حرية الفكر والوجدان والدين.</w:t>
      </w:r>
    </w:p>
    <w:p w14:paraId="34F98B48" w14:textId="15679C90" w:rsidR="007935FF" w:rsidRPr="009F3E84" w:rsidRDefault="007935FF" w:rsidP="00F3567F">
      <w:pPr>
        <w:pStyle w:val="SingleTxtGA"/>
        <w:spacing w:line="346" w:lineRule="exact"/>
        <w:rPr>
          <w:b/>
          <w:bCs/>
          <w:lang w:val="en-US"/>
        </w:rPr>
      </w:pPr>
      <w:r w:rsidRPr="009F3E84">
        <w:rPr>
          <w:rtl/>
          <w:lang w:val="en-US"/>
        </w:rPr>
        <w:t>36</w:t>
      </w:r>
      <w:r w:rsidRPr="007935FF">
        <w:rPr>
          <w:rtl/>
          <w:lang w:val="en-US"/>
        </w:rPr>
        <w:t>-</w:t>
      </w:r>
      <w:r w:rsidRPr="007935FF">
        <w:rPr>
          <w:rtl/>
          <w:lang w:val="en-US"/>
        </w:rPr>
        <w:tab/>
      </w:r>
      <w:r w:rsidRPr="009F3E84">
        <w:rPr>
          <w:b/>
          <w:bCs/>
          <w:rtl/>
          <w:lang w:val="en-US"/>
        </w:rPr>
        <w:t xml:space="preserve">توصي اللجنة الدولة الطرف بأن تتخذ جميع التدابير التشريعية </w:t>
      </w:r>
      <w:proofErr w:type="spellStart"/>
      <w:r w:rsidRPr="009F3E84">
        <w:rPr>
          <w:b/>
          <w:bCs/>
          <w:rtl/>
          <w:lang w:val="en-US"/>
        </w:rPr>
        <w:t>والسياساتية</w:t>
      </w:r>
      <w:proofErr w:type="spellEnd"/>
      <w:r w:rsidRPr="009F3E84">
        <w:rPr>
          <w:b/>
          <w:bCs/>
          <w:rtl/>
          <w:lang w:val="en-US"/>
        </w:rPr>
        <w:t xml:space="preserve"> اللازمة لضمان ألا تخضع حرية إظهار الفرد لدينه أو معتقده إلا للقيود التي يقررها القانون وتقتضيها حماية السلامة العامة، أو النظام العام، أو الصحة العامة، أو الآداب العامة، أو حقوق الغير وحرياتهم الأساسية، وفق</w:t>
      </w:r>
      <w:r w:rsidR="00DC1988" w:rsidRPr="009F3E84">
        <w:rPr>
          <w:b/>
          <w:bCs/>
          <w:rtl/>
          <w:lang w:val="en-US"/>
        </w:rPr>
        <w:t xml:space="preserve">اً </w:t>
      </w:r>
      <w:r w:rsidRPr="009F3E84">
        <w:rPr>
          <w:b/>
          <w:bCs/>
          <w:rtl/>
          <w:lang w:val="en-US"/>
        </w:rPr>
        <w:t>لما جاء في المادة 12(</w:t>
      </w:r>
      <w:r w:rsidR="007D4D2B" w:rsidRPr="009F3E84">
        <w:rPr>
          <w:b/>
          <w:bCs/>
          <w:color w:val="000000"/>
          <w:rtl/>
          <w:lang w:val="en-US"/>
        </w:rPr>
        <w:t xml:space="preserve">3) </w:t>
      </w:r>
      <w:r w:rsidRPr="009F3E84">
        <w:rPr>
          <w:b/>
          <w:bCs/>
          <w:rtl/>
          <w:lang w:val="en-US"/>
        </w:rPr>
        <w:t xml:space="preserve">من الاتفاقية. </w:t>
      </w:r>
    </w:p>
    <w:p w14:paraId="64611116" w14:textId="77777777" w:rsidR="007935FF" w:rsidRPr="009F3E84" w:rsidRDefault="007935FF" w:rsidP="00F3567F">
      <w:pPr>
        <w:pStyle w:val="H23GA"/>
      </w:pPr>
      <w:r w:rsidRPr="009F3E84">
        <w:rPr>
          <w:rtl/>
        </w:rPr>
        <w:lastRenderedPageBreak/>
        <w:tab/>
      </w:r>
      <w:r w:rsidRPr="009F3E84">
        <w:rPr>
          <w:rtl/>
        </w:rPr>
        <w:tab/>
        <w:t>استغلال اليد العاملة وغيره من ضروب سوء المعاملة</w:t>
      </w:r>
    </w:p>
    <w:p w14:paraId="7AD96137" w14:textId="6D6E9DF4" w:rsidR="007935FF" w:rsidRPr="007935FF" w:rsidRDefault="007935FF" w:rsidP="00F3567F">
      <w:pPr>
        <w:pStyle w:val="SingleTxtGA"/>
        <w:rPr>
          <w:lang w:val="en-US"/>
        </w:rPr>
      </w:pPr>
      <w:r w:rsidRPr="009F3E84">
        <w:rPr>
          <w:rtl/>
          <w:lang w:val="en-US"/>
        </w:rPr>
        <w:t>37</w:t>
      </w:r>
      <w:r w:rsidRPr="007935FF">
        <w:rPr>
          <w:rtl/>
          <w:lang w:val="en-US"/>
        </w:rPr>
        <w:t>-</w:t>
      </w:r>
      <w:r w:rsidRPr="007935FF">
        <w:rPr>
          <w:rtl/>
          <w:lang w:val="en-US"/>
        </w:rPr>
        <w:tab/>
        <w:t>تلاحظ اللجنة التدابير الرامية إلى مكافحة السخرة، مثل خطة العمل الوطنية لمنع عمل الأطفال والقضاء عليه، واعتماد قائمة بالأعمال الخطرة على الأطفال والمراهقين والتشريعات التي تكافح الاعتداء والاستغلال الجنسيين. ومع ذلك، لا تزال اللجنة تشعر بقلق بالغ لأن ثمة تقارير تفيد بأن الأطفال يُشغَّلون خدم</w:t>
      </w:r>
      <w:r w:rsidR="00DC1988">
        <w:rPr>
          <w:rtl/>
          <w:lang w:val="en-US"/>
        </w:rPr>
        <w:t xml:space="preserve">اً </w:t>
      </w:r>
      <w:r w:rsidRPr="007935FF">
        <w:rPr>
          <w:rtl/>
          <w:lang w:val="en-US"/>
        </w:rPr>
        <w:t xml:space="preserve">في المنازل، وأن العمال المهاجرين العاملين في قطاعي الزراعة وصيد الأسماك، بما في ذلك العمال المهاجرون من الصين وغينيا </w:t>
      </w:r>
      <w:proofErr w:type="spellStart"/>
      <w:r w:rsidRPr="007935FF">
        <w:rPr>
          <w:rtl/>
          <w:lang w:val="en-US"/>
        </w:rPr>
        <w:t>وغينيا</w:t>
      </w:r>
      <w:proofErr w:type="spellEnd"/>
      <w:r w:rsidRPr="007935FF">
        <w:rPr>
          <w:rtl/>
          <w:lang w:val="en-US"/>
        </w:rPr>
        <w:t xml:space="preserve"> - بيساو ونيجيريا والسنغال، قد يتعرضون لظروف عمل سيئة للغاية ويكونون عرضة للعمل القسري، ولأن المفتشية العامة للعمل لم تكتشف أي حالة من حالات العمل الجبري أو الإلزامي في البلد وفق</w:t>
      </w:r>
      <w:r w:rsidR="00DC1988">
        <w:rPr>
          <w:rtl/>
          <w:lang w:val="en-US"/>
        </w:rPr>
        <w:t xml:space="preserve">اً </w:t>
      </w:r>
      <w:r w:rsidRPr="007935FF">
        <w:rPr>
          <w:rtl/>
          <w:lang w:val="en-US"/>
        </w:rPr>
        <w:t>للمعلومات المقدمة من الدولة الطرف.</w:t>
      </w:r>
    </w:p>
    <w:p w14:paraId="3BD0B6CD" w14:textId="68F62AB0" w:rsidR="007935FF" w:rsidRPr="009F3E84" w:rsidRDefault="007935FF" w:rsidP="00F3567F">
      <w:pPr>
        <w:pStyle w:val="SingleTxtGA"/>
        <w:rPr>
          <w:b/>
          <w:bCs/>
          <w:spacing w:val="-2"/>
          <w:lang w:val="en-US"/>
        </w:rPr>
      </w:pPr>
      <w:r w:rsidRPr="009F3E84">
        <w:rPr>
          <w:spacing w:val="-2"/>
          <w:rtl/>
          <w:lang w:val="en-US"/>
        </w:rPr>
        <w:t>38</w:t>
      </w:r>
      <w:r w:rsidRPr="00972938">
        <w:rPr>
          <w:spacing w:val="-2"/>
          <w:rtl/>
          <w:lang w:val="en-US"/>
        </w:rPr>
        <w:t>-</w:t>
      </w:r>
      <w:r w:rsidRPr="00972938">
        <w:rPr>
          <w:spacing w:val="-2"/>
          <w:rtl/>
          <w:lang w:val="en-US"/>
        </w:rPr>
        <w:tab/>
      </w:r>
      <w:r w:rsidRPr="009F3E84">
        <w:rPr>
          <w:b/>
          <w:bCs/>
          <w:spacing w:val="-2"/>
          <w:rtl/>
          <w:lang w:val="en-US"/>
        </w:rPr>
        <w:t>تشير اللجنة إلى الغايتين 8-7 و16-</w:t>
      </w:r>
      <w:r w:rsidR="00F3567F" w:rsidRPr="009F3E84">
        <w:rPr>
          <w:rFonts w:hint="cs"/>
          <w:b/>
          <w:bCs/>
          <w:spacing w:val="-2"/>
          <w:rtl/>
          <w:lang w:val="en-US"/>
        </w:rPr>
        <w:t>2</w:t>
      </w:r>
      <w:r w:rsidRPr="009F3E84">
        <w:rPr>
          <w:b/>
          <w:bCs/>
          <w:spacing w:val="-2"/>
          <w:rtl/>
          <w:lang w:val="en-US"/>
        </w:rPr>
        <w:t xml:space="preserve"> من أهداف التنمية المستدامة، وتوصي الدولة الطرف بما يلي: </w:t>
      </w:r>
    </w:p>
    <w:p w14:paraId="606B4CD1" w14:textId="3847E3E7" w:rsidR="007935FF" w:rsidRPr="009F3E84" w:rsidRDefault="00B160EB" w:rsidP="00F3567F">
      <w:pPr>
        <w:pStyle w:val="SingleTxtGA"/>
        <w:rPr>
          <w:b/>
          <w:bCs/>
          <w:lang w:val="en-US"/>
        </w:rPr>
      </w:pPr>
      <w:r w:rsidRPr="00B160EB">
        <w:rPr>
          <w:rtl/>
          <w:lang w:val="en-US"/>
        </w:rPr>
        <w:tab/>
        <w:t>(أ)</w:t>
      </w:r>
      <w:r w:rsidRPr="00B160EB">
        <w:rPr>
          <w:rtl/>
          <w:lang w:val="en-US"/>
        </w:rPr>
        <w:tab/>
      </w:r>
      <w:r w:rsidR="007935FF" w:rsidRPr="009F3E84">
        <w:rPr>
          <w:rFonts w:ascii="Times New Roman Bold" w:hAnsi="Times New Roman Bold"/>
          <w:b/>
          <w:bCs/>
          <w:spacing w:val="-2"/>
          <w:rtl/>
          <w:lang w:val="en-US"/>
        </w:rPr>
        <w:t>زيادة عمليات تفتيش العمل، ولا سيما في القطاع غير النظامي من الاقتصاد، وإنشاء</w:t>
      </w:r>
      <w:r w:rsidR="007935FF" w:rsidRPr="009F3E84">
        <w:rPr>
          <w:b/>
          <w:bCs/>
          <w:rtl/>
          <w:lang w:val="en-US"/>
        </w:rPr>
        <w:t xml:space="preserve"> مكاتب تفتيش العمل في جميع الجزر التي يعمل فيها العمال المهاجرون؛ </w:t>
      </w:r>
    </w:p>
    <w:p w14:paraId="361A7A58" w14:textId="0E56DBFB" w:rsidR="007935FF" w:rsidRPr="009F3E84" w:rsidRDefault="00B160EB" w:rsidP="00F3567F">
      <w:pPr>
        <w:pStyle w:val="SingleTxtGA"/>
        <w:rPr>
          <w:b/>
          <w:bCs/>
          <w:lang w:val="en-US"/>
        </w:rPr>
      </w:pPr>
      <w:r w:rsidRPr="00B160EB">
        <w:rPr>
          <w:rtl/>
          <w:lang w:val="en-US"/>
        </w:rPr>
        <w:tab/>
        <w:t>(ب)</w:t>
      </w:r>
      <w:r w:rsidRPr="00B160EB">
        <w:rPr>
          <w:rtl/>
          <w:lang w:val="en-US"/>
        </w:rPr>
        <w:tab/>
      </w:r>
      <w:r w:rsidR="007935FF" w:rsidRPr="009F3E84">
        <w:rPr>
          <w:b/>
          <w:bCs/>
          <w:rtl/>
          <w:lang w:val="en-US"/>
        </w:rPr>
        <w:t>مقاضاة ومعاقبة الأشخاص أو الجماعات الذين يستغلون العمال المهاجرين، ولا</w:t>
      </w:r>
      <w:r w:rsidR="00DC1988" w:rsidRPr="009F3E84">
        <w:rPr>
          <w:rFonts w:hint="cs"/>
          <w:b/>
          <w:bCs/>
          <w:rtl/>
          <w:lang w:val="en-US"/>
        </w:rPr>
        <w:t> </w:t>
      </w:r>
      <w:r w:rsidR="007935FF" w:rsidRPr="009F3E84">
        <w:rPr>
          <w:b/>
          <w:bCs/>
          <w:rtl/>
          <w:lang w:val="en-US"/>
        </w:rPr>
        <w:t xml:space="preserve">سيما الأطفال، أو يُخضعونهم للعمل القسري وسوء المعاملة، لا سيما في الاقتصاد غير النظامي؛ </w:t>
      </w:r>
    </w:p>
    <w:p w14:paraId="3A083B3E" w14:textId="34FA692E" w:rsidR="007935FF" w:rsidRPr="009F3E84" w:rsidRDefault="00B160EB" w:rsidP="00F3567F">
      <w:pPr>
        <w:pStyle w:val="SingleTxtGA"/>
        <w:rPr>
          <w:b/>
          <w:bCs/>
          <w:lang w:val="en-US"/>
        </w:rPr>
      </w:pPr>
      <w:r w:rsidRPr="00B160EB">
        <w:rPr>
          <w:rtl/>
          <w:lang w:val="en-US"/>
        </w:rPr>
        <w:tab/>
        <w:t>(ج)</w:t>
      </w:r>
      <w:r w:rsidRPr="00B160EB">
        <w:rPr>
          <w:rtl/>
          <w:lang w:val="en-US"/>
        </w:rPr>
        <w:tab/>
      </w:r>
      <w:r w:rsidR="007935FF" w:rsidRPr="009F3E84">
        <w:rPr>
          <w:rFonts w:ascii="Times New Roman Bold" w:hAnsi="Times New Roman Bold"/>
          <w:b/>
          <w:bCs/>
          <w:spacing w:val="-4"/>
          <w:rtl/>
          <w:lang w:val="en-US"/>
        </w:rPr>
        <w:t>توفير ما يكفي من المساعدة والحماية وإعادة التأهيل، بما في ذلك إعادة التأهيل النفسي</w:t>
      </w:r>
      <w:r w:rsidR="007935FF" w:rsidRPr="009F3E84">
        <w:rPr>
          <w:b/>
          <w:bCs/>
          <w:rtl/>
          <w:lang w:val="en-US"/>
        </w:rPr>
        <w:t xml:space="preserve"> والاجتماعي، للعمال المهاجرين، ولا سيما الأطفال، الذين وقعوا ضحايا للاستغلال في العمل؛</w:t>
      </w:r>
    </w:p>
    <w:p w14:paraId="1868D2C3" w14:textId="37397B59" w:rsidR="007D4D2B" w:rsidRPr="009F3E84" w:rsidRDefault="00B160EB" w:rsidP="00F3567F">
      <w:pPr>
        <w:pStyle w:val="SingleTxtGA"/>
        <w:rPr>
          <w:b/>
          <w:bCs/>
          <w:color w:val="000000"/>
          <w:lang w:val="en-US"/>
        </w:rPr>
      </w:pPr>
      <w:r w:rsidRPr="00B160EB">
        <w:rPr>
          <w:rtl/>
          <w:lang w:val="en-US"/>
        </w:rPr>
        <w:tab/>
        <w:t>(د)</w:t>
      </w:r>
      <w:r w:rsidRPr="00B160EB">
        <w:rPr>
          <w:rtl/>
          <w:lang w:val="en-US"/>
        </w:rPr>
        <w:tab/>
      </w:r>
      <w:r w:rsidR="007935FF" w:rsidRPr="009F3E84">
        <w:rPr>
          <w:b/>
          <w:bCs/>
          <w:rtl/>
          <w:lang w:val="en-US"/>
        </w:rPr>
        <w:t xml:space="preserve">جمع معلومات عن مدى ظاهرة عمل الأطفال، بما في ذلك عمل الأطفال المهاجرين، بغية وضع سياسات واستراتيجيات واستحداث آليات إنفاذ لضمان امتثال إطارها التشريعي </w:t>
      </w:r>
      <w:proofErr w:type="spellStart"/>
      <w:r w:rsidR="007935FF" w:rsidRPr="009F3E84">
        <w:rPr>
          <w:b/>
          <w:bCs/>
          <w:rtl/>
          <w:lang w:val="en-US"/>
        </w:rPr>
        <w:t>والسياساتي</w:t>
      </w:r>
      <w:proofErr w:type="spellEnd"/>
      <w:r w:rsidR="007935FF" w:rsidRPr="009F3E84">
        <w:rPr>
          <w:b/>
          <w:bCs/>
          <w:rtl/>
          <w:lang w:val="en-US"/>
        </w:rPr>
        <w:t xml:space="preserve"> لالتزاماتها بموجب اتفاقية العمل الجبري لمنظمة العمل الدولية لعام 1930 (رقم 29</w:t>
      </w:r>
      <w:r w:rsidR="007D4D2B" w:rsidRPr="009F3E84">
        <w:rPr>
          <w:b/>
          <w:bCs/>
          <w:color w:val="000000"/>
          <w:rtl/>
          <w:lang w:val="en-US"/>
        </w:rPr>
        <w:t xml:space="preserve">)، </w:t>
      </w:r>
      <w:r w:rsidR="007935FF" w:rsidRPr="009F3E84">
        <w:rPr>
          <w:b/>
          <w:bCs/>
          <w:rtl/>
          <w:lang w:val="en-US"/>
        </w:rPr>
        <w:t>واتفاقية إلغاء العمل الجبري لمنظمة العمل الدولية، 1957 (رقم 105</w:t>
      </w:r>
      <w:r w:rsidR="007D4D2B" w:rsidRPr="009F3E84">
        <w:rPr>
          <w:b/>
          <w:bCs/>
          <w:color w:val="000000"/>
          <w:rtl/>
          <w:lang w:val="en-US"/>
        </w:rPr>
        <w:t xml:space="preserve">)، </w:t>
      </w:r>
      <w:r w:rsidR="007935FF" w:rsidRPr="009F3E84">
        <w:rPr>
          <w:b/>
          <w:bCs/>
          <w:rtl/>
          <w:lang w:val="en-US"/>
        </w:rPr>
        <w:t>واتفاقية أسوأ أشكال عمل الأطفال لمنظمة العمل الدولية، 1999 (رقم 18</w:t>
      </w:r>
      <w:r w:rsidR="007D4D2B" w:rsidRPr="009F3E84">
        <w:rPr>
          <w:b/>
          <w:bCs/>
          <w:color w:val="000000"/>
          <w:rtl/>
          <w:lang w:val="en-US"/>
        </w:rPr>
        <w:t>2).</w:t>
      </w:r>
    </w:p>
    <w:p w14:paraId="47E944C9" w14:textId="086A3831" w:rsidR="007935FF" w:rsidRPr="009F3E84" w:rsidRDefault="007935FF" w:rsidP="00F3567F">
      <w:pPr>
        <w:pStyle w:val="H23GA"/>
      </w:pPr>
      <w:r w:rsidRPr="009F3E84">
        <w:rPr>
          <w:rtl/>
        </w:rPr>
        <w:tab/>
      </w:r>
      <w:r w:rsidRPr="009F3E84">
        <w:rPr>
          <w:rtl/>
        </w:rPr>
        <w:tab/>
        <w:t xml:space="preserve">الإجراءات القانونية الواجبة والاحتجاز والمساواة أمام المحاكم </w:t>
      </w:r>
    </w:p>
    <w:p w14:paraId="071F7211" w14:textId="06974669" w:rsidR="007935FF" w:rsidRDefault="007935FF" w:rsidP="00F3567F">
      <w:pPr>
        <w:pStyle w:val="SingleTxtGA"/>
        <w:rPr>
          <w:lang w:val="en-US"/>
        </w:rPr>
      </w:pPr>
      <w:r w:rsidRPr="009F3E84">
        <w:rPr>
          <w:rtl/>
          <w:lang w:val="en-US"/>
        </w:rPr>
        <w:t>39</w:t>
      </w:r>
      <w:r w:rsidRPr="007935FF">
        <w:rPr>
          <w:rtl/>
          <w:lang w:val="en-US"/>
        </w:rPr>
        <w:t>-</w:t>
      </w:r>
      <w:r w:rsidRPr="007935FF">
        <w:rPr>
          <w:rtl/>
          <w:lang w:val="en-US"/>
        </w:rPr>
        <w:tab/>
      </w:r>
      <w:r w:rsidRPr="00F3567F">
        <w:rPr>
          <w:spacing w:val="-2"/>
          <w:rtl/>
          <w:lang w:val="en-US"/>
        </w:rPr>
        <w:t>تحيط اللجنة</w:t>
      </w:r>
      <w:r w:rsidR="00EA4188" w:rsidRPr="00F3567F">
        <w:rPr>
          <w:spacing w:val="-2"/>
          <w:rtl/>
          <w:lang w:val="en-US"/>
        </w:rPr>
        <w:t xml:space="preserve"> علماً </w:t>
      </w:r>
      <w:r w:rsidRPr="00F3567F">
        <w:rPr>
          <w:spacing w:val="-2"/>
          <w:rtl/>
          <w:lang w:val="en-US"/>
        </w:rPr>
        <w:t>بالتفسيرات التي قدمتها الدولة الطرف ومفادها أنها لا تمارس احتجاز المهاجرين</w:t>
      </w:r>
      <w:r w:rsidRPr="007935FF">
        <w:rPr>
          <w:rtl/>
          <w:lang w:val="en-US"/>
        </w:rPr>
        <w:t xml:space="preserve"> غير النظاميين، بمن فيهم الأطفال، وتفضل بدائل الاحتجاز، رغم أن القانون رقم </w:t>
      </w:r>
      <w:r w:rsidR="002C3608" w:rsidRPr="009F3E84">
        <w:t>106</w:t>
      </w:r>
      <w:r w:rsidR="002C3608" w:rsidRPr="009F3E84">
        <w:rPr>
          <w:rtl/>
        </w:rPr>
        <w:t>/</w:t>
      </w:r>
      <w:r w:rsidR="002C3608" w:rsidRPr="009F3E84">
        <w:t>V/99</w:t>
      </w:r>
      <w:r w:rsidRPr="007935FF">
        <w:rPr>
          <w:rtl/>
          <w:lang w:val="en-US"/>
        </w:rPr>
        <w:t xml:space="preserve"> ينص على إنشاء ما يسمى بـ "مراكز توفير الإقامة المؤقتة". ومع ذلك، تشعر اللجنة بالقلق إزاء ما يلي: </w:t>
      </w:r>
    </w:p>
    <w:p w14:paraId="3C5D5FCE" w14:textId="1650806E" w:rsidR="007935FF" w:rsidRDefault="007935FF" w:rsidP="00F3567F">
      <w:pPr>
        <w:pStyle w:val="SingleTxtGA"/>
        <w:rPr>
          <w:lang w:val="en-US"/>
        </w:rPr>
      </w:pPr>
      <w:r>
        <w:rPr>
          <w:rtl/>
          <w:lang w:val="en-US"/>
        </w:rPr>
        <w:tab/>
        <w:t>(</w:t>
      </w:r>
      <w:r w:rsidRPr="007935FF">
        <w:rPr>
          <w:rtl/>
          <w:lang w:val="en-US"/>
        </w:rPr>
        <w:t>أ)</w:t>
      </w:r>
      <w:r w:rsidRPr="007935FF">
        <w:rPr>
          <w:rtl/>
          <w:lang w:val="en-US"/>
        </w:rPr>
        <w:tab/>
        <w:t xml:space="preserve">يسمح القانون المتعلق بدخول الرعايا الأجانب إلى </w:t>
      </w:r>
      <w:r w:rsidR="00972938">
        <w:rPr>
          <w:rtl/>
          <w:lang w:val="en-US"/>
        </w:rPr>
        <w:t>كابو فيردي</w:t>
      </w:r>
      <w:r w:rsidRPr="007935FF">
        <w:rPr>
          <w:rtl/>
          <w:lang w:val="en-US"/>
        </w:rPr>
        <w:t xml:space="preserve"> وإقامتهم فيها وخروجهم منها وإبعادهم عنها بالاحتجاز الإداري للفئات الضعيفة من المهاجرين غير النظاميين؛</w:t>
      </w:r>
    </w:p>
    <w:p w14:paraId="35486EB7" w14:textId="1A7EACD1" w:rsidR="007935FF" w:rsidRPr="00972938" w:rsidRDefault="007935FF" w:rsidP="00F3567F">
      <w:pPr>
        <w:pStyle w:val="SingleTxtGA"/>
        <w:rPr>
          <w:spacing w:val="-4"/>
          <w:lang w:val="en-US"/>
        </w:rPr>
      </w:pPr>
      <w:r w:rsidRPr="00972938">
        <w:rPr>
          <w:spacing w:val="-4"/>
          <w:rtl/>
          <w:lang w:val="en-US"/>
        </w:rPr>
        <w:tab/>
        <w:t>(</w:t>
      </w:r>
      <w:r w:rsidRPr="00972938">
        <w:rPr>
          <w:spacing w:val="-4"/>
          <w:rtl/>
          <w:lang w:val="en-US"/>
        </w:rPr>
        <w:t>ب)</w:t>
      </w:r>
      <w:r w:rsidRPr="00972938">
        <w:rPr>
          <w:spacing w:val="-4"/>
          <w:rtl/>
          <w:lang w:val="en-US"/>
        </w:rPr>
        <w:tab/>
        <w:t>لا يذكر هذا القانون الحد الأقصى لاحتجاز المهاجرين غير النظاميين في مراكز الاحتجاز المؤقت في حالة صدور أمر بالطرد، ولا يبين أن الفترة التي تسبق عرض المحتجزين المهاجرين على قاض</w:t>
      </w:r>
      <w:r w:rsidR="007F26E8" w:rsidRPr="00972938">
        <w:rPr>
          <w:spacing w:val="-4"/>
          <w:rtl/>
          <w:lang w:val="en-US"/>
        </w:rPr>
        <w:t xml:space="preserve"> </w:t>
      </w:r>
      <w:r w:rsidRPr="00972938">
        <w:rPr>
          <w:spacing w:val="-4"/>
          <w:rtl/>
          <w:lang w:val="en-US"/>
        </w:rPr>
        <w:t xml:space="preserve">ينبغي ألا تتجاوز </w:t>
      </w:r>
      <w:r w:rsidRPr="009F3E84">
        <w:rPr>
          <w:spacing w:val="-4"/>
          <w:rtl/>
          <w:lang w:val="en-US"/>
        </w:rPr>
        <w:t>48</w:t>
      </w:r>
      <w:r w:rsidRPr="00972938">
        <w:rPr>
          <w:spacing w:val="-4"/>
          <w:rtl/>
          <w:lang w:val="en-US"/>
        </w:rPr>
        <w:t xml:space="preserve"> ساعة. وتلقت اللجنة تقارير تفيد بأن التبرير المقدم إلى المحتجزين في قضايا الهجرة الذين لا يفهمون لغات </w:t>
      </w:r>
      <w:r w:rsidR="00972938" w:rsidRPr="00972938">
        <w:rPr>
          <w:spacing w:val="-4"/>
          <w:rtl/>
          <w:lang w:val="en-US"/>
        </w:rPr>
        <w:t>كابو فيردي</w:t>
      </w:r>
      <w:r w:rsidRPr="00972938">
        <w:rPr>
          <w:spacing w:val="-4"/>
          <w:rtl/>
          <w:lang w:val="en-US"/>
        </w:rPr>
        <w:t xml:space="preserve"> فيما يتعلق بحرمانهم من الحرية يختلف في كثير من الأحيان عن التبرير الوارد في الوثائق المكتوبة التي تضفي الطابع الرسمي على الاحتجاز، مما يجعل الاحتجاز تعسفي</w:t>
      </w:r>
      <w:r w:rsidR="00075809">
        <w:rPr>
          <w:spacing w:val="-4"/>
          <w:rtl/>
          <w:lang w:val="en-US"/>
        </w:rPr>
        <w:t>اً؛</w:t>
      </w:r>
    </w:p>
    <w:p w14:paraId="2822AEFA" w14:textId="4DF88ADF" w:rsidR="007935FF" w:rsidRPr="007935FF" w:rsidRDefault="007935FF" w:rsidP="00F3567F">
      <w:pPr>
        <w:pStyle w:val="SingleTxtGA"/>
        <w:rPr>
          <w:lang w:val="en-US"/>
        </w:rPr>
      </w:pPr>
      <w:r>
        <w:rPr>
          <w:rtl/>
          <w:lang w:val="en-US"/>
        </w:rPr>
        <w:tab/>
        <w:t>(</w:t>
      </w:r>
      <w:r w:rsidRPr="007935FF">
        <w:rPr>
          <w:rtl/>
          <w:lang w:val="en-US"/>
        </w:rPr>
        <w:t>ج)</w:t>
      </w:r>
      <w:r w:rsidRPr="007935FF">
        <w:rPr>
          <w:rtl/>
          <w:lang w:val="en-US"/>
        </w:rPr>
        <w:tab/>
      </w:r>
      <w:r w:rsidRPr="00DC1988">
        <w:rPr>
          <w:spacing w:val="-2"/>
          <w:rtl/>
          <w:lang w:val="en-US"/>
        </w:rPr>
        <w:t>تلقت اللجنة تقارير تفيد بأن التدابير البديلة للاحتجاز لا تطبق بالتساوي على الأشخاص</w:t>
      </w:r>
      <w:r w:rsidRPr="007935FF">
        <w:rPr>
          <w:rtl/>
          <w:lang w:val="en-US"/>
        </w:rPr>
        <w:t xml:space="preserve"> الذين لا يفهمون لغات </w:t>
      </w:r>
      <w:r w:rsidR="00972938">
        <w:rPr>
          <w:rtl/>
          <w:lang w:val="en-US"/>
        </w:rPr>
        <w:t>كابو فيردي</w:t>
      </w:r>
      <w:r w:rsidRPr="007935FF">
        <w:rPr>
          <w:rtl/>
          <w:lang w:val="en-US"/>
        </w:rPr>
        <w:t xml:space="preserve">. </w:t>
      </w:r>
    </w:p>
    <w:p w14:paraId="6F3F6C49" w14:textId="62F522BC" w:rsidR="007935FF" w:rsidRPr="009F3E84" w:rsidRDefault="007935FF" w:rsidP="00F3567F">
      <w:pPr>
        <w:pStyle w:val="SingleTxtGA"/>
        <w:spacing w:line="346" w:lineRule="exact"/>
        <w:rPr>
          <w:b/>
          <w:bCs/>
          <w:lang w:val="en-US"/>
        </w:rPr>
      </w:pPr>
      <w:r w:rsidRPr="009F3E84">
        <w:rPr>
          <w:rtl/>
          <w:lang w:val="en-US"/>
        </w:rPr>
        <w:lastRenderedPageBreak/>
        <w:t>40</w:t>
      </w:r>
      <w:r w:rsidRPr="007935FF">
        <w:rPr>
          <w:rtl/>
          <w:lang w:val="en-US"/>
        </w:rPr>
        <w:t>-</w:t>
      </w:r>
      <w:r w:rsidRPr="007935FF">
        <w:rPr>
          <w:rtl/>
          <w:lang w:val="en-US"/>
        </w:rPr>
        <w:tab/>
      </w:r>
      <w:r w:rsidRPr="009F3E84">
        <w:rPr>
          <w:b/>
          <w:bCs/>
          <w:rtl/>
          <w:lang w:val="en-US"/>
        </w:rPr>
        <w:t>بالإشارة إلى توصياتها السابقة</w:t>
      </w:r>
      <w:r w:rsidR="007D4D2B" w:rsidRPr="009F3E84">
        <w:rPr>
          <w:rStyle w:val="FootnoteReference"/>
          <w:b/>
          <w:bCs/>
          <w:szCs w:val="22"/>
          <w:rtl/>
          <w:lang w:val="en-US"/>
        </w:rPr>
        <w:t>(</w:t>
      </w:r>
      <w:r w:rsidR="007D4D2B" w:rsidRPr="009F3E84">
        <w:rPr>
          <w:rStyle w:val="FootnoteReference"/>
          <w:b/>
          <w:bCs/>
          <w:szCs w:val="22"/>
          <w:lang w:val="en-US"/>
        </w:rPr>
        <w:footnoteReference w:id="13"/>
      </w:r>
      <w:r w:rsidR="007D4D2B" w:rsidRPr="009F3E84">
        <w:rPr>
          <w:b/>
          <w:bCs/>
          <w:color w:val="000000"/>
          <w:vertAlign w:val="superscript"/>
          <w:rtl/>
          <w:lang w:val="en-US"/>
        </w:rPr>
        <w:t>)</w:t>
      </w:r>
      <w:r w:rsidR="007D4D2B" w:rsidRPr="009F3E84">
        <w:rPr>
          <w:b/>
          <w:bCs/>
          <w:color w:val="000000"/>
          <w:rtl/>
          <w:lang w:val="en-US"/>
        </w:rPr>
        <w:t>،</w:t>
      </w:r>
      <w:r w:rsidR="007D4D2B" w:rsidRPr="009F3E84">
        <w:rPr>
          <w:b/>
          <w:bCs/>
          <w:color w:val="000000"/>
          <w:rtl/>
          <w:lang w:val="en-US"/>
        </w:rPr>
        <w:t xml:space="preserve"> </w:t>
      </w:r>
      <w:r w:rsidRPr="009F3E84">
        <w:rPr>
          <w:b/>
          <w:bCs/>
          <w:rtl/>
          <w:lang w:val="en-US"/>
        </w:rPr>
        <w:t>وبما يتماشى مع تعليقها العام رقم 5 (2021</w:t>
      </w:r>
      <w:r w:rsidR="007D4D2B" w:rsidRPr="009F3E84">
        <w:rPr>
          <w:b/>
          <w:bCs/>
          <w:color w:val="000000"/>
          <w:rtl/>
          <w:lang w:val="en-US"/>
        </w:rPr>
        <w:t xml:space="preserve">)، </w:t>
      </w:r>
      <w:r w:rsidRPr="009F3E84">
        <w:rPr>
          <w:b/>
          <w:bCs/>
          <w:rtl/>
          <w:lang w:val="en-US"/>
        </w:rPr>
        <w:t xml:space="preserve">توصي اللجنة بأن تقوم الدولة الطرف بما يلي: </w:t>
      </w:r>
    </w:p>
    <w:p w14:paraId="641DBF09" w14:textId="1C1DD9D0" w:rsidR="007935FF" w:rsidRPr="009F3E84" w:rsidRDefault="00B160EB" w:rsidP="00F3567F">
      <w:pPr>
        <w:pStyle w:val="SingleTxtGA"/>
        <w:spacing w:line="346" w:lineRule="exact"/>
        <w:rPr>
          <w:b/>
          <w:bCs/>
          <w:lang w:val="en-US"/>
        </w:rPr>
      </w:pPr>
      <w:r w:rsidRPr="00B160EB">
        <w:rPr>
          <w:rtl/>
          <w:lang w:val="en-US"/>
        </w:rPr>
        <w:tab/>
        <w:t>(أ)</w:t>
      </w:r>
      <w:r w:rsidRPr="00B160EB">
        <w:rPr>
          <w:rtl/>
          <w:lang w:val="en-US"/>
        </w:rPr>
        <w:tab/>
      </w:r>
      <w:r w:rsidR="007935FF" w:rsidRPr="009F3E84">
        <w:rPr>
          <w:b/>
          <w:bCs/>
          <w:rtl/>
          <w:lang w:val="en-US"/>
        </w:rPr>
        <w:t>اعتماد تدابير للحد تدريجي</w:t>
      </w:r>
      <w:r w:rsidR="00DC1988" w:rsidRPr="009F3E84">
        <w:rPr>
          <w:b/>
          <w:bCs/>
          <w:rtl/>
          <w:lang w:val="en-US"/>
        </w:rPr>
        <w:t xml:space="preserve">اً </w:t>
      </w:r>
      <w:r w:rsidR="007935FF" w:rsidRPr="009F3E84">
        <w:rPr>
          <w:b/>
          <w:bCs/>
          <w:rtl/>
          <w:lang w:val="en-US"/>
        </w:rPr>
        <w:t>من احتجاز المهاجرين وإنهائه كلي</w:t>
      </w:r>
      <w:r w:rsidR="00DC1988" w:rsidRPr="009F3E84">
        <w:rPr>
          <w:b/>
          <w:bCs/>
          <w:rtl/>
          <w:lang w:val="en-US"/>
        </w:rPr>
        <w:t xml:space="preserve">اً </w:t>
      </w:r>
      <w:r w:rsidR="007935FF" w:rsidRPr="009F3E84">
        <w:rPr>
          <w:b/>
          <w:bCs/>
          <w:rtl/>
          <w:lang w:val="en-US"/>
        </w:rPr>
        <w:t>في نهاية المطاف؛ وسن قرينة في القانون ضد الاحتجاز وبالتالي لصالح الحرية؛ والوقف الفوري لاحتجاز الفئات الضعيفة من العمال المهاجرين وأفراد أسرهم وكذلك لطالبي اللجوء واللاجئين وعديمي الجنسية؛</w:t>
      </w:r>
    </w:p>
    <w:p w14:paraId="66A88473" w14:textId="30EB9978" w:rsidR="007935FF" w:rsidRPr="009F3E84" w:rsidRDefault="00B160EB" w:rsidP="00F3567F">
      <w:pPr>
        <w:pStyle w:val="SingleTxtGA"/>
        <w:spacing w:line="346" w:lineRule="exact"/>
        <w:rPr>
          <w:b/>
          <w:bCs/>
          <w:lang w:val="en-US"/>
        </w:rPr>
      </w:pPr>
      <w:r w:rsidRPr="00B160EB">
        <w:rPr>
          <w:rtl/>
          <w:lang w:val="en-US"/>
        </w:rPr>
        <w:tab/>
        <w:t>(ب)</w:t>
      </w:r>
      <w:r w:rsidRPr="00B160EB">
        <w:rPr>
          <w:rtl/>
          <w:lang w:val="en-US"/>
        </w:rPr>
        <w:tab/>
      </w:r>
      <w:r w:rsidR="007935FF" w:rsidRPr="009F3E84">
        <w:rPr>
          <w:b/>
          <w:bCs/>
          <w:rtl/>
          <w:lang w:val="en-US"/>
        </w:rPr>
        <w:t>كفالة ما يلي:</w:t>
      </w:r>
    </w:p>
    <w:p w14:paraId="69EE1B26" w14:textId="1A3E232A" w:rsidR="007935FF" w:rsidRPr="009F3E84" w:rsidRDefault="007935FF" w:rsidP="00F3567F">
      <w:pPr>
        <w:pStyle w:val="Roman1GA"/>
        <w:spacing w:line="346" w:lineRule="exact"/>
        <w:rPr>
          <w:b/>
          <w:bCs/>
        </w:rPr>
      </w:pPr>
      <w:r w:rsidRPr="009F3E84">
        <w:rPr>
          <w:b/>
          <w:bCs/>
          <w:rtl/>
        </w:rPr>
        <w:t>أن يكون احتجاز المهاجرين تدبيراً استثنائياً من تدابير الملاذ الأخير، مستهدفاً تحقيق غاية مشروعة، وضرورياً ومتناسباً، ويُطبق لأقصر فترة زمنية ممكنة في جميع الحالات الأخرى؛</w:t>
      </w:r>
    </w:p>
    <w:p w14:paraId="6E9465CE" w14:textId="5CD7CEFC" w:rsidR="007935FF" w:rsidRPr="009F3E84" w:rsidRDefault="007935FF" w:rsidP="00F3567F">
      <w:pPr>
        <w:pStyle w:val="Roman1GA"/>
        <w:spacing w:line="346" w:lineRule="exact"/>
        <w:rPr>
          <w:b/>
          <w:bCs/>
        </w:rPr>
      </w:pPr>
      <w:r w:rsidRPr="009F3E84">
        <w:rPr>
          <w:b/>
          <w:bCs/>
          <w:rtl/>
        </w:rPr>
        <w:t>أن تحدد أسس الاحتجاز في كل حالة، مع الأسباب المحددة لتعذر تنفيذ تدابير بديلة؛</w:t>
      </w:r>
    </w:p>
    <w:p w14:paraId="4E128A58" w14:textId="5E2C7362" w:rsidR="007935FF" w:rsidRPr="009F3E84" w:rsidRDefault="007935FF" w:rsidP="00F3567F">
      <w:pPr>
        <w:pStyle w:val="Roman1GA"/>
        <w:spacing w:line="346" w:lineRule="exact"/>
        <w:rPr>
          <w:b/>
          <w:bCs/>
        </w:rPr>
      </w:pPr>
      <w:r w:rsidRPr="009F3E84">
        <w:rPr>
          <w:b/>
          <w:bCs/>
          <w:rtl/>
        </w:rPr>
        <w:t>أن تراجع سلطة قضائية مستقلة ومحايدة هذا الإجراء في غضون 24 ساعة؛</w:t>
      </w:r>
    </w:p>
    <w:p w14:paraId="4DC0983C" w14:textId="010A51D1" w:rsidR="007935FF" w:rsidRPr="009F3E84" w:rsidRDefault="007935FF" w:rsidP="00F3567F">
      <w:pPr>
        <w:pStyle w:val="Roman1GA"/>
        <w:spacing w:line="346" w:lineRule="exact"/>
        <w:rPr>
          <w:b/>
          <w:bCs/>
        </w:rPr>
      </w:pPr>
      <w:r w:rsidRPr="009F3E84">
        <w:rPr>
          <w:b/>
          <w:bCs/>
          <w:rtl/>
        </w:rPr>
        <w:t>أن يُنظر في اتخاذ تدابير بديلة للاحتجاز وأن تُنفَّذ هذه التدابير قبل فرض تدابير الاحتجاز، وذلك تمشي</w:t>
      </w:r>
      <w:r w:rsidR="00DC1988" w:rsidRPr="009F3E84">
        <w:rPr>
          <w:b/>
          <w:bCs/>
          <w:rtl/>
        </w:rPr>
        <w:t xml:space="preserve">اً </w:t>
      </w:r>
      <w:r w:rsidRPr="009F3E84">
        <w:rPr>
          <w:b/>
          <w:bCs/>
          <w:rtl/>
        </w:rPr>
        <w:t>مع التزاماتها في مجال حقوق الإنسان. وتُسلّم اللجنة بأن جميع تدابير الرعاية المجتمعية أو حلول الإقامة غير الاحتجازية - في القانون أو السياسة أو الممارسة - هي بدائل احتجاز أقل تقييداً من الاحتجاز، ويجب أن تُؤخذ في الاعتبار في سياق إجراءات قرار الاحتجاز القانونية لضمان أن يكون الاحتجاز ضرورياً ومتناسباً في جميع الحالات، بهدف احترام حقوق الإنسان وتجنب الاحتجاز التعسفي للمهاجرين، وملتمسي اللجوء واللاجئين وعديمي الجنسية؛</w:t>
      </w:r>
    </w:p>
    <w:p w14:paraId="435076E8" w14:textId="2B0B9348" w:rsidR="007935FF" w:rsidRPr="009F3E84" w:rsidRDefault="00B160EB" w:rsidP="00F3567F">
      <w:pPr>
        <w:pStyle w:val="SingleTxtGA"/>
        <w:spacing w:line="346" w:lineRule="exact"/>
        <w:rPr>
          <w:b/>
          <w:bCs/>
          <w:lang w:val="en-US"/>
        </w:rPr>
      </w:pPr>
      <w:r w:rsidRPr="00B160EB">
        <w:rPr>
          <w:rtl/>
          <w:lang w:val="en-US"/>
        </w:rPr>
        <w:tab/>
        <w:t>(ج)</w:t>
      </w:r>
      <w:r w:rsidRPr="00B160EB">
        <w:rPr>
          <w:rtl/>
          <w:lang w:val="en-US"/>
        </w:rPr>
        <w:tab/>
      </w:r>
      <w:r w:rsidR="007935FF" w:rsidRPr="009F3E84">
        <w:rPr>
          <w:rFonts w:ascii="Times New Roman Bold" w:hAnsi="Times New Roman Bold"/>
          <w:b/>
          <w:bCs/>
          <w:spacing w:val="-4"/>
          <w:rtl/>
          <w:lang w:val="en-US"/>
        </w:rPr>
        <w:t>ضمان تطبيق تدابير بديلة للاحتجاز على طالبي اللجوء واللاجئين، وفي جميع حالات</w:t>
      </w:r>
      <w:r w:rsidR="007935FF" w:rsidRPr="009F3E84">
        <w:rPr>
          <w:b/>
          <w:bCs/>
          <w:rtl/>
          <w:lang w:val="en-US"/>
        </w:rPr>
        <w:t xml:space="preserve"> ضمان العودة الطوعية، وإبلاغ العمال المهاجرين وأفراد أسرهم بحقوقهم وبالإجراءات المتبعة في سياق الاحتجاز بلغة يفهمونها.</w:t>
      </w:r>
    </w:p>
    <w:p w14:paraId="00EE7648" w14:textId="77777777" w:rsidR="007935FF" w:rsidRPr="009F3E84" w:rsidRDefault="007935FF" w:rsidP="00F3567F">
      <w:pPr>
        <w:pStyle w:val="H23GA"/>
      </w:pPr>
      <w:r w:rsidRPr="009F3E84">
        <w:rPr>
          <w:rtl/>
        </w:rPr>
        <w:tab/>
      </w:r>
      <w:r w:rsidRPr="009F3E84">
        <w:rPr>
          <w:rtl/>
        </w:rPr>
        <w:tab/>
        <w:t>الطرد</w:t>
      </w:r>
    </w:p>
    <w:p w14:paraId="4E1C7EC2" w14:textId="61400545" w:rsidR="007935FF" w:rsidRDefault="007935FF" w:rsidP="00F3567F">
      <w:pPr>
        <w:pStyle w:val="SingleTxtGA"/>
        <w:spacing w:line="346" w:lineRule="exact"/>
        <w:rPr>
          <w:lang w:val="en-US"/>
        </w:rPr>
      </w:pPr>
      <w:r w:rsidRPr="009F3E84">
        <w:rPr>
          <w:rtl/>
          <w:lang w:val="en-US"/>
        </w:rPr>
        <w:t>41</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 xml:space="preserve">بالتفسير الذي قدمته الدولة الطرف، والذي تشير فيه إلى أن </w:t>
      </w:r>
      <w:r w:rsidRPr="009F3E84">
        <w:rPr>
          <w:rtl/>
          <w:lang w:val="en-US"/>
        </w:rPr>
        <w:t>20</w:t>
      </w:r>
      <w:r w:rsidRPr="007935FF">
        <w:rPr>
          <w:rtl/>
          <w:lang w:val="en-US"/>
        </w:rPr>
        <w:t xml:space="preserve"> أمر</w:t>
      </w:r>
      <w:r w:rsidR="00DC1988">
        <w:rPr>
          <w:rtl/>
          <w:lang w:val="en-US"/>
        </w:rPr>
        <w:t xml:space="preserve">اً </w:t>
      </w:r>
      <w:r w:rsidRPr="007935FF">
        <w:rPr>
          <w:rtl/>
          <w:lang w:val="en-US"/>
        </w:rPr>
        <w:t xml:space="preserve">بالطرد </w:t>
      </w:r>
      <w:r w:rsidRPr="00DC1988">
        <w:rPr>
          <w:spacing w:val="-2"/>
          <w:rtl/>
          <w:lang w:val="en-US"/>
        </w:rPr>
        <w:t xml:space="preserve">قد نفذت بين عامي </w:t>
      </w:r>
      <w:r w:rsidRPr="009F3E84">
        <w:rPr>
          <w:spacing w:val="-2"/>
          <w:rtl/>
          <w:lang w:val="en-US"/>
        </w:rPr>
        <w:t>2019</w:t>
      </w:r>
      <w:r w:rsidRPr="00DC1988">
        <w:rPr>
          <w:spacing w:val="-2"/>
          <w:rtl/>
          <w:lang w:val="en-US"/>
        </w:rPr>
        <w:t xml:space="preserve"> و</w:t>
      </w:r>
      <w:r w:rsidRPr="009F3E84">
        <w:rPr>
          <w:spacing w:val="-2"/>
          <w:rtl/>
          <w:lang w:val="en-US"/>
        </w:rPr>
        <w:t>2022</w:t>
      </w:r>
      <w:r w:rsidRPr="00DC1988">
        <w:rPr>
          <w:spacing w:val="-2"/>
          <w:rtl/>
          <w:lang w:val="en-US"/>
        </w:rPr>
        <w:t xml:space="preserve">، بالاستناد فقط إلى قرارات قضائية لا إدارية، وأن المادة </w:t>
      </w:r>
      <w:r w:rsidRPr="009F3E84">
        <w:rPr>
          <w:spacing w:val="-2"/>
          <w:rtl/>
          <w:lang w:val="en-US"/>
        </w:rPr>
        <w:t>80</w:t>
      </w:r>
      <w:r w:rsidRPr="00DC1988">
        <w:rPr>
          <w:spacing w:val="-2"/>
          <w:rtl/>
          <w:lang w:val="en-US"/>
        </w:rPr>
        <w:t xml:space="preserve"> من القانون</w:t>
      </w:r>
      <w:r w:rsidRPr="007935FF">
        <w:rPr>
          <w:rtl/>
          <w:lang w:val="en-US"/>
        </w:rPr>
        <w:t xml:space="preserve"> المتعلق بدخول الرعايا الأجانب إلى </w:t>
      </w:r>
      <w:r w:rsidR="00972938">
        <w:rPr>
          <w:rtl/>
          <w:lang w:val="en-US"/>
        </w:rPr>
        <w:t>كابو فيردي</w:t>
      </w:r>
      <w:r w:rsidRPr="007935FF">
        <w:rPr>
          <w:rtl/>
          <w:lang w:val="en-US"/>
        </w:rPr>
        <w:t xml:space="preserve"> وإقامتهم فيها وخروجهم منها وإبعادهم عنها تتضمن الحق في الطعن في أمر الطرد. بيد أن اللجنة تشعر بقلق بالغ إزاء ما يلي: </w:t>
      </w:r>
    </w:p>
    <w:p w14:paraId="2D5F08D6" w14:textId="77777777" w:rsidR="007935FF" w:rsidRDefault="007935FF" w:rsidP="00F3567F">
      <w:pPr>
        <w:pStyle w:val="SingleTxtGA"/>
        <w:spacing w:line="346" w:lineRule="exact"/>
        <w:rPr>
          <w:lang w:val="en-US"/>
        </w:rPr>
      </w:pPr>
      <w:r w:rsidRPr="00DC1988">
        <w:rPr>
          <w:spacing w:val="-2"/>
          <w:rtl/>
          <w:lang w:val="en-US"/>
        </w:rPr>
        <w:tab/>
        <w:t>(</w:t>
      </w:r>
      <w:r w:rsidRPr="00DC1988">
        <w:rPr>
          <w:spacing w:val="-2"/>
          <w:rtl/>
          <w:lang w:val="en-US"/>
        </w:rPr>
        <w:t>أ)</w:t>
      </w:r>
      <w:r w:rsidRPr="00DC1988">
        <w:rPr>
          <w:spacing w:val="-2"/>
          <w:rtl/>
          <w:lang w:val="en-US"/>
        </w:rPr>
        <w:tab/>
        <w:t>التقارير التي تفيد بأن أوامر الطرد تنفذ بسرعة وأن طلب المراجعة القضائية لأمر الطرد</w:t>
      </w:r>
      <w:r w:rsidRPr="007935FF">
        <w:rPr>
          <w:rtl/>
          <w:lang w:val="en-US"/>
        </w:rPr>
        <w:t xml:space="preserve"> ليس له أثر إيقافي؛ </w:t>
      </w:r>
    </w:p>
    <w:p w14:paraId="117C2B9B" w14:textId="404D16EB" w:rsidR="007935FF" w:rsidRDefault="007935FF" w:rsidP="00F3567F">
      <w:pPr>
        <w:pStyle w:val="SingleTxtGA"/>
        <w:spacing w:line="346" w:lineRule="exact"/>
        <w:rPr>
          <w:lang w:val="en-US"/>
        </w:rPr>
      </w:pPr>
      <w:r w:rsidRPr="00DC1988">
        <w:rPr>
          <w:spacing w:val="-2"/>
          <w:rtl/>
          <w:lang w:val="en-US"/>
        </w:rPr>
        <w:tab/>
        <w:t>(</w:t>
      </w:r>
      <w:r w:rsidRPr="00DC1988">
        <w:rPr>
          <w:spacing w:val="-2"/>
          <w:rtl/>
          <w:lang w:val="en-US"/>
        </w:rPr>
        <w:t>ب)</w:t>
      </w:r>
      <w:r w:rsidRPr="00DC1988">
        <w:rPr>
          <w:spacing w:val="-2"/>
          <w:rtl/>
          <w:lang w:val="en-US"/>
        </w:rPr>
        <w:tab/>
        <w:t>التقارير التي تفيد بإمكانية تنفيذ أوامر الطرد قبل أن تتاح للشخص المعني فرصة طلب</w:t>
      </w:r>
      <w:r w:rsidRPr="007935FF">
        <w:rPr>
          <w:rtl/>
          <w:lang w:val="en-US"/>
        </w:rPr>
        <w:t xml:space="preserve"> اللجوء، رغم وجود إمكانية قانونية للقيام بذلك وفق</w:t>
      </w:r>
      <w:r w:rsidR="00DC1988">
        <w:rPr>
          <w:rtl/>
          <w:lang w:val="en-US"/>
        </w:rPr>
        <w:t xml:space="preserve">اً </w:t>
      </w:r>
      <w:r w:rsidRPr="007935FF">
        <w:rPr>
          <w:rtl/>
          <w:lang w:val="en-US"/>
        </w:rPr>
        <w:t xml:space="preserve">للمعلومات المقدمة من الدولة الطرف؛ </w:t>
      </w:r>
    </w:p>
    <w:p w14:paraId="575A2B65" w14:textId="77777777" w:rsidR="007935FF" w:rsidRDefault="007935FF" w:rsidP="00F3567F">
      <w:pPr>
        <w:pStyle w:val="SingleTxtGA"/>
        <w:spacing w:line="346" w:lineRule="exact"/>
        <w:rPr>
          <w:lang w:val="en-US"/>
        </w:rPr>
      </w:pPr>
      <w:r>
        <w:rPr>
          <w:rtl/>
          <w:lang w:val="en-US"/>
        </w:rPr>
        <w:tab/>
        <w:t>(</w:t>
      </w:r>
      <w:r w:rsidRPr="007935FF">
        <w:rPr>
          <w:rtl/>
          <w:lang w:val="en-US"/>
        </w:rPr>
        <w:t>ج)</w:t>
      </w:r>
      <w:r w:rsidRPr="007935FF">
        <w:rPr>
          <w:rtl/>
          <w:lang w:val="en-US"/>
        </w:rPr>
        <w:tab/>
        <w:t>التقارير التي تفيد بأن الملفات المتعلقة بأوامر الطرد لا يجري تبادلها بصورة منهجية مع اللجنة الوطنية لحقوق الإنسان والمواطنة من أجل رصد تنفيذ أوامر الطرد في مجال حقوق الإنسان، رغم أن القانون يقضي بأن تقوم سلطات الدولة الطرف بذلك؛</w:t>
      </w:r>
    </w:p>
    <w:p w14:paraId="724A886C" w14:textId="393F97C9" w:rsidR="007935FF" w:rsidRPr="007935FF" w:rsidRDefault="007935FF" w:rsidP="00F3567F">
      <w:pPr>
        <w:pStyle w:val="SingleTxtGA"/>
        <w:spacing w:line="346" w:lineRule="exact"/>
        <w:rPr>
          <w:lang w:val="en-US"/>
        </w:rPr>
      </w:pPr>
      <w:r>
        <w:rPr>
          <w:rtl/>
          <w:lang w:val="en-US"/>
        </w:rPr>
        <w:tab/>
        <w:t>(</w:t>
      </w:r>
      <w:r w:rsidRPr="007935FF">
        <w:rPr>
          <w:rtl/>
          <w:lang w:val="en-US"/>
        </w:rPr>
        <w:t>د)</w:t>
      </w:r>
      <w:r w:rsidRPr="007935FF">
        <w:rPr>
          <w:rtl/>
          <w:lang w:val="en-US"/>
        </w:rPr>
        <w:tab/>
        <w:t xml:space="preserve">عدم وجود معلومات عن السياسات المعدة لتوفير بدائل للطرد أو الإعادة. </w:t>
      </w:r>
    </w:p>
    <w:p w14:paraId="6750641F" w14:textId="77777777" w:rsidR="007935FF" w:rsidRPr="009F3E84" w:rsidRDefault="007935FF" w:rsidP="007935FF">
      <w:pPr>
        <w:pStyle w:val="SingleTxtGA"/>
        <w:rPr>
          <w:b/>
          <w:bCs/>
          <w:lang w:val="en-US"/>
        </w:rPr>
      </w:pPr>
      <w:r w:rsidRPr="009F3E84">
        <w:rPr>
          <w:rtl/>
          <w:lang w:val="en-US"/>
        </w:rPr>
        <w:lastRenderedPageBreak/>
        <w:t>42</w:t>
      </w:r>
      <w:r w:rsidRPr="007935FF">
        <w:rPr>
          <w:rtl/>
          <w:lang w:val="en-US"/>
        </w:rPr>
        <w:t>-</w:t>
      </w:r>
      <w:r w:rsidRPr="007935FF">
        <w:rPr>
          <w:rtl/>
          <w:lang w:val="en-US"/>
        </w:rPr>
        <w:tab/>
      </w:r>
      <w:r w:rsidRPr="009F3E84">
        <w:rPr>
          <w:b/>
          <w:bCs/>
          <w:rtl/>
          <w:lang w:val="en-US"/>
        </w:rPr>
        <w:t xml:space="preserve">تحث اللجنة الدولة الطرف على ما يلي: </w:t>
      </w:r>
    </w:p>
    <w:p w14:paraId="2DEDC097" w14:textId="6B687839" w:rsidR="007935FF" w:rsidRPr="009F3E84" w:rsidRDefault="00B160EB" w:rsidP="007935FF">
      <w:pPr>
        <w:pStyle w:val="SingleTxtGA"/>
        <w:rPr>
          <w:b/>
          <w:bCs/>
          <w:lang w:val="en-US"/>
        </w:rPr>
      </w:pPr>
      <w:r w:rsidRPr="00B160EB">
        <w:rPr>
          <w:rtl/>
          <w:lang w:val="en-US"/>
        </w:rPr>
        <w:tab/>
        <w:t>(أ)</w:t>
      </w:r>
      <w:r w:rsidRPr="00B160EB">
        <w:rPr>
          <w:rtl/>
          <w:lang w:val="en-US"/>
        </w:rPr>
        <w:tab/>
      </w:r>
      <w:r w:rsidR="007935FF" w:rsidRPr="009F3E84">
        <w:rPr>
          <w:rFonts w:ascii="Times New Roman Bold" w:hAnsi="Times New Roman Bold"/>
          <w:b/>
          <w:bCs/>
          <w:spacing w:val="-5"/>
          <w:rtl/>
          <w:lang w:val="en-US"/>
        </w:rPr>
        <w:t xml:space="preserve">اتخاذ الخطوات التشريعية اللازمة للنص على أثر إيقافي قانوني وتلقائي للطعون المقدمة </w:t>
      </w:r>
      <w:r w:rsidR="007935FF" w:rsidRPr="009F3E84">
        <w:rPr>
          <w:b/>
          <w:bCs/>
          <w:rtl/>
          <w:lang w:val="en-US"/>
        </w:rPr>
        <w:t>في المحاكم ضد أوامر الطرد، وضمان مراعاة الأصول القانونية والضمانات الإجرائية لضمان ممارسة العمال المهاجرين وأفراد أسرهم الخاضعين لإجراءات الطرد لحقوقهم في التماس وقف تنفيذ قرار الطرد ريثما تنظر سلطة مختصة في قضيتهم،</w:t>
      </w:r>
      <w:r w:rsidR="007F26E8" w:rsidRPr="009F3E84">
        <w:rPr>
          <w:b/>
          <w:bCs/>
          <w:rtl/>
          <w:lang w:val="en-US"/>
        </w:rPr>
        <w:t xml:space="preserve"> </w:t>
      </w:r>
      <w:r w:rsidR="007935FF" w:rsidRPr="009F3E84">
        <w:rPr>
          <w:b/>
          <w:bCs/>
          <w:rtl/>
          <w:lang w:val="en-US"/>
        </w:rPr>
        <w:t>وفق</w:t>
      </w:r>
      <w:r w:rsidR="00DC1988" w:rsidRPr="009F3E84">
        <w:rPr>
          <w:b/>
          <w:bCs/>
          <w:rtl/>
          <w:lang w:val="en-US"/>
        </w:rPr>
        <w:t xml:space="preserve">اً </w:t>
      </w:r>
      <w:r w:rsidR="007935FF" w:rsidRPr="009F3E84">
        <w:rPr>
          <w:b/>
          <w:bCs/>
          <w:rtl/>
          <w:lang w:val="en-US"/>
        </w:rPr>
        <w:t>للمادة 22(</w:t>
      </w:r>
      <w:r w:rsidR="007D4D2B" w:rsidRPr="009F3E84">
        <w:rPr>
          <w:b/>
          <w:bCs/>
          <w:color w:val="000000"/>
          <w:rtl/>
          <w:lang w:val="en-US"/>
        </w:rPr>
        <w:t xml:space="preserve">4) </w:t>
      </w:r>
      <w:r w:rsidR="007935FF" w:rsidRPr="009F3E84">
        <w:rPr>
          <w:b/>
          <w:bCs/>
          <w:rtl/>
          <w:lang w:val="en-US"/>
        </w:rPr>
        <w:t>من الاتفاقية؛</w:t>
      </w:r>
    </w:p>
    <w:p w14:paraId="62697310" w14:textId="078BC543" w:rsidR="007935FF" w:rsidRPr="009F3E84" w:rsidRDefault="00B160EB" w:rsidP="007935FF">
      <w:pPr>
        <w:pStyle w:val="SingleTxtGA"/>
        <w:rPr>
          <w:b/>
          <w:bCs/>
          <w:lang w:val="en-US"/>
        </w:rPr>
      </w:pPr>
      <w:r w:rsidRPr="00B160EB">
        <w:rPr>
          <w:rtl/>
          <w:lang w:val="en-US"/>
        </w:rPr>
        <w:tab/>
        <w:t>(ب)</w:t>
      </w:r>
      <w:r w:rsidRPr="00B160EB">
        <w:rPr>
          <w:rtl/>
          <w:lang w:val="en-US"/>
        </w:rPr>
        <w:tab/>
      </w:r>
      <w:r w:rsidR="007935FF" w:rsidRPr="009F3E84">
        <w:rPr>
          <w:b/>
          <w:bCs/>
          <w:rtl/>
          <w:lang w:val="en-US"/>
        </w:rPr>
        <w:t>ضمان التمسك بمبدأ عدم الإعادة القسرية في جميع الأوقات وفي جميع الحالات؛</w:t>
      </w:r>
    </w:p>
    <w:p w14:paraId="35C88426" w14:textId="1D770BEF" w:rsidR="007935FF" w:rsidRPr="009F3E84" w:rsidRDefault="00B160EB" w:rsidP="007935FF">
      <w:pPr>
        <w:pStyle w:val="SingleTxtGA"/>
        <w:rPr>
          <w:b/>
          <w:bCs/>
          <w:lang w:val="en-US"/>
        </w:rPr>
      </w:pPr>
      <w:r w:rsidRPr="00B160EB">
        <w:rPr>
          <w:rtl/>
          <w:lang w:val="en-US"/>
        </w:rPr>
        <w:tab/>
        <w:t>(ج)</w:t>
      </w:r>
      <w:r w:rsidRPr="00B160EB">
        <w:rPr>
          <w:rtl/>
          <w:lang w:val="en-US"/>
        </w:rPr>
        <w:tab/>
      </w:r>
      <w:r w:rsidR="007935FF" w:rsidRPr="009F3E84">
        <w:rPr>
          <w:b/>
          <w:bCs/>
          <w:rtl/>
          <w:lang w:val="en-US"/>
        </w:rPr>
        <w:t xml:space="preserve">ضمان التقاسم المنهجي للملفات المتعلقة بأوامر الطرد مع اللجنة الوطنية لحقوق الإنسان والمواطنة بوصفها آلية الرصد، لضمان أن تكون عمليات طرد العمال المهاجرين وأفراد أسرهم </w:t>
      </w:r>
      <w:r w:rsidR="007935FF" w:rsidRPr="009F3E84">
        <w:rPr>
          <w:rFonts w:ascii="Times New Roman Bold" w:hAnsi="Times New Roman Bold"/>
          <w:b/>
          <w:bCs/>
          <w:spacing w:val="-2"/>
          <w:rtl/>
          <w:lang w:val="en-US"/>
        </w:rPr>
        <w:t>ممتثلة تمام</w:t>
      </w:r>
      <w:r w:rsidR="00DC1988" w:rsidRPr="009F3E84">
        <w:rPr>
          <w:rFonts w:ascii="Times New Roman Bold" w:hAnsi="Times New Roman Bold"/>
          <w:b/>
          <w:bCs/>
          <w:spacing w:val="-2"/>
          <w:rtl/>
          <w:lang w:val="en-US"/>
        </w:rPr>
        <w:t xml:space="preserve">اً </w:t>
      </w:r>
      <w:r w:rsidR="007935FF" w:rsidRPr="009F3E84">
        <w:rPr>
          <w:rFonts w:ascii="Times New Roman Bold" w:hAnsi="Times New Roman Bold"/>
          <w:b/>
          <w:bCs/>
          <w:spacing w:val="-2"/>
          <w:rtl/>
          <w:lang w:val="en-US"/>
        </w:rPr>
        <w:t>للمعايير الدولية والقوانين المحلية للدولة الطرف، ولضمان التنسيق الفعال مع دولة المنشأ</w:t>
      </w:r>
      <w:r w:rsidR="007935FF" w:rsidRPr="009F3E84">
        <w:rPr>
          <w:b/>
          <w:bCs/>
          <w:rtl/>
          <w:lang w:val="en-US"/>
        </w:rPr>
        <w:t xml:space="preserve"> أو الدولة المستقبلة؛</w:t>
      </w:r>
    </w:p>
    <w:p w14:paraId="7BCC0FE5" w14:textId="63E1981C" w:rsidR="007935FF" w:rsidRPr="009F3E84" w:rsidRDefault="00B160EB" w:rsidP="007935FF">
      <w:pPr>
        <w:pStyle w:val="SingleTxtGA"/>
        <w:rPr>
          <w:b/>
          <w:bCs/>
          <w:lang w:val="en-US"/>
        </w:rPr>
      </w:pPr>
      <w:r w:rsidRPr="00B160EB">
        <w:rPr>
          <w:rtl/>
          <w:lang w:val="en-US"/>
        </w:rPr>
        <w:tab/>
        <w:t>(د)</w:t>
      </w:r>
      <w:r w:rsidRPr="00B160EB">
        <w:rPr>
          <w:rtl/>
          <w:lang w:val="en-US"/>
        </w:rPr>
        <w:tab/>
      </w:r>
      <w:r w:rsidR="007935FF" w:rsidRPr="009F3E84">
        <w:rPr>
          <w:rFonts w:ascii="Times New Roman Bold" w:hAnsi="Times New Roman Bold"/>
          <w:b/>
          <w:bCs/>
          <w:spacing w:val="-2"/>
          <w:rtl/>
          <w:lang w:val="en-US"/>
        </w:rPr>
        <w:t>تعزيز تنفيذ السياسات والآليات الرامية إلى توفير بدائل للطرد أو العودة، بما في ذلك</w:t>
      </w:r>
      <w:r w:rsidR="007935FF" w:rsidRPr="009F3E84">
        <w:rPr>
          <w:b/>
          <w:bCs/>
          <w:rtl/>
          <w:lang w:val="en-US"/>
        </w:rPr>
        <w:t xml:space="preserve"> إجراءات اللجوء والحماية الدولية، وتوفير إذن بالبقاء في البلد لأسباب إنسانية وآليات عادية لتسوية الوضع القانوني للمهاجرين ينظمها القانون، وفقاً للمادة 69 من الاتفاقية، تنطبق على جميع المهاجرين بغض النظر عن وضعهم من حيث الهجرة.</w:t>
      </w:r>
    </w:p>
    <w:p w14:paraId="5E8ABD63" w14:textId="77777777" w:rsidR="007935FF" w:rsidRPr="009F3E84" w:rsidRDefault="007935FF" w:rsidP="00B83204">
      <w:pPr>
        <w:pStyle w:val="H23GA"/>
      </w:pPr>
      <w:r w:rsidRPr="009F3E84">
        <w:rPr>
          <w:rtl/>
        </w:rPr>
        <w:tab/>
      </w:r>
      <w:r w:rsidRPr="009F3E84">
        <w:rPr>
          <w:rtl/>
        </w:rPr>
        <w:tab/>
        <w:t>المساعدة القنصلية</w:t>
      </w:r>
    </w:p>
    <w:p w14:paraId="0B90647F" w14:textId="7DA5E6C2" w:rsidR="007935FF" w:rsidRPr="007935FF" w:rsidRDefault="007935FF" w:rsidP="007935FF">
      <w:pPr>
        <w:pStyle w:val="SingleTxtGA"/>
        <w:rPr>
          <w:lang w:val="en-US"/>
        </w:rPr>
      </w:pPr>
      <w:r w:rsidRPr="009F3E84">
        <w:rPr>
          <w:rtl/>
          <w:lang w:val="en-US"/>
        </w:rPr>
        <w:t>43</w:t>
      </w:r>
      <w:r w:rsidRPr="007935FF">
        <w:rPr>
          <w:rtl/>
          <w:lang w:val="en-US"/>
        </w:rPr>
        <w:t>-</w:t>
      </w:r>
      <w:r w:rsidRPr="007935FF">
        <w:rPr>
          <w:rtl/>
          <w:lang w:val="en-US"/>
        </w:rPr>
        <w:tab/>
        <w:t xml:space="preserve">تلاحظ اللجنة الجهود التي تبذلها الدولة الطرف لتقديم المساعدة القنصلية إلى رعاياها في الخارج تحت رعاية المديرية العامة للجاليات والشؤون القنصلية والهجرة، والمعلومات والبيانات المقدمة عن المساعدة القنصلية والدبلوماسية والقانونية المقدمة إلى مواطني </w:t>
      </w:r>
      <w:r w:rsidR="00972938">
        <w:rPr>
          <w:rtl/>
          <w:lang w:val="en-US"/>
        </w:rPr>
        <w:t>كابو فيردي</w:t>
      </w:r>
      <w:r w:rsidRPr="007935FF">
        <w:rPr>
          <w:rtl/>
          <w:lang w:val="en-US"/>
        </w:rPr>
        <w:t xml:space="preserve"> في الخارج. بيد أنها تأسف لوقف تقديم المساعدة القانونية إلى مهاجري </w:t>
      </w:r>
      <w:r w:rsidR="00972938">
        <w:rPr>
          <w:rtl/>
          <w:lang w:val="en-US"/>
        </w:rPr>
        <w:t>كابو فيردي</w:t>
      </w:r>
      <w:r w:rsidRPr="007935FF">
        <w:rPr>
          <w:rtl/>
          <w:lang w:val="en-US"/>
        </w:rPr>
        <w:t xml:space="preserve"> في البرتغال. ويساور اللجنة القلق إزاء التقارير التي تفيد بأن العمال المهاجرين وأفراد أسرهم ليسوا دائم</w:t>
      </w:r>
      <w:r w:rsidR="00DC1988">
        <w:rPr>
          <w:rtl/>
          <w:lang w:val="en-US"/>
        </w:rPr>
        <w:t xml:space="preserve">اً </w:t>
      </w:r>
      <w:r w:rsidRPr="007935FF">
        <w:rPr>
          <w:rtl/>
          <w:lang w:val="en-US"/>
        </w:rPr>
        <w:t>على علم بحقهم في الحصول على المساعدة القنصلية وأن السلطات لا تبلغ دائم</w:t>
      </w:r>
      <w:r w:rsidR="00DC1988">
        <w:rPr>
          <w:rtl/>
          <w:lang w:val="en-US"/>
        </w:rPr>
        <w:t xml:space="preserve">اً </w:t>
      </w:r>
      <w:r w:rsidRPr="007935FF">
        <w:rPr>
          <w:rtl/>
          <w:lang w:val="en-US"/>
        </w:rPr>
        <w:t xml:space="preserve">السلطات في بلد المقصد بجميع قرارات الطرد، رغم الشرط القانوني الوارد في المادة </w:t>
      </w:r>
      <w:r w:rsidRPr="009F3E84">
        <w:rPr>
          <w:rtl/>
          <w:lang w:val="en-US"/>
        </w:rPr>
        <w:t>88</w:t>
      </w:r>
      <w:r w:rsidRPr="007935FF">
        <w:rPr>
          <w:rtl/>
          <w:lang w:val="en-US"/>
        </w:rPr>
        <w:t xml:space="preserve"> من القانون المتعلق بدخول الأجانب إلى </w:t>
      </w:r>
      <w:r w:rsidR="00972938">
        <w:rPr>
          <w:rtl/>
          <w:lang w:val="en-US"/>
        </w:rPr>
        <w:t>كابو فيردي</w:t>
      </w:r>
      <w:r w:rsidRPr="007935FF">
        <w:rPr>
          <w:rtl/>
          <w:lang w:val="en-US"/>
        </w:rPr>
        <w:t xml:space="preserve"> وإقامتهم فيها وخروجهم منها وإبعادهم عنها. </w:t>
      </w:r>
    </w:p>
    <w:p w14:paraId="2A645D7E" w14:textId="4ED76D45" w:rsidR="007935FF" w:rsidRPr="009F3E84" w:rsidRDefault="007935FF" w:rsidP="007935FF">
      <w:pPr>
        <w:pStyle w:val="SingleTxtGA"/>
        <w:rPr>
          <w:b/>
          <w:bCs/>
          <w:lang w:val="en-US"/>
        </w:rPr>
      </w:pPr>
      <w:r w:rsidRPr="009F3E84">
        <w:rPr>
          <w:rtl/>
          <w:lang w:val="en-US"/>
        </w:rPr>
        <w:t>44</w:t>
      </w:r>
      <w:r w:rsidRPr="007935FF">
        <w:rPr>
          <w:rtl/>
          <w:lang w:val="en-US"/>
        </w:rPr>
        <w:t>-</w:t>
      </w:r>
      <w:r w:rsidRPr="007935FF">
        <w:rPr>
          <w:rtl/>
          <w:lang w:val="en-US"/>
        </w:rPr>
        <w:tab/>
      </w:r>
      <w:r w:rsidRPr="009F3E84">
        <w:rPr>
          <w:b/>
          <w:bCs/>
          <w:rtl/>
          <w:lang w:val="en-US"/>
        </w:rPr>
        <w:t>تشير اللجنة إلى ملاحظاتها الختامية السابقة</w:t>
      </w:r>
      <w:r w:rsidR="007D4D2B" w:rsidRPr="009F3E84">
        <w:rPr>
          <w:rStyle w:val="FootnoteReference"/>
          <w:b/>
          <w:bCs/>
          <w:szCs w:val="22"/>
          <w:rtl/>
          <w:lang w:val="en-US"/>
        </w:rPr>
        <w:t>(</w:t>
      </w:r>
      <w:r w:rsidR="007D4D2B" w:rsidRPr="009F3E84">
        <w:rPr>
          <w:rStyle w:val="FootnoteReference"/>
          <w:b/>
          <w:bCs/>
          <w:szCs w:val="22"/>
          <w:lang w:val="en-US"/>
        </w:rPr>
        <w:footnoteReference w:id="14"/>
      </w:r>
      <w:r w:rsidR="007D4D2B" w:rsidRPr="009F3E84">
        <w:rPr>
          <w:b/>
          <w:bCs/>
          <w:color w:val="000000"/>
          <w:vertAlign w:val="superscript"/>
          <w:rtl/>
          <w:lang w:val="en-US"/>
        </w:rPr>
        <w:t>)</w:t>
      </w:r>
      <w:r w:rsidR="007D4D2B" w:rsidRPr="009F3E84">
        <w:rPr>
          <w:b/>
          <w:bCs/>
          <w:color w:val="000000"/>
          <w:rtl/>
          <w:lang w:val="en-US"/>
        </w:rPr>
        <w:t>،</w:t>
      </w:r>
      <w:r w:rsidR="007D4D2B" w:rsidRPr="009F3E84">
        <w:rPr>
          <w:b/>
          <w:bCs/>
          <w:color w:val="000000"/>
          <w:rtl/>
          <w:lang w:val="en-US"/>
        </w:rPr>
        <w:t xml:space="preserve"> </w:t>
      </w:r>
      <w:r w:rsidRPr="009F3E84">
        <w:rPr>
          <w:b/>
          <w:bCs/>
          <w:rtl/>
          <w:lang w:val="en-US"/>
        </w:rPr>
        <w:t>وتوصي الدولة الطرف بما يلي:</w:t>
      </w:r>
    </w:p>
    <w:p w14:paraId="18318742" w14:textId="4254CBC5" w:rsidR="007935FF" w:rsidRPr="009F3E84" w:rsidRDefault="00B160EB" w:rsidP="007935FF">
      <w:pPr>
        <w:pStyle w:val="SingleTxtGA"/>
        <w:rPr>
          <w:b/>
          <w:bCs/>
          <w:lang w:val="en-US"/>
        </w:rPr>
      </w:pPr>
      <w:r w:rsidRPr="00B160EB">
        <w:rPr>
          <w:rtl/>
          <w:lang w:val="en-US"/>
        </w:rPr>
        <w:tab/>
        <w:t>(أ)</w:t>
      </w:r>
      <w:r w:rsidRPr="00B160EB">
        <w:rPr>
          <w:rtl/>
          <w:lang w:val="en-US"/>
        </w:rPr>
        <w:tab/>
      </w:r>
      <w:r w:rsidR="007935FF" w:rsidRPr="009F3E84">
        <w:rPr>
          <w:b/>
          <w:bCs/>
          <w:rtl/>
          <w:lang w:val="en-US"/>
        </w:rPr>
        <w:t>اتخاذ الخطوات اللازمة لضمان إخطار السلطات القنصلية أو الدبلوماسية لبلدان المنشأ، أو سلطات بلد يمثل مصالح تلك البلدان، بصورة منهجية بقرارات الطرد، وبالقرارات المتعلقة بالاعتقال والاحتجاز، التي تصدرها الدولة الطرف بشأن رعاياها؛</w:t>
      </w:r>
    </w:p>
    <w:p w14:paraId="5B3BE56F" w14:textId="68BD0FD7" w:rsidR="007935FF" w:rsidRPr="009F3E84" w:rsidRDefault="00B160EB" w:rsidP="007935FF">
      <w:pPr>
        <w:pStyle w:val="SingleTxtGA"/>
        <w:rPr>
          <w:b/>
          <w:bCs/>
          <w:lang w:val="en-US"/>
        </w:rPr>
      </w:pPr>
      <w:r w:rsidRPr="00B160EB">
        <w:rPr>
          <w:rtl/>
          <w:lang w:val="en-US"/>
        </w:rPr>
        <w:tab/>
        <w:t>(ب)</w:t>
      </w:r>
      <w:r w:rsidRPr="00B160EB">
        <w:rPr>
          <w:rtl/>
          <w:lang w:val="en-US"/>
        </w:rPr>
        <w:tab/>
      </w:r>
      <w:r w:rsidR="007935FF" w:rsidRPr="009F3E84">
        <w:rPr>
          <w:b/>
          <w:bCs/>
          <w:rtl/>
          <w:lang w:val="en-US"/>
        </w:rPr>
        <w:t>ضمان لجوء العمال المهاجرين الأجانب وأفراد أسرهم الذين صدر بحقهم قرار كهذا إلى القنصليات للحصول على الدعم اللازم لحماية حقوقهم المنصوص عليها في الاتفاقية؛</w:t>
      </w:r>
    </w:p>
    <w:p w14:paraId="7FAAEE70" w14:textId="781DDFA0" w:rsidR="007935FF" w:rsidRPr="009F3E84" w:rsidRDefault="00B160EB" w:rsidP="007935FF">
      <w:pPr>
        <w:pStyle w:val="SingleTxtGA"/>
        <w:rPr>
          <w:b/>
          <w:bCs/>
          <w:lang w:val="en-US"/>
        </w:rPr>
      </w:pPr>
      <w:r w:rsidRPr="00B160EB">
        <w:rPr>
          <w:rtl/>
          <w:lang w:val="en-US"/>
        </w:rPr>
        <w:tab/>
        <w:t>(ج)</w:t>
      </w:r>
      <w:r w:rsidRPr="00B160EB">
        <w:rPr>
          <w:rtl/>
          <w:lang w:val="en-US"/>
        </w:rPr>
        <w:tab/>
      </w:r>
      <w:r w:rsidR="007935FF" w:rsidRPr="009F3E84">
        <w:rPr>
          <w:b/>
          <w:bCs/>
          <w:rtl/>
          <w:lang w:val="en-US"/>
        </w:rPr>
        <w:t>المضي قدم</w:t>
      </w:r>
      <w:r w:rsidR="00DC1988" w:rsidRPr="009F3E84">
        <w:rPr>
          <w:b/>
          <w:bCs/>
          <w:rtl/>
          <w:lang w:val="en-US"/>
        </w:rPr>
        <w:t xml:space="preserve">اً </w:t>
      </w:r>
      <w:r w:rsidR="007935FF" w:rsidRPr="009F3E84">
        <w:rPr>
          <w:b/>
          <w:bCs/>
          <w:rtl/>
          <w:lang w:val="en-US"/>
        </w:rPr>
        <w:t xml:space="preserve">بشكل حاسم وسريع في خططها الرامية إلى تجديد شبكتها القنصلية والدبلوماسية في بلدان المقصد، بما في ذلك عن طريق زيادة عدد القنصليات الفخرية في البلدان التي </w:t>
      </w:r>
      <w:r w:rsidR="007935FF" w:rsidRPr="009F3E84">
        <w:rPr>
          <w:rFonts w:ascii="Times New Roman Bold" w:hAnsi="Times New Roman Bold"/>
          <w:b/>
          <w:bCs/>
          <w:spacing w:val="-4"/>
          <w:rtl/>
          <w:lang w:val="en-US"/>
        </w:rPr>
        <w:t>لا يوجد فيها تمثيل قنصلي أو دبلوماسي للدولة الطرف، وفق</w:t>
      </w:r>
      <w:r w:rsidR="00DC1988" w:rsidRPr="009F3E84">
        <w:rPr>
          <w:rFonts w:ascii="Times New Roman Bold" w:hAnsi="Times New Roman Bold"/>
          <w:b/>
          <w:bCs/>
          <w:spacing w:val="-4"/>
          <w:rtl/>
          <w:lang w:val="en-US"/>
        </w:rPr>
        <w:t xml:space="preserve">اً </w:t>
      </w:r>
      <w:r w:rsidR="007935FF" w:rsidRPr="009F3E84">
        <w:rPr>
          <w:rFonts w:ascii="Times New Roman Bold" w:hAnsi="Times New Roman Bold"/>
          <w:b/>
          <w:bCs/>
          <w:spacing w:val="-4"/>
          <w:rtl/>
          <w:lang w:val="en-US"/>
        </w:rPr>
        <w:t>للنية التي أعربت عنها خلال الحوار البناء.</w:t>
      </w:r>
    </w:p>
    <w:p w14:paraId="5B8A391E" w14:textId="77777777" w:rsidR="007935FF" w:rsidRPr="009F3E84" w:rsidRDefault="007935FF" w:rsidP="00AF4F2D">
      <w:pPr>
        <w:pStyle w:val="H23GA"/>
        <w:spacing w:line="350" w:lineRule="exact"/>
      </w:pPr>
      <w:r w:rsidRPr="009F3E84">
        <w:rPr>
          <w:rtl/>
        </w:rPr>
        <w:lastRenderedPageBreak/>
        <w:tab/>
      </w:r>
      <w:r w:rsidRPr="009F3E84">
        <w:rPr>
          <w:rtl/>
        </w:rPr>
        <w:tab/>
        <w:t>الأجور وشروط العمل</w:t>
      </w:r>
    </w:p>
    <w:p w14:paraId="60BE2C9B" w14:textId="1F7F5951" w:rsidR="007935FF" w:rsidRPr="007935FF" w:rsidRDefault="007935FF" w:rsidP="00AF4F2D">
      <w:pPr>
        <w:pStyle w:val="SingleTxtGA"/>
        <w:spacing w:line="350" w:lineRule="exact"/>
        <w:rPr>
          <w:lang w:val="en-US"/>
        </w:rPr>
      </w:pPr>
      <w:r w:rsidRPr="009F3E84">
        <w:rPr>
          <w:rtl/>
          <w:lang w:val="en-US"/>
        </w:rPr>
        <w:t>45</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بالمعلومات التي قدمتها الدولة الطرف والتي تشير إلى أن العمال المهاجرين غير النظاميين وأفراد أسرهم يحصلون على حقوق متساوية مع غيرهم عملي</w:t>
      </w:r>
      <w:r w:rsidR="00075809">
        <w:rPr>
          <w:rtl/>
          <w:lang w:val="en-US"/>
        </w:rPr>
        <w:t>اً.</w:t>
      </w:r>
      <w:r w:rsidRPr="007935FF">
        <w:rPr>
          <w:rtl/>
          <w:lang w:val="en-US"/>
        </w:rPr>
        <w:t xml:space="preserve"> ومع ذلك، يساور اللجنة القلق لأن قانون العمل لا يمنح المساواة في الحقوق والواجبات إلا للعمال المهاجرين النظاميين. ويساور اللجنة القلق كذلك إزاء التقارير التي تفيد بأن العمال المهاجرين يتقاضون أجور</w:t>
      </w:r>
      <w:r w:rsidR="00DC1988">
        <w:rPr>
          <w:rtl/>
          <w:lang w:val="en-US"/>
        </w:rPr>
        <w:t xml:space="preserve">اً </w:t>
      </w:r>
      <w:r w:rsidRPr="007935FF">
        <w:rPr>
          <w:rtl/>
          <w:lang w:val="en-US"/>
        </w:rPr>
        <w:t xml:space="preserve">أقل بكثير من نظرائهم من مواطني </w:t>
      </w:r>
      <w:r w:rsidR="00972938">
        <w:rPr>
          <w:rtl/>
          <w:lang w:val="en-US"/>
        </w:rPr>
        <w:t>كابو فيردي</w:t>
      </w:r>
      <w:r w:rsidRPr="007935FF">
        <w:rPr>
          <w:rtl/>
          <w:lang w:val="en-US"/>
        </w:rPr>
        <w:t xml:space="preserve"> الذين يؤدون نفس العمل، وإزاء التقارير التي تفيد بعدم الامتثال لتشريعات العمل وسوء ظروف العمل، ولا سيما بالنسبة للعمال المهاجرين في قطاعات البيع بالتجزئة والخدمات والبناء.</w:t>
      </w:r>
    </w:p>
    <w:p w14:paraId="2048D526" w14:textId="77777777" w:rsidR="007935FF" w:rsidRPr="009F3E84" w:rsidRDefault="007935FF" w:rsidP="00AF4F2D">
      <w:pPr>
        <w:pStyle w:val="SingleTxtGA"/>
        <w:spacing w:line="350" w:lineRule="exact"/>
        <w:rPr>
          <w:b/>
          <w:bCs/>
          <w:lang w:val="en-US"/>
        </w:rPr>
      </w:pPr>
      <w:r w:rsidRPr="009F3E84">
        <w:rPr>
          <w:rtl/>
          <w:lang w:val="en-US"/>
        </w:rPr>
        <w:t>46</w:t>
      </w:r>
      <w:r w:rsidRPr="007935FF">
        <w:rPr>
          <w:rtl/>
          <w:lang w:val="en-US"/>
        </w:rPr>
        <w:t>-</w:t>
      </w:r>
      <w:r w:rsidRPr="007935FF">
        <w:rPr>
          <w:rtl/>
          <w:lang w:val="en-US"/>
        </w:rPr>
        <w:tab/>
      </w:r>
      <w:r w:rsidRPr="009F3E84">
        <w:rPr>
          <w:b/>
          <w:bCs/>
          <w:rtl/>
          <w:lang w:val="en-US"/>
        </w:rPr>
        <w:t>توصي اللجنة الدولة الطرف بما يلي:</w:t>
      </w:r>
    </w:p>
    <w:p w14:paraId="48E89FDA" w14:textId="64194F77" w:rsidR="007935FF" w:rsidRPr="009F3E84" w:rsidRDefault="00B160EB" w:rsidP="00AF4F2D">
      <w:pPr>
        <w:pStyle w:val="SingleTxtGA"/>
        <w:spacing w:line="350" w:lineRule="exact"/>
        <w:rPr>
          <w:b/>
          <w:bCs/>
          <w:lang w:val="en-US"/>
        </w:rPr>
      </w:pPr>
      <w:r w:rsidRPr="00B160EB">
        <w:rPr>
          <w:rtl/>
          <w:lang w:val="en-US"/>
        </w:rPr>
        <w:tab/>
        <w:t>(أ)</w:t>
      </w:r>
      <w:r w:rsidRPr="00B160EB">
        <w:rPr>
          <w:rtl/>
          <w:lang w:val="en-US"/>
        </w:rPr>
        <w:tab/>
      </w:r>
      <w:r w:rsidR="007935FF" w:rsidRPr="009F3E84">
        <w:rPr>
          <w:b/>
          <w:bCs/>
          <w:rtl/>
          <w:lang w:val="en-US"/>
        </w:rPr>
        <w:t>ضمان حقوق العمل لجميع العمال المهاجرين داخل إقليمها، في القانون وفي الممارسة العملية؛</w:t>
      </w:r>
    </w:p>
    <w:p w14:paraId="32373BE8" w14:textId="2F462ACF" w:rsidR="007935FF" w:rsidRPr="009F3E84" w:rsidRDefault="00B160EB" w:rsidP="00AF4F2D">
      <w:pPr>
        <w:pStyle w:val="SingleTxtGA"/>
        <w:spacing w:line="350" w:lineRule="exact"/>
        <w:rPr>
          <w:b/>
          <w:bCs/>
          <w:lang w:val="en-US"/>
        </w:rPr>
      </w:pPr>
      <w:r w:rsidRPr="00B160EB">
        <w:rPr>
          <w:rtl/>
          <w:lang w:val="en-US"/>
        </w:rPr>
        <w:tab/>
        <w:t>(ب)</w:t>
      </w:r>
      <w:r w:rsidRPr="00B160EB">
        <w:rPr>
          <w:rtl/>
          <w:lang w:val="en-US"/>
        </w:rPr>
        <w:tab/>
      </w:r>
      <w:r w:rsidR="007935FF" w:rsidRPr="009F3E84">
        <w:rPr>
          <w:rFonts w:ascii="Times New Roman Bold" w:hAnsi="Times New Roman Bold"/>
          <w:b/>
          <w:bCs/>
          <w:spacing w:val="-2"/>
          <w:rtl/>
          <w:lang w:val="en-US"/>
        </w:rPr>
        <w:t>ضمان تمتع العمال المهاجرين بمعاملة مساوية لمعاملة المواطنين فيما يتعلق بالأجور</w:t>
      </w:r>
      <w:r w:rsidR="007935FF" w:rsidRPr="009F3E84">
        <w:rPr>
          <w:b/>
          <w:bCs/>
          <w:rtl/>
          <w:lang w:val="en-US"/>
        </w:rPr>
        <w:t xml:space="preserve"> وظروف العمل، وإنفاذ هذا الالتزام بصرامة من خلال عمليات تفتيش العمل المنتظمة والمباغتة في المواقع التي يعمل فيها العمال المهاجرون، ولا سيما في قطاعات البيع بالتجزئة والخدمات والبناء.</w:t>
      </w:r>
    </w:p>
    <w:p w14:paraId="0C020CE6" w14:textId="77777777" w:rsidR="007935FF" w:rsidRPr="009F3E84" w:rsidRDefault="007935FF" w:rsidP="00AF4F2D">
      <w:pPr>
        <w:pStyle w:val="H23GA"/>
        <w:spacing w:line="350" w:lineRule="exact"/>
      </w:pPr>
      <w:r w:rsidRPr="009F3E84">
        <w:rPr>
          <w:rtl/>
        </w:rPr>
        <w:tab/>
      </w:r>
      <w:r w:rsidRPr="009F3E84">
        <w:rPr>
          <w:rtl/>
        </w:rPr>
        <w:tab/>
        <w:t xml:space="preserve">حرية الانضمام إلى النقابات العمالية والمشاركة في اجتماعاتها </w:t>
      </w:r>
    </w:p>
    <w:p w14:paraId="45B59052" w14:textId="6C072AF6" w:rsidR="007935FF" w:rsidRPr="00DC1988" w:rsidRDefault="007935FF" w:rsidP="00AF4F2D">
      <w:pPr>
        <w:pStyle w:val="SingleTxtGA"/>
        <w:spacing w:line="350" w:lineRule="exact"/>
        <w:rPr>
          <w:lang w:val="en-US"/>
        </w:rPr>
      </w:pPr>
      <w:r w:rsidRPr="009F3E84">
        <w:rPr>
          <w:rtl/>
          <w:lang w:val="en-US"/>
        </w:rPr>
        <w:t>47</w:t>
      </w:r>
      <w:r w:rsidRPr="007935FF">
        <w:rPr>
          <w:rtl/>
          <w:lang w:val="en-US"/>
        </w:rPr>
        <w:t>-</w:t>
      </w:r>
      <w:r w:rsidRPr="007935FF">
        <w:rPr>
          <w:rtl/>
          <w:lang w:val="en-US"/>
        </w:rPr>
        <w:tab/>
      </w:r>
      <w:r w:rsidRPr="00DC1988">
        <w:rPr>
          <w:spacing w:val="-6"/>
          <w:rtl/>
          <w:lang w:val="en-US"/>
        </w:rPr>
        <w:t xml:space="preserve">تلاحظ اللجنة أن للعمال المهاجرين النظاميين الحق في حرية الانتماء إلى النقابات والمنظمات المهنية، </w:t>
      </w:r>
      <w:r w:rsidRPr="00DC1988">
        <w:rPr>
          <w:rtl/>
          <w:lang w:val="en-US"/>
        </w:rPr>
        <w:t>وفق</w:t>
      </w:r>
      <w:r w:rsidR="00DC1988" w:rsidRPr="00DC1988">
        <w:rPr>
          <w:rtl/>
          <w:lang w:val="en-US"/>
        </w:rPr>
        <w:t xml:space="preserve">اً </w:t>
      </w:r>
      <w:r w:rsidRPr="00DC1988">
        <w:rPr>
          <w:rtl/>
          <w:lang w:val="en-US"/>
        </w:rPr>
        <w:t xml:space="preserve">للمادة </w:t>
      </w:r>
      <w:r w:rsidRPr="009F3E84">
        <w:rPr>
          <w:rtl/>
          <w:lang w:val="en-US"/>
        </w:rPr>
        <w:t>69</w:t>
      </w:r>
      <w:r w:rsidRPr="00DC1988">
        <w:rPr>
          <w:rtl/>
          <w:lang w:val="en-US"/>
        </w:rPr>
        <w:t xml:space="preserve"> من القانون المتعلق بدخول الرعايا الأجانب إلى </w:t>
      </w:r>
      <w:r w:rsidR="00972938" w:rsidRPr="00DC1988">
        <w:rPr>
          <w:rtl/>
          <w:lang w:val="en-US"/>
        </w:rPr>
        <w:t>كابو فيردي</w:t>
      </w:r>
      <w:r w:rsidRPr="00DC1988">
        <w:rPr>
          <w:rtl/>
          <w:lang w:val="en-US"/>
        </w:rPr>
        <w:t xml:space="preserve"> وإقامتهم فيها وخروجهم منها وإبعادهم عنها. ويساور اللجنة القلق لأن هذا الحق لا ينطبق على العمال المهاجرين غير النظاميين.</w:t>
      </w:r>
    </w:p>
    <w:p w14:paraId="03AB8C9B" w14:textId="1ACDD467" w:rsidR="007D4D2B" w:rsidRPr="009F3E84" w:rsidRDefault="007935FF" w:rsidP="00AF4F2D">
      <w:pPr>
        <w:pStyle w:val="SingleTxtGA"/>
        <w:spacing w:line="350" w:lineRule="exact"/>
        <w:rPr>
          <w:b/>
          <w:bCs/>
          <w:color w:val="000000"/>
          <w:lang w:val="en-US"/>
        </w:rPr>
      </w:pPr>
      <w:r w:rsidRPr="009F3E84">
        <w:rPr>
          <w:rtl/>
          <w:lang w:val="en-US"/>
        </w:rPr>
        <w:t>48</w:t>
      </w:r>
      <w:r w:rsidRPr="007935FF">
        <w:rPr>
          <w:rtl/>
          <w:lang w:val="en-US"/>
        </w:rPr>
        <w:t>-</w:t>
      </w:r>
      <w:r w:rsidRPr="007935FF">
        <w:rPr>
          <w:rtl/>
          <w:lang w:val="en-US"/>
        </w:rPr>
        <w:tab/>
      </w:r>
      <w:r w:rsidRPr="009F3E84">
        <w:rPr>
          <w:b/>
          <w:bCs/>
          <w:rtl/>
          <w:lang w:val="en-US"/>
        </w:rPr>
        <w:t>توصي اللجنة الدولة الطرف باتخاذ جميع التدابير اللازمة، بما فيها التعديلات التشريعية، لضمان تمتع جميع العمال المهاجرين، بمن فيهم العمال غير النظاميين، بالحق في المشاركة في الأنشطة النقابية وفي الانضمام بحرية إلى النقابات، وفقاً للمادة 26 من الاتفاقية واتفاقية منظمة العمل الدولية بشأن الحرية النقابية وحماية حق التنظيم، 1948(8</w:t>
      </w:r>
      <w:r w:rsidR="007D4D2B" w:rsidRPr="009F3E84">
        <w:rPr>
          <w:b/>
          <w:bCs/>
          <w:color w:val="000000"/>
          <w:rtl/>
          <w:lang w:val="en-US"/>
        </w:rPr>
        <w:t>7).</w:t>
      </w:r>
    </w:p>
    <w:p w14:paraId="671FC498" w14:textId="673DD732" w:rsidR="007935FF" w:rsidRPr="009F3E84" w:rsidRDefault="007935FF" w:rsidP="00AF4F2D">
      <w:pPr>
        <w:pStyle w:val="H23GA"/>
        <w:spacing w:line="350" w:lineRule="exact"/>
      </w:pPr>
      <w:r w:rsidRPr="009F3E84">
        <w:rPr>
          <w:rtl/>
        </w:rPr>
        <w:tab/>
      </w:r>
      <w:r w:rsidRPr="009F3E84">
        <w:rPr>
          <w:rtl/>
        </w:rPr>
        <w:tab/>
        <w:t>الضمان الاجتماعي</w:t>
      </w:r>
    </w:p>
    <w:p w14:paraId="48C5F7E6" w14:textId="6F834A46" w:rsidR="007935FF" w:rsidRPr="007935FF" w:rsidRDefault="007935FF" w:rsidP="00AF4F2D">
      <w:pPr>
        <w:pStyle w:val="SingleTxtGA"/>
        <w:spacing w:line="350" w:lineRule="exact"/>
        <w:rPr>
          <w:lang w:val="en-US"/>
        </w:rPr>
      </w:pPr>
      <w:r w:rsidRPr="009F3E84">
        <w:rPr>
          <w:rtl/>
          <w:lang w:val="en-US"/>
        </w:rPr>
        <w:t>49</w:t>
      </w:r>
      <w:r w:rsidRPr="007935FF">
        <w:rPr>
          <w:rtl/>
          <w:lang w:val="en-US"/>
        </w:rPr>
        <w:t>-</w:t>
      </w:r>
      <w:r w:rsidRPr="007935FF">
        <w:rPr>
          <w:rtl/>
          <w:lang w:val="en-US"/>
        </w:rPr>
        <w:tab/>
        <w:t xml:space="preserve">تلاحظ اللجنة أن العمال المهاجرين يتمتعون بالحق في الضمان الاجتماعي على قدم المساواة مع المواطنين، شريطة أن يكونوا مقيمين في </w:t>
      </w:r>
      <w:r w:rsidR="00972938">
        <w:rPr>
          <w:rtl/>
          <w:lang w:val="en-US"/>
        </w:rPr>
        <w:t>كابو فيردي</w:t>
      </w:r>
      <w:r w:rsidRPr="007935FF">
        <w:rPr>
          <w:rtl/>
          <w:lang w:val="en-US"/>
        </w:rPr>
        <w:t xml:space="preserve"> منذ ثلاث سنوات على الأقل، وفقا للمادة </w:t>
      </w:r>
      <w:r w:rsidRPr="009F3E84">
        <w:rPr>
          <w:rtl/>
          <w:lang w:val="en-US"/>
        </w:rPr>
        <w:t>65</w:t>
      </w:r>
      <w:r w:rsidRPr="007935FF">
        <w:rPr>
          <w:rtl/>
          <w:lang w:val="en-US"/>
        </w:rPr>
        <w:t>(</w:t>
      </w:r>
      <w:r w:rsidR="007D4D2B" w:rsidRPr="009F3E84">
        <w:rPr>
          <w:color w:val="000000"/>
          <w:rtl/>
          <w:lang w:val="en-US"/>
        </w:rPr>
        <w:t>2</w:t>
      </w:r>
      <w:r w:rsidR="007D4D2B" w:rsidRPr="007D4D2B">
        <w:rPr>
          <w:color w:val="000000"/>
          <w:rtl/>
          <w:lang w:val="en-US"/>
        </w:rPr>
        <w:t xml:space="preserve">) </w:t>
      </w:r>
      <w:r w:rsidRPr="007935FF">
        <w:rPr>
          <w:rtl/>
          <w:lang w:val="en-US"/>
        </w:rPr>
        <w:t xml:space="preserve">من القانون المتعلق بدخول الرعايا الأجانب إلى </w:t>
      </w:r>
      <w:r w:rsidR="00972938">
        <w:rPr>
          <w:rtl/>
          <w:lang w:val="en-US"/>
        </w:rPr>
        <w:t>كابو فيردي</w:t>
      </w:r>
      <w:r w:rsidRPr="007935FF">
        <w:rPr>
          <w:rtl/>
          <w:lang w:val="en-US"/>
        </w:rPr>
        <w:t xml:space="preserve"> وإقامتهم فيها وخروجهم منها وإبعادهم عنها. وتلاحظ مع التقدير أنه من بين ما مجموعه حوالي </w:t>
      </w:r>
      <w:r w:rsidRPr="009F3E84">
        <w:rPr>
          <w:rtl/>
          <w:lang w:val="en-US"/>
        </w:rPr>
        <w:t>000</w:t>
      </w:r>
      <w:r w:rsidRPr="007935FF">
        <w:rPr>
          <w:rtl/>
          <w:lang w:val="en-US"/>
        </w:rPr>
        <w:t xml:space="preserve"> </w:t>
      </w:r>
      <w:r w:rsidRPr="009F3E84">
        <w:rPr>
          <w:rtl/>
          <w:lang w:val="en-US"/>
        </w:rPr>
        <w:t>29</w:t>
      </w:r>
      <w:r w:rsidRPr="007935FF">
        <w:rPr>
          <w:rtl/>
          <w:lang w:val="en-US"/>
        </w:rPr>
        <w:t xml:space="preserve"> أسرة، استفاد أكثر من </w:t>
      </w:r>
      <w:r w:rsidRPr="009F3E84">
        <w:rPr>
          <w:rtl/>
          <w:lang w:val="en-US"/>
        </w:rPr>
        <w:t>650</w:t>
      </w:r>
      <w:r w:rsidRPr="007935FF">
        <w:rPr>
          <w:rtl/>
          <w:lang w:val="en-US"/>
        </w:rPr>
        <w:t xml:space="preserve"> مهاجرا من دخل </w:t>
      </w:r>
      <w:r w:rsidRPr="00DC1988">
        <w:rPr>
          <w:spacing w:val="-4"/>
          <w:rtl/>
          <w:lang w:val="en-US"/>
        </w:rPr>
        <w:t xml:space="preserve">التضامن الاجتماعي، وأن </w:t>
      </w:r>
      <w:r w:rsidRPr="009F3E84">
        <w:rPr>
          <w:spacing w:val="-4"/>
          <w:rtl/>
          <w:lang w:val="en-US"/>
        </w:rPr>
        <w:t>300</w:t>
      </w:r>
      <w:r w:rsidRPr="00DC1988">
        <w:rPr>
          <w:spacing w:val="-4"/>
          <w:rtl/>
          <w:lang w:val="en-US"/>
        </w:rPr>
        <w:t xml:space="preserve"> </w:t>
      </w:r>
      <w:r w:rsidRPr="009F3E84">
        <w:rPr>
          <w:spacing w:val="-4"/>
          <w:rtl/>
          <w:lang w:val="en-US"/>
        </w:rPr>
        <w:t>1</w:t>
      </w:r>
      <w:r w:rsidRPr="00DC1988">
        <w:rPr>
          <w:spacing w:val="-4"/>
          <w:rtl/>
          <w:lang w:val="en-US"/>
        </w:rPr>
        <w:t xml:space="preserve"> مهاجر استفادوا من الحد الأدنى لدخل الإدماج الاجتماعي ودخل الطوارئ الاجتماعية، الذي اعتُمد خلال جائحة كوفيد-</w:t>
      </w:r>
      <w:r w:rsidRPr="009F3E84">
        <w:rPr>
          <w:spacing w:val="-4"/>
          <w:rtl/>
          <w:lang w:val="en-US"/>
        </w:rPr>
        <w:t>1</w:t>
      </w:r>
      <w:r w:rsidR="007D4D2B" w:rsidRPr="009F3E84">
        <w:rPr>
          <w:color w:val="000000"/>
          <w:spacing w:val="-4"/>
          <w:rtl/>
          <w:lang w:val="en-US"/>
        </w:rPr>
        <w:t>9</w:t>
      </w:r>
      <w:r w:rsidR="007D4D2B" w:rsidRPr="00DC1988">
        <w:rPr>
          <w:color w:val="000000"/>
          <w:spacing w:val="-4"/>
          <w:rtl/>
          <w:lang w:val="en-US"/>
        </w:rPr>
        <w:t xml:space="preserve">. </w:t>
      </w:r>
      <w:r w:rsidRPr="00DC1988">
        <w:rPr>
          <w:spacing w:val="-4"/>
          <w:rtl/>
          <w:lang w:val="en-US"/>
        </w:rPr>
        <w:t xml:space="preserve">وتلاحظ اللجنة كذلك أن </w:t>
      </w:r>
      <w:r w:rsidR="00972938" w:rsidRPr="00DC1988">
        <w:rPr>
          <w:spacing w:val="-4"/>
          <w:rtl/>
          <w:lang w:val="en-US"/>
        </w:rPr>
        <w:t>كابو فيردي</w:t>
      </w:r>
      <w:r w:rsidRPr="00DC1988">
        <w:rPr>
          <w:spacing w:val="-4"/>
          <w:rtl/>
          <w:lang w:val="en-US"/>
        </w:rPr>
        <w:t xml:space="preserve"> صدقت على اتفاقية منظمة العمل الدولية للضمان الاجتماعي (المعايير الدنيا</w:t>
      </w:r>
      <w:r w:rsidR="007D4D2B" w:rsidRPr="00DC1988">
        <w:rPr>
          <w:color w:val="000000"/>
          <w:spacing w:val="-4"/>
          <w:rtl/>
          <w:lang w:val="en-US"/>
        </w:rPr>
        <w:t xml:space="preserve">)، </w:t>
      </w:r>
      <w:r w:rsidRPr="009F3E84">
        <w:rPr>
          <w:spacing w:val="-4"/>
          <w:rtl/>
          <w:lang w:val="en-US"/>
        </w:rPr>
        <w:t>1952</w:t>
      </w:r>
      <w:r w:rsidRPr="00DC1988">
        <w:rPr>
          <w:spacing w:val="-4"/>
          <w:rtl/>
          <w:lang w:val="en-US"/>
        </w:rPr>
        <w:t xml:space="preserve"> (رقم </w:t>
      </w:r>
      <w:r w:rsidRPr="009F3E84">
        <w:rPr>
          <w:spacing w:val="-4"/>
          <w:rtl/>
          <w:lang w:val="en-US"/>
        </w:rPr>
        <w:t>10</w:t>
      </w:r>
      <w:r w:rsidR="007D4D2B" w:rsidRPr="009F3E84">
        <w:rPr>
          <w:color w:val="000000"/>
          <w:spacing w:val="-4"/>
          <w:rtl/>
          <w:lang w:val="en-US"/>
        </w:rPr>
        <w:t>2</w:t>
      </w:r>
      <w:r w:rsidR="007D4D2B" w:rsidRPr="00DC1988">
        <w:rPr>
          <w:color w:val="000000"/>
          <w:spacing w:val="-4"/>
          <w:rtl/>
          <w:lang w:val="en-US"/>
        </w:rPr>
        <w:t xml:space="preserve">) </w:t>
      </w:r>
      <w:r w:rsidRPr="00DC1988">
        <w:rPr>
          <w:spacing w:val="-4"/>
          <w:rtl/>
          <w:lang w:val="en-US"/>
        </w:rPr>
        <w:t xml:space="preserve">في كانون الثاني/يناير </w:t>
      </w:r>
      <w:r w:rsidRPr="009F3E84">
        <w:rPr>
          <w:spacing w:val="-4"/>
          <w:rtl/>
          <w:lang w:val="en-US"/>
        </w:rPr>
        <w:t>2020</w:t>
      </w:r>
      <w:r w:rsidRPr="00DC1988">
        <w:rPr>
          <w:spacing w:val="-4"/>
          <w:rtl/>
          <w:lang w:val="en-US"/>
        </w:rPr>
        <w:t xml:space="preserve">، </w:t>
      </w:r>
      <w:r w:rsidRPr="00DC1988">
        <w:rPr>
          <w:spacing w:val="-6"/>
          <w:rtl/>
          <w:lang w:val="en-US"/>
        </w:rPr>
        <w:t>وقبلت أجزاءها الثالث والخامس والسابع، وفق</w:t>
      </w:r>
      <w:r w:rsidR="00DC1988">
        <w:rPr>
          <w:spacing w:val="-6"/>
          <w:rtl/>
          <w:lang w:val="en-US"/>
        </w:rPr>
        <w:t xml:space="preserve">اً </w:t>
      </w:r>
      <w:r w:rsidRPr="00DC1988">
        <w:rPr>
          <w:spacing w:val="-6"/>
          <w:rtl/>
          <w:lang w:val="en-US"/>
        </w:rPr>
        <w:t xml:space="preserve">للمادة </w:t>
      </w:r>
      <w:r w:rsidRPr="009F3E84">
        <w:rPr>
          <w:spacing w:val="-6"/>
          <w:rtl/>
          <w:lang w:val="en-US"/>
        </w:rPr>
        <w:t>2</w:t>
      </w:r>
      <w:r w:rsidRPr="00DC1988">
        <w:rPr>
          <w:spacing w:val="-6"/>
          <w:rtl/>
          <w:lang w:val="en-US"/>
        </w:rPr>
        <w:t>(أ) '</w:t>
      </w:r>
      <w:r w:rsidRPr="009F3E84">
        <w:rPr>
          <w:spacing w:val="-6"/>
          <w:rtl/>
          <w:lang w:val="en-US"/>
        </w:rPr>
        <w:t>2</w:t>
      </w:r>
      <w:r w:rsidRPr="00DC1988">
        <w:rPr>
          <w:spacing w:val="-6"/>
          <w:rtl/>
          <w:lang w:val="en-US"/>
        </w:rPr>
        <w:t>'</w:t>
      </w:r>
      <w:r w:rsidR="007F26E8" w:rsidRPr="00DC1988">
        <w:rPr>
          <w:spacing w:val="-6"/>
          <w:rtl/>
          <w:lang w:val="en-US"/>
        </w:rPr>
        <w:t xml:space="preserve"> و</w:t>
      </w:r>
      <w:r w:rsidRPr="00DC1988">
        <w:rPr>
          <w:spacing w:val="-6"/>
          <w:rtl/>
          <w:lang w:val="en-US"/>
        </w:rPr>
        <w:t>(ب) منها، ووقعت على اتفاقية الضمان الاجتماعي</w:t>
      </w:r>
      <w:r w:rsidRPr="00DC1988">
        <w:rPr>
          <w:spacing w:val="-4"/>
          <w:rtl/>
          <w:lang w:val="en-US"/>
        </w:rPr>
        <w:t xml:space="preserve"> </w:t>
      </w:r>
      <w:r w:rsidRPr="00DC1988">
        <w:rPr>
          <w:spacing w:val="-6"/>
          <w:rtl/>
          <w:lang w:val="en-US"/>
        </w:rPr>
        <w:t>المتعددة الأطراف لجماعة البلدان الناطقة باللغة البرتغالية وعلى اتفاقات تتعلق بالضمان الاجتماعي مع عدة بلدان</w:t>
      </w:r>
      <w:r w:rsidRPr="00DC1988">
        <w:rPr>
          <w:spacing w:val="-4"/>
          <w:rtl/>
          <w:lang w:val="en-US"/>
        </w:rPr>
        <w:t xml:space="preserve"> من الاتحاد الأوروبي ومع أنغولا والسنغال، وهي اتفاقات تشمل آليات استعراض دوري على المستويات الفنية.</w:t>
      </w:r>
      <w:r w:rsidRPr="007935FF">
        <w:rPr>
          <w:rtl/>
          <w:lang w:val="en-US"/>
        </w:rPr>
        <w:t xml:space="preserve"> ومع ذلك، يساور اللجنة القلق إزاء المعلومات التي قدمتها الدولة الطرف والتي تفيد بأنها لم تسجل حتى الآن سوى </w:t>
      </w:r>
      <w:r w:rsidRPr="009F3E84">
        <w:rPr>
          <w:rtl/>
          <w:lang w:val="en-US"/>
        </w:rPr>
        <w:t>389</w:t>
      </w:r>
      <w:r w:rsidRPr="007935FF">
        <w:rPr>
          <w:rtl/>
          <w:lang w:val="en-US"/>
        </w:rPr>
        <w:t xml:space="preserve"> </w:t>
      </w:r>
      <w:r w:rsidRPr="009F3E84">
        <w:rPr>
          <w:rtl/>
          <w:lang w:val="en-US"/>
        </w:rPr>
        <w:t>5</w:t>
      </w:r>
      <w:r w:rsidRPr="007935FF">
        <w:rPr>
          <w:rtl/>
          <w:lang w:val="en-US"/>
        </w:rPr>
        <w:t xml:space="preserve"> عامل</w:t>
      </w:r>
      <w:r w:rsidR="00DC1988">
        <w:rPr>
          <w:rtl/>
          <w:lang w:val="en-US"/>
        </w:rPr>
        <w:t xml:space="preserve">اً </w:t>
      </w:r>
      <w:r w:rsidRPr="007935FF">
        <w:rPr>
          <w:rtl/>
          <w:lang w:val="en-US"/>
        </w:rPr>
        <w:t>مهاجر</w:t>
      </w:r>
      <w:r w:rsidR="00DC1988">
        <w:rPr>
          <w:rtl/>
          <w:lang w:val="en-US"/>
        </w:rPr>
        <w:t xml:space="preserve">اً </w:t>
      </w:r>
      <w:r w:rsidRPr="007935FF">
        <w:rPr>
          <w:rtl/>
          <w:lang w:val="en-US"/>
        </w:rPr>
        <w:t>أجنبي</w:t>
      </w:r>
      <w:r w:rsidR="00DC1988">
        <w:rPr>
          <w:rtl/>
          <w:lang w:val="en-US"/>
        </w:rPr>
        <w:t xml:space="preserve">اً </w:t>
      </w:r>
      <w:r w:rsidRPr="007935FF">
        <w:rPr>
          <w:rtl/>
          <w:lang w:val="en-US"/>
        </w:rPr>
        <w:t>في السجل الاجتماعي الموحد، وإزاء التقارير التي تفيد بأن بعض الشركات الخاصة لا تسجل عمالها المهاجرين وتخصم مستحقات الضمان الاجتماعي. وتأسف اللجنة لأن الدولة الطرف لم توقع على الاتفاقية المتعددة الأطراف المتعلقة بالضمان الاجتماعي الصادرة عن مؤتمر البلدان الأفريقية المعني بالرعاية الاجتماعية.</w:t>
      </w:r>
    </w:p>
    <w:p w14:paraId="508B4215" w14:textId="16096A89" w:rsidR="007935FF" w:rsidRPr="009F3E84" w:rsidRDefault="007935FF" w:rsidP="007935FF">
      <w:pPr>
        <w:pStyle w:val="SingleTxtGA"/>
        <w:rPr>
          <w:b/>
          <w:bCs/>
          <w:lang w:val="en-US"/>
        </w:rPr>
      </w:pPr>
      <w:r w:rsidRPr="009F3E84">
        <w:rPr>
          <w:rtl/>
          <w:lang w:val="en-US"/>
        </w:rPr>
        <w:lastRenderedPageBreak/>
        <w:t>50</w:t>
      </w:r>
      <w:r w:rsidRPr="007935FF">
        <w:rPr>
          <w:rtl/>
          <w:lang w:val="en-US"/>
        </w:rPr>
        <w:t>-</w:t>
      </w:r>
      <w:r w:rsidRPr="007935FF">
        <w:rPr>
          <w:rtl/>
          <w:lang w:val="en-US"/>
        </w:rPr>
        <w:tab/>
      </w:r>
      <w:r w:rsidRPr="009F3E84">
        <w:rPr>
          <w:b/>
          <w:bCs/>
          <w:rtl/>
          <w:lang w:val="en-US"/>
        </w:rPr>
        <w:t>تشير اللجنة إلى ملاحظاتها الختامية السابقة</w:t>
      </w:r>
      <w:r w:rsidR="007D4D2B" w:rsidRPr="009F3E84">
        <w:rPr>
          <w:rStyle w:val="FootnoteReference"/>
          <w:b/>
          <w:bCs/>
          <w:szCs w:val="22"/>
          <w:rtl/>
          <w:lang w:val="en-US"/>
        </w:rPr>
        <w:t>(</w:t>
      </w:r>
      <w:r w:rsidR="007D4D2B" w:rsidRPr="009F3E84">
        <w:rPr>
          <w:rStyle w:val="FootnoteReference"/>
          <w:b/>
          <w:bCs/>
          <w:szCs w:val="22"/>
          <w:lang w:val="en-US"/>
        </w:rPr>
        <w:footnoteReference w:id="15"/>
      </w:r>
      <w:r w:rsidR="007D4D2B" w:rsidRPr="009F3E84">
        <w:rPr>
          <w:b/>
          <w:bCs/>
          <w:color w:val="000000"/>
          <w:vertAlign w:val="superscript"/>
          <w:rtl/>
          <w:lang w:val="en-US"/>
        </w:rPr>
        <w:t>)</w:t>
      </w:r>
      <w:r w:rsidR="007D4D2B" w:rsidRPr="009F3E84">
        <w:rPr>
          <w:b/>
          <w:bCs/>
          <w:color w:val="000000"/>
          <w:rtl/>
          <w:lang w:val="en-US"/>
        </w:rPr>
        <w:t>،</w:t>
      </w:r>
      <w:r w:rsidR="007D4D2B" w:rsidRPr="009F3E84">
        <w:rPr>
          <w:b/>
          <w:bCs/>
          <w:color w:val="000000"/>
          <w:rtl/>
          <w:lang w:val="en-US"/>
        </w:rPr>
        <w:t xml:space="preserve"> </w:t>
      </w:r>
      <w:r w:rsidRPr="009F3E84">
        <w:rPr>
          <w:b/>
          <w:bCs/>
          <w:rtl/>
          <w:lang w:val="en-US"/>
        </w:rPr>
        <w:t>وتوصي الدولة الطرف بما يلي:</w:t>
      </w:r>
    </w:p>
    <w:p w14:paraId="4C936CC2" w14:textId="16028D4F" w:rsidR="007935FF" w:rsidRPr="009F3E84" w:rsidRDefault="00B160EB" w:rsidP="007935FF">
      <w:pPr>
        <w:pStyle w:val="SingleTxtGA"/>
        <w:rPr>
          <w:b/>
          <w:bCs/>
          <w:lang w:val="en-US"/>
        </w:rPr>
      </w:pPr>
      <w:r w:rsidRPr="00B160EB">
        <w:rPr>
          <w:rtl/>
          <w:lang w:val="en-US"/>
        </w:rPr>
        <w:tab/>
        <w:t>(أ)</w:t>
      </w:r>
      <w:r w:rsidRPr="00B160EB">
        <w:rPr>
          <w:rtl/>
          <w:lang w:val="en-US"/>
        </w:rPr>
        <w:tab/>
      </w:r>
      <w:r w:rsidR="007935FF" w:rsidRPr="009F3E84">
        <w:rPr>
          <w:b/>
          <w:bCs/>
          <w:rtl/>
          <w:lang w:val="en-US"/>
        </w:rPr>
        <w:t xml:space="preserve">ضمان أن يتمكن جميع العمال المهاجرين وأفراد أسرهم، بصرف النظر عن وضعهم من حيث الهجرة، من الاشتراك في نظم الضمان الاجتماعي على أساس المساواة في المعاملة مع العمال من مواطني </w:t>
      </w:r>
      <w:r w:rsidR="00972938" w:rsidRPr="009F3E84">
        <w:rPr>
          <w:b/>
          <w:bCs/>
          <w:rtl/>
          <w:lang w:val="en-US"/>
        </w:rPr>
        <w:t>كابو فيردي</w:t>
      </w:r>
      <w:r w:rsidR="007935FF" w:rsidRPr="009F3E84">
        <w:rPr>
          <w:b/>
          <w:bCs/>
          <w:rtl/>
          <w:lang w:val="en-US"/>
        </w:rPr>
        <w:t>، بما في ذلك في قطاعات الاقتصاد غير النظامي، وأن يكونوا على علم بحقوقهم في هذا الصدد،</w:t>
      </w:r>
      <w:r w:rsidR="007F26E8" w:rsidRPr="009F3E84">
        <w:rPr>
          <w:b/>
          <w:bCs/>
          <w:rtl/>
          <w:lang w:val="en-US"/>
        </w:rPr>
        <w:t xml:space="preserve"> </w:t>
      </w:r>
      <w:r w:rsidR="007935FF" w:rsidRPr="009F3E84">
        <w:rPr>
          <w:b/>
          <w:bCs/>
          <w:rtl/>
          <w:lang w:val="en-US"/>
        </w:rPr>
        <w:t xml:space="preserve">بما في ذلك من خلال مواصلة حملات التوعية ذات الصلة التي تنظمها الهيئة العليا للهجرة بالشراكة مع المؤسسة الوطنية للضمان الاجتماعي؛ </w:t>
      </w:r>
    </w:p>
    <w:p w14:paraId="476E5FB5" w14:textId="3ADE7496" w:rsidR="007935FF" w:rsidRPr="009F3E84" w:rsidRDefault="00B160EB" w:rsidP="007935FF">
      <w:pPr>
        <w:pStyle w:val="SingleTxtGA"/>
        <w:rPr>
          <w:b/>
          <w:bCs/>
          <w:lang w:val="en-US"/>
        </w:rPr>
      </w:pPr>
      <w:r w:rsidRPr="00B160EB">
        <w:rPr>
          <w:rtl/>
          <w:lang w:val="en-US"/>
        </w:rPr>
        <w:tab/>
        <w:t>(ب)</w:t>
      </w:r>
      <w:r w:rsidRPr="00B160EB">
        <w:rPr>
          <w:rtl/>
          <w:lang w:val="en-US"/>
        </w:rPr>
        <w:tab/>
      </w:r>
      <w:r w:rsidR="007935FF" w:rsidRPr="009F3E84">
        <w:rPr>
          <w:rFonts w:ascii="Times New Roman Bold" w:hAnsi="Times New Roman Bold"/>
          <w:b/>
          <w:bCs/>
          <w:spacing w:val="-2"/>
          <w:rtl/>
          <w:lang w:val="en-US"/>
        </w:rPr>
        <w:t>مواصلة إبرام ورصد تنفيذ اتفاقات الضمان الاجتماعي الثنائية والمتعددة الأطراف مع</w:t>
      </w:r>
      <w:r w:rsidR="007935FF" w:rsidRPr="009F3E84">
        <w:rPr>
          <w:b/>
          <w:bCs/>
          <w:rtl/>
          <w:lang w:val="en-US"/>
        </w:rPr>
        <w:t xml:space="preserve"> </w:t>
      </w:r>
      <w:r w:rsidR="007935FF" w:rsidRPr="009F3E84">
        <w:rPr>
          <w:rFonts w:ascii="Times New Roman Bold" w:hAnsi="Times New Roman Bold"/>
          <w:b/>
          <w:bCs/>
          <w:spacing w:val="-3"/>
          <w:rtl/>
          <w:lang w:val="en-US"/>
        </w:rPr>
        <w:t>جميع بلدان المقصد، على النحو الذي بينته الدولة الطرف أثناء الحوار البناء، على أن تنص هذه الاتفاقات</w:t>
      </w:r>
      <w:r w:rsidR="007935FF" w:rsidRPr="009F3E84">
        <w:rPr>
          <w:b/>
          <w:bCs/>
          <w:rtl/>
          <w:lang w:val="en-US"/>
        </w:rPr>
        <w:t xml:space="preserve"> على حماية حقوق الإنسان للعمال المهاجرين، بما في ذلك الحق في الضمان الاجتماعي، وأن تتضمن آليات رصد واستعراض تراعي المنظور الجنساني؛</w:t>
      </w:r>
    </w:p>
    <w:p w14:paraId="3E1D3B45" w14:textId="1FFE5D99" w:rsidR="007935FF" w:rsidRPr="009F3E84" w:rsidRDefault="00B160EB" w:rsidP="007935FF">
      <w:pPr>
        <w:pStyle w:val="SingleTxtGA"/>
        <w:rPr>
          <w:b/>
          <w:bCs/>
          <w:lang w:val="en-US"/>
        </w:rPr>
      </w:pPr>
      <w:r w:rsidRPr="00B160EB">
        <w:rPr>
          <w:rtl/>
          <w:lang w:val="en-US"/>
        </w:rPr>
        <w:tab/>
        <w:t>(ج)</w:t>
      </w:r>
      <w:r w:rsidRPr="00B160EB">
        <w:rPr>
          <w:rtl/>
          <w:lang w:val="en-US"/>
        </w:rPr>
        <w:tab/>
      </w:r>
      <w:r w:rsidR="007935FF" w:rsidRPr="009F3E84">
        <w:rPr>
          <w:b/>
          <w:bCs/>
          <w:rtl/>
          <w:lang w:val="en-US"/>
        </w:rPr>
        <w:t>النظر في التوقيع على الاتفاقية المتعددة الأطراف المتعلقة بالضمان الاجتماعي الصادرة عن مؤتمر البلدان الأفريقية المعني بالرعاية الاجتماعية، نظر</w:t>
      </w:r>
      <w:r w:rsidR="00DC1988" w:rsidRPr="009F3E84">
        <w:rPr>
          <w:b/>
          <w:bCs/>
          <w:rtl/>
          <w:lang w:val="en-US"/>
        </w:rPr>
        <w:t xml:space="preserve">اً </w:t>
      </w:r>
      <w:r w:rsidR="007935FF" w:rsidRPr="009F3E84">
        <w:rPr>
          <w:b/>
          <w:bCs/>
          <w:rtl/>
          <w:lang w:val="en-US"/>
        </w:rPr>
        <w:t>لقرب الدولة الطرف من بلدان غرب أفريقيا ولتدفقات الهجرة المرتبطة بذلك.</w:t>
      </w:r>
    </w:p>
    <w:p w14:paraId="0277932C" w14:textId="77777777" w:rsidR="007935FF" w:rsidRPr="009F3E84" w:rsidRDefault="007935FF" w:rsidP="00AF4F2D">
      <w:pPr>
        <w:pStyle w:val="H23GA"/>
      </w:pPr>
      <w:r w:rsidRPr="009F3E84">
        <w:rPr>
          <w:rtl/>
        </w:rPr>
        <w:tab/>
      </w:r>
      <w:r w:rsidRPr="009F3E84">
        <w:rPr>
          <w:rtl/>
        </w:rPr>
        <w:tab/>
        <w:t xml:space="preserve">الرعاية الطبية والتعليم </w:t>
      </w:r>
    </w:p>
    <w:p w14:paraId="4055AEF0" w14:textId="44DA8755" w:rsidR="007935FF" w:rsidRPr="007935FF" w:rsidRDefault="007935FF" w:rsidP="007935FF">
      <w:pPr>
        <w:pStyle w:val="SingleTxtGA"/>
        <w:rPr>
          <w:lang w:val="en-US"/>
        </w:rPr>
      </w:pPr>
      <w:r w:rsidRPr="009F3E84">
        <w:rPr>
          <w:rtl/>
          <w:lang w:val="en-US"/>
        </w:rPr>
        <w:t>51</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 xml:space="preserve">بتأكيدات الدولة الطرف ومفادها أن جميع العمال المهاجرين وأفراد أسرهم، بصرف النظر عن وضعهم من حيث الهجرة، يحصلون على التعليم، وقد استفادوا من إعفاءات أو إعانات </w:t>
      </w:r>
      <w:r w:rsidRPr="00DC1988">
        <w:rPr>
          <w:spacing w:val="-2"/>
          <w:rtl/>
          <w:lang w:val="en-US"/>
        </w:rPr>
        <w:t>فيما يتعلق بالرسوم المدرسية للتعليم قبل المدرسي والتعليم الابتدائي والثانوي أثناء جائحة كوفيد-</w:t>
      </w:r>
      <w:r w:rsidRPr="009F3E84">
        <w:rPr>
          <w:spacing w:val="-2"/>
          <w:rtl/>
          <w:lang w:val="en-US"/>
        </w:rPr>
        <w:t>19</w:t>
      </w:r>
      <w:r w:rsidRPr="00DC1988">
        <w:rPr>
          <w:spacing w:val="-2"/>
          <w:rtl/>
          <w:lang w:val="en-US"/>
        </w:rPr>
        <w:t xml:space="preserve"> وبالرعاية</w:t>
      </w:r>
      <w:r w:rsidRPr="007935FF">
        <w:rPr>
          <w:rtl/>
          <w:lang w:val="en-US"/>
        </w:rPr>
        <w:t xml:space="preserve"> الطبية الطارئة. بيد أن اللجنة تشعر بالقلق إزاء عدم وجود ضمانات قانونية مقابلة، لأن المادة </w:t>
      </w:r>
      <w:r w:rsidRPr="009F3E84">
        <w:rPr>
          <w:rtl/>
          <w:lang w:val="en-US"/>
        </w:rPr>
        <w:t>65</w:t>
      </w:r>
      <w:r w:rsidRPr="007935FF">
        <w:rPr>
          <w:rtl/>
          <w:lang w:val="en-US"/>
        </w:rPr>
        <w:t xml:space="preserve"> من </w:t>
      </w:r>
      <w:r w:rsidRPr="00DC1988">
        <w:rPr>
          <w:spacing w:val="-2"/>
          <w:rtl/>
          <w:lang w:val="en-US"/>
        </w:rPr>
        <w:t xml:space="preserve">القانون المتعلق بدخول الرعايا الأجانب إلى </w:t>
      </w:r>
      <w:r w:rsidR="00972938" w:rsidRPr="00DC1988">
        <w:rPr>
          <w:spacing w:val="-2"/>
          <w:rtl/>
          <w:lang w:val="en-US"/>
        </w:rPr>
        <w:t>كابو فيردي</w:t>
      </w:r>
      <w:r w:rsidRPr="00DC1988">
        <w:rPr>
          <w:spacing w:val="-2"/>
          <w:rtl/>
          <w:lang w:val="en-US"/>
        </w:rPr>
        <w:t xml:space="preserve"> وإقامتهم فيها وخروجهم منها وإبعادهم عنها لا تمنح</w:t>
      </w:r>
      <w:r w:rsidRPr="007935FF">
        <w:rPr>
          <w:rtl/>
          <w:lang w:val="en-US"/>
        </w:rPr>
        <w:t xml:space="preserve"> هذه الحقوق إلا للعمال المهاجرين وأفراد أسرهم النظاميين. ويساور اللجنة القلق كذلك إزاء التقارير التي تفيد برفض تقديم الرعاية الطبية للعمال المهاجرين وأفراد أسرهم غير النظاميين.</w:t>
      </w:r>
    </w:p>
    <w:p w14:paraId="6F47527F" w14:textId="48738042" w:rsidR="007935FF" w:rsidRPr="009F3E84" w:rsidRDefault="007935FF" w:rsidP="007935FF">
      <w:pPr>
        <w:pStyle w:val="SingleTxtGA"/>
        <w:rPr>
          <w:b/>
          <w:bCs/>
          <w:lang w:val="en-US"/>
        </w:rPr>
      </w:pPr>
      <w:r w:rsidRPr="009F3E84">
        <w:rPr>
          <w:rtl/>
          <w:lang w:val="en-US"/>
        </w:rPr>
        <w:t>52</w:t>
      </w:r>
      <w:r w:rsidRPr="007935FF">
        <w:rPr>
          <w:rtl/>
          <w:lang w:val="en-US"/>
        </w:rPr>
        <w:t>-</w:t>
      </w:r>
      <w:r w:rsidRPr="007935FF">
        <w:rPr>
          <w:rtl/>
          <w:lang w:val="en-US"/>
        </w:rPr>
        <w:tab/>
      </w:r>
      <w:r w:rsidRPr="009F3E84">
        <w:rPr>
          <w:b/>
          <w:bCs/>
          <w:rtl/>
          <w:lang w:val="en-US"/>
        </w:rPr>
        <w:t>تمشياً مع التعليقين العامين المشتركين رقم 3 ورقم 4(201</w:t>
      </w:r>
      <w:r w:rsidR="007D4D2B" w:rsidRPr="009F3E84">
        <w:rPr>
          <w:b/>
          <w:bCs/>
          <w:color w:val="000000"/>
          <w:rtl/>
          <w:lang w:val="en-US"/>
        </w:rPr>
        <w:t xml:space="preserve">7) </w:t>
      </w:r>
      <w:r w:rsidRPr="009F3E84">
        <w:rPr>
          <w:b/>
          <w:bCs/>
          <w:rtl/>
          <w:lang w:val="en-US"/>
        </w:rPr>
        <w:t xml:space="preserve">للجنة المعنية بحماية حقوق </w:t>
      </w:r>
      <w:r w:rsidRPr="009F3E84">
        <w:rPr>
          <w:rFonts w:ascii="Times New Roman Bold" w:hAnsi="Times New Roman Bold"/>
          <w:b/>
          <w:bCs/>
          <w:spacing w:val="-2"/>
          <w:rtl/>
          <w:lang w:val="en-US"/>
        </w:rPr>
        <w:t>جميع العمال المهاجرين وأفراد أسرهم/رقم 22 ورقم 23 للجنة حقوق الطفل، ووفقاً للغاية 4-1 من أهداف</w:t>
      </w:r>
      <w:r w:rsidRPr="009F3E84">
        <w:rPr>
          <w:b/>
          <w:bCs/>
          <w:rtl/>
          <w:lang w:val="en-US"/>
        </w:rPr>
        <w:t xml:space="preserve"> التنمية المستدامة، فإنها تحث الدولة الطرف على القيام بما يلي:</w:t>
      </w:r>
    </w:p>
    <w:p w14:paraId="32739329" w14:textId="2BF53F50" w:rsidR="007935FF" w:rsidRPr="009F3E84" w:rsidRDefault="00B160EB" w:rsidP="007935FF">
      <w:pPr>
        <w:pStyle w:val="SingleTxtGA"/>
        <w:rPr>
          <w:b/>
          <w:bCs/>
          <w:lang w:val="en-US"/>
        </w:rPr>
      </w:pPr>
      <w:r w:rsidRPr="00B160EB">
        <w:rPr>
          <w:rtl/>
          <w:lang w:val="en-US"/>
        </w:rPr>
        <w:tab/>
        <w:t>(أ)</w:t>
      </w:r>
      <w:r w:rsidRPr="00B160EB">
        <w:rPr>
          <w:rtl/>
          <w:lang w:val="en-US"/>
        </w:rPr>
        <w:tab/>
      </w:r>
      <w:r w:rsidR="007935FF" w:rsidRPr="009F3E84">
        <w:rPr>
          <w:b/>
          <w:bCs/>
          <w:rtl/>
          <w:lang w:val="en-US"/>
        </w:rPr>
        <w:t>اتخاذ جميع التدابير اللازمة، بما في ذلك من خلال اعتماد تعديلات تشريعية، لضمان وصول جميع العمال المهاجرين وأفراد أسرهم، بمن فيهم غير النظاميين، إلى نظام الرعاية الصحية والتمتع بالحق القانوني في التعليم قبل المدرسي والابتدائي والثانوي على أساس المساواة في المعاملة مع مواطني الدولة الطرف وفي الوصول إليه عملي</w:t>
      </w:r>
      <w:r w:rsidR="00075809" w:rsidRPr="009F3E84">
        <w:rPr>
          <w:b/>
          <w:bCs/>
          <w:rtl/>
          <w:lang w:val="en-US"/>
        </w:rPr>
        <w:t>اً؛</w:t>
      </w:r>
    </w:p>
    <w:p w14:paraId="12F7A6AD" w14:textId="3477F4C7" w:rsidR="007935FF" w:rsidRPr="009F3E84" w:rsidRDefault="00B160EB" w:rsidP="007935FF">
      <w:pPr>
        <w:pStyle w:val="SingleTxtGA"/>
        <w:rPr>
          <w:b/>
          <w:bCs/>
          <w:lang w:val="en-US"/>
        </w:rPr>
      </w:pPr>
      <w:r w:rsidRPr="00B160EB">
        <w:rPr>
          <w:rtl/>
          <w:lang w:val="en-US"/>
        </w:rPr>
        <w:tab/>
        <w:t>(ب)</w:t>
      </w:r>
      <w:r w:rsidRPr="00B160EB">
        <w:rPr>
          <w:rtl/>
          <w:lang w:val="en-US"/>
        </w:rPr>
        <w:tab/>
      </w:r>
      <w:r w:rsidR="007935FF" w:rsidRPr="009F3E84">
        <w:rPr>
          <w:b/>
          <w:bCs/>
          <w:rtl/>
          <w:lang w:val="en-US"/>
        </w:rPr>
        <w:t>إنشاء آلية تضمن عدم استخدام تُستخدم المعلومات الشخصية التي يقدمها المهاجرون عند تسجيلهم لدى مؤسسات الرعاية الصحية والمؤسسات</w:t>
      </w:r>
      <w:r w:rsidR="007F26E8" w:rsidRPr="009F3E84">
        <w:rPr>
          <w:b/>
          <w:bCs/>
          <w:rtl/>
          <w:lang w:val="en-US"/>
        </w:rPr>
        <w:t xml:space="preserve"> </w:t>
      </w:r>
      <w:r w:rsidR="007935FF" w:rsidRPr="009F3E84">
        <w:rPr>
          <w:b/>
          <w:bCs/>
          <w:rtl/>
          <w:lang w:val="en-US"/>
        </w:rPr>
        <w:t>التعليمية وغيرها من الخدمات الاجتماعية ضدهم لغرض الإبلاغ عنهم أو التمييز ضدهم على أساس جنسيتهم أو أصلهم أو لكونهم مهاجرين غير نظاميين.</w:t>
      </w:r>
    </w:p>
    <w:p w14:paraId="41C1ED20" w14:textId="77777777" w:rsidR="007935FF" w:rsidRPr="009F3E84" w:rsidRDefault="007935FF" w:rsidP="00B83204">
      <w:pPr>
        <w:pStyle w:val="H23GA"/>
      </w:pPr>
      <w:r w:rsidRPr="009F3E84">
        <w:rPr>
          <w:rtl/>
        </w:rPr>
        <w:lastRenderedPageBreak/>
        <w:tab/>
      </w:r>
      <w:r w:rsidRPr="009F3E84">
        <w:rPr>
          <w:rtl/>
        </w:rPr>
        <w:tab/>
        <w:t>تسجيل المواليد والجنسيّة</w:t>
      </w:r>
    </w:p>
    <w:p w14:paraId="47B2B9E5" w14:textId="4BAAB792" w:rsidR="007935FF" w:rsidRPr="007935FF" w:rsidRDefault="007935FF" w:rsidP="00AF4F2D">
      <w:pPr>
        <w:pStyle w:val="SingleTxtGA"/>
        <w:spacing w:line="350" w:lineRule="exact"/>
        <w:rPr>
          <w:lang w:val="en-US"/>
        </w:rPr>
      </w:pPr>
      <w:r w:rsidRPr="009F3E84">
        <w:rPr>
          <w:rtl/>
          <w:lang w:val="en-US"/>
        </w:rPr>
        <w:t>53</w:t>
      </w:r>
      <w:r w:rsidRPr="007935FF">
        <w:rPr>
          <w:rtl/>
          <w:lang w:val="en-US"/>
        </w:rPr>
        <w:t>-</w:t>
      </w:r>
      <w:r w:rsidRPr="007935FF">
        <w:rPr>
          <w:rtl/>
          <w:lang w:val="en-US"/>
        </w:rPr>
        <w:tab/>
        <w:t>ترحب اللجنة بالتدابير التي اتخذتها الدولة الطرف لزيادة معدل تسجيل المواليد، وتحيط</w:t>
      </w:r>
      <w:r w:rsidR="00EA4188">
        <w:rPr>
          <w:rtl/>
          <w:lang w:val="en-US"/>
        </w:rPr>
        <w:t xml:space="preserve"> علماً </w:t>
      </w:r>
      <w:r w:rsidRPr="007935FF">
        <w:rPr>
          <w:rtl/>
          <w:lang w:val="en-US"/>
        </w:rPr>
        <w:t xml:space="preserve">بالتوصية التي قدمها المجلس الوطني للهجرة في عام </w:t>
      </w:r>
      <w:r w:rsidRPr="009F3E84">
        <w:rPr>
          <w:rtl/>
          <w:lang w:val="en-US"/>
        </w:rPr>
        <w:t>2021</w:t>
      </w:r>
      <w:r w:rsidRPr="007935FF">
        <w:rPr>
          <w:rtl/>
          <w:lang w:val="en-US"/>
        </w:rPr>
        <w:t xml:space="preserve"> بتيسير حصول أطفال المهاجرين المولودين في إقليم الدولة على جنسية </w:t>
      </w:r>
      <w:r w:rsidR="00972938">
        <w:rPr>
          <w:rtl/>
          <w:lang w:val="en-US"/>
        </w:rPr>
        <w:t>كابو فيردي</w:t>
      </w:r>
      <w:r w:rsidRPr="007935FF">
        <w:rPr>
          <w:rtl/>
          <w:lang w:val="en-US"/>
        </w:rPr>
        <w:t xml:space="preserve">، بوسائل منها تخفيف شرط إقامة أحد الوالدين على الأقل بانتظام </w:t>
      </w:r>
      <w:r w:rsidRPr="00AF4F2D">
        <w:rPr>
          <w:spacing w:val="-2"/>
          <w:rtl/>
          <w:lang w:val="en-US"/>
        </w:rPr>
        <w:t>في الدولة الطرف من خمس سنوات إلى ثلاث سنوات، وهو أمر ينظر فيه البرلمان حالي</w:t>
      </w:r>
      <w:r w:rsidR="00075809" w:rsidRPr="00AF4F2D">
        <w:rPr>
          <w:spacing w:val="-2"/>
          <w:rtl/>
          <w:lang w:val="en-US"/>
        </w:rPr>
        <w:t>اً.</w:t>
      </w:r>
      <w:r w:rsidRPr="00AF4F2D">
        <w:rPr>
          <w:spacing w:val="-2"/>
          <w:rtl/>
          <w:lang w:val="en-US"/>
        </w:rPr>
        <w:t xml:space="preserve"> لكن اللجنة تشعر بالقلق إزاء التقارير التي تفيد بأن الأطفال، بمن فيهم الأطفال غير النظاميين الذين لم يولدوا في مستشفيات</w:t>
      </w:r>
      <w:r w:rsidRPr="007935FF">
        <w:rPr>
          <w:rtl/>
          <w:lang w:val="en-US"/>
        </w:rPr>
        <w:t>، قد لا يسجلون، وأن الدولة الطرف ليست طرف</w:t>
      </w:r>
      <w:r w:rsidR="00DC1988">
        <w:rPr>
          <w:rtl/>
          <w:lang w:val="en-US"/>
        </w:rPr>
        <w:t xml:space="preserve">اً </w:t>
      </w:r>
      <w:r w:rsidRPr="007935FF">
        <w:rPr>
          <w:rtl/>
          <w:lang w:val="en-US"/>
        </w:rPr>
        <w:t xml:space="preserve">في اتفاقية عام </w:t>
      </w:r>
      <w:r w:rsidRPr="009F3E84">
        <w:rPr>
          <w:rtl/>
          <w:lang w:val="en-US"/>
        </w:rPr>
        <w:t>1954</w:t>
      </w:r>
      <w:r w:rsidRPr="007935FF">
        <w:rPr>
          <w:rtl/>
          <w:lang w:val="en-US"/>
        </w:rPr>
        <w:t xml:space="preserve"> المتعلقة بوضع الأشخاص عديمي الجنسية أو اتفاقية عام </w:t>
      </w:r>
      <w:r w:rsidRPr="009F3E84">
        <w:rPr>
          <w:rtl/>
          <w:lang w:val="en-US"/>
        </w:rPr>
        <w:t>1961</w:t>
      </w:r>
      <w:r w:rsidRPr="007935FF">
        <w:rPr>
          <w:rtl/>
          <w:lang w:val="en-US"/>
        </w:rPr>
        <w:t xml:space="preserve"> المتعلقة بخفض حالات انعدام الجنسية.</w:t>
      </w:r>
    </w:p>
    <w:p w14:paraId="1176EA6A" w14:textId="77777777" w:rsidR="007935FF" w:rsidRPr="009F3E84" w:rsidRDefault="007935FF" w:rsidP="00AF4F2D">
      <w:pPr>
        <w:pStyle w:val="SingleTxtGA"/>
        <w:spacing w:line="350" w:lineRule="exact"/>
        <w:rPr>
          <w:b/>
          <w:bCs/>
          <w:lang w:val="en-US"/>
        </w:rPr>
      </w:pPr>
      <w:r w:rsidRPr="009F3E84">
        <w:rPr>
          <w:rtl/>
          <w:lang w:val="en-US"/>
        </w:rPr>
        <w:t>54</w:t>
      </w:r>
      <w:r w:rsidRPr="007935FF">
        <w:rPr>
          <w:rtl/>
          <w:lang w:val="en-US"/>
        </w:rPr>
        <w:t>-</w:t>
      </w:r>
      <w:r w:rsidRPr="007935FF">
        <w:rPr>
          <w:rtl/>
          <w:lang w:val="en-US"/>
        </w:rPr>
        <w:tab/>
      </w:r>
      <w:r w:rsidRPr="009F3E84">
        <w:rPr>
          <w:b/>
          <w:bCs/>
          <w:rtl/>
          <w:lang w:val="en-US"/>
        </w:rPr>
        <w:t>تمشياً مع التعليقين العامين المشتركين رقم 3 ورقم 4 للجنة المعنية بحماية حقوق جميع العمال المهاجرين وأفراد أسرهم/رقم 22 ورقم 23 للجنة حقوق الطفل، ووفقاً للغاية 16-9 من أهداف التنمية المستدامة، توصي اللجنة الدولة الطرف بما يلي:</w:t>
      </w:r>
    </w:p>
    <w:p w14:paraId="79719D61" w14:textId="652AD2FA" w:rsidR="007935FF" w:rsidRPr="009F3E84" w:rsidRDefault="00B160EB" w:rsidP="00AF4F2D">
      <w:pPr>
        <w:pStyle w:val="SingleTxtGA"/>
        <w:spacing w:line="350" w:lineRule="exact"/>
        <w:rPr>
          <w:b/>
          <w:bCs/>
          <w:lang w:val="en-US"/>
        </w:rPr>
      </w:pPr>
      <w:r w:rsidRPr="00B160EB">
        <w:rPr>
          <w:rtl/>
          <w:lang w:val="en-US"/>
        </w:rPr>
        <w:tab/>
        <w:t>(أ)</w:t>
      </w:r>
      <w:r w:rsidRPr="00B160EB">
        <w:rPr>
          <w:rtl/>
          <w:lang w:val="en-US"/>
        </w:rPr>
        <w:tab/>
      </w:r>
      <w:r w:rsidR="007935FF" w:rsidRPr="009F3E84">
        <w:rPr>
          <w:b/>
          <w:bCs/>
          <w:rtl/>
          <w:lang w:val="en-US"/>
        </w:rPr>
        <w:t xml:space="preserve">ضمان أن يتم تسجيل جميع أطفال عمال </w:t>
      </w:r>
      <w:r w:rsidR="00972938" w:rsidRPr="009F3E84">
        <w:rPr>
          <w:b/>
          <w:bCs/>
          <w:rtl/>
          <w:lang w:val="en-US"/>
        </w:rPr>
        <w:t>كابو فيردي</w:t>
      </w:r>
      <w:r w:rsidR="007935FF" w:rsidRPr="009F3E84">
        <w:rPr>
          <w:b/>
          <w:bCs/>
          <w:rtl/>
          <w:lang w:val="en-US"/>
        </w:rPr>
        <w:t xml:space="preserve"> المهاجرين في الخارج وجميع الأطفال المولودين في أراضي الدولة الطرف فور ولادتهم، ولا سيما فيما يتعلق بمواليد المهاجرين غير النظاميين وملتمسي اللجوء، وضمان إصدار وثائق هوية شخصية لهم، وتعزيز الوعي لدى آبائهم وأمهاتهم بأهمية تسجيل مواليدهم؛</w:t>
      </w:r>
    </w:p>
    <w:p w14:paraId="6F44959F" w14:textId="31F848E6" w:rsidR="007935FF" w:rsidRPr="009F3E84" w:rsidRDefault="00B160EB" w:rsidP="00AF4F2D">
      <w:pPr>
        <w:pStyle w:val="SingleTxtGA"/>
        <w:spacing w:line="350" w:lineRule="exact"/>
        <w:rPr>
          <w:b/>
          <w:bCs/>
          <w:lang w:val="en-US"/>
        </w:rPr>
      </w:pPr>
      <w:r w:rsidRPr="00B160EB">
        <w:rPr>
          <w:rtl/>
          <w:lang w:val="en-US"/>
        </w:rPr>
        <w:tab/>
        <w:t>(ب)</w:t>
      </w:r>
      <w:r w:rsidRPr="00B160EB">
        <w:rPr>
          <w:rtl/>
          <w:lang w:val="en-US"/>
        </w:rPr>
        <w:tab/>
      </w:r>
      <w:r w:rsidR="007935FF" w:rsidRPr="009F3E84">
        <w:rPr>
          <w:b/>
          <w:bCs/>
          <w:rtl/>
          <w:lang w:val="en-US"/>
        </w:rPr>
        <w:t xml:space="preserve">اتخاذ التدابير اللازمة، بما في ذلك التدابير التشريعية، لتيسير حصول مواليد العمال المهاجرين وأفراد أسرهم في الدولة الطرف على جنسية </w:t>
      </w:r>
      <w:r w:rsidR="00972938" w:rsidRPr="009F3E84">
        <w:rPr>
          <w:b/>
          <w:bCs/>
          <w:rtl/>
          <w:lang w:val="en-US"/>
        </w:rPr>
        <w:t>كابو فيردي</w:t>
      </w:r>
      <w:r w:rsidR="007935FF" w:rsidRPr="009F3E84">
        <w:rPr>
          <w:b/>
          <w:bCs/>
          <w:rtl/>
          <w:lang w:val="en-US"/>
        </w:rPr>
        <w:t>، ولا سيما بالنسبة لغير النظاميين منهم، لتفادي تعرضهم بأي شكل لخطر انعدام الجنسية؛</w:t>
      </w:r>
    </w:p>
    <w:p w14:paraId="31F05D58" w14:textId="43B0ADF5" w:rsidR="007935FF" w:rsidRPr="009F3E84" w:rsidRDefault="00B160EB" w:rsidP="00AF4F2D">
      <w:pPr>
        <w:pStyle w:val="SingleTxtGA"/>
        <w:spacing w:line="350" w:lineRule="exact"/>
        <w:rPr>
          <w:b/>
          <w:bCs/>
          <w:lang w:val="en-US"/>
        </w:rPr>
      </w:pPr>
      <w:r w:rsidRPr="00B160EB">
        <w:rPr>
          <w:rtl/>
          <w:lang w:val="en-US"/>
        </w:rPr>
        <w:tab/>
        <w:t>(ج)</w:t>
      </w:r>
      <w:r w:rsidRPr="00B160EB">
        <w:rPr>
          <w:rtl/>
          <w:lang w:val="en-US"/>
        </w:rPr>
        <w:tab/>
      </w:r>
      <w:r w:rsidR="007935FF" w:rsidRPr="009F3E84">
        <w:rPr>
          <w:b/>
          <w:bCs/>
          <w:rtl/>
          <w:lang w:val="en-US"/>
        </w:rPr>
        <w:t>التصديق على اتفاقية عام 1954 المتعلقة بمركز الأشخاص عديمي الجنسية، واتفاقية عام 1961 المتعلقة بخفض حالات انعدام الجنسية أو الانضمام إليها.</w:t>
      </w:r>
    </w:p>
    <w:p w14:paraId="2F25F57E" w14:textId="36272F1F" w:rsidR="007D4D2B" w:rsidRPr="009F3E84" w:rsidRDefault="00B83204" w:rsidP="00B83204">
      <w:pPr>
        <w:pStyle w:val="H23GA"/>
        <w:rPr>
          <w:rFonts w:ascii="Times New Roman Bold" w:hAnsi="Times New Roman Bold"/>
          <w:color w:val="000000"/>
          <w:spacing w:val="-4"/>
        </w:rPr>
      </w:pPr>
      <w:r w:rsidRPr="009F3E84">
        <w:rPr>
          <w:rFonts w:ascii="Times New Roman Bold" w:hAnsi="Times New Roman Bold"/>
          <w:spacing w:val="-4"/>
          <w:rtl/>
        </w:rPr>
        <w:tab/>
      </w:r>
      <w:r w:rsidR="007935FF" w:rsidRPr="009F3E84">
        <w:rPr>
          <w:rFonts w:ascii="Times New Roman Bold" w:hAnsi="Times New Roman Bold"/>
          <w:spacing w:val="-4"/>
          <w:rtl/>
        </w:rPr>
        <w:t>4-</w:t>
      </w:r>
      <w:r w:rsidR="007935FF" w:rsidRPr="009F3E84">
        <w:rPr>
          <w:rFonts w:ascii="Times New Roman Bold" w:hAnsi="Times New Roman Bold"/>
          <w:spacing w:val="-4"/>
          <w:rtl/>
        </w:rPr>
        <w:tab/>
        <w:t>التمتع بالحقوق الأخرى للعمّال المهاجرين وأفراد أسرهم الذين هم في وضع نظامي (المواد من 36 إلى 5</w:t>
      </w:r>
      <w:r w:rsidR="007D4D2B" w:rsidRPr="009F3E84">
        <w:rPr>
          <w:rFonts w:ascii="Times New Roman Bold" w:hAnsi="Times New Roman Bold"/>
          <w:color w:val="000000"/>
          <w:spacing w:val="-4"/>
          <w:rtl/>
        </w:rPr>
        <w:t>6)</w:t>
      </w:r>
    </w:p>
    <w:p w14:paraId="5AE98872" w14:textId="5E47C18E" w:rsidR="007935FF" w:rsidRPr="009F3E84" w:rsidRDefault="007935FF" w:rsidP="00B83204">
      <w:pPr>
        <w:pStyle w:val="H23GA"/>
      </w:pPr>
      <w:r w:rsidRPr="009F3E84">
        <w:rPr>
          <w:rtl/>
        </w:rPr>
        <w:tab/>
      </w:r>
      <w:r w:rsidRPr="009F3E84">
        <w:rPr>
          <w:rtl/>
        </w:rPr>
        <w:tab/>
        <w:t>ما قبل المغادرة والحق في الحصول على المعلومات</w:t>
      </w:r>
    </w:p>
    <w:p w14:paraId="4C2451DC" w14:textId="77777777" w:rsidR="007935FF" w:rsidRPr="007935FF" w:rsidRDefault="007935FF" w:rsidP="007935FF">
      <w:pPr>
        <w:pStyle w:val="SingleTxtGA"/>
        <w:rPr>
          <w:lang w:val="en-US"/>
        </w:rPr>
      </w:pPr>
      <w:r w:rsidRPr="009F3E84">
        <w:rPr>
          <w:rtl/>
          <w:lang w:val="en-US"/>
        </w:rPr>
        <w:t>55</w:t>
      </w:r>
      <w:r w:rsidRPr="007935FF">
        <w:rPr>
          <w:rtl/>
          <w:lang w:val="en-US"/>
        </w:rPr>
        <w:t>-</w:t>
      </w:r>
      <w:r w:rsidRPr="007935FF">
        <w:rPr>
          <w:rtl/>
          <w:lang w:val="en-US"/>
        </w:rPr>
        <w:tab/>
        <w:t xml:space="preserve">وتعرب اللجنة عن أسفها لأن البرنامج التجريبي المنشئ لمركز دعم المهاجرين في بلد المنشأ قد توقف ولم توضع أي برامج أخرى تحل محله لتوجيه المهاجرين قبل المغادرة. </w:t>
      </w:r>
    </w:p>
    <w:p w14:paraId="28653399" w14:textId="2F79B003" w:rsidR="007935FF" w:rsidRPr="007935FF" w:rsidRDefault="007935FF" w:rsidP="007935FF">
      <w:pPr>
        <w:pStyle w:val="SingleTxtGA"/>
        <w:rPr>
          <w:lang w:val="en-US"/>
        </w:rPr>
      </w:pPr>
      <w:r w:rsidRPr="009F3E84">
        <w:rPr>
          <w:rtl/>
          <w:lang w:val="en-US"/>
        </w:rPr>
        <w:t>56</w:t>
      </w:r>
      <w:r w:rsidRPr="007935FF">
        <w:rPr>
          <w:rtl/>
          <w:lang w:val="en-US"/>
        </w:rPr>
        <w:t>-</w:t>
      </w:r>
      <w:r w:rsidRPr="007935FF">
        <w:rPr>
          <w:rtl/>
          <w:lang w:val="en-US"/>
        </w:rPr>
        <w:tab/>
        <w:t>تذكر اللجنة بتوصياتها السابقة</w:t>
      </w:r>
      <w:r w:rsidR="007D4D2B">
        <w:rPr>
          <w:rStyle w:val="FootnoteReference"/>
          <w:szCs w:val="22"/>
          <w:rtl/>
          <w:lang w:val="en-US"/>
        </w:rPr>
        <w:t>(</w:t>
      </w:r>
      <w:r w:rsidR="007D4D2B" w:rsidRPr="009F3E84">
        <w:rPr>
          <w:rStyle w:val="FootnoteReference"/>
          <w:szCs w:val="22"/>
          <w:lang w:val="en-US"/>
        </w:rPr>
        <w:footnoteReference w:id="16"/>
      </w:r>
      <w:r w:rsidR="007D4D2B" w:rsidRPr="007D4D2B">
        <w:rPr>
          <w:color w:val="000000"/>
          <w:vertAlign w:val="superscript"/>
          <w:rtl/>
          <w:lang w:val="en-US"/>
        </w:rPr>
        <w:t>)</w:t>
      </w:r>
      <w:r w:rsidR="007D4D2B" w:rsidRPr="007D4D2B">
        <w:rPr>
          <w:color w:val="000000"/>
          <w:rtl/>
          <w:lang w:val="en-US"/>
        </w:rPr>
        <w:t>،</w:t>
      </w:r>
      <w:r w:rsidR="007D4D2B" w:rsidRPr="007D4D2B">
        <w:rPr>
          <w:color w:val="000000"/>
          <w:rtl/>
          <w:lang w:val="en-US"/>
        </w:rPr>
        <w:t xml:space="preserve"> </w:t>
      </w:r>
      <w:r w:rsidRPr="007935FF">
        <w:rPr>
          <w:rtl/>
          <w:lang w:val="en-US"/>
        </w:rPr>
        <w:t xml:space="preserve">وتوصي الدولة الطرف بوضع برامج محددة الأهداف لإعداد </w:t>
      </w:r>
      <w:r w:rsidRPr="00DC1988">
        <w:rPr>
          <w:spacing w:val="-4"/>
          <w:rtl/>
          <w:lang w:val="en-US"/>
        </w:rPr>
        <w:t>الأشخاص للمغادرة وتوعيتهم، بما في ذلك بالتشاور مع المنظمات غير الحكومية المعنية، ولا سيما منظمات</w:t>
      </w:r>
      <w:r w:rsidRPr="007935FF">
        <w:rPr>
          <w:rtl/>
          <w:lang w:val="en-US"/>
        </w:rPr>
        <w:t xml:space="preserve"> المهاجرين ووكالات التوظيف المعتمدة والموثوقة.</w:t>
      </w:r>
    </w:p>
    <w:p w14:paraId="4D7943C8" w14:textId="77777777" w:rsidR="007935FF" w:rsidRPr="009F3E84" w:rsidRDefault="007935FF" w:rsidP="00B83204">
      <w:pPr>
        <w:pStyle w:val="H23GA"/>
      </w:pPr>
      <w:r w:rsidRPr="009F3E84">
        <w:rPr>
          <w:rtl/>
        </w:rPr>
        <w:tab/>
      </w:r>
      <w:r w:rsidRPr="009F3E84">
        <w:rPr>
          <w:rtl/>
        </w:rPr>
        <w:tab/>
        <w:t>الحق في التصويت والترشح في دولة المنشأ</w:t>
      </w:r>
    </w:p>
    <w:p w14:paraId="402A2945" w14:textId="34FBEFEA" w:rsidR="007935FF" w:rsidRPr="007935FF" w:rsidRDefault="007935FF" w:rsidP="007935FF">
      <w:pPr>
        <w:pStyle w:val="SingleTxtGA"/>
        <w:rPr>
          <w:lang w:val="en-US"/>
        </w:rPr>
      </w:pPr>
      <w:r w:rsidRPr="009F3E84">
        <w:rPr>
          <w:rtl/>
          <w:lang w:val="en-US"/>
        </w:rPr>
        <w:t>57</w:t>
      </w:r>
      <w:r w:rsidRPr="007935FF">
        <w:rPr>
          <w:rtl/>
          <w:lang w:val="en-US"/>
        </w:rPr>
        <w:t>-</w:t>
      </w:r>
      <w:r w:rsidRPr="007935FF">
        <w:rPr>
          <w:rtl/>
          <w:lang w:val="en-US"/>
        </w:rPr>
        <w:tab/>
        <w:t xml:space="preserve">تلاحظ اللجنة الجهود التي تبذلها الدولة الطرف لتيسير حق العمال المهاجرين من مواطني </w:t>
      </w:r>
      <w:r w:rsidR="00972938">
        <w:rPr>
          <w:rtl/>
          <w:lang w:val="en-US"/>
        </w:rPr>
        <w:t>كابو فيردي</w:t>
      </w:r>
      <w:r w:rsidRPr="007935FF">
        <w:rPr>
          <w:rtl/>
          <w:lang w:val="en-US"/>
        </w:rPr>
        <w:t xml:space="preserve"> وأفراد أسرهم في المشاركة في الشؤون العامة والتصويت في الانتخابات الرئاسية والبرلمانية، بما في ذلك عن طريق تخصيص ستة مقاعد في الجمعية الوطنية لمواطني </w:t>
      </w:r>
      <w:r w:rsidR="00972938">
        <w:rPr>
          <w:rtl/>
          <w:lang w:val="en-US"/>
        </w:rPr>
        <w:t>كابو فيردي</w:t>
      </w:r>
      <w:r w:rsidRPr="007935FF">
        <w:rPr>
          <w:rtl/>
          <w:lang w:val="en-US"/>
        </w:rPr>
        <w:t>ن في الشتات. ومع</w:t>
      </w:r>
      <w:r w:rsidR="00AF4F2D">
        <w:rPr>
          <w:rFonts w:hint="cs"/>
          <w:rtl/>
          <w:lang w:val="en-US"/>
        </w:rPr>
        <w:t> </w:t>
      </w:r>
      <w:r w:rsidRPr="007935FF">
        <w:rPr>
          <w:rtl/>
          <w:lang w:val="en-US"/>
        </w:rPr>
        <w:t>ذلك، يساور اللجنة القلق لأن التأخير في عملية تسجيلهم للانتخابات في الخارج وعدم وجود معلومات كافية عن العملية الانتخابية قد يحدان من مشاركتهم في الانتخابات.</w:t>
      </w:r>
    </w:p>
    <w:p w14:paraId="6846066C" w14:textId="77777777" w:rsidR="007935FF" w:rsidRPr="009F3E84" w:rsidRDefault="007935FF" w:rsidP="00705E92">
      <w:pPr>
        <w:pStyle w:val="SingleTxtGA"/>
        <w:spacing w:line="350" w:lineRule="exact"/>
        <w:rPr>
          <w:b/>
          <w:bCs/>
          <w:lang w:val="en-US"/>
        </w:rPr>
      </w:pPr>
      <w:r w:rsidRPr="009F3E84">
        <w:rPr>
          <w:rtl/>
          <w:lang w:val="en-US"/>
        </w:rPr>
        <w:lastRenderedPageBreak/>
        <w:t>58</w:t>
      </w:r>
      <w:r w:rsidRPr="007935FF">
        <w:rPr>
          <w:rtl/>
          <w:lang w:val="en-US"/>
        </w:rPr>
        <w:t>-</w:t>
      </w:r>
      <w:r w:rsidRPr="007935FF">
        <w:rPr>
          <w:rtl/>
          <w:lang w:val="en-US"/>
        </w:rPr>
        <w:tab/>
      </w:r>
      <w:r w:rsidRPr="009F3E84">
        <w:rPr>
          <w:b/>
          <w:bCs/>
          <w:rtl/>
          <w:lang w:val="en-US"/>
        </w:rPr>
        <w:t>توصي اللجنة الدولة الطرف بما يلي:</w:t>
      </w:r>
    </w:p>
    <w:p w14:paraId="396E1087" w14:textId="716F29F7" w:rsidR="007935FF" w:rsidRPr="009F3E84" w:rsidRDefault="00B160EB" w:rsidP="00705E92">
      <w:pPr>
        <w:pStyle w:val="SingleTxtGA"/>
        <w:spacing w:line="350" w:lineRule="exact"/>
        <w:rPr>
          <w:b/>
          <w:bCs/>
          <w:lang w:val="en-US"/>
        </w:rPr>
      </w:pPr>
      <w:r w:rsidRPr="00B160EB">
        <w:rPr>
          <w:rtl/>
          <w:lang w:val="en-US"/>
        </w:rPr>
        <w:tab/>
        <w:t>(أ)</w:t>
      </w:r>
      <w:r w:rsidRPr="00B160EB">
        <w:rPr>
          <w:rtl/>
          <w:lang w:val="en-US"/>
        </w:rPr>
        <w:tab/>
      </w:r>
      <w:r w:rsidR="007935FF" w:rsidRPr="009F3E84">
        <w:rPr>
          <w:b/>
          <w:bCs/>
          <w:rtl/>
          <w:lang w:val="en-US"/>
        </w:rPr>
        <w:t xml:space="preserve">تعزيز التدابير الرامية إلى ضمان حق جميع العمال المهاجرين من </w:t>
      </w:r>
      <w:r w:rsidR="00972938" w:rsidRPr="009F3E84">
        <w:rPr>
          <w:b/>
          <w:bCs/>
          <w:rtl/>
          <w:lang w:val="en-US"/>
        </w:rPr>
        <w:t>كابو فيردي</w:t>
      </w:r>
      <w:r w:rsidR="007935FF" w:rsidRPr="009F3E84">
        <w:rPr>
          <w:b/>
          <w:bCs/>
          <w:rtl/>
          <w:lang w:val="en-US"/>
        </w:rPr>
        <w:t xml:space="preserve"> وأفراد أسرهم الذين يعيشون في الخارج في التصويت والترشح عن طريق تيسير تسجيلهم ومشاركتهم في </w:t>
      </w:r>
      <w:r w:rsidR="007935FF" w:rsidRPr="009F3E84">
        <w:rPr>
          <w:rFonts w:ascii="Times New Roman Bold" w:hAnsi="Times New Roman Bold"/>
          <w:b/>
          <w:bCs/>
          <w:spacing w:val="-2"/>
          <w:rtl/>
          <w:lang w:val="en-US"/>
        </w:rPr>
        <w:t>الانتخابات، بما في ذلك من خلال تدابير لضمان التسجيل الانتخابي للشتات خارج نطاق الفترة الانتخابية؛</w:t>
      </w:r>
    </w:p>
    <w:p w14:paraId="25335279" w14:textId="3A41E44B" w:rsidR="007935FF" w:rsidRPr="009F3E84" w:rsidRDefault="00B160EB" w:rsidP="00705E92">
      <w:pPr>
        <w:pStyle w:val="SingleTxtGA"/>
        <w:spacing w:line="350" w:lineRule="exact"/>
        <w:rPr>
          <w:b/>
          <w:bCs/>
          <w:lang w:val="en-US"/>
        </w:rPr>
      </w:pPr>
      <w:r w:rsidRPr="00B160EB">
        <w:rPr>
          <w:rtl/>
          <w:lang w:val="en-US"/>
        </w:rPr>
        <w:tab/>
        <w:t>(ب)</w:t>
      </w:r>
      <w:r w:rsidRPr="00B160EB">
        <w:rPr>
          <w:rtl/>
          <w:lang w:val="en-US"/>
        </w:rPr>
        <w:tab/>
      </w:r>
      <w:r w:rsidR="007935FF" w:rsidRPr="009F3E84">
        <w:rPr>
          <w:b/>
          <w:bCs/>
          <w:rtl/>
          <w:lang w:val="en-US"/>
        </w:rPr>
        <w:t xml:space="preserve">تسهيل التصويت عن طريق البريد وعبر الإنترنت، وتأمين التمويل الكافي لضمان التصويت في الخارج. </w:t>
      </w:r>
    </w:p>
    <w:p w14:paraId="3CEFC25A" w14:textId="77777777" w:rsidR="007935FF" w:rsidRPr="009F3E84" w:rsidRDefault="007935FF" w:rsidP="00B83204">
      <w:pPr>
        <w:pStyle w:val="H23GA"/>
      </w:pPr>
      <w:r w:rsidRPr="009F3E84">
        <w:rPr>
          <w:rtl/>
        </w:rPr>
        <w:tab/>
      </w:r>
      <w:r w:rsidRPr="009F3E84">
        <w:rPr>
          <w:rtl/>
        </w:rPr>
        <w:tab/>
        <w:t>الحق في تحويل المداخيل والمدّخرات</w:t>
      </w:r>
    </w:p>
    <w:p w14:paraId="54FFBABB" w14:textId="68192471" w:rsidR="007935FF" w:rsidRPr="007935FF" w:rsidRDefault="007935FF" w:rsidP="00705E92">
      <w:pPr>
        <w:pStyle w:val="SingleTxtGA"/>
        <w:spacing w:line="350" w:lineRule="exact"/>
        <w:rPr>
          <w:lang w:val="en-US"/>
        </w:rPr>
      </w:pPr>
      <w:r w:rsidRPr="009F3E84">
        <w:rPr>
          <w:rtl/>
          <w:lang w:val="en-US"/>
        </w:rPr>
        <w:t>59</w:t>
      </w:r>
      <w:r w:rsidRPr="007935FF">
        <w:rPr>
          <w:rtl/>
          <w:lang w:val="en-US"/>
        </w:rPr>
        <w:t>-</w:t>
      </w:r>
      <w:r w:rsidRPr="007935FF">
        <w:rPr>
          <w:rtl/>
          <w:lang w:val="en-US"/>
        </w:rPr>
        <w:tab/>
      </w:r>
      <w:r w:rsidRPr="00705E92">
        <w:rPr>
          <w:spacing w:val="-2"/>
          <w:rtl/>
          <w:lang w:val="en-US"/>
        </w:rPr>
        <w:t>تحيط اللجنة</w:t>
      </w:r>
      <w:r w:rsidR="00EA4188" w:rsidRPr="00705E92">
        <w:rPr>
          <w:spacing w:val="-2"/>
          <w:rtl/>
          <w:lang w:val="en-US"/>
        </w:rPr>
        <w:t xml:space="preserve"> علماً </w:t>
      </w:r>
      <w:r w:rsidRPr="00705E92">
        <w:rPr>
          <w:spacing w:val="-2"/>
          <w:rtl/>
          <w:lang w:val="en-US"/>
        </w:rPr>
        <w:t>بارتفاع عدد التحويلات المالية المرسلة إلى الدولة الطرف من العمال المهاجرين الذين يعيشون في الخارج، وترحب باستحداث حسابات خاصة للمهاجرين، بأسعار فائدة مدعومة.</w:t>
      </w:r>
      <w:r w:rsidRPr="007935FF">
        <w:rPr>
          <w:rtl/>
          <w:lang w:val="en-US"/>
        </w:rPr>
        <w:t xml:space="preserve"> ومع ذلك، يساور اللجنة القلق إزاء التقارير التي تفيد بأن العمال المهاجرين وأفراد أسرهم يفضلون القنوات غير الرسمية لتحويل الأموال بسبب ارتفاع تكاليف التحويل. وتشعر اللجنة بالقلق</w:t>
      </w:r>
      <w:r w:rsidR="00EA4188">
        <w:rPr>
          <w:rtl/>
          <w:lang w:val="en-US"/>
        </w:rPr>
        <w:t xml:space="preserve"> أيضاً </w:t>
      </w:r>
      <w:r w:rsidRPr="007935FF">
        <w:rPr>
          <w:rtl/>
          <w:lang w:val="en-US"/>
        </w:rPr>
        <w:t xml:space="preserve">لعدم توفر معلومات عن الشراكات التي أقيمت مع مؤسسات مالية قصد تيسير تحويل مداخيل ومدخرات العمال المهاجرين إلى </w:t>
      </w:r>
      <w:r w:rsidR="00972938">
        <w:rPr>
          <w:rtl/>
          <w:lang w:val="en-US"/>
        </w:rPr>
        <w:t>كابو فيردي</w:t>
      </w:r>
      <w:r w:rsidRPr="007935FF">
        <w:rPr>
          <w:rtl/>
          <w:lang w:val="en-US"/>
        </w:rPr>
        <w:t xml:space="preserve"> وتحويل مداخيل ومدخرات العمال المهاجرين في الدولة الطرف إلى دولهم الأصلية. </w:t>
      </w:r>
    </w:p>
    <w:p w14:paraId="0EE818DD" w14:textId="29FE3C75" w:rsidR="007935FF" w:rsidRPr="009F3E84" w:rsidRDefault="007935FF" w:rsidP="00705E92">
      <w:pPr>
        <w:pStyle w:val="SingleTxtGA"/>
        <w:spacing w:line="350" w:lineRule="exact"/>
        <w:rPr>
          <w:b/>
          <w:bCs/>
          <w:spacing w:val="2"/>
          <w:lang w:val="en-US"/>
        </w:rPr>
      </w:pPr>
      <w:r w:rsidRPr="009F3E84">
        <w:rPr>
          <w:spacing w:val="2"/>
          <w:rtl/>
          <w:lang w:val="en-US"/>
        </w:rPr>
        <w:t>60</w:t>
      </w:r>
      <w:r w:rsidRPr="00DC1988">
        <w:rPr>
          <w:spacing w:val="2"/>
          <w:rtl/>
          <w:lang w:val="en-US"/>
        </w:rPr>
        <w:t>-</w:t>
      </w:r>
      <w:r w:rsidRPr="00DC1988">
        <w:rPr>
          <w:spacing w:val="2"/>
          <w:rtl/>
          <w:lang w:val="en-US"/>
        </w:rPr>
        <w:tab/>
      </w:r>
      <w:r w:rsidRPr="009F3E84">
        <w:rPr>
          <w:b/>
          <w:bCs/>
          <w:spacing w:val="2"/>
          <w:rtl/>
          <w:lang w:val="en-US"/>
        </w:rPr>
        <w:t>عمل</w:t>
      </w:r>
      <w:r w:rsidR="00DC1988" w:rsidRPr="009F3E84">
        <w:rPr>
          <w:b/>
          <w:bCs/>
          <w:spacing w:val="2"/>
          <w:rtl/>
          <w:lang w:val="en-US"/>
        </w:rPr>
        <w:t xml:space="preserve">اً </w:t>
      </w:r>
      <w:r w:rsidRPr="009F3E84">
        <w:rPr>
          <w:b/>
          <w:bCs/>
          <w:spacing w:val="2"/>
          <w:rtl/>
          <w:lang w:val="en-US"/>
        </w:rPr>
        <w:t xml:space="preserve">بالغاية 10-ج من أهداف التنمية المستدامة، تدعو اللجنة الدولة الطرف إلى القيام بما يلي: </w:t>
      </w:r>
    </w:p>
    <w:p w14:paraId="158D0FD4" w14:textId="304C25F1" w:rsidR="007935FF" w:rsidRPr="009F3E84" w:rsidRDefault="00B160EB" w:rsidP="00705E92">
      <w:pPr>
        <w:pStyle w:val="SingleTxtGA"/>
        <w:spacing w:line="350" w:lineRule="exact"/>
        <w:rPr>
          <w:b/>
          <w:bCs/>
          <w:lang w:val="en-US"/>
        </w:rPr>
      </w:pPr>
      <w:r w:rsidRPr="00B160EB">
        <w:rPr>
          <w:rtl/>
          <w:lang w:val="en-US"/>
        </w:rPr>
        <w:tab/>
        <w:t>(أ)</w:t>
      </w:r>
      <w:r w:rsidRPr="00B160EB">
        <w:rPr>
          <w:rtl/>
          <w:lang w:val="en-US"/>
        </w:rPr>
        <w:tab/>
      </w:r>
      <w:r w:rsidR="007935FF" w:rsidRPr="009F3E84">
        <w:rPr>
          <w:b/>
          <w:bCs/>
          <w:rtl/>
          <w:lang w:val="en-US"/>
        </w:rPr>
        <w:t>اتخاذ تدابير لخفض تكلفة إرسال الأموال وتلقيها إلى أقل من 3 في المائة؛</w:t>
      </w:r>
    </w:p>
    <w:p w14:paraId="67432B6B" w14:textId="14CF37E0" w:rsidR="007935FF" w:rsidRPr="009F3E84" w:rsidRDefault="00B160EB" w:rsidP="00705E92">
      <w:pPr>
        <w:pStyle w:val="SingleTxtGA"/>
        <w:spacing w:line="350" w:lineRule="exact"/>
        <w:rPr>
          <w:b/>
          <w:bCs/>
          <w:lang w:val="en-US"/>
        </w:rPr>
      </w:pPr>
      <w:r w:rsidRPr="00B160EB">
        <w:rPr>
          <w:rtl/>
          <w:lang w:val="en-US"/>
        </w:rPr>
        <w:tab/>
        <w:t>(ب)</w:t>
      </w:r>
      <w:r w:rsidRPr="00B160EB">
        <w:rPr>
          <w:rtl/>
          <w:lang w:val="en-US"/>
        </w:rPr>
        <w:tab/>
      </w:r>
      <w:r w:rsidR="007935FF" w:rsidRPr="009F3E84">
        <w:rPr>
          <w:b/>
          <w:bCs/>
          <w:rtl/>
          <w:lang w:val="en-US"/>
        </w:rPr>
        <w:t xml:space="preserve">تقديم معلومات في تقريرها الدوري المقبل عن الشراكات القائمة مع المؤسسات المالية التي تهدف إلى تيسير التحويلات المالية للعمال المهاجرين إلى </w:t>
      </w:r>
      <w:r w:rsidR="00972938" w:rsidRPr="009F3E84">
        <w:rPr>
          <w:b/>
          <w:bCs/>
          <w:rtl/>
          <w:lang w:val="en-US"/>
        </w:rPr>
        <w:t>كابو فيردي</w:t>
      </w:r>
      <w:r w:rsidR="007935FF" w:rsidRPr="009F3E84">
        <w:rPr>
          <w:b/>
          <w:bCs/>
          <w:rtl/>
          <w:lang w:val="en-US"/>
        </w:rPr>
        <w:t xml:space="preserve"> وتحويلات العمال المهاجرين في الدولة الطرف إلى دولهم الأصلية.</w:t>
      </w:r>
    </w:p>
    <w:p w14:paraId="2FA5A905" w14:textId="71969C75" w:rsidR="007D4D2B" w:rsidRPr="009F3E84" w:rsidRDefault="00B83204" w:rsidP="00705E92">
      <w:pPr>
        <w:pStyle w:val="H23GA"/>
        <w:spacing w:line="360" w:lineRule="exact"/>
        <w:rPr>
          <w:color w:val="000000"/>
        </w:rPr>
      </w:pPr>
      <w:r w:rsidRPr="009F3E84">
        <w:rPr>
          <w:rtl/>
        </w:rPr>
        <w:tab/>
      </w:r>
      <w:r w:rsidR="007935FF" w:rsidRPr="009F3E84">
        <w:rPr>
          <w:rtl/>
        </w:rPr>
        <w:t>5-</w:t>
      </w:r>
      <w:r w:rsidR="007935FF" w:rsidRPr="009F3E84">
        <w:rPr>
          <w:rtl/>
        </w:rPr>
        <w:tab/>
        <w:t>تهيئة أوضاع سليمة وعادلة وإنسانية ومشروعة فيما يتعلّق بالهجرة الدولية للعمّال وأفراد أسرهم (المواد</w:t>
      </w:r>
      <w:r w:rsidRPr="009F3E84">
        <w:rPr>
          <w:rFonts w:hint="cs"/>
          <w:rtl/>
        </w:rPr>
        <w:t> </w:t>
      </w:r>
      <w:r w:rsidR="007935FF" w:rsidRPr="009F3E84">
        <w:rPr>
          <w:rtl/>
        </w:rPr>
        <w:t>64 إلى 7</w:t>
      </w:r>
      <w:r w:rsidR="007D4D2B" w:rsidRPr="009F3E84">
        <w:rPr>
          <w:color w:val="000000"/>
          <w:rtl/>
        </w:rPr>
        <w:t>1)</w:t>
      </w:r>
    </w:p>
    <w:p w14:paraId="01C165D9" w14:textId="0151EABB" w:rsidR="007935FF" w:rsidRPr="009F3E84" w:rsidRDefault="007935FF" w:rsidP="00705E92">
      <w:pPr>
        <w:pStyle w:val="H23GA"/>
        <w:spacing w:line="360" w:lineRule="exact"/>
      </w:pPr>
      <w:r w:rsidRPr="009F3E84">
        <w:rPr>
          <w:rtl/>
        </w:rPr>
        <w:tab/>
      </w:r>
      <w:r w:rsidRPr="009F3E84">
        <w:rPr>
          <w:rtl/>
        </w:rPr>
        <w:tab/>
        <w:t xml:space="preserve">الأطفال في حالات الهجرة الدولية </w:t>
      </w:r>
    </w:p>
    <w:p w14:paraId="736CE915" w14:textId="63B31901" w:rsidR="007935FF" w:rsidRPr="007935FF" w:rsidRDefault="007935FF" w:rsidP="00705E92">
      <w:pPr>
        <w:pStyle w:val="SingleTxtGA"/>
        <w:spacing w:line="350" w:lineRule="exact"/>
        <w:rPr>
          <w:lang w:val="en-US"/>
        </w:rPr>
      </w:pPr>
      <w:r w:rsidRPr="009F3E84">
        <w:rPr>
          <w:rtl/>
          <w:lang w:val="en-US"/>
        </w:rPr>
        <w:t>61</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بالتدابير المتخذة لمكافحة العنف ضد الأطفال، بمن فيهم أطفال المهاجرين، وتعزيز آليات الحماية وإعادة الإدماج الاجتماعي والوقاية للأطفال الذين يعيشون في الشوارع. بيد أنها تشعر بالقلق إزاء التقارير التي تفيد بتزايد عدد أطفال العمال المهاجرين الذين يعيشون في الشوارع، ولا</w:t>
      </w:r>
      <w:r w:rsidR="00DC1988">
        <w:rPr>
          <w:rFonts w:hint="cs"/>
          <w:rtl/>
          <w:lang w:val="en-US"/>
        </w:rPr>
        <w:t> </w:t>
      </w:r>
      <w:r w:rsidRPr="007935FF">
        <w:rPr>
          <w:rtl/>
          <w:lang w:val="en-US"/>
        </w:rPr>
        <w:t xml:space="preserve">سيما في عاصمة الدولة الطرف. </w:t>
      </w:r>
    </w:p>
    <w:p w14:paraId="7A9CA3D9" w14:textId="77777777" w:rsidR="007935FF" w:rsidRPr="009F3E84" w:rsidRDefault="007935FF" w:rsidP="00705E92">
      <w:pPr>
        <w:pStyle w:val="SingleTxtGA"/>
        <w:spacing w:line="350" w:lineRule="exact"/>
        <w:rPr>
          <w:b/>
          <w:bCs/>
          <w:lang w:val="en-US"/>
        </w:rPr>
      </w:pPr>
      <w:r w:rsidRPr="009F3E84">
        <w:rPr>
          <w:rtl/>
          <w:lang w:val="en-US"/>
        </w:rPr>
        <w:t>62</w:t>
      </w:r>
      <w:r w:rsidRPr="007935FF">
        <w:rPr>
          <w:rtl/>
          <w:lang w:val="en-US"/>
        </w:rPr>
        <w:t>-</w:t>
      </w:r>
      <w:r w:rsidRPr="007935FF">
        <w:rPr>
          <w:rtl/>
          <w:lang w:val="en-US"/>
        </w:rPr>
        <w:tab/>
      </w:r>
      <w:r w:rsidRPr="009F3E84">
        <w:rPr>
          <w:b/>
          <w:bCs/>
          <w:rtl/>
          <w:lang w:val="en-US"/>
        </w:rPr>
        <w:t>توصي اللجنة، وفقاً للتعليقات المشتركة رقم 3 و4 للجنة المعنية بحماية حقوق جميع العمال المهاجرين وأفراد أسرهم ورقم 22 و23 للجنة حقوق الطفل، بأن تقوم الدولة الطرف بما يلي:</w:t>
      </w:r>
    </w:p>
    <w:p w14:paraId="366A6F00" w14:textId="36BA24D7" w:rsidR="007935FF" w:rsidRPr="009F3E84" w:rsidRDefault="00B160EB" w:rsidP="00705E92">
      <w:pPr>
        <w:pStyle w:val="SingleTxtGA"/>
        <w:spacing w:line="350" w:lineRule="exact"/>
        <w:rPr>
          <w:b/>
          <w:bCs/>
          <w:lang w:val="en-US"/>
        </w:rPr>
      </w:pPr>
      <w:r w:rsidRPr="00B160EB">
        <w:rPr>
          <w:rtl/>
          <w:lang w:val="en-US"/>
        </w:rPr>
        <w:tab/>
        <w:t>(أ)</w:t>
      </w:r>
      <w:r w:rsidRPr="00B160EB">
        <w:rPr>
          <w:rtl/>
          <w:lang w:val="en-US"/>
        </w:rPr>
        <w:tab/>
      </w:r>
      <w:r w:rsidR="007935FF" w:rsidRPr="009F3E84">
        <w:rPr>
          <w:b/>
          <w:bCs/>
          <w:rtl/>
          <w:lang w:val="en-US"/>
        </w:rPr>
        <w:t xml:space="preserve">إجراء دراسة على الصعيد الوطني عن الأطفال المهاجرين، سواء الأطفال المهاجرين في الدولة الطرف أو أطفال العمال المهاجرين من </w:t>
      </w:r>
      <w:r w:rsidR="00972938" w:rsidRPr="009F3E84">
        <w:rPr>
          <w:b/>
          <w:bCs/>
          <w:rtl/>
          <w:lang w:val="en-US"/>
        </w:rPr>
        <w:t>كابو فيردي</w:t>
      </w:r>
      <w:r w:rsidR="007935FF" w:rsidRPr="009F3E84">
        <w:rPr>
          <w:b/>
          <w:bCs/>
          <w:rtl/>
          <w:lang w:val="en-US"/>
        </w:rPr>
        <w:t xml:space="preserve"> الذين تُركوا في الدولة الطرف، وعن الأطفال المهاجرين الذين يعيشون في الشوارع، لتحديد الملامح الديمغرافية لهؤلاء السكان من أجل توجيه سياسات الدولة الطرف وتقديم معلومات في تقريرها الدوري المقبل في هذا الصدد؛ </w:t>
      </w:r>
    </w:p>
    <w:p w14:paraId="57006673" w14:textId="597EDC76" w:rsidR="007D4D2B" w:rsidRPr="009F3E84" w:rsidRDefault="00B160EB" w:rsidP="00705E92">
      <w:pPr>
        <w:pStyle w:val="SingleTxtGA"/>
        <w:spacing w:line="350" w:lineRule="exact"/>
        <w:rPr>
          <w:b/>
          <w:bCs/>
          <w:color w:val="000000"/>
          <w:lang w:val="en-US"/>
        </w:rPr>
      </w:pPr>
      <w:r w:rsidRPr="00B160EB">
        <w:rPr>
          <w:rtl/>
          <w:lang w:val="en-US"/>
        </w:rPr>
        <w:tab/>
        <w:t>(ب)</w:t>
      </w:r>
      <w:r w:rsidRPr="00B160EB">
        <w:rPr>
          <w:rtl/>
          <w:lang w:val="en-US"/>
        </w:rPr>
        <w:tab/>
      </w:r>
      <w:r w:rsidR="007935FF" w:rsidRPr="009F3E84">
        <w:rPr>
          <w:b/>
          <w:bCs/>
          <w:rtl/>
          <w:lang w:val="en-US"/>
        </w:rPr>
        <w:t>اعتماد تدابير حماية شاملة كجزء من خطة عمل وطنية شاملة للجميع للتصدي لظاهرة العنف ضد الأطفال المهاجرين وأطفال الشوارع وفق</w:t>
      </w:r>
      <w:r w:rsidR="00075809" w:rsidRPr="009F3E84">
        <w:rPr>
          <w:b/>
          <w:bCs/>
          <w:rtl/>
          <w:lang w:val="en-US"/>
        </w:rPr>
        <w:t xml:space="preserve">اً </w:t>
      </w:r>
      <w:r w:rsidR="007935FF" w:rsidRPr="009F3E84">
        <w:rPr>
          <w:b/>
          <w:bCs/>
          <w:rtl/>
          <w:lang w:val="en-US"/>
        </w:rPr>
        <w:t>لأحكام اتفاقية منظمة العمل الدولية بشأن أسوأ أشكال عمل الأطفال، 1999 (رقم 18</w:t>
      </w:r>
      <w:r w:rsidR="007D4D2B" w:rsidRPr="009F3E84">
        <w:rPr>
          <w:b/>
          <w:bCs/>
          <w:color w:val="000000"/>
          <w:rtl/>
          <w:lang w:val="en-US"/>
        </w:rPr>
        <w:t>2).</w:t>
      </w:r>
    </w:p>
    <w:p w14:paraId="120C0786" w14:textId="45672484" w:rsidR="007935FF" w:rsidRPr="009F3E84" w:rsidRDefault="007935FF" w:rsidP="00075809">
      <w:pPr>
        <w:pStyle w:val="H23GA"/>
        <w:spacing w:line="354" w:lineRule="exact"/>
      </w:pPr>
      <w:r w:rsidRPr="009F3E84">
        <w:rPr>
          <w:rtl/>
        </w:rPr>
        <w:lastRenderedPageBreak/>
        <w:tab/>
      </w:r>
      <w:r w:rsidRPr="009F3E84">
        <w:rPr>
          <w:rtl/>
        </w:rPr>
        <w:tab/>
        <w:t>التعاون الدولي مع بلدان العبور وبلدان المقصد</w:t>
      </w:r>
    </w:p>
    <w:p w14:paraId="72895CAB" w14:textId="033CFF4F" w:rsidR="007935FF" w:rsidRPr="007935FF" w:rsidRDefault="007935FF" w:rsidP="00075809">
      <w:pPr>
        <w:pStyle w:val="SingleTxtGA"/>
        <w:spacing w:line="354" w:lineRule="exact"/>
        <w:rPr>
          <w:lang w:val="en-US"/>
        </w:rPr>
      </w:pPr>
      <w:r w:rsidRPr="009F3E84">
        <w:rPr>
          <w:rtl/>
          <w:lang w:val="en-US"/>
        </w:rPr>
        <w:t>63</w:t>
      </w:r>
      <w:r w:rsidRPr="007935FF">
        <w:rPr>
          <w:rtl/>
          <w:lang w:val="en-US"/>
        </w:rPr>
        <w:t>-</w:t>
      </w:r>
      <w:r w:rsidRPr="007935FF">
        <w:rPr>
          <w:rtl/>
          <w:lang w:val="en-US"/>
        </w:rPr>
        <w:tab/>
        <w:t>تلاحظ اللجنة إبرام اتفاقات تعاون بشأن الهجرة، وتطبيق خطط شراكة في مجال التنقل مع الاتحاد الأوروبي وجماعة البلدان الناطقة باللغة البرتغالية. وتلاحظ</w:t>
      </w:r>
      <w:r w:rsidR="00EA4188">
        <w:rPr>
          <w:rtl/>
          <w:lang w:val="en-US"/>
        </w:rPr>
        <w:t xml:space="preserve"> أيضاً </w:t>
      </w:r>
      <w:r w:rsidRPr="007935FF">
        <w:rPr>
          <w:rtl/>
          <w:lang w:val="en-US"/>
        </w:rPr>
        <w:t>تطبيق المعاهدة المنشئة للجماعة الاقتصادية لدول غرب أفريقيا وبروتوكولها المتعلق بحرية تنقل الأشخاص وحق الإقامة والاستقرار، اللذين</w:t>
      </w:r>
      <w:r w:rsidR="00705E92">
        <w:rPr>
          <w:rFonts w:hint="cs"/>
          <w:rtl/>
          <w:lang w:val="en-US"/>
        </w:rPr>
        <w:t> </w:t>
      </w:r>
      <w:r w:rsidRPr="007935FF">
        <w:rPr>
          <w:rtl/>
          <w:lang w:val="en-US"/>
        </w:rPr>
        <w:t xml:space="preserve">يدعوان إلى حرية تنقل مواطني البلدان الأعضاء وحرية تملكهم داخل منطقة الجماعة الاقتصادية في غرب أفريقيا. بيد أن اللجنة تأسف لأن الدولة الطرف لم توقع بعد اتفاقات ثنائية أو متعددة الأطراف مع جميع بلدان المقصد التي تعيش فيها أعداد كبيرة من سكان </w:t>
      </w:r>
      <w:r w:rsidR="00972938">
        <w:rPr>
          <w:rtl/>
          <w:lang w:val="en-US"/>
        </w:rPr>
        <w:t>كابو فيردي</w:t>
      </w:r>
      <w:r w:rsidRPr="007935FF">
        <w:rPr>
          <w:rtl/>
          <w:lang w:val="en-US"/>
        </w:rPr>
        <w:t xml:space="preserve">. </w:t>
      </w:r>
    </w:p>
    <w:p w14:paraId="74B04293" w14:textId="77777777" w:rsidR="007935FF" w:rsidRPr="009F3E84" w:rsidRDefault="007935FF" w:rsidP="00075809">
      <w:pPr>
        <w:pStyle w:val="SingleTxtGA"/>
        <w:spacing w:line="354" w:lineRule="exact"/>
        <w:rPr>
          <w:b/>
          <w:bCs/>
          <w:lang w:val="en-US"/>
        </w:rPr>
      </w:pPr>
      <w:r w:rsidRPr="009F3E84">
        <w:rPr>
          <w:rtl/>
          <w:lang w:val="en-US"/>
        </w:rPr>
        <w:t>64</w:t>
      </w:r>
      <w:r w:rsidRPr="007935FF">
        <w:rPr>
          <w:rtl/>
          <w:lang w:val="en-US"/>
        </w:rPr>
        <w:t>-</w:t>
      </w:r>
      <w:r w:rsidRPr="007935FF">
        <w:rPr>
          <w:rtl/>
          <w:lang w:val="en-US"/>
        </w:rPr>
        <w:tab/>
      </w:r>
      <w:r w:rsidRPr="009F3E84">
        <w:rPr>
          <w:b/>
          <w:bCs/>
          <w:rtl/>
          <w:lang w:val="en-US"/>
        </w:rPr>
        <w:t>توصي اللجنة الدولة الطرف بما يلي:</w:t>
      </w:r>
    </w:p>
    <w:p w14:paraId="3766A0D0" w14:textId="4EE72020" w:rsidR="007935FF" w:rsidRPr="009F3E84" w:rsidRDefault="00B160EB" w:rsidP="00075809">
      <w:pPr>
        <w:pStyle w:val="SingleTxtGA"/>
        <w:spacing w:line="354" w:lineRule="exact"/>
        <w:rPr>
          <w:b/>
          <w:bCs/>
          <w:lang w:val="en-US"/>
        </w:rPr>
      </w:pPr>
      <w:r w:rsidRPr="00B160EB">
        <w:rPr>
          <w:rtl/>
          <w:lang w:val="en-US"/>
        </w:rPr>
        <w:tab/>
        <w:t>(أ)</w:t>
      </w:r>
      <w:r w:rsidRPr="00B160EB">
        <w:rPr>
          <w:rtl/>
          <w:lang w:val="en-US"/>
        </w:rPr>
        <w:tab/>
      </w:r>
      <w:r w:rsidR="007935FF" w:rsidRPr="009F3E84">
        <w:rPr>
          <w:b/>
          <w:bCs/>
          <w:rtl/>
          <w:lang w:val="en-US"/>
        </w:rPr>
        <w:t xml:space="preserve">مواصلة الدخول في اتفاقات ثنائية ومتعددة الأطراف بشأن حرية تنقل العمال المهاجرين وأفراد أسرهم، ولا سيما مع بلدان العبور والمقصد التي يوجد فيها عدد كبير من جاليات </w:t>
      </w:r>
      <w:r w:rsidR="00972938" w:rsidRPr="009F3E84">
        <w:rPr>
          <w:b/>
          <w:bCs/>
          <w:rtl/>
          <w:lang w:val="en-US"/>
        </w:rPr>
        <w:t>كابو فيردي</w:t>
      </w:r>
      <w:r w:rsidR="007935FF" w:rsidRPr="009F3E84">
        <w:rPr>
          <w:b/>
          <w:bCs/>
          <w:rtl/>
          <w:lang w:val="en-US"/>
        </w:rPr>
        <w:t xml:space="preserve">، من أجل تحسين حماية حقوقهم وتيسير توفير الخدمات القنصلية وغيرها من الخدمات المناسبة لضمان ظروف سليمة ومنصفة وإنسانية للعمال المهاجرين من </w:t>
      </w:r>
      <w:r w:rsidR="00972938" w:rsidRPr="009F3E84">
        <w:rPr>
          <w:b/>
          <w:bCs/>
          <w:rtl/>
          <w:lang w:val="en-US"/>
        </w:rPr>
        <w:t>كابو فيردي</w:t>
      </w:r>
      <w:r w:rsidR="007935FF" w:rsidRPr="009F3E84">
        <w:rPr>
          <w:b/>
          <w:bCs/>
          <w:rtl/>
          <w:lang w:val="en-US"/>
        </w:rPr>
        <w:t>؛</w:t>
      </w:r>
    </w:p>
    <w:p w14:paraId="25153497" w14:textId="12D722FE" w:rsidR="007935FF" w:rsidRPr="009F3E84" w:rsidRDefault="00B160EB" w:rsidP="00075809">
      <w:pPr>
        <w:pStyle w:val="SingleTxtGA"/>
        <w:spacing w:line="354" w:lineRule="exact"/>
        <w:rPr>
          <w:b/>
          <w:bCs/>
          <w:lang w:val="en-US"/>
        </w:rPr>
      </w:pPr>
      <w:r w:rsidRPr="00B160EB">
        <w:rPr>
          <w:rtl/>
          <w:lang w:val="en-US"/>
        </w:rPr>
        <w:tab/>
        <w:t>(ب)</w:t>
      </w:r>
      <w:r w:rsidRPr="00B160EB">
        <w:rPr>
          <w:rtl/>
          <w:lang w:val="en-US"/>
        </w:rPr>
        <w:tab/>
      </w:r>
      <w:r w:rsidR="007935FF" w:rsidRPr="009F3E84">
        <w:rPr>
          <w:b/>
          <w:bCs/>
          <w:rtl/>
          <w:lang w:val="en-US"/>
        </w:rPr>
        <w:t>ضمان أن تكون هذه الاتفاقات الثنائية والمتعددة الأطراف متسقة تمام</w:t>
      </w:r>
      <w:r w:rsidR="00075809" w:rsidRPr="009F3E84">
        <w:rPr>
          <w:b/>
          <w:bCs/>
          <w:rtl/>
          <w:lang w:val="en-US"/>
        </w:rPr>
        <w:t xml:space="preserve">اً </w:t>
      </w:r>
      <w:r w:rsidR="007935FF" w:rsidRPr="009F3E84">
        <w:rPr>
          <w:b/>
          <w:bCs/>
          <w:rtl/>
          <w:lang w:val="en-US"/>
        </w:rPr>
        <w:t>مع الاتفاقية والتعليقات العامة للجنة؛</w:t>
      </w:r>
    </w:p>
    <w:p w14:paraId="53F78C1B" w14:textId="7E83E635" w:rsidR="007935FF" w:rsidRPr="009F3E84" w:rsidRDefault="00B160EB" w:rsidP="00075809">
      <w:pPr>
        <w:pStyle w:val="SingleTxtGA"/>
        <w:spacing w:line="354" w:lineRule="exact"/>
        <w:rPr>
          <w:b/>
          <w:bCs/>
          <w:lang w:val="en-US"/>
        </w:rPr>
      </w:pPr>
      <w:r w:rsidRPr="00B160EB">
        <w:rPr>
          <w:rtl/>
          <w:lang w:val="en-US"/>
        </w:rPr>
        <w:tab/>
        <w:t>(ج)</w:t>
      </w:r>
      <w:r w:rsidRPr="00B160EB">
        <w:rPr>
          <w:rtl/>
          <w:lang w:val="en-US"/>
        </w:rPr>
        <w:tab/>
      </w:r>
      <w:r w:rsidR="007935FF" w:rsidRPr="009F3E84">
        <w:rPr>
          <w:rFonts w:ascii="Times New Roman Bold" w:hAnsi="Times New Roman Bold"/>
          <w:b/>
          <w:bCs/>
          <w:spacing w:val="-2"/>
          <w:rtl/>
          <w:lang w:val="en-US"/>
        </w:rPr>
        <w:t>التعاون مع مفوضية الأمم المتحدة السامية لحقوق الإنسان، وطلب المساعدة التقنية</w:t>
      </w:r>
      <w:r w:rsidR="007935FF" w:rsidRPr="009F3E84">
        <w:rPr>
          <w:b/>
          <w:bCs/>
          <w:rtl/>
          <w:lang w:val="en-US"/>
        </w:rPr>
        <w:t xml:space="preserve"> فيما يتعلق بتنفيذ الاتفاقات المذكورة، والتفاوض بشأن اتفاقات مستقبلية لضمان اتساقها مع الاتفاقية.</w:t>
      </w:r>
    </w:p>
    <w:p w14:paraId="5AC6D25B" w14:textId="77777777" w:rsidR="007935FF" w:rsidRPr="009F3E84" w:rsidRDefault="007935FF" w:rsidP="00075809">
      <w:pPr>
        <w:pStyle w:val="H23GA"/>
        <w:spacing w:line="354" w:lineRule="exact"/>
      </w:pPr>
      <w:r w:rsidRPr="009F3E84">
        <w:rPr>
          <w:rtl/>
        </w:rPr>
        <w:tab/>
      </w:r>
      <w:r w:rsidRPr="009F3E84">
        <w:rPr>
          <w:rtl/>
        </w:rPr>
        <w:tab/>
        <w:t>العمال المنزليون المهاجرون</w:t>
      </w:r>
    </w:p>
    <w:p w14:paraId="1880D224" w14:textId="69ACBF86" w:rsidR="007935FF" w:rsidRPr="007935FF" w:rsidRDefault="007935FF" w:rsidP="00075809">
      <w:pPr>
        <w:pStyle w:val="SingleTxtGA"/>
        <w:spacing w:line="354" w:lineRule="exact"/>
        <w:rPr>
          <w:lang w:val="en-US"/>
        </w:rPr>
      </w:pPr>
      <w:r w:rsidRPr="009F3E84">
        <w:rPr>
          <w:rtl/>
          <w:lang w:val="en-US"/>
        </w:rPr>
        <w:t>65</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 xml:space="preserve">باعتماد المرسوم بقانون رقم </w:t>
      </w:r>
      <w:r w:rsidRPr="009F3E84">
        <w:rPr>
          <w:rtl/>
          <w:lang w:val="en-US"/>
        </w:rPr>
        <w:t>49</w:t>
      </w:r>
      <w:r w:rsidRPr="007935FF">
        <w:rPr>
          <w:rtl/>
          <w:lang w:val="en-US"/>
        </w:rPr>
        <w:t>/</w:t>
      </w:r>
      <w:r w:rsidRPr="009F3E84">
        <w:rPr>
          <w:rtl/>
          <w:lang w:val="en-US"/>
        </w:rPr>
        <w:t>2009</w:t>
      </w:r>
      <w:r w:rsidRPr="007935FF">
        <w:rPr>
          <w:rtl/>
          <w:lang w:val="en-US"/>
        </w:rPr>
        <w:t xml:space="preserve"> الذي يدرج العمال المنزليين في قانون الحماية الاجتماعية (التنظيمي</w:t>
      </w:r>
      <w:r w:rsidR="007D4D2B" w:rsidRPr="007D4D2B">
        <w:rPr>
          <w:color w:val="000000"/>
          <w:rtl/>
          <w:lang w:val="en-US"/>
        </w:rPr>
        <w:t xml:space="preserve">)، </w:t>
      </w:r>
      <w:r w:rsidRPr="007935FF">
        <w:rPr>
          <w:rtl/>
          <w:lang w:val="en-US"/>
        </w:rPr>
        <w:t>وبالمعلومات التي قدمتها الدولة الطرف والتي تشير إلى أن جهودا</w:t>
      </w:r>
      <w:r w:rsidR="00705E92">
        <w:rPr>
          <w:rFonts w:hint="cs"/>
          <w:rtl/>
          <w:lang w:val="en-US"/>
        </w:rPr>
        <w:t>ً</w:t>
      </w:r>
      <w:r w:rsidRPr="007935FF">
        <w:rPr>
          <w:rtl/>
          <w:lang w:val="en-US"/>
        </w:rPr>
        <w:t xml:space="preserve"> تبذل </w:t>
      </w:r>
      <w:r w:rsidRPr="00705E92">
        <w:rPr>
          <w:spacing w:val="-2"/>
          <w:rtl/>
          <w:lang w:val="en-US"/>
        </w:rPr>
        <w:t>حاليا</w:t>
      </w:r>
      <w:r w:rsidR="00705E92" w:rsidRPr="00705E92">
        <w:rPr>
          <w:rFonts w:hint="cs"/>
          <w:spacing w:val="-2"/>
          <w:rtl/>
          <w:lang w:val="en-US"/>
        </w:rPr>
        <w:t>ً</w:t>
      </w:r>
      <w:r w:rsidRPr="00705E92">
        <w:rPr>
          <w:spacing w:val="-2"/>
          <w:rtl/>
          <w:lang w:val="en-US"/>
        </w:rPr>
        <w:t xml:space="preserve"> لتنظيم العمل المنزلي. بيد أن اللجنة تشعر بالقلق إزاء التقارير التي تفيد بأن العديد من عمال المنازل</w:t>
      </w:r>
      <w:r w:rsidRPr="007935FF">
        <w:rPr>
          <w:rtl/>
          <w:lang w:val="en-US"/>
        </w:rPr>
        <w:t xml:space="preserve"> المهاجرين، ومعظمهم من النساء، يقعون ضحايا لسوء المعاملة والمضايقة، وأنهم يحصلن على مرتبات تقل عن المتوسط الوطني، وأنهم لا يتمتعون بحماية الضمان الاجتماعي.</w:t>
      </w:r>
    </w:p>
    <w:p w14:paraId="3CB96DCB" w14:textId="77777777" w:rsidR="007935FF" w:rsidRPr="009F3E84" w:rsidRDefault="007935FF" w:rsidP="00075809">
      <w:pPr>
        <w:pStyle w:val="SingleTxtGA"/>
        <w:spacing w:line="354" w:lineRule="exact"/>
        <w:rPr>
          <w:b/>
          <w:bCs/>
          <w:lang w:val="en-US"/>
        </w:rPr>
      </w:pPr>
      <w:r w:rsidRPr="009F3E84">
        <w:rPr>
          <w:rtl/>
          <w:lang w:val="en-US"/>
        </w:rPr>
        <w:t>66</w:t>
      </w:r>
      <w:r w:rsidRPr="007935FF">
        <w:rPr>
          <w:rtl/>
          <w:lang w:val="en-US"/>
        </w:rPr>
        <w:t>-</w:t>
      </w:r>
      <w:r w:rsidRPr="007935FF">
        <w:rPr>
          <w:rtl/>
          <w:lang w:val="en-US"/>
        </w:rPr>
        <w:tab/>
      </w:r>
      <w:r w:rsidRPr="009F3E84">
        <w:rPr>
          <w:b/>
          <w:bCs/>
          <w:rtl/>
          <w:lang w:val="en-US"/>
        </w:rPr>
        <w:t>توصي اللجنة بأن تقوم الدولة الطرف، في ضوء تعليقها العام رقم 1، بما يلي:</w:t>
      </w:r>
    </w:p>
    <w:p w14:paraId="65C4DB75" w14:textId="02DD8391" w:rsidR="007935FF" w:rsidRPr="009F3E84" w:rsidRDefault="00B160EB" w:rsidP="00075809">
      <w:pPr>
        <w:pStyle w:val="SingleTxtGA"/>
        <w:spacing w:line="354" w:lineRule="exact"/>
        <w:rPr>
          <w:b/>
          <w:bCs/>
          <w:lang w:val="en-US"/>
        </w:rPr>
      </w:pPr>
      <w:r w:rsidRPr="00B160EB">
        <w:rPr>
          <w:rtl/>
          <w:lang w:val="en-US"/>
        </w:rPr>
        <w:tab/>
        <w:t>(أ)</w:t>
      </w:r>
      <w:r w:rsidRPr="00B160EB">
        <w:rPr>
          <w:rtl/>
          <w:lang w:val="en-US"/>
        </w:rPr>
        <w:tab/>
      </w:r>
      <w:r w:rsidR="007935FF" w:rsidRPr="009F3E84">
        <w:rPr>
          <w:b/>
          <w:bCs/>
          <w:rtl/>
          <w:lang w:val="en-US"/>
        </w:rPr>
        <w:t>اتخاذ التدابير اللازمة، بما في ذلك التعديلات التشريعية، إذا لزم الأمر، لضمان أن تتضمن قوانينها المتعلقة بالحماية الاجتماعية لوائح مراعية للمنظور الجنساني بشأن عاملات المنازل المهاجرات، وأحكام</w:t>
      </w:r>
      <w:r w:rsidR="00075809" w:rsidRPr="009F3E84">
        <w:rPr>
          <w:b/>
          <w:bCs/>
          <w:rtl/>
          <w:lang w:val="en-US"/>
        </w:rPr>
        <w:t xml:space="preserve">اً </w:t>
      </w:r>
      <w:r w:rsidR="007935FF" w:rsidRPr="009F3E84">
        <w:rPr>
          <w:b/>
          <w:bCs/>
          <w:rtl/>
          <w:lang w:val="en-US"/>
        </w:rPr>
        <w:t xml:space="preserve">تتعلق بحماية حقوق عاملات المنازل المهاجرات في الخارج؛ </w:t>
      </w:r>
    </w:p>
    <w:p w14:paraId="7391ADFC" w14:textId="018B93E7" w:rsidR="007935FF" w:rsidRPr="009F3E84" w:rsidRDefault="00B160EB" w:rsidP="007935FF">
      <w:pPr>
        <w:pStyle w:val="SingleTxtGA"/>
        <w:rPr>
          <w:b/>
          <w:bCs/>
          <w:lang w:val="en-US"/>
        </w:rPr>
      </w:pPr>
      <w:r w:rsidRPr="00B160EB">
        <w:rPr>
          <w:rtl/>
          <w:lang w:val="en-US"/>
        </w:rPr>
        <w:tab/>
        <w:t>(ب)</w:t>
      </w:r>
      <w:r w:rsidRPr="00B160EB">
        <w:rPr>
          <w:rtl/>
          <w:lang w:val="en-US"/>
        </w:rPr>
        <w:tab/>
      </w:r>
      <w:r w:rsidR="007935FF" w:rsidRPr="009F3E84">
        <w:rPr>
          <w:rFonts w:ascii="Times New Roman Bold" w:hAnsi="Times New Roman Bold"/>
          <w:b/>
          <w:bCs/>
          <w:spacing w:val="-4"/>
          <w:rtl/>
          <w:lang w:val="en-US"/>
        </w:rPr>
        <w:t>تنظيم حملات لإذكاء الوعي، بالتشاور مع المنظمات غير الحكومية، ولا سيما منظمات</w:t>
      </w:r>
      <w:r w:rsidR="007935FF" w:rsidRPr="009F3E84">
        <w:rPr>
          <w:b/>
          <w:bCs/>
          <w:rtl/>
          <w:lang w:val="en-US"/>
        </w:rPr>
        <w:t xml:space="preserve"> المهاجرين، من خلال وسائط الإعلام وبرامج تثقيف الجمهور بشأن حالة عاملات المنازل المهاجرات وحقوقهن، ودعم النقابات التي تدافع عن عاملات المنازل المهاجرات، وتعزيز آليات تفتيش العمل؛</w:t>
      </w:r>
    </w:p>
    <w:p w14:paraId="606BB186" w14:textId="5EDA71DE" w:rsidR="007935FF" w:rsidRPr="009F3E84" w:rsidRDefault="00B160EB" w:rsidP="007935FF">
      <w:pPr>
        <w:pStyle w:val="SingleTxtGA"/>
        <w:rPr>
          <w:b/>
          <w:bCs/>
          <w:lang w:val="en-US"/>
        </w:rPr>
      </w:pPr>
      <w:r w:rsidRPr="00B160EB">
        <w:rPr>
          <w:rtl/>
          <w:lang w:val="en-US"/>
        </w:rPr>
        <w:tab/>
        <w:t>(ج)</w:t>
      </w:r>
      <w:r w:rsidRPr="00B160EB">
        <w:rPr>
          <w:rtl/>
          <w:lang w:val="en-US"/>
        </w:rPr>
        <w:tab/>
      </w:r>
      <w:r w:rsidR="007935FF" w:rsidRPr="009F3E84">
        <w:rPr>
          <w:b/>
          <w:bCs/>
          <w:rtl/>
          <w:lang w:val="en-US"/>
        </w:rPr>
        <w:t xml:space="preserve">إنشاء آلية يمكن من خلالها لعاملات المنازل المهاجرات تقديم شكاوى عند انتهاك </w:t>
      </w:r>
      <w:r w:rsidR="007935FF" w:rsidRPr="009F3E84">
        <w:rPr>
          <w:rFonts w:ascii="Times New Roman Bold" w:hAnsi="Times New Roman Bold"/>
          <w:b/>
          <w:bCs/>
          <w:spacing w:val="-4"/>
          <w:rtl/>
          <w:lang w:val="en-US"/>
        </w:rPr>
        <w:t>حقوقهن، بما في ذلك الإساءة المتعلقة بممارسات العمل غير العادلة في المجال المنزلي، ومواصلة تطوير</w:t>
      </w:r>
      <w:r w:rsidR="007935FF" w:rsidRPr="009F3E84">
        <w:rPr>
          <w:b/>
          <w:bCs/>
          <w:rtl/>
          <w:lang w:val="en-US"/>
        </w:rPr>
        <w:t xml:space="preserve"> خدمات الدعم والملاجئ لضحايا الإساءة في المجال المنزلي؛</w:t>
      </w:r>
    </w:p>
    <w:p w14:paraId="20E433E7" w14:textId="59D7B354" w:rsidR="007935FF" w:rsidRPr="009F3E84" w:rsidRDefault="00B160EB" w:rsidP="007935FF">
      <w:pPr>
        <w:pStyle w:val="SingleTxtGA"/>
        <w:rPr>
          <w:b/>
          <w:bCs/>
          <w:lang w:val="en-US"/>
        </w:rPr>
      </w:pPr>
      <w:r w:rsidRPr="00B160EB">
        <w:rPr>
          <w:rtl/>
          <w:lang w:val="en-US"/>
        </w:rPr>
        <w:tab/>
        <w:t>(د)</w:t>
      </w:r>
      <w:r w:rsidRPr="00B160EB">
        <w:rPr>
          <w:rtl/>
          <w:lang w:val="en-US"/>
        </w:rPr>
        <w:tab/>
      </w:r>
      <w:r w:rsidR="007935FF" w:rsidRPr="009F3E84">
        <w:rPr>
          <w:b/>
          <w:bCs/>
          <w:rtl/>
          <w:lang w:val="en-US"/>
        </w:rPr>
        <w:t>التصديق على اتفاقية العمال المنزليين، 2011 (رقم 18</w:t>
      </w:r>
      <w:r w:rsidR="007D4D2B" w:rsidRPr="009F3E84">
        <w:rPr>
          <w:b/>
          <w:bCs/>
          <w:color w:val="000000"/>
          <w:rtl/>
          <w:lang w:val="en-US"/>
        </w:rPr>
        <w:t xml:space="preserve">9) </w:t>
      </w:r>
      <w:r w:rsidR="007935FF" w:rsidRPr="009F3E84">
        <w:rPr>
          <w:b/>
          <w:bCs/>
          <w:rtl/>
          <w:lang w:val="en-US"/>
        </w:rPr>
        <w:t>لمنظمة العمل الدولية.</w:t>
      </w:r>
    </w:p>
    <w:p w14:paraId="6DA7EBDF" w14:textId="77777777" w:rsidR="007935FF" w:rsidRPr="009F3E84" w:rsidRDefault="007935FF" w:rsidP="00EF6A49">
      <w:pPr>
        <w:pStyle w:val="H23GA"/>
        <w:spacing w:line="360" w:lineRule="exact"/>
      </w:pPr>
      <w:r w:rsidRPr="009F3E84">
        <w:rPr>
          <w:rtl/>
        </w:rPr>
        <w:lastRenderedPageBreak/>
        <w:tab/>
      </w:r>
      <w:r w:rsidRPr="009F3E84">
        <w:rPr>
          <w:rtl/>
        </w:rPr>
        <w:tab/>
        <w:t>العودة وإعادة الإدماج</w:t>
      </w:r>
    </w:p>
    <w:p w14:paraId="5E10CABD" w14:textId="16F378B8" w:rsidR="007935FF" w:rsidRPr="007935FF" w:rsidRDefault="007935FF" w:rsidP="00EF6A49">
      <w:pPr>
        <w:pStyle w:val="SingleTxtGA"/>
        <w:spacing w:line="342" w:lineRule="exact"/>
        <w:rPr>
          <w:lang w:val="en-US"/>
        </w:rPr>
      </w:pPr>
      <w:r w:rsidRPr="009F3E84">
        <w:rPr>
          <w:rtl/>
          <w:lang w:val="en-US"/>
        </w:rPr>
        <w:t>67</w:t>
      </w:r>
      <w:r w:rsidRPr="007935FF">
        <w:rPr>
          <w:rtl/>
          <w:lang w:val="en-US"/>
        </w:rPr>
        <w:t>-</w:t>
      </w:r>
      <w:r w:rsidRPr="007935FF">
        <w:rPr>
          <w:rtl/>
          <w:lang w:val="en-US"/>
        </w:rPr>
        <w:tab/>
        <w:t>تحيط اللجنة</w:t>
      </w:r>
      <w:r w:rsidR="00EA4188">
        <w:rPr>
          <w:rtl/>
          <w:lang w:val="en-US"/>
        </w:rPr>
        <w:t xml:space="preserve"> علماً </w:t>
      </w:r>
      <w:r w:rsidRPr="007935FF">
        <w:rPr>
          <w:rtl/>
          <w:lang w:val="en-US"/>
        </w:rPr>
        <w:t xml:space="preserve">بالتدابير المتخذة للمساعدة في عودة العمال المهاجرين إلى </w:t>
      </w:r>
      <w:r w:rsidR="00972938">
        <w:rPr>
          <w:rtl/>
          <w:lang w:val="en-US"/>
        </w:rPr>
        <w:t>كابو فيردي</w:t>
      </w:r>
      <w:r w:rsidRPr="007935FF">
        <w:rPr>
          <w:rtl/>
          <w:lang w:val="en-US"/>
        </w:rPr>
        <w:t xml:space="preserve"> وإعادة إدماجهم، مثل اعتماد قانون المستثمر المهاجر لعام </w:t>
      </w:r>
      <w:r w:rsidRPr="009F3E84">
        <w:rPr>
          <w:rtl/>
          <w:lang w:val="en-US"/>
        </w:rPr>
        <w:t>2020</w:t>
      </w:r>
      <w:r w:rsidRPr="007935FF">
        <w:rPr>
          <w:rtl/>
          <w:lang w:val="en-US"/>
        </w:rPr>
        <w:t xml:space="preserve">، الذي يهدف إلى إيجاد إطار مؤات لاجتذاب استثمارات من جانب عمال </w:t>
      </w:r>
      <w:r w:rsidR="00972938">
        <w:rPr>
          <w:rtl/>
          <w:lang w:val="en-US"/>
        </w:rPr>
        <w:t>كابو فيردي</w:t>
      </w:r>
      <w:r w:rsidRPr="007935FF">
        <w:rPr>
          <w:rtl/>
          <w:lang w:val="en-US"/>
        </w:rPr>
        <w:t xml:space="preserve"> المهاجرين وضمان عودتهم من الخارج، من خلال توفير إعفاءات ضريبية وغيرها من الإعفاءات والحوافز المالية. بيد أن اللجنة تأسف لعدم وجود بيانات قابلة للقياس الكمي عن نتائج هذه القوانين والبرامج، وتأسف</w:t>
      </w:r>
      <w:r w:rsidR="00EA4188">
        <w:rPr>
          <w:rtl/>
          <w:lang w:val="en-US"/>
        </w:rPr>
        <w:t xml:space="preserve"> أيضاً </w:t>
      </w:r>
      <w:r w:rsidRPr="007935FF">
        <w:rPr>
          <w:rtl/>
          <w:lang w:val="en-US"/>
        </w:rPr>
        <w:t>لأن الدولة الطرف لم تضع سياسة شاملة للعودة وإعادة الإدماج لمساعدة العمال المهاجرين وأفراد أسرهم على الاندماج مجدد</w:t>
      </w:r>
      <w:r w:rsidR="00075809">
        <w:rPr>
          <w:rtl/>
          <w:lang w:val="en-US"/>
        </w:rPr>
        <w:t xml:space="preserve">اً </w:t>
      </w:r>
      <w:r w:rsidRPr="007935FF">
        <w:rPr>
          <w:rtl/>
          <w:lang w:val="en-US"/>
        </w:rPr>
        <w:t xml:space="preserve">في الدولة الطرف. </w:t>
      </w:r>
    </w:p>
    <w:p w14:paraId="453E90E6" w14:textId="7C9D869E" w:rsidR="007935FF" w:rsidRPr="009F3E84" w:rsidRDefault="007935FF" w:rsidP="00EF6A49">
      <w:pPr>
        <w:pStyle w:val="SingleTxtGA"/>
        <w:spacing w:line="342" w:lineRule="exact"/>
        <w:rPr>
          <w:rFonts w:ascii="Times New Roman Bold" w:hAnsi="Times New Roman Bold"/>
          <w:b/>
          <w:bCs/>
          <w:lang w:val="en-US"/>
        </w:rPr>
      </w:pPr>
      <w:r w:rsidRPr="009F3E84">
        <w:rPr>
          <w:spacing w:val="-4"/>
          <w:rtl/>
          <w:lang w:val="en-US"/>
        </w:rPr>
        <w:t>68</w:t>
      </w:r>
      <w:r w:rsidRPr="00075809">
        <w:rPr>
          <w:spacing w:val="-4"/>
          <w:rtl/>
          <w:lang w:val="en-US"/>
        </w:rPr>
        <w:t>-</w:t>
      </w:r>
      <w:r w:rsidRPr="00075809">
        <w:rPr>
          <w:spacing w:val="-4"/>
          <w:rtl/>
          <w:lang w:val="en-US"/>
        </w:rPr>
        <w:tab/>
      </w:r>
      <w:r w:rsidRPr="009F3E84">
        <w:rPr>
          <w:b/>
          <w:bCs/>
          <w:spacing w:val="-4"/>
          <w:rtl/>
          <w:lang w:val="en-US"/>
        </w:rPr>
        <w:t>تشير اللجنة إلى توصياتها السابقة</w:t>
      </w:r>
      <w:r w:rsidR="007D4D2B" w:rsidRPr="009F3E84">
        <w:rPr>
          <w:rStyle w:val="FootnoteReference"/>
          <w:b/>
          <w:bCs/>
          <w:spacing w:val="-4"/>
          <w:szCs w:val="22"/>
          <w:rtl/>
          <w:lang w:val="en-US"/>
        </w:rPr>
        <w:t>(</w:t>
      </w:r>
      <w:r w:rsidR="007D4D2B" w:rsidRPr="009F3E84">
        <w:rPr>
          <w:rStyle w:val="FootnoteReference"/>
          <w:b/>
          <w:bCs/>
          <w:spacing w:val="-4"/>
          <w:szCs w:val="22"/>
          <w:lang w:val="en-US"/>
        </w:rPr>
        <w:footnoteReference w:id="17"/>
      </w:r>
      <w:r w:rsidR="007D4D2B" w:rsidRPr="009F3E84">
        <w:rPr>
          <w:b/>
          <w:bCs/>
          <w:color w:val="000000"/>
          <w:spacing w:val="-4"/>
          <w:vertAlign w:val="superscript"/>
          <w:rtl/>
          <w:lang w:val="en-US"/>
        </w:rPr>
        <w:t>)</w:t>
      </w:r>
      <w:r w:rsidR="007D4D2B" w:rsidRPr="009F3E84">
        <w:rPr>
          <w:b/>
          <w:bCs/>
          <w:color w:val="000000"/>
          <w:spacing w:val="-4"/>
          <w:rtl/>
          <w:lang w:val="en-US"/>
        </w:rPr>
        <w:t>،</w:t>
      </w:r>
      <w:r w:rsidR="007D4D2B" w:rsidRPr="009F3E84">
        <w:rPr>
          <w:b/>
          <w:bCs/>
          <w:color w:val="000000"/>
          <w:spacing w:val="-4"/>
          <w:rtl/>
          <w:lang w:val="en-US"/>
        </w:rPr>
        <w:t xml:space="preserve"> </w:t>
      </w:r>
      <w:r w:rsidRPr="009F3E84">
        <w:rPr>
          <w:b/>
          <w:bCs/>
          <w:spacing w:val="-4"/>
          <w:rtl/>
          <w:lang w:val="en-US"/>
        </w:rPr>
        <w:t xml:space="preserve">وتوصي الدولة الطرف بمواصلة اتخاذ التدابير اللازمة </w:t>
      </w:r>
      <w:r w:rsidRPr="009F3E84">
        <w:rPr>
          <w:rFonts w:ascii="Times New Roman Bold" w:hAnsi="Times New Roman Bold"/>
          <w:b/>
          <w:bCs/>
          <w:rtl/>
          <w:lang w:val="en-US"/>
        </w:rPr>
        <w:t xml:space="preserve">لضمان تهيئة الظروف الاجتماعية والاقتصادية والقانونية وغيرها من الظروف الضرورية المناسبة لتيسير عودة العمال المهاجرين وأفراد أسرهم إلى </w:t>
      </w:r>
      <w:r w:rsidR="00972938" w:rsidRPr="009F3E84">
        <w:rPr>
          <w:rFonts w:ascii="Times New Roman Bold" w:hAnsi="Times New Roman Bold"/>
          <w:b/>
          <w:bCs/>
          <w:rtl/>
          <w:lang w:val="en-US"/>
        </w:rPr>
        <w:t>كابو فيردي</w:t>
      </w:r>
      <w:r w:rsidRPr="009F3E84">
        <w:rPr>
          <w:rFonts w:ascii="Times New Roman Bold" w:hAnsi="Times New Roman Bold"/>
          <w:b/>
          <w:bCs/>
          <w:rtl/>
          <w:lang w:val="en-US"/>
        </w:rPr>
        <w:t xml:space="preserve"> وإعادة إدماجهم بصورة دائمة، على النحو </w:t>
      </w:r>
      <w:r w:rsidRPr="009F3E84">
        <w:rPr>
          <w:rFonts w:ascii="Times New Roman Bold" w:hAnsi="Times New Roman Bold"/>
          <w:b/>
          <w:bCs/>
          <w:spacing w:val="-2"/>
          <w:rtl/>
          <w:lang w:val="en-US"/>
        </w:rPr>
        <w:t>المنصوص عليه في المادة 67 من الاتفاقية،</w:t>
      </w:r>
      <w:r w:rsidR="007F26E8" w:rsidRPr="009F3E84">
        <w:rPr>
          <w:rFonts w:ascii="Times New Roman Bold" w:hAnsi="Times New Roman Bold"/>
          <w:b/>
          <w:bCs/>
          <w:spacing w:val="-2"/>
          <w:rtl/>
          <w:lang w:val="en-US"/>
        </w:rPr>
        <w:t xml:space="preserve"> </w:t>
      </w:r>
      <w:r w:rsidRPr="009F3E84">
        <w:rPr>
          <w:rFonts w:ascii="Times New Roman Bold" w:hAnsi="Times New Roman Bold"/>
          <w:b/>
          <w:bCs/>
          <w:spacing w:val="-2"/>
          <w:rtl/>
          <w:lang w:val="en-US"/>
        </w:rPr>
        <w:t>وتقديم معلومات في تقريرها الدوري المقبل في هذا الصدد.</w:t>
      </w:r>
    </w:p>
    <w:p w14:paraId="0C499209" w14:textId="77777777" w:rsidR="007935FF" w:rsidRPr="009F3E84" w:rsidRDefault="007935FF" w:rsidP="00EF6A49">
      <w:pPr>
        <w:pStyle w:val="H23GA"/>
        <w:spacing w:line="360" w:lineRule="exact"/>
      </w:pPr>
      <w:r w:rsidRPr="009F3E84">
        <w:rPr>
          <w:rtl/>
        </w:rPr>
        <w:tab/>
      </w:r>
      <w:r w:rsidRPr="009F3E84">
        <w:rPr>
          <w:rtl/>
        </w:rPr>
        <w:tab/>
        <w:t xml:space="preserve">الاتجار بالأشخاص </w:t>
      </w:r>
    </w:p>
    <w:p w14:paraId="44379E71" w14:textId="04768F14" w:rsidR="007935FF" w:rsidRDefault="007935FF" w:rsidP="00EF6A49">
      <w:pPr>
        <w:pStyle w:val="SingleTxtGA"/>
        <w:spacing w:line="342" w:lineRule="exact"/>
        <w:rPr>
          <w:lang w:val="en-US"/>
        </w:rPr>
      </w:pPr>
      <w:r w:rsidRPr="009F3E84">
        <w:rPr>
          <w:rtl/>
          <w:lang w:val="en-US"/>
        </w:rPr>
        <w:t>69</w:t>
      </w:r>
      <w:r w:rsidRPr="007935FF">
        <w:rPr>
          <w:rtl/>
          <w:lang w:val="en-US"/>
        </w:rPr>
        <w:t>-</w:t>
      </w:r>
      <w:r w:rsidRPr="007935FF">
        <w:rPr>
          <w:rtl/>
          <w:lang w:val="en-US"/>
        </w:rPr>
        <w:tab/>
      </w:r>
      <w:r w:rsidRPr="00075809">
        <w:rPr>
          <w:spacing w:val="-4"/>
          <w:rtl/>
          <w:lang w:val="en-US"/>
        </w:rPr>
        <w:t>تلاحظ اللجنة مع التقدير التعديلات المتعلقة بالاتجار بالأشخاص في القانون المتعلق بدخول الرعايا</w:t>
      </w:r>
      <w:r w:rsidRPr="007935FF">
        <w:rPr>
          <w:rtl/>
          <w:lang w:val="en-US"/>
        </w:rPr>
        <w:t xml:space="preserve"> الأجانب إلى </w:t>
      </w:r>
      <w:r w:rsidR="00972938">
        <w:rPr>
          <w:rtl/>
          <w:lang w:val="en-US"/>
        </w:rPr>
        <w:t>كابو فيردي</w:t>
      </w:r>
      <w:r w:rsidRPr="007935FF">
        <w:rPr>
          <w:rtl/>
          <w:lang w:val="en-US"/>
        </w:rPr>
        <w:t xml:space="preserve"> وإقامتهم فيها وخروجهم منها وإبعادهم عنها، </w:t>
      </w:r>
      <w:proofErr w:type="spellStart"/>
      <w:r w:rsidRPr="007935FF">
        <w:rPr>
          <w:rtl/>
          <w:lang w:val="en-US"/>
        </w:rPr>
        <w:t>والتنقيحات</w:t>
      </w:r>
      <w:proofErr w:type="spellEnd"/>
      <w:r w:rsidRPr="007935FF">
        <w:rPr>
          <w:rtl/>
          <w:lang w:val="en-US"/>
        </w:rPr>
        <w:t xml:space="preserve"> على قانون العقوبات في هذا المجال، وإنشاء مرصد مراقبة الاتجار بالبشر وتحديد ضحاياه بسرعة، في عام </w:t>
      </w:r>
      <w:r w:rsidRPr="009F3E84">
        <w:rPr>
          <w:rtl/>
          <w:lang w:val="en-US"/>
        </w:rPr>
        <w:t>201</w:t>
      </w:r>
      <w:r w:rsidR="007D4D2B" w:rsidRPr="009F3E84">
        <w:rPr>
          <w:color w:val="000000"/>
          <w:rtl/>
          <w:lang w:val="en-US"/>
        </w:rPr>
        <w:t>9</w:t>
      </w:r>
      <w:r w:rsidR="007D4D2B" w:rsidRPr="007D4D2B">
        <w:rPr>
          <w:color w:val="000000"/>
          <w:rtl/>
          <w:lang w:val="en-US"/>
        </w:rPr>
        <w:t xml:space="preserve">. </w:t>
      </w:r>
      <w:r w:rsidRPr="007935FF">
        <w:rPr>
          <w:rtl/>
          <w:lang w:val="en-US"/>
        </w:rPr>
        <w:t xml:space="preserve">وترحب اللجنة </w:t>
      </w:r>
      <w:r w:rsidRPr="00EF6A49">
        <w:rPr>
          <w:spacing w:val="-4"/>
          <w:rtl/>
          <w:lang w:val="en-US"/>
        </w:rPr>
        <w:t>كذلك باعتماد الدولة الطرف أول خطة عمل وطنية لمكافحة الاتجار بالأشخاص (</w:t>
      </w:r>
      <w:r w:rsidRPr="009F3E84">
        <w:rPr>
          <w:spacing w:val="-4"/>
          <w:rtl/>
          <w:lang w:val="en-US"/>
        </w:rPr>
        <w:t>2018</w:t>
      </w:r>
      <w:r w:rsidRPr="00EF6A49">
        <w:rPr>
          <w:spacing w:val="-4"/>
          <w:rtl/>
          <w:lang w:val="en-US"/>
        </w:rPr>
        <w:t>-</w:t>
      </w:r>
      <w:r w:rsidRPr="009F3E84">
        <w:rPr>
          <w:spacing w:val="-4"/>
          <w:rtl/>
          <w:lang w:val="en-US"/>
        </w:rPr>
        <w:t>202</w:t>
      </w:r>
      <w:r w:rsidR="007D4D2B" w:rsidRPr="009F3E84">
        <w:rPr>
          <w:color w:val="000000"/>
          <w:spacing w:val="-4"/>
          <w:rtl/>
          <w:lang w:val="en-US"/>
        </w:rPr>
        <w:t>1</w:t>
      </w:r>
      <w:r w:rsidR="007D4D2B" w:rsidRPr="00EF6A49">
        <w:rPr>
          <w:color w:val="000000"/>
          <w:spacing w:val="-4"/>
          <w:rtl/>
          <w:lang w:val="en-US"/>
        </w:rPr>
        <w:t xml:space="preserve">) </w:t>
      </w:r>
      <w:r w:rsidRPr="00EF6A49">
        <w:rPr>
          <w:spacing w:val="-4"/>
          <w:rtl/>
          <w:lang w:val="en-US"/>
        </w:rPr>
        <w:t>وبالتنسيق</w:t>
      </w:r>
      <w:r w:rsidRPr="007935FF">
        <w:rPr>
          <w:rtl/>
          <w:lang w:val="en-US"/>
        </w:rPr>
        <w:t xml:space="preserve"> مع البلدان الأخرى في هذا الصدد. ومع ذلك، لا تزال اللجنة تشعر بالقلق إزاء ما يلي:</w:t>
      </w:r>
    </w:p>
    <w:p w14:paraId="49532E75" w14:textId="77777777" w:rsidR="007935FF" w:rsidRDefault="007935FF" w:rsidP="00EF6A49">
      <w:pPr>
        <w:pStyle w:val="SingleTxtGA"/>
        <w:spacing w:line="342" w:lineRule="exact"/>
        <w:rPr>
          <w:lang w:val="en-US"/>
        </w:rPr>
      </w:pPr>
      <w:r>
        <w:rPr>
          <w:rtl/>
          <w:lang w:val="en-US"/>
        </w:rPr>
        <w:tab/>
        <w:t>(</w:t>
      </w:r>
      <w:r w:rsidRPr="007935FF">
        <w:rPr>
          <w:rtl/>
          <w:lang w:val="en-US"/>
        </w:rPr>
        <w:t>أ)</w:t>
      </w:r>
      <w:r w:rsidRPr="007935FF">
        <w:rPr>
          <w:rtl/>
          <w:lang w:val="en-US"/>
        </w:rPr>
        <w:tab/>
        <w:t>الموارد المحدودة المتاحة لتنفيذ خطة العمل الوطنية؛</w:t>
      </w:r>
    </w:p>
    <w:p w14:paraId="7D2B4BD0" w14:textId="422F8AD8" w:rsidR="007935FF" w:rsidRDefault="007935FF" w:rsidP="00EF6A49">
      <w:pPr>
        <w:pStyle w:val="SingleTxtGA"/>
        <w:spacing w:line="342" w:lineRule="exact"/>
        <w:rPr>
          <w:lang w:val="en-US"/>
        </w:rPr>
      </w:pPr>
      <w:r>
        <w:rPr>
          <w:rtl/>
          <w:lang w:val="en-US"/>
        </w:rPr>
        <w:tab/>
        <w:t>(</w:t>
      </w:r>
      <w:r w:rsidRPr="007935FF">
        <w:rPr>
          <w:rtl/>
          <w:lang w:val="en-US"/>
        </w:rPr>
        <w:t>ب)</w:t>
      </w:r>
      <w:r w:rsidRPr="007935FF">
        <w:rPr>
          <w:rtl/>
          <w:lang w:val="en-US"/>
        </w:rPr>
        <w:tab/>
      </w:r>
      <w:r w:rsidRPr="00075809">
        <w:rPr>
          <w:spacing w:val="-4"/>
          <w:rtl/>
          <w:lang w:val="en-US"/>
        </w:rPr>
        <w:t>انخفاض عدد التحقيقات والملاحقات القضائية والإدانات المتعلقة بمرتكبي جرائم الاتجار</w:t>
      </w:r>
      <w:r w:rsidRPr="007935FF">
        <w:rPr>
          <w:rtl/>
          <w:lang w:val="en-US"/>
        </w:rPr>
        <w:t>، وعدم الكشف عن أي حالة اتجار بالأشخاص بالأطفال حتى الآن، وصعوبات توفير بيانات مفصلة وفق</w:t>
      </w:r>
      <w:r w:rsidR="00075809">
        <w:rPr>
          <w:rtl/>
          <w:lang w:val="en-US"/>
        </w:rPr>
        <w:t xml:space="preserve">اً </w:t>
      </w:r>
      <w:r w:rsidRPr="007935FF">
        <w:rPr>
          <w:rtl/>
          <w:lang w:val="en-US"/>
        </w:rPr>
        <w:t xml:space="preserve">للمعلومات المقدمة من الدولة الطرف؛ </w:t>
      </w:r>
    </w:p>
    <w:p w14:paraId="0F5A40B0" w14:textId="77777777" w:rsidR="007935FF" w:rsidRDefault="007935FF" w:rsidP="00EF6A49">
      <w:pPr>
        <w:pStyle w:val="SingleTxtGA"/>
        <w:spacing w:line="342" w:lineRule="exact"/>
        <w:rPr>
          <w:lang w:val="en-US"/>
        </w:rPr>
      </w:pPr>
      <w:r>
        <w:rPr>
          <w:rtl/>
          <w:lang w:val="en-US"/>
        </w:rPr>
        <w:tab/>
        <w:t>(</w:t>
      </w:r>
      <w:r w:rsidRPr="007935FF">
        <w:rPr>
          <w:rtl/>
          <w:lang w:val="en-US"/>
        </w:rPr>
        <w:t>ج)</w:t>
      </w:r>
      <w:r w:rsidRPr="007935FF">
        <w:rPr>
          <w:rtl/>
          <w:lang w:val="en-US"/>
        </w:rPr>
        <w:tab/>
        <w:t>الافتقار إلى المعلومات المتعلقة بوجود آلية رسمية لإحالة ضحايا الاتجار وانخفاض عدد ملاجئ ضحايا الاتجار التي تمولها الحكومة؛</w:t>
      </w:r>
    </w:p>
    <w:p w14:paraId="2DD1D78F" w14:textId="173BE7CA" w:rsidR="007935FF" w:rsidRPr="007935FF" w:rsidRDefault="007935FF" w:rsidP="00EF6A49">
      <w:pPr>
        <w:pStyle w:val="SingleTxtGA"/>
        <w:spacing w:line="342" w:lineRule="exact"/>
        <w:rPr>
          <w:lang w:val="en-US"/>
        </w:rPr>
      </w:pPr>
      <w:r>
        <w:rPr>
          <w:rtl/>
          <w:lang w:val="en-US"/>
        </w:rPr>
        <w:tab/>
        <w:t>(</w:t>
      </w:r>
      <w:r w:rsidRPr="007935FF">
        <w:rPr>
          <w:rtl/>
          <w:lang w:val="en-US"/>
        </w:rPr>
        <w:t>د)</w:t>
      </w:r>
      <w:r w:rsidRPr="007935FF">
        <w:rPr>
          <w:rtl/>
          <w:lang w:val="en-US"/>
        </w:rPr>
        <w:tab/>
        <w:t>الانخفاض المبلغ عنه في مستوى وعي أصحاب المصلحة المعنيين بهذه الظاهرة، ولا</w:t>
      </w:r>
      <w:r w:rsidR="00075809">
        <w:rPr>
          <w:rFonts w:hint="cs"/>
          <w:rtl/>
          <w:lang w:val="en-US"/>
        </w:rPr>
        <w:t> </w:t>
      </w:r>
      <w:r w:rsidRPr="007935FF">
        <w:rPr>
          <w:rtl/>
          <w:lang w:val="en-US"/>
        </w:rPr>
        <w:t xml:space="preserve">سيما التعديلات التي أدخلت على قانون العقوبات في مجال مكافحة الاتجار. </w:t>
      </w:r>
    </w:p>
    <w:p w14:paraId="643A4E37" w14:textId="025C7318" w:rsidR="007935FF" w:rsidRPr="009F3E84" w:rsidRDefault="007935FF" w:rsidP="00EF6A49">
      <w:pPr>
        <w:pStyle w:val="SingleTxtGA"/>
        <w:spacing w:line="342" w:lineRule="exact"/>
        <w:rPr>
          <w:b/>
          <w:bCs/>
          <w:lang w:val="en-US"/>
        </w:rPr>
      </w:pPr>
      <w:r w:rsidRPr="009F3E84">
        <w:rPr>
          <w:rtl/>
          <w:lang w:val="en-US"/>
        </w:rPr>
        <w:t>70</w:t>
      </w:r>
      <w:r w:rsidRPr="007935FF">
        <w:rPr>
          <w:rtl/>
          <w:lang w:val="en-US"/>
        </w:rPr>
        <w:t>-</w:t>
      </w:r>
      <w:r w:rsidRPr="007935FF">
        <w:rPr>
          <w:rtl/>
          <w:lang w:val="en-US"/>
        </w:rPr>
        <w:tab/>
      </w:r>
      <w:r w:rsidRPr="009F3E84">
        <w:rPr>
          <w:b/>
          <w:bCs/>
          <w:rtl/>
          <w:lang w:val="en-US"/>
        </w:rPr>
        <w:t>تذكّر اللجنة بملاحظاتها الختامية السابقة</w:t>
      </w:r>
      <w:r w:rsidR="007D4D2B" w:rsidRPr="009F3E84">
        <w:rPr>
          <w:rStyle w:val="FootnoteReference"/>
          <w:b/>
          <w:bCs/>
          <w:szCs w:val="22"/>
          <w:rtl/>
          <w:lang w:val="en-US"/>
        </w:rPr>
        <w:t>(</w:t>
      </w:r>
      <w:r w:rsidR="007D4D2B" w:rsidRPr="009F3E84">
        <w:rPr>
          <w:rStyle w:val="FootnoteReference"/>
          <w:b/>
          <w:bCs/>
          <w:szCs w:val="22"/>
          <w:lang w:val="en-US"/>
        </w:rPr>
        <w:footnoteReference w:id="18"/>
      </w:r>
      <w:r w:rsidR="007D4D2B" w:rsidRPr="009F3E84">
        <w:rPr>
          <w:b/>
          <w:bCs/>
          <w:color w:val="000000"/>
          <w:vertAlign w:val="superscript"/>
          <w:rtl/>
          <w:lang w:val="en-US"/>
        </w:rPr>
        <w:t>)</w:t>
      </w:r>
      <w:r w:rsidR="007D4D2B" w:rsidRPr="009F3E84">
        <w:rPr>
          <w:b/>
          <w:bCs/>
          <w:color w:val="000000"/>
          <w:rtl/>
          <w:lang w:val="en-US"/>
        </w:rPr>
        <w:t>،</w:t>
      </w:r>
      <w:r w:rsidR="007D4D2B" w:rsidRPr="009F3E84">
        <w:rPr>
          <w:b/>
          <w:bCs/>
          <w:color w:val="000000"/>
          <w:rtl/>
          <w:lang w:val="en-US"/>
        </w:rPr>
        <w:t xml:space="preserve"> </w:t>
      </w:r>
      <w:r w:rsidRPr="009F3E84">
        <w:rPr>
          <w:b/>
          <w:bCs/>
          <w:rtl/>
          <w:lang w:val="en-US"/>
        </w:rPr>
        <w:t xml:space="preserve">ووفقاً للمبادئ والمبادئ التوجيهية </w:t>
      </w:r>
      <w:proofErr w:type="spellStart"/>
      <w:r w:rsidRPr="009F3E84">
        <w:rPr>
          <w:b/>
          <w:bCs/>
          <w:rtl/>
          <w:lang w:val="en-US"/>
        </w:rPr>
        <w:t>الموصى</w:t>
      </w:r>
      <w:proofErr w:type="spellEnd"/>
      <w:r w:rsidRPr="009F3E84">
        <w:rPr>
          <w:b/>
          <w:bCs/>
          <w:rtl/>
          <w:lang w:val="en-US"/>
        </w:rPr>
        <w:t xml:space="preserve"> بها فيما يتعلق بحقوق الإنسان والاتجار بالأشخاص، التي وضعتها مفوضية الأمم المتحدة السامية لحقوق الإنسان، توصي، بما يتماشى مع الغاية 5-2 من أهداف التنمية المستدامة، بأن تقوم الدولة الطرف بما يلي:</w:t>
      </w:r>
    </w:p>
    <w:p w14:paraId="66F2F144" w14:textId="70EBCF92" w:rsidR="007935FF" w:rsidRPr="009F3E84" w:rsidRDefault="00B160EB" w:rsidP="00EF6A49">
      <w:pPr>
        <w:pStyle w:val="SingleTxtGA"/>
        <w:spacing w:line="342" w:lineRule="exact"/>
        <w:rPr>
          <w:b/>
          <w:bCs/>
          <w:lang w:val="en-US"/>
        </w:rPr>
      </w:pPr>
      <w:r w:rsidRPr="00B160EB">
        <w:rPr>
          <w:rtl/>
          <w:lang w:val="en-US"/>
        </w:rPr>
        <w:tab/>
        <w:t>(أ)</w:t>
      </w:r>
      <w:r w:rsidRPr="00B160EB">
        <w:rPr>
          <w:rtl/>
          <w:lang w:val="en-US"/>
        </w:rPr>
        <w:tab/>
      </w:r>
      <w:r w:rsidR="007935FF" w:rsidRPr="009F3E84">
        <w:rPr>
          <w:rFonts w:ascii="Times New Roman Bold" w:hAnsi="Times New Roman Bold"/>
          <w:b/>
          <w:bCs/>
          <w:spacing w:val="-4"/>
          <w:rtl/>
          <w:lang w:val="en-US"/>
        </w:rPr>
        <w:t>اعتماد خطة عمل وطنية جديدة لمكافحة الاتجار بالأشخاص وضمان تنفيذها بفعالية</w:t>
      </w:r>
      <w:r w:rsidR="007935FF" w:rsidRPr="009F3E84">
        <w:rPr>
          <w:b/>
          <w:bCs/>
          <w:rtl/>
          <w:lang w:val="en-US"/>
        </w:rPr>
        <w:t xml:space="preserve"> لمنع الاتجار بالأشخاص ومكافحته، بما في ذلك من خلال توفير الموارد البشرية والتقنية والمالية الكافية لتنفيذها؛</w:t>
      </w:r>
    </w:p>
    <w:p w14:paraId="123A1D7A" w14:textId="70F9C627" w:rsidR="007935FF" w:rsidRPr="009F3E84" w:rsidRDefault="00B160EB" w:rsidP="00EF6A49">
      <w:pPr>
        <w:pStyle w:val="SingleTxtGA"/>
        <w:spacing w:line="342" w:lineRule="exact"/>
        <w:rPr>
          <w:b/>
          <w:bCs/>
          <w:lang w:val="en-US"/>
        </w:rPr>
      </w:pPr>
      <w:r w:rsidRPr="00B160EB">
        <w:rPr>
          <w:rtl/>
          <w:lang w:val="en-US"/>
        </w:rPr>
        <w:tab/>
        <w:t>(ب)</w:t>
      </w:r>
      <w:r w:rsidRPr="00B160EB">
        <w:rPr>
          <w:rtl/>
          <w:lang w:val="en-US"/>
        </w:rPr>
        <w:tab/>
      </w:r>
      <w:r w:rsidR="007935FF" w:rsidRPr="009F3E84">
        <w:rPr>
          <w:b/>
          <w:bCs/>
          <w:rtl/>
          <w:lang w:val="en-US"/>
        </w:rPr>
        <w:t xml:space="preserve">ضمان إجراء تحقيقات سريعة وفعالة ونزيهة، ومقاضاة ومعاقبة الضالعين في جميع أعمال الاتجار بالأشخاص والجرائم ذات الصلة؛ </w:t>
      </w:r>
    </w:p>
    <w:p w14:paraId="49B48B45" w14:textId="54DA3E8B" w:rsidR="007935FF" w:rsidRPr="009F3E84" w:rsidRDefault="00B160EB" w:rsidP="00075809">
      <w:pPr>
        <w:pStyle w:val="SingleTxtGA"/>
        <w:spacing w:line="350" w:lineRule="exact"/>
        <w:rPr>
          <w:b/>
          <w:bCs/>
          <w:lang w:val="en-US"/>
        </w:rPr>
      </w:pPr>
      <w:r w:rsidRPr="00B160EB">
        <w:rPr>
          <w:rtl/>
          <w:lang w:val="en-US"/>
        </w:rPr>
        <w:lastRenderedPageBreak/>
        <w:tab/>
        <w:t>(ج)</w:t>
      </w:r>
      <w:r w:rsidRPr="00B160EB">
        <w:rPr>
          <w:rtl/>
          <w:lang w:val="en-US"/>
        </w:rPr>
        <w:tab/>
      </w:r>
      <w:r w:rsidR="007935FF" w:rsidRPr="009F3E84">
        <w:rPr>
          <w:b/>
          <w:bCs/>
          <w:rtl/>
          <w:lang w:val="en-US"/>
        </w:rPr>
        <w:t>إنشاء آليات لدعم ضحايا الاتجار وإحالتهم وإعادة تأهيلهم وإدماجهم اجتماعي</w:t>
      </w:r>
      <w:r w:rsidR="00075809" w:rsidRPr="009F3E84">
        <w:rPr>
          <w:b/>
          <w:bCs/>
          <w:rtl/>
          <w:lang w:val="en-US"/>
        </w:rPr>
        <w:t>اً،</w:t>
      </w:r>
      <w:r w:rsidR="007935FF" w:rsidRPr="009F3E84">
        <w:rPr>
          <w:b/>
          <w:bCs/>
          <w:rtl/>
          <w:lang w:val="en-US"/>
        </w:rPr>
        <w:t xml:space="preserve"> بما</w:t>
      </w:r>
      <w:r w:rsidR="00075809" w:rsidRPr="009F3E84">
        <w:rPr>
          <w:rFonts w:hint="cs"/>
          <w:b/>
          <w:bCs/>
          <w:rtl/>
          <w:lang w:val="en-US"/>
        </w:rPr>
        <w:t> </w:t>
      </w:r>
      <w:r w:rsidR="007935FF" w:rsidRPr="009F3E84">
        <w:rPr>
          <w:b/>
          <w:bCs/>
          <w:rtl/>
          <w:lang w:val="en-US"/>
        </w:rPr>
        <w:t>في ذلك عن طريق تزويدهم بإمكانية الوصول إلى الملاجئ التي تمولها الحكومة، والمساعدة القانونية والطبية والنفسية</w:t>
      </w:r>
      <w:r w:rsidR="00EF6A49" w:rsidRPr="009F3E84">
        <w:rPr>
          <w:rFonts w:hint="cs"/>
          <w:b/>
          <w:bCs/>
          <w:rtl/>
          <w:lang w:val="en-US"/>
        </w:rPr>
        <w:t xml:space="preserve"> </w:t>
      </w:r>
      <w:r w:rsidR="007935FF" w:rsidRPr="009F3E84">
        <w:rPr>
          <w:b/>
          <w:bCs/>
          <w:rtl/>
          <w:lang w:val="en-US"/>
        </w:rPr>
        <w:t>-</w:t>
      </w:r>
      <w:r w:rsidR="00EF6A49" w:rsidRPr="009F3E84">
        <w:rPr>
          <w:rFonts w:hint="cs"/>
          <w:b/>
          <w:bCs/>
          <w:rtl/>
          <w:lang w:val="en-US"/>
        </w:rPr>
        <w:t xml:space="preserve"> </w:t>
      </w:r>
      <w:r w:rsidR="007935FF" w:rsidRPr="009F3E84">
        <w:rPr>
          <w:b/>
          <w:bCs/>
          <w:rtl/>
          <w:lang w:val="en-US"/>
        </w:rPr>
        <w:t>الاجتماعية؛</w:t>
      </w:r>
    </w:p>
    <w:p w14:paraId="5D2EA413" w14:textId="1338102E" w:rsidR="007935FF" w:rsidRPr="009F3E84" w:rsidRDefault="00B160EB" w:rsidP="00075809">
      <w:pPr>
        <w:pStyle w:val="SingleTxtGA"/>
        <w:spacing w:line="350" w:lineRule="exact"/>
        <w:rPr>
          <w:b/>
          <w:bCs/>
          <w:lang w:val="en-US"/>
        </w:rPr>
      </w:pPr>
      <w:r w:rsidRPr="00B160EB">
        <w:rPr>
          <w:rtl/>
          <w:lang w:val="en-US"/>
        </w:rPr>
        <w:tab/>
        <w:t>(د)</w:t>
      </w:r>
      <w:r w:rsidRPr="00B160EB">
        <w:rPr>
          <w:rtl/>
          <w:lang w:val="en-US"/>
        </w:rPr>
        <w:tab/>
      </w:r>
      <w:r w:rsidR="007935FF" w:rsidRPr="009F3E84">
        <w:rPr>
          <w:b/>
          <w:bCs/>
          <w:rtl/>
          <w:lang w:val="en-US"/>
        </w:rPr>
        <w:t>تعزيز التدريب المراعي للمنظور الجنساني والصديق للأطفال، بما في ذلك التدريب المتعلق بالتعديلات المدخلة على قانون العقوبات في مجال مكافحة الاتجار، لفائدة الموظفين المكلفين بإنفاذ القوانين، والقضاة، والمدعين العامين، ومفتشي العمل، والمعلمين، والعاملين في مجال الرعاية الصحية، وموظفي سفارات الدولة الطرف وقنصلياتها، وتكثيف حملات التوعية بشأن منع الاتجار بالعمال المهاجرين، وتشجيع القطاع الخاص على اعتماد سياسة "عدم التسامح مطلقا" مع الاستغلال الجنسي في السياحة وحماية</w:t>
      </w:r>
      <w:r w:rsidR="007F26E8" w:rsidRPr="009F3E84">
        <w:rPr>
          <w:b/>
          <w:bCs/>
          <w:rtl/>
          <w:lang w:val="en-US"/>
        </w:rPr>
        <w:t xml:space="preserve"> </w:t>
      </w:r>
      <w:r w:rsidR="007935FF" w:rsidRPr="009F3E84">
        <w:rPr>
          <w:b/>
          <w:bCs/>
          <w:rtl/>
          <w:lang w:val="en-US"/>
        </w:rPr>
        <w:t>الأشخاص الذين يعارضون جميع أشكال الاستغلال، بما في ذلك الاستغلال الجنسي التجاري والسخرة والخدمات؛</w:t>
      </w:r>
    </w:p>
    <w:p w14:paraId="06DFA4E9" w14:textId="434F19DA" w:rsidR="007935FF" w:rsidRPr="009F3E84" w:rsidRDefault="00B160EB" w:rsidP="00075809">
      <w:pPr>
        <w:pStyle w:val="SingleTxtGA"/>
        <w:spacing w:line="350" w:lineRule="exact"/>
        <w:rPr>
          <w:b/>
          <w:bCs/>
          <w:lang w:val="en-US"/>
        </w:rPr>
      </w:pPr>
      <w:r w:rsidRPr="00B160EB">
        <w:rPr>
          <w:rtl/>
          <w:lang w:val="en-US"/>
        </w:rPr>
        <w:tab/>
        <w:t>(ه)</w:t>
      </w:r>
      <w:r w:rsidRPr="00B160EB">
        <w:rPr>
          <w:rtl/>
          <w:lang w:val="en-US"/>
        </w:rPr>
        <w:tab/>
      </w:r>
      <w:r w:rsidR="007935FF" w:rsidRPr="009F3E84">
        <w:rPr>
          <w:b/>
          <w:bCs/>
          <w:rtl/>
          <w:lang w:val="en-US"/>
        </w:rPr>
        <w:t xml:space="preserve">تضمين تقريرها الدوري المقبل بيانات عن الاتجار بالنساء والفتيات واستغلالهن في </w:t>
      </w:r>
      <w:r w:rsidR="007935FF" w:rsidRPr="009F3E84">
        <w:rPr>
          <w:rFonts w:ascii="Times New Roman Bold" w:hAnsi="Times New Roman Bold"/>
          <w:b/>
          <w:bCs/>
          <w:spacing w:val="-2"/>
          <w:rtl/>
          <w:lang w:val="en-US"/>
        </w:rPr>
        <w:t>البغاء، وعدد الملاحقات القضائية وأحكام الإدانة الصادرة في قضايا الاتجار بالبشر والاستغلال الجنسي،</w:t>
      </w:r>
      <w:r w:rsidR="007935FF" w:rsidRPr="009F3E84">
        <w:rPr>
          <w:b/>
          <w:bCs/>
          <w:rtl/>
          <w:lang w:val="en-US"/>
        </w:rPr>
        <w:t xml:space="preserve"> وأثر التدابير المتخذة لمكافحة هذه الظواهر.</w:t>
      </w:r>
    </w:p>
    <w:p w14:paraId="4CC63318" w14:textId="77777777" w:rsidR="007935FF" w:rsidRPr="009F3E84" w:rsidRDefault="007935FF" w:rsidP="00075809">
      <w:pPr>
        <w:pStyle w:val="H23GA"/>
      </w:pPr>
      <w:r w:rsidRPr="009F3E84">
        <w:rPr>
          <w:rtl/>
        </w:rPr>
        <w:tab/>
      </w:r>
      <w:r w:rsidRPr="009F3E84">
        <w:rPr>
          <w:rtl/>
        </w:rPr>
        <w:tab/>
        <w:t xml:space="preserve">التدابير المتّخذة لمعالجة مسألة العمّال المهاجرين الذين هم في وضع غير نظامي </w:t>
      </w:r>
    </w:p>
    <w:p w14:paraId="1D091240" w14:textId="093143EA" w:rsidR="007D4D2B" w:rsidRPr="007D4D2B" w:rsidRDefault="007935FF" w:rsidP="00075809">
      <w:pPr>
        <w:pStyle w:val="SingleTxtGA"/>
        <w:spacing w:line="350" w:lineRule="exact"/>
        <w:rPr>
          <w:color w:val="000000"/>
          <w:lang w:val="en-US"/>
        </w:rPr>
      </w:pPr>
      <w:r w:rsidRPr="009F3E84">
        <w:rPr>
          <w:rtl/>
          <w:lang w:val="en-US"/>
        </w:rPr>
        <w:t>71</w:t>
      </w:r>
      <w:r w:rsidRPr="007935FF">
        <w:rPr>
          <w:rtl/>
          <w:lang w:val="en-US"/>
        </w:rPr>
        <w:t>-</w:t>
      </w:r>
      <w:r w:rsidRPr="007935FF">
        <w:rPr>
          <w:rtl/>
          <w:lang w:val="en-US"/>
        </w:rPr>
        <w:tab/>
      </w:r>
      <w:r w:rsidRPr="00EF6A49">
        <w:rPr>
          <w:spacing w:val="-2"/>
          <w:rtl/>
          <w:lang w:val="en-US"/>
        </w:rPr>
        <w:t xml:space="preserve">ترحب اللجنة بإنشاء نظام استثنائي، عام </w:t>
      </w:r>
      <w:r w:rsidRPr="009F3E84">
        <w:rPr>
          <w:spacing w:val="-2"/>
          <w:rtl/>
          <w:lang w:val="en-US"/>
        </w:rPr>
        <w:t>2021</w:t>
      </w:r>
      <w:r w:rsidRPr="00EF6A49">
        <w:rPr>
          <w:spacing w:val="-2"/>
          <w:rtl/>
          <w:lang w:val="en-US"/>
        </w:rPr>
        <w:t>، لتنظيم حالة المهاجرين غير النظاميين المقيمين</w:t>
      </w:r>
      <w:r w:rsidRPr="007935FF">
        <w:rPr>
          <w:rtl/>
          <w:lang w:val="en-US"/>
        </w:rPr>
        <w:t xml:space="preserve"> في الدولة الطرف بصورة استثنائية (المرسوم بقانون رقم </w:t>
      </w:r>
      <w:r w:rsidRPr="009F3E84">
        <w:rPr>
          <w:rtl/>
          <w:lang w:val="en-US"/>
        </w:rPr>
        <w:t>72</w:t>
      </w:r>
      <w:r w:rsidRPr="007935FF">
        <w:rPr>
          <w:rtl/>
          <w:lang w:val="en-US"/>
        </w:rPr>
        <w:t>/</w:t>
      </w:r>
      <w:r w:rsidRPr="009F3E84">
        <w:rPr>
          <w:rtl/>
          <w:lang w:val="en-US"/>
        </w:rPr>
        <w:t>2021</w:t>
      </w:r>
      <w:r w:rsidR="007D4D2B" w:rsidRPr="007D4D2B">
        <w:rPr>
          <w:color w:val="000000"/>
          <w:rtl/>
          <w:lang w:val="en-US"/>
        </w:rPr>
        <w:t xml:space="preserve">)، </w:t>
      </w:r>
      <w:r w:rsidRPr="007935FF">
        <w:rPr>
          <w:rtl/>
          <w:lang w:val="en-US"/>
        </w:rPr>
        <w:t xml:space="preserve">بمن فيهم العمال المهاجرون وأسرهم القادمون من بلدان الجماعة الاقتصادية لدول غرب أفريقيا والبلدان الأعضاء في جماعة البلدان الناطقة باللغة البرتغالية، ومعظمهم من السنغال وغينيا </w:t>
      </w:r>
      <w:proofErr w:type="spellStart"/>
      <w:r w:rsidRPr="007935FF">
        <w:rPr>
          <w:rtl/>
          <w:lang w:val="en-US"/>
        </w:rPr>
        <w:t>وغينيا</w:t>
      </w:r>
      <w:proofErr w:type="spellEnd"/>
      <w:r w:rsidRPr="007935FF">
        <w:rPr>
          <w:rtl/>
          <w:lang w:val="en-US"/>
        </w:rPr>
        <w:t xml:space="preserve"> - بيساو، والتي تم توسيعها لتشمل المهاجرين غير النظاميين من بلدان أخرى عام </w:t>
      </w:r>
      <w:r w:rsidRPr="009F3E84">
        <w:rPr>
          <w:rtl/>
          <w:lang w:val="en-US"/>
        </w:rPr>
        <w:t>202</w:t>
      </w:r>
      <w:r w:rsidR="007D4D2B" w:rsidRPr="009F3E84">
        <w:rPr>
          <w:color w:val="000000"/>
          <w:rtl/>
          <w:lang w:val="en-US"/>
        </w:rPr>
        <w:t>2</w:t>
      </w:r>
      <w:r w:rsidR="007D4D2B" w:rsidRPr="007D4D2B">
        <w:rPr>
          <w:color w:val="000000"/>
          <w:rtl/>
          <w:lang w:val="en-US"/>
        </w:rPr>
        <w:t xml:space="preserve">. </w:t>
      </w:r>
      <w:r w:rsidRPr="007935FF">
        <w:rPr>
          <w:rtl/>
          <w:lang w:val="en-US"/>
        </w:rPr>
        <w:t xml:space="preserve">ومع ذلك، تأسف اللجنة لعدم وجود معلومات حول معدل نجاح أكثر من </w:t>
      </w:r>
      <w:r w:rsidRPr="009F3E84">
        <w:rPr>
          <w:rtl/>
          <w:lang w:val="en-US"/>
        </w:rPr>
        <w:t>000</w:t>
      </w:r>
      <w:r w:rsidRPr="007935FF">
        <w:rPr>
          <w:rtl/>
          <w:lang w:val="en-US"/>
        </w:rPr>
        <w:t xml:space="preserve"> </w:t>
      </w:r>
      <w:r w:rsidRPr="009F3E84">
        <w:rPr>
          <w:rtl/>
          <w:lang w:val="en-US"/>
        </w:rPr>
        <w:t>3</w:t>
      </w:r>
      <w:r w:rsidRPr="007935FF">
        <w:rPr>
          <w:rtl/>
          <w:lang w:val="en-US"/>
        </w:rPr>
        <w:t xml:space="preserve"> طلب تم تلقيها من المهاجرين غير النظاميين حتى الآن، وحول ما إذا كان النظام الاستثنائي سيستمر إلى ما بعد حزيران/</w:t>
      </w:r>
      <w:proofErr w:type="gramStart"/>
      <w:r w:rsidRPr="007935FF">
        <w:rPr>
          <w:rtl/>
          <w:lang w:val="en-US"/>
        </w:rPr>
        <w:t>يونيه</w:t>
      </w:r>
      <w:proofErr w:type="gramEnd"/>
      <w:r w:rsidRPr="007935FF">
        <w:rPr>
          <w:rtl/>
          <w:lang w:val="en-US"/>
        </w:rPr>
        <w:t xml:space="preserve"> </w:t>
      </w:r>
      <w:r w:rsidRPr="009F3E84">
        <w:rPr>
          <w:rtl/>
          <w:lang w:val="en-US"/>
        </w:rPr>
        <w:t>202</w:t>
      </w:r>
      <w:r w:rsidR="007D4D2B" w:rsidRPr="009F3E84">
        <w:rPr>
          <w:color w:val="000000"/>
          <w:rtl/>
          <w:lang w:val="en-US"/>
        </w:rPr>
        <w:t>2</w:t>
      </w:r>
      <w:r w:rsidR="007D4D2B" w:rsidRPr="007D4D2B">
        <w:rPr>
          <w:color w:val="000000"/>
          <w:rtl/>
          <w:lang w:val="en-US"/>
        </w:rPr>
        <w:t>.</w:t>
      </w:r>
    </w:p>
    <w:p w14:paraId="4338833F" w14:textId="000DDF12" w:rsidR="007935FF" w:rsidRPr="009F3E84" w:rsidRDefault="007935FF" w:rsidP="00075809">
      <w:pPr>
        <w:pStyle w:val="SingleTxtGA"/>
        <w:spacing w:line="350" w:lineRule="exact"/>
        <w:rPr>
          <w:b/>
          <w:bCs/>
          <w:lang w:val="en-US"/>
        </w:rPr>
      </w:pPr>
      <w:r w:rsidRPr="009F3E84">
        <w:rPr>
          <w:rtl/>
          <w:lang w:val="en-US"/>
        </w:rPr>
        <w:t>72</w:t>
      </w:r>
      <w:r w:rsidRPr="007935FF">
        <w:rPr>
          <w:rtl/>
          <w:lang w:val="en-US"/>
        </w:rPr>
        <w:t>-</w:t>
      </w:r>
      <w:r w:rsidRPr="007935FF">
        <w:rPr>
          <w:rtl/>
          <w:lang w:val="en-US"/>
        </w:rPr>
        <w:tab/>
      </w:r>
      <w:r w:rsidRPr="009F3E84">
        <w:rPr>
          <w:rFonts w:ascii="Times New Roman Bold" w:hAnsi="Times New Roman Bold"/>
          <w:b/>
          <w:bCs/>
          <w:spacing w:val="-4"/>
          <w:rtl/>
          <w:lang w:val="en-US"/>
        </w:rPr>
        <w:t xml:space="preserve">توصي اللجنة، تمشياً مع المبادئ والخطوط التوجيهية </w:t>
      </w:r>
      <w:proofErr w:type="spellStart"/>
      <w:r w:rsidRPr="009F3E84">
        <w:rPr>
          <w:rFonts w:ascii="Times New Roman Bold" w:hAnsi="Times New Roman Bold"/>
          <w:b/>
          <w:bCs/>
          <w:spacing w:val="-4"/>
          <w:rtl/>
          <w:lang w:val="en-US"/>
        </w:rPr>
        <w:t>الموصى</w:t>
      </w:r>
      <w:proofErr w:type="spellEnd"/>
      <w:r w:rsidRPr="009F3E84">
        <w:rPr>
          <w:rFonts w:ascii="Times New Roman Bold" w:hAnsi="Times New Roman Bold"/>
          <w:b/>
          <w:bCs/>
          <w:spacing w:val="-4"/>
          <w:rtl/>
          <w:lang w:val="en-US"/>
        </w:rPr>
        <w:t xml:space="preserve"> بها فيما يتعلق بحقوق الإنسان </w:t>
      </w:r>
      <w:r w:rsidRPr="009F3E84">
        <w:rPr>
          <w:b/>
          <w:bCs/>
          <w:rtl/>
          <w:lang w:val="en-US"/>
        </w:rPr>
        <w:t>على الحدود الدولية، بأن تقوم الدولة الطرف بما يلي:</w:t>
      </w:r>
    </w:p>
    <w:p w14:paraId="04CEEED1" w14:textId="2D14C18B" w:rsidR="007935FF" w:rsidRPr="009F3E84" w:rsidRDefault="00B160EB" w:rsidP="00075809">
      <w:pPr>
        <w:pStyle w:val="SingleTxtGA"/>
        <w:spacing w:line="350" w:lineRule="exact"/>
        <w:rPr>
          <w:b/>
          <w:bCs/>
          <w:lang w:val="en-US"/>
        </w:rPr>
      </w:pPr>
      <w:r w:rsidRPr="00B160EB">
        <w:rPr>
          <w:rtl/>
          <w:lang w:val="en-US"/>
        </w:rPr>
        <w:tab/>
        <w:t>(أ)</w:t>
      </w:r>
      <w:r w:rsidRPr="00B160EB">
        <w:rPr>
          <w:rtl/>
          <w:lang w:val="en-US"/>
        </w:rPr>
        <w:tab/>
      </w:r>
      <w:r w:rsidR="007935FF" w:rsidRPr="009F3E84">
        <w:rPr>
          <w:b/>
          <w:bCs/>
          <w:rtl/>
          <w:lang w:val="en-US"/>
        </w:rPr>
        <w:t>مراجعة نتائج التدابير المتخذة لوضع إجراءات تسوية أوضاع العمال المهاجرين غير النظاميين وأفراد أسرهم، ولا سيما العاملات المهاجرات، وتوسيع نطاق هذه الإجراءات وتمديدها إلى ما</w:t>
      </w:r>
      <w:r w:rsidR="00075809" w:rsidRPr="009F3E84">
        <w:rPr>
          <w:rFonts w:hint="cs"/>
          <w:b/>
          <w:bCs/>
          <w:rtl/>
          <w:lang w:val="en-US"/>
        </w:rPr>
        <w:t> </w:t>
      </w:r>
      <w:r w:rsidR="007935FF" w:rsidRPr="009F3E84">
        <w:rPr>
          <w:b/>
          <w:bCs/>
          <w:rtl/>
          <w:lang w:val="en-US"/>
        </w:rPr>
        <w:t>بعد حزيران/</w:t>
      </w:r>
      <w:proofErr w:type="gramStart"/>
      <w:r w:rsidR="007935FF" w:rsidRPr="009F3E84">
        <w:rPr>
          <w:b/>
          <w:bCs/>
          <w:rtl/>
          <w:lang w:val="en-US"/>
        </w:rPr>
        <w:t>يونيه</w:t>
      </w:r>
      <w:proofErr w:type="gramEnd"/>
      <w:r w:rsidR="007935FF" w:rsidRPr="009F3E84">
        <w:rPr>
          <w:b/>
          <w:bCs/>
          <w:rtl/>
          <w:lang w:val="en-US"/>
        </w:rPr>
        <w:t xml:space="preserve"> 2022، إذا لزم الأمر، لضمان عدم استمرار هذا الوضع؛</w:t>
      </w:r>
    </w:p>
    <w:p w14:paraId="7512054D" w14:textId="130E93AC" w:rsidR="007935FF" w:rsidRPr="009F3E84" w:rsidRDefault="00B160EB" w:rsidP="007935FF">
      <w:pPr>
        <w:pStyle w:val="SingleTxtGA"/>
        <w:rPr>
          <w:b/>
          <w:bCs/>
          <w:lang w:val="en-US"/>
        </w:rPr>
      </w:pPr>
      <w:r w:rsidRPr="00B160EB">
        <w:rPr>
          <w:rtl/>
          <w:lang w:val="en-US"/>
        </w:rPr>
        <w:tab/>
        <w:t>(ب)</w:t>
      </w:r>
      <w:r w:rsidRPr="00B160EB">
        <w:rPr>
          <w:rtl/>
          <w:lang w:val="en-US"/>
        </w:rPr>
        <w:tab/>
      </w:r>
      <w:r w:rsidR="007935FF" w:rsidRPr="009F3E84">
        <w:rPr>
          <w:b/>
          <w:bCs/>
          <w:rtl/>
          <w:lang w:val="en-US"/>
        </w:rPr>
        <w:t>زيادة الوعي بشأن هذه الإجراءات لدى العمال المهاجرين غير النظاميين؛</w:t>
      </w:r>
    </w:p>
    <w:p w14:paraId="1AEA857D" w14:textId="11239755" w:rsidR="007935FF" w:rsidRPr="009F3E84" w:rsidRDefault="00B160EB" w:rsidP="007935FF">
      <w:pPr>
        <w:pStyle w:val="SingleTxtGA"/>
        <w:rPr>
          <w:b/>
          <w:bCs/>
          <w:lang w:val="en-US"/>
        </w:rPr>
      </w:pPr>
      <w:r w:rsidRPr="00B160EB">
        <w:rPr>
          <w:rtl/>
          <w:lang w:val="en-US"/>
        </w:rPr>
        <w:tab/>
        <w:t>(ج)</w:t>
      </w:r>
      <w:r w:rsidRPr="00B160EB">
        <w:rPr>
          <w:rtl/>
          <w:lang w:val="en-US"/>
        </w:rPr>
        <w:tab/>
      </w:r>
      <w:r w:rsidR="007935FF" w:rsidRPr="009F3E84">
        <w:rPr>
          <w:b/>
          <w:bCs/>
          <w:rtl/>
          <w:lang w:val="en-US"/>
        </w:rPr>
        <w:t>تزويدهم بمعلومات عن تدابير تسوية أوضاعهم ونتائجها في تقريرها الدوري المقبل.</w:t>
      </w:r>
    </w:p>
    <w:p w14:paraId="320FDF48" w14:textId="70E44F29" w:rsidR="007935FF" w:rsidRPr="009F3E84" w:rsidRDefault="00B83204" w:rsidP="00B83204">
      <w:pPr>
        <w:pStyle w:val="H23GA"/>
      </w:pPr>
      <w:r w:rsidRPr="009F3E84">
        <w:rPr>
          <w:rtl/>
        </w:rPr>
        <w:tab/>
      </w:r>
      <w:r w:rsidR="007935FF" w:rsidRPr="009F3E84">
        <w:rPr>
          <w:rtl/>
        </w:rPr>
        <w:t>6-</w:t>
      </w:r>
      <w:r w:rsidR="007935FF" w:rsidRPr="009F3E84">
        <w:rPr>
          <w:rtl/>
        </w:rPr>
        <w:tab/>
        <w:t xml:space="preserve">النشر والمتابعة </w:t>
      </w:r>
    </w:p>
    <w:p w14:paraId="25F5A2F3" w14:textId="77777777" w:rsidR="007935FF" w:rsidRPr="009F3E84" w:rsidRDefault="007935FF" w:rsidP="00B83204">
      <w:pPr>
        <w:pStyle w:val="H23GA"/>
      </w:pPr>
      <w:r w:rsidRPr="009F3E84">
        <w:rPr>
          <w:rtl/>
        </w:rPr>
        <w:tab/>
      </w:r>
      <w:r w:rsidRPr="009F3E84">
        <w:rPr>
          <w:rtl/>
        </w:rPr>
        <w:tab/>
        <w:t>النشر</w:t>
      </w:r>
    </w:p>
    <w:p w14:paraId="5B791D4A" w14:textId="77777777" w:rsidR="007935FF" w:rsidRPr="009F3E84" w:rsidRDefault="007935FF" w:rsidP="007935FF">
      <w:pPr>
        <w:pStyle w:val="SingleTxtGA"/>
        <w:rPr>
          <w:b/>
          <w:bCs/>
          <w:lang w:val="en-US"/>
        </w:rPr>
      </w:pPr>
      <w:r w:rsidRPr="009F3E84">
        <w:rPr>
          <w:rtl/>
          <w:lang w:val="en-US"/>
        </w:rPr>
        <w:t>73</w:t>
      </w:r>
      <w:r w:rsidRPr="007935FF">
        <w:rPr>
          <w:rtl/>
          <w:lang w:val="en-US"/>
        </w:rPr>
        <w:t>-</w:t>
      </w:r>
      <w:r w:rsidRPr="007935FF">
        <w:rPr>
          <w:rtl/>
          <w:lang w:val="en-US"/>
        </w:rPr>
        <w:tab/>
      </w:r>
      <w:r w:rsidRPr="009F3E84">
        <w:rPr>
          <w:b/>
          <w:bCs/>
          <w:rtl/>
          <w:lang w:val="en-US"/>
        </w:rPr>
        <w:t xml:space="preserve">تطلب اللجنة إلى الدولة الطرف أن تضمن نشر هذه الملاحظات الختامية في الوقت المناسب، باللغة الرسمية للدولة الطرف وبلغاتها الوطنية المعترف بها، على جميع مستويات مؤسّسات الدولة ذات الصلة، بما في ذلك الوزارات الحكومية والسلطة التشريعية والسلطة القضائية والسلطات المحلية ذات الصلة، فضلاً عن المنظّمات غير الحكومية وسائر أعضاء المجتمع المدني. </w:t>
      </w:r>
    </w:p>
    <w:p w14:paraId="506597FE" w14:textId="539E2B6B" w:rsidR="007935FF" w:rsidRPr="009F3E84" w:rsidRDefault="007935FF" w:rsidP="00B83204">
      <w:pPr>
        <w:pStyle w:val="H23GA"/>
      </w:pPr>
      <w:r w:rsidRPr="009F3E84">
        <w:rPr>
          <w:rtl/>
        </w:rPr>
        <w:lastRenderedPageBreak/>
        <w:tab/>
      </w:r>
      <w:r w:rsidRPr="009F3E84">
        <w:rPr>
          <w:rtl/>
        </w:rPr>
        <w:tab/>
        <w:t>المساعدة التقنية</w:t>
      </w:r>
    </w:p>
    <w:p w14:paraId="6484CBA1" w14:textId="4CAC2B85" w:rsidR="007935FF" w:rsidRPr="009F3E84" w:rsidRDefault="007935FF" w:rsidP="007935FF">
      <w:pPr>
        <w:pStyle w:val="SingleTxtGA"/>
        <w:rPr>
          <w:b/>
          <w:bCs/>
          <w:lang w:val="en-US"/>
        </w:rPr>
      </w:pPr>
      <w:r w:rsidRPr="009F3E84">
        <w:rPr>
          <w:rtl/>
          <w:lang w:val="en-US"/>
        </w:rPr>
        <w:t>74</w:t>
      </w:r>
      <w:r w:rsidRPr="007935FF">
        <w:rPr>
          <w:rtl/>
          <w:lang w:val="en-US"/>
        </w:rPr>
        <w:t>-</w:t>
      </w:r>
      <w:r w:rsidRPr="007935FF">
        <w:rPr>
          <w:rtl/>
          <w:lang w:val="en-US"/>
        </w:rPr>
        <w:tab/>
      </w:r>
      <w:r w:rsidRPr="009F3E84">
        <w:rPr>
          <w:rFonts w:ascii="Times New Roman Bold" w:hAnsi="Times New Roman Bold"/>
          <w:b/>
          <w:bCs/>
          <w:spacing w:val="-4"/>
          <w:rtl/>
          <w:lang w:val="en-US"/>
        </w:rPr>
        <w:t>توصي اللجنة الدولة الطرف بأن تستفيد أكثر من المساعدة الدولية والحكومية الدولية من أجل</w:t>
      </w:r>
      <w:r w:rsidRPr="009F3E84">
        <w:rPr>
          <w:b/>
          <w:bCs/>
          <w:rtl/>
          <w:lang w:val="en-US"/>
        </w:rPr>
        <w:t xml:space="preserve"> تنفيذ التوصيات الواردة في هذه الملاحظات الختامية بما يتّفق مع خطة التنمية المستدامة لعام 203</w:t>
      </w:r>
      <w:r w:rsidR="007D4D2B" w:rsidRPr="009F3E84">
        <w:rPr>
          <w:b/>
          <w:bCs/>
          <w:color w:val="000000"/>
          <w:rtl/>
          <w:lang w:val="en-US"/>
        </w:rPr>
        <w:t xml:space="preserve">0. </w:t>
      </w:r>
      <w:r w:rsidRPr="009F3E84">
        <w:rPr>
          <w:rFonts w:ascii="Times New Roman Bold" w:hAnsi="Times New Roman Bold"/>
          <w:b/>
          <w:bCs/>
          <w:spacing w:val="-4"/>
          <w:rtl/>
          <w:lang w:val="en-US"/>
        </w:rPr>
        <w:t>وتوصي</w:t>
      </w:r>
      <w:r w:rsidR="00EA4188" w:rsidRPr="009F3E84">
        <w:rPr>
          <w:rFonts w:ascii="Times New Roman Bold" w:hAnsi="Times New Roman Bold"/>
          <w:b/>
          <w:bCs/>
          <w:spacing w:val="-4"/>
          <w:rtl/>
          <w:lang w:val="en-US"/>
        </w:rPr>
        <w:t xml:space="preserve"> أيضاً </w:t>
      </w:r>
      <w:r w:rsidRPr="009F3E84">
        <w:rPr>
          <w:rFonts w:ascii="Times New Roman Bold" w:hAnsi="Times New Roman Bold"/>
          <w:b/>
          <w:bCs/>
          <w:spacing w:val="-4"/>
          <w:rtl/>
          <w:lang w:val="en-US"/>
        </w:rPr>
        <w:t>بأن تواصل الدولة الطرف تعاونها مع الوكالات والبرامج المتخصصة التابعة للأمم المتحدة.</w:t>
      </w:r>
    </w:p>
    <w:p w14:paraId="5584CFF4" w14:textId="77777777" w:rsidR="007935FF" w:rsidRPr="009F3E84" w:rsidRDefault="007935FF" w:rsidP="00B83204">
      <w:pPr>
        <w:pStyle w:val="H23GA"/>
      </w:pPr>
      <w:r w:rsidRPr="009F3E84">
        <w:rPr>
          <w:rtl/>
        </w:rPr>
        <w:tab/>
      </w:r>
      <w:r w:rsidRPr="009F3E84">
        <w:rPr>
          <w:rtl/>
        </w:rPr>
        <w:tab/>
        <w:t>متابعة الملاحظات الختامية</w:t>
      </w:r>
    </w:p>
    <w:p w14:paraId="1CA64833" w14:textId="6B968CEF" w:rsidR="007D4D2B" w:rsidRPr="009F3E84" w:rsidRDefault="007935FF" w:rsidP="007935FF">
      <w:pPr>
        <w:pStyle w:val="SingleTxtGA"/>
        <w:rPr>
          <w:b/>
          <w:bCs/>
          <w:color w:val="000000"/>
          <w:lang w:val="en-US"/>
        </w:rPr>
      </w:pPr>
      <w:r w:rsidRPr="009F3E84">
        <w:rPr>
          <w:rtl/>
          <w:lang w:val="en-US"/>
        </w:rPr>
        <w:t>75</w:t>
      </w:r>
      <w:r w:rsidRPr="007935FF">
        <w:rPr>
          <w:rtl/>
          <w:lang w:val="en-US"/>
        </w:rPr>
        <w:t>-</w:t>
      </w:r>
      <w:r w:rsidRPr="007935FF">
        <w:rPr>
          <w:rtl/>
          <w:lang w:val="en-US"/>
        </w:rPr>
        <w:tab/>
      </w:r>
      <w:r w:rsidRPr="009F3E84">
        <w:rPr>
          <w:b/>
          <w:bCs/>
          <w:rtl/>
          <w:lang w:val="en-US"/>
        </w:rPr>
        <w:t>تطلب اللجنة إلى الدولة الطرف أن تقدّم في غضون سنتين، (أي بحلول 1 أيار/مايو 2024</w:t>
      </w:r>
      <w:r w:rsidR="007D4D2B" w:rsidRPr="009F3E84">
        <w:rPr>
          <w:b/>
          <w:bCs/>
          <w:color w:val="000000"/>
          <w:rtl/>
          <w:lang w:val="en-US"/>
        </w:rPr>
        <w:t xml:space="preserve">)، </w:t>
      </w:r>
      <w:r w:rsidRPr="009F3E84">
        <w:rPr>
          <w:rFonts w:ascii="Times New Roman Bold" w:hAnsi="Times New Roman Bold"/>
          <w:b/>
          <w:bCs/>
          <w:spacing w:val="-4"/>
          <w:rtl/>
          <w:lang w:val="en-US"/>
        </w:rPr>
        <w:t>معلومات كتابية عن تنفيذ التوصيات الواردة في الفقرة 12(ب)</w:t>
      </w:r>
      <w:r w:rsidR="00C75750" w:rsidRPr="009F3E84">
        <w:rPr>
          <w:rFonts w:ascii="Times New Roman Bold" w:hAnsi="Times New Roman Bold" w:hint="cs"/>
          <w:b/>
          <w:bCs/>
          <w:spacing w:val="-4"/>
          <w:rtl/>
          <w:lang w:val="en-US"/>
        </w:rPr>
        <w:t xml:space="preserve"> </w:t>
      </w:r>
      <w:r w:rsidRPr="009F3E84">
        <w:rPr>
          <w:rFonts w:ascii="Times New Roman Bold" w:hAnsi="Times New Roman Bold"/>
          <w:b/>
          <w:bCs/>
          <w:spacing w:val="-4"/>
          <w:rtl/>
          <w:lang w:val="en-US"/>
        </w:rPr>
        <w:t>(التشريعات والتطبيق</w:t>
      </w:r>
      <w:r w:rsidR="007D4D2B" w:rsidRPr="009F3E84">
        <w:rPr>
          <w:rFonts w:ascii="Times New Roman Bold" w:hAnsi="Times New Roman Bold"/>
          <w:b/>
          <w:bCs/>
          <w:spacing w:val="-4"/>
          <w:rtl/>
          <w:lang w:val="en-US"/>
        </w:rPr>
        <w:t xml:space="preserve">)؛ </w:t>
      </w:r>
      <w:r w:rsidRPr="009F3E84">
        <w:rPr>
          <w:rFonts w:ascii="Times New Roman Bold" w:hAnsi="Times New Roman Bold"/>
          <w:b/>
          <w:bCs/>
          <w:spacing w:val="-4"/>
          <w:rtl/>
          <w:lang w:val="en-US"/>
        </w:rPr>
        <w:t>وفي الفقرتين 16</w:t>
      </w:r>
      <w:r w:rsidRPr="009F3E84">
        <w:rPr>
          <w:b/>
          <w:bCs/>
          <w:rtl/>
          <w:lang w:val="en-US"/>
        </w:rPr>
        <w:t xml:space="preserve"> </w:t>
      </w:r>
      <w:r w:rsidRPr="009F3E84">
        <w:rPr>
          <w:rFonts w:ascii="Times New Roman Bold" w:hAnsi="Times New Roman Bold"/>
          <w:b/>
          <w:bCs/>
          <w:spacing w:val="-4"/>
          <w:rtl/>
          <w:lang w:val="en-US"/>
        </w:rPr>
        <w:t>و66(د) (التصديق على اتفاقية العمال المنزليين لمنظمة العمل الدولية، 2011 (رقم 189)</w:t>
      </w:r>
      <w:r w:rsidR="007D4D2B" w:rsidRPr="009F3E84">
        <w:rPr>
          <w:rFonts w:ascii="Times New Roman Bold" w:hAnsi="Times New Roman Bold"/>
          <w:b/>
          <w:bCs/>
          <w:spacing w:val="-4"/>
          <w:rtl/>
          <w:lang w:val="en-US"/>
        </w:rPr>
        <w:t xml:space="preserve">)؛ </w:t>
      </w:r>
      <w:r w:rsidRPr="009F3E84">
        <w:rPr>
          <w:rFonts w:ascii="Times New Roman Bold" w:hAnsi="Times New Roman Bold"/>
          <w:b/>
          <w:bCs/>
          <w:spacing w:val="-4"/>
          <w:rtl/>
          <w:lang w:val="en-US"/>
        </w:rPr>
        <w:t>والفقرة 24</w:t>
      </w:r>
      <w:r w:rsidRPr="009F3E84">
        <w:rPr>
          <w:b/>
          <w:bCs/>
          <w:rtl/>
          <w:lang w:val="en-US"/>
        </w:rPr>
        <w:t xml:space="preserve"> (الرصد المستقل</w:t>
      </w:r>
      <w:r w:rsidR="007D4D2B" w:rsidRPr="009F3E84">
        <w:rPr>
          <w:b/>
          <w:bCs/>
          <w:color w:val="000000"/>
          <w:rtl/>
          <w:lang w:val="en-US"/>
        </w:rPr>
        <w:t xml:space="preserve">)؛ </w:t>
      </w:r>
      <w:r w:rsidRPr="009F3E84">
        <w:rPr>
          <w:b/>
          <w:bCs/>
          <w:rtl/>
          <w:lang w:val="en-US"/>
        </w:rPr>
        <w:t>والفقرة 44 (المساعدة القنصلية</w:t>
      </w:r>
      <w:r w:rsidR="007D4D2B" w:rsidRPr="009F3E84">
        <w:rPr>
          <w:b/>
          <w:bCs/>
          <w:color w:val="000000"/>
          <w:rtl/>
          <w:lang w:val="en-US"/>
        </w:rPr>
        <w:t xml:space="preserve">)؛ </w:t>
      </w:r>
      <w:r w:rsidRPr="009F3E84">
        <w:rPr>
          <w:b/>
          <w:bCs/>
          <w:rtl/>
          <w:lang w:val="en-US"/>
        </w:rPr>
        <w:t>والفقرة 56 (ما قبل المغادرة والحق في الحصول على المعلومات</w:t>
      </w:r>
      <w:r w:rsidR="007D4D2B" w:rsidRPr="009F3E84">
        <w:rPr>
          <w:b/>
          <w:bCs/>
          <w:color w:val="000000"/>
          <w:rtl/>
          <w:lang w:val="en-US"/>
        </w:rPr>
        <w:t>).</w:t>
      </w:r>
    </w:p>
    <w:p w14:paraId="7899FECE" w14:textId="1D7CA4A0" w:rsidR="007935FF" w:rsidRPr="009F3E84" w:rsidRDefault="007935FF" w:rsidP="00B83204">
      <w:pPr>
        <w:pStyle w:val="H23GA"/>
      </w:pPr>
      <w:r w:rsidRPr="009F3E84">
        <w:rPr>
          <w:rtl/>
        </w:rPr>
        <w:tab/>
      </w:r>
      <w:r w:rsidRPr="009F3E84">
        <w:rPr>
          <w:rtl/>
        </w:rPr>
        <w:tab/>
        <w:t>التقرير الدوري المقبل</w:t>
      </w:r>
    </w:p>
    <w:p w14:paraId="46D1177A" w14:textId="696D52AB" w:rsidR="007935FF" w:rsidRPr="009F3E84" w:rsidRDefault="007935FF" w:rsidP="007935FF">
      <w:pPr>
        <w:pStyle w:val="SingleTxtGA"/>
        <w:rPr>
          <w:b/>
          <w:bCs/>
          <w:lang w:val="en-US"/>
        </w:rPr>
      </w:pPr>
      <w:r w:rsidRPr="009F3E84">
        <w:rPr>
          <w:rtl/>
          <w:lang w:val="en-US"/>
        </w:rPr>
        <w:t>76</w:t>
      </w:r>
      <w:r w:rsidRPr="007935FF">
        <w:rPr>
          <w:rtl/>
          <w:lang w:val="en-US"/>
        </w:rPr>
        <w:t>-</w:t>
      </w:r>
      <w:r w:rsidRPr="007935FF">
        <w:rPr>
          <w:rtl/>
          <w:lang w:val="en-US"/>
        </w:rPr>
        <w:tab/>
      </w:r>
      <w:r w:rsidRPr="009F3E84">
        <w:rPr>
          <w:b/>
          <w:bCs/>
          <w:rtl/>
          <w:lang w:val="en-US"/>
        </w:rPr>
        <w:t>تطلب اللجنة إلى الدولة الطرف أن تقدّم تقريرها الدوري الرابع بحلول 1 أيار/مايو 200</w:t>
      </w:r>
      <w:r w:rsidR="007D4D2B" w:rsidRPr="009F3E84">
        <w:rPr>
          <w:b/>
          <w:bCs/>
          <w:color w:val="000000"/>
          <w:rtl/>
          <w:lang w:val="en-US"/>
        </w:rPr>
        <w:t xml:space="preserve">7. </w:t>
      </w:r>
      <w:r w:rsidRPr="009F3E84">
        <w:rPr>
          <w:b/>
          <w:bCs/>
          <w:rtl/>
          <w:lang w:val="en-US"/>
        </w:rPr>
        <w:t>وقد</w:t>
      </w:r>
      <w:r w:rsidR="008F3C8C" w:rsidRPr="009F3E84">
        <w:rPr>
          <w:rFonts w:hint="cs"/>
          <w:b/>
          <w:bCs/>
          <w:rtl/>
          <w:lang w:val="en-US"/>
        </w:rPr>
        <w:t> </w:t>
      </w:r>
      <w:r w:rsidRPr="009F3E84">
        <w:rPr>
          <w:b/>
          <w:bCs/>
          <w:rtl/>
          <w:lang w:val="en-US"/>
        </w:rPr>
        <w:t>تود الدولة الطرف، وهي تفعل ذلك، أن تتّبع الإجراء المبسط لتقديم التقارير. وتوجه اللجنة انتباه الدولة الطرف إلى مبادئها التوجيهية المنسَّقة لتقديم التقارير المتعلقة بمعاهدات بعينها</w:t>
      </w:r>
      <w:r w:rsidR="007D4D2B" w:rsidRPr="009F3E84">
        <w:rPr>
          <w:rStyle w:val="FootnoteReference"/>
          <w:b/>
          <w:bCs/>
          <w:szCs w:val="22"/>
          <w:rtl/>
          <w:lang w:val="en-US"/>
        </w:rPr>
        <w:t>(</w:t>
      </w:r>
      <w:r w:rsidR="007D4D2B" w:rsidRPr="009F3E84">
        <w:rPr>
          <w:rStyle w:val="FootnoteReference"/>
          <w:b/>
          <w:bCs/>
          <w:szCs w:val="22"/>
          <w:lang w:val="en-US"/>
        </w:rPr>
        <w:footnoteReference w:id="19"/>
      </w:r>
      <w:r w:rsidR="007D4D2B" w:rsidRPr="009F3E84">
        <w:rPr>
          <w:b/>
          <w:bCs/>
          <w:color w:val="000000"/>
          <w:vertAlign w:val="superscript"/>
          <w:rtl/>
          <w:lang w:val="en-US"/>
        </w:rPr>
        <w:t>)</w:t>
      </w:r>
      <w:r w:rsidR="007D4D2B" w:rsidRPr="009F3E84">
        <w:rPr>
          <w:b/>
          <w:bCs/>
          <w:color w:val="000000"/>
          <w:rtl/>
          <w:lang w:val="en-US"/>
        </w:rPr>
        <w:t xml:space="preserve">. </w:t>
      </w:r>
    </w:p>
    <w:p w14:paraId="105DA0C7" w14:textId="72EDAA90" w:rsidR="00707D67" w:rsidRPr="00707D67" w:rsidRDefault="00707D67" w:rsidP="00707D67">
      <w:pPr>
        <w:pStyle w:val="SingleTxtGA"/>
        <w:jc w:val="center"/>
        <w:rPr>
          <w:u w:val="single"/>
          <w:rtl/>
        </w:rPr>
      </w:pPr>
      <w:r>
        <w:rPr>
          <w:u w:val="single"/>
          <w:rtl/>
        </w:rPr>
        <w:tab/>
      </w:r>
      <w:r>
        <w:rPr>
          <w:u w:val="single"/>
          <w:rtl/>
        </w:rPr>
        <w:tab/>
      </w:r>
      <w:r>
        <w:rPr>
          <w:u w:val="single"/>
          <w:rtl/>
        </w:rPr>
        <w:tab/>
      </w:r>
    </w:p>
    <w:sectPr w:rsidR="00707D67" w:rsidRPr="00707D67" w:rsidSect="009A3A9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75D2" w14:textId="77777777" w:rsidR="00D23ED5" w:rsidRPr="002901D9" w:rsidRDefault="00D23ED5" w:rsidP="008809C0">
      <w:pPr>
        <w:spacing w:after="120" w:line="240" w:lineRule="auto"/>
        <w:ind w:left="57"/>
        <w:rPr>
          <w:i/>
          <w:iCs/>
        </w:rPr>
      </w:pPr>
      <w:r>
        <w:rPr>
          <w:rFonts w:hint="cs"/>
          <w:i/>
          <w:iCs/>
          <w:rtl/>
        </w:rPr>
        <w:t>الحواشي</w:t>
      </w:r>
    </w:p>
  </w:endnote>
  <w:endnote w:type="continuationSeparator" w:id="0">
    <w:p w14:paraId="66A0DFDA" w14:textId="77777777" w:rsidR="00D23ED5" w:rsidRDefault="00D23ED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A0EB" w14:textId="54B20D6E" w:rsidR="0077261B" w:rsidRPr="0077261B" w:rsidRDefault="0077261B" w:rsidP="0077261B">
    <w:pPr>
      <w:pStyle w:val="Footer"/>
      <w:tabs>
        <w:tab w:val="right" w:pos="9638"/>
      </w:tabs>
      <w:rPr>
        <w:b/>
        <w:sz w:val="18"/>
        <w:lang w:val="en-US"/>
      </w:rPr>
    </w:pPr>
    <w:r>
      <w:rPr>
        <w:lang w:val="en-US"/>
      </w:rPr>
      <w:t>GE.22-08332</w:t>
    </w:r>
    <w:r>
      <w:rPr>
        <w:lang w:val="en-US"/>
      </w:rPr>
      <w:tab/>
    </w:r>
    <w:r w:rsidRPr="0077261B">
      <w:rPr>
        <w:b/>
        <w:sz w:val="18"/>
        <w:lang w:val="en-US"/>
      </w:rPr>
      <w:fldChar w:fldCharType="begin"/>
    </w:r>
    <w:r w:rsidRPr="0077261B">
      <w:rPr>
        <w:b/>
        <w:sz w:val="18"/>
        <w:lang w:val="en-US"/>
      </w:rPr>
      <w:instrText xml:space="preserve"> PAGE  \* MERGEFORMAT </w:instrText>
    </w:r>
    <w:r w:rsidRPr="0077261B">
      <w:rPr>
        <w:b/>
        <w:sz w:val="18"/>
        <w:lang w:val="en-US"/>
      </w:rPr>
      <w:fldChar w:fldCharType="separate"/>
    </w:r>
    <w:r w:rsidRPr="0077261B">
      <w:rPr>
        <w:b/>
        <w:noProof/>
        <w:sz w:val="18"/>
        <w:lang w:val="en-US"/>
      </w:rPr>
      <w:t>2</w:t>
    </w:r>
    <w:r w:rsidRPr="0077261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D65B" w14:textId="4679448D" w:rsidR="006959B0" w:rsidRPr="0077261B" w:rsidRDefault="0077261B" w:rsidP="0077261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GE.22-08332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28BD" w14:textId="44308ACC" w:rsidR="007D04A0" w:rsidRPr="0077261B" w:rsidRDefault="0077261B" w:rsidP="0077261B">
    <w:pPr>
      <w:pStyle w:val="Footer"/>
      <w:spacing w:before="600"/>
      <w:ind w:left="567"/>
      <w:jc w:val="right"/>
      <w:rPr>
        <w:sz w:val="20"/>
        <w:lang w:val="en-US"/>
      </w:rPr>
    </w:pPr>
    <w:r>
      <w:rPr>
        <w:sz w:val="20"/>
        <w:lang w:val="en-US"/>
      </w:rPr>
      <w:t>GE.</w:t>
    </w:r>
    <w:r w:rsidR="00DC4EE6">
      <w:rPr>
        <w:noProof/>
      </w:rPr>
      <w:drawing>
        <wp:anchor distT="0" distB="0" distL="114300" distR="114300" simplePos="0" relativeHeight="251659264" behindDoc="1" locked="1" layoutInCell="0" allowOverlap="1" wp14:anchorId="708F23AA" wp14:editId="64262E6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22-08332 (A)</w:t>
    </w:r>
    <w:r>
      <w:rPr>
        <w:noProof/>
        <w:sz w:val="20"/>
        <w:lang w:val="en-US"/>
      </w:rPr>
      <w:drawing>
        <wp:anchor distT="0" distB="0" distL="114300" distR="114300" simplePos="0" relativeHeight="251660288" behindDoc="0" locked="0" layoutInCell="1" allowOverlap="1" wp14:anchorId="520D4EB1" wp14:editId="48D390F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82E0" w14:textId="77777777" w:rsidR="00D23ED5" w:rsidRPr="00E849B7" w:rsidRDefault="00D23ED5" w:rsidP="00E849B7">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9ADCFE9" w14:textId="77777777" w:rsidR="00D23ED5" w:rsidRDefault="00D23ED5" w:rsidP="00656392">
      <w:pPr>
        <w:spacing w:line="240" w:lineRule="auto"/>
      </w:pPr>
      <w:r>
        <w:continuationSeparator/>
      </w:r>
    </w:p>
  </w:footnote>
  <w:footnote w:id="1">
    <w:p w14:paraId="1200679D" w14:textId="7B5200DD" w:rsidR="007935FF" w:rsidRPr="007935FF" w:rsidRDefault="007935FF" w:rsidP="007935FF">
      <w:pPr>
        <w:pStyle w:val="FootnoteText1"/>
        <w:rPr>
          <w:rFonts w:hint="cs"/>
          <w:rtl/>
        </w:rPr>
      </w:pPr>
      <w:r>
        <w:rPr>
          <w:rtl/>
        </w:rPr>
        <w:t>*</w:t>
      </w:r>
      <w:r>
        <w:rPr>
          <w:rtl/>
        </w:rPr>
        <w:tab/>
      </w:r>
      <w:r w:rsidR="007F26E8" w:rsidRPr="007F26E8">
        <w:rPr>
          <w:rtl/>
        </w:rPr>
        <w:t>اعتمدته اللجنة في دورتها الرابعة والثلاثين (</w:t>
      </w:r>
      <w:r w:rsidR="007F26E8" w:rsidRPr="009F3E84">
        <w:rPr>
          <w:rtl/>
        </w:rPr>
        <w:t>28</w:t>
      </w:r>
      <w:r w:rsidR="007F26E8" w:rsidRPr="007F26E8">
        <w:rPr>
          <w:rtl/>
        </w:rPr>
        <w:t xml:space="preserve"> آذار/مارس - </w:t>
      </w:r>
      <w:r w:rsidR="007F26E8" w:rsidRPr="009F3E84">
        <w:rPr>
          <w:rtl/>
        </w:rPr>
        <w:t>8</w:t>
      </w:r>
      <w:r w:rsidR="007F26E8" w:rsidRPr="007F26E8">
        <w:rPr>
          <w:rtl/>
        </w:rPr>
        <w:t xml:space="preserve"> نيسان/أبريل </w:t>
      </w:r>
      <w:r w:rsidR="007F26E8" w:rsidRPr="009F3E84">
        <w:rPr>
          <w:rtl/>
        </w:rPr>
        <w:t>2022</w:t>
      </w:r>
      <w:r w:rsidR="007D4D2B" w:rsidRPr="007D4D2B">
        <w:rPr>
          <w:color w:val="000000"/>
          <w:rtl/>
        </w:rPr>
        <w:t>)</w:t>
      </w:r>
      <w:r w:rsidR="007D4D2B" w:rsidRPr="007D4D2B">
        <w:rPr>
          <w:color w:val="000000"/>
          <w:rtl/>
        </w:rPr>
        <w:t xml:space="preserve">. </w:t>
      </w:r>
    </w:p>
  </w:footnote>
  <w:footnote w:id="2">
    <w:p w14:paraId="3321B93A" w14:textId="77777777" w:rsidR="007D4D2B" w:rsidRPr="00C5021E" w:rsidRDefault="007D4D2B" w:rsidP="007D4D2B">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hyperlink r:id="rId1" w:history="1">
        <w:r w:rsidRPr="007D4D2B">
          <w:rPr>
            <w:rStyle w:val="Hyperlink"/>
            <w:lang w:val="en-AU"/>
          </w:rPr>
          <w:t>CMW/C/CPV/</w:t>
        </w:r>
        <w:r w:rsidRPr="009F3E84">
          <w:rPr>
            <w:rStyle w:val="Hyperlink"/>
            <w:lang w:val="en-AU"/>
          </w:rPr>
          <w:t>1</w:t>
        </w:r>
        <w:r w:rsidRPr="007D4D2B">
          <w:rPr>
            <w:rStyle w:val="Hyperlink"/>
            <w:lang w:val="en-AU"/>
          </w:rPr>
          <w:t>-</w:t>
        </w:r>
        <w:r w:rsidRPr="009F3E84">
          <w:rPr>
            <w:rStyle w:val="Hyperlink"/>
            <w:lang w:val="en-AU"/>
          </w:rPr>
          <w:t>3</w:t>
        </w:r>
      </w:hyperlink>
      <w:r w:rsidRPr="007D4D2B">
        <w:rPr>
          <w:color w:val="000000"/>
          <w:rtl/>
        </w:rPr>
        <w:t xml:space="preserve">. </w:t>
      </w:r>
    </w:p>
  </w:footnote>
  <w:footnote w:id="3">
    <w:p w14:paraId="3DE35A2C" w14:textId="694BB43D" w:rsidR="007D4D2B" w:rsidRPr="00C5021E" w:rsidRDefault="007D4D2B" w:rsidP="007D4D2B">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Pr>
          <w:rFonts w:hint="cs"/>
          <w:rtl/>
        </w:rPr>
        <w:t xml:space="preserve">الوثائق </w:t>
      </w:r>
      <w:hyperlink r:id="rId2" w:history="1">
        <w:r w:rsidRPr="007D4D2B">
          <w:rPr>
            <w:rStyle w:val="Hyperlink"/>
            <w:lang w:val="en-AU"/>
          </w:rPr>
          <w:t>CMW/C/SR.</w:t>
        </w:r>
        <w:r w:rsidRPr="009F3E84">
          <w:rPr>
            <w:rStyle w:val="Hyperlink"/>
            <w:lang w:val="en-AU"/>
          </w:rPr>
          <w:t>480</w:t>
        </w:r>
      </w:hyperlink>
      <w:r>
        <w:rPr>
          <w:rFonts w:hint="cs"/>
          <w:rtl/>
        </w:rPr>
        <w:t xml:space="preserve"> </w:t>
      </w:r>
      <w:r w:rsidRPr="007F26E8">
        <w:rPr>
          <w:rtl/>
        </w:rPr>
        <w:t>و</w:t>
      </w:r>
      <w:hyperlink r:id="rId3" w:history="1">
        <w:r w:rsidRPr="007D4D2B">
          <w:rPr>
            <w:rStyle w:val="Hyperlink"/>
          </w:rPr>
          <w:t>SR.</w:t>
        </w:r>
        <w:r w:rsidRPr="009F3E84">
          <w:rPr>
            <w:rStyle w:val="Hyperlink"/>
          </w:rPr>
          <w:t>481</w:t>
        </w:r>
      </w:hyperlink>
      <w:r>
        <w:rPr>
          <w:rtl/>
        </w:rPr>
        <w:t xml:space="preserve"> </w:t>
      </w:r>
      <w:r w:rsidRPr="007F26E8">
        <w:rPr>
          <w:rtl/>
        </w:rPr>
        <w:t>و</w:t>
      </w:r>
      <w:hyperlink r:id="rId4" w:history="1">
        <w:r w:rsidRPr="007D4D2B">
          <w:rPr>
            <w:rStyle w:val="Hyperlink"/>
          </w:rPr>
          <w:t>SR.</w:t>
        </w:r>
        <w:r w:rsidRPr="009F3E84">
          <w:rPr>
            <w:rStyle w:val="Hyperlink"/>
          </w:rPr>
          <w:t>48</w:t>
        </w:r>
        <w:r w:rsidRPr="009F3E84">
          <w:rPr>
            <w:rStyle w:val="Hyperlink"/>
          </w:rPr>
          <w:t>2</w:t>
        </w:r>
      </w:hyperlink>
      <w:r w:rsidRPr="007D4D2B">
        <w:rPr>
          <w:color w:val="000000"/>
          <w:rtl/>
        </w:rPr>
        <w:t xml:space="preserve">. </w:t>
      </w:r>
    </w:p>
  </w:footnote>
  <w:footnote w:id="4">
    <w:p w14:paraId="5A33E4D7" w14:textId="77777777" w:rsidR="007D4D2B" w:rsidRPr="00C5021E" w:rsidRDefault="007D4D2B" w:rsidP="007D4D2B">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hyperlink r:id="rId5" w:history="1">
        <w:r w:rsidRPr="007D4D2B">
          <w:rPr>
            <w:rStyle w:val="Hyperlink"/>
            <w:lang w:val="en-AU"/>
          </w:rPr>
          <w:t>CMW/C/CPV/CO/</w:t>
        </w:r>
        <w:r w:rsidRPr="009F3E84">
          <w:rPr>
            <w:rStyle w:val="Hyperlink"/>
            <w:lang w:val="en-AU"/>
          </w:rPr>
          <w:t>1</w:t>
        </w:r>
      </w:hyperlink>
      <w:r w:rsidRPr="007F26E8">
        <w:rPr>
          <w:rtl/>
        </w:rPr>
        <w:t xml:space="preserve">، الفقرتان </w:t>
      </w:r>
      <w:r w:rsidRPr="009F3E84">
        <w:rPr>
          <w:rtl/>
        </w:rPr>
        <w:t>36</w:t>
      </w:r>
      <w:r w:rsidRPr="007F26E8">
        <w:rPr>
          <w:rtl/>
        </w:rPr>
        <w:t xml:space="preserve"> و</w:t>
      </w:r>
      <w:r w:rsidRPr="009F3E84">
        <w:rPr>
          <w:rtl/>
        </w:rPr>
        <w:t>3</w:t>
      </w:r>
      <w:r w:rsidRPr="009F3E84">
        <w:rPr>
          <w:color w:val="000000"/>
          <w:rtl/>
        </w:rPr>
        <w:t>7</w:t>
      </w:r>
      <w:r w:rsidRPr="007D4D2B">
        <w:rPr>
          <w:color w:val="000000"/>
          <w:rtl/>
        </w:rPr>
        <w:t xml:space="preserve">. </w:t>
      </w:r>
    </w:p>
  </w:footnote>
  <w:footnote w:id="5">
    <w:p w14:paraId="6CE69226" w14:textId="77777777" w:rsidR="007D4D2B" w:rsidRPr="00C5021E" w:rsidRDefault="007D4D2B" w:rsidP="00C5021E">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tl/>
        </w:rPr>
        <w:t>1</w:t>
      </w:r>
      <w:r w:rsidRPr="009F3E84">
        <w:rPr>
          <w:color w:val="000000"/>
          <w:rtl/>
        </w:rPr>
        <w:t>1</w:t>
      </w:r>
      <w:r w:rsidRPr="007D4D2B">
        <w:rPr>
          <w:color w:val="000000"/>
          <w:rtl/>
        </w:rPr>
        <w:t xml:space="preserve">. </w:t>
      </w:r>
    </w:p>
  </w:footnote>
  <w:footnote w:id="6">
    <w:p w14:paraId="36CD2914" w14:textId="77777777" w:rsidR="007D4D2B" w:rsidRPr="00C5021E" w:rsidRDefault="007D4D2B" w:rsidP="00C5021E">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1</w:t>
      </w:r>
      <w:r w:rsidRPr="009F3E84">
        <w:rPr>
          <w:rFonts w:hint="cs"/>
          <w:color w:val="000000"/>
          <w:rtl/>
        </w:rPr>
        <w:t>3</w:t>
      </w:r>
      <w:r w:rsidRPr="007D4D2B">
        <w:rPr>
          <w:color w:val="000000"/>
          <w:rtl/>
        </w:rPr>
        <w:t xml:space="preserve">. </w:t>
      </w:r>
    </w:p>
  </w:footnote>
  <w:footnote w:id="7">
    <w:p w14:paraId="09F0F666" w14:textId="77777777" w:rsidR="007D4D2B" w:rsidRPr="00C5021E" w:rsidRDefault="007D4D2B" w:rsidP="00C5021E">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1</w:t>
      </w:r>
      <w:r w:rsidRPr="009F3E84">
        <w:rPr>
          <w:rFonts w:hint="cs"/>
          <w:color w:val="000000"/>
          <w:rtl/>
        </w:rPr>
        <w:t>5</w:t>
      </w:r>
      <w:r w:rsidRPr="007D4D2B">
        <w:rPr>
          <w:color w:val="000000"/>
          <w:rtl/>
        </w:rPr>
        <w:t xml:space="preserve">. </w:t>
      </w:r>
    </w:p>
  </w:footnote>
  <w:footnote w:id="8">
    <w:p w14:paraId="31A05FE2" w14:textId="77777777" w:rsidR="007D4D2B" w:rsidRPr="00C5021E" w:rsidRDefault="007D4D2B" w:rsidP="00C5021E">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2</w:t>
      </w:r>
      <w:r w:rsidRPr="009F3E84">
        <w:rPr>
          <w:rFonts w:hint="cs"/>
          <w:color w:val="000000"/>
          <w:rtl/>
        </w:rPr>
        <w:t>1</w:t>
      </w:r>
      <w:r w:rsidRPr="007D4D2B">
        <w:rPr>
          <w:color w:val="000000"/>
          <w:rtl/>
        </w:rPr>
        <w:t xml:space="preserve">. </w:t>
      </w:r>
    </w:p>
  </w:footnote>
  <w:footnote w:id="9">
    <w:p w14:paraId="4E3B1A72" w14:textId="77777777" w:rsidR="007D4D2B" w:rsidRPr="00C5021E" w:rsidRDefault="007D4D2B" w:rsidP="00C5021E">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1</w:t>
      </w:r>
      <w:r w:rsidRPr="009F3E84">
        <w:rPr>
          <w:rFonts w:hint="cs"/>
          <w:color w:val="000000"/>
          <w:rtl/>
        </w:rPr>
        <w:t>9</w:t>
      </w:r>
      <w:r w:rsidRPr="007D4D2B">
        <w:rPr>
          <w:color w:val="000000"/>
          <w:rtl/>
        </w:rPr>
        <w:t xml:space="preserve">. </w:t>
      </w:r>
    </w:p>
  </w:footnote>
  <w:footnote w:id="10">
    <w:p w14:paraId="645A4787" w14:textId="77777777" w:rsidR="007D4D2B" w:rsidRPr="00C5021E" w:rsidRDefault="007D4D2B" w:rsidP="00C5021E">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2</w:t>
      </w:r>
      <w:r w:rsidRPr="009F3E84">
        <w:rPr>
          <w:rFonts w:hint="cs"/>
          <w:color w:val="000000"/>
          <w:rtl/>
        </w:rPr>
        <w:t>3</w:t>
      </w:r>
      <w:r w:rsidRPr="007D4D2B">
        <w:rPr>
          <w:color w:val="000000"/>
          <w:rtl/>
        </w:rPr>
        <w:t xml:space="preserve">. </w:t>
      </w:r>
    </w:p>
  </w:footnote>
  <w:footnote w:id="11">
    <w:p w14:paraId="42A71F93" w14:textId="77777777" w:rsidR="007D4D2B" w:rsidRPr="00C5021E" w:rsidRDefault="007D4D2B" w:rsidP="00C5021E">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w:t>
      </w:r>
      <w:r>
        <w:rPr>
          <w:rFonts w:hint="cs"/>
          <w:rtl/>
        </w:rPr>
        <w:t xml:space="preserve">الفقرتان </w:t>
      </w:r>
      <w:r w:rsidRPr="009F3E84">
        <w:rPr>
          <w:rFonts w:hint="cs"/>
          <w:rtl/>
        </w:rPr>
        <w:t>25</w:t>
      </w:r>
      <w:r>
        <w:rPr>
          <w:rFonts w:hint="cs"/>
          <w:rtl/>
        </w:rPr>
        <w:t xml:space="preserve"> و</w:t>
      </w:r>
      <w:r w:rsidRPr="009F3E84">
        <w:rPr>
          <w:rFonts w:hint="cs"/>
          <w:rtl/>
        </w:rPr>
        <w:t>2</w:t>
      </w:r>
      <w:r w:rsidRPr="009F3E84">
        <w:rPr>
          <w:rFonts w:hint="cs"/>
          <w:color w:val="000000"/>
          <w:rtl/>
        </w:rPr>
        <w:t>7</w:t>
      </w:r>
      <w:r w:rsidRPr="007D4D2B">
        <w:rPr>
          <w:color w:val="000000"/>
          <w:rtl/>
        </w:rPr>
        <w:t xml:space="preserve">. </w:t>
      </w:r>
    </w:p>
  </w:footnote>
  <w:footnote w:id="12">
    <w:p w14:paraId="2CFE6EAA" w14:textId="77777777" w:rsidR="007D4D2B" w:rsidRPr="00C5021E" w:rsidRDefault="007D4D2B" w:rsidP="00C5021E">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2</w:t>
      </w:r>
      <w:r w:rsidRPr="009F3E84">
        <w:rPr>
          <w:rFonts w:hint="cs"/>
          <w:color w:val="000000"/>
          <w:rtl/>
        </w:rPr>
        <w:t>9</w:t>
      </w:r>
      <w:r w:rsidRPr="007D4D2B">
        <w:rPr>
          <w:color w:val="000000"/>
          <w:rtl/>
        </w:rPr>
        <w:t xml:space="preserve">. </w:t>
      </w:r>
    </w:p>
  </w:footnote>
  <w:footnote w:id="13">
    <w:p w14:paraId="714268AD" w14:textId="77777777" w:rsidR="007D4D2B" w:rsidRPr="00C5021E" w:rsidRDefault="007D4D2B" w:rsidP="00C5021E">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3</w:t>
      </w:r>
      <w:r w:rsidRPr="009F3E84">
        <w:rPr>
          <w:rFonts w:hint="cs"/>
          <w:color w:val="000000"/>
          <w:rtl/>
        </w:rPr>
        <w:t>1</w:t>
      </w:r>
      <w:r w:rsidRPr="007D4D2B">
        <w:rPr>
          <w:color w:val="000000"/>
          <w:rtl/>
        </w:rPr>
        <w:t xml:space="preserve">. </w:t>
      </w:r>
    </w:p>
  </w:footnote>
  <w:footnote w:id="14">
    <w:p w14:paraId="3987DE96" w14:textId="77777777" w:rsidR="007D4D2B" w:rsidRPr="00C5021E" w:rsidRDefault="007D4D2B" w:rsidP="00707D67">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w:t>
      </w:r>
      <w:r>
        <w:rPr>
          <w:rFonts w:hint="cs"/>
          <w:rtl/>
        </w:rPr>
        <w:t xml:space="preserve">الفقرتان </w:t>
      </w:r>
      <w:r w:rsidRPr="009F3E84">
        <w:rPr>
          <w:rFonts w:hint="cs"/>
          <w:rtl/>
        </w:rPr>
        <w:t>31</w:t>
      </w:r>
      <w:r>
        <w:rPr>
          <w:rFonts w:hint="cs"/>
          <w:rtl/>
        </w:rPr>
        <w:t xml:space="preserve"> و</w:t>
      </w:r>
      <w:r w:rsidRPr="009F3E84">
        <w:rPr>
          <w:rFonts w:hint="cs"/>
          <w:rtl/>
        </w:rPr>
        <w:t>3</w:t>
      </w:r>
      <w:r w:rsidRPr="009F3E84">
        <w:rPr>
          <w:rFonts w:hint="cs"/>
          <w:color w:val="000000"/>
          <w:rtl/>
        </w:rPr>
        <w:t>5</w:t>
      </w:r>
      <w:r w:rsidRPr="007D4D2B">
        <w:rPr>
          <w:color w:val="000000"/>
          <w:rtl/>
        </w:rPr>
        <w:t xml:space="preserve">. </w:t>
      </w:r>
    </w:p>
  </w:footnote>
  <w:footnote w:id="15">
    <w:p w14:paraId="0248C438" w14:textId="77777777" w:rsidR="007D4D2B" w:rsidRPr="00C5021E" w:rsidRDefault="007D4D2B" w:rsidP="00707D67">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1</w:t>
      </w:r>
      <w:r w:rsidRPr="009F3E84">
        <w:rPr>
          <w:rFonts w:hint="cs"/>
          <w:color w:val="000000"/>
          <w:rtl/>
        </w:rPr>
        <w:t>4</w:t>
      </w:r>
      <w:r w:rsidRPr="007D4D2B">
        <w:rPr>
          <w:color w:val="000000"/>
          <w:rtl/>
        </w:rPr>
        <w:t xml:space="preserve">. </w:t>
      </w:r>
    </w:p>
  </w:footnote>
  <w:footnote w:id="16">
    <w:p w14:paraId="6A623CB4" w14:textId="77777777" w:rsidR="007D4D2B" w:rsidRPr="00C5021E" w:rsidRDefault="007D4D2B" w:rsidP="00707D67">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3</w:t>
      </w:r>
      <w:r w:rsidRPr="009F3E84">
        <w:rPr>
          <w:rFonts w:hint="cs"/>
          <w:color w:val="000000"/>
          <w:rtl/>
        </w:rPr>
        <w:t>9</w:t>
      </w:r>
      <w:r w:rsidRPr="007D4D2B">
        <w:rPr>
          <w:color w:val="000000"/>
          <w:rtl/>
        </w:rPr>
        <w:t xml:space="preserve">. </w:t>
      </w:r>
    </w:p>
  </w:footnote>
  <w:footnote w:id="17">
    <w:p w14:paraId="189D9850" w14:textId="77777777" w:rsidR="007D4D2B" w:rsidRPr="00C5021E" w:rsidRDefault="007D4D2B" w:rsidP="00707D67">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4</w:t>
      </w:r>
      <w:r w:rsidRPr="009F3E84">
        <w:rPr>
          <w:rFonts w:hint="cs"/>
          <w:color w:val="000000"/>
          <w:rtl/>
        </w:rPr>
        <w:t>7</w:t>
      </w:r>
      <w:r w:rsidRPr="007D4D2B">
        <w:rPr>
          <w:color w:val="000000"/>
          <w:rtl/>
        </w:rPr>
        <w:t xml:space="preserve">. </w:t>
      </w:r>
    </w:p>
  </w:footnote>
  <w:footnote w:id="18">
    <w:p w14:paraId="2FB80DA7" w14:textId="77777777" w:rsidR="007D4D2B" w:rsidRPr="00C5021E" w:rsidRDefault="007D4D2B" w:rsidP="00707D67">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r w:rsidRPr="007F26E8">
        <w:rPr>
          <w:rtl/>
        </w:rPr>
        <w:t xml:space="preserve">المرجع نفسه، الفقرة </w:t>
      </w:r>
      <w:r w:rsidRPr="009F3E84">
        <w:rPr>
          <w:rFonts w:hint="cs"/>
          <w:rtl/>
        </w:rPr>
        <w:t>5</w:t>
      </w:r>
      <w:r w:rsidRPr="009F3E84">
        <w:rPr>
          <w:rFonts w:hint="cs"/>
          <w:color w:val="000000"/>
          <w:rtl/>
        </w:rPr>
        <w:t>1</w:t>
      </w:r>
      <w:r w:rsidRPr="007D4D2B">
        <w:rPr>
          <w:color w:val="000000"/>
          <w:rtl/>
        </w:rPr>
        <w:t xml:space="preserve">. </w:t>
      </w:r>
    </w:p>
  </w:footnote>
  <w:footnote w:id="19">
    <w:p w14:paraId="4D106EA0" w14:textId="77777777" w:rsidR="007D4D2B" w:rsidRPr="00C5021E" w:rsidRDefault="007D4D2B" w:rsidP="007D4D2B">
      <w:pPr>
        <w:pStyle w:val="FootnoteText1"/>
        <w:rPr>
          <w:rFonts w:hint="cs"/>
          <w:rtl/>
        </w:rPr>
      </w:pPr>
      <w:r w:rsidRPr="00C5021E">
        <w:rPr>
          <w:rtl/>
        </w:rPr>
        <w:t>(</w:t>
      </w:r>
      <w:r w:rsidRPr="009F3E84">
        <w:rPr>
          <w:rStyle w:val="FootnoteReference"/>
          <w:vertAlign w:val="baseline"/>
        </w:rPr>
        <w:footnoteRef/>
      </w:r>
      <w:r w:rsidRPr="00C5021E">
        <w:rPr>
          <w:rtl/>
        </w:rPr>
        <w:t>)</w:t>
      </w:r>
      <w:r>
        <w:rPr>
          <w:rtl/>
        </w:rPr>
        <w:tab/>
      </w:r>
      <w:hyperlink r:id="rId6" w:history="1">
        <w:r w:rsidRPr="007D4D2B">
          <w:rPr>
            <w:rStyle w:val="Hyperlink"/>
            <w:lang w:val="en-AU"/>
          </w:rPr>
          <w:t>HRI/GEN/</w:t>
        </w:r>
        <w:r w:rsidRPr="009F3E84">
          <w:rPr>
            <w:rStyle w:val="Hyperlink"/>
            <w:lang w:val="en-AU"/>
          </w:rPr>
          <w:t>2</w:t>
        </w:r>
        <w:r w:rsidRPr="007D4D2B">
          <w:rPr>
            <w:rStyle w:val="Hyperlink"/>
            <w:lang w:val="en-AU"/>
          </w:rPr>
          <w:t>/Rev.</w:t>
        </w:r>
        <w:r w:rsidRPr="009F3E84">
          <w:rPr>
            <w:rStyle w:val="Hyperlink"/>
            <w:lang w:val="en-AU"/>
          </w:rPr>
          <w:t>6</w:t>
        </w:r>
      </w:hyperlink>
      <w:r w:rsidRPr="007D4D2B">
        <w:rPr>
          <w:color w:val="00000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87B0" w14:textId="6D796109" w:rsidR="0077261B" w:rsidRPr="0077261B" w:rsidRDefault="0077261B" w:rsidP="0077261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CMW/C/CPV/CO/1-3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2A78" w14:textId="6DC6385D" w:rsidR="0077261B" w:rsidRPr="0077261B" w:rsidRDefault="0077261B" w:rsidP="0077261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CMW/C/CPV/CO/1-3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04B17"/>
    <w:rsid w:val="000076D5"/>
    <w:rsid w:val="00043663"/>
    <w:rsid w:val="00044934"/>
    <w:rsid w:val="000505CF"/>
    <w:rsid w:val="00075809"/>
    <w:rsid w:val="000D701C"/>
    <w:rsid w:val="000E2A71"/>
    <w:rsid w:val="000E7731"/>
    <w:rsid w:val="00160263"/>
    <w:rsid w:val="00181F96"/>
    <w:rsid w:val="001A1371"/>
    <w:rsid w:val="001A72EE"/>
    <w:rsid w:val="001B346A"/>
    <w:rsid w:val="001D181F"/>
    <w:rsid w:val="001E1CAD"/>
    <w:rsid w:val="001E290D"/>
    <w:rsid w:val="001E45CF"/>
    <w:rsid w:val="002144FA"/>
    <w:rsid w:val="00233629"/>
    <w:rsid w:val="0023469A"/>
    <w:rsid w:val="00243C8A"/>
    <w:rsid w:val="00266906"/>
    <w:rsid w:val="00267A0E"/>
    <w:rsid w:val="002901D9"/>
    <w:rsid w:val="002976C2"/>
    <w:rsid w:val="002B726E"/>
    <w:rsid w:val="002C05F6"/>
    <w:rsid w:val="002C3608"/>
    <w:rsid w:val="002C52C5"/>
    <w:rsid w:val="002D2D42"/>
    <w:rsid w:val="003260FF"/>
    <w:rsid w:val="00336B60"/>
    <w:rsid w:val="00343D95"/>
    <w:rsid w:val="0035017B"/>
    <w:rsid w:val="003622B5"/>
    <w:rsid w:val="00374341"/>
    <w:rsid w:val="00384225"/>
    <w:rsid w:val="003B7FA5"/>
    <w:rsid w:val="003C0D31"/>
    <w:rsid w:val="003D1062"/>
    <w:rsid w:val="00420D7B"/>
    <w:rsid w:val="00450B21"/>
    <w:rsid w:val="00453B63"/>
    <w:rsid w:val="00455780"/>
    <w:rsid w:val="0045649E"/>
    <w:rsid w:val="00465585"/>
    <w:rsid w:val="004A14A6"/>
    <w:rsid w:val="004B0A1C"/>
    <w:rsid w:val="004D298E"/>
    <w:rsid w:val="00523BAE"/>
    <w:rsid w:val="0054472E"/>
    <w:rsid w:val="005502AC"/>
    <w:rsid w:val="005540EB"/>
    <w:rsid w:val="005662A9"/>
    <w:rsid w:val="005827D4"/>
    <w:rsid w:val="00587F77"/>
    <w:rsid w:val="0059622A"/>
    <w:rsid w:val="005C5878"/>
    <w:rsid w:val="005C7CEA"/>
    <w:rsid w:val="005D23D2"/>
    <w:rsid w:val="005D3C0B"/>
    <w:rsid w:val="005D5FAB"/>
    <w:rsid w:val="005E5217"/>
    <w:rsid w:val="005F016A"/>
    <w:rsid w:val="005F0FA4"/>
    <w:rsid w:val="005F30EE"/>
    <w:rsid w:val="0060473A"/>
    <w:rsid w:val="00656392"/>
    <w:rsid w:val="0068781D"/>
    <w:rsid w:val="006959B0"/>
    <w:rsid w:val="006B3E27"/>
    <w:rsid w:val="006B6507"/>
    <w:rsid w:val="006C104C"/>
    <w:rsid w:val="00705E92"/>
    <w:rsid w:val="00707D67"/>
    <w:rsid w:val="00710F28"/>
    <w:rsid w:val="00733704"/>
    <w:rsid w:val="0077261B"/>
    <w:rsid w:val="0078071A"/>
    <w:rsid w:val="007935FF"/>
    <w:rsid w:val="007D04A0"/>
    <w:rsid w:val="007D4D2B"/>
    <w:rsid w:val="007F26E8"/>
    <w:rsid w:val="007F3270"/>
    <w:rsid w:val="00805C01"/>
    <w:rsid w:val="00852A9A"/>
    <w:rsid w:val="0086216C"/>
    <w:rsid w:val="008809C0"/>
    <w:rsid w:val="00894A7E"/>
    <w:rsid w:val="008F3C8C"/>
    <w:rsid w:val="008F49E1"/>
    <w:rsid w:val="0090370F"/>
    <w:rsid w:val="009269D2"/>
    <w:rsid w:val="00926A99"/>
    <w:rsid w:val="00942135"/>
    <w:rsid w:val="009521B0"/>
    <w:rsid w:val="00972938"/>
    <w:rsid w:val="00982D83"/>
    <w:rsid w:val="00994130"/>
    <w:rsid w:val="009951EE"/>
    <w:rsid w:val="009A3A9A"/>
    <w:rsid w:val="009A7E9F"/>
    <w:rsid w:val="009E5018"/>
    <w:rsid w:val="009F3E84"/>
    <w:rsid w:val="00A12B37"/>
    <w:rsid w:val="00A47A52"/>
    <w:rsid w:val="00AB6758"/>
    <w:rsid w:val="00AD39DF"/>
    <w:rsid w:val="00AF4F2D"/>
    <w:rsid w:val="00AF68B6"/>
    <w:rsid w:val="00B06FDB"/>
    <w:rsid w:val="00B116DD"/>
    <w:rsid w:val="00B13763"/>
    <w:rsid w:val="00B160EB"/>
    <w:rsid w:val="00B3422A"/>
    <w:rsid w:val="00B477A4"/>
    <w:rsid w:val="00B54045"/>
    <w:rsid w:val="00B742C7"/>
    <w:rsid w:val="00B83204"/>
    <w:rsid w:val="00C438D7"/>
    <w:rsid w:val="00C5021E"/>
    <w:rsid w:val="00C75750"/>
    <w:rsid w:val="00C81B50"/>
    <w:rsid w:val="00C91CE0"/>
    <w:rsid w:val="00CB28F9"/>
    <w:rsid w:val="00CB29ED"/>
    <w:rsid w:val="00CD1801"/>
    <w:rsid w:val="00CE510B"/>
    <w:rsid w:val="00CF43E6"/>
    <w:rsid w:val="00CF7EDE"/>
    <w:rsid w:val="00D10EF1"/>
    <w:rsid w:val="00D13E6D"/>
    <w:rsid w:val="00D23ED5"/>
    <w:rsid w:val="00D330A2"/>
    <w:rsid w:val="00D42810"/>
    <w:rsid w:val="00D42EEC"/>
    <w:rsid w:val="00D914A7"/>
    <w:rsid w:val="00DC1988"/>
    <w:rsid w:val="00DC4EE6"/>
    <w:rsid w:val="00DD13C3"/>
    <w:rsid w:val="00DD596E"/>
    <w:rsid w:val="00DD621E"/>
    <w:rsid w:val="00DE2E00"/>
    <w:rsid w:val="00DE59CB"/>
    <w:rsid w:val="00DF0575"/>
    <w:rsid w:val="00E654FB"/>
    <w:rsid w:val="00E70E04"/>
    <w:rsid w:val="00E76499"/>
    <w:rsid w:val="00E849B7"/>
    <w:rsid w:val="00EA4188"/>
    <w:rsid w:val="00EC05A7"/>
    <w:rsid w:val="00EC4B6B"/>
    <w:rsid w:val="00EE594C"/>
    <w:rsid w:val="00EF1EE5"/>
    <w:rsid w:val="00EF6A49"/>
    <w:rsid w:val="00F3567F"/>
    <w:rsid w:val="00F763B4"/>
    <w:rsid w:val="00F900C3"/>
    <w:rsid w:val="00F908E4"/>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0CFE52"/>
  <w15:docId w15:val="{8495A79A-AC9D-4096-BECD-C448E322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EE"/>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951EE"/>
    <w:pPr>
      <w:bidi w:val="0"/>
      <w:outlineLvl w:val="0"/>
    </w:pPr>
  </w:style>
  <w:style w:type="paragraph" w:styleId="Heading2">
    <w:name w:val="heading 2"/>
    <w:basedOn w:val="Normal"/>
    <w:next w:val="Normal"/>
    <w:link w:val="Heading2Char"/>
    <w:uiPriority w:val="9"/>
    <w:unhideWhenUsed/>
    <w:rsid w:val="009951E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951EE"/>
    <w:pPr>
      <w:keepNext/>
      <w:keepLines/>
      <w:spacing w:before="200"/>
      <w:outlineLvl w:val="2"/>
    </w:pPr>
    <w:rPr>
      <w:b/>
      <w:bCs/>
      <w:color w:val="4F81BD"/>
    </w:rPr>
  </w:style>
  <w:style w:type="paragraph" w:styleId="Heading4">
    <w:name w:val="heading 4"/>
    <w:basedOn w:val="Normal"/>
    <w:next w:val="Normal"/>
    <w:link w:val="Heading4Char"/>
    <w:uiPriority w:val="9"/>
    <w:unhideWhenUsed/>
    <w:rsid w:val="009951EE"/>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951EE"/>
    <w:pPr>
      <w:keepNext/>
      <w:keepLines/>
      <w:spacing w:before="200"/>
      <w:outlineLvl w:val="4"/>
    </w:pPr>
    <w:rPr>
      <w:color w:val="243F60"/>
    </w:rPr>
  </w:style>
  <w:style w:type="paragraph" w:styleId="Heading6">
    <w:name w:val="heading 6"/>
    <w:basedOn w:val="Normal"/>
    <w:next w:val="Normal"/>
    <w:link w:val="Heading6Char"/>
    <w:uiPriority w:val="9"/>
    <w:unhideWhenUsed/>
    <w:rsid w:val="009951EE"/>
    <w:pPr>
      <w:keepNext/>
      <w:keepLines/>
      <w:spacing w:before="200"/>
      <w:outlineLvl w:val="5"/>
    </w:pPr>
    <w:rPr>
      <w:i/>
      <w:iCs/>
      <w:color w:val="243F60"/>
    </w:rPr>
  </w:style>
  <w:style w:type="paragraph" w:styleId="Heading7">
    <w:name w:val="heading 7"/>
    <w:basedOn w:val="Normal"/>
    <w:next w:val="Normal"/>
    <w:link w:val="Heading7Char"/>
    <w:uiPriority w:val="9"/>
    <w:unhideWhenUsed/>
    <w:rsid w:val="009951EE"/>
    <w:pPr>
      <w:keepNext/>
      <w:keepLines/>
      <w:spacing w:before="200"/>
      <w:outlineLvl w:val="6"/>
    </w:pPr>
    <w:rPr>
      <w:i/>
      <w:iCs/>
      <w:color w:val="404040"/>
    </w:rPr>
  </w:style>
  <w:style w:type="paragraph" w:styleId="Heading8">
    <w:name w:val="heading 8"/>
    <w:basedOn w:val="Normal"/>
    <w:next w:val="Normal"/>
    <w:link w:val="Heading8Char"/>
    <w:uiPriority w:val="9"/>
    <w:unhideWhenUsed/>
    <w:rsid w:val="009951EE"/>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951EE"/>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951EE"/>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951EE"/>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9951EE"/>
    <w:rPr>
      <w:szCs w:val="18"/>
      <w:vertAlign w:val="superscript"/>
    </w:rPr>
  </w:style>
  <w:style w:type="paragraph" w:customStyle="1" w:styleId="HMGA">
    <w:name w:val="_ H __M_GA"/>
    <w:basedOn w:val="Normal"/>
    <w:next w:val="SingleTxtGA"/>
    <w:qFormat/>
    <w:rsid w:val="009951EE"/>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951EE"/>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951EE"/>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951EE"/>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951EE"/>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951EE"/>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951EE"/>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951EE"/>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951EE"/>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951EE"/>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951EE"/>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951EE"/>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951EE"/>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951EE"/>
    <w:pPr>
      <w:numPr>
        <w:numId w:val="5"/>
      </w:numPr>
      <w:bidi w:val="0"/>
    </w:pPr>
    <w:rPr>
      <w:lang w:val="en-US"/>
    </w:rPr>
  </w:style>
  <w:style w:type="paragraph" w:customStyle="1" w:styleId="Roman1GA">
    <w:name w:val="_Roman 1_GA"/>
    <w:basedOn w:val="Bullet1GA"/>
    <w:qFormat/>
    <w:rsid w:val="009951EE"/>
    <w:pPr>
      <w:numPr>
        <w:numId w:val="6"/>
      </w:numPr>
      <w:tabs>
        <w:tab w:val="clear" w:pos="2310"/>
        <w:tab w:val="left" w:pos="2486"/>
      </w:tabs>
      <w:ind w:left="2486" w:hanging="378"/>
    </w:pPr>
  </w:style>
  <w:style w:type="paragraph" w:customStyle="1" w:styleId="Roman2GA">
    <w:name w:val="_Roman 2_GA"/>
    <w:basedOn w:val="Bullet2GA"/>
    <w:qFormat/>
    <w:rsid w:val="009951EE"/>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951EE"/>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951EE"/>
    <w:rPr>
      <w:rFonts w:ascii="Times New Roman" w:eastAsia="PMingLiU" w:hAnsi="Times New Roman" w:cs="Simplified Arabic"/>
      <w:sz w:val="18"/>
      <w:szCs w:val="20"/>
      <w:lang w:val="en-GB"/>
    </w:rPr>
  </w:style>
  <w:style w:type="character" w:customStyle="1" w:styleId="EndtnoteReference">
    <w:name w:val="Endtnote Reference"/>
    <w:aliases w:val="1_GA"/>
    <w:qFormat/>
    <w:rsid w:val="009951EE"/>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951EE"/>
    <w:pPr>
      <w:suppressAutoHyphens/>
      <w:bidi w:val="0"/>
      <w:spacing w:line="240" w:lineRule="auto"/>
    </w:pPr>
    <w:rPr>
      <w:sz w:val="16"/>
      <w:lang w:val="en-GB"/>
    </w:rPr>
  </w:style>
  <w:style w:type="character" w:customStyle="1" w:styleId="FooterChar">
    <w:name w:val="Footer Char"/>
    <w:aliases w:val="3_GA Char,3_G Char"/>
    <w:link w:val="Footer"/>
    <w:rsid w:val="009951EE"/>
    <w:rPr>
      <w:rFonts w:ascii="Times New Roman" w:eastAsia="PMingLiU" w:hAnsi="Times New Roman" w:cs="Simplified Arabic"/>
      <w:sz w:val="16"/>
      <w:lang w:val="en-GB"/>
    </w:rPr>
  </w:style>
  <w:style w:type="paragraph" w:customStyle="1" w:styleId="FootnoteText1">
    <w:name w:val="Footnote Text1"/>
    <w:aliases w:val="5_GA"/>
    <w:basedOn w:val="Normal"/>
    <w:qFormat/>
    <w:rsid w:val="009951EE"/>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951EE"/>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951EE"/>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951EE"/>
    <w:rPr>
      <w:rFonts w:ascii="Times New Roman" w:eastAsia="PMingLiU" w:hAnsi="Times New Roman" w:cs="Simplified Arabic"/>
      <w:lang w:val="en-GB"/>
    </w:rPr>
  </w:style>
  <w:style w:type="character" w:styleId="PageNumber">
    <w:name w:val="page number"/>
    <w:aliases w:val="7_GA,7_G"/>
    <w:qFormat/>
    <w:rsid w:val="009951EE"/>
    <w:rPr>
      <w:rFonts w:ascii="Times New Roman Bold" w:hAnsi="Times New Roman Bold"/>
      <w:b/>
      <w:i w:val="0"/>
      <w:sz w:val="18"/>
      <w:szCs w:val="18"/>
    </w:rPr>
  </w:style>
  <w:style w:type="paragraph" w:customStyle="1" w:styleId="XXLargeGA">
    <w:name w:val="XXLarge_GA"/>
    <w:basedOn w:val="Normal"/>
    <w:next w:val="SingleTxtGA"/>
    <w:qFormat/>
    <w:rsid w:val="009951EE"/>
    <w:pPr>
      <w:suppressAutoHyphens/>
      <w:spacing w:line="820" w:lineRule="exact"/>
    </w:pPr>
    <w:rPr>
      <w:spacing w:val="-8"/>
      <w:w w:val="96"/>
      <w:sz w:val="57"/>
      <w:szCs w:val="86"/>
      <w:lang w:val="en-GB"/>
    </w:rPr>
  </w:style>
  <w:style w:type="character" w:customStyle="1" w:styleId="Heading2Char">
    <w:name w:val="Heading 2 Char"/>
    <w:link w:val="Heading2"/>
    <w:uiPriority w:val="9"/>
    <w:rsid w:val="009951EE"/>
    <w:rPr>
      <w:rFonts w:ascii="Times New Roman" w:eastAsia="PMingLiU" w:hAnsi="Times New Roman" w:cs="Simplified Arabic"/>
      <w:b/>
      <w:bCs/>
      <w:color w:val="4F81BD"/>
      <w:sz w:val="26"/>
      <w:szCs w:val="26"/>
    </w:rPr>
  </w:style>
  <w:style w:type="character" w:styleId="BookTitle">
    <w:name w:val="Book Title"/>
    <w:uiPriority w:val="33"/>
    <w:rsid w:val="009951EE"/>
    <w:rPr>
      <w:b/>
      <w:bCs/>
      <w:smallCaps/>
      <w:spacing w:val="5"/>
    </w:rPr>
  </w:style>
  <w:style w:type="character" w:customStyle="1" w:styleId="Heading3Char">
    <w:name w:val="Heading 3 Char"/>
    <w:link w:val="Heading3"/>
    <w:uiPriority w:val="9"/>
    <w:rsid w:val="009951EE"/>
    <w:rPr>
      <w:rFonts w:ascii="Times New Roman" w:eastAsia="PMingLiU" w:hAnsi="Times New Roman" w:cs="Simplified Arabic"/>
      <w:b/>
      <w:bCs/>
      <w:color w:val="4F81BD"/>
      <w:sz w:val="20"/>
    </w:rPr>
  </w:style>
  <w:style w:type="character" w:customStyle="1" w:styleId="Heading4Char">
    <w:name w:val="Heading 4 Char"/>
    <w:link w:val="Heading4"/>
    <w:uiPriority w:val="9"/>
    <w:rsid w:val="009951EE"/>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951EE"/>
    <w:rPr>
      <w:rFonts w:ascii="Times New Roman" w:eastAsia="PMingLiU" w:hAnsi="Times New Roman" w:cs="Simplified Arabic"/>
      <w:color w:val="243F60"/>
      <w:sz w:val="20"/>
    </w:rPr>
  </w:style>
  <w:style w:type="character" w:customStyle="1" w:styleId="Heading6Char">
    <w:name w:val="Heading 6 Char"/>
    <w:link w:val="Heading6"/>
    <w:uiPriority w:val="9"/>
    <w:rsid w:val="009951EE"/>
    <w:rPr>
      <w:rFonts w:ascii="Times New Roman" w:eastAsia="PMingLiU" w:hAnsi="Times New Roman" w:cs="Simplified Arabic"/>
      <w:i/>
      <w:iCs/>
      <w:color w:val="243F60"/>
      <w:sz w:val="20"/>
    </w:rPr>
  </w:style>
  <w:style w:type="character" w:customStyle="1" w:styleId="Heading7Char">
    <w:name w:val="Heading 7 Char"/>
    <w:link w:val="Heading7"/>
    <w:uiPriority w:val="9"/>
    <w:rsid w:val="009951EE"/>
    <w:rPr>
      <w:rFonts w:ascii="Times New Roman" w:eastAsia="PMingLiU" w:hAnsi="Times New Roman" w:cs="Simplified Arabic"/>
      <w:i/>
      <w:iCs/>
      <w:color w:val="404040"/>
      <w:sz w:val="20"/>
    </w:rPr>
  </w:style>
  <w:style w:type="character" w:customStyle="1" w:styleId="Heading8Char">
    <w:name w:val="Heading 8 Char"/>
    <w:link w:val="Heading8"/>
    <w:uiPriority w:val="9"/>
    <w:rsid w:val="009951EE"/>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951EE"/>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951EE"/>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951EE"/>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951EE"/>
    <w:pPr>
      <w:numPr>
        <w:ilvl w:val="1"/>
      </w:numPr>
    </w:pPr>
    <w:rPr>
      <w:i/>
      <w:iCs/>
      <w:color w:val="4F81BD"/>
      <w:spacing w:val="15"/>
      <w:sz w:val="24"/>
      <w:szCs w:val="24"/>
    </w:rPr>
  </w:style>
  <w:style w:type="character" w:customStyle="1" w:styleId="SubtitleChar">
    <w:name w:val="Subtitle Char"/>
    <w:link w:val="Subtitle"/>
    <w:uiPriority w:val="11"/>
    <w:rsid w:val="009951EE"/>
    <w:rPr>
      <w:rFonts w:ascii="Times New Roman" w:eastAsia="PMingLiU" w:hAnsi="Times New Roman" w:cs="Simplified Arabic"/>
      <w:i/>
      <w:iCs/>
      <w:color w:val="4F81BD"/>
      <w:spacing w:val="15"/>
      <w:sz w:val="24"/>
      <w:szCs w:val="24"/>
    </w:rPr>
  </w:style>
  <w:style w:type="character" w:styleId="SubtleEmphasis">
    <w:name w:val="Subtle Emphasis"/>
    <w:uiPriority w:val="19"/>
    <w:rsid w:val="009951EE"/>
    <w:rPr>
      <w:i/>
      <w:iCs/>
      <w:color w:val="808080"/>
    </w:rPr>
  </w:style>
  <w:style w:type="table" w:styleId="ColorfulGrid-Accent6">
    <w:name w:val="Colorful Grid Accent 6"/>
    <w:basedOn w:val="TableNormal"/>
    <w:uiPriority w:val="73"/>
    <w:rsid w:val="009951EE"/>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951EE"/>
    <w:rPr>
      <w:i/>
      <w:iCs/>
    </w:rPr>
  </w:style>
  <w:style w:type="character" w:styleId="IntenseEmphasis">
    <w:name w:val="Intense Emphasis"/>
    <w:uiPriority w:val="21"/>
    <w:rsid w:val="009951EE"/>
    <w:rPr>
      <w:b/>
      <w:bCs/>
      <w:i/>
      <w:iCs/>
      <w:color w:val="4F81BD"/>
    </w:rPr>
  </w:style>
  <w:style w:type="character" w:styleId="Strong">
    <w:name w:val="Strong"/>
    <w:uiPriority w:val="22"/>
    <w:rsid w:val="009951EE"/>
    <w:rPr>
      <w:b/>
      <w:bCs/>
    </w:rPr>
  </w:style>
  <w:style w:type="paragraph" w:styleId="Quote">
    <w:name w:val="Quote"/>
    <w:basedOn w:val="Normal"/>
    <w:next w:val="Normal"/>
    <w:link w:val="QuoteChar"/>
    <w:uiPriority w:val="29"/>
    <w:rsid w:val="009951EE"/>
    <w:rPr>
      <w:i/>
      <w:iCs/>
      <w:color w:val="000000"/>
    </w:rPr>
  </w:style>
  <w:style w:type="character" w:customStyle="1" w:styleId="QuoteChar">
    <w:name w:val="Quote Char"/>
    <w:link w:val="Quote"/>
    <w:uiPriority w:val="29"/>
    <w:rsid w:val="009951EE"/>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9951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951EE"/>
    <w:rPr>
      <w:rFonts w:ascii="Times New Roman" w:eastAsia="PMingLiU" w:hAnsi="Times New Roman" w:cs="Simplified Arabic"/>
      <w:b/>
      <w:bCs/>
      <w:i/>
      <w:iCs/>
      <w:color w:val="4F81BD"/>
      <w:sz w:val="20"/>
    </w:rPr>
  </w:style>
  <w:style w:type="character" w:styleId="SubtleReference">
    <w:name w:val="Subtle Reference"/>
    <w:uiPriority w:val="31"/>
    <w:rsid w:val="009951EE"/>
    <w:rPr>
      <w:smallCaps/>
      <w:color w:val="C0504D"/>
      <w:u w:val="single"/>
    </w:rPr>
  </w:style>
  <w:style w:type="character" w:styleId="IntenseReference">
    <w:name w:val="Intense Reference"/>
    <w:uiPriority w:val="32"/>
    <w:rsid w:val="009951EE"/>
    <w:rPr>
      <w:b/>
      <w:bCs/>
      <w:smallCaps/>
      <w:color w:val="C0504D"/>
      <w:spacing w:val="5"/>
      <w:u w:val="single"/>
    </w:rPr>
  </w:style>
  <w:style w:type="paragraph" w:styleId="ListParagraph">
    <w:name w:val="List Paragraph"/>
    <w:basedOn w:val="Normal"/>
    <w:uiPriority w:val="34"/>
    <w:rsid w:val="009951EE"/>
    <w:pPr>
      <w:ind w:left="720"/>
      <w:contextualSpacing/>
    </w:pPr>
  </w:style>
  <w:style w:type="table" w:styleId="MediumShading1-Accent4">
    <w:name w:val="Medium Shading 1 Accent 4"/>
    <w:basedOn w:val="TableNormal"/>
    <w:uiPriority w:val="63"/>
    <w:rsid w:val="009951EE"/>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951EE"/>
    <w:rPr>
      <w:rFonts w:eastAsia="MS Mincho"/>
      <w:sz w:val="18"/>
      <w:vertAlign w:val="superscript"/>
    </w:rPr>
  </w:style>
  <w:style w:type="table" w:styleId="TableGrid">
    <w:name w:val="Table Grid"/>
    <w:basedOn w:val="TableNormal"/>
    <w:rsid w:val="009951EE"/>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1EE"/>
    <w:pPr>
      <w:spacing w:line="240" w:lineRule="auto"/>
    </w:pPr>
    <w:rPr>
      <w:sz w:val="16"/>
      <w:szCs w:val="16"/>
    </w:rPr>
  </w:style>
  <w:style w:type="character" w:customStyle="1" w:styleId="BalloonTextChar">
    <w:name w:val="Balloon Text Char"/>
    <w:link w:val="BalloonText"/>
    <w:uiPriority w:val="99"/>
    <w:semiHidden/>
    <w:rsid w:val="009951EE"/>
    <w:rPr>
      <w:rFonts w:ascii="Times New Roman" w:eastAsia="PMingLiU" w:hAnsi="Times New Roman" w:cs="Simplified Arabic"/>
      <w:sz w:val="16"/>
      <w:szCs w:val="16"/>
    </w:rPr>
  </w:style>
  <w:style w:type="character" w:styleId="Hyperlink">
    <w:name w:val="Hyperlink"/>
    <w:uiPriority w:val="99"/>
    <w:unhideWhenUsed/>
    <w:rsid w:val="009951EE"/>
    <w:rPr>
      <w:color w:val="0000FF"/>
      <w:u w:val="none"/>
    </w:rPr>
  </w:style>
  <w:style w:type="paragraph" w:styleId="TOC1">
    <w:name w:val="toc 1"/>
    <w:basedOn w:val="Normal"/>
    <w:link w:val="TOC1Char"/>
    <w:autoRedefine/>
    <w:uiPriority w:val="39"/>
    <w:unhideWhenUsed/>
    <w:rsid w:val="009951EE"/>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951EE"/>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951EE"/>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951EE"/>
    <w:rPr>
      <w:rFonts w:eastAsia="DengXian"/>
      <w:color w:val="auto"/>
      <w:sz w:val="20"/>
      <w:szCs w:val="20"/>
      <w:u w:val="none"/>
      <w:lang w:eastAsia="zh-CN" w:bidi="ar-EG"/>
    </w:rPr>
  </w:style>
  <w:style w:type="paragraph" w:styleId="TOC4">
    <w:name w:val="toc 4"/>
    <w:basedOn w:val="Normal"/>
    <w:link w:val="TOC4Char"/>
    <w:autoRedefine/>
    <w:uiPriority w:val="39"/>
    <w:unhideWhenUsed/>
    <w:rsid w:val="009951EE"/>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951EE"/>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951EE"/>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951EE"/>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9951EE"/>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951EE"/>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9951EE"/>
    <w:rPr>
      <w:color w:val="605E5C"/>
      <w:shd w:val="clear" w:color="auto" w:fill="E1DFDD"/>
    </w:rPr>
  </w:style>
  <w:style w:type="character" w:customStyle="1" w:styleId="TOC1Char">
    <w:name w:val="TOC 1 Char"/>
    <w:basedOn w:val="DefaultParagraphFont"/>
    <w:link w:val="TOC1"/>
    <w:uiPriority w:val="39"/>
    <w:rsid w:val="009951EE"/>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951EE"/>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951EE"/>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951EE"/>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951EE"/>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951EE"/>
    <w:rPr>
      <w:rFonts w:ascii="Times New Roman" w:eastAsia="PMingLiU" w:hAnsi="Times New Roman" w:cs="Simplified Arabic"/>
      <w:sz w:val="20"/>
      <w:szCs w:val="20"/>
      <w:lang w:val="en-GB"/>
    </w:rPr>
  </w:style>
  <w:style w:type="paragraph" w:customStyle="1" w:styleId="SessionDate">
    <w:name w:val="Session_Date"/>
    <w:basedOn w:val="Normal"/>
    <w:qFormat/>
    <w:rsid w:val="009951EE"/>
    <w:pPr>
      <w:spacing w:before="240" w:after="240" w:line="460" w:lineRule="exact"/>
      <w:ind w:left="1247"/>
    </w:pPr>
    <w:rPr>
      <w:b/>
      <w:bCs/>
      <w:sz w:val="32"/>
      <w:szCs w:val="44"/>
    </w:rPr>
  </w:style>
  <w:style w:type="paragraph" w:customStyle="1" w:styleId="SessionNumber">
    <w:name w:val="Session_Number"/>
    <w:basedOn w:val="Normal"/>
    <w:qFormat/>
    <w:rsid w:val="009951EE"/>
    <w:pPr>
      <w:spacing w:line="480" w:lineRule="exact"/>
      <w:ind w:left="1247"/>
    </w:pPr>
    <w:rPr>
      <w:b/>
      <w:bCs/>
      <w:sz w:val="28"/>
      <w:szCs w:val="38"/>
    </w:rPr>
  </w:style>
  <w:style w:type="paragraph" w:customStyle="1" w:styleId="CityandYear">
    <w:name w:val="City and Year"/>
    <w:basedOn w:val="SingleTxtGA"/>
    <w:qFormat/>
    <w:rsid w:val="009951EE"/>
    <w:pPr>
      <w:spacing w:line="480" w:lineRule="exact"/>
    </w:pPr>
    <w:rPr>
      <w:b/>
      <w:bCs/>
      <w:sz w:val="30"/>
      <w:szCs w:val="38"/>
      <w:lang w:eastAsia="ar-SA"/>
    </w:rPr>
  </w:style>
  <w:style w:type="paragraph" w:customStyle="1" w:styleId="NormalA">
    <w:name w:val="Normal_A"/>
    <w:basedOn w:val="Normal"/>
    <w:qFormat/>
    <w:rsid w:val="009951EE"/>
  </w:style>
  <w:style w:type="paragraph" w:customStyle="1" w:styleId="H1G">
    <w:name w:val="_ H_1_G"/>
    <w:basedOn w:val="Normal"/>
    <w:next w:val="Normal"/>
    <w:qFormat/>
    <w:rsid w:val="009951EE"/>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951EE"/>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9951EE"/>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951EE"/>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951EE"/>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951EE"/>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951EE"/>
    <w:rPr>
      <w:sz w:val="44"/>
      <w:szCs w:val="44"/>
      <w:lang w:val="en-US" w:bidi="ar-DZ"/>
    </w:rPr>
  </w:style>
  <w:style w:type="paragraph" w:customStyle="1" w:styleId="FootnoteGA0">
    <w:name w:val="Footnote_GA"/>
    <w:basedOn w:val="Normal"/>
    <w:qFormat/>
    <w:rsid w:val="009951EE"/>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951EE"/>
    <w:pPr>
      <w:keepNext/>
      <w:keepLines/>
      <w:spacing w:after="120" w:line="400" w:lineRule="exact"/>
      <w:outlineLvl w:val="0"/>
    </w:pPr>
    <w:rPr>
      <w:b/>
      <w:bCs/>
      <w:kern w:val="14"/>
      <w:sz w:val="24"/>
      <w:szCs w:val="32"/>
    </w:rPr>
  </w:style>
  <w:style w:type="paragraph" w:customStyle="1" w:styleId="HCh">
    <w:name w:val="_ H _Ch"/>
    <w:basedOn w:val="H1"/>
    <w:next w:val="SingleTxt"/>
    <w:qFormat/>
    <w:rsid w:val="009951EE"/>
    <w:pPr>
      <w:spacing w:line="440" w:lineRule="exact"/>
    </w:pPr>
    <w:rPr>
      <w:spacing w:val="-2"/>
      <w:sz w:val="28"/>
      <w:szCs w:val="36"/>
    </w:rPr>
  </w:style>
  <w:style w:type="character" w:styleId="CommentReference">
    <w:name w:val="annotation reference"/>
    <w:uiPriority w:val="99"/>
    <w:semiHidden/>
    <w:rsid w:val="009951EE"/>
    <w:rPr>
      <w:sz w:val="6"/>
      <w:szCs w:val="9"/>
    </w:rPr>
  </w:style>
  <w:style w:type="paragraph" w:customStyle="1" w:styleId="HM">
    <w:name w:val="_ H __M"/>
    <w:basedOn w:val="HCh"/>
    <w:next w:val="Normal"/>
    <w:qFormat/>
    <w:rsid w:val="009951EE"/>
    <w:pPr>
      <w:suppressAutoHyphens/>
      <w:spacing w:line="520" w:lineRule="exact"/>
    </w:pPr>
    <w:rPr>
      <w:spacing w:val="-3"/>
      <w:sz w:val="34"/>
      <w:szCs w:val="48"/>
    </w:rPr>
  </w:style>
  <w:style w:type="paragraph" w:customStyle="1" w:styleId="SingleTxt">
    <w:name w:val="__Single Txt"/>
    <w:basedOn w:val="Normal"/>
    <w:qFormat/>
    <w:rsid w:val="009951EE"/>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951EE"/>
    <w:pPr>
      <w:suppressAutoHyphens/>
      <w:spacing w:line="360" w:lineRule="exact"/>
      <w:outlineLvl w:val="1"/>
    </w:pPr>
    <w:rPr>
      <w:spacing w:val="2"/>
      <w:sz w:val="20"/>
      <w:szCs w:val="28"/>
    </w:rPr>
  </w:style>
  <w:style w:type="paragraph" w:customStyle="1" w:styleId="H4">
    <w:name w:val="_ H_4"/>
    <w:basedOn w:val="Normal"/>
    <w:next w:val="Normal"/>
    <w:qFormat/>
    <w:rsid w:val="009951EE"/>
    <w:pPr>
      <w:keepNext/>
      <w:keepLines/>
      <w:spacing w:after="120" w:line="360" w:lineRule="exact"/>
      <w:outlineLvl w:val="3"/>
    </w:pPr>
    <w:rPr>
      <w:i/>
      <w:iCs/>
      <w:kern w:val="14"/>
      <w:szCs w:val="28"/>
    </w:rPr>
  </w:style>
  <w:style w:type="paragraph" w:customStyle="1" w:styleId="H56">
    <w:name w:val="_ H_5/6"/>
    <w:basedOn w:val="Normal"/>
    <w:next w:val="Normal"/>
    <w:qFormat/>
    <w:rsid w:val="009951EE"/>
    <w:pPr>
      <w:keepNext/>
      <w:keepLines/>
      <w:spacing w:after="120" w:line="360" w:lineRule="exact"/>
      <w:outlineLvl w:val="4"/>
    </w:pPr>
    <w:rPr>
      <w:kern w:val="14"/>
      <w:szCs w:val="28"/>
    </w:rPr>
  </w:style>
  <w:style w:type="paragraph" w:customStyle="1" w:styleId="DualTxt">
    <w:name w:val="__Dual Txt"/>
    <w:basedOn w:val="Normal"/>
    <w:qFormat/>
    <w:rsid w:val="009951EE"/>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951EE"/>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951EE"/>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951EE"/>
    <w:pPr>
      <w:spacing w:after="120" w:line="440" w:lineRule="exact"/>
      <w:jc w:val="center"/>
    </w:pPr>
    <w:rPr>
      <w:b/>
      <w:bCs/>
      <w:sz w:val="25"/>
      <w:szCs w:val="38"/>
    </w:rPr>
  </w:style>
  <w:style w:type="paragraph" w:customStyle="1" w:styleId="JH1">
    <w:name w:val="J_H_1"/>
    <w:basedOn w:val="JCH"/>
    <w:qFormat/>
    <w:rsid w:val="009951EE"/>
    <w:pPr>
      <w:spacing w:line="420" w:lineRule="exact"/>
    </w:pPr>
    <w:rPr>
      <w:sz w:val="23"/>
      <w:szCs w:val="34"/>
    </w:rPr>
  </w:style>
  <w:style w:type="paragraph" w:customStyle="1" w:styleId="JH2">
    <w:name w:val="J_H_2"/>
    <w:basedOn w:val="JH1"/>
    <w:qFormat/>
    <w:rsid w:val="009951EE"/>
    <w:pPr>
      <w:spacing w:line="400" w:lineRule="exact"/>
    </w:pPr>
    <w:rPr>
      <w:sz w:val="20"/>
      <w:szCs w:val="30"/>
    </w:rPr>
  </w:style>
  <w:style w:type="paragraph" w:customStyle="1" w:styleId="JSmall">
    <w:name w:val="J_Small"/>
    <w:basedOn w:val="JSingleTxt"/>
    <w:next w:val="JSingleTxt"/>
    <w:qFormat/>
    <w:rsid w:val="009951E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951EE"/>
    <w:pPr>
      <w:tabs>
        <w:tab w:val="right" w:leader="dot" w:pos="360"/>
      </w:tabs>
      <w:spacing w:line="310" w:lineRule="exact"/>
      <w:jc w:val="right"/>
    </w:pPr>
    <w:rPr>
      <w:spacing w:val="5"/>
      <w:w w:val="104"/>
      <w:kern w:val="14"/>
      <w:sz w:val="17"/>
      <w:szCs w:val="25"/>
    </w:rPr>
  </w:style>
  <w:style w:type="character" w:styleId="LineNumber">
    <w:name w:val="line number"/>
    <w:qFormat/>
    <w:rsid w:val="009951EE"/>
    <w:rPr>
      <w:sz w:val="14"/>
      <w:szCs w:val="16"/>
    </w:rPr>
  </w:style>
  <w:style w:type="paragraph" w:customStyle="1" w:styleId="SmallX">
    <w:name w:val="SmallX"/>
    <w:basedOn w:val="Small"/>
    <w:next w:val="Normal"/>
    <w:qFormat/>
    <w:rsid w:val="009951EE"/>
    <w:pPr>
      <w:spacing w:line="240" w:lineRule="exact"/>
    </w:pPr>
    <w:rPr>
      <w:spacing w:val="6"/>
      <w:w w:val="106"/>
      <w:sz w:val="14"/>
      <w:szCs w:val="21"/>
    </w:rPr>
  </w:style>
  <w:style w:type="paragraph" w:customStyle="1" w:styleId="XLarge">
    <w:name w:val="XLarge"/>
    <w:basedOn w:val="HM"/>
    <w:qFormat/>
    <w:rsid w:val="009951E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951EE"/>
    <w:pPr>
      <w:spacing w:line="820" w:lineRule="exact"/>
    </w:pPr>
    <w:rPr>
      <w:spacing w:val="-8"/>
      <w:w w:val="96"/>
      <w:sz w:val="57"/>
      <w:szCs w:val="86"/>
    </w:rPr>
  </w:style>
  <w:style w:type="paragraph" w:customStyle="1" w:styleId="Distribution">
    <w:name w:val="Distribution"/>
    <w:basedOn w:val="Normal"/>
    <w:next w:val="Normal"/>
    <w:qFormat/>
    <w:rsid w:val="009951EE"/>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951EE"/>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951EE"/>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951EE"/>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9951EE"/>
    <w:pPr>
      <w:tabs>
        <w:tab w:val="left" w:pos="662"/>
        <w:tab w:val="left" w:pos="1267"/>
        <w:tab w:val="left" w:pos="1987"/>
        <w:tab w:val="left" w:pos="2650"/>
      </w:tabs>
      <w:spacing w:after="0"/>
      <w:ind w:left="662" w:hanging="662"/>
    </w:pPr>
  </w:style>
  <w:style w:type="paragraph" w:customStyle="1" w:styleId="Committee">
    <w:name w:val="Committee"/>
    <w:basedOn w:val="H1"/>
    <w:qFormat/>
    <w:rsid w:val="009951EE"/>
    <w:pPr>
      <w:tabs>
        <w:tab w:val="left" w:pos="662"/>
        <w:tab w:val="left" w:pos="1267"/>
        <w:tab w:val="left" w:pos="1987"/>
        <w:tab w:val="left" w:pos="2650"/>
      </w:tabs>
      <w:ind w:right="1264"/>
    </w:pPr>
  </w:style>
  <w:style w:type="paragraph" w:customStyle="1" w:styleId="AgendaItemNormal">
    <w:name w:val="Agenda_Item_Normal"/>
    <w:next w:val="Normal"/>
    <w:qFormat/>
    <w:rsid w:val="009951EE"/>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9951E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951E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951E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951E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951EE"/>
    <w:rPr>
      <w:i w:val="0"/>
      <w:color w:val="0000FF"/>
      <w:u w:val="none"/>
    </w:rPr>
  </w:style>
  <w:style w:type="paragraph" w:customStyle="1" w:styleId="Bullet1">
    <w:name w:val="Bullet 1"/>
    <w:basedOn w:val="Normal"/>
    <w:qFormat/>
    <w:rsid w:val="009951EE"/>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951EE"/>
    <w:pPr>
      <w:numPr>
        <w:numId w:val="14"/>
      </w:numPr>
      <w:spacing w:after="120" w:line="360" w:lineRule="exact"/>
      <w:ind w:right="1264"/>
    </w:pPr>
    <w:rPr>
      <w:kern w:val="14"/>
      <w:szCs w:val="28"/>
    </w:rPr>
  </w:style>
  <w:style w:type="paragraph" w:customStyle="1" w:styleId="Bullet3">
    <w:name w:val="Bullet 3"/>
    <w:basedOn w:val="SingleTxt"/>
    <w:qFormat/>
    <w:rsid w:val="009951EE"/>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951EE"/>
    <w:pPr>
      <w:ind w:right="5760"/>
      <w:outlineLvl w:val="1"/>
    </w:pPr>
    <w:rPr>
      <w:spacing w:val="2"/>
      <w:sz w:val="20"/>
      <w:szCs w:val="28"/>
    </w:rPr>
  </w:style>
  <w:style w:type="paragraph" w:customStyle="1" w:styleId="STitleM">
    <w:name w:val="S_Title_M"/>
    <w:basedOn w:val="Normal"/>
    <w:next w:val="Normal"/>
    <w:qFormat/>
    <w:rsid w:val="009951EE"/>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951EE"/>
    <w:pPr>
      <w:spacing w:line="600" w:lineRule="exact"/>
      <w:ind w:left="1267" w:right="1267"/>
    </w:pPr>
    <w:rPr>
      <w:w w:val="103"/>
      <w:sz w:val="60"/>
      <w:szCs w:val="60"/>
    </w:rPr>
  </w:style>
  <w:style w:type="paragraph" w:customStyle="1" w:styleId="STitleL">
    <w:name w:val="S_Title_L"/>
    <w:basedOn w:val="XLarge"/>
    <w:next w:val="Normal"/>
    <w:qFormat/>
    <w:rsid w:val="009951EE"/>
    <w:rPr>
      <w:spacing w:val="-8"/>
      <w:w w:val="96"/>
      <w:sz w:val="57"/>
    </w:rPr>
  </w:style>
  <w:style w:type="paragraph" w:styleId="CommentText">
    <w:name w:val="annotation text"/>
    <w:basedOn w:val="Normal"/>
    <w:link w:val="CommentTextChar"/>
    <w:uiPriority w:val="99"/>
    <w:semiHidden/>
    <w:unhideWhenUsed/>
    <w:rsid w:val="009951EE"/>
    <w:pPr>
      <w:spacing w:line="240" w:lineRule="auto"/>
    </w:pPr>
    <w:rPr>
      <w:kern w:val="14"/>
    </w:rPr>
  </w:style>
  <w:style w:type="character" w:customStyle="1" w:styleId="CommentTextChar">
    <w:name w:val="Comment Text Char"/>
    <w:basedOn w:val="DefaultParagraphFont"/>
    <w:link w:val="CommentText"/>
    <w:uiPriority w:val="99"/>
    <w:semiHidden/>
    <w:rsid w:val="009951EE"/>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9951EE"/>
    <w:rPr>
      <w:b/>
      <w:bCs/>
    </w:rPr>
  </w:style>
  <w:style w:type="character" w:customStyle="1" w:styleId="CommentSubjectChar">
    <w:name w:val="Comment Subject Char"/>
    <w:basedOn w:val="CommentTextChar"/>
    <w:link w:val="CommentSubject"/>
    <w:uiPriority w:val="99"/>
    <w:semiHidden/>
    <w:rsid w:val="009951EE"/>
    <w:rPr>
      <w:rFonts w:ascii="Times New Roman" w:eastAsia="PMingLiU" w:hAnsi="Times New Roman" w:cs="Simplified Arabic"/>
      <w:b/>
      <w:bCs/>
      <w:kern w:val="14"/>
      <w:sz w:val="20"/>
    </w:rPr>
  </w:style>
  <w:style w:type="paragraph" w:customStyle="1" w:styleId="Bullet1G">
    <w:name w:val="_Bullet 1_G"/>
    <w:basedOn w:val="Normal"/>
    <w:qFormat/>
    <w:rsid w:val="009951EE"/>
    <w:pPr>
      <w:numPr>
        <w:numId w:val="16"/>
      </w:numPr>
      <w:bidi w:val="0"/>
      <w:spacing w:after="120"/>
      <w:ind w:right="1134"/>
      <w:jc w:val="both"/>
    </w:pPr>
    <w:rPr>
      <w:sz w:val="22"/>
    </w:rPr>
  </w:style>
  <w:style w:type="character" w:customStyle="1" w:styleId="SingleTxtGChar">
    <w:name w:val="_ Single Txt_G Char"/>
    <w:link w:val="SingleTxtG"/>
    <w:rsid w:val="009951EE"/>
    <w:rPr>
      <w:rFonts w:ascii="Times New Roman" w:eastAsia="PMingLiU" w:hAnsi="Times New Roman" w:cs="Simplified Arabic"/>
      <w:sz w:val="20"/>
      <w:szCs w:val="20"/>
      <w:lang w:val="en-GB"/>
    </w:rPr>
  </w:style>
  <w:style w:type="paragraph" w:customStyle="1" w:styleId="Preparedby">
    <w:name w:val="Prepared by:"/>
    <w:basedOn w:val="H23GA"/>
    <w:qFormat/>
    <w:rsid w:val="009951EE"/>
    <w:rPr>
      <w:sz w:val="32"/>
      <w:szCs w:val="32"/>
    </w:rPr>
  </w:style>
  <w:style w:type="paragraph" w:customStyle="1" w:styleId="ParaNoG">
    <w:name w:val="_ParaNo._G"/>
    <w:basedOn w:val="SingleTxtG"/>
    <w:rsid w:val="009951EE"/>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9951EE"/>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951EE"/>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951EE"/>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951E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951EE"/>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951E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951EE"/>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951EE"/>
    <w:pPr>
      <w:spacing w:after="0" w:line="240" w:lineRule="auto"/>
    </w:pPr>
    <w:rPr>
      <w:rFonts w:eastAsiaTheme="minorEastAsia"/>
      <w:sz w:val="24"/>
      <w:szCs w:val="24"/>
      <w:lang w:val="fr-FR" w:eastAsia="fr-FR"/>
    </w:rPr>
  </w:style>
  <w:style w:type="paragraph" w:customStyle="1" w:styleId="Default">
    <w:name w:val="Default"/>
    <w:semiHidden/>
    <w:rsid w:val="009951EE"/>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951EE"/>
  </w:style>
  <w:style w:type="character" w:customStyle="1" w:styleId="preferred">
    <w:name w:val="preferred"/>
    <w:basedOn w:val="DefaultParagraphFont"/>
    <w:rsid w:val="009951EE"/>
  </w:style>
  <w:style w:type="character" w:customStyle="1" w:styleId="admitted">
    <w:name w:val="admitted"/>
    <w:basedOn w:val="DefaultParagraphFont"/>
    <w:rsid w:val="009951EE"/>
  </w:style>
  <w:style w:type="paragraph" w:styleId="TOC7">
    <w:name w:val="toc 7"/>
    <w:basedOn w:val="Normal"/>
    <w:next w:val="Normal"/>
    <w:autoRedefine/>
    <w:uiPriority w:val="39"/>
    <w:unhideWhenUsed/>
    <w:rsid w:val="003622B5"/>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3622B5"/>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3622B5"/>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9951EE"/>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MW/C/SR.481" TargetMode="External"/><Relationship Id="rId2" Type="http://schemas.openxmlformats.org/officeDocument/2006/relationships/hyperlink" Target="https://undocs.org/ar/CMW/C/SR.480" TargetMode="External"/><Relationship Id="rId1" Type="http://schemas.openxmlformats.org/officeDocument/2006/relationships/hyperlink" Target="https://undocs.org/ar/CMW/C/CPV/1-3" TargetMode="External"/><Relationship Id="rId6" Type="http://schemas.openxmlformats.org/officeDocument/2006/relationships/hyperlink" Target="https://undocs.org/ar/HRI/GEN/2/Rev.6" TargetMode="External"/><Relationship Id="rId5" Type="http://schemas.openxmlformats.org/officeDocument/2006/relationships/hyperlink" Target="https://undocs.org/ar/CMW/C/CPV/CO/1" TargetMode="External"/><Relationship Id="rId4" Type="http://schemas.openxmlformats.org/officeDocument/2006/relationships/hyperlink" Target="http://undocs.org/ar/CMW/C/SR.4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2B66-DF3D-4981-9CE5-36145E83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19</Pages>
  <Words>6087</Words>
  <Characters>40906</Characters>
  <Application>Microsoft Office Word</Application>
  <DocSecurity>0</DocSecurity>
  <Lines>5843</Lines>
  <Paragraphs>4272</Paragraphs>
  <ScaleCrop>false</ScaleCrop>
  <HeadingPairs>
    <vt:vector size="2" baseType="variant">
      <vt:variant>
        <vt:lpstr>Title</vt:lpstr>
      </vt:variant>
      <vt:variant>
        <vt:i4>1</vt:i4>
      </vt:variant>
    </vt:vector>
  </HeadingPairs>
  <TitlesOfParts>
    <vt:vector size="1" baseType="lpstr">
      <vt:lpstr>CMW/C/CPV/CO/1-3</vt:lpstr>
    </vt:vector>
  </TitlesOfParts>
  <Company>DCM</Company>
  <LinksUpToDate>false</LinksUpToDate>
  <CharactersWithSpaces>42721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CMW/C/CPV/CO/1-3</dc:title>
  <dc:subject>GE.2208332(A)</dc:subject>
  <dc:creator>Gamal MAHMOUD - MBAZ03</dc:creator>
  <cp:keywords>GE.2235564(A)</cp:keywords>
  <dc:description>Distr.: General_x000d_
2 June 2022_x000d_
Original: English</dc:description>
  <cp:lastModifiedBy>Gamal Mohamed Abdelhamid Mahmoud</cp:lastModifiedBy>
  <cp:revision>2</cp:revision>
  <dcterms:created xsi:type="dcterms:W3CDTF">2022-06-30T16:52:00Z</dcterms:created>
  <dcterms:modified xsi:type="dcterms:W3CDTF">2022-06-30T16:52:00Z</dcterms:modified>
</cp:coreProperties>
</file>