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297F6D"/>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297F6D" w:rsidP="00297F6D">
            <w:pPr>
              <w:jc w:val="right"/>
            </w:pPr>
            <w:r w:rsidRPr="00297F6D">
              <w:rPr>
                <w:sz w:val="40"/>
              </w:rPr>
              <w:t>CRC</w:t>
            </w:r>
            <w:r>
              <w:t>/C/NOR/Q/5-6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297F6D" w:rsidP="008F3CA0">
            <w:pPr>
              <w:spacing w:before="240"/>
            </w:pPr>
            <w:r>
              <w:t>Distr. générale</w:t>
            </w:r>
          </w:p>
          <w:p w:rsidR="00297F6D" w:rsidRDefault="00297F6D" w:rsidP="00297F6D">
            <w:pPr>
              <w:spacing w:line="240" w:lineRule="exact"/>
            </w:pPr>
            <w:r>
              <w:t>26 octobre 2017</w:t>
            </w:r>
          </w:p>
          <w:p w:rsidR="00297F6D" w:rsidRDefault="00297F6D" w:rsidP="00297F6D">
            <w:pPr>
              <w:spacing w:line="240" w:lineRule="exact"/>
            </w:pPr>
            <w:r>
              <w:t>Français</w:t>
            </w:r>
          </w:p>
          <w:p w:rsidR="00297F6D" w:rsidRDefault="00297F6D" w:rsidP="00297F6D">
            <w:pPr>
              <w:spacing w:line="240" w:lineRule="exact"/>
            </w:pPr>
            <w:r>
              <w:t>Original : anglais</w:t>
            </w:r>
          </w:p>
          <w:p w:rsidR="00297F6D" w:rsidRPr="00DB58B5" w:rsidRDefault="00297F6D" w:rsidP="00297F6D">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CA59E8" w:rsidRDefault="00CA59E8" w:rsidP="004D7A2C">
      <w:pPr>
        <w:rPr>
          <w:b/>
        </w:rPr>
      </w:pPr>
      <w:r w:rsidRPr="00D94C09">
        <w:rPr>
          <w:b/>
        </w:rPr>
        <w:t>Soixante</w:t>
      </w:r>
      <w:r>
        <w:rPr>
          <w:b/>
        </w:rPr>
        <w:noBreakHyphen/>
      </w:r>
      <w:r w:rsidRPr="00D94C09">
        <w:rPr>
          <w:b/>
        </w:rPr>
        <w:t>dix</w:t>
      </w:r>
      <w:r>
        <w:rPr>
          <w:b/>
        </w:rPr>
        <w:noBreakHyphen/>
      </w:r>
      <w:r w:rsidRPr="00D94C09">
        <w:rPr>
          <w:b/>
        </w:rPr>
        <w:t>huitième</w:t>
      </w:r>
      <w:r>
        <w:rPr>
          <w:b/>
        </w:rPr>
        <w:t> session</w:t>
      </w:r>
    </w:p>
    <w:p w:rsidR="00CA59E8" w:rsidRDefault="00CA59E8" w:rsidP="004D7A2C">
      <w:r>
        <w:t>14 </w:t>
      </w:r>
      <w:r w:rsidRPr="00D94C09">
        <w:t>mai</w:t>
      </w:r>
      <w:r>
        <w:noBreakHyphen/>
      </w:r>
      <w:r w:rsidRPr="00D94C09">
        <w:t>1</w:t>
      </w:r>
      <w:r w:rsidRPr="00CA59E8">
        <w:rPr>
          <w:vertAlign w:val="superscript"/>
        </w:rPr>
        <w:t>er</w:t>
      </w:r>
      <w:r>
        <w:t> </w:t>
      </w:r>
      <w:r w:rsidRPr="00D94C09">
        <w:t>juin 2018</w:t>
      </w:r>
    </w:p>
    <w:p w:rsidR="00CA59E8" w:rsidRDefault="00CA59E8" w:rsidP="004D7A2C">
      <w:r>
        <w:t>Point 4 de l’ordre du jour provisoire</w:t>
      </w:r>
    </w:p>
    <w:p w:rsidR="00CA59E8" w:rsidRDefault="00CA59E8" w:rsidP="004D7A2C">
      <w:pPr>
        <w:rPr>
          <w:rFonts w:eastAsia="MS Mincho"/>
          <w:b/>
        </w:rPr>
      </w:pPr>
      <w:r>
        <w:rPr>
          <w:b/>
        </w:rPr>
        <w:t xml:space="preserve">Examen des rapports des </w:t>
      </w:r>
      <w:r>
        <w:rPr>
          <w:rFonts w:eastAsia="MS Mincho"/>
          <w:b/>
        </w:rPr>
        <w:t>États parties</w:t>
      </w:r>
    </w:p>
    <w:p w:rsidR="00CA59E8" w:rsidRDefault="00CA59E8" w:rsidP="004D7A2C">
      <w:pPr>
        <w:pStyle w:val="HChG"/>
        <w:rPr>
          <w:lang w:val="fr-FR"/>
        </w:rPr>
      </w:pPr>
      <w:r>
        <w:tab/>
      </w:r>
      <w:r>
        <w:tab/>
        <w:t>Liste</w:t>
      </w:r>
      <w:r>
        <w:rPr>
          <w:lang w:val="fr-FR"/>
        </w:rPr>
        <w:t xml:space="preserve"> de points concernant </w:t>
      </w:r>
      <w:r w:rsidR="00467CF1" w:rsidRPr="00CA59E8">
        <w:t xml:space="preserve">le rapport de </w:t>
      </w:r>
      <w:r w:rsidR="00467CF1" w:rsidRPr="00CA59E8">
        <w:t>la Norvège</w:t>
      </w:r>
      <w:r w:rsidR="00467CF1" w:rsidRPr="00CA59E8">
        <w:t xml:space="preserve"> </w:t>
      </w:r>
      <w:r>
        <w:br/>
      </w:r>
      <w:r w:rsidR="00467CF1" w:rsidRPr="00CA59E8">
        <w:t xml:space="preserve">valant </w:t>
      </w:r>
      <w:r w:rsidR="00467CF1" w:rsidRPr="00CA59E8">
        <w:t xml:space="preserve">cinquième et sixième </w:t>
      </w:r>
      <w:r w:rsidR="00467CF1" w:rsidRPr="00CA59E8">
        <w:t xml:space="preserve">rapports </w:t>
      </w:r>
      <w:r w:rsidR="00467CF1" w:rsidRPr="00CA59E8">
        <w:t>périodiques</w:t>
      </w:r>
    </w:p>
    <w:p w:rsidR="00CA59E8" w:rsidRDefault="00467CF1" w:rsidP="00CA59E8">
      <w:pPr>
        <w:pStyle w:val="SingleTxtG"/>
        <w:ind w:firstLine="567"/>
        <w:rPr>
          <w:lang w:val="fr-FR"/>
        </w:rPr>
      </w:pPr>
      <w:r w:rsidRPr="00CA59E8">
        <w:t>L</w:t>
      </w:r>
      <w:r w:rsidRPr="00CA59E8">
        <w:t>’</w:t>
      </w:r>
      <w:r w:rsidRPr="00CA59E8">
        <w:t>État partie est invité à soumettre par écrit des informations com</w:t>
      </w:r>
      <w:r w:rsidR="00E3273F">
        <w:t>plémentaires et actualisées (10 </w:t>
      </w:r>
      <w:r w:rsidRPr="00CA59E8">
        <w:t>700 mots ma</w:t>
      </w:r>
      <w:r w:rsidR="00E3273F">
        <w:t>ximum), si possible avant le 16 </w:t>
      </w:r>
      <w:r w:rsidRPr="00CA59E8">
        <w:t>février</w:t>
      </w:r>
      <w:r w:rsidRPr="00CA59E8">
        <w:t xml:space="preserve"> 2018. Le Comité pourra aborder tous les aspects des droits de l</w:t>
      </w:r>
      <w:r w:rsidRPr="00CA59E8">
        <w:t>’</w:t>
      </w:r>
      <w:r w:rsidRPr="00CA59E8">
        <w:t>enfant énoncés dans la Con</w:t>
      </w:r>
      <w:r w:rsidRPr="00CA59E8">
        <w:t>vention au cours du dialogue avec l</w:t>
      </w:r>
      <w:r w:rsidRPr="00CA59E8">
        <w:t>’</w:t>
      </w:r>
      <w:r w:rsidRPr="00CA59E8">
        <w:t>État partie.</w:t>
      </w:r>
    </w:p>
    <w:p w:rsidR="00CA59E8" w:rsidRDefault="00CA59E8" w:rsidP="004D7A2C">
      <w:pPr>
        <w:pStyle w:val="HChG"/>
      </w:pPr>
      <w:r>
        <w:rPr>
          <w:lang w:val="fr-FR"/>
        </w:rPr>
        <w:tab/>
      </w:r>
      <w:r>
        <w:rPr>
          <w:lang w:val="fr-FR"/>
        </w:rPr>
        <w:tab/>
      </w:r>
      <w:r w:rsidRPr="00863A97">
        <w:t>Première partie</w:t>
      </w:r>
    </w:p>
    <w:p w:rsidR="0055756F" w:rsidRPr="00861DD4" w:rsidRDefault="00467CF1" w:rsidP="00CA59E8">
      <w:pPr>
        <w:pStyle w:val="SingleTxtG"/>
        <w:rPr>
          <w:spacing w:val="-2"/>
        </w:rPr>
      </w:pPr>
      <w:r w:rsidRPr="00861DD4">
        <w:rPr>
          <w:spacing w:val="-2"/>
        </w:rPr>
        <w:t>1.</w:t>
      </w:r>
      <w:r w:rsidRPr="00861DD4">
        <w:rPr>
          <w:spacing w:val="-2"/>
        </w:rPr>
        <w:tab/>
      </w:r>
      <w:r w:rsidRPr="00861DD4">
        <w:rPr>
          <w:spacing w:val="-2"/>
        </w:rPr>
        <w:t xml:space="preserve">Fournir des renseignements actualisés sur </w:t>
      </w:r>
      <w:r w:rsidRPr="00861DD4">
        <w:rPr>
          <w:spacing w:val="-2"/>
        </w:rPr>
        <w:t>la révision</w:t>
      </w:r>
      <w:r w:rsidRPr="00861DD4">
        <w:rPr>
          <w:spacing w:val="-2"/>
        </w:rPr>
        <w:t xml:space="preserve"> </w:t>
      </w:r>
      <w:r w:rsidRPr="00861DD4">
        <w:rPr>
          <w:spacing w:val="-2"/>
        </w:rPr>
        <w:t xml:space="preserve">de la </w:t>
      </w:r>
      <w:r w:rsidRPr="00861DD4">
        <w:rPr>
          <w:spacing w:val="-2"/>
        </w:rPr>
        <w:t>loi sur la protection de l</w:t>
      </w:r>
      <w:r w:rsidRPr="00861DD4">
        <w:rPr>
          <w:spacing w:val="-2"/>
        </w:rPr>
        <w:t>’</w:t>
      </w:r>
      <w:r w:rsidRPr="00861DD4">
        <w:rPr>
          <w:spacing w:val="-2"/>
        </w:rPr>
        <w:t>enfance</w:t>
      </w:r>
      <w:r w:rsidRPr="00861DD4">
        <w:rPr>
          <w:spacing w:val="-2"/>
        </w:rPr>
        <w:t xml:space="preserve"> </w:t>
      </w:r>
      <w:r w:rsidRPr="00861DD4">
        <w:rPr>
          <w:spacing w:val="-2"/>
        </w:rPr>
        <w:t xml:space="preserve">à laquelle il est actuellement procédé </w:t>
      </w:r>
      <w:r w:rsidRPr="00861DD4">
        <w:rPr>
          <w:spacing w:val="-2"/>
        </w:rPr>
        <w:t xml:space="preserve">pour </w:t>
      </w:r>
      <w:r w:rsidRPr="00861DD4">
        <w:rPr>
          <w:spacing w:val="-2"/>
        </w:rPr>
        <w:t xml:space="preserve">veiller à ce </w:t>
      </w:r>
      <w:r w:rsidRPr="00861DD4">
        <w:rPr>
          <w:spacing w:val="-2"/>
        </w:rPr>
        <w:t>qu</w:t>
      </w:r>
      <w:r w:rsidRPr="00861DD4">
        <w:rPr>
          <w:spacing w:val="-2"/>
        </w:rPr>
        <w:t>’</w:t>
      </w:r>
      <w:r w:rsidRPr="00861DD4">
        <w:rPr>
          <w:spacing w:val="-2"/>
        </w:rPr>
        <w:t>elle</w:t>
      </w:r>
      <w:r w:rsidRPr="00861DD4">
        <w:rPr>
          <w:spacing w:val="-2"/>
        </w:rPr>
        <w:t xml:space="preserve"> </w:t>
      </w:r>
      <w:r w:rsidRPr="00861DD4">
        <w:rPr>
          <w:spacing w:val="-2"/>
        </w:rPr>
        <w:t>soit</w:t>
      </w:r>
      <w:r w:rsidRPr="00861DD4">
        <w:rPr>
          <w:spacing w:val="-2"/>
        </w:rPr>
        <w:t xml:space="preserve"> pleinement conforme aux dispositions de la Convention (voir CRC/C/NOR/5-6, par</w:t>
      </w:r>
      <w:r w:rsidRPr="00861DD4">
        <w:rPr>
          <w:spacing w:val="-2"/>
        </w:rPr>
        <w:t>.</w:t>
      </w:r>
      <w:r w:rsidR="00861DD4" w:rsidRPr="00861DD4">
        <w:rPr>
          <w:spacing w:val="-2"/>
        </w:rPr>
        <w:t> </w:t>
      </w:r>
      <w:r w:rsidRPr="00861DD4">
        <w:rPr>
          <w:spacing w:val="-2"/>
        </w:rPr>
        <w:t xml:space="preserve">137), en </w:t>
      </w:r>
      <w:r w:rsidRPr="00861DD4">
        <w:rPr>
          <w:spacing w:val="-2"/>
        </w:rPr>
        <w:t>particulier en ce qui concerne les pratiques des services de protection de l</w:t>
      </w:r>
      <w:r w:rsidRPr="00861DD4">
        <w:rPr>
          <w:spacing w:val="-2"/>
        </w:rPr>
        <w:t>’</w:t>
      </w:r>
      <w:r w:rsidRPr="00861DD4">
        <w:rPr>
          <w:spacing w:val="-2"/>
        </w:rPr>
        <w:t xml:space="preserve">enfance </w:t>
      </w:r>
      <w:r w:rsidRPr="00861DD4">
        <w:rPr>
          <w:spacing w:val="-2"/>
        </w:rPr>
        <w:t xml:space="preserve">et </w:t>
      </w:r>
      <w:r w:rsidRPr="00861DD4">
        <w:rPr>
          <w:spacing w:val="-2"/>
        </w:rPr>
        <w:t>compte tenu des</w:t>
      </w:r>
      <w:r w:rsidRPr="00861DD4">
        <w:rPr>
          <w:spacing w:val="-2"/>
        </w:rPr>
        <w:t xml:space="preserve"> affaires</w:t>
      </w:r>
      <w:r w:rsidRPr="00861DD4">
        <w:rPr>
          <w:spacing w:val="-2"/>
        </w:rPr>
        <w:t xml:space="preserve"> qui ont été porté</w:t>
      </w:r>
      <w:r w:rsidRPr="00861DD4">
        <w:rPr>
          <w:spacing w:val="-2"/>
        </w:rPr>
        <w:t>e</w:t>
      </w:r>
      <w:r w:rsidRPr="00861DD4">
        <w:rPr>
          <w:spacing w:val="-2"/>
        </w:rPr>
        <w:t>s devant la Cour eur</w:t>
      </w:r>
      <w:r w:rsidRPr="00861DD4">
        <w:rPr>
          <w:spacing w:val="-2"/>
        </w:rPr>
        <w:t>opéenne des droits de l</w:t>
      </w:r>
      <w:r w:rsidRPr="00861DD4">
        <w:rPr>
          <w:spacing w:val="-2"/>
        </w:rPr>
        <w:t>’</w:t>
      </w:r>
      <w:r w:rsidRPr="00861DD4">
        <w:rPr>
          <w:spacing w:val="-2"/>
        </w:rPr>
        <w:t>homme</w:t>
      </w:r>
      <w:r w:rsidRPr="00861DD4">
        <w:rPr>
          <w:spacing w:val="-2"/>
        </w:rPr>
        <w:t>.</w:t>
      </w:r>
    </w:p>
    <w:p w:rsidR="0055756F" w:rsidRPr="00CA59E8" w:rsidRDefault="00467CF1" w:rsidP="00CA59E8">
      <w:pPr>
        <w:pStyle w:val="SingleTxtG"/>
      </w:pPr>
      <w:r w:rsidRPr="00CA59E8">
        <w:t>2.</w:t>
      </w:r>
      <w:r w:rsidRPr="00CA59E8">
        <w:tab/>
      </w:r>
      <w:r w:rsidRPr="00CA59E8">
        <w:t>Fournir</w:t>
      </w:r>
      <w:r w:rsidRPr="00CA59E8">
        <w:t xml:space="preserve"> de plus amples informations sur </w:t>
      </w:r>
      <w:r w:rsidRPr="00CA59E8">
        <w:t xml:space="preserve">la </w:t>
      </w:r>
      <w:r w:rsidRPr="00CA59E8">
        <w:t>mesure dans laquelle</w:t>
      </w:r>
      <w:r w:rsidRPr="00CA59E8">
        <w:t xml:space="preserve"> le </w:t>
      </w:r>
      <w:r w:rsidRPr="00CA59E8">
        <w:t>p</w:t>
      </w:r>
      <w:r w:rsidRPr="00CA59E8">
        <w:t>rogramme « Pas de géant »</w:t>
      </w:r>
      <w:r w:rsidRPr="00CA59E8">
        <w:t xml:space="preserve"> </w:t>
      </w:r>
      <w:r w:rsidRPr="00CA59E8">
        <w:t xml:space="preserve">permet de </w:t>
      </w:r>
      <w:r w:rsidRPr="00CA59E8">
        <w:t>garantir l</w:t>
      </w:r>
      <w:r w:rsidRPr="00CA59E8">
        <w:t>’</w:t>
      </w:r>
      <w:r w:rsidRPr="00CA59E8">
        <w:t>application systématique des dispositions de la Convention dans toutes les municipalités</w:t>
      </w:r>
      <w:r w:rsidR="00E3273F">
        <w:t> ;</w:t>
      </w:r>
      <w:r w:rsidRPr="00CA59E8">
        <w:t xml:space="preserve"> </w:t>
      </w:r>
      <w:r w:rsidRPr="00CA59E8">
        <w:t xml:space="preserve">sur </w:t>
      </w:r>
      <w:r w:rsidRPr="00CA59E8">
        <w:t xml:space="preserve">les </w:t>
      </w:r>
      <w:r w:rsidRPr="00CA59E8">
        <w:t xml:space="preserve">fonds budgétaires </w:t>
      </w:r>
      <w:r w:rsidRPr="00CA59E8">
        <w:t>alloués</w:t>
      </w:r>
      <w:r w:rsidRPr="00CA59E8">
        <w:t xml:space="preserve"> </w:t>
      </w:r>
      <w:r w:rsidRPr="00CA59E8">
        <w:t>par chaque municipalité aux</w:t>
      </w:r>
      <w:r w:rsidRPr="00CA59E8">
        <w:t xml:space="preserve"> services </w:t>
      </w:r>
      <w:r w:rsidRPr="00CA59E8">
        <w:t>destinés aux</w:t>
      </w:r>
      <w:r w:rsidR="00E3273F">
        <w:t xml:space="preserve"> </w:t>
      </w:r>
      <w:r w:rsidRPr="00CA59E8">
        <w:t>enfants</w:t>
      </w:r>
      <w:r w:rsidRPr="00CA59E8">
        <w:t xml:space="preserve"> ; </w:t>
      </w:r>
      <w:r w:rsidRPr="00CA59E8">
        <w:t>ainsi que</w:t>
      </w:r>
      <w:r w:rsidRPr="00CA59E8">
        <w:t xml:space="preserve"> </w:t>
      </w:r>
      <w:r w:rsidRPr="00CA59E8">
        <w:t xml:space="preserve">sur </w:t>
      </w:r>
      <w:r w:rsidRPr="00CA59E8">
        <w:t>les mesures prises pour corriger les « </w:t>
      </w:r>
      <w:r w:rsidRPr="00CA59E8">
        <w:t xml:space="preserve">très grandes différences </w:t>
      </w:r>
      <w:r w:rsidRPr="00CA59E8">
        <w:t xml:space="preserve">qui existent </w:t>
      </w:r>
      <w:r w:rsidRPr="00CA59E8">
        <w:t>entre les municipalités en termes d</w:t>
      </w:r>
      <w:r w:rsidRPr="00CA59E8">
        <w:t>’</w:t>
      </w:r>
      <w:r w:rsidRPr="00CA59E8">
        <w:t xml:space="preserve">effectifs et de degré de </w:t>
      </w:r>
      <w:r w:rsidRPr="00CA59E8">
        <w:t>couverture</w:t>
      </w:r>
      <w:r w:rsidRPr="00CA59E8">
        <w:t> </w:t>
      </w:r>
      <w:r w:rsidRPr="00CA59E8">
        <w:t>»</w:t>
      </w:r>
      <w:r w:rsidRPr="00CA59E8">
        <w:t xml:space="preserve"> </w:t>
      </w:r>
      <w:r w:rsidRPr="00CA59E8">
        <w:t xml:space="preserve">et </w:t>
      </w:r>
      <w:r w:rsidRPr="00CA59E8">
        <w:t>sur les</w:t>
      </w:r>
      <w:r w:rsidRPr="00CA59E8">
        <w:t xml:space="preserve"> effets</w:t>
      </w:r>
      <w:r w:rsidRPr="00CA59E8">
        <w:t xml:space="preserve"> </w:t>
      </w:r>
      <w:r w:rsidRPr="00CA59E8">
        <w:t xml:space="preserve">de ces mesures </w:t>
      </w:r>
      <w:r w:rsidR="00AA666C">
        <w:t>(voir CRC/C/NOR/5-6, par. </w:t>
      </w:r>
      <w:r w:rsidRPr="00CA59E8">
        <w:t>4, 11 et 149).</w:t>
      </w:r>
    </w:p>
    <w:p w:rsidR="0055756F" w:rsidRPr="00CA59E8" w:rsidRDefault="00467CF1" w:rsidP="00CA59E8">
      <w:pPr>
        <w:pStyle w:val="SingleTxtG"/>
      </w:pPr>
      <w:r w:rsidRPr="00CA59E8">
        <w:t>3.</w:t>
      </w:r>
      <w:r w:rsidRPr="00CA59E8">
        <w:tab/>
      </w:r>
      <w:r w:rsidRPr="00CA59E8">
        <w:t xml:space="preserve">Donner de plus amples informations </w:t>
      </w:r>
      <w:r w:rsidRPr="00CA59E8">
        <w:t>sur les mesures p</w:t>
      </w:r>
      <w:r w:rsidR="00AA666C">
        <w:t>rises pour renforcer le rôle du </w:t>
      </w:r>
      <w:r w:rsidR="00920F50">
        <w:t>m</w:t>
      </w:r>
      <w:r w:rsidRPr="00CA59E8">
        <w:t>édiateur pour les enfants</w:t>
      </w:r>
      <w:r w:rsidRPr="00CA59E8">
        <w:t xml:space="preserve"> </w:t>
      </w:r>
      <w:r w:rsidRPr="00CA59E8">
        <w:t>« </w:t>
      </w:r>
      <w:r w:rsidRPr="00CA59E8">
        <w:t>afin qu</w:t>
      </w:r>
      <w:r w:rsidRPr="00CA59E8">
        <w:t>’</w:t>
      </w:r>
      <w:r w:rsidRPr="00CA59E8">
        <w:t>il soit m</w:t>
      </w:r>
      <w:r w:rsidRPr="00CA59E8">
        <w:t>ieux à même d</w:t>
      </w:r>
      <w:r w:rsidRPr="00CA59E8">
        <w:t>’</w:t>
      </w:r>
      <w:r w:rsidRPr="00CA59E8">
        <w:t>apporter son aid</w:t>
      </w:r>
      <w:r w:rsidRPr="00CA59E8">
        <w:t>e </w:t>
      </w:r>
      <w:r w:rsidRPr="00CA59E8">
        <w:t>»</w:t>
      </w:r>
      <w:r w:rsidR="00AA666C">
        <w:t xml:space="preserve"> (voir CRC/C/NOR/5-6, par. </w:t>
      </w:r>
      <w:r w:rsidRPr="00CA59E8">
        <w:t>18</w:t>
      </w:r>
      <w:r w:rsidRPr="00CA59E8">
        <w:t>)</w:t>
      </w:r>
      <w:r w:rsidRPr="00CA59E8">
        <w:t xml:space="preserve">. </w:t>
      </w:r>
      <w:r w:rsidRPr="00CA59E8">
        <w:t xml:space="preserve">Préciser aussi </w:t>
      </w:r>
      <w:r w:rsidRPr="00CA59E8">
        <w:t>les</w:t>
      </w:r>
      <w:r w:rsidRPr="00CA59E8">
        <w:t xml:space="preserve"> mesures </w:t>
      </w:r>
      <w:r w:rsidRPr="00CA59E8">
        <w:t xml:space="preserve">qui </w:t>
      </w:r>
      <w:r w:rsidRPr="00CA59E8">
        <w:t>ont été prises pour mettre en place des mécanismes de plainte</w:t>
      </w:r>
      <w:r w:rsidRPr="00CA59E8">
        <w:t>s</w:t>
      </w:r>
      <w:r w:rsidRPr="00CA59E8">
        <w:t xml:space="preserve"> efficaces et accessibles aux enfants.</w:t>
      </w:r>
    </w:p>
    <w:p w:rsidR="0055756F" w:rsidRPr="00CA59E8" w:rsidRDefault="00467CF1" w:rsidP="00CA59E8">
      <w:pPr>
        <w:pStyle w:val="SingleTxtG"/>
      </w:pPr>
      <w:r w:rsidRPr="00CA59E8">
        <w:t>4.</w:t>
      </w:r>
      <w:r w:rsidRPr="00CA59E8">
        <w:tab/>
      </w:r>
      <w:r w:rsidRPr="00CA59E8">
        <w:t>F</w:t>
      </w:r>
      <w:r w:rsidRPr="00CA59E8">
        <w:t>ournir des informations sur l</w:t>
      </w:r>
      <w:r w:rsidRPr="00CA59E8">
        <w:t>’</w:t>
      </w:r>
      <w:r w:rsidRPr="00CA59E8">
        <w:t>intégration du principe de l</w:t>
      </w:r>
      <w:r w:rsidRPr="00CA59E8">
        <w:t>’</w:t>
      </w:r>
      <w:r w:rsidRPr="00CA59E8">
        <w:t>intérêt supérieur de l</w:t>
      </w:r>
      <w:r w:rsidRPr="00CA59E8">
        <w:t>’</w:t>
      </w:r>
      <w:r w:rsidRPr="00CA59E8">
        <w:t xml:space="preserve">enfant dans toutes les lois </w:t>
      </w:r>
      <w:r w:rsidRPr="00CA59E8">
        <w:t>relatives</w:t>
      </w:r>
      <w:r w:rsidRPr="00CA59E8">
        <w:t xml:space="preserve"> aux</w:t>
      </w:r>
      <w:r w:rsidRPr="00CA59E8">
        <w:t xml:space="preserve"> enfants et sur les mesures prises pour faire en sorte que </w:t>
      </w:r>
      <w:r w:rsidRPr="00CA59E8">
        <w:t xml:space="preserve">tous les professionnels </w:t>
      </w:r>
      <w:r w:rsidRPr="00CA59E8">
        <w:t xml:space="preserve">qui </w:t>
      </w:r>
      <w:r w:rsidRPr="00CA59E8">
        <w:t>travaill</w:t>
      </w:r>
      <w:r w:rsidRPr="00CA59E8">
        <w:t>e</w:t>
      </w:r>
      <w:r w:rsidRPr="00CA59E8">
        <w:t xml:space="preserve">nt avec </w:t>
      </w:r>
      <w:r w:rsidRPr="00CA59E8">
        <w:t>ou</w:t>
      </w:r>
      <w:r w:rsidR="00E3273F">
        <w:t xml:space="preserve"> </w:t>
      </w:r>
      <w:r w:rsidRPr="00CA59E8">
        <w:t xml:space="preserve">pour les enfants </w:t>
      </w:r>
      <w:r w:rsidRPr="00CA59E8">
        <w:t xml:space="preserve">dans tous les contextes </w:t>
      </w:r>
      <w:r w:rsidRPr="00CA59E8">
        <w:t>aux nivea</w:t>
      </w:r>
      <w:r w:rsidRPr="00CA59E8">
        <w:t xml:space="preserve">ux national, municipal et local bénéficient </w:t>
      </w:r>
      <w:r w:rsidRPr="00CA59E8">
        <w:t>systématiquement d</w:t>
      </w:r>
      <w:r w:rsidRPr="00CA59E8">
        <w:t>’</w:t>
      </w:r>
      <w:r w:rsidRPr="00CA59E8">
        <w:t>activités</w:t>
      </w:r>
      <w:r w:rsidRPr="00CA59E8">
        <w:t xml:space="preserve"> de formation et de sensibilisation </w:t>
      </w:r>
      <w:r w:rsidRPr="00CA59E8">
        <w:t>à</w:t>
      </w:r>
      <w:r w:rsidRPr="00CA59E8">
        <w:t xml:space="preserve"> la Convention</w:t>
      </w:r>
      <w:r w:rsidRPr="00CA59E8">
        <w:t xml:space="preserve">, et </w:t>
      </w:r>
      <w:r w:rsidRPr="00CA59E8">
        <w:t xml:space="preserve">que </w:t>
      </w:r>
      <w:r w:rsidRPr="00CA59E8">
        <w:t>d</w:t>
      </w:r>
      <w:r w:rsidRPr="00CA59E8">
        <w:t>es informations sur les droits de l</w:t>
      </w:r>
      <w:r w:rsidRPr="00CA59E8">
        <w:t>’</w:t>
      </w:r>
      <w:r w:rsidRPr="00CA59E8">
        <w:t xml:space="preserve">enfant </w:t>
      </w:r>
      <w:r w:rsidRPr="00CA59E8">
        <w:t>figurent</w:t>
      </w:r>
      <w:r w:rsidRPr="00CA59E8">
        <w:t xml:space="preserve"> dans les </w:t>
      </w:r>
      <w:r w:rsidRPr="00CA59E8">
        <w:t>programmes scolaires de to</w:t>
      </w:r>
      <w:r w:rsidRPr="00CA59E8">
        <w:t>us les degrés</w:t>
      </w:r>
      <w:r w:rsidRPr="00CA59E8">
        <w:t xml:space="preserve"> </w:t>
      </w:r>
      <w:r w:rsidRPr="00CA59E8">
        <w:t xml:space="preserve">ainsi que </w:t>
      </w:r>
      <w:r w:rsidRPr="00CA59E8">
        <w:t>dans</w:t>
      </w:r>
      <w:r w:rsidRPr="00CA59E8">
        <w:t xml:space="preserve"> les programmes d</w:t>
      </w:r>
      <w:r w:rsidRPr="00CA59E8">
        <w:t>e</w:t>
      </w:r>
      <w:r w:rsidRPr="00CA59E8">
        <w:t>s établissements d</w:t>
      </w:r>
      <w:r w:rsidRPr="00CA59E8">
        <w:t>’</w:t>
      </w:r>
      <w:r w:rsidRPr="00CA59E8">
        <w:t>enseignement</w:t>
      </w:r>
      <w:r w:rsidRPr="00CA59E8">
        <w:t xml:space="preserve"> supérieur</w:t>
      </w:r>
      <w:r w:rsidRPr="00CA59E8">
        <w:t xml:space="preserve">, </w:t>
      </w:r>
      <w:r w:rsidRPr="00CA59E8">
        <w:t>dont</w:t>
      </w:r>
      <w:r w:rsidRPr="00CA59E8">
        <w:t xml:space="preserve"> les </w:t>
      </w:r>
      <w:r w:rsidRPr="00CA59E8">
        <w:t>universit</w:t>
      </w:r>
      <w:r w:rsidRPr="00CA59E8">
        <w:t>és</w:t>
      </w:r>
      <w:r w:rsidRPr="00CA59E8">
        <w:t>,</w:t>
      </w:r>
      <w:r w:rsidRPr="00CA59E8">
        <w:t xml:space="preserve"> dans tous les domaines qui </w:t>
      </w:r>
      <w:r w:rsidRPr="00CA59E8">
        <w:t>se rapportent aux</w:t>
      </w:r>
      <w:r w:rsidRPr="00CA59E8">
        <w:t xml:space="preserve"> enfants et </w:t>
      </w:r>
      <w:r w:rsidRPr="00CA59E8">
        <w:t>à la famille</w:t>
      </w:r>
      <w:r w:rsidRPr="00CA59E8">
        <w:t xml:space="preserve">. </w:t>
      </w:r>
    </w:p>
    <w:p w:rsidR="0055756F" w:rsidRPr="00CA59E8" w:rsidRDefault="00467CF1" w:rsidP="00CA59E8">
      <w:pPr>
        <w:pStyle w:val="SingleTxtG"/>
      </w:pPr>
      <w:r w:rsidRPr="00CA59E8">
        <w:t>5.</w:t>
      </w:r>
      <w:r w:rsidRPr="00CA59E8">
        <w:tab/>
      </w:r>
      <w:r w:rsidRPr="00CA59E8">
        <w:t>Donner</w:t>
      </w:r>
      <w:r w:rsidRPr="00CA59E8">
        <w:t xml:space="preserve"> </w:t>
      </w:r>
      <w:r w:rsidRPr="00CA59E8">
        <w:t xml:space="preserve">des renseignements </w:t>
      </w:r>
      <w:r w:rsidRPr="00CA59E8">
        <w:t xml:space="preserve">sur </w:t>
      </w:r>
      <w:r w:rsidRPr="00CA59E8">
        <w:t>l</w:t>
      </w:r>
      <w:r w:rsidRPr="00CA59E8">
        <w:t>’</w:t>
      </w:r>
      <w:r w:rsidRPr="00CA59E8">
        <w:t xml:space="preserve">ampleur et les causes de la discrimination </w:t>
      </w:r>
      <w:r w:rsidRPr="00CA59E8">
        <w:t>dont sont victimes l</w:t>
      </w:r>
      <w:r w:rsidRPr="00CA59E8">
        <w:t xml:space="preserve">es </w:t>
      </w:r>
      <w:r w:rsidRPr="00CA59E8">
        <w:t xml:space="preserve">enfants </w:t>
      </w:r>
      <w:r w:rsidRPr="00CA59E8">
        <w:t>homosexuels</w:t>
      </w:r>
      <w:r w:rsidRPr="00CA59E8">
        <w:t xml:space="preserve">, </w:t>
      </w:r>
      <w:r w:rsidRPr="00CA59E8">
        <w:t>bisexuels et transgenres</w:t>
      </w:r>
      <w:r w:rsidRPr="00CA59E8">
        <w:t xml:space="preserve">, </w:t>
      </w:r>
      <w:r w:rsidRPr="00CA59E8">
        <w:t>l</w:t>
      </w:r>
      <w:r w:rsidRPr="00CA59E8">
        <w:t xml:space="preserve">es </w:t>
      </w:r>
      <w:r w:rsidRPr="00CA59E8">
        <w:t>enfants appa</w:t>
      </w:r>
      <w:r w:rsidRPr="00CA59E8">
        <w:t xml:space="preserve">rtenant à des groupes ethniques minoritaires, </w:t>
      </w:r>
      <w:r w:rsidRPr="00CA59E8">
        <w:t xml:space="preserve">des minorités nationales et des groupes autochtones, tels </w:t>
      </w:r>
      <w:r w:rsidRPr="00CA59E8">
        <w:lastRenderedPageBreak/>
        <w:t xml:space="preserve">que les enfants samis, et </w:t>
      </w:r>
      <w:r w:rsidRPr="00CA59E8">
        <w:t>l</w:t>
      </w:r>
      <w:r w:rsidRPr="00CA59E8">
        <w:t xml:space="preserve">es </w:t>
      </w:r>
      <w:r w:rsidRPr="00CA59E8">
        <w:t>enfants migrants, réfugiés et demandeurs d</w:t>
      </w:r>
      <w:r w:rsidRPr="00CA59E8">
        <w:t>’</w:t>
      </w:r>
      <w:r w:rsidRPr="00CA59E8">
        <w:t xml:space="preserve">asile. </w:t>
      </w:r>
      <w:r w:rsidRPr="00CA59E8">
        <w:t>I</w:t>
      </w:r>
      <w:r w:rsidRPr="00CA59E8">
        <w:t xml:space="preserve">ndiquer </w:t>
      </w:r>
      <w:r w:rsidRPr="00CA59E8">
        <w:t>l</w:t>
      </w:r>
      <w:r w:rsidRPr="00CA59E8">
        <w:t xml:space="preserve">es mesures </w:t>
      </w:r>
      <w:r w:rsidRPr="00CA59E8">
        <w:t>qui on</w:t>
      </w:r>
      <w:r w:rsidRPr="00CA59E8">
        <w:t xml:space="preserve">t été </w:t>
      </w:r>
      <w:r w:rsidRPr="00CA59E8">
        <w:t xml:space="preserve">prises pour lutter contre cette discrimination, notamment celles qui </w:t>
      </w:r>
      <w:r w:rsidRPr="00CA59E8">
        <w:t>s</w:t>
      </w:r>
      <w:r w:rsidRPr="00CA59E8">
        <w:t>’</w:t>
      </w:r>
      <w:r w:rsidRPr="00CA59E8">
        <w:t>adressent au</w:t>
      </w:r>
      <w:r w:rsidRPr="00CA59E8">
        <w:t xml:space="preserve"> personnel </w:t>
      </w:r>
      <w:r w:rsidRPr="00CA59E8">
        <w:t>des</w:t>
      </w:r>
      <w:r w:rsidRPr="00CA59E8">
        <w:t xml:space="preserve"> </w:t>
      </w:r>
      <w:r w:rsidRPr="00CA59E8">
        <w:t>établissements</w:t>
      </w:r>
      <w:r w:rsidRPr="00CA59E8">
        <w:t xml:space="preserve"> </w:t>
      </w:r>
      <w:r w:rsidRPr="00CA59E8">
        <w:t>accueillant</w:t>
      </w:r>
      <w:r w:rsidR="00E3273F">
        <w:t xml:space="preserve"> </w:t>
      </w:r>
      <w:r w:rsidRPr="00CA59E8">
        <w:t xml:space="preserve">des </w:t>
      </w:r>
      <w:r w:rsidRPr="00CA59E8">
        <w:t>enfants, tels que les écoles et les services de protection de l</w:t>
      </w:r>
      <w:r w:rsidRPr="00CA59E8">
        <w:t>’</w:t>
      </w:r>
      <w:r w:rsidRPr="00CA59E8">
        <w:t>enfance</w:t>
      </w:r>
      <w:r w:rsidR="00AA666C">
        <w:t xml:space="preserve"> (voir CRC/C/NOR/5-6, par. </w:t>
      </w:r>
      <w:r w:rsidRPr="00CA59E8">
        <w:t>34)</w:t>
      </w:r>
      <w:r w:rsidR="00BA20F8">
        <w:t>.</w:t>
      </w:r>
    </w:p>
    <w:p w:rsidR="0055756F" w:rsidRPr="00CA59E8" w:rsidRDefault="00467CF1" w:rsidP="00CA59E8">
      <w:pPr>
        <w:pStyle w:val="SingleTxtG"/>
      </w:pPr>
      <w:r w:rsidRPr="00CA59E8">
        <w:t>6.</w:t>
      </w:r>
      <w:r w:rsidRPr="00CA59E8">
        <w:tab/>
      </w:r>
      <w:r w:rsidRPr="00CA59E8">
        <w:t>F</w:t>
      </w:r>
      <w:r w:rsidRPr="00CA59E8">
        <w:t xml:space="preserve">ournir des informations sur </w:t>
      </w:r>
      <w:r w:rsidRPr="00CA59E8">
        <w:t xml:space="preserve">les mesures prises pour lutter contre la discrimination </w:t>
      </w:r>
      <w:r w:rsidRPr="00CA59E8">
        <w:t>dont sont victimes les</w:t>
      </w:r>
      <w:r w:rsidRPr="00CA59E8">
        <w:t xml:space="preserve"> enfants handicapés dans l</w:t>
      </w:r>
      <w:r w:rsidRPr="00CA59E8">
        <w:t>’</w:t>
      </w:r>
      <w:r w:rsidRPr="00CA59E8">
        <w:t>accès à l</w:t>
      </w:r>
      <w:r w:rsidRPr="00CA59E8">
        <w:t>’</w:t>
      </w:r>
      <w:r w:rsidRPr="00CA59E8">
        <w:t>éducation inclusive</w:t>
      </w:r>
      <w:r w:rsidRPr="00CA59E8">
        <w:t>, à la formation professionnelle</w:t>
      </w:r>
      <w:r w:rsidRPr="00CA59E8">
        <w:t xml:space="preserve"> et </w:t>
      </w:r>
      <w:r w:rsidRPr="00CA59E8">
        <w:t xml:space="preserve">aux activités récréatives </w:t>
      </w:r>
      <w:r w:rsidRPr="00CA59E8">
        <w:t>dans tout l</w:t>
      </w:r>
      <w:r w:rsidRPr="00CA59E8">
        <w:t>’</w:t>
      </w:r>
      <w:r w:rsidRPr="00CA59E8">
        <w:t xml:space="preserve">État partie </w:t>
      </w:r>
      <w:r w:rsidRPr="00CA59E8">
        <w:t>en</w:t>
      </w:r>
      <w:r w:rsidRPr="00CA59E8">
        <w:t xml:space="preserve"> veillant à favoriser</w:t>
      </w:r>
      <w:r w:rsidRPr="00CA59E8">
        <w:t>, dans toute la mesure possible,</w:t>
      </w:r>
      <w:r w:rsidRPr="00CA59E8">
        <w:t xml:space="preserve"> </w:t>
      </w:r>
      <w:r w:rsidRPr="00CA59E8">
        <w:t>l</w:t>
      </w:r>
      <w:r w:rsidRPr="00CA59E8">
        <w:t>’</w:t>
      </w:r>
      <w:r w:rsidRPr="00CA59E8">
        <w:t xml:space="preserve">intégration sociale </w:t>
      </w:r>
      <w:r w:rsidRPr="00CA59E8">
        <w:t>e</w:t>
      </w:r>
      <w:r w:rsidRPr="00CA59E8">
        <w:t xml:space="preserve">t </w:t>
      </w:r>
      <w:r w:rsidRPr="00CA59E8">
        <w:t>l</w:t>
      </w:r>
      <w:r w:rsidRPr="00CA59E8">
        <w:t>’</w:t>
      </w:r>
      <w:r w:rsidRPr="00CA59E8">
        <w:t>épanouissement personnel</w:t>
      </w:r>
      <w:r w:rsidRPr="00CA59E8">
        <w:t xml:space="preserve"> </w:t>
      </w:r>
      <w:r w:rsidRPr="00CA59E8">
        <w:t>des</w:t>
      </w:r>
      <w:r w:rsidRPr="00CA59E8">
        <w:t xml:space="preserve"> enfants</w:t>
      </w:r>
      <w:r w:rsidRPr="00CA59E8">
        <w:t>.</w:t>
      </w:r>
    </w:p>
    <w:p w:rsidR="0055756F" w:rsidRPr="00CA59E8" w:rsidRDefault="00467CF1" w:rsidP="00CA59E8">
      <w:pPr>
        <w:pStyle w:val="SingleTxtG"/>
      </w:pPr>
      <w:r w:rsidRPr="00CA59E8">
        <w:t>7.</w:t>
      </w:r>
      <w:r w:rsidRPr="00CA59E8">
        <w:tab/>
      </w:r>
      <w:r w:rsidRPr="00CA59E8">
        <w:t>Donner des informations sur les mesures prises pour renforcer l</w:t>
      </w:r>
      <w:r w:rsidRPr="00CA59E8">
        <w:t>’</w:t>
      </w:r>
      <w:r w:rsidRPr="00CA59E8">
        <w:t xml:space="preserve">efficacité des conseils de la jeunesse </w:t>
      </w:r>
      <w:r w:rsidRPr="00CA59E8">
        <w:t>au</w:t>
      </w:r>
      <w:r w:rsidRPr="00CA59E8">
        <w:t>x</w:t>
      </w:r>
      <w:r w:rsidRPr="00CA59E8">
        <w:t xml:space="preserve"> niveau</w:t>
      </w:r>
      <w:r w:rsidRPr="00CA59E8">
        <w:t>x</w:t>
      </w:r>
      <w:r w:rsidRPr="00CA59E8">
        <w:t xml:space="preserve"> municipal et </w:t>
      </w:r>
      <w:r w:rsidRPr="00CA59E8">
        <w:t xml:space="preserve">local </w:t>
      </w:r>
      <w:r w:rsidRPr="00CA59E8">
        <w:t>en vue de</w:t>
      </w:r>
      <w:r w:rsidRPr="00CA59E8">
        <w:t xml:space="preserve"> garantir la participation des enfants à la prise de décisions sur </w:t>
      </w:r>
      <w:r w:rsidRPr="00CA59E8">
        <w:t>l</w:t>
      </w:r>
      <w:r w:rsidRPr="00CA59E8">
        <w:t xml:space="preserve">es </w:t>
      </w:r>
      <w:r w:rsidRPr="00CA59E8">
        <w:t xml:space="preserve">sujets </w:t>
      </w:r>
      <w:r w:rsidRPr="00CA59E8">
        <w:t>qui les concernent. Donner</w:t>
      </w:r>
      <w:r w:rsidRPr="00CA59E8">
        <w:t xml:space="preserve"> également</w:t>
      </w:r>
      <w:r w:rsidRPr="00CA59E8">
        <w:t xml:space="preserve"> des informations sur les initiatives ou mesures </w:t>
      </w:r>
      <w:r w:rsidRPr="00CA59E8">
        <w:t xml:space="preserve">qui ont été </w:t>
      </w:r>
      <w:r w:rsidRPr="00CA59E8">
        <w:t xml:space="preserve">prises ou </w:t>
      </w:r>
      <w:r w:rsidRPr="00CA59E8">
        <w:t>qui sont</w:t>
      </w:r>
      <w:r w:rsidR="00E3273F">
        <w:t xml:space="preserve"> </w:t>
      </w:r>
      <w:r w:rsidRPr="00CA59E8">
        <w:t>envisagé</w:t>
      </w:r>
      <w:r w:rsidRPr="00CA59E8">
        <w:t>es</w:t>
      </w:r>
      <w:r w:rsidR="00E3273F">
        <w:t xml:space="preserve"> </w:t>
      </w:r>
      <w:r w:rsidRPr="00CA59E8">
        <w:t xml:space="preserve">pour faire en sorte que tous les enfants </w:t>
      </w:r>
      <w:r w:rsidRPr="00CA59E8">
        <w:t>aient la possibilité de</w:t>
      </w:r>
      <w:r w:rsidRPr="00CA59E8">
        <w:t xml:space="preserve"> participer concrètement au processus de prise de décision</w:t>
      </w:r>
      <w:r w:rsidR="00055274">
        <w:t>s</w:t>
      </w:r>
      <w:r w:rsidRPr="00CA59E8">
        <w:t xml:space="preserve"> dans les écoles et les communautés.</w:t>
      </w:r>
    </w:p>
    <w:p w:rsidR="0055756F" w:rsidRPr="00CA59E8" w:rsidRDefault="00467CF1" w:rsidP="00CA59E8">
      <w:pPr>
        <w:pStyle w:val="SingleTxtG"/>
      </w:pPr>
      <w:r w:rsidRPr="00CA59E8">
        <w:t>8.</w:t>
      </w:r>
      <w:r w:rsidRPr="00CA59E8">
        <w:tab/>
      </w:r>
      <w:r w:rsidRPr="00CA59E8">
        <w:t>Préciser</w:t>
      </w:r>
      <w:r w:rsidRPr="00CA59E8">
        <w:t xml:space="preserve"> </w:t>
      </w:r>
      <w:r w:rsidRPr="00CA59E8">
        <w:t>quelles</w:t>
      </w:r>
      <w:r w:rsidR="00E3273F">
        <w:t xml:space="preserve"> </w:t>
      </w:r>
      <w:r w:rsidRPr="00CA59E8">
        <w:t>mesures</w:t>
      </w:r>
      <w:r w:rsidR="00E3273F">
        <w:t xml:space="preserve"> </w:t>
      </w:r>
      <w:r w:rsidRPr="00CA59E8">
        <w:t xml:space="preserve">ont été prises pour </w:t>
      </w:r>
      <w:r w:rsidRPr="00CA59E8">
        <w:t xml:space="preserve">évaluer </w:t>
      </w:r>
      <w:r w:rsidRPr="00CA59E8">
        <w:t>les pratiques et objecti</w:t>
      </w:r>
      <w:r w:rsidRPr="00CA59E8">
        <w:t xml:space="preserve">fs éducatifs des communautés religieuses </w:t>
      </w:r>
      <w:r w:rsidRPr="00CA59E8">
        <w:t>sous l</w:t>
      </w:r>
      <w:r w:rsidRPr="00CA59E8">
        <w:t>’</w:t>
      </w:r>
      <w:r w:rsidRPr="00CA59E8">
        <w:t xml:space="preserve">angle de leur compatibilité </w:t>
      </w:r>
      <w:r w:rsidRPr="00CA59E8">
        <w:t xml:space="preserve">avec </w:t>
      </w:r>
      <w:r w:rsidRPr="00CA59E8">
        <w:t>le</w:t>
      </w:r>
      <w:r w:rsidRPr="00CA59E8">
        <w:t xml:space="preserve"> droit de l</w:t>
      </w:r>
      <w:r w:rsidRPr="00CA59E8">
        <w:t>’</w:t>
      </w:r>
      <w:r w:rsidRPr="00CA59E8">
        <w:t>enfant à une éducation holistique</w:t>
      </w:r>
      <w:r w:rsidRPr="00CA59E8">
        <w:t xml:space="preserve"> axée sur les droits de l</w:t>
      </w:r>
      <w:r w:rsidRPr="00CA59E8">
        <w:t>’</w:t>
      </w:r>
      <w:r w:rsidRPr="00CA59E8">
        <w:t xml:space="preserve">homme </w:t>
      </w:r>
      <w:r w:rsidRPr="00CA59E8">
        <w:t>(</w:t>
      </w:r>
      <w:r w:rsidRPr="00CA59E8">
        <w:t>voir CRC/C/NOR/CO/4, par</w:t>
      </w:r>
      <w:r w:rsidR="004E08C5">
        <w:t>. </w:t>
      </w:r>
      <w:r w:rsidRPr="00CA59E8">
        <w:t>27).</w:t>
      </w:r>
      <w:r w:rsidRPr="00CA59E8">
        <w:t xml:space="preserve"> </w:t>
      </w:r>
      <w:r w:rsidRPr="00CA59E8">
        <w:t xml:space="preserve">Donner également des renseignements supplémentaires sur les raisons pour lesquelles la matière </w:t>
      </w:r>
      <w:r w:rsidRPr="00CA59E8">
        <w:t xml:space="preserve">scolaire </w:t>
      </w:r>
      <w:r w:rsidRPr="00CA59E8">
        <w:t>Religion, conceptions de la vie et éthique</w:t>
      </w:r>
      <w:r w:rsidRPr="00CA59E8">
        <w:t xml:space="preserve"> </w:t>
      </w:r>
      <w:r w:rsidRPr="00CA59E8">
        <w:t>a été remplacé</w:t>
      </w:r>
      <w:r w:rsidRPr="00CA59E8">
        <w:t>e</w:t>
      </w:r>
      <w:r w:rsidRPr="00CA59E8">
        <w:t xml:space="preserve"> </w:t>
      </w:r>
      <w:r w:rsidRPr="00CA59E8">
        <w:t xml:space="preserve">en 2015 </w:t>
      </w:r>
      <w:r w:rsidRPr="00CA59E8">
        <w:t xml:space="preserve">par la matière Christianisme, religion, philosophies de la vie et éthique </w:t>
      </w:r>
      <w:r w:rsidRPr="00CA59E8">
        <w:t>ainsi</w:t>
      </w:r>
      <w:r w:rsidRPr="00CA59E8">
        <w:t xml:space="preserve"> que</w:t>
      </w:r>
      <w:r w:rsidRPr="00CA59E8">
        <w:t xml:space="preserve"> sur le contenu et les objectifs de ce</w:t>
      </w:r>
      <w:r w:rsidRPr="00CA59E8">
        <w:t>tte</w:t>
      </w:r>
      <w:r w:rsidRPr="00CA59E8">
        <w:t xml:space="preserve"> </w:t>
      </w:r>
      <w:r w:rsidRPr="00CA59E8">
        <w:t>nouvelle matière</w:t>
      </w:r>
      <w:r w:rsidR="004E08C5">
        <w:t xml:space="preserve"> (CRC/C/NOR/5-6, par. </w:t>
      </w:r>
      <w:r w:rsidRPr="00CA59E8">
        <w:t>69)</w:t>
      </w:r>
      <w:r w:rsidRPr="00CA59E8">
        <w:t>.</w:t>
      </w:r>
    </w:p>
    <w:p w:rsidR="0055756F" w:rsidRPr="00CA59E8" w:rsidRDefault="00467CF1" w:rsidP="00CA59E8">
      <w:pPr>
        <w:pStyle w:val="SingleTxtG"/>
      </w:pPr>
      <w:r w:rsidRPr="00CA59E8">
        <w:t>9.</w:t>
      </w:r>
      <w:r w:rsidRPr="00CA59E8">
        <w:tab/>
      </w:r>
      <w:r w:rsidRPr="00CA59E8">
        <w:t>F</w:t>
      </w:r>
      <w:r w:rsidRPr="00CA59E8">
        <w:t xml:space="preserve">ournir </w:t>
      </w:r>
      <w:r w:rsidRPr="00CA59E8">
        <w:t xml:space="preserve">de plus amples informations sur </w:t>
      </w:r>
      <w:r w:rsidRPr="00CA59E8">
        <w:t>les mesures prises pour prévenir</w:t>
      </w:r>
      <w:r w:rsidRPr="00CA59E8">
        <w:t xml:space="preserve"> et</w:t>
      </w:r>
      <w:r w:rsidRPr="00CA59E8">
        <w:t xml:space="preserve"> déceler</w:t>
      </w:r>
      <w:r w:rsidR="00E3273F">
        <w:t xml:space="preserve"> </w:t>
      </w:r>
      <w:r w:rsidRPr="00CA59E8">
        <w:t>les</w:t>
      </w:r>
      <w:r w:rsidR="00E3273F">
        <w:t xml:space="preserve"> </w:t>
      </w:r>
      <w:r w:rsidRPr="00CA59E8">
        <w:t>violence</w:t>
      </w:r>
      <w:r w:rsidRPr="00CA59E8">
        <w:t>s</w:t>
      </w:r>
      <w:r w:rsidRPr="00CA59E8">
        <w:t xml:space="preserve"> </w:t>
      </w:r>
      <w:r w:rsidRPr="00CA59E8">
        <w:t>à</w:t>
      </w:r>
      <w:r w:rsidR="00E3273F">
        <w:t xml:space="preserve"> </w:t>
      </w:r>
      <w:r w:rsidRPr="00CA59E8">
        <w:t>enfants</w:t>
      </w:r>
      <w:r w:rsidRPr="00CA59E8">
        <w:t xml:space="preserve"> et la maltraitance </w:t>
      </w:r>
      <w:r w:rsidRPr="00CA59E8">
        <w:t>d</w:t>
      </w:r>
      <w:r w:rsidRPr="00CA59E8">
        <w:t>’</w:t>
      </w:r>
      <w:r w:rsidRPr="00CA59E8">
        <w:t>enfants</w:t>
      </w:r>
      <w:r w:rsidRPr="00CA59E8">
        <w:t xml:space="preserve"> </w:t>
      </w:r>
      <w:r w:rsidRPr="00CA59E8">
        <w:t>et y faire face,</w:t>
      </w:r>
      <w:r w:rsidR="00E3273F">
        <w:t xml:space="preserve"> </w:t>
      </w:r>
      <w:r w:rsidRPr="00CA59E8">
        <w:t>notamment sur</w:t>
      </w:r>
      <w:r w:rsidRPr="00CA59E8">
        <w:t xml:space="preserve"> l</w:t>
      </w:r>
      <w:r w:rsidRPr="00CA59E8">
        <w:t>’</w:t>
      </w:r>
      <w:r w:rsidRPr="00CA59E8">
        <w:t xml:space="preserve">accès des enfants </w:t>
      </w:r>
      <w:r w:rsidRPr="00CA59E8">
        <w:t xml:space="preserve">à </w:t>
      </w:r>
      <w:r w:rsidRPr="00CA59E8">
        <w:t>de</w:t>
      </w:r>
      <w:r w:rsidRPr="00CA59E8">
        <w:t>s</w:t>
      </w:r>
      <w:r w:rsidR="00E3273F">
        <w:t xml:space="preserve"> </w:t>
      </w:r>
      <w:r w:rsidRPr="00CA59E8">
        <w:t>services d</w:t>
      </w:r>
      <w:r w:rsidRPr="00CA59E8">
        <w:t>’</w:t>
      </w:r>
      <w:r w:rsidRPr="00CA59E8">
        <w:t xml:space="preserve">assistance téléphonique </w:t>
      </w:r>
      <w:r w:rsidRPr="00CA59E8">
        <w:t xml:space="preserve">disponibles </w:t>
      </w:r>
      <w:r w:rsidRPr="00CA59E8">
        <w:t>sept jour</w:t>
      </w:r>
      <w:r w:rsidRPr="00CA59E8">
        <w:t>s</w:t>
      </w:r>
      <w:r w:rsidRPr="00CA59E8">
        <w:t xml:space="preserve"> sur sept et </w:t>
      </w:r>
      <w:r w:rsidRPr="00CA59E8">
        <w:t>24</w:t>
      </w:r>
      <w:r w:rsidRPr="00CA59E8">
        <w:t> heures sur 24</w:t>
      </w:r>
      <w:r w:rsidRPr="00CA59E8">
        <w:t>.</w:t>
      </w:r>
      <w:r w:rsidRPr="00CA59E8">
        <w:t xml:space="preserve"> </w:t>
      </w:r>
      <w:r w:rsidRPr="00CA59E8">
        <w:t>F</w:t>
      </w:r>
      <w:r w:rsidRPr="00CA59E8">
        <w:t xml:space="preserve">ournir </w:t>
      </w:r>
      <w:r w:rsidRPr="00CA59E8">
        <w:t xml:space="preserve">également des informations actualisées sur les mesures prises pour </w:t>
      </w:r>
      <w:r w:rsidRPr="00CA59E8">
        <w:t>lutter contre l</w:t>
      </w:r>
      <w:r w:rsidRPr="00CA59E8">
        <w:t>es</w:t>
      </w:r>
      <w:r w:rsidRPr="00CA59E8">
        <w:t xml:space="preserve"> violence</w:t>
      </w:r>
      <w:r w:rsidRPr="00CA59E8">
        <w:t>s</w:t>
      </w:r>
      <w:r w:rsidRPr="00CA59E8">
        <w:t xml:space="preserve"> </w:t>
      </w:r>
      <w:r w:rsidRPr="00CA59E8">
        <w:t>faite</w:t>
      </w:r>
      <w:r w:rsidRPr="00CA59E8">
        <w:t>s</w:t>
      </w:r>
      <w:r w:rsidRPr="00CA59E8">
        <w:t xml:space="preserve"> aux</w:t>
      </w:r>
      <w:r w:rsidR="004E08C5">
        <w:t xml:space="preserve"> enfants, y </w:t>
      </w:r>
      <w:r w:rsidRPr="00CA59E8">
        <w:t xml:space="preserve">compris </w:t>
      </w:r>
      <w:r w:rsidRPr="00CA59E8">
        <w:t>l</w:t>
      </w:r>
      <w:r w:rsidRPr="00CA59E8">
        <w:t xml:space="preserve">es enfants samis, en particulier les filles, </w:t>
      </w:r>
      <w:r w:rsidRPr="00CA59E8">
        <w:t xml:space="preserve">sur </w:t>
      </w:r>
      <w:r w:rsidRPr="00CA59E8">
        <w:t xml:space="preserve">les enquêtes </w:t>
      </w:r>
      <w:r w:rsidRPr="00CA59E8">
        <w:t>qui sont menées sur</w:t>
      </w:r>
      <w:r w:rsidRPr="00CA59E8">
        <w:t xml:space="preserve"> ces </w:t>
      </w:r>
      <w:r w:rsidRPr="00CA59E8">
        <w:t>affaires</w:t>
      </w:r>
      <w:r w:rsidR="00E3273F">
        <w:t xml:space="preserve"> </w:t>
      </w:r>
      <w:r w:rsidRPr="00CA59E8">
        <w:t xml:space="preserve">et </w:t>
      </w:r>
      <w:r w:rsidRPr="00CA59E8">
        <w:t xml:space="preserve">sur les services </w:t>
      </w:r>
      <w:r w:rsidRPr="00CA59E8">
        <w:t xml:space="preserve">de santé et de protection sociale </w:t>
      </w:r>
      <w:r w:rsidRPr="00CA59E8">
        <w:t xml:space="preserve">qui sont </w:t>
      </w:r>
      <w:r w:rsidRPr="00CA59E8">
        <w:t>offerts</w:t>
      </w:r>
      <w:r w:rsidRPr="00CA59E8">
        <w:t xml:space="preserve"> aux enfants victimes.</w:t>
      </w:r>
    </w:p>
    <w:p w:rsidR="0055756F" w:rsidRPr="00CA59E8" w:rsidRDefault="00467CF1" w:rsidP="00CA59E8">
      <w:pPr>
        <w:pStyle w:val="SingleTxtG"/>
      </w:pPr>
      <w:r w:rsidRPr="00CA59E8">
        <w:t>10.</w:t>
      </w:r>
      <w:r w:rsidRPr="00CA59E8">
        <w:tab/>
      </w:r>
      <w:r w:rsidRPr="00CA59E8">
        <w:t>Donner</w:t>
      </w:r>
      <w:r w:rsidRPr="00CA59E8">
        <w:t xml:space="preserve"> </w:t>
      </w:r>
      <w:r w:rsidRPr="00CA59E8">
        <w:t xml:space="preserve">de plus amples informations sur les mesures prises pour </w:t>
      </w:r>
      <w:r w:rsidRPr="00CA59E8">
        <w:t xml:space="preserve">faire réellement appliquer </w:t>
      </w:r>
      <w:r w:rsidRPr="00CA59E8">
        <w:t xml:space="preserve">les directives et </w:t>
      </w:r>
      <w:r w:rsidRPr="00CA59E8">
        <w:t>l</w:t>
      </w:r>
      <w:r w:rsidRPr="00CA59E8">
        <w:t xml:space="preserve">es orientations sur le traitement </w:t>
      </w:r>
      <w:r w:rsidRPr="00CA59E8">
        <w:t xml:space="preserve">des troubles mentaux et </w:t>
      </w:r>
      <w:r w:rsidRPr="00CA59E8">
        <w:t xml:space="preserve">des </w:t>
      </w:r>
      <w:r w:rsidRPr="00CA59E8">
        <w:t>trouble</w:t>
      </w:r>
      <w:r w:rsidRPr="00CA59E8">
        <w:t>s</w:t>
      </w:r>
      <w:r w:rsidRPr="00CA59E8">
        <w:t xml:space="preserve"> </w:t>
      </w:r>
      <w:r w:rsidRPr="00CA59E8">
        <w:rPr>
          <w:bCs/>
        </w:rPr>
        <w:t>déficitaire</w:t>
      </w:r>
      <w:r w:rsidRPr="00CA59E8">
        <w:rPr>
          <w:bCs/>
        </w:rPr>
        <w:t>s</w:t>
      </w:r>
      <w:r w:rsidRPr="00CA59E8">
        <w:rPr>
          <w:b/>
          <w:bCs/>
        </w:rPr>
        <w:t xml:space="preserve"> </w:t>
      </w:r>
      <w:r w:rsidRPr="00CA59E8">
        <w:t>de l</w:t>
      </w:r>
      <w:r w:rsidRPr="00CA59E8">
        <w:t>’</w:t>
      </w:r>
      <w:r w:rsidRPr="00CA59E8">
        <w:t>attention</w:t>
      </w:r>
      <w:r w:rsidRPr="00CA59E8">
        <w:t xml:space="preserve"> avec</w:t>
      </w:r>
      <w:r w:rsidR="00E3273F">
        <w:t xml:space="preserve"> </w:t>
      </w:r>
      <w:r w:rsidRPr="00CA59E8">
        <w:t>hyperactivité</w:t>
      </w:r>
      <w:r w:rsidRPr="00CA59E8">
        <w:t xml:space="preserve"> </w:t>
      </w:r>
      <w:r w:rsidRPr="00CA59E8">
        <w:t>(</w:t>
      </w:r>
      <w:r w:rsidRPr="00CA59E8">
        <w:t>TDA</w:t>
      </w:r>
      <w:r w:rsidRPr="00CA59E8">
        <w:t>H</w:t>
      </w:r>
      <w:r w:rsidRPr="00CA59E8">
        <w:t xml:space="preserve">) </w:t>
      </w:r>
      <w:r w:rsidRPr="00CA59E8">
        <w:t>dans l</w:t>
      </w:r>
      <w:r w:rsidRPr="00CA59E8">
        <w:t>’</w:t>
      </w:r>
      <w:r w:rsidRPr="00CA59E8">
        <w:t>ensemble de l</w:t>
      </w:r>
      <w:r w:rsidRPr="00CA59E8">
        <w:t>’</w:t>
      </w:r>
      <w:r w:rsidRPr="00CA59E8">
        <w:t xml:space="preserve">État </w:t>
      </w:r>
      <w:r w:rsidR="004E08C5">
        <w:t>partie (voir CRC/C/NOR/5-6, par </w:t>
      </w:r>
      <w:r w:rsidRPr="00CA59E8">
        <w:t xml:space="preserve">191) et sur les autres mesures </w:t>
      </w:r>
      <w:r w:rsidRPr="00CA59E8">
        <w:t xml:space="preserve">prises </w:t>
      </w:r>
      <w:r w:rsidRPr="00CA59E8">
        <w:t xml:space="preserve">pour lutter contre </w:t>
      </w:r>
      <w:r w:rsidRPr="00CA59E8">
        <w:t xml:space="preserve">le phénomène de la surprescription de psychostimulants </w:t>
      </w:r>
      <w:r w:rsidRPr="00CA59E8">
        <w:t xml:space="preserve">pour </w:t>
      </w:r>
      <w:r w:rsidRPr="00CA59E8">
        <w:t>traiter les</w:t>
      </w:r>
      <w:r w:rsidRPr="00CA59E8">
        <w:t xml:space="preserve"> enfants diagnostiqués comme souffrant de</w:t>
      </w:r>
      <w:r w:rsidRPr="00CA59E8">
        <w:t xml:space="preserve"> </w:t>
      </w:r>
      <w:r w:rsidRPr="00CA59E8">
        <w:t>TDA</w:t>
      </w:r>
      <w:r w:rsidRPr="00CA59E8">
        <w:t xml:space="preserve">H </w:t>
      </w:r>
      <w:r w:rsidRPr="00CA59E8">
        <w:t xml:space="preserve">(voir </w:t>
      </w:r>
      <w:r w:rsidRPr="00CA59E8">
        <w:t>CRC/C/NOR/CO/4, par</w:t>
      </w:r>
      <w:r w:rsidR="004E08C5">
        <w:t>. </w:t>
      </w:r>
      <w:r w:rsidRPr="00CA59E8">
        <w:t>43).</w:t>
      </w:r>
      <w:r w:rsidRPr="00CA59E8">
        <w:t xml:space="preserve"> </w:t>
      </w:r>
    </w:p>
    <w:p w:rsidR="0055756F" w:rsidRPr="0060055C" w:rsidRDefault="00467CF1" w:rsidP="00CA59E8">
      <w:pPr>
        <w:pStyle w:val="SingleTxtG"/>
        <w:rPr>
          <w:spacing w:val="-2"/>
        </w:rPr>
      </w:pPr>
      <w:r w:rsidRPr="0060055C">
        <w:rPr>
          <w:spacing w:val="-2"/>
        </w:rPr>
        <w:t>11.</w:t>
      </w:r>
      <w:r w:rsidRPr="0060055C">
        <w:rPr>
          <w:spacing w:val="-2"/>
        </w:rPr>
        <w:tab/>
      </w:r>
      <w:r w:rsidRPr="0060055C">
        <w:rPr>
          <w:spacing w:val="-2"/>
        </w:rPr>
        <w:t>F</w:t>
      </w:r>
      <w:r w:rsidRPr="0060055C">
        <w:rPr>
          <w:spacing w:val="-2"/>
        </w:rPr>
        <w:t xml:space="preserve">ournir </w:t>
      </w:r>
      <w:r w:rsidRPr="0060055C">
        <w:rPr>
          <w:spacing w:val="-2"/>
        </w:rPr>
        <w:t xml:space="preserve">de plus amples informations sur les raisons </w:t>
      </w:r>
      <w:r w:rsidRPr="0060055C">
        <w:rPr>
          <w:spacing w:val="-2"/>
        </w:rPr>
        <w:t>qui expliquent</w:t>
      </w:r>
      <w:r w:rsidRPr="0060055C">
        <w:rPr>
          <w:spacing w:val="-2"/>
        </w:rPr>
        <w:t xml:space="preserve"> l</w:t>
      </w:r>
      <w:r w:rsidRPr="0060055C">
        <w:rPr>
          <w:spacing w:val="-2"/>
        </w:rPr>
        <w:t>’</w:t>
      </w:r>
      <w:r w:rsidRPr="0060055C">
        <w:rPr>
          <w:spacing w:val="-2"/>
        </w:rPr>
        <w:t>augmentation du nombre d</w:t>
      </w:r>
      <w:r w:rsidRPr="0060055C">
        <w:rPr>
          <w:spacing w:val="-2"/>
        </w:rPr>
        <w:t>’</w:t>
      </w:r>
      <w:r w:rsidRPr="0060055C">
        <w:rPr>
          <w:spacing w:val="-2"/>
        </w:rPr>
        <w:t>enfants et d</w:t>
      </w:r>
      <w:r w:rsidRPr="0060055C">
        <w:rPr>
          <w:spacing w:val="-2"/>
        </w:rPr>
        <w:t>’</w:t>
      </w:r>
      <w:r w:rsidRPr="0060055C">
        <w:rPr>
          <w:spacing w:val="-2"/>
        </w:rPr>
        <w:t xml:space="preserve">adolescents </w:t>
      </w:r>
      <w:r w:rsidRPr="0060055C">
        <w:rPr>
          <w:spacing w:val="-2"/>
        </w:rPr>
        <w:t xml:space="preserve">qui, </w:t>
      </w:r>
      <w:r w:rsidRPr="0060055C">
        <w:rPr>
          <w:spacing w:val="-2"/>
        </w:rPr>
        <w:t xml:space="preserve">au lieu de </w:t>
      </w:r>
      <w:r w:rsidRPr="0060055C">
        <w:rPr>
          <w:spacing w:val="-2"/>
        </w:rPr>
        <w:t>recevoir</w:t>
      </w:r>
      <w:r w:rsidRPr="0060055C">
        <w:rPr>
          <w:spacing w:val="-2"/>
        </w:rPr>
        <w:t xml:space="preserve"> une aide à domicile</w:t>
      </w:r>
      <w:r w:rsidRPr="0060055C">
        <w:rPr>
          <w:spacing w:val="-2"/>
        </w:rPr>
        <w:t>,</w:t>
      </w:r>
      <w:r w:rsidRPr="0060055C">
        <w:rPr>
          <w:spacing w:val="-2"/>
        </w:rPr>
        <w:t xml:space="preserve"> </w:t>
      </w:r>
      <w:r w:rsidRPr="0060055C">
        <w:rPr>
          <w:spacing w:val="-2"/>
        </w:rPr>
        <w:t xml:space="preserve">sont </w:t>
      </w:r>
      <w:r w:rsidRPr="0060055C">
        <w:rPr>
          <w:spacing w:val="-2"/>
        </w:rPr>
        <w:t xml:space="preserve">placés hors </w:t>
      </w:r>
      <w:r w:rsidRPr="0060055C">
        <w:rPr>
          <w:spacing w:val="-2"/>
        </w:rPr>
        <w:t>de leur milieu familial</w:t>
      </w:r>
      <w:r w:rsidRPr="0060055C">
        <w:rPr>
          <w:spacing w:val="-2"/>
        </w:rPr>
        <w:t xml:space="preserve"> </w:t>
      </w:r>
      <w:r w:rsidRPr="0060055C">
        <w:rPr>
          <w:spacing w:val="-2"/>
        </w:rPr>
        <w:t xml:space="preserve">par les </w:t>
      </w:r>
      <w:r w:rsidRPr="0060055C">
        <w:rPr>
          <w:spacing w:val="-2"/>
        </w:rPr>
        <w:t>services de protection de l</w:t>
      </w:r>
      <w:r w:rsidRPr="0060055C">
        <w:rPr>
          <w:spacing w:val="-2"/>
        </w:rPr>
        <w:t>’</w:t>
      </w:r>
      <w:r w:rsidRPr="0060055C">
        <w:rPr>
          <w:spacing w:val="-2"/>
        </w:rPr>
        <w:t>enfance</w:t>
      </w:r>
      <w:r w:rsidRPr="0060055C">
        <w:rPr>
          <w:spacing w:val="-2"/>
        </w:rPr>
        <w:t xml:space="preserve"> </w:t>
      </w:r>
      <w:r w:rsidR="0060055C" w:rsidRPr="0060055C">
        <w:rPr>
          <w:spacing w:val="-2"/>
        </w:rPr>
        <w:t>(CRC/C/NOR/5-6, par. </w:t>
      </w:r>
      <w:r w:rsidRPr="0060055C">
        <w:rPr>
          <w:spacing w:val="-2"/>
        </w:rPr>
        <w:t>148)</w:t>
      </w:r>
      <w:r w:rsidRPr="0060055C">
        <w:rPr>
          <w:spacing w:val="-2"/>
        </w:rPr>
        <w:t xml:space="preserve">, et préciser quelles sont les mesures prises pour contrer cette tendance. </w:t>
      </w:r>
    </w:p>
    <w:p w:rsidR="0055756F" w:rsidRPr="00CA59E8" w:rsidRDefault="00467CF1" w:rsidP="00CA59E8">
      <w:pPr>
        <w:pStyle w:val="SingleTxtG"/>
      </w:pPr>
      <w:r w:rsidRPr="00CA59E8">
        <w:t>12.</w:t>
      </w:r>
      <w:r w:rsidRPr="00CA59E8">
        <w:tab/>
      </w:r>
      <w:r w:rsidRPr="00CA59E8">
        <w:t>Donner</w:t>
      </w:r>
      <w:r w:rsidRPr="00CA59E8">
        <w:t xml:space="preserve"> </w:t>
      </w:r>
      <w:r w:rsidRPr="00CA59E8">
        <w:t xml:space="preserve">de plus amples informations sur </w:t>
      </w:r>
      <w:r w:rsidRPr="00CA59E8">
        <w:t xml:space="preserve">les mesures prises pour élargir </w:t>
      </w:r>
      <w:r w:rsidRPr="00CA59E8">
        <w:t xml:space="preserve">les </w:t>
      </w:r>
      <w:r w:rsidRPr="00CA59E8">
        <w:t xml:space="preserve">attributions des services de </w:t>
      </w:r>
      <w:r w:rsidRPr="00CA59E8">
        <w:t>protection de l</w:t>
      </w:r>
      <w:r w:rsidRPr="00CA59E8">
        <w:t>’</w:t>
      </w:r>
      <w:r w:rsidRPr="00CA59E8">
        <w:t xml:space="preserve">enfance </w:t>
      </w:r>
      <w:r w:rsidRPr="00CA59E8">
        <w:t xml:space="preserve">afin </w:t>
      </w:r>
      <w:r w:rsidRPr="00CA59E8">
        <w:t>qu</w:t>
      </w:r>
      <w:r w:rsidRPr="00CA59E8">
        <w:t>’</w:t>
      </w:r>
      <w:r w:rsidRPr="00CA59E8">
        <w:t xml:space="preserve">ils </w:t>
      </w:r>
      <w:r w:rsidRPr="00CA59E8">
        <w:t>prennent également en charge</w:t>
      </w:r>
      <w:r w:rsidRPr="00CA59E8">
        <w:t xml:space="preserve"> les enfants</w:t>
      </w:r>
      <w:r w:rsidR="00E3273F">
        <w:t xml:space="preserve"> </w:t>
      </w:r>
      <w:r w:rsidRPr="00CA59E8">
        <w:t>demandeurs d</w:t>
      </w:r>
      <w:r w:rsidRPr="00CA59E8">
        <w:t>’</w:t>
      </w:r>
      <w:r w:rsidRPr="00CA59E8">
        <w:t xml:space="preserve">asile </w:t>
      </w:r>
      <w:r w:rsidRPr="00CA59E8">
        <w:t xml:space="preserve">non accompagnés </w:t>
      </w:r>
      <w:r w:rsidR="006F4787">
        <w:t>âgés de plus de 15 </w:t>
      </w:r>
      <w:r w:rsidRPr="00CA59E8">
        <w:t>ans</w:t>
      </w:r>
      <w:r w:rsidR="00E3273F">
        <w:t> ;</w:t>
      </w:r>
      <w:r w:rsidRPr="00CA59E8">
        <w:t xml:space="preserve"> </w:t>
      </w:r>
      <w:r w:rsidRPr="00CA59E8">
        <w:t xml:space="preserve">pour </w:t>
      </w:r>
      <w:r w:rsidRPr="00CA59E8">
        <w:t>améliorer et clarifier la réglementation relative à l</w:t>
      </w:r>
      <w:r w:rsidRPr="00CA59E8">
        <w:t>’</w:t>
      </w:r>
      <w:r w:rsidRPr="00CA59E8">
        <w:t>arrestation</w:t>
      </w:r>
      <w:r w:rsidRPr="00CA59E8">
        <w:t xml:space="preserve"> et à la détention d</w:t>
      </w:r>
      <w:r w:rsidRPr="00CA59E8">
        <w:t>’</w:t>
      </w:r>
      <w:r w:rsidRPr="00CA59E8">
        <w:t>enfants dans les affaires d</w:t>
      </w:r>
      <w:r w:rsidRPr="00CA59E8">
        <w:t>’</w:t>
      </w:r>
      <w:r w:rsidRPr="00CA59E8">
        <w:t>immigration</w:t>
      </w:r>
      <w:r w:rsidRPr="00CA59E8">
        <w:t xml:space="preserve"> </w:t>
      </w:r>
      <w:r w:rsidRPr="00CA59E8">
        <w:t>(</w:t>
      </w:r>
      <w:r w:rsidRPr="00CA59E8">
        <w:t>voir CRC/C/NOR/5-6, par</w:t>
      </w:r>
      <w:r w:rsidR="006F4787">
        <w:t>. </w:t>
      </w:r>
      <w:r w:rsidRPr="00CA59E8">
        <w:t>338)</w:t>
      </w:r>
      <w:r w:rsidR="00E3273F">
        <w:t> ;</w:t>
      </w:r>
      <w:r w:rsidRPr="00CA59E8">
        <w:t xml:space="preserve"> </w:t>
      </w:r>
      <w:r w:rsidRPr="00CA59E8">
        <w:t>pour</w:t>
      </w:r>
      <w:r w:rsidRPr="00CA59E8">
        <w:t xml:space="preserve"> </w:t>
      </w:r>
      <w:r w:rsidRPr="00CA59E8">
        <w:t>mettre en place</w:t>
      </w:r>
      <w:r w:rsidR="00E3273F">
        <w:t xml:space="preserve"> </w:t>
      </w:r>
      <w:r w:rsidRPr="00CA59E8">
        <w:t xml:space="preserve">des mesures de substitution au placement </w:t>
      </w:r>
      <w:r w:rsidRPr="00CA59E8">
        <w:t>des enfants</w:t>
      </w:r>
      <w:r w:rsidRPr="00CA59E8">
        <w:t xml:space="preserve"> </w:t>
      </w:r>
      <w:r w:rsidRPr="00CA59E8">
        <w:t xml:space="preserve">en détention </w:t>
      </w:r>
      <w:r w:rsidRPr="00CA59E8">
        <w:t xml:space="preserve">avant </w:t>
      </w:r>
      <w:r w:rsidRPr="00CA59E8">
        <w:t>leur expulsion</w:t>
      </w:r>
      <w:r w:rsidR="00E3273F">
        <w:t> ;</w:t>
      </w:r>
      <w:r w:rsidRPr="00CA59E8">
        <w:t xml:space="preserve"> </w:t>
      </w:r>
      <w:r w:rsidRPr="00CA59E8">
        <w:t>et pour résoudre le problème p</w:t>
      </w:r>
      <w:r w:rsidRPr="00CA59E8">
        <w:t>osé par l</w:t>
      </w:r>
      <w:r w:rsidRPr="00CA59E8">
        <w:t>’</w:t>
      </w:r>
      <w:r w:rsidRPr="00CA59E8">
        <w:t xml:space="preserve">augmentation du </w:t>
      </w:r>
      <w:r w:rsidRPr="00CA59E8">
        <w:t>nombre d</w:t>
      </w:r>
      <w:r w:rsidRPr="00CA59E8">
        <w:t>’</w:t>
      </w:r>
      <w:r w:rsidRPr="00CA59E8">
        <w:t xml:space="preserve">enfants non accompagnés </w:t>
      </w:r>
      <w:r w:rsidRPr="00CA59E8">
        <w:t>qui disparaissent</w:t>
      </w:r>
      <w:r w:rsidR="00E3273F">
        <w:t xml:space="preserve"> </w:t>
      </w:r>
      <w:r w:rsidRPr="00CA59E8">
        <w:t>des centres d</w:t>
      </w:r>
      <w:r w:rsidRPr="00CA59E8">
        <w:t>’</w:t>
      </w:r>
      <w:r w:rsidRPr="00CA59E8">
        <w:t>accueil</w:t>
      </w:r>
      <w:r w:rsidRPr="00CA59E8">
        <w:t xml:space="preserve">. </w:t>
      </w:r>
    </w:p>
    <w:p w:rsidR="0055756F" w:rsidRPr="00CA59E8" w:rsidRDefault="00467CF1" w:rsidP="00CA59E8">
      <w:pPr>
        <w:pStyle w:val="SingleTxtG"/>
      </w:pPr>
      <w:r w:rsidRPr="00CA59E8">
        <w:t>13.</w:t>
      </w:r>
      <w:r w:rsidRPr="00CA59E8">
        <w:tab/>
      </w:r>
      <w:r w:rsidRPr="00CA59E8">
        <w:t>F</w:t>
      </w:r>
      <w:r w:rsidRPr="00CA59E8">
        <w:t xml:space="preserve">ournir </w:t>
      </w:r>
      <w:r w:rsidRPr="00CA59E8">
        <w:t xml:space="preserve">des </w:t>
      </w:r>
      <w:r w:rsidRPr="00CA59E8">
        <w:t>renseignements</w:t>
      </w:r>
      <w:r w:rsidRPr="00CA59E8">
        <w:t xml:space="preserve"> sur les progrès réalisés dans la mise en œuvre de la recommandation </w:t>
      </w:r>
      <w:r w:rsidRPr="00CA59E8">
        <w:t xml:space="preserve">formulée </w:t>
      </w:r>
      <w:r w:rsidRPr="00CA59E8">
        <w:t xml:space="preserve">précédemment </w:t>
      </w:r>
      <w:r w:rsidRPr="00CA59E8">
        <w:t>par le</w:t>
      </w:r>
      <w:r w:rsidRPr="00CA59E8">
        <w:t xml:space="preserve"> Comité au titre du </w:t>
      </w:r>
      <w:r w:rsidR="00FB1CE7">
        <w:rPr>
          <w:bCs/>
        </w:rPr>
        <w:t>Protocole facultatif à la </w:t>
      </w:r>
      <w:r w:rsidRPr="00CA59E8">
        <w:rPr>
          <w:bCs/>
        </w:rPr>
        <w:t>Convention relative aux droits de l</w:t>
      </w:r>
      <w:r w:rsidRPr="00CA59E8">
        <w:rPr>
          <w:bCs/>
        </w:rPr>
        <w:t>’</w:t>
      </w:r>
      <w:r w:rsidRPr="00CA59E8">
        <w:rPr>
          <w:bCs/>
        </w:rPr>
        <w:t>enfant, concernant la vente d</w:t>
      </w:r>
      <w:r w:rsidRPr="00CA59E8">
        <w:rPr>
          <w:bCs/>
        </w:rPr>
        <w:t>’</w:t>
      </w:r>
      <w:r w:rsidRPr="00CA59E8">
        <w:rPr>
          <w:bCs/>
        </w:rPr>
        <w:t>enfants, la prostitution des enfants et la pornographie mettant en scène des enfants</w:t>
      </w:r>
      <w:r w:rsidRPr="00CA59E8">
        <w:t xml:space="preserve">, </w:t>
      </w:r>
      <w:r w:rsidRPr="00CA59E8">
        <w:t xml:space="preserve">tendant </w:t>
      </w:r>
      <w:r w:rsidRPr="00CA59E8">
        <w:t xml:space="preserve">en particulier </w:t>
      </w:r>
      <w:r w:rsidRPr="00CA59E8">
        <w:t>à veiller à ce</w:t>
      </w:r>
      <w:r w:rsidRPr="00CA59E8">
        <w:t xml:space="preserve"> que</w:t>
      </w:r>
      <w:r w:rsidRPr="00CA59E8">
        <w:t xml:space="preserve"> le Code pénal</w:t>
      </w:r>
      <w:r w:rsidRPr="00CA59E8">
        <w:t xml:space="preserve"> </w:t>
      </w:r>
      <w:r w:rsidRPr="00CA59E8">
        <w:t>couvre</w:t>
      </w:r>
      <w:r w:rsidR="00E3273F">
        <w:t xml:space="preserve"> </w:t>
      </w:r>
      <w:r w:rsidRPr="00CA59E8">
        <w:t>tous les ac</w:t>
      </w:r>
      <w:r w:rsidR="00335D8B">
        <w:t>tes et activités lié</w:t>
      </w:r>
      <w:r w:rsidRPr="00CA59E8">
        <w:t>s au fait « </w:t>
      </w:r>
      <w:r w:rsidRPr="00CA59E8">
        <w:t>de produire, de distribuer, de diffuser, d</w:t>
      </w:r>
      <w:r w:rsidRPr="00CA59E8">
        <w:t>’</w:t>
      </w:r>
      <w:r w:rsidRPr="00CA59E8">
        <w:t>importer, d</w:t>
      </w:r>
      <w:r w:rsidRPr="00CA59E8">
        <w:t>’</w:t>
      </w:r>
      <w:r w:rsidRPr="00CA59E8">
        <w:t>exporter, d</w:t>
      </w:r>
      <w:r w:rsidRPr="00CA59E8">
        <w:t>’</w:t>
      </w:r>
      <w:r w:rsidRPr="00CA59E8">
        <w:t>offrir, de vendre ou de détenir aux fins susmentionnées des matériels pornographique</w:t>
      </w:r>
      <w:r w:rsidRPr="00CA59E8">
        <w:t xml:space="preserve">s mettant en scène </w:t>
      </w:r>
      <w:r w:rsidRPr="00CA59E8">
        <w:t>des enfants»</w:t>
      </w:r>
      <w:r w:rsidRPr="00CA59E8">
        <w:t xml:space="preserve"> </w:t>
      </w:r>
      <w:r w:rsidRPr="00CA59E8">
        <w:t>(voir</w:t>
      </w:r>
      <w:r w:rsidR="00335D8B">
        <w:t> </w:t>
      </w:r>
      <w:r w:rsidR="006F4787">
        <w:t>CRC/C/OPSA/NOR/CO/1, par. </w:t>
      </w:r>
      <w:r w:rsidRPr="00CA59E8">
        <w:t>16</w:t>
      </w:r>
      <w:r w:rsidRPr="00CA59E8">
        <w:t>)</w:t>
      </w:r>
      <w:r w:rsidRPr="00CA59E8">
        <w:t>.</w:t>
      </w:r>
    </w:p>
    <w:p w:rsidR="0055756F" w:rsidRPr="00CA59E8" w:rsidRDefault="00467CF1" w:rsidP="00CA59E8">
      <w:pPr>
        <w:pStyle w:val="SingleTxtG"/>
      </w:pPr>
      <w:r w:rsidRPr="00CA59E8">
        <w:lastRenderedPageBreak/>
        <w:t>14.</w:t>
      </w:r>
      <w:r w:rsidRPr="00CA59E8">
        <w:tab/>
      </w:r>
      <w:r w:rsidRPr="00CA59E8">
        <w:t>Donner</w:t>
      </w:r>
      <w:r w:rsidRPr="00CA59E8">
        <w:t xml:space="preserve"> </w:t>
      </w:r>
      <w:r w:rsidRPr="00CA59E8">
        <w:t xml:space="preserve">des informations </w:t>
      </w:r>
      <w:r w:rsidRPr="00CA59E8">
        <w:t xml:space="preserve">sur les progrès réalisés dans la mise en œuvre de la recommandation </w:t>
      </w:r>
      <w:r w:rsidRPr="00CA59E8">
        <w:t>formulée précédemment par le</w:t>
      </w:r>
      <w:r w:rsidRPr="00CA59E8">
        <w:t xml:space="preserve"> Comité au titre du </w:t>
      </w:r>
      <w:r w:rsidR="003048B3">
        <w:rPr>
          <w:bCs/>
        </w:rPr>
        <w:t>Protocole facultatif à la </w:t>
      </w:r>
      <w:bookmarkStart w:id="0" w:name="_GoBack"/>
      <w:bookmarkEnd w:id="0"/>
      <w:r w:rsidRPr="00CA59E8">
        <w:rPr>
          <w:bCs/>
        </w:rPr>
        <w:t>Convention relative aux droits de</w:t>
      </w:r>
      <w:r w:rsidRPr="00CA59E8">
        <w:rPr>
          <w:bCs/>
        </w:rPr>
        <w:t xml:space="preserve"> l</w:t>
      </w:r>
      <w:r w:rsidRPr="00CA59E8">
        <w:rPr>
          <w:bCs/>
        </w:rPr>
        <w:t>’</w:t>
      </w:r>
      <w:r w:rsidRPr="00CA59E8">
        <w:rPr>
          <w:bCs/>
        </w:rPr>
        <w:t>enfant, concernant l</w:t>
      </w:r>
      <w:r w:rsidRPr="00CA59E8">
        <w:rPr>
          <w:bCs/>
        </w:rPr>
        <w:t>’</w:t>
      </w:r>
      <w:r w:rsidRPr="00CA59E8">
        <w:rPr>
          <w:bCs/>
        </w:rPr>
        <w:t>implication d</w:t>
      </w:r>
      <w:r w:rsidRPr="00CA59E8">
        <w:rPr>
          <w:bCs/>
        </w:rPr>
        <w:t>’</w:t>
      </w:r>
      <w:r w:rsidRPr="00CA59E8">
        <w:rPr>
          <w:bCs/>
        </w:rPr>
        <w:t>enfants dans les conflits armés</w:t>
      </w:r>
      <w:r w:rsidRPr="00CA59E8">
        <w:t xml:space="preserve">, en particulier </w:t>
      </w:r>
      <w:r w:rsidRPr="00CA59E8">
        <w:t xml:space="preserve">celle </w:t>
      </w:r>
      <w:r w:rsidRPr="00CA59E8">
        <w:t xml:space="preserve">tendant à </w:t>
      </w:r>
      <w:r w:rsidRPr="00CA59E8">
        <w:t xml:space="preserve">ce que soient </w:t>
      </w:r>
      <w:r w:rsidRPr="00CA59E8">
        <w:t>adopt</w:t>
      </w:r>
      <w:r w:rsidRPr="00CA59E8">
        <w:t>ées</w:t>
      </w:r>
      <w:r w:rsidR="00E3273F">
        <w:t xml:space="preserve"> </w:t>
      </w:r>
      <w:r w:rsidRPr="00CA59E8">
        <w:t>de</w:t>
      </w:r>
      <w:r w:rsidRPr="00CA59E8">
        <w:t>s</w:t>
      </w:r>
      <w:r w:rsidRPr="00CA59E8">
        <w:t xml:space="preserve"> </w:t>
      </w:r>
      <w:r w:rsidRPr="00CA59E8">
        <w:t xml:space="preserve">mesures </w:t>
      </w:r>
      <w:r w:rsidRPr="00CA59E8">
        <w:t>visant à</w:t>
      </w:r>
      <w:r w:rsidR="00E3273F">
        <w:t xml:space="preserve"> </w:t>
      </w:r>
      <w:r w:rsidRPr="00CA59E8">
        <w:t xml:space="preserve">repérer les enfants </w:t>
      </w:r>
      <w:r w:rsidRPr="00CA59E8">
        <w:t>qui ont</w:t>
      </w:r>
      <w:r w:rsidR="00E3273F">
        <w:t xml:space="preserve"> </w:t>
      </w:r>
      <w:r w:rsidRPr="00CA59E8">
        <w:t xml:space="preserve">été enrôlés ou </w:t>
      </w:r>
      <w:r w:rsidRPr="00CA59E8">
        <w:t xml:space="preserve">utilisés </w:t>
      </w:r>
      <w:r w:rsidRPr="00CA59E8">
        <w:t>dans</w:t>
      </w:r>
      <w:r w:rsidR="00E3273F">
        <w:t xml:space="preserve"> </w:t>
      </w:r>
      <w:r w:rsidRPr="00CA59E8">
        <w:t xml:space="preserve">des hostilités </w:t>
      </w:r>
      <w:r w:rsidRPr="00CA59E8">
        <w:t>à l</w:t>
      </w:r>
      <w:r w:rsidRPr="00CA59E8">
        <w:t>’</w:t>
      </w:r>
      <w:r w:rsidRPr="00CA59E8">
        <w:t>étranger et</w:t>
      </w:r>
      <w:r w:rsidR="00E3273F">
        <w:t xml:space="preserve"> </w:t>
      </w:r>
      <w:r w:rsidRPr="00CA59E8">
        <w:t xml:space="preserve">à ce </w:t>
      </w:r>
      <w:r w:rsidRPr="00CA59E8">
        <w:t xml:space="preserve">que </w:t>
      </w:r>
      <w:r w:rsidRPr="00CA59E8">
        <w:t>ces enfants</w:t>
      </w:r>
      <w:r w:rsidR="00E3273F">
        <w:t xml:space="preserve"> </w:t>
      </w:r>
      <w:r w:rsidRPr="00CA59E8">
        <w:t>bénéficient d</w:t>
      </w:r>
      <w:r w:rsidRPr="00CA59E8">
        <w:t>’</w:t>
      </w:r>
      <w:r w:rsidRPr="00CA59E8">
        <w:t xml:space="preserve">un appui et </w:t>
      </w:r>
      <w:r w:rsidRPr="00CA59E8">
        <w:t>d</w:t>
      </w:r>
      <w:r w:rsidRPr="00CA59E8">
        <w:t>’</w:t>
      </w:r>
      <w:r w:rsidRPr="00CA59E8">
        <w:t>un soutien</w:t>
      </w:r>
      <w:r w:rsidRPr="00CA59E8">
        <w:t xml:space="preserve"> suffisants ainsi que </w:t>
      </w:r>
      <w:r w:rsidRPr="00CA59E8">
        <w:t>d</w:t>
      </w:r>
      <w:r w:rsidRPr="00CA59E8">
        <w:t>’</w:t>
      </w:r>
      <w:r w:rsidRPr="00CA59E8">
        <w:t>une assistance</w:t>
      </w:r>
      <w:r w:rsidRPr="00CA59E8">
        <w:t xml:space="preserve"> psychologique et psychiatrique adapté</w:t>
      </w:r>
      <w:r w:rsidRPr="00CA59E8">
        <w:t>e</w:t>
      </w:r>
      <w:r w:rsidRPr="00CA59E8">
        <w:t xml:space="preserve"> </w:t>
      </w:r>
      <w:r w:rsidRPr="00CA59E8">
        <w:t>(voir CRC/C/OPAC/NOR/CO/1, par.</w:t>
      </w:r>
      <w:r w:rsidR="00FB1CE7">
        <w:t> </w:t>
      </w:r>
      <w:r w:rsidRPr="00CA59E8">
        <w:t>19</w:t>
      </w:r>
      <w:r w:rsidRPr="00CA59E8">
        <w:t>)</w:t>
      </w:r>
      <w:r w:rsidRPr="00CA59E8">
        <w:t>.</w:t>
      </w:r>
    </w:p>
    <w:p w:rsidR="0055756F" w:rsidRPr="00CA59E8" w:rsidRDefault="00467CF1" w:rsidP="00CA59E8">
      <w:pPr>
        <w:pStyle w:val="HChG"/>
      </w:pPr>
      <w:r w:rsidRPr="00CA59E8">
        <w:tab/>
      </w:r>
      <w:r w:rsidRPr="00CA59E8">
        <w:tab/>
      </w:r>
      <w:r w:rsidRPr="00CA59E8">
        <w:t>Deuxième partie</w:t>
      </w:r>
    </w:p>
    <w:p w:rsidR="0055756F" w:rsidRPr="00CA59E8" w:rsidRDefault="00467CF1" w:rsidP="00CA59E8">
      <w:pPr>
        <w:pStyle w:val="SingleTxtG"/>
      </w:pPr>
      <w:r w:rsidRPr="00CA59E8">
        <w:t>15.</w:t>
      </w:r>
      <w:r w:rsidRPr="00CA59E8">
        <w:tab/>
      </w:r>
      <w:r w:rsidRPr="00CA59E8">
        <w:t>L</w:t>
      </w:r>
      <w:r w:rsidRPr="00CA59E8">
        <w:t>’</w:t>
      </w:r>
      <w:r w:rsidRPr="00CA59E8">
        <w:t>État partie est invité à mettre à jour brièvement (en trois pages maximum) les renseignements fournis dans son rapport en ce qui concerne</w:t>
      </w:r>
      <w:r w:rsidR="00E3273F">
        <w:t> :</w:t>
      </w:r>
    </w:p>
    <w:p w:rsidR="0055756F" w:rsidRPr="00CA59E8" w:rsidRDefault="00CA59E8" w:rsidP="00CA59E8">
      <w:pPr>
        <w:pStyle w:val="SingleTxtG"/>
        <w:ind w:firstLine="567"/>
      </w:pPr>
      <w:r>
        <w:t>a)</w:t>
      </w:r>
      <w:r>
        <w:tab/>
      </w:r>
      <w:r w:rsidR="00467CF1" w:rsidRPr="00CA59E8">
        <w:t>Les nouveaux projets ou textes de loi et leurs règlements d</w:t>
      </w:r>
      <w:r w:rsidR="00467CF1" w:rsidRPr="00CA59E8">
        <w:t>’</w:t>
      </w:r>
      <w:r w:rsidR="00AE08E6">
        <w:t>application respectifs </w:t>
      </w:r>
      <w:r w:rsidR="00467CF1" w:rsidRPr="00CA59E8">
        <w:t>;</w:t>
      </w:r>
    </w:p>
    <w:p w:rsidR="0055756F" w:rsidRPr="00CA59E8" w:rsidRDefault="00467CF1" w:rsidP="00CA59E8">
      <w:pPr>
        <w:pStyle w:val="SingleTxtG"/>
        <w:ind w:firstLine="567"/>
      </w:pPr>
      <w:r w:rsidRPr="00CA59E8">
        <w:t>b</w:t>
      </w:r>
      <w:r w:rsidR="00CA59E8">
        <w:t>)</w:t>
      </w:r>
      <w:r w:rsidR="00CA59E8">
        <w:tab/>
      </w:r>
      <w:r w:rsidRPr="00CA59E8">
        <w:t>Les nouvelles institutions (et leur mandat) et</w:t>
      </w:r>
      <w:r w:rsidR="00AE08E6">
        <w:t xml:space="preserve"> les réformes institutionnelles </w:t>
      </w:r>
      <w:r w:rsidRPr="00CA59E8">
        <w:t>;</w:t>
      </w:r>
      <w:r w:rsidRPr="00CA59E8">
        <w:t xml:space="preserve"> </w:t>
      </w:r>
    </w:p>
    <w:p w:rsidR="0055756F" w:rsidRPr="00CA59E8" w:rsidRDefault="00CA59E8" w:rsidP="00CA59E8">
      <w:pPr>
        <w:pStyle w:val="SingleTxtG"/>
        <w:ind w:firstLine="567"/>
      </w:pPr>
      <w:r>
        <w:t>c)</w:t>
      </w:r>
      <w:r>
        <w:tab/>
      </w:r>
      <w:r w:rsidR="00467CF1" w:rsidRPr="00CA59E8">
        <w:t>Les politiques, programmes et plans d</w:t>
      </w:r>
      <w:r w:rsidR="00467CF1" w:rsidRPr="00CA59E8">
        <w:t>’</w:t>
      </w:r>
      <w:r w:rsidR="00467CF1" w:rsidRPr="00CA59E8">
        <w:t>action récemment adoptés, ainsi que leur champ d</w:t>
      </w:r>
      <w:r w:rsidR="00467CF1" w:rsidRPr="00CA59E8">
        <w:t>’</w:t>
      </w:r>
      <w:r w:rsidR="00AE08E6">
        <w:t>application et leur financement </w:t>
      </w:r>
      <w:r w:rsidR="00467CF1" w:rsidRPr="00CA59E8">
        <w:t>;</w:t>
      </w:r>
    </w:p>
    <w:p w:rsidR="0055756F" w:rsidRPr="00CA59E8" w:rsidRDefault="00CA59E8" w:rsidP="00CA59E8">
      <w:pPr>
        <w:pStyle w:val="SingleTxtG"/>
        <w:ind w:firstLine="567"/>
      </w:pPr>
      <w:r>
        <w:t>d)</w:t>
      </w:r>
      <w:r>
        <w:tab/>
      </w:r>
      <w:r w:rsidR="00467CF1" w:rsidRPr="00CA59E8">
        <w:t>Les instruments relatifs aux droits de l</w:t>
      </w:r>
      <w:r w:rsidR="00467CF1" w:rsidRPr="00CA59E8">
        <w:t>’</w:t>
      </w:r>
      <w:r w:rsidR="00467CF1" w:rsidRPr="00CA59E8">
        <w:t>hom</w:t>
      </w:r>
      <w:r w:rsidR="00467CF1" w:rsidRPr="00CA59E8">
        <w:t>me récemment ratifiés.</w:t>
      </w:r>
    </w:p>
    <w:p w:rsidR="0055756F" w:rsidRPr="00CA59E8" w:rsidRDefault="00467CF1" w:rsidP="00CA59E8">
      <w:pPr>
        <w:pStyle w:val="HChG"/>
      </w:pPr>
      <w:r w:rsidRPr="00CA59E8">
        <w:tab/>
      </w:r>
      <w:r w:rsidRPr="00CA59E8">
        <w:tab/>
      </w:r>
      <w:r w:rsidRPr="00CA59E8">
        <w:t>Troisième partie</w:t>
      </w:r>
    </w:p>
    <w:p w:rsidR="0055756F" w:rsidRPr="00CA59E8" w:rsidRDefault="00467CF1" w:rsidP="007738EF">
      <w:pPr>
        <w:pStyle w:val="H1G"/>
      </w:pPr>
      <w:r w:rsidRPr="00CA59E8">
        <w:tab/>
      </w:r>
      <w:r w:rsidRPr="00CA59E8">
        <w:tab/>
      </w:r>
      <w:r w:rsidRPr="00CA59E8">
        <w:t>Données, statistiques et autres informations, si disponibles</w:t>
      </w:r>
    </w:p>
    <w:p w:rsidR="0055756F" w:rsidRPr="00CA59E8" w:rsidRDefault="00467CF1" w:rsidP="00CA59E8">
      <w:pPr>
        <w:pStyle w:val="SingleTxtG"/>
      </w:pPr>
      <w:r w:rsidRPr="00CA59E8">
        <w:t>16.</w:t>
      </w:r>
      <w:r w:rsidRPr="00CA59E8">
        <w:tab/>
      </w:r>
      <w:r w:rsidRPr="00CA59E8">
        <w:t>Fournir, pour les trois dernières années, des informations récapitulatives sur les budgets consacrés au secteur de l</w:t>
      </w:r>
      <w:r w:rsidRPr="00CA59E8">
        <w:t>’</w:t>
      </w:r>
      <w:r w:rsidRPr="00CA59E8">
        <w:t xml:space="preserve">enfance et au secteur social, en indiquant quel pourcentage du budget national total et du produit national </w:t>
      </w:r>
      <w:r w:rsidRPr="00CA59E8">
        <w:t xml:space="preserve">brut ces budgets représentent. </w:t>
      </w:r>
      <w:r w:rsidRPr="00CA59E8">
        <w:t>Donner également des informations sur la répartition</w:t>
      </w:r>
      <w:r w:rsidRPr="00CA59E8">
        <w:t xml:space="preserve"> géographique de ces ressources</w:t>
      </w:r>
      <w:r w:rsidRPr="00CA59E8">
        <w:t>.</w:t>
      </w:r>
    </w:p>
    <w:p w:rsidR="0055756F" w:rsidRPr="00CA59E8" w:rsidRDefault="00467CF1" w:rsidP="00CA59E8">
      <w:pPr>
        <w:pStyle w:val="SingleTxtG"/>
      </w:pPr>
      <w:r w:rsidRPr="00CA59E8">
        <w:t>17.</w:t>
      </w:r>
      <w:r w:rsidRPr="00CA59E8">
        <w:tab/>
      </w:r>
      <w:r w:rsidRPr="00CA59E8">
        <w:t>Fournir, si possible, pour les trois dernières années, des données statistiques à jour, ventilées par âge, sexe, origine ethnique, origine nationale, zone géographi</w:t>
      </w:r>
      <w:r w:rsidRPr="00CA59E8">
        <w:t>que et situation socioéconomique, concernant</w:t>
      </w:r>
      <w:r w:rsidR="00E3273F">
        <w:t> :</w:t>
      </w:r>
    </w:p>
    <w:p w:rsidR="0055756F" w:rsidRPr="00CA59E8" w:rsidRDefault="00467CF1" w:rsidP="007738EF">
      <w:pPr>
        <w:pStyle w:val="SingleTxtG"/>
        <w:ind w:firstLine="567"/>
      </w:pPr>
      <w:r w:rsidRPr="00CA59E8">
        <w:t>a)</w:t>
      </w:r>
      <w:r w:rsidRPr="00CA59E8">
        <w:tab/>
      </w:r>
      <w:r w:rsidRPr="00CA59E8">
        <w:t>Les enfants migrants et réfugiés </w:t>
      </w:r>
      <w:r w:rsidRPr="00CA59E8">
        <w:t>;</w:t>
      </w:r>
    </w:p>
    <w:p w:rsidR="0055756F" w:rsidRPr="00CA59E8" w:rsidRDefault="00467CF1" w:rsidP="007738EF">
      <w:pPr>
        <w:pStyle w:val="SingleTxtG"/>
        <w:ind w:firstLine="567"/>
      </w:pPr>
      <w:r w:rsidRPr="00CA59E8">
        <w:t>b)</w:t>
      </w:r>
      <w:r w:rsidRPr="00CA59E8">
        <w:tab/>
      </w:r>
      <w:r w:rsidRPr="00CA59E8">
        <w:t>Les enfants et les adolescents toxicomanes et alcooliques ;</w:t>
      </w:r>
      <w:r w:rsidRPr="00CA59E8">
        <w:t xml:space="preserve"> </w:t>
      </w:r>
    </w:p>
    <w:p w:rsidR="0055756F" w:rsidRPr="00CA59E8" w:rsidRDefault="00467CF1" w:rsidP="007738EF">
      <w:pPr>
        <w:pStyle w:val="SingleTxtG"/>
        <w:ind w:firstLine="567"/>
      </w:pPr>
      <w:r w:rsidRPr="00CA59E8">
        <w:t>c)</w:t>
      </w:r>
      <w:r w:rsidRPr="00CA59E8">
        <w:tab/>
      </w:r>
      <w:r w:rsidRPr="00CA59E8">
        <w:t xml:space="preserve">Les </w:t>
      </w:r>
      <w:r w:rsidRPr="00CA59E8">
        <w:t>cas signalés d</w:t>
      </w:r>
      <w:r w:rsidRPr="00CA59E8">
        <w:t>’</w:t>
      </w:r>
      <w:r w:rsidRPr="00CA59E8">
        <w:t>enfants admis et traités sans leur consentement dans de</w:t>
      </w:r>
      <w:r w:rsidRPr="00CA59E8">
        <w:t>s établissements psychia</w:t>
      </w:r>
      <w:r w:rsidRPr="00CA59E8">
        <w:t>triques ;</w:t>
      </w:r>
    </w:p>
    <w:p w:rsidR="0055756F" w:rsidRPr="00CA59E8" w:rsidRDefault="00467CF1" w:rsidP="007738EF">
      <w:pPr>
        <w:pStyle w:val="SingleTxtG"/>
        <w:ind w:firstLine="567"/>
      </w:pPr>
      <w:r w:rsidRPr="00CA59E8">
        <w:t>d)</w:t>
      </w:r>
      <w:r w:rsidRPr="00CA59E8">
        <w:tab/>
      </w:r>
      <w:r w:rsidRPr="00CA59E8">
        <w:t xml:space="preserve">Les enfants </w:t>
      </w:r>
      <w:r w:rsidRPr="00CA59E8">
        <w:t xml:space="preserve">présentant des </w:t>
      </w:r>
      <w:r w:rsidRPr="00CA59E8">
        <w:t xml:space="preserve">symptômes </w:t>
      </w:r>
      <w:r w:rsidRPr="00CA59E8">
        <w:t xml:space="preserve">de </w:t>
      </w:r>
      <w:r w:rsidRPr="00CA59E8">
        <w:t xml:space="preserve">trouble </w:t>
      </w:r>
      <w:r w:rsidRPr="00CA59E8">
        <w:rPr>
          <w:bCs/>
        </w:rPr>
        <w:t>déficitaire</w:t>
      </w:r>
      <w:r w:rsidRPr="00CA59E8">
        <w:rPr>
          <w:b/>
          <w:bCs/>
        </w:rPr>
        <w:t xml:space="preserve"> </w:t>
      </w:r>
      <w:r w:rsidRPr="00CA59E8">
        <w:t>de l</w:t>
      </w:r>
      <w:r w:rsidRPr="00CA59E8">
        <w:t>’</w:t>
      </w:r>
      <w:r w:rsidRPr="00CA59E8">
        <w:t>attention, avec ou sans hyperactivité</w:t>
      </w:r>
      <w:r w:rsidRPr="00CA59E8">
        <w:t>,</w:t>
      </w:r>
      <w:r w:rsidRPr="00CA59E8">
        <w:t xml:space="preserve"> </w:t>
      </w:r>
      <w:r w:rsidRPr="00CA59E8">
        <w:t>qui ont été traités avec des psychostimulants</w:t>
      </w:r>
      <w:r w:rsidRPr="00CA59E8">
        <w:t>.</w:t>
      </w:r>
    </w:p>
    <w:p w:rsidR="0055756F" w:rsidRPr="00CA59E8" w:rsidRDefault="00467CF1" w:rsidP="00CA59E8">
      <w:pPr>
        <w:pStyle w:val="SingleTxtG"/>
      </w:pPr>
      <w:r w:rsidRPr="00CA59E8">
        <w:t>18.</w:t>
      </w:r>
      <w:r w:rsidRPr="00CA59E8">
        <w:tab/>
      </w:r>
      <w:r w:rsidRPr="00CA59E8">
        <w:t xml:space="preserve">Fournir, pour les trois dernières années, des données ventilées par âge, sexe, type de handicap, milieu socioéconomique, </w:t>
      </w:r>
      <w:r w:rsidRPr="00CA59E8">
        <w:t xml:space="preserve">origine ethnique, origine nationale </w:t>
      </w:r>
      <w:r w:rsidRPr="00CA59E8">
        <w:t>et zone géographique concernant la situation des enfants privés de milieu familial, en indiquant le</w:t>
      </w:r>
      <w:r w:rsidRPr="00CA59E8">
        <w:t xml:space="preserve"> nombre </w:t>
      </w:r>
      <w:r w:rsidRPr="00CA59E8">
        <w:t>d</w:t>
      </w:r>
      <w:r w:rsidRPr="00CA59E8">
        <w:t>’</w:t>
      </w:r>
      <w:r w:rsidRPr="00CA59E8">
        <w:t>enfants</w:t>
      </w:r>
      <w:r w:rsidR="00E3273F">
        <w:t> :</w:t>
      </w:r>
    </w:p>
    <w:p w:rsidR="0055756F" w:rsidRPr="00CA59E8" w:rsidRDefault="00467CF1" w:rsidP="002C77B9">
      <w:pPr>
        <w:pStyle w:val="SingleTxtG"/>
        <w:ind w:firstLine="567"/>
      </w:pPr>
      <w:r w:rsidRPr="00CA59E8">
        <w:t>a)</w:t>
      </w:r>
      <w:r w:rsidRPr="00CA59E8">
        <w:tab/>
      </w:r>
      <w:r w:rsidRPr="00CA59E8">
        <w:t xml:space="preserve">Qui </w:t>
      </w:r>
      <w:r w:rsidRPr="00CA59E8">
        <w:t>v</w:t>
      </w:r>
      <w:r w:rsidRPr="00CA59E8">
        <w:t>ivent dans des structures de protection de remplacement</w:t>
      </w:r>
      <w:r w:rsidR="00E3273F">
        <w:t> ;</w:t>
      </w:r>
    </w:p>
    <w:p w:rsidR="0055756F" w:rsidRPr="00CA59E8" w:rsidRDefault="00467CF1" w:rsidP="002C77B9">
      <w:pPr>
        <w:pStyle w:val="SingleTxtG"/>
        <w:ind w:firstLine="567"/>
      </w:pPr>
      <w:r w:rsidRPr="00CA59E8">
        <w:t>b)</w:t>
      </w:r>
      <w:r w:rsidRPr="00CA59E8">
        <w:tab/>
      </w:r>
      <w:r w:rsidRPr="00CA59E8">
        <w:t>Qui, non accompagnés, ont disparu des centres d</w:t>
      </w:r>
      <w:r w:rsidRPr="00CA59E8">
        <w:t>’</w:t>
      </w:r>
      <w:r w:rsidRPr="00CA59E8">
        <w:t>asile ;</w:t>
      </w:r>
    </w:p>
    <w:p w:rsidR="0055756F" w:rsidRPr="00CA59E8" w:rsidRDefault="00467CF1" w:rsidP="002C77B9">
      <w:pPr>
        <w:pStyle w:val="SingleTxtG"/>
        <w:ind w:firstLine="567"/>
      </w:pPr>
      <w:r w:rsidRPr="00CA59E8">
        <w:t>c)</w:t>
      </w:r>
      <w:r w:rsidRPr="00CA59E8">
        <w:tab/>
      </w:r>
      <w:r w:rsidRPr="00CA59E8">
        <w:t xml:space="preserve">Qui </w:t>
      </w:r>
      <w:r w:rsidRPr="00CA59E8">
        <w:t>ont été</w:t>
      </w:r>
      <w:r w:rsidR="00E3273F">
        <w:t xml:space="preserve"> </w:t>
      </w:r>
      <w:r w:rsidRPr="00CA59E8">
        <w:t>victimes de sévices sexuels</w:t>
      </w:r>
      <w:r w:rsidRPr="00CA59E8">
        <w:t>.</w:t>
      </w:r>
    </w:p>
    <w:p w:rsidR="0055756F" w:rsidRPr="00CA59E8" w:rsidRDefault="00467CF1" w:rsidP="00CA59E8">
      <w:pPr>
        <w:pStyle w:val="SingleTxtG"/>
      </w:pPr>
      <w:r w:rsidRPr="00CA59E8">
        <w:t>19.</w:t>
      </w:r>
      <w:r w:rsidRPr="00CA59E8">
        <w:tab/>
      </w:r>
      <w:r w:rsidRPr="00CA59E8">
        <w:t xml:space="preserve">Fournir, pour les trois dernières années, </w:t>
      </w:r>
      <w:r w:rsidRPr="00CA59E8">
        <w:t>des données ventilées par âge, sexe, type de handicap, origine ethnique et zone géographique, concernant le nombre d</w:t>
      </w:r>
      <w:r w:rsidRPr="00CA59E8">
        <w:t>’</w:t>
      </w:r>
      <w:r w:rsidRPr="00CA59E8">
        <w:t>enfants handicapés qui</w:t>
      </w:r>
      <w:r w:rsidR="00E3273F">
        <w:t> :</w:t>
      </w:r>
    </w:p>
    <w:p w:rsidR="0055756F" w:rsidRPr="00CA59E8" w:rsidRDefault="00467CF1" w:rsidP="002C77B9">
      <w:pPr>
        <w:pStyle w:val="SingleTxtG"/>
        <w:ind w:firstLine="567"/>
      </w:pPr>
      <w:r w:rsidRPr="00CA59E8">
        <w:t>a)</w:t>
      </w:r>
      <w:r w:rsidRPr="00CA59E8">
        <w:tab/>
      </w:r>
      <w:r w:rsidRPr="00CA59E8">
        <w:t>Vivent dans leur famille</w:t>
      </w:r>
      <w:r w:rsidR="00E3273F">
        <w:t> ;</w:t>
      </w:r>
    </w:p>
    <w:p w:rsidR="0055756F" w:rsidRPr="00CA59E8" w:rsidRDefault="00467CF1" w:rsidP="002C77B9">
      <w:pPr>
        <w:pStyle w:val="SingleTxtG"/>
        <w:ind w:firstLine="567"/>
      </w:pPr>
      <w:r w:rsidRPr="00CA59E8">
        <w:t>b)</w:t>
      </w:r>
      <w:r w:rsidRPr="00CA59E8">
        <w:tab/>
      </w:r>
      <w:r w:rsidRPr="00CA59E8">
        <w:t>Vivent en institution</w:t>
      </w:r>
      <w:r w:rsidR="00E3273F">
        <w:t> ;</w:t>
      </w:r>
    </w:p>
    <w:p w:rsidR="0055756F" w:rsidRPr="00CA59E8" w:rsidRDefault="00467CF1" w:rsidP="002C77B9">
      <w:pPr>
        <w:pStyle w:val="SingleTxtG"/>
        <w:ind w:firstLine="567"/>
      </w:pPr>
      <w:r w:rsidRPr="00CA59E8">
        <w:lastRenderedPageBreak/>
        <w:t>c)</w:t>
      </w:r>
      <w:r w:rsidRPr="00CA59E8">
        <w:tab/>
      </w:r>
      <w:r w:rsidRPr="00CA59E8">
        <w:t>Fréquentent une école primaire ordinaire</w:t>
      </w:r>
      <w:r w:rsidR="00E3273F">
        <w:t> ;</w:t>
      </w:r>
    </w:p>
    <w:p w:rsidR="0055756F" w:rsidRPr="00CA59E8" w:rsidRDefault="00467CF1" w:rsidP="002C77B9">
      <w:pPr>
        <w:pStyle w:val="SingleTxtG"/>
        <w:ind w:firstLine="567"/>
      </w:pPr>
      <w:r w:rsidRPr="00CA59E8">
        <w:t>d)</w:t>
      </w:r>
      <w:r w:rsidRPr="00CA59E8">
        <w:tab/>
      </w:r>
      <w:r w:rsidRPr="00CA59E8">
        <w:t>Fréquentent une école secondaire ordinaire</w:t>
      </w:r>
      <w:r w:rsidR="00E3273F">
        <w:t> ;</w:t>
      </w:r>
    </w:p>
    <w:p w:rsidR="0055756F" w:rsidRPr="00CA59E8" w:rsidRDefault="00467CF1" w:rsidP="002C77B9">
      <w:pPr>
        <w:pStyle w:val="SingleTxtG"/>
        <w:ind w:firstLine="567"/>
      </w:pPr>
      <w:r w:rsidRPr="00CA59E8">
        <w:t>e)</w:t>
      </w:r>
      <w:r w:rsidRPr="00CA59E8">
        <w:tab/>
      </w:r>
      <w:r w:rsidRPr="00CA59E8">
        <w:t>Fréquentent une école spécialisée</w:t>
      </w:r>
      <w:r w:rsidR="00E3273F">
        <w:t> ;</w:t>
      </w:r>
    </w:p>
    <w:p w:rsidR="0055756F" w:rsidRPr="00CA59E8" w:rsidRDefault="00467CF1" w:rsidP="002C77B9">
      <w:pPr>
        <w:pStyle w:val="SingleTxtG"/>
        <w:ind w:firstLine="567"/>
      </w:pPr>
      <w:r w:rsidRPr="00CA59E8">
        <w:t>f)</w:t>
      </w:r>
      <w:r w:rsidRPr="00CA59E8">
        <w:tab/>
      </w:r>
      <w:r w:rsidRPr="00CA59E8">
        <w:t>Ne sont pas scolarisés</w:t>
      </w:r>
      <w:r w:rsidR="00E3273F">
        <w:t> ;</w:t>
      </w:r>
      <w:r w:rsidRPr="00CA59E8">
        <w:t xml:space="preserve"> </w:t>
      </w:r>
    </w:p>
    <w:p w:rsidR="0055756F" w:rsidRPr="00CA59E8" w:rsidRDefault="00467CF1" w:rsidP="002C77B9">
      <w:pPr>
        <w:pStyle w:val="SingleTxtG"/>
        <w:ind w:firstLine="567"/>
      </w:pPr>
      <w:r w:rsidRPr="00CA59E8">
        <w:t>g)</w:t>
      </w:r>
      <w:r w:rsidRPr="00CA59E8">
        <w:tab/>
      </w:r>
      <w:r w:rsidRPr="00CA59E8">
        <w:t>Ont été abandonnés par leur famille.</w:t>
      </w:r>
    </w:p>
    <w:p w:rsidR="0055756F" w:rsidRPr="00CA59E8" w:rsidRDefault="00467CF1" w:rsidP="00CA59E8">
      <w:pPr>
        <w:pStyle w:val="SingleTxtG"/>
      </w:pPr>
      <w:r w:rsidRPr="00CA59E8">
        <w:t>20.</w:t>
      </w:r>
      <w:r w:rsidRPr="00CA59E8">
        <w:tab/>
      </w:r>
      <w:r w:rsidRPr="00CA59E8">
        <w:t xml:space="preserve">Fournir, si possible, pour les trois dernières années, des données statistiques </w:t>
      </w:r>
      <w:r w:rsidRPr="00CA59E8">
        <w:t>à jour</w:t>
      </w:r>
      <w:r w:rsidRPr="00CA59E8">
        <w:t>, venti</w:t>
      </w:r>
      <w:r w:rsidRPr="00CA59E8">
        <w:t>lées par âge, sexe, type d</w:t>
      </w:r>
      <w:r w:rsidRPr="00CA59E8">
        <w:t>’</w:t>
      </w:r>
      <w:r w:rsidRPr="00CA59E8">
        <w:t>infraction, origine ethnique, origine nationale, zone géographique et situation socioéconomique, sur le nombre d</w:t>
      </w:r>
      <w:r w:rsidRPr="00CA59E8">
        <w:t>’</w:t>
      </w:r>
      <w:r w:rsidRPr="00CA59E8">
        <w:t>enfants en conflit avec la loi qui</w:t>
      </w:r>
      <w:r w:rsidR="00E3273F">
        <w:t> :</w:t>
      </w:r>
      <w:r w:rsidRPr="00CA59E8">
        <w:t xml:space="preserve"> </w:t>
      </w:r>
    </w:p>
    <w:p w:rsidR="0055756F" w:rsidRPr="00CA59E8" w:rsidRDefault="00467CF1" w:rsidP="002C77B9">
      <w:pPr>
        <w:pStyle w:val="SingleTxtG"/>
        <w:ind w:firstLine="567"/>
      </w:pPr>
      <w:r w:rsidRPr="00CA59E8">
        <w:t>a)</w:t>
      </w:r>
      <w:r w:rsidRPr="00CA59E8">
        <w:tab/>
      </w:r>
      <w:r w:rsidRPr="00CA59E8">
        <w:t>Ont été arrêtés</w:t>
      </w:r>
      <w:r w:rsidR="00E3273F">
        <w:t> ;</w:t>
      </w:r>
    </w:p>
    <w:p w:rsidR="0055756F" w:rsidRPr="00CA59E8" w:rsidRDefault="00467CF1" w:rsidP="002C77B9">
      <w:pPr>
        <w:pStyle w:val="SingleTxtG"/>
        <w:ind w:firstLine="567"/>
      </w:pPr>
      <w:r w:rsidRPr="00CA59E8">
        <w:t>b)</w:t>
      </w:r>
      <w:r w:rsidRPr="00CA59E8">
        <w:tab/>
      </w:r>
      <w:r w:rsidRPr="00CA59E8">
        <w:t xml:space="preserve">Sont en détention </w:t>
      </w:r>
      <w:r w:rsidRPr="00CA59E8">
        <w:t>proviso</w:t>
      </w:r>
      <w:r w:rsidRPr="00CA59E8">
        <w:t>ire</w:t>
      </w:r>
      <w:r w:rsidR="00E3273F">
        <w:t> ;</w:t>
      </w:r>
    </w:p>
    <w:p w:rsidR="0055756F" w:rsidRPr="00CA59E8" w:rsidRDefault="00467CF1" w:rsidP="002C77B9">
      <w:pPr>
        <w:pStyle w:val="SingleTxtG"/>
        <w:ind w:firstLine="567"/>
      </w:pPr>
      <w:r w:rsidRPr="00CA59E8">
        <w:t>c)</w:t>
      </w:r>
      <w:r w:rsidRPr="00CA59E8">
        <w:tab/>
      </w:r>
      <w:r w:rsidRPr="00CA59E8">
        <w:t>Sont en d</w:t>
      </w:r>
      <w:r w:rsidRPr="00CA59E8">
        <w:t>é</w:t>
      </w:r>
      <w:r w:rsidRPr="00CA59E8">
        <w:t>tention</w:t>
      </w:r>
      <w:r w:rsidR="00E3273F">
        <w:t> ;</w:t>
      </w:r>
      <w:r w:rsidRPr="00CA59E8">
        <w:t xml:space="preserve"> </w:t>
      </w:r>
    </w:p>
    <w:p w:rsidR="0055756F" w:rsidRPr="00CA59E8" w:rsidRDefault="00467CF1" w:rsidP="002C77B9">
      <w:pPr>
        <w:pStyle w:val="SingleTxtG"/>
        <w:ind w:firstLine="567"/>
      </w:pPr>
      <w:r w:rsidRPr="00CA59E8">
        <w:t>d)</w:t>
      </w:r>
      <w:r w:rsidRPr="00CA59E8">
        <w:tab/>
      </w:r>
      <w:r w:rsidRPr="00CA59E8">
        <w:t>Bénéficient de programmes de déjudiciarisation</w:t>
      </w:r>
      <w:r w:rsidRPr="00CA59E8">
        <w:t>.</w:t>
      </w:r>
    </w:p>
    <w:p w:rsidR="0055756F" w:rsidRPr="00CA59E8" w:rsidRDefault="00467CF1" w:rsidP="00CA59E8">
      <w:pPr>
        <w:pStyle w:val="SingleTxtG"/>
      </w:pPr>
      <w:r w:rsidRPr="00CA59E8">
        <w:t>21.</w:t>
      </w:r>
      <w:r w:rsidRPr="00CA59E8">
        <w:tab/>
      </w:r>
      <w:r w:rsidRPr="00CA59E8">
        <w:t>Mettre à jour toutes les données figurant dans le rapport qui seraient obsolètes ou ne tiendraie</w:t>
      </w:r>
      <w:r w:rsidRPr="00CA59E8">
        <w:t>nt pas compte de faits nouveaux</w:t>
      </w:r>
      <w:r w:rsidRPr="00CA59E8">
        <w:t xml:space="preserve">. </w:t>
      </w:r>
    </w:p>
    <w:p w:rsidR="007341B7" w:rsidRDefault="00467CF1" w:rsidP="00CA59E8">
      <w:pPr>
        <w:pStyle w:val="SingleTxtG"/>
      </w:pPr>
      <w:r w:rsidRPr="00CA59E8">
        <w:t>22.</w:t>
      </w:r>
      <w:r w:rsidRPr="00CA59E8">
        <w:tab/>
      </w:r>
      <w:r w:rsidRPr="00CA59E8">
        <w:t>En outre, l</w:t>
      </w:r>
      <w:r w:rsidRPr="00CA59E8">
        <w:t>’</w:t>
      </w:r>
      <w:r w:rsidRPr="00CA59E8">
        <w:t>État partie voudra peut</w:t>
      </w:r>
      <w:r w:rsidR="00E3273F">
        <w:noBreakHyphen/>
      </w:r>
      <w:r w:rsidRPr="00CA59E8">
        <w:t xml:space="preserve">être dresser </w:t>
      </w:r>
      <w:r w:rsidRPr="00CA59E8">
        <w:t>la liste des domaines en rapport avec l</w:t>
      </w:r>
      <w:r w:rsidRPr="00CA59E8">
        <w:t>’</w:t>
      </w:r>
      <w:r w:rsidRPr="00CA59E8">
        <w:t>enfance qu</w:t>
      </w:r>
      <w:r w:rsidRPr="00CA59E8">
        <w:t>’</w:t>
      </w:r>
      <w:r w:rsidRPr="00CA59E8">
        <w:t xml:space="preserve">il estime prioritaires au regard de la mise </w:t>
      </w:r>
      <w:r w:rsidRPr="00CA59E8">
        <w:t>en œuvre de la Convention</w:t>
      </w:r>
      <w:r w:rsidRPr="00CA59E8">
        <w:t>.</w:t>
      </w:r>
    </w:p>
    <w:p w:rsidR="008C77D4" w:rsidRPr="008C77D4" w:rsidRDefault="008C77D4" w:rsidP="008C77D4">
      <w:pPr>
        <w:pStyle w:val="SingleTxtG"/>
        <w:spacing w:before="240" w:after="0"/>
        <w:jc w:val="center"/>
        <w:rPr>
          <w:u w:val="single"/>
        </w:rPr>
      </w:pPr>
      <w:r>
        <w:rPr>
          <w:u w:val="single"/>
        </w:rPr>
        <w:tab/>
      </w:r>
      <w:r>
        <w:rPr>
          <w:u w:val="single"/>
        </w:rPr>
        <w:tab/>
      </w:r>
      <w:r>
        <w:rPr>
          <w:u w:val="single"/>
        </w:rPr>
        <w:tab/>
      </w:r>
    </w:p>
    <w:sectPr w:rsidR="008C77D4" w:rsidRPr="008C77D4" w:rsidSect="00297F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5F" w:rsidRDefault="009F455F" w:rsidP="00F95C08">
      <w:pPr>
        <w:spacing w:line="240" w:lineRule="auto"/>
      </w:pPr>
    </w:p>
  </w:endnote>
  <w:endnote w:type="continuationSeparator" w:id="0">
    <w:p w:rsidR="009F455F" w:rsidRPr="00AC3823" w:rsidRDefault="009F455F" w:rsidP="00AC3823">
      <w:pPr>
        <w:pStyle w:val="Pieddepage"/>
      </w:pPr>
    </w:p>
  </w:endnote>
  <w:endnote w:type="continuationNotice" w:id="1">
    <w:p w:rsidR="009F455F" w:rsidRDefault="009F45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6D" w:rsidRPr="00297F6D" w:rsidRDefault="00297F6D" w:rsidP="00297F6D">
    <w:pPr>
      <w:pStyle w:val="Pieddepage"/>
      <w:tabs>
        <w:tab w:val="right" w:pos="9638"/>
      </w:tabs>
    </w:pPr>
    <w:r w:rsidRPr="00297F6D">
      <w:rPr>
        <w:b/>
        <w:sz w:val="18"/>
      </w:rPr>
      <w:fldChar w:fldCharType="begin"/>
    </w:r>
    <w:r w:rsidRPr="00297F6D">
      <w:rPr>
        <w:b/>
        <w:sz w:val="18"/>
      </w:rPr>
      <w:instrText xml:space="preserve"> PAGE  \* MERGEFORMAT </w:instrText>
    </w:r>
    <w:r w:rsidRPr="00297F6D">
      <w:rPr>
        <w:b/>
        <w:sz w:val="18"/>
      </w:rPr>
      <w:fldChar w:fldCharType="separate"/>
    </w:r>
    <w:r w:rsidR="00467CF1">
      <w:rPr>
        <w:b/>
        <w:noProof/>
        <w:sz w:val="18"/>
      </w:rPr>
      <w:t>4</w:t>
    </w:r>
    <w:r w:rsidRPr="00297F6D">
      <w:rPr>
        <w:b/>
        <w:sz w:val="18"/>
      </w:rPr>
      <w:fldChar w:fldCharType="end"/>
    </w:r>
    <w:r>
      <w:rPr>
        <w:b/>
        <w:sz w:val="18"/>
      </w:rPr>
      <w:tab/>
    </w:r>
    <w:r>
      <w:t>GE.17-18925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6D" w:rsidRPr="00297F6D" w:rsidRDefault="00297F6D" w:rsidP="00297F6D">
    <w:pPr>
      <w:pStyle w:val="Pieddepage"/>
      <w:tabs>
        <w:tab w:val="right" w:pos="9638"/>
      </w:tabs>
      <w:rPr>
        <w:b/>
        <w:sz w:val="18"/>
      </w:rPr>
    </w:pPr>
    <w:r>
      <w:t>GE.17-18925</w:t>
    </w:r>
    <w:r>
      <w:tab/>
    </w:r>
    <w:r w:rsidRPr="00297F6D">
      <w:rPr>
        <w:b/>
        <w:sz w:val="18"/>
      </w:rPr>
      <w:fldChar w:fldCharType="begin"/>
    </w:r>
    <w:r w:rsidRPr="00297F6D">
      <w:rPr>
        <w:b/>
        <w:sz w:val="18"/>
      </w:rPr>
      <w:instrText xml:space="preserve"> PAGE  \* MERGEFORMAT </w:instrText>
    </w:r>
    <w:r w:rsidRPr="00297F6D">
      <w:rPr>
        <w:b/>
        <w:sz w:val="18"/>
      </w:rPr>
      <w:fldChar w:fldCharType="separate"/>
    </w:r>
    <w:r w:rsidR="00467CF1">
      <w:rPr>
        <w:b/>
        <w:noProof/>
        <w:sz w:val="18"/>
      </w:rPr>
      <w:t>3</w:t>
    </w:r>
    <w:r w:rsidRPr="00297F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297F6D" w:rsidRDefault="00297F6D" w:rsidP="00297F6D">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17-18925  (F)</w:t>
    </w:r>
    <w:r w:rsidR="00940165">
      <w:rPr>
        <w:sz w:val="20"/>
      </w:rPr>
      <w:t xml:space="preserve">    161117    161117</w:t>
    </w:r>
    <w:r>
      <w:rPr>
        <w:sz w:val="20"/>
      </w:rPr>
      <w:br/>
    </w:r>
    <w:r w:rsidRPr="00297F6D">
      <w:rPr>
        <w:rFonts w:ascii="C39T30Lfz" w:hAnsi="C39T30Lfz"/>
        <w:sz w:val="56"/>
      </w:rPr>
      <w:t></w:t>
    </w:r>
    <w:r w:rsidRPr="00297F6D">
      <w:rPr>
        <w:rFonts w:ascii="C39T30Lfz" w:hAnsi="C39T30Lfz"/>
        <w:sz w:val="56"/>
      </w:rPr>
      <w:t></w:t>
    </w:r>
    <w:r w:rsidRPr="00297F6D">
      <w:rPr>
        <w:rFonts w:ascii="C39T30Lfz" w:hAnsi="C39T30Lfz"/>
        <w:sz w:val="56"/>
      </w:rPr>
      <w:t></w:t>
    </w:r>
    <w:r w:rsidRPr="00297F6D">
      <w:rPr>
        <w:rFonts w:ascii="C39T30Lfz" w:hAnsi="C39T30Lfz"/>
        <w:sz w:val="56"/>
      </w:rPr>
      <w:t></w:t>
    </w:r>
    <w:r w:rsidRPr="00297F6D">
      <w:rPr>
        <w:rFonts w:ascii="C39T30Lfz" w:hAnsi="C39T30Lfz"/>
        <w:sz w:val="56"/>
      </w:rPr>
      <w:t></w:t>
    </w:r>
    <w:r w:rsidRPr="00297F6D">
      <w:rPr>
        <w:rFonts w:ascii="C39T30Lfz" w:hAnsi="C39T30Lfz"/>
        <w:sz w:val="56"/>
      </w:rPr>
      <w:t></w:t>
    </w:r>
    <w:r w:rsidRPr="00297F6D">
      <w:rPr>
        <w:rFonts w:ascii="C39T30Lfz" w:hAnsi="C39T30Lfz"/>
        <w:sz w:val="56"/>
      </w:rPr>
      <w:t></w:t>
    </w:r>
    <w:r w:rsidRPr="00297F6D">
      <w:rPr>
        <w:rFonts w:ascii="C39T30Lfz" w:hAnsi="C39T30Lfz"/>
        <w:sz w:val="56"/>
      </w:rPr>
      <w:t></w:t>
    </w:r>
    <w:r w:rsidRPr="00297F6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NOR/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NOR/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5F" w:rsidRPr="00AC3823" w:rsidRDefault="009F455F" w:rsidP="00AC3823">
      <w:pPr>
        <w:pStyle w:val="Pieddepage"/>
        <w:tabs>
          <w:tab w:val="right" w:pos="2155"/>
        </w:tabs>
        <w:spacing w:after="80" w:line="240" w:lineRule="atLeast"/>
        <w:ind w:left="680"/>
        <w:rPr>
          <w:u w:val="single"/>
        </w:rPr>
      </w:pPr>
      <w:r>
        <w:rPr>
          <w:u w:val="single"/>
        </w:rPr>
        <w:tab/>
      </w:r>
    </w:p>
  </w:footnote>
  <w:footnote w:type="continuationSeparator" w:id="0">
    <w:p w:rsidR="009F455F" w:rsidRPr="00AC3823" w:rsidRDefault="009F455F" w:rsidP="00AC3823">
      <w:pPr>
        <w:pStyle w:val="Pieddepage"/>
        <w:tabs>
          <w:tab w:val="right" w:pos="2155"/>
        </w:tabs>
        <w:spacing w:after="80" w:line="240" w:lineRule="atLeast"/>
        <w:ind w:left="680"/>
        <w:rPr>
          <w:u w:val="single"/>
        </w:rPr>
      </w:pPr>
      <w:r>
        <w:rPr>
          <w:u w:val="single"/>
        </w:rPr>
        <w:tab/>
      </w:r>
    </w:p>
  </w:footnote>
  <w:footnote w:type="continuationNotice" w:id="1">
    <w:p w:rsidR="009F455F" w:rsidRPr="00AC3823" w:rsidRDefault="009F455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6D" w:rsidRPr="00297F6D" w:rsidRDefault="00297F6D">
    <w:pPr>
      <w:pStyle w:val="En-tte"/>
    </w:pPr>
    <w:fldSimple w:instr=" TITLE  \* MERGEFORMAT ">
      <w:r w:rsidR="00467CF1">
        <w:t>CRC/C/NOR/Q/5-6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6D" w:rsidRPr="00297F6D" w:rsidRDefault="00297F6D" w:rsidP="00297F6D">
    <w:pPr>
      <w:pStyle w:val="En-tte"/>
      <w:jc w:val="right"/>
    </w:pPr>
    <w:fldSimple w:instr=" TITLE  \* MERGEFORMAT ">
      <w:r w:rsidR="00467CF1">
        <w:t>CRC/C/NOR/Q/5-6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5F"/>
    <w:rsid w:val="00017F94"/>
    <w:rsid w:val="00023842"/>
    <w:rsid w:val="000334F9"/>
    <w:rsid w:val="000354E9"/>
    <w:rsid w:val="00055274"/>
    <w:rsid w:val="0007796D"/>
    <w:rsid w:val="000B7790"/>
    <w:rsid w:val="000C62BF"/>
    <w:rsid w:val="00111F2F"/>
    <w:rsid w:val="0014365E"/>
    <w:rsid w:val="00176178"/>
    <w:rsid w:val="001F525A"/>
    <w:rsid w:val="00223272"/>
    <w:rsid w:val="0024779E"/>
    <w:rsid w:val="00274161"/>
    <w:rsid w:val="00297F6D"/>
    <w:rsid w:val="002C77B9"/>
    <w:rsid w:val="002D14A3"/>
    <w:rsid w:val="003048B3"/>
    <w:rsid w:val="00311E81"/>
    <w:rsid w:val="00335D8B"/>
    <w:rsid w:val="00340ED0"/>
    <w:rsid w:val="00446FE5"/>
    <w:rsid w:val="00452396"/>
    <w:rsid w:val="00467CF1"/>
    <w:rsid w:val="00485B35"/>
    <w:rsid w:val="004D7A2C"/>
    <w:rsid w:val="004E08C5"/>
    <w:rsid w:val="005505B7"/>
    <w:rsid w:val="00573BE5"/>
    <w:rsid w:val="00586ED3"/>
    <w:rsid w:val="00596AA9"/>
    <w:rsid w:val="0060055C"/>
    <w:rsid w:val="006F4787"/>
    <w:rsid w:val="0071601D"/>
    <w:rsid w:val="007341B7"/>
    <w:rsid w:val="00760CBC"/>
    <w:rsid w:val="007738EF"/>
    <w:rsid w:val="007A62E6"/>
    <w:rsid w:val="0080684C"/>
    <w:rsid w:val="00840413"/>
    <w:rsid w:val="00861DD4"/>
    <w:rsid w:val="00871C75"/>
    <w:rsid w:val="008776DC"/>
    <w:rsid w:val="008C54BD"/>
    <w:rsid w:val="008C77D4"/>
    <w:rsid w:val="008F3CA0"/>
    <w:rsid w:val="00907F30"/>
    <w:rsid w:val="00920F50"/>
    <w:rsid w:val="00940165"/>
    <w:rsid w:val="009705C8"/>
    <w:rsid w:val="009F455F"/>
    <w:rsid w:val="00A30353"/>
    <w:rsid w:val="00AA666C"/>
    <w:rsid w:val="00AC3823"/>
    <w:rsid w:val="00AE08E6"/>
    <w:rsid w:val="00AE323C"/>
    <w:rsid w:val="00B00181"/>
    <w:rsid w:val="00B24A9B"/>
    <w:rsid w:val="00B64DA7"/>
    <w:rsid w:val="00B765F7"/>
    <w:rsid w:val="00BA0CA9"/>
    <w:rsid w:val="00BA20F8"/>
    <w:rsid w:val="00C02897"/>
    <w:rsid w:val="00CA59E8"/>
    <w:rsid w:val="00D3439C"/>
    <w:rsid w:val="00D84F99"/>
    <w:rsid w:val="00DB1831"/>
    <w:rsid w:val="00DB6ADB"/>
    <w:rsid w:val="00DB7E33"/>
    <w:rsid w:val="00DD3BFD"/>
    <w:rsid w:val="00DF6678"/>
    <w:rsid w:val="00E20189"/>
    <w:rsid w:val="00E3273F"/>
    <w:rsid w:val="00EA134E"/>
    <w:rsid w:val="00F660DF"/>
    <w:rsid w:val="00F95C08"/>
    <w:rsid w:val="00FB1CE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F055B8"/>
  <w15:docId w15:val="{F1F5EBFF-96C8-4E92-82DF-6529981A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1701</Words>
  <Characters>9681</Characters>
  <Application>Microsoft Office Word</Application>
  <DocSecurity>0</DocSecurity>
  <Lines>1075</Lines>
  <Paragraphs>455</Paragraphs>
  <ScaleCrop>false</ScaleCrop>
  <HeadingPairs>
    <vt:vector size="2" baseType="variant">
      <vt:variant>
        <vt:lpstr>Titre</vt:lpstr>
      </vt:variant>
      <vt:variant>
        <vt:i4>1</vt:i4>
      </vt:variant>
    </vt:vector>
  </HeadingPairs>
  <TitlesOfParts>
    <vt:vector size="1" baseType="lpstr">
      <vt:lpstr>CRC/C/NOR/Q/5-6</vt:lpstr>
    </vt:vector>
  </TitlesOfParts>
  <Company>DCM</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CRC/C/NOR/Q/5-6</dc:title>
  <dc:subject/>
  <dc:creator>DEVOS</dc:creator>
  <cp:keywords/>
  <cp:lastModifiedBy>DEVOS</cp:lastModifiedBy>
  <cp:revision>3</cp:revision>
  <cp:lastPrinted>2017-11-16T13:17:00Z</cp:lastPrinted>
  <dcterms:created xsi:type="dcterms:W3CDTF">2017-11-16T13:17:00Z</dcterms:created>
  <dcterms:modified xsi:type="dcterms:W3CDTF">2017-11-16T13:18:00Z</dcterms:modified>
</cp:coreProperties>
</file>