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</w:pPr>
      <w:r>
        <w:t>Двадцать четвертая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499-м заседании,</w:t>
      </w:r>
    </w:p>
    <w:p w:rsidR="00000000" w:rsidRDefault="00000000">
      <w:r>
        <w:t>состоявшемся в Центральных учреждениях, Нью-Йорк, в среду, 24 января 2001 года, в 15 ч. 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910"/>
        </w:tabs>
        <w:ind w:right="1267"/>
      </w:pPr>
      <w:r>
        <w:rPr>
          <w:i/>
        </w:rPr>
        <w:t>Председатель:</w:t>
      </w:r>
      <w:r>
        <w:tab/>
        <w:t>г</w:t>
      </w:r>
      <w:r>
        <w:noBreakHyphen/>
        <w:t xml:space="preserve">жа Регаццоли </w:t>
      </w:r>
      <w:r>
        <w:rPr>
          <w:spacing w:val="60"/>
          <w:sz w:val="17"/>
        </w:rPr>
        <w:tab/>
      </w:r>
      <w:r>
        <w:t xml:space="preserve"> (заместитель Председателя)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>
        <w:tab/>
      </w:r>
      <w:r>
        <w:tab/>
        <w:t>Рассмотрение докладов, представленных государствами-участниками в соответствии со статьей 18 Ко</w:t>
      </w:r>
      <w:r>
        <w:t>н</w:t>
      </w:r>
      <w:r>
        <w:t>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hanging="1267"/>
        <w:rPr>
          <w:sz w:val="10"/>
        </w:rPr>
      </w:pPr>
    </w:p>
    <w:p w:rsidR="00000000" w:rsidRDefault="00000000">
      <w:pPr>
        <w:pStyle w:val="SingleTxt"/>
        <w:suppressAutoHyphens/>
        <w:rPr>
          <w:i/>
        </w:rPr>
      </w:pPr>
      <w:r>
        <w:tab/>
        <w:t xml:space="preserve">Первоначальный доклад Мальдивских Островов </w:t>
      </w:r>
      <w:r>
        <w:rPr>
          <w:i/>
        </w:rPr>
        <w:t>(продолжение)</w:t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540" w:hanging="1022"/>
        <w:rPr>
          <w:i/>
        </w:rPr>
      </w:pPr>
      <w:r>
        <w:rPr>
          <w:i/>
        </w:rPr>
        <w:tab/>
        <w:t>В отсутствие г</w:t>
      </w:r>
      <w:r>
        <w:rPr>
          <w:i/>
        </w:rPr>
        <w:noBreakHyphen/>
        <w:t>жи Абака место Председ</w:t>
      </w:r>
      <w:r>
        <w:rPr>
          <w:i/>
        </w:rPr>
        <w:t>а</w:t>
      </w:r>
      <w:r>
        <w:rPr>
          <w:i/>
        </w:rPr>
        <w:t>теля занимает г</w:t>
      </w:r>
      <w:r>
        <w:rPr>
          <w:i/>
        </w:rPr>
        <w:noBreakHyphen/>
        <w:t>жа Регаццоли, заместитель Председат</w:t>
      </w:r>
      <w:r>
        <w:rPr>
          <w:i/>
        </w:rPr>
        <w:t>е</w:t>
      </w:r>
      <w:r>
        <w:rPr>
          <w:i/>
        </w:rPr>
        <w:t>ля.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открывается в 15 ч. 05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 xml:space="preserve">Рассмотрение докладов, представленных государствами-участниками в соответствии со 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rPr>
          <w:i w:val="0"/>
        </w:rPr>
        <w:tab/>
      </w:r>
      <w:r>
        <w:rPr>
          <w:i w:val="0"/>
        </w:rPr>
        <w:tab/>
      </w:r>
      <w:r>
        <w:rPr>
          <w:b/>
          <w:i w:val="0"/>
        </w:rPr>
        <w:t xml:space="preserve">Первоначальный доклад Мальдивских Островов </w:t>
      </w:r>
      <w:r>
        <w:t xml:space="preserve">(продолжение) </w:t>
      </w:r>
      <w:r>
        <w:rPr>
          <w:i w:val="0"/>
        </w:rPr>
        <w:t>(CEDAW/C/MDV/1)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rPr>
          <w:b/>
        </w:rPr>
      </w:pPr>
      <w:r>
        <w:rPr>
          <w:b/>
        </w:rPr>
        <w:t>Статья 16</w:t>
      </w:r>
    </w:p>
    <w:p w:rsidR="00000000" w:rsidRDefault="00000000">
      <w:pPr>
        <w:pStyle w:val="DualTxt"/>
      </w:pPr>
      <w:r>
        <w:t>1.</w:t>
      </w:r>
      <w:r>
        <w:tab/>
        <w:t>По приглашению Председателя г</w:t>
      </w:r>
      <w:r>
        <w:noBreakHyphen/>
        <w:t>жа Ахмед (Мальдивские Острова) занимает место за столом Ком</w:t>
      </w:r>
      <w:r>
        <w:t>и</w:t>
      </w:r>
      <w:r>
        <w:t>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 Гунесекере</w:t>
      </w:r>
      <w:r>
        <w:t xml:space="preserve"> просит пояснить прозвуча</w:t>
      </w:r>
      <w:r>
        <w:t>в</w:t>
      </w:r>
      <w:r>
        <w:t>шее в выступлении делегации заявление о том, что согласно новому семейному законодательству м</w:t>
      </w:r>
      <w:r>
        <w:t>и</w:t>
      </w:r>
      <w:r>
        <w:t>нимальный возраст вступления в брак для мужчин и женщин будет установлен на уровне 18 лет, за и</w:t>
      </w:r>
      <w:r>
        <w:t>с</w:t>
      </w:r>
      <w:r>
        <w:t>ключением особых обстоятельств и по усмотрению регистратора актов гражданского состояния. Она подчеркивает, что вступление в брак до достижения совершеннолетия подрывает здоровье девочек и п</w:t>
      </w:r>
      <w:r>
        <w:t>а</w:t>
      </w:r>
      <w:r>
        <w:t>губно сказывается на получении ими обр</w:t>
      </w:r>
      <w:r>
        <w:t>а</w:t>
      </w:r>
      <w:r>
        <w:t>зования.</w:t>
      </w:r>
    </w:p>
    <w:p w:rsidR="00000000" w:rsidRDefault="00000000">
      <w:pPr>
        <w:pStyle w:val="DualTxt"/>
      </w:pPr>
      <w:r>
        <w:t>3.</w:t>
      </w:r>
      <w:r>
        <w:tab/>
        <w:t>Делегация упомянула также, что новым с</w:t>
      </w:r>
      <w:r>
        <w:t>е</w:t>
      </w:r>
      <w:r>
        <w:t>мейным законодательством предусматривается во</w:t>
      </w:r>
      <w:r>
        <w:t>з</w:t>
      </w:r>
      <w:r>
        <w:t>можность заключения добрачных договоров, что позволит женщинам ограничить привилегии му</w:t>
      </w:r>
      <w:r>
        <w:t>ж</w:t>
      </w:r>
      <w:r>
        <w:t>чин в вопросах, касающихся развода и многоженс</w:t>
      </w:r>
      <w:r>
        <w:t>т</w:t>
      </w:r>
      <w:r>
        <w:t>ва. Она интересуется, каким образом женщины б</w:t>
      </w:r>
      <w:r>
        <w:t>у</w:t>
      </w:r>
      <w:r>
        <w:t>дут заключать такие договоры на практике и как правительство планирует информировать их о н</w:t>
      </w:r>
      <w:r>
        <w:t>а</w:t>
      </w:r>
      <w:r>
        <w:t>личии у них права на их з</w:t>
      </w:r>
      <w:r>
        <w:t>а</w:t>
      </w:r>
      <w:r>
        <w:t xml:space="preserve">ключение. </w:t>
      </w:r>
    </w:p>
    <w:p w:rsidR="00000000" w:rsidRDefault="00000000">
      <w:pPr>
        <w:pStyle w:val="DualTxt"/>
      </w:pPr>
      <w:r>
        <w:t>4.</w:t>
      </w:r>
      <w:r>
        <w:tab/>
        <w:t>С учетом исключительно высокого количества разводов и ввиду того, что женщина не имеет права на получение средств к существованию от своего бывшего мужа, она интересуется, что делается пр</w:t>
      </w:r>
      <w:r>
        <w:t>а</w:t>
      </w:r>
      <w:r>
        <w:t>вительством для смягчения последствий развода для экономического положения женщин и созданы ли Мальдивскими Островами структуры поддержки и система примирения, подобные тем, какие сущ</w:t>
      </w:r>
      <w:r>
        <w:t>е</w:t>
      </w:r>
      <w:r>
        <w:t>ствуют в других исламских стр</w:t>
      </w:r>
      <w:r>
        <w:t>а</w:t>
      </w:r>
      <w:r>
        <w:t>нах.</w:t>
      </w:r>
    </w:p>
    <w:p w:rsidR="00000000" w:rsidRDefault="00000000">
      <w:pPr>
        <w:pStyle w:val="DualTxt"/>
      </w:pPr>
      <w:r>
        <w:t>5.</w:t>
      </w:r>
      <w:r>
        <w:tab/>
        <w:t>В пункте 149 первоначального доклада (CEDAW/C/MDV/1) говорится, что, хотя женщины и не располагают равным правом на наследование имущества согласно законам шариата, на практике мужчины нередко отказываются от своего права на бόльшую долю имущества. В то же время делегация в своем выступлении обошла молчанием этот в</w:t>
      </w:r>
      <w:r>
        <w:t>о</w:t>
      </w:r>
      <w:r>
        <w:t>прос, и она интересуется, не изменилась ли ситу</w:t>
      </w:r>
      <w:r>
        <w:t>а</w:t>
      </w:r>
      <w:r>
        <w:t>ция.</w:t>
      </w:r>
    </w:p>
    <w:p w:rsidR="00000000" w:rsidRDefault="00000000">
      <w:pPr>
        <w:pStyle w:val="DualTxt"/>
      </w:pPr>
      <w:r>
        <w:t>6.</w:t>
      </w:r>
      <w:r>
        <w:tab/>
        <w:t>Исламский закон позволяет женщинам под</w:t>
      </w:r>
      <w:r>
        <w:t>а</w:t>
      </w:r>
      <w:r>
        <w:t>вать заявление на развод на основании насилия в быту, однако делегацией было заявлено, что же</w:t>
      </w:r>
      <w:r>
        <w:t>н</w:t>
      </w:r>
      <w:r>
        <w:t>щины неохотно признают, что они стали жертвами насилия. Ее интересует, предусматриваются ли н</w:t>
      </w:r>
      <w:r>
        <w:t>о</w:t>
      </w:r>
      <w:r>
        <w:t>вым семейным законодательством какие</w:t>
      </w:r>
      <w:r>
        <w:noBreakHyphen/>
        <w:t>либо меры для решения этой пробл</w:t>
      </w:r>
      <w:r>
        <w:t>е</w:t>
      </w:r>
      <w:r>
        <w:t>мы.</w:t>
      </w:r>
    </w:p>
    <w:p w:rsidR="00000000" w:rsidRDefault="00000000">
      <w:pPr>
        <w:pStyle w:val="DualTxt"/>
      </w:pPr>
      <w:r>
        <w:t>7.</w:t>
      </w:r>
      <w:r>
        <w:tab/>
        <w:t>Наконец, принимая во внимание многочисле</w:t>
      </w:r>
      <w:r>
        <w:t>н</w:t>
      </w:r>
      <w:r>
        <w:t>ность мигрантов, она спрашивает, как решаются в</w:t>
      </w:r>
      <w:r>
        <w:t>о</w:t>
      </w:r>
      <w:r>
        <w:t>просы гражданства при заключении брака между мигрантами и гражданами Мальдивских Ос</w:t>
      </w:r>
      <w:r>
        <w:t>т</w:t>
      </w:r>
      <w:r>
        <w:t>ровов.</w:t>
      </w:r>
    </w:p>
    <w:p w:rsidR="00000000" w:rsidRDefault="00000000">
      <w:pPr>
        <w:pStyle w:val="DualTxt"/>
      </w:pPr>
      <w:r>
        <w:t>8.</w:t>
      </w:r>
      <w:r>
        <w:tab/>
      </w:r>
      <w:r>
        <w:rPr>
          <w:b/>
        </w:rPr>
        <w:t>Г</w:t>
      </w:r>
      <w:r>
        <w:rPr>
          <w:b/>
        </w:rPr>
        <w:noBreakHyphen/>
        <w:t>жа Ливингстон Рэдэй</w:t>
      </w:r>
      <w:r>
        <w:t xml:space="preserve"> говорит, что, несмо</w:t>
      </w:r>
      <w:r>
        <w:t>т</w:t>
      </w:r>
      <w:r>
        <w:t>ря на высокий уровень грамотности и исторически сложившуюся важную роль женщин в обществе, такие факторы, как раннее вступление в брак, в</w:t>
      </w:r>
      <w:r>
        <w:t>ы</w:t>
      </w:r>
      <w:r>
        <w:t>полнение домашних обязанностей и обусловленные этим высокие показатели отсева девочек из средней школы, привели к феминизации нищеты на Мал</w:t>
      </w:r>
      <w:r>
        <w:t>ь</w:t>
      </w:r>
      <w:r>
        <w:t>дивских Остр</w:t>
      </w:r>
      <w:r>
        <w:t>о</w:t>
      </w:r>
      <w:r>
        <w:t>вах.</w:t>
      </w:r>
    </w:p>
    <w:p w:rsidR="00000000" w:rsidRDefault="00000000">
      <w:pPr>
        <w:pStyle w:val="DualTxt"/>
      </w:pPr>
      <w:r>
        <w:t>9.</w:t>
      </w:r>
      <w:r>
        <w:tab/>
        <w:t>Она просит представить статистические да</w:t>
      </w:r>
      <w:r>
        <w:t>н</w:t>
      </w:r>
      <w:r>
        <w:t>ные о том, какой процент женщин состоит в пол</w:t>
      </w:r>
      <w:r>
        <w:t>и</w:t>
      </w:r>
      <w:r>
        <w:t>гамных браках. В своей общей рекомендации 21 Комитет заявил, что полигамные браки имеют сер</w:t>
      </w:r>
      <w:r>
        <w:t>ь</w:t>
      </w:r>
      <w:r>
        <w:t>езные эмоциональные и финансовые последствия для женщин и должны быть запрещены. Ей извес</w:t>
      </w:r>
      <w:r>
        <w:t>т</w:t>
      </w:r>
      <w:r>
        <w:t>но, что при присоединении к Конвенции Мальди</w:t>
      </w:r>
      <w:r>
        <w:t>в</w:t>
      </w:r>
      <w:r>
        <w:t>ские Острова высказали оговорку к ее статье 16. Вместе с тем даже в отсутствие нового семейного законодательства уже сама возможность заключ</w:t>
      </w:r>
      <w:r>
        <w:t>е</w:t>
      </w:r>
      <w:r>
        <w:t>ния супружескими парами добрачных договоров обеспечивает механизм, позволяющий выполнить указанную рекомендацию К</w:t>
      </w:r>
      <w:r>
        <w:t>о</w:t>
      </w:r>
      <w:r>
        <w:t>митета.</w:t>
      </w:r>
    </w:p>
    <w:p w:rsidR="00000000" w:rsidRDefault="00000000">
      <w:pPr>
        <w:pStyle w:val="DualTxt"/>
      </w:pPr>
      <w:r>
        <w:t>10.</w:t>
      </w:r>
      <w:r>
        <w:tab/>
        <w:t>В пункте 166 первоначального доклада гов</w:t>
      </w:r>
      <w:r>
        <w:t>о</w:t>
      </w:r>
      <w:r>
        <w:t>рится, что инициаторами развода часто являются женщины. Ее интересуют статистические данные о том, какой процент заявлений на развод подается мужчинами и женщинами; большое число разводов и то, что женщины порой вынуждены продолжать жить в доме своего бывшего мужа до тех пор, пока не смогут сами обеспечить себя и своих детей сре</w:t>
      </w:r>
      <w:r>
        <w:t>д</w:t>
      </w:r>
      <w:r>
        <w:t>ствами к существованию, вызывает обеспокое</w:t>
      </w:r>
      <w:r>
        <w:t>н</w:t>
      </w:r>
      <w:r>
        <w:t>ность. Ее интересует, предусматриваются ли новым семейным законодательством какие</w:t>
      </w:r>
      <w:r>
        <w:noBreakHyphen/>
        <w:t>либо меры для решения этой проблемы и, если такие меры не пр</w:t>
      </w:r>
      <w:r>
        <w:t>е</w:t>
      </w:r>
      <w:r>
        <w:t>дусмотрены, что делается правительством в плане содействия заключению добрачных договоров, по которым мужья отказывались бы от права на пол</w:t>
      </w:r>
      <w:r>
        <w:t>у</w:t>
      </w:r>
      <w:r>
        <w:t>чение развода в односторо</w:t>
      </w:r>
      <w:r>
        <w:t>н</w:t>
      </w:r>
      <w:r>
        <w:t>нем порядке.</w:t>
      </w:r>
    </w:p>
    <w:p w:rsidR="00000000" w:rsidRDefault="00000000">
      <w:pPr>
        <w:pStyle w:val="DualTxt"/>
      </w:pPr>
      <w:r>
        <w:t>11.</w:t>
      </w:r>
      <w:r>
        <w:tab/>
        <w:t>В пункте 164 доклада говорится, что мужчины и женщины могут организовывать раздельное с</w:t>
      </w:r>
      <w:r>
        <w:t>о</w:t>
      </w:r>
      <w:r>
        <w:t>держание своего имущества и финансов и управл</w:t>
      </w:r>
      <w:r>
        <w:t>е</w:t>
      </w:r>
      <w:r>
        <w:t>ние ими и пользуются этой возможностью. Наряду с этим делегация заявила, что мужчина считается главой семьи и контролирует ее финансовые сре</w:t>
      </w:r>
      <w:r>
        <w:t>д</w:t>
      </w:r>
      <w:r>
        <w:t>ства. Она интересуется, изменилась ли ситуация в этом плане и отражает ли это несоответствие ра</w:t>
      </w:r>
      <w:r>
        <w:t>з</w:t>
      </w:r>
      <w:r>
        <w:t>рыв между законом и положением на практике.</w:t>
      </w:r>
    </w:p>
    <w:p w:rsidR="00000000" w:rsidRDefault="00000000">
      <w:pPr>
        <w:pStyle w:val="DualTxt"/>
      </w:pPr>
      <w:r>
        <w:t>12.</w:t>
      </w:r>
      <w:r>
        <w:tab/>
        <w:t>Наконец, она настоятельно призывает прав</w:t>
      </w:r>
      <w:r>
        <w:t>и</w:t>
      </w:r>
      <w:r>
        <w:t>тельство принять меры по обеспечению занятости женщин в этой небольшой стране, которой необх</w:t>
      </w:r>
      <w:r>
        <w:t>о</w:t>
      </w:r>
      <w:r>
        <w:t>димо максимально использовать весь потенциал своих людских ресу</w:t>
      </w:r>
      <w:r>
        <w:t>р</w:t>
      </w:r>
      <w:r>
        <w:t>сов.</w:t>
      </w:r>
    </w:p>
    <w:p w:rsidR="00000000" w:rsidRDefault="00000000">
      <w:pPr>
        <w:pStyle w:val="DualTxt"/>
      </w:pPr>
      <w:r>
        <w:t>13.</w:t>
      </w:r>
      <w:r>
        <w:tab/>
      </w:r>
      <w:r>
        <w:rPr>
          <w:b/>
        </w:rPr>
        <w:t>Председатель</w:t>
      </w:r>
      <w:r>
        <w:t>, выступая в своем индивид</w:t>
      </w:r>
      <w:r>
        <w:t>у</w:t>
      </w:r>
      <w:r>
        <w:t>альном качестве, говорит, что вопросы Комитета мотивированы желанием помочь правительству обеспечить полномасштабное осуществление Ко</w:t>
      </w:r>
      <w:r>
        <w:t>н</w:t>
      </w:r>
      <w:r>
        <w:t>венции и добиться улучшения жизни женщин на Мальдивских Островах. В этой связи у нее вызыв</w:t>
      </w:r>
      <w:r>
        <w:t>а</w:t>
      </w:r>
      <w:r>
        <w:t>ет обеспокоенность то, что, хотя проблемы негр</w:t>
      </w:r>
      <w:r>
        <w:t>а</w:t>
      </w:r>
      <w:r>
        <w:t>мотности как таковой не существует, мало женщин занимают должности высокого уровня, а возможн</w:t>
      </w:r>
      <w:r>
        <w:t>о</w:t>
      </w:r>
      <w:r>
        <w:t>сти получения образования за рубежом для девочек ограничены. Важно избавиться от гендерных ст</w:t>
      </w:r>
      <w:r>
        <w:t>е</w:t>
      </w:r>
      <w:r>
        <w:t>реотипов в системе образования и в средствах ма</w:t>
      </w:r>
      <w:r>
        <w:t>с</w:t>
      </w:r>
      <w:r>
        <w:t>совой информ</w:t>
      </w:r>
      <w:r>
        <w:t>а</w:t>
      </w:r>
      <w:r>
        <w:t>ции.</w:t>
      </w:r>
    </w:p>
    <w:p w:rsidR="00000000" w:rsidRDefault="00000000">
      <w:pPr>
        <w:pStyle w:val="DualTxt"/>
      </w:pPr>
      <w:r>
        <w:t>14.</w:t>
      </w:r>
      <w:r>
        <w:tab/>
        <w:t>Источником озабоченности является также большое число разводов и то, что мужчинам разр</w:t>
      </w:r>
      <w:r>
        <w:t>е</w:t>
      </w:r>
      <w:r>
        <w:t>шается иметь до четырех жен. Она спрашивает, к</w:t>
      </w:r>
      <w:r>
        <w:t>а</w:t>
      </w:r>
      <w:r>
        <w:t>кой процент разведенных женщин вновь выходят замуж, как женщины относятся к разводу и прин</w:t>
      </w:r>
      <w:r>
        <w:t>и</w:t>
      </w:r>
      <w:r>
        <w:t>мает ли министерство по делам женщин и социал</w:t>
      </w:r>
      <w:r>
        <w:t>ь</w:t>
      </w:r>
      <w:r>
        <w:t>ного обеспечения меры по вовлечению лиц старш</w:t>
      </w:r>
      <w:r>
        <w:t>е</w:t>
      </w:r>
      <w:r>
        <w:t>го поколения, включая женщин, в процесс наци</w:t>
      </w:r>
      <w:r>
        <w:t>о</w:t>
      </w:r>
      <w:r>
        <w:t>нального развития. Было бы полезно также пол</w:t>
      </w:r>
      <w:r>
        <w:t>у</w:t>
      </w:r>
      <w:r>
        <w:t>чить информацию о составе контингента мигрантов и их происхождении. Кроме того, она интересуется, не оказывает ли туризм, имеющий большое знач</w:t>
      </w:r>
      <w:r>
        <w:t>е</w:t>
      </w:r>
      <w:r>
        <w:t>ние для экономики страны, негативное воздействие на общество. Наконец, она настоятельно призывает правительство снять или изменить свои оговорки к Конве</w:t>
      </w:r>
      <w:r>
        <w:t>н</w:t>
      </w:r>
      <w:r>
        <w:t>ции.</w:t>
      </w:r>
    </w:p>
    <w:p w:rsidR="00000000" w:rsidRDefault="00000000">
      <w:pPr>
        <w:pStyle w:val="DualTxt"/>
      </w:pPr>
      <w:r>
        <w:t>15.</w:t>
      </w:r>
      <w:r>
        <w:tab/>
      </w:r>
      <w:r>
        <w:rPr>
          <w:b/>
        </w:rPr>
        <w:t>Г</w:t>
      </w:r>
      <w:r>
        <w:rPr>
          <w:b/>
        </w:rPr>
        <w:noBreakHyphen/>
        <w:t>жа Ахмед</w:t>
      </w:r>
      <w:r>
        <w:t xml:space="preserve"> (Мальдивские Острова) говорит, что она с удовлетворением отмечает конструкти</w:t>
      </w:r>
      <w:r>
        <w:t>в</w:t>
      </w:r>
      <w:r>
        <w:t>ную критику, высказанную Комитетом, и надеется, что будет в состоянии ответить на большинство в</w:t>
      </w:r>
      <w:r>
        <w:t>о</w:t>
      </w:r>
      <w:r>
        <w:t>просов, которые были заданы в ходе нынешней се</w:t>
      </w:r>
      <w:r>
        <w:t>с</w:t>
      </w:r>
      <w:r>
        <w:t>сии Ком</w:t>
      </w:r>
      <w:r>
        <w:t>и</w:t>
      </w:r>
      <w:r>
        <w:t>тета.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закрывается в 15 ч. 30 м.</w: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NO&gt;&gt;N0122541R&lt;&lt;ODS JOB NO&gt;&gt;</w:t>
      </w:r>
    </w:p>
    <w:p w:rsidR="00000000" w:rsidRDefault="00000000">
      <w:pPr>
        <w:pStyle w:val="CommentText"/>
      </w:pPr>
      <w:r>
        <w:t>&lt;&lt;ODS DOC SYMBOL1&gt;&gt;CEDAW/C/SR.499&lt;&lt;ODS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01-22541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*0122541*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CEDAW/C/SR.499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CEDAW/C/SR.499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/C/SR.499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>4</w:t>
          </w:r>
          <w:r>
            <w:t xml:space="preserve"> April 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3/04/2001 6:11: PM"/>
    <w:docVar w:name="DocCategory" w:val="SROthers"/>
    <w:docVar w:name="DocType" w:val="Final"/>
    <w:docVar w:name="JobNo" w:val="0122541R"/>
    <w:docVar w:name="OandT" w:val=" "/>
    <w:docVar w:name="Symbol1" w:val="CEDAW/C/SR.499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886</Words>
  <Characters>5853</Characters>
  <Application>Microsoft Office Word</Application>
  <DocSecurity>4</DocSecurity>
  <Lines>172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7004</CharactersWithSpaces>
  <SharedDoc>false</SharedDoc>
  <HLinks>
    <vt:vector size="6" baseType="variant">
      <vt:variant>
        <vt:i4>4522087</vt:i4>
      </vt:variant>
      <vt:variant>
        <vt:i4>15056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3</cp:revision>
  <cp:lastPrinted>2001-04-03T21:30:00Z</cp:lastPrinted>
  <dcterms:created xsi:type="dcterms:W3CDTF">2001-04-03T21:31:00Z</dcterms:created>
  <dcterms:modified xsi:type="dcterms:W3CDTF">2001-04-03T21:33:00Z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0122541</vt:lpwstr>
  </property>
  <property fmtid="{D5CDD505-2E9C-101B-9397-08002B2CF9AE}" pid="3" name="Symbol1">
    <vt:lpwstr>CEDAW/C/SR.499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3</vt:lpwstr>
  </property>
  <property fmtid="{D5CDD505-2E9C-101B-9397-08002B2CF9AE}" pid="8" name="Operator">
    <vt:lpwstr>Nedzvetskaya</vt:lpwstr>
  </property>
</Properties>
</file>