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rPr>
          <w:b/>
        </w:rPr>
      </w:pPr>
      <w:r>
        <w:rPr>
          <w:b/>
        </w:rPr>
        <w:t>Тридцатая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r>
        <w:rPr>
          <w:b/>
        </w:rPr>
        <w:t>Краткий отчет о 647</w:t>
      </w:r>
      <w:r>
        <w:rPr>
          <w:b/>
        </w:rPr>
        <w:noBreakHyphen/>
        <w:t>м заседании,</w:t>
      </w:r>
      <w:r>
        <w:rPr>
          <w:b/>
        </w:rPr>
        <w:br/>
      </w:r>
      <w:r>
        <w:t>состоявшемся в Центральных учреждениях, Нью-Йорк, в пятницу, 30 января 2004 года, в 16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</w:t>
      </w:r>
      <w:r>
        <w:t>: г</w:t>
      </w:r>
      <w:r>
        <w:noBreakHyphen/>
        <w:t>жа Ачар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</w:pPr>
      <w:r>
        <w:t>Утверждение доклада Комитета о работе его тридцатой сессии</w:t>
      </w:r>
    </w:p>
    <w:p w:rsidR="00000000" w:rsidRDefault="00000000">
      <w:pPr>
        <w:pStyle w:val="SingleTxt"/>
        <w:suppressAutoHyphens/>
      </w:pPr>
      <w:r>
        <w:t>Закрытие сессии</w:t>
      </w:r>
    </w:p>
    <w:p w:rsidR="00000000" w:rsidRDefault="00000000">
      <w:pPr>
        <w:pStyle w:val="H1"/>
      </w:pPr>
    </w:p>
    <w:p w:rsidR="00000000" w:rsidRDefault="00000000"/>
    <w:p w:rsidR="00000000" w:rsidRDefault="00000000">
      <w:pPr>
        <w:pStyle w:val="SingleTxt"/>
        <w:spacing w:after="0" w:line="240" w:lineRule="auto"/>
        <w:jc w:val="left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rPr>
          <w:i/>
        </w:rPr>
      </w:pPr>
      <w:r>
        <w:rPr>
          <w:i/>
        </w:rPr>
        <w:t>Заседание открывается в 16 ч. 25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>Утверждение доклада Комитета о работе его тридцатой сессии</w:t>
      </w:r>
      <w:r>
        <w:rPr>
          <w:b w:val="0"/>
        </w:rPr>
        <w:t xml:space="preserve"> (CEDAW/C/2004/I/L.1, CEDAW/C/2004/I/CRP.3 и Add.1–8 и CEDAW/C/2004/II/1)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b/>
        </w:rPr>
        <w:t>Председатель</w:t>
      </w:r>
      <w:r>
        <w:t xml:space="preserve"> предлагает считать, что Ком</w:t>
      </w:r>
      <w:r>
        <w:t>и</w:t>
      </w:r>
      <w:r>
        <w:t>тет утверждает проект доклада о работе его тридц</w:t>
      </w:r>
      <w:r>
        <w:t>а</w:t>
      </w:r>
      <w:r>
        <w:t>той сессии, содержащийся в документах CEDAW/C/2004/I/L.1 и CEDAW/C/2004/I/CRP.3 и Add.1–7, с внесенными в него поправками.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i/>
        </w:rPr>
        <w:t>Предложение принимается.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</w:t>
      </w:r>
      <w:r>
        <w:rPr>
          <w:b/>
        </w:rPr>
        <w:noBreakHyphen/>
        <w:t>жа Капалата</w:t>
      </w:r>
      <w:r>
        <w:t xml:space="preserve"> (Докладчик) вносит на ра</w:t>
      </w:r>
      <w:r>
        <w:t>с</w:t>
      </w:r>
      <w:r>
        <w:t>смотрение проект доклада Рабочей группы полного состава (CEDAW/C/2004/I/CRP.3/Add.8) с внесе</w:t>
      </w:r>
      <w:r>
        <w:t>н</w:t>
      </w:r>
      <w:r>
        <w:t>ными в него поправками. В докладе приводятся сведения о решениях Комитета, адресуемых гос</w:t>
      </w:r>
      <w:r>
        <w:t>у</w:t>
      </w:r>
      <w:r>
        <w:t>дарствам-участникам, и о мерах, принятых Комит</w:t>
      </w:r>
      <w:r>
        <w:t>е</w:t>
      </w:r>
      <w:r>
        <w:t>том по пунктам 6–8 повестки дня. Докладчик также вносит на рассмотрение предварительную повестку дня тридцать первой сессии Комитета (CEDAW/C/2004/II/1).</w:t>
      </w:r>
    </w:p>
    <w:p w:rsidR="00000000" w:rsidRDefault="00000000">
      <w:pPr>
        <w:pStyle w:val="DualTxt"/>
      </w:pPr>
      <w:r>
        <w:t>4.</w:t>
      </w:r>
      <w:r>
        <w:tab/>
      </w:r>
      <w:r>
        <w:rPr>
          <w:b/>
        </w:rPr>
        <w:t>Председатель</w:t>
      </w:r>
      <w:r>
        <w:t xml:space="preserve"> предлагает считать, что Ком</w:t>
      </w:r>
      <w:r>
        <w:t>и</w:t>
      </w:r>
      <w:r>
        <w:t>тет утверждает проект доклада Рабочей группы полного состава (CEDAW/C/2004/I/CRP.3/Add.8) c внесенными в него поправками и предварительную повестку дня тридцать первой сессии (CEDAW/C/2004/II/1).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i/>
        </w:rPr>
        <w:t>Предложение принимается.</w:t>
      </w: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Председатель</w:t>
      </w:r>
      <w:r>
        <w:t xml:space="preserve"> предлагает считать, что Ком</w:t>
      </w:r>
      <w:r>
        <w:t>и</w:t>
      </w:r>
      <w:r>
        <w:t>тет утверждает проект своего доклада о работе тр</w:t>
      </w:r>
      <w:r>
        <w:t>и</w:t>
      </w:r>
      <w:r>
        <w:t>дцатой сессии в целом и поручает Докладчику его доработку.</w:t>
      </w:r>
    </w:p>
    <w:p w:rsidR="00000000" w:rsidRDefault="00000000">
      <w:pPr>
        <w:pStyle w:val="DualTxt"/>
      </w:pPr>
      <w:r>
        <w:t>7.</w:t>
      </w:r>
      <w:r>
        <w:tab/>
      </w:r>
      <w:r>
        <w:rPr>
          <w:i/>
        </w:rPr>
        <w:t>Предложение принимается.</w:t>
      </w: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>жа Кинг</w:t>
      </w:r>
      <w:r>
        <w:t xml:space="preserve"> (помощник Генерального секрет</w:t>
      </w:r>
      <w:r>
        <w:t>а</w:t>
      </w:r>
      <w:r>
        <w:t>ря, Специальный советник Генерального секретаря по гендерным вопросам и улучшению положения женщин) поздравляет Комитет с принятием рек</w:t>
      </w:r>
      <w:r>
        <w:t>о</w:t>
      </w:r>
      <w:r>
        <w:t>мендации общего характера № 25 о временных сп</w:t>
      </w:r>
      <w:r>
        <w:t>е</w:t>
      </w:r>
      <w:r>
        <w:t>циальных мерах, которая послужит для государств-участников ценнейшим ориентиром в деле прим</w:t>
      </w:r>
      <w:r>
        <w:t>е</w:t>
      </w:r>
      <w:r>
        <w:t>нения пункта 1 статьи 4 Конвенции. Сама Орган</w:t>
      </w:r>
      <w:r>
        <w:t>и</w:t>
      </w:r>
      <w:r>
        <w:t>зация Объединенных Наций взяла статью 4 за осн</w:t>
      </w:r>
      <w:r>
        <w:t>о</w:t>
      </w:r>
      <w:r>
        <w:t>ву при осуществлении специальных мер, напра</w:t>
      </w:r>
      <w:r>
        <w:t>в</w:t>
      </w:r>
      <w:r>
        <w:t>ленных на достижение равной (50:50) представле</w:t>
      </w:r>
      <w:r>
        <w:t>н</w:t>
      </w:r>
      <w:r>
        <w:t>ности обоих полов в ее кадровом составе. Следует также приветствовать то обстоятельство, что Ком</w:t>
      </w:r>
      <w:r>
        <w:t>и</w:t>
      </w:r>
      <w:r>
        <w:t>тет предпринял первые шаги к принятию своей сл</w:t>
      </w:r>
      <w:r>
        <w:t>е</w:t>
      </w:r>
      <w:r>
        <w:t>дующей рекомендации общего характера, которая будет касаться статьи 2. Отрадны прилагаемые К</w:t>
      </w:r>
      <w:r>
        <w:t>о</w:t>
      </w:r>
      <w:r>
        <w:t>митетом усилия по совершенствованию методов своей работы. Его обязанность рассматривать п</w:t>
      </w:r>
      <w:r>
        <w:t>о</w:t>
      </w:r>
      <w:r>
        <w:t>ступающие доклады дополняется теперь обязанн</w:t>
      </w:r>
      <w:r>
        <w:t>о</w:t>
      </w:r>
      <w:r>
        <w:t>стями, вытекающими из Факультативного проток</w:t>
      </w:r>
      <w:r>
        <w:t>о</w:t>
      </w:r>
      <w:r>
        <w:t>ла. Традиционно на каждой сессии Комитет ра</w:t>
      </w:r>
      <w:r>
        <w:t>с</w:t>
      </w:r>
      <w:r>
        <w:t>сматривает доклады восьми государств-участников, и сейчас 35 докладов государств-участников ожид</w:t>
      </w:r>
      <w:r>
        <w:t>а</w:t>
      </w:r>
      <w:r>
        <w:t>ет своего рассмотрения. Стоит надеяться, что на своем неофициальном совещании в мае Комитет тщательно обдумает вопрос о планировании буд</w:t>
      </w:r>
      <w:r>
        <w:t>у</w:t>
      </w:r>
      <w:r>
        <w:t>щих сессий с учетом многочисленности этих до</w:t>
      </w:r>
      <w:r>
        <w:t>к</w:t>
      </w:r>
      <w:r>
        <w:t>ладов.</w:t>
      </w:r>
    </w:p>
    <w:p w:rsidR="00000000" w:rsidRDefault="00000000">
      <w:pPr>
        <w:pStyle w:val="DualTxt"/>
      </w:pPr>
      <w:r>
        <w:t>9.</w:t>
      </w:r>
      <w:r>
        <w:tab/>
        <w:t>Оратор говорит, что высоко оценивает встречу Комитета со Специальным докладчиком по вопросу о насилии в отношении женщин, его причинах и последствиях, тем более в свете важности коорд</w:t>
      </w:r>
      <w:r>
        <w:t>и</w:t>
      </w:r>
      <w:r>
        <w:t>нации и взаимного укрепления мандатов, каса</w:t>
      </w:r>
      <w:r>
        <w:t>ю</w:t>
      </w:r>
      <w:r>
        <w:t>щихся механизмов, занимающихся правами челов</w:t>
      </w:r>
      <w:r>
        <w:t>е</w:t>
      </w:r>
      <w:r>
        <w:t>ка. Комитет стал также первым договорным орг</w:t>
      </w:r>
      <w:r>
        <w:t>а</w:t>
      </w:r>
      <w:r>
        <w:t>ном, который Управление Верховного комиссара по правам человека ознакомило с выполняемой сейчас в Секретариате работой по проведению в жизнь указаний, выработанных на втором межкомите</w:t>
      </w:r>
      <w:r>
        <w:t>т</w:t>
      </w:r>
      <w:r>
        <w:t>ском совещании и совещании председателей в о</w:t>
      </w:r>
      <w:r>
        <w:t>т</w:t>
      </w:r>
      <w:r>
        <w:t>ношении расширенного основного документа и с</w:t>
      </w:r>
      <w:r>
        <w:t>о</w:t>
      </w:r>
      <w:r>
        <w:t>гласованных руководящих принципов представл</w:t>
      </w:r>
      <w:r>
        <w:t>е</w:t>
      </w:r>
      <w:r>
        <w:t>ния докладов. Вместе с другими договорными о</w:t>
      </w:r>
      <w:r>
        <w:t>р</w:t>
      </w:r>
      <w:r>
        <w:t>ганами по правам человека Комитет продолжит р</w:t>
      </w:r>
      <w:r>
        <w:t>а</w:t>
      </w:r>
      <w:r>
        <w:t>ботать над достижением той цели, которая заключ</w:t>
      </w:r>
      <w:r>
        <w:t>а</w:t>
      </w:r>
      <w:r>
        <w:t>ется в совершенствовании осуществления всех д</w:t>
      </w:r>
      <w:r>
        <w:t>о</w:t>
      </w:r>
      <w:r>
        <w:t>говоров по правам человека на национальном уро</w:t>
      </w:r>
      <w:r>
        <w:t>в</w:t>
      </w:r>
      <w:r>
        <w:t>не.</w:t>
      </w:r>
    </w:p>
    <w:p w:rsidR="00000000" w:rsidRDefault="00000000">
      <w:pPr>
        <w:pStyle w:val="DualTxt"/>
      </w:pPr>
      <w:r>
        <w:t>10.</w:t>
      </w:r>
      <w:r>
        <w:tab/>
        <w:t>Предстоящие сессии Комиссии по положению женщин и Комиссии по правам человека дадут столь важную возможность для того, чтобы заос</w:t>
      </w:r>
      <w:r>
        <w:t>т</w:t>
      </w:r>
      <w:r>
        <w:t>рить внимание межправительственных процессов на работе Комитета и его вкладе в достижение р</w:t>
      </w:r>
      <w:r>
        <w:t>а</w:t>
      </w:r>
      <w:r>
        <w:t>венства полов. Запланированное же мероприятие, посвященное двадцать пятой годовщине принятия Конвенции Генеральной Ассамблеей, послужит платформой для демонстрации того, что дали Ко</w:t>
      </w:r>
      <w:r>
        <w:t>н</w:t>
      </w:r>
      <w:r>
        <w:t>венция и Ком</w:t>
      </w:r>
      <w:r>
        <w:t>и</w:t>
      </w:r>
      <w:r>
        <w:t>тет женщинам всего мира.</w:t>
      </w:r>
    </w:p>
    <w:p w:rsidR="00000000" w:rsidRDefault="00000000">
      <w:pPr>
        <w:pStyle w:val="DualTxt"/>
      </w:pPr>
      <w:r>
        <w:t>11.</w:t>
      </w:r>
      <w:r>
        <w:tab/>
        <w:t>В заключение оратор извещает Комитет о том, что она больше не будет присутствовать на его з</w:t>
      </w:r>
      <w:r>
        <w:t>а</w:t>
      </w:r>
      <w:r>
        <w:t>седаниях в качестве Специального советника по гендерным вопросам, поскольку решила уйти с р</w:t>
      </w:r>
      <w:r>
        <w:t>а</w:t>
      </w:r>
      <w:r>
        <w:t>боты в Организации Объединенных Наций. К числу наиболее отрадных сдвигов, которые ей довелось наблюдать за свою карьеру, относится неуклонное повышение осведомленности о правах женщин. Оратор отмечает, что немалая заслуга в этом пр</w:t>
      </w:r>
      <w:r>
        <w:t>и</w:t>
      </w:r>
      <w:r>
        <w:t>надлежит Комитету и что работа в тесном контакте с ним была для нее источником вдохнов</w:t>
      </w:r>
      <w:r>
        <w:t>е</w:t>
      </w:r>
      <w:r>
        <w:t>ния.</w:t>
      </w: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>Председатель</w:t>
      </w:r>
      <w:r>
        <w:t xml:space="preserve"> напоминает, что на тридцатой сессии Комитета было рассмотрено восемь докл</w:t>
      </w:r>
      <w:r>
        <w:t>а</w:t>
      </w:r>
      <w:r>
        <w:t>дов, в том числе два первоначальных: от Бутана и Кувейта. Следует приветствовать обещание этих двух государств представлять свои доклады более регулярно. Некоторые из тех государств, чьи докл</w:t>
      </w:r>
      <w:r>
        <w:t>а</w:t>
      </w:r>
      <w:r>
        <w:t>ды рассматривались на сессии, были представлены на высоком уровне, а в состав ряда делегаций вх</w:t>
      </w:r>
      <w:r>
        <w:t>о</w:t>
      </w:r>
      <w:r>
        <w:t>дили технические эксперты, что дало Комитету возможность выяснять существенные элементы, с</w:t>
      </w:r>
      <w:r>
        <w:t>о</w:t>
      </w:r>
      <w:r>
        <w:t>действующие реализации Конвенции или затру</w:t>
      </w:r>
      <w:r>
        <w:t>д</w:t>
      </w:r>
      <w:r>
        <w:t>няющие ее.</w:t>
      </w:r>
    </w:p>
    <w:p w:rsidR="00000000" w:rsidRDefault="00000000">
      <w:pPr>
        <w:pStyle w:val="DualTxt"/>
      </w:pPr>
      <w:r>
        <w:t>13.</w:t>
      </w:r>
      <w:r>
        <w:tab/>
        <w:t>Как обычно, вскоре после закрытия сессии г</w:t>
      </w:r>
      <w:r>
        <w:t>о</w:t>
      </w:r>
      <w:r>
        <w:t>сударствам-участникам будут препровождены з</w:t>
      </w:r>
      <w:r>
        <w:t>а</w:t>
      </w:r>
      <w:r>
        <w:t>ключительные замечания Комитета. Представи</w:t>
      </w:r>
      <w:r>
        <w:t>в</w:t>
      </w:r>
      <w:r>
        <w:t>шим доклады государствам настоятельно предлаг</w:t>
      </w:r>
      <w:r>
        <w:t>а</w:t>
      </w:r>
      <w:r>
        <w:t>ется как можно шире распространить эти замечания как среди государственных чиновников, так и в о</w:t>
      </w:r>
      <w:r>
        <w:t>б</w:t>
      </w:r>
      <w:r>
        <w:t>ществе в целом. Стоит надеяться, что замечания п</w:t>
      </w:r>
      <w:r>
        <w:t>о</w:t>
      </w:r>
      <w:r>
        <w:t>служат основой для принятия конкретных законод</w:t>
      </w:r>
      <w:r>
        <w:t>а</w:t>
      </w:r>
      <w:r>
        <w:t>тельных инициатив, выработки политики и пр</w:t>
      </w:r>
      <w:r>
        <w:t>о</w:t>
      </w:r>
      <w:r>
        <w:t>грамм, проведения в жизнь административных и прочих мер. В каждом случае Комитет подчеркнул важную роль гражданского общества, прежде всего женских неправительственных организаций, в деле поощрения прав женщин и осуществления Конве</w:t>
      </w:r>
      <w:r>
        <w:t>н</w:t>
      </w:r>
      <w:r>
        <w:t>ции и рекомендовал при этом государс</w:t>
      </w:r>
      <w:r>
        <w:t>т</w:t>
      </w:r>
      <w:r>
        <w:t>вам-участникам содействовать участию гражданского общества в этих областях. Важную роль в этой св</w:t>
      </w:r>
      <w:r>
        <w:t>я</w:t>
      </w:r>
      <w:r>
        <w:t>зи играют и парламентарии; кстати, вот-вот появи</w:t>
      </w:r>
      <w:r>
        <w:t>т</w:t>
      </w:r>
      <w:r>
        <w:t>ся подготовленный Межпарламентским союзом на всех языках Организации Объединенных Наций справочник для парламентариев по Конвенции о ликвидации всех форм дискриминации в отнош</w:t>
      </w:r>
      <w:r>
        <w:t>е</w:t>
      </w:r>
      <w:r>
        <w:t>нии женщин и Факульт</w:t>
      </w:r>
      <w:r>
        <w:t>а</w:t>
      </w:r>
      <w:r>
        <w:t>тивному протоколу к ней.</w:t>
      </w:r>
    </w:p>
    <w:p w:rsidR="00000000" w:rsidRDefault="00000000">
      <w:pPr>
        <w:pStyle w:val="DualTxt"/>
      </w:pPr>
      <w:r>
        <w:t>14.</w:t>
      </w:r>
      <w:r>
        <w:tab/>
        <w:t>Председатель указывает на ряд общих факт</w:t>
      </w:r>
      <w:r>
        <w:t>о</w:t>
      </w:r>
      <w:r>
        <w:t>ров, вырисовавшихся в том, что касается осущест</w:t>
      </w:r>
      <w:r>
        <w:t>в</w:t>
      </w:r>
      <w:r>
        <w:t>ления Конвенции в представивших доклады гос</w:t>
      </w:r>
      <w:r>
        <w:t>у</w:t>
      </w:r>
      <w:r>
        <w:t>дарствах. Эти факторы касаются в основном вопр</w:t>
      </w:r>
      <w:r>
        <w:t>о</w:t>
      </w:r>
      <w:r>
        <w:t>сов, относящихся к статье 5, а именно социальных и культурных моделей поведения мужчин и же</w:t>
      </w:r>
      <w:r>
        <w:t>н</w:t>
      </w:r>
      <w:r>
        <w:t>щин, и в разных странах они принимают разные формы. Однако во всех случаях Комитет твердо и</w:t>
      </w:r>
      <w:r>
        <w:t>с</w:t>
      </w:r>
      <w:r>
        <w:t>ходил из того, что Конвенция четко обязывает гос</w:t>
      </w:r>
      <w:r>
        <w:t>у</w:t>
      </w:r>
      <w:r>
        <w:t>дарства-участники решительно и творчески дейс</w:t>
      </w:r>
      <w:r>
        <w:t>т</w:t>
      </w:r>
      <w:r>
        <w:t>вовать в интересах незамедлительной ликвидации дискриминационных обычаев. Разумеется, трад</w:t>
      </w:r>
      <w:r>
        <w:t>и</w:t>
      </w:r>
      <w:r>
        <w:t>ции и культурное своеобразие — это источник б</w:t>
      </w:r>
      <w:r>
        <w:t>о</w:t>
      </w:r>
      <w:r>
        <w:t>гатства страны, но нельзя допускать, чтобы они становились препятствиями к пользованию женщин прав</w:t>
      </w:r>
      <w:r>
        <w:t>а</w:t>
      </w:r>
      <w:r>
        <w:t>ми человека.</w:t>
      </w:r>
    </w:p>
    <w:p w:rsidR="00000000" w:rsidRDefault="00000000">
      <w:pPr>
        <w:pStyle w:val="DualTxt"/>
      </w:pPr>
      <w:r>
        <w:t>15.</w:t>
      </w:r>
      <w:r>
        <w:tab/>
        <w:t>Комитет отметил прогресс во многих обла</w:t>
      </w:r>
      <w:r>
        <w:t>с</w:t>
      </w:r>
      <w:r>
        <w:t>тях, например в части принятия поправок к закон</w:t>
      </w:r>
      <w:r>
        <w:t>о</w:t>
      </w:r>
      <w:r>
        <w:t>дательству, и произвел оценку национальных пл</w:t>
      </w:r>
      <w:r>
        <w:t>а</w:t>
      </w:r>
      <w:r>
        <w:t>нов действий по обеспечению равенства полов, се</w:t>
      </w:r>
      <w:r>
        <w:t>к</w:t>
      </w:r>
      <w:r>
        <w:t>торальных стратегий, мероприятий по актуализации гендерной проблематики. В некоторых странах все активнее ведут себя суды, которые непосредственно ссылаются на положения Конвенции в своих реш</w:t>
      </w:r>
      <w:r>
        <w:t>е</w:t>
      </w:r>
      <w:r>
        <w:t>ниях по делам, касающимся равенства полов. Одн</w:t>
      </w:r>
      <w:r>
        <w:t>а</w:t>
      </w:r>
      <w:r>
        <w:t>ко необходимо делать больше упора на появление на национальном уровне докладов и мероприятий по оценке резонанса от принимаемых мер. Поэтому государствам-участникам было предложено сост</w:t>
      </w:r>
      <w:r>
        <w:t>а</w:t>
      </w:r>
      <w:r>
        <w:t>вить графики проведения тех или иных меропри</w:t>
      </w:r>
      <w:r>
        <w:t>я</w:t>
      </w:r>
      <w:r>
        <w:t>тий и наладить контроль на предмет принятия в н</w:t>
      </w:r>
      <w:r>
        <w:t>е</w:t>
      </w:r>
      <w:r>
        <w:t>обходимых случаях мер по выправлению полож</w:t>
      </w:r>
      <w:r>
        <w:t>е</w:t>
      </w:r>
      <w:r>
        <w:t>ния. Комитет также подчеркнул важное значение информационных кампаний для популяризации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16.</w:t>
      </w:r>
      <w:r>
        <w:tab/>
        <w:t>Кроме того, на тридцатой сессии увенчались успехом усилия Комитета по разработке и прин</w:t>
      </w:r>
      <w:r>
        <w:t>я</w:t>
      </w:r>
      <w:r>
        <w:t>тию рекомендации общего характера относительно пункта 1 статьи 4 Конвенции. Можно с уверенн</w:t>
      </w:r>
      <w:r>
        <w:t>о</w:t>
      </w:r>
      <w:r>
        <w:t>стью сказать, что рекомендация № 25 во многом о</w:t>
      </w:r>
      <w:r>
        <w:t>б</w:t>
      </w:r>
      <w:r>
        <w:t>легчит уяснение того, как подходить к временным специальным мерам. Комитет также добился сущ</w:t>
      </w:r>
      <w:r>
        <w:t>е</w:t>
      </w:r>
      <w:r>
        <w:t>ственного продвижения в своей работе по Факул</w:t>
      </w:r>
      <w:r>
        <w:t>ь</w:t>
      </w:r>
      <w:r>
        <w:t>тативному протоколу: Рабочей группой по сообщ</w:t>
      </w:r>
      <w:r>
        <w:t>е</w:t>
      </w:r>
      <w:r>
        <w:t>ниям, представляемым в соответствии с Факульт</w:t>
      </w:r>
      <w:r>
        <w:t>а</w:t>
      </w:r>
      <w:r>
        <w:t>тивным протоколом, получено три сообщения, а Комитет продолжил выполнение своего мандата, вытекающего из статьи 8 Пр</w:t>
      </w:r>
      <w:r>
        <w:t>о</w:t>
      </w:r>
      <w:r>
        <w:t>токола.</w:t>
      </w:r>
    </w:p>
    <w:p w:rsidR="00000000" w:rsidRDefault="00000000">
      <w:pPr>
        <w:pStyle w:val="DualTxt"/>
      </w:pPr>
      <w:r>
        <w:t>17.</w:t>
      </w:r>
      <w:r>
        <w:tab/>
        <w:t>Комитет продолжил анализировать эффекти</w:t>
      </w:r>
      <w:r>
        <w:t>в</w:t>
      </w:r>
      <w:r>
        <w:t>ность методов своей работы и проведет в мае н</w:t>
      </w:r>
      <w:r>
        <w:t>е</w:t>
      </w:r>
      <w:r>
        <w:t>официальное совещание, на котором обсудит ра</w:t>
      </w:r>
      <w:r>
        <w:t>з</w:t>
      </w:r>
      <w:r>
        <w:t>ные аспекты процесса представления и рассмотр</w:t>
      </w:r>
      <w:r>
        <w:t>е</w:t>
      </w:r>
      <w:r>
        <w:t>ния докладов, чтобы сделать этот процесс эффе</w:t>
      </w:r>
      <w:r>
        <w:t>к</w:t>
      </w:r>
      <w:r>
        <w:t>тивнее и действеннее. С представителем Управл</w:t>
      </w:r>
      <w:r>
        <w:t>е</w:t>
      </w:r>
      <w:r>
        <w:t>ния Верховного комиссара по правам человека уд</w:t>
      </w:r>
      <w:r>
        <w:t>а</w:t>
      </w:r>
      <w:r>
        <w:t>лось провести диалог относительно реформы си</w:t>
      </w:r>
      <w:r>
        <w:t>с</w:t>
      </w:r>
      <w:r>
        <w:t>темы договоров по правам человека, а со Специал</w:t>
      </w:r>
      <w:r>
        <w:t>ь</w:t>
      </w:r>
      <w:r>
        <w:t>ным докладчиком по вопросу о насилии в отнош</w:t>
      </w:r>
      <w:r>
        <w:t>е</w:t>
      </w:r>
      <w:r>
        <w:t>нии женщин, его причинах и последствиях — отн</w:t>
      </w:r>
      <w:r>
        <w:t>о</w:t>
      </w:r>
      <w:r>
        <w:t>сительно укрепления сотрудничества. Эти обмены оказались полезными и дали Комитету основание надеяться, что он будет играть еще более эффекти</w:t>
      </w:r>
      <w:r>
        <w:t>в</w:t>
      </w:r>
      <w:r>
        <w:t>ную и комплексную роль в рамках системы Орган</w:t>
      </w:r>
      <w:r>
        <w:t>и</w:t>
      </w:r>
      <w:r>
        <w:t>зации Объединенных Наций, занимающейся прав</w:t>
      </w:r>
      <w:r>
        <w:t>а</w:t>
      </w:r>
      <w:r>
        <w:t>ми ч</w:t>
      </w:r>
      <w:r>
        <w:t>е</w:t>
      </w:r>
      <w:r>
        <w:t>ловека.</w:t>
      </w:r>
    </w:p>
    <w:p w:rsidR="00000000" w:rsidRDefault="00000000">
      <w:pPr>
        <w:pStyle w:val="DualTxt"/>
      </w:pPr>
      <w:r>
        <w:t>18.</w:t>
      </w:r>
      <w:r>
        <w:tab/>
        <w:t>На своей тридцатой сессии Комитет вновь уделил внимание вопросу о положении женщин в Ираке. Он принял к сведению принятое Руковод</w:t>
      </w:r>
      <w:r>
        <w:t>я</w:t>
      </w:r>
      <w:r>
        <w:t>щим советом Ирака решение отменить действова</w:t>
      </w:r>
      <w:r>
        <w:t>в</w:t>
      </w:r>
      <w:r>
        <w:t>шие нормативные акты гражданского права, каса</w:t>
      </w:r>
      <w:r>
        <w:t>в</w:t>
      </w:r>
      <w:r>
        <w:t>шиеся брака, развода, попечения о детях и наслед</w:t>
      </w:r>
      <w:r>
        <w:t>о</w:t>
      </w:r>
      <w:r>
        <w:t>вания, и принял заявление в поддержку женщин Ирака, в котором указал, что Ирак является гос</w:t>
      </w:r>
      <w:r>
        <w:t>у</w:t>
      </w:r>
      <w:r>
        <w:t>дарством — участником Конвенции, и подчеркнул важнейшее значение пользования женщин правами человека для развития иракского общества. Комитет призвал все компетентные органы в Ираке обесп</w:t>
      </w:r>
      <w:r>
        <w:t>е</w:t>
      </w:r>
      <w:r>
        <w:t>чить, опираясь на помощь международного сообщ</w:t>
      </w:r>
      <w:r>
        <w:t>е</w:t>
      </w:r>
      <w:r>
        <w:t>ства, полное выполнение и соблюдение положений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19.</w:t>
      </w:r>
      <w:r>
        <w:tab/>
        <w:t>В заключение Председатель говорит, что ее взволновало решение г</w:t>
      </w:r>
      <w:r>
        <w:noBreakHyphen/>
        <w:t>жи Кинг оставить работу в Организации Объединенных Наций. Она благодарит г</w:t>
      </w:r>
      <w:r>
        <w:noBreakHyphen/>
        <w:t>жу Кинг за ту поддержку, которую та оказывала Комитету, и добавляет, что трудно представить р</w:t>
      </w:r>
      <w:r>
        <w:t>а</w:t>
      </w:r>
      <w:r>
        <w:t>боту над женской проблематикой без ее уч</w:t>
      </w:r>
      <w:r>
        <w:t>а</w:t>
      </w:r>
      <w:r>
        <w:t>стия.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>Закрытие сессии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20.</w:t>
      </w:r>
      <w:r>
        <w:tab/>
        <w:t xml:space="preserve">После обычного обмена любезностями </w:t>
      </w:r>
      <w:r>
        <w:rPr>
          <w:b/>
        </w:rPr>
        <w:t>Пре</w:t>
      </w:r>
      <w:r>
        <w:rPr>
          <w:b/>
        </w:rPr>
        <w:t>д</w:t>
      </w:r>
      <w:r>
        <w:rPr>
          <w:b/>
        </w:rPr>
        <w:t>седатель</w:t>
      </w:r>
      <w:r>
        <w:t xml:space="preserve"> объявляет о закрытии тридц</w:t>
      </w:r>
      <w:r>
        <w:t>а</w:t>
      </w:r>
      <w:r>
        <w:t>той сессии.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17 ч. 10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NO&gt;&gt;N0422490R&lt;&lt;ODS JOB NO&gt;&gt;</w:t>
      </w:r>
    </w:p>
    <w:p w:rsidR="00000000" w:rsidRDefault="00000000">
      <w:pPr>
        <w:pStyle w:val="CommentText"/>
      </w:pPr>
      <w:r>
        <w:t>&lt;&lt;ODS DOC SYMBOL1&gt;&gt;CEDAW/C/SR.647&lt;&lt;ODS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04-22490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*0422490*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CEDAW/C/SR.647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CEDAW/C/SR.647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/C/SR.647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4 August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3/08/2005 21:51:38"/>
    <w:docVar w:name="DocCategory" w:val="SROthers"/>
    <w:docVar w:name="DocType" w:val="Final"/>
    <w:docVar w:name="JobNo" w:val="0422490R"/>
    <w:docVar w:name="OandT" w:val=" "/>
    <w:docVar w:name="Symbol1" w:val="CEDAW/C/SR.647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1483</Words>
  <Characters>8458</Characters>
  <Application>Microsoft Office Word</Application>
  <DocSecurity>4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10387</CharactersWithSpaces>
  <SharedDoc>false</SharedDoc>
  <HLinks>
    <vt:vector size="6" baseType="variant">
      <vt:variant>
        <vt:i4>4522087</vt:i4>
      </vt:variant>
      <vt:variant>
        <vt:i4>21774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Svetlana.Kuzishchina</cp:lastModifiedBy>
  <cp:revision>11</cp:revision>
  <cp:lastPrinted>2005-08-03T21:12:00Z</cp:lastPrinted>
  <dcterms:created xsi:type="dcterms:W3CDTF">2005-08-03T21:10:00Z</dcterms:created>
  <dcterms:modified xsi:type="dcterms:W3CDTF">2005-08-03T21:31:00Z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CEDAW/C/SR.647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0422490R</vt:lpwstr>
  </property>
  <property fmtid="{D5CDD505-2E9C-101B-9397-08002B2CF9AE}" pid="6" name="Comment">
    <vt:lpwstr/>
  </property>
  <property fmtid="{D5CDD505-2E9C-101B-9397-08002B2CF9AE}" pid="7" name="DraftPages">
    <vt:lpwstr>4</vt:lpwstr>
  </property>
  <property fmtid="{D5CDD505-2E9C-101B-9397-08002B2CF9AE}" pid="8" name="Operator">
    <vt:lpwstr>Kuzishchina</vt:lpwstr>
  </property>
</Properties>
</file>