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седьмая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554-м заседании,</w:t>
      </w:r>
    </w:p>
    <w:p w:rsidR="00000000" w:rsidRDefault="00000000">
      <w:r>
        <w:t>состоявшемся в Центральных учреждениях, Нью-Йорк, в среду, 5 июня 2002 года, в 15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</w:t>
      </w:r>
      <w:r>
        <w:t>:</w:t>
      </w:r>
      <w:r>
        <w:tab/>
        <w:t>г</w:t>
      </w:r>
      <w:r>
        <w:noBreakHyphen/>
        <w:t xml:space="preserve">жа Абака 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ind w:left="1742" w:hanging="475"/>
        <w:jc w:val="left"/>
      </w:pPr>
      <w:r>
        <w:tab/>
      </w:r>
      <w:r>
        <w:rPr>
          <w:i/>
        </w:rPr>
        <w:t xml:space="preserve">Сводный первоначальный, второй, третий и четвертый периодические доклады Сент-Китса и Невиса </w:t>
      </w:r>
      <w:r>
        <w:t>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ind w:left="1742" w:hanging="475"/>
      </w:pPr>
    </w:p>
    <w:p w:rsidR="00000000" w:rsidRDefault="00000000">
      <w:pPr>
        <w:pStyle w:val="SingleTxt"/>
        <w:spacing w:after="0" w:line="240" w:lineRule="auto"/>
        <w:ind w:left="1742" w:hanging="475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15 ч. 10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 xml:space="preserve">Рассмотрение докладов, представленных государствами-участниками в соответствии со 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Сводный первоначальный, второй, третий и четвертый периодические доклады Сент-Китса и Невиса </w:t>
      </w:r>
      <w:r>
        <w:rPr>
          <w:i w:val="0"/>
        </w:rPr>
        <w:t>(</w:t>
      </w:r>
      <w:r>
        <w:t>продолжение</w:t>
      </w:r>
      <w:r>
        <w:rPr>
          <w:i w:val="0"/>
        </w:rPr>
        <w:t>) (CEDAW/C/KNA/1–4)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делегация Сент-Китса и Невиса занимает место за столом К</w:t>
      </w:r>
      <w:r>
        <w:t>о</w:t>
      </w:r>
      <w:r>
        <w:t>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Председатель</w:t>
      </w:r>
      <w:r>
        <w:t xml:space="preserve"> предлагает членам Комитета продолжить задавать вопросы дел</w:t>
      </w:r>
      <w:r>
        <w:t>е</w:t>
      </w:r>
      <w:r>
        <w:t>гации Сент-Китса и Невиса.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 12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>Г</w:t>
      </w:r>
      <w:r>
        <w:rPr>
          <w:b/>
        </w:rPr>
        <w:noBreakHyphen/>
        <w:t>жа Ливингстон Радей</w:t>
      </w:r>
      <w:r>
        <w:t xml:space="preserve"> выражает удовлетв</w:t>
      </w:r>
      <w:r>
        <w:t>о</w:t>
      </w:r>
      <w:r>
        <w:t>рение по поводу снижения в государстве-участнике коэффициента материнской смертности, а также по поводу откровенного обсуждения делегацией пр</w:t>
      </w:r>
      <w:r>
        <w:t>о</w:t>
      </w:r>
      <w:r>
        <w:t>блемы незаконных абортов. Она интересуется, к</w:t>
      </w:r>
      <w:r>
        <w:t>а</w:t>
      </w:r>
      <w:r>
        <w:t>кие меры принимаются правительством в ситуации, когда малоимущие женщины отдают себя в руки людей, производящих криминальные аборты, и к</w:t>
      </w:r>
      <w:r>
        <w:t>о</w:t>
      </w:r>
      <w:r>
        <w:t>гда 50 процентов мест в гинекологических отдел</w:t>
      </w:r>
      <w:r>
        <w:t>е</w:t>
      </w:r>
      <w:r>
        <w:t>ниях заняты женщинами, пострадавшими в резул</w:t>
      </w:r>
      <w:r>
        <w:t>ь</w:t>
      </w:r>
      <w:r>
        <w:t>тате незаконных абортов. Существуют ли беспла</w:t>
      </w:r>
      <w:r>
        <w:t>т</w:t>
      </w:r>
      <w:r>
        <w:t>ные услуги по планированию семьи и по распр</w:t>
      </w:r>
      <w:r>
        <w:t>о</w:t>
      </w:r>
      <w:r>
        <w:t>странению бесплатных презервативов, особенно для подростков? Осуществляются ли программы план</w:t>
      </w:r>
      <w:r>
        <w:t>и</w:t>
      </w:r>
      <w:r>
        <w:t>рования семьи в школах и пропагандируется ли применение противозачаточных средств в средствах массовой информации? Она хотела бы также знать, собирается ли правительство рассматривать вопрос о легализации абортов, по крайней мере в случаях подростковой беременности или в случаях, когда беременность наступила в результате изнасилов</w:t>
      </w:r>
      <w:r>
        <w:t>а</w:t>
      </w:r>
      <w:r>
        <w:t>ния или же представляет угрозу для здоровья мат</w:t>
      </w:r>
      <w:r>
        <w:t>е</w:t>
      </w:r>
      <w:r>
        <w:t>ри.</w:t>
      </w:r>
    </w:p>
    <w:p w:rsidR="00000000" w:rsidRDefault="00000000">
      <w:pPr>
        <w:pStyle w:val="DualTxt"/>
      </w:pPr>
      <w:r>
        <w:t>4.</w:t>
      </w:r>
      <w:r>
        <w:tab/>
      </w:r>
      <w:r>
        <w:rPr>
          <w:b/>
        </w:rPr>
        <w:t>Г</w:t>
      </w:r>
      <w:r>
        <w:rPr>
          <w:b/>
        </w:rPr>
        <w:noBreakHyphen/>
        <w:t>жа да Силва</w:t>
      </w:r>
      <w:r>
        <w:t>, ссылаясь на пункт 138, инт</w:t>
      </w:r>
      <w:r>
        <w:t>е</w:t>
      </w:r>
      <w:r>
        <w:t>ресуется, участвуют ли мужчины в программах планирования семьи и включается ли половое во</w:t>
      </w:r>
      <w:r>
        <w:t>с</w:t>
      </w:r>
      <w:r>
        <w:t>питание в школьные учебные программы, так как в докладе говорится лишь о курсах по основам с</w:t>
      </w:r>
      <w:r>
        <w:t>е</w:t>
      </w:r>
      <w:r>
        <w:t>мейной жизни и по охране здоровья.</w:t>
      </w:r>
    </w:p>
    <w:p w:rsidR="00000000" w:rsidRDefault="00000000">
      <w:pPr>
        <w:pStyle w:val="DualTxt"/>
      </w:pPr>
      <w:r>
        <w:t>5.</w:t>
      </w:r>
      <w:r>
        <w:tab/>
      </w:r>
      <w:r>
        <w:rPr>
          <w:b/>
        </w:rPr>
        <w:t>Председатель</w:t>
      </w:r>
      <w:r>
        <w:t>, отдав должное государс</w:t>
      </w:r>
      <w:r>
        <w:t>т</w:t>
      </w:r>
      <w:r>
        <w:t>ву-участнику за существенное снижение коэффицие</w:t>
      </w:r>
      <w:r>
        <w:t>н</w:t>
      </w:r>
      <w:r>
        <w:t>тов младенческой/материнской смертности, отмеч</w:t>
      </w:r>
      <w:r>
        <w:t>а</w:t>
      </w:r>
      <w:r>
        <w:t>ет, что в докладе нет информации о проблеме на</w:t>
      </w:r>
      <w:r>
        <w:t>р</w:t>
      </w:r>
      <w:r>
        <w:t>комании и токсикомании, в том числе об употребл</w:t>
      </w:r>
      <w:r>
        <w:t>е</w:t>
      </w:r>
      <w:r>
        <w:t>нии табака и алкоголя, которое оказывает весьма негативное воздействие на здоровье женщин; точно так же в докладе нет информации о психическом здоровье женщин или о положении женщин-инвалидов и пожилых женщин. Ей известно, что в Сент-Китсе и Невисе есть много замечательных программ, которые представляют огромный интерес для членов Комитета и которые могли бы служить для других государств-участников примером для подражания. Она интересуется, по-прежнему ли женщины обязаны получать согласие своего мужа для прохождения стерилизации, и если обязаны, должны ли мужчины получать согласие своих жен на вазэктомию. В заключение оратор выражает н</w:t>
      </w:r>
      <w:r>
        <w:t>а</w:t>
      </w:r>
      <w:r>
        <w:t>дежду на то, что уже в следующем своем период</w:t>
      </w:r>
      <w:r>
        <w:t>и</w:t>
      </w:r>
      <w:r>
        <w:t>ческом докладе Сент-Китс и Невис сможет предст</w:t>
      </w:r>
      <w:r>
        <w:t>а</w:t>
      </w:r>
      <w:r>
        <w:t>вить информацию о снижении случаев подростк</w:t>
      </w:r>
      <w:r>
        <w:t>о</w:t>
      </w:r>
      <w:r>
        <w:t>вой беременности, имеющей весьма негативные п</w:t>
      </w:r>
      <w:r>
        <w:t>о</w:t>
      </w:r>
      <w:r>
        <w:t>следствия для здоровья по</w:t>
      </w:r>
      <w:r>
        <w:t>д</w:t>
      </w:r>
      <w:r>
        <w:t>ростков.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 13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Регаццоли </w:t>
      </w:r>
      <w:r>
        <w:t>спрашивает, получают ли о</w:t>
      </w:r>
      <w:r>
        <w:t>в</w:t>
      </w:r>
      <w:r>
        <w:t>довевшие женщины или мужчины социальные п</w:t>
      </w:r>
      <w:r>
        <w:t>о</w:t>
      </w:r>
      <w:r>
        <w:t>собия, причитающиеся их усопшим супругам. Она интересуется, имеют ли женщины доступ к кред</w:t>
      </w:r>
      <w:r>
        <w:t>и</w:t>
      </w:r>
      <w:r>
        <w:t>там на равной основе с мужчинами и информирует ли правительство женщин, особенно сельских же</w:t>
      </w:r>
      <w:r>
        <w:t>н</w:t>
      </w:r>
      <w:r>
        <w:t>щин, об их возможностях в этой связи.</w:t>
      </w:r>
    </w:p>
    <w:p w:rsidR="00000000" w:rsidRDefault="00000000">
      <w:pPr>
        <w:pStyle w:val="DualTxt"/>
      </w:pPr>
      <w:r>
        <w:t>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Ливингстон Радей </w:t>
      </w:r>
      <w:r>
        <w:t>спрашивает, изучает ли правительство возможность принятия законод</w:t>
      </w:r>
      <w:r>
        <w:t>а</w:t>
      </w:r>
      <w:r>
        <w:t>тельства или административных мер, которые не позволяли бы банкам требовать согласия мужа на получение кредита женщинами, особенно с учетом увеличения в нынешней экономической ситуации числа домохозяйств, возглавляемых женщинами.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 15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8.</w:t>
      </w:r>
      <w:r>
        <w:tab/>
      </w:r>
      <w:r>
        <w:rPr>
          <w:b/>
        </w:rPr>
        <w:t>Г</w:t>
      </w:r>
      <w:r>
        <w:rPr>
          <w:b/>
        </w:rPr>
        <w:noBreakHyphen/>
        <w:t>жа Гонсалес</w:t>
      </w:r>
      <w:r>
        <w:t xml:space="preserve"> говорит, что законодательство о владении имуществом не всегда осуществляется на практике. Ссылаясь на статьи 148–151 доклада, она просит представить подробную информацию о том, как часто женщины обращаются в суд по в</w:t>
      </w:r>
      <w:r>
        <w:t>о</w:t>
      </w:r>
      <w:r>
        <w:t>просам владения имуществом и плохого обращения с детьми, а также по коммерческим или гражда</w:t>
      </w:r>
      <w:r>
        <w:t>н</w:t>
      </w:r>
      <w:r>
        <w:t>ским делам. Весьма полезной была бы также д</w:t>
      </w:r>
      <w:r>
        <w:t>о</w:t>
      </w:r>
      <w:r>
        <w:t>полнительная информация о юридических консул</w:t>
      </w:r>
      <w:r>
        <w:t>ь</w:t>
      </w:r>
      <w:r>
        <w:t>тациях, в том числе о бесплатных консультациях, предоставляемых женщинами-юристами (CEDAW/</w:t>
      </w:r>
      <w:r>
        <w:br/>
        <w:t>SKN/1–4, пункт 150). Оратор хотела бы знать, им</w:t>
      </w:r>
      <w:r>
        <w:t>е</w:t>
      </w:r>
      <w:r>
        <w:t>ют ли женщины право выбирать место жительства, независимо от своего семейного пол</w:t>
      </w:r>
      <w:r>
        <w:t>о</w:t>
      </w:r>
      <w:r>
        <w:t>жения.</w:t>
      </w:r>
    </w:p>
    <w:p w:rsidR="00000000" w:rsidRDefault="00000000">
      <w:pPr>
        <w:pStyle w:val="DualTxt"/>
      </w:pPr>
      <w:r>
        <w:t>9.</w:t>
      </w:r>
      <w:r>
        <w:tab/>
      </w:r>
      <w:r>
        <w:rPr>
          <w:b/>
        </w:rPr>
        <w:t>Г</w:t>
      </w:r>
      <w:r>
        <w:rPr>
          <w:b/>
        </w:rPr>
        <w:noBreakHyphen/>
        <w:t>жа Регаццоли</w:t>
      </w:r>
      <w:r>
        <w:t xml:space="preserve"> привлекает внимание к пун</w:t>
      </w:r>
      <w:r>
        <w:t>к</w:t>
      </w:r>
      <w:r>
        <w:t>ту 61 доклада, который, по ее мнению, отвечает на значительную часть заданного г</w:t>
      </w:r>
      <w:r>
        <w:noBreakHyphen/>
        <w:t>жой Гонсалес в</w:t>
      </w:r>
      <w:r>
        <w:t>о</w:t>
      </w:r>
      <w:r>
        <w:t>проса.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Статья 16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>жа Сайга</w:t>
      </w:r>
      <w:r>
        <w:t>, отмечая чрезвычайно высокий процент в Сент-Китсе и Невисе семей, возглавля</w:t>
      </w:r>
      <w:r>
        <w:t>е</w:t>
      </w:r>
      <w:r>
        <w:t>мых женщинами, и то, что такие семьи, как прав</w:t>
      </w:r>
      <w:r>
        <w:t>и</w:t>
      </w:r>
      <w:r>
        <w:t>ло, включают представителей нескольких покол</w:t>
      </w:r>
      <w:r>
        <w:t>е</w:t>
      </w:r>
      <w:r>
        <w:t>ний и возглавляются молодыми женщинами (CEDAW/KNA/1–4, пункты 152 и 154), интересуе</w:t>
      </w:r>
      <w:r>
        <w:t>т</w:t>
      </w:r>
      <w:r>
        <w:t>ся, получают ли эти семьи государственную п</w:t>
      </w:r>
      <w:r>
        <w:t>о</w:t>
      </w:r>
      <w:r>
        <w:t>мощь и су</w:t>
      </w:r>
      <w:r>
        <w:t>б</w:t>
      </w:r>
      <w:r>
        <w:t>сидии на детей.</w:t>
      </w:r>
    </w:p>
    <w:p w:rsidR="00000000" w:rsidRDefault="00000000">
      <w:pPr>
        <w:pStyle w:val="DualTxt"/>
      </w:pPr>
      <w:r>
        <w:t>11.</w:t>
      </w:r>
      <w:r>
        <w:tab/>
      </w:r>
      <w:r>
        <w:rPr>
          <w:b/>
        </w:rPr>
        <w:t>Г</w:t>
      </w:r>
      <w:r>
        <w:rPr>
          <w:b/>
        </w:rPr>
        <w:noBreakHyphen/>
        <w:t>жа Гонсалес</w:t>
      </w:r>
      <w:r>
        <w:t xml:space="preserve"> просит разъяснить имущес</w:t>
      </w:r>
      <w:r>
        <w:t>т</w:t>
      </w:r>
      <w:r>
        <w:t>венные права мужчин и женщин, которые жили с</w:t>
      </w:r>
      <w:r>
        <w:t>о</w:t>
      </w:r>
      <w:r>
        <w:t>вместно, но не состояли в официальном браке, и, в частности, значение термина «общее имущество», который используется во втором предложении пункта 157. Она отдает должное государству-участнику за устранение дискриминации в отнош</w:t>
      </w:r>
      <w:r>
        <w:t>е</w:t>
      </w:r>
      <w:r>
        <w:t>нии детей родителей, не состоящих в браке (пункт 161). Наконец, оратор говорит, что она была бы признательна за информацию о любой консул</w:t>
      </w:r>
      <w:r>
        <w:t>ь</w:t>
      </w:r>
      <w:r>
        <w:t>тативной помощи или о любых просветительских и административных мерах, принимаемых для того, чтобы воспрепятствовать связям между несове</w:t>
      </w:r>
      <w:r>
        <w:t>р</w:t>
      </w:r>
      <w:r>
        <w:t>шеннолетними женщинами и взрослыми мужчин</w:t>
      </w:r>
      <w:r>
        <w:t>а</w:t>
      </w:r>
      <w:r>
        <w:t>ми, так как такие связи отнюдь не являются неви</w:t>
      </w:r>
      <w:r>
        <w:t>н</w:t>
      </w:r>
      <w:r>
        <w:t>ными.</w:t>
      </w:r>
    </w:p>
    <w:p w:rsidR="00000000" w:rsidRDefault="00000000">
      <w:pPr>
        <w:pStyle w:val="DualTxt"/>
      </w:pPr>
      <w:r>
        <w:t>12.</w:t>
      </w:r>
      <w:r>
        <w:tab/>
      </w:r>
      <w:r>
        <w:rPr>
          <w:b/>
        </w:rPr>
        <w:t>Г</w:t>
      </w:r>
      <w:r>
        <w:rPr>
          <w:b/>
        </w:rPr>
        <w:noBreakHyphen/>
        <w:t>жа Тавариш да Силва</w:t>
      </w:r>
      <w:r>
        <w:t xml:space="preserve"> отмечает расхожд</w:t>
      </w:r>
      <w:r>
        <w:t>е</w:t>
      </w:r>
      <w:r>
        <w:t>ния между декларированными принципами и р</w:t>
      </w:r>
      <w:r>
        <w:t>е</w:t>
      </w:r>
      <w:r>
        <w:t>альностью в том, что касается имущественных прав женщин (пункт 156) и права женщин определять количество детей и интервалы между их рождением (пункт 160). Аналогичные расхождения существуют и в отношении займов (статья 13), равенства перед законом (статья 15) и занятости (статья 11). Она о</w:t>
      </w:r>
      <w:r>
        <w:t>т</w:t>
      </w:r>
      <w:r>
        <w:t>дает должное правительству Сент-Китса и Невиса за признание наличия таких расхождений и насто</w:t>
      </w:r>
      <w:r>
        <w:t>я</w:t>
      </w:r>
      <w:r>
        <w:t>тельно призывает его принять меры для искорен</w:t>
      </w:r>
      <w:r>
        <w:t>е</w:t>
      </w:r>
      <w:r>
        <w:t>ния стереотипов и изменения ментал</w:t>
      </w:r>
      <w:r>
        <w:t>и</w:t>
      </w:r>
      <w:r>
        <w:t>тета.</w:t>
      </w:r>
    </w:p>
    <w:p w:rsidR="00000000" w:rsidRDefault="00000000">
      <w:pPr>
        <w:pStyle w:val="DualTxt"/>
      </w:pPr>
      <w:r>
        <w:t>13.</w:t>
      </w:r>
      <w:r>
        <w:tab/>
      </w:r>
      <w:r>
        <w:rPr>
          <w:b/>
        </w:rPr>
        <w:t>Г</w:t>
      </w:r>
      <w:r>
        <w:rPr>
          <w:b/>
        </w:rPr>
        <w:noBreakHyphen/>
        <w:t>жа Ливингстон Радей</w:t>
      </w:r>
      <w:r>
        <w:t>, отмечая, что нев</w:t>
      </w:r>
      <w:r>
        <w:t>ы</w:t>
      </w:r>
      <w:r>
        <w:t>плата алиментов является в Сент-Китсе и Невисе большой проблемой, соглашается с г</w:t>
      </w:r>
      <w:r>
        <w:noBreakHyphen/>
        <w:t>жой Шёпп-Шиллинг в том, что целесообразно было бы создать национальную систему, которая позволяла бы во</w:t>
      </w:r>
      <w:r>
        <w:t>з</w:t>
      </w:r>
      <w:r>
        <w:t>буждать судебный иск против бывших супругов, уклоняющихся от уплаты алиментов. Другим сп</w:t>
      </w:r>
      <w:r>
        <w:t>о</w:t>
      </w:r>
      <w:r>
        <w:t>собом получения алиментов является наложение ареста на заработки мужчин, имеющих задолже</w:t>
      </w:r>
      <w:r>
        <w:t>н</w:t>
      </w:r>
      <w:r>
        <w:t>ность по алиментам. Заключение под стражу му</w:t>
      </w:r>
      <w:r>
        <w:t>ж</w:t>
      </w:r>
      <w:r>
        <w:t>чин, уклоняющихся от уплаты алиментов, не реш</w:t>
      </w:r>
      <w:r>
        <w:t>а</w:t>
      </w:r>
      <w:r>
        <w:t>ет проблему, так как такое решение никак не обле</w:t>
      </w:r>
      <w:r>
        <w:t>г</w:t>
      </w:r>
      <w:r>
        <w:t>чило бы положение женщин и заставило бы общ</w:t>
      </w:r>
      <w:r>
        <w:t>е</w:t>
      </w:r>
      <w:r>
        <w:t>ство нести расходы по содержанию этих му</w:t>
      </w:r>
      <w:r>
        <w:t>ж</w:t>
      </w:r>
      <w:r>
        <w:t>чин.</w:t>
      </w:r>
    </w:p>
    <w:p w:rsidR="00000000" w:rsidRDefault="00000000">
      <w:pPr>
        <w:pStyle w:val="DualTxt"/>
      </w:pPr>
      <w:r>
        <w:t>14.</w:t>
      </w:r>
      <w:r>
        <w:tab/>
        <w:t>Оратор разделяет обеспокоенность Председ</w:t>
      </w:r>
      <w:r>
        <w:t>а</w:t>
      </w:r>
      <w:r>
        <w:t>теля по поводу трудностей в получении свидетел</w:t>
      </w:r>
      <w:r>
        <w:t>ь</w:t>
      </w:r>
      <w:r>
        <w:t>ских показаний в случаях насилия в семье. Госуда</w:t>
      </w:r>
      <w:r>
        <w:t>р</w:t>
      </w:r>
      <w:r>
        <w:t>ство-участник должно рассмотреть пути решения этой проблемы — либо с помощью досудебных п</w:t>
      </w:r>
      <w:r>
        <w:t>о</w:t>
      </w:r>
      <w:r>
        <w:t>казаний, которые могли бы использоваться, когда женщина не желает давать показания, либо путем вменения в обязанность медицинским и социал</w:t>
      </w:r>
      <w:r>
        <w:t>ь</w:t>
      </w:r>
      <w:r>
        <w:t>ным работникам доводить до правоохранительных органов информацию о случаях насилия в семье. Касаясь вопроса о предоставлении женщинам без</w:t>
      </w:r>
      <w:r>
        <w:t>о</w:t>
      </w:r>
      <w:r>
        <w:t>пасного убежища на небольшом острове, где пра</w:t>
      </w:r>
      <w:r>
        <w:t>к</w:t>
      </w:r>
      <w:r>
        <w:t>тически никто не может оставаться анонимным, она интересуется, не изучало ли государство-участник возможность инициирования обменов с другими островами, с тем чтобы женщины не так боялись возмездия со стороны своих мужей и более охотно давали показ</w:t>
      </w:r>
      <w:r>
        <w:t>а</w:t>
      </w:r>
      <w:r>
        <w:t>ния.</w:t>
      </w: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Г</w:t>
      </w:r>
      <w:r>
        <w:rPr>
          <w:b/>
        </w:rPr>
        <w:noBreakHyphen/>
        <w:t>жа Фэн</w:t>
      </w:r>
      <w:r>
        <w:t xml:space="preserve"> Цуй просит представить дополн</w:t>
      </w:r>
      <w:r>
        <w:t>и</w:t>
      </w:r>
      <w:r>
        <w:t>тельную информацию об организованных мин</w:t>
      </w:r>
      <w:r>
        <w:t>и</w:t>
      </w:r>
      <w:r>
        <w:t>стерством по делам женщин группах по отцовской поддержке, в том числе об их целях, задачах и э</w:t>
      </w:r>
      <w:r>
        <w:t>ф</w:t>
      </w:r>
      <w:r>
        <w:t>фективности. Она также интересуется, прилагает ли государство-участник усилия для широкого распр</w:t>
      </w:r>
      <w:r>
        <w:t>о</w:t>
      </w:r>
      <w:r>
        <w:t>странения текста Конвенции, в том числе с пом</w:t>
      </w:r>
      <w:r>
        <w:t>о</w:t>
      </w:r>
      <w:r>
        <w:t>щью групп по отцовской поддержке, с целью обе</w:t>
      </w:r>
      <w:r>
        <w:t>с</w:t>
      </w:r>
      <w:r>
        <w:t>печения подлинного гендерного равенства и уст</w:t>
      </w:r>
      <w:r>
        <w:t>а</w:t>
      </w:r>
      <w:r>
        <w:t>новления истинно партнерских отношений между мужчинами и же</w:t>
      </w:r>
      <w:r>
        <w:t>н</w:t>
      </w:r>
      <w:r>
        <w:t>щинами.</w:t>
      </w: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>Г</w:t>
      </w:r>
      <w:r>
        <w:rPr>
          <w:b/>
        </w:rPr>
        <w:noBreakHyphen/>
        <w:t>жа Ахмад,</w:t>
      </w:r>
      <w:r>
        <w:t xml:space="preserve"> ссылаясь на пункты 166 и 82 доклада, интересуется, как женщины борются с традиционными представлениями, препятствующ</w:t>
      </w:r>
      <w:r>
        <w:t>и</w:t>
      </w:r>
      <w:r>
        <w:t>ми их участию в политической и общественной жизни, и какие другие инициативы предприним</w:t>
      </w:r>
      <w:r>
        <w:t>а</w:t>
      </w:r>
      <w:r>
        <w:t>ются министерством в этой области. Для ликвид</w:t>
      </w:r>
      <w:r>
        <w:t>а</w:t>
      </w:r>
      <w:r>
        <w:t>ции дискриминации требуется многоаспектный подход: расширение прав женщин как в професси</w:t>
      </w:r>
      <w:r>
        <w:t>о</w:t>
      </w:r>
      <w:r>
        <w:t>нальном отношении, путем расширения их знаний о характере политического участия, так и в психол</w:t>
      </w:r>
      <w:r>
        <w:t>о</w:t>
      </w:r>
      <w:r>
        <w:t>гическом отношении, путем побуждения их к уч</w:t>
      </w:r>
      <w:r>
        <w:t>а</w:t>
      </w:r>
      <w:r>
        <w:t>стию в общественной и политической жизни не только в качестве советников, но и в качестве лид</w:t>
      </w:r>
      <w:r>
        <w:t>е</w:t>
      </w:r>
      <w:r>
        <w:t>ров. Мужчины тоже должны быть готовы и в инте</w:t>
      </w:r>
      <w:r>
        <w:t>л</w:t>
      </w:r>
      <w:r>
        <w:t>лектуальном и психологическом отношении пр</w:t>
      </w:r>
      <w:r>
        <w:t>и</w:t>
      </w:r>
      <w:r>
        <w:t>знать в женщинах равных партнеров. Существенно важно обеспечить, чтобы женщины, достигшие р</w:t>
      </w:r>
      <w:r>
        <w:t>у</w:t>
      </w:r>
      <w:r>
        <w:t>ководящих должностей, располагали всей необх</w:t>
      </w:r>
      <w:r>
        <w:t>о</w:t>
      </w:r>
      <w:r>
        <w:t>димой поддержкой и информацией, которые позв</w:t>
      </w:r>
      <w:r>
        <w:t>о</w:t>
      </w:r>
      <w:r>
        <w:t>ляли бы им отстаивать в правительстве существе</w:t>
      </w:r>
      <w:r>
        <w:t>н</w:t>
      </w:r>
      <w:r>
        <w:t>но важные вопросы и способствовать их решению. Оратор интересуется, планирует ли государство-участник принять какие-либо меры в этой связи.</w:t>
      </w: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Г</w:t>
      </w:r>
      <w:r>
        <w:rPr>
          <w:b/>
        </w:rPr>
        <w:noBreakHyphen/>
        <w:t>жа Ачар</w:t>
      </w:r>
      <w:r>
        <w:t xml:space="preserve"> интересуется, учитываются ли особые потребности женщин при планировании деятельности по обеспечению готовности к стихи</w:t>
      </w:r>
      <w:r>
        <w:t>й</w:t>
      </w:r>
      <w:r>
        <w:t>ным бедствиям, смягчению их последствий и оказ</w:t>
      </w:r>
      <w:r>
        <w:t>а</w:t>
      </w:r>
      <w:r>
        <w:t>нию помощи в случае стихийных бедствий, включая составление смет, подготовку персонала и повыш</w:t>
      </w:r>
      <w:r>
        <w:t>е</w:t>
      </w:r>
      <w:r>
        <w:t>ние информированности о гендерном аспекте ст</w:t>
      </w:r>
      <w:r>
        <w:t>и</w:t>
      </w:r>
      <w:r>
        <w:t>хийных бедствий. Она предлагает гос</w:t>
      </w:r>
      <w:r>
        <w:t>у</w:t>
      </w:r>
      <w:r>
        <w:t>дарству-участнику предпринять усилия в этом направлении и включить в свой следующий периодический до</w:t>
      </w:r>
      <w:r>
        <w:t>к</w:t>
      </w:r>
      <w:r>
        <w:t>лад информацию о достигнутых результ</w:t>
      </w:r>
      <w:r>
        <w:t>а</w:t>
      </w:r>
      <w:r>
        <w:t>тах.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</w:t>
      </w:r>
      <w:r>
        <w:rPr>
          <w:b/>
        </w:rPr>
        <w:noBreakHyphen/>
        <w:t>н Херберт</w:t>
      </w:r>
      <w:r>
        <w:t xml:space="preserve"> (Сент-Китс и Невис) благодарит членов Комитета за их конструктивные замечания и говорит, что его правительство приложит все ус</w:t>
      </w:r>
      <w:r>
        <w:t>и</w:t>
      </w:r>
      <w:r>
        <w:t>лия для принятия необходимых мер по осуществл</w:t>
      </w:r>
      <w:r>
        <w:t>е</w:t>
      </w:r>
      <w:r>
        <w:t>нию их рекоме</w:t>
      </w:r>
      <w:r>
        <w:t>н</w:t>
      </w:r>
      <w:r>
        <w:t>даций.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Заседание закрывается в 16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NO&gt;&gt;N0241276R&lt;&lt;ODS JOB NO&gt;&gt;</w:t>
      </w:r>
    </w:p>
    <w:p w:rsidR="00000000" w:rsidRDefault="00000000">
      <w:pPr>
        <w:pStyle w:val="CommentText"/>
      </w:pPr>
      <w:r>
        <w:t>&lt;&lt;ODS DOC SYMBOL1&gt;&gt;CEDAW/C/SR.554&lt;&lt;ODS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02-41276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*0241276*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CEDAW/C/SR.554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CEDAW/C/SR.554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/C/SR.554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5</w:t>
          </w:r>
          <w:r>
            <w:t xml:space="preserve"> </w:t>
          </w:r>
          <w:r>
            <w:rPr>
              <w:lang w:val="en-US"/>
            </w:rPr>
            <w:t>January</w:t>
          </w:r>
          <w:r>
            <w:t xml:space="preserve"> 2003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1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30/12/2003 8:39: PM"/>
    <w:docVar w:name="DocCategory" w:val="SROthers"/>
    <w:docVar w:name="DocType" w:val="Final"/>
    <w:docVar w:name="JobNo" w:val="0241276R"/>
    <w:docVar w:name="OandT" w:val=" "/>
    <w:docVar w:name="Symbol1" w:val="CEDAW/C/SR.554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1464</Words>
  <Characters>8348</Characters>
  <Application>Microsoft Office Word</Application>
  <DocSecurity>4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10251</CharactersWithSpaces>
  <SharedDoc>false</SharedDoc>
  <HLinks>
    <vt:vector size="6" baseType="variant">
      <vt:variant>
        <vt:i4>4522087</vt:i4>
      </vt:variant>
      <vt:variant>
        <vt:i4>21508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8</cp:revision>
  <cp:lastPrinted>2004-01-02T13:37:00Z</cp:lastPrinted>
  <dcterms:created xsi:type="dcterms:W3CDTF">2004-01-02T13:35:00Z</dcterms:created>
  <dcterms:modified xsi:type="dcterms:W3CDTF">2004-01-02T13:35:00Z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0241276</vt:lpwstr>
  </property>
  <property fmtid="{D5CDD505-2E9C-101B-9397-08002B2CF9AE}" pid="3" name="Symbol1">
    <vt:lpwstr>CEDAW/C/SR.554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4</vt:lpwstr>
  </property>
  <property fmtid="{D5CDD505-2E9C-101B-9397-08002B2CF9AE}" pid="8" name="Operator">
    <vt:lpwstr>Lobza</vt:lpwstr>
  </property>
</Properties>
</file>