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Heading1"/>
        <w:spacing w:before="0" w:line="240" w:lineRule="auto"/>
        <w:jc w:val="both"/>
      </w:pPr>
      <w:r>
        <w:rPr>
          <w:rStyle w:val="CommentReference"/>
          <w:vanish/>
        </w:rPr>
        <w:commentReference w:id="0"/>
      </w:r>
      <w:r>
        <w:t>Комитет по ликвидации дискриминации</w:t>
      </w:r>
    </w:p>
    <w:p w:rsidR="00000000" w:rsidRDefault="00000000">
      <w:pPr>
        <w:jc w:val="both"/>
        <w:rPr>
          <w:b/>
          <w:sz w:val="20"/>
        </w:rPr>
      </w:pPr>
      <w:r>
        <w:rPr>
          <w:b/>
        </w:rPr>
        <w:t>в отношении женщин</w:t>
      </w:r>
    </w:p>
    <w:p w:rsidR="00000000" w:rsidRDefault="00000000">
      <w:pPr>
        <w:pStyle w:val="Heading3"/>
        <w:rPr>
          <w:b w:val="0"/>
        </w:rPr>
      </w:pPr>
      <w:r>
        <w:t>Тридцать пятая сессия</w:t>
      </w:r>
    </w:p>
    <w:p w:rsidR="00000000" w:rsidRDefault="00000000">
      <w:pPr>
        <w:jc w:val="both"/>
        <w:rPr>
          <w:sz w:val="20"/>
        </w:rPr>
      </w:pPr>
    </w:p>
    <w:p w:rsidR="00000000" w:rsidRDefault="00000000">
      <w:pPr>
        <w:jc w:val="both"/>
        <w:rPr>
          <w:b/>
          <w:sz w:val="20"/>
        </w:rPr>
      </w:pPr>
      <w:r>
        <w:rPr>
          <w:b/>
          <w:sz w:val="20"/>
        </w:rPr>
        <w:t>Краткий отчет о 728-м заседании,</w:t>
      </w:r>
    </w:p>
    <w:p w:rsidR="00000000" w:rsidRDefault="00000000">
      <w:pPr>
        <w:pStyle w:val="SingleTxt"/>
        <w:spacing w:after="0" w:line="240" w:lineRule="auto"/>
        <w:ind w:left="0" w:right="0"/>
        <w:rPr>
          <w:spacing w:val="0"/>
          <w:w w:val="100"/>
          <w:lang w:val="ru-RU"/>
        </w:rPr>
      </w:pPr>
      <w:r>
        <w:rPr>
          <w:spacing w:val="0"/>
          <w:w w:val="100"/>
        </w:rPr>
        <w:t>состоявшемся в Центральных учреждениях, Нью-Йорк, в пятницу, 19 мая 2006 года, в 15 ч.</w:t>
      </w:r>
    </w:p>
    <w:p w:rsidR="00000000" w:rsidRDefault="00000000">
      <w:pPr>
        <w:pStyle w:val="BodyText"/>
        <w:rPr>
          <w:w w:val="100"/>
        </w:rPr>
      </w:pPr>
    </w:p>
    <w:p w:rsidR="00000000" w:rsidRDefault="00000000">
      <w:pPr>
        <w:tabs>
          <w:tab w:val="right" w:pos="1304"/>
          <w:tab w:val="left" w:pos="1701"/>
        </w:tabs>
        <w:jc w:val="both"/>
        <w:rPr>
          <w:sz w:val="20"/>
        </w:rPr>
      </w:pPr>
      <w:r>
        <w:rPr>
          <w:i/>
          <w:sz w:val="20"/>
        </w:rPr>
        <w:tab/>
        <w:t>Председатель</w:t>
      </w:r>
      <w:r>
        <w:rPr>
          <w:sz w:val="20"/>
        </w:rPr>
        <w:t>:</w:t>
      </w:r>
      <w:r>
        <w:rPr>
          <w:sz w:val="20"/>
        </w:rPr>
        <w:tab/>
        <w:t>г-жа Бельмихуб-Зердани (заместитель Председателя)</w:t>
      </w:r>
    </w:p>
    <w:p w:rsidR="00000000" w:rsidRDefault="00000000">
      <w:pPr>
        <w:tabs>
          <w:tab w:val="right" w:pos="1304"/>
          <w:tab w:val="left" w:pos="1701"/>
        </w:tabs>
        <w:jc w:val="both"/>
        <w:rPr>
          <w:sz w:val="20"/>
        </w:rPr>
      </w:pPr>
    </w:p>
    <w:p w:rsidR="00000000" w:rsidRDefault="00000000">
      <w:pPr>
        <w:jc w:val="both"/>
        <w:rPr>
          <w:sz w:val="20"/>
        </w:rPr>
      </w:pPr>
    </w:p>
    <w:p w:rsidR="00000000" w:rsidRDefault="00000000">
      <w:pPr>
        <w:jc w:val="both"/>
        <w:rPr>
          <w:sz w:val="20"/>
          <w:lang w:val="en-US"/>
        </w:rPr>
      </w:pPr>
      <w:r>
        <w:t>Содержание</w:t>
      </w:r>
    </w:p>
    <w:p w:rsidR="00000000" w:rsidRDefault="00000000">
      <w:pPr>
        <w:spacing w:before="120"/>
        <w:ind w:left="1701" w:right="1134"/>
        <w:rPr>
          <w:sz w:val="20"/>
        </w:rPr>
      </w:pPr>
      <w:r>
        <w:rPr>
          <w:sz w:val="20"/>
        </w:rPr>
        <w:t>Рассмотрение докладов, представленных государствами-участниками в соответствии со статьей 18 Конвенции (</w:t>
      </w:r>
      <w:r>
        <w:rPr>
          <w:i/>
          <w:sz w:val="20"/>
        </w:rPr>
        <w:t>продолжение</w:t>
      </w:r>
      <w:r>
        <w:rPr>
          <w:sz w:val="20"/>
        </w:rPr>
        <w:t>)</w:t>
      </w:r>
    </w:p>
    <w:p w:rsidR="00000000" w:rsidRDefault="00000000">
      <w:pPr>
        <w:spacing w:before="120"/>
        <w:ind w:left="2098" w:right="1134"/>
        <w:rPr>
          <w:sz w:val="20"/>
        </w:rPr>
      </w:pPr>
      <w:r>
        <w:rPr>
          <w:i/>
          <w:sz w:val="20"/>
        </w:rPr>
        <w:t xml:space="preserve">Сводный  второй, третий, четвертый и пятый  периодический доклад Малави </w:t>
      </w:r>
      <w:r>
        <w:rPr>
          <w:sz w:val="20"/>
        </w:rPr>
        <w:t>(</w:t>
      </w:r>
      <w:r>
        <w:rPr>
          <w:i/>
          <w:sz w:val="20"/>
        </w:rPr>
        <w:t>продолжение</w:t>
      </w:r>
      <w:r>
        <w:rPr>
          <w:sz w:val="20"/>
        </w:rPr>
        <w:t>)</w:t>
      </w:r>
    </w:p>
    <w:p w:rsidR="00000000" w:rsidRDefault="00000000">
      <w:pPr>
        <w:ind w:left="1701" w:right="1134"/>
        <w:jc w:val="both"/>
        <w:rPr>
          <w:i/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jc w:val="both"/>
        <w:rPr>
          <w:sz w:val="20"/>
        </w:rPr>
      </w:pPr>
    </w:p>
    <w:p w:rsidR="00000000" w:rsidRDefault="00000000">
      <w:pPr>
        <w:pStyle w:val="Header"/>
        <w:pBdr>
          <w:bottom w:val="single" w:sz="4" w:space="15" w:color="auto"/>
        </w:pBdr>
        <w:tabs>
          <w:tab w:val="clear" w:pos="4677"/>
          <w:tab w:val="clear" w:pos="9355"/>
        </w:tabs>
        <w:spacing w:before="240"/>
        <w:jc w:val="both"/>
        <w:rPr>
          <w:sz w:val="20"/>
        </w:rPr>
      </w:pPr>
    </w:p>
    <w:p w:rsidR="00000000" w:rsidRDefault="00000000">
      <w:pPr>
        <w:pStyle w:val="std"/>
        <w:spacing w:before="60"/>
        <w:ind w:left="1701" w:right="1134"/>
        <w:rPr>
          <w:color w:val="000000"/>
          <w:sz w:val="18"/>
        </w:rPr>
      </w:pPr>
      <w:r>
        <w:rPr>
          <w:color w:val="000000"/>
          <w:sz w:val="18"/>
        </w:rPr>
        <w:t xml:space="preserve">В настоящий отчет могут вноситься поправки. </w:t>
      </w:r>
    </w:p>
    <w:p w:rsidR="00000000" w:rsidRDefault="00000000">
      <w:pPr>
        <w:pStyle w:val="std"/>
        <w:ind w:left="1701" w:right="1134"/>
        <w:rPr>
          <w:color w:val="000000"/>
          <w:sz w:val="18"/>
        </w:rPr>
      </w:pPr>
    </w:p>
    <w:p w:rsidR="00000000" w:rsidRDefault="00000000">
      <w:pPr>
        <w:pStyle w:val="std"/>
        <w:ind w:left="1701" w:right="1134"/>
        <w:rPr>
          <w:sz w:val="18"/>
        </w:rPr>
      </w:pPr>
      <w:r>
        <w:rPr>
          <w:color w:val="000000"/>
          <w:sz w:val="18"/>
        </w:rPr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  </w:r>
      <w:r>
        <w:rPr>
          <w:i/>
          <w:color w:val="000000"/>
          <w:sz w:val="18"/>
        </w:rPr>
        <w:t>в течение одной недели с момента выпуска этого документа</w:t>
      </w:r>
      <w:r>
        <w:rPr>
          <w:color w:val="000000"/>
          <w:sz w:val="18"/>
        </w:rPr>
        <w:t xml:space="preserve"> на имя начальника Секции редактирования официальных отчетов, комната </w:t>
      </w:r>
      <w:r>
        <w:rPr>
          <w:color w:val="000000"/>
          <w:sz w:val="18"/>
          <w:lang w:val="en-US"/>
        </w:rPr>
        <w:t>DC</w:t>
      </w:r>
      <w:r>
        <w:rPr>
          <w:color w:val="000000"/>
          <w:sz w:val="18"/>
        </w:rPr>
        <w:t>2-750 (</w:t>
      </w:r>
      <w:r>
        <w:rPr>
          <w:color w:val="000000"/>
          <w:sz w:val="18"/>
          <w:lang w:val="en-US"/>
        </w:rPr>
        <w:t>Chief</w:t>
      </w:r>
      <w:r>
        <w:rPr>
          <w:color w:val="000000"/>
          <w:sz w:val="18"/>
        </w:rPr>
        <w:t xml:space="preserve">, </w:t>
      </w:r>
      <w:r>
        <w:rPr>
          <w:color w:val="000000"/>
          <w:sz w:val="18"/>
          <w:lang w:val="en-US"/>
        </w:rPr>
        <w:t>Official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Records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Editing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Section</w:t>
      </w:r>
      <w:r>
        <w:rPr>
          <w:color w:val="000000"/>
          <w:sz w:val="18"/>
        </w:rPr>
        <w:t xml:space="preserve">, </w:t>
      </w:r>
      <w:r>
        <w:rPr>
          <w:color w:val="000000"/>
          <w:sz w:val="18"/>
          <w:lang w:val="en-US"/>
        </w:rPr>
        <w:t>room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DC</w:t>
      </w:r>
      <w:r>
        <w:rPr>
          <w:color w:val="000000"/>
          <w:sz w:val="18"/>
        </w:rPr>
        <w:t xml:space="preserve">2-750, 2 </w:t>
      </w:r>
      <w:r>
        <w:rPr>
          <w:color w:val="000000"/>
          <w:sz w:val="18"/>
          <w:lang w:val="en-US"/>
        </w:rPr>
        <w:t>United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Nations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Plaza</w:t>
      </w:r>
      <w:r>
        <w:rPr>
          <w:color w:val="000000"/>
          <w:sz w:val="18"/>
        </w:rPr>
        <w:t xml:space="preserve">). </w:t>
      </w:r>
    </w:p>
    <w:p w:rsidR="00000000" w:rsidRDefault="00000000">
      <w:pPr>
        <w:pStyle w:val="std"/>
        <w:ind w:left="1701" w:right="1134"/>
        <w:rPr>
          <w:sz w:val="18"/>
        </w:rPr>
      </w:pPr>
    </w:p>
    <w:p w:rsidR="00000000" w:rsidRDefault="00000000">
      <w:pPr>
        <w:pStyle w:val="BodyTextIndent"/>
        <w:spacing w:before="60"/>
        <w:ind w:right="1134"/>
      </w:pPr>
      <w:r>
        <w:rPr>
          <w:color w:val="000000"/>
        </w:rPr>
  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  </w:r>
    </w:p>
    <w:p w:rsidR="00000000" w:rsidRDefault="00000000">
      <w:pPr>
        <w:spacing w:before="240"/>
        <w:jc w:val="both"/>
        <w:rPr>
          <w:sz w:val="20"/>
          <w:lang w:val="en-US"/>
        </w:rPr>
      </w:pPr>
      <w:r>
        <w:rPr>
          <w:sz w:val="20"/>
        </w:rPr>
        <w:t>06-35</w:t>
      </w:r>
      <w:r>
        <w:rPr>
          <w:sz w:val="20"/>
          <w:lang w:val="en-US"/>
        </w:rPr>
        <w:t>401 (</w:t>
      </w:r>
      <w:r>
        <w:rPr>
          <w:sz w:val="20"/>
        </w:rPr>
        <w:t>R</w:t>
      </w:r>
      <w:r>
        <w:rPr>
          <w:sz w:val="20"/>
          <w:lang w:val="en-US"/>
        </w:rPr>
        <w:t>)</w:t>
      </w:r>
    </w:p>
    <w:p w:rsidR="00000000" w:rsidRDefault="00000000">
      <w:pPr>
        <w:jc w:val="both"/>
        <w:rPr>
          <w:rFonts w:ascii="Barcode 3 of 9 by request" w:hAnsi="Barcode 3 of 9 by request"/>
          <w:sz w:val="20"/>
          <w:lang w:val="en-US"/>
        </w:rPr>
      </w:pPr>
      <w:r>
        <w:rPr>
          <w:rFonts w:ascii="Barcode 3 of 9 by request" w:hAnsi="Barcode 3 of 9 by request"/>
          <w:sz w:val="20"/>
          <w:lang w:val="en-US"/>
        </w:rPr>
        <w:t>*0635401*</w:t>
      </w:r>
    </w:p>
    <w:p w:rsidR="00000000" w:rsidRDefault="00000000">
      <w:pPr>
        <w:spacing w:before="240"/>
        <w:jc w:val="both"/>
        <w:rPr>
          <w:i/>
          <w:sz w:val="20"/>
        </w:rPr>
        <w:sectPr w:rsidR="00000000">
          <w:headerReference w:type="even" r:id="rId8"/>
          <w:headerReference w:type="default" r:id="rId9"/>
          <w:pgSz w:w="12242" w:h="15842" w:code="1"/>
          <w:pgMar w:top="1134" w:right="1298" w:bottom="1134" w:left="1298" w:header="720" w:footer="720" w:gutter="0"/>
          <w:cols w:space="708"/>
          <w:docGrid w:linePitch="360"/>
        </w:sectPr>
      </w:pPr>
    </w:p>
    <w:p w:rsidR="00000000" w:rsidRDefault="00000000">
      <w:pPr>
        <w:jc w:val="both"/>
        <w:rPr>
          <w:sz w:val="20"/>
        </w:rPr>
      </w:pPr>
    </w:p>
    <w:p w:rsidR="00000000" w:rsidRDefault="00000000">
      <w:pPr>
        <w:spacing w:after="240"/>
        <w:rPr>
          <w:i/>
          <w:sz w:val="20"/>
        </w:rPr>
      </w:pPr>
      <w:r>
        <w:rPr>
          <w:i/>
          <w:sz w:val="20"/>
        </w:rPr>
        <w:t>В отсутствие г-жи Манало место Председателя занимает г-жа Бельмихуб-Зердани, заместитель Председателя.</w:t>
      </w:r>
    </w:p>
    <w:p w:rsidR="00000000" w:rsidRDefault="00000000">
      <w:pPr>
        <w:spacing w:after="240"/>
        <w:rPr>
          <w:i/>
          <w:sz w:val="20"/>
        </w:rPr>
      </w:pPr>
      <w:r>
        <w:rPr>
          <w:i/>
          <w:sz w:val="20"/>
        </w:rPr>
        <w:t>Заседание открывается в 15 ч. 05 м.</w:t>
      </w:r>
    </w:p>
    <w:p w:rsidR="00000000" w:rsidRDefault="00000000">
      <w:pPr>
        <w:spacing w:after="240"/>
        <w:rPr>
          <w:b/>
          <w:sz w:val="20"/>
        </w:rPr>
      </w:pPr>
      <w:r>
        <w:rPr>
          <w:b/>
          <w:sz w:val="20"/>
        </w:rPr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sz w:val="20"/>
        </w:rPr>
        <w:t>(</w:t>
      </w:r>
      <w:r>
        <w:rPr>
          <w:i/>
          <w:sz w:val="20"/>
        </w:rPr>
        <w:t>продолжение</w:t>
      </w:r>
      <w:r>
        <w:rPr>
          <w:sz w:val="20"/>
        </w:rPr>
        <w:t>)</w:t>
      </w:r>
    </w:p>
    <w:p w:rsidR="00000000" w:rsidRDefault="00000000">
      <w:pPr>
        <w:spacing w:after="240"/>
        <w:ind w:firstLine="709"/>
        <w:rPr>
          <w:sz w:val="20"/>
        </w:rPr>
      </w:pPr>
      <w:r>
        <w:rPr>
          <w:i/>
          <w:sz w:val="20"/>
        </w:rPr>
        <w:t xml:space="preserve">Сводный второй, третий, четвертый и пятый периодический доклад Малави </w:t>
      </w:r>
      <w:r>
        <w:rPr>
          <w:sz w:val="20"/>
        </w:rPr>
        <w:t>(</w:t>
      </w:r>
      <w:r>
        <w:rPr>
          <w:i/>
          <w:sz w:val="20"/>
        </w:rPr>
        <w:t>продолжение</w:t>
      </w:r>
      <w:r>
        <w:rPr>
          <w:sz w:val="20"/>
        </w:rPr>
        <w:t>) (CEDAW/C/MWI/2–5 и CEDAW/C/MWI/Q/5 и Add.1)</w:t>
      </w:r>
    </w:p>
    <w:p w:rsidR="00000000" w:rsidRDefault="00000000">
      <w:pPr>
        <w:keepNext/>
        <w:spacing w:after="240"/>
        <w:jc w:val="both"/>
        <w:rPr>
          <w:i/>
          <w:sz w:val="20"/>
        </w:rPr>
      </w:pPr>
      <w:r>
        <w:rPr>
          <w:i/>
          <w:sz w:val="20"/>
        </w:rPr>
        <w:t xml:space="preserve">Статьи 10–14 </w:t>
      </w:r>
      <w:r>
        <w:rPr>
          <w:sz w:val="20"/>
        </w:rPr>
        <w:t>(</w:t>
      </w:r>
      <w:r>
        <w:rPr>
          <w:i/>
          <w:sz w:val="20"/>
        </w:rPr>
        <w:t>продолжение</w:t>
      </w:r>
      <w:r>
        <w:rPr>
          <w:sz w:val="20"/>
        </w:rPr>
        <w:t>)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sz w:val="20"/>
        </w:rPr>
        <w:t>Г-жа Намасасу</w:t>
      </w:r>
      <w:r>
        <w:rPr>
          <w:sz w:val="20"/>
        </w:rPr>
        <w:t xml:space="preserve"> (Малави), отвечая на вопросы, поставленные на предыдущем заседании, говорит, что программа Малави в области охраны репродуктивного здоровья включает мероприятия по планированию размера семьи, проводимые в общинах и клиниках, охрану здоровья матери и новорожденного, оказание медицинской помощи после аборта, предупреждение инфекций, передаваемых половым путем, выявление раковых заболеваний и оказание медицинских услуг в сельских районах, включая использование мотоциклов для оказания неотложной помощи в отдаленных районах. Малави надеется к 2015 году сократить вдвое уровень материнской смертности.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Проводятся кампании по поощрению получения девочками образования, существуют школьные программы по вопросам здравоохранения, обеспечивающие информирование о репродуктивном здоровье, здоровье в целом и консультирование относительно выбора профессии, при этом особо подчеркивается важность завершения обучения. Информация об охране репродуктивного здоровья, по вопросам санитарии и по другим проблемам, связанным с охраной здоровья, распространяется прежде всего с помощью печатных и электронных СМИ и радиопередач.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В Малави имеется 446 больниц, где базовое медицинское обслуживание проводится бесплатно. Христианская ассоциация здравоохранения Малави (ХАЗМ) управляет несколькими частными больницами, доступными благодаря соглашению между правительством и ХАЗМ. В соответствии с данным соглашением правительство оплачивает лечение тех женщин, которым в противном случае лечение в этих больницах не доступно.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b/>
          <w:sz w:val="20"/>
        </w:rPr>
        <w:t>Г-жа Ньясулу</w:t>
      </w:r>
      <w:r>
        <w:rPr>
          <w:sz w:val="20"/>
        </w:rPr>
        <w:t xml:space="preserve"> (Малави) говорит, что результатом исследования, проведенного Комиссией Малави по правам человека, стали рекомендации об изменении политики, и часть из этих рекомендаций уже претворяется в жизнь. Выводы исследования также послужили основой для учебно-просветительских кампаний, направленных на повышение информированности о правах женщин в противовес негативным культурным стереотипам.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b/>
          <w:sz w:val="20"/>
        </w:rPr>
        <w:t>Г-н Силунгве</w:t>
      </w:r>
      <w:r>
        <w:rPr>
          <w:sz w:val="20"/>
        </w:rPr>
        <w:t xml:space="preserve"> (Малави) говорит, что Правовая комиссия, учрежденная для разработки статута о гендерном равенстве, опирается на рекомендации Комиссии по правам человека, направленные на устранение негативных социальных и культурных стереотипов.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Касаясь вопросов нищеты и неравенства в отношении доступа к земле, оратор говорит, что правительство изучает вопрос перераспределения земли, с тем чтобы решить проблему безземельных.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>
        <w:rPr>
          <w:b/>
          <w:sz w:val="20"/>
        </w:rPr>
        <w:t>Г-жа Мчиела</w:t>
      </w:r>
      <w:r>
        <w:rPr>
          <w:sz w:val="20"/>
        </w:rPr>
        <w:t xml:space="preserve"> (Малави) говорит, что новый Закон о земле предоставляет женщинам право на получение земли, в частности на севере страны, где ранее было невозможно. В рамках программы наделения землей женщинам также предоставляются участки земли. Кроме того, в соответствии с Меморандумом о стратегии смягчения проблемы нищеты были выделены средства на программу расширения экономических возможностей женщин, находящихся в неблагоприятном положении. В отношении проблемы неграмотности оратор говорит, что ряд программ по распространению грамотности осуществляются при финансовой поддержке правительства Малави, Африканского банка развития (АБР), Программы развития Организации Объединенных Наций (ПРООН), а также церковных организаций.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>
        <w:rPr>
          <w:b/>
          <w:sz w:val="20"/>
        </w:rPr>
        <w:t>Г-жа Чимзиму</w:t>
      </w:r>
      <w:r>
        <w:rPr>
          <w:sz w:val="20"/>
        </w:rPr>
        <w:t xml:space="preserve"> (Малави) говорит, что правительство принимает меры к снижению показателя отсева в школах, используя, в частности, программу школьного питания и программу оказания помощи родителям в приобретении продуктов питания для своих детей. Некоторые религиозные группы также обеспечивают основными продуктами питания тех, на чьем попечении находятся сироты. Как в сельских, так и в городских районах действительно начальное образование является бесплатным. В учебных заведениях, включая университеты, осуществляется ряд программ подготовки учителей и информационно-просветительских программ по проблеме ВИЧ/СПИДа, в области гендерных прав и прав человека.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>
        <w:rPr>
          <w:b/>
          <w:sz w:val="20"/>
        </w:rPr>
        <w:t>Г-жа Тан</w:t>
      </w:r>
      <w:r>
        <w:rPr>
          <w:sz w:val="20"/>
        </w:rPr>
        <w:t>, ссылаясь на ответы правительства на перечень тем и вопросов (CEDAW/C/MWI/Q/5/Add.1, пункт 16), спрашивает, была ли проведена какая-либо оценка воздействия национальной стратегии в отношении насилия на гендерной почве и будет ли эта стратегия осуществляться и после 2006 года.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Государство-участник должно предоставить более подробную информацию о новой системе наследования, которая заменит Закон о завещаниях и наследовании, и о наказании за присвоение собственности, а также дать пояснения относительно того, почему новая процедура в большей степени отвечает интересам пользователя.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</w:r>
      <w:r>
        <w:rPr>
          <w:b/>
          <w:sz w:val="20"/>
        </w:rPr>
        <w:t>Г-жа Тавариш да Силва</w:t>
      </w:r>
      <w:r>
        <w:rPr>
          <w:sz w:val="20"/>
        </w:rPr>
        <w:t xml:space="preserve"> выражает глубокую озабоченность по поводу пагубного воздействия существующих традиций и обычаев на здоровье женщин и их репродуктивные права, особенно в связи с возросшей незащищенностью женщин в отношении инфицирования ВИЧ половым путем. Принимая во внимание содержащееся в первоначальном докладе правительства утверждение, что подобные обычаи и практика постепенно уходят в прошлое, вызывает тревогу то, что эта проблема все еще не утратила своей актуальности. В этом отношении необходим проактивный подход, выходящий за рамки мероприятий образовательного характера и направленный на изменение поведения.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</w:r>
      <w:r>
        <w:rPr>
          <w:b/>
          <w:sz w:val="20"/>
        </w:rPr>
        <w:t>Г-жа Дайриам</w:t>
      </w:r>
      <w:r>
        <w:rPr>
          <w:sz w:val="20"/>
        </w:rPr>
        <w:t xml:space="preserve"> задает вопрос, намечается ли принятие мер для интеграции тесно взаимосвязанных вопросов сексуального и репродуктивного здоровья, упорядочения отношений между мужчинами и женщинами и распределения между ними обязанностей, права женщин распоряжаться своим телом и ВИЧ/СПИДа. Учитывая высокий уровень миграции квалифицированных медицинских сестер и трудности в плане обеспечения адекватного доступа к услугам в области сексуального и репродуктивного здоровья, особенно в сельских районах, государству-участнику следует указать, какие специальные предусмотренные бюджетом меры были приняты, для того чтобы удержать сестер и акушерок, и что было предложено, чтобы побудить их остаться и работать в сельских районах.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</w:r>
      <w:r>
        <w:rPr>
          <w:b/>
          <w:sz w:val="20"/>
        </w:rPr>
        <w:t>Г-жа Симмс</w:t>
      </w:r>
      <w:r>
        <w:rPr>
          <w:sz w:val="20"/>
        </w:rPr>
        <w:t xml:space="preserve"> задает вопрос, существуют ли планы в отношении программ специальных стипендий, открывающих девушкам и молодым женщинам возможности профессионально заниматься естественными науками и математикой. В этой связи интересно узнать, была ли когда-либо какая-либо молодая малавийская женщина номинирована на получение стипендии Родеса.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</w:r>
      <w:r>
        <w:rPr>
          <w:b/>
          <w:sz w:val="20"/>
        </w:rPr>
        <w:t>Г-жа Ньясулу</w:t>
      </w:r>
      <w:r>
        <w:rPr>
          <w:sz w:val="20"/>
        </w:rPr>
        <w:t xml:space="preserve"> (Малави) говорит, что традиционная вредоносная практика оказывает негативное воздействие на здоровье женщин, в частности в отношении передачи ВИЧ/СПИДа. Женщины часто отказываются идти в больницу без сопровождения мужчин. В попытке искоренить подобную практику правительство приступило к проведению информационно-разъяснительных кампаний среди племенных вождей. 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</w:r>
      <w:r>
        <w:rPr>
          <w:b/>
          <w:sz w:val="20"/>
        </w:rPr>
        <w:t>Г-жа Намасасу</w:t>
      </w:r>
      <w:r>
        <w:rPr>
          <w:sz w:val="20"/>
        </w:rPr>
        <w:t xml:space="preserve"> (Малави) говорит, что женщины могут контролировать деторождение благодаря планированию размера семьи и комплексному медицинскому обслуживанию и что бесплатные консультации и тестирование на ВИЧ/СПИД доступны для женщин, которые посещают больницы. Что касается наличия медицинского персонала в отдаленных районах, то правительство в настоящее время изучает пакет стимулирующих мер. Доноры также выделили значительную сумму на то, чтобы в отдаленных районах сохранился медицинский персонал.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</w:r>
      <w:r>
        <w:rPr>
          <w:b/>
          <w:sz w:val="20"/>
        </w:rPr>
        <w:t>Г-жа Чимзиму</w:t>
      </w:r>
      <w:r>
        <w:rPr>
          <w:sz w:val="20"/>
        </w:rPr>
        <w:t xml:space="preserve"> (Малави) говорит, что у нее нет каких-либо статистических данных относительно стипендии Родеса. Правительство предлагает различные программы предоставления стипендий, одна из которых предполагает присуждение 32 девочкам и 32 мальчикам, учащимся восьмого класса, стипендий для продолжения обучения в частной академии, специализирующейся на углубленном изучении математики и естественных наук. У правительства также есть программа спонсирования для девочек, находящихся в неблагоприятном положении, и специальный образовательный фонд для сирот.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</w:r>
      <w:r>
        <w:rPr>
          <w:b/>
          <w:sz w:val="20"/>
        </w:rPr>
        <w:t>Г-жа Мчиела</w:t>
      </w:r>
      <w:r>
        <w:rPr>
          <w:sz w:val="20"/>
        </w:rPr>
        <w:t xml:space="preserve"> (Малави) говорит, что оценка стратегии в отношении насилия на гендерной почве не проводилась.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</w:r>
      <w:r>
        <w:rPr>
          <w:b/>
          <w:sz w:val="20"/>
        </w:rPr>
        <w:t>Г-жа Дафтер</w:t>
      </w:r>
      <w:r>
        <w:rPr>
          <w:sz w:val="20"/>
        </w:rPr>
        <w:t xml:space="preserve"> (Малави) говорит, что новая система наследования под названием "Законопроект об имуществе умершего (завещание, наследование и защита)" уже представлена в парламент. В этом законопроекте особое значение придается наследованию здравствующим супругом и иждивенцами.</w:t>
      </w:r>
    </w:p>
    <w:p w:rsidR="00000000" w:rsidRDefault="00000000">
      <w:pPr>
        <w:keepNext/>
        <w:spacing w:after="240"/>
        <w:jc w:val="both"/>
        <w:rPr>
          <w:i/>
          <w:sz w:val="20"/>
        </w:rPr>
      </w:pPr>
      <w:r>
        <w:rPr>
          <w:i/>
          <w:sz w:val="20"/>
        </w:rPr>
        <w:t>Статьи 15 и 16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</w:r>
      <w:r>
        <w:rPr>
          <w:b/>
          <w:sz w:val="20"/>
        </w:rPr>
        <w:t>Г-жа Кокер-Аппиа</w:t>
      </w:r>
      <w:r>
        <w:rPr>
          <w:sz w:val="20"/>
        </w:rPr>
        <w:t xml:space="preserve"> говорит, что прежде хотелось бы получить ответ делегации на два вопроса по статье 4. Во-первых, оратор задает вопрос, внесены ли поправки в законопроект о гражданстве, и если внесены, то когда. Во-вторых, она интересуется, может ли малавийская женщина, вышедшая замуж за иностранца, передать свое гражданство детям.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>Что же касается статей 15 и 16, то оратор хотела бы получить разъяснение по пункту 15.4.3 доклада, в котором говорится, что, "согласно нормам обычного права, мужчины играют более важную роль в гражданском судопроизводстве, и поэтому женщинам в большинстве случаев приходится действовать через мужчин". Оратор спрашивает, могут ли женщины самостоятельно участвовать в гражданских делах и подразумевается ли под термином "мужчина" муж, отец или сын. Наконец, оратор хотела бы получить более полную информацию о месте обычного права в правовой системе Малави. Говоря более конкретно, оратор хотела бы знать, регулируются ли правовые вопросы исключительно нормами обычного права.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>Учитывая тот факт, что сделки, связанные с землевладением, и кредитные сделки женщинам оформлять нелегко в силу практически нулевой правовой грамотности, было бы целесообразно узнать, принимает ли правительство какие-либо меры для упрощения судопроизводства и реализации программ по распространению правовой грамотности среди женщин.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>Оратора радует, что в Малави приступили к изменению ряда дискриминационных законов, касающихся брака, прав собственности и наследования. Было бы интересно узнать, признаются ли в предлагаемом законопроекте о браке, разводе и семейных отношениях гражданские браки и обладает ли пара, живущая в гражданском браке, теми же правами, что и те, чей брак официально оформлен. Хотелось бы также знать, планирует ли правительство ознакомление общественности с содержанием данного законопроекта. Наконец, оратор спрашивает, дает ли регистрация браков по обычному праву какие-либо преимущества или права и принимаются ли какие-либо меры по поощрению регистрации.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</w:r>
      <w:r>
        <w:rPr>
          <w:b/>
          <w:sz w:val="20"/>
        </w:rPr>
        <w:t>Г-жа Банда</w:t>
      </w:r>
      <w:r>
        <w:rPr>
          <w:sz w:val="20"/>
        </w:rPr>
        <w:t xml:space="preserve"> (Малави), отвечая на вопросы в связи со статьей 4, говорит, что предлагаемые поправки к законопроекту о гражданстве предусматривают сохранение гражданства женщиной, вступившей в брак с иностранцем, и передачу гражданства своим детям, что сейчас не практикуется. Однако поправки еще не рассмотрены парламентом.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</w:r>
      <w:r>
        <w:rPr>
          <w:b/>
          <w:sz w:val="20"/>
        </w:rPr>
        <w:t>Г-н Силунгве</w:t>
      </w:r>
      <w:r>
        <w:rPr>
          <w:sz w:val="20"/>
        </w:rPr>
        <w:t xml:space="preserve"> (Малави) говорит, что в Конституции закреплены права женщин самостоятельно совершать юридические действия, и подчеркивает, что Конституция обладает приоритетом над обычным правом. Наконец, в законопроекте о браке, разводе и семейных отношениях признаются все виды брака и содержится требование об их обязательной регистрации.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25.</w:t>
      </w:r>
      <w:r>
        <w:rPr>
          <w:sz w:val="20"/>
        </w:rPr>
        <w:tab/>
      </w:r>
      <w:r>
        <w:rPr>
          <w:b/>
          <w:sz w:val="20"/>
        </w:rPr>
        <w:t>Г-жа Ньясулу</w:t>
      </w:r>
      <w:r>
        <w:rPr>
          <w:sz w:val="20"/>
        </w:rPr>
        <w:t xml:space="preserve"> (Малави) говорит, что правительство разработало законопроект о предотвращении насилия в семье, чтобы покончить с утверждением, что все происходящее в семье – это исключительно личное дело. Однако возникает вопрос о правовой грамотности. В связи с этим был создан Комитет по правам женщин и вопросам гендерного равенства, в состав которого входят Правовая комиссия и представители гражданского общества и цель которого – объяснить людям необходимость защиты от насилия в семье и узнать реакцию населения. Поскольку большинство женщин в Малави неграмотны, они действительно предпочитают, чтобы мужчины вели их дела; но вышеуказанный Комитет также стремится популяризировать ту идею, что женщины тем не менее могут и сами постоять за себя.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26.</w:t>
      </w:r>
      <w:r>
        <w:rPr>
          <w:sz w:val="20"/>
        </w:rPr>
        <w:tab/>
      </w:r>
      <w:r>
        <w:rPr>
          <w:b/>
          <w:sz w:val="20"/>
        </w:rPr>
        <w:t>Г-жа Бокпе-Гнакаджа</w:t>
      </w:r>
      <w:r>
        <w:rPr>
          <w:sz w:val="20"/>
        </w:rPr>
        <w:t xml:space="preserve"> говорит, что, поскольку в Малави Конституция всегда превалирует над противоречащими ей законами, неясно, как правительство сможет разрешить противоречие, о котором идет речь в докладе (CEDAW/C/MWI/2–5, пункт 16.3.2), когда относительно браков в детском возрасте именно Конституцией, а не законом, нарушаются международно признанные нормы.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27.</w:t>
      </w:r>
      <w:r>
        <w:rPr>
          <w:sz w:val="20"/>
        </w:rPr>
        <w:tab/>
      </w:r>
      <w:r>
        <w:rPr>
          <w:b/>
          <w:sz w:val="20"/>
        </w:rPr>
        <w:t>Г-жа Гаспар</w:t>
      </w:r>
      <w:r>
        <w:rPr>
          <w:sz w:val="20"/>
        </w:rPr>
        <w:t>, говоря о пяти видах брака, существующих в Малави, и о том, что при заключении некоторых из них ставятся, по общему признанию, дискриминационные условия (доклад, раздел 16.4), замечает, что выполнение статьи 16 Конвенции требует единообразия правового режима, регулирующего брак и развод. Оратор спрашивает, предполагается ли в новом законопроекте о браке, разводе и семейных отношениях установление в Малави единообразной системы, а если да, то будут ли его положения иметь обратную силу для существующих браков, предписывая, например, регистрацию браков по обычному праву.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28.</w:t>
      </w:r>
      <w:r>
        <w:rPr>
          <w:sz w:val="20"/>
        </w:rPr>
        <w:tab/>
      </w:r>
      <w:r>
        <w:rPr>
          <w:b/>
          <w:sz w:val="20"/>
        </w:rPr>
        <w:t>Г-жа Тан</w:t>
      </w:r>
      <w:r>
        <w:rPr>
          <w:sz w:val="20"/>
        </w:rPr>
        <w:t xml:space="preserve"> отмечает, что женщины и мужчины явно не обладают одинаковыми правами собственности в браке и что не существует закона, регулирующего этот вопрос. Ее интересует, будет ли Правовая комиссия заниматься вопросом прав собственности в плане устранения какой бы то ни было дискриминации, а также будут ли приниматься меры по защите прав вдов и детей, рожденных в браках по обычному праву.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29.</w:t>
      </w:r>
      <w:r>
        <w:rPr>
          <w:sz w:val="20"/>
        </w:rPr>
        <w:tab/>
      </w:r>
      <w:r>
        <w:rPr>
          <w:b/>
          <w:sz w:val="20"/>
        </w:rPr>
        <w:t>Г-н Силунгве</w:t>
      </w:r>
      <w:r>
        <w:rPr>
          <w:sz w:val="20"/>
        </w:rPr>
        <w:t xml:space="preserve"> (Малави) заверяет членов Комитета, что в процессе реформирования законодательства были решены все вопросы, вызвавшие у них обеспокоенность. Согласно новому закону о браке, запрещается полигамия и устанавливается минимальный возраст вступления в брак в 18 лет без ссылки на согласие родителей на заключение брака в более раннем возрасте. В процессе пересмотра Конституции будет устранено несоответствие между международным правом и разделом 22 Конституции, касающимся браков в детском возрасте.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30.</w:t>
      </w:r>
      <w:r>
        <w:rPr>
          <w:sz w:val="20"/>
        </w:rPr>
        <w:tab/>
      </w:r>
      <w:r>
        <w:rPr>
          <w:b/>
          <w:sz w:val="20"/>
        </w:rPr>
        <w:t>Г-жа Габр</w:t>
      </w:r>
      <w:r>
        <w:rPr>
          <w:sz w:val="20"/>
        </w:rPr>
        <w:t xml:space="preserve"> говорит, что многие правовые реформы и обсуждаемые изменения существуют пока лишь в виде законопроектов, и оратор хотела бы быть уверенной в том, что в скором времени они приобретут силу закона, получив одобрение парламента.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31.</w:t>
      </w:r>
      <w:r>
        <w:rPr>
          <w:sz w:val="20"/>
        </w:rPr>
        <w:tab/>
      </w:r>
      <w:r>
        <w:rPr>
          <w:b/>
          <w:sz w:val="20"/>
        </w:rPr>
        <w:t>Г-жа Банда</w:t>
      </w:r>
      <w:r>
        <w:rPr>
          <w:sz w:val="20"/>
        </w:rPr>
        <w:t xml:space="preserve"> (Малави) говорит, что как Закон о гражданстве с внесенными поправками, так и Законопроект о браке, разводе и семейных отношениях находится в настоящее время на рассмотрении в парламенте. Кроме того, в правительстве широко обсуждался вопрос о запрещении браков детей, и оратор уверена, что в Конституцию будут внесены поправки.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32.</w:t>
      </w:r>
      <w:r>
        <w:rPr>
          <w:sz w:val="20"/>
        </w:rPr>
        <w:tab/>
      </w:r>
      <w:r>
        <w:rPr>
          <w:b/>
          <w:sz w:val="20"/>
        </w:rPr>
        <w:t>Г-жа Бельмихуб-Зердани</w:t>
      </w:r>
      <w:r>
        <w:rPr>
          <w:sz w:val="20"/>
        </w:rPr>
        <w:t xml:space="preserve"> отмечает, что, как только Малави заявила о своем серьезном намерении снять оговорки к Конвенции, эта страна добилась существенного прогресса во многих областях. Оратор считает, что комментарии Комитета могут представлять интерес для правительства при пересмотре законодательства. Малави может, в случае необходимости, рассчитывать на профессиональную помощь всех членов Комитета. Общей целью должна быть универсальная ратификация Конвенции.</w:t>
      </w:r>
    </w:p>
    <w:p w:rsidR="00000000" w:rsidRDefault="00000000">
      <w:pPr>
        <w:spacing w:after="240"/>
        <w:jc w:val="both"/>
        <w:rPr>
          <w:sz w:val="20"/>
        </w:rPr>
      </w:pPr>
      <w:r>
        <w:rPr>
          <w:sz w:val="20"/>
        </w:rPr>
        <w:t>33.</w:t>
      </w:r>
      <w:r>
        <w:rPr>
          <w:sz w:val="20"/>
        </w:rPr>
        <w:tab/>
      </w:r>
      <w:r>
        <w:rPr>
          <w:b/>
          <w:sz w:val="20"/>
        </w:rPr>
        <w:t>Г-жа Банда</w:t>
      </w:r>
      <w:r>
        <w:rPr>
          <w:sz w:val="20"/>
        </w:rPr>
        <w:t xml:space="preserve"> (Малави) говорит, что члены делегации почерпнули очень много из диалога с Комитетом, и она понимает, что стране еще предстоит сделать очень многое. Процесс демократизации идет немногим более 10 лет, и люди лишь только начали ощущать свободу, особенно женщины. Несколько лет назад никто не мог бы даже представить, что в Малави женщина вскоре будет возглавлять комиссию по правам человека, а парламент будет рассматривать законопроект о насилии в семье. Комитету будут предоставлены тексты обсуждаемых законопроектов. В следующем докладе будет говориться уже о принятии этих крайне необходимых законов.</w:t>
      </w:r>
    </w:p>
    <w:p w:rsidR="00000000" w:rsidRDefault="00000000">
      <w:pPr>
        <w:tabs>
          <w:tab w:val="left" w:pos="720"/>
        </w:tabs>
        <w:spacing w:after="200"/>
        <w:jc w:val="both"/>
        <w:rPr>
          <w:i/>
          <w:sz w:val="20"/>
        </w:rPr>
      </w:pPr>
      <w:r>
        <w:rPr>
          <w:i/>
          <w:sz w:val="20"/>
        </w:rPr>
        <w:t>Заседание закрывается в 16 ч. 40 м.</w:t>
      </w:r>
    </w:p>
    <w:p w:rsidR="00000000" w:rsidRDefault="00000000">
      <w:pPr>
        <w:tabs>
          <w:tab w:val="left" w:pos="720"/>
        </w:tabs>
        <w:spacing w:after="200"/>
        <w:jc w:val="both"/>
        <w:rPr>
          <w:i/>
          <w:sz w:val="20"/>
        </w:rPr>
      </w:pPr>
    </w:p>
    <w:sectPr w:rsidR="00000000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907" w:right="1298" w:bottom="907" w:left="1298" w:header="1134" w:footer="1304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rPr>
          <w:rStyle w:val="CommentReference"/>
        </w:rPr>
        <w:annotationRef/>
      </w:r>
      <w:r>
        <w:t>&lt;&lt;ODS JOB NO&gt;&gt;N06</w:t>
      </w:r>
      <w:r>
        <w:rPr>
          <w:lang w:val="en-US"/>
        </w:rPr>
        <w:t>35401</w:t>
      </w:r>
      <w:r>
        <w:t>R&lt;&lt;ODS JOB NO&gt;&gt;</w:t>
      </w:r>
    </w:p>
    <w:p w:rsidR="00000000" w:rsidRDefault="00000000">
      <w:pPr>
        <w:pStyle w:val="CommentText"/>
      </w:pPr>
      <w:r>
        <w:t>&lt;&lt;ODS DOC SYMBOL1&gt;&gt;</w:t>
      </w:r>
      <w:r>
        <w:rPr>
          <w:lang w:val="en-US"/>
        </w:rPr>
        <w:t>CED</w:t>
      </w:r>
      <w:r>
        <w:t>A</w:t>
      </w:r>
      <w:r>
        <w:rPr>
          <w:lang w:val="en-US"/>
        </w:rPr>
        <w:t>W</w:t>
      </w:r>
      <w:r>
        <w:t>/C/SR.</w:t>
      </w:r>
      <w:r>
        <w:rPr>
          <w:lang w:val="en-US"/>
        </w:rPr>
        <w:t>728</w:t>
      </w:r>
      <w:r>
        <w:t>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/>
      <w:rPr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/>
      <w:jc w:val="right"/>
      <w:rPr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6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b/>
        <w:sz w:val="18"/>
        <w:lang w:val="en-US"/>
      </w:rPr>
      <w:t>CEDAW/C/SR.686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7"/>
      <w:gridCol w:w="218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652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tabs>
              <w:tab w:val="left" w:pos="1276"/>
            </w:tabs>
            <w:spacing w:after="120"/>
            <w:rPr>
              <w:sz w:val="28"/>
            </w:rPr>
          </w:pPr>
          <w:r>
            <w:rPr>
              <w:spacing w:val="-4"/>
              <w:w w:val="90"/>
              <w:sz w:val="22"/>
            </w:rPr>
            <w:tab/>
          </w:r>
          <w:r>
            <w:rPr>
              <w:spacing w:val="-4"/>
              <w:sz w:val="28"/>
            </w:rPr>
            <w:t>Организация Объединенных Наций</w:t>
          </w:r>
        </w:p>
      </w:tc>
      <w:tc>
        <w:tcPr>
          <w:tcW w:w="338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</w:t>
          </w:r>
          <w:r>
            <w:rPr>
              <w:position w:val="-4"/>
              <w:sz w:val="20"/>
            </w:rPr>
            <w:t>C/</w:t>
          </w:r>
          <w:r>
            <w:rPr>
              <w:position w:val="-4"/>
              <w:sz w:val="20"/>
              <w:lang w:val="en-US"/>
            </w:rPr>
            <w:t>SR.7</w:t>
          </w:r>
          <w:r>
            <w:rPr>
              <w:position w:val="-4"/>
              <w:sz w:val="20"/>
            </w:rPr>
            <w:t>28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542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  <w:lang w:val="ru-RU"/>
            </w:rPr>
          </w:pPr>
          <w:r>
            <w:rPr>
              <w:sz w:val="32"/>
              <w:lang w:val="ru-RU"/>
            </w:rPr>
            <w:t xml:space="preserve">Конвенция о ликвидации </w:t>
          </w:r>
          <w:r>
            <w:rPr>
              <w:sz w:val="32"/>
              <w:lang w:val="ru-RU"/>
            </w:rPr>
            <w:br/>
            <w:t xml:space="preserve">всех форм дискриминации </w:t>
          </w:r>
          <w:r>
            <w:rPr>
              <w:sz w:val="32"/>
              <w:lang w:val="ru-RU"/>
            </w:rPr>
            <w:br/>
            <w:t>в отношении женщин</w:t>
          </w:r>
        </w:p>
      </w:tc>
      <w:tc>
        <w:tcPr>
          <w:tcW w:w="245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Distr.: General</w:t>
          </w:r>
        </w:p>
        <w:p w:rsidR="00000000" w:rsidRDefault="00000000">
          <w:pPr>
            <w:pStyle w:val="FootnoteText"/>
            <w:rPr>
              <w:lang w:val="en-US"/>
            </w:rPr>
          </w:pPr>
          <w:r>
            <w:rPr>
              <w:lang w:val="en-US"/>
            </w:rPr>
            <w:t>1</w:t>
          </w:r>
          <w:r>
            <w:t xml:space="preserve">3 </w:t>
          </w:r>
          <w:r>
            <w:rPr>
              <w:lang w:val="en-US"/>
            </w:rPr>
            <w:t>June</w:t>
          </w:r>
          <w:r>
            <w:t xml:space="preserve"> 2006</w:t>
          </w:r>
        </w:p>
        <w:p w:rsidR="00000000" w:rsidRDefault="00000000">
          <w:pPr>
            <w:pStyle w:val="FootnoteText"/>
            <w:spacing w:before="120"/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000000" w:rsidRDefault="00000000">
          <w:pPr>
            <w:rPr>
              <w:lang w:val="en-US"/>
            </w:rPr>
          </w:pPr>
          <w:r>
            <w:rPr>
              <w:sz w:val="20"/>
              <w:lang w:val="en-US"/>
            </w:rPr>
            <w:t>Original: English</w:t>
          </w:r>
        </w:p>
      </w:tc>
    </w:tr>
  </w:tbl>
  <w:p w:rsidR="00000000" w:rsidRDefault="00000000">
    <w:pPr>
      <w:pStyle w:val="Header"/>
      <w:rPr>
        <w:sz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widowControl w:val="0"/>
      <w:pBdr>
        <w:bottom w:val="single" w:sz="4" w:space="3" w:color="auto"/>
      </w:pBdr>
      <w:spacing w:after="240"/>
    </w:pPr>
    <w:r>
      <w:rPr>
        <w:b/>
        <w:sz w:val="18"/>
        <w:lang w:val="en-US"/>
      </w:rPr>
      <w:t>CEDAW/C/SR.7</w:t>
    </w:r>
    <w:r>
      <w:rPr>
        <w:b/>
        <w:sz w:val="18"/>
      </w:rPr>
      <w:t>28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widowControl w:val="0"/>
      <w:pBdr>
        <w:bottom w:val="single" w:sz="4" w:space="3" w:color="auto"/>
      </w:pBdr>
      <w:spacing w:after="240"/>
      <w:jc w:val="right"/>
    </w:pPr>
    <w:r>
      <w:rPr>
        <w:b/>
        <w:sz w:val="18"/>
        <w:lang w:val="en-US"/>
      </w:rPr>
      <w:t>CEDAW/C/SR.7</w:t>
    </w:r>
    <w:r>
      <w:rPr>
        <w:b/>
        <w:sz w:val="18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FA"/>
    <w:multiLevelType w:val="hybridMultilevel"/>
    <w:tmpl w:val="CE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47DF"/>
    <w:multiLevelType w:val="hybridMultilevel"/>
    <w:tmpl w:val="1B863D36"/>
    <w:lvl w:ilvl="0">
      <w:start w:val="8"/>
      <w:numFmt w:val="decimal"/>
      <w:lvlText w:val="%1."/>
      <w:lvlJc w:val="left"/>
      <w:pPr>
        <w:tabs>
          <w:tab w:val="num" w:pos="1632"/>
        </w:tabs>
        <w:ind w:left="1632" w:hanging="1272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1487B"/>
    <w:multiLevelType w:val="multilevel"/>
    <w:tmpl w:val="CE4E135C"/>
    <w:lvl w:ilvl="0">
      <w:start w:val="1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C0BE4"/>
    <w:multiLevelType w:val="multilevel"/>
    <w:tmpl w:val="8EAA8194"/>
    <w:lvl w:ilvl="0">
      <w:start w:val="4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2323E"/>
    <w:multiLevelType w:val="multilevel"/>
    <w:tmpl w:val="7ACA0DB8"/>
    <w:lvl w:ilvl="0">
      <w:start w:val="28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135F6"/>
    <w:multiLevelType w:val="hybridMultilevel"/>
    <w:tmpl w:val="BE24EAD4"/>
    <w:lvl w:ilvl="0">
      <w:start w:val="8"/>
      <w:numFmt w:val="decimal"/>
      <w:lvlText w:val="%1."/>
      <w:lvlJc w:val="left"/>
      <w:pPr>
        <w:tabs>
          <w:tab w:val="num" w:pos="1632"/>
        </w:tabs>
        <w:ind w:left="1632" w:hanging="1272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98B"/>
    <w:multiLevelType w:val="multilevel"/>
    <w:tmpl w:val="811EEDFC"/>
    <w:lvl w:ilvl="0">
      <w:start w:val="49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676CF"/>
    <w:multiLevelType w:val="multilevel"/>
    <w:tmpl w:val="8E9C94B2"/>
    <w:lvl w:ilvl="0">
      <w:start w:val="40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B4EA7"/>
    <w:multiLevelType w:val="multilevel"/>
    <w:tmpl w:val="1EE0E6BE"/>
    <w:lvl w:ilvl="0">
      <w:start w:val="58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01005"/>
    <w:multiLevelType w:val="multilevel"/>
    <w:tmpl w:val="67C0A91E"/>
    <w:lvl w:ilvl="0">
      <w:start w:val="52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D419A"/>
    <w:multiLevelType w:val="multilevel"/>
    <w:tmpl w:val="EA824350"/>
    <w:lvl w:ilvl="0">
      <w:start w:val="9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E0DFA"/>
    <w:multiLevelType w:val="multilevel"/>
    <w:tmpl w:val="E24C2DD8"/>
    <w:lvl w:ilvl="0">
      <w:start w:val="22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645A6"/>
    <w:multiLevelType w:val="multilevel"/>
    <w:tmpl w:val="5D7E0296"/>
    <w:lvl w:ilvl="0">
      <w:start w:val="34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230E1"/>
    <w:multiLevelType w:val="hybridMultilevel"/>
    <w:tmpl w:val="EB9C6AA8"/>
    <w:lvl w:ilvl="0">
      <w:start w:val="8"/>
      <w:numFmt w:val="decimal"/>
      <w:lvlText w:val="%1."/>
      <w:lvlJc w:val="left"/>
      <w:pPr>
        <w:tabs>
          <w:tab w:val="num" w:pos="1632"/>
        </w:tabs>
        <w:ind w:left="1632" w:hanging="1272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20687"/>
    <w:multiLevelType w:val="multilevel"/>
    <w:tmpl w:val="335E02D2"/>
    <w:lvl w:ilvl="0">
      <w:start w:val="15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363F3"/>
    <w:multiLevelType w:val="multilevel"/>
    <w:tmpl w:val="71FEA570"/>
    <w:lvl w:ilvl="0">
      <w:start w:val="47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6127E"/>
    <w:multiLevelType w:val="multilevel"/>
    <w:tmpl w:val="4C467F24"/>
    <w:lvl w:ilvl="0">
      <w:start w:val="42"/>
      <w:numFmt w:val="decimal"/>
      <w:lvlText w:val="%1."/>
      <w:lvlJc w:val="left"/>
      <w:rPr>
        <w:rFonts w:ascii="Courier New" w:hAnsi="Courier New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oNotTrackMoves/>
  <w:defaultTabStop w:val="709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00"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semiHidden/>
    <w:pPr>
      <w:spacing w:before="120"/>
      <w:ind w:left="1701"/>
      <w:jc w:val="both"/>
    </w:pPr>
    <w:rPr>
      <w:sz w:val="18"/>
    </w:rPr>
  </w:style>
  <w:style w:type="paragraph" w:styleId="BodyText">
    <w:name w:val="Body Text"/>
    <w:basedOn w:val="Normal"/>
    <w:semiHidden/>
    <w:rPr>
      <w:w w:val="115"/>
      <w:sz w:val="20"/>
    </w:rPr>
  </w:style>
  <w:style w:type="paragraph" w:customStyle="1" w:styleId="std">
    <w:name w:val="std"/>
    <w:basedOn w:val="Normal"/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paragraph" w:customStyle="1" w:styleId="a">
    <w:name w:val="Текст выноски"/>
    <w:basedOn w:val="Normal"/>
    <w:semiHidden/>
    <w:rPr>
      <w:rFonts w:ascii="Tahoma" w:hAnsi="Tahoma" w:cs="Barcode 3 of 9 by request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  <w:pPr>
      <w:spacing w:line="240" w:lineRule="exact"/>
    </w:pPr>
    <w:rPr>
      <w:spacing w:val="4"/>
      <w:w w:val="103"/>
      <w:kern w:val="14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2379</Words>
  <Characters>13564</Characters>
  <Application>Microsoft Office Word</Application>
  <DocSecurity>4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дом</Company>
  <LinksUpToDate>false</LinksUpToDate>
  <CharactersWithSpaces>16657</CharactersWithSpaces>
  <SharedDoc>false</SharedDoc>
  <HLinks>
    <vt:vector size="6" baseType="variant">
      <vt:variant>
        <vt:i4>8257630</vt:i4>
      </vt:variant>
      <vt:variant>
        <vt:i4>34078</vt:i4>
      </vt:variant>
      <vt:variant>
        <vt:i4>1025</vt:i4>
      </vt:variant>
      <vt:variant>
        <vt:i4>1</vt:i4>
      </vt:variant>
      <vt:variant>
        <vt:lpwstr>_unlogo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Иванов</dc:creator>
  <cp:keywords/>
  <dc:description/>
  <cp:lastModifiedBy>DGAACS User</cp:lastModifiedBy>
  <cp:revision>5</cp:revision>
  <cp:lastPrinted>2006-08-23T08:01:00Z</cp:lastPrinted>
  <dcterms:created xsi:type="dcterms:W3CDTF">2006-08-23T07:59:00Z</dcterms:created>
  <dcterms:modified xsi:type="dcterms:W3CDTF">2006-08-23T08:21:00Z</dcterms:modified>
</cp:coreProperties>
</file>