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23° período de sesiones</w:t>
      </w:r>
    </w:p>
    <w:p w:rsidR="00000000" w:rsidRDefault="00000000">
      <w:pPr>
        <w:spacing w:line="240" w:lineRule="auto"/>
        <w:rPr>
          <w:sz w:val="12"/>
        </w:rPr>
      </w:pPr>
    </w:p>
    <w:p w:rsidR="00000000" w:rsidRDefault="00000000">
      <w:pPr>
        <w:pStyle w:val="H23"/>
      </w:pPr>
      <w:r>
        <w:t>Acta resumida de la 469ª sesión</w:t>
      </w:r>
    </w:p>
    <w:p w:rsidR="00000000" w:rsidRDefault="00000000">
      <w:r>
        <w:t>Celebrada en la Sede, Nueva York, el 14 de junio de 2000,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Presidente:</w:t>
      </w:r>
      <w:r>
        <w:tab/>
        <w:t>Sra. González</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en virtud del artículo 18 de la Convención (</w:t>
      </w:r>
      <w:r>
        <w:rPr>
          <w:i/>
        </w:rPr>
        <w:t>continuación</w:t>
      </w:r>
      <w:r>
        <w:t>)</w:t>
      </w:r>
    </w:p>
    <w:p w:rsidR="00000000" w:rsidRDefault="00000000">
      <w:pPr>
        <w:pStyle w:val="SingleTxt"/>
        <w:suppressAutoHyphens/>
        <w:jc w:val="left"/>
        <w:rPr>
          <w:i/>
        </w:rPr>
      </w:pPr>
      <w:r>
        <w:rPr>
          <w:i/>
        </w:rPr>
        <w:t>Segundo y tercer informes periódicos combinados del Iraq (continuación)</w:t>
      </w:r>
    </w:p>
    <w:p w:rsidR="00000000" w:rsidRDefault="00000000">
      <w:pPr>
        <w:pStyle w:val="SingleTxt"/>
        <w:suppressAutoHyphens/>
        <w:jc w:val="left"/>
        <w:rPr>
          <w:i/>
        </w:rPr>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DualTxt"/>
        <w:rPr>
          <w:i/>
          <w:lang w:val="es-MX"/>
        </w:rPr>
      </w:pPr>
      <w:r>
        <w:br w:type="page"/>
      </w:r>
      <w:r>
        <w:rPr>
          <w:i/>
          <w:lang w:val="es-MX"/>
        </w:rPr>
        <w:t>Se declara abierta la sesión a las 15.10 horas.</w:t>
      </w:r>
    </w:p>
    <w:p w:rsidR="00000000" w:rsidRDefault="00000000">
      <w:pPr>
        <w:pStyle w:val="DualTxt"/>
        <w:tabs>
          <w:tab w:val="clear" w:pos="480"/>
          <w:tab w:val="clear" w:pos="960"/>
          <w:tab w:val="right" w:pos="360"/>
          <w:tab w:val="left" w:pos="475"/>
          <w:tab w:val="left" w:pos="965"/>
          <w:tab w:val="left" w:pos="1440"/>
          <w:tab w:val="left" w:pos="1915"/>
          <w:tab w:val="left" w:pos="2405"/>
          <w:tab w:val="left" w:pos="2880"/>
          <w:tab w:val="left" w:pos="3355"/>
        </w:tabs>
        <w:rPr>
          <w:lang w:val="es-MX"/>
        </w:rPr>
      </w:pPr>
      <w:r>
        <w:rPr>
          <w:b/>
          <w:spacing w:val="2"/>
        </w:rPr>
        <w:t xml:space="preserve">Examen de los informes presentado por los Estados Partes en virtud del artículo 18 de la Convención </w:t>
      </w:r>
      <w:r>
        <w:rPr>
          <w:lang w:val="es-MX"/>
        </w:rPr>
        <w:t>(</w:t>
      </w:r>
      <w:r>
        <w:rPr>
          <w:i/>
          <w:lang w:val="es-MX"/>
        </w:rPr>
        <w:t>continuación</w:t>
      </w:r>
      <w:r>
        <w:rPr>
          <w:lang w:val="es-MX"/>
        </w:rPr>
        <w:t>)</w:t>
      </w:r>
    </w:p>
    <w:p w:rsidR="00000000" w:rsidRDefault="00000000">
      <w:pPr>
        <w:pStyle w:val="DualTxt"/>
        <w:rPr>
          <w:lang w:val="es-MX"/>
        </w:rPr>
      </w:pPr>
      <w:r>
        <w:rPr>
          <w:i/>
          <w:lang w:val="es-MX"/>
        </w:rPr>
        <w:tab/>
        <w:t>Segundo y tercer informes periódicos combinados del Iraq</w:t>
      </w:r>
      <w:r>
        <w:rPr>
          <w:lang w:val="es-MX"/>
        </w:rPr>
        <w:t xml:space="preserve"> (</w:t>
      </w:r>
      <w:r>
        <w:rPr>
          <w:i/>
          <w:lang w:val="es-MX"/>
        </w:rPr>
        <w:t>continuación</w:t>
      </w:r>
      <w:r>
        <w:rPr>
          <w:lang w:val="es-MX"/>
        </w:rPr>
        <w:t>) (CEDAW/C/IRQ/2-3, CEDAW/ PSWG/2000/II/CRP.2/Add.2 y CEDAW/PSWG/2000/ II/CRP.1/Add.3)</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lang w:val="es-MX"/>
        </w:rPr>
      </w:pPr>
      <w:r>
        <w:rPr>
          <w:lang w:val="es-MX"/>
        </w:rPr>
        <w:t>A invitación de la Presidenta, la Sra. Al-Azzawi y la Sra. Kammas (Iraq) se sientan a la mesa del Comité.</w:t>
      </w:r>
    </w:p>
    <w:p w:rsidR="00000000" w:rsidRDefault="00000000">
      <w:pPr>
        <w:pStyle w:val="DualTxt"/>
        <w:numPr>
          <w:ilvl w:val="0"/>
          <w:numId w:val="2"/>
        </w:numPr>
        <w:tabs>
          <w:tab w:val="clear" w:pos="960"/>
          <w:tab w:val="left" w:pos="475"/>
          <w:tab w:val="left" w:pos="965"/>
        </w:tabs>
        <w:rPr>
          <w:lang w:val="es-MX"/>
        </w:rPr>
      </w:pPr>
      <w:r>
        <w:rPr>
          <w:b/>
          <w:lang w:val="es-MX"/>
        </w:rPr>
        <w:t>La Sra. Al-Azzawi</w:t>
      </w:r>
      <w:r>
        <w:rPr>
          <w:lang w:val="es-MX"/>
        </w:rPr>
        <w:t xml:space="preserve"> (Iraq) continúa respondiendo a las preguntas de los miembros del Comité y dice que la Comisión de Derechos Humanos del Parlamento ir</w:t>
      </w:r>
      <w:r>
        <w:rPr>
          <w:lang w:val="es-MX"/>
        </w:rPr>
        <w:t>a</w:t>
      </w:r>
      <w:r>
        <w:rPr>
          <w:lang w:val="es-MX"/>
        </w:rPr>
        <w:t>quí se encarga de todas las cuestiones relacionadas con los derechos humanos, incluidos los de las mujeres. En respuesta a la Sra. Khan, quien  expresó preocupación por el goce efectivo de los derechos civiles y políticos de las mujeres en el Iraq, dice que el Estado Parte i</w:t>
      </w:r>
      <w:r>
        <w:rPr>
          <w:lang w:val="es-MX"/>
        </w:rPr>
        <w:t>n</w:t>
      </w:r>
      <w:r>
        <w:rPr>
          <w:lang w:val="es-MX"/>
        </w:rPr>
        <w:t>formó de la promulgación de tres nuevas leyes después de la presentación de su informe inicial: el artículo 11 de la ley 26/1995 de la asamblea nacional, la ley 55/1995 relativa a los consejos populares locales y la ley 13/1995 relativa a la reglamentación de referendos, que dispone la igualdad entre hombres y mujeres. En respuesta a otra pregunta, añade que 4.158.375 mujeres votaron en las elecciones de los consejos locales p</w:t>
      </w:r>
      <w:r>
        <w:rPr>
          <w:lang w:val="es-MX"/>
        </w:rPr>
        <w:t>o</w:t>
      </w:r>
      <w:r>
        <w:rPr>
          <w:lang w:val="es-MX"/>
        </w:rPr>
        <w:t>pulares y 146 mujeres fueron candidatas. Las mujeres representaron el 57% de los participantes en el proceso electoral, cifra que concuerda con las estadísticas del censo nacional.</w:t>
      </w:r>
    </w:p>
    <w:p w:rsidR="00000000" w:rsidRDefault="00000000">
      <w:pPr>
        <w:pStyle w:val="DualTxt"/>
        <w:numPr>
          <w:ilvl w:val="0"/>
          <w:numId w:val="2"/>
        </w:numPr>
        <w:tabs>
          <w:tab w:val="clear" w:pos="960"/>
          <w:tab w:val="left" w:pos="475"/>
          <w:tab w:val="left" w:pos="965"/>
        </w:tabs>
        <w:rPr>
          <w:lang w:val="es-MX"/>
        </w:rPr>
      </w:pPr>
      <w:r>
        <w:rPr>
          <w:lang w:val="es-MX"/>
        </w:rPr>
        <w:t>El programa “petróleo por alimentos” no basta para atender a las necesidades del pueblo en general y menos aún las de las mujeres y los niños en particular. Se trata de una solución transitoria, hasta tanto se l</w:t>
      </w:r>
      <w:r>
        <w:rPr>
          <w:lang w:val="es-MX"/>
        </w:rPr>
        <w:t>e</w:t>
      </w:r>
      <w:r>
        <w:rPr>
          <w:lang w:val="es-MX"/>
        </w:rPr>
        <w:t>vanten las sanciones, que sólo permite satisfacer las necesidades básicas de alimentos y medicamentos. Con todo, el Gobierno del Iraq está esforzándose al máximo para mejorar la condición de la mujer. En cuanto a la representación de las mujeres en los partidos políticos y su igualdad jurídica, desea asegurar a los miembros del Comité que, como ya indicó, la igualdad jurídica se ha establecido y la dirección del Partido Socialista B</w:t>
      </w:r>
      <w:r>
        <w:rPr>
          <w:lang w:val="es-MX"/>
        </w:rPr>
        <w:t>a</w:t>
      </w:r>
      <w:r>
        <w:rPr>
          <w:lang w:val="es-MX"/>
        </w:rPr>
        <w:t>ath Árabe ha aprobado cupos con miras a aumentar el número de mujeres y jóvenes en los altos cargos del partido. De hecho, el cupo aplicable a los jóvenes ta</w:t>
      </w:r>
      <w:r>
        <w:rPr>
          <w:lang w:val="es-MX"/>
        </w:rPr>
        <w:t>m</w:t>
      </w:r>
      <w:r>
        <w:rPr>
          <w:lang w:val="es-MX"/>
        </w:rPr>
        <w:t>bién favorece a las mujeres.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lang w:val="es-MX"/>
        </w:rPr>
      </w:pPr>
      <w:r>
        <w:rPr>
          <w:b/>
          <w:lang w:val="es-MX"/>
        </w:rPr>
        <w:t>La Sra. Manalo</w:t>
      </w:r>
      <w:r>
        <w:rPr>
          <w:lang w:val="es-MX"/>
        </w:rPr>
        <w:t xml:space="preserve"> dice que, pese a los obstáculos debidos a las sanciones, el Gobierno del Iraq tiene la obligación, como parte en la Convención, de hacer todo lo posible para aplicar sus disposiciones. Es sorpre</w:t>
      </w:r>
      <w:r>
        <w:rPr>
          <w:lang w:val="es-MX"/>
        </w:rPr>
        <w:t>n</w:t>
      </w:r>
      <w:r>
        <w:rPr>
          <w:lang w:val="es-MX"/>
        </w:rPr>
        <w:t>dente que el informe no mencione programas de pr</w:t>
      </w:r>
      <w:r>
        <w:rPr>
          <w:lang w:val="es-MX"/>
        </w:rPr>
        <w:t>o</w:t>
      </w:r>
      <w:r>
        <w:rPr>
          <w:lang w:val="es-MX"/>
        </w:rPr>
        <w:t>tección de la salud mental y sicológica de mujeres y niños, en particular teniendo en cuenta la situación de conflicto y crisis que existe en el país. Pregunta si hay estadísticas sobre la incidencia del síndrome de inmuno deficiencia adquirida (SIDA) y qué medidas ha tomado el Gobierno para luchar contra la difusión de la enfe</w:t>
      </w:r>
      <w:r>
        <w:rPr>
          <w:lang w:val="es-MX"/>
        </w:rPr>
        <w:t>r</w:t>
      </w:r>
      <w:r>
        <w:rPr>
          <w:lang w:val="es-MX"/>
        </w:rPr>
        <w:t>medad, y señala que el aumento de la prostitución suele traer aparejado un aumento del SIDA.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lang w:val="es-MX"/>
        </w:rPr>
      </w:pPr>
      <w:r>
        <w:rPr>
          <w:lang w:val="es-MX"/>
        </w:rPr>
        <w:t>Pregunta si la política de recompensar a las muj</w:t>
      </w:r>
      <w:r>
        <w:rPr>
          <w:lang w:val="es-MX"/>
        </w:rPr>
        <w:t>e</w:t>
      </w:r>
      <w:r>
        <w:rPr>
          <w:lang w:val="es-MX"/>
        </w:rPr>
        <w:t>res que tengan 10 hijos es sensata en momentos de cr</w:t>
      </w:r>
      <w:r>
        <w:rPr>
          <w:lang w:val="es-MX"/>
        </w:rPr>
        <w:t>i</w:t>
      </w:r>
      <w:r>
        <w:rPr>
          <w:lang w:val="es-MX"/>
        </w:rPr>
        <w:t>sis económica y social y está de acuerdo con la Sra. Khan en que el informe no describe las medidas ado</w:t>
      </w:r>
      <w:r>
        <w:rPr>
          <w:lang w:val="es-MX"/>
        </w:rPr>
        <w:t>p</w:t>
      </w:r>
      <w:r>
        <w:rPr>
          <w:lang w:val="es-MX"/>
        </w:rPr>
        <w:t>tadas por el Gobierno para resolver el problema de la violencia contra las mujeres. Concretamente, desea s</w:t>
      </w:r>
      <w:r>
        <w:rPr>
          <w:lang w:val="es-MX"/>
        </w:rPr>
        <w:t>a</w:t>
      </w:r>
      <w:r>
        <w:rPr>
          <w:lang w:val="es-MX"/>
        </w:rPr>
        <w:t>ber si la violencia contra las mujeres se ha tipificado como delito con arreglo a la legislación vigente y si las mujeres que denuncian incidentes de ese tipo a las a</w:t>
      </w:r>
      <w:r>
        <w:rPr>
          <w:lang w:val="es-MX"/>
        </w:rPr>
        <w:t>u</w:t>
      </w:r>
      <w:r>
        <w:rPr>
          <w:lang w:val="es-MX"/>
        </w:rPr>
        <w:t>toridades reciben protección. Agradecería estadísticas sobre todo aumento o reducción de la violencia contra las mujeres e información sobre los programas para rehabilitar a las víctimas, las medidas para prevenir la violencia y el tratamiento que se da a las víctimas y los autores del delito con arreglo a la ley. También pr</w:t>
      </w:r>
      <w:r>
        <w:rPr>
          <w:lang w:val="es-MX"/>
        </w:rPr>
        <w:t>e</w:t>
      </w:r>
      <w:r>
        <w:rPr>
          <w:lang w:val="es-MX"/>
        </w:rPr>
        <w:t>gunta si se practica en el Iraq el homicidio por motivos de honor y, en caso afirmativo, qué medidas se están tomando para tipificarlo como delito o eliminarlo. S</w:t>
      </w:r>
      <w:r>
        <w:rPr>
          <w:lang w:val="es-MX"/>
        </w:rPr>
        <w:t>e</w:t>
      </w:r>
      <w:r>
        <w:rPr>
          <w:lang w:val="es-MX"/>
        </w:rPr>
        <w:t>ría útil contar con una descripción de las medidas adoptadas para cambiar la condición de la mujer en la sociedad, incluidas las campañas y leyes encaminadas a eliminar est</w:t>
      </w:r>
      <w:r>
        <w:rPr>
          <w:lang w:val="es-MX"/>
        </w:rPr>
        <w:t>e</w:t>
      </w:r>
      <w:r>
        <w:rPr>
          <w:lang w:val="es-MX"/>
        </w:rPr>
        <w:t>reotipos.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lang w:val="es-MX"/>
        </w:rPr>
      </w:pPr>
      <w:r>
        <w:rPr>
          <w:lang w:val="es-MX"/>
        </w:rPr>
        <w:t>Por último, se refiere a un estudio del Fondo de las Naciones Unidas para la Infancia (UNICEF) en el que se establece una relación entre las tasas altas de mortalidad infantil y la falta de educación de las m</w:t>
      </w:r>
      <w:r>
        <w:rPr>
          <w:lang w:val="es-MX"/>
        </w:rPr>
        <w:t>a</w:t>
      </w:r>
      <w:r>
        <w:rPr>
          <w:lang w:val="es-MX"/>
        </w:rPr>
        <w:t>dres, y pregunta qué medidas concretas se han tomado para asignar prioridad a la educación de las mujeres y los niños y erradicar el analfabetismo. Sería útil con</w:t>
      </w:r>
      <w:r>
        <w:rPr>
          <w:lang w:val="es-MX"/>
        </w:rPr>
        <w:t>o</w:t>
      </w:r>
      <w:r>
        <w:rPr>
          <w:lang w:val="es-MX"/>
        </w:rPr>
        <w:t>cer los métodos que se utilizan para evaluar los resu</w:t>
      </w:r>
      <w:r>
        <w:rPr>
          <w:lang w:val="es-MX"/>
        </w:rPr>
        <w:t>l</w:t>
      </w:r>
      <w:r>
        <w:rPr>
          <w:lang w:val="es-MX"/>
        </w:rPr>
        <w:t>tados de los programas de alfabetización.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lang w:val="es-MX"/>
        </w:rPr>
      </w:pPr>
      <w:r>
        <w:rPr>
          <w:b/>
          <w:lang w:val="es-MX"/>
        </w:rPr>
        <w:t xml:space="preserve">La Sra. Ouedraogo </w:t>
      </w:r>
      <w:r>
        <w:rPr>
          <w:lang w:val="es-MX"/>
        </w:rPr>
        <w:t>pregunta cuál es el contenido de la estrategia nacional para el adelanto de las mujeres iraquíes. Sería útil evaluar el grado de éxito de los pr</w:t>
      </w:r>
      <w:r>
        <w:rPr>
          <w:lang w:val="es-MX"/>
        </w:rPr>
        <w:t>o</w:t>
      </w:r>
      <w:r>
        <w:rPr>
          <w:lang w:val="es-MX"/>
        </w:rPr>
        <w:t>gramas que se aplican en el marco de la estrategia. D</w:t>
      </w:r>
      <w:r>
        <w:rPr>
          <w:lang w:val="es-MX"/>
        </w:rPr>
        <w:t>e</w:t>
      </w:r>
      <w:r>
        <w:rPr>
          <w:lang w:val="es-MX"/>
        </w:rPr>
        <w:t>sea conocer la situación política del Comité Nacional para el Adelanto de las Mujeres Iraquíes y la cuantía de recursos que se le asigna. Dado que las respuestas del Estado Parte a la lista de preguntas no existe en fra</w:t>
      </w:r>
      <w:r>
        <w:rPr>
          <w:lang w:val="es-MX"/>
        </w:rPr>
        <w:t>n</w:t>
      </w:r>
      <w:r>
        <w:rPr>
          <w:lang w:val="es-MX"/>
        </w:rPr>
        <w:t>cés, no sabe si incluye una evaluación de la labor del Comité, fundamental para redefinir metas, cuando pr</w:t>
      </w:r>
      <w:r>
        <w:rPr>
          <w:lang w:val="es-MX"/>
        </w:rPr>
        <w:t>o</w:t>
      </w:r>
      <w:r>
        <w:rPr>
          <w:lang w:val="es-MX"/>
        </w:rPr>
        <w:t>ceda, en esa etapa del proceso de presentación de i</w:t>
      </w:r>
      <w:r>
        <w:rPr>
          <w:lang w:val="es-MX"/>
        </w:rPr>
        <w:t>n</w:t>
      </w:r>
      <w:r>
        <w:rPr>
          <w:lang w:val="es-MX"/>
        </w:rPr>
        <w:t>formes del Iraq.</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lang w:val="es-MX"/>
        </w:rPr>
      </w:pPr>
      <w:r>
        <w:rPr>
          <w:lang w:val="es-MX"/>
        </w:rPr>
        <w:t>En relación con el artículo 5, señala que el info</w:t>
      </w:r>
      <w:r>
        <w:rPr>
          <w:lang w:val="es-MX"/>
        </w:rPr>
        <w:t>r</w:t>
      </w:r>
      <w:r>
        <w:rPr>
          <w:lang w:val="es-MX"/>
        </w:rPr>
        <w:t>me no contiene información sobre la violencia contra las mujeres, la práctica de matrimonios forzosos o te</w:t>
      </w:r>
      <w:r>
        <w:rPr>
          <w:lang w:val="es-MX"/>
        </w:rPr>
        <w:t>m</w:t>
      </w:r>
      <w:r>
        <w:rPr>
          <w:lang w:val="es-MX"/>
        </w:rPr>
        <w:t>pranos ni las medidas adoptadas para eliminar estere</w:t>
      </w:r>
      <w:r>
        <w:rPr>
          <w:lang w:val="es-MX"/>
        </w:rPr>
        <w:t>o</w:t>
      </w:r>
      <w:r>
        <w:rPr>
          <w:lang w:val="es-MX"/>
        </w:rPr>
        <w:t>tipos en una sociedad patriarcal. Señala además que el papel de la mujer en la familia tiene mayor importancia que su participación en la vida política. El informe te</w:t>
      </w:r>
      <w:r>
        <w:rPr>
          <w:lang w:val="es-MX"/>
        </w:rPr>
        <w:t>n</w:t>
      </w:r>
      <w:r>
        <w:rPr>
          <w:lang w:val="es-MX"/>
        </w:rPr>
        <w:t>dría que hacer mayor hincapié en la situación de las mujeres de las zonas rurales que son víctimas de una doble discriminación, pues además de quedar a la zaga en lo que respecta a la atención sanitaria y la educ</w:t>
      </w:r>
      <w:r>
        <w:rPr>
          <w:lang w:val="es-MX"/>
        </w:rPr>
        <w:t>a</w:t>
      </w:r>
      <w:r>
        <w:rPr>
          <w:lang w:val="es-MX"/>
        </w:rPr>
        <w:t>ción, la tradición tiene mayor influencia en sus vidas que en la de las mujeres de las zonas urbanas. Desearía que se presentara información sobre la capacitación técnica que reciben las mujeres de las zonas rurales.</w:t>
      </w:r>
    </w:p>
    <w:p w:rsidR="00000000" w:rsidRDefault="00000000">
      <w:pPr>
        <w:pStyle w:val="DualTxt"/>
        <w:numPr>
          <w:ilvl w:val="0"/>
          <w:numId w:val="2"/>
        </w:numPr>
        <w:tabs>
          <w:tab w:val="clear" w:pos="960"/>
          <w:tab w:val="left" w:pos="475"/>
          <w:tab w:val="left" w:pos="965"/>
        </w:tabs>
        <w:rPr>
          <w:lang w:val="es-MX"/>
        </w:rPr>
      </w:pPr>
      <w:r>
        <w:rPr>
          <w:b/>
          <w:lang w:val="es-MX"/>
        </w:rPr>
        <w:t xml:space="preserve">La Sra. Abaka </w:t>
      </w:r>
      <w:r>
        <w:rPr>
          <w:lang w:val="es-MX"/>
        </w:rPr>
        <w:t>señala el gran número de pers</w:t>
      </w:r>
      <w:r>
        <w:rPr>
          <w:lang w:val="es-MX"/>
        </w:rPr>
        <w:t>o</w:t>
      </w:r>
      <w:r>
        <w:rPr>
          <w:lang w:val="es-MX"/>
        </w:rPr>
        <w:t>nas desplazadas internamente que agravan los probl</w:t>
      </w:r>
      <w:r>
        <w:rPr>
          <w:lang w:val="es-MX"/>
        </w:rPr>
        <w:t>e</w:t>
      </w:r>
      <w:r>
        <w:rPr>
          <w:lang w:val="es-MX"/>
        </w:rPr>
        <w:t>mas que el régimen de sanciones causa al Iraq, y hace un llamamiento al Gobierno para que haga todo lo p</w:t>
      </w:r>
      <w:r>
        <w:rPr>
          <w:lang w:val="es-MX"/>
        </w:rPr>
        <w:t>o</w:t>
      </w:r>
      <w:r>
        <w:rPr>
          <w:lang w:val="es-MX"/>
        </w:rPr>
        <w:t>sible por eliminar el conflicto étnico y la intolerancia. También tiene la impresión de que, en la actual situ</w:t>
      </w:r>
      <w:r>
        <w:rPr>
          <w:lang w:val="es-MX"/>
        </w:rPr>
        <w:t>a</w:t>
      </w:r>
      <w:r>
        <w:rPr>
          <w:lang w:val="es-MX"/>
        </w:rPr>
        <w:t>ción económica y política, están resurgiendo algunas tradiciones discriminatorias contra la mujer.</w:t>
      </w:r>
    </w:p>
    <w:p w:rsidR="00000000" w:rsidRDefault="00000000">
      <w:pPr>
        <w:pStyle w:val="DualTxt"/>
        <w:numPr>
          <w:ilvl w:val="0"/>
          <w:numId w:val="2"/>
        </w:numPr>
        <w:tabs>
          <w:tab w:val="clear" w:pos="960"/>
          <w:tab w:val="left" w:pos="475"/>
          <w:tab w:val="left" w:pos="965"/>
        </w:tabs>
        <w:rPr>
          <w:lang w:val="es-MX"/>
        </w:rPr>
      </w:pPr>
      <w:r>
        <w:rPr>
          <w:lang w:val="es-MX"/>
        </w:rPr>
        <w:t>Al tiempo que encomia al Estado Parte por su l</w:t>
      </w:r>
      <w:r>
        <w:rPr>
          <w:lang w:val="es-MX"/>
        </w:rPr>
        <w:t>e</w:t>
      </w:r>
      <w:r>
        <w:rPr>
          <w:lang w:val="es-MX"/>
        </w:rPr>
        <w:t>gislación para proteger a las mujeres de la explotación y el acoso en el trabajo, destaca que, con arreglo a la Convención, está obligado a velar por que las mujeres que trabajan en el sector privado y en el sector público tengan licencia por maternidad. Por último, espera que el Gobierno aliente la lactancia materna, que es una forma poco costosa de mejorar la nutrición de los niños mientras siga en vigencia el régimen de sanciones.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Feng Cui</w:t>
      </w:r>
      <w:r>
        <w:t xml:space="preserve"> encomia la labor que realiza la Federación General de Mujeres Iraquíes para hacer frente a la situación de las mujeres durante la aplic</w:t>
      </w:r>
      <w:r>
        <w:t>a</w:t>
      </w:r>
      <w:r>
        <w:t>ción del régimen de sanciones y pregunta por qué el i</w:t>
      </w:r>
      <w:r>
        <w:t>n</w:t>
      </w:r>
      <w:r>
        <w:t>forme no menciona las medidas concretas que ha t</w:t>
      </w:r>
      <w:r>
        <w:t>o</w:t>
      </w:r>
      <w:r>
        <w:t xml:space="preserve">mado el Gobierno para proteger a las mujeres en esas </w:t>
      </w:r>
      <w:r>
        <w:br/>
      </w:r>
    </w:p>
    <w:p w:rsidR="00000000" w:rsidRDefault="00000000">
      <w:pPr>
        <w:pStyle w:val="DualTxt"/>
      </w:pPr>
      <w:r>
        <w:br w:type="column"/>
        <w:t>circunstancias, en particular a las mujeres de las zonas rurales, por ejemplo, mediante iniciativas de microcr</w:t>
      </w:r>
      <w:r>
        <w:t>é</w:t>
      </w:r>
      <w:r>
        <w:t>dito y alivio de la pobreza.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Al-Azzawi</w:t>
      </w:r>
      <w:r>
        <w:t xml:space="preserve"> (Iraq) agradece a la Sra. F</w:t>
      </w:r>
      <w:r>
        <w:t>e</w:t>
      </w:r>
      <w:r>
        <w:t>rrer y a la Sra. Corti las observaciones que formularon en la sesión anterior en relación con los sufrimientos y dificultades del Iraq, que tienen repercusiones consid</w:t>
      </w:r>
      <w:r>
        <w:t>e</w:t>
      </w:r>
      <w:r>
        <w:t>rables en la capacidad del Gobierno para aplicar la Convención, pese a la firme voluntad política de mej</w:t>
      </w:r>
      <w:r>
        <w:t>o</w:t>
      </w:r>
      <w:r>
        <w:t>rar la condición jurídica y social de la mujer. Ya ha respondido a las preguntas relativas a las reservas fo</w:t>
      </w:r>
      <w:r>
        <w:t>r</w:t>
      </w:r>
      <w:r>
        <w:t>muladas por el Gobierno del Iraq respecto de la Co</w:t>
      </w:r>
      <w:r>
        <w:t>n</w:t>
      </w:r>
      <w:r>
        <w:t>vención; en cuanto a los cambios en materia de est</w:t>
      </w:r>
      <w:r>
        <w:t>e</w:t>
      </w:r>
      <w:r>
        <w:t>reotipos sociales, la información se incluirá en el s</w:t>
      </w:r>
      <w:r>
        <w:t>i</w:t>
      </w:r>
      <w:r>
        <w:t>guiente informe periódico. Las estadísticas sobre la e</w:t>
      </w:r>
      <w:r>
        <w:t>n</w:t>
      </w:r>
      <w:r>
        <w:t>señanza de las niñas se incluyeron en el informe ant</w:t>
      </w:r>
      <w:r>
        <w:t>e</w:t>
      </w:r>
      <w:r>
        <w:t>rior, y los datos relativos a la reducción de la matric</w:t>
      </w:r>
      <w:r>
        <w:t>u</w:t>
      </w:r>
      <w:r>
        <w:t>lación de las niñas en los cursos de capacitación prof</w:t>
      </w:r>
      <w:r>
        <w:t>e</w:t>
      </w:r>
      <w:r>
        <w:t>sional figuran en el anexo a las respuestas presentadas por escrito por su delegación.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Respecto de las preguntas formuladas en la sesión en curso, concretamente los problemas de salud mental y psicológicos de las mujeres, dice que el Gobierno del Iraq ha tomado medidas y ha creado programas práct</w:t>
      </w:r>
      <w:r>
        <w:t>i</w:t>
      </w:r>
      <w:r>
        <w:t>cos y viables en las circunstancias que vive el país, p</w:t>
      </w:r>
      <w:r>
        <w:t>e</w:t>
      </w:r>
      <w:r>
        <w:t>ro que el tratamiento requeriría recursos adicionales con los que no se cuenta. La prostitución no está difu</w:t>
      </w:r>
      <w:r>
        <w:t>n</w:t>
      </w:r>
      <w:r>
        <w:t>dida como se ha sugerido; y en lo que respecta al VIH/SIDA, el Iraq no es víctima de ese flagelo. La p</w:t>
      </w:r>
      <w:r>
        <w:t>o</w:t>
      </w:r>
      <w:r>
        <w:t>lítica de alentar a las mujeres a tener numerosos hijos se aplicó solamente durante un período limitado a raíz del conflicto armado con la República Islámica del Irán; las repercusiones económicas y sociales del e</w:t>
      </w:r>
      <w:r>
        <w:t>m</w:t>
      </w:r>
      <w:r>
        <w:t>bargo llevaron al G</w:t>
      </w:r>
      <w:r>
        <w:t>o</w:t>
      </w:r>
      <w:r>
        <w:t>bierno a ponerle fin.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cuanto a la violencia contra las mujeres, es cierto que el informe no examina el problema, pero las respuestas presentadas por escrito a las preguntas de las expertas sobre las disposiciones jurídicas en esa esfera tratan la cuestión en forma concreta y precisa. Se han tomado otras medidas en esa esfera, que se describirán en el siguiente informe. La delegación del Iraq ya ha confirmado que hay leyes en vigor que protegen a las mujeres víctimas de violencia, y lo explicó detallad</w:t>
      </w:r>
      <w:r>
        <w:t>a</w:t>
      </w:r>
      <w:r>
        <w:t>mente en las respuestas presentadas por escrito. En cuanto al homicidio por motivos de honor, confirma que se p</w:t>
      </w:r>
      <w:r>
        <w:t>e</w:t>
      </w:r>
      <w:r>
        <w:t>naliza.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br w:type="page"/>
        <w:t>Es cierto que hay una relación entre la tasa de mortalidad infantil y el nivel de educación de las m</w:t>
      </w:r>
      <w:r>
        <w:t>a</w:t>
      </w:r>
      <w:r>
        <w:t>dres, en particular en la actual situación de embargo y sanciones. Las estadísticas correspondientes se incluy</w:t>
      </w:r>
      <w:r>
        <w:t>e</w:t>
      </w:r>
      <w:r>
        <w:t>ron en el informe y en las respuestas presentados por escrito.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oradora conviene con la Sra. Ouedraogo en que si se hubieran traducido al francés las respuestas presentadas por escrito, tendría la información que d</w:t>
      </w:r>
      <w:r>
        <w:t>e</w:t>
      </w:r>
      <w:r>
        <w:t>sea. El informe ya incorpora información detallada s</w:t>
      </w:r>
      <w:r>
        <w:t>o</w:t>
      </w:r>
      <w:r>
        <w:t>bre el Comité Nacional de Alto Nivel para el Adelanto de las Mujeres Iraquíes, pero el Gobierno del Iraq pr</w:t>
      </w:r>
      <w:r>
        <w:t>o</w:t>
      </w:r>
      <w:r>
        <w:t>porcionará en breve, a través de su Misión Permanente ante las Naciones Unidas, información adicional sobre ese tema y sobre la estrategia nacional para el adelanto de la mujer.</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Aunque el embargo tiene efectos negativos para la sociedad iraquí, también ha producido algunos efectos positivos: las necesidades materiales y financi</w:t>
      </w:r>
      <w:r>
        <w:t>e</w:t>
      </w:r>
      <w:r>
        <w:t>ras han llevado a muchas mujeres a buscar trabajo, lo que a su vez les ha dado independencia financiera y las ha ayudado a desarrollar su personalidad y autonomía. Se han hecho considerables esfuerzos para satisfacer las consiguientes necesidades de educación y capacit</w:t>
      </w:r>
      <w:r>
        <w:t>a</w:t>
      </w:r>
      <w:r>
        <w:t>ción de las mujeres. En cuanto a las mujeres de las z</w:t>
      </w:r>
      <w:r>
        <w:t>o</w:t>
      </w:r>
      <w:r>
        <w:t>nas rurales, es evidente que tienen necesidades co</w:t>
      </w:r>
      <w:r>
        <w:t>n</w:t>
      </w:r>
      <w:r>
        <w:t>cretas, y el Gobierno está cooperando con organizaci</w:t>
      </w:r>
      <w:r>
        <w:t>o</w:t>
      </w:r>
      <w:r>
        <w:t>nes no gubernamentales y la sociedad civil para pre</w:t>
      </w:r>
      <w:r>
        <w:t>s</w:t>
      </w:r>
      <w:r>
        <w:t>tarles la atención y los servicios necesarios, a saber, capacitación y educación, orientación en cuestiones s</w:t>
      </w:r>
      <w:r>
        <w:t>a</w:t>
      </w:r>
      <w:r>
        <w:t>nitarias y desarrollo cultural. Unas 1.000 mujeres prestan asistencia voluntaria a las mujeres rurales para resolver los problemas que tengan.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el Iraq no hay conflictos étnicos. El único p</w:t>
      </w:r>
      <w:r>
        <w:t>o</w:t>
      </w:r>
      <w:r>
        <w:t>sible obstáculo para la aplicación de la Convención y el proceso de paz en el Iraq es la intervención extranjera, la hegemonía de las grandes Potencias y la manipul</w:t>
      </w:r>
      <w:r>
        <w:t>a</w:t>
      </w:r>
      <w:r>
        <w:t>ción de las resoluciones del Consejo de Seguridad. El Iraq siempre ha deseado la paz. Las actuales circun</w:t>
      </w:r>
      <w:r>
        <w:t>s</w:t>
      </w:r>
      <w:r>
        <w:t>tancias extraordinarias han producido sin duda efectos adversos en la esfera de los derechos humanos, creando múltiples obstáculos para el progreso del país en ese ámbito. La delegación del Iraq espera que las organiz</w:t>
      </w:r>
      <w:r>
        <w:t>a</w:t>
      </w:r>
      <w:r>
        <w:t>ciones internacionales pongan de manifiesto su solid</w:t>
      </w:r>
      <w:r>
        <w:t>a</w:t>
      </w:r>
      <w:r>
        <w:t>ridad con el Iraq y ejerzan presión para que se levante el embargo, a fin de que tanto los hombres como las mujeres iraquíes puedan gozar de los derechos garant</w:t>
      </w:r>
      <w:r>
        <w:t>i</w:t>
      </w:r>
      <w:r>
        <w:t>zados inte</w:t>
      </w:r>
      <w:r>
        <w:t>r</w:t>
      </w:r>
      <w:r>
        <w:t>nacionalmente.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cuanto a la discrepancia en las disposiciones relativas a la licencia por maternidad en los sectores público y privado, el Gobierno del Iraq estaba por c</w:t>
      </w:r>
      <w:r>
        <w:t>o</w:t>
      </w:r>
      <w:r>
        <w:t>rregir la situación cuando comenzó la crisis. Dadas las extremas dificultades económicas del Iraq, resultaría muy difícil obligar al sector privado a conceder lice</w:t>
      </w:r>
      <w:r>
        <w:t>n</w:t>
      </w:r>
      <w:r>
        <w:t>cia por maternidad y si se lo hiciera, las pequeñas e</w:t>
      </w:r>
      <w:r>
        <w:t>m</w:t>
      </w:r>
      <w:r>
        <w:t>presas no emplearían a las mujeres. Debido a los efe</w:t>
      </w:r>
      <w:r>
        <w:t>c</w:t>
      </w:r>
      <w:r>
        <w:t>tos del embargo, es necesario aplazar toda medida al respecto; el Gobierno se vio obligado a asignar prior</w:t>
      </w:r>
      <w:r>
        <w:t>i</w:t>
      </w:r>
      <w:r>
        <w:t>dad a los alimentos y las medicinas. Se ha lanzado una campaña para fomentar la lactancia materna, coordin</w:t>
      </w:r>
      <w:r>
        <w:t>a</w:t>
      </w:r>
      <w:r>
        <w:t>da por el Ministerio de Salud y la Federación General de Mujeres Iraquíes. También hay proyectos de vac</w:t>
      </w:r>
      <w:r>
        <w:t>u</w:t>
      </w:r>
      <w:r>
        <w:t>nación y atención de la salud reproductiva, e</w:t>
      </w:r>
      <w:r>
        <w:t>n</w:t>
      </w:r>
      <w:r>
        <w:t>tre otros.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Agradece a la Sra. Feng Cui sus observaciones respecto de la necesidad de levantar las sanciones para mejorar el goce de sus derechos por las mujeres ir</w:t>
      </w:r>
      <w:r>
        <w:t>a</w:t>
      </w:r>
      <w:r>
        <w:t>quíes. En cuanto a la Federación General de Mujeres Iraquíes, la información que ha proporcionado la del</w:t>
      </w:r>
      <w:r>
        <w:t>e</w:t>
      </w:r>
      <w:r>
        <w:t>gación del Iraq al Comité incluye detalles de su pres</w:t>
      </w:r>
      <w:r>
        <w:t>u</w:t>
      </w:r>
      <w:r>
        <w:t>puesto, act</w:t>
      </w:r>
      <w:r>
        <w:t>i</w:t>
      </w:r>
      <w:r>
        <w:t>vidades y estructura.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Shöpp-Schilling</w:t>
      </w:r>
      <w:r>
        <w:t xml:space="preserve"> recomienda que el G</w:t>
      </w:r>
      <w:r>
        <w:t>o</w:t>
      </w:r>
      <w:r>
        <w:t>bierno y la Federación General de Mujeres Iraquíes examinen las reservas del Iraq a la Convención, como han hecho otros países con mayoría musulmana. Aun cuando la situación del país crea indudablemente mú</w:t>
      </w:r>
      <w:r>
        <w:t>l</w:t>
      </w:r>
      <w:r>
        <w:t>tiples obstáculos para la plena aplicación de la Co</w:t>
      </w:r>
      <w:r>
        <w:t>n</w:t>
      </w:r>
      <w:r>
        <w:t>vención, el Estado Parte debe tomar todas las medidas posibles para tal fin. La delegación del Iraq debe acl</w:t>
      </w:r>
      <w:r>
        <w:t>a</w:t>
      </w:r>
      <w:r>
        <w:t>rar por qué se considera que las mujeres y los niños s</w:t>
      </w:r>
      <w:r>
        <w:t>u</w:t>
      </w:r>
      <w:r>
        <w:t>fren más que los hombres las consecuencias del emba</w:t>
      </w:r>
      <w:r>
        <w:t>r</w:t>
      </w:r>
      <w:r>
        <w:t>go y las sanciones, y si es así, qué planes existen para ejecutar programas destinados a ellos y aliviar su s</w:t>
      </w:r>
      <w:r>
        <w:t>u</w:t>
      </w:r>
      <w:r>
        <w:t>frimiento. También recuerda a la delegación que el l</w:t>
      </w:r>
      <w:r>
        <w:t>o</w:t>
      </w:r>
      <w:r>
        <w:t>gro de la plena igualdad requiere que se tengan en cuenta todos los párrafos del preámbulo y la parte di</w:t>
      </w:r>
      <w:r>
        <w:t>s</w:t>
      </w:r>
      <w:r>
        <w:t>positiva de la Convención.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Agradecería información adicional sobre el C</w:t>
      </w:r>
      <w:r>
        <w:t>o</w:t>
      </w:r>
      <w:r>
        <w:t>mité Nacional de Alto Nivel para el Adelanto de las Mujeres Iraquíes, en particular la función que dese</w:t>
      </w:r>
      <w:r>
        <w:t>m</w:t>
      </w:r>
      <w:r>
        <w:t>peñó en la preparación de las leyes vigentes, las rec</w:t>
      </w:r>
      <w:r>
        <w:t>o</w:t>
      </w:r>
      <w:r>
        <w:t>mendaciones que formuló en los últimos dos años y las estrategias y metas concretas que aprobó. También pide mayores detalles sobre el funcionamiento y la duración del sistema de cupos para promover el papel de la m</w:t>
      </w:r>
      <w:r>
        <w:t>u</w:t>
      </w:r>
      <w:r>
        <w:t>jer en los altos puestos políticos. No está clara la rel</w:t>
      </w:r>
      <w:r>
        <w:t>a</w:t>
      </w:r>
      <w:r>
        <w:t xml:space="preserve">ción que existe entre las consecuencias del embargo </w:t>
      </w:r>
    </w:p>
    <w:p w:rsidR="00000000" w:rsidRDefault="00000000">
      <w:pPr>
        <w:pStyle w:val="DualTxt"/>
      </w:pPr>
      <w:r>
        <w:br w:type="page"/>
        <w:t>y la necesidad de promulgar leyes contra la discrimin</w:t>
      </w:r>
      <w:r>
        <w:t>a</w:t>
      </w:r>
      <w:r>
        <w:t>ción por motivos de sexo en el sector privado. Por ú</w:t>
      </w:r>
      <w:r>
        <w:t>l</w:t>
      </w:r>
      <w:r>
        <w:t>timo, destaca la importancia de superar los estereotipos sexuales y acelerar el logro de la igualdad entre ho</w:t>
      </w:r>
      <w:r>
        <w:t>m</w:t>
      </w:r>
      <w:r>
        <w:t>bres y mujeres.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Shalev</w:t>
      </w:r>
      <w:r>
        <w:t xml:space="preserve"> confiesa que las respuestas de la delegación del Iraq la han confundido. Parece estar culpando al embargo del hecho de que el Iraq no haya aplicado las disposiciones de la Convención. Aunque el embargo podría justificar en cierta medida que las di</w:t>
      </w:r>
      <w:r>
        <w:t>s</w:t>
      </w:r>
      <w:r>
        <w:t>posiciones relativas a los derechos económicos, soci</w:t>
      </w:r>
      <w:r>
        <w:t>a</w:t>
      </w:r>
      <w:r>
        <w:t>les y culturales no se hayan aplicado, tiene poco que ver con la condición personal de la mujer en el Iraq, que es el centro de las preocupaciones del Comité. Las leyes en vigor prevén el divorcio por repudio arbitrario y la poligamia y permiten que un violador repare l</w:t>
      </w:r>
      <w:r>
        <w:t>e</w:t>
      </w:r>
      <w:r>
        <w:t>galmente su delito contrayendo matrimonio con la ví</w:t>
      </w:r>
      <w:r>
        <w:t>c</w:t>
      </w:r>
      <w:r>
        <w:t>tima. En lo que respecta a la prostitución, el informe contiene extrañas referencias a comportamientos pe</w:t>
      </w:r>
      <w:r>
        <w:t>r</w:t>
      </w:r>
      <w:r>
        <w:t>versos y a la necesidad de que las mujeres ejerzan a</w:t>
      </w:r>
      <w:r>
        <w:t>u</w:t>
      </w:r>
      <w:r>
        <w:t>tocontrol. La prostitución, sin embargo, está vinculada con la pobreza y la falta de oportunid</w:t>
      </w:r>
      <w:r>
        <w:t>a</w:t>
      </w:r>
      <w:r>
        <w:t>des económicas.</w:t>
      </w:r>
    </w:p>
    <w:p w:rsidR="00000000" w:rsidRDefault="00000000">
      <w:pPr>
        <w:pStyle w:val="DualTxt"/>
        <w:numPr>
          <w:ilvl w:val="0"/>
          <w:numId w:val="2"/>
        </w:numPr>
        <w:tabs>
          <w:tab w:val="clear" w:pos="960"/>
          <w:tab w:val="left" w:pos="475"/>
          <w:tab w:val="left" w:pos="965"/>
        </w:tabs>
      </w:pPr>
      <w:r>
        <w:t>La ley que rige la herencia, señalada por otros ó</w:t>
      </w:r>
      <w:r>
        <w:t>r</w:t>
      </w:r>
      <w:r>
        <w:t>ganos creados en virtud de tratados de derechos hum</w:t>
      </w:r>
      <w:r>
        <w:t>a</w:t>
      </w:r>
      <w:r>
        <w:t>nos, es otra cuestión importante que no tiene relación con las consecuencias del embargo. Todo lo que se r</w:t>
      </w:r>
      <w:r>
        <w:t>e</w:t>
      </w:r>
      <w:r>
        <w:t>quiere para conceder a las mujeres igualdad de der</w:t>
      </w:r>
      <w:r>
        <w:t>e</w:t>
      </w:r>
      <w:r>
        <w:t>chos en materia de herencia es voluntad política por parte de la judicatura.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cuanto a las minorías étnicas, preocupa al Comité que los derechos humanos de los miembros de las minorías del Iraq, concretamente las mujeres y las minorías que viven en la gobernación septentrional, no se respeten plenamente.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Regazzoli</w:t>
      </w:r>
      <w:r>
        <w:t xml:space="preserve"> dice que, como ciudadana del tercer mundo, sabe que quienes no viven en ese mundo no pueden comprender cabalmente las repercusiones del embargo económico y la agresión y el bombardeo constantes. De hecho, la idea de que la población iraquí sufre ataques de pánico, insomnio y altas tasas de le</w:t>
      </w:r>
      <w:r>
        <w:t>u</w:t>
      </w:r>
      <w:r>
        <w:t>cemia y otras formas de cáncer y que muchas mujeres iraquíes no pueden dar de mamar a sus hijos puede r</w:t>
      </w:r>
      <w:r>
        <w:t>e</w:t>
      </w:r>
      <w:r>
        <w:t>sultarles inimaginable. Desea encomiar personalmente al Gobierno del Iraq por preparar y presentar sus i</w:t>
      </w:r>
      <w:r>
        <w:t>n</w:t>
      </w:r>
      <w:r>
        <w:t>formes periódicos segundo y tercero y por perseverar en los esfuerzos por promover el adelanto de la mujer, pese a los graves problemas de supervivencia que tiene el p</w:t>
      </w:r>
      <w:r>
        <w:t>a</w:t>
      </w:r>
      <w:r>
        <w:t>ís.</w:t>
      </w:r>
    </w:p>
    <w:p w:rsidR="00000000" w:rsidRDefault="00000000">
      <w:pPr>
        <w:pStyle w:val="DualTxt"/>
        <w:numPr>
          <w:ilvl w:val="0"/>
          <w:numId w:val="2"/>
        </w:numPr>
        <w:tabs>
          <w:tab w:val="clear" w:pos="960"/>
          <w:tab w:val="left" w:pos="475"/>
          <w:tab w:val="left" w:pos="965"/>
        </w:tabs>
      </w:pPr>
      <w:r>
        <w:rPr>
          <w:b/>
        </w:rPr>
        <w:t>La Sra. Al-Azzawi</w:t>
      </w:r>
      <w:r>
        <w:t xml:space="preserve"> (Iraq) responde a las pregu</w:t>
      </w:r>
      <w:r>
        <w:t>n</w:t>
      </w:r>
      <w:r>
        <w:t>tas de las expertas y dice que bastaría una visita a su país para que cambiaran de opinión quienes piensan que no hay relación entre el establecimiento de zonas de prohibición de vuelos y otras restricciones impue</w:t>
      </w:r>
      <w:r>
        <w:t>s</w:t>
      </w:r>
      <w:r>
        <w:t>tas al Iraq y la aplicación de la Convención. De hecho, el Comité tal vez considere útil viajar al Iraq y co</w:t>
      </w:r>
      <w:r>
        <w:t>m</w:t>
      </w:r>
      <w:r>
        <w:t>probar directamente las condiciones en que viven las mujeres en el país.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cuestión de los recursos es fundamental para todo debate relativo a la aplicación de la Convención. Ninguna sociedad puede promover un desarrollo sign</w:t>
      </w:r>
      <w:r>
        <w:t>i</w:t>
      </w:r>
      <w:r>
        <w:t>ficativo sin los recursos económicos necesarios. D</w:t>
      </w:r>
      <w:r>
        <w:t>u</w:t>
      </w:r>
      <w:r>
        <w:t>rante los decenios de 1970 y 1980, los vastos recursos petroleros del Iraq se utilizaron para promover el des</w:t>
      </w:r>
      <w:r>
        <w:t>a</w:t>
      </w:r>
      <w:r>
        <w:t>rrollo social, pero el embargo obligó a dar prioridad y a las necesidades básicas de supervivencia.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cuanto al matrimonio forzoso entre un viol</w:t>
      </w:r>
      <w:r>
        <w:t>a</w:t>
      </w:r>
      <w:r>
        <w:t>dor y su víctima, las expertas interpretaron mal el texto del informe. En cuanto al régimen que rige la herencia en el Iraq, la ley islámica prevé la complementariedad de los papeles de los hombres y las mujeres y no se b</w:t>
      </w:r>
      <w:r>
        <w:t>a</w:t>
      </w:r>
      <w:r>
        <w:t>sa en la absoluta igualdad. Se trata de una cuestión compleja que requeriría más tiempo del que dispone el Comité para un análisis detallado. Igual que otros E</w:t>
      </w:r>
      <w:r>
        <w:t>s</w:t>
      </w:r>
      <w:r>
        <w:t>tados islámicos, el Iraq ha expresado reservas respecto de las disposiciones de la Convención relativas a la h</w:t>
      </w:r>
      <w:r>
        <w:t>e</w:t>
      </w:r>
      <w:r>
        <w:t>rencia y considera la cuestión cerrada.</w:t>
      </w:r>
    </w:p>
    <w:p w:rsidR="00000000" w:rsidRDefault="00000000">
      <w:pPr>
        <w:pStyle w:val="DualTxt"/>
        <w:numPr>
          <w:ilvl w:val="0"/>
          <w:numId w:val="2"/>
        </w:numPr>
        <w:tabs>
          <w:tab w:val="clear" w:pos="960"/>
          <w:tab w:val="left" w:pos="475"/>
          <w:tab w:val="left" w:pos="965"/>
        </w:tabs>
      </w:pPr>
      <w:r>
        <w:t>En relación con las minorías étnicas debe reco</w:t>
      </w:r>
      <w:r>
        <w:t>r</w:t>
      </w:r>
      <w:r>
        <w:t>darse que las minorías han convivido pacíficamente d</w:t>
      </w:r>
      <w:r>
        <w:t>u</w:t>
      </w:r>
      <w:r>
        <w:t>rante siglos en el Iraq. Lamentablemente, las sanciones y las rebeliones fomentadas por Potencias extranjeras pueden perturbar la armonía étnica.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Sra. Kammas</w:t>
      </w:r>
      <w:r>
        <w:t xml:space="preserve"> (Iraq) dice que el sufrimiento que el duro embargo causa al pueblo iraquí es esp</w:t>
      </w:r>
      <w:r>
        <w:t>e</w:t>
      </w:r>
      <w:r>
        <w:t>cialmente terrible porque, antes de 1991, el Gobierno del Iraq había subvencionado alimentos y otras neces</w:t>
      </w:r>
      <w:r>
        <w:t>i</w:t>
      </w:r>
      <w:r>
        <w:t>dades básicas, incluidas la educación y la atención s</w:t>
      </w:r>
      <w:r>
        <w:t>a</w:t>
      </w:r>
      <w:r>
        <w:t>nitaria. Las dificultades que hacen que todas las muj</w:t>
      </w:r>
      <w:r>
        <w:t>e</w:t>
      </w:r>
      <w:r>
        <w:t>res del Iraq teman por su futuro sólo terminarán con el levant</w:t>
      </w:r>
      <w:r>
        <w:t>a</w:t>
      </w:r>
      <w:r>
        <w:t>miento del embargo.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rPr>
          <w:i/>
        </w:rPr>
      </w:pPr>
      <w:r>
        <w:rPr>
          <w:b/>
        </w:rPr>
        <w:t xml:space="preserve">La Presidenta </w:t>
      </w:r>
      <w:r>
        <w:t>dice que el Comité conoce pe</w:t>
      </w:r>
      <w:r>
        <w:t>r</w:t>
      </w:r>
      <w:r>
        <w:t>fectamente los grandes esfuerzos que ha hecho la del</w:t>
      </w:r>
      <w:r>
        <w:t>e</w:t>
      </w:r>
      <w:r>
        <w:t>gación del Iraq para asistir a la sesión. Su presencia demuestra el interés del Gobierno en aplicar la Co</w:t>
      </w:r>
      <w:r>
        <w:t>n</w:t>
      </w:r>
      <w:r>
        <w:t>vención. Aunque reconoce que varios problemas se d</w:t>
      </w:r>
      <w:r>
        <w:t>e</w:t>
      </w:r>
      <w:r>
        <w:t>ben a los efectos del embargo económico, muchos otros no tienen relación alguna con él. Problemas como la violencia contra las mujeres y la persistencia de est</w:t>
      </w:r>
      <w:r>
        <w:t>e</w:t>
      </w:r>
      <w:r>
        <w:t>reotipos sociales negativos, por ejemplo, no pueden atribuirse al embargo. En la medida en que éste afecta a la población civil, especialmente a las mujeres y los n</w:t>
      </w:r>
      <w:r>
        <w:t>i</w:t>
      </w:r>
      <w:r>
        <w:t>ños, conviene en que el embargo debe levantarse. Sin embargo, esa decisión no incumbe al Comité sino al Consejo de Seguridad. Con todo, espera que el Iraq tenga en cuenta las observaciones de las expertas y los problemas que se han señal</w:t>
      </w:r>
      <w:r>
        <w:t>a</w:t>
      </w:r>
      <w:r>
        <w:t>do.</w:t>
      </w:r>
    </w:p>
    <w:p w:rsidR="00000000" w:rsidRDefault="00000000">
      <w:pPr>
        <w:pStyle w:val="DualTxt"/>
        <w:rPr>
          <w:i/>
        </w:rPr>
      </w:pPr>
      <w:r>
        <w:rPr>
          <w:i/>
        </w:rPr>
        <w:t>Se levanta la sesión a las 16.55 horas.</w:t>
      </w:r>
    </w:p>
    <w:p w:rsidR="00000000" w:rsidRDefault="00000000">
      <w:pPr>
        <w:pStyle w:val="DualTxt"/>
      </w:pPr>
      <w:r>
        <w:t xml:space="preserve"> </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NO&gt;&gt;N0048123S&lt;&lt;ODS JOB NO&gt;&gt;</w:t>
      </w:r>
    </w:p>
    <w:p w:rsidR="00000000" w:rsidRDefault="00000000">
      <w:pPr>
        <w:pStyle w:val="CommentText"/>
      </w:pPr>
      <w:r>
        <w:t>&lt;&lt;ODS DOC SYMBOL1&gt;&gt;CEDAW/C/SR.469&lt;&lt;ODS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0048123s.doc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0048123s.doc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00-48123 (S)</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*0048123*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CEDAW/C/SR.469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CEDAW/C/SR.469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/C/SR.469</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19 de octubre de 2001</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6AC8"/>
    <w:multiLevelType w:val="singleLevel"/>
    <w:tmpl w:val="E86886C8"/>
    <w:lvl w:ilvl="0">
      <w:start w:val="22"/>
      <w:numFmt w:val="decimal"/>
      <w:lvlRestart w:val="0"/>
      <w:lvlText w:val="%1."/>
      <w:lvlJc w:val="left"/>
      <w:pPr>
        <w:tabs>
          <w:tab w:val="num" w:pos="1742"/>
        </w:tabs>
        <w:ind w:left="1267" w:firstLine="0"/>
      </w:pPr>
      <w:rPr>
        <w:b w:val="0"/>
        <w:i w:val="0"/>
        <w:spacing w:val="0"/>
        <w:w w:val="100"/>
      </w:rPr>
    </w:lvl>
  </w:abstractNum>
  <w:abstractNum w:abstractNumId="1">
    <w:nsid w:val="511A14E6"/>
    <w:multiLevelType w:val="singleLevel"/>
    <w:tmpl w:val="3B8008B6"/>
    <w:lvl w:ilvl="0">
      <w:start w:val="11"/>
      <w:numFmt w:val="decimal"/>
      <w:lvlRestart w:val="0"/>
      <w:lvlText w:val="%1."/>
      <w:lvlJc w:val="left"/>
      <w:pPr>
        <w:tabs>
          <w:tab w:val="num" w:pos="1742"/>
        </w:tabs>
        <w:ind w:left="1267" w:firstLine="0"/>
      </w:pPr>
      <w:rPr>
        <w:b w:val="0"/>
        <w:i w:val="0"/>
        <w:spacing w:val="0"/>
        <w:w w:val="100"/>
      </w:rPr>
    </w:lvl>
  </w:abstractNum>
  <w:abstractNum w:abstractNumId="2">
    <w:nsid w:val="5DA66D6D"/>
    <w:multiLevelType w:val="singleLevel"/>
    <w:tmpl w:val="996087F8"/>
    <w:lvl w:ilvl="0">
      <w:start w:val="1"/>
      <w:numFmt w:val="decimal"/>
      <w:lvlRestart w:val="0"/>
      <w:lvlText w:val="%1."/>
      <w:lvlJc w:val="left"/>
      <w:pPr>
        <w:tabs>
          <w:tab w:val="num" w:pos="475"/>
        </w:tabs>
        <w:ind w:left="0" w:firstLine="0"/>
      </w:pPr>
      <w:rPr>
        <w:b w:val="0"/>
        <w:i w:val="0"/>
        <w:spacing w:val="0"/>
        <w:w w:val="100"/>
      </w:rPr>
    </w:lvl>
  </w:abstractNum>
  <w:abstractNum w:abstractNumId="3">
    <w:nsid w:val="7EAE1D66"/>
    <w:multiLevelType w:val="singleLevel"/>
    <w:tmpl w:val="8436B042"/>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8/10/2001 9:57::31"/>
    <w:docVar w:name="DocCategory" w:val="SROthers"/>
    <w:docVar w:name="DocType" w:val="Final"/>
    <w:docVar w:name="JobNo" w:val="0048123S"/>
    <w:docVar w:name="OandT" w:val="MEP"/>
    <w:docVar w:name="Symbol1" w:val="CEDAW/C/SR.46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6</Pages>
  <Words>2932</Words>
  <Characters>16715</Characters>
  <Application>Microsoft Office Word</Application>
  <DocSecurity>4</DocSecurity>
  <Lines>139</Lines>
  <Paragraphs>33</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20527</CharactersWithSpaces>
  <SharedDoc>false</SharedDoc>
  <HLinks>
    <vt:vector size="6" baseType="variant">
      <vt:variant>
        <vt:i4>4522087</vt:i4>
      </vt:variant>
      <vt:variant>
        <vt:i4>21525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Pousa, María Elvira</dc:creator>
  <cp:keywords/>
  <dc:description/>
  <cp:lastModifiedBy>Gutierrez, Luz Angela</cp:lastModifiedBy>
  <cp:revision>23</cp:revision>
  <cp:lastPrinted>2001-10-18T11:30:00Z</cp:lastPrinted>
  <dcterms:created xsi:type="dcterms:W3CDTF">2001-10-18T08:57:00Z</dcterms:created>
  <dcterms:modified xsi:type="dcterms:W3CDTF">2001-10-18T13:47:00Z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0048123</vt:lpwstr>
  </property>
  <property fmtid="{D5CDD505-2E9C-101B-9397-08002B2CF9AE}" pid="3" name="Symbol1">
    <vt:lpwstr>CEDAW/C/SR.469</vt:lpwstr>
  </property>
  <property fmtid="{D5CDD505-2E9C-101B-9397-08002B2CF9AE}" pid="4" name="Symbol2">
    <vt:lpwstr/>
  </property>
  <property fmtid="{D5CDD505-2E9C-101B-9397-08002B2CF9AE}" pid="5" name="Translator">
    <vt:lpwstr/>
  </property>
  <property fmtid="{D5CDD505-2E9C-101B-9397-08002B2CF9AE}" pid="6" name="Operator">
    <vt:lpwstr>MEP</vt:lpwstr>
  </property>
  <property fmtid="{D5CDD505-2E9C-101B-9397-08002B2CF9AE}" pid="7" name="DraftPages">
    <vt:lpwstr> </vt:lpwstr>
  </property>
  <property fmtid="{D5CDD505-2E9C-101B-9397-08002B2CF9AE}" pid="8" name="Comment">
    <vt:lpwstr/>
  </property>
</Properties>
</file>