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BEE" w:rsidRDefault="00D87BEE" w:rsidP="00D87BEE">
      <w:pPr>
        <w:spacing w:line="240" w:lineRule="auto"/>
        <w:jc w:val="left"/>
        <w:rPr>
          <w:szCs w:val="6"/>
        </w:rPr>
        <w:sectPr w:rsidR="00D87BEE" w:rsidSect="00D87BEE">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bookmarkStart w:id="1" w:name="TmpSave"/>
      <w:bookmarkEnd w:id="1"/>
    </w:p>
    <w:p w:rsidR="00851C25" w:rsidRPr="00851C25" w:rsidRDefault="00851C25" w:rsidP="00851C25">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rPr>
      </w:pPr>
      <w:r w:rsidRPr="00851C25">
        <w:rPr>
          <w:rFonts w:hint="cs"/>
          <w:rtl/>
        </w:rPr>
        <w:t>اللجنة المعنية بالقضاء على التمييز ضد المرأة</w:t>
      </w:r>
    </w:p>
    <w:p w:rsidR="00851C25" w:rsidRPr="00851C25" w:rsidRDefault="00851C25" w:rsidP="00851C25">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Fonts w:hint="cs"/>
          <w:rtl/>
        </w:rPr>
      </w:pPr>
      <w:r w:rsidRPr="00851C25">
        <w:rPr>
          <w:rFonts w:hint="cs"/>
          <w:rtl/>
        </w:rPr>
        <w:t xml:space="preserve">الفريق العامل لما قبل الدورة </w:t>
      </w:r>
    </w:p>
    <w:p w:rsidR="00851C25" w:rsidRPr="00851C25" w:rsidRDefault="00851C25" w:rsidP="00851C25">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Fonts w:hint="cs"/>
          <w:rtl/>
        </w:rPr>
      </w:pPr>
      <w:r w:rsidRPr="00851C25">
        <w:rPr>
          <w:rFonts w:hint="cs"/>
          <w:rtl/>
        </w:rPr>
        <w:t>الدورة التاسعة والثلاثون</w:t>
      </w:r>
    </w:p>
    <w:p w:rsidR="00851C25" w:rsidRPr="00851C25" w:rsidRDefault="00851C25" w:rsidP="00851C25">
      <w:pPr>
        <w:tabs>
          <w:tab w:val="left" w:pos="662"/>
          <w:tab w:val="left" w:pos="1267"/>
          <w:tab w:val="left" w:pos="1987"/>
          <w:tab w:val="left" w:pos="2650"/>
        </w:tabs>
        <w:rPr>
          <w:rFonts w:hint="cs"/>
          <w:rtl/>
        </w:rPr>
      </w:pPr>
      <w:r w:rsidRPr="00851C25">
        <w:rPr>
          <w:rFonts w:hint="cs"/>
          <w:rtl/>
        </w:rPr>
        <w:t xml:space="preserve">23 تموز/يوليه </w:t>
      </w:r>
      <w:r>
        <w:rPr>
          <w:rFonts w:hint="cs"/>
          <w:rtl/>
        </w:rPr>
        <w:t>-</w:t>
      </w:r>
      <w:r w:rsidRPr="00851C25">
        <w:rPr>
          <w:rFonts w:hint="cs"/>
          <w:rtl/>
        </w:rPr>
        <w:t xml:space="preserve"> 10 آب/أغسطس 2007</w:t>
      </w:r>
    </w:p>
    <w:p w:rsidR="00851C25" w:rsidRPr="00851C25" w:rsidRDefault="00851C25" w:rsidP="00851C25">
      <w:pPr>
        <w:pStyle w:val="SingleTxt"/>
        <w:spacing w:after="0" w:line="120" w:lineRule="exact"/>
        <w:rPr>
          <w:rFonts w:hint="cs"/>
          <w:b/>
          <w:bCs/>
          <w:sz w:val="12"/>
          <w:rtl/>
        </w:rPr>
      </w:pPr>
    </w:p>
    <w:p w:rsidR="00851C25" w:rsidRPr="00851C25" w:rsidRDefault="00851C25" w:rsidP="00851C25">
      <w:pPr>
        <w:pStyle w:val="SingleTxt"/>
        <w:spacing w:after="0" w:line="120" w:lineRule="exact"/>
        <w:rPr>
          <w:rFonts w:hint="cs"/>
          <w:b/>
          <w:bCs/>
          <w:sz w:val="12"/>
          <w:rtl/>
        </w:rPr>
      </w:pPr>
    </w:p>
    <w:p w:rsidR="00851C25" w:rsidRPr="00851C25" w:rsidRDefault="00851C25" w:rsidP="00851C2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851C25">
        <w:rPr>
          <w:rFonts w:hint="cs"/>
          <w:rtl/>
        </w:rPr>
        <w:tab/>
      </w:r>
      <w:r w:rsidRPr="00851C25">
        <w:rPr>
          <w:rFonts w:hint="cs"/>
          <w:rtl/>
        </w:rPr>
        <w:tab/>
        <w:t>قائمة القضايا والأسئلة المطروحة للنظر في التقارير الدورية</w:t>
      </w:r>
    </w:p>
    <w:p w:rsidR="00851C25" w:rsidRPr="00851C25" w:rsidRDefault="00851C25" w:rsidP="00851C2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851C25">
        <w:rPr>
          <w:rFonts w:hint="cs"/>
          <w:rtl/>
        </w:rPr>
        <w:t>سنغافورة</w:t>
      </w:r>
    </w:p>
    <w:p w:rsidR="00851C25" w:rsidRPr="00851C25" w:rsidRDefault="00851C25" w:rsidP="00851C25">
      <w:pPr>
        <w:pStyle w:val="SingleTxt"/>
        <w:rPr>
          <w:rFonts w:hint="cs"/>
          <w:rtl/>
        </w:rPr>
      </w:pPr>
      <w:r w:rsidRPr="00851C25">
        <w:rPr>
          <w:rFonts w:hint="cs"/>
          <w:rtl/>
        </w:rPr>
        <w:t>1 -</w:t>
      </w:r>
      <w:r w:rsidRPr="00851C25">
        <w:rPr>
          <w:rFonts w:hint="cs"/>
          <w:rtl/>
        </w:rPr>
        <w:tab/>
        <w:t>نظر الفريق العامل لما قبل الدورة في التقرير الدوري الثالث لسنغافورة (</w:t>
      </w:r>
      <w:r w:rsidRPr="00851C25">
        <w:t>CEDAW/C/SGP/3</w:t>
      </w:r>
      <w:r w:rsidRPr="00851C25">
        <w:rPr>
          <w:rFonts w:hint="cs"/>
          <w:rtl/>
        </w:rPr>
        <w:t>).</w:t>
      </w:r>
    </w:p>
    <w:p w:rsidR="00851C25" w:rsidRPr="00851C25" w:rsidRDefault="00851C25" w:rsidP="00851C2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851C25">
        <w:rPr>
          <w:rFonts w:hint="cs"/>
          <w:rtl/>
        </w:rPr>
        <w:tab/>
      </w:r>
      <w:r w:rsidRPr="00851C25">
        <w:rPr>
          <w:rFonts w:hint="cs"/>
          <w:rtl/>
        </w:rPr>
        <w:tab/>
        <w:t>قضايا وأسئلة عامة</w:t>
      </w:r>
    </w:p>
    <w:p w:rsidR="00851C25" w:rsidRPr="00851C25" w:rsidRDefault="00851C25" w:rsidP="00851C25">
      <w:pPr>
        <w:pStyle w:val="SingleTxt"/>
        <w:rPr>
          <w:rFonts w:hint="cs"/>
          <w:rtl/>
        </w:rPr>
      </w:pPr>
      <w:r w:rsidRPr="00851C25">
        <w:rPr>
          <w:rFonts w:hint="cs"/>
          <w:rtl/>
        </w:rPr>
        <w:t>2 -</w:t>
      </w:r>
      <w:r w:rsidRPr="00851C25">
        <w:rPr>
          <w:rFonts w:hint="cs"/>
          <w:rtl/>
        </w:rPr>
        <w:tab/>
        <w:t>يشير موجز التقرير إلى التماس إسهامات الوزارات والوكالات الحكومية المختصة والهيئات النسائية لإعداده. يرجى تقديم المزيد من المعلومات عن الوزارات والهيئات الحكومية الأخرى التي شاركت في العملية؛ وعن الدور الذي قامت به اللجنة المشتركة بين الوزارات بشأن اللجنة المعنية بالقضاء على التمييز ضد المرأة ومكتب المرأة بوزارة التنمية المجتمعية والشباب والألعاب الرياضية؛ وعن نتائج المشاورات مع المنظمات غير الحكومية؛ مع توضيح ما إذا تم اعتماد التقرير في مجلس الوزراء وإحالته إلى البرلمان.</w:t>
      </w:r>
    </w:p>
    <w:p w:rsidR="00851C25" w:rsidRPr="00851C25" w:rsidRDefault="00851C25" w:rsidP="00704823">
      <w:pPr>
        <w:pStyle w:val="SingleTxt"/>
        <w:rPr>
          <w:rFonts w:hint="cs"/>
          <w:rtl/>
        </w:rPr>
      </w:pPr>
      <w:r w:rsidRPr="00851C25">
        <w:rPr>
          <w:rFonts w:hint="cs"/>
          <w:rtl/>
        </w:rPr>
        <w:t>3 -</w:t>
      </w:r>
      <w:r w:rsidRPr="00851C25">
        <w:rPr>
          <w:rFonts w:hint="cs"/>
          <w:rtl/>
        </w:rPr>
        <w:tab/>
        <w:t>وطلبت اللجنة أن تنشر على نطاق واسع في سنغافورة التعليقات الختامية على النظر في التقرير الدوري الثاني</w:t>
      </w:r>
      <w:r w:rsidR="00704823" w:rsidRPr="00704823">
        <w:rPr>
          <w:vertAlign w:val="superscript"/>
          <w:rtl/>
        </w:rPr>
        <w:t>(</w:t>
      </w:r>
      <w:r w:rsidR="00704823">
        <w:rPr>
          <w:rStyle w:val="FootnoteReference"/>
          <w:rtl/>
        </w:rPr>
        <w:footnoteReference w:id="1"/>
      </w:r>
      <w:r w:rsidR="00704823" w:rsidRPr="00704823">
        <w:rPr>
          <w:vertAlign w:val="superscript"/>
          <w:rtl/>
        </w:rPr>
        <w:t>)</w:t>
      </w:r>
      <w:r w:rsidRPr="00851C25">
        <w:rPr>
          <w:rFonts w:hint="cs"/>
          <w:rtl/>
        </w:rPr>
        <w:t>. ويشير التقرير (الفقرة 7-15) إلى تقاسم التعليقات الختامية مع الهيئات النسائية خلال اجتماع عقد في أيار/مايو 2003. يرجى تقديم معلومات عما تم القيام به لإطلاع المسؤولين الإداريين الحكوميين والبرلمانيين على الخطوات التي اتخذت لكفالة المساواة القانونية والفعلية للمرأة وعن الخطوات التي ما</w:t>
      </w:r>
      <w:r w:rsidR="008F1D4D">
        <w:rPr>
          <w:rFonts w:hint="cs"/>
          <w:rtl/>
        </w:rPr>
        <w:t xml:space="preserve"> </w:t>
      </w:r>
      <w:r w:rsidRPr="00851C25">
        <w:rPr>
          <w:rFonts w:hint="cs"/>
          <w:rtl/>
        </w:rPr>
        <w:t>زال ينبغي القيام بها.</w:t>
      </w:r>
    </w:p>
    <w:p w:rsidR="00851C25" w:rsidRPr="00851C25" w:rsidRDefault="00851C25" w:rsidP="008F1D4D">
      <w:pPr>
        <w:pStyle w:val="SingleTxt"/>
        <w:rPr>
          <w:rFonts w:hint="cs"/>
          <w:rtl/>
        </w:rPr>
      </w:pPr>
      <w:r w:rsidRPr="00851C25">
        <w:rPr>
          <w:rFonts w:hint="cs"/>
          <w:rtl/>
        </w:rPr>
        <w:t>4 -</w:t>
      </w:r>
      <w:r w:rsidRPr="00851C25">
        <w:rPr>
          <w:rFonts w:hint="cs"/>
          <w:rtl/>
        </w:rPr>
        <w:tab/>
        <w:t>واعتبرت اللجنة، في تعليقاتها الختامية السابقة، أن تحفظات الدولة الطرف تعوق التنفيذ التام للاتفاقية</w:t>
      </w:r>
      <w:r w:rsidRPr="00851C25">
        <w:rPr>
          <w:vertAlign w:val="superscript"/>
          <w:rtl/>
        </w:rPr>
        <w:t>(</w:t>
      </w:r>
      <w:r w:rsidRPr="00851C25">
        <w:rPr>
          <w:vertAlign w:val="superscript"/>
          <w:rtl/>
        </w:rPr>
        <w:footnoteReference w:id="2"/>
      </w:r>
      <w:r w:rsidRPr="00851C25">
        <w:rPr>
          <w:vertAlign w:val="superscript"/>
          <w:rtl/>
        </w:rPr>
        <w:t>)</w:t>
      </w:r>
      <w:r w:rsidRPr="00851C25">
        <w:rPr>
          <w:rFonts w:hint="cs"/>
          <w:rtl/>
        </w:rPr>
        <w:t>. هل تعتزم حكومة سنغافورة سحب تحفظاتها، استجابة لتوصية اللجنة، في أجل محدد؟</w:t>
      </w:r>
      <w:r w:rsidRPr="00851C25">
        <w:rPr>
          <w:vertAlign w:val="superscript"/>
          <w:rtl/>
        </w:rPr>
        <w:t>(</w:t>
      </w:r>
      <w:r w:rsidRPr="00851C25">
        <w:rPr>
          <w:vertAlign w:val="superscript"/>
          <w:rtl/>
        </w:rPr>
        <w:footnoteReference w:id="3"/>
      </w:r>
      <w:r w:rsidRPr="00851C25">
        <w:rPr>
          <w:vertAlign w:val="superscript"/>
          <w:rtl/>
        </w:rPr>
        <w:t>)</w:t>
      </w:r>
      <w:r w:rsidRPr="00851C25">
        <w:rPr>
          <w:rFonts w:hint="cs"/>
          <w:rtl/>
        </w:rPr>
        <w:t xml:space="preserve"> وهل واصلت حكومة سنغافورة عملية </w:t>
      </w:r>
      <w:r w:rsidR="00704823">
        <w:rPr>
          <w:rFonts w:hint="cs"/>
          <w:rtl/>
        </w:rPr>
        <w:t>ال</w:t>
      </w:r>
      <w:r w:rsidRPr="00851C25">
        <w:rPr>
          <w:rFonts w:hint="cs"/>
          <w:rtl/>
        </w:rPr>
        <w:t xml:space="preserve">إصلاح </w:t>
      </w:r>
      <w:r w:rsidR="00704823">
        <w:rPr>
          <w:rFonts w:hint="cs"/>
          <w:rtl/>
        </w:rPr>
        <w:t>ال</w:t>
      </w:r>
      <w:r w:rsidRPr="00851C25">
        <w:rPr>
          <w:rFonts w:hint="cs"/>
          <w:rtl/>
        </w:rPr>
        <w:t>قانوني من أجل سحب تحفظاتها على المادتين 2 و 16 من الاتفاقية؟ وإذا فعلت ذلك، فهل اشتملت العملية على إجراء مشاورات مع أعضاء مختلف الجماعات العرقية والدينية، ومع الهيئات والمنظمات النسائية؟</w:t>
      </w:r>
    </w:p>
    <w:p w:rsidR="00851C25" w:rsidRPr="00851C25" w:rsidRDefault="00851C25" w:rsidP="0070482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851C25">
        <w:rPr>
          <w:rFonts w:hint="cs"/>
          <w:rtl/>
        </w:rPr>
        <w:tab/>
      </w:r>
      <w:r w:rsidRPr="00851C25">
        <w:rPr>
          <w:rFonts w:hint="cs"/>
          <w:rtl/>
        </w:rPr>
        <w:tab/>
        <w:t>الإطار الدستوري والتشريعي والمؤسسي</w:t>
      </w:r>
    </w:p>
    <w:p w:rsidR="00851C25" w:rsidRPr="00851C25" w:rsidRDefault="00851C25" w:rsidP="00851C25">
      <w:pPr>
        <w:pStyle w:val="SingleTxt"/>
        <w:rPr>
          <w:rFonts w:hint="cs"/>
          <w:rtl/>
        </w:rPr>
      </w:pPr>
      <w:r w:rsidRPr="00851C25">
        <w:rPr>
          <w:rFonts w:hint="cs"/>
          <w:rtl/>
        </w:rPr>
        <w:t>5 -</w:t>
      </w:r>
      <w:r w:rsidRPr="00851C25">
        <w:rPr>
          <w:rFonts w:hint="cs"/>
          <w:rtl/>
        </w:rPr>
        <w:tab/>
        <w:t>منذ إحالة التقرير الأولي، لم يتم تقديم أي معلومات تدل على إدماج الاتفاقية في النظام القانوني أو على إدراج أي تعريف للتمييز ضد المرأة موضوع على منوال المادة 1 من الاتفاقية في الدستور أو في تشريع آخر. يرجى تبيان ما إذا كانت حكومة سنغافورة تعتزم إدماج الاتفاقية في نظامها القانوني الداخلي و/أو إدراج تعريف للتمييز ضد المرأة في التشريع ذي الصلة. وإذا كانت تعتزم ذلك، يرجى ذكر الخطوات التي اتخذتها في هذا الصدد.</w:t>
      </w:r>
    </w:p>
    <w:p w:rsidR="00851C25" w:rsidRPr="00851C25" w:rsidRDefault="00851C25" w:rsidP="00704823">
      <w:pPr>
        <w:pStyle w:val="SingleTxt"/>
        <w:rPr>
          <w:rFonts w:hint="cs"/>
          <w:rtl/>
        </w:rPr>
      </w:pPr>
      <w:r w:rsidRPr="00851C25">
        <w:rPr>
          <w:rFonts w:hint="cs"/>
          <w:rtl/>
        </w:rPr>
        <w:t>6 -</w:t>
      </w:r>
      <w:r w:rsidRPr="00851C25">
        <w:rPr>
          <w:rFonts w:hint="cs"/>
          <w:rtl/>
        </w:rPr>
        <w:tab/>
        <w:t xml:space="preserve">وما التدابير المتخذة لتحسين الإجراءات الخاصة بالشكاوى المتعلقة بالانتهاكات التي تمس الحق في المساواة المكفول دستوريا في الدولة الطرف حتى يتسنى للنساء </w:t>
      </w:r>
      <w:r w:rsidR="00704823">
        <w:rPr>
          <w:rFonts w:hint="cs"/>
          <w:rtl/>
        </w:rPr>
        <w:t>التصدي</w:t>
      </w:r>
      <w:r w:rsidRPr="00851C25">
        <w:rPr>
          <w:rFonts w:hint="cs"/>
          <w:rtl/>
        </w:rPr>
        <w:t xml:space="preserve"> </w:t>
      </w:r>
      <w:r w:rsidR="00704823">
        <w:rPr>
          <w:rFonts w:hint="cs"/>
          <w:rtl/>
        </w:rPr>
        <w:t>ل</w:t>
      </w:r>
      <w:r w:rsidRPr="00851C25">
        <w:rPr>
          <w:rFonts w:hint="cs"/>
          <w:rtl/>
        </w:rPr>
        <w:t>لأعمال التمييزية، كما أوصت بذلك اللجنة في تعليقاتها الختامية السابقة</w:t>
      </w:r>
      <w:r w:rsidRPr="00851C25">
        <w:rPr>
          <w:vertAlign w:val="superscript"/>
          <w:rtl/>
        </w:rPr>
        <w:t>(</w:t>
      </w:r>
      <w:r w:rsidRPr="00851C25">
        <w:rPr>
          <w:vertAlign w:val="superscript"/>
          <w:rtl/>
        </w:rPr>
        <w:footnoteReference w:id="4"/>
      </w:r>
      <w:r w:rsidRPr="00851C25">
        <w:rPr>
          <w:vertAlign w:val="superscript"/>
          <w:rtl/>
        </w:rPr>
        <w:t>)</w:t>
      </w:r>
      <w:r w:rsidRPr="00851C25">
        <w:rPr>
          <w:rFonts w:hint="cs"/>
          <w:rtl/>
        </w:rPr>
        <w:t xml:space="preserve"> وما أثر أي تدابير اتخذت في هذا الصدد؟</w:t>
      </w:r>
    </w:p>
    <w:p w:rsidR="00851C25" w:rsidRPr="00851C25" w:rsidRDefault="00851C25" w:rsidP="00851C25">
      <w:pPr>
        <w:pStyle w:val="SingleTxt"/>
        <w:rPr>
          <w:rFonts w:hint="cs"/>
          <w:rtl/>
        </w:rPr>
      </w:pPr>
      <w:r w:rsidRPr="00851C25">
        <w:rPr>
          <w:rFonts w:hint="cs"/>
          <w:rtl/>
        </w:rPr>
        <w:t>7 -</w:t>
      </w:r>
      <w:r w:rsidRPr="00851C25">
        <w:rPr>
          <w:rFonts w:hint="cs"/>
          <w:rtl/>
        </w:rPr>
        <w:tab/>
        <w:t>ويشير التقرير إلى أن مكتب المرأة بوزارة التنمية المجتمعية والشباب والألعاب الرياضية سيعمل بوصفه الجهاز الوطني المعني بالمرأة في سنغافورة. يرجى تقديم المزيد من المعلومات عن ولايته، وموارد</w:t>
      </w:r>
      <w:r w:rsidR="00704823">
        <w:rPr>
          <w:rFonts w:hint="cs"/>
          <w:rtl/>
        </w:rPr>
        <w:t>ه</w:t>
      </w:r>
      <w:r w:rsidRPr="00851C25">
        <w:rPr>
          <w:rFonts w:hint="cs"/>
          <w:rtl/>
        </w:rPr>
        <w:t xml:space="preserve"> المالية والبشرية، وتوضيح ما إذا كان لديه ما يكفي من القدرات والصلاحيات للتأثير في السياسات في شتى مجالات العمل الحكومي من منظور جنساني.</w:t>
      </w:r>
    </w:p>
    <w:p w:rsidR="00851C25" w:rsidRPr="00851C25" w:rsidRDefault="00851C25" w:rsidP="00704823">
      <w:pPr>
        <w:pStyle w:val="SingleTxt"/>
        <w:rPr>
          <w:rFonts w:hint="cs"/>
          <w:rtl/>
        </w:rPr>
      </w:pPr>
      <w:r w:rsidRPr="00851C25">
        <w:rPr>
          <w:rFonts w:hint="cs"/>
          <w:rtl/>
        </w:rPr>
        <w:t>8 -</w:t>
      </w:r>
      <w:r w:rsidRPr="00851C25">
        <w:rPr>
          <w:rFonts w:hint="cs"/>
          <w:rtl/>
        </w:rPr>
        <w:tab/>
        <w:t xml:space="preserve">وفي ضوء القلق الذي يساور اللجنة لأن الحكومة لا تدرك إدراكا واضحا مدلول </w:t>
      </w:r>
      <w:r w:rsidRPr="00851C25">
        <w:rPr>
          <w:rtl/>
        </w:rPr>
        <w:t>تعميم مراعاة المنظور الجنساني</w:t>
      </w:r>
      <w:r w:rsidRPr="00851C25">
        <w:rPr>
          <w:vertAlign w:val="superscript"/>
          <w:rtl/>
        </w:rPr>
        <w:t>(</w:t>
      </w:r>
      <w:r w:rsidRPr="00851C25">
        <w:rPr>
          <w:vertAlign w:val="superscript"/>
          <w:rtl/>
        </w:rPr>
        <w:footnoteReference w:id="5"/>
      </w:r>
      <w:r w:rsidRPr="00851C25">
        <w:rPr>
          <w:vertAlign w:val="superscript"/>
          <w:rtl/>
        </w:rPr>
        <w:t>)</w:t>
      </w:r>
      <w:r w:rsidRPr="00851C25">
        <w:rPr>
          <w:rFonts w:hint="cs"/>
          <w:rtl/>
        </w:rPr>
        <w:t>، يرجى تقديم معلومات عما تتخذه الحكومة من خطوات لكفالة مراعاة التشريعات والسياسات والبرامج التي تبادر بها مختلف الوزارات وتقوم بصياغتها وتنفيذها للمنظور الجنساني وضمانها للمساواة الفعلية بين الجنسين.</w:t>
      </w:r>
    </w:p>
    <w:p w:rsidR="00851C25" w:rsidRPr="00851C25" w:rsidRDefault="00851C25" w:rsidP="00D5749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851C25">
        <w:rPr>
          <w:rFonts w:hint="cs"/>
          <w:rtl/>
        </w:rPr>
        <w:tab/>
      </w:r>
      <w:r w:rsidRPr="00851C25">
        <w:rPr>
          <w:rFonts w:hint="cs"/>
          <w:rtl/>
        </w:rPr>
        <w:tab/>
        <w:t>العنف ضد المرأة</w:t>
      </w:r>
    </w:p>
    <w:p w:rsidR="00851C25" w:rsidRPr="00851C25" w:rsidRDefault="00851C25" w:rsidP="00851C25">
      <w:pPr>
        <w:pStyle w:val="SingleTxt"/>
        <w:rPr>
          <w:rFonts w:hint="cs"/>
          <w:rtl/>
          <w:lang w:bidi="ar"/>
        </w:rPr>
      </w:pPr>
      <w:r w:rsidRPr="00851C25">
        <w:rPr>
          <w:rFonts w:hint="cs"/>
          <w:rtl/>
        </w:rPr>
        <w:t>9 -</w:t>
      </w:r>
      <w:r w:rsidRPr="00851C25">
        <w:rPr>
          <w:rFonts w:hint="cs"/>
          <w:rtl/>
        </w:rPr>
        <w:tab/>
        <w:t xml:space="preserve">سلمت </w:t>
      </w:r>
      <w:r w:rsidRPr="00851C25">
        <w:rPr>
          <w:rtl/>
        </w:rPr>
        <w:t>المقرر</w:t>
      </w:r>
      <w:r w:rsidRPr="00851C25">
        <w:rPr>
          <w:rFonts w:hint="cs"/>
          <w:rtl/>
        </w:rPr>
        <w:t>ة</w:t>
      </w:r>
      <w:r w:rsidRPr="00851C25">
        <w:rPr>
          <w:rtl/>
        </w:rPr>
        <w:t xml:space="preserve"> الخاص</w:t>
      </w:r>
      <w:r w:rsidRPr="00851C25">
        <w:rPr>
          <w:rFonts w:hint="cs"/>
          <w:rtl/>
        </w:rPr>
        <w:t>ة</w:t>
      </w:r>
      <w:r w:rsidRPr="00851C25">
        <w:rPr>
          <w:rtl/>
        </w:rPr>
        <w:t xml:space="preserve"> المعني</w:t>
      </w:r>
      <w:r w:rsidRPr="00851C25">
        <w:rPr>
          <w:rFonts w:hint="cs"/>
          <w:rtl/>
        </w:rPr>
        <w:t>ة</w:t>
      </w:r>
      <w:r w:rsidRPr="00851C25">
        <w:rPr>
          <w:rtl/>
        </w:rPr>
        <w:t xml:space="preserve"> بمسألة العنف ضد المرأة وأسبابه ونتائجه</w:t>
      </w:r>
      <w:r w:rsidRPr="00851C25">
        <w:rPr>
          <w:rFonts w:hint="cs"/>
          <w:rtl/>
        </w:rPr>
        <w:t xml:space="preserve"> باتخاذ عدة مبادرات للحد من العنف العائلي، لكنها اعتبرته مشكلا لا يزال يواجه العديد من النساء (</w:t>
      </w:r>
      <w:r w:rsidRPr="00851C25">
        <w:t>E/CN.4/2003/75/Add.1</w:t>
      </w:r>
      <w:r w:rsidRPr="00851C25">
        <w:rPr>
          <w:rFonts w:hint="cs"/>
          <w:rtl/>
        </w:rPr>
        <w:t xml:space="preserve">، الفقرة 1180). ويشير التقرير إلى أن المحكمة بإمكانها، لدى إصدارها </w:t>
      </w:r>
      <w:r w:rsidRPr="00851C25">
        <w:rPr>
          <w:rFonts w:hint="cs"/>
          <w:rtl/>
          <w:lang w:bidi="ar"/>
        </w:rPr>
        <w:t>أمرا لتوفير الحماية الشخصية</w:t>
      </w:r>
      <w:r w:rsidRPr="00851C25">
        <w:rPr>
          <w:rFonts w:hint="cs"/>
          <w:rtl/>
        </w:rPr>
        <w:t xml:space="preserve">، أن تأمر </w:t>
      </w:r>
      <w:r w:rsidRPr="00851C25">
        <w:rPr>
          <w:rFonts w:hint="cs"/>
          <w:rtl/>
          <w:lang w:bidi="ar"/>
        </w:rPr>
        <w:t xml:space="preserve">مرتكب أعمال العنف والضحية و/أو أفرادا من أسرة الضحية </w:t>
      </w:r>
      <w:r w:rsidR="00D57490">
        <w:rPr>
          <w:rFonts w:hint="cs"/>
          <w:rtl/>
          <w:lang w:bidi="ar"/>
        </w:rPr>
        <w:t>ب</w:t>
      </w:r>
      <w:r w:rsidRPr="00851C25">
        <w:rPr>
          <w:rFonts w:hint="cs"/>
          <w:rtl/>
          <w:lang w:bidi="ar"/>
        </w:rPr>
        <w:t>حضور برنامج لإسداء المشورة أو أي برنامج آخر ذي علاقة، من قبيل برنامج تأهيل أو إنعاش لمرتكبي أعمال العنف أو لضحايا الصدمة النفسية (الفقرة 2-16)، وهو أمر إجباري. يرجى تقديم معلومات عن عدد الأوامر الصادرة عن المحاكم لتوفير برامج إسداء المشورة ومضمون هذه البرامج ومدتها عبر السنوات، وتقييم آثارها من حيث الحد من السلوك العنيف لمرتكبي أعمال العنف، من جهة، والتخفيف من صدمة الضحايا، من جهة أخرى.</w:t>
      </w:r>
    </w:p>
    <w:p w:rsidR="00851C25" w:rsidRPr="00851C25" w:rsidRDefault="00851C25" w:rsidP="00851C25">
      <w:pPr>
        <w:pStyle w:val="SingleTxt"/>
        <w:rPr>
          <w:rFonts w:hint="cs"/>
          <w:rtl/>
          <w:lang w:bidi="ar"/>
        </w:rPr>
      </w:pPr>
      <w:r w:rsidRPr="00851C25">
        <w:rPr>
          <w:rFonts w:hint="cs"/>
          <w:rtl/>
          <w:lang w:bidi="ar"/>
        </w:rPr>
        <w:t>10 -</w:t>
      </w:r>
      <w:r w:rsidRPr="00851C25">
        <w:rPr>
          <w:rFonts w:hint="cs"/>
          <w:rtl/>
          <w:lang w:bidi="ar"/>
        </w:rPr>
        <w:tab/>
      </w:r>
      <w:r w:rsidR="00D57490">
        <w:rPr>
          <w:rFonts w:hint="cs"/>
          <w:rtl/>
          <w:lang w:bidi="ar"/>
        </w:rPr>
        <w:t>و</w:t>
      </w:r>
      <w:r w:rsidRPr="00851C25">
        <w:rPr>
          <w:rFonts w:hint="cs"/>
          <w:rtl/>
          <w:lang w:bidi="ar"/>
        </w:rPr>
        <w:t>يرجى تقديم معلومات تتيح للجنة تكوين فكرة عن نطاق ومدى انتشار مختلف أشكال العنف ضد المرأة في سنغافورة، بما فيها الاغتصاب، والاغتصاب في إطار الزواج، والاعتداء الجنسي، والتحرش الجنسي. ويرجى تضمين ردكم النتائج التي تم التوصل إليها عن طريق دراسات استقصائية بشأن العنف ضد المرأة أو أي بيانات أو معلومات إحصائية متاحة أخرى.</w:t>
      </w:r>
    </w:p>
    <w:p w:rsidR="00851C25" w:rsidRPr="00851C25" w:rsidRDefault="00851C25" w:rsidP="00D5749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
        </w:rPr>
      </w:pPr>
      <w:r w:rsidRPr="00851C25">
        <w:rPr>
          <w:rFonts w:hint="cs"/>
          <w:rtl/>
          <w:lang w:bidi="ar"/>
        </w:rPr>
        <w:tab/>
      </w:r>
      <w:r w:rsidRPr="00851C25">
        <w:rPr>
          <w:rFonts w:hint="cs"/>
          <w:rtl/>
          <w:lang w:bidi="ar"/>
        </w:rPr>
        <w:tab/>
      </w:r>
      <w:r w:rsidRPr="00851C25">
        <w:rPr>
          <w:rFonts w:hint="cs"/>
          <w:rtl/>
        </w:rPr>
        <w:t>الاتجار بالنساء واستغلالهن في البغاء</w:t>
      </w:r>
    </w:p>
    <w:p w:rsidR="00851C25" w:rsidRPr="00851C25" w:rsidRDefault="00851C25" w:rsidP="00851C25">
      <w:pPr>
        <w:pStyle w:val="SingleTxt"/>
        <w:rPr>
          <w:rFonts w:hint="cs"/>
          <w:rtl/>
        </w:rPr>
      </w:pPr>
      <w:r w:rsidRPr="00851C25">
        <w:rPr>
          <w:rFonts w:hint="cs"/>
          <w:rtl/>
          <w:lang w:bidi="ar"/>
        </w:rPr>
        <w:t>11 -</w:t>
      </w:r>
      <w:r w:rsidRPr="00851C25">
        <w:rPr>
          <w:rFonts w:hint="cs"/>
          <w:rtl/>
          <w:lang w:bidi="ar"/>
        </w:rPr>
        <w:tab/>
      </w:r>
      <w:r w:rsidRPr="00851C25">
        <w:rPr>
          <w:rFonts w:hint="cs"/>
          <w:rtl/>
        </w:rPr>
        <w:t xml:space="preserve">فيما يتعلق بالاتجار بالنساء، حثت اللجنة حكومة سنغافورة في تعليقاتها الختامية السابقة على أن </w:t>
      </w:r>
      <w:r w:rsidRPr="00851C25">
        <w:rPr>
          <w:rtl/>
        </w:rPr>
        <w:t>تطبق قوانينها الجنائية بكل صرامة على من يمارسه</w:t>
      </w:r>
      <w:r w:rsidRPr="00851C25">
        <w:rPr>
          <w:rFonts w:hint="cs"/>
          <w:rtl/>
        </w:rPr>
        <w:t xml:space="preserve">، ودعت </w:t>
      </w:r>
      <w:r w:rsidRPr="00851C25">
        <w:rPr>
          <w:rtl/>
        </w:rPr>
        <w:t>الدولة الطرف إلى إدراج معلومات عن الاتجار في تقريرها الدوري المقبل</w:t>
      </w:r>
      <w:r w:rsidRPr="00851C25">
        <w:rPr>
          <w:vertAlign w:val="superscript"/>
          <w:rtl/>
        </w:rPr>
        <w:t>(</w:t>
      </w:r>
      <w:r w:rsidRPr="00851C25">
        <w:rPr>
          <w:vertAlign w:val="superscript"/>
          <w:rtl/>
        </w:rPr>
        <w:footnoteReference w:id="6"/>
      </w:r>
      <w:r w:rsidRPr="00851C25">
        <w:rPr>
          <w:vertAlign w:val="superscript"/>
          <w:rtl/>
        </w:rPr>
        <w:t>)</w:t>
      </w:r>
      <w:r w:rsidRPr="00851C25">
        <w:rPr>
          <w:rFonts w:hint="cs"/>
          <w:rtl/>
        </w:rPr>
        <w:t>. والمعلومات المدرجة في التقرير استجابة لطلب اللجنة كانت قليلة. ولذلك، يرجى تقديم معلومات عن جرائم الاتجار التي حوكم مرتكبوها بنجاح، وعن الأحكام التي صدرت ضدهم، وعن مدى توفير ما يكفي من المساعدة وسبل الانتصاف لضحايا هذه الجرائم من النساء.</w:t>
      </w:r>
    </w:p>
    <w:p w:rsidR="00851C25" w:rsidRPr="00851C25" w:rsidRDefault="00851C25" w:rsidP="00851C25">
      <w:pPr>
        <w:pStyle w:val="SingleTxt"/>
        <w:rPr>
          <w:rFonts w:hint="cs"/>
          <w:rtl/>
        </w:rPr>
      </w:pPr>
      <w:r w:rsidRPr="00851C25">
        <w:rPr>
          <w:rFonts w:hint="cs"/>
          <w:rtl/>
        </w:rPr>
        <w:t>12 -</w:t>
      </w:r>
      <w:r w:rsidRPr="00851C25">
        <w:rPr>
          <w:rFonts w:hint="cs"/>
          <w:rtl/>
        </w:rPr>
        <w:tab/>
        <w:t xml:space="preserve">ويشير </w:t>
      </w:r>
      <w:r w:rsidRPr="00851C25">
        <w:rPr>
          <w:rtl/>
        </w:rPr>
        <w:t>المقرر الخاص المعني ببيع الأطفال واستغلالهم في البغاء وفي إنتاج المواد</w:t>
      </w:r>
      <w:r w:rsidRPr="00851C25">
        <w:rPr>
          <w:rFonts w:hint="cs"/>
          <w:rtl/>
        </w:rPr>
        <w:t xml:space="preserve"> </w:t>
      </w:r>
      <w:r w:rsidRPr="00851C25">
        <w:rPr>
          <w:rtl/>
        </w:rPr>
        <w:t>الإباحية</w:t>
      </w:r>
      <w:r w:rsidRPr="00851C25">
        <w:rPr>
          <w:rFonts w:hint="cs"/>
          <w:rtl/>
        </w:rPr>
        <w:t xml:space="preserve"> (</w:t>
      </w:r>
      <w:r w:rsidRPr="00851C25">
        <w:t>E/CN.4/2005/78/Add.3</w:t>
      </w:r>
      <w:r w:rsidRPr="00851C25">
        <w:rPr>
          <w:rFonts w:hint="cs"/>
          <w:rtl/>
        </w:rPr>
        <w:t>، الفقرة 117) و</w:t>
      </w:r>
      <w:r w:rsidRPr="00851C25">
        <w:rPr>
          <w:rtl/>
        </w:rPr>
        <w:t>المقرر</w:t>
      </w:r>
      <w:r w:rsidRPr="00851C25">
        <w:rPr>
          <w:rFonts w:hint="cs"/>
          <w:rtl/>
        </w:rPr>
        <w:t>ة</w:t>
      </w:r>
      <w:r w:rsidRPr="00851C25">
        <w:rPr>
          <w:rtl/>
        </w:rPr>
        <w:t xml:space="preserve"> الخاص</w:t>
      </w:r>
      <w:r w:rsidRPr="00851C25">
        <w:rPr>
          <w:rFonts w:hint="cs"/>
          <w:rtl/>
        </w:rPr>
        <w:t>ة</w:t>
      </w:r>
      <w:r w:rsidRPr="00851C25">
        <w:rPr>
          <w:rtl/>
        </w:rPr>
        <w:t xml:space="preserve"> المعني</w:t>
      </w:r>
      <w:r w:rsidRPr="00851C25">
        <w:rPr>
          <w:rFonts w:hint="cs"/>
          <w:rtl/>
        </w:rPr>
        <w:t>ة</w:t>
      </w:r>
      <w:r w:rsidRPr="00851C25">
        <w:rPr>
          <w:rtl/>
        </w:rPr>
        <w:t xml:space="preserve"> بمسألة العنف ضد المرأة وأسبابه ونتائجه</w:t>
      </w:r>
      <w:r w:rsidRPr="00851C25">
        <w:rPr>
          <w:rFonts w:hint="cs"/>
          <w:rtl/>
        </w:rPr>
        <w:t xml:space="preserve"> (</w:t>
      </w:r>
      <w:r w:rsidRPr="00851C25">
        <w:t>E/CN.4/2005/72/Add.1</w:t>
      </w:r>
      <w:r w:rsidRPr="00851C25">
        <w:rPr>
          <w:rFonts w:hint="cs"/>
          <w:rtl/>
        </w:rPr>
        <w:t>، الفقرة 192) إلى قضايا اتجار بالنساء الحوامل بهدف بيع أطفالهن بعد ولادتهم، ويقدمان تفاصيل عن الكيفية التي تعمل بها الشبكة. ويفيد المقرران بأن الشبكة تتلقى على ما يقال مبلغا يتراوح بين 000 3 و 500 3 دولار عن كل رحلة إلى سنغافورة لبيع أطفال. فهل حاكمت حكومة سنغافورة أي أشخاص تورطوا في مثل هذه القضايا. وإذا كان الرد بالإيجاب، فيرجى توفير معلومات عن تلك القضايا، وكذلك عن استراتيجيات أخرى لمنع هذا النوع من الاتجار.</w:t>
      </w:r>
    </w:p>
    <w:p w:rsidR="00851C25" w:rsidRPr="00851C25" w:rsidRDefault="00851C25" w:rsidP="00851C25">
      <w:pPr>
        <w:pStyle w:val="SingleTxt"/>
        <w:rPr>
          <w:rFonts w:hint="cs"/>
          <w:rtl/>
        </w:rPr>
      </w:pPr>
      <w:r w:rsidRPr="00851C25">
        <w:rPr>
          <w:rFonts w:hint="cs"/>
          <w:rtl/>
        </w:rPr>
        <w:t>13 -</w:t>
      </w:r>
      <w:r w:rsidRPr="00851C25">
        <w:rPr>
          <w:rFonts w:hint="cs"/>
          <w:rtl/>
        </w:rPr>
        <w:tab/>
        <w:t xml:space="preserve">ويشير التقرير (الفقرة 6-3) إلى أن الحالات المثبتة من حالات الإكراه على البغاء نادرة للغاية (حالتان مثبتتان من أصل الحالات المبلغ عنها البالغ عددها 26 حالة في الفترة الممتدة بين عامي 2002 و 2004). يرجى توضيح أسباب </w:t>
      </w:r>
      <w:r w:rsidRPr="00851C25">
        <w:rPr>
          <w:rFonts w:hint="cs"/>
          <w:rtl/>
          <w:lang w:bidi="ar"/>
        </w:rPr>
        <w:t>انخفاض معدل النجاح</w:t>
      </w:r>
      <w:r w:rsidRPr="00851C25">
        <w:rPr>
          <w:rFonts w:hint="cs"/>
          <w:rtl/>
        </w:rPr>
        <w:t xml:space="preserve"> في محاكمة هذه الجرائم وتبيان ما إذا كان الاتجاه مستمرا في عامي 2005 و 2006.</w:t>
      </w:r>
    </w:p>
    <w:p w:rsidR="00851C25" w:rsidRPr="00851C25" w:rsidRDefault="00851C25" w:rsidP="00D5749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851C25">
        <w:rPr>
          <w:rFonts w:hint="cs"/>
          <w:rtl/>
        </w:rPr>
        <w:tab/>
      </w:r>
      <w:r w:rsidRPr="00851C25">
        <w:rPr>
          <w:rFonts w:hint="cs"/>
          <w:rtl/>
        </w:rPr>
        <w:tab/>
        <w:t>المشاركة في الحياة السياسية والعامة</w:t>
      </w:r>
    </w:p>
    <w:p w:rsidR="00851C25" w:rsidRPr="00851C25" w:rsidRDefault="00851C25" w:rsidP="00851C25">
      <w:pPr>
        <w:pStyle w:val="SingleTxt"/>
        <w:rPr>
          <w:rFonts w:hint="cs"/>
          <w:rtl/>
        </w:rPr>
      </w:pPr>
      <w:r w:rsidRPr="00851C25">
        <w:rPr>
          <w:rFonts w:hint="cs"/>
          <w:rtl/>
        </w:rPr>
        <w:t>14 -</w:t>
      </w:r>
      <w:r w:rsidRPr="00851C25">
        <w:rPr>
          <w:rFonts w:hint="cs"/>
          <w:rtl/>
        </w:rPr>
        <w:tab/>
        <w:t>أوصت اللجنة الحكومة، في تعليقاتها الختامية السابقة</w:t>
      </w:r>
      <w:r w:rsidRPr="00851C25">
        <w:rPr>
          <w:vertAlign w:val="superscript"/>
          <w:rtl/>
        </w:rPr>
        <w:t>(</w:t>
      </w:r>
      <w:r w:rsidRPr="00851C25">
        <w:rPr>
          <w:vertAlign w:val="superscript"/>
          <w:rtl/>
        </w:rPr>
        <w:footnoteReference w:id="7"/>
      </w:r>
      <w:r w:rsidRPr="00851C25">
        <w:rPr>
          <w:vertAlign w:val="superscript"/>
          <w:rtl/>
        </w:rPr>
        <w:t>)</w:t>
      </w:r>
      <w:r w:rsidRPr="00851C25">
        <w:rPr>
          <w:rFonts w:hint="cs"/>
          <w:rtl/>
        </w:rPr>
        <w:t>، ب</w:t>
      </w:r>
      <w:r w:rsidRPr="00851C25">
        <w:rPr>
          <w:rtl/>
        </w:rPr>
        <w:t xml:space="preserve">تعزيز جهودها الرامية إلى توسيع نطاق تمثيل المرأة في دوائر رسم السياسات وصنع القرار </w:t>
      </w:r>
      <w:r w:rsidRPr="00851C25">
        <w:rPr>
          <w:rFonts w:hint="cs"/>
          <w:rtl/>
        </w:rPr>
        <w:t>ب</w:t>
      </w:r>
      <w:r w:rsidRPr="00851C25">
        <w:rPr>
          <w:rtl/>
        </w:rPr>
        <w:t xml:space="preserve">تطبيق مبدأ الجدارة </w:t>
      </w:r>
      <w:r w:rsidRPr="00851C25">
        <w:rPr>
          <w:rFonts w:hint="cs"/>
          <w:rtl/>
        </w:rPr>
        <w:t xml:space="preserve">الذي يراعي المنظور الجنساني </w:t>
      </w:r>
      <w:r w:rsidRPr="00851C25">
        <w:rPr>
          <w:rtl/>
        </w:rPr>
        <w:t xml:space="preserve">واتخاذ </w:t>
      </w:r>
      <w:r w:rsidRPr="00851C25">
        <w:rPr>
          <w:rFonts w:hint="cs"/>
          <w:rtl/>
        </w:rPr>
        <w:t>ال</w:t>
      </w:r>
      <w:r w:rsidRPr="00851C25">
        <w:rPr>
          <w:rtl/>
        </w:rPr>
        <w:t xml:space="preserve">تدابير </w:t>
      </w:r>
      <w:r w:rsidRPr="00851C25">
        <w:rPr>
          <w:rFonts w:hint="cs"/>
          <w:rtl/>
        </w:rPr>
        <w:t xml:space="preserve">التي </w:t>
      </w:r>
      <w:r w:rsidRPr="00851C25">
        <w:rPr>
          <w:rtl/>
        </w:rPr>
        <w:t>تضمن للمرأة تكافؤ الفرص في المشاركة في هذه الم</w:t>
      </w:r>
      <w:r w:rsidRPr="00851C25">
        <w:rPr>
          <w:rFonts w:hint="cs"/>
          <w:rtl/>
        </w:rPr>
        <w:t>يادين</w:t>
      </w:r>
      <w:r w:rsidRPr="00851C25">
        <w:rPr>
          <w:rtl/>
        </w:rPr>
        <w:t xml:space="preserve">. </w:t>
      </w:r>
      <w:r w:rsidRPr="00851C25">
        <w:rPr>
          <w:rFonts w:hint="cs"/>
          <w:rtl/>
        </w:rPr>
        <w:t>وعلى الرغم من تعيين رئيس الوزراء ثلاث نساء في مناصب سياسية في آب/أغسطس 2004 وزيادة تمثيل النساء إلى حد ما في البرلمان، فقد ظلت النساء ممثلات تمثيلا ناقصا في الحياة السياسية وتدنى عدد النساء اللائي يشغلن وظائف في الرتب العليا بالسلك الدبلوماسي. يرجى ذكر ما إذا جرت أي مناقشة بشأن اعتماد تدابير خاصة مؤقتة للسماح بتخصيص معاملة تفضيلية للنساء، بوسائل منها</w:t>
      </w:r>
      <w:r w:rsidR="008F1D4D">
        <w:rPr>
          <w:rFonts w:hint="cs"/>
          <w:rtl/>
        </w:rPr>
        <w:t xml:space="preserve"> الحصص، وفقا للفقرة 1 من المادة</w:t>
      </w:r>
      <w:r w:rsidR="008F1D4D">
        <w:rPr>
          <w:rFonts w:hint="eastAsia"/>
          <w:rtl/>
        </w:rPr>
        <w:t> </w:t>
      </w:r>
      <w:r w:rsidRPr="00851C25">
        <w:rPr>
          <w:rFonts w:hint="cs"/>
          <w:rtl/>
        </w:rPr>
        <w:t>4 من الاتفاقية وتوصيتي اللجنة العامتين 23 و 25.</w:t>
      </w:r>
    </w:p>
    <w:p w:rsidR="00851C25" w:rsidRPr="00851C25" w:rsidRDefault="00851C25" w:rsidP="00453BB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851C25">
        <w:rPr>
          <w:rFonts w:hint="cs"/>
          <w:rtl/>
        </w:rPr>
        <w:tab/>
      </w:r>
      <w:r w:rsidRPr="00851C25">
        <w:rPr>
          <w:rFonts w:hint="cs"/>
          <w:rtl/>
        </w:rPr>
        <w:tab/>
        <w:t>التعليم والقوالب النمطية</w:t>
      </w:r>
    </w:p>
    <w:p w:rsidR="00851C25" w:rsidRPr="00851C25" w:rsidRDefault="00851C25" w:rsidP="00851C25">
      <w:pPr>
        <w:pStyle w:val="SingleTxt"/>
        <w:rPr>
          <w:rFonts w:hint="cs"/>
          <w:rtl/>
        </w:rPr>
      </w:pPr>
      <w:r w:rsidRPr="00851C25">
        <w:rPr>
          <w:rFonts w:hint="cs"/>
          <w:rtl/>
        </w:rPr>
        <w:t>15 -</w:t>
      </w:r>
      <w:r w:rsidRPr="00851C25">
        <w:rPr>
          <w:rFonts w:hint="cs"/>
          <w:rtl/>
        </w:rPr>
        <w:tab/>
        <w:t xml:space="preserve">يشير التقرير إلى القيام بمحاولات واعية لكفالة خلوّ جميع الكتب المدرسية وغيرها من المواد التعليمية </w:t>
      </w:r>
      <w:r w:rsidR="00453BB9">
        <w:rPr>
          <w:rFonts w:hint="cs"/>
          <w:rtl/>
        </w:rPr>
        <w:t>التي تُقر</w:t>
      </w:r>
      <w:r w:rsidRPr="00851C25">
        <w:rPr>
          <w:rFonts w:hint="cs"/>
          <w:rtl/>
        </w:rPr>
        <w:t xml:space="preserve">ها وزارة التعليم من القولبة النمطية لوضع المرأة بشكل ازدرائي ...(الفقرة 5-7). وجاء في التقرير أيضا أنه </w:t>
      </w:r>
      <w:r w:rsidRPr="00851C25">
        <w:rPr>
          <w:rFonts w:hint="eastAsia"/>
          <w:rtl/>
        </w:rPr>
        <w:t>”</w:t>
      </w:r>
      <w:r w:rsidRPr="00851C25">
        <w:rPr>
          <w:rFonts w:hint="cs"/>
          <w:rtl/>
        </w:rPr>
        <w:t>ينبغي تجنب القولبة النمطية الجنسية التي يمكن أن تكون مؤذية و/أو حاطة من القدر“ (الفقرة 5-12). يرجى الإشارة إلى الجهود التي بذلت تحديدا لعكس صورة إيجابية عن المرأة في الكتب المدرسية، وغيرها من المواد التعليمية، وفي وسائل الإعلام، وإلى تأثير تلك التدابير.</w:t>
      </w:r>
    </w:p>
    <w:p w:rsidR="00851C25" w:rsidRPr="00851C25" w:rsidRDefault="00851C25" w:rsidP="00851C25">
      <w:pPr>
        <w:pStyle w:val="SingleTxt"/>
        <w:rPr>
          <w:rFonts w:hint="cs"/>
          <w:rtl/>
        </w:rPr>
      </w:pPr>
      <w:r w:rsidRPr="00851C25">
        <w:rPr>
          <w:rFonts w:hint="cs"/>
          <w:rtl/>
        </w:rPr>
        <w:t>16 -</w:t>
      </w:r>
      <w:r w:rsidRPr="00851C25">
        <w:rPr>
          <w:rFonts w:hint="cs"/>
          <w:rtl/>
        </w:rPr>
        <w:tab/>
      </w:r>
      <w:r w:rsidR="00453BB9">
        <w:rPr>
          <w:rFonts w:hint="cs"/>
          <w:rtl/>
        </w:rPr>
        <w:t>و</w:t>
      </w:r>
      <w:r w:rsidRPr="00851C25">
        <w:rPr>
          <w:rFonts w:hint="cs"/>
          <w:rtl/>
        </w:rPr>
        <w:t xml:space="preserve">ما تأثير إلغاء نظام الحصص لقبول الطالبات لدراسة الطب في </w:t>
      </w:r>
      <w:r w:rsidRPr="00851C25">
        <w:rPr>
          <w:rFonts w:hint="cs"/>
          <w:rtl/>
          <w:lang w:bidi="ar"/>
        </w:rPr>
        <w:t xml:space="preserve">جامعة سنغافورة الوطنية </w:t>
      </w:r>
      <w:r w:rsidRPr="00851C25">
        <w:rPr>
          <w:rFonts w:hint="cs"/>
          <w:rtl/>
        </w:rPr>
        <w:t>منذ عام 2003؟</w:t>
      </w:r>
    </w:p>
    <w:p w:rsidR="00851C25" w:rsidRPr="00851C25" w:rsidRDefault="00851C25" w:rsidP="00851C25">
      <w:pPr>
        <w:pStyle w:val="SingleTxt"/>
        <w:rPr>
          <w:rFonts w:hint="cs"/>
          <w:rtl/>
        </w:rPr>
      </w:pPr>
      <w:r w:rsidRPr="00851C25">
        <w:rPr>
          <w:rFonts w:hint="cs"/>
          <w:rtl/>
        </w:rPr>
        <w:t>17 -</w:t>
      </w:r>
      <w:r w:rsidRPr="00851C25">
        <w:rPr>
          <w:rFonts w:hint="cs"/>
          <w:rtl/>
        </w:rPr>
        <w:tab/>
      </w:r>
      <w:r w:rsidR="00453BB9">
        <w:rPr>
          <w:rFonts w:hint="cs"/>
          <w:rtl/>
        </w:rPr>
        <w:t>و</w:t>
      </w:r>
      <w:r w:rsidRPr="00851C25">
        <w:rPr>
          <w:rFonts w:hint="cs"/>
          <w:rtl/>
        </w:rPr>
        <w:t>يرجى تقديم معلومات عن أي دراسة أو مناقشة أجريت بشأن العلاقة المحتملة بين الوضع القانوني للرجل باعتباره رب الأسرة والقوالب النمطية المتعلقة بدور الجنسين في الأسرة والمجتمع.</w:t>
      </w:r>
    </w:p>
    <w:p w:rsidR="00851C25" w:rsidRPr="00851C25" w:rsidRDefault="00851C25" w:rsidP="00453BB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851C25">
        <w:rPr>
          <w:rFonts w:hint="cs"/>
          <w:rtl/>
        </w:rPr>
        <w:tab/>
      </w:r>
      <w:r w:rsidRPr="00851C25">
        <w:rPr>
          <w:rFonts w:hint="cs"/>
          <w:rtl/>
        </w:rPr>
        <w:tab/>
        <w:t>العمالة والتوفيق بين الحياة المهنية والحياة الأسرية</w:t>
      </w:r>
    </w:p>
    <w:p w:rsidR="00851C25" w:rsidRPr="00851C25" w:rsidRDefault="00851C25" w:rsidP="00851C25">
      <w:pPr>
        <w:pStyle w:val="SingleTxt"/>
        <w:rPr>
          <w:rFonts w:hint="cs"/>
          <w:rtl/>
        </w:rPr>
      </w:pPr>
      <w:r w:rsidRPr="00851C25">
        <w:rPr>
          <w:rFonts w:hint="cs"/>
          <w:rtl/>
        </w:rPr>
        <w:t>18 -</w:t>
      </w:r>
      <w:r w:rsidRPr="00851C25">
        <w:rPr>
          <w:rFonts w:hint="cs"/>
          <w:rtl/>
        </w:rPr>
        <w:tab/>
        <w:t>يرجى تقديم معلومات عن أي أعمال متابعة تمت استجابة للتعليقات الختامية السابقة للجنة المتصلة بالخادمات في المنازل</w:t>
      </w:r>
      <w:r w:rsidRPr="00851C25">
        <w:rPr>
          <w:vertAlign w:val="superscript"/>
          <w:rtl/>
        </w:rPr>
        <w:t>(</w:t>
      </w:r>
      <w:r w:rsidRPr="00851C25">
        <w:rPr>
          <w:vertAlign w:val="superscript"/>
          <w:rtl/>
        </w:rPr>
        <w:footnoteReference w:id="8"/>
      </w:r>
      <w:r w:rsidRPr="00851C25">
        <w:rPr>
          <w:vertAlign w:val="superscript"/>
          <w:rtl/>
        </w:rPr>
        <w:t>)</w:t>
      </w:r>
      <w:r w:rsidRPr="00851C25">
        <w:rPr>
          <w:rFonts w:hint="cs"/>
          <w:rtl/>
        </w:rPr>
        <w:t>. وهل وضعت حكومة سنغافورة أي آليات لرصد وضع الخادمات في المنازل، وما الخبرة التي اكتسبتها من تنفيذ هذه التدابير؟</w:t>
      </w:r>
    </w:p>
    <w:p w:rsidR="00851C25" w:rsidRPr="00851C25" w:rsidRDefault="00851C25" w:rsidP="00851C25">
      <w:pPr>
        <w:pStyle w:val="SingleTxt"/>
        <w:rPr>
          <w:rFonts w:hint="cs"/>
          <w:rtl/>
        </w:rPr>
      </w:pPr>
      <w:r w:rsidRPr="00851C25">
        <w:rPr>
          <w:rFonts w:hint="cs"/>
          <w:rtl/>
        </w:rPr>
        <w:t>19 -</w:t>
      </w:r>
      <w:r w:rsidRPr="00851C25">
        <w:rPr>
          <w:rFonts w:hint="cs"/>
          <w:rtl/>
        </w:rPr>
        <w:tab/>
        <w:t>وما الإجراءات التي تتخذ لسد الفجوة في الأجور بين</w:t>
      </w:r>
      <w:r w:rsidR="008F1D4D">
        <w:rPr>
          <w:rFonts w:hint="cs"/>
          <w:rtl/>
        </w:rPr>
        <w:t xml:space="preserve"> المرأة والرجل التي قيل (الفقرة</w:t>
      </w:r>
      <w:r w:rsidR="008F1D4D">
        <w:rPr>
          <w:rFonts w:hint="eastAsia"/>
          <w:rtl/>
        </w:rPr>
        <w:t> </w:t>
      </w:r>
      <w:r w:rsidRPr="00851C25">
        <w:rPr>
          <w:rFonts w:hint="cs"/>
          <w:rtl/>
        </w:rPr>
        <w:t>11-4) إنها ظلت ثابتة منذ الفترة السابقة المشمولة بالتقرير؟ وما أسباب عدم إحراز تقدم؟</w:t>
      </w:r>
    </w:p>
    <w:p w:rsidR="00851C25" w:rsidRPr="00851C25" w:rsidRDefault="00851C25" w:rsidP="00453BB9">
      <w:pPr>
        <w:pStyle w:val="SingleTxt"/>
        <w:rPr>
          <w:rFonts w:hint="cs"/>
          <w:rtl/>
          <w:lang w:bidi="ar"/>
        </w:rPr>
      </w:pPr>
      <w:r w:rsidRPr="00851C25">
        <w:rPr>
          <w:rFonts w:hint="cs"/>
          <w:rtl/>
        </w:rPr>
        <w:t>20 -</w:t>
      </w:r>
      <w:r w:rsidRPr="00851C25">
        <w:rPr>
          <w:rFonts w:hint="cs"/>
          <w:rtl/>
        </w:rPr>
        <w:tab/>
        <w:t xml:space="preserve">وهل حللت حكومة سنغافورة توصيات </w:t>
      </w:r>
      <w:r w:rsidRPr="00851C25">
        <w:rPr>
          <w:rFonts w:hint="cs"/>
          <w:rtl/>
          <w:lang w:bidi="ar"/>
        </w:rPr>
        <w:t>لجنة الاستعراض الاقتصادي بشأن الاستراتيجية الإنمائية للبلد والتعديلات المدخلة على نظام صندوق الادخار المركزي من منظور جنساني والانعكاسات الممكنة بالنسبة لتنفيذ الاتفاقية</w:t>
      </w:r>
      <w:r w:rsidR="00453BB9">
        <w:rPr>
          <w:rFonts w:hint="cs"/>
          <w:rtl/>
          <w:lang w:bidi="ar"/>
        </w:rPr>
        <w:t>؟</w:t>
      </w:r>
      <w:r w:rsidRPr="00851C25">
        <w:rPr>
          <w:rFonts w:hint="cs"/>
          <w:rtl/>
          <w:lang w:bidi="ar"/>
        </w:rPr>
        <w:t xml:space="preserve"> وإذا فعلت ذلك، فما النتائج التي </w:t>
      </w:r>
      <w:r w:rsidR="00453BB9">
        <w:rPr>
          <w:rFonts w:hint="cs"/>
          <w:rtl/>
          <w:lang w:bidi="ar"/>
        </w:rPr>
        <w:t>تم ال</w:t>
      </w:r>
      <w:r w:rsidRPr="00851C25">
        <w:rPr>
          <w:rFonts w:hint="cs"/>
          <w:rtl/>
          <w:lang w:bidi="ar"/>
        </w:rPr>
        <w:t>توصل إليها وما الإجراءات التي اتخذت تبعا لذلك؟</w:t>
      </w:r>
    </w:p>
    <w:p w:rsidR="00851C25" w:rsidRPr="00851C25" w:rsidRDefault="00851C25" w:rsidP="00851C25">
      <w:pPr>
        <w:pStyle w:val="SingleTxt"/>
        <w:rPr>
          <w:rFonts w:hint="cs"/>
          <w:rtl/>
          <w:lang w:bidi="ar"/>
        </w:rPr>
      </w:pPr>
      <w:r w:rsidRPr="00851C25">
        <w:rPr>
          <w:rFonts w:hint="cs"/>
          <w:rtl/>
          <w:lang w:bidi="ar"/>
        </w:rPr>
        <w:t>21 -</w:t>
      </w:r>
      <w:r w:rsidRPr="00851C25">
        <w:rPr>
          <w:rFonts w:hint="cs"/>
          <w:rtl/>
          <w:lang w:bidi="ar"/>
        </w:rPr>
        <w:tab/>
      </w:r>
      <w:r w:rsidR="00453BB9">
        <w:rPr>
          <w:rFonts w:hint="cs"/>
          <w:rtl/>
          <w:lang w:bidi="ar"/>
        </w:rPr>
        <w:t>و</w:t>
      </w:r>
      <w:r w:rsidRPr="00851C25">
        <w:rPr>
          <w:rFonts w:hint="cs"/>
          <w:rtl/>
          <w:lang w:bidi="ar"/>
        </w:rPr>
        <w:t>يرجى تقديم معلومات عن محاكمة أرباب العمل الذين يعاملون معاملة سيئة العاملات الأجنبيات ويعتدون عليهن، مع الإشارة إلى الأحكام الصادرة في حقهم، وإلى مدى توفير ما يكفي من المساعدة والدعم للضحايا.</w:t>
      </w:r>
    </w:p>
    <w:p w:rsidR="00851C25" w:rsidRPr="00851C25" w:rsidRDefault="00851C25" w:rsidP="00851C25">
      <w:pPr>
        <w:pStyle w:val="SingleTxt"/>
        <w:rPr>
          <w:rFonts w:hint="cs"/>
          <w:rtl/>
        </w:rPr>
      </w:pPr>
      <w:r w:rsidRPr="00851C25">
        <w:rPr>
          <w:rFonts w:hint="cs"/>
          <w:rtl/>
          <w:lang w:bidi="ar"/>
        </w:rPr>
        <w:t>22</w:t>
      </w:r>
      <w:r w:rsidR="008F1D4D">
        <w:rPr>
          <w:rFonts w:hint="cs"/>
          <w:rtl/>
          <w:lang w:bidi="ar"/>
        </w:rPr>
        <w:t xml:space="preserve"> </w:t>
      </w:r>
      <w:r w:rsidRPr="00851C25">
        <w:rPr>
          <w:rFonts w:hint="cs"/>
          <w:rtl/>
          <w:lang w:bidi="ar"/>
        </w:rPr>
        <w:t>-</w:t>
      </w:r>
      <w:r w:rsidRPr="00851C25">
        <w:rPr>
          <w:rFonts w:hint="cs"/>
          <w:rtl/>
          <w:lang w:bidi="ar"/>
        </w:rPr>
        <w:tab/>
        <w:t xml:space="preserve">وهل نظرت حكومة سنغافورة في السماح للموظفين المتزوجين </w:t>
      </w:r>
      <w:r w:rsidRPr="00851C25">
        <w:rPr>
          <w:rFonts w:hint="cs"/>
          <w:rtl/>
        </w:rPr>
        <w:t xml:space="preserve">بأخذ إجازة من غير أجر عن كل طفل دون الرابعة من العمر، </w:t>
      </w:r>
      <w:r w:rsidR="00453BB9" w:rsidRPr="00851C25">
        <w:rPr>
          <w:rFonts w:hint="cs"/>
          <w:rtl/>
        </w:rPr>
        <w:t>أسوة</w:t>
      </w:r>
      <w:r w:rsidRPr="00851C25">
        <w:rPr>
          <w:rFonts w:hint="cs"/>
          <w:rtl/>
        </w:rPr>
        <w:t xml:space="preserve"> بالموظفات المتزوجات (الفقرة 11-64) تعزيزا للجهود الرامية إلى النهوض بالمساواة بين الجنسين ومساعدة الأزواج على التوفيق بين الحياة المهنية والحياة الأسرية؟</w:t>
      </w:r>
    </w:p>
    <w:p w:rsidR="00851C25" w:rsidRPr="00851C25" w:rsidRDefault="00851C25" w:rsidP="00453BB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851C25">
        <w:rPr>
          <w:rFonts w:hint="cs"/>
          <w:rtl/>
        </w:rPr>
        <w:tab/>
      </w:r>
      <w:r w:rsidRPr="00851C25">
        <w:rPr>
          <w:rFonts w:hint="cs"/>
          <w:rtl/>
        </w:rPr>
        <w:tab/>
        <w:t>الصحة</w:t>
      </w:r>
    </w:p>
    <w:p w:rsidR="00851C25" w:rsidRPr="00851C25" w:rsidRDefault="00851C25" w:rsidP="00851C25">
      <w:pPr>
        <w:pStyle w:val="SingleTxt"/>
        <w:rPr>
          <w:rFonts w:hint="cs"/>
          <w:rtl/>
        </w:rPr>
      </w:pPr>
      <w:r w:rsidRPr="00851C25">
        <w:rPr>
          <w:rFonts w:hint="cs"/>
          <w:rtl/>
        </w:rPr>
        <w:t>23 -</w:t>
      </w:r>
      <w:r w:rsidRPr="00851C25">
        <w:rPr>
          <w:rFonts w:hint="cs"/>
          <w:rtl/>
        </w:rPr>
        <w:tab/>
        <w:t>يرجى تقديم إحصاءات موزعة حسب الجنس والعرق عن انتشار فيروس نقص المناعة البشرية/متلازمة نقص المناعة المكتسب (الإيدز)، والإشارة إلى البرامج الوطنية القائمة لمنع انتشار الفيروس والداء في أوساط النساء، بما في ذلك تدابير التوعية والوقاية.</w:t>
      </w:r>
    </w:p>
    <w:p w:rsidR="00851C25" w:rsidRPr="00851C25" w:rsidRDefault="00851C25" w:rsidP="00453BB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851C25">
        <w:rPr>
          <w:rFonts w:hint="cs"/>
          <w:rtl/>
        </w:rPr>
        <w:tab/>
      </w:r>
      <w:r w:rsidRPr="00851C25">
        <w:rPr>
          <w:rFonts w:hint="cs"/>
          <w:rtl/>
        </w:rPr>
        <w:tab/>
        <w:t>حالة فئات معينة من النساء</w:t>
      </w:r>
    </w:p>
    <w:p w:rsidR="00851C25" w:rsidRPr="00851C25" w:rsidRDefault="00851C25" w:rsidP="00453BB9">
      <w:pPr>
        <w:pStyle w:val="SingleTxt"/>
        <w:rPr>
          <w:rFonts w:hint="cs"/>
          <w:rtl/>
        </w:rPr>
      </w:pPr>
      <w:r w:rsidRPr="00851C25">
        <w:rPr>
          <w:rFonts w:hint="cs"/>
          <w:rtl/>
        </w:rPr>
        <w:t>24 -</w:t>
      </w:r>
      <w:r w:rsidRPr="00851C25">
        <w:rPr>
          <w:rFonts w:hint="cs"/>
          <w:rtl/>
        </w:rPr>
        <w:tab/>
        <w:t xml:space="preserve">يرجى تقديم إحصاءات عن مختلف فئات النساء السنغافوريات، بما فيهن المنحدرات من أصل ملايي </w:t>
      </w:r>
      <w:r w:rsidR="00453BB9">
        <w:rPr>
          <w:rFonts w:hint="cs"/>
          <w:rtl/>
        </w:rPr>
        <w:t>أو</w:t>
      </w:r>
      <w:r w:rsidRPr="00851C25">
        <w:rPr>
          <w:rFonts w:hint="cs"/>
          <w:rtl/>
        </w:rPr>
        <w:t xml:space="preserve"> من أصل هندي، في الخدمة المدنية، وعن مشاركتهن في الحياة السياسية، بما في ذلك البرلمان، والإشارة إلى اتجاهات مشاركتهن منذ تقديم التقرير الدوري الثاني.</w:t>
      </w:r>
    </w:p>
    <w:p w:rsidR="00851C25" w:rsidRPr="00851C25" w:rsidRDefault="00851C25" w:rsidP="00851C25">
      <w:pPr>
        <w:pStyle w:val="SingleTxt"/>
        <w:rPr>
          <w:rFonts w:hint="cs"/>
          <w:rtl/>
        </w:rPr>
      </w:pPr>
      <w:r w:rsidRPr="00851C25">
        <w:rPr>
          <w:rFonts w:hint="cs"/>
          <w:rtl/>
        </w:rPr>
        <w:t>25 -</w:t>
      </w:r>
      <w:r w:rsidRPr="00851C25">
        <w:rPr>
          <w:rFonts w:hint="cs"/>
          <w:rtl/>
        </w:rPr>
        <w:tab/>
        <w:t>ويشير التقرير (الفقرة 2-9) إلى أن سكان سنغافورة سائرون بسرعة في طريق الشيخوخة، الأمر الذي يشكل شاغلا اجتماعيا رئيسيا. يرجى وصف السياسات أو البرامج التي وضعت لتوفير الأمن الاقتصادي للمسنين وتقييم تأثيرها في حياة المسنات.</w:t>
      </w:r>
    </w:p>
    <w:p w:rsidR="00851C25" w:rsidRPr="00851C25" w:rsidRDefault="00851C25" w:rsidP="00851C25">
      <w:pPr>
        <w:pStyle w:val="SingleTxt"/>
        <w:rPr>
          <w:rFonts w:hint="cs"/>
          <w:rtl/>
        </w:rPr>
      </w:pPr>
      <w:r w:rsidRPr="00851C25">
        <w:rPr>
          <w:rFonts w:hint="cs"/>
          <w:rtl/>
        </w:rPr>
        <w:t>26 -</w:t>
      </w:r>
      <w:r w:rsidRPr="00851C25">
        <w:rPr>
          <w:rFonts w:hint="cs"/>
          <w:rtl/>
        </w:rPr>
        <w:tab/>
        <w:t>ويرجى تقديم معلومات عن المعوقات من الفتيات والنساء وعن التدابير المتخذة لمعالجة حالتهن الخاصة، كما أوصت بذلك اللجنة في توصيتها العامة 18 المتعلقة بالنساء المعوقات. وينبغي تضمين هذه المعلومات بيانات عن أي تدابير استباقية اتخذت للتقليل من نسبة المعوقات اللائي يتوقفن عن الدراسة في المدارس الابتدائية والثانوية.</w:t>
      </w:r>
    </w:p>
    <w:p w:rsidR="00851C25" w:rsidRPr="00851C25" w:rsidRDefault="00851C25" w:rsidP="00453BB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851C25">
        <w:rPr>
          <w:rFonts w:hint="cs"/>
          <w:rtl/>
        </w:rPr>
        <w:tab/>
      </w:r>
      <w:r w:rsidRPr="00851C25">
        <w:rPr>
          <w:rFonts w:hint="cs"/>
          <w:rtl/>
        </w:rPr>
        <w:tab/>
        <w:t>الزواج والعلاقات الأسرية</w:t>
      </w:r>
    </w:p>
    <w:p w:rsidR="00851C25" w:rsidRPr="00851C25" w:rsidRDefault="00851C25" w:rsidP="00851C25">
      <w:pPr>
        <w:pStyle w:val="SingleTxt"/>
        <w:rPr>
          <w:rFonts w:hint="cs"/>
          <w:rtl/>
        </w:rPr>
      </w:pPr>
      <w:r w:rsidRPr="00851C25">
        <w:rPr>
          <w:rFonts w:hint="cs"/>
          <w:rtl/>
        </w:rPr>
        <w:t>27 -</w:t>
      </w:r>
      <w:r w:rsidRPr="00851C25">
        <w:rPr>
          <w:rFonts w:hint="cs"/>
          <w:rtl/>
        </w:rPr>
        <w:tab/>
        <w:t>يرجى تقديم إيضاحات عن نطاق ميثاق المرأة، وبخاصة أحكامه التي يمكن أن تطبق أو التي طبقت على المرأة المسلمة في مجالات تقسيم أصول الزوجية، وإنفاذ أوامر النفقة، وقانونية الزواج، والحماية من العنف العائلي. وهل تعط</w:t>
      </w:r>
      <w:r w:rsidR="00453BB9">
        <w:rPr>
          <w:rFonts w:hint="cs"/>
          <w:rtl/>
        </w:rPr>
        <w:t>ى</w:t>
      </w:r>
      <w:r w:rsidRPr="00851C25">
        <w:rPr>
          <w:rFonts w:hint="cs"/>
          <w:rtl/>
        </w:rPr>
        <w:t xml:space="preserve"> المرأة المسلمة فرصة للاختيار بين تطبيق الشريعة الإسلامية وتطبيق ميثاق المرأة في حالة بعينها أو بوجه عام؟</w:t>
      </w:r>
    </w:p>
    <w:p w:rsidR="00851C25" w:rsidRPr="00851C25" w:rsidRDefault="00851C25" w:rsidP="00453BB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851C25">
        <w:rPr>
          <w:rFonts w:hint="cs"/>
          <w:rtl/>
        </w:rPr>
        <w:tab/>
      </w:r>
      <w:r w:rsidRPr="00851C25">
        <w:rPr>
          <w:rFonts w:hint="cs"/>
          <w:rtl/>
        </w:rPr>
        <w:tab/>
        <w:t>البروتوكول الاختياري</w:t>
      </w:r>
    </w:p>
    <w:p w:rsidR="00CD3849" w:rsidRDefault="00851C25" w:rsidP="00851C25">
      <w:pPr>
        <w:pStyle w:val="SingleTxt"/>
        <w:rPr>
          <w:rFonts w:hint="cs"/>
          <w:rtl/>
        </w:rPr>
      </w:pPr>
      <w:r w:rsidRPr="00851C25">
        <w:rPr>
          <w:rFonts w:hint="cs"/>
          <w:rtl/>
        </w:rPr>
        <w:t>28 -</w:t>
      </w:r>
      <w:r w:rsidRPr="00851C25">
        <w:rPr>
          <w:rFonts w:hint="cs"/>
          <w:rtl/>
        </w:rPr>
        <w:tab/>
        <w:t>يرجى الإشارة إلى أي تقدم أحرز نحو التصديق على البروتوكول الاختياري للاتفاقية أو الانضمام إليه. ويرجى أيضا وصف التقدم المحرز نحو قبول</w:t>
      </w:r>
      <w:r w:rsidR="008F1D4D">
        <w:rPr>
          <w:rFonts w:hint="cs"/>
          <w:rtl/>
        </w:rPr>
        <w:t xml:space="preserve"> التعديل على الفقرة 1 من المادة</w:t>
      </w:r>
      <w:r w:rsidR="008F1D4D">
        <w:rPr>
          <w:rFonts w:hint="eastAsia"/>
          <w:rtl/>
        </w:rPr>
        <w:t> </w:t>
      </w:r>
      <w:r w:rsidRPr="00851C25">
        <w:rPr>
          <w:rFonts w:hint="cs"/>
          <w:rtl/>
        </w:rPr>
        <w:t>20 من الاتفاقية.</w:t>
      </w:r>
    </w:p>
    <w:p w:rsidR="00453BB9" w:rsidRPr="00453BB9" w:rsidRDefault="00453BB9" w:rsidP="00453BB9">
      <w:pPr>
        <w:pStyle w:val="SingleTxt"/>
        <w:spacing w:after="0" w:line="240" w:lineRule="auto"/>
        <w:rPr>
          <w:rFonts w:hint="cs"/>
          <w:rtl/>
        </w:rPr>
      </w:pPr>
      <w:r>
        <w:rPr>
          <w:rFonts w:hint="cs"/>
          <w:noProof/>
          <w:w w:val="100"/>
          <w:rtl/>
        </w:rPr>
        <w:pict>
          <v:line id="_x0000_s1026" style="position:absolute;left:0;text-align:left;z-index:1" from="206.6pt,24pt" to="278.6pt,24pt" strokeweight=".25pt"/>
        </w:pict>
      </w:r>
    </w:p>
    <w:sectPr w:rsidR="00453BB9" w:rsidRPr="00453BB9" w:rsidSect="00D87BEE">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3-08T14:03:00Z" w:initials="Start">
    <w:p w:rsidR="009C4E9F" w:rsidRDefault="009C4E9F">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NO&gt;&gt;N0725165A&lt;&lt;ODS JOB NO</w:t>
      </w:r>
      <w:r>
        <w:rPr>
          <w:rtl/>
        </w:rPr>
        <w:t>&gt;&gt;</w:t>
      </w:r>
    </w:p>
    <w:p w:rsidR="009C4E9F" w:rsidRDefault="009C4E9F">
      <w:pPr>
        <w:pStyle w:val="CommentText"/>
        <w:rPr>
          <w:rtl/>
        </w:rPr>
      </w:pPr>
      <w:r>
        <w:rPr>
          <w:rtl/>
        </w:rPr>
        <w:t>&lt;&lt;</w:t>
      </w:r>
      <w:r>
        <w:t>ODS DOC SYMBOL1&gt;&gt;CEDAW/C/SGP/Q/3&lt;&lt;ODS DOC SYMBOL1</w:t>
      </w:r>
      <w:r>
        <w:rPr>
          <w:rtl/>
        </w:rPr>
        <w:t>&gt;&gt;</w:t>
      </w:r>
    </w:p>
    <w:p w:rsidR="009C4E9F" w:rsidRDefault="009C4E9F">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E9F" w:rsidRDefault="009C4E9F">
      <w:r>
        <w:separator/>
      </w:r>
    </w:p>
  </w:endnote>
  <w:endnote w:type="continuationSeparator" w:id="0">
    <w:p w:rsidR="009C4E9F" w:rsidRDefault="009C4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9C4E9F">
      <w:tblPrEx>
        <w:tblCellMar>
          <w:top w:w="0" w:type="dxa"/>
          <w:bottom w:w="0" w:type="dxa"/>
        </w:tblCellMar>
      </w:tblPrEx>
      <w:tc>
        <w:tcPr>
          <w:tcW w:w="5033" w:type="dxa"/>
          <w:shd w:val="clear" w:color="auto" w:fill="auto"/>
        </w:tcPr>
        <w:p w:rsidR="009C4E9F" w:rsidRPr="00D87BEE" w:rsidRDefault="009C4E9F" w:rsidP="00D87BEE">
          <w:pPr>
            <w:pStyle w:val="Footer"/>
            <w:jc w:val="right"/>
            <w:rPr>
              <w:w w:val="103"/>
            </w:rPr>
          </w:pPr>
          <w:r>
            <w:rPr>
              <w:w w:val="103"/>
            </w:rPr>
            <w:fldChar w:fldCharType="begin"/>
          </w:r>
          <w:r>
            <w:rPr>
              <w:w w:val="103"/>
            </w:rPr>
            <w:instrText xml:space="preserve"> PAGE  \* MERGEFORMAT </w:instrText>
          </w:r>
          <w:r>
            <w:rPr>
              <w:w w:val="103"/>
            </w:rPr>
            <w:fldChar w:fldCharType="separate"/>
          </w:r>
          <w:r w:rsidR="001D0817">
            <w:rPr>
              <w:w w:val="103"/>
            </w:rPr>
            <w:t>6</w:t>
          </w:r>
          <w:r>
            <w:rPr>
              <w:w w:val="103"/>
            </w:rPr>
            <w:fldChar w:fldCharType="end"/>
          </w:r>
        </w:p>
      </w:tc>
      <w:tc>
        <w:tcPr>
          <w:tcW w:w="5033" w:type="dxa"/>
          <w:shd w:val="clear" w:color="auto" w:fill="auto"/>
        </w:tcPr>
        <w:p w:rsidR="009C4E9F" w:rsidRPr="00D87BEE" w:rsidRDefault="009C4E9F" w:rsidP="00D87BEE">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07-25165</w:t>
          </w:r>
          <w:r>
            <w:rPr>
              <w:b w:val="0"/>
              <w:w w:val="103"/>
            </w:rPr>
            <w:fldChar w:fldCharType="end"/>
          </w:r>
        </w:p>
      </w:tc>
    </w:tr>
  </w:tbl>
  <w:p w:rsidR="009C4E9F" w:rsidRPr="00D87BEE" w:rsidRDefault="009C4E9F" w:rsidP="00D87B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9C4E9F">
      <w:tblPrEx>
        <w:tblCellMar>
          <w:top w:w="0" w:type="dxa"/>
          <w:bottom w:w="0" w:type="dxa"/>
        </w:tblCellMar>
      </w:tblPrEx>
      <w:tc>
        <w:tcPr>
          <w:tcW w:w="5033" w:type="dxa"/>
          <w:shd w:val="clear" w:color="auto" w:fill="auto"/>
        </w:tcPr>
        <w:p w:rsidR="009C4E9F" w:rsidRPr="00D87BEE" w:rsidRDefault="009C4E9F" w:rsidP="00D87BEE">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07-25165</w:t>
          </w:r>
          <w:r>
            <w:rPr>
              <w:b w:val="0"/>
              <w:w w:val="103"/>
            </w:rPr>
            <w:fldChar w:fldCharType="end"/>
          </w:r>
        </w:p>
      </w:tc>
      <w:tc>
        <w:tcPr>
          <w:tcW w:w="5033" w:type="dxa"/>
          <w:shd w:val="clear" w:color="auto" w:fill="auto"/>
        </w:tcPr>
        <w:p w:rsidR="009C4E9F" w:rsidRPr="00D87BEE" w:rsidRDefault="009C4E9F" w:rsidP="00D87BEE">
          <w:pPr>
            <w:pStyle w:val="Footer"/>
            <w:rPr>
              <w:w w:val="103"/>
            </w:rPr>
          </w:pPr>
          <w:r>
            <w:rPr>
              <w:w w:val="103"/>
            </w:rPr>
            <w:fldChar w:fldCharType="begin"/>
          </w:r>
          <w:r>
            <w:rPr>
              <w:w w:val="103"/>
            </w:rPr>
            <w:instrText xml:space="preserve"> PAGE  \* MERGEFORMAT </w:instrText>
          </w:r>
          <w:r>
            <w:rPr>
              <w:w w:val="103"/>
            </w:rPr>
            <w:fldChar w:fldCharType="separate"/>
          </w:r>
          <w:r w:rsidR="001D0817">
            <w:rPr>
              <w:w w:val="103"/>
            </w:rPr>
            <w:t>5</w:t>
          </w:r>
          <w:r>
            <w:rPr>
              <w:w w:val="103"/>
            </w:rPr>
            <w:fldChar w:fldCharType="end"/>
          </w:r>
        </w:p>
      </w:tc>
    </w:tr>
  </w:tbl>
  <w:p w:rsidR="009C4E9F" w:rsidRPr="00D87BEE" w:rsidRDefault="009C4E9F" w:rsidP="00D87B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E9F" w:rsidRDefault="009C4E9F">
    <w:pPr>
      <w:pStyle w:val="Footer"/>
    </w:pPr>
  </w:p>
  <w:p w:rsidR="009C4E9F" w:rsidRDefault="009C4E9F" w:rsidP="009C4E9F">
    <w:pPr>
      <w:pStyle w:val="Footer"/>
      <w:jc w:val="right"/>
      <w:rPr>
        <w:rFonts w:cs="Times New Roman"/>
        <w:b w:val="0"/>
        <w:w w:val="103"/>
        <w:sz w:val="20"/>
      </w:rPr>
    </w:pPr>
    <w:r>
      <w:rPr>
        <w:rFonts w:cs="Times New Roman"/>
        <w:b w:val="0"/>
        <w:w w:val="103"/>
        <w:sz w:val="20"/>
      </w:rPr>
      <w:t xml:space="preserve">090307    080307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07-25165 (A)</w:t>
    </w:r>
    <w:r>
      <w:rPr>
        <w:rFonts w:cs="Times New Roman"/>
        <w:b w:val="0"/>
        <w:w w:val="103"/>
        <w:sz w:val="20"/>
      </w:rPr>
      <w:fldChar w:fldCharType="end"/>
    </w:r>
  </w:p>
  <w:p w:rsidR="009C4E9F" w:rsidRPr="00D87BEE" w:rsidRDefault="009C4E9F" w:rsidP="00D87BEE">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*0725165*</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E9F" w:rsidRPr="00704823" w:rsidRDefault="009C4E9F" w:rsidP="00704823">
      <w:pPr>
        <w:pStyle w:val="Footer"/>
        <w:bidi/>
        <w:spacing w:after="80"/>
        <w:ind w:left="792"/>
        <w:rPr>
          <w:sz w:val="16"/>
        </w:rPr>
      </w:pPr>
      <w:r w:rsidRPr="00704823">
        <w:rPr>
          <w:sz w:val="16"/>
          <w:rtl/>
        </w:rPr>
        <w:t>__________</w:t>
      </w:r>
    </w:p>
  </w:footnote>
  <w:footnote w:type="continuationSeparator" w:id="0">
    <w:p w:rsidR="009C4E9F" w:rsidRPr="00704823" w:rsidRDefault="009C4E9F" w:rsidP="00704823">
      <w:pPr>
        <w:pStyle w:val="Footer"/>
        <w:spacing w:after="80"/>
        <w:ind w:left="792"/>
        <w:rPr>
          <w:sz w:val="16"/>
        </w:rPr>
      </w:pPr>
      <w:r w:rsidRPr="00704823">
        <w:rPr>
          <w:sz w:val="16"/>
        </w:rPr>
        <w:t>__________</w:t>
      </w:r>
    </w:p>
  </w:footnote>
  <w:footnote w:id="1">
    <w:p w:rsidR="009C4E9F" w:rsidRPr="00704823" w:rsidRDefault="009C4E9F" w:rsidP="00704823">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704823">
        <w:rPr>
          <w:w w:val="103"/>
          <w:rtl/>
        </w:rPr>
        <w:t>(</w:t>
      </w:r>
      <w:r w:rsidRPr="00704823">
        <w:rPr>
          <w:rStyle w:val="FootnoteReference"/>
          <w:spacing w:val="0"/>
          <w:w w:val="103"/>
          <w:vertAlign w:val="baseline"/>
          <w:rtl/>
        </w:rPr>
        <w:footnoteRef/>
      </w:r>
      <w:r w:rsidRPr="00704823">
        <w:rPr>
          <w:w w:val="103"/>
          <w:rtl/>
        </w:rPr>
        <w:t>)</w:t>
      </w:r>
      <w:r w:rsidRPr="00704823">
        <w:rPr>
          <w:w w:val="103"/>
          <w:rtl/>
        </w:rPr>
        <w:tab/>
      </w:r>
      <w:r>
        <w:rPr>
          <w:rFonts w:hint="cs"/>
          <w:rtl/>
        </w:rPr>
        <w:t xml:space="preserve">انظر </w:t>
      </w:r>
      <w:r w:rsidRPr="00892FC2">
        <w:rPr>
          <w:rFonts w:hint="cs"/>
          <w:i/>
          <w:iCs/>
          <w:rtl/>
        </w:rPr>
        <w:t>الوثائق الرسمية للجمعية العامة، الدورة السادسة والخمسون، الملحق رقم 38</w:t>
      </w:r>
      <w:r>
        <w:rPr>
          <w:rFonts w:hint="cs"/>
          <w:rtl/>
        </w:rPr>
        <w:t xml:space="preserve"> (</w:t>
      </w:r>
      <w:r>
        <w:t>A/56/38</w:t>
      </w:r>
      <w:r>
        <w:rPr>
          <w:rFonts w:hint="cs"/>
          <w:rtl/>
        </w:rPr>
        <w:t>)، الجزء الثاني، الفصل الرابع، الفرع باء، الفقرة 96.</w:t>
      </w:r>
    </w:p>
  </w:footnote>
  <w:footnote w:id="2">
    <w:p w:rsidR="009C4E9F" w:rsidRDefault="009C4E9F" w:rsidP="00851C25">
      <w:pPr>
        <w:pStyle w:val="FootnoteText"/>
        <w:tabs>
          <w:tab w:val="clear" w:pos="418"/>
          <w:tab w:val="right" w:pos="1195"/>
          <w:tab w:val="left" w:pos="1267"/>
          <w:tab w:val="left" w:pos="1656"/>
          <w:tab w:val="left" w:pos="2088"/>
        </w:tabs>
        <w:spacing w:after="80"/>
        <w:ind w:left="1267" w:right="1267" w:hanging="547"/>
        <w:rPr>
          <w:rFonts w:hint="cs"/>
          <w:rtl/>
        </w:rPr>
      </w:pPr>
      <w:r>
        <w:rPr>
          <w:rtl/>
        </w:rPr>
        <w:tab/>
      </w:r>
      <w:r w:rsidRPr="00170A53">
        <w:rPr>
          <w:w w:val="103"/>
          <w:rtl/>
        </w:rPr>
        <w:t>(</w:t>
      </w:r>
      <w:r w:rsidRPr="00170A53">
        <w:rPr>
          <w:rStyle w:val="FootnoteReference"/>
          <w:spacing w:val="0"/>
          <w:w w:val="103"/>
          <w:vertAlign w:val="baseline"/>
          <w:rtl/>
        </w:rPr>
        <w:footnoteRef/>
      </w:r>
      <w:r w:rsidRPr="00170A53">
        <w:rPr>
          <w:w w:val="103"/>
          <w:rtl/>
        </w:rPr>
        <w:t>)</w:t>
      </w:r>
      <w:r>
        <w:rPr>
          <w:rFonts w:hint="cs"/>
          <w:rtl/>
        </w:rPr>
        <w:tab/>
        <w:t>المرجع نفسه، الفقرة 72.</w:t>
      </w:r>
    </w:p>
  </w:footnote>
  <w:footnote w:id="3">
    <w:p w:rsidR="009C4E9F" w:rsidRDefault="009C4E9F" w:rsidP="00851C25">
      <w:pPr>
        <w:pStyle w:val="FootnoteText"/>
        <w:tabs>
          <w:tab w:val="clear" w:pos="418"/>
          <w:tab w:val="right" w:pos="1195"/>
          <w:tab w:val="left" w:pos="1267"/>
          <w:tab w:val="left" w:pos="1656"/>
          <w:tab w:val="left" w:pos="2088"/>
        </w:tabs>
        <w:spacing w:after="80"/>
        <w:ind w:left="1267" w:right="1267" w:hanging="547"/>
        <w:rPr>
          <w:rFonts w:hint="cs"/>
          <w:rtl/>
        </w:rPr>
      </w:pPr>
      <w:r>
        <w:rPr>
          <w:rtl/>
        </w:rPr>
        <w:tab/>
      </w:r>
      <w:r w:rsidRPr="00170A53">
        <w:rPr>
          <w:w w:val="103"/>
          <w:rtl/>
        </w:rPr>
        <w:t>(</w:t>
      </w:r>
      <w:r w:rsidRPr="00170A53">
        <w:rPr>
          <w:rStyle w:val="FootnoteReference"/>
          <w:spacing w:val="0"/>
          <w:w w:val="103"/>
          <w:vertAlign w:val="baseline"/>
          <w:rtl/>
        </w:rPr>
        <w:footnoteRef/>
      </w:r>
      <w:r>
        <w:rPr>
          <w:rFonts w:hint="cs"/>
          <w:rtl/>
        </w:rPr>
        <w:t>)</w:t>
      </w:r>
      <w:r>
        <w:rPr>
          <w:rFonts w:hint="cs"/>
          <w:rtl/>
        </w:rPr>
        <w:tab/>
        <w:t>المرجع نفسه، الفقرات 74-76.</w:t>
      </w:r>
    </w:p>
  </w:footnote>
  <w:footnote w:id="4">
    <w:p w:rsidR="009C4E9F" w:rsidRDefault="009C4E9F" w:rsidP="00851C25">
      <w:pPr>
        <w:pStyle w:val="FootnoteText"/>
        <w:tabs>
          <w:tab w:val="clear" w:pos="418"/>
          <w:tab w:val="right" w:pos="1195"/>
          <w:tab w:val="left" w:pos="1267"/>
          <w:tab w:val="left" w:pos="1656"/>
          <w:tab w:val="left" w:pos="2088"/>
        </w:tabs>
        <w:spacing w:after="80"/>
        <w:ind w:left="1267" w:right="1267" w:hanging="547"/>
        <w:rPr>
          <w:rFonts w:hint="cs"/>
          <w:rtl/>
        </w:rPr>
      </w:pPr>
      <w:r>
        <w:rPr>
          <w:rtl/>
        </w:rPr>
        <w:tab/>
      </w:r>
      <w:r w:rsidRPr="000665AF">
        <w:rPr>
          <w:w w:val="103"/>
          <w:rtl/>
        </w:rPr>
        <w:t>(</w:t>
      </w:r>
      <w:r w:rsidRPr="000665AF">
        <w:rPr>
          <w:rStyle w:val="FootnoteReference"/>
          <w:spacing w:val="0"/>
          <w:w w:val="103"/>
          <w:vertAlign w:val="baseline"/>
          <w:rtl/>
        </w:rPr>
        <w:footnoteRef/>
      </w:r>
      <w:r w:rsidRPr="000665AF">
        <w:rPr>
          <w:w w:val="103"/>
          <w:rtl/>
        </w:rPr>
        <w:t>)</w:t>
      </w:r>
      <w:r>
        <w:rPr>
          <w:rFonts w:hint="cs"/>
          <w:rtl/>
        </w:rPr>
        <w:tab/>
        <w:t>المرجع نفسه، الفقرة 89.</w:t>
      </w:r>
    </w:p>
  </w:footnote>
  <w:footnote w:id="5">
    <w:p w:rsidR="009C4E9F" w:rsidRDefault="009C4E9F" w:rsidP="00851C25">
      <w:pPr>
        <w:pStyle w:val="FootnoteText"/>
        <w:tabs>
          <w:tab w:val="clear" w:pos="418"/>
          <w:tab w:val="right" w:pos="1195"/>
          <w:tab w:val="left" w:pos="1267"/>
          <w:tab w:val="left" w:pos="1656"/>
          <w:tab w:val="left" w:pos="2088"/>
        </w:tabs>
        <w:spacing w:after="80"/>
        <w:ind w:left="1267" w:right="1267" w:hanging="547"/>
        <w:rPr>
          <w:rFonts w:hint="cs"/>
          <w:rtl/>
        </w:rPr>
      </w:pPr>
      <w:r>
        <w:rPr>
          <w:rtl/>
        </w:rPr>
        <w:tab/>
      </w:r>
      <w:r w:rsidRPr="00F82F13">
        <w:rPr>
          <w:w w:val="103"/>
          <w:rtl/>
        </w:rPr>
        <w:t>(</w:t>
      </w:r>
      <w:r w:rsidRPr="00F82F13">
        <w:rPr>
          <w:rStyle w:val="FootnoteReference"/>
          <w:spacing w:val="0"/>
          <w:w w:val="103"/>
          <w:vertAlign w:val="baseline"/>
          <w:rtl/>
        </w:rPr>
        <w:footnoteRef/>
      </w:r>
      <w:r w:rsidRPr="00F82F13">
        <w:rPr>
          <w:w w:val="103"/>
          <w:rtl/>
        </w:rPr>
        <w:t>)</w:t>
      </w:r>
      <w:r>
        <w:rPr>
          <w:rFonts w:hint="cs"/>
          <w:rtl/>
        </w:rPr>
        <w:tab/>
        <w:t>المرجع نفسه، الفقرة 83.</w:t>
      </w:r>
    </w:p>
  </w:footnote>
  <w:footnote w:id="6">
    <w:p w:rsidR="009C4E9F" w:rsidRDefault="009C4E9F" w:rsidP="00851C25">
      <w:pPr>
        <w:pStyle w:val="FootnoteText"/>
        <w:tabs>
          <w:tab w:val="clear" w:pos="418"/>
          <w:tab w:val="right" w:pos="1195"/>
          <w:tab w:val="left" w:pos="1267"/>
          <w:tab w:val="left" w:pos="1656"/>
          <w:tab w:val="left" w:pos="2088"/>
        </w:tabs>
        <w:spacing w:after="80"/>
        <w:ind w:left="1267" w:right="1267" w:hanging="547"/>
        <w:rPr>
          <w:rFonts w:hint="cs"/>
          <w:rtl/>
        </w:rPr>
      </w:pPr>
      <w:r>
        <w:rPr>
          <w:rtl/>
        </w:rPr>
        <w:tab/>
      </w:r>
      <w:r w:rsidRPr="007869AB">
        <w:rPr>
          <w:w w:val="103"/>
          <w:rtl/>
        </w:rPr>
        <w:t>(</w:t>
      </w:r>
      <w:r w:rsidRPr="007869AB">
        <w:rPr>
          <w:rStyle w:val="FootnoteReference"/>
          <w:spacing w:val="0"/>
          <w:w w:val="103"/>
          <w:vertAlign w:val="baseline"/>
          <w:rtl/>
        </w:rPr>
        <w:footnoteRef/>
      </w:r>
      <w:r w:rsidRPr="007869AB">
        <w:rPr>
          <w:w w:val="103"/>
          <w:rtl/>
        </w:rPr>
        <w:t>)</w:t>
      </w:r>
      <w:r>
        <w:rPr>
          <w:rFonts w:hint="cs"/>
          <w:rtl/>
        </w:rPr>
        <w:tab/>
        <w:t>المرجع نفسه، الفقرة 91.</w:t>
      </w:r>
    </w:p>
  </w:footnote>
  <w:footnote w:id="7">
    <w:p w:rsidR="009C4E9F" w:rsidRDefault="009C4E9F" w:rsidP="00851C25">
      <w:pPr>
        <w:pStyle w:val="FootnoteText"/>
        <w:tabs>
          <w:tab w:val="clear" w:pos="418"/>
          <w:tab w:val="right" w:pos="1195"/>
          <w:tab w:val="left" w:pos="1267"/>
          <w:tab w:val="left" w:pos="1656"/>
          <w:tab w:val="left" w:pos="2088"/>
        </w:tabs>
        <w:spacing w:after="80"/>
        <w:ind w:left="1267" w:right="1267" w:hanging="547"/>
        <w:rPr>
          <w:rFonts w:hint="cs"/>
          <w:rtl/>
        </w:rPr>
      </w:pPr>
      <w:r>
        <w:rPr>
          <w:rtl/>
        </w:rPr>
        <w:tab/>
      </w:r>
      <w:r w:rsidRPr="009870B2">
        <w:rPr>
          <w:w w:val="103"/>
          <w:rtl/>
        </w:rPr>
        <w:t>(</w:t>
      </w:r>
      <w:r w:rsidRPr="009870B2">
        <w:rPr>
          <w:rStyle w:val="FootnoteReference"/>
          <w:spacing w:val="0"/>
          <w:w w:val="103"/>
          <w:vertAlign w:val="baseline"/>
          <w:rtl/>
        </w:rPr>
        <w:footnoteRef/>
      </w:r>
      <w:r w:rsidRPr="009870B2">
        <w:rPr>
          <w:w w:val="103"/>
          <w:rtl/>
        </w:rPr>
        <w:t>)</w:t>
      </w:r>
      <w:r>
        <w:rPr>
          <w:rFonts w:hint="cs"/>
          <w:rtl/>
        </w:rPr>
        <w:tab/>
        <w:t>المرجع نفسه، الفقرة 88.</w:t>
      </w:r>
    </w:p>
  </w:footnote>
  <w:footnote w:id="8">
    <w:p w:rsidR="009C4E9F" w:rsidRDefault="009C4E9F" w:rsidP="00851C25">
      <w:pPr>
        <w:pStyle w:val="FootnoteText"/>
        <w:tabs>
          <w:tab w:val="clear" w:pos="418"/>
          <w:tab w:val="right" w:pos="1195"/>
          <w:tab w:val="left" w:pos="1267"/>
          <w:tab w:val="left" w:pos="1656"/>
          <w:tab w:val="left" w:pos="2088"/>
        </w:tabs>
        <w:spacing w:after="80"/>
        <w:ind w:left="1267" w:right="1267" w:hanging="547"/>
        <w:rPr>
          <w:rFonts w:hint="cs"/>
          <w:rtl/>
        </w:rPr>
      </w:pPr>
      <w:r>
        <w:rPr>
          <w:rtl/>
        </w:rPr>
        <w:tab/>
      </w:r>
      <w:r w:rsidRPr="00B76DA4">
        <w:rPr>
          <w:w w:val="103"/>
          <w:rtl/>
        </w:rPr>
        <w:t>(</w:t>
      </w:r>
      <w:r w:rsidRPr="00B76DA4">
        <w:rPr>
          <w:rStyle w:val="FootnoteReference"/>
          <w:spacing w:val="0"/>
          <w:w w:val="103"/>
          <w:vertAlign w:val="baseline"/>
          <w:rtl/>
        </w:rPr>
        <w:footnoteRef/>
      </w:r>
      <w:r w:rsidRPr="00B76DA4">
        <w:rPr>
          <w:w w:val="103"/>
          <w:rtl/>
        </w:rPr>
        <w:t>)</w:t>
      </w:r>
      <w:r>
        <w:rPr>
          <w:rFonts w:hint="cs"/>
          <w:rtl/>
        </w:rPr>
        <w:tab/>
        <w:t>المرجع نفسه، الفقرتان 77 و 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5"/>
      <w:gridCol w:w="4945"/>
    </w:tblGrid>
    <w:tr w:rsidR="009C4E9F">
      <w:tblPrEx>
        <w:tblCellMar>
          <w:top w:w="0" w:type="dxa"/>
          <w:bottom w:w="0" w:type="dxa"/>
        </w:tblCellMar>
      </w:tblPrEx>
      <w:trPr>
        <w:trHeight w:hRule="exact" w:val="864"/>
        <w:jc w:val="center"/>
      </w:trPr>
      <w:tc>
        <w:tcPr>
          <w:tcW w:w="5033" w:type="dxa"/>
          <w:shd w:val="clear" w:color="auto" w:fill="auto"/>
          <w:vAlign w:val="bottom"/>
        </w:tcPr>
        <w:p w:rsidR="009C4E9F" w:rsidRDefault="009C4E9F" w:rsidP="00D87BEE">
          <w:pPr>
            <w:pStyle w:val="Header"/>
            <w:bidi/>
            <w:jc w:val="right"/>
          </w:pPr>
        </w:p>
      </w:tc>
      <w:tc>
        <w:tcPr>
          <w:tcW w:w="5033" w:type="dxa"/>
          <w:shd w:val="clear" w:color="auto" w:fill="auto"/>
          <w:vAlign w:val="bottom"/>
        </w:tcPr>
        <w:p w:rsidR="009C4E9F" w:rsidRPr="00D87BEE" w:rsidRDefault="009C4E9F" w:rsidP="00D87BEE">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CEDAW/C/SGP/Q/3</w:t>
          </w:r>
          <w:r>
            <w:rPr>
              <w:w w:val="103"/>
            </w:rPr>
            <w:fldChar w:fldCharType="end"/>
          </w:r>
        </w:p>
      </w:tc>
    </w:tr>
  </w:tbl>
  <w:p w:rsidR="009C4E9F" w:rsidRPr="00D87BEE" w:rsidRDefault="009C4E9F" w:rsidP="00D87B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5"/>
      <w:gridCol w:w="4905"/>
    </w:tblGrid>
    <w:tr w:rsidR="009C4E9F">
      <w:tblPrEx>
        <w:tblCellMar>
          <w:top w:w="0" w:type="dxa"/>
          <w:bottom w:w="0" w:type="dxa"/>
        </w:tblCellMar>
      </w:tblPrEx>
      <w:trPr>
        <w:trHeight w:hRule="exact" w:val="864"/>
        <w:jc w:val="center"/>
      </w:trPr>
      <w:tc>
        <w:tcPr>
          <w:tcW w:w="5033" w:type="dxa"/>
          <w:shd w:val="clear" w:color="auto" w:fill="auto"/>
          <w:vAlign w:val="bottom"/>
        </w:tcPr>
        <w:p w:rsidR="009C4E9F" w:rsidRPr="00D87BEE" w:rsidRDefault="009C4E9F" w:rsidP="00D87BEE">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CEDAW/C/SGP/Q/3</w:t>
          </w:r>
          <w:r>
            <w:rPr>
              <w:w w:val="103"/>
            </w:rPr>
            <w:fldChar w:fldCharType="end"/>
          </w:r>
        </w:p>
      </w:tc>
      <w:tc>
        <w:tcPr>
          <w:tcW w:w="5033" w:type="dxa"/>
          <w:shd w:val="clear" w:color="auto" w:fill="auto"/>
          <w:vAlign w:val="bottom"/>
        </w:tcPr>
        <w:p w:rsidR="009C4E9F" w:rsidRDefault="009C4E9F" w:rsidP="00D87BEE">
          <w:pPr>
            <w:pStyle w:val="Header"/>
          </w:pPr>
        </w:p>
      </w:tc>
    </w:tr>
  </w:tbl>
  <w:p w:rsidR="009C4E9F" w:rsidRPr="00D87BEE" w:rsidRDefault="009C4E9F" w:rsidP="00D87B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9C4E9F">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9C4E9F" w:rsidRDefault="009C4E9F" w:rsidP="00D87BEE">
          <w:pPr>
            <w:pStyle w:val="Header"/>
            <w:spacing w:after="120"/>
          </w:pPr>
        </w:p>
      </w:tc>
      <w:tc>
        <w:tcPr>
          <w:tcW w:w="1786" w:type="dxa"/>
          <w:tcBorders>
            <w:bottom w:val="single" w:sz="4" w:space="0" w:color="auto"/>
          </w:tcBorders>
          <w:shd w:val="clear" w:color="auto" w:fill="auto"/>
          <w:vAlign w:val="bottom"/>
        </w:tcPr>
        <w:p w:rsidR="009C4E9F" w:rsidRPr="00D87BEE" w:rsidRDefault="009C4E9F" w:rsidP="00D87BEE">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9C4E9F" w:rsidRDefault="009C4E9F" w:rsidP="00D87BEE">
          <w:pPr>
            <w:pStyle w:val="Header"/>
            <w:spacing w:after="120"/>
          </w:pPr>
        </w:p>
      </w:tc>
      <w:tc>
        <w:tcPr>
          <w:tcW w:w="6523" w:type="dxa"/>
          <w:gridSpan w:val="3"/>
          <w:tcBorders>
            <w:bottom w:val="single" w:sz="4" w:space="0" w:color="auto"/>
          </w:tcBorders>
          <w:shd w:val="clear" w:color="auto" w:fill="auto"/>
          <w:vAlign w:val="bottom"/>
        </w:tcPr>
        <w:p w:rsidR="009C4E9F" w:rsidRPr="00D87BEE" w:rsidRDefault="009C4E9F" w:rsidP="00D87BEE">
          <w:pPr>
            <w:spacing w:line="380" w:lineRule="exact"/>
            <w:jc w:val="right"/>
          </w:pPr>
          <w:r>
            <w:rPr>
              <w:sz w:val="40"/>
            </w:rPr>
            <w:t>CEDAW</w:t>
          </w:r>
          <w:r>
            <w:t>/C/SGP/Q/3</w:t>
          </w:r>
        </w:p>
      </w:tc>
    </w:tr>
    <w:tr w:rsidR="009C4E9F" w:rsidRPr="00D87BEE">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9C4E9F" w:rsidRDefault="009C4E9F" w:rsidP="00D87BEE">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9C4E9F" w:rsidRPr="00D87BEE" w:rsidRDefault="009C4E9F" w:rsidP="00D87BEE">
          <w:pPr>
            <w:pStyle w:val="Header"/>
            <w:spacing w:before="109"/>
            <w:jc w:val="right"/>
          </w:pPr>
        </w:p>
      </w:tc>
      <w:tc>
        <w:tcPr>
          <w:tcW w:w="5227" w:type="dxa"/>
          <w:gridSpan w:val="3"/>
          <w:tcBorders>
            <w:top w:val="single" w:sz="4" w:space="0" w:color="auto"/>
            <w:bottom w:val="single" w:sz="12" w:space="0" w:color="auto"/>
          </w:tcBorders>
          <w:shd w:val="clear" w:color="auto" w:fill="auto"/>
        </w:tcPr>
        <w:p w:rsidR="009C4E9F" w:rsidRPr="00D87BEE" w:rsidRDefault="009C4E9F" w:rsidP="00D87BEE">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9C4E9F" w:rsidRPr="00D87BEE" w:rsidRDefault="009C4E9F" w:rsidP="00D87BEE">
          <w:pPr>
            <w:pStyle w:val="Header"/>
            <w:spacing w:before="109"/>
          </w:pPr>
        </w:p>
      </w:tc>
      <w:tc>
        <w:tcPr>
          <w:tcW w:w="3100" w:type="dxa"/>
          <w:gridSpan w:val="2"/>
          <w:tcBorders>
            <w:top w:val="single" w:sz="4" w:space="0" w:color="auto"/>
            <w:bottom w:val="single" w:sz="12" w:space="0" w:color="auto"/>
          </w:tcBorders>
          <w:shd w:val="clear" w:color="auto" w:fill="auto"/>
        </w:tcPr>
        <w:p w:rsidR="009C4E9F" w:rsidRDefault="009C4E9F" w:rsidP="00D87BEE">
          <w:pPr>
            <w:bidi w:val="0"/>
            <w:spacing w:before="240" w:line="240" w:lineRule="exact"/>
          </w:pPr>
          <w:r>
            <w:t>Distr.: General</w:t>
          </w:r>
        </w:p>
        <w:p w:rsidR="009C4E9F" w:rsidRDefault="009C4E9F" w:rsidP="00D87BEE">
          <w:pPr>
            <w:bidi w:val="0"/>
            <w:spacing w:line="240" w:lineRule="exact"/>
            <w:jc w:val="left"/>
          </w:pPr>
          <w:r>
            <w:t>27 February 2007</w:t>
          </w:r>
        </w:p>
        <w:p w:rsidR="009C4E9F" w:rsidRDefault="009C4E9F" w:rsidP="00D87BEE">
          <w:pPr>
            <w:bidi w:val="0"/>
            <w:spacing w:line="240" w:lineRule="exact"/>
            <w:jc w:val="left"/>
          </w:pPr>
          <w:r>
            <w:t>Arabic</w:t>
          </w:r>
        </w:p>
        <w:p w:rsidR="009C4E9F" w:rsidRPr="00D87BEE" w:rsidRDefault="009C4E9F" w:rsidP="00D87BEE">
          <w:pPr>
            <w:bidi w:val="0"/>
            <w:spacing w:line="240" w:lineRule="exact"/>
            <w:jc w:val="left"/>
          </w:pPr>
          <w:r>
            <w:t>Original: English</w:t>
          </w:r>
        </w:p>
      </w:tc>
    </w:tr>
  </w:tbl>
  <w:p w:rsidR="009C4E9F" w:rsidRPr="00D87BEE" w:rsidRDefault="009C4E9F" w:rsidP="00D87BEE">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25165*"/>
    <w:docVar w:name="CreationDt" w:val="08/03/2007 02:034 م"/>
    <w:docVar w:name="DocCategory" w:val="Doc"/>
    <w:docVar w:name="DocType" w:val="Final"/>
    <w:docVar w:name="FooterJN" w:val="07-25165"/>
    <w:docVar w:name="jobn" w:val="07-25165 (A)"/>
    <w:docVar w:name="jobnDT" w:val="07-25165 (A)   080307"/>
    <w:docVar w:name="jobnDTDT" w:val="07-25165 (A)   080307   080307"/>
    <w:docVar w:name="JobNo" w:val="0725165A"/>
    <w:docVar w:name="OandT" w:val=" "/>
    <w:docVar w:name="sss1" w:val="CEDAW/C/SGP/Q/3"/>
    <w:docVar w:name="sss2" w:val="-"/>
    <w:docVar w:name="Symbol1" w:val="CEDAW/C/SGP/Q/3"/>
    <w:docVar w:name="Symbol2" w:val="-"/>
  </w:docVars>
  <w:rsids>
    <w:rsidRoot w:val="00822A33"/>
    <w:rsid w:val="00005972"/>
    <w:rsid w:val="00042425"/>
    <w:rsid w:val="0006648F"/>
    <w:rsid w:val="00087310"/>
    <w:rsid w:val="0009732C"/>
    <w:rsid w:val="000C4EED"/>
    <w:rsid w:val="000D2CEC"/>
    <w:rsid w:val="00101EE8"/>
    <w:rsid w:val="00111624"/>
    <w:rsid w:val="00113349"/>
    <w:rsid w:val="00140E2B"/>
    <w:rsid w:val="001519A9"/>
    <w:rsid w:val="001737F8"/>
    <w:rsid w:val="00187870"/>
    <w:rsid w:val="001D0817"/>
    <w:rsid w:val="001F6786"/>
    <w:rsid w:val="002416C5"/>
    <w:rsid w:val="00266F59"/>
    <w:rsid w:val="00272B6C"/>
    <w:rsid w:val="0027623A"/>
    <w:rsid w:val="00290F2F"/>
    <w:rsid w:val="002937DA"/>
    <w:rsid w:val="002A09C6"/>
    <w:rsid w:val="002C2AF2"/>
    <w:rsid w:val="002C4E1B"/>
    <w:rsid w:val="00312162"/>
    <w:rsid w:val="003501D5"/>
    <w:rsid w:val="00371AC4"/>
    <w:rsid w:val="00383CA8"/>
    <w:rsid w:val="00391436"/>
    <w:rsid w:val="003A65ED"/>
    <w:rsid w:val="003D17C6"/>
    <w:rsid w:val="003D4612"/>
    <w:rsid w:val="003F4B8C"/>
    <w:rsid w:val="00401BDF"/>
    <w:rsid w:val="00411BBD"/>
    <w:rsid w:val="00415922"/>
    <w:rsid w:val="00423BD7"/>
    <w:rsid w:val="0042757D"/>
    <w:rsid w:val="00437C14"/>
    <w:rsid w:val="004527C9"/>
    <w:rsid w:val="00453069"/>
    <w:rsid w:val="00453BB9"/>
    <w:rsid w:val="00483F5B"/>
    <w:rsid w:val="00490874"/>
    <w:rsid w:val="00494EE2"/>
    <w:rsid w:val="00496E83"/>
    <w:rsid w:val="004A2886"/>
    <w:rsid w:val="004B14A0"/>
    <w:rsid w:val="004D1B0C"/>
    <w:rsid w:val="004F1402"/>
    <w:rsid w:val="004F5A29"/>
    <w:rsid w:val="0050659B"/>
    <w:rsid w:val="00524A2E"/>
    <w:rsid w:val="005279DE"/>
    <w:rsid w:val="00534772"/>
    <w:rsid w:val="00537FCD"/>
    <w:rsid w:val="00545F76"/>
    <w:rsid w:val="005545BB"/>
    <w:rsid w:val="00556882"/>
    <w:rsid w:val="00561E43"/>
    <w:rsid w:val="0057078E"/>
    <w:rsid w:val="005838F5"/>
    <w:rsid w:val="00591B45"/>
    <w:rsid w:val="005A0F73"/>
    <w:rsid w:val="005A2EA3"/>
    <w:rsid w:val="005C2ECE"/>
    <w:rsid w:val="005E0CF9"/>
    <w:rsid w:val="00616E82"/>
    <w:rsid w:val="006218A3"/>
    <w:rsid w:val="006564CE"/>
    <w:rsid w:val="00663F64"/>
    <w:rsid w:val="00696B7A"/>
    <w:rsid w:val="006C38EE"/>
    <w:rsid w:val="00704823"/>
    <w:rsid w:val="0071531E"/>
    <w:rsid w:val="0071645B"/>
    <w:rsid w:val="00716E9D"/>
    <w:rsid w:val="00747B9E"/>
    <w:rsid w:val="007524BE"/>
    <w:rsid w:val="007525FA"/>
    <w:rsid w:val="00774FF0"/>
    <w:rsid w:val="0079046D"/>
    <w:rsid w:val="0079753A"/>
    <w:rsid w:val="007A6DD9"/>
    <w:rsid w:val="007D60E0"/>
    <w:rsid w:val="007D6B8D"/>
    <w:rsid w:val="007E32B9"/>
    <w:rsid w:val="0081284F"/>
    <w:rsid w:val="00814843"/>
    <w:rsid w:val="008170DE"/>
    <w:rsid w:val="00822A33"/>
    <w:rsid w:val="00830E32"/>
    <w:rsid w:val="00851C25"/>
    <w:rsid w:val="00873A11"/>
    <w:rsid w:val="00873AF9"/>
    <w:rsid w:val="008D1C04"/>
    <w:rsid w:val="008F04A0"/>
    <w:rsid w:val="008F1D4D"/>
    <w:rsid w:val="008F64A7"/>
    <w:rsid w:val="0090012B"/>
    <w:rsid w:val="0090351F"/>
    <w:rsid w:val="00970BAD"/>
    <w:rsid w:val="009768D1"/>
    <w:rsid w:val="009829B7"/>
    <w:rsid w:val="009927C0"/>
    <w:rsid w:val="009961E6"/>
    <w:rsid w:val="009B6C65"/>
    <w:rsid w:val="009C0017"/>
    <w:rsid w:val="009C15F4"/>
    <w:rsid w:val="009C4E9F"/>
    <w:rsid w:val="009D62A3"/>
    <w:rsid w:val="009E2A1F"/>
    <w:rsid w:val="00A37C4B"/>
    <w:rsid w:val="00A66F66"/>
    <w:rsid w:val="00A71AE5"/>
    <w:rsid w:val="00A8764E"/>
    <w:rsid w:val="00AA1E16"/>
    <w:rsid w:val="00AC002C"/>
    <w:rsid w:val="00AC6CDD"/>
    <w:rsid w:val="00AD38D0"/>
    <w:rsid w:val="00AE108C"/>
    <w:rsid w:val="00AF1A53"/>
    <w:rsid w:val="00AF7AC7"/>
    <w:rsid w:val="00B05ADC"/>
    <w:rsid w:val="00B272BE"/>
    <w:rsid w:val="00B42AAA"/>
    <w:rsid w:val="00B9542C"/>
    <w:rsid w:val="00B95560"/>
    <w:rsid w:val="00BA7FAB"/>
    <w:rsid w:val="00BC2F4C"/>
    <w:rsid w:val="00BC4A05"/>
    <w:rsid w:val="00BD59A0"/>
    <w:rsid w:val="00BF0B15"/>
    <w:rsid w:val="00C00A6F"/>
    <w:rsid w:val="00C12CBB"/>
    <w:rsid w:val="00C25A2D"/>
    <w:rsid w:val="00C260F8"/>
    <w:rsid w:val="00C43FBE"/>
    <w:rsid w:val="00C449C6"/>
    <w:rsid w:val="00C564B0"/>
    <w:rsid w:val="00C6283F"/>
    <w:rsid w:val="00C814A5"/>
    <w:rsid w:val="00C96573"/>
    <w:rsid w:val="00CD0BB8"/>
    <w:rsid w:val="00CD3849"/>
    <w:rsid w:val="00CF7384"/>
    <w:rsid w:val="00D2343D"/>
    <w:rsid w:val="00D30EAE"/>
    <w:rsid w:val="00D318F1"/>
    <w:rsid w:val="00D40B0E"/>
    <w:rsid w:val="00D57490"/>
    <w:rsid w:val="00D87BEE"/>
    <w:rsid w:val="00DA66B7"/>
    <w:rsid w:val="00DB0865"/>
    <w:rsid w:val="00DE5433"/>
    <w:rsid w:val="00DE68A7"/>
    <w:rsid w:val="00DF5F38"/>
    <w:rsid w:val="00E23336"/>
    <w:rsid w:val="00E31661"/>
    <w:rsid w:val="00E32B52"/>
    <w:rsid w:val="00E47EB8"/>
    <w:rsid w:val="00E750E1"/>
    <w:rsid w:val="00E9114A"/>
    <w:rsid w:val="00EA489C"/>
    <w:rsid w:val="00EA7418"/>
    <w:rsid w:val="00EB0CA7"/>
    <w:rsid w:val="00EB4992"/>
    <w:rsid w:val="00EF2E52"/>
    <w:rsid w:val="00F24CFE"/>
    <w:rsid w:val="00F32E4A"/>
    <w:rsid w:val="00F36D8C"/>
    <w:rsid w:val="00F93545"/>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D87BEE"/>
    <w:rPr>
      <w:szCs w:val="20"/>
    </w:rPr>
  </w:style>
  <w:style w:type="paragraph" w:styleId="CommentSubject">
    <w:name w:val="annotation subject"/>
    <w:basedOn w:val="CommentText"/>
    <w:next w:val="CommentText"/>
    <w:semiHidden/>
    <w:rsid w:val="00D87B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6</Pages>
  <Words>1457</Words>
  <Characters>8369</Characters>
  <Application>Microsoft Office Word</Application>
  <DocSecurity>4</DocSecurity>
  <Lines>334</Lines>
  <Paragraphs>350</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Tanya.Barakat</dc:creator>
  <cp:keywords/>
  <dc:description/>
  <cp:lastModifiedBy>front desk</cp:lastModifiedBy>
  <cp:revision>10</cp:revision>
  <cp:lastPrinted>2007-03-09T14:13:00Z</cp:lastPrinted>
  <dcterms:created xsi:type="dcterms:W3CDTF">2007-03-08T13:59:00Z</dcterms:created>
  <dcterms:modified xsi:type="dcterms:W3CDTF">2007-03-09T14:15:00Z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0725165</vt:lpwstr>
  </property>
  <property fmtid="{D5CDD505-2E9C-101B-9397-08002B2CF9AE}" pid="3" name="Symbol1">
    <vt:lpwstr>CEDAW/C/SGP/Q/3</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