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3E" w:rsidRPr="007E0CCC" w:rsidRDefault="009F433E" w:rsidP="007E0CCC">
      <w:pPr>
        <w:spacing w:line="240" w:lineRule="auto"/>
        <w:rPr>
          <w:color w:val="010000"/>
          <w:sz w:val="2"/>
        </w:rPr>
        <w:sectPr w:rsidR="009F433E" w:rsidRPr="007E0CCC" w:rsidSect="009F43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 w:rsidRPr="007E0CCC">
        <w:rPr>
          <w:rStyle w:val="CommentReference"/>
          <w:sz w:val="2"/>
        </w:rPr>
        <w:commentReference w:id="0"/>
      </w:r>
    </w:p>
    <w:p w:rsidR="00240981" w:rsidRDefault="00240981" w:rsidP="0024098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240981">
        <w:t xml:space="preserve">Комитет по ликвидации дискриминации </w:t>
      </w:r>
      <w:r w:rsidRPr="00240981">
        <w:br/>
        <w:t>в отношении женщин</w:t>
      </w:r>
    </w:p>
    <w:p w:rsidR="00240981" w:rsidRPr="00240981" w:rsidRDefault="00240981" w:rsidP="00240981">
      <w:pPr>
        <w:pStyle w:val="SingleTxt"/>
        <w:spacing w:after="0" w:line="120" w:lineRule="exact"/>
        <w:rPr>
          <w:sz w:val="10"/>
          <w:lang w:val="en-US"/>
        </w:rPr>
      </w:pPr>
    </w:p>
    <w:p w:rsidR="00240981" w:rsidRPr="00240981" w:rsidRDefault="00240981" w:rsidP="00240981">
      <w:pPr>
        <w:pStyle w:val="SingleTxt"/>
        <w:spacing w:after="0" w:line="120" w:lineRule="exact"/>
        <w:rPr>
          <w:sz w:val="10"/>
          <w:lang w:val="en-US"/>
        </w:rPr>
      </w:pPr>
    </w:p>
    <w:p w:rsidR="00240981" w:rsidRPr="00240981" w:rsidRDefault="00240981" w:rsidP="00240981">
      <w:pPr>
        <w:pStyle w:val="SingleTxt"/>
        <w:spacing w:after="0" w:line="120" w:lineRule="exact"/>
        <w:rPr>
          <w:sz w:val="10"/>
          <w:lang w:val="en-US"/>
        </w:rPr>
      </w:pPr>
    </w:p>
    <w:p w:rsidR="00240981" w:rsidRPr="00240981" w:rsidRDefault="00240981" w:rsidP="002409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40981">
        <w:t>Рассмотрение докладов, представленных государствами-участниками в соответствии со</w:t>
      </w:r>
      <w:r w:rsidR="007E0CCC">
        <w:rPr>
          <w:lang w:val="en-US"/>
        </w:rPr>
        <w:t> </w:t>
      </w:r>
      <w:r w:rsidRPr="00240981">
        <w:t>статьей</w:t>
      </w:r>
      <w:r>
        <w:rPr>
          <w:lang w:val="en-US"/>
        </w:rPr>
        <w:t> </w:t>
      </w:r>
      <w:r w:rsidRPr="00240981">
        <w:t xml:space="preserve">18 Конвенции </w:t>
      </w:r>
    </w:p>
    <w:p w:rsidR="00240981" w:rsidRPr="00240981" w:rsidRDefault="00240981" w:rsidP="00240981">
      <w:pPr>
        <w:pStyle w:val="SingleTxt"/>
        <w:spacing w:after="0" w:line="120" w:lineRule="exact"/>
        <w:rPr>
          <w:sz w:val="10"/>
        </w:rPr>
      </w:pPr>
    </w:p>
    <w:p w:rsidR="00240981" w:rsidRPr="00240981" w:rsidRDefault="00240981" w:rsidP="00240981">
      <w:pPr>
        <w:pStyle w:val="SingleTxt"/>
        <w:spacing w:after="0" w:line="120" w:lineRule="exact"/>
        <w:rPr>
          <w:sz w:val="10"/>
        </w:rPr>
      </w:pPr>
    </w:p>
    <w:p w:rsidR="00240981" w:rsidRDefault="00240981" w:rsidP="0024098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E0CCC">
        <w:tab/>
      </w:r>
      <w:r w:rsidRPr="007E0CCC">
        <w:tab/>
      </w:r>
      <w:r w:rsidRPr="00240981">
        <w:t xml:space="preserve">Пятый и шестой периодические доклады государств-участников, подлежащие представлению в 2013 году </w:t>
      </w:r>
    </w:p>
    <w:p w:rsidR="00240981" w:rsidRPr="00240981" w:rsidRDefault="00240981" w:rsidP="00240981">
      <w:pPr>
        <w:pStyle w:val="SingleTxt"/>
        <w:spacing w:after="0" w:line="120" w:lineRule="exact"/>
        <w:rPr>
          <w:sz w:val="10"/>
          <w:lang w:val="en-US"/>
        </w:rPr>
      </w:pPr>
    </w:p>
    <w:p w:rsidR="00240981" w:rsidRPr="00240981" w:rsidRDefault="00240981" w:rsidP="00240981">
      <w:pPr>
        <w:pStyle w:val="SingleTxt"/>
        <w:spacing w:after="0" w:line="120" w:lineRule="exact"/>
        <w:rPr>
          <w:sz w:val="10"/>
          <w:lang w:val="en-US"/>
        </w:rPr>
      </w:pPr>
    </w:p>
    <w:p w:rsidR="00240981" w:rsidRDefault="00240981" w:rsidP="007E0C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en-US"/>
        </w:rPr>
      </w:pPr>
      <w:r>
        <w:rPr>
          <w:lang w:val="en-US"/>
        </w:rPr>
        <w:tab/>
      </w:r>
      <w:r w:rsidRPr="00240981">
        <w:tab/>
        <w:t>Словения</w:t>
      </w:r>
      <w:r w:rsidRPr="007E0CCC">
        <w:rPr>
          <w:rStyle w:val="FootnoteReference"/>
          <w:b w:val="0"/>
          <w:sz w:val="20"/>
        </w:rPr>
        <w:footnoteReference w:customMarkFollows="1" w:id="1"/>
        <w:t>*</w:t>
      </w:r>
    </w:p>
    <w:p w:rsidR="00240981" w:rsidRPr="00240981" w:rsidRDefault="00240981" w:rsidP="00240981">
      <w:pPr>
        <w:pStyle w:val="SingleTxt"/>
        <w:spacing w:after="0" w:line="120" w:lineRule="exact"/>
        <w:rPr>
          <w:sz w:val="10"/>
          <w:lang w:val="en-US"/>
        </w:rPr>
      </w:pPr>
    </w:p>
    <w:p w:rsidR="00240981" w:rsidRDefault="00240981" w:rsidP="00240981">
      <w:pPr>
        <w:pStyle w:val="SingleTxt"/>
        <w:jc w:val="right"/>
        <w:rPr>
          <w:lang w:val="en-US"/>
        </w:rPr>
      </w:pPr>
      <w:r w:rsidRPr="00240981">
        <w:t>[Дата получения: 19 мая 2014 года]</w:t>
      </w:r>
    </w:p>
    <w:p w:rsidR="00240981" w:rsidRPr="00240981" w:rsidRDefault="00240981" w:rsidP="00240981">
      <w:pPr>
        <w:pStyle w:val="HCh"/>
        <w:spacing w:after="120"/>
        <w:rPr>
          <w:b w:val="0"/>
          <w:lang w:val="en-US"/>
        </w:rPr>
      </w:pPr>
      <w:r>
        <w:rPr>
          <w:b w:val="0"/>
          <w:lang w:val="en-US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7056"/>
        <w:gridCol w:w="994"/>
        <w:gridCol w:w="720"/>
      </w:tblGrid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240981" w:rsidRPr="00240981" w:rsidRDefault="00240981" w:rsidP="00240981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:rsidR="00240981" w:rsidRPr="00240981" w:rsidRDefault="00240981" w:rsidP="00240981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240981" w:rsidRPr="00240981" w:rsidRDefault="00240981" w:rsidP="00240981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40981" w:rsidRPr="00240981" w:rsidRDefault="00240981" w:rsidP="00240981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240981" w:rsidRDefault="00240981" w:rsidP="00240981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54693"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240981" w:rsidRDefault="00240981" w:rsidP="00240981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240981" w:rsidRDefault="00240981" w:rsidP="0024098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B18E6">
              <w:t>Общая информация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240981" w:rsidRDefault="00240981" w:rsidP="00240981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240981" w:rsidRDefault="00240981" w:rsidP="0024098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728" w:hanging="1728"/>
              <w:rPr>
                <w:spacing w:val="60"/>
                <w:sz w:val="17"/>
                <w:lang w:val="en-US"/>
              </w:rPr>
            </w:pPr>
            <w:r w:rsidRPr="00240981">
              <w:tab/>
            </w:r>
            <w:r w:rsidRPr="00240981">
              <w:tab/>
            </w:r>
            <w:r>
              <w:rPr>
                <w:lang w:val="en-US"/>
              </w:rPr>
              <w:t>A</w:t>
            </w:r>
            <w:r w:rsidRPr="00240981">
              <w:t>.</w:t>
            </w:r>
            <w:r w:rsidRPr="00240981">
              <w:tab/>
            </w:r>
            <w:r w:rsidRPr="00254693">
              <w:t>Данные, используемые Словенией в рамках деятельности по</w:t>
            </w:r>
            <w:r>
              <w:t> </w:t>
            </w:r>
            <w:r w:rsidRPr="00254693">
              <w:t>ликвидации всех форм дискриминации в отношении женщин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240981" w:rsidRDefault="00240981" w:rsidP="00240981">
            <w:pPr>
              <w:spacing w:after="120"/>
              <w:ind w:left="950" w:right="40" w:hanging="95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0981" w:rsidRPr="0037679F" w:rsidTr="00CA44D0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37679F" w:rsidRDefault="00240981" w:rsidP="0037679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728" w:hanging="1728"/>
              <w:rPr>
                <w:spacing w:val="60"/>
                <w:sz w:val="17"/>
              </w:rPr>
            </w:pPr>
            <w:r w:rsidRPr="00240981">
              <w:tab/>
            </w:r>
            <w:r w:rsidRPr="00240981">
              <w:tab/>
            </w:r>
            <w:r>
              <w:rPr>
                <w:lang w:val="en-US"/>
              </w:rPr>
              <w:t>B</w:t>
            </w:r>
            <w:r w:rsidRPr="0037679F">
              <w:t>.</w:t>
            </w:r>
            <w:r w:rsidRPr="0037679F">
              <w:tab/>
            </w:r>
            <w:r w:rsidR="0037679F" w:rsidRPr="00BF34BD">
              <w:t>Принятие мер по осуществлению Конвенции и значение ее ратификации для общей, социальной, экономической, политической и правовой ситуации в Словении</w:t>
            </w:r>
            <w:r w:rsidR="0037679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37679F" w:rsidRDefault="0037679F" w:rsidP="00CA44D0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40981" w:rsidRPr="0037679F" w:rsidTr="00CA44D0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37679F" w:rsidRDefault="00240981" w:rsidP="0037679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728" w:hanging="1728"/>
              <w:rPr>
                <w:spacing w:val="60"/>
                <w:sz w:val="17"/>
              </w:rPr>
            </w:pPr>
            <w:r w:rsidRPr="0037679F">
              <w:tab/>
            </w:r>
            <w:r w:rsidRPr="0037679F">
              <w:tab/>
            </w:r>
            <w:r>
              <w:rPr>
                <w:lang w:val="en-US"/>
              </w:rPr>
              <w:t>C</w:t>
            </w:r>
            <w:r w:rsidRPr="0037679F">
              <w:t>.</w:t>
            </w:r>
            <w:r w:rsidRPr="0037679F">
              <w:tab/>
            </w:r>
            <w:r w:rsidR="0037679F" w:rsidRPr="00BF34BD">
              <w:t>Учреждения, занимающиеся вопросами обеспечения гендерного равенства, защиты прав женщин и устранения нарушений, связанных с запретом на</w:t>
            </w:r>
            <w:r w:rsidR="0037679F">
              <w:t> </w:t>
            </w:r>
            <w:r w:rsidR="0037679F" w:rsidRPr="00BF34BD">
              <w:t>дискриминацию женщин</w:t>
            </w:r>
            <w:r w:rsidR="0037679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37679F" w:rsidRDefault="0037679F" w:rsidP="00CA44D0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0981" w:rsidRPr="00CC5BAD" w:rsidTr="00CA44D0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C5BAD" w:rsidRDefault="00240981" w:rsidP="00CC5BAD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728" w:hanging="1728"/>
              <w:rPr>
                <w:spacing w:val="60"/>
                <w:sz w:val="17"/>
              </w:rPr>
            </w:pPr>
            <w:r w:rsidRPr="0037679F">
              <w:tab/>
            </w:r>
            <w:r w:rsidRPr="0037679F">
              <w:tab/>
            </w:r>
            <w:r>
              <w:rPr>
                <w:lang w:val="en-US"/>
              </w:rPr>
              <w:t>D</w:t>
            </w:r>
            <w:r w:rsidRPr="00CC5BAD">
              <w:t>.</w:t>
            </w:r>
            <w:r w:rsidRPr="00CC5BAD">
              <w:tab/>
            </w:r>
            <w:r w:rsidR="00CC5BAD" w:rsidRPr="00CC5BAD">
              <w:t>Средства и методы поощрения и достижения улучшения положения женщин</w:t>
            </w:r>
            <w:r w:rsidR="00CC5BAD" w:rsidRPr="00CC5BA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C5BAD" w:rsidRDefault="00CC5BAD" w:rsidP="00CA44D0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40981" w:rsidRPr="00CC5BAD" w:rsidTr="00CA44D0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C5BAD" w:rsidRDefault="00240981" w:rsidP="00CC5BAD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CC5BAD">
              <w:tab/>
            </w:r>
            <w:r w:rsidRPr="00CC5BAD">
              <w:tab/>
            </w:r>
            <w:r w:rsidR="00CC5BAD" w:rsidRPr="0097112B">
              <w:t>Выполнение положений отдельных статей Конвенции</w:t>
            </w:r>
            <w:r w:rsidR="00CC5BA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C5BAD" w:rsidRDefault="00CC5BAD" w:rsidP="00CA44D0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C5BAD" w:rsidRDefault="00240981" w:rsidP="00CC5BAD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CC5BAD">
              <w:tab/>
            </w:r>
            <w:r w:rsidRPr="00CC5BAD">
              <w:tab/>
            </w:r>
            <w:r w:rsidRPr="00CC5BAD">
              <w:tab/>
            </w:r>
            <w:r>
              <w:t xml:space="preserve">Статья 1: </w:t>
            </w:r>
            <w:r w:rsidR="00CC5BAD" w:rsidRPr="00CC5BAD">
              <w:t>Дискриминация женщин</w:t>
            </w:r>
            <w:r w:rsidR="00CC5BA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240981" w:rsidRDefault="00CC5BAD" w:rsidP="0024098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240981" w:rsidRPr="00CC5BAD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C5BAD" w:rsidRDefault="00240981" w:rsidP="00CC5BAD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CC5BAD">
              <w:tab/>
            </w:r>
            <w:r w:rsidRPr="00CC5BAD">
              <w:tab/>
            </w:r>
            <w:r w:rsidRPr="00CC5BAD">
              <w:tab/>
              <w:t>Стать</w:t>
            </w:r>
            <w:r>
              <w:t>и</w:t>
            </w:r>
            <w:r w:rsidRPr="00240981">
              <w:rPr>
                <w:lang w:val="en-US"/>
              </w:rPr>
              <w:t> </w:t>
            </w:r>
            <w:r>
              <w:t>2 и 3</w:t>
            </w:r>
            <w:r w:rsidRPr="00CC5BAD">
              <w:t xml:space="preserve">: </w:t>
            </w:r>
            <w:r w:rsidR="00CC5BAD" w:rsidRPr="00CC5BAD">
              <w:t>Меры по обеспечению равенства женщин и мужчин</w:t>
            </w:r>
            <w:r w:rsidR="00CC5BA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C5BAD" w:rsidRDefault="00CC5BAD" w:rsidP="00CA44D0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240981" w:rsidRPr="00CC5BAD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C5BAD" w:rsidRDefault="00240981" w:rsidP="007E0CCC">
            <w:pPr>
              <w:pageBreakBefore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ind w:left="1728" w:hanging="1728"/>
              <w:rPr>
                <w:spacing w:val="60"/>
                <w:sz w:val="17"/>
              </w:rPr>
            </w:pPr>
            <w:r w:rsidRPr="00CC5BAD">
              <w:tab/>
            </w:r>
            <w:r w:rsidRPr="00CC5BAD">
              <w:tab/>
            </w:r>
            <w:r w:rsidRPr="00CC5BAD">
              <w:tab/>
              <w:t>Статья</w:t>
            </w:r>
            <w:r w:rsidRPr="00240981">
              <w:rPr>
                <w:lang w:val="en-US"/>
              </w:rPr>
              <w:t> </w:t>
            </w:r>
            <w:r>
              <w:t>4</w:t>
            </w:r>
            <w:r w:rsidRPr="00CC5BAD">
              <w:t xml:space="preserve">: </w:t>
            </w:r>
            <w:r w:rsidR="00CC5BAD" w:rsidRPr="00CC5BAD">
              <w:t>Поощрение фактического гендерного равенства с помощью временных специальных мер</w:t>
            </w:r>
            <w:r w:rsidR="00CC5BA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C5BAD" w:rsidRDefault="00CC5BAD" w:rsidP="00CC5BAD">
            <w:pPr>
              <w:spacing w:after="120"/>
              <w:ind w:left="950" w:right="40" w:hanging="950"/>
              <w:jc w:val="right"/>
            </w:pPr>
            <w:r>
              <w:t>14</w:t>
            </w:r>
          </w:p>
        </w:tc>
      </w:tr>
      <w:tr w:rsidR="00240981" w:rsidRPr="00CC5BAD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C5BAD" w:rsidRDefault="00240981" w:rsidP="00CC5BAD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CC5BAD">
              <w:tab/>
            </w:r>
            <w:r w:rsidRPr="00CC5BAD">
              <w:tab/>
            </w:r>
            <w:r w:rsidRPr="00CC5BAD">
              <w:tab/>
              <w:t>Статья</w:t>
            </w:r>
            <w:r w:rsidRPr="00240981">
              <w:rPr>
                <w:lang w:val="en-US"/>
              </w:rPr>
              <w:t> </w:t>
            </w:r>
            <w:r>
              <w:t>5</w:t>
            </w:r>
            <w:r w:rsidRPr="00CC5BAD">
              <w:t xml:space="preserve">: </w:t>
            </w:r>
            <w:r w:rsidR="00CC5BAD" w:rsidRPr="00847362">
              <w:t>Искоренение предрассудков и стереотипов</w:t>
            </w:r>
            <w:r w:rsidR="00CC5BA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C5BAD" w:rsidRDefault="00CC5BAD" w:rsidP="00CA44D0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5F57A6" w:rsidRDefault="00240981" w:rsidP="005F57A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CC5BAD">
              <w:tab/>
            </w:r>
            <w:r w:rsidRPr="00CC5BAD">
              <w:tab/>
            </w:r>
            <w:r w:rsidRPr="00CC5BAD">
              <w:tab/>
            </w:r>
            <w:r w:rsidRPr="005F57A6">
              <w:t>Статья</w:t>
            </w:r>
            <w:r w:rsidRPr="00240981">
              <w:rPr>
                <w:lang w:val="en-US"/>
              </w:rPr>
              <w:t> </w:t>
            </w:r>
            <w:r>
              <w:t>6</w:t>
            </w:r>
            <w:r w:rsidRPr="005F57A6">
              <w:t xml:space="preserve">: </w:t>
            </w:r>
            <w:r w:rsidR="005F57A6" w:rsidRPr="009C54EB">
              <w:t>Торговля женщинами и эксплуатация проституции</w:t>
            </w:r>
            <w:r w:rsidR="005F57A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5F57A6" w:rsidRDefault="005F57A6" w:rsidP="00CA44D0">
            <w:pPr>
              <w:spacing w:after="120"/>
              <w:ind w:right="40"/>
              <w:jc w:val="right"/>
            </w:pPr>
            <w:r>
              <w:t>26</w:t>
            </w:r>
          </w:p>
        </w:tc>
      </w:tr>
      <w:tr w:rsidR="00240981" w:rsidRPr="005F57A6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5F57A6" w:rsidRDefault="00240981" w:rsidP="005F57A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5F57A6">
              <w:t>Статья</w:t>
            </w:r>
            <w:r w:rsidRPr="00240981">
              <w:rPr>
                <w:lang w:val="en-US"/>
              </w:rPr>
              <w:t> </w:t>
            </w:r>
            <w:r>
              <w:t>7</w:t>
            </w:r>
            <w:r w:rsidRPr="005F57A6">
              <w:t xml:space="preserve">: </w:t>
            </w:r>
            <w:r w:rsidR="005F57A6" w:rsidRPr="009C54EB">
              <w:t>Участие женщин в политической и общественной жизни</w:t>
            </w:r>
            <w:r w:rsidR="005F57A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5F57A6" w:rsidRDefault="005F57A6" w:rsidP="00CA44D0">
            <w:pPr>
              <w:spacing w:after="120"/>
              <w:ind w:right="40"/>
              <w:jc w:val="right"/>
            </w:pPr>
            <w:r>
              <w:t>28</w:t>
            </w:r>
          </w:p>
        </w:tc>
      </w:tr>
      <w:tr w:rsidR="00240981" w:rsidRPr="005F57A6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9D5BF8" w:rsidRDefault="00240981" w:rsidP="009D5BF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ind w:left="1728" w:hanging="1728"/>
              <w:rPr>
                <w:spacing w:val="60"/>
                <w:sz w:val="17"/>
              </w:rPr>
            </w:pPr>
            <w:r w:rsidRPr="005F57A6">
              <w:tab/>
            </w:r>
            <w:r w:rsidRPr="005F57A6">
              <w:tab/>
            </w:r>
            <w:r w:rsidRPr="005F57A6">
              <w:tab/>
              <w:t>Статья</w:t>
            </w:r>
            <w:r w:rsidRPr="00240981">
              <w:rPr>
                <w:lang w:val="en-US"/>
              </w:rPr>
              <w:t> </w:t>
            </w:r>
            <w:r>
              <w:t>8</w:t>
            </w:r>
            <w:r w:rsidRPr="005F57A6">
              <w:t xml:space="preserve">: </w:t>
            </w:r>
            <w:r w:rsidR="009D5BF8" w:rsidRPr="00DF1A95">
              <w:t>Женщины, представляющие правительство в международных организациях и находящиеся на дипломатической службе</w:t>
            </w:r>
            <w:r w:rsidR="009D5BF8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5F57A6" w:rsidRDefault="009D5BF8" w:rsidP="009D5BF8">
            <w:pPr>
              <w:spacing w:after="120"/>
              <w:ind w:right="40"/>
              <w:jc w:val="right"/>
            </w:pPr>
            <w:r>
              <w:t>34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9D5BF8" w:rsidRDefault="00240981" w:rsidP="009D5BF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 w:rsidRPr="005F57A6">
              <w:tab/>
            </w:r>
            <w:r w:rsidRPr="005F57A6">
              <w:tab/>
            </w:r>
            <w:r w:rsidRPr="005F57A6">
              <w:tab/>
            </w:r>
            <w:r w:rsidRPr="00240981">
              <w:rPr>
                <w:lang w:val="en-US"/>
              </w:rPr>
              <w:t>Статья </w:t>
            </w:r>
            <w:r>
              <w:t>9</w:t>
            </w:r>
            <w:r w:rsidRPr="00240981">
              <w:rPr>
                <w:lang w:val="en-US"/>
              </w:rPr>
              <w:t xml:space="preserve">: </w:t>
            </w:r>
            <w:r w:rsidR="009D5BF8" w:rsidRPr="00DF1A95">
              <w:t>Гражданство</w:t>
            </w:r>
            <w:r w:rsidR="009D5BF8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9D5BF8" w:rsidRDefault="009D5BF8" w:rsidP="009D5BF8">
            <w:pPr>
              <w:spacing w:after="120"/>
              <w:ind w:right="40"/>
              <w:jc w:val="right"/>
            </w:pPr>
            <w:r>
              <w:t>35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9D5BF8" w:rsidRDefault="00240981" w:rsidP="009D5BF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40981">
              <w:rPr>
                <w:lang w:val="en-US"/>
              </w:rPr>
              <w:t>Статья </w:t>
            </w:r>
            <w:r>
              <w:t>10</w:t>
            </w:r>
            <w:r w:rsidRPr="00240981">
              <w:rPr>
                <w:lang w:val="en-US"/>
              </w:rPr>
              <w:t xml:space="preserve">: </w:t>
            </w:r>
            <w:r w:rsidR="009D5BF8" w:rsidRPr="00DF1A95">
              <w:t>Образование</w:t>
            </w:r>
            <w:r w:rsidR="009D5BF8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9D5BF8" w:rsidRDefault="009D5BF8" w:rsidP="00CA44D0">
            <w:pPr>
              <w:spacing w:after="120"/>
              <w:ind w:right="40"/>
              <w:jc w:val="right"/>
            </w:pPr>
            <w:r>
              <w:t>35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966FDC" w:rsidRDefault="00240981" w:rsidP="00966FDC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40981">
              <w:rPr>
                <w:lang w:val="en-US"/>
              </w:rPr>
              <w:t>Статья </w:t>
            </w:r>
            <w:r>
              <w:t>11</w:t>
            </w:r>
            <w:r w:rsidRPr="00240981">
              <w:rPr>
                <w:lang w:val="en-US"/>
              </w:rPr>
              <w:t xml:space="preserve">: </w:t>
            </w:r>
            <w:r w:rsidR="00966FDC" w:rsidRPr="000721A6">
              <w:t>Занятость</w:t>
            </w:r>
            <w:r w:rsidR="00966FD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966FDC" w:rsidRDefault="00966FDC" w:rsidP="00CA44D0">
            <w:pPr>
              <w:spacing w:after="120"/>
              <w:ind w:right="40"/>
              <w:jc w:val="right"/>
            </w:pPr>
            <w:r>
              <w:t>39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902CE7" w:rsidRDefault="00240981" w:rsidP="00902CE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40981">
              <w:rPr>
                <w:lang w:val="en-US"/>
              </w:rPr>
              <w:t>Статья </w:t>
            </w:r>
            <w:r>
              <w:t>12</w:t>
            </w:r>
            <w:r w:rsidRPr="00240981">
              <w:rPr>
                <w:lang w:val="en-US"/>
              </w:rPr>
              <w:t xml:space="preserve">: </w:t>
            </w:r>
            <w:r w:rsidR="00902CE7">
              <w:t>Охрана здоровья женщин</w:t>
            </w:r>
            <w:r w:rsidR="00902CE7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902CE7" w:rsidRDefault="00902CE7" w:rsidP="00CA44D0">
            <w:pPr>
              <w:spacing w:after="120"/>
              <w:ind w:right="40"/>
              <w:jc w:val="right"/>
            </w:pPr>
            <w:r>
              <w:t>48</w:t>
            </w:r>
          </w:p>
        </w:tc>
      </w:tr>
      <w:tr w:rsidR="00240981" w:rsidRPr="00A82BD7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A82BD7" w:rsidRDefault="00240981" w:rsidP="00A82BD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A82BD7">
              <w:tab/>
            </w:r>
            <w:r w:rsidRPr="00A82BD7">
              <w:tab/>
            </w:r>
            <w:r w:rsidRPr="00A82BD7">
              <w:tab/>
              <w:t>Статья</w:t>
            </w:r>
            <w:r w:rsidRPr="00240981">
              <w:rPr>
                <w:lang w:val="en-US"/>
              </w:rPr>
              <w:t> </w:t>
            </w:r>
            <w:r>
              <w:t>13</w:t>
            </w:r>
            <w:r w:rsidRPr="00A82BD7">
              <w:t xml:space="preserve">: </w:t>
            </w:r>
            <w:r w:rsidR="00A82BD7" w:rsidRPr="002E26BE">
              <w:t>Прочие области социально-экономической жизни</w:t>
            </w:r>
            <w:r w:rsidR="00A82BD7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A82BD7" w:rsidRDefault="00A82BD7" w:rsidP="00CA44D0">
            <w:pPr>
              <w:spacing w:after="120"/>
              <w:ind w:right="40"/>
              <w:jc w:val="right"/>
            </w:pPr>
            <w:r>
              <w:t>55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A82BD7" w:rsidRDefault="00240981" w:rsidP="00A82BD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 w:rsidRPr="00A82BD7">
              <w:tab/>
            </w:r>
            <w:r w:rsidRPr="00A82BD7">
              <w:tab/>
            </w:r>
            <w:r w:rsidRPr="00A82BD7">
              <w:tab/>
            </w:r>
            <w:r w:rsidRPr="00240981">
              <w:rPr>
                <w:lang w:val="en-US"/>
              </w:rPr>
              <w:t>Статья 1</w:t>
            </w:r>
            <w:r>
              <w:t>4</w:t>
            </w:r>
            <w:r w:rsidRPr="00240981">
              <w:rPr>
                <w:lang w:val="en-US"/>
              </w:rPr>
              <w:t xml:space="preserve">: </w:t>
            </w:r>
            <w:r w:rsidR="00A82BD7" w:rsidRPr="002E26BE">
              <w:t>Сельские женщины</w:t>
            </w:r>
            <w:r w:rsidR="00A82BD7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A82BD7" w:rsidRDefault="00A82BD7" w:rsidP="00CA44D0">
            <w:pPr>
              <w:spacing w:after="120"/>
              <w:ind w:right="40"/>
              <w:jc w:val="right"/>
            </w:pPr>
            <w:r>
              <w:t>57</w:t>
            </w:r>
          </w:p>
        </w:tc>
      </w:tr>
      <w:tr w:rsidR="00240981" w:rsidRPr="00240981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6395B" w:rsidRDefault="00240981" w:rsidP="00C6395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40981">
              <w:rPr>
                <w:lang w:val="en-US"/>
              </w:rPr>
              <w:t>Статья 1</w:t>
            </w:r>
            <w:r>
              <w:t>5</w:t>
            </w:r>
            <w:r w:rsidRPr="00240981">
              <w:rPr>
                <w:lang w:val="en-US"/>
              </w:rPr>
              <w:t xml:space="preserve">: </w:t>
            </w:r>
            <w:r w:rsidR="00C6395B">
              <w:t>Равенство перед законом</w:t>
            </w:r>
            <w:r w:rsidR="00C6395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6395B" w:rsidRDefault="00C6395B" w:rsidP="00CA44D0">
            <w:pPr>
              <w:spacing w:after="120"/>
              <w:ind w:right="40"/>
              <w:jc w:val="right"/>
            </w:pPr>
            <w:r>
              <w:t>58</w:t>
            </w:r>
          </w:p>
        </w:tc>
      </w:tr>
      <w:tr w:rsidR="00240981" w:rsidRPr="00C6395B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6395B" w:rsidRDefault="00240981" w:rsidP="00C6395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C6395B">
              <w:tab/>
            </w:r>
            <w:r w:rsidRPr="00C6395B">
              <w:tab/>
            </w:r>
            <w:r w:rsidRPr="00C6395B">
              <w:tab/>
              <w:t>Статья</w:t>
            </w:r>
            <w:r w:rsidRPr="00240981">
              <w:rPr>
                <w:lang w:val="en-US"/>
              </w:rPr>
              <w:t> </w:t>
            </w:r>
            <w:r w:rsidRPr="00C6395B">
              <w:t>1</w:t>
            </w:r>
            <w:r>
              <w:t>6</w:t>
            </w:r>
            <w:r w:rsidRPr="00C6395B">
              <w:t xml:space="preserve">: </w:t>
            </w:r>
            <w:r w:rsidR="00C6395B">
              <w:t>Брак и семейные отношения</w:t>
            </w:r>
            <w:r w:rsidR="00C6395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6395B" w:rsidRDefault="00C6395B" w:rsidP="00CA44D0">
            <w:pPr>
              <w:spacing w:after="120"/>
              <w:ind w:right="40"/>
              <w:jc w:val="right"/>
            </w:pPr>
            <w:r>
              <w:t>58</w:t>
            </w:r>
          </w:p>
        </w:tc>
      </w:tr>
      <w:tr w:rsidR="00240981" w:rsidRPr="00C6395B" w:rsidTr="00240981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40981" w:rsidRPr="00C6395B" w:rsidRDefault="00240981" w:rsidP="00C6395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 w:rsidRPr="00C6395B">
              <w:tab/>
            </w:r>
            <w:r w:rsidRPr="00C6395B">
              <w:tab/>
            </w:r>
            <w:r w:rsidR="00C6395B">
              <w:t>Юридическая библиография</w:t>
            </w:r>
            <w:r w:rsidR="00C6395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0981" w:rsidRPr="00C6395B" w:rsidRDefault="00C6395B" w:rsidP="00CA44D0">
            <w:pPr>
              <w:spacing w:after="120"/>
              <w:ind w:right="40"/>
              <w:jc w:val="right"/>
            </w:pPr>
            <w:r>
              <w:t>60</w:t>
            </w:r>
          </w:p>
        </w:tc>
      </w:tr>
    </w:tbl>
    <w:p w:rsidR="00240981" w:rsidRDefault="00240981" w:rsidP="00240981"/>
    <w:p w:rsidR="00240981" w:rsidRDefault="00240981" w:rsidP="002409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Pr="00C6395B">
        <w:tab/>
      </w:r>
      <w:r w:rsidRPr="00C6395B">
        <w:tab/>
      </w:r>
      <w:r w:rsidRPr="00254693">
        <w:t>Введение</w:t>
      </w:r>
    </w:p>
    <w:p w:rsidR="00240981" w:rsidRPr="00254693" w:rsidRDefault="00240981" w:rsidP="00CA44D0">
      <w:pPr>
        <w:pStyle w:val="SingleTxt"/>
        <w:spacing w:after="0" w:line="120" w:lineRule="exact"/>
        <w:rPr>
          <w:sz w:val="10"/>
          <w:lang w:val="en-US"/>
        </w:rPr>
      </w:pPr>
    </w:p>
    <w:p w:rsidR="00240981" w:rsidRPr="00254693" w:rsidRDefault="00240981" w:rsidP="00CA44D0">
      <w:pPr>
        <w:pStyle w:val="SingleTxt"/>
        <w:spacing w:after="0" w:line="120" w:lineRule="exact"/>
        <w:rPr>
          <w:sz w:val="10"/>
          <w:lang w:val="en-US"/>
        </w:rPr>
      </w:pPr>
    </w:p>
    <w:p w:rsidR="00240981" w:rsidRPr="00254693" w:rsidRDefault="00240981" w:rsidP="00CA44D0">
      <w:pPr>
        <w:pStyle w:val="SingleTxt"/>
      </w:pPr>
      <w:r>
        <w:rPr>
          <w:lang w:val="en-US"/>
        </w:rPr>
        <w:tab/>
      </w:r>
      <w:r w:rsidRPr="00254693">
        <w:t>Республика Словения стремится выполнять свои обяза</w:t>
      </w:r>
      <w:r>
        <w:t>нности</w:t>
      </w:r>
      <w:r w:rsidRPr="00254693">
        <w:t xml:space="preserve"> по пре</w:t>
      </w:r>
      <w:r w:rsidRPr="00254693">
        <w:t>д</w:t>
      </w:r>
      <w:r w:rsidRPr="00254693">
        <w:t>ставлению докладов, изложенные в статье</w:t>
      </w:r>
      <w:r>
        <w:t> </w:t>
      </w:r>
      <w:r w:rsidRPr="00254693">
        <w:t>18 Конвенции о ликвидации всех форм дискриминации в отношении женщин. По нашему мнению, представл</w:t>
      </w:r>
      <w:r w:rsidRPr="00254693">
        <w:t>е</w:t>
      </w:r>
      <w:r w:rsidRPr="00254693">
        <w:t>ние докладов наблюдательному органу дает возможность оценивать</w:t>
      </w:r>
      <w:r>
        <w:t xml:space="preserve"> — </w:t>
      </w:r>
      <w:r w:rsidRPr="00254693">
        <w:t xml:space="preserve">путем осуществления общего обзора национального законодательства, </w:t>
      </w:r>
      <w:r>
        <w:t xml:space="preserve">политики </w:t>
      </w:r>
      <w:r w:rsidRPr="00254693">
        <w:t>и методов работы</w:t>
      </w:r>
      <w:r>
        <w:rPr>
          <w:lang w:val="en-US"/>
        </w:rPr>
        <w:t> </w:t>
      </w:r>
      <w:r w:rsidRPr="00105B63">
        <w:t xml:space="preserve">— </w:t>
      </w:r>
      <w:r w:rsidRPr="00254693">
        <w:t>прогресс в реализации идеалов и норм Конве</w:t>
      </w:r>
      <w:r w:rsidRPr="00254693">
        <w:t>н</w:t>
      </w:r>
      <w:r w:rsidRPr="00254693">
        <w:t xml:space="preserve">ции, а также позволяет выявлять проблемы и препятствия, которые мешают женщинам в Республике Словения в полной мере осуществлять свои основные свободы и </w:t>
      </w:r>
      <w:r>
        <w:t xml:space="preserve">все </w:t>
      </w:r>
      <w:r w:rsidRPr="00254693">
        <w:t xml:space="preserve">гражданские, политические, экономические, социальные и культурные права, и, таким образом, на основе результатов таких оценок корректировать </w:t>
      </w:r>
      <w:r>
        <w:t>нашу политику</w:t>
      </w:r>
      <w:r w:rsidRPr="00254693">
        <w:t xml:space="preserve">. </w:t>
      </w:r>
    </w:p>
    <w:p w:rsidR="00240981" w:rsidRPr="00254693" w:rsidRDefault="00240981" w:rsidP="00CA44D0">
      <w:pPr>
        <w:pStyle w:val="SingleTxt"/>
      </w:pPr>
      <w:r>
        <w:tab/>
      </w:r>
      <w:r w:rsidRPr="00254693">
        <w:t>При подготовке объединенного пятого и шестого докладов были</w:t>
      </w:r>
      <w:r>
        <w:t xml:space="preserve"> </w:t>
      </w:r>
      <w:r w:rsidRPr="00254693">
        <w:t>приняты во внимание следующие документы:</w:t>
      </w:r>
    </w:p>
    <w:p w:rsidR="00240981" w:rsidRPr="00254693" w:rsidRDefault="00240981" w:rsidP="0024098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254693">
        <w:t>конкретные руководящие принципы</w:t>
      </w:r>
      <w:r>
        <w:t>,</w:t>
      </w:r>
      <w:r w:rsidRPr="00254693">
        <w:t xml:space="preserve"> </w:t>
      </w:r>
      <w:r>
        <w:t xml:space="preserve">касающиеся </w:t>
      </w:r>
      <w:r w:rsidRPr="00254693">
        <w:t>содержания и формата докладов государств-участников, принятые Комитетом по ликвидации дискриминации в о</w:t>
      </w:r>
      <w:r w:rsidRPr="00254693">
        <w:t>т</w:t>
      </w:r>
      <w:r w:rsidRPr="00254693">
        <w:t>ношении женщин в 2008</w:t>
      </w:r>
      <w:r>
        <w:t> год</w:t>
      </w:r>
      <w:r w:rsidRPr="00254693">
        <w:t>у;</w:t>
      </w:r>
    </w:p>
    <w:p w:rsidR="00240981" w:rsidRPr="00254693" w:rsidRDefault="00240981" w:rsidP="0024098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254693">
        <w:t>согласованные руководящие принципы представления докладов в соо</w:t>
      </w:r>
      <w:r w:rsidRPr="00254693">
        <w:t>т</w:t>
      </w:r>
      <w:r w:rsidRPr="00254693">
        <w:t>ветствии с международными договорами в области прав человека, вкл</w:t>
      </w:r>
      <w:r w:rsidRPr="00254693">
        <w:t>ю</w:t>
      </w:r>
      <w:r w:rsidRPr="00254693">
        <w:t>чая руководящие принципы подготовки общего базового документа и д</w:t>
      </w:r>
      <w:r w:rsidRPr="00254693">
        <w:t>о</w:t>
      </w:r>
      <w:r w:rsidRPr="00254693">
        <w:t>кументов по конкретным договорам;</w:t>
      </w:r>
    </w:p>
    <w:p w:rsidR="00240981" w:rsidRPr="00254693" w:rsidRDefault="00240981" w:rsidP="0024098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254693">
        <w:t>национальные руководящие принципы подготовки и представления д</w:t>
      </w:r>
      <w:r w:rsidRPr="00254693">
        <w:t>о</w:t>
      </w:r>
      <w:r w:rsidRPr="00254693">
        <w:t xml:space="preserve">кладов Словении по вопросам международных </w:t>
      </w:r>
      <w:r>
        <w:t>пактов</w:t>
      </w:r>
      <w:r w:rsidRPr="00254693">
        <w:t>, конвенций и пр</w:t>
      </w:r>
      <w:r w:rsidRPr="00254693">
        <w:t>о</w:t>
      </w:r>
      <w:r w:rsidRPr="00254693">
        <w:t>токолов Организации Объединенных Наций в области прав человека и осуществления рекомендаций органов по наблюдению за выполнением государствами-участниками международных обязательств, принятых пр</w:t>
      </w:r>
      <w:r w:rsidRPr="00254693">
        <w:t>а</w:t>
      </w:r>
      <w:r w:rsidRPr="00254693">
        <w:t>вительством Респу</w:t>
      </w:r>
      <w:r w:rsidRPr="00254693">
        <w:t>б</w:t>
      </w:r>
      <w:r w:rsidRPr="00254693">
        <w:t>лики Словени</w:t>
      </w:r>
      <w:r>
        <w:t>я</w:t>
      </w:r>
      <w:r w:rsidRPr="00254693">
        <w:t xml:space="preserve"> 3 марта 2005</w:t>
      </w:r>
      <w:r>
        <w:t> год</w:t>
      </w:r>
      <w:r w:rsidRPr="00254693">
        <w:t>а;</w:t>
      </w:r>
    </w:p>
    <w:p w:rsidR="00240981" w:rsidRPr="00254693" w:rsidRDefault="00240981" w:rsidP="0024098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254693">
        <w:t>общие рекомендации по положениям и сквозным темам Конвенции, пр</w:t>
      </w:r>
      <w:r w:rsidRPr="00254693">
        <w:t>и</w:t>
      </w:r>
      <w:r w:rsidRPr="00254693">
        <w:t>нят</w:t>
      </w:r>
      <w:r>
        <w:t>ые</w:t>
      </w:r>
      <w:r w:rsidRPr="00254693">
        <w:t xml:space="preserve"> Комитетом по ликвидации дискриминации в отношении женщин;</w:t>
      </w:r>
    </w:p>
    <w:p w:rsidR="00240981" w:rsidRPr="00254693" w:rsidRDefault="00240981" w:rsidP="00240981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Pr="00254693">
        <w:t>рекомендации, которые содержатся в заключительных замечаниях Ком</w:t>
      </w:r>
      <w:r w:rsidRPr="00254693">
        <w:t>и</w:t>
      </w:r>
      <w:r w:rsidRPr="00254693">
        <w:t>тета по ликвидации дискриминации в отношении женщин, вынесенных по итогам рассмотрения на сорок второй сессии Комитета (24</w:t>
      </w:r>
      <w:r>
        <w:t> </w:t>
      </w:r>
      <w:r w:rsidRPr="00254693">
        <w:t>октября 2008</w:t>
      </w:r>
      <w:r>
        <w:t> год</w:t>
      </w:r>
      <w:r w:rsidRPr="00254693">
        <w:t>а) че</w:t>
      </w:r>
      <w:r w:rsidRPr="00254693">
        <w:t>т</w:t>
      </w:r>
      <w:r w:rsidRPr="00254693">
        <w:t>вертого периодического доклада Словении.</w:t>
      </w:r>
    </w:p>
    <w:p w:rsidR="00240981" w:rsidRPr="00254693" w:rsidRDefault="00240981" w:rsidP="00CA44D0">
      <w:pPr>
        <w:pStyle w:val="SingleTxt"/>
      </w:pPr>
      <w:r>
        <w:tab/>
      </w:r>
      <w:r w:rsidRPr="00254693">
        <w:t>В настоящем докладе, в частности, приводится информация об изменен</w:t>
      </w:r>
      <w:r w:rsidRPr="00254693">
        <w:t>и</w:t>
      </w:r>
      <w:r w:rsidRPr="00254693">
        <w:t>ях, которые были связаны с осуществлением положений Конвенции и произ</w:t>
      </w:r>
      <w:r w:rsidRPr="00254693">
        <w:t>о</w:t>
      </w:r>
      <w:r w:rsidRPr="00254693">
        <w:t>шли в период с момента рассмотрения предыдущего доклада до октября 2013</w:t>
      </w:r>
      <w:r>
        <w:t> год</w:t>
      </w:r>
      <w:r w:rsidRPr="00254693">
        <w:t>а, а также представлены сведения и данные, которые Комитет по ли</w:t>
      </w:r>
      <w:r w:rsidRPr="00254693">
        <w:t>к</w:t>
      </w:r>
      <w:r w:rsidRPr="00254693">
        <w:t>видации дискриминации в отношении женщин запросил в своих заключител</w:t>
      </w:r>
      <w:r w:rsidRPr="00254693">
        <w:t>ь</w:t>
      </w:r>
      <w:r w:rsidRPr="00254693">
        <w:t>ных замечаниях по четвертому периодическому докладу Республики Словения. В подготовке настоящего доклада приняли участие все компетентные мин</w:t>
      </w:r>
      <w:r w:rsidRPr="00254693">
        <w:t>и</w:t>
      </w:r>
      <w:r w:rsidRPr="00254693">
        <w:t>стерства, а неправительственным организациям, которые занимаются вопрос</w:t>
      </w:r>
      <w:r w:rsidRPr="00254693">
        <w:t>а</w:t>
      </w:r>
      <w:r w:rsidRPr="00254693">
        <w:t>ми, относящимися к сфере применения Конвенции, было рекомендовано пре</w:t>
      </w:r>
      <w:r w:rsidRPr="00254693">
        <w:t>д</w:t>
      </w:r>
      <w:r w:rsidRPr="00254693">
        <w:t>ставить свои мнения и предложения относительно дополнения и изменения текста д</w:t>
      </w:r>
      <w:r w:rsidRPr="00254693">
        <w:t>о</w:t>
      </w:r>
      <w:r w:rsidRPr="00254693">
        <w:t>клада.</w:t>
      </w:r>
    </w:p>
    <w:p w:rsidR="00240981" w:rsidRPr="00254693" w:rsidRDefault="00240981" w:rsidP="00CA44D0">
      <w:pPr>
        <w:pStyle w:val="SingleTxt"/>
      </w:pPr>
      <w:r>
        <w:tab/>
      </w:r>
      <w:r w:rsidRPr="00254693">
        <w:t>Доклад был утвержден правительством Республики Словения 9</w:t>
      </w:r>
      <w:r>
        <w:t> </w:t>
      </w:r>
      <w:r w:rsidRPr="00254693">
        <w:t xml:space="preserve">января 2014 года и представлен на рассмотрение Парламентской ассамблее. </w:t>
      </w:r>
    </w:p>
    <w:p w:rsidR="00240981" w:rsidRDefault="00240981" w:rsidP="00CA44D0">
      <w:pPr>
        <w:pStyle w:val="SingleTxt"/>
      </w:pPr>
      <w:r>
        <w:tab/>
      </w:r>
      <w:r w:rsidRPr="00254693">
        <w:t>Заключительные замечания по рассмотрению четвертого периодического д</w:t>
      </w:r>
      <w:r w:rsidRPr="00254693">
        <w:t>о</w:t>
      </w:r>
      <w:r w:rsidRPr="00254693">
        <w:t>клада Словении, утвержденного Комитетом по ликвидации дискриминации в отношении женщин на его сорок второй сессии в 2008</w:t>
      </w:r>
      <w:r>
        <w:t> год</w:t>
      </w:r>
      <w:r w:rsidRPr="00254693">
        <w:t>у, были представл</w:t>
      </w:r>
      <w:r w:rsidRPr="00254693">
        <w:t>е</w:t>
      </w:r>
      <w:r w:rsidRPr="00254693">
        <w:t>ны вниманию широкой общественности делегацией Республики Словени</w:t>
      </w:r>
      <w:r>
        <w:t>я</w:t>
      </w:r>
      <w:r w:rsidRPr="00254693">
        <w:t xml:space="preserve"> на пресс-конференции. Представитель неправительственной организации, которая наблюдала за ходом рассмотрения Комитетом доклада Словении, был пригл</w:t>
      </w:r>
      <w:r w:rsidRPr="00254693">
        <w:t>а</w:t>
      </w:r>
      <w:r w:rsidRPr="00254693">
        <w:t>шен для участия в представлении доклада. Правительство Республики Слов</w:t>
      </w:r>
      <w:r w:rsidRPr="00254693">
        <w:t>е</w:t>
      </w:r>
      <w:r w:rsidRPr="00254693">
        <w:t>ния рассмотрело доклад делегации и заключительные замечания Комитета по ликвидации дискриминации в отношении женщин на своем шестом очередном заседании, состоявшемся 24</w:t>
      </w:r>
      <w:r>
        <w:t> </w:t>
      </w:r>
      <w:r w:rsidRPr="00254693">
        <w:t>декабря 2008</w:t>
      </w:r>
      <w:r>
        <w:t> год</w:t>
      </w:r>
      <w:r w:rsidRPr="00254693">
        <w:t>а, и приняло решение поручить компетентным министерствам и государственным учреждениям изучить з</w:t>
      </w:r>
      <w:r w:rsidRPr="00254693">
        <w:t>а</w:t>
      </w:r>
      <w:r w:rsidRPr="00254693">
        <w:t xml:space="preserve">ключительные замечания Комитета и принять меры по </w:t>
      </w:r>
      <w:r>
        <w:t>выполнению</w:t>
      </w:r>
      <w:r w:rsidRPr="00254693">
        <w:t xml:space="preserve"> содерж</w:t>
      </w:r>
      <w:r w:rsidRPr="00254693">
        <w:t>а</w:t>
      </w:r>
      <w:r w:rsidRPr="00254693">
        <w:t>щихся в них рекомендаций, с тем чтобы в своем следующем периодическом докладе Словения представила как можно больше информации и данных, з</w:t>
      </w:r>
      <w:r w:rsidRPr="00254693">
        <w:t>а</w:t>
      </w:r>
      <w:r w:rsidRPr="00254693">
        <w:t>прашиваемых Комитетом. Широкая общественность была прои</w:t>
      </w:r>
      <w:r w:rsidRPr="00254693">
        <w:t>н</w:t>
      </w:r>
      <w:r w:rsidRPr="00254693">
        <w:t>формирована о достигнутом прогрессе и трудностях в выполнении положений Конвенции о ликвидации всех форм дискриминации в отношении женщин, в частности, п</w:t>
      </w:r>
      <w:r w:rsidRPr="00254693">
        <w:t>у</w:t>
      </w:r>
      <w:r w:rsidRPr="00254693">
        <w:t>тем публикации четвертого периодического доклада Словении, перевода з</w:t>
      </w:r>
      <w:r w:rsidRPr="00254693">
        <w:t>а</w:t>
      </w:r>
      <w:r w:rsidRPr="00254693">
        <w:t>ключительных замечаний Комитета по ликвидации дискриминации в отнош</w:t>
      </w:r>
      <w:r w:rsidRPr="00254693">
        <w:t>е</w:t>
      </w:r>
      <w:r w:rsidRPr="00254693">
        <w:t>нии женщин и их размещения на веб-сайте Управления по вопросам равных возможностей. Кроме того, в марте 2011</w:t>
      </w:r>
      <w:r>
        <w:t> год</w:t>
      </w:r>
      <w:r w:rsidRPr="00254693">
        <w:t>а заключительные замечания по четвертому периодическому докладу и дополнительная информация о выпо</w:t>
      </w:r>
      <w:r w:rsidRPr="00254693">
        <w:t>л</w:t>
      </w:r>
      <w:r w:rsidRPr="00254693">
        <w:t>нении рекомендаций, требующих самого пристального внимания и содерж</w:t>
      </w:r>
      <w:r w:rsidRPr="00254693">
        <w:t>а</w:t>
      </w:r>
      <w:r w:rsidRPr="00254693">
        <w:t>щихся в заключительных замечаниях, были рассмотрены Комиссией по пет</w:t>
      </w:r>
      <w:r w:rsidRPr="00254693">
        <w:t>и</w:t>
      </w:r>
      <w:r w:rsidRPr="00254693">
        <w:t xml:space="preserve">циям, правам человека и равным возможностям Государственного собрания </w:t>
      </w:r>
      <w:r>
        <w:t>Республики Словения.</w:t>
      </w:r>
    </w:p>
    <w:p w:rsidR="00240981" w:rsidRPr="00240981" w:rsidRDefault="00240981" w:rsidP="00240981">
      <w:pPr>
        <w:pStyle w:val="SingleTxt"/>
        <w:spacing w:after="0" w:line="120" w:lineRule="exact"/>
        <w:rPr>
          <w:sz w:val="10"/>
        </w:rPr>
      </w:pP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2409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</w:r>
      <w:r w:rsidRPr="003B18E6">
        <w:t>Общая информация</w:t>
      </w:r>
      <w:r w:rsidRPr="007E0CCC">
        <w:rPr>
          <w:rStyle w:val="FootnoteReference"/>
          <w:b w:val="0"/>
          <w:sz w:val="20"/>
        </w:rPr>
        <w:footnoteReference w:customMarkFollows="1" w:id="2"/>
        <w:t>*</w:t>
      </w:r>
    </w:p>
    <w:p w:rsidR="00240981" w:rsidRPr="00240981" w:rsidRDefault="00240981" w:rsidP="00240981">
      <w:pPr>
        <w:pStyle w:val="SingleTxt"/>
        <w:spacing w:after="0" w:line="120" w:lineRule="exact"/>
        <w:rPr>
          <w:sz w:val="10"/>
        </w:rPr>
      </w:pPr>
    </w:p>
    <w:p w:rsidR="00240981" w:rsidRPr="00240981" w:rsidRDefault="00240981" w:rsidP="00240981">
      <w:pPr>
        <w:pStyle w:val="SingleTxt"/>
        <w:spacing w:after="0" w:line="120" w:lineRule="exact"/>
        <w:rPr>
          <w:sz w:val="10"/>
        </w:rPr>
      </w:pPr>
    </w:p>
    <w:p w:rsidR="00240981" w:rsidRDefault="00240981" w:rsidP="0024098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 w:rsidRPr="00254693">
        <w:tab/>
        <w:t>Данные, используемые Словенией в рамках деятельности по</w:t>
      </w:r>
      <w:r>
        <w:t> </w:t>
      </w:r>
      <w:r w:rsidRPr="00254693">
        <w:t>ликвидации всех форм дискриминации в отношении женщин</w:t>
      </w:r>
    </w:p>
    <w:p w:rsidR="00240981" w:rsidRPr="00240981" w:rsidRDefault="00240981" w:rsidP="00240981">
      <w:pPr>
        <w:pStyle w:val="SingleTxt"/>
        <w:spacing w:after="0" w:line="120" w:lineRule="exact"/>
        <w:rPr>
          <w:sz w:val="10"/>
        </w:rPr>
      </w:pP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Pr="00617AF8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617AF8">
        <w:rPr>
          <w:b/>
        </w:rPr>
        <w:t>Народонаселение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Основные данные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По состоянию на конец 2012</w:t>
      </w:r>
      <w:r>
        <w:t> год</w:t>
      </w:r>
      <w:r w:rsidRPr="00254693">
        <w:t>а общая численность населения Респу</w:t>
      </w:r>
      <w:r w:rsidRPr="00254693">
        <w:t>б</w:t>
      </w:r>
      <w:r w:rsidRPr="00254693">
        <w:t>лики Словения составляла 2 055 496</w:t>
      </w:r>
      <w:r>
        <w:t> </w:t>
      </w:r>
      <w:r w:rsidRPr="00254693">
        <w:t>человек, 1 038 765 из них</w:t>
      </w:r>
      <w:r>
        <w:t xml:space="preserve"> — </w:t>
      </w:r>
      <w:r w:rsidRPr="00254693">
        <w:t>женщины (50,54</w:t>
      </w:r>
      <w:r>
        <w:t> </w:t>
      </w:r>
      <w:r w:rsidRPr="00254693">
        <w:t>процента). По сравнению с данными четвертого доклада численность населения немного увеличилась (57 906</w:t>
      </w:r>
      <w:r>
        <w:t> </w:t>
      </w:r>
      <w:r w:rsidRPr="00254693">
        <w:t>человек), а доля женщин снизилась на 0,5 процента</w:t>
      </w:r>
      <w:r w:rsidRPr="007E0CCC">
        <w:rPr>
          <w:vertAlign w:val="superscript"/>
        </w:rPr>
        <w:footnoteReference w:id="3"/>
      </w:r>
      <w:r w:rsidRPr="00254693">
        <w:t>. Граждане Республики Словения составляют 96 процентов от общей численности населения, причем доля женщин равна 51,4 процента</w:t>
      </w:r>
      <w:r w:rsidRPr="007E0CCC">
        <w:rPr>
          <w:vertAlign w:val="superscript"/>
        </w:rPr>
        <w:footnoteReference w:id="4"/>
      </w:r>
      <w:r>
        <w:t>.</w:t>
      </w: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Уровень рождаемости и количество абортов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Данные за период 2004</w:t>
      </w:r>
      <w:r>
        <w:t>–</w:t>
      </w:r>
      <w:r w:rsidRPr="00254693">
        <w:t>2012</w:t>
      </w:r>
      <w:r>
        <w:t> год</w:t>
      </w:r>
      <w:r w:rsidRPr="00254693">
        <w:t>ов свидетельствуют о том, что показ</w:t>
      </w:r>
      <w:r w:rsidRPr="00254693">
        <w:t>а</w:t>
      </w:r>
      <w:r w:rsidRPr="00254693">
        <w:t>тель рождаемости в Словении увеличился до 1,58. Средний возраст рожающих впервые женщин вырос: в 2012</w:t>
      </w:r>
      <w:r>
        <w:t> год</w:t>
      </w:r>
      <w:r w:rsidRPr="00254693">
        <w:t>у он составил 30,5</w:t>
      </w:r>
      <w:r>
        <w:t> год</w:t>
      </w:r>
      <w:r w:rsidRPr="00254693">
        <w:t>а, тогда как в 2004</w:t>
      </w:r>
      <w:r>
        <w:t> год</w:t>
      </w:r>
      <w:r w:rsidRPr="00254693">
        <w:t>у</w:t>
      </w:r>
      <w:r>
        <w:t xml:space="preserve"> — </w:t>
      </w:r>
      <w:r w:rsidRPr="00254693">
        <w:t>29,2</w:t>
      </w:r>
      <w:r>
        <w:t> год</w:t>
      </w:r>
      <w:r w:rsidRPr="00254693">
        <w:t>а (согласно данным о возрасте женщин, родивших жив</w:t>
      </w:r>
      <w:r w:rsidRPr="00254693">
        <w:t>о</w:t>
      </w:r>
      <w:r w:rsidRPr="00254693">
        <w:t>го ребенка)</w:t>
      </w:r>
      <w:r w:rsidRPr="007E0CCC">
        <w:rPr>
          <w:vertAlign w:val="superscript"/>
        </w:rPr>
        <w:footnoteReference w:id="5"/>
      </w:r>
      <w:r w:rsidRPr="00254693">
        <w:t>. Постоянно снижается показатель легальных абортов: в 2011</w:t>
      </w:r>
      <w:r>
        <w:t> год</w:t>
      </w:r>
      <w:r w:rsidRPr="00254693">
        <w:t>у он составлял 9,0 на 1000</w:t>
      </w:r>
      <w:r>
        <w:t> </w:t>
      </w:r>
      <w:r w:rsidRPr="00254693">
        <w:t>женщин репродуктивного возраста, а в 2004</w:t>
      </w:r>
      <w:r>
        <w:t> год</w:t>
      </w:r>
      <w:r w:rsidRPr="00254693">
        <w:t>у</w:t>
      </w:r>
      <w:r>
        <w:t xml:space="preserve"> — </w:t>
      </w:r>
      <w:r w:rsidRPr="00254693">
        <w:t>12,7 на 1000</w:t>
      </w:r>
      <w:r w:rsidRPr="007E0CCC">
        <w:rPr>
          <w:vertAlign w:val="superscript"/>
        </w:rPr>
        <w:footnoteReference w:id="6"/>
      </w:r>
      <w:r w:rsidRPr="00254693">
        <w:t>.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Количество браков и разводов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В последние годы количество браков и разводов практически не измен</w:t>
      </w:r>
      <w:r w:rsidRPr="00254693">
        <w:t>и</w:t>
      </w:r>
      <w:r w:rsidRPr="00254693">
        <w:t>лось. Лишь в отдельные годы их показатели слегка увеличивались или умен</w:t>
      </w:r>
      <w:r w:rsidRPr="00254693">
        <w:t>ь</w:t>
      </w:r>
      <w:r w:rsidRPr="00254693">
        <w:t>шались. Если сравнивать с данными за 2004</w:t>
      </w:r>
      <w:r>
        <w:t> год</w:t>
      </w:r>
      <w:r w:rsidRPr="00254693">
        <w:t>, то в 2012</w:t>
      </w:r>
      <w:r>
        <w:t> год</w:t>
      </w:r>
      <w:r w:rsidRPr="00254693">
        <w:t>у число браков увеличилось на 499, а число разводов</w:t>
      </w:r>
      <w:r>
        <w:t xml:space="preserve"> — </w:t>
      </w:r>
      <w:r w:rsidRPr="00254693">
        <w:t>на 98. Постоянно повышается средний возраст вступления в брак: в 2012</w:t>
      </w:r>
      <w:r>
        <w:t> год</w:t>
      </w:r>
      <w:r w:rsidRPr="00254693">
        <w:t>у он составил 34,3</w:t>
      </w:r>
      <w:r>
        <w:t> год</w:t>
      </w:r>
      <w:r w:rsidRPr="00254693">
        <w:t>а для мужчин и</w:t>
      </w:r>
      <w:r>
        <w:t xml:space="preserve"> </w:t>
      </w:r>
      <w:r w:rsidRPr="00254693">
        <w:t>31,5</w:t>
      </w:r>
      <w:r>
        <w:t> год</w:t>
      </w:r>
      <w:r w:rsidRPr="00254693">
        <w:t>а для женщин</w:t>
      </w:r>
      <w:r w:rsidRPr="007E0CCC">
        <w:rPr>
          <w:vertAlign w:val="superscript"/>
        </w:rPr>
        <w:footnoteReference w:id="7"/>
      </w:r>
      <w:r w:rsidRPr="00254693">
        <w:t>.</w:t>
      </w:r>
      <w:r>
        <w:t xml:space="preserve">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Старение населения и смертность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Pr="00254693" w:rsidRDefault="00240981" w:rsidP="00CA44D0">
      <w:pPr>
        <w:pStyle w:val="SingleTxt"/>
      </w:pPr>
      <w:r>
        <w:tab/>
      </w:r>
      <w:r w:rsidRPr="00254693">
        <w:t>Данные о возрастной структуре населения свидетельствуют о сохраня</w:t>
      </w:r>
      <w:r w:rsidRPr="00254693">
        <w:t>ю</w:t>
      </w:r>
      <w:r w:rsidRPr="00254693">
        <w:t>щейся тенденции его старения, характерной для развитых стран. В 2012</w:t>
      </w:r>
      <w:r>
        <w:t> год</w:t>
      </w:r>
      <w:r w:rsidRPr="00254693">
        <w:t>у продолжительность жизни при рождении составляла 76,96</w:t>
      </w:r>
      <w:r>
        <w:t> год</w:t>
      </w:r>
      <w:r w:rsidRPr="00254693">
        <w:t>а для мужчин и 82,89</w:t>
      </w:r>
      <w:r>
        <w:t> год</w:t>
      </w:r>
      <w:r w:rsidRPr="00254693">
        <w:t>а для женщин. Сопоставление с данными за период 2003</w:t>
      </w:r>
      <w:r>
        <w:t>–</w:t>
      </w:r>
      <w:r w:rsidRPr="00254693">
        <w:t>2012</w:t>
      </w:r>
      <w:r>
        <w:t> год</w:t>
      </w:r>
      <w:r w:rsidRPr="00254693">
        <w:t>ов показывает, что средняя ожидаемая продолжительность жизни увеличилась на 3,46</w:t>
      </w:r>
      <w:r>
        <w:t> год</w:t>
      </w:r>
      <w:r w:rsidRPr="00254693">
        <w:t>а для мальчиков и на 1,79</w:t>
      </w:r>
      <w:r>
        <w:t> год</w:t>
      </w:r>
      <w:r w:rsidRPr="00254693">
        <w:t>а для девочек</w:t>
      </w:r>
      <w:r w:rsidRPr="007E0CCC">
        <w:rPr>
          <w:vertAlign w:val="superscript"/>
        </w:rPr>
        <w:footnoteReference w:id="8"/>
      </w:r>
      <w:r w:rsidRPr="00254693">
        <w:t>.</w:t>
      </w:r>
    </w:p>
    <w:p w:rsidR="00240981" w:rsidRDefault="00240981" w:rsidP="00CA44D0">
      <w:pPr>
        <w:pStyle w:val="SingleTxt"/>
      </w:pPr>
      <w:r>
        <w:tab/>
      </w:r>
      <w:r w:rsidRPr="00254693">
        <w:t>Данные об уровне смертности свидетельствуют о том, что за последние пять лет каких-либо значительных изменений не произошло (18 523</w:t>
      </w:r>
      <w:r>
        <w:t> </w:t>
      </w:r>
      <w:r w:rsidRPr="00254693">
        <w:t>случаев смерти в 2004</w:t>
      </w:r>
      <w:r>
        <w:t> год</w:t>
      </w:r>
      <w:r w:rsidRPr="00254693">
        <w:t>у и 19 257 случаев смерти в 2012</w:t>
      </w:r>
      <w:r>
        <w:t> год</w:t>
      </w:r>
      <w:r w:rsidRPr="00254693">
        <w:t>у). В 2012</w:t>
      </w:r>
      <w:r>
        <w:t> год</w:t>
      </w:r>
      <w:r w:rsidRPr="00254693">
        <w:t>у доля умерших женщин составила 51,12</w:t>
      </w:r>
      <w:r>
        <w:t> </w:t>
      </w:r>
      <w:r w:rsidRPr="00254693">
        <w:t>процента. В последние годы уровень мл</w:t>
      </w:r>
      <w:r w:rsidRPr="00254693">
        <w:t>а</w:t>
      </w:r>
      <w:r w:rsidRPr="00254693">
        <w:t>денческой смертности является низким и продолжает сокращаться; в 2012 и 2004</w:t>
      </w:r>
      <w:r>
        <w:t> год</w:t>
      </w:r>
      <w:r w:rsidRPr="00254693">
        <w:t>ах показатель младенческой смертности составлял соответственно 1,6 и 3,7 на 1000</w:t>
      </w:r>
      <w:r>
        <w:t> </w:t>
      </w:r>
      <w:r w:rsidRPr="00254693">
        <w:t>живорожденных детей</w:t>
      </w:r>
      <w:r w:rsidRPr="007E0CCC">
        <w:rPr>
          <w:vertAlign w:val="superscript"/>
        </w:rPr>
        <w:footnoteReference w:id="9"/>
      </w:r>
      <w:r w:rsidRPr="00254693">
        <w:t xml:space="preserve">.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3B18E6">
        <w:rPr>
          <w:b/>
        </w:rPr>
        <w:t>Образование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Начальное и среднее образование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Начальное образование в Словении является обязательным. В 2012/2013</w:t>
      </w:r>
      <w:r>
        <w:t> </w:t>
      </w:r>
      <w:r w:rsidRPr="00254693">
        <w:t>учебном году численность учащихся начальных школ составляла 161 051</w:t>
      </w:r>
      <w:r>
        <w:t> </w:t>
      </w:r>
      <w:r w:rsidRPr="00254693">
        <w:t>человек, из них 78 409, или 48,7</w:t>
      </w:r>
      <w:r>
        <w:t> </w:t>
      </w:r>
      <w:r w:rsidRPr="00254693">
        <w:t xml:space="preserve">процента, были девочки. В том же учебном году </w:t>
      </w:r>
      <w:r>
        <w:t>в средних школах было</w:t>
      </w:r>
      <w:r w:rsidRPr="00254693">
        <w:t xml:space="preserve"> 78 208</w:t>
      </w:r>
      <w:r>
        <w:t> учащихся</w:t>
      </w:r>
      <w:r w:rsidRPr="00254693">
        <w:t>, из них 37 887, или 48,4</w:t>
      </w:r>
      <w:r>
        <w:t> </w:t>
      </w:r>
      <w:r w:rsidRPr="00254693">
        <w:t>процента,</w:t>
      </w:r>
      <w:r>
        <w:t xml:space="preserve"> </w:t>
      </w:r>
      <w:r w:rsidRPr="00254693">
        <w:t xml:space="preserve"> девочки</w:t>
      </w:r>
      <w:r w:rsidRPr="007E0CCC">
        <w:rPr>
          <w:vertAlign w:val="superscript"/>
        </w:rPr>
        <w:footnoteReference w:id="10"/>
      </w:r>
      <w:r w:rsidRPr="00254693">
        <w:t>.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</w:t>
      </w:r>
      <w:r w:rsidRPr="00254693">
        <w:t xml:space="preserve">рофессионально-техническое </w:t>
      </w:r>
      <w:r>
        <w:t xml:space="preserve">обучение </w:t>
      </w:r>
      <w:r w:rsidRPr="00254693">
        <w:t>и университетское образование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 xml:space="preserve">Среди </w:t>
      </w:r>
      <w:r>
        <w:t>зачисленных</w:t>
      </w:r>
      <w:r w:rsidRPr="00254693">
        <w:t xml:space="preserve"> в высшие учебные заведения, </w:t>
      </w:r>
      <w:r>
        <w:t>студентов и окончи</w:t>
      </w:r>
      <w:r>
        <w:t>в</w:t>
      </w:r>
      <w:r>
        <w:t xml:space="preserve">ших высшие учебные заведения </w:t>
      </w:r>
      <w:r w:rsidRPr="00254693">
        <w:t>больше женщин, нежели м</w:t>
      </w:r>
      <w:r>
        <w:t>ужчин. В 2011/2012 </w:t>
      </w:r>
      <w:r w:rsidRPr="00254693">
        <w:t>учебном году в</w:t>
      </w:r>
      <w:r>
        <w:t xml:space="preserve"> высших учебных заведениях было </w:t>
      </w:r>
      <w:r w:rsidRPr="00254693">
        <w:t>104 003</w:t>
      </w:r>
      <w:r>
        <w:t> студента</w:t>
      </w:r>
      <w:r w:rsidRPr="00254693">
        <w:t>, из них 57,7</w:t>
      </w:r>
      <w:r>
        <w:t> </w:t>
      </w:r>
      <w:r w:rsidRPr="00254693">
        <w:t>процента</w:t>
      </w:r>
      <w:r>
        <w:t xml:space="preserve"> — </w:t>
      </w:r>
      <w:r w:rsidRPr="00254693">
        <w:t>женщины. В том же году в высшие учебные заведения</w:t>
      </w:r>
      <w:r>
        <w:t xml:space="preserve"> был зачислен </w:t>
      </w:r>
      <w:r w:rsidRPr="00254693">
        <w:t>20 461</w:t>
      </w:r>
      <w:r>
        <w:t> выпускник школы</w:t>
      </w:r>
      <w:r w:rsidRPr="00254693">
        <w:t>, из них 60,3</w:t>
      </w:r>
      <w:r>
        <w:t> </w:t>
      </w:r>
      <w:r w:rsidRPr="00254693">
        <w:t>процента</w:t>
      </w:r>
      <w:r>
        <w:t xml:space="preserve"> — </w:t>
      </w:r>
      <w:r w:rsidRPr="00254693">
        <w:t>девушки</w:t>
      </w:r>
      <w:r w:rsidRPr="007E0CCC">
        <w:rPr>
          <w:vertAlign w:val="superscript"/>
        </w:rPr>
        <w:footnoteReference w:id="11"/>
      </w:r>
      <w:r w:rsidRPr="00254693">
        <w:t xml:space="preserve">.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 xml:space="preserve">Последипломное образование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В 2011</w:t>
      </w:r>
      <w:r>
        <w:t> год</w:t>
      </w:r>
      <w:r w:rsidRPr="00254693">
        <w:t>у среди выпускников со степенью магистра и</w:t>
      </w:r>
      <w:r>
        <w:t>ли</w:t>
      </w:r>
      <w:r w:rsidRPr="00254693">
        <w:t xml:space="preserve"> специалиста доля женщин составляла 60,5</w:t>
      </w:r>
      <w:r>
        <w:t> </w:t>
      </w:r>
      <w:r w:rsidRPr="00254693">
        <w:t>процента, тогда как в 2008</w:t>
      </w:r>
      <w:r>
        <w:t> год</w:t>
      </w:r>
      <w:r w:rsidRPr="00254693">
        <w:t>у она равнялась 57,7</w:t>
      </w:r>
      <w:r>
        <w:t> </w:t>
      </w:r>
      <w:r w:rsidRPr="00254693">
        <w:t xml:space="preserve">процента. В 2011 году </w:t>
      </w:r>
      <w:r>
        <w:t xml:space="preserve">ученую </w:t>
      </w:r>
      <w:r w:rsidRPr="00254693">
        <w:t>степень получили 523 студента, из них 42,7</w:t>
      </w:r>
      <w:r>
        <w:t> </w:t>
      </w:r>
      <w:r w:rsidRPr="00254693">
        <w:t>процента</w:t>
      </w:r>
      <w:r>
        <w:t xml:space="preserve"> — </w:t>
      </w:r>
      <w:r w:rsidRPr="00254693">
        <w:t xml:space="preserve">женщины. Этот показатель немного меньше, чем </w:t>
      </w:r>
      <w:r>
        <w:t xml:space="preserve">в </w:t>
      </w:r>
      <w:r w:rsidRPr="00254693">
        <w:t>предыд</w:t>
      </w:r>
      <w:r w:rsidRPr="00254693">
        <w:t>у</w:t>
      </w:r>
      <w:r w:rsidRPr="00254693">
        <w:t>щие годы</w:t>
      </w:r>
      <w:r w:rsidRPr="007E0CCC">
        <w:rPr>
          <w:vertAlign w:val="superscript"/>
        </w:rPr>
        <w:footnoteReference w:id="12"/>
      </w:r>
      <w:r w:rsidRPr="00254693">
        <w:t xml:space="preserve">.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3B18E6">
        <w:rPr>
          <w:b/>
        </w:rPr>
        <w:t>Экономическое положение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Экономическое развитие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В 2012</w:t>
      </w:r>
      <w:r>
        <w:t> год</w:t>
      </w:r>
      <w:r w:rsidRPr="00254693">
        <w:t>у ВВП на душу населения в Словении равнялся 17</w:t>
      </w:r>
      <w:r w:rsidRPr="00254693">
        <w:rPr>
          <w:lang w:val="en-US"/>
        </w:rPr>
        <w:t> </w:t>
      </w:r>
      <w:r w:rsidRPr="00254693">
        <w:t>171,90</w:t>
      </w:r>
      <w:r>
        <w:t> </w:t>
      </w:r>
      <w:r w:rsidRPr="00254693">
        <w:t>евро, что меньше показателя 2008</w:t>
      </w:r>
      <w:r>
        <w:t> год</w:t>
      </w:r>
      <w:r w:rsidRPr="00254693">
        <w:t>а, составлявшего 18 419,90</w:t>
      </w:r>
      <w:r>
        <w:t> </w:t>
      </w:r>
      <w:r w:rsidRPr="00254693">
        <w:t>евро. В 2012</w:t>
      </w:r>
      <w:r>
        <w:t> год</w:t>
      </w:r>
      <w:r w:rsidRPr="00254693">
        <w:t>у объем ВВП в реальном выражении сократился на 2,3 процента. В том же году среднегодовые темпы инфляции в Словении с</w:t>
      </w:r>
      <w:r w:rsidRPr="00254693">
        <w:t>о</w:t>
      </w:r>
      <w:r w:rsidRPr="00254693">
        <w:t xml:space="preserve">ставляли 2,7 процента.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Занятость и безработица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В 2012</w:t>
      </w:r>
      <w:r>
        <w:t> год</w:t>
      </w:r>
      <w:r w:rsidRPr="00254693">
        <w:t xml:space="preserve">у </w:t>
      </w:r>
      <w:r>
        <w:t xml:space="preserve">доля самодеятельного </w:t>
      </w:r>
      <w:r w:rsidRPr="00254693">
        <w:t xml:space="preserve">населения </w:t>
      </w:r>
      <w:r>
        <w:t xml:space="preserve">составляла </w:t>
      </w:r>
      <w:r w:rsidRPr="00254693">
        <w:t>56,9</w:t>
      </w:r>
      <w:r>
        <w:t> </w:t>
      </w:r>
      <w:r w:rsidRPr="00254693">
        <w:t>процента (51,6</w:t>
      </w:r>
      <w:r>
        <w:t> </w:t>
      </w:r>
      <w:r w:rsidRPr="00254693">
        <w:t>процента для женщин и 62,4</w:t>
      </w:r>
      <w:r>
        <w:t> </w:t>
      </w:r>
      <w:r w:rsidRPr="00254693">
        <w:t xml:space="preserve">процента для мужчин), а доля </w:t>
      </w:r>
      <w:r>
        <w:t>занятых —</w:t>
      </w:r>
      <w:r w:rsidRPr="00254693">
        <w:t>52,3</w:t>
      </w:r>
      <w:r>
        <w:t> </w:t>
      </w:r>
      <w:r w:rsidRPr="00254693">
        <w:t>процента (47,1</w:t>
      </w:r>
      <w:r>
        <w:t> </w:t>
      </w:r>
      <w:r w:rsidRPr="00254693">
        <w:t xml:space="preserve">процента для </w:t>
      </w:r>
      <w:r>
        <w:t>женщин</w:t>
      </w:r>
      <w:r w:rsidRPr="00254693">
        <w:t xml:space="preserve"> и 57,6</w:t>
      </w:r>
      <w:r>
        <w:t> </w:t>
      </w:r>
      <w:r w:rsidRPr="00254693">
        <w:t>процента для</w:t>
      </w:r>
      <w:r>
        <w:t xml:space="preserve"> мужчин</w:t>
      </w:r>
      <w:r w:rsidRPr="00254693">
        <w:t>). По сравнению с 2008</w:t>
      </w:r>
      <w:r>
        <w:t> год</w:t>
      </w:r>
      <w:r w:rsidRPr="00254693">
        <w:t>ом оба вышеупомянутых показателя сократились. По данным опросов, уровень безработицы увеличился с 4,2</w:t>
      </w:r>
      <w:r>
        <w:t> </w:t>
      </w:r>
      <w:r w:rsidRPr="00254693">
        <w:t>процента в 2008</w:t>
      </w:r>
      <w:r>
        <w:t> год</w:t>
      </w:r>
      <w:r w:rsidRPr="00254693">
        <w:t>у до 8,2</w:t>
      </w:r>
      <w:r>
        <w:t> </w:t>
      </w:r>
      <w:r w:rsidRPr="00254693">
        <w:t>процента в 2012</w:t>
      </w:r>
      <w:r>
        <w:t> год</w:t>
      </w:r>
      <w:r w:rsidRPr="00254693">
        <w:t>у. Среди женщин этот показатель вырос с 4,9</w:t>
      </w:r>
      <w:r>
        <w:t xml:space="preserve"> </w:t>
      </w:r>
      <w:r w:rsidRPr="00254693">
        <w:t>пр</w:t>
      </w:r>
      <w:r w:rsidRPr="00254693">
        <w:t>о</w:t>
      </w:r>
      <w:r w:rsidRPr="00254693">
        <w:t>цента до 8,8</w:t>
      </w:r>
      <w:r>
        <w:t> </w:t>
      </w:r>
      <w:r w:rsidRPr="00254693">
        <w:t>процента, а среди мужчин</w:t>
      </w:r>
      <w:r>
        <w:t xml:space="preserve"> — </w:t>
      </w:r>
      <w:r w:rsidRPr="00254693">
        <w:t>с 3,5</w:t>
      </w:r>
      <w:r>
        <w:t> </w:t>
      </w:r>
      <w:r w:rsidRPr="00254693">
        <w:t>процента до 7,7</w:t>
      </w:r>
      <w:r>
        <w:t xml:space="preserve"> </w:t>
      </w:r>
      <w:r w:rsidRPr="00254693">
        <w:t>проце</w:t>
      </w:r>
      <w:r w:rsidRPr="00254693">
        <w:t>н</w:t>
      </w:r>
      <w:r w:rsidRPr="00254693">
        <w:t>та</w:t>
      </w:r>
      <w:r w:rsidRPr="007E0CCC">
        <w:rPr>
          <w:vertAlign w:val="superscript"/>
        </w:rPr>
        <w:footnoteReference w:id="13"/>
      </w:r>
      <w:r w:rsidRPr="00254693">
        <w:t xml:space="preserve">.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Структура рынка труда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На рынке труда в Словении отчетливо наблюдается горизонтальная и ве</w:t>
      </w:r>
      <w:r w:rsidRPr="00254693">
        <w:t>р</w:t>
      </w:r>
      <w:r w:rsidRPr="00254693">
        <w:t xml:space="preserve">тикальная </w:t>
      </w:r>
      <w:r>
        <w:t>стратификация</w:t>
      </w:r>
      <w:r w:rsidRPr="00254693">
        <w:t xml:space="preserve"> по признаку пола. Женщины, как правило, работают в сфере услуг, в частности в </w:t>
      </w:r>
      <w:r>
        <w:t>сфере</w:t>
      </w:r>
      <w:r w:rsidRPr="00254693">
        <w:t xml:space="preserve"> здравоохранения, социального обеспечения и образования. Меньше всего женщин работает в строительной и горнодоб</w:t>
      </w:r>
      <w:r w:rsidRPr="00254693">
        <w:t>ы</w:t>
      </w:r>
      <w:r w:rsidRPr="00254693">
        <w:t>вающей промышленности. Хотя в среднем по уровню образования и квалиф</w:t>
      </w:r>
      <w:r w:rsidRPr="00254693">
        <w:t>и</w:t>
      </w:r>
      <w:r w:rsidRPr="00254693">
        <w:t xml:space="preserve">кации женщины превосходят мужчин, </w:t>
      </w:r>
      <w:r>
        <w:t xml:space="preserve">высшие </w:t>
      </w:r>
      <w:r w:rsidRPr="00254693">
        <w:t xml:space="preserve">и наиболее высокооплачиваемые должности (старшие должностные лица, управляющие и </w:t>
      </w:r>
      <w:r>
        <w:t>законодатели</w:t>
      </w:r>
      <w:r w:rsidRPr="00254693">
        <w:t>) же</w:t>
      </w:r>
      <w:r w:rsidRPr="00254693">
        <w:t>н</w:t>
      </w:r>
      <w:r w:rsidRPr="00254693">
        <w:t>щины занимают р</w:t>
      </w:r>
      <w:r w:rsidRPr="00254693">
        <w:t>е</w:t>
      </w:r>
      <w:r w:rsidRPr="00254693">
        <w:t xml:space="preserve">же. 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54693">
        <w:t>Политика регулирования доходов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Default="00240981" w:rsidP="00CA44D0">
      <w:pPr>
        <w:pStyle w:val="SingleTxt"/>
      </w:pPr>
      <w:r>
        <w:tab/>
      </w:r>
      <w:r w:rsidRPr="00254693">
        <w:t>Данные за 2011</w:t>
      </w:r>
      <w:r>
        <w:t> год</w:t>
      </w:r>
      <w:r w:rsidRPr="00254693">
        <w:t xml:space="preserve"> свидетельствуют о том, что размер заработной платы у женщин в среднем на четыре процента меньше, чем у мужчин. В этой связи </w:t>
      </w:r>
      <w:r>
        <w:t>самые большие различия, составляющие</w:t>
      </w:r>
      <w:r w:rsidRPr="00254693">
        <w:t xml:space="preserve"> почти 19</w:t>
      </w:r>
      <w:r>
        <w:t> </w:t>
      </w:r>
      <w:r w:rsidRPr="00254693">
        <w:t>процентов, наблюда</w:t>
      </w:r>
      <w:r>
        <w:t>ю</w:t>
      </w:r>
      <w:r w:rsidRPr="00254693">
        <w:t xml:space="preserve">тся между выпускниками профессионально-технических </w:t>
      </w:r>
      <w:r>
        <w:t>училищ</w:t>
      </w:r>
      <w:r w:rsidRPr="00254693">
        <w:t xml:space="preserve"> и ун</w:t>
      </w:r>
      <w:r w:rsidRPr="00254693">
        <w:t>и</w:t>
      </w:r>
      <w:r w:rsidRPr="00254693">
        <w:t>верситетов.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Pr="00105B63" w:rsidRDefault="00240981" w:rsidP="00CA44D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105B63">
        <w:rPr>
          <w:b/>
        </w:rPr>
        <w:t>Общественная и политическая жизнь</w:t>
      </w:r>
    </w:p>
    <w:p w:rsidR="00240981" w:rsidRPr="003B18E6" w:rsidRDefault="00240981" w:rsidP="00CA44D0">
      <w:pPr>
        <w:pStyle w:val="SingleTxt"/>
        <w:spacing w:after="0" w:line="120" w:lineRule="exact"/>
        <w:rPr>
          <w:sz w:val="10"/>
        </w:rPr>
      </w:pPr>
    </w:p>
    <w:p w:rsidR="00240981" w:rsidRPr="00254693" w:rsidRDefault="00240981" w:rsidP="00CA44D0">
      <w:pPr>
        <w:pStyle w:val="SingleTxt"/>
      </w:pPr>
      <w:r>
        <w:tab/>
      </w:r>
      <w:r w:rsidRPr="00254693">
        <w:t>В Законе о выборах членов Европейского парламента от Словении, Законе о местных выборах и Законе о выборах в Государственное собрание указывае</w:t>
      </w:r>
      <w:r w:rsidRPr="00254693">
        <w:t>т</w:t>
      </w:r>
      <w:r w:rsidRPr="00254693">
        <w:t>ся минимальная доля женщин и мужчин, включаемых в списки кандидатов.</w:t>
      </w:r>
    </w:p>
    <w:p w:rsidR="00240981" w:rsidRPr="00254693" w:rsidRDefault="00240981" w:rsidP="00CA44D0">
      <w:pPr>
        <w:pStyle w:val="SingleTxt"/>
      </w:pPr>
      <w:r>
        <w:tab/>
      </w:r>
      <w:r w:rsidRPr="00254693">
        <w:t>В 2011</w:t>
      </w:r>
      <w:r>
        <w:t> год</w:t>
      </w:r>
      <w:r w:rsidRPr="00254693">
        <w:t>у в Государственное собрание Республики Словени</w:t>
      </w:r>
      <w:r>
        <w:t>я</w:t>
      </w:r>
      <w:r w:rsidRPr="00254693">
        <w:t xml:space="preserve"> был</w:t>
      </w:r>
      <w:r>
        <w:t>о</w:t>
      </w:r>
      <w:r w:rsidRPr="00254693">
        <w:t xml:space="preserve"> и</w:t>
      </w:r>
      <w:r w:rsidRPr="00254693">
        <w:t>з</w:t>
      </w:r>
      <w:r w:rsidRPr="00254693">
        <w:t>бран</w:t>
      </w:r>
      <w:r>
        <w:t>о</w:t>
      </w:r>
      <w:r w:rsidRPr="00254693">
        <w:t xml:space="preserve"> 29</w:t>
      </w:r>
      <w:r>
        <w:t> </w:t>
      </w:r>
      <w:r w:rsidRPr="00254693">
        <w:t>женщин (32,2</w:t>
      </w:r>
      <w:r>
        <w:t> </w:t>
      </w:r>
      <w:r w:rsidRPr="00254693">
        <w:t>процента). По сравнению с составом Государственного собрания предыдущего созыва число женщин–парламентариев значительно увеличилось (на 17</w:t>
      </w:r>
      <w:r>
        <w:t> </w:t>
      </w:r>
      <w:r w:rsidRPr="00254693">
        <w:t>человек, или 18,9</w:t>
      </w:r>
      <w:r>
        <w:t> </w:t>
      </w:r>
      <w:r w:rsidRPr="00254693">
        <w:t>процента).</w:t>
      </w:r>
    </w:p>
    <w:p w:rsidR="00240981" w:rsidRPr="00254693" w:rsidRDefault="00240981" w:rsidP="00CA44D0">
      <w:pPr>
        <w:pStyle w:val="SingleTxt"/>
      </w:pPr>
      <w:r>
        <w:tab/>
      </w:r>
      <w:r w:rsidRPr="00254693">
        <w:t>Кроме того, остается небольшой доля женщин, занимающих руководящие должности в местных органах власти. На местных выборах 2010</w:t>
      </w:r>
      <w:r>
        <w:t> год</w:t>
      </w:r>
      <w:r w:rsidRPr="00254693">
        <w:t>а доля женщин, избранных в муниципальные советы, составила 22</w:t>
      </w:r>
      <w:r>
        <w:t> </w:t>
      </w:r>
      <w:r w:rsidRPr="00254693">
        <w:t xml:space="preserve">процента, </w:t>
      </w:r>
      <w:r>
        <w:t>а мэр</w:t>
      </w:r>
      <w:r>
        <w:t>а</w:t>
      </w:r>
      <w:r>
        <w:t>ми были избраны 10 </w:t>
      </w:r>
      <w:r w:rsidRPr="00254693">
        <w:t>женщин (</w:t>
      </w:r>
      <w:r>
        <w:t>5 </w:t>
      </w:r>
      <w:r w:rsidRPr="00254693">
        <w:t>процентов).</w:t>
      </w:r>
    </w:p>
    <w:p w:rsidR="00240981" w:rsidRPr="00254693" w:rsidRDefault="00240981" w:rsidP="00CA44D0">
      <w:pPr>
        <w:pStyle w:val="SingleTxt"/>
      </w:pPr>
      <w:r>
        <w:tab/>
      </w:r>
      <w:r w:rsidRPr="00254693">
        <w:t>С 20</w:t>
      </w:r>
      <w:r>
        <w:t> </w:t>
      </w:r>
      <w:r w:rsidRPr="00254693">
        <w:t>марта 2013</w:t>
      </w:r>
      <w:r>
        <w:t> год</w:t>
      </w:r>
      <w:r w:rsidRPr="00254693">
        <w:t>а пост премьер-министра Республики Словения зан</w:t>
      </w:r>
      <w:r w:rsidRPr="00254693">
        <w:t>и</w:t>
      </w:r>
      <w:r w:rsidRPr="00254693">
        <w:t xml:space="preserve">мает женщина. </w:t>
      </w:r>
      <w:r>
        <w:t xml:space="preserve">Из </w:t>
      </w:r>
      <w:r w:rsidRPr="00254693">
        <w:t xml:space="preserve">12 министров </w:t>
      </w:r>
      <w:r>
        <w:t xml:space="preserve">есть одна женщина </w:t>
      </w:r>
      <w:r w:rsidRPr="00254693">
        <w:t xml:space="preserve">(8,3 процента), </w:t>
      </w:r>
      <w:r>
        <w:t xml:space="preserve">которая является </w:t>
      </w:r>
      <w:r w:rsidRPr="00254693">
        <w:t>министром труда, по вопросам семьи, социальных дел и равных во</w:t>
      </w:r>
      <w:r w:rsidRPr="00254693">
        <w:t>з</w:t>
      </w:r>
      <w:r w:rsidRPr="00254693">
        <w:t>можностей</w:t>
      </w:r>
      <w:r>
        <w:t>. О</w:t>
      </w:r>
      <w:r w:rsidRPr="00254693">
        <w:t>дна женщина в ранге министра без портфеля руководит Управл</w:t>
      </w:r>
      <w:r w:rsidRPr="00254693">
        <w:t>е</w:t>
      </w:r>
      <w:r w:rsidRPr="00254693">
        <w:t>нием по делам словенцев, проживающих за рубежом, в аппарате правител</w:t>
      </w:r>
      <w:r w:rsidRPr="00254693">
        <w:t>ь</w:t>
      </w:r>
      <w:r w:rsidRPr="00254693">
        <w:t>ства Республики Словения</w:t>
      </w:r>
      <w:r>
        <w:t>,</w:t>
      </w:r>
      <w:r w:rsidRPr="00254693">
        <w:t xml:space="preserve"> и еще одна женщина возглавляет Генеральный секрет</w:t>
      </w:r>
      <w:r w:rsidRPr="00254693">
        <w:t>а</w:t>
      </w:r>
      <w:r w:rsidRPr="00254693">
        <w:t>риат. Восемь женщин работают на должностях государственных секретарей (33,3</w:t>
      </w:r>
      <w:r>
        <w:t> </w:t>
      </w:r>
      <w:r w:rsidRPr="00254693">
        <w:t xml:space="preserve">процента). </w:t>
      </w:r>
    </w:p>
    <w:p w:rsidR="00240981" w:rsidRPr="00254693" w:rsidRDefault="00240981" w:rsidP="00CA44D0">
      <w:pPr>
        <w:pStyle w:val="SingleTxt"/>
      </w:pPr>
      <w:r>
        <w:tab/>
      </w:r>
      <w:r w:rsidRPr="00254693">
        <w:t>Для работы в Европейском парламенте в период 2009</w:t>
      </w:r>
      <w:r>
        <w:t>–</w:t>
      </w:r>
      <w:r w:rsidRPr="00254693">
        <w:t>2014</w:t>
      </w:r>
      <w:r>
        <w:t> год</w:t>
      </w:r>
      <w:r w:rsidRPr="00254693">
        <w:t>ов в Сл</w:t>
      </w:r>
      <w:r w:rsidRPr="00254693">
        <w:t>о</w:t>
      </w:r>
      <w:r w:rsidRPr="00254693">
        <w:t>вении были избраны четыре женщины-парламентария (50</w:t>
      </w:r>
      <w:r>
        <w:t> </w:t>
      </w:r>
      <w:r w:rsidRPr="00254693">
        <w:t>процентов).</w:t>
      </w:r>
    </w:p>
    <w:p w:rsidR="00240981" w:rsidRPr="0037679F" w:rsidRDefault="00240981" w:rsidP="0037679F">
      <w:pPr>
        <w:pStyle w:val="SingleTxt"/>
        <w:spacing w:after="0" w:line="120" w:lineRule="exact"/>
        <w:rPr>
          <w:sz w:val="10"/>
        </w:rPr>
      </w:pPr>
    </w:p>
    <w:p w:rsidR="0037679F" w:rsidRPr="0037679F" w:rsidRDefault="0037679F" w:rsidP="0037679F">
      <w:pPr>
        <w:pStyle w:val="SingleTxt"/>
        <w:spacing w:after="0" w:line="120" w:lineRule="exact"/>
        <w:rPr>
          <w:sz w:val="10"/>
        </w:rPr>
      </w:pPr>
    </w:p>
    <w:p w:rsidR="0037679F" w:rsidRDefault="0037679F" w:rsidP="0037679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  <w:t>B.</w:t>
      </w:r>
      <w:r w:rsidRPr="00BF34BD">
        <w:tab/>
        <w:t>Принятие мер по осуществлению Конвенции и значение ее ратификации для общей, социальной, экономической, политической и правовой ситуации в Словении</w:t>
      </w:r>
    </w:p>
    <w:p w:rsidR="0037679F" w:rsidRPr="0037679F" w:rsidRDefault="0037679F" w:rsidP="0037679F">
      <w:pPr>
        <w:pStyle w:val="SingleTxt"/>
        <w:spacing w:after="0" w:line="120" w:lineRule="exact"/>
        <w:rPr>
          <w:sz w:val="10"/>
          <w:lang w:val="en-US"/>
        </w:rPr>
      </w:pPr>
    </w:p>
    <w:p w:rsidR="0037679F" w:rsidRPr="00BF34BD" w:rsidRDefault="0037679F" w:rsidP="00932579">
      <w:pPr>
        <w:pStyle w:val="SingleTxt"/>
        <w:spacing w:after="0" w:line="120" w:lineRule="exact"/>
        <w:rPr>
          <w:sz w:val="10"/>
          <w:lang w:val="en-US"/>
        </w:rPr>
      </w:pPr>
    </w:p>
    <w:p w:rsidR="0037679F" w:rsidRDefault="0037679F" w:rsidP="00932579">
      <w:pPr>
        <w:pStyle w:val="SingleTxt"/>
      </w:pPr>
      <w:r>
        <w:rPr>
          <w:lang w:val="en-US"/>
        </w:rPr>
        <w:tab/>
      </w:r>
      <w:r w:rsidRPr="00BF34BD">
        <w:t>Конвенция о ликвидации всех форм дискриминации в отношении же</w:t>
      </w:r>
      <w:r w:rsidRPr="00BF34BD">
        <w:t>н</w:t>
      </w:r>
      <w:r w:rsidRPr="00BF34BD">
        <w:t>щин, общие рекомендации, одобренные Комитетом по ликвидации дискрим</w:t>
      </w:r>
      <w:r w:rsidRPr="00BF34BD">
        <w:t>и</w:t>
      </w:r>
      <w:r w:rsidRPr="00BF34BD">
        <w:t>нации в отношении женщин и касающиеся обязательств государств-участников Конвенции, мнения Комитета в связи с рассмотрением индивидуальных соо</w:t>
      </w:r>
      <w:r w:rsidRPr="00BF34BD">
        <w:t>б</w:t>
      </w:r>
      <w:r w:rsidRPr="00BF34BD">
        <w:t>щений, компетентные запросы в соответствии с Факультативным протоколом к Конвенции и рекомендации Комитета, содержащиеся в заключительных зам</w:t>
      </w:r>
      <w:r w:rsidRPr="00BF34BD">
        <w:t>е</w:t>
      </w:r>
      <w:r w:rsidRPr="00BF34BD">
        <w:t>чаниях, одобренных по итогам рассмотрения докладов Словении в соотве</w:t>
      </w:r>
      <w:r w:rsidRPr="00BF34BD">
        <w:t>т</w:t>
      </w:r>
      <w:r w:rsidRPr="00BF34BD">
        <w:t>ствии с Конвенцией, служат основой для разработки</w:t>
      </w:r>
      <w:r>
        <w:t xml:space="preserve"> политики</w:t>
      </w:r>
      <w:r w:rsidRPr="00BF34BD">
        <w:t>, программ и других мер по достижению в словенском обществе фактического равенства между мужчинами и женщинами и применяются органами законодательной и исполнительной власти. Положения Конвенции и рекомендации Комитета и</w:t>
      </w:r>
      <w:r w:rsidRPr="00BF34BD">
        <w:t>г</w:t>
      </w:r>
      <w:r w:rsidRPr="00BF34BD">
        <w:t>рают важную роль в обосновании инициатив и мер, предлагаемых для мин</w:t>
      </w:r>
      <w:r w:rsidRPr="00BF34BD">
        <w:t>и</w:t>
      </w:r>
      <w:r w:rsidRPr="00BF34BD">
        <w:t>стерств органами по обеспечению равных возможностей. Кроме того, полож</w:t>
      </w:r>
      <w:r w:rsidRPr="00BF34BD">
        <w:t>е</w:t>
      </w:r>
      <w:r w:rsidRPr="00BF34BD">
        <w:t xml:space="preserve">ния Конвенции и рекомендации Комитета служат основой для деятельности неправительственных организаций. </w:t>
      </w:r>
    </w:p>
    <w:p w:rsidR="0037679F" w:rsidRPr="00BF34BD" w:rsidRDefault="0037679F" w:rsidP="00932579">
      <w:pPr>
        <w:pStyle w:val="SingleTxt"/>
        <w:spacing w:after="0" w:line="120" w:lineRule="exact"/>
        <w:rPr>
          <w:sz w:val="10"/>
        </w:rPr>
      </w:pPr>
    </w:p>
    <w:p w:rsidR="0037679F" w:rsidRDefault="0037679F" w:rsidP="0037679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rPr>
          <w:lang w:val="en-US"/>
        </w:rPr>
        <w:t>C</w:t>
      </w:r>
      <w:r w:rsidRPr="0037679F">
        <w:t>.</w:t>
      </w:r>
      <w:r w:rsidRPr="00BF34BD">
        <w:tab/>
        <w:t>Учреждения, занимающиеся вопросами обеспечения гендерного равенства, защиты прав женщин и устранения нарушений, связанных с запретом на</w:t>
      </w:r>
      <w:r>
        <w:t> </w:t>
      </w:r>
      <w:r w:rsidRPr="00BF34BD">
        <w:t>дискриминацию женщин</w:t>
      </w:r>
    </w:p>
    <w:p w:rsidR="0037679F" w:rsidRPr="0037679F" w:rsidRDefault="0037679F" w:rsidP="0037679F">
      <w:pPr>
        <w:pStyle w:val="SingleTxt"/>
        <w:spacing w:after="0" w:line="120" w:lineRule="exact"/>
        <w:rPr>
          <w:sz w:val="10"/>
          <w:lang w:val="en-US"/>
        </w:rPr>
      </w:pPr>
    </w:p>
    <w:p w:rsidR="0037679F" w:rsidRPr="00BF34BD" w:rsidRDefault="0037679F" w:rsidP="00932579">
      <w:pPr>
        <w:pStyle w:val="SingleTxt"/>
        <w:spacing w:after="0" w:line="120" w:lineRule="exact"/>
        <w:rPr>
          <w:sz w:val="10"/>
        </w:rPr>
      </w:pPr>
    </w:p>
    <w:p w:rsidR="0037679F" w:rsidRDefault="0037679F" w:rsidP="0093257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BF34BD">
        <w:rPr>
          <w:b/>
        </w:rPr>
        <w:t xml:space="preserve">Комиссия Государственного собрания Республики Словения по петициям, правам человека и равным возможностям </w:t>
      </w:r>
    </w:p>
    <w:p w:rsidR="0037679F" w:rsidRPr="00BF34BD" w:rsidRDefault="0037679F" w:rsidP="00932579">
      <w:pPr>
        <w:pStyle w:val="SingleTxt"/>
        <w:spacing w:after="0" w:line="120" w:lineRule="exact"/>
        <w:rPr>
          <w:sz w:val="10"/>
        </w:rPr>
      </w:pPr>
    </w:p>
    <w:p w:rsidR="0037679F" w:rsidRDefault="0037679F" w:rsidP="00932579">
      <w:pPr>
        <w:pStyle w:val="SingleTxt"/>
      </w:pPr>
      <w:r>
        <w:tab/>
      </w:r>
      <w:r w:rsidRPr="00BF34BD">
        <w:t>Комиссия по петициям, правам человека и равным возможностям, которая также занимается обеспечением гендерного равенства, была создана после проведения в 2004</w:t>
      </w:r>
      <w:r>
        <w:t> году</w:t>
      </w:r>
      <w:r w:rsidRPr="00BF34BD">
        <w:t xml:space="preserve"> выборов в Государственное собрание и продолжала свою работу после выборов 2008</w:t>
      </w:r>
      <w:r>
        <w:t> год</w:t>
      </w:r>
      <w:r w:rsidRPr="00BF34BD">
        <w:t>а и досрочных выборов 2011</w:t>
      </w:r>
      <w:r>
        <w:t> год</w:t>
      </w:r>
      <w:r w:rsidRPr="00BF34BD">
        <w:t xml:space="preserve">а. </w:t>
      </w:r>
    </w:p>
    <w:p w:rsidR="0037679F" w:rsidRPr="00BF34BD" w:rsidRDefault="0037679F" w:rsidP="00932579">
      <w:pPr>
        <w:pStyle w:val="SingleTxt"/>
        <w:spacing w:after="0" w:line="120" w:lineRule="exact"/>
        <w:rPr>
          <w:sz w:val="10"/>
        </w:rPr>
      </w:pPr>
    </w:p>
    <w:p w:rsidR="0037679F" w:rsidRPr="00BF34BD" w:rsidRDefault="0037679F" w:rsidP="0093257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BF34BD">
        <w:rPr>
          <w:b/>
        </w:rPr>
        <w:t>Министерство труда, по вопросам семьи, социальных дел и равных возможностей</w:t>
      </w:r>
    </w:p>
    <w:p w:rsidR="0037679F" w:rsidRPr="00BF34BD" w:rsidRDefault="0037679F" w:rsidP="00932579">
      <w:pPr>
        <w:pStyle w:val="SingleTxt"/>
        <w:spacing w:after="0" w:line="120" w:lineRule="exact"/>
        <w:rPr>
          <w:sz w:val="10"/>
        </w:rPr>
      </w:pPr>
    </w:p>
    <w:p w:rsidR="0037679F" w:rsidRPr="00BF34BD" w:rsidRDefault="0037679F" w:rsidP="00932579">
      <w:pPr>
        <w:pStyle w:val="SingleTxt"/>
      </w:pPr>
      <w:r>
        <w:tab/>
      </w:r>
      <w:r w:rsidRPr="00BF34BD">
        <w:t>После своего вступления в должность в 2012</w:t>
      </w:r>
      <w:r>
        <w:t> год</w:t>
      </w:r>
      <w:r w:rsidRPr="00BF34BD">
        <w:t>у члены нового прав</w:t>
      </w:r>
      <w:r w:rsidRPr="00BF34BD">
        <w:t>и</w:t>
      </w:r>
      <w:r w:rsidRPr="00BF34BD">
        <w:t>тельства начали институциональн</w:t>
      </w:r>
      <w:r>
        <w:t>ую</w:t>
      </w:r>
      <w:r w:rsidRPr="00BF34BD">
        <w:t xml:space="preserve"> реорганизаци</w:t>
      </w:r>
      <w:r>
        <w:t>ю</w:t>
      </w:r>
      <w:r w:rsidRPr="00BF34BD">
        <w:t xml:space="preserve"> системы государственного управления, в </w:t>
      </w:r>
      <w:r>
        <w:t xml:space="preserve">ходе которой </w:t>
      </w:r>
      <w:r w:rsidRPr="00BF34BD">
        <w:t xml:space="preserve">было упразднено Управление по вопросам равных возможностей. Его функции и </w:t>
      </w:r>
      <w:r>
        <w:t>кадры</w:t>
      </w:r>
      <w:r w:rsidRPr="00BF34BD">
        <w:t xml:space="preserve"> были переданы министерству труда, по вопросам семьи и социальных дел. Если быть более точным, то эти функции и </w:t>
      </w:r>
      <w:r>
        <w:t>кадры</w:t>
      </w:r>
      <w:r w:rsidRPr="00BF34BD">
        <w:t xml:space="preserve"> были закреплены за Службой международных дел и европейской коо</w:t>
      </w:r>
      <w:r w:rsidRPr="00BF34BD">
        <w:t>р</w:t>
      </w:r>
      <w:r w:rsidRPr="00BF34BD">
        <w:t>динации, переименованной в Службу по вопросам равных возможностей и е</w:t>
      </w:r>
      <w:r w:rsidRPr="00BF34BD">
        <w:t>в</w:t>
      </w:r>
      <w:r w:rsidRPr="00BF34BD">
        <w:t>ропейской координации. Данная служба организационно подчиняется мин</w:t>
      </w:r>
      <w:r w:rsidRPr="00BF34BD">
        <w:t>и</w:t>
      </w:r>
      <w:r w:rsidRPr="00BF34BD">
        <w:t>стру и государственному секретарю, что позволяет ей осуществлять свою де</w:t>
      </w:r>
      <w:r w:rsidRPr="00BF34BD">
        <w:t>я</w:t>
      </w:r>
      <w:r w:rsidRPr="00BF34BD">
        <w:t>тельность в масштабах всей страны. В 2013</w:t>
      </w:r>
      <w:r>
        <w:t> год</w:t>
      </w:r>
      <w:r w:rsidRPr="00BF34BD">
        <w:t>у после формирования нового правительства это министерство было переименовано в мин</w:t>
      </w:r>
      <w:r w:rsidRPr="00BF34BD">
        <w:t>и</w:t>
      </w:r>
      <w:r w:rsidRPr="00BF34BD">
        <w:t>стерство труда, по вопросам семьи, социальных дел и равных возможностей, поскольку на него были дополнительно возложены задачи по обеспечению равных возможн</w:t>
      </w:r>
      <w:r w:rsidRPr="00BF34BD">
        <w:t>о</w:t>
      </w:r>
      <w:r w:rsidRPr="00BF34BD">
        <w:t>стей. После упразднения Управления по вопросам равных возможностей и п</w:t>
      </w:r>
      <w:r w:rsidRPr="00BF34BD">
        <w:t>е</w:t>
      </w:r>
      <w:r w:rsidRPr="00BF34BD">
        <w:t xml:space="preserve">редачи его функций и </w:t>
      </w:r>
      <w:r>
        <w:t>кадров</w:t>
      </w:r>
      <w:r w:rsidRPr="00BF34BD">
        <w:t xml:space="preserve"> министерству каких-либо существенных изменений в плане выполнения задач по обеспечению гендерного равенства не пр</w:t>
      </w:r>
      <w:r w:rsidRPr="00BF34BD">
        <w:t>о</w:t>
      </w:r>
      <w:r w:rsidRPr="00BF34BD">
        <w:t>изошло. Основной целью работы остается закрепление юридического равенства му</w:t>
      </w:r>
      <w:r w:rsidRPr="00BF34BD">
        <w:t>ж</w:t>
      </w:r>
      <w:r w:rsidRPr="00BF34BD">
        <w:t xml:space="preserve">чин и женщин и его фактическое </w:t>
      </w:r>
      <w:r>
        <w:t>обеспечение</w:t>
      </w:r>
      <w:r w:rsidRPr="00BF34BD">
        <w:t xml:space="preserve"> во всех сферах жизни. Круг в</w:t>
      </w:r>
      <w:r w:rsidRPr="00BF34BD">
        <w:t>е</w:t>
      </w:r>
      <w:r w:rsidRPr="00BF34BD">
        <w:t>дения и задачи Службы по вопросам равных возможностей изложены в док</w:t>
      </w:r>
      <w:r w:rsidRPr="00BF34BD">
        <w:t>у</w:t>
      </w:r>
      <w:r w:rsidRPr="00BF34BD">
        <w:t>менте, регулирующем внутренн</w:t>
      </w:r>
      <w:r>
        <w:t>и</w:t>
      </w:r>
      <w:r w:rsidRPr="00BF34BD">
        <w:t xml:space="preserve">й </w:t>
      </w:r>
      <w:r>
        <w:t xml:space="preserve">распорядок </w:t>
      </w:r>
      <w:r w:rsidRPr="00BF34BD">
        <w:t>и классифи</w:t>
      </w:r>
      <w:r>
        <w:t>кацию</w:t>
      </w:r>
      <w:r w:rsidRPr="00BF34BD">
        <w:t xml:space="preserve"> министерских должностей, в Законе о равных возможностях для женщин и мужчин и в Законе об осуществлении принципа равного обращения. Служба по вопросам равных возможностей </w:t>
      </w:r>
      <w:r>
        <w:t>проводит</w:t>
      </w:r>
      <w:r w:rsidRPr="00BF34BD">
        <w:t xml:space="preserve"> мероприятия по обеспечению учета гендерной пр</w:t>
      </w:r>
      <w:r w:rsidRPr="00BF34BD">
        <w:t>о</w:t>
      </w:r>
      <w:r w:rsidRPr="00BF34BD">
        <w:t>блематики во всех правительственных стратегиях, разрабатывает меры по борьбе с неравенством по половому и гендерному признакам и на основе соц</w:t>
      </w:r>
      <w:r w:rsidRPr="00BF34BD">
        <w:t>и</w:t>
      </w:r>
      <w:r w:rsidRPr="00BF34BD">
        <w:t>альных стереотипов в отношении мужчин и женщин во всех сферах жизни, а также наблюдает за их осуществлением. При этом Служба сотрудничает с м</w:t>
      </w:r>
      <w:r w:rsidRPr="00BF34BD">
        <w:t>и</w:t>
      </w:r>
      <w:r w:rsidRPr="00BF34BD">
        <w:t>нистерствами и другими государственными органами, с международными, национальными и зарубежными правительственными и неправител</w:t>
      </w:r>
      <w:r w:rsidRPr="00BF34BD">
        <w:t>ь</w:t>
      </w:r>
      <w:r w:rsidRPr="00BF34BD">
        <w:t>ственными организациями и другими учреждениями, а также с иностранными и наци</w:t>
      </w:r>
      <w:r w:rsidRPr="00BF34BD">
        <w:t>о</w:t>
      </w:r>
      <w:r w:rsidRPr="00BF34BD">
        <w:t xml:space="preserve">нальными специалистами. </w:t>
      </w:r>
    </w:p>
    <w:p w:rsidR="0037679F" w:rsidRDefault="0037679F" w:rsidP="00932579">
      <w:pPr>
        <w:pStyle w:val="SingleTxt"/>
      </w:pPr>
      <w:r>
        <w:tab/>
      </w:r>
      <w:r w:rsidRPr="00BF34BD">
        <w:t>Персонал Службы по вопросам равных возможностей и европейской к</w:t>
      </w:r>
      <w:r w:rsidRPr="00BF34BD">
        <w:t>о</w:t>
      </w:r>
      <w:r w:rsidRPr="00BF34BD">
        <w:t>ординации состоит из руководителя, пяти сотрудников по вопросам гендерного р</w:t>
      </w:r>
      <w:r w:rsidRPr="00BF34BD">
        <w:t>а</w:t>
      </w:r>
      <w:r w:rsidRPr="00BF34BD">
        <w:t>венства (один из которых сейчас находится в академическом отпуске сроком на один год и один в отпуске по уходу за ребенком), двух сотрудников по в</w:t>
      </w:r>
      <w:r w:rsidRPr="00BF34BD">
        <w:t>о</w:t>
      </w:r>
      <w:r w:rsidRPr="00BF34BD">
        <w:t>просам европейской координации и уполномоченного по вопросам равнопр</w:t>
      </w:r>
      <w:r w:rsidRPr="00BF34BD">
        <w:t>а</w:t>
      </w:r>
      <w:r w:rsidRPr="00BF34BD">
        <w:t>вия. По сравнению с 2005</w:t>
      </w:r>
      <w:r>
        <w:t> год</w:t>
      </w:r>
      <w:r w:rsidRPr="00BF34BD">
        <w:t>ом, когда Словения представила Комитету по ликвидации дискриминации в отношении женщин свой четвертый доклад, чи</w:t>
      </w:r>
      <w:r w:rsidRPr="00BF34BD">
        <w:t>с</w:t>
      </w:r>
      <w:r w:rsidRPr="00BF34BD">
        <w:t xml:space="preserve">ло сотрудников по вопросам обеспечения равных возможностей сократилось. </w:t>
      </w:r>
    </w:p>
    <w:p w:rsidR="0037679F" w:rsidRPr="00BF34BD" w:rsidRDefault="0037679F" w:rsidP="00932579">
      <w:pPr>
        <w:pStyle w:val="SingleTxt"/>
        <w:spacing w:after="0" w:line="120" w:lineRule="exact"/>
        <w:rPr>
          <w:sz w:val="10"/>
        </w:rPr>
      </w:pPr>
    </w:p>
    <w:p w:rsidR="0037679F" w:rsidRPr="00BF34BD" w:rsidRDefault="0037679F" w:rsidP="009325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</w:rPr>
      </w:pPr>
      <w:r w:rsidRPr="00BF34BD">
        <w:rPr>
          <w:i/>
        </w:rPr>
        <w:tab/>
      </w:r>
      <w:r w:rsidRPr="00BF34BD">
        <w:rPr>
          <w:i/>
        </w:rPr>
        <w:tab/>
        <w:t>Уполномоченный по вопросам равноправия</w:t>
      </w:r>
    </w:p>
    <w:p w:rsidR="0037679F" w:rsidRPr="00BF34BD" w:rsidRDefault="0037679F" w:rsidP="00932579">
      <w:pPr>
        <w:pStyle w:val="SingleTxt"/>
        <w:spacing w:after="0" w:line="120" w:lineRule="exact"/>
        <w:rPr>
          <w:sz w:val="10"/>
        </w:rPr>
      </w:pPr>
    </w:p>
    <w:p w:rsidR="0037679F" w:rsidRPr="00BF34BD" w:rsidRDefault="0037679F" w:rsidP="00932579">
      <w:pPr>
        <w:pStyle w:val="SingleTxt"/>
      </w:pPr>
      <w:r>
        <w:tab/>
      </w:r>
      <w:r w:rsidRPr="00BF34BD">
        <w:t>Согласно Закону о равных возможностях для женщин и мужчин, в Упра</w:t>
      </w:r>
      <w:r w:rsidRPr="00BF34BD">
        <w:t>в</w:t>
      </w:r>
      <w:r w:rsidRPr="00BF34BD">
        <w:t>лении по вопросам равных возможностей, которое, в частности, отвечало за равноправие мужчин и женщин, работал уполномоченный по вопросам равн</w:t>
      </w:r>
      <w:r w:rsidRPr="00BF34BD">
        <w:t>о</w:t>
      </w:r>
      <w:r w:rsidRPr="00BF34BD">
        <w:t>правия. После того как Управление по вопросам равных возможностей пер</w:t>
      </w:r>
      <w:r w:rsidRPr="00BF34BD">
        <w:t>е</w:t>
      </w:r>
      <w:r w:rsidRPr="00BF34BD">
        <w:t xml:space="preserve">стало существовать, а его функции и персонал были переданы министерству труда, по вопросам семьи, социальных дел и равных возможностей, в это же министерство был переведен и уполномоченный по вопросам равноправия. При этом его задачи и полномочия </w:t>
      </w:r>
      <w:r>
        <w:t>остались</w:t>
      </w:r>
      <w:r w:rsidRPr="00BF34BD">
        <w:t xml:space="preserve"> прежними. Как уже отмечалось в дополнительной информации Республики Словения </w:t>
      </w:r>
      <w:r>
        <w:t>о выполнении</w:t>
      </w:r>
      <w:r w:rsidRPr="00BF34BD">
        <w:t xml:space="preserve"> рекоменд</w:t>
      </w:r>
      <w:r w:rsidRPr="00BF34BD">
        <w:t>а</w:t>
      </w:r>
      <w:r w:rsidRPr="00BF34BD">
        <w:t>ций, требующих самого пристального внимания и содержащихся в заключ</w:t>
      </w:r>
      <w:r w:rsidRPr="00BF34BD">
        <w:t>и</w:t>
      </w:r>
      <w:r w:rsidRPr="00BF34BD">
        <w:t>тельных замечаниях по четвертому докладу, утвержденному Комитетом по ликвидации дискриминации в отношении женщин по итогам рассмотрения четвертого периодического доклада, прилагались усилия по определению ст</w:t>
      </w:r>
      <w:r w:rsidRPr="00BF34BD">
        <w:t>а</w:t>
      </w:r>
      <w:r w:rsidRPr="00BF34BD">
        <w:t>туса уполном</w:t>
      </w:r>
      <w:r w:rsidRPr="00BF34BD">
        <w:t>о</w:t>
      </w:r>
      <w:r w:rsidRPr="00BF34BD">
        <w:t>ченного по вопросам равноправия.</w:t>
      </w:r>
    </w:p>
    <w:p w:rsidR="0037679F" w:rsidRPr="00BF34BD" w:rsidRDefault="0037679F" w:rsidP="00932579">
      <w:pPr>
        <w:pStyle w:val="SingleTxt"/>
      </w:pPr>
      <w:r>
        <w:tab/>
      </w:r>
      <w:r w:rsidRPr="00BF34BD">
        <w:t>В июне 2010</w:t>
      </w:r>
      <w:r>
        <w:t> год</w:t>
      </w:r>
      <w:r w:rsidRPr="00BF34BD">
        <w:t>а правительство создало межведомственную рабочую группу для разработки всеобъемлющих институциональных механизмов в сф</w:t>
      </w:r>
      <w:r w:rsidRPr="00BF34BD">
        <w:t>е</w:t>
      </w:r>
      <w:r w:rsidRPr="00BF34BD">
        <w:t>ре обеспечения равноправия и защиты от дискриминации. Основой для их ра</w:t>
      </w:r>
      <w:r w:rsidRPr="00BF34BD">
        <w:t>з</w:t>
      </w:r>
      <w:r w:rsidRPr="00BF34BD">
        <w:t>работки должны были стать результаты проведенного этой группой анализа. Помимо осуществления анализа сложившейся ситуации она предложила опр</w:t>
      </w:r>
      <w:r w:rsidRPr="00BF34BD">
        <w:t>е</w:t>
      </w:r>
      <w:r w:rsidRPr="00BF34BD">
        <w:t>делить статус уполномоченного по вопросам равноправия. Было предложено два варианта решения: создать независимый национальный орган по защите от дискриминации или передать национальные функции по защите от дискрим</w:t>
      </w:r>
      <w:r w:rsidRPr="00BF34BD">
        <w:t>и</w:t>
      </w:r>
      <w:r w:rsidRPr="00BF34BD">
        <w:t>нации уполномоченному по правам человека.</w:t>
      </w:r>
      <w:r>
        <w:t xml:space="preserve"> </w:t>
      </w:r>
    </w:p>
    <w:p w:rsidR="0037679F" w:rsidRPr="00BF34BD" w:rsidRDefault="0037679F" w:rsidP="00932579">
      <w:pPr>
        <w:pStyle w:val="SingleTxt"/>
      </w:pPr>
      <w:r>
        <w:tab/>
      </w:r>
      <w:r w:rsidRPr="00BF34BD">
        <w:t>Кроме того, в 2011</w:t>
      </w:r>
      <w:r>
        <w:t> год</w:t>
      </w:r>
      <w:r w:rsidRPr="00BF34BD">
        <w:t>у правительство создало межведомственную гру</w:t>
      </w:r>
      <w:r w:rsidRPr="00BF34BD">
        <w:t>п</w:t>
      </w:r>
      <w:r w:rsidRPr="00BF34BD">
        <w:t>пу для подготовки поправок к Закону об осуществлении принципа равного о</w:t>
      </w:r>
      <w:r w:rsidRPr="00BF34BD">
        <w:t>б</w:t>
      </w:r>
      <w:r w:rsidRPr="00BF34BD">
        <w:t>ращения. Ее задача заключалась в подготовке поправок к вышеуказанному з</w:t>
      </w:r>
      <w:r w:rsidRPr="00BF34BD">
        <w:t>а</w:t>
      </w:r>
      <w:r w:rsidRPr="00BF34BD">
        <w:t>кону, особенно в части определения функций уполномоченного по вопросам равноправия. Поскольку в 2012</w:t>
      </w:r>
      <w:r>
        <w:t> год</w:t>
      </w:r>
      <w:r w:rsidRPr="00BF34BD">
        <w:t>у было сформировано новое правительство и б</w:t>
      </w:r>
      <w:r w:rsidRPr="00BF34BD">
        <w:t>ы</w:t>
      </w:r>
      <w:r w:rsidRPr="00BF34BD">
        <w:t>ла реорганизована система государственного управления, рабочая группа не смогла завершить свою работу. Вместе с тем министерство труда, по вопр</w:t>
      </w:r>
      <w:r w:rsidRPr="00BF34BD">
        <w:t>о</w:t>
      </w:r>
      <w:r w:rsidRPr="00BF34BD">
        <w:t>сам семьи, социальных дел и равных возможностей, в которое в 2012</w:t>
      </w:r>
      <w:r>
        <w:t> год</w:t>
      </w:r>
      <w:r w:rsidRPr="00BF34BD">
        <w:t>у был переведен уполномоченный по вопросам равноправия, продолжало прилагать усилия по уточнению его статуса. С учетом нынешнего положения уполном</w:t>
      </w:r>
      <w:r w:rsidRPr="00BF34BD">
        <w:t>о</w:t>
      </w:r>
      <w:r w:rsidRPr="00BF34BD">
        <w:t>ченного по вопросам равноправия, необходимости более четко разграничить сферы компетенции уполномоченного по правам человека и уполномоченного по вопросам равноправия в отношении государственного и частного секторов, сравнительно небольшой численности населения Словении, нынешней экон</w:t>
      </w:r>
      <w:r w:rsidRPr="00BF34BD">
        <w:t>о</w:t>
      </w:r>
      <w:r w:rsidRPr="00BF34BD">
        <w:t>мической ситуации и стремления расширить для жертв дискриминации доступ к получению помощи путем обеспечения их защиты в рамках единой структ</w:t>
      </w:r>
      <w:r w:rsidRPr="00BF34BD">
        <w:t>у</w:t>
      </w:r>
      <w:r w:rsidRPr="00BF34BD">
        <w:t>ры сначала было предложено объединить административные функции уполн</w:t>
      </w:r>
      <w:r w:rsidRPr="00BF34BD">
        <w:t>о</w:t>
      </w:r>
      <w:r w:rsidRPr="00BF34BD">
        <w:t xml:space="preserve">моченного по вопросам равноправия и уполномоченного по правам человека. </w:t>
      </w:r>
      <w:r>
        <w:t>Когда же</w:t>
      </w:r>
      <w:r w:rsidRPr="00BF34BD">
        <w:t xml:space="preserve"> переговоры с уполномоченным по правам человека об администр</w:t>
      </w:r>
      <w:r w:rsidRPr="00BF34BD">
        <w:t>а</w:t>
      </w:r>
      <w:r w:rsidRPr="00BF34BD">
        <w:t xml:space="preserve">тивном объединении этих двух должностей не увенчались успехом, </w:t>
      </w:r>
      <w:r>
        <w:t>стали пр</w:t>
      </w:r>
      <w:r>
        <w:t>и</w:t>
      </w:r>
      <w:r>
        <w:t>лагаться</w:t>
      </w:r>
      <w:r w:rsidRPr="00BF34BD">
        <w:t xml:space="preserve"> усилия по уточнению статуса уполномоченного по вопросам равн</w:t>
      </w:r>
      <w:r w:rsidRPr="00BF34BD">
        <w:t>о</w:t>
      </w:r>
      <w:r w:rsidRPr="00BF34BD">
        <w:t>правия путем четкого определения его полномочий в отношении частного се</w:t>
      </w:r>
      <w:r w:rsidRPr="00BF34BD">
        <w:t>к</w:t>
      </w:r>
      <w:r w:rsidRPr="00BF34BD">
        <w:t>тора, который не относится к сфере ведения уполномоченного по правам чел</w:t>
      </w:r>
      <w:r w:rsidRPr="00BF34BD">
        <w:t>о</w:t>
      </w:r>
      <w:r w:rsidRPr="00BF34BD">
        <w:t>века, и путем предоставления уполномоченному по вопросам равноправия возможности самостоятельно распоряжаться финансовыми и кадровыми р</w:t>
      </w:r>
      <w:r w:rsidRPr="00BF34BD">
        <w:t>е</w:t>
      </w:r>
      <w:r w:rsidRPr="00BF34BD">
        <w:t xml:space="preserve">сурсами. </w:t>
      </w:r>
    </w:p>
    <w:p w:rsidR="0037679F" w:rsidRPr="00BF34BD" w:rsidRDefault="0037679F" w:rsidP="00932579">
      <w:pPr>
        <w:pStyle w:val="SingleTxt"/>
      </w:pPr>
      <w:r>
        <w:tab/>
      </w:r>
      <w:r w:rsidRPr="00BF34BD">
        <w:t>В 2010</w:t>
      </w:r>
      <w:r>
        <w:t> год</w:t>
      </w:r>
      <w:r w:rsidRPr="00BF34BD">
        <w:t>у Управление по вопросам равных возможностей осуществляло проект «Равенство в многообразии», который, в частности, финансировался Европейской комиссией по линии программы «Прогресс» и предусматривал создание нового веб-сайта о деятельности уполномоченного по вопросам ра</w:t>
      </w:r>
      <w:r w:rsidRPr="00BF34BD">
        <w:t>в</w:t>
      </w:r>
      <w:r w:rsidRPr="00BF34BD">
        <w:t>ноправия. На этом веб-сайте размещаются сведения, советы и рекомендации о том, как действовать человеку, столкнувшемуся с проявлениями дискримин</w:t>
      </w:r>
      <w:r w:rsidRPr="00BF34BD">
        <w:t>а</w:t>
      </w:r>
      <w:r w:rsidRPr="00BF34BD">
        <w:t>ции, а также приводится информация о передовых методах борьбы с дискр</w:t>
      </w:r>
      <w:r w:rsidRPr="00BF34BD">
        <w:t>и</w:t>
      </w:r>
      <w:r w:rsidRPr="00BF34BD">
        <w:t>минацией. Кроме того, веб-сайт способствует обмену мнениями (путем пров</w:t>
      </w:r>
      <w:r w:rsidRPr="00BF34BD">
        <w:t>е</w:t>
      </w:r>
      <w:r w:rsidRPr="00BF34BD">
        <w:t>дения онлайновых опросов) и дает возможность обращаться к уполномоченн</w:t>
      </w:r>
      <w:r w:rsidRPr="00BF34BD">
        <w:t>о</w:t>
      </w:r>
      <w:r w:rsidRPr="00BF34BD">
        <w:t>му по вопросам равноправия с просьбой рассмотреть случаи предполагаемой дискриминации. Информация на этом веб-сайте представлена на нескольких языках: словенском, боснийском, сербском, албанском, французском, неме</w:t>
      </w:r>
      <w:r w:rsidRPr="00BF34BD">
        <w:t>ц</w:t>
      </w:r>
      <w:r w:rsidRPr="00BF34BD">
        <w:t>ком, английском, цыганском, итальянском и венгерском. На веб-сайте также можно ознакомиться с переведенной на несколько языков брошюрой и инфо</w:t>
      </w:r>
      <w:r w:rsidRPr="00BF34BD">
        <w:t>р</w:t>
      </w:r>
      <w:r w:rsidRPr="00BF34BD">
        <w:t>мацио</w:t>
      </w:r>
      <w:r w:rsidRPr="00BF34BD">
        <w:t>н</w:t>
      </w:r>
      <w:r w:rsidRPr="00BF34BD">
        <w:t xml:space="preserve">ным буклетом на словенском языке на тему о борьбе с дискриминацией. </w:t>
      </w:r>
    </w:p>
    <w:p w:rsidR="0037679F" w:rsidRPr="007B5AAD" w:rsidRDefault="0037679F" w:rsidP="00932579">
      <w:pPr>
        <w:pStyle w:val="SingleTxt"/>
      </w:pPr>
      <w:r>
        <w:tab/>
      </w:r>
      <w:r w:rsidRPr="00BF34BD">
        <w:t>В 2012</w:t>
      </w:r>
      <w:r>
        <w:t> год</w:t>
      </w:r>
      <w:r w:rsidRPr="00BF34BD">
        <w:t>у уполномоченный по вопросам равноправия получил восемь заявлений о дискриминации в отношении женщин. Шесть заявл</w:t>
      </w:r>
      <w:r w:rsidRPr="00BF34BD">
        <w:t>е</w:t>
      </w:r>
      <w:r w:rsidRPr="00BF34BD">
        <w:t>ний касались проблемы неравноправия на рынке труда, а остальные два</w:t>
      </w:r>
      <w:r>
        <w:t xml:space="preserve"> — </w:t>
      </w:r>
      <w:r w:rsidRPr="00BF34BD">
        <w:t>содержания с</w:t>
      </w:r>
      <w:r w:rsidRPr="00BF34BD">
        <w:t>о</w:t>
      </w:r>
      <w:r w:rsidRPr="00BF34BD">
        <w:t xml:space="preserve">общений в средствах массовой информации. </w:t>
      </w:r>
      <w:r>
        <w:t xml:space="preserve">Никакого </w:t>
      </w:r>
      <w:r w:rsidRPr="00BF34BD">
        <w:t xml:space="preserve">решения </w:t>
      </w:r>
      <w:r>
        <w:t xml:space="preserve">не было </w:t>
      </w:r>
      <w:r w:rsidRPr="00BF34BD">
        <w:t>прин</w:t>
      </w:r>
      <w:r w:rsidRPr="00BF34BD">
        <w:t>я</w:t>
      </w:r>
      <w:r w:rsidRPr="00BF34BD">
        <w:t xml:space="preserve">то. В трех случаях уполномоченный по вопросам равноправия </w:t>
      </w:r>
      <w:r>
        <w:t>сообщил заяв</w:t>
      </w:r>
      <w:r>
        <w:t>и</w:t>
      </w:r>
      <w:r>
        <w:t>телям</w:t>
      </w:r>
      <w:r w:rsidRPr="00BF34BD">
        <w:t xml:space="preserve"> о возможных шагах, а в двух случаях </w:t>
      </w:r>
      <w:r>
        <w:t>не было выявлено никакой ди</w:t>
      </w:r>
      <w:r>
        <w:t>с</w:t>
      </w:r>
      <w:r>
        <w:t>криминации</w:t>
      </w:r>
      <w:r w:rsidRPr="00BF34BD">
        <w:t>. Остальные три заявления все еще рассма</w:t>
      </w:r>
      <w:r w:rsidRPr="00BF34BD">
        <w:t>т</w:t>
      </w:r>
      <w:r w:rsidRPr="00BF34BD">
        <w:t>ривают</w:t>
      </w:r>
      <w:r>
        <w:t xml:space="preserve">ся. </w:t>
      </w:r>
    </w:p>
    <w:p w:rsidR="0037679F" w:rsidRPr="00CC5BAD" w:rsidRDefault="0037679F" w:rsidP="00CC5BAD">
      <w:pPr>
        <w:pStyle w:val="SingleTxt"/>
        <w:spacing w:after="0" w:line="120" w:lineRule="exact"/>
        <w:rPr>
          <w:sz w:val="10"/>
        </w:rPr>
      </w:pPr>
    </w:p>
    <w:p w:rsidR="00CC5BAD" w:rsidRPr="00CC5BAD" w:rsidRDefault="00CC5BAD" w:rsidP="00CC5BA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 w:rsidRPr="00CC5BAD">
        <w:rPr>
          <w:b/>
        </w:rPr>
        <w:t>Координаторы по вопросам равных возможностей в министерствах</w:t>
      </w:r>
    </w:p>
    <w:p w:rsidR="00CC5BAD" w:rsidRPr="0097112B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</w:pPr>
      <w:r>
        <w:rPr>
          <w:lang w:val="en-US"/>
        </w:rPr>
        <w:tab/>
      </w:r>
      <w:r w:rsidRPr="0097112B">
        <w:t>В соответствии с Законом о равных возможностях для женщин и мужчин в каждом министерстве имеется координатор по вопросам равных возможн</w:t>
      </w:r>
      <w:r w:rsidRPr="0097112B">
        <w:t>о</w:t>
      </w:r>
      <w:r w:rsidRPr="0097112B">
        <w:t>стей для женщин и мужчин, ответственный за выполнение задач, перечисле</w:t>
      </w:r>
      <w:r w:rsidRPr="0097112B">
        <w:t>н</w:t>
      </w:r>
      <w:r w:rsidRPr="0097112B">
        <w:t>ных в Законе, и за сотрудничество с ведомством, отвечающим за политику ге</w:t>
      </w:r>
      <w:r w:rsidRPr="0097112B">
        <w:t>н</w:t>
      </w:r>
      <w:r w:rsidRPr="0097112B">
        <w:t>дерного равенства. Управление по вопросам равных возможностей и/или М</w:t>
      </w:r>
      <w:r w:rsidRPr="0097112B">
        <w:t>и</w:t>
      </w:r>
      <w:r w:rsidRPr="0097112B">
        <w:t>нистерство труда, по вопросам семьи, социальных дел и равных возможностей взаимодействуют с координаторами на регулярных совещаниях, на которых о</w:t>
      </w:r>
      <w:r w:rsidRPr="0097112B">
        <w:t>б</w:t>
      </w:r>
      <w:r w:rsidRPr="0097112B">
        <w:t>суждаются работа, опыт и вопросы, касающиеся гендерного равенства. С ц</w:t>
      </w:r>
      <w:r w:rsidRPr="0097112B">
        <w:t>е</w:t>
      </w:r>
      <w:r w:rsidRPr="0097112B">
        <w:t>лью формализовать эти совещания и содействовать учету гендерной проблем</w:t>
      </w:r>
      <w:r w:rsidRPr="0097112B">
        <w:t>а</w:t>
      </w:r>
      <w:r w:rsidRPr="0097112B">
        <w:t>тики в законопроекте о равенстве женщин и мужчин (более подробную инфо</w:t>
      </w:r>
      <w:r w:rsidRPr="0097112B">
        <w:t>р</w:t>
      </w:r>
      <w:r w:rsidRPr="0097112B">
        <w:t xml:space="preserve">мацию см. </w:t>
      </w:r>
      <w:r>
        <w:t>в пункте</w:t>
      </w:r>
      <w:r>
        <w:rPr>
          <w:lang w:val="en-US"/>
        </w:rPr>
        <w:t> </w:t>
      </w:r>
      <w:r w:rsidRPr="0097112B">
        <w:t>1) предусматривается создание постоянной координацио</w:t>
      </w:r>
      <w:r w:rsidRPr="0097112B">
        <w:t>н</w:t>
      </w:r>
      <w:r w:rsidRPr="0097112B">
        <w:t>ной группы в составе координаторов по вопросам гендерного равенства. В ее задачи входят обмен опытом, распространение информации о результатах и п</w:t>
      </w:r>
      <w:r w:rsidRPr="0097112B">
        <w:t>е</w:t>
      </w:r>
      <w:r w:rsidRPr="0097112B">
        <w:t xml:space="preserve">редовой практике и мониторинг </w:t>
      </w:r>
      <w:r>
        <w:t xml:space="preserve">реального </w:t>
      </w:r>
      <w:r w:rsidRPr="0097112B">
        <w:t>учета гендерной пр</w:t>
      </w:r>
      <w:r w:rsidRPr="0097112B">
        <w:t>о</w:t>
      </w:r>
      <w:r w:rsidRPr="0097112B">
        <w:t>блематики.</w:t>
      </w:r>
    </w:p>
    <w:p w:rsidR="00CC5BAD" w:rsidRPr="0097112B" w:rsidRDefault="00CC5BAD" w:rsidP="00A23C2D">
      <w:pPr>
        <w:pStyle w:val="SingleTxt"/>
      </w:pPr>
      <w:r>
        <w:tab/>
      </w:r>
      <w:r w:rsidRPr="0097112B">
        <w:t>Координаторы посещали различные мероприятия по вопросам гендерного равенства (дискуссионные форумы, конференции,</w:t>
      </w:r>
      <w:r>
        <w:t xml:space="preserve"> семинары</w:t>
      </w:r>
      <w:r w:rsidRPr="0097112B">
        <w:t>) и активно учас</w:t>
      </w:r>
      <w:r w:rsidRPr="0097112B">
        <w:t>т</w:t>
      </w:r>
      <w:r w:rsidRPr="0097112B">
        <w:t xml:space="preserve">вовали в разработке и организации </w:t>
      </w:r>
      <w:r>
        <w:t xml:space="preserve">учебных мероприятий </w:t>
      </w:r>
      <w:r w:rsidRPr="0097112B">
        <w:t>по вопросам учета гендерной проблематики в министерствах (более подробную информацию см. в пункте 4).</w:t>
      </w:r>
    </w:p>
    <w:p w:rsidR="00CC5BAD" w:rsidRPr="00CC5BAD" w:rsidRDefault="00CC5BAD" w:rsidP="00CC5BA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CC5BAD">
        <w:rPr>
          <w:b/>
        </w:rPr>
        <w:tab/>
      </w:r>
      <w:r w:rsidRPr="00CC5BAD">
        <w:rPr>
          <w:b/>
        </w:rPr>
        <w:tab/>
        <w:t>Координаторы по вопросам равных возможностей в органах местного самоуправления</w:t>
      </w:r>
    </w:p>
    <w:p w:rsidR="00CC5BAD" w:rsidRPr="0097112B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</w:pPr>
      <w:r>
        <w:tab/>
      </w:r>
      <w:r w:rsidRPr="0097112B">
        <w:t>В соответствии с Законом о равных возможностях для женщин и мужчин органы местного самоуправления могут назначить координатора по вопросам равных возможностей для женщин и мужчин. В соответствии с рекомендацией Комитета Управление по вопросам равных возможностей прилагает все усилия к тому, чтобы поощрять и облегчать процесс назначения координаторов. В частности, мэрам в начале сроков</w:t>
      </w:r>
      <w:r>
        <w:t xml:space="preserve"> их полномочий</w:t>
      </w:r>
      <w:r w:rsidRPr="0097112B">
        <w:t xml:space="preserve"> направлялись письма с и</w:t>
      </w:r>
      <w:r w:rsidRPr="0097112B">
        <w:t>н</w:t>
      </w:r>
      <w:r w:rsidRPr="0097112B">
        <w:t>формацией о положениях Закона о равных возможностях для женщин и му</w:t>
      </w:r>
      <w:r w:rsidRPr="0097112B">
        <w:t>ж</w:t>
      </w:r>
      <w:r w:rsidRPr="0097112B">
        <w:t>чин, касающихся назначения координаторов, и с предложением назначить</w:t>
      </w:r>
      <w:r>
        <w:t xml:space="preserve"> их</w:t>
      </w:r>
      <w:r w:rsidRPr="0097112B">
        <w:t>. Координаторы по вопросам равных возможностей для женщин и мужчин были назначены в 45 из 211 муниципалитетов.</w:t>
      </w:r>
    </w:p>
    <w:p w:rsidR="00CC5BAD" w:rsidRPr="0097112B" w:rsidRDefault="00CC5BAD" w:rsidP="00A23C2D">
      <w:pPr>
        <w:pStyle w:val="SingleTxt"/>
        <w:spacing w:after="0" w:line="120" w:lineRule="exact"/>
        <w:rPr>
          <w:b/>
          <w:i/>
          <w:sz w:val="10"/>
        </w:rPr>
      </w:pPr>
    </w:p>
    <w:p w:rsidR="00CC5BAD" w:rsidRPr="00CC5BAD" w:rsidRDefault="00CC5BAD" w:rsidP="00CC5BA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CC5BAD">
        <w:rPr>
          <w:b/>
        </w:rPr>
        <w:t>Комиссия по поощрению участия женщин в научной деятельности</w:t>
      </w:r>
    </w:p>
    <w:p w:rsidR="00CC5BAD" w:rsidRPr="0097112B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</w:pPr>
      <w:r>
        <w:tab/>
      </w:r>
      <w:r w:rsidRPr="0097112B">
        <w:t>Комиссия по поощрению участия женщин в научной деятельности явл</w:t>
      </w:r>
      <w:r w:rsidRPr="0097112B">
        <w:t>я</w:t>
      </w:r>
      <w:r w:rsidRPr="0097112B">
        <w:t>ется экспертным органом, действующим на базе Министерства образования, науки и</w:t>
      </w:r>
      <w:r>
        <w:t xml:space="preserve"> спорта; в состав Комиссии входя</w:t>
      </w:r>
      <w:r w:rsidRPr="0097112B">
        <w:t>т 14</w:t>
      </w:r>
      <w:r>
        <w:t xml:space="preserve"> человек</w:t>
      </w:r>
      <w:r w:rsidRPr="0097112B">
        <w:t>. За годы своего сущ</w:t>
      </w:r>
      <w:r w:rsidRPr="0097112B">
        <w:t>е</w:t>
      </w:r>
      <w:r w:rsidRPr="0097112B">
        <w:t>ствования Комиссия выполнила целый ряд важных задач. Она проводит весьма активную информационно-просветительную работу по вопросам участия же</w:t>
      </w:r>
      <w:r w:rsidRPr="0097112B">
        <w:t>н</w:t>
      </w:r>
      <w:r w:rsidRPr="0097112B">
        <w:t>щин в научной деятельности, занимается сбором данных, а также участвует в усилиях по отмене дискриминационных положений, касающихся</w:t>
      </w:r>
      <w:r>
        <w:t xml:space="preserve"> финансир</w:t>
      </w:r>
      <w:r>
        <w:t>о</w:t>
      </w:r>
      <w:r>
        <w:t>вания исследований</w:t>
      </w:r>
      <w:r w:rsidRPr="0097112B">
        <w:t xml:space="preserve">, поддерживает </w:t>
      </w:r>
      <w:r>
        <w:t xml:space="preserve">равную </w:t>
      </w:r>
      <w:r w:rsidRPr="0097112B">
        <w:t>представленность</w:t>
      </w:r>
      <w:r>
        <w:t xml:space="preserve"> мужчин и же</w:t>
      </w:r>
      <w:r>
        <w:t>н</w:t>
      </w:r>
      <w:r>
        <w:t>щин в органах по руководству научной деятельностью</w:t>
      </w:r>
      <w:r w:rsidRPr="0097112B">
        <w:t xml:space="preserve"> и использование нейтральных в гендерном отношении языковых формулировок и т.д. Комиссия готовит годо</w:t>
      </w:r>
      <w:r>
        <w:t>вые</w:t>
      </w:r>
      <w:r w:rsidRPr="0097112B">
        <w:t xml:space="preserve"> план</w:t>
      </w:r>
      <w:r>
        <w:t>ы</w:t>
      </w:r>
      <w:r w:rsidRPr="0097112B">
        <w:t xml:space="preserve"> работы </w:t>
      </w:r>
      <w:r>
        <w:t xml:space="preserve">и </w:t>
      </w:r>
      <w:r w:rsidRPr="0097112B">
        <w:t>доклад</w:t>
      </w:r>
      <w:r>
        <w:t>ы об их выполнении</w:t>
      </w:r>
      <w:r w:rsidRPr="0097112B">
        <w:t>.</w:t>
      </w:r>
    </w:p>
    <w:p w:rsidR="00CC5BAD" w:rsidRPr="00CC5BAD" w:rsidRDefault="00CC5BAD" w:rsidP="00CC5BAD">
      <w:pPr>
        <w:pStyle w:val="SingleTxt"/>
        <w:spacing w:after="0" w:line="120" w:lineRule="exact"/>
        <w:rPr>
          <w:b/>
          <w:sz w:val="10"/>
        </w:rPr>
      </w:pPr>
    </w:p>
    <w:p w:rsidR="00CC5BAD" w:rsidRPr="0097112B" w:rsidRDefault="00CC5BAD" w:rsidP="00A23C2D">
      <w:pPr>
        <w:pStyle w:val="SingleTxt"/>
        <w:spacing w:after="0" w:line="120" w:lineRule="exact"/>
        <w:rPr>
          <w:b/>
          <w:sz w:val="10"/>
        </w:rPr>
      </w:pPr>
    </w:p>
    <w:p w:rsidR="00CC5BAD" w:rsidRPr="0097112B" w:rsidRDefault="00CC5BAD" w:rsidP="00CC5B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D</w:t>
      </w:r>
      <w:r w:rsidRPr="00CC5BAD">
        <w:t>.</w:t>
      </w:r>
      <w:r w:rsidRPr="0097112B">
        <w:tab/>
        <w:t xml:space="preserve">Средства и методы поощрения </w:t>
      </w:r>
      <w:r>
        <w:t xml:space="preserve">и достижения улучшения </w:t>
      </w:r>
      <w:r w:rsidRPr="0097112B">
        <w:t>положения женщин</w:t>
      </w:r>
    </w:p>
    <w:p w:rsidR="00CC5BAD" w:rsidRPr="00CC5BAD" w:rsidRDefault="00CC5BAD" w:rsidP="00CC5BAD">
      <w:pPr>
        <w:pStyle w:val="SingleTxt"/>
        <w:spacing w:after="0" w:line="120" w:lineRule="exact"/>
        <w:rPr>
          <w:b/>
          <w:i/>
          <w:sz w:val="10"/>
        </w:rPr>
      </w:pPr>
    </w:p>
    <w:p w:rsidR="00CC5BAD" w:rsidRPr="0097112B" w:rsidRDefault="00CC5BAD" w:rsidP="00A23C2D">
      <w:pPr>
        <w:pStyle w:val="SingleTxt"/>
        <w:spacing w:after="0" w:line="120" w:lineRule="exact"/>
        <w:rPr>
          <w:b/>
          <w:i/>
          <w:sz w:val="10"/>
        </w:rPr>
      </w:pPr>
    </w:p>
    <w:p w:rsidR="00CC5BAD" w:rsidRPr="00CC5BAD" w:rsidRDefault="00CC5BAD" w:rsidP="00CC5BA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CC5BAD">
        <w:rPr>
          <w:b/>
        </w:rPr>
        <w:t xml:space="preserve">Бюджетные средства </w:t>
      </w:r>
    </w:p>
    <w:p w:rsidR="00CC5BAD" w:rsidRPr="0097112B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</w:pPr>
      <w:r>
        <w:tab/>
      </w:r>
      <w:r w:rsidRPr="0097112B">
        <w:t>За организационными изменениями, в результате которых ответстве</w:t>
      </w:r>
      <w:r w:rsidRPr="0097112B">
        <w:t>н</w:t>
      </w:r>
      <w:r w:rsidRPr="0097112B">
        <w:t xml:space="preserve">ность за обеспечение гендерного равенства была возложена на Министерство труда, по вопросам семьи и социальных дел, также последовали изменения в финансировании. Служба по вопросам равных возможностей и европейской координации </w:t>
      </w:r>
      <w:r>
        <w:t xml:space="preserve">самостоятельно </w:t>
      </w:r>
      <w:r w:rsidRPr="0097112B">
        <w:t>распределяет бюджетные ресурсы, предназн</w:t>
      </w:r>
      <w:r w:rsidRPr="0097112B">
        <w:t>а</w:t>
      </w:r>
      <w:r w:rsidRPr="0097112B">
        <w:t>ченные для совместного финансирования проектов неправительственных орг</w:t>
      </w:r>
      <w:r w:rsidRPr="0097112B">
        <w:t>а</w:t>
      </w:r>
      <w:r w:rsidRPr="0097112B">
        <w:t xml:space="preserve">низаций; она также </w:t>
      </w:r>
      <w:r>
        <w:t xml:space="preserve">самостоятельно </w:t>
      </w:r>
      <w:r w:rsidRPr="0097112B">
        <w:t>распределяет средства, полученные в р</w:t>
      </w:r>
      <w:r w:rsidRPr="0097112B">
        <w:t>е</w:t>
      </w:r>
      <w:r w:rsidRPr="0097112B">
        <w:t>зультате успешно поданных заявок на участие в работе</w:t>
      </w:r>
      <w:r>
        <w:t xml:space="preserve"> программы «</w:t>
      </w:r>
      <w:r w:rsidRPr="0097112B">
        <w:t>Прогресс</w:t>
      </w:r>
      <w:r>
        <w:t>»</w:t>
      </w:r>
      <w:r w:rsidRPr="0097112B">
        <w:t xml:space="preserve"> Европейской комиссии и Норвежского финансового механизма. Средства на выплату окладов персонала, покрытие материальных расходов и расходов на проведение мероприятий выделяются из бюджета</w:t>
      </w:r>
      <w:r>
        <w:t xml:space="preserve"> этого</w:t>
      </w:r>
      <w:r w:rsidRPr="0097112B">
        <w:t xml:space="preserve"> </w:t>
      </w:r>
      <w:r>
        <w:t>министерства. В 2013 </w:t>
      </w:r>
      <w:r w:rsidRPr="0097112B">
        <w:t>году Служба по вопросам равных возможностей и европейской координ</w:t>
      </w:r>
      <w:r w:rsidRPr="0097112B">
        <w:t>а</w:t>
      </w:r>
      <w:r w:rsidRPr="0097112B">
        <w:t>ции имела в своем распоря</w:t>
      </w:r>
      <w:r>
        <w:t>жении 20 </w:t>
      </w:r>
      <w:r w:rsidRPr="0097112B">
        <w:t>000 евро на цели гендерного равенства, предназначенные для совместного финансирования проектов неправител</w:t>
      </w:r>
      <w:r w:rsidRPr="0097112B">
        <w:t>ь</w:t>
      </w:r>
      <w:r w:rsidRPr="0097112B">
        <w:t>ственных организаций в области гендерного равенства; благодаря успешно п</w:t>
      </w:r>
      <w:r w:rsidRPr="0097112B">
        <w:t>о</w:t>
      </w:r>
      <w:r w:rsidRPr="0097112B">
        <w:t>данной з</w:t>
      </w:r>
      <w:r w:rsidRPr="0097112B">
        <w:t>а</w:t>
      </w:r>
      <w:r w:rsidRPr="0097112B">
        <w:t>явке на участие в Программе</w:t>
      </w:r>
      <w:r>
        <w:t xml:space="preserve"> «</w:t>
      </w:r>
      <w:r w:rsidRPr="0097112B">
        <w:t>Прогресс</w:t>
      </w:r>
      <w:r>
        <w:t>»</w:t>
      </w:r>
      <w:r w:rsidRPr="0097112B">
        <w:t xml:space="preserve"> Европейской комиссии она по</w:t>
      </w:r>
      <w:r>
        <w:t>лучила 130 </w:t>
      </w:r>
      <w:r w:rsidRPr="0097112B">
        <w:t>000 ев</w:t>
      </w:r>
      <w:r>
        <w:t>ро,</w:t>
      </w:r>
      <w:r w:rsidRPr="0097112B">
        <w:t xml:space="preserve"> а также </w:t>
      </w:r>
      <w:r>
        <w:t>получила 78</w:t>
      </w:r>
      <w:r>
        <w:rPr>
          <w:lang w:val="en-US"/>
        </w:rPr>
        <w:t> </w:t>
      </w:r>
      <w:r>
        <w:t>027 </w:t>
      </w:r>
      <w:r w:rsidRPr="0097112B">
        <w:t>евро от Норвежского фина</w:t>
      </w:r>
      <w:r w:rsidRPr="0097112B">
        <w:t>н</w:t>
      </w:r>
      <w:r w:rsidRPr="0097112B">
        <w:t>сового механизма на реализацию о</w:t>
      </w:r>
      <w:r w:rsidRPr="0097112B">
        <w:t>д</w:t>
      </w:r>
      <w:r w:rsidRPr="0097112B">
        <w:t>ного проекта.</w:t>
      </w:r>
    </w:p>
    <w:p w:rsidR="00CC5BAD" w:rsidRPr="0097112B" w:rsidRDefault="00CC5BAD" w:rsidP="00A23C2D">
      <w:pPr>
        <w:pStyle w:val="SingleTxt"/>
      </w:pPr>
      <w:r>
        <w:rPr>
          <w:lang w:val="en-US"/>
        </w:rPr>
        <w:tab/>
      </w:r>
      <w:r w:rsidRPr="0097112B">
        <w:t>Объем бюджетных средств, предназначенных для совместного финанс</w:t>
      </w:r>
      <w:r w:rsidRPr="0097112B">
        <w:t>и</w:t>
      </w:r>
      <w:r w:rsidRPr="0097112B">
        <w:t xml:space="preserve">рования проектов неправительственных организаций, </w:t>
      </w:r>
      <w:r>
        <w:t xml:space="preserve">остался </w:t>
      </w:r>
      <w:r w:rsidRPr="0097112B">
        <w:t>примерно на том же уровне. В 2008 году 21 000 евро было выделено на цели совместного ф</w:t>
      </w:r>
      <w:r w:rsidRPr="0097112B">
        <w:t>и</w:t>
      </w:r>
      <w:r w:rsidRPr="0097112B">
        <w:t xml:space="preserve">нансирования; в 2009 году </w:t>
      </w:r>
      <w:r>
        <w:t xml:space="preserve">на эти цели </w:t>
      </w:r>
      <w:r w:rsidRPr="0097112B">
        <w:t>было вы</w:t>
      </w:r>
      <w:r>
        <w:t>делено 19 200 евро; в 2010 г</w:t>
      </w:r>
      <w:r>
        <w:t>о</w:t>
      </w:r>
      <w:r>
        <w:t xml:space="preserve">ду — </w:t>
      </w:r>
      <w:r w:rsidRPr="0097112B">
        <w:t>22 600 ев</w:t>
      </w:r>
      <w:r>
        <w:t xml:space="preserve">ро; в 2011 году — </w:t>
      </w:r>
      <w:r w:rsidRPr="0097112B">
        <w:t>22</w:t>
      </w:r>
      <w:r>
        <w:t xml:space="preserve"> 900 евро; в 2012 и 2013 годах — </w:t>
      </w:r>
      <w:r w:rsidRPr="0097112B">
        <w:t>20 000 е</w:t>
      </w:r>
      <w:r w:rsidRPr="0097112B">
        <w:t>в</w:t>
      </w:r>
      <w:r w:rsidRPr="0097112B">
        <w:t>ро. Таким образом, ежегодно из различных источников предоставлялись сре</w:t>
      </w:r>
      <w:r w:rsidRPr="0097112B">
        <w:t>д</w:t>
      </w:r>
      <w:r w:rsidRPr="0097112B">
        <w:t>ства для финансирования до десяти проектов неправительственны</w:t>
      </w:r>
      <w:r>
        <w:t>х организ</w:t>
      </w:r>
      <w:r>
        <w:t>а</w:t>
      </w:r>
      <w:r>
        <w:t>ций. В 2012 </w:t>
      </w:r>
      <w:r w:rsidRPr="0097112B">
        <w:t>году на совместной основе было профинансировано пять проектов (женщины в политической жизни, психические расстройства среди женщин, одинокие матери, борьба со стереотипами, более активная роль женщин в с</w:t>
      </w:r>
      <w:r w:rsidRPr="0097112B">
        <w:t>о</w:t>
      </w:r>
      <w:r w:rsidRPr="0097112B">
        <w:t>циальных подсистемах); в 2013 году на совместной основе было профинанс</w:t>
      </w:r>
      <w:r w:rsidRPr="0097112B">
        <w:t>и</w:t>
      </w:r>
      <w:r w:rsidRPr="0097112B">
        <w:t xml:space="preserve">ровано шесть проектов (экономическое </w:t>
      </w:r>
      <w:r>
        <w:t xml:space="preserve">принуждение </w:t>
      </w:r>
      <w:r w:rsidRPr="0097112B">
        <w:t>женщин, развитие пре</w:t>
      </w:r>
      <w:r w:rsidRPr="0097112B">
        <w:t>д</w:t>
      </w:r>
      <w:r w:rsidRPr="0097112B">
        <w:t>принимательства среди женщин, поощрение молодых женщин к трудовой де</w:t>
      </w:r>
      <w:r w:rsidRPr="0097112B">
        <w:t>я</w:t>
      </w:r>
      <w:r w:rsidRPr="0097112B">
        <w:t>тельности и проведению исследований в области науки и экономики, антикр</w:t>
      </w:r>
      <w:r w:rsidRPr="0097112B">
        <w:t>и</w:t>
      </w:r>
      <w:r w:rsidRPr="0097112B">
        <w:t>зисные м</w:t>
      </w:r>
      <w:r w:rsidRPr="0097112B">
        <w:t>е</w:t>
      </w:r>
      <w:r w:rsidRPr="0097112B">
        <w:t>ры и гендерное равенство, женский футбол, продвижение женщин-экспертов в средствах ма</w:t>
      </w:r>
      <w:r w:rsidRPr="0097112B">
        <w:t>с</w:t>
      </w:r>
      <w:r w:rsidRPr="0097112B">
        <w:t xml:space="preserve">совой информации). </w:t>
      </w:r>
      <w:smartTag w:uri="urn:schemas-microsoft-com:office:smarttags" w:element="metricconverter">
        <w:smartTagPr>
          <w:attr w:name="ProductID" w:val="20,000. In"/>
        </w:smartTagPr>
      </w:smartTag>
    </w:p>
    <w:p w:rsidR="00CC5BAD" w:rsidRPr="0097112B" w:rsidRDefault="00CC5BAD" w:rsidP="00A23C2D">
      <w:pPr>
        <w:pStyle w:val="SingleTxt"/>
      </w:pPr>
      <w:r>
        <w:tab/>
      </w:r>
      <w:r w:rsidRPr="0097112B">
        <w:t>Гендерное равенство достигается посредством учета гендерной проблем</w:t>
      </w:r>
      <w:r w:rsidRPr="0097112B">
        <w:t>а</w:t>
      </w:r>
      <w:r w:rsidRPr="0097112B">
        <w:t xml:space="preserve">тики и применения общих и конкретных мер, т.е. </w:t>
      </w:r>
      <w:r>
        <w:t xml:space="preserve">с помощью двух </w:t>
      </w:r>
      <w:r w:rsidRPr="0097112B">
        <w:t>взаимод</w:t>
      </w:r>
      <w:r w:rsidRPr="0097112B">
        <w:t>о</w:t>
      </w:r>
      <w:r w:rsidRPr="0097112B">
        <w:t>полняющих подхо</w:t>
      </w:r>
      <w:r>
        <w:t>дов</w:t>
      </w:r>
      <w:r w:rsidRPr="0097112B">
        <w:t>, которым министерства и государственные службы об</w:t>
      </w:r>
      <w:r w:rsidRPr="0097112B">
        <w:t>я</w:t>
      </w:r>
      <w:r w:rsidRPr="0097112B">
        <w:t xml:space="preserve">заны следовать. Министерства и государственные службы </w:t>
      </w:r>
      <w:r>
        <w:t>решают поставле</w:t>
      </w:r>
      <w:r>
        <w:t>н</w:t>
      </w:r>
      <w:r>
        <w:t xml:space="preserve">ные перед ними задачи </w:t>
      </w:r>
      <w:r w:rsidRPr="0097112B">
        <w:t>и принимают ме</w:t>
      </w:r>
      <w:r>
        <w:t>ры, предусмотренные в р</w:t>
      </w:r>
      <w:r w:rsidRPr="0097112B">
        <w:t>езолюции о Национальной программе по обеспечению равных возможностей для женщин и мужч</w:t>
      </w:r>
      <w:r>
        <w:t>ин на 2005–2013 </w:t>
      </w:r>
      <w:r w:rsidRPr="0097112B">
        <w:t>годы</w:t>
      </w:r>
      <w:r>
        <w:t>,</w:t>
      </w:r>
      <w:r w:rsidRPr="0097112B">
        <w:t xml:space="preserve"> на основе периодических двухгодичных планов, главным образом путем перераспределения бюджетных расходов с целью более эффективного и ускоренного учета гендерной проблематики в </w:t>
      </w:r>
      <w:r>
        <w:t xml:space="preserve">рамках уже идущих </w:t>
      </w:r>
      <w:r w:rsidRPr="0097112B">
        <w:t>процес</w:t>
      </w:r>
      <w:r>
        <w:t>сов</w:t>
      </w:r>
      <w:r w:rsidRPr="0097112B">
        <w:t>.</w:t>
      </w:r>
    </w:p>
    <w:p w:rsidR="00CC5BAD" w:rsidRPr="0097112B" w:rsidRDefault="00CC5BAD" w:rsidP="00A23C2D">
      <w:pPr>
        <w:pStyle w:val="SingleTxt"/>
        <w:spacing w:after="0" w:line="120" w:lineRule="exact"/>
        <w:rPr>
          <w:b/>
          <w:i/>
          <w:sz w:val="10"/>
        </w:rPr>
      </w:pPr>
    </w:p>
    <w:p w:rsidR="00CC5BAD" w:rsidRPr="00CC5BAD" w:rsidRDefault="00CC5BAD" w:rsidP="00A23C2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tab/>
      </w:r>
      <w:r>
        <w:tab/>
      </w:r>
      <w:r w:rsidRPr="00CC5BAD">
        <w:rPr>
          <w:b/>
        </w:rPr>
        <w:t>Организации гражданского общества</w:t>
      </w:r>
    </w:p>
    <w:p w:rsidR="00CC5BAD" w:rsidRPr="0097112B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</w:pPr>
      <w:r>
        <w:tab/>
      </w:r>
      <w:r w:rsidRPr="0097112B">
        <w:t>Организации гражданского общества являются важными партнерами по реализации различных проектов; они принимают активное участие в усилиях по достижению гендерного равенства, выдвигая</w:t>
      </w:r>
      <w:r>
        <w:t xml:space="preserve"> предложения</w:t>
      </w:r>
      <w:r w:rsidRPr="0097112B">
        <w:t>, реагируя на з</w:t>
      </w:r>
      <w:r w:rsidRPr="0097112B">
        <w:t>а</w:t>
      </w:r>
      <w:r w:rsidRPr="0097112B">
        <w:t xml:space="preserve">конодательные </w:t>
      </w:r>
      <w:r>
        <w:t xml:space="preserve">инициативы </w:t>
      </w:r>
      <w:r w:rsidRPr="0097112B">
        <w:t>и меры, осуществляя мониторинг ситуации, готовя доклады о положении женщин и мужчин в Словении, обращая внимание на любые трудности, с которыми сталкиваются женщины при осуществлении своих прав</w:t>
      </w:r>
      <w:r>
        <w:t>,</w:t>
      </w:r>
      <w:r w:rsidRPr="0097112B">
        <w:t xml:space="preserve"> и т. д. Участие неправительственных организаций в осуществлении положений Конвенции о ликвидации всех форм дискриминации в отношении женщин более подробно описывается в разделе, посвященном выполнению о</w:t>
      </w:r>
      <w:r w:rsidRPr="0097112B">
        <w:t>т</w:t>
      </w:r>
      <w:r w:rsidRPr="0097112B">
        <w:t>дельных статей Конвенции. Как уже отмечалось в предыдущих докладах, ос</w:t>
      </w:r>
      <w:r w:rsidRPr="0097112B">
        <w:t>о</w:t>
      </w:r>
      <w:r w:rsidRPr="0097112B">
        <w:t>бенно важную роль в осуществлении положений Конвенции играют неправ</w:t>
      </w:r>
      <w:r w:rsidRPr="0097112B">
        <w:t>и</w:t>
      </w:r>
      <w:r w:rsidRPr="0097112B">
        <w:t>тельственные организации, занимающиеся вопросами гендерного равенства и борьбой с насилием в отношении женщин, в том числе: Женское лобби Слов</w:t>
      </w:r>
      <w:r w:rsidRPr="0097112B">
        <w:t>е</w:t>
      </w:r>
      <w:r w:rsidRPr="0097112B">
        <w:t>нии, Институт ми</w:t>
      </w:r>
      <w:r>
        <w:t>ра, Центр правовой информации, общество «СОС»</w:t>
      </w:r>
      <w:r w:rsidRPr="0097112B">
        <w:t>, телефон доверия для женщин, детей и жертв насилия, Общество по вопросам ненасил</w:t>
      </w:r>
      <w:r w:rsidRPr="0097112B">
        <w:t>ь</w:t>
      </w:r>
      <w:r w:rsidRPr="0097112B">
        <w:t>ственного общения, Общество по вопросам консультирования женщин в Лю</w:t>
      </w:r>
      <w:r w:rsidRPr="0097112B">
        <w:t>б</w:t>
      </w:r>
      <w:r w:rsidRPr="0097112B">
        <w:t>ляне, Ин</w:t>
      </w:r>
      <w:r>
        <w:t xml:space="preserve">ститут Эммы — </w:t>
      </w:r>
      <w:r w:rsidRPr="0097112B">
        <w:t>Центр помощи ж</w:t>
      </w:r>
      <w:r>
        <w:t>ертвам насилия, общество «Ключ» </w:t>
      </w:r>
      <w:r w:rsidRPr="0097112B">
        <w:t>— Центр по борьбе с торговлей людьми, Центр по вопросам информационных услуг, сотру</w:t>
      </w:r>
      <w:r>
        <w:t xml:space="preserve">дничества и развития НПО — </w:t>
      </w:r>
      <w:r w:rsidRPr="0097112B">
        <w:t>КНВОС, специальные рабочие орг</w:t>
      </w:r>
      <w:r w:rsidRPr="0097112B">
        <w:t>а</w:t>
      </w:r>
      <w:r w:rsidRPr="0097112B">
        <w:t>ны проф</w:t>
      </w:r>
      <w:r>
        <w:t xml:space="preserve">союзов, </w:t>
      </w:r>
      <w:r w:rsidRPr="0097112B">
        <w:t xml:space="preserve">организаций работодателей по вопросам обеспечения равных возможностей и т.д. </w:t>
      </w:r>
    </w:p>
    <w:p w:rsidR="00CC5BAD" w:rsidRPr="0097112B" w:rsidRDefault="00CC5BAD" w:rsidP="00CC5B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7112B">
        <w:t>Выполнение положений отдельных статей Конвенции</w:t>
      </w:r>
    </w:p>
    <w:p w:rsidR="00CC5BAD" w:rsidRPr="00CC5BAD" w:rsidRDefault="00CC5BAD" w:rsidP="00CC5BAD">
      <w:pPr>
        <w:pStyle w:val="SingleTxt"/>
        <w:spacing w:after="0" w:line="120" w:lineRule="exact"/>
        <w:rPr>
          <w:b/>
          <w:sz w:val="10"/>
        </w:rPr>
      </w:pPr>
    </w:p>
    <w:p w:rsidR="00CC5BAD" w:rsidRPr="0097112B" w:rsidRDefault="00CC5BAD" w:rsidP="00A23C2D">
      <w:pPr>
        <w:pStyle w:val="SingleTxt"/>
        <w:spacing w:after="0" w:line="120" w:lineRule="exact"/>
        <w:rPr>
          <w:b/>
          <w:sz w:val="10"/>
        </w:rPr>
      </w:pPr>
    </w:p>
    <w:p w:rsidR="00CC5BAD" w:rsidRPr="0097112B" w:rsidRDefault="00CC5BAD" w:rsidP="00CC5B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7112B">
        <w:t>Статья 1</w:t>
      </w:r>
      <w:r>
        <w:rPr>
          <w:lang w:val="en-US"/>
        </w:rPr>
        <w:br/>
      </w:r>
      <w:r w:rsidRPr="0097112B">
        <w:t>Дискриминация женщин</w:t>
      </w:r>
    </w:p>
    <w:p w:rsidR="00CC5BAD" w:rsidRPr="00CC5BAD" w:rsidRDefault="00CC5BAD" w:rsidP="00CC5BA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</w:pPr>
      <w:r w:rsidRPr="0097112B">
        <w:t>1.</w:t>
      </w:r>
      <w:r w:rsidRPr="0097112B">
        <w:tab/>
        <w:t>26 сентября 2013 года правительство Республики Словения приняло зак</w:t>
      </w:r>
      <w:r w:rsidRPr="0097112B">
        <w:t>о</w:t>
      </w:r>
      <w:r w:rsidRPr="0097112B">
        <w:t>нопроект о равенстве женщин и мужчин, который должен прийти на смену действующему Закону о равных возможностях для женщин и мужчин, и пре</w:t>
      </w:r>
      <w:r w:rsidRPr="0097112B">
        <w:t>д</w:t>
      </w:r>
      <w:r w:rsidRPr="0097112B">
        <w:t>ставило его на рассмотрение в Государственное собрание Республики Слов</w:t>
      </w:r>
      <w:r w:rsidRPr="0097112B">
        <w:t>е</w:t>
      </w:r>
      <w:r w:rsidRPr="0097112B">
        <w:t>ни</w:t>
      </w:r>
      <w:r>
        <w:t>я</w:t>
      </w:r>
      <w:r w:rsidRPr="0097112B">
        <w:t xml:space="preserve"> для обсуждения и принятия. В этом законопроекте более подробно ра</w:t>
      </w:r>
      <w:r w:rsidRPr="0097112B">
        <w:t>с</w:t>
      </w:r>
      <w:r w:rsidRPr="0097112B">
        <w:t>сматривается вопрос о гендерном равенстве и запрете дискриминации по пр</w:t>
      </w:r>
      <w:r w:rsidRPr="0097112B">
        <w:t>и</w:t>
      </w:r>
      <w:r w:rsidRPr="0097112B">
        <w:t>знаку половой и гендерной принадлежности. Гендерное равенство означает, что женщины и мужчины равны в своем достоинстве, имеют равные права и обязанности, в равной степени участвуют в процессах планирования и прин</w:t>
      </w:r>
      <w:r w:rsidRPr="0097112B">
        <w:t>я</w:t>
      </w:r>
      <w:r w:rsidRPr="0097112B">
        <w:t>тия решений во всех сферах общественной и частной жизни и имеют равные возможности на них влиять, имеют равный статус и равные возможности пол</w:t>
      </w:r>
      <w:r w:rsidRPr="0097112B">
        <w:t>ь</w:t>
      </w:r>
      <w:r w:rsidRPr="0097112B">
        <w:t>зоваться всеми правами и раскрывать свой личный потенциал для содействия социальному развитию и в равной степени пользуются результатами развития (статья 3). Статья 5 этого законопроекта запрещает любое поведение, квалиф</w:t>
      </w:r>
      <w:r w:rsidRPr="0097112B">
        <w:t>и</w:t>
      </w:r>
      <w:r w:rsidRPr="0097112B">
        <w:t>цируемое как дискриминация по признаку половой и гендерной принадлежн</w:t>
      </w:r>
      <w:r w:rsidRPr="0097112B">
        <w:t>о</w:t>
      </w:r>
      <w:r w:rsidRPr="0097112B">
        <w:t>сти, в любой области, а также запрещает любое подстрекательство к такому поведению, квалифицируемому как дискриминация, и поощрение такого пов</w:t>
      </w:r>
      <w:r w:rsidRPr="0097112B">
        <w:t>е</w:t>
      </w:r>
      <w:r w:rsidRPr="0097112B">
        <w:t>дения; она также запрещает преследование лиц, подвергшихся дискриминации по признаку половой и гендерной принадлежности, а также лиц, оказывающих помощь жертвам такой дискриминации. Поведение, квалифицируемое как ди</w:t>
      </w:r>
      <w:r w:rsidRPr="0097112B">
        <w:t>с</w:t>
      </w:r>
      <w:r w:rsidRPr="0097112B">
        <w:t xml:space="preserve">криминация, </w:t>
      </w:r>
      <w:r>
        <w:t xml:space="preserve">определяется </w:t>
      </w:r>
      <w:r w:rsidRPr="0097112B">
        <w:t>в статьях 8, 9, 10, 11 и 12, включая вопросы косве</w:t>
      </w:r>
      <w:r w:rsidRPr="0097112B">
        <w:t>н</w:t>
      </w:r>
      <w:r w:rsidRPr="0097112B">
        <w:t>ной и прямой дискриминации, притеснений по признаку пола, сексуальных домогательств и гендерного насилия. Этот законопроект предусматривает наказания за наруш</w:t>
      </w:r>
      <w:r w:rsidRPr="0097112B">
        <w:t>е</w:t>
      </w:r>
      <w:r w:rsidRPr="0097112B">
        <w:t>ния запрета на дискриминацию (статья 36).</w:t>
      </w:r>
    </w:p>
    <w:p w:rsidR="00CC5BAD" w:rsidRPr="00CC5BAD" w:rsidRDefault="00CC5BAD" w:rsidP="00CC5BAD">
      <w:pPr>
        <w:pStyle w:val="SingleTxt"/>
        <w:spacing w:after="0" w:line="120" w:lineRule="exact"/>
        <w:rPr>
          <w:b/>
          <w:sz w:val="10"/>
        </w:rPr>
      </w:pPr>
    </w:p>
    <w:p w:rsidR="00CC5BAD" w:rsidRPr="0097112B" w:rsidRDefault="00CC5BAD" w:rsidP="00A23C2D">
      <w:pPr>
        <w:pStyle w:val="SingleTxt"/>
        <w:spacing w:after="0" w:line="120" w:lineRule="exact"/>
        <w:rPr>
          <w:b/>
          <w:sz w:val="10"/>
        </w:rPr>
      </w:pPr>
    </w:p>
    <w:p w:rsidR="00CC5BAD" w:rsidRPr="0097112B" w:rsidRDefault="00CC5BAD" w:rsidP="00CC5B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7112B">
        <w:t>Статьи 2 и 3</w:t>
      </w:r>
      <w:r>
        <w:br/>
      </w:r>
      <w:r w:rsidRPr="0097112B">
        <w:t>Меры по обеспечению равенства женщин и мужчин</w:t>
      </w:r>
    </w:p>
    <w:p w:rsidR="00CC5BAD" w:rsidRPr="00CC5BAD" w:rsidRDefault="00CC5BAD" w:rsidP="00CC5BA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A23C2D">
      <w:pPr>
        <w:pStyle w:val="SingleTxt"/>
      </w:pPr>
      <w:r w:rsidRPr="0097112B">
        <w:t>2.</w:t>
      </w:r>
      <w:r w:rsidRPr="0097112B">
        <w:tab/>
        <w:t>В соответствии с рекомендациями Комитета правительство активизиров</w:t>
      </w:r>
      <w:r w:rsidRPr="0097112B">
        <w:t>а</w:t>
      </w:r>
      <w:r w:rsidRPr="0097112B">
        <w:t>ло свои усилия по предотвращению дискриминации женщин и обеспечению фактического равенства для них</w:t>
      </w:r>
      <w:r>
        <w:t>. П</w:t>
      </w:r>
      <w:r w:rsidRPr="0097112B">
        <w:t xml:space="preserve">осле представления четвертого доклада на законодательном и </w:t>
      </w:r>
      <w:r>
        <w:t xml:space="preserve">исполнительном </w:t>
      </w:r>
      <w:r w:rsidRPr="0097112B">
        <w:t>уровнях были приняты важные меры по борьбе с насилием в отношении женщин и насилием в семье (более подробну</w:t>
      </w:r>
      <w:r>
        <w:t>ю и</w:t>
      </w:r>
      <w:r>
        <w:t>н</w:t>
      </w:r>
      <w:r>
        <w:t>формацию см. в пунктах 19–</w:t>
      </w:r>
      <w:r w:rsidRPr="0097112B">
        <w:t xml:space="preserve">23 по </w:t>
      </w:r>
      <w:r>
        <w:t xml:space="preserve">статье 5 — </w:t>
      </w:r>
      <w:r w:rsidRPr="0097112B">
        <w:t xml:space="preserve">Искоренение предрассудков и стереотипов, </w:t>
      </w:r>
      <w:r>
        <w:t>н</w:t>
      </w:r>
      <w:r w:rsidRPr="0097112B">
        <w:t>асилие в отношении женщин и насилие в с</w:t>
      </w:r>
      <w:r w:rsidRPr="0097112B">
        <w:t>е</w:t>
      </w:r>
      <w:r w:rsidRPr="0097112B">
        <w:t>мье).</w:t>
      </w:r>
    </w:p>
    <w:p w:rsidR="00CC5BAD" w:rsidRDefault="00CC5BAD" w:rsidP="00A23C2D">
      <w:pPr>
        <w:pStyle w:val="SingleTxt"/>
      </w:pPr>
      <w:r w:rsidRPr="0097112B">
        <w:t>3.</w:t>
      </w:r>
      <w:r w:rsidRPr="0097112B">
        <w:tab/>
        <w:t>Одной из приоритетных задач Управления по вопросам равных возмо</w:t>
      </w:r>
      <w:r w:rsidRPr="0097112B">
        <w:t>ж</w:t>
      </w:r>
      <w:r w:rsidRPr="0097112B">
        <w:t>ностей в последние годы стало укрепление институционального потенциала для учета гендерной проблематики</w:t>
      </w:r>
      <w:r>
        <w:t>. В 2009 и 2010 годах в рамках программы «Прогресс»</w:t>
      </w:r>
      <w:r w:rsidRPr="0097112B">
        <w:t xml:space="preserve"> Европейской комиссии </w:t>
      </w:r>
      <w:r>
        <w:t>Управление осуществляло проект «</w:t>
      </w:r>
      <w:r w:rsidRPr="0097112B">
        <w:t>Эффе</w:t>
      </w:r>
      <w:r w:rsidRPr="0097112B">
        <w:t>к</w:t>
      </w:r>
      <w:r w:rsidRPr="0097112B">
        <w:t>тивный учет гендерной проблем</w:t>
      </w:r>
      <w:r>
        <w:t xml:space="preserve">атики», а в 2011 и 2012 годах — </w:t>
      </w:r>
      <w:r w:rsidRPr="0097112B">
        <w:t xml:space="preserve">проект </w:t>
      </w:r>
      <w:r>
        <w:t>«</w:t>
      </w:r>
      <w:r w:rsidRPr="0097112B">
        <w:t>Стр</w:t>
      </w:r>
      <w:r w:rsidRPr="0097112B">
        <w:t>а</w:t>
      </w:r>
      <w:r w:rsidRPr="0097112B">
        <w:t>тегический учет гендерной проблематики</w:t>
      </w:r>
      <w:r>
        <w:t>»</w:t>
      </w:r>
      <w:r w:rsidRPr="0097112B">
        <w:t>.</w:t>
      </w:r>
    </w:p>
    <w:p w:rsidR="00CC5BAD" w:rsidRPr="0097112B" w:rsidRDefault="00CC5BAD" w:rsidP="00A23C2D">
      <w:pPr>
        <w:pStyle w:val="SingleTxt"/>
      </w:pPr>
    </w:p>
    <w:p w:rsidR="00CC5BAD" w:rsidRPr="0097112B" w:rsidRDefault="00CC5BAD" w:rsidP="00A23C2D">
      <w:pPr>
        <w:pStyle w:val="SingleTxt"/>
      </w:pPr>
      <w:r>
        <w:t>4.</w:t>
      </w:r>
      <w:r>
        <w:tab/>
        <w:t>В рамках проекта «</w:t>
      </w:r>
      <w:r w:rsidRPr="0097112B">
        <w:t>Эффектив</w:t>
      </w:r>
      <w:r>
        <w:t>ный учет гендерной проблематики»</w:t>
      </w:r>
      <w:r w:rsidRPr="0097112B">
        <w:t xml:space="preserve"> было опубликовано</w:t>
      </w:r>
      <w:r>
        <w:t xml:space="preserve"> пособие «</w:t>
      </w:r>
      <w:r w:rsidRPr="0097112B">
        <w:t>Путь к гендерному равенству: эффективный учет ге</w:t>
      </w:r>
      <w:r w:rsidRPr="0097112B">
        <w:t>н</w:t>
      </w:r>
      <w:r w:rsidRPr="0097112B">
        <w:t>дерной проблемати</w:t>
      </w:r>
      <w:r>
        <w:t>ки в политике»</w:t>
      </w:r>
      <w:r w:rsidRPr="0097112B">
        <w:t>; в нем содержится общий обзор ситуации с государственным управлением в плане учета гендерной проблематики, охват</w:t>
      </w:r>
      <w:r w:rsidRPr="0097112B">
        <w:t>ы</w:t>
      </w:r>
      <w:r w:rsidRPr="0097112B">
        <w:t>ваются методы и способы учета гендерной проблематики и содержатся руков</w:t>
      </w:r>
      <w:r w:rsidRPr="0097112B">
        <w:t>о</w:t>
      </w:r>
      <w:r w:rsidRPr="0097112B">
        <w:t>дящие принципы по учету гендерной проблематики в области социальной з</w:t>
      </w:r>
      <w:r w:rsidRPr="0097112B">
        <w:t>а</w:t>
      </w:r>
      <w:r w:rsidRPr="0097112B">
        <w:t>щиты, социальной интеграции и занятости. Это пособие было отправлено во все основные государственные структуры и использовалось в качестве учебн</w:t>
      </w:r>
      <w:r w:rsidRPr="0097112B">
        <w:t>о</w:t>
      </w:r>
      <w:r w:rsidRPr="0097112B">
        <w:t xml:space="preserve">го материала на семинарах. В рамках этого проекта был разработан учебный модуль, который применялся в ходе </w:t>
      </w:r>
      <w:r>
        <w:t>последующего проекта «</w:t>
      </w:r>
      <w:r w:rsidRPr="0097112B">
        <w:t>Стратегичес</w:t>
      </w:r>
      <w:r>
        <w:t>кий учет гендерной проблематики»</w:t>
      </w:r>
      <w:r w:rsidRPr="0097112B">
        <w:t xml:space="preserve">; этот модуль использовался </w:t>
      </w:r>
      <w:r>
        <w:t xml:space="preserve">в процессе учебы по </w:t>
      </w:r>
      <w:r w:rsidRPr="0097112B">
        <w:t>ген</w:t>
      </w:r>
      <w:r>
        <w:t>дерной проблематике</w:t>
      </w:r>
      <w:r w:rsidRPr="0097112B">
        <w:t>, организованной в различных министерствах; его содержание корректировалось в зависимости от соответствую</w:t>
      </w:r>
      <w:r>
        <w:t xml:space="preserve">щей политики и уровня знаний слушателей. </w:t>
      </w:r>
      <w:r w:rsidRPr="0097112B">
        <w:t>В рамках этого проекта бы</w:t>
      </w:r>
      <w:r>
        <w:t>ло</w:t>
      </w:r>
      <w:r w:rsidRPr="0097112B">
        <w:t xml:space="preserve"> организова</w:t>
      </w:r>
      <w:r>
        <w:t>но</w:t>
      </w:r>
      <w:r w:rsidRPr="0097112B">
        <w:t xml:space="preserve"> </w:t>
      </w:r>
      <w:r>
        <w:t>изуч</w:t>
      </w:r>
      <w:r>
        <w:t>е</w:t>
      </w:r>
      <w:r>
        <w:t xml:space="preserve">ние </w:t>
      </w:r>
      <w:r w:rsidRPr="0097112B">
        <w:t>гендерной проблематики в процессе составления бюджета и было разраб</w:t>
      </w:r>
      <w:r w:rsidRPr="0097112B">
        <w:t>о</w:t>
      </w:r>
      <w:r w:rsidRPr="0097112B">
        <w:t xml:space="preserve">тано два инструмента: перечень вопросов по </w:t>
      </w:r>
      <w:r>
        <w:t xml:space="preserve">включению </w:t>
      </w:r>
      <w:r w:rsidRPr="0097112B">
        <w:t>гендерной проблем</w:t>
      </w:r>
      <w:r w:rsidRPr="0097112B">
        <w:t>а</w:t>
      </w:r>
      <w:r w:rsidRPr="0097112B">
        <w:t>тики в про</w:t>
      </w:r>
      <w:r>
        <w:t>цесс</w:t>
      </w:r>
      <w:r w:rsidRPr="0097112B">
        <w:t xml:space="preserve"> составления бюджета и онлайн-инструмент по учету генде</w:t>
      </w:r>
      <w:r w:rsidRPr="0097112B">
        <w:t>р</w:t>
      </w:r>
      <w:r w:rsidRPr="0097112B">
        <w:t>ной проблематики.</w:t>
      </w:r>
    </w:p>
    <w:p w:rsidR="00CC5BAD" w:rsidRPr="0097112B" w:rsidRDefault="00CC5BAD" w:rsidP="00A23C2D">
      <w:pPr>
        <w:pStyle w:val="SingleTxt"/>
      </w:pPr>
      <w:r w:rsidRPr="0097112B">
        <w:t>5.</w:t>
      </w:r>
      <w:r w:rsidRPr="0097112B">
        <w:tab/>
        <w:t>В марте 2009 года Управление по вопросам равных возможностей в с</w:t>
      </w:r>
      <w:r w:rsidRPr="0097112B">
        <w:t>о</w:t>
      </w:r>
      <w:r w:rsidRPr="0097112B">
        <w:t>трудничестве с Рыночной инспекцией Республики Словени</w:t>
      </w:r>
      <w:r>
        <w:t>я</w:t>
      </w:r>
      <w:r w:rsidRPr="0097112B">
        <w:t xml:space="preserve"> и Агентством по конт</w:t>
      </w:r>
      <w:r>
        <w:t>ролю за деятельностью страховщиков</w:t>
      </w:r>
      <w:r w:rsidRPr="0097112B">
        <w:t xml:space="preserve"> сформировало группу экспер</w:t>
      </w:r>
      <w:r>
        <w:t>тов «</w:t>
      </w:r>
      <w:r w:rsidRPr="0097112B">
        <w:t>Равное отношение к женщинам и мужчинам в вопросах доступа к то</w:t>
      </w:r>
      <w:r>
        <w:t>варам и услугам и снабжения ими»</w:t>
      </w:r>
      <w:r w:rsidRPr="0097112B">
        <w:t>. Группа экспертов занималась просветительной д</w:t>
      </w:r>
      <w:r w:rsidRPr="0097112B">
        <w:t>е</w:t>
      </w:r>
      <w:r w:rsidRPr="0097112B">
        <w:t>ятельностью и выявлением случаев наруш</w:t>
      </w:r>
      <w:r w:rsidRPr="0097112B">
        <w:t>е</w:t>
      </w:r>
      <w:r w:rsidRPr="0097112B">
        <w:t>ни</w:t>
      </w:r>
      <w:r>
        <w:t>я</w:t>
      </w:r>
      <w:r w:rsidRPr="0097112B">
        <w:t xml:space="preserve"> принципа гендерного равенства с точки зрения доступа к товарам и усл</w:t>
      </w:r>
      <w:r w:rsidRPr="0097112B">
        <w:t>у</w:t>
      </w:r>
      <w:r w:rsidRPr="0097112B">
        <w:t>гам и снабжения ими.</w:t>
      </w:r>
    </w:p>
    <w:p w:rsidR="00CC5BAD" w:rsidRPr="00CC5BAD" w:rsidRDefault="00CC5BAD" w:rsidP="00CC5B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C5BAD" w:rsidRPr="00CC5BAD" w:rsidRDefault="00CC5BAD" w:rsidP="00CC5BAD">
      <w:pPr>
        <w:pStyle w:val="SingleTxt"/>
        <w:spacing w:after="0" w:line="120" w:lineRule="exact"/>
        <w:rPr>
          <w:sz w:val="10"/>
        </w:rPr>
      </w:pPr>
    </w:p>
    <w:p w:rsidR="00CC5BAD" w:rsidRPr="0097112B" w:rsidRDefault="00CC5BAD" w:rsidP="00CC5B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7112B">
        <w:t>Статья 4</w:t>
      </w:r>
      <w:r>
        <w:br/>
      </w:r>
      <w:r w:rsidRPr="0097112B">
        <w:t xml:space="preserve">Поощрение фактического гендерного равенства </w:t>
      </w:r>
      <w:r>
        <w:t xml:space="preserve">с помощью </w:t>
      </w:r>
      <w:r w:rsidRPr="0097112B">
        <w:t xml:space="preserve">временных специальных мер </w:t>
      </w:r>
    </w:p>
    <w:p w:rsidR="00CC5BAD" w:rsidRPr="00CC5BAD" w:rsidRDefault="00CC5BAD" w:rsidP="00CC5BAD">
      <w:pPr>
        <w:pStyle w:val="SingleTxt"/>
        <w:spacing w:after="0" w:line="120" w:lineRule="exact"/>
        <w:rPr>
          <w:sz w:val="10"/>
        </w:rPr>
      </w:pPr>
    </w:p>
    <w:p w:rsidR="00CC5BAD" w:rsidRPr="00CC5BAD" w:rsidRDefault="00CC5BAD" w:rsidP="00CC5BAD">
      <w:pPr>
        <w:pStyle w:val="SingleTxt"/>
        <w:spacing w:after="0" w:line="120" w:lineRule="exact"/>
        <w:rPr>
          <w:sz w:val="10"/>
        </w:rPr>
      </w:pPr>
    </w:p>
    <w:p w:rsidR="00CC5BAD" w:rsidRPr="00847362" w:rsidRDefault="00CC5BAD" w:rsidP="00A23C2D">
      <w:pPr>
        <w:pStyle w:val="SingleTxt"/>
      </w:pPr>
      <w:r w:rsidRPr="00847362">
        <w:t>6.</w:t>
      </w:r>
      <w:r w:rsidRPr="00847362">
        <w:tab/>
        <w:t xml:space="preserve">Как </w:t>
      </w:r>
      <w:r>
        <w:t xml:space="preserve">сказано </w:t>
      </w:r>
      <w:r w:rsidRPr="00847362">
        <w:t xml:space="preserve">в предыдущих докладах, Закон о равных возможностях для женщин и мужчин </w:t>
      </w:r>
      <w:r>
        <w:t>создает</w:t>
      </w:r>
      <w:r w:rsidRPr="00847362">
        <w:t xml:space="preserve">правовую основу для принятия специальных мер. Законопроект о равенстве женщин и мужчин не предусматривает каких-либо существенных изменений </w:t>
      </w:r>
      <w:r>
        <w:t xml:space="preserve">порядка </w:t>
      </w:r>
      <w:r w:rsidRPr="00847362">
        <w:t xml:space="preserve">принятия специальных мер. </w:t>
      </w:r>
      <w:r>
        <w:t>Статья </w:t>
      </w:r>
      <w:r w:rsidRPr="00847362">
        <w:t>13 этого законопроекта гласит, что общие и конкретные меры и принцип учета генде</w:t>
      </w:r>
      <w:r w:rsidRPr="00847362">
        <w:t>р</w:t>
      </w:r>
      <w:r w:rsidRPr="00847362">
        <w:t>ной проблематики должны применяться для поощрения и обеспечения факт</w:t>
      </w:r>
      <w:r w:rsidRPr="00847362">
        <w:t>и</w:t>
      </w:r>
      <w:r w:rsidRPr="00847362">
        <w:t xml:space="preserve">ческого гендерного равенства. Согласно </w:t>
      </w:r>
      <w:r>
        <w:t>статье </w:t>
      </w:r>
      <w:r w:rsidRPr="00847362">
        <w:t>16 закон</w:t>
      </w:r>
      <w:r w:rsidRPr="00847362">
        <w:t>о</w:t>
      </w:r>
      <w:r w:rsidRPr="00847362">
        <w:t>проекта, специальные меры определяются как временные меры, направленные на достижение факт</w:t>
      </w:r>
      <w:r w:rsidRPr="00847362">
        <w:t>и</w:t>
      </w:r>
      <w:r w:rsidRPr="00847362">
        <w:t xml:space="preserve">ческого равенства женщин и мужчин в тех областях, </w:t>
      </w:r>
      <w:r>
        <w:t xml:space="preserve">где </w:t>
      </w:r>
      <w:r w:rsidRPr="00847362">
        <w:t>имеет место несбала</w:t>
      </w:r>
      <w:r w:rsidRPr="00847362">
        <w:t>н</w:t>
      </w:r>
      <w:r w:rsidRPr="00847362">
        <w:t>сированная в гендерном отношении представленность лиц или социальных групп женщин и мужчин или неравное положение и роль лиц одного пола. Включение социальных групп в этот законопроект обеспечивает правовую о</w:t>
      </w:r>
      <w:r w:rsidRPr="00847362">
        <w:t>с</w:t>
      </w:r>
      <w:r w:rsidRPr="00847362">
        <w:t>нову для концепции пере</w:t>
      </w:r>
      <w:r>
        <w:t xml:space="preserve">крестной </w:t>
      </w:r>
      <w:r w:rsidRPr="00847362">
        <w:t>дискриминаци</w:t>
      </w:r>
      <w:r>
        <w:t>и</w:t>
      </w:r>
      <w:r w:rsidRPr="00847362">
        <w:t>. При пр</w:t>
      </w:r>
      <w:r w:rsidRPr="00847362">
        <w:t>и</w:t>
      </w:r>
      <w:r w:rsidRPr="00847362">
        <w:t>нятии той или иной специальной меры необходимо установить срок ее действия и/или указать м</w:t>
      </w:r>
      <w:r w:rsidRPr="00847362">
        <w:t>е</w:t>
      </w:r>
      <w:r w:rsidRPr="00847362">
        <w:t xml:space="preserve">тод определения необходимости в ней. </w:t>
      </w:r>
    </w:p>
    <w:p w:rsidR="00CC5BAD" w:rsidRPr="00847362" w:rsidRDefault="00CC5BAD" w:rsidP="00A23C2D">
      <w:pPr>
        <w:pStyle w:val="SingleTxt"/>
      </w:pPr>
      <w:r w:rsidRPr="00847362">
        <w:t>7.</w:t>
      </w:r>
      <w:r w:rsidRPr="00847362">
        <w:tab/>
        <w:t>В законодательство о выборах в Европейский парламент, Государственное собрание и местные органы власти не было внесено никаких поправок. В соо</w:t>
      </w:r>
      <w:r w:rsidRPr="00847362">
        <w:t>т</w:t>
      </w:r>
      <w:r w:rsidRPr="00847362">
        <w:t xml:space="preserve">ветствии с переходными периодами, предусмотренными в законодательстве о выборах, </w:t>
      </w:r>
      <w:r>
        <w:t xml:space="preserve">предельно </w:t>
      </w:r>
      <w:r w:rsidRPr="00847362">
        <w:t>низкая доля женщин и мужчин в списках кандидатов п</w:t>
      </w:r>
      <w:r w:rsidRPr="00847362">
        <w:t>о</w:t>
      </w:r>
      <w:r w:rsidRPr="00847362">
        <w:t>степенно увеличивалась. В 2010</w:t>
      </w:r>
      <w:r>
        <w:t> году</w:t>
      </w:r>
      <w:r w:rsidRPr="00847362">
        <w:t xml:space="preserve"> на выборах в местные органы власти применялась минимальная 30-процентная квота для представительства как женщин, так и мужчин в списке кандидатов; в 2008 и 2011</w:t>
      </w:r>
      <w:r>
        <w:t> годах</w:t>
      </w:r>
      <w:r w:rsidRPr="00847362">
        <w:t xml:space="preserve"> на выборах в Госуда</w:t>
      </w:r>
      <w:r w:rsidRPr="00847362">
        <w:t>р</w:t>
      </w:r>
      <w:r w:rsidRPr="00847362">
        <w:t>ственное собрание применялась 25-процентная и 35-процентная квота</w:t>
      </w:r>
      <w:r>
        <w:t>,</w:t>
      </w:r>
      <w:r w:rsidRPr="00847362">
        <w:t xml:space="preserve"> соотве</w:t>
      </w:r>
      <w:r w:rsidRPr="00847362">
        <w:t>т</w:t>
      </w:r>
      <w:r w:rsidRPr="00847362">
        <w:t xml:space="preserve">ственно. </w:t>
      </w:r>
    </w:p>
    <w:p w:rsidR="00CC5BAD" w:rsidRPr="00847362" w:rsidRDefault="00CC5BAD" w:rsidP="00A23C2D">
      <w:pPr>
        <w:pStyle w:val="SingleTxt"/>
      </w:pPr>
      <w:r w:rsidRPr="00847362">
        <w:t>8.</w:t>
      </w:r>
      <w:r w:rsidRPr="00847362">
        <w:tab/>
        <w:t>Ряд мер, которые считаются специальными в силу их характера или цели, включаются в программные документы, предназначенные, например, для с</w:t>
      </w:r>
      <w:r w:rsidRPr="00847362">
        <w:t>о</w:t>
      </w:r>
      <w:r w:rsidRPr="00847362">
        <w:t>действия обеспечению занятости, борьбы с безработицей и укрепления соц</w:t>
      </w:r>
      <w:r w:rsidRPr="00847362">
        <w:t>и</w:t>
      </w:r>
      <w:r w:rsidRPr="00847362">
        <w:t>альной интеграции.</w:t>
      </w:r>
    </w:p>
    <w:p w:rsidR="00CC5BAD" w:rsidRDefault="00CC5BAD" w:rsidP="00A23C2D">
      <w:pPr>
        <w:pStyle w:val="SingleTxt"/>
      </w:pPr>
      <w:r w:rsidRPr="00847362">
        <w:t>9.</w:t>
      </w:r>
      <w:r w:rsidRPr="00847362">
        <w:tab/>
        <w:t>В сфере предпринимательства план действий по исполнению Закона о м</w:t>
      </w:r>
      <w:r w:rsidRPr="00847362">
        <w:t>а</w:t>
      </w:r>
      <w:r w:rsidRPr="00847362">
        <w:t>лом бизнесе на период 2012</w:t>
      </w:r>
      <w:r>
        <w:t>–2</w:t>
      </w:r>
      <w:r w:rsidRPr="00847362">
        <w:t>013</w:t>
      </w:r>
      <w:r>
        <w:t> </w:t>
      </w:r>
      <w:r w:rsidRPr="00847362">
        <w:t>годов предусматривал введение ваучеров для женщин с целью совместного финансирования профессиональной подг</w:t>
      </w:r>
      <w:r w:rsidRPr="00847362">
        <w:t>о</w:t>
      </w:r>
      <w:r w:rsidRPr="00847362">
        <w:t xml:space="preserve">товки женщин-предпринимателей и учет общих вопросов и конкретных тем для определенных целевых групп. Его цель заключалась в повышении </w:t>
      </w:r>
      <w:r>
        <w:t>компетен</w:t>
      </w:r>
      <w:r>
        <w:t>т</w:t>
      </w:r>
      <w:r>
        <w:t xml:space="preserve">ности </w:t>
      </w:r>
      <w:r w:rsidRPr="00847362">
        <w:t>женщин в областях, важных для их дальнейшего развития как предпр</w:t>
      </w:r>
      <w:r w:rsidRPr="00847362">
        <w:t>и</w:t>
      </w:r>
      <w:r w:rsidRPr="00847362">
        <w:t>нимателей.</w:t>
      </w:r>
    </w:p>
    <w:p w:rsidR="00CC5BAD" w:rsidRPr="00847362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847362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Default="00CC5BAD" w:rsidP="00A23C2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</w:t>
      </w:r>
      <w:r w:rsidRPr="00847362">
        <w:t>5</w:t>
      </w:r>
      <w:r>
        <w:br/>
      </w:r>
      <w:r w:rsidRPr="00847362">
        <w:t>Искоренение предрассудков и стереотипов</w:t>
      </w:r>
    </w:p>
    <w:p w:rsidR="00CC5BAD" w:rsidRPr="00847362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847362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Default="00CC5BAD" w:rsidP="00A23C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47362">
        <w:t>Просветительская работа по вопросам гендерного равенства</w:t>
      </w:r>
    </w:p>
    <w:p w:rsidR="00CC5BAD" w:rsidRPr="00847362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Pr="00847362" w:rsidRDefault="00CC5BAD" w:rsidP="00A23C2D">
      <w:pPr>
        <w:pStyle w:val="SingleTxt"/>
      </w:pPr>
      <w:r w:rsidRPr="00847362">
        <w:t>10.</w:t>
      </w:r>
      <w:r w:rsidRPr="00847362">
        <w:tab/>
        <w:t xml:space="preserve">Как уже отмечалось в предыдущем докладе, просветительская работа по вопросам гендерного равенства является особой задачей в сфере </w:t>
      </w:r>
      <w:r>
        <w:t>просвещения</w:t>
      </w:r>
      <w:r w:rsidRPr="00847362">
        <w:t xml:space="preserve">, поставленной в </w:t>
      </w:r>
      <w:r>
        <w:t>р</w:t>
      </w:r>
      <w:r w:rsidRPr="00847362">
        <w:t>езолюции о Национальной программе обеспечения равных возможностей для женщин и мужчин на 2005–2013</w:t>
      </w:r>
      <w:r>
        <w:t> годы</w:t>
      </w:r>
      <w:r w:rsidRPr="00847362">
        <w:t>. В рамках этой де</w:t>
      </w:r>
      <w:r w:rsidRPr="00847362">
        <w:t>я</w:t>
      </w:r>
      <w:r w:rsidRPr="00847362">
        <w:t>тельности был проведен целый ряд мероприятий.</w:t>
      </w:r>
    </w:p>
    <w:p w:rsidR="00CC5BAD" w:rsidRPr="00847362" w:rsidRDefault="00CC5BAD" w:rsidP="00A23C2D">
      <w:pPr>
        <w:pStyle w:val="SingleTxt"/>
      </w:pPr>
      <w:r w:rsidRPr="00847362">
        <w:t>11.</w:t>
      </w:r>
      <w:r w:rsidRPr="00847362">
        <w:tab/>
        <w:t>С учетом призыва Европейского социального фонда о выдвижении пре</w:t>
      </w:r>
      <w:r w:rsidRPr="00847362">
        <w:t>д</w:t>
      </w:r>
      <w:r w:rsidRPr="00847362">
        <w:t>ложений по проектам развития социальных и гражданских навыков Учебным центром Равне-на-Корошкем и сетью учебных заведений был реализован дву</w:t>
      </w:r>
      <w:r w:rsidRPr="00847362">
        <w:t>х</w:t>
      </w:r>
      <w:r w:rsidRPr="00847362">
        <w:t>годичный проект (2008</w:t>
      </w:r>
      <w:r>
        <w:t>–</w:t>
      </w:r>
      <w:r w:rsidRPr="00847362">
        <w:t>2010</w:t>
      </w:r>
      <w:r>
        <w:t> годы</w:t>
      </w:r>
      <w:r w:rsidRPr="00847362">
        <w:t>); цель проекта заключалась в анализе обст</w:t>
      </w:r>
      <w:r w:rsidRPr="00847362">
        <w:t>о</w:t>
      </w:r>
      <w:r w:rsidRPr="00847362">
        <w:t>ятельств, положения и ценностей, касающихся гендерного равенства, в распр</w:t>
      </w:r>
      <w:r w:rsidRPr="00847362">
        <w:t>о</w:t>
      </w:r>
      <w:r w:rsidRPr="00847362">
        <w:t>странении информации о стереотипах и в установлении их причин, а также в разработке стратегий борьб</w:t>
      </w:r>
      <w:r>
        <w:t>ы</w:t>
      </w:r>
      <w:r w:rsidRPr="00847362">
        <w:t xml:space="preserve"> со стереотипами. По итогам анализа и иной де</w:t>
      </w:r>
      <w:r w:rsidRPr="00847362">
        <w:t>я</w:t>
      </w:r>
      <w:r w:rsidRPr="00847362">
        <w:t xml:space="preserve">тельности (профессиональная подготовка, собеседования) были разработаны типовые уроки по различным школьным предметам и видам деятельности с учетом гендерных вопросов, был издан сборник документов </w:t>
      </w:r>
      <w:r>
        <w:t>«</w:t>
      </w:r>
      <w:r w:rsidRPr="00847362">
        <w:t>Просветител</w:t>
      </w:r>
      <w:r w:rsidRPr="00847362">
        <w:t>ь</w:t>
      </w:r>
      <w:r w:rsidRPr="00847362">
        <w:t>ская работа по вопросам гендерного равенства</w:t>
      </w:r>
      <w:r>
        <w:t>»</w:t>
      </w:r>
      <w:r w:rsidRPr="00847362">
        <w:t>, а также были представлены предложения и рекомендации относительно включения просветительской р</w:t>
      </w:r>
      <w:r w:rsidRPr="00847362">
        <w:t>а</w:t>
      </w:r>
      <w:r w:rsidRPr="00847362">
        <w:t>боты по вопросам гендерного равенства в программу обучения и подготовки специал</w:t>
      </w:r>
      <w:r w:rsidRPr="00847362">
        <w:t>и</w:t>
      </w:r>
      <w:r w:rsidRPr="00847362">
        <w:t xml:space="preserve">стов в сфере образования. </w:t>
      </w:r>
    </w:p>
    <w:p w:rsidR="00CC5BAD" w:rsidRPr="00847362" w:rsidRDefault="00CC5BAD" w:rsidP="00A23C2D">
      <w:pPr>
        <w:pStyle w:val="SingleTxt"/>
      </w:pPr>
      <w:r w:rsidRPr="00847362">
        <w:t>12.</w:t>
      </w:r>
      <w:r w:rsidRPr="00847362">
        <w:tab/>
        <w:t>В 2009</w:t>
      </w:r>
      <w:r>
        <w:t> году</w:t>
      </w:r>
      <w:r w:rsidRPr="00847362">
        <w:t xml:space="preserve"> в рамках проекта </w:t>
      </w:r>
      <w:r>
        <w:t>«</w:t>
      </w:r>
      <w:r w:rsidRPr="00847362">
        <w:t>Гендерная проблематика и гендерная ди</w:t>
      </w:r>
      <w:r w:rsidRPr="00847362">
        <w:t>с</w:t>
      </w:r>
      <w:r w:rsidRPr="00847362">
        <w:t>криминация</w:t>
      </w:r>
      <w:r>
        <w:t>»</w:t>
      </w:r>
      <w:r w:rsidRPr="00847362">
        <w:t xml:space="preserve"> Национальный институт образования подготовил анализ учебных программ первых трех лет начальной школы по словенскому языку, математ</w:t>
      </w:r>
      <w:r w:rsidRPr="00847362">
        <w:t>и</w:t>
      </w:r>
      <w:r w:rsidRPr="00847362">
        <w:t>ке, введению в природоведение, физическому воспитанию, музыке и экологии, в которых изучались вопросы представленности и включения принципа равных возможностей для женщин и мужчин (в том, что касается написания терминов в мужском и женском роде, целей, содержания и проведения мероприятий в о</w:t>
      </w:r>
      <w:r w:rsidRPr="00847362">
        <w:t>т</w:t>
      </w:r>
      <w:r w:rsidRPr="00847362">
        <w:t xml:space="preserve">ношении обоих полов). </w:t>
      </w:r>
    </w:p>
    <w:p w:rsidR="00CC5BAD" w:rsidRPr="00847362" w:rsidRDefault="00CC5BAD" w:rsidP="00A23C2D">
      <w:pPr>
        <w:pStyle w:val="SingleTxt"/>
      </w:pPr>
      <w:r w:rsidRPr="00847362">
        <w:t>13.</w:t>
      </w:r>
      <w:r w:rsidRPr="00847362">
        <w:tab/>
        <w:t>В 2010 и 2011</w:t>
      </w:r>
      <w:r>
        <w:t> годах</w:t>
      </w:r>
      <w:r w:rsidRPr="00847362">
        <w:t xml:space="preserve"> Управление по вопросам равных возможностей ос</w:t>
      </w:r>
      <w:r w:rsidRPr="00847362">
        <w:t>у</w:t>
      </w:r>
      <w:r w:rsidRPr="00847362">
        <w:t xml:space="preserve">ществило проект </w:t>
      </w:r>
      <w:r>
        <w:t>«</w:t>
      </w:r>
      <w:r w:rsidRPr="00847362">
        <w:t>Равенство в многообразии</w:t>
      </w:r>
      <w:r>
        <w:t>»</w:t>
      </w:r>
      <w:r w:rsidRPr="00847362">
        <w:t xml:space="preserve">; этот проект был совместно профинансирован Европейской комиссией через </w:t>
      </w:r>
      <w:r>
        <w:t>п</w:t>
      </w:r>
      <w:r w:rsidRPr="00847362">
        <w:t xml:space="preserve">рограмму </w:t>
      </w:r>
      <w:r>
        <w:t>«</w:t>
      </w:r>
      <w:r w:rsidRPr="00847362">
        <w:t>Прогресс</w:t>
      </w:r>
      <w:r>
        <w:t>»</w:t>
      </w:r>
      <w:r w:rsidRPr="00847362">
        <w:t xml:space="preserve">, в его рамках был снят учебный художественный фильм для молодежи под названием </w:t>
      </w:r>
      <w:r>
        <w:t>«</w:t>
      </w:r>
      <w:r w:rsidRPr="00847362">
        <w:t>Улыбки</w:t>
      </w:r>
      <w:r>
        <w:t>»</w:t>
      </w:r>
      <w:r w:rsidRPr="00847362">
        <w:t>, в котором рассматривается вопрос о стереотипах, возникающих из-за различных личных характеристик и предрассудков молодежи о разнообр</w:t>
      </w:r>
      <w:r w:rsidRPr="00847362">
        <w:t>а</w:t>
      </w:r>
      <w:r w:rsidRPr="00847362">
        <w:t xml:space="preserve">зии. Этот фильм был разослан во все средние школы Словении вместе с </w:t>
      </w:r>
      <w:r>
        <w:t>вопр</w:t>
      </w:r>
      <w:r>
        <w:t>о</w:t>
      </w:r>
      <w:r>
        <w:t xml:space="preserve">сами для начала </w:t>
      </w:r>
      <w:r w:rsidRPr="00847362">
        <w:t>дискусси</w:t>
      </w:r>
      <w:r>
        <w:t>и</w:t>
      </w:r>
      <w:r w:rsidRPr="00847362">
        <w:t xml:space="preserve"> и дополнительными источниками информации о разнообразии и недискриминации.</w:t>
      </w:r>
    </w:p>
    <w:p w:rsidR="00CC5BAD" w:rsidRPr="00847362" w:rsidRDefault="00CC5BAD" w:rsidP="00A23C2D">
      <w:pPr>
        <w:pStyle w:val="SingleTxt"/>
      </w:pPr>
      <w:r w:rsidRPr="00847362">
        <w:t>14.</w:t>
      </w:r>
      <w:r w:rsidRPr="00847362">
        <w:tab/>
      </w:r>
      <w:r>
        <w:t>Г</w:t>
      </w:r>
      <w:r w:rsidRPr="00847362">
        <w:t>осударственн</w:t>
      </w:r>
      <w:r>
        <w:t xml:space="preserve">ые служащие </w:t>
      </w:r>
      <w:r w:rsidRPr="00847362">
        <w:t xml:space="preserve">проходят </w:t>
      </w:r>
      <w:r>
        <w:t xml:space="preserve">обучение </w:t>
      </w:r>
      <w:r w:rsidRPr="00847362">
        <w:t xml:space="preserve">по вопросам гендерного равенства, прежде всего, участвуя в различных тренингах и </w:t>
      </w:r>
      <w:r>
        <w:t xml:space="preserve">семинарах </w:t>
      </w:r>
      <w:r w:rsidRPr="00847362">
        <w:t>и изучая материалы, публикации и веб-сайты. Учебный центр сотрудников органов ю</w:t>
      </w:r>
      <w:r w:rsidRPr="00847362">
        <w:t>с</w:t>
      </w:r>
      <w:r w:rsidRPr="00847362">
        <w:t>тиции, являющийся ведущим учреждением по подготовке судей, государстве</w:t>
      </w:r>
      <w:r w:rsidRPr="00847362">
        <w:t>н</w:t>
      </w:r>
      <w:r w:rsidRPr="00847362">
        <w:t xml:space="preserve">ных прокуроров и государственных защитников, организует учебные курсы и семинары, посвященные, в </w:t>
      </w:r>
      <w:r>
        <w:t>частности</w:t>
      </w:r>
      <w:r w:rsidRPr="00847362">
        <w:t>, вопросам защиты прав женщин. Анал</w:t>
      </w:r>
      <w:r w:rsidRPr="00847362">
        <w:t>о</w:t>
      </w:r>
      <w:r w:rsidRPr="00847362">
        <w:t>гичные просветительские и учебные программы проводятся также для сотру</w:t>
      </w:r>
      <w:r w:rsidRPr="00847362">
        <w:t>д</w:t>
      </w:r>
      <w:r w:rsidRPr="00847362">
        <w:t xml:space="preserve">ников правоохранительных органов, медицинских работников и персонала центров социальной </w:t>
      </w:r>
      <w:r>
        <w:t>защиты</w:t>
      </w:r>
      <w:r w:rsidRPr="00847362">
        <w:t>.</w:t>
      </w:r>
    </w:p>
    <w:p w:rsidR="00CC5BAD" w:rsidRPr="00847362" w:rsidRDefault="00CC5BAD" w:rsidP="00A23C2D">
      <w:pPr>
        <w:pStyle w:val="SingleTxt"/>
      </w:pPr>
      <w:r w:rsidRPr="00847362">
        <w:t>15.</w:t>
      </w:r>
      <w:r w:rsidRPr="00847362">
        <w:tab/>
        <w:t xml:space="preserve">В период, когда Словения занимала пост </w:t>
      </w:r>
      <w:r>
        <w:t>П</w:t>
      </w:r>
      <w:r w:rsidRPr="00847362">
        <w:t>редседателя</w:t>
      </w:r>
      <w:r>
        <w:t xml:space="preserve"> </w:t>
      </w:r>
      <w:r w:rsidRPr="00847362">
        <w:t>Европейско</w:t>
      </w:r>
      <w:r>
        <w:t>го</w:t>
      </w:r>
      <w:r w:rsidRPr="00847362">
        <w:t xml:space="preserve"> с</w:t>
      </w:r>
      <w:r w:rsidRPr="00847362">
        <w:t>о</w:t>
      </w:r>
      <w:r w:rsidRPr="00847362">
        <w:t>юз</w:t>
      </w:r>
      <w:r>
        <w:t>а</w:t>
      </w:r>
      <w:r w:rsidRPr="00847362">
        <w:t xml:space="preserve"> в 2008</w:t>
      </w:r>
      <w:r>
        <w:t> году</w:t>
      </w:r>
      <w:r w:rsidRPr="00847362">
        <w:t>, Управление по вопросам равных возможностей в сотруднич</w:t>
      </w:r>
      <w:r w:rsidRPr="00847362">
        <w:t>е</w:t>
      </w:r>
      <w:r w:rsidRPr="00847362">
        <w:t xml:space="preserve">стве с Европейской комиссией организовало конференцию </w:t>
      </w:r>
      <w:r>
        <w:t>«</w:t>
      </w:r>
      <w:r w:rsidRPr="00847362">
        <w:t>Борьба с генде</w:t>
      </w:r>
      <w:r w:rsidRPr="00847362">
        <w:t>р</w:t>
      </w:r>
      <w:r w:rsidRPr="00847362">
        <w:t>ными стереотипами: миссия (не)выполнима?</w:t>
      </w:r>
      <w:r>
        <w:t>»</w:t>
      </w:r>
      <w:r w:rsidRPr="00847362">
        <w:t>. На Конференции был проведен обзор прогресса и были выявлены основные проблемы, возникающие на ра</w:t>
      </w:r>
      <w:r w:rsidRPr="00847362">
        <w:t>з</w:t>
      </w:r>
      <w:r w:rsidRPr="00847362">
        <w:t>личных этапах жизни в контексте борьбы с гендерными стереотипами, в час</w:t>
      </w:r>
      <w:r w:rsidRPr="00847362">
        <w:t>т</w:t>
      </w:r>
      <w:r w:rsidRPr="00847362">
        <w:t>ности в сфере образования и профессиональной подготовки, занятости, час</w:t>
      </w:r>
      <w:r w:rsidRPr="00847362">
        <w:t>т</w:t>
      </w:r>
      <w:r w:rsidRPr="00847362">
        <w:t>ной и семейной жизни, участия и принятия решений, а также в средствах ма</w:t>
      </w:r>
      <w:r w:rsidRPr="00847362">
        <w:t>с</w:t>
      </w:r>
      <w:r w:rsidRPr="00847362">
        <w:t>совой информации. Были приняты обязательства в целях содействия разрабо</w:t>
      </w:r>
      <w:r w:rsidRPr="00847362">
        <w:t>т</w:t>
      </w:r>
      <w:r w:rsidRPr="00847362">
        <w:t>ке политики и программ по борьбе с гендерными стереотипами и пропаганде генде</w:t>
      </w:r>
      <w:r w:rsidRPr="00847362">
        <w:t>р</w:t>
      </w:r>
      <w:r w:rsidRPr="00847362">
        <w:t>ного равенства в учебных и подготовительных программах и методиках, включая подготовку по вопросам гендерного равенства и распространение и</w:t>
      </w:r>
      <w:r w:rsidRPr="00847362">
        <w:t>н</w:t>
      </w:r>
      <w:r w:rsidRPr="00847362">
        <w:t xml:space="preserve">формации и знаний об этих вопросах среди преподавателей и учащихся </w:t>
      </w:r>
      <w:r>
        <w:t>в ра</w:t>
      </w:r>
      <w:r>
        <w:t>м</w:t>
      </w:r>
      <w:r>
        <w:t xml:space="preserve">ках </w:t>
      </w:r>
      <w:r w:rsidRPr="00847362">
        <w:t>программ подготовки специалистов в сфере образования.</w:t>
      </w:r>
    </w:p>
    <w:p w:rsidR="00CC5BAD" w:rsidRPr="00847362" w:rsidRDefault="00CC5BAD" w:rsidP="00A23C2D">
      <w:pPr>
        <w:pStyle w:val="SingleTxt"/>
      </w:pPr>
      <w:r w:rsidRPr="00847362">
        <w:t>16.</w:t>
      </w:r>
      <w:r w:rsidRPr="00847362">
        <w:tab/>
        <w:t>Управление по вопросам равных возможностей участвовало в просвет</w:t>
      </w:r>
      <w:r w:rsidRPr="00847362">
        <w:t>и</w:t>
      </w:r>
      <w:r w:rsidRPr="00847362">
        <w:t>тельской работе по вопросам гендерного равенства, перенаправляя различные документы международных, межправительственных и региональных организ</w:t>
      </w:r>
      <w:r w:rsidRPr="00847362">
        <w:t>а</w:t>
      </w:r>
      <w:r w:rsidRPr="00847362">
        <w:t>ций целевым группам и заинтересованным лицам, готовя и выпуская публик</w:t>
      </w:r>
      <w:r w:rsidRPr="00847362">
        <w:t>а</w:t>
      </w:r>
      <w:r w:rsidRPr="00847362">
        <w:t>ции и организуя конференции, дискуссии и встречи за круглым столом.</w:t>
      </w:r>
    </w:p>
    <w:p w:rsidR="00CC5BAD" w:rsidRPr="00847362" w:rsidRDefault="00CC5BAD" w:rsidP="00A23C2D">
      <w:pPr>
        <w:pStyle w:val="SingleTxt"/>
      </w:pPr>
      <w:r w:rsidRPr="00847362">
        <w:t>17.</w:t>
      </w:r>
      <w:r w:rsidRPr="00847362">
        <w:tab/>
        <w:t>Комиссия по поощрению участия женщин в научной деятельности (см.</w:t>
      </w:r>
      <w:r>
        <w:t> </w:t>
      </w:r>
      <w:r w:rsidRPr="00847362">
        <w:t xml:space="preserve">главу </w:t>
      </w:r>
      <w:r>
        <w:t>«</w:t>
      </w:r>
      <w:r w:rsidRPr="00847362">
        <w:t>Общая информация</w:t>
      </w:r>
      <w:r>
        <w:t>»</w:t>
      </w:r>
      <w:r w:rsidRPr="00847362">
        <w:t xml:space="preserve">, (c) </w:t>
      </w:r>
      <w:r>
        <w:t>«</w:t>
      </w:r>
      <w:r w:rsidRPr="00847362">
        <w:t>Учреждения, занимающиеся вопросами обеспечения прав на гендерное равенство и устранения нарушений в связи с запретом на дискриминацию</w:t>
      </w:r>
      <w:r>
        <w:t>»</w:t>
      </w:r>
      <w:r w:rsidRPr="00847362">
        <w:t>) играет важную роль в борьбе со стереотипами и повышении осведомленности о гендерном равенстве в области науки; в своей деятельности она обращает внимание на практику, дискриминирующую же</w:t>
      </w:r>
      <w:r w:rsidRPr="00847362">
        <w:t>н</w:t>
      </w:r>
      <w:r w:rsidRPr="00847362">
        <w:t>щин в области науки, и содействует распространению информации об этих в</w:t>
      </w:r>
      <w:r w:rsidRPr="00847362">
        <w:t>о</w:t>
      </w:r>
      <w:r w:rsidRPr="00847362">
        <w:t>просах. В 2012</w:t>
      </w:r>
      <w:r>
        <w:t> году</w:t>
      </w:r>
      <w:r w:rsidRPr="00847362">
        <w:t xml:space="preserve"> она организовала конференцию </w:t>
      </w:r>
      <w:r>
        <w:t>«</w:t>
      </w:r>
      <w:r w:rsidRPr="00847362">
        <w:t>Неравенство в науке: гендерные, этические и гражданские аспекты</w:t>
      </w:r>
      <w:r>
        <w:t>»</w:t>
      </w:r>
      <w:r w:rsidRPr="00847362">
        <w:t>, а в 2013</w:t>
      </w:r>
      <w:r>
        <w:t xml:space="preserve"> году — </w:t>
      </w:r>
      <w:r w:rsidRPr="00847362">
        <w:t xml:space="preserve">конференцию </w:t>
      </w:r>
      <w:r>
        <w:t>«</w:t>
      </w:r>
      <w:r w:rsidRPr="00847362">
        <w:t>Скрытая дискриминация женщин в науке</w:t>
      </w:r>
      <w:r>
        <w:t>»</w:t>
      </w:r>
      <w:r w:rsidRPr="00847362">
        <w:t xml:space="preserve">. </w:t>
      </w:r>
      <w:smartTag w:uri="urn:schemas-microsoft-com:office:smarttags" w:element="metricconverter">
        <w:smartTagPr>
          <w:attr w:name="ProductID" w:val="2013, a"/>
        </w:smartTagPr>
      </w:smartTag>
    </w:p>
    <w:p w:rsidR="00CC5BAD" w:rsidRPr="00847362" w:rsidRDefault="00CC5BAD" w:rsidP="00A23C2D">
      <w:pPr>
        <w:pStyle w:val="SingleTxt"/>
        <w:spacing w:after="0" w:line="120" w:lineRule="exact"/>
        <w:rPr>
          <w:b/>
          <w:sz w:val="10"/>
        </w:rPr>
      </w:pPr>
    </w:p>
    <w:p w:rsidR="00CC5BAD" w:rsidRDefault="00CC5BAD" w:rsidP="00A23C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47362">
        <w:t>Семейная жизнь</w:t>
      </w:r>
    </w:p>
    <w:p w:rsidR="00CC5BAD" w:rsidRPr="00847362" w:rsidRDefault="00CC5BAD" w:rsidP="00A23C2D">
      <w:pPr>
        <w:pStyle w:val="SingleTxt"/>
        <w:spacing w:after="0" w:line="120" w:lineRule="exact"/>
        <w:rPr>
          <w:sz w:val="10"/>
        </w:rPr>
      </w:pPr>
    </w:p>
    <w:p w:rsidR="00CC5BAD" w:rsidRDefault="00CC5BAD" w:rsidP="00A23C2D">
      <w:pPr>
        <w:pStyle w:val="SingleTxt"/>
      </w:pPr>
      <w:r w:rsidRPr="00847362">
        <w:t>18.</w:t>
      </w:r>
      <w:r w:rsidRPr="00847362">
        <w:tab/>
        <w:t>В 2012</w:t>
      </w:r>
      <w:r>
        <w:t> году</w:t>
      </w:r>
      <w:r w:rsidRPr="00847362">
        <w:t xml:space="preserve"> Министерство труда, по вопросам семьи, социальных дел и равных возможностей поручило провести исследование</w:t>
      </w:r>
      <w:r w:rsidRPr="007E0CCC">
        <w:rPr>
          <w:rStyle w:val="FootnoteReference"/>
        </w:rPr>
        <w:footnoteReference w:id="14"/>
      </w:r>
      <w:r w:rsidRPr="00847362">
        <w:t xml:space="preserve"> по вопросу о том, как обеспечить соблюдение принципа гендерного раве</w:t>
      </w:r>
      <w:r w:rsidRPr="00847362">
        <w:t>н</w:t>
      </w:r>
      <w:r w:rsidRPr="00847362">
        <w:t>ства в семье и в рамках партнерских отношений. Исследование показало, что повседневн</w:t>
      </w:r>
      <w:r>
        <w:t xml:space="preserve">ой </w:t>
      </w:r>
      <w:r w:rsidRPr="00847362">
        <w:t>работ</w:t>
      </w:r>
      <w:r>
        <w:t>ой</w:t>
      </w:r>
      <w:r w:rsidRPr="00847362">
        <w:t xml:space="preserve"> по дому </w:t>
      </w:r>
      <w:r>
        <w:t xml:space="preserve">занимаются в основном </w:t>
      </w:r>
      <w:r w:rsidRPr="00847362">
        <w:t>женщин</w:t>
      </w:r>
      <w:r>
        <w:t>ы</w:t>
      </w:r>
      <w:r w:rsidRPr="00847362">
        <w:t xml:space="preserve"> (более чем в двух третях случаев</w:t>
      </w:r>
      <w:r>
        <w:t xml:space="preserve">), — </w:t>
      </w:r>
      <w:r w:rsidRPr="00847362">
        <w:t xml:space="preserve">женщины готовят еду, моют посуду или загружают посудомоечную машину, стирают, </w:t>
      </w:r>
      <w:r>
        <w:t>занимаются домашней уборкой</w:t>
      </w:r>
      <w:r w:rsidRPr="00847362">
        <w:t xml:space="preserve"> и гладят гораздо чаще, чем мужчины или чем они делают это вместе. Более сложные обязанности по дому распред</w:t>
      </w:r>
      <w:r w:rsidRPr="00847362">
        <w:t>е</w:t>
      </w:r>
      <w:r w:rsidRPr="00847362">
        <w:t>ляются более равномерно: в основном мужчины занимаются мелкими ремон</w:t>
      </w:r>
      <w:r w:rsidRPr="00847362">
        <w:t>т</w:t>
      </w:r>
      <w:r w:rsidRPr="00847362">
        <w:t>ными работами в квартире или доме, уходом за территорией вокруг дома и а</w:t>
      </w:r>
      <w:r w:rsidRPr="00847362">
        <w:t>в</w:t>
      </w:r>
      <w:r w:rsidRPr="00847362">
        <w:t>томобилем; садоводством оба партнера занимаются в одинаковой степени; п</w:t>
      </w:r>
      <w:r w:rsidRPr="00847362">
        <w:t>о</w:t>
      </w:r>
      <w:r w:rsidRPr="00847362">
        <w:t>чти в двух третях случаев пары вместе принимают решения, касающиеся д</w:t>
      </w:r>
      <w:r w:rsidRPr="00847362">
        <w:t>и</w:t>
      </w:r>
      <w:r w:rsidRPr="00847362">
        <w:t>зайна интерьера дома и внутренней отделки и/или строительства или ремо</w:t>
      </w:r>
      <w:r w:rsidRPr="00847362">
        <w:t>н</w:t>
      </w:r>
      <w:r w:rsidRPr="00847362">
        <w:t>та дома; в противном случае мужчины сами принимают решения по этим вопр</w:t>
      </w:r>
      <w:r w:rsidRPr="00847362">
        <w:t>о</w:t>
      </w:r>
      <w:r w:rsidRPr="00847362">
        <w:t>сам примерно в пять раз чаще, чем женщины. Большинство решений в повс</w:t>
      </w:r>
      <w:r w:rsidRPr="00847362">
        <w:t>е</w:t>
      </w:r>
      <w:r w:rsidRPr="00847362">
        <w:t>дневной жизни пар принима</w:t>
      </w:r>
      <w:r>
        <w:t>е</w:t>
      </w:r>
      <w:r w:rsidRPr="00847362">
        <w:t>тся ими совместно (пользование автомобилем, составление меню на праздники, выбор к</w:t>
      </w:r>
      <w:r>
        <w:t>о</w:t>
      </w:r>
      <w:r w:rsidRPr="00847362">
        <w:t>мпании для проведения свободного времени, способы провести свободное время)</w:t>
      </w:r>
      <w:r>
        <w:t xml:space="preserve"> — </w:t>
      </w:r>
      <w:r w:rsidRPr="00847362">
        <w:t>за исключением двух вопр</w:t>
      </w:r>
      <w:r w:rsidRPr="00847362">
        <w:t>о</w:t>
      </w:r>
      <w:r w:rsidRPr="00847362">
        <w:t xml:space="preserve">сов, которые чаще решают женщины: когда пришло время </w:t>
      </w:r>
      <w:r>
        <w:t>заниматься дома</w:t>
      </w:r>
      <w:r>
        <w:t>ш</w:t>
      </w:r>
      <w:r>
        <w:t xml:space="preserve">ней </w:t>
      </w:r>
      <w:r w:rsidRPr="00847362">
        <w:t>уборк</w:t>
      </w:r>
      <w:r>
        <w:t>ой</w:t>
      </w:r>
      <w:r w:rsidRPr="00847362">
        <w:t xml:space="preserve"> и что приготовить на ужин. Были также выявлены некоторые ст</w:t>
      </w:r>
      <w:r w:rsidRPr="00847362">
        <w:t>е</w:t>
      </w:r>
      <w:r w:rsidRPr="00847362">
        <w:t>реотипы в отношении обязанностей, связанных с детьми. В тех случаях, когда пары не выполняют эти обязанности вместе, женщины чаще, чем мужчины</w:t>
      </w:r>
      <w:r>
        <w:t>,</w:t>
      </w:r>
      <w:r w:rsidRPr="00847362">
        <w:t xml:space="preserve"> играют и общаются с детьми, водят их к врачу, одевают их, решают админ</w:t>
      </w:r>
      <w:r w:rsidRPr="00847362">
        <w:t>и</w:t>
      </w:r>
      <w:r w:rsidRPr="00847362">
        <w:t>стративные вопросы, касающи</w:t>
      </w:r>
      <w:r>
        <w:t>е</w:t>
      </w:r>
      <w:r w:rsidRPr="00847362">
        <w:t>ся детей, организуют уход за детьми в чрезв</w:t>
      </w:r>
      <w:r w:rsidRPr="00847362">
        <w:t>ы</w:t>
      </w:r>
      <w:r w:rsidRPr="00847362">
        <w:t>чайных ситуациях и транспортировку детей в места проведения досуговых м</w:t>
      </w:r>
      <w:r w:rsidRPr="00847362">
        <w:t>е</w:t>
      </w:r>
      <w:r w:rsidRPr="00847362">
        <w:t>роприятий. Согласно результатам исследования, большинство пар, живущих вместе (61,4</w:t>
      </w:r>
      <w:r>
        <w:t> процента</w:t>
      </w:r>
      <w:r w:rsidRPr="00847362">
        <w:t>), объединяет свои доходы и управляет ими совместно. В противном случае ипотеку в большинстве случаев выплачивают мужчины (40,8</w:t>
      </w:r>
      <w:r>
        <w:t> процента</w:t>
      </w:r>
      <w:r w:rsidRPr="00847362">
        <w:t>), как и автомобильные (49</w:t>
      </w:r>
      <w:r>
        <w:t> процентов</w:t>
      </w:r>
      <w:r w:rsidRPr="00847362">
        <w:t>) и потребительские кр</w:t>
      </w:r>
      <w:r w:rsidRPr="00847362">
        <w:t>е</w:t>
      </w:r>
      <w:r w:rsidRPr="00847362">
        <w:t>диты (46</w:t>
      </w:r>
      <w:r>
        <w:t> процентов</w:t>
      </w:r>
      <w:r w:rsidRPr="00847362">
        <w:t>). Крупные жилищные расходы (ежемесячные расходы на жилье, существенные расходы на жилье и расходы на капитальный или косм</w:t>
      </w:r>
      <w:r w:rsidRPr="00847362">
        <w:t>е</w:t>
      </w:r>
      <w:r w:rsidRPr="00847362">
        <w:t>тический ремонт), мелкие домашние расходы (мобильная связь, Интернет, п</w:t>
      </w:r>
      <w:r w:rsidRPr="00847362">
        <w:t>и</w:t>
      </w:r>
      <w:r w:rsidRPr="00847362">
        <w:t>тание, бытовая техника) и расходы на семейные праздники и/или поездки на равных условиях покрываются большинством пар, которые не объединяют свои доходы. В большинстве случаев расходы на детей также равномерно ра</w:t>
      </w:r>
      <w:r w:rsidRPr="00847362">
        <w:t>с</w:t>
      </w:r>
      <w:r w:rsidRPr="00847362">
        <w:t>пределяются между партнерами, не объединяющими свои финансы. Если эти расходы оплачивает один из родителей, то в большинстве случаев речь идет о женщине (расходы на детский сад, покупку вещей, необходимых для школы, и другие затраты на школу, расходы на услуги няни в случае необходимости, п</w:t>
      </w:r>
      <w:r w:rsidRPr="00847362">
        <w:t>о</w:t>
      </w:r>
      <w:r w:rsidRPr="00847362">
        <w:t>купку де</w:t>
      </w:r>
      <w:r w:rsidRPr="00847362">
        <w:t>т</w:t>
      </w:r>
      <w:r w:rsidRPr="00847362">
        <w:t>ской одежды). Досуговые мероприятия детей являются исключением, они несколько чаще оплачиваются отцами. В большинстве случаев заявления на получение детских пособий, пособий на содержание детей, уменьшение суммы оплаты детских садов и пособий по уходу за ребенком подают женщ</w:t>
      </w:r>
      <w:r w:rsidRPr="00847362">
        <w:t>и</w:t>
      </w:r>
      <w:r w:rsidRPr="00847362">
        <w:t>ны; детские пособия получали практически две пятых всех домашних х</w:t>
      </w:r>
      <w:r w:rsidRPr="00847362">
        <w:t>о</w:t>
      </w:r>
      <w:r w:rsidRPr="00847362">
        <w:t>зяйств, участвовавших в исследовании, пособия на содержание ребенка</w:t>
      </w:r>
      <w:r>
        <w:t xml:space="preserve"> — </w:t>
      </w:r>
      <w:r w:rsidRPr="00847362">
        <w:t>п</w:t>
      </w:r>
      <w:r w:rsidRPr="00847362">
        <w:t>о</w:t>
      </w:r>
      <w:r w:rsidRPr="00847362">
        <w:t>чти одна двадцатая часть респондентов; заявления на уменьшение суммы опл</w:t>
      </w:r>
      <w:r w:rsidRPr="00847362">
        <w:t>а</w:t>
      </w:r>
      <w:r w:rsidRPr="00847362">
        <w:t>ты детских садов были поданы более одной десятой домашних хозяйств, а п</w:t>
      </w:r>
      <w:r w:rsidRPr="00847362">
        <w:t>о</w:t>
      </w:r>
      <w:r w:rsidRPr="00847362">
        <w:t>собия по уходу за ребенком</w:t>
      </w:r>
      <w:r>
        <w:t xml:space="preserve"> — </w:t>
      </w:r>
      <w:r w:rsidRPr="00847362">
        <w:t xml:space="preserve">немногим более </w:t>
      </w:r>
      <w:r>
        <w:t>одного процента</w:t>
      </w:r>
      <w:r w:rsidRPr="00847362">
        <w:t xml:space="preserve"> всех лиц, имеющих детей.</w:t>
      </w:r>
    </w:p>
    <w:p w:rsidR="00D149C3" w:rsidRPr="00D149C3" w:rsidRDefault="00D149C3" w:rsidP="00D149C3">
      <w:pPr>
        <w:pStyle w:val="SingleTxt"/>
        <w:spacing w:after="0" w:line="120" w:lineRule="exact"/>
        <w:rPr>
          <w:sz w:val="10"/>
        </w:rPr>
      </w:pPr>
    </w:p>
    <w:p w:rsidR="00D149C3" w:rsidRPr="00873458" w:rsidRDefault="00D149C3" w:rsidP="00D31446">
      <w:pPr>
        <w:pStyle w:val="SingleTxt"/>
        <w:rPr>
          <w:b/>
        </w:rPr>
      </w:pPr>
      <w:r w:rsidRPr="00873458">
        <w:rPr>
          <w:b/>
        </w:rPr>
        <w:t>Насилие в отношении женщин и насилие в семье</w:t>
      </w:r>
    </w:p>
    <w:p w:rsidR="00D149C3" w:rsidRPr="00873458" w:rsidRDefault="00D149C3" w:rsidP="00D31446">
      <w:pPr>
        <w:pStyle w:val="SingleTxt"/>
      </w:pPr>
      <w:r w:rsidRPr="00873458">
        <w:t>19.</w:t>
      </w:r>
      <w:r w:rsidRPr="00873458">
        <w:tab/>
        <w:t>Со времени представления предыдущего доклада на законодательном и имплементационном уровнях были приняты важные меры по борьбе с насил</w:t>
      </w:r>
      <w:r w:rsidRPr="00873458">
        <w:t>и</w:t>
      </w:r>
      <w:r w:rsidRPr="00873458">
        <w:t>ем в отношении женщин и насилием в семье.</w:t>
      </w:r>
    </w:p>
    <w:p w:rsidR="00D149C3" w:rsidRPr="00873458" w:rsidRDefault="00D149C3" w:rsidP="00D31446">
      <w:pPr>
        <w:pStyle w:val="SingleTxt"/>
      </w:pPr>
      <w:r w:rsidRPr="00873458">
        <w:t>20.</w:t>
      </w:r>
      <w:r w:rsidRPr="00873458">
        <w:tab/>
        <w:t>В 2008</w:t>
      </w:r>
      <w:r>
        <w:rPr>
          <w:lang w:val="en-US"/>
        </w:rPr>
        <w:t> </w:t>
      </w:r>
      <w:r w:rsidRPr="00873458">
        <w:t xml:space="preserve">году был принят закон о предупреждении насилия в семье; </w:t>
      </w:r>
      <w:r>
        <w:t xml:space="preserve">в нем были </w:t>
      </w:r>
      <w:r w:rsidRPr="00873458">
        <w:t>определен</w:t>
      </w:r>
      <w:r>
        <w:t>ы</w:t>
      </w:r>
      <w:r w:rsidRPr="00873458">
        <w:t xml:space="preserve"> различны</w:t>
      </w:r>
      <w:r>
        <w:t>е</w:t>
      </w:r>
      <w:r w:rsidRPr="00873458">
        <w:t xml:space="preserve"> форм</w:t>
      </w:r>
      <w:r>
        <w:t>ы</w:t>
      </w:r>
      <w:r w:rsidRPr="00873458">
        <w:t xml:space="preserve"> насилия в семье</w:t>
      </w:r>
      <w:r>
        <w:t xml:space="preserve"> и </w:t>
      </w:r>
      <w:r w:rsidRPr="00873458">
        <w:t>роль, задачи, сети и с</w:t>
      </w:r>
      <w:r w:rsidRPr="00873458">
        <w:t>о</w:t>
      </w:r>
      <w:r w:rsidRPr="00873458">
        <w:t>трудничество различных государственных органов и неправительственных о</w:t>
      </w:r>
      <w:r w:rsidRPr="00873458">
        <w:t>р</w:t>
      </w:r>
      <w:r w:rsidRPr="00873458">
        <w:t>ганизаций в борьбе с насилием в семье</w:t>
      </w:r>
      <w:r>
        <w:t xml:space="preserve">, </w:t>
      </w:r>
      <w:r w:rsidRPr="00873458">
        <w:t>также меры по защите жертв насилия в семье. На основании статьи 11 вышеупомянутого закона в 2009</w:t>
      </w:r>
      <w:r>
        <w:t> </w:t>
      </w:r>
      <w:r w:rsidRPr="00873458">
        <w:t>году была пр</w:t>
      </w:r>
      <w:r w:rsidRPr="00873458">
        <w:t>и</w:t>
      </w:r>
      <w:r w:rsidRPr="00873458">
        <w:t>нята резолюция о национальной программе предотвращения насилия в семье на 2009</w:t>
      </w:r>
      <w:r>
        <w:t>–</w:t>
      </w:r>
      <w:r w:rsidRPr="00873458">
        <w:t>2014</w:t>
      </w:r>
      <w:r>
        <w:t> </w:t>
      </w:r>
      <w:r w:rsidRPr="00873458">
        <w:t>годы; в ней указаны цели, меры и ключевые органы, необход</w:t>
      </w:r>
      <w:r w:rsidRPr="00873458">
        <w:t>и</w:t>
      </w:r>
      <w:r w:rsidRPr="00873458">
        <w:t>мые для осуществления стратегий предупреждения и сокращения масштабов насилия в семье. Задачи и меропр</w:t>
      </w:r>
      <w:r w:rsidRPr="00873458">
        <w:t>и</w:t>
      </w:r>
      <w:r w:rsidRPr="00873458">
        <w:t>ятия, необходимые для достижения целей и осуществления конкретных мер</w:t>
      </w:r>
      <w:r>
        <w:t>,</w:t>
      </w:r>
      <w:r w:rsidRPr="00873458">
        <w:t xml:space="preserve"> были определены в двухгодичных планах де</w:t>
      </w:r>
      <w:r w:rsidRPr="00873458">
        <w:t>й</w:t>
      </w:r>
      <w:r w:rsidRPr="00873458">
        <w:t xml:space="preserve">ствий. В настоящий момент идет осуществление второго плана действий, </w:t>
      </w:r>
      <w:r>
        <w:t>ра</w:t>
      </w:r>
      <w:r>
        <w:t>с</w:t>
      </w:r>
      <w:r>
        <w:t xml:space="preserve">считанного </w:t>
      </w:r>
      <w:r w:rsidRPr="00873458">
        <w:t>на период 2012</w:t>
      </w:r>
      <w:r>
        <w:t>–</w:t>
      </w:r>
      <w:r w:rsidRPr="00873458">
        <w:t>2013</w:t>
      </w:r>
      <w:r>
        <w:t> </w:t>
      </w:r>
      <w:r w:rsidRPr="00873458">
        <w:t>годов; в нем основное внимание уделяется повышению качества услуг для всех пользователей и обеспечению максимал</w:t>
      </w:r>
      <w:r w:rsidRPr="00873458">
        <w:t>ь</w:t>
      </w:r>
      <w:r w:rsidRPr="00873458">
        <w:t>но возможной координации действий компетентных органов и служб. Пров</w:t>
      </w:r>
      <w:r w:rsidRPr="00873458">
        <w:t>е</w:t>
      </w:r>
      <w:r w:rsidRPr="00873458">
        <w:t>денные мероприятия показали, что межведомственная интеграция меропри</w:t>
      </w:r>
      <w:r w:rsidRPr="00873458">
        <w:t>я</w:t>
      </w:r>
      <w:r w:rsidRPr="00873458">
        <w:t>тий в рамках закона о предупреждении насилия в семье, объединяющая все д</w:t>
      </w:r>
      <w:r w:rsidRPr="00873458">
        <w:t>и</w:t>
      </w:r>
      <w:r w:rsidRPr="00873458">
        <w:t xml:space="preserve">рективные и программные органы, занимающиеся разработкой политики и программ, </w:t>
      </w:r>
      <w:r>
        <w:t xml:space="preserve">имеет </w:t>
      </w:r>
      <w:r w:rsidRPr="00873458">
        <w:t>ключев</w:t>
      </w:r>
      <w:r>
        <w:t xml:space="preserve">ое значение для </w:t>
      </w:r>
      <w:r w:rsidRPr="00873458">
        <w:t xml:space="preserve">координации и профессионального </w:t>
      </w:r>
      <w:r>
        <w:t xml:space="preserve">дискурса </w:t>
      </w:r>
      <w:r w:rsidRPr="00873458">
        <w:t>в целях повышения эффективности мер и снижения распростране</w:t>
      </w:r>
      <w:r w:rsidRPr="00873458">
        <w:t>н</w:t>
      </w:r>
      <w:r w:rsidRPr="00873458">
        <w:t>ности насилия в семье и общ</w:t>
      </w:r>
      <w:r w:rsidRPr="00873458">
        <w:t>е</w:t>
      </w:r>
      <w:r w:rsidRPr="00873458">
        <w:t>стве в целом.</w:t>
      </w:r>
    </w:p>
    <w:p w:rsidR="00D149C3" w:rsidRPr="00873458" w:rsidRDefault="00D149C3" w:rsidP="00D31446">
      <w:pPr>
        <w:pStyle w:val="SingleTxt"/>
      </w:pPr>
      <w:r w:rsidRPr="00873458">
        <w:t>21.</w:t>
      </w:r>
      <w:r w:rsidRPr="00873458">
        <w:tab/>
        <w:t>На основе закона о предупреждении насилия в семье были приняты чет</w:t>
      </w:r>
      <w:r w:rsidRPr="00873458">
        <w:t>ы</w:t>
      </w:r>
      <w:r w:rsidRPr="00873458">
        <w:t>ре подзаконных нормативных акта: правила организации и работы многоди</w:t>
      </w:r>
      <w:r w:rsidRPr="00873458">
        <w:t>с</w:t>
      </w:r>
      <w:r w:rsidRPr="00873458">
        <w:t>циплинарных групп и региональных служб и деятельности центров социал</w:t>
      </w:r>
      <w:r w:rsidRPr="00873458">
        <w:t>ь</w:t>
      </w:r>
      <w:r w:rsidRPr="00873458">
        <w:t>ной помощи в борьбе с бытовым насилием, правила сотрудничества между о</w:t>
      </w:r>
      <w:r w:rsidRPr="00873458">
        <w:t>р</w:t>
      </w:r>
      <w:r w:rsidRPr="00873458">
        <w:t>ганами полиции и другими органами в области выявления и предотвращения бытового насилия, правила</w:t>
      </w:r>
      <w:r>
        <w:t xml:space="preserve">, касающиеся </w:t>
      </w:r>
      <w:r w:rsidRPr="00873458">
        <w:t>порядк</w:t>
      </w:r>
      <w:r>
        <w:t xml:space="preserve">а, </w:t>
      </w:r>
      <w:r w:rsidRPr="00873458">
        <w:t xml:space="preserve">оказания помощи в случаях бытового насилия </w:t>
      </w:r>
      <w:r>
        <w:t xml:space="preserve">при </w:t>
      </w:r>
      <w:r w:rsidRPr="00873458">
        <w:t>осуществлении медико-санитарных мероприятий</w:t>
      </w:r>
      <w:r>
        <w:t>,</w:t>
      </w:r>
      <w:r w:rsidRPr="00873458">
        <w:t xml:space="preserve"> и пр</w:t>
      </w:r>
      <w:r w:rsidRPr="00873458">
        <w:t>а</w:t>
      </w:r>
      <w:r w:rsidRPr="00873458">
        <w:t>вила оказания помощи в случаях бытового насилия для учебных заведений. Кроме того, были подготовлены различные инструкции и руководящие при</w:t>
      </w:r>
      <w:r w:rsidRPr="00873458">
        <w:t>н</w:t>
      </w:r>
      <w:r w:rsidRPr="00873458">
        <w:t xml:space="preserve">ципы, касающиеся </w:t>
      </w:r>
      <w:r>
        <w:t xml:space="preserve">деятельности </w:t>
      </w:r>
      <w:r w:rsidRPr="00873458">
        <w:t>учреждений, занимающихся вопросами бор</w:t>
      </w:r>
      <w:r w:rsidRPr="00873458">
        <w:t>ь</w:t>
      </w:r>
      <w:r w:rsidRPr="00873458">
        <w:t xml:space="preserve">бы с насилием в семье. В правилах </w:t>
      </w:r>
      <w:r>
        <w:t xml:space="preserve">конкретно обозначается порядок </w:t>
      </w:r>
      <w:r w:rsidRPr="00873458">
        <w:t>действий учреждений при рассмотрении случаев насилия в семье с целью увязки мер различных министерств и обеспечения эффективности мероприятий по сокр</w:t>
      </w:r>
      <w:r w:rsidRPr="00873458">
        <w:t>а</w:t>
      </w:r>
      <w:r w:rsidRPr="00873458">
        <w:t>щению масштабов насилия в семье на уровне выявления и предотвращения.</w:t>
      </w:r>
    </w:p>
    <w:p w:rsidR="00D149C3" w:rsidRPr="00873458" w:rsidRDefault="00D149C3" w:rsidP="00D31446">
      <w:pPr>
        <w:pStyle w:val="SingleTxt"/>
      </w:pPr>
      <w:r w:rsidRPr="00873458">
        <w:t>22.</w:t>
      </w:r>
      <w:r w:rsidRPr="00873458">
        <w:tab/>
        <w:t xml:space="preserve">В 2008 году был принят новый </w:t>
      </w:r>
      <w:r>
        <w:t>У</w:t>
      </w:r>
      <w:r w:rsidRPr="00873458">
        <w:t xml:space="preserve">головный кодекс; он ввел определение уголовного преступления в </w:t>
      </w:r>
      <w:r>
        <w:t xml:space="preserve">виде </w:t>
      </w:r>
      <w:r w:rsidRPr="00873458">
        <w:t xml:space="preserve">насилия в семье, отсутствовавшее в ранее </w:t>
      </w:r>
      <w:r>
        <w:t xml:space="preserve">применявшемся </w:t>
      </w:r>
      <w:r w:rsidRPr="00873458">
        <w:t>кодексе, о котором сообщалось в четвертом периодическом докладе. Статья</w:t>
      </w:r>
      <w:r>
        <w:t> </w:t>
      </w:r>
      <w:r w:rsidRPr="00873458">
        <w:t xml:space="preserve">191 </w:t>
      </w:r>
      <w:r>
        <w:t>У</w:t>
      </w:r>
      <w:r w:rsidRPr="00873458">
        <w:t xml:space="preserve">головного кодекса предусматривает, что </w:t>
      </w:r>
      <w:r>
        <w:t>«</w:t>
      </w:r>
      <w:r w:rsidRPr="00873458">
        <w:t>любой из чл</w:t>
      </w:r>
      <w:r w:rsidRPr="00873458">
        <w:t>е</w:t>
      </w:r>
      <w:r w:rsidRPr="00873458">
        <w:t xml:space="preserve">нов семьи, который жестоко обращается с другим членом семьи, </w:t>
      </w:r>
      <w:r>
        <w:t xml:space="preserve">наносит ей/ему побои или в любой </w:t>
      </w:r>
      <w:r w:rsidRPr="00873458">
        <w:t>иной форме причиняет ей/ему боль</w:t>
      </w:r>
      <w:r>
        <w:t>,</w:t>
      </w:r>
      <w:r w:rsidRPr="00873458">
        <w:t xml:space="preserve"> или унижает </w:t>
      </w:r>
      <w:r>
        <w:t xml:space="preserve">ее/его </w:t>
      </w:r>
      <w:r w:rsidRPr="00873458">
        <w:t xml:space="preserve">достоинство, напрямую угрожает ее/его жизни </w:t>
      </w:r>
      <w:r>
        <w:t xml:space="preserve">или нанесением ей/ему увечья, </w:t>
      </w:r>
      <w:r w:rsidRPr="00873458">
        <w:t>или угрожает выселить ее/его из места совместного проживания</w:t>
      </w:r>
      <w:r>
        <w:t>,</w:t>
      </w:r>
      <w:r w:rsidRPr="00873458">
        <w:t xml:space="preserve"> или любым иным образом ограничивает ее/его свободу передвижения, преследует ее/его, принуждает ее/его </w:t>
      </w:r>
      <w:r>
        <w:t xml:space="preserve">к труду </w:t>
      </w:r>
      <w:r w:rsidRPr="00873458">
        <w:t>или отказ</w:t>
      </w:r>
      <w:r>
        <w:t xml:space="preserve">у </w:t>
      </w:r>
      <w:r w:rsidRPr="00873458">
        <w:t xml:space="preserve">от </w:t>
      </w:r>
      <w:r>
        <w:t xml:space="preserve">него, </w:t>
      </w:r>
      <w:r w:rsidRPr="00873458">
        <w:t>или каким-либо иным о</w:t>
      </w:r>
      <w:r w:rsidRPr="00873458">
        <w:t>б</w:t>
      </w:r>
      <w:r w:rsidRPr="00873458">
        <w:t>разом ставит ее/его в подчиненное положение путем агрессивного о</w:t>
      </w:r>
      <w:r>
        <w:t>г</w:t>
      </w:r>
      <w:r w:rsidRPr="00873458">
        <w:t>ранич</w:t>
      </w:r>
      <w:r w:rsidRPr="00873458">
        <w:t>е</w:t>
      </w:r>
      <w:r w:rsidRPr="00873458">
        <w:t xml:space="preserve">ния ее/его прав, </w:t>
      </w:r>
      <w:r>
        <w:t xml:space="preserve">приговаривается к </w:t>
      </w:r>
      <w:r w:rsidRPr="00873458">
        <w:t>тюремн</w:t>
      </w:r>
      <w:r>
        <w:t>о</w:t>
      </w:r>
      <w:r w:rsidRPr="00873458">
        <w:t>м</w:t>
      </w:r>
      <w:r>
        <w:t>у</w:t>
      </w:r>
      <w:r w:rsidRPr="00873458">
        <w:t xml:space="preserve"> заключени</w:t>
      </w:r>
      <w:r>
        <w:t xml:space="preserve">ю </w:t>
      </w:r>
      <w:r w:rsidRPr="00873458">
        <w:t xml:space="preserve">на срок до пяти лет. Эта статья применима также к насилию </w:t>
      </w:r>
      <w:r>
        <w:t xml:space="preserve">при </w:t>
      </w:r>
      <w:r w:rsidRPr="00873458">
        <w:t>любых других постоянных отн</w:t>
      </w:r>
      <w:r w:rsidRPr="00873458">
        <w:t>о</w:t>
      </w:r>
      <w:r w:rsidRPr="00873458">
        <w:t>шени</w:t>
      </w:r>
      <w:r>
        <w:t>ях</w:t>
      </w:r>
      <w:r w:rsidRPr="00873458">
        <w:t xml:space="preserve">. Если вышеупомянутое поведение направлено </w:t>
      </w:r>
      <w:r>
        <w:t xml:space="preserve">против </w:t>
      </w:r>
      <w:r w:rsidRPr="00873458">
        <w:t>л</w:t>
      </w:r>
      <w:r w:rsidRPr="00873458">
        <w:t>и</w:t>
      </w:r>
      <w:r w:rsidRPr="00873458">
        <w:t>ца, с которым нарушитель ранее проживал в семейн</w:t>
      </w:r>
      <w:r>
        <w:t xml:space="preserve">ом или ином </w:t>
      </w:r>
      <w:r w:rsidRPr="00873458">
        <w:t>постоянн</w:t>
      </w:r>
      <w:r>
        <w:t xml:space="preserve">ом </w:t>
      </w:r>
      <w:r w:rsidRPr="00873458">
        <w:t>партнерс</w:t>
      </w:r>
      <w:r>
        <w:t>тве</w:t>
      </w:r>
      <w:r w:rsidRPr="00873458">
        <w:t>, и такое поведение связано с этим партнерс</w:t>
      </w:r>
      <w:r>
        <w:t xml:space="preserve">твом, </w:t>
      </w:r>
      <w:r w:rsidRPr="00873458">
        <w:t>нарушитель пригов</w:t>
      </w:r>
      <w:r>
        <w:t xml:space="preserve">аривается </w:t>
      </w:r>
      <w:r w:rsidRPr="00873458">
        <w:t xml:space="preserve">к лишению свободы на срок до трех лет. В соответствии с новым </w:t>
      </w:r>
      <w:r>
        <w:t>У</w:t>
      </w:r>
      <w:r w:rsidRPr="00873458">
        <w:t>головным к</w:t>
      </w:r>
      <w:r w:rsidRPr="00873458">
        <w:t>о</w:t>
      </w:r>
      <w:r w:rsidRPr="00873458">
        <w:t>дексом было изменено положение о сроках исковой давности в отношении преступлений против брака, семьи и молодежи и уголовных преступлений пр</w:t>
      </w:r>
      <w:r w:rsidRPr="00873458">
        <w:t>о</w:t>
      </w:r>
      <w:r w:rsidRPr="00873458">
        <w:t>тив сексуальной неприкосновенности (статья</w:t>
      </w:r>
      <w:r>
        <w:t> </w:t>
      </w:r>
      <w:r w:rsidRPr="00873458">
        <w:t>90). Сроки исковой давности б</w:t>
      </w:r>
      <w:r w:rsidRPr="00873458">
        <w:t>ы</w:t>
      </w:r>
      <w:r w:rsidRPr="00873458">
        <w:t xml:space="preserve">ли </w:t>
      </w:r>
      <w:r>
        <w:t>увеличены. П</w:t>
      </w:r>
      <w:r w:rsidRPr="00873458">
        <w:t>ринятый в 2011</w:t>
      </w:r>
      <w:r>
        <w:t> </w:t>
      </w:r>
      <w:r w:rsidRPr="00873458">
        <w:t>году</w:t>
      </w:r>
      <w:r>
        <w:t xml:space="preserve"> </w:t>
      </w:r>
      <w:r w:rsidRPr="00873458">
        <w:t>Закон</w:t>
      </w:r>
      <w:r>
        <w:t xml:space="preserve">, вносящий </w:t>
      </w:r>
      <w:r w:rsidRPr="00873458">
        <w:t>поправк</w:t>
      </w:r>
      <w:r>
        <w:t>и</w:t>
      </w:r>
      <w:r w:rsidRPr="00873458">
        <w:t xml:space="preserve"> в уголовный кодекс, содержит определение уголовного преступления в виде угрозы. В сл</w:t>
      </w:r>
      <w:r w:rsidRPr="00873458">
        <w:t>у</w:t>
      </w:r>
      <w:r w:rsidRPr="00873458">
        <w:t>чаях угрозы, за которую назначается наказание в виде штрафа или до трех лет тюремного заключения, уголовное преследование возбуждае</w:t>
      </w:r>
      <w:r w:rsidRPr="00873458">
        <w:t>т</w:t>
      </w:r>
      <w:r w:rsidRPr="00873458">
        <w:t>ся по заявлению потерпевшего (статья</w:t>
      </w:r>
      <w:r>
        <w:t> </w:t>
      </w:r>
      <w:r w:rsidRPr="00873458">
        <w:t>135), а согласно ранее действовавшему закону преслед</w:t>
      </w:r>
      <w:r w:rsidRPr="00873458">
        <w:t>о</w:t>
      </w:r>
      <w:r w:rsidRPr="00873458">
        <w:t>вание возбуждалось по инициативе государства. Это шаг назад в том, что кас</w:t>
      </w:r>
      <w:r w:rsidRPr="00873458">
        <w:t>а</w:t>
      </w:r>
      <w:r w:rsidRPr="00873458">
        <w:t>ется судебного преследования лиц, совершающих насилие в отношении же</w:t>
      </w:r>
      <w:r w:rsidRPr="00873458">
        <w:t>н</w:t>
      </w:r>
      <w:r w:rsidRPr="00873458">
        <w:t xml:space="preserve">щин. </w:t>
      </w:r>
    </w:p>
    <w:p w:rsidR="00D149C3" w:rsidRPr="00873458" w:rsidRDefault="00D149C3" w:rsidP="00D31446">
      <w:pPr>
        <w:pStyle w:val="SingleTxt"/>
      </w:pPr>
      <w:r w:rsidRPr="00873458">
        <w:t>23.</w:t>
      </w:r>
      <w:r w:rsidRPr="00873458">
        <w:tab/>
        <w:t>В предыдущем докладе мы говорили, что правительство Республики Сл</w:t>
      </w:r>
      <w:r w:rsidRPr="00873458">
        <w:t>о</w:t>
      </w:r>
      <w:r w:rsidRPr="00873458">
        <w:t xml:space="preserve">вения </w:t>
      </w:r>
      <w:r>
        <w:t xml:space="preserve">подготовило законопроект </w:t>
      </w:r>
      <w:r w:rsidRPr="00873458">
        <w:t>об охране общественного порядка, котор</w:t>
      </w:r>
      <w:r>
        <w:t xml:space="preserve">ый </w:t>
      </w:r>
      <w:r w:rsidRPr="00873458">
        <w:t>впоследствии был принят Государственным советом</w:t>
      </w:r>
      <w:r>
        <w:t>,</w:t>
      </w:r>
      <w:r w:rsidRPr="00873458">
        <w:t xml:space="preserve"> и </w:t>
      </w:r>
      <w:r>
        <w:t xml:space="preserve">этот закон </w:t>
      </w:r>
      <w:r w:rsidRPr="00873458">
        <w:t>вступил в силу в 2006</w:t>
      </w:r>
      <w:r>
        <w:t> </w:t>
      </w:r>
      <w:r w:rsidRPr="00873458">
        <w:t>году. В статье 6(4) дается определение незначительных правон</w:t>
      </w:r>
      <w:r w:rsidRPr="00873458">
        <w:t>а</w:t>
      </w:r>
      <w:r w:rsidRPr="00873458">
        <w:t>рушений, связанных с насилием в семье. Содержащиеся в этом пункте полож</w:t>
      </w:r>
      <w:r w:rsidRPr="00873458">
        <w:t>е</w:t>
      </w:r>
      <w:r w:rsidRPr="00873458">
        <w:t>ния гарантируют защиту лиц от насилия в семье (жертвами являются главным о</w:t>
      </w:r>
      <w:r w:rsidRPr="00873458">
        <w:t>б</w:t>
      </w:r>
      <w:r w:rsidRPr="00873458">
        <w:t xml:space="preserve">разом женщины) в закрытых частных помещениях, а также в общественных местах, когда условия и/или элементы, указывающие на наличие уголовного преступления (еще) не установлены. </w:t>
      </w:r>
      <w:r>
        <w:t>На в</w:t>
      </w:r>
      <w:r w:rsidRPr="00873458">
        <w:t>иновны</w:t>
      </w:r>
      <w:r>
        <w:t>х</w:t>
      </w:r>
      <w:r w:rsidRPr="00873458">
        <w:t xml:space="preserve"> в совершении насилия в с</w:t>
      </w:r>
      <w:r w:rsidRPr="00873458">
        <w:t>е</w:t>
      </w:r>
      <w:r w:rsidRPr="00873458">
        <w:t xml:space="preserve">мье </w:t>
      </w:r>
      <w:r>
        <w:t xml:space="preserve">также налагаются </w:t>
      </w:r>
      <w:r w:rsidRPr="00873458">
        <w:t>более высокие штрафы (мелкое правонарушение с отя</w:t>
      </w:r>
      <w:r w:rsidRPr="00873458">
        <w:t>г</w:t>
      </w:r>
      <w:r w:rsidRPr="00873458">
        <w:t xml:space="preserve">чающими обстоятельствами). Закон также поощряет </w:t>
      </w:r>
      <w:r>
        <w:t xml:space="preserve">принятие </w:t>
      </w:r>
      <w:r w:rsidRPr="00873458">
        <w:t>антидискрим</w:t>
      </w:r>
      <w:r w:rsidRPr="00873458">
        <w:t>и</w:t>
      </w:r>
      <w:r w:rsidRPr="00873458">
        <w:t>национных мер. Положения статьи 20 направлены на предотвращение дискр</w:t>
      </w:r>
      <w:r w:rsidRPr="00873458">
        <w:t>и</w:t>
      </w:r>
      <w:r w:rsidRPr="00873458">
        <w:t>минационного поведения, а в отношении перечисленных мелких правонаруш</w:t>
      </w:r>
      <w:r w:rsidRPr="00873458">
        <w:t>е</w:t>
      </w:r>
      <w:r w:rsidRPr="00873458">
        <w:t>ний (например, грубое и недостойное поведение и т.д.), совершаемых с нам</w:t>
      </w:r>
      <w:r w:rsidRPr="00873458">
        <w:t>е</w:t>
      </w:r>
      <w:r w:rsidRPr="00873458">
        <w:t>рением дискриминаци</w:t>
      </w:r>
      <w:r>
        <w:t>и</w:t>
      </w:r>
      <w:r w:rsidRPr="00873458">
        <w:t xml:space="preserve">, предусмотрены более жесткие санкции. </w:t>
      </w:r>
      <w:r>
        <w:t xml:space="preserve">Со времени </w:t>
      </w:r>
      <w:r w:rsidRPr="00873458">
        <w:t xml:space="preserve">принятия этого закона </w:t>
      </w:r>
      <w:r>
        <w:t xml:space="preserve">надзор </w:t>
      </w:r>
      <w:r w:rsidRPr="00873458">
        <w:t>в этой о</w:t>
      </w:r>
      <w:r w:rsidRPr="00873458">
        <w:t>б</w:t>
      </w:r>
      <w:r w:rsidRPr="00873458">
        <w:t>ласти</w:t>
      </w:r>
      <w:r>
        <w:t xml:space="preserve"> улучшился</w:t>
      </w:r>
      <w:r w:rsidRPr="00873458">
        <w:t xml:space="preserve">. </w:t>
      </w:r>
    </w:p>
    <w:p w:rsidR="00D149C3" w:rsidRPr="00873458" w:rsidRDefault="00D149C3" w:rsidP="00D31446">
      <w:pPr>
        <w:pStyle w:val="SingleTxt"/>
      </w:pPr>
      <w:r w:rsidRPr="00873458">
        <w:t>24.</w:t>
      </w:r>
      <w:r w:rsidRPr="00873458">
        <w:tab/>
        <w:t>В 2013 году был принят закон о задачах и полномочиях полиции; он ра</w:t>
      </w:r>
      <w:r w:rsidRPr="00873458">
        <w:t>с</w:t>
      </w:r>
      <w:r w:rsidRPr="00873458">
        <w:t>ширил полномочия полиции в случаях, когда издается запретительный суде</w:t>
      </w:r>
      <w:r w:rsidRPr="00873458">
        <w:t>б</w:t>
      </w:r>
      <w:r w:rsidRPr="00873458">
        <w:t xml:space="preserve">ный приказ, и установил, что не соблюдающие его правонарушители могут быть помещены под стражу (статьи 60 и 61). </w:t>
      </w:r>
    </w:p>
    <w:p w:rsidR="00D149C3" w:rsidRPr="00873458" w:rsidRDefault="00D149C3" w:rsidP="00D31446">
      <w:pPr>
        <w:pStyle w:val="SingleTxt"/>
      </w:pPr>
      <w:r w:rsidRPr="00873458">
        <w:t>25.</w:t>
      </w:r>
      <w:r w:rsidRPr="00873458">
        <w:tab/>
        <w:t>8 сентября 2011 года Республика Словения подписала Конвенцию Совета Европы о предотвращении насилия в отношении женщин и бытового насилия и борьбе с ним, принятую Комитетом министров Совета Европы 7</w:t>
      </w:r>
      <w:r>
        <w:t> </w:t>
      </w:r>
      <w:r w:rsidRPr="00873458">
        <w:t>апреля 2011</w:t>
      </w:r>
      <w:r>
        <w:t> </w:t>
      </w:r>
      <w:r w:rsidRPr="00873458">
        <w:t>года. Этот международно-правовой документ предусматривает всеобъе</w:t>
      </w:r>
      <w:r w:rsidRPr="00873458">
        <w:t>м</w:t>
      </w:r>
      <w:r w:rsidRPr="00873458">
        <w:t>лющий подход к обязательствам государств-участников для предотвращения насилия, защиты жертв и оказания им помощи, судебного преследования пр</w:t>
      </w:r>
      <w:r w:rsidRPr="00873458">
        <w:t>а</w:t>
      </w:r>
      <w:r w:rsidRPr="00873458">
        <w:t>вонарушителей, комплексных и скоординированных действий и повышения о</w:t>
      </w:r>
      <w:r w:rsidRPr="00873458">
        <w:t>т</w:t>
      </w:r>
      <w:r w:rsidRPr="00873458">
        <w:t>ветстве</w:t>
      </w:r>
      <w:r w:rsidRPr="00873458">
        <w:t>н</w:t>
      </w:r>
      <w:r w:rsidRPr="00873458">
        <w:t>ности государств в целях содействия гендерному равенству и защиты прав жертв такого насилия. В настоящее время осуществляются мероприятия для ратификации этой Конвенции.</w:t>
      </w:r>
    </w:p>
    <w:p w:rsidR="00D149C3" w:rsidRPr="00873458" w:rsidRDefault="00D149C3" w:rsidP="00D31446">
      <w:pPr>
        <w:pStyle w:val="SingleTxt"/>
      </w:pPr>
      <w:r w:rsidRPr="00873458">
        <w:t>26.</w:t>
      </w:r>
      <w:r w:rsidRPr="00873458">
        <w:tab/>
        <w:t>Министерство внутренних дел является основным источником данных о случаях насилия в отношении женщин. По данным министерства</w:t>
      </w:r>
      <w:r>
        <w:t>,</w:t>
      </w:r>
      <w:r w:rsidRPr="00873458">
        <w:t xml:space="preserve"> в период с 2008 по 2012</w:t>
      </w:r>
      <w:r>
        <w:rPr>
          <w:lang w:val="en-US"/>
        </w:rPr>
        <w:t> </w:t>
      </w:r>
      <w:r w:rsidRPr="00873458">
        <w:t>год было выпущено 4682</w:t>
      </w:r>
      <w:r>
        <w:rPr>
          <w:lang w:val="en-US"/>
        </w:rPr>
        <w:t> </w:t>
      </w:r>
      <w:r w:rsidRPr="00873458">
        <w:t>запретительных судебных приказ</w:t>
      </w:r>
      <w:r>
        <w:t>а</w:t>
      </w:r>
      <w:r w:rsidRPr="00873458">
        <w:t xml:space="preserve"> в о</w:t>
      </w:r>
      <w:r w:rsidRPr="00873458">
        <w:t>т</w:t>
      </w:r>
      <w:r w:rsidRPr="00873458">
        <w:t>ношении места или лиц. Большая часть запретительных судебных приказов была выпушена в 2009 году (1,121), а меньш</w:t>
      </w:r>
      <w:r>
        <w:t xml:space="preserve">ая — </w:t>
      </w:r>
      <w:r w:rsidRPr="00873458">
        <w:t>в 2008 году (556).</w:t>
      </w:r>
    </w:p>
    <w:p w:rsidR="00D149C3" w:rsidRPr="00873458" w:rsidRDefault="00D149C3" w:rsidP="00D31446">
      <w:pPr>
        <w:pStyle w:val="SingleTxt"/>
      </w:pPr>
      <w:r w:rsidRPr="00873458">
        <w:t>27.</w:t>
      </w:r>
      <w:r w:rsidRPr="00873458">
        <w:tab/>
        <w:t>В последние годы отмечается сокращение числа мелких правонарушений против общественного порядка; в 2008</w:t>
      </w:r>
      <w:r>
        <w:t> </w:t>
      </w:r>
      <w:r w:rsidRPr="00873458">
        <w:t>году было зарегистрировано 10</w:t>
      </w:r>
      <w:r>
        <w:t> </w:t>
      </w:r>
      <w:r w:rsidRPr="00873458">
        <w:t>016</w:t>
      </w:r>
      <w:r>
        <w:t> </w:t>
      </w:r>
      <w:r w:rsidRPr="00873458">
        <w:t>случаев, а в 2012</w:t>
      </w:r>
      <w:r>
        <w:t> </w:t>
      </w:r>
      <w:r w:rsidRPr="00873458">
        <w:t>году 6286. Число мелких правонарушений</w:t>
      </w:r>
      <w:r>
        <w:t xml:space="preserve">, связанных с </w:t>
      </w:r>
      <w:r w:rsidRPr="00873458">
        <w:t>насили</w:t>
      </w:r>
      <w:r>
        <w:t>ем</w:t>
      </w:r>
      <w:r w:rsidRPr="00873458">
        <w:t xml:space="preserve"> в семье</w:t>
      </w:r>
      <w:r>
        <w:t>,</w:t>
      </w:r>
      <w:r w:rsidRPr="00873458">
        <w:t xml:space="preserve"> несколько уменьшилось</w:t>
      </w:r>
      <w:r>
        <w:t xml:space="preserve"> — </w:t>
      </w:r>
      <w:r w:rsidRPr="00873458">
        <w:t>с 2171 случая</w:t>
      </w:r>
      <w:r>
        <w:t>,</w:t>
      </w:r>
      <w:r w:rsidRPr="00873458">
        <w:t xml:space="preserve"> или 21,7 проце</w:t>
      </w:r>
      <w:r w:rsidRPr="00873458">
        <w:t>н</w:t>
      </w:r>
      <w:r w:rsidRPr="00873458">
        <w:t>та</w:t>
      </w:r>
      <w:r>
        <w:t>,</w:t>
      </w:r>
      <w:r w:rsidRPr="00873458">
        <w:t xml:space="preserve"> в 2008 году до 812</w:t>
      </w:r>
      <w:r>
        <w:t> </w:t>
      </w:r>
      <w:r w:rsidRPr="00873458">
        <w:t>случаев</w:t>
      </w:r>
      <w:r>
        <w:t>,</w:t>
      </w:r>
      <w:r w:rsidRPr="00873458">
        <w:t xml:space="preserve"> или 12,9 процента</w:t>
      </w:r>
      <w:r>
        <w:t>,</w:t>
      </w:r>
      <w:r w:rsidRPr="00873458">
        <w:t xml:space="preserve"> от общего числа мелких правонарушений против общественного порядка в 2012 году. Одна из причин связана с тем фактом, что некоторые виды поведения, ранее определяемые как мелкое правонарушение, в настоящее время приравниваются к уголовным пр</w:t>
      </w:r>
      <w:r w:rsidRPr="00873458">
        <w:t>е</w:t>
      </w:r>
      <w:r w:rsidRPr="00873458">
        <w:t>ступлениям насилия в семье. В период 2008</w:t>
      </w:r>
      <w:r>
        <w:t>–</w:t>
      </w:r>
      <w:r w:rsidRPr="00873458">
        <w:t>2012</w:t>
      </w:r>
      <w:r>
        <w:t> </w:t>
      </w:r>
      <w:r w:rsidRPr="00873458">
        <w:t>годов доля женщин среди пострадавших в результате мелких правонарушений против общественного п</w:t>
      </w:r>
      <w:r w:rsidRPr="00873458">
        <w:t>о</w:t>
      </w:r>
      <w:r w:rsidRPr="00873458">
        <w:t>рядка увеличилась с 44,3 процента до 54,8 процента</w:t>
      </w:r>
      <w:r w:rsidRPr="007E0CCC">
        <w:rPr>
          <w:rStyle w:val="FootnoteReference"/>
        </w:rPr>
        <w:footnoteReference w:id="15"/>
      </w:r>
      <w:r w:rsidRPr="00873458">
        <w:t xml:space="preserve">. </w:t>
      </w:r>
    </w:p>
    <w:p w:rsidR="00D149C3" w:rsidRPr="00873458" w:rsidRDefault="00D149C3" w:rsidP="00D31446">
      <w:pPr>
        <w:pStyle w:val="SingleTxt"/>
      </w:pPr>
      <w:r w:rsidRPr="00873458">
        <w:t>28.</w:t>
      </w:r>
      <w:r w:rsidRPr="00873458">
        <w:tab/>
        <w:t xml:space="preserve">В период с конца 2008 года, когда вступил в силу новый </w:t>
      </w:r>
      <w:r>
        <w:t>У</w:t>
      </w:r>
      <w:r w:rsidRPr="00873458">
        <w:t>головный к</w:t>
      </w:r>
      <w:r w:rsidRPr="00873458">
        <w:t>о</w:t>
      </w:r>
      <w:r w:rsidRPr="00873458">
        <w:t>декс, содержащий новое определение уголовного преступления насилия в с</w:t>
      </w:r>
      <w:r w:rsidRPr="00873458">
        <w:t>е</w:t>
      </w:r>
      <w:r w:rsidRPr="00873458">
        <w:t>мье (более подробная информация в пункте 22), до 2012</w:t>
      </w:r>
      <w:r>
        <w:t> </w:t>
      </w:r>
      <w:r w:rsidRPr="00873458">
        <w:t>года доля женщин среди жертв насилия в семье составляла 87,9</w:t>
      </w:r>
      <w:r>
        <w:t xml:space="preserve"> процента</w:t>
      </w:r>
      <w:r w:rsidRPr="00873458">
        <w:t>. Почти во всех случаях правонарушителями были лица мужского пола (99,4 процента). В период 2008</w:t>
      </w:r>
      <w:r>
        <w:t>–</w:t>
      </w:r>
      <w:r w:rsidRPr="00873458">
        <w:t>2012</w:t>
      </w:r>
      <w:r>
        <w:t> </w:t>
      </w:r>
      <w:r w:rsidRPr="00873458">
        <w:t>годов в среднем в год регистрировалось 50 случаев изнасилования. В 98</w:t>
      </w:r>
      <w:r>
        <w:t> </w:t>
      </w:r>
      <w:r w:rsidRPr="00873458">
        <w:t xml:space="preserve">процентах случаев </w:t>
      </w:r>
      <w:r>
        <w:t xml:space="preserve">потерпевшими </w:t>
      </w:r>
      <w:r w:rsidRPr="00873458">
        <w:t>были женщины. Во всех случаях, за и</w:t>
      </w:r>
      <w:r w:rsidRPr="00873458">
        <w:t>с</w:t>
      </w:r>
      <w:r w:rsidRPr="00873458">
        <w:t>ключением одного, виновными были мужчины. В упомянутый период бол</w:t>
      </w:r>
      <w:r w:rsidRPr="00873458">
        <w:t>ь</w:t>
      </w:r>
      <w:r w:rsidRPr="00873458">
        <w:t>шинство жертв сексуального насилия были женщины (95,2 процента); п</w:t>
      </w:r>
      <w:r w:rsidRPr="00873458">
        <w:t>о</w:t>
      </w:r>
      <w:r w:rsidRPr="00873458">
        <w:t>чти во всех случаях</w:t>
      </w:r>
      <w:r>
        <w:t>,</w:t>
      </w:r>
      <w:r w:rsidRPr="00873458">
        <w:t xml:space="preserve"> кроме одного</w:t>
      </w:r>
      <w:r>
        <w:t>,</w:t>
      </w:r>
      <w:r w:rsidRPr="00873458">
        <w:t xml:space="preserve"> правонарушителями были лица мужского пола. В период с 2008 по 2012 год женщины были жертвами убийств в 46 процентах случаев; в 92 процентах случаев правонарушителями были лица мужского п</w:t>
      </w:r>
      <w:r w:rsidRPr="00873458">
        <w:t>о</w:t>
      </w:r>
      <w:r w:rsidRPr="00873458">
        <w:t xml:space="preserve">ла. </w:t>
      </w:r>
      <w:r>
        <w:t>Семьдесят четыре </w:t>
      </w:r>
      <w:r w:rsidRPr="00873458">
        <w:t xml:space="preserve">случая преднамеренного/непреднамеренного убийства (включая попытки) имели место в семьях; 42 </w:t>
      </w:r>
      <w:r>
        <w:t>потерпевшими</w:t>
      </w:r>
      <w:r w:rsidRPr="00873458">
        <w:t xml:space="preserve"> были женщины (57</w:t>
      </w:r>
      <w:r>
        <w:t> </w:t>
      </w:r>
      <w:r w:rsidRPr="00873458">
        <w:t>процентов)</w:t>
      </w:r>
      <w:r w:rsidRPr="007E0CCC">
        <w:rPr>
          <w:rStyle w:val="FootnoteReference"/>
        </w:rPr>
        <w:footnoteReference w:id="16"/>
      </w:r>
      <w:r w:rsidRPr="00873458">
        <w:t>.</w:t>
      </w:r>
    </w:p>
    <w:p w:rsidR="00D149C3" w:rsidRPr="00334335" w:rsidRDefault="00D149C3" w:rsidP="00D31446">
      <w:pPr>
        <w:pStyle w:val="SingleTxt"/>
      </w:pPr>
      <w:r w:rsidRPr="00873458">
        <w:t>29.</w:t>
      </w:r>
      <w:r w:rsidRPr="00873458">
        <w:tab/>
        <w:t>В период с 2008 по 2011 год в Словении было проведено первое наци</w:t>
      </w:r>
      <w:r w:rsidRPr="00873458">
        <w:t>о</w:t>
      </w:r>
      <w:r w:rsidRPr="00873458">
        <w:t xml:space="preserve">нальное обследование по проблеме насилия в частной жизни и партнерских отношениях под названием </w:t>
      </w:r>
      <w:r>
        <w:t>«</w:t>
      </w:r>
      <w:r w:rsidRPr="00873458">
        <w:t>Масштабы и реагирование на насилие в быту и в партнерских отношениях</w:t>
      </w:r>
      <w:r>
        <w:t>»</w:t>
      </w:r>
      <w:r w:rsidRPr="00873458">
        <w:t>; его финансировали совместно Управление по в</w:t>
      </w:r>
      <w:r w:rsidRPr="00873458">
        <w:t>о</w:t>
      </w:r>
      <w:r w:rsidRPr="00873458">
        <w:t>просам равных возможностей, министерство внутренних дел/полиция и Иссл</w:t>
      </w:r>
      <w:r w:rsidRPr="00873458">
        <w:t>е</w:t>
      </w:r>
      <w:r w:rsidRPr="00873458">
        <w:t>довательский центр Словении. Обследование состо</w:t>
      </w:r>
      <w:r>
        <w:t xml:space="preserve">яло </w:t>
      </w:r>
      <w:r w:rsidRPr="00873458">
        <w:t>из двух частей. В пе</w:t>
      </w:r>
      <w:r w:rsidRPr="00873458">
        <w:t>р</w:t>
      </w:r>
      <w:r w:rsidRPr="00873458">
        <w:t>вой части рассматрива</w:t>
      </w:r>
      <w:r>
        <w:t xml:space="preserve">лись </w:t>
      </w:r>
      <w:r w:rsidRPr="00873458">
        <w:t>эмпирические исследования на тему насилия в б</w:t>
      </w:r>
      <w:r w:rsidRPr="00873458">
        <w:t>ы</w:t>
      </w:r>
      <w:r w:rsidRPr="00873458">
        <w:t>ту и партнерских отношения</w:t>
      </w:r>
      <w:r>
        <w:t>х</w:t>
      </w:r>
      <w:r w:rsidRPr="00873458">
        <w:t xml:space="preserve">, а </w:t>
      </w:r>
      <w:r>
        <w:t xml:space="preserve">во </w:t>
      </w:r>
      <w:r w:rsidRPr="00873458">
        <w:t>втор</w:t>
      </w:r>
      <w:r>
        <w:t xml:space="preserve">ой </w:t>
      </w:r>
      <w:r w:rsidRPr="00873458">
        <w:t>част</w:t>
      </w:r>
      <w:r>
        <w:t xml:space="preserve">и проводился </w:t>
      </w:r>
      <w:r w:rsidRPr="00873458">
        <w:t>анализ возде</w:t>
      </w:r>
      <w:r w:rsidRPr="00873458">
        <w:t>й</w:t>
      </w:r>
      <w:r w:rsidRPr="00873458">
        <w:t>ствия введенного в силу и содержащего поправки законодательства о работе учреждений, занимающихся борьбой с насилием в семье. Данные о насилии были собраны с использованием репрезентативной выборки женщин в возрасте от 18 до 80</w:t>
      </w:r>
      <w:r>
        <w:t> </w:t>
      </w:r>
      <w:r w:rsidRPr="00873458">
        <w:t>лет. По данным обследования каждая вторая женщина (56,6 пр</w:t>
      </w:r>
      <w:r w:rsidRPr="00873458">
        <w:t>о</w:t>
      </w:r>
      <w:r w:rsidRPr="00873458">
        <w:t>цента) подвергалась той или иной форме насилия после того, как ей исполн</w:t>
      </w:r>
      <w:r w:rsidRPr="00873458">
        <w:t>и</w:t>
      </w:r>
      <w:r w:rsidRPr="00873458">
        <w:t>лось 15</w:t>
      </w:r>
      <w:r>
        <w:t> </w:t>
      </w:r>
      <w:r w:rsidRPr="00873458">
        <w:t>лет. Наиболее часто встреча</w:t>
      </w:r>
      <w:r>
        <w:t xml:space="preserve">лись </w:t>
      </w:r>
      <w:r w:rsidRPr="00873458">
        <w:t>случаи психологического насилия (49,3</w:t>
      </w:r>
      <w:r>
        <w:t> </w:t>
      </w:r>
      <w:r w:rsidRPr="00873458">
        <w:t>процента), за которыми следуют физическое насилие (23</w:t>
      </w:r>
      <w:r>
        <w:t> </w:t>
      </w:r>
      <w:r w:rsidRPr="00873458">
        <w:t>процента) и насилие, связанное с имуществом (14,1</w:t>
      </w:r>
      <w:r>
        <w:t> </w:t>
      </w:r>
      <w:r w:rsidRPr="00873458">
        <w:t>процента), ограничение свободы пер</w:t>
      </w:r>
      <w:r w:rsidRPr="00873458">
        <w:t>е</w:t>
      </w:r>
      <w:r w:rsidRPr="00873458">
        <w:t>движения (13,9 процента) и сексуальное насилие (6,5 процента). Большинство женщин, которые подвергались насилию в прошлом году, столкнулись с псих</w:t>
      </w:r>
      <w:r w:rsidRPr="00873458">
        <w:t>о</w:t>
      </w:r>
      <w:r w:rsidRPr="00873458">
        <w:t>логическим насилием (49,9 процента) и меньше с физическим (5,9 процента), сексуальным насилием (1,5 процента) и насилием, связанным с имуществом (7</w:t>
      </w:r>
      <w:r>
        <w:t> </w:t>
      </w:r>
      <w:r w:rsidRPr="00873458">
        <w:t>процентов), и ограничением свободы (6,1</w:t>
      </w:r>
      <w:r>
        <w:t> </w:t>
      </w:r>
      <w:r w:rsidRPr="00873458">
        <w:t xml:space="preserve">процента). </w:t>
      </w:r>
      <w:r>
        <w:t xml:space="preserve">Если исключить </w:t>
      </w:r>
      <w:r w:rsidRPr="00873458">
        <w:t>псих</w:t>
      </w:r>
      <w:r w:rsidRPr="00873458">
        <w:t>о</w:t>
      </w:r>
      <w:r w:rsidRPr="00873458">
        <w:t>логическо</w:t>
      </w:r>
      <w:r>
        <w:t xml:space="preserve">е </w:t>
      </w:r>
      <w:r w:rsidRPr="00873458">
        <w:t>насили</w:t>
      </w:r>
      <w:r>
        <w:t xml:space="preserve">е, то в прошлом году насилию в </w:t>
      </w:r>
      <w:r w:rsidRPr="00873458">
        <w:t xml:space="preserve">одной из перечисленных форм </w:t>
      </w:r>
      <w:r>
        <w:t>подверглась каждая пятая женщина</w:t>
      </w:r>
      <w:r w:rsidRPr="00873458">
        <w:t>. Обследование также показало, что здоровье женщин, подвергающихся насилию, слабее, чем здоровье женщин в среднем по населению. Они чаще испытывают стресс, чувство тревоги, несв</w:t>
      </w:r>
      <w:r w:rsidRPr="00873458">
        <w:t>а</w:t>
      </w:r>
      <w:r w:rsidRPr="00873458">
        <w:t>рение, потерю аппетита, проблемы с желудком, головную боль, нарушени</w:t>
      </w:r>
      <w:r>
        <w:t>е</w:t>
      </w:r>
      <w:r w:rsidRPr="00873458">
        <w:t xml:space="preserve"> сна, страдают от </w:t>
      </w:r>
      <w:r>
        <w:t xml:space="preserve">рассеянности внимания </w:t>
      </w:r>
      <w:r w:rsidRPr="00873458">
        <w:t>и т.д.</w:t>
      </w:r>
      <w:r w:rsidRPr="007E0CCC">
        <w:rPr>
          <w:rStyle w:val="FootnoteReference"/>
        </w:rPr>
        <w:footnoteReference w:id="17"/>
      </w:r>
      <w:r w:rsidRPr="00873458">
        <w:t>.</w:t>
      </w:r>
      <w:r w:rsidRPr="00873458">
        <w:rPr>
          <w:vertAlign w:val="superscript"/>
        </w:rPr>
        <w:t xml:space="preserve"> </w:t>
      </w:r>
      <w:r w:rsidRPr="00873458">
        <w:t>Вторая часть обзора содерж</w:t>
      </w:r>
      <w:r>
        <w:t xml:space="preserve">ала </w:t>
      </w:r>
      <w:r w:rsidRPr="00873458">
        <w:t>анализ дел, в которых полиция выдала запретительный судебный приказ, ан</w:t>
      </w:r>
      <w:r w:rsidRPr="00873458">
        <w:t>а</w:t>
      </w:r>
      <w:r w:rsidRPr="00873458">
        <w:t>лиз воздействия закона о предупреждении насилия в семье на прецедентное право судов более высокой инстанции, аспекты уголовного права в области борьб</w:t>
      </w:r>
      <w:r>
        <w:t>ы</w:t>
      </w:r>
      <w:r w:rsidRPr="00873458">
        <w:t xml:space="preserve"> с насилием в семье и анализ работы по предотвращению насилия в с</w:t>
      </w:r>
      <w:r w:rsidRPr="00873458">
        <w:t>е</w:t>
      </w:r>
      <w:r w:rsidRPr="00873458">
        <w:t>мье, проводимой центрами социальной работы. Обследование также показ</w:t>
      </w:r>
      <w:r w:rsidRPr="00873458">
        <w:t>а</w:t>
      </w:r>
      <w:r w:rsidRPr="00873458">
        <w:t>ло, что учреждения все чаще обнаруживают</w:t>
      </w:r>
      <w:r>
        <w:t xml:space="preserve"> и</w:t>
      </w:r>
      <w:r w:rsidRPr="00873458">
        <w:t xml:space="preserve"> выявляют случаи насилия в семье </w:t>
      </w:r>
      <w:r>
        <w:t>и занимаются этими делами</w:t>
      </w:r>
      <w:r w:rsidRPr="00873458">
        <w:t>. Этому способствовало законодательство, треб</w:t>
      </w:r>
      <w:r>
        <w:t>у</w:t>
      </w:r>
      <w:r w:rsidRPr="00873458">
        <w:t>ю</w:t>
      </w:r>
      <w:r w:rsidRPr="00873458">
        <w:t>щее от учреждений оказывать эффективную помощ</w:t>
      </w:r>
      <w:r>
        <w:t xml:space="preserve">ь потерпевшим </w:t>
      </w:r>
      <w:r w:rsidRPr="00873458">
        <w:t xml:space="preserve">и наказания виновных и предоставляющее им возможности для </w:t>
      </w:r>
      <w:r>
        <w:t>этого</w:t>
      </w:r>
      <w:r w:rsidRPr="00873458">
        <w:t xml:space="preserve">. Увеличение числа рассматриваемых случаев можно также объяснить большей готовностью </w:t>
      </w:r>
      <w:r>
        <w:t>п</w:t>
      </w:r>
      <w:r>
        <w:t>о</w:t>
      </w:r>
      <w:r>
        <w:t xml:space="preserve">терпевших </w:t>
      </w:r>
      <w:r w:rsidRPr="00873458">
        <w:t>обращаться за помощью и более обширными знаниями и информ</w:t>
      </w:r>
      <w:r w:rsidRPr="00873458">
        <w:t>и</w:t>
      </w:r>
      <w:r w:rsidRPr="00873458">
        <w:t>рованностью сотрудников учреждений, занимающихся вопросами оказания помощи жертвам насилия в семье. Результаты обследования свидетельств</w:t>
      </w:r>
      <w:r>
        <w:t xml:space="preserve">овали </w:t>
      </w:r>
      <w:r w:rsidRPr="00873458">
        <w:t>о растущей тенденции к увеличению числа издаваемых ограничительных с</w:t>
      </w:r>
      <w:r w:rsidRPr="00873458">
        <w:t>у</w:t>
      </w:r>
      <w:r w:rsidRPr="00873458">
        <w:t>дебных постановлений. В 2005 году полиция выпустила 152 постановления, в то время как в 2010</w:t>
      </w:r>
      <w:r>
        <w:t> </w:t>
      </w:r>
      <w:r w:rsidRPr="00873458">
        <w:t xml:space="preserve">году их число </w:t>
      </w:r>
      <w:r>
        <w:t xml:space="preserve">возросло </w:t>
      </w:r>
      <w:r w:rsidRPr="00873458">
        <w:t>до 1080. В период 2005</w:t>
      </w:r>
      <w:r>
        <w:t>–</w:t>
      </w:r>
      <w:r w:rsidRPr="00873458">
        <w:t>2010</w:t>
      </w:r>
      <w:r>
        <w:t> </w:t>
      </w:r>
      <w:r w:rsidRPr="00873458">
        <w:t>г</w:t>
      </w:r>
      <w:r w:rsidRPr="00873458">
        <w:t>о</w:t>
      </w:r>
      <w:r w:rsidRPr="00873458">
        <w:t>дов в общей сложности было выпущено 3694 запретительных судебных постано</w:t>
      </w:r>
      <w:r w:rsidRPr="00873458">
        <w:t>в</w:t>
      </w:r>
      <w:r w:rsidRPr="00873458">
        <w:t>ления. Эти данные свидетельств</w:t>
      </w:r>
      <w:r>
        <w:t xml:space="preserve">овали </w:t>
      </w:r>
      <w:r w:rsidRPr="00873458">
        <w:t>о том, что полиция защищает жертв п</w:t>
      </w:r>
      <w:r w:rsidRPr="00873458">
        <w:t>у</w:t>
      </w:r>
      <w:r w:rsidRPr="00873458">
        <w:t>тем введения таких мер почти в половине выявленных случаев насилия в с</w:t>
      </w:r>
      <w:r w:rsidRPr="00873458">
        <w:t>е</w:t>
      </w:r>
      <w:r w:rsidRPr="00873458">
        <w:t>мье. Анализ выпущенных полицией запретительных судебных прик</w:t>
      </w:r>
      <w:r w:rsidRPr="00873458">
        <w:t>а</w:t>
      </w:r>
      <w:r w:rsidRPr="00873458">
        <w:t xml:space="preserve">зов также </w:t>
      </w:r>
      <w:r>
        <w:t xml:space="preserve">указывал на </w:t>
      </w:r>
      <w:r w:rsidRPr="00873458">
        <w:t>то, что до 97</w:t>
      </w:r>
      <w:r>
        <w:t> </w:t>
      </w:r>
      <w:r w:rsidRPr="00873458">
        <w:t>процентов правонарушителей были му</w:t>
      </w:r>
      <w:r w:rsidRPr="00873458">
        <w:t>ж</w:t>
      </w:r>
      <w:r w:rsidRPr="00873458">
        <w:t>ского пола, а большинство жертв составля</w:t>
      </w:r>
      <w:r>
        <w:t xml:space="preserve">ли </w:t>
      </w:r>
      <w:r w:rsidRPr="00873458">
        <w:t>жены и проживающие совместно партнеры (48</w:t>
      </w:r>
      <w:r>
        <w:t> </w:t>
      </w:r>
      <w:r w:rsidRPr="00873458">
        <w:t>процентов); жертвами также станов</w:t>
      </w:r>
      <w:r>
        <w:t xml:space="preserve">ились </w:t>
      </w:r>
      <w:r w:rsidRPr="00873458">
        <w:t>родители правонарушителей (19</w:t>
      </w:r>
      <w:r>
        <w:t> </w:t>
      </w:r>
      <w:r w:rsidRPr="00873458">
        <w:t>процентов), несовершеннолетние дети (15</w:t>
      </w:r>
      <w:r>
        <w:t> </w:t>
      </w:r>
      <w:r w:rsidRPr="00873458">
        <w:t>процентов), бывшие партнеры (7</w:t>
      </w:r>
      <w:r>
        <w:t> </w:t>
      </w:r>
      <w:r w:rsidRPr="00873458">
        <w:t>процентов), взрослые дети (5</w:t>
      </w:r>
      <w:r>
        <w:t> </w:t>
      </w:r>
      <w:r w:rsidRPr="00873458">
        <w:t>процентов) и другие родственники (6</w:t>
      </w:r>
      <w:r>
        <w:t xml:space="preserve"> </w:t>
      </w:r>
      <w:r w:rsidRPr="00873458">
        <w:t>проце</w:t>
      </w:r>
      <w:r w:rsidRPr="00873458">
        <w:t>н</w:t>
      </w:r>
      <w:r w:rsidRPr="00873458">
        <w:t>тов). В 28 процентах случаев полиция издала запретительные судебные прик</w:t>
      </w:r>
      <w:r w:rsidRPr="00873458">
        <w:t>а</w:t>
      </w:r>
      <w:r w:rsidRPr="00873458">
        <w:t>зы по причине психологического насилия (различные формы угроз), не сопр</w:t>
      </w:r>
      <w:r w:rsidRPr="00873458">
        <w:t>о</w:t>
      </w:r>
      <w:r w:rsidRPr="00873458">
        <w:t>вождаемого физическим насилием. В среднем полиция контролирует соблюд</w:t>
      </w:r>
      <w:r w:rsidRPr="00873458">
        <w:t>е</w:t>
      </w:r>
      <w:r w:rsidRPr="00873458">
        <w:t>ние введенных мер два раза в день. Число нарушений постоянно снижается; в 2009</w:t>
      </w:r>
      <w:r>
        <w:t> </w:t>
      </w:r>
      <w:r w:rsidRPr="00873458">
        <w:t>году 85</w:t>
      </w:r>
      <w:r>
        <w:t> </w:t>
      </w:r>
      <w:r w:rsidRPr="00873458">
        <w:t>процентов правонарушителей соблюдали эту меру. Анализ де</w:t>
      </w:r>
      <w:r w:rsidRPr="00873458">
        <w:t>я</w:t>
      </w:r>
      <w:r w:rsidRPr="00873458">
        <w:t>тельности центров социальной работы показал, что в 2010 году они оказали помощь в связи с 1928 случаями насилия в семье (2975 жертв и 1854 правон</w:t>
      </w:r>
      <w:r w:rsidRPr="00873458">
        <w:t>а</w:t>
      </w:r>
      <w:r w:rsidRPr="00873458">
        <w:t xml:space="preserve">рушителя) и организовали 463 группы с участием представителей различных учреждений для рассмотрения этих дел. При работе </w:t>
      </w:r>
      <w:r>
        <w:t xml:space="preserve">по делам </w:t>
      </w:r>
      <w:r w:rsidRPr="00873458">
        <w:t>насилия в с</w:t>
      </w:r>
      <w:r w:rsidRPr="00873458">
        <w:t>е</w:t>
      </w:r>
      <w:r w:rsidRPr="00873458">
        <w:t>мье центры социальной работы главным образом сотрудничают с полицейскими, которые участвовали в работе многопрофильных групп в 330 случаях. Чаще всего (60 процентов) не был получен ответ на приглашение принять уч</w:t>
      </w:r>
      <w:r w:rsidRPr="00873458">
        <w:t>а</w:t>
      </w:r>
      <w:r w:rsidRPr="00873458">
        <w:t>стие от представителей сектора услуг в области здравоохранения. В 2010</w:t>
      </w:r>
      <w:r>
        <w:t> </w:t>
      </w:r>
      <w:r w:rsidRPr="00873458">
        <w:t>году были подготовлены 1010 индивидуальных планов оказания помощи. Как уже упом</w:t>
      </w:r>
      <w:r w:rsidRPr="00873458">
        <w:t>и</w:t>
      </w:r>
      <w:r w:rsidRPr="00873458">
        <w:t xml:space="preserve">налось в пункте 29, </w:t>
      </w:r>
      <w:r>
        <w:t>У</w:t>
      </w:r>
      <w:r w:rsidRPr="00873458">
        <w:t>головный кодекс содержит определение уголовного пр</w:t>
      </w:r>
      <w:r w:rsidRPr="00873458">
        <w:t>е</w:t>
      </w:r>
      <w:r w:rsidRPr="00873458">
        <w:t>ступления в виде насилия в семье. По данным правоохранительных органов и судебных учреждений</w:t>
      </w:r>
      <w:r>
        <w:t>,</w:t>
      </w:r>
      <w:r w:rsidRPr="00873458">
        <w:t xml:space="preserve"> в 2009 и 2010 годах полиция расследовала 4822 уголо</w:t>
      </w:r>
      <w:r w:rsidRPr="00873458">
        <w:t>в</w:t>
      </w:r>
      <w:r w:rsidRPr="00873458">
        <w:t>ных преступления, связанн</w:t>
      </w:r>
      <w:r w:rsidR="005F57A6">
        <w:t>ых</w:t>
      </w:r>
      <w:r w:rsidRPr="00873458">
        <w:t xml:space="preserve"> с насилием в семье, прокуратура вынесла 807</w:t>
      </w:r>
      <w:r>
        <w:t> </w:t>
      </w:r>
      <w:r w:rsidRPr="00873458">
        <w:t>обвинительных заключений в отношении правонаруш</w:t>
      </w:r>
      <w:r w:rsidRPr="00873458">
        <w:t>и</w:t>
      </w:r>
      <w:r w:rsidRPr="00873458">
        <w:t>телей, а также суды вынесли 275</w:t>
      </w:r>
      <w:r>
        <w:t> </w:t>
      </w:r>
      <w:r w:rsidRPr="00873458">
        <w:t>обвинительных приговоров. Почти половина правонарушителей была заключена под стражу. Результаты анализа также п</w:t>
      </w:r>
      <w:r w:rsidRPr="00873458">
        <w:t>о</w:t>
      </w:r>
      <w:r w:rsidRPr="00873458">
        <w:t>казали, что более чем в 80 процентах случаев процедуры от обвинительного акта до окончательного р</w:t>
      </w:r>
      <w:r w:rsidRPr="00873458">
        <w:t>е</w:t>
      </w:r>
      <w:r w:rsidRPr="00873458">
        <w:t>шения занимали менее 6 месяцев</w:t>
      </w:r>
      <w:r w:rsidRPr="007E0CCC">
        <w:rPr>
          <w:rStyle w:val="FootnoteReference"/>
        </w:rPr>
        <w:footnoteReference w:id="18"/>
      </w:r>
      <w:r w:rsidRPr="00873458">
        <w:t>.</w:t>
      </w:r>
    </w:p>
    <w:p w:rsidR="005F57A6" w:rsidRDefault="005F57A6" w:rsidP="007D4423">
      <w:pPr>
        <w:pStyle w:val="SingleTxt"/>
      </w:pPr>
      <w:r>
        <w:t>30.</w:t>
      </w:r>
      <w:r>
        <w:tab/>
        <w:t>В течение рассматриваемого периода были проведены различные образ</w:t>
      </w:r>
      <w:r>
        <w:t>о</w:t>
      </w:r>
      <w:r>
        <w:t>вательные и учебные курсы по вопросам насилия в отношении женщин и предотвращения насилия в семье. Центр подготовки судей играет важную роль в области образования и профессиональной подготовки, поскольку он отвечает за проведение учебной подготовки по вопросам предотвращения насилия в с</w:t>
      </w:r>
      <w:r>
        <w:t>е</w:t>
      </w:r>
      <w:r>
        <w:t>мье в с</w:t>
      </w:r>
      <w:r>
        <w:t>о</w:t>
      </w:r>
      <w:r>
        <w:t>ответствии с законом о предупреждении насилия в семье. В 2008 году был о</w:t>
      </w:r>
      <w:r>
        <w:t>р</w:t>
      </w:r>
      <w:r>
        <w:t>ганизован семинар по вопросам предотвращения насилия в семье, в ходе которого был представлен закон о предупреждении насилия в семье; в 2009 году в сотрудничестве с Ассоциацией государственных обвинителей Сл</w:t>
      </w:r>
      <w:r>
        <w:t>о</w:t>
      </w:r>
      <w:r>
        <w:t>вении было организовано двухдневное заседание группы экспертов на тему «Насилие в семье», предназначенное для работников прокуратуры; в ходе двухдневного мероприятия под названием «Дни судебных органов» были пре</w:t>
      </w:r>
      <w:r>
        <w:t>д</w:t>
      </w:r>
      <w:r>
        <w:t>ставлены новые элементы семейного законодательства, в том числе в отнош</w:t>
      </w:r>
      <w:r>
        <w:t>е</w:t>
      </w:r>
      <w:r>
        <w:t>нии насилия в семье. В 2010 году Центр подготовки судей организовал обсу</w:t>
      </w:r>
      <w:r>
        <w:t>ж</w:t>
      </w:r>
      <w:r>
        <w:t>дение на тему «Открытые вопросы, касающиеся применения закона о пред</w:t>
      </w:r>
      <w:r>
        <w:t>у</w:t>
      </w:r>
      <w:r>
        <w:t>преждении нас</w:t>
      </w:r>
      <w:r>
        <w:t>и</w:t>
      </w:r>
      <w:r>
        <w:t>лия в семье» и двухдневный семинар под названием «Насилие в семье». При осуществлении профессиональной подготовки также были учт</w:t>
      </w:r>
      <w:r>
        <w:t>е</w:t>
      </w:r>
      <w:r>
        <w:t>ны конкретные группы вопросов, связанных с применением закона о пред</w:t>
      </w:r>
      <w:r>
        <w:t>у</w:t>
      </w:r>
      <w:r>
        <w:t>преждении насилия в семье, уголовно-процессуальным кодексом и законом о полиции. В 2011 году в сотрудничестве с Центром юридической информации была проведена уче</w:t>
      </w:r>
      <w:r>
        <w:t>б</w:t>
      </w:r>
      <w:r>
        <w:t>ная подготовка для неправительственных организаций на тему «Эффективное сотрудничество по вопросам насилия в семье»; в сотру</w:t>
      </w:r>
      <w:r>
        <w:t>д</w:t>
      </w:r>
      <w:r>
        <w:t>ничестве с Ассоциацией государственных обвинителей Словении и Главным управлением полиции были организованы консультации на тему «Насилие в отношении детей». В дополнение к обучению с упором исключительно на в</w:t>
      </w:r>
      <w:r>
        <w:t>о</w:t>
      </w:r>
      <w:r>
        <w:t>просы насилия в семье эти вопросы были также включены в курсы для судей по уголовному законодательству в 2010 году, семинары для судей, ведущих с</w:t>
      </w:r>
      <w:r>
        <w:t>у</w:t>
      </w:r>
      <w:r>
        <w:t>дебное расследование, и учебную подготовку на тему «Роль и значение гос</w:t>
      </w:r>
      <w:r>
        <w:t>у</w:t>
      </w:r>
      <w:r>
        <w:t xml:space="preserve">дарственного обвинителя для жертв уголовных преступлений и пострадавших сторон». </w:t>
      </w:r>
    </w:p>
    <w:p w:rsidR="005F57A6" w:rsidRDefault="005F57A6" w:rsidP="007D4423">
      <w:pPr>
        <w:pStyle w:val="SingleTxt"/>
      </w:pPr>
      <w:r>
        <w:t>31.</w:t>
      </w:r>
      <w:r>
        <w:tab/>
        <w:t>Как упоминалось в предыдущем докладе, полиция создала систему рег</w:t>
      </w:r>
      <w:r>
        <w:t>у</w:t>
      </w:r>
      <w:r>
        <w:t>лярной ежегодной профессиональной подготовки сотрудников полиции, в том числе профессиональной подготовки и специализации по проблемам насилия в семье и насилия в отношении детей и женщин. Главное управл</w:t>
      </w:r>
      <w:r>
        <w:t>е</w:t>
      </w:r>
      <w:r>
        <w:t>ние полиции и отдельные полицейские управления провели совещания за круглым столом и консультативные совещания по вопросам насилия в семье. Полиция проводит различные мероприятия, такие как кампании и выпуск плакатов и проспектов в целях распространения информации о возможностях пред</w:t>
      </w:r>
      <w:r>
        <w:t>у</w:t>
      </w:r>
      <w:r>
        <w:t>преждения насилия и обеспечения надлежащих мер реагирования на насилие. Одно из наиболее широко известных мероприятий министерства внутренних дел и/или полиции в 2009 году было проведено в сотрудничестве с неправительственными орган</w:t>
      </w:r>
      <w:r>
        <w:t>и</w:t>
      </w:r>
      <w:r>
        <w:t>зациями. Кампания по предупреждению насилия в отношении женщин «Ты меня слышишь?» привлекла внимание к вопросу недопустимости насилия и призывала потерпевших как можно скорее обращаться за помощью, а всех остальных — не закрывать глаза на эту проблему, когда они знают о ее сущ</w:t>
      </w:r>
      <w:r>
        <w:t>е</w:t>
      </w:r>
      <w:r>
        <w:t>ствовании в своей среде, и играть активную роль в борьбе против насилия; кампания также призывала таких правонарушителей брать на себя ответстве</w:t>
      </w:r>
      <w:r>
        <w:t>н</w:t>
      </w:r>
      <w:r>
        <w:t xml:space="preserve">ность за свои действия. </w:t>
      </w:r>
    </w:p>
    <w:p w:rsidR="005F57A6" w:rsidRDefault="005F57A6" w:rsidP="007D4423">
      <w:pPr>
        <w:pStyle w:val="SingleTxt"/>
      </w:pPr>
      <w:r>
        <w:t>32.</w:t>
      </w:r>
      <w:r>
        <w:tab/>
        <w:t>Министерство труда, по вопросам семьи, социальных дел и равных во</w:t>
      </w:r>
      <w:r>
        <w:t>з</w:t>
      </w:r>
      <w:r>
        <w:t>можностей также играет важную роль в области образования и повышения уровня информированности. В 2010 году были проведены два семинара по предупреждению насилия в семье для специалистов, работающих в центрах социальной работы, убежищах, домах матери и ребенка и временных приютах. и координаторов</w:t>
      </w:r>
      <w:r w:rsidRPr="007E0CCC">
        <w:rPr>
          <w:rStyle w:val="FootnoteReference"/>
        </w:rPr>
        <w:footnoteReference w:id="19"/>
      </w:r>
      <w:r>
        <w:t>. Упор делался на работу с жертвами преступлений и вино</w:t>
      </w:r>
      <w:r>
        <w:t>в</w:t>
      </w:r>
      <w:r>
        <w:t>ными в насилии. В 2011 году были проведены два семинара по предупрежд</w:t>
      </w:r>
      <w:r>
        <w:t>е</w:t>
      </w:r>
      <w:r>
        <w:t>нию насилия в семье и один по предотвращению насилия в отношении пож</w:t>
      </w:r>
      <w:r>
        <w:t>и</w:t>
      </w:r>
      <w:r>
        <w:t>лых людей.</w:t>
      </w:r>
    </w:p>
    <w:p w:rsidR="005F57A6" w:rsidRDefault="005F57A6" w:rsidP="007D4423">
      <w:pPr>
        <w:pStyle w:val="SingleTxt"/>
      </w:pPr>
      <w:r>
        <w:t>33.</w:t>
      </w:r>
      <w:r>
        <w:tab/>
        <w:t>В последние годы возрос потенциал в области предоставления убежища для жертв насилия. В 2012 году министерство труда, по вопросам семьи, соц</w:t>
      </w:r>
      <w:r>
        <w:t>и</w:t>
      </w:r>
      <w:r>
        <w:t>альных дел и равных возможностей выступило в качестве одного из спонсоров программ строительства 20 приютов, убежищ, укрытий и родильных домов, обеспечив примерно 445 койко-мест. Один приют оборудован для приема и</w:t>
      </w:r>
      <w:r>
        <w:t>н</w:t>
      </w:r>
      <w:r>
        <w:t>валидов, а другой служит кризисным центром для размещения пожилых л</w:t>
      </w:r>
      <w:r>
        <w:t>ю</w:t>
      </w:r>
      <w:r>
        <w:t>дей.</w:t>
      </w:r>
    </w:p>
    <w:p w:rsidR="005F57A6" w:rsidRDefault="005F57A6" w:rsidP="007D4423">
      <w:pPr>
        <w:pStyle w:val="SingleTxt"/>
      </w:pPr>
      <w:r>
        <w:t>34.</w:t>
      </w:r>
      <w:r>
        <w:tab/>
        <w:t>В рамках деятельности министерства труда, по вопросам семьи, социал</w:t>
      </w:r>
      <w:r>
        <w:t>ь</w:t>
      </w:r>
      <w:r>
        <w:t>ных дел и равных возможностей проводились различные превентивные камп</w:t>
      </w:r>
      <w:r>
        <w:t>а</w:t>
      </w:r>
      <w:r>
        <w:t>нии с целью поощрения жизни без насилия. Были выпущены проспекты для лиц, которые подверглись насилию, буклеты о запретительных судебных пр</w:t>
      </w:r>
      <w:r>
        <w:t>и</w:t>
      </w:r>
      <w:r>
        <w:t>казах для конкретных мест или лиц и информативные буклеты для правонар</w:t>
      </w:r>
      <w:r>
        <w:t>у</w:t>
      </w:r>
      <w:r>
        <w:t>шителей. Они были переведены на несколько языков, включая язык рома. Были выпущены буклеты для учеников всех начальных школ под названием «Дава</w:t>
      </w:r>
      <w:r>
        <w:t>й</w:t>
      </w:r>
      <w:r>
        <w:t>те создадим общество, свободное от насилия». В своих ежегодных обществе</w:t>
      </w:r>
      <w:r>
        <w:t>н</w:t>
      </w:r>
      <w:r>
        <w:t>ных призывах в контексте программ поддержки семьи министерство софина</w:t>
      </w:r>
      <w:r>
        <w:t>н</w:t>
      </w:r>
      <w:r>
        <w:t>сировало программы в области семейного посредничества и семейных це</w:t>
      </w:r>
      <w:r>
        <w:t>н</w:t>
      </w:r>
      <w:r>
        <w:t xml:space="preserve">тров. </w:t>
      </w:r>
    </w:p>
    <w:p w:rsidR="005F57A6" w:rsidRDefault="005F57A6" w:rsidP="007D4423">
      <w:pPr>
        <w:pStyle w:val="SingleTxt"/>
      </w:pPr>
      <w:r>
        <w:t>35.</w:t>
      </w:r>
      <w:r>
        <w:tab/>
        <w:t>В течение отчетного периода Управление по вопросам равных возможн</w:t>
      </w:r>
      <w:r>
        <w:t>о</w:t>
      </w:r>
      <w:r>
        <w:t>стей провело различные мероприятия по предупреждению насилия в отнош</w:t>
      </w:r>
      <w:r>
        <w:t>е</w:t>
      </w:r>
      <w:r>
        <w:t>нии женщин. Помимо первого обследования по вопросу насилия в отношении женщин (см. более подробно в пункте 29), результаты которого были предста</w:t>
      </w:r>
      <w:r>
        <w:t>в</w:t>
      </w:r>
      <w:r>
        <w:t>лены в ходе общественных консультаций, Управление приступило к решению менее известных проблем, касающихся деятельности по предупреждению и искоренению насилия в отношении девочек и женщин. В 2008 году оно пров</w:t>
      </w:r>
      <w:r>
        <w:t>е</w:t>
      </w:r>
      <w:r>
        <w:t>ло исследование и дискуссии по вопросу о насилии в отношении инвалидов; в 2010 году оно организовало обсуждение по теме насилия во время свиданий под названием «Только в этот раз» и подготовило материалы для повышения осведомленности в этом вопросе. Обсуждения темы насилия во время свид</w:t>
      </w:r>
      <w:r>
        <w:t>а</w:t>
      </w:r>
      <w:r>
        <w:t>ний были нацелены на аудиторию консультантов в начальных и средних шк</w:t>
      </w:r>
      <w:r>
        <w:t>о</w:t>
      </w:r>
      <w:r>
        <w:t>лах, сотрудников центров социальной помощи, медицинских работников, п</w:t>
      </w:r>
      <w:r>
        <w:t>о</w:t>
      </w:r>
      <w:r>
        <w:t>лицейских, прокуроров, сотрудников неправительственных организаций и др</w:t>
      </w:r>
      <w:r>
        <w:t>у</w:t>
      </w:r>
      <w:r>
        <w:t>гих представителей заинтересованной общественности. Проспект под назван</w:t>
      </w:r>
      <w:r>
        <w:t>и</w:t>
      </w:r>
      <w:r>
        <w:t>ем «Вы ходите на свидания?» был издан для учеников средней школы и ст</w:t>
      </w:r>
      <w:r>
        <w:t>у</w:t>
      </w:r>
      <w:r>
        <w:t>дентов высших учебных заведений, в то время как для учеников начальных школ была выпущена специальная брошюра, посвященная вопр</w:t>
      </w:r>
      <w:r>
        <w:t>о</w:t>
      </w:r>
      <w:r>
        <w:t>су насилия во время свиданий.</w:t>
      </w:r>
    </w:p>
    <w:p w:rsidR="005F57A6" w:rsidRDefault="005F57A6" w:rsidP="007D4423">
      <w:pPr>
        <w:pStyle w:val="SingleTxt"/>
      </w:pPr>
      <w:r>
        <w:t>36.</w:t>
      </w:r>
      <w:r>
        <w:tab/>
        <w:t>В 2008–2012 годах Управление по вопросам равных возможностей оказ</w:t>
      </w:r>
      <w:r>
        <w:t>а</w:t>
      </w:r>
      <w:r>
        <w:t>ло финансовую поддержку в осуществлении 13 проектов в области борьбы с насилием в отношении женщин посредством публичного приглашения к уч</w:t>
      </w:r>
      <w:r>
        <w:t>а</w:t>
      </w:r>
      <w:r>
        <w:t>стию в конкурсе на совместное финансирование проектов неправительстве</w:t>
      </w:r>
      <w:r>
        <w:t>н</w:t>
      </w:r>
      <w:r>
        <w:t>ных организаций. Среди прочего проекты были нацелены на выявление и ра</w:t>
      </w:r>
      <w:r>
        <w:t>с</w:t>
      </w:r>
      <w:r>
        <w:t>смотрение случаев насилия в отношении пожилых людей, функционирование группы самопомощи, учебные курсы для подростков на темы, связанные с насилием в отношении женщин, предоставление индивидуальных и коллекти</w:t>
      </w:r>
      <w:r>
        <w:t>в</w:t>
      </w:r>
      <w:r>
        <w:t>ных консультаций и оказание помощи жертвам насилия, предотвращение нас</w:t>
      </w:r>
      <w:r>
        <w:t>и</w:t>
      </w:r>
      <w:r>
        <w:t xml:space="preserve">лия и повышение уровня информированности широкой общественности. </w:t>
      </w:r>
    </w:p>
    <w:p w:rsidR="005F57A6" w:rsidRDefault="005F57A6" w:rsidP="007D4423">
      <w:pPr>
        <w:pStyle w:val="SingleTxt"/>
      </w:pPr>
      <w:r>
        <w:t>37.</w:t>
      </w:r>
      <w:r>
        <w:tab/>
        <w:t>Министерство образования, науки и спорта участвует в ряде мероприятий профилактики насилия с 2008 года. Помимо различных учебных курсов, п</w:t>
      </w:r>
      <w:r>
        <w:t>о</w:t>
      </w:r>
      <w:r>
        <w:t>священных насилию со стороны сверстников и ненасильственному общению для улучшения взаимоотношений и ненасильственному урегулированию ко</w:t>
      </w:r>
      <w:r>
        <w:t>н</w:t>
      </w:r>
      <w:r>
        <w:t>фликтов в межличностных отношениях, специалисты в области образования также прошли подготовку в области оказания помощи в случаях насилия в с</w:t>
      </w:r>
      <w:r>
        <w:t>е</w:t>
      </w:r>
      <w:r>
        <w:t>мье. Проведением учебной подготовки, направленной, в том числе, на надл</w:t>
      </w:r>
      <w:r>
        <w:t>е</w:t>
      </w:r>
      <w:r>
        <w:t>жащее расширение возможностей специалистов в целях выявления, предо</w:t>
      </w:r>
      <w:r>
        <w:t>т</w:t>
      </w:r>
      <w:r>
        <w:t xml:space="preserve">вращения и борьбы с насилием в семье, занимался Институт криминологии; в качестве инструкторов по подготовке инструкторов участники впоследствии распространили приобретенные знания в своих учебных заведениях. </w:t>
      </w:r>
    </w:p>
    <w:p w:rsidR="005F57A6" w:rsidRDefault="005F57A6" w:rsidP="007D4423">
      <w:pPr>
        <w:pStyle w:val="SingleTxt"/>
      </w:pPr>
      <w:r>
        <w:t>38.</w:t>
      </w:r>
      <w:r>
        <w:tab/>
        <w:t>Работающие в этой области неправительственные организации играют неоценимую роль в предупреждении и искоренении насилия в отношении женщин и насилия в семье, поэтому сотрудничество с этими организациями имеет огромную важность. Образовательные, исследовательские и другие учреждения, международные неправительственные организации и средства массовой информации также играют активную роль в предотвращении насилия в отношении женщин и насилия в семье.</w:t>
      </w:r>
    </w:p>
    <w:p w:rsidR="005F57A6" w:rsidRPr="00314899" w:rsidRDefault="005F57A6" w:rsidP="007D4423">
      <w:pPr>
        <w:pStyle w:val="SingleTxt"/>
        <w:spacing w:after="0" w:line="120" w:lineRule="exact"/>
        <w:rPr>
          <w:sz w:val="10"/>
        </w:rPr>
      </w:pPr>
    </w:p>
    <w:p w:rsidR="005F57A6" w:rsidRDefault="005F57A6" w:rsidP="007D44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Сексуальные домогательства на рабочем месте</w:t>
      </w:r>
    </w:p>
    <w:p w:rsidR="005F57A6" w:rsidRPr="00314899" w:rsidRDefault="005F57A6" w:rsidP="007D4423">
      <w:pPr>
        <w:pStyle w:val="SingleTxt"/>
        <w:spacing w:after="0" w:line="120" w:lineRule="exact"/>
        <w:rPr>
          <w:sz w:val="10"/>
        </w:rPr>
      </w:pPr>
    </w:p>
    <w:p w:rsidR="005F57A6" w:rsidRDefault="005F57A6" w:rsidP="007D4423">
      <w:pPr>
        <w:pStyle w:val="SingleTxt"/>
      </w:pPr>
      <w:r>
        <w:t>39.</w:t>
      </w:r>
      <w:r>
        <w:tab/>
        <w:t>Принятая в 2007 году статья 6а закона, вносящего поправки в закон об отношениях в сфере занятости, запрещает сексуальное и иное домог</w:t>
      </w:r>
      <w:r>
        <w:t>а</w:t>
      </w:r>
      <w:r>
        <w:t>тельство и преследование на рабочем месте. Принятая в 2002 году статья 45 закона об отношениях в сфере занятости, о которой сообщалось в предыдущем докладе, была дополнена в целях обеспечения защиты достоинства трудящихся на раб</w:t>
      </w:r>
      <w:r>
        <w:t>о</w:t>
      </w:r>
      <w:r>
        <w:t>чем месте. В 2013 году был принят новый закон о трудовых отношен</w:t>
      </w:r>
      <w:r>
        <w:t>и</w:t>
      </w:r>
      <w:r>
        <w:t>ях; он не привнес каких-либо существенных изменений в положения о сексуальном и других формах домогательства и преследования на рабочем месте. Статья 7 этого закона предусматривает запрет на любое сексуальное или иное домог</w:t>
      </w:r>
      <w:r>
        <w:t>а</w:t>
      </w:r>
      <w:r>
        <w:t>тельство и преследование и оговаривает такое поведение. Сексуальное домог</w:t>
      </w:r>
      <w:r>
        <w:t>а</w:t>
      </w:r>
      <w:r>
        <w:t>тельство определяется как любая форма нежелательных словесных, неслове</w:t>
      </w:r>
      <w:r>
        <w:t>с</w:t>
      </w:r>
      <w:r>
        <w:t>ных или физических действий или поведения сексуального характера, име</w:t>
      </w:r>
      <w:r>
        <w:t>ю</w:t>
      </w:r>
      <w:r>
        <w:t>щая своим результатом или целью оскорбление достоинства того или иного лица, особенно когда это создает обстановку запугивания, враждебности, ун</w:t>
      </w:r>
      <w:r>
        <w:t>и</w:t>
      </w:r>
      <w:r>
        <w:t>жения или оскорбления. Домогательство определяется как любая форма неж</w:t>
      </w:r>
      <w:r>
        <w:t>е</w:t>
      </w:r>
      <w:r>
        <w:t>лательного поведения, связанная с любыми личными обстоятельствами и им</w:t>
      </w:r>
      <w:r>
        <w:t>е</w:t>
      </w:r>
      <w:r>
        <w:t>ющая своим результатом или целью оскорбление достоинства того или иного лица или создание обстановки запугивания, враждебности, унижения или оскорбления. Преследование на рабочем месте представляет собой повторя</w:t>
      </w:r>
      <w:r>
        <w:t>ю</w:t>
      </w:r>
      <w:r>
        <w:t>щееся или систематическое некорректное или явно негативное и оскорбител</w:t>
      </w:r>
      <w:r>
        <w:t>ь</w:t>
      </w:r>
      <w:r>
        <w:t>ное обращение или поведение в отношении отдельных работников на р</w:t>
      </w:r>
      <w:r>
        <w:t>а</w:t>
      </w:r>
      <w:r>
        <w:t>бочем месте или в связи с работой. Сексуальное и другие формы домогательства сч</w:t>
      </w:r>
      <w:r>
        <w:t>и</w:t>
      </w:r>
      <w:r>
        <w:t>таются дискриминационными; неприятие таких действий или поведения со стороны пострадавшего кандидата на работу или работника не могут служить основанием для дискриминации при найме на работу или в процессе работы. Сотрудники, ставшие жертвами преследования, не должны сталкиваться с н</w:t>
      </w:r>
      <w:r>
        <w:t>е</w:t>
      </w:r>
      <w:r>
        <w:t>благоприятными последствиями действий, направленных на вын</w:t>
      </w:r>
      <w:r>
        <w:t>е</w:t>
      </w:r>
      <w:r>
        <w:t>сение запрета на преследование на рабочем месте. Статья 45 была перенумерована в ст</w:t>
      </w:r>
      <w:r>
        <w:t>а</w:t>
      </w:r>
      <w:r>
        <w:t>тью 47 нового закона о трудовых отношениях и дополнена обязанностью раб</w:t>
      </w:r>
      <w:r>
        <w:t>о</w:t>
      </w:r>
      <w:r>
        <w:t>тодателя информировать работников о мерах, гарантирующих такую рабочую атмосферу, в которой ни один работник не подвергается сексуальному или иной форме домогательства и преследования со стороны работодателя, начал</w:t>
      </w:r>
      <w:r>
        <w:t>ь</w:t>
      </w:r>
      <w:r>
        <w:t>ника или сослуживцев; работодатель должен предоставлять информацию в д</w:t>
      </w:r>
      <w:r>
        <w:t>о</w:t>
      </w:r>
      <w:r>
        <w:t>ступном виде (например, на доске объявлений в офисных помещениях работ</w:t>
      </w:r>
      <w:r>
        <w:t>о</w:t>
      </w:r>
      <w:r>
        <w:t>дателя или с помощью информационных техн</w:t>
      </w:r>
      <w:r>
        <w:t>о</w:t>
      </w:r>
      <w:r>
        <w:t xml:space="preserve">логий). </w:t>
      </w:r>
    </w:p>
    <w:p w:rsidR="005F57A6" w:rsidRDefault="005F57A6" w:rsidP="007D4423">
      <w:pPr>
        <w:pStyle w:val="SingleTxt"/>
      </w:pPr>
      <w:r>
        <w:t>40.</w:t>
      </w:r>
      <w:r>
        <w:tab/>
        <w:t>Принятая в 2011 году статья 23 закона о гигиене и технике безопасности на рабочем месте обязывает работодателей на рабочих местах с повышенным риском насилия обеспечивать такие условия и предоставлять такое оборудов</w:t>
      </w:r>
      <w:r>
        <w:t>а</w:t>
      </w:r>
      <w:r>
        <w:t>ние, которые уменьшают риск насилия и содействуют оказанию помощи на р</w:t>
      </w:r>
      <w:r>
        <w:t>а</w:t>
      </w:r>
      <w:r>
        <w:t>бочих местах, входящих в группу риска. Работодатели обязаны разработать процедуры действий в случае насилия и информировать о таковых работников таких предприятий. Работодатели также должны принять меры в целях предо</w:t>
      </w:r>
      <w:r>
        <w:t>т</w:t>
      </w:r>
      <w:r>
        <w:t>вращения, ликвидации и контроля случаев насилия, преследования, запугив</w:t>
      </w:r>
      <w:r>
        <w:t>а</w:t>
      </w:r>
      <w:r>
        <w:t>ния и других видов психосоциальных рисков на рабочих местах, которые мо</w:t>
      </w:r>
      <w:r>
        <w:t>г</w:t>
      </w:r>
      <w:r>
        <w:t xml:space="preserve">ли бы поставить под угрозу здоровье работников (статья 24). </w:t>
      </w:r>
    </w:p>
    <w:p w:rsidR="005F57A6" w:rsidRDefault="005F57A6" w:rsidP="007D4423">
      <w:pPr>
        <w:pStyle w:val="SingleTxt"/>
      </w:pPr>
      <w:r>
        <w:t>41.</w:t>
      </w:r>
      <w:r>
        <w:tab/>
        <w:t>С целью обеспечить надлежащую обстановку на рабочем месте, свобо</w:t>
      </w:r>
      <w:r>
        <w:t>д</w:t>
      </w:r>
      <w:r>
        <w:t>ную от сексуального и других домогательств и преследования, в 2009 году правительство приняло указ о мерах, направленных на защиту достоинства р</w:t>
      </w:r>
      <w:r>
        <w:t>а</w:t>
      </w:r>
      <w:r>
        <w:t>ботников государственного управления. Указ предусматривает меры по предотвращению сексуального и иного домогательства или преследования на рабочем месте и меры на случаи, когда сексуальное или иное домогательство и преследование уже имели место. Каждый орган должен определить заранее подготовленных консультантов для оказания помощи и предоставления и</w:t>
      </w:r>
      <w:r>
        <w:t>н</w:t>
      </w:r>
      <w:r>
        <w:t>формации. На сегодняшний день почти 500 человек прошли подготовку для работы консультантами, организованную ранее Управлением по вопросам ра</w:t>
      </w:r>
      <w:r>
        <w:t>в</w:t>
      </w:r>
      <w:r>
        <w:t>ных возможностей и в настоящее время министерством труда, по вопросам с</w:t>
      </w:r>
      <w:r>
        <w:t>е</w:t>
      </w:r>
      <w:r>
        <w:t>мьи, социальных дел и равных возможностей. Управление по вопросам равных возможностей подготовило и опубликовало руководящие принципы по защите работников от сексуальных домогательств и других форм преследования или преследования на рабочем месте.</w:t>
      </w:r>
    </w:p>
    <w:p w:rsidR="005F57A6" w:rsidRDefault="005F57A6" w:rsidP="007D4423">
      <w:pPr>
        <w:pStyle w:val="SingleTxt"/>
      </w:pPr>
      <w:r>
        <w:t>42.</w:t>
      </w:r>
      <w:r>
        <w:tab/>
        <w:t>В мае 2009 года Управление по вопросам равных возможностей организ</w:t>
      </w:r>
      <w:r>
        <w:t>о</w:t>
      </w:r>
      <w:r>
        <w:t>вало обсуждение на тему «Защита достоинства работников — от законодател</w:t>
      </w:r>
      <w:r>
        <w:t>ь</w:t>
      </w:r>
      <w:r>
        <w:t>ства к практике»; информация о законодательстве и осуществляемых Управл</w:t>
      </w:r>
      <w:r>
        <w:t>е</w:t>
      </w:r>
      <w:r>
        <w:t>нием по вопросам равных возможностей мерах по предотвращению и искор</w:t>
      </w:r>
      <w:r>
        <w:t>е</w:t>
      </w:r>
      <w:r>
        <w:t>нению сексуального насилия и других форм домогательств и преследования на рабочем месте была представлена наряду с результатами анализа механизмов, принятых работодателями для предупреждения и искоренения сексуального и других форм домогательств и преследования на рабочем месте; также были представлены примеры передовой практики и задач и функций инспекции по вопросам труда, профсоюзов и работодателей. Обсуждения были нацелены на аудиторию работодателей, деятелей профсоюзов, юристов, специалистов в о</w:t>
      </w:r>
      <w:r>
        <w:t>б</w:t>
      </w:r>
      <w:r>
        <w:t>ласти людских ресурсов, а также профессионалов и представителей общ</w:t>
      </w:r>
      <w:r>
        <w:t>е</w:t>
      </w:r>
      <w:r>
        <w:t>ственности (полиция, органы правосудия, неправител</w:t>
      </w:r>
      <w:r>
        <w:t>ь</w:t>
      </w:r>
      <w:r>
        <w:t xml:space="preserve">ственные организации). </w:t>
      </w:r>
    </w:p>
    <w:p w:rsidR="005F57A6" w:rsidRDefault="005F57A6" w:rsidP="007D4423">
      <w:pPr>
        <w:pStyle w:val="SingleTxt"/>
      </w:pPr>
      <w:r>
        <w:t>43.</w:t>
      </w:r>
      <w:r>
        <w:tab/>
        <w:t>Инспекторы по вопросам труда редко выявляли нарушения, связанные с сексуальным или иными видами домогательства и преследования. Это может объясняться тем, что на практике трудно доказать факт домогательства и пр</w:t>
      </w:r>
      <w:r>
        <w:t>е</w:t>
      </w:r>
      <w:r>
        <w:t>следования на рабочем месте. Инспекторам по вопросам труда гораздо легче установить, обеспечивает ли работодатель защиту от сексуальных и других форм домогательства и преследования на рабочем месте в соответствии с ранее применимой статьей 45 или применяемой в настоящее время статьей 47 зак</w:t>
      </w:r>
      <w:r>
        <w:t>о</w:t>
      </w:r>
      <w:r>
        <w:t>на об отношениях в сфере занятости; в 2012 году было установлено 60 нар</w:t>
      </w:r>
      <w:r>
        <w:t>у</w:t>
      </w:r>
      <w:r>
        <w:t>шений этого положения</w:t>
      </w:r>
      <w:r w:rsidRPr="007E0CCC">
        <w:rPr>
          <w:rStyle w:val="FootnoteReference"/>
        </w:rPr>
        <w:footnoteReference w:id="20"/>
      </w:r>
      <w:r>
        <w:t>.</w:t>
      </w:r>
    </w:p>
    <w:p w:rsidR="005F57A6" w:rsidRPr="005F57A6" w:rsidRDefault="005F57A6" w:rsidP="005F57A6">
      <w:pPr>
        <w:pStyle w:val="SingleTxt"/>
        <w:spacing w:after="0" w:line="120" w:lineRule="exact"/>
        <w:rPr>
          <w:sz w:val="10"/>
        </w:rPr>
      </w:pPr>
    </w:p>
    <w:p w:rsidR="005F57A6" w:rsidRPr="005F57A6" w:rsidRDefault="005F57A6" w:rsidP="005F57A6">
      <w:pPr>
        <w:pStyle w:val="SingleTxt"/>
        <w:spacing w:after="0" w:line="120" w:lineRule="exact"/>
        <w:rPr>
          <w:sz w:val="10"/>
        </w:rPr>
      </w:pPr>
    </w:p>
    <w:p w:rsidR="005F57A6" w:rsidRPr="009C54EB" w:rsidRDefault="005F57A6" w:rsidP="005F57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9C54EB">
        <w:t>Статья 6</w:t>
      </w:r>
      <w:r w:rsidRPr="009C54EB">
        <w:br/>
        <w:t>Торговля женщинами и эксплуатация проституции</w:t>
      </w:r>
    </w:p>
    <w:p w:rsidR="005F57A6" w:rsidRPr="005F57A6" w:rsidRDefault="005F57A6" w:rsidP="005F57A6">
      <w:pPr>
        <w:pStyle w:val="SingleTxt"/>
        <w:spacing w:after="0" w:line="120" w:lineRule="exact"/>
        <w:rPr>
          <w:sz w:val="10"/>
        </w:rPr>
      </w:pPr>
    </w:p>
    <w:p w:rsidR="005F57A6" w:rsidRPr="009C54EB" w:rsidRDefault="005F57A6" w:rsidP="007D4423">
      <w:pPr>
        <w:pStyle w:val="SingleTxt"/>
        <w:spacing w:after="0" w:line="120" w:lineRule="exact"/>
        <w:rPr>
          <w:sz w:val="10"/>
        </w:rPr>
      </w:pPr>
    </w:p>
    <w:p w:rsidR="005F57A6" w:rsidRPr="009C54EB" w:rsidRDefault="005F57A6" w:rsidP="007D4423">
      <w:pPr>
        <w:pStyle w:val="SingleTxt"/>
      </w:pPr>
      <w:r w:rsidRPr="009C54EB">
        <w:t>44.</w:t>
      </w:r>
      <w:r w:rsidRPr="009C54EB">
        <w:tab/>
        <w:t>В 2008 году был принят новый Уголовный кодекс; в нем не было внесено никаких изменений в статьи</w:t>
      </w:r>
      <w:r>
        <w:t xml:space="preserve"> об</w:t>
      </w:r>
      <w:r w:rsidRPr="009C54EB">
        <w:t xml:space="preserve"> уголовны</w:t>
      </w:r>
      <w:r>
        <w:t>х</w:t>
      </w:r>
      <w:r w:rsidRPr="009C54EB">
        <w:t xml:space="preserve"> преступления</w:t>
      </w:r>
      <w:r>
        <w:t>х</w:t>
      </w:r>
      <w:r w:rsidRPr="009C54EB">
        <w:t xml:space="preserve">, </w:t>
      </w:r>
      <w:r>
        <w:t>которые имеют с</w:t>
      </w:r>
      <w:r>
        <w:t>а</w:t>
      </w:r>
      <w:r>
        <w:t xml:space="preserve">мое актуальное значение для борьбы </w:t>
      </w:r>
      <w:r w:rsidRPr="009C54EB">
        <w:t>с торговлей людьми и информация о к</w:t>
      </w:r>
      <w:r w:rsidRPr="009C54EB">
        <w:t>о</w:t>
      </w:r>
      <w:r w:rsidRPr="009C54EB">
        <w:t>торых была представлена в четвертом периодическом докладе. Внесенные п</w:t>
      </w:r>
      <w:r w:rsidRPr="009C54EB">
        <w:t>о</w:t>
      </w:r>
      <w:r w:rsidRPr="009C54EB">
        <w:t>правки касались только нумерации отдельных статей, упомянутых в четве</w:t>
      </w:r>
      <w:r w:rsidRPr="009C54EB">
        <w:t>р</w:t>
      </w:r>
      <w:r w:rsidRPr="009C54EB">
        <w:t>том докладе. Статья 387a (</w:t>
      </w:r>
      <w:r>
        <w:t>«Т</w:t>
      </w:r>
      <w:r w:rsidRPr="009C54EB">
        <w:t>орговля людьми</w:t>
      </w:r>
      <w:r>
        <w:t>»</w:t>
      </w:r>
      <w:r w:rsidRPr="009C54EB">
        <w:t>) стала статьей 113, а статья</w:t>
      </w:r>
      <w:r>
        <w:t> </w:t>
      </w:r>
      <w:r w:rsidRPr="009C54EB">
        <w:t>185 (</w:t>
      </w:r>
      <w:r>
        <w:t>«Э</w:t>
      </w:r>
      <w:r w:rsidRPr="009C54EB">
        <w:t>ксплуатация проституции</w:t>
      </w:r>
      <w:r>
        <w:t>»</w:t>
      </w:r>
      <w:r w:rsidRPr="009C54EB">
        <w:t>)</w:t>
      </w:r>
      <w:r>
        <w:t xml:space="preserve"> — </w:t>
      </w:r>
      <w:r w:rsidRPr="009C54EB">
        <w:t>статьей 175. В ноябре 2011 года был принят закон о внесении поправок в Уголовный кодекс, который вступил в силу 15</w:t>
      </w:r>
      <w:r>
        <w:t> </w:t>
      </w:r>
      <w:r w:rsidRPr="009C54EB">
        <w:t>мая 2012 года; в соответствии с этим законом были внесены поправки в статью</w:t>
      </w:r>
      <w:r>
        <w:t> </w:t>
      </w:r>
      <w:r w:rsidRPr="009C54EB">
        <w:t>113 Уголовного кодекса (</w:t>
      </w:r>
      <w:r>
        <w:t>«У</w:t>
      </w:r>
      <w:r w:rsidRPr="009C54EB">
        <w:t>головн</w:t>
      </w:r>
      <w:r>
        <w:t>о</w:t>
      </w:r>
      <w:r w:rsidRPr="009C54EB">
        <w:t>е преступлени</w:t>
      </w:r>
      <w:r>
        <w:t xml:space="preserve">е </w:t>
      </w:r>
      <w:r w:rsidRPr="009C54EB">
        <w:t>торговл</w:t>
      </w:r>
      <w:r>
        <w:t>и</w:t>
      </w:r>
      <w:r w:rsidRPr="009C54EB">
        <w:t xml:space="preserve"> людьми</w:t>
      </w:r>
      <w:r>
        <w:t>»</w:t>
      </w:r>
      <w:r w:rsidRPr="009C54EB">
        <w:t>), в частн</w:t>
      </w:r>
      <w:r w:rsidRPr="009C54EB">
        <w:t>о</w:t>
      </w:r>
      <w:r w:rsidRPr="009C54EB">
        <w:t xml:space="preserve">сти в том, что касается контроля </w:t>
      </w:r>
      <w:r>
        <w:t xml:space="preserve">над </w:t>
      </w:r>
      <w:r w:rsidRPr="009C54EB">
        <w:t xml:space="preserve">жертвами и вопроса об их согласии </w:t>
      </w:r>
      <w:r>
        <w:t>на вовл</w:t>
      </w:r>
      <w:r>
        <w:t>е</w:t>
      </w:r>
      <w:r>
        <w:t xml:space="preserve">чение в </w:t>
      </w:r>
      <w:r w:rsidRPr="009C54EB">
        <w:t>торговл</w:t>
      </w:r>
      <w:r>
        <w:t>ю</w:t>
      </w:r>
      <w:r w:rsidRPr="009C54EB">
        <w:t xml:space="preserve"> людьми. В целях </w:t>
      </w:r>
      <w:r>
        <w:t xml:space="preserve">прямого рассмотрения вопроса </w:t>
      </w:r>
      <w:r w:rsidRPr="009C54EB">
        <w:t>эксплуат</w:t>
      </w:r>
      <w:r w:rsidRPr="009C54EB">
        <w:t>а</w:t>
      </w:r>
      <w:r w:rsidRPr="009C54EB">
        <w:t>ции жертв торговли людьми в статью 199 Уголовного кодекса (уголовн</w:t>
      </w:r>
      <w:r>
        <w:t>о</w:t>
      </w:r>
      <w:r w:rsidRPr="009C54EB">
        <w:t>е пр</w:t>
      </w:r>
      <w:r w:rsidRPr="009C54EB">
        <w:t>е</w:t>
      </w:r>
      <w:r w:rsidRPr="009C54EB">
        <w:t>ступлени</w:t>
      </w:r>
      <w:r>
        <w:t>е</w:t>
      </w:r>
      <w:r w:rsidRPr="009C54EB">
        <w:t xml:space="preserve"> незаконн</w:t>
      </w:r>
      <w:r>
        <w:t>ого</w:t>
      </w:r>
      <w:r w:rsidRPr="009C54EB">
        <w:t xml:space="preserve"> найм</w:t>
      </w:r>
      <w:r>
        <w:t>а</w:t>
      </w:r>
      <w:r w:rsidRPr="009C54EB">
        <w:t xml:space="preserve"> на работу) был добавлен новый третий пункт. 23</w:t>
      </w:r>
      <w:r>
        <w:t> </w:t>
      </w:r>
      <w:r w:rsidRPr="009C54EB">
        <w:t xml:space="preserve">апреля 2011 года вступил в силу новый закон о трудоустройстве и </w:t>
      </w:r>
      <w:r>
        <w:t xml:space="preserve">труде </w:t>
      </w:r>
      <w:r w:rsidRPr="009C54EB">
        <w:t xml:space="preserve">иностранцев; он обеспечивает жертвам торговли людьми, которые считаются особой группой иностранцев, доступ </w:t>
      </w:r>
      <w:r>
        <w:t>на</w:t>
      </w:r>
      <w:r w:rsidRPr="009C54EB">
        <w:t xml:space="preserve"> рын</w:t>
      </w:r>
      <w:r>
        <w:t>о</w:t>
      </w:r>
      <w:r w:rsidRPr="009C54EB">
        <w:t>к труда Словении на более благ</w:t>
      </w:r>
      <w:r w:rsidRPr="009C54EB">
        <w:t>о</w:t>
      </w:r>
      <w:r w:rsidRPr="009C54EB">
        <w:t>приятных условиях, например посредством выдачи личного разрешения на р</w:t>
      </w:r>
      <w:r w:rsidRPr="009C54EB">
        <w:t>а</w:t>
      </w:r>
      <w:r w:rsidRPr="009C54EB">
        <w:t>боту. Личные разрешения на работу выдаются жертвам торговли людьми Службой занятости Словении исключительно на основе статуса жертвы то</w:t>
      </w:r>
      <w:r w:rsidRPr="009C54EB">
        <w:t>р</w:t>
      </w:r>
      <w:r w:rsidRPr="009C54EB">
        <w:t>говли людьми без проверки каких-либо иных обстоятельств. С помощью этого разрешения жер</w:t>
      </w:r>
      <w:r w:rsidRPr="009C54EB">
        <w:t>т</w:t>
      </w:r>
      <w:r w:rsidRPr="009C54EB">
        <w:t>вы торговли людьми могут найти работу.</w:t>
      </w:r>
    </w:p>
    <w:p w:rsidR="005F57A6" w:rsidRPr="009C54EB" w:rsidRDefault="005F57A6" w:rsidP="007D4423">
      <w:pPr>
        <w:pStyle w:val="SingleTxt"/>
      </w:pPr>
      <w:r w:rsidRPr="009C54EB">
        <w:t>45.</w:t>
      </w:r>
      <w:r w:rsidRPr="009C54EB">
        <w:tab/>
        <w:t>По данным полиции, в период 2008</w:t>
      </w:r>
      <w:r>
        <w:t>–</w:t>
      </w:r>
      <w:r w:rsidRPr="009C54EB">
        <w:t>2012 годов 41 женщина и 4 мужчин были признаны потерпевшими в результате уголовного преступления, связа</w:t>
      </w:r>
      <w:r w:rsidRPr="009C54EB">
        <w:t>н</w:t>
      </w:r>
      <w:r w:rsidRPr="009C54EB">
        <w:t>ного с торговлей людьми (статья 113 Уголовного кодекса), 4 женщины и 3</w:t>
      </w:r>
      <w:r>
        <w:t xml:space="preserve"> </w:t>
      </w:r>
      <w:r w:rsidRPr="009C54EB">
        <w:t>му</w:t>
      </w:r>
      <w:r w:rsidRPr="009C54EB">
        <w:t>ж</w:t>
      </w:r>
      <w:r w:rsidRPr="009C54EB">
        <w:t>чин — уголовного преступления, связанного с рабовладением (статья 112 Уг</w:t>
      </w:r>
      <w:r w:rsidRPr="009C54EB">
        <w:t>о</w:t>
      </w:r>
      <w:r w:rsidRPr="009C54EB">
        <w:t>ловного кодекса)</w:t>
      </w:r>
      <w:r>
        <w:t>,</w:t>
      </w:r>
      <w:r w:rsidRPr="009C54EB">
        <w:t xml:space="preserve"> и 51 женщина и 4 мужчин</w:t>
      </w:r>
      <w:r>
        <w:t xml:space="preserve"> — </w:t>
      </w:r>
      <w:r w:rsidRPr="009C54EB">
        <w:t>уголовного преступления, св</w:t>
      </w:r>
      <w:r w:rsidRPr="009C54EB">
        <w:t>я</w:t>
      </w:r>
      <w:r w:rsidRPr="009C54EB">
        <w:t>занного с эксплуатацией проституции (статья 175 Уголовного кодекса). В большинстве случаев лицами, совершившими эти преступления, были мужч</w:t>
      </w:r>
      <w:r w:rsidRPr="009C54EB">
        <w:t>и</w:t>
      </w:r>
      <w:r w:rsidRPr="009C54EB">
        <w:t>ны (74 процента)</w:t>
      </w:r>
      <w:r w:rsidRPr="007E0CCC">
        <w:rPr>
          <w:rStyle w:val="FootnoteReference"/>
        </w:rPr>
        <w:footnoteReference w:id="21"/>
      </w:r>
      <w:r w:rsidRPr="009C54EB">
        <w:t>.</w:t>
      </w:r>
    </w:p>
    <w:p w:rsidR="005F57A6" w:rsidRPr="009C54EB" w:rsidRDefault="005F57A6" w:rsidP="007D4423">
      <w:pPr>
        <w:pStyle w:val="SingleTxt"/>
      </w:pPr>
      <w:r w:rsidRPr="009C54EB">
        <w:t>46.</w:t>
      </w:r>
      <w:r w:rsidRPr="009C54EB">
        <w:tab/>
        <w:t>В 2012 году полиция расследовала 4 уголовных преступления (торговля людьми)</w:t>
      </w:r>
      <w:r>
        <w:t xml:space="preserve"> по </w:t>
      </w:r>
      <w:r w:rsidRPr="009C54EB">
        <w:t>статье 113 Уголовного кодекса</w:t>
      </w:r>
      <w:r>
        <w:t>, в результате чего</w:t>
      </w:r>
      <w:r w:rsidRPr="009C54EB">
        <w:t xml:space="preserve"> обвинения в с</w:t>
      </w:r>
      <w:r w:rsidRPr="009C54EB">
        <w:t>о</w:t>
      </w:r>
      <w:r w:rsidRPr="009C54EB">
        <w:t>вершении которых были предъявлены 10 подозреваемым мужского пола, 3 п</w:t>
      </w:r>
      <w:r w:rsidRPr="009C54EB">
        <w:t>о</w:t>
      </w:r>
      <w:r w:rsidRPr="009C54EB">
        <w:t>дозреваемым женского пола и 1 юридическому лицу; кроме того, она расслед</w:t>
      </w:r>
      <w:r w:rsidRPr="009C54EB">
        <w:t>о</w:t>
      </w:r>
      <w:r w:rsidRPr="009C54EB">
        <w:t>вала 6 уголовных преступлений (эксплуатаци</w:t>
      </w:r>
      <w:r>
        <w:t>я</w:t>
      </w:r>
      <w:r w:rsidRPr="009C54EB">
        <w:t xml:space="preserve"> проституции)</w:t>
      </w:r>
      <w:r>
        <w:t xml:space="preserve"> по </w:t>
      </w:r>
      <w:r w:rsidRPr="009C54EB">
        <w:t xml:space="preserve">статье 175 Уголовного кодекса, </w:t>
      </w:r>
      <w:r>
        <w:t xml:space="preserve">в связи с чем </w:t>
      </w:r>
      <w:r w:rsidRPr="009C54EB">
        <w:t>обвинения были предъявлены 7 мужчинам и 2</w:t>
      </w:r>
      <w:r>
        <w:t> </w:t>
      </w:r>
      <w:r w:rsidRPr="009C54EB">
        <w:t>женщинам</w:t>
      </w:r>
      <w:r w:rsidRPr="007E0CCC">
        <w:rPr>
          <w:rStyle w:val="FootnoteReference"/>
        </w:rPr>
        <w:footnoteReference w:id="22"/>
      </w:r>
      <w:r w:rsidRPr="009C54EB">
        <w:t>.</w:t>
      </w:r>
    </w:p>
    <w:p w:rsidR="005F57A6" w:rsidRPr="009C54EB" w:rsidRDefault="005F57A6" w:rsidP="007D4423">
      <w:pPr>
        <w:pStyle w:val="SingleTxt"/>
      </w:pPr>
      <w:bookmarkStart w:id="1" w:name="OLE_LINK3"/>
      <w:r w:rsidRPr="009C54EB">
        <w:t>47.</w:t>
      </w:r>
      <w:r w:rsidRPr="009C54EB">
        <w:tab/>
        <w:t xml:space="preserve">В 2012 году были вынесены 8 </w:t>
      </w:r>
      <w:r>
        <w:t xml:space="preserve">приговоров по делам об </w:t>
      </w:r>
      <w:r w:rsidRPr="009C54EB">
        <w:t>уголовны</w:t>
      </w:r>
      <w:r>
        <w:t>х</w:t>
      </w:r>
      <w:r w:rsidRPr="009C54EB">
        <w:t xml:space="preserve"> пр</w:t>
      </w:r>
      <w:r w:rsidRPr="009C54EB">
        <w:t>е</w:t>
      </w:r>
      <w:r w:rsidRPr="009C54EB">
        <w:t>ступления</w:t>
      </w:r>
      <w:r>
        <w:t>х, связанных с т</w:t>
      </w:r>
      <w:r w:rsidRPr="009C54EB">
        <w:t>орговл</w:t>
      </w:r>
      <w:r>
        <w:t>ей</w:t>
      </w:r>
      <w:r w:rsidRPr="009C54EB">
        <w:t xml:space="preserve"> людьми, </w:t>
      </w:r>
      <w:r>
        <w:t>р</w:t>
      </w:r>
      <w:r w:rsidRPr="009C54EB">
        <w:t>абовладение</w:t>
      </w:r>
      <w:r>
        <w:t>м</w:t>
      </w:r>
      <w:r w:rsidRPr="009C54EB">
        <w:t xml:space="preserve"> и </w:t>
      </w:r>
      <w:r>
        <w:t>э</w:t>
      </w:r>
      <w:r w:rsidRPr="009C54EB">
        <w:t>ксплуатаци</w:t>
      </w:r>
      <w:r>
        <w:t>ей</w:t>
      </w:r>
      <w:r w:rsidRPr="009C54EB">
        <w:t xml:space="preserve"> проституции. Минимальный срок тюремного заключения составил один год, а максимальный</w:t>
      </w:r>
      <w:r>
        <w:t xml:space="preserve"> — </w:t>
      </w:r>
      <w:r w:rsidRPr="009C54EB">
        <w:t>три года и восемь месяцев.</w:t>
      </w:r>
    </w:p>
    <w:bookmarkEnd w:id="1"/>
    <w:p w:rsidR="005F57A6" w:rsidRPr="009C54EB" w:rsidRDefault="005F57A6" w:rsidP="007D4423">
      <w:pPr>
        <w:pStyle w:val="SingleTxt"/>
      </w:pPr>
      <w:r w:rsidRPr="009C54EB">
        <w:t>48.</w:t>
      </w:r>
      <w:r w:rsidRPr="009C54EB">
        <w:tab/>
        <w:t>Для государственных служащих и других целевых групп, которые сталк</w:t>
      </w:r>
      <w:r w:rsidRPr="009C54EB">
        <w:t>и</w:t>
      </w:r>
      <w:r w:rsidRPr="009C54EB">
        <w:t>ваются с этим вопросом в своей работе, были организованы многочисленные курсы профессиональной подготовки и учебные курсы, связанные с торговлей людьми. Поскольку сотрудники уголовной полиции и другие полицейские пе</w:t>
      </w:r>
      <w:r w:rsidRPr="009C54EB">
        <w:t>р</w:t>
      </w:r>
      <w:r w:rsidRPr="009C54EB">
        <w:t>выми сталкиваются с проблемой торговли людьми в своей работе, они пов</w:t>
      </w:r>
      <w:r w:rsidRPr="009C54EB">
        <w:t>ы</w:t>
      </w:r>
      <w:r w:rsidRPr="009C54EB">
        <w:t>ш</w:t>
      </w:r>
      <w:r>
        <w:t>али</w:t>
      </w:r>
      <w:r w:rsidRPr="009C54EB">
        <w:t xml:space="preserve"> </w:t>
      </w:r>
      <w:r>
        <w:t xml:space="preserve">свои знания </w:t>
      </w:r>
      <w:r w:rsidRPr="009C54EB">
        <w:t xml:space="preserve">и </w:t>
      </w:r>
      <w:r>
        <w:t xml:space="preserve">проходили </w:t>
      </w:r>
      <w:r w:rsidRPr="009C54EB">
        <w:t xml:space="preserve">подготовку по </w:t>
      </w:r>
      <w:r>
        <w:t xml:space="preserve">данной </w:t>
      </w:r>
      <w:r w:rsidRPr="009C54EB">
        <w:t>теме</w:t>
      </w:r>
      <w:r>
        <w:t xml:space="preserve"> на постоянной о</w:t>
      </w:r>
      <w:r>
        <w:t>с</w:t>
      </w:r>
      <w:r>
        <w:t>нове</w:t>
      </w:r>
      <w:r w:rsidRPr="009C54EB">
        <w:t>. Много внимания было уделено определению различных форм торговли людьми, выявлению уголовных преступлений и совершивших их лиц, расп</w:t>
      </w:r>
      <w:r w:rsidRPr="009C54EB">
        <w:t>о</w:t>
      </w:r>
      <w:r w:rsidRPr="009C54EB">
        <w:t xml:space="preserve">знаванию признаков потенциальных жертв торговли людьми и проведению специального уголовного расследования этих преступлений. </w:t>
      </w:r>
    </w:p>
    <w:p w:rsidR="005F57A6" w:rsidRPr="009C54EB" w:rsidRDefault="005F57A6" w:rsidP="007D4423">
      <w:pPr>
        <w:pStyle w:val="SingleTxt"/>
      </w:pPr>
      <w:r w:rsidRPr="009C54EB">
        <w:t>49.</w:t>
      </w:r>
      <w:r w:rsidRPr="009C54EB">
        <w:tab/>
        <w:t>Что касается предупреждения торговли людьми, то полиция эффективно сотрудничала с соответствующими НПО по вопросам, связанным с обучением и профессиональной подготовкой, а также с расследованием конкретных уг</w:t>
      </w:r>
      <w:r w:rsidRPr="009C54EB">
        <w:t>о</w:t>
      </w:r>
      <w:r w:rsidRPr="009C54EB">
        <w:t xml:space="preserve">ловных преступлений. </w:t>
      </w:r>
    </w:p>
    <w:p w:rsidR="005F57A6" w:rsidRPr="009C54EB" w:rsidRDefault="005F57A6" w:rsidP="007D4423">
      <w:pPr>
        <w:pStyle w:val="SingleTxt"/>
      </w:pPr>
      <w:r w:rsidRPr="009C54EB">
        <w:t>50.</w:t>
      </w:r>
      <w:r w:rsidRPr="009C54EB">
        <w:tab/>
        <w:t>Общество «Ключ» и словенское отделение организации «Каритас» явл</w:t>
      </w:r>
      <w:r w:rsidRPr="009C54EB">
        <w:t>я</w:t>
      </w:r>
      <w:r w:rsidRPr="009C54EB">
        <w:t>ются двумя основными неправительственными и гуманитарными организац</w:t>
      </w:r>
      <w:r w:rsidRPr="009C54EB">
        <w:t>и</w:t>
      </w:r>
      <w:r w:rsidRPr="009C54EB">
        <w:t xml:space="preserve">ями, которые проводят различные учебные курсы и курсы профессиональной подготовки и при финансовой поддержке </w:t>
      </w:r>
      <w:r>
        <w:t xml:space="preserve">компетентных </w:t>
      </w:r>
      <w:r w:rsidRPr="009C54EB">
        <w:t>министерств подде</w:t>
      </w:r>
      <w:r w:rsidRPr="009C54EB">
        <w:t>р</w:t>
      </w:r>
      <w:r w:rsidRPr="009C54EB">
        <w:t>живают и защищают жертв торговли людьми и помогают им. В 2012 и 2013 г</w:t>
      </w:r>
      <w:r w:rsidRPr="009C54EB">
        <w:t>о</w:t>
      </w:r>
      <w:r w:rsidRPr="009C54EB">
        <w:t>дах словенское отделение организации «Каритас» осуществило программу «Помощь жертвам торговли людьми</w:t>
      </w:r>
      <w:r>
        <w:t xml:space="preserve"> — </w:t>
      </w:r>
      <w:r w:rsidRPr="009C54EB">
        <w:t>временное жилье», которая была пр</w:t>
      </w:r>
      <w:r w:rsidRPr="009C54EB">
        <w:t>о</w:t>
      </w:r>
      <w:r w:rsidRPr="009C54EB">
        <w:t xml:space="preserve">финансирована </w:t>
      </w:r>
      <w:r>
        <w:t>М</w:t>
      </w:r>
      <w:r w:rsidRPr="009C54EB">
        <w:t>инистерством труда, по вопросам семьи, социальных дел и равных возможностей на сумму в размере 71 250 евро. В 2012 году в рамках программы по предоставлению временного жилья словенское отделение орг</w:t>
      </w:r>
      <w:r w:rsidRPr="009C54EB">
        <w:t>а</w:t>
      </w:r>
      <w:r w:rsidRPr="009C54EB">
        <w:t>низации «Каритас» оказало помощь в течение в общей сложности 20 дней и помогло 8 лицам, из которых 6 были женщинами; им было предоставлено ж</w:t>
      </w:r>
      <w:r w:rsidRPr="009C54EB">
        <w:t>и</w:t>
      </w:r>
      <w:r w:rsidRPr="009C54EB">
        <w:t>лье, первая социально-психологическая помощь, питание, материальная п</w:t>
      </w:r>
      <w:r w:rsidRPr="009C54EB">
        <w:t>о</w:t>
      </w:r>
      <w:r w:rsidRPr="009C54EB">
        <w:t xml:space="preserve">мощь и помощь </w:t>
      </w:r>
      <w:r>
        <w:t>для</w:t>
      </w:r>
      <w:r w:rsidRPr="009C54EB">
        <w:t xml:space="preserve"> возвращени</w:t>
      </w:r>
      <w:r>
        <w:t>я</w:t>
      </w:r>
      <w:r w:rsidRPr="009C54EB">
        <w:t xml:space="preserve"> на родину. В 2012 и 2013 годах словенское отделение организации «Каритас» также осуществило программу «Помощь жертвам торговли людьми</w:t>
      </w:r>
      <w:r>
        <w:t xml:space="preserve"> — </w:t>
      </w:r>
      <w:r w:rsidRPr="009C54EB">
        <w:t>безопасное жилье», которая была профинансир</w:t>
      </w:r>
      <w:r w:rsidRPr="009C54EB">
        <w:t>о</w:t>
      </w:r>
      <w:r w:rsidRPr="009C54EB">
        <w:t xml:space="preserve">вана </w:t>
      </w:r>
      <w:r>
        <w:t>М</w:t>
      </w:r>
      <w:r w:rsidRPr="009C54EB">
        <w:t>инистерством внутренних дел на сумму в размере 40</w:t>
      </w:r>
      <w:r>
        <w:t> </w:t>
      </w:r>
      <w:r w:rsidRPr="009C54EB">
        <w:t>000</w:t>
      </w:r>
      <w:r>
        <w:t> </w:t>
      </w:r>
      <w:r w:rsidRPr="009C54EB">
        <w:t>евро. В 2012</w:t>
      </w:r>
      <w:r>
        <w:t> </w:t>
      </w:r>
      <w:r w:rsidRPr="009C54EB">
        <w:t>году в безопасных жилых помещениях были размещены 4 женщины, и в течение 395 дней им там оказывалась помощь. Лицам, проживавшим в бе</w:t>
      </w:r>
      <w:r w:rsidRPr="009C54EB">
        <w:t>з</w:t>
      </w:r>
      <w:r w:rsidRPr="009C54EB">
        <w:t>о</w:t>
      </w:r>
      <w:r>
        <w:softHyphen/>
      </w:r>
      <w:r w:rsidRPr="009C54EB">
        <w:t>пасных жилых помещениях, был</w:t>
      </w:r>
      <w:r>
        <w:t>и</w:t>
      </w:r>
      <w:r w:rsidRPr="009C54EB">
        <w:t xml:space="preserve"> предоставлен</w:t>
      </w:r>
      <w:r>
        <w:t>ы</w:t>
      </w:r>
      <w:r w:rsidRPr="009C54EB">
        <w:t xml:space="preserve"> жилье, питание, средства на еженедельные карманные расходы, месячны</w:t>
      </w:r>
      <w:r>
        <w:t>е</w:t>
      </w:r>
      <w:r w:rsidRPr="009C54EB">
        <w:t xml:space="preserve"> проездн</w:t>
      </w:r>
      <w:r>
        <w:t>ые</w:t>
      </w:r>
      <w:r w:rsidRPr="009C54EB">
        <w:t xml:space="preserve"> билет</w:t>
      </w:r>
      <w:r>
        <w:t>ы</w:t>
      </w:r>
      <w:r w:rsidRPr="009C54EB">
        <w:t xml:space="preserve"> на автобус, постоянная социально-психологическая поддержка, медицинская помощь л</w:t>
      </w:r>
      <w:r w:rsidRPr="009C54EB">
        <w:t>и</w:t>
      </w:r>
      <w:r w:rsidRPr="009C54EB">
        <w:t>цам, не имеющим медицинской страховки, в пунктах амбулаторного лечения и в частных амбулаторно-поликлинических учреждениях, консульт</w:t>
      </w:r>
      <w:r>
        <w:t>ации</w:t>
      </w:r>
      <w:r w:rsidRPr="009C54EB">
        <w:t>, инфо</w:t>
      </w:r>
      <w:r w:rsidRPr="009C54EB">
        <w:t>р</w:t>
      </w:r>
      <w:r w:rsidRPr="009C54EB">
        <w:t>мация о положенных им по закону правах, содействие в оформлении докуме</w:t>
      </w:r>
      <w:r w:rsidRPr="009C54EB">
        <w:t>н</w:t>
      </w:r>
      <w:r w:rsidRPr="009C54EB">
        <w:t xml:space="preserve">тов и приобретении статуса и связанных с ним прав, </w:t>
      </w:r>
      <w:r>
        <w:t xml:space="preserve">услуги по </w:t>
      </w:r>
      <w:r w:rsidRPr="009C54EB">
        <w:t>обучени</w:t>
      </w:r>
      <w:r>
        <w:t>ю</w:t>
      </w:r>
      <w:r w:rsidRPr="009C54EB">
        <w:t xml:space="preserve"> сл</w:t>
      </w:r>
      <w:r w:rsidRPr="009C54EB">
        <w:t>о</w:t>
      </w:r>
      <w:r w:rsidRPr="009C54EB">
        <w:t>венскому языку, возможности общения, услуги сопровождения и рекреацио</w:t>
      </w:r>
      <w:r w:rsidRPr="009C54EB">
        <w:t>н</w:t>
      </w:r>
      <w:r w:rsidRPr="009C54EB">
        <w:t>ные услуги. Каждое лицо, проживавшее в безопасном жилье, участвовало в разработке индивидуального социального плана и подписало соглашение о правилах реализации програ</w:t>
      </w:r>
      <w:r w:rsidRPr="009C54EB">
        <w:t>м</w:t>
      </w:r>
      <w:r w:rsidRPr="009C54EB">
        <w:t xml:space="preserve">мы, составленное на его </w:t>
      </w:r>
      <w:r>
        <w:t xml:space="preserve">родном </w:t>
      </w:r>
      <w:r w:rsidRPr="009C54EB">
        <w:t>языке.</w:t>
      </w:r>
    </w:p>
    <w:p w:rsidR="005F57A6" w:rsidRDefault="005F57A6" w:rsidP="007D4423">
      <w:pPr>
        <w:pStyle w:val="SingleTxt"/>
      </w:pPr>
      <w:r w:rsidRPr="009C54EB">
        <w:t>51.</w:t>
      </w:r>
      <w:r w:rsidRPr="009C54EB">
        <w:tab/>
        <w:t>Помимо этого, проводятся мероприятия, направленные на повышение информированности экспертов и широкой общественности. Так, на протяж</w:t>
      </w:r>
      <w:r w:rsidRPr="009C54EB">
        <w:t>е</w:t>
      </w:r>
      <w:r w:rsidRPr="009C54EB">
        <w:t>нии ряда лет общество «К</w:t>
      </w:r>
      <w:r>
        <w:t>люч» реализует проект «Фиалка».</w:t>
      </w:r>
    </w:p>
    <w:p w:rsidR="005F57A6" w:rsidRPr="005F57A6" w:rsidRDefault="005F57A6" w:rsidP="005F57A6">
      <w:pPr>
        <w:pStyle w:val="SingleTxt"/>
        <w:spacing w:after="0" w:line="120" w:lineRule="exact"/>
        <w:rPr>
          <w:sz w:val="10"/>
        </w:rPr>
      </w:pPr>
    </w:p>
    <w:p w:rsidR="005F57A6" w:rsidRPr="009C54EB" w:rsidRDefault="005F57A6" w:rsidP="007D4423">
      <w:pPr>
        <w:pStyle w:val="SingleTxt"/>
        <w:spacing w:after="0" w:line="120" w:lineRule="exact"/>
        <w:rPr>
          <w:sz w:val="10"/>
        </w:rPr>
      </w:pPr>
    </w:p>
    <w:p w:rsidR="005F57A6" w:rsidRDefault="005F57A6" w:rsidP="005F57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C54EB">
        <w:t>Статья 7</w:t>
      </w:r>
      <w:r>
        <w:br/>
      </w:r>
      <w:r w:rsidRPr="009C54EB">
        <w:t>Участие женщин в политической и общественной жизни</w:t>
      </w:r>
    </w:p>
    <w:p w:rsidR="005F57A6" w:rsidRPr="005F57A6" w:rsidRDefault="005F57A6" w:rsidP="005F57A6">
      <w:pPr>
        <w:pStyle w:val="SingleTxt"/>
        <w:spacing w:after="0" w:line="120" w:lineRule="exact"/>
        <w:rPr>
          <w:sz w:val="10"/>
        </w:rPr>
      </w:pPr>
    </w:p>
    <w:p w:rsidR="005F57A6" w:rsidRPr="009C54EB" w:rsidRDefault="005F57A6" w:rsidP="007D4423">
      <w:pPr>
        <w:pStyle w:val="SingleTxt"/>
        <w:spacing w:after="0" w:line="120" w:lineRule="exact"/>
        <w:rPr>
          <w:sz w:val="10"/>
        </w:rPr>
      </w:pPr>
    </w:p>
    <w:p w:rsidR="005F57A6" w:rsidRPr="009C54EB" w:rsidRDefault="005F57A6" w:rsidP="007D4423">
      <w:pPr>
        <w:pStyle w:val="SingleTxt"/>
      </w:pPr>
      <w:r w:rsidRPr="009C54EB">
        <w:t>52.</w:t>
      </w:r>
      <w:r w:rsidRPr="009C54EB">
        <w:tab/>
        <w:t>Словения представила подробные сведения о деятельности по увелич</w:t>
      </w:r>
      <w:r w:rsidRPr="009C54EB">
        <w:t>е</w:t>
      </w:r>
      <w:r w:rsidRPr="009C54EB">
        <w:t>нию числа женщин, участвующих в политической жизни, в последующей и</w:t>
      </w:r>
      <w:r w:rsidRPr="009C54EB">
        <w:t>н</w:t>
      </w:r>
      <w:r w:rsidRPr="009C54EB">
        <w:t>формации об осуществлении требующих нашего приоритетного внимания р</w:t>
      </w:r>
      <w:r w:rsidRPr="009C54EB">
        <w:t>е</w:t>
      </w:r>
      <w:r w:rsidRPr="009C54EB">
        <w:t xml:space="preserve">комендаций, которые содержатся в заключительных замечаниях, вынесенных по итогам рассмотрения четвертого периодического доклада. Мы </w:t>
      </w:r>
      <w:r>
        <w:t xml:space="preserve">изложили </w:t>
      </w:r>
      <w:r w:rsidRPr="009C54EB">
        <w:t>инициативу Управления по вопросам равных возможностей по изучению во</w:t>
      </w:r>
      <w:r w:rsidRPr="009C54EB">
        <w:t>з</w:t>
      </w:r>
      <w:r w:rsidRPr="009C54EB">
        <w:t>можности финансирования деятельности женских групп и/или групп по вопр</w:t>
      </w:r>
      <w:r w:rsidRPr="009C54EB">
        <w:t>о</w:t>
      </w:r>
      <w:r w:rsidRPr="009C54EB">
        <w:t>сам равных возможностей, функционирующих в рамках политических партий. Эта инициатива была включена в законопроект о внесении поправок в закон о политических партиях, принятый правительством Республики Словения в июле 2013 года. Этот законопроект предусматривает, что женские организации, которые функционируют в рамках политических партий и имеют статус общ</w:t>
      </w:r>
      <w:r w:rsidRPr="009C54EB">
        <w:t>е</w:t>
      </w:r>
      <w:r w:rsidRPr="009C54EB">
        <w:t>ственно значимой организации в области обеспечения гендерного равенства, могут получить государственные средства для совместного финансирования проектов и программ в соответствии с положениями, регулирующими защиту общественных интересов в области обеспечения гендерного равенства. Мы также пре</w:t>
      </w:r>
      <w:r w:rsidRPr="009C54EB">
        <w:t>д</w:t>
      </w:r>
      <w:r w:rsidRPr="009C54EB">
        <w:t>ставили информацию о законопроекте о внесении поправок в закон о выборах в Государственное собрание, который предусматривает установл</w:t>
      </w:r>
      <w:r w:rsidRPr="009C54EB">
        <w:t>е</w:t>
      </w:r>
      <w:r w:rsidRPr="009C54EB">
        <w:t>ние минимальной 40-процентной квоты для представительства обоих полов в списке кандидатов вместо существующей квоты в 35 процентов; этот закон</w:t>
      </w:r>
      <w:r w:rsidRPr="009C54EB">
        <w:t>о</w:t>
      </w:r>
      <w:r w:rsidRPr="009C54EB">
        <w:t>проект включает новое положение, касающееся порядка ранжирования, с</w:t>
      </w:r>
      <w:r w:rsidRPr="009C54EB">
        <w:t>о</w:t>
      </w:r>
      <w:r w:rsidRPr="009C54EB">
        <w:t>гласно которому женщины и мужчины в первой половине любого списка ка</w:t>
      </w:r>
      <w:r w:rsidRPr="009C54EB">
        <w:t>н</w:t>
      </w:r>
      <w:r w:rsidRPr="009C54EB">
        <w:t>дидатов должны чередоваться, а в четырех (из в общей сложности восьми) и</w:t>
      </w:r>
      <w:r w:rsidRPr="009C54EB">
        <w:t>з</w:t>
      </w:r>
      <w:r w:rsidRPr="009C54EB">
        <w:t>бирательных округах лица одного пола должны занимать первую строчку в списках кандидатов, в то время как в остальных избирательных округах первую строчку должны занимать лица противоположного пола. Этот закон</w:t>
      </w:r>
      <w:r w:rsidRPr="009C54EB">
        <w:t>о</w:t>
      </w:r>
      <w:r w:rsidRPr="009C54EB">
        <w:t>проект был представлен на рассмотрение Государственного собрания в 2010</w:t>
      </w:r>
      <w:r>
        <w:t> </w:t>
      </w:r>
      <w:r w:rsidRPr="009C54EB">
        <w:t>году. Рассмотрение законопроекта о внесении поправок в закон о выборах в Государственное собрание было прекращено в первом чтении, поскольку д</w:t>
      </w:r>
      <w:r w:rsidRPr="009C54EB">
        <w:t>е</w:t>
      </w:r>
      <w:r w:rsidRPr="009C54EB">
        <w:t>путаты постановили, что этот закон дальнейшему рассмотрению не подлежит. В 2013 году группа депутатов представила законопроект о внесении изменений в закон о выборах в Государственное собрание; он предусматривает минимал</w:t>
      </w:r>
      <w:r w:rsidRPr="009C54EB">
        <w:t>ь</w:t>
      </w:r>
      <w:r w:rsidRPr="009C54EB">
        <w:t>ную 40-процентную представленность каждого из полов в любом списке ка</w:t>
      </w:r>
      <w:r w:rsidRPr="009C54EB">
        <w:t>н</w:t>
      </w:r>
      <w:r w:rsidRPr="009C54EB">
        <w:t>дидатов. Кроме того, в первой половине любого списка кандидатов женщины и мужчины должны чередоваться; кандидаты одного пола должны занимать первую строчку одного и того же списка в половине избирательных округов, в то время как в остальных избирательных округах первую строчку должны з</w:t>
      </w:r>
      <w:r w:rsidRPr="009C54EB">
        <w:t>а</w:t>
      </w:r>
      <w:r w:rsidRPr="009C54EB">
        <w:t xml:space="preserve">нимать лица противоположного пола. Если один и тот же список кандидатов представлен в нечетном числе избирательных округов, то разница в верхней строчке списка кандидатов не должна превышать одного кандидата-женщину или кандидата-мужчину. </w:t>
      </w:r>
    </w:p>
    <w:p w:rsidR="005F57A6" w:rsidRDefault="005F57A6" w:rsidP="007D4423">
      <w:pPr>
        <w:pStyle w:val="SingleTxt"/>
      </w:pPr>
      <w:r w:rsidRPr="009C54EB">
        <w:t>53.</w:t>
      </w:r>
      <w:r w:rsidRPr="009C54EB">
        <w:tab/>
        <w:t>Законодательство об установлении минимальной доли женщин и мужчин в списках кандидатов, информация о котором уже была представлена в пред</w:t>
      </w:r>
      <w:r w:rsidRPr="009C54EB">
        <w:t>ы</w:t>
      </w:r>
      <w:r w:rsidRPr="009C54EB">
        <w:t>дущем докладе, способствовало увеличению доли женщин, занимающих должности в ди</w:t>
      </w:r>
      <w:r>
        <w:t>рективных политических органах.</w:t>
      </w:r>
    </w:p>
    <w:p w:rsidR="005F57A6" w:rsidRPr="009C54EB" w:rsidRDefault="005F57A6" w:rsidP="007D4423">
      <w:pPr>
        <w:pStyle w:val="SingleTxt"/>
        <w:spacing w:after="0" w:line="120" w:lineRule="exact"/>
        <w:rPr>
          <w:sz w:val="10"/>
        </w:rPr>
      </w:pPr>
    </w:p>
    <w:p w:rsidR="005F57A6" w:rsidRDefault="005F57A6" w:rsidP="007D44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C54EB">
        <w:t>Женщины, занимающие должности в директивных политич</w:t>
      </w:r>
      <w:r w:rsidRPr="009C54EB">
        <w:t>е</w:t>
      </w:r>
      <w:r w:rsidRPr="009C54EB">
        <w:t>ских органах</w:t>
      </w:r>
    </w:p>
    <w:p w:rsidR="005F57A6" w:rsidRPr="009C54EB" w:rsidRDefault="005F57A6" w:rsidP="007D4423">
      <w:pPr>
        <w:pStyle w:val="SingleTxt"/>
        <w:spacing w:after="0" w:line="120" w:lineRule="exact"/>
        <w:rPr>
          <w:sz w:val="10"/>
        </w:rPr>
      </w:pPr>
    </w:p>
    <w:p w:rsidR="005F57A6" w:rsidRPr="009C54EB" w:rsidRDefault="005F57A6" w:rsidP="007D4423">
      <w:pPr>
        <w:pStyle w:val="SingleTxt"/>
      </w:pPr>
      <w:r w:rsidRPr="009C54EB">
        <w:t>54.</w:t>
      </w:r>
      <w:r w:rsidRPr="009C54EB">
        <w:tab/>
        <w:t>В 2008 году доля женщин в списках кандидатов на выборах в Госуда</w:t>
      </w:r>
      <w:r w:rsidRPr="009C54EB">
        <w:t>р</w:t>
      </w:r>
      <w:r w:rsidRPr="009C54EB">
        <w:t xml:space="preserve">ственное собрание составила 35,28 процента. </w:t>
      </w:r>
      <w:r>
        <w:t>Двенадцать и</w:t>
      </w:r>
      <w:r w:rsidRPr="009C54EB">
        <w:t>з 90 избранных д</w:t>
      </w:r>
      <w:r w:rsidRPr="009C54EB">
        <w:t>е</w:t>
      </w:r>
      <w:r w:rsidRPr="009C54EB">
        <w:t xml:space="preserve">путатов </w:t>
      </w:r>
      <w:r>
        <w:t xml:space="preserve">составляли </w:t>
      </w:r>
      <w:r w:rsidRPr="009C54EB">
        <w:t>женщин</w:t>
      </w:r>
      <w:r>
        <w:t>ы</w:t>
      </w:r>
      <w:r w:rsidRPr="009C54EB">
        <w:t xml:space="preserve"> (13,33 процента). В 2011 году доля женщин в списках кандидатов на досрочных выборах была выше, а именно 43,15 проце</w:t>
      </w:r>
      <w:r w:rsidRPr="009C54EB">
        <w:t>н</w:t>
      </w:r>
      <w:r w:rsidRPr="009C54EB">
        <w:t>та; 29 женщин, или 32,22 процента, были избраны. Увеличение доли женщин объясняется тем, что большое число депутатов</w:t>
      </w:r>
      <w:r>
        <w:t>-</w:t>
      </w:r>
      <w:r w:rsidRPr="009C54EB">
        <w:t>женщин было избрано из спи</w:t>
      </w:r>
      <w:r w:rsidRPr="009C54EB">
        <w:t>с</w:t>
      </w:r>
      <w:r w:rsidRPr="009C54EB">
        <w:t xml:space="preserve">ков двух новых парламентских партий, которые не могли заранее оценить </w:t>
      </w:r>
      <w:r>
        <w:t>сп</w:t>
      </w:r>
      <w:r>
        <w:t>о</w:t>
      </w:r>
      <w:r>
        <w:t xml:space="preserve">собность добиться избрания </w:t>
      </w:r>
      <w:r w:rsidRPr="009C54EB">
        <w:t>в отдельных избирательных округах. Недавние выборы свидетельствуют о том, что женщины готовы к участию в политич</w:t>
      </w:r>
      <w:r w:rsidRPr="009C54EB">
        <w:t>е</w:t>
      </w:r>
      <w:r w:rsidRPr="009C54EB">
        <w:t xml:space="preserve">ской жизни и что квоты дают результаты, разумеется, при </w:t>
      </w:r>
      <w:r>
        <w:t xml:space="preserve">том </w:t>
      </w:r>
      <w:r w:rsidRPr="009C54EB">
        <w:t>условии, что п</w:t>
      </w:r>
      <w:r w:rsidRPr="009C54EB">
        <w:t>о</w:t>
      </w:r>
      <w:r w:rsidRPr="009C54EB">
        <w:t>литические партии не просчитывают ситуацию и не вносят женщин в списки в избирательных округах, где у них нет шансов быть избра</w:t>
      </w:r>
      <w:r w:rsidRPr="009C54EB">
        <w:t>н</w:t>
      </w:r>
      <w:r w:rsidRPr="009C54EB">
        <w:t>ными.</w:t>
      </w:r>
    </w:p>
    <w:p w:rsidR="005F57A6" w:rsidRPr="009C54EB" w:rsidRDefault="005F57A6" w:rsidP="007D4423">
      <w:pPr>
        <w:pStyle w:val="SingleTxt"/>
      </w:pPr>
      <w:r w:rsidRPr="009C54EB">
        <w:t>55.</w:t>
      </w:r>
      <w:r w:rsidRPr="009C54EB">
        <w:tab/>
        <w:t>В 2011 году организация «Женское лобби Словении» при финансовой поддержке Управления по вопросам равных возможностей провела анализ вл</w:t>
      </w:r>
      <w:r w:rsidRPr="009C54EB">
        <w:t>и</w:t>
      </w:r>
      <w:r w:rsidRPr="009C54EB">
        <w:t xml:space="preserve">яния избирательных округов на </w:t>
      </w:r>
      <w:r>
        <w:t xml:space="preserve">способность </w:t>
      </w:r>
      <w:r w:rsidRPr="009C54EB">
        <w:t xml:space="preserve">женщин </w:t>
      </w:r>
      <w:r>
        <w:t xml:space="preserve">быть </w:t>
      </w:r>
      <w:r w:rsidRPr="009C54EB">
        <w:t>избран</w:t>
      </w:r>
      <w:r>
        <w:t>ными</w:t>
      </w:r>
      <w:r w:rsidRPr="009C54EB">
        <w:t>. Р</w:t>
      </w:r>
      <w:r w:rsidRPr="009C54EB">
        <w:t>е</w:t>
      </w:r>
      <w:r w:rsidRPr="009C54EB">
        <w:t>зультаты этого анализа ясно свидетельствовали о том, что успех кандидата-женщины или кандидата-мужчины зависел от избирательного потенциала в округе, в котором он или она выдвигали свою кандидатуру. Неоднократное участие в в</w:t>
      </w:r>
      <w:r w:rsidRPr="009C54EB">
        <w:t>ы</w:t>
      </w:r>
      <w:r w:rsidRPr="009C54EB">
        <w:t>борах позволяет политическим партиям достоверно оценить то, в каких изб</w:t>
      </w:r>
      <w:r w:rsidRPr="009C54EB">
        <w:t>и</w:t>
      </w:r>
      <w:r w:rsidRPr="009C54EB">
        <w:t>рательных округах они одержат победу или каким кандидатам-женщинам/кандидатам-мужчинам в этих округах достанутся мандаты, распр</w:t>
      </w:r>
      <w:r w:rsidRPr="009C54EB">
        <w:t>е</w:t>
      </w:r>
      <w:r w:rsidRPr="009C54EB">
        <w:t>деляемые в этих избирательных окр</w:t>
      </w:r>
      <w:r w:rsidRPr="009C54EB">
        <w:t>у</w:t>
      </w:r>
      <w:r w:rsidRPr="009C54EB">
        <w:t>гах. Согласно авторам анализа, главными препятствиями на пути обеспечения сбалансированного представительства женщин являются отсутствие политической воли и несовершенство избир</w:t>
      </w:r>
      <w:r w:rsidRPr="009C54EB">
        <w:t>а</w:t>
      </w:r>
      <w:r w:rsidRPr="009C54EB">
        <w:t>тельной системы, плохо приспособленной для реализации мер по предоставл</w:t>
      </w:r>
      <w:r w:rsidRPr="009C54EB">
        <w:t>е</w:t>
      </w:r>
      <w:r w:rsidRPr="009C54EB">
        <w:t>нию равных возможностей женщинам и мужчинам. Результаты вышеупомян</w:t>
      </w:r>
      <w:r w:rsidRPr="009C54EB">
        <w:t>у</w:t>
      </w:r>
      <w:r w:rsidRPr="009C54EB">
        <w:t xml:space="preserve">того анализа и анализа списков кандидатов от политических партий и списков кандидатов на досрочных выборах </w:t>
      </w:r>
      <w:r>
        <w:t>2011</w:t>
      </w:r>
      <w:r>
        <w:rPr>
          <w:lang w:val="en-US"/>
        </w:rPr>
        <w:t> </w:t>
      </w:r>
      <w:r>
        <w:t xml:space="preserve">года </w:t>
      </w:r>
      <w:r w:rsidRPr="009C54EB">
        <w:t>в Государственное собрание б</w:t>
      </w:r>
      <w:r w:rsidRPr="009C54EB">
        <w:t>ы</w:t>
      </w:r>
      <w:r w:rsidRPr="009C54EB">
        <w:t>ли представлены в ходе пресс-конференции «Работают ли гендерные квоты?», проведенной в конце ноября 2011</w:t>
      </w:r>
      <w:r>
        <w:t> </w:t>
      </w:r>
      <w:r w:rsidRPr="009C54EB">
        <w:t>года организацией «Женское лобби Слов</w:t>
      </w:r>
      <w:r w:rsidRPr="009C54EB">
        <w:t>е</w:t>
      </w:r>
      <w:r w:rsidRPr="009C54EB">
        <w:t>нии» и Управлением по вопросам равных возможностей.</w:t>
      </w:r>
    </w:p>
    <w:p w:rsidR="00E54A08" w:rsidRPr="00313382" w:rsidRDefault="00E54A08" w:rsidP="006811B3">
      <w:pPr>
        <w:pStyle w:val="SingleTxt"/>
      </w:pPr>
      <w:r w:rsidRPr="00313382">
        <w:t>56.</w:t>
      </w:r>
      <w:r w:rsidRPr="00313382">
        <w:tab/>
        <w:t>Была отмечена сохраняющаяся весьма низкая доля представленности женщин в Государственном совете, в котором после последних выборов 2012</w:t>
      </w:r>
      <w:r>
        <w:rPr>
          <w:lang w:val="en-US"/>
        </w:rPr>
        <w:t> </w:t>
      </w:r>
      <w:r>
        <w:t xml:space="preserve">года из 40 мест женщинам принадлежало </w:t>
      </w:r>
      <w:r w:rsidRPr="00313382">
        <w:t>лишь 3 (7,5 процента).</w:t>
      </w:r>
    </w:p>
    <w:p w:rsidR="00E54A08" w:rsidRPr="00313382" w:rsidRDefault="00E54A08" w:rsidP="006811B3">
      <w:pPr>
        <w:pStyle w:val="SingleTxt"/>
      </w:pPr>
      <w:r w:rsidRPr="00313382">
        <w:t>57.</w:t>
      </w:r>
      <w:r w:rsidRPr="00313382">
        <w:tab/>
        <w:t xml:space="preserve">После введения квот увеличивалась доля женщин в списках кандидатов в члены муниципальных советов. На выборах 2010 года доля женщин в списках кандидатов составила 38 процентов, и 23,26 процента женщин были избраны, что </w:t>
      </w:r>
      <w:r>
        <w:t xml:space="preserve">намного выше </w:t>
      </w:r>
      <w:r w:rsidRPr="00313382">
        <w:t>результат</w:t>
      </w:r>
      <w:r>
        <w:t xml:space="preserve">ов </w:t>
      </w:r>
      <w:r w:rsidRPr="00313382">
        <w:t>выборов 2006 года, когда доля женщин в спи</w:t>
      </w:r>
      <w:r w:rsidRPr="00313382">
        <w:t>с</w:t>
      </w:r>
      <w:r w:rsidRPr="00313382">
        <w:t>ках кандидатов составила 32,28</w:t>
      </w:r>
      <w:r>
        <w:t> </w:t>
      </w:r>
      <w:r w:rsidRPr="00313382">
        <w:t>процента, и 22 процента женщин были избр</w:t>
      </w:r>
      <w:r w:rsidRPr="00313382">
        <w:t>а</w:t>
      </w:r>
      <w:r w:rsidRPr="00313382">
        <w:t>ны. На выборах в местные органы власти 2006 и 2010 годов установленные з</w:t>
      </w:r>
      <w:r w:rsidRPr="00313382">
        <w:t>а</w:t>
      </w:r>
      <w:r w:rsidRPr="00313382">
        <w:t>коном гендерные квоты в списках кандидатов были превышены. Статья 40 з</w:t>
      </w:r>
      <w:r w:rsidRPr="00313382">
        <w:t>а</w:t>
      </w:r>
      <w:r w:rsidRPr="00313382">
        <w:t>кона о выборах в местные органы власти устанавливает 40-процентную долю представленности женщин и мужчин в любом списке кандидатов, однако это положение об обязательной минимальной доле вступит в силу во время выб</w:t>
      </w:r>
      <w:r w:rsidRPr="00313382">
        <w:t>о</w:t>
      </w:r>
      <w:r w:rsidRPr="00313382">
        <w:t>ров в местные органы власти 2014 года; в переходный период на выборах 2006</w:t>
      </w:r>
      <w:r>
        <w:t> </w:t>
      </w:r>
      <w:r w:rsidRPr="00313382">
        <w:t>года требовалась представленность на уровне 20 процентов, а на выборах 2010</w:t>
      </w:r>
      <w:r>
        <w:t> </w:t>
      </w:r>
      <w:r w:rsidRPr="00313382">
        <w:t>года — 30 пр</w:t>
      </w:r>
      <w:r w:rsidRPr="00313382">
        <w:t>о</w:t>
      </w:r>
      <w:r w:rsidRPr="00313382">
        <w:t>центов.</w:t>
      </w:r>
    </w:p>
    <w:p w:rsidR="00E54A08" w:rsidRPr="00313382" w:rsidRDefault="00E54A08" w:rsidP="006811B3">
      <w:pPr>
        <w:pStyle w:val="SingleTxt"/>
      </w:pPr>
      <w:r w:rsidRPr="00313382">
        <w:t>58.</w:t>
      </w:r>
      <w:r w:rsidRPr="00313382">
        <w:tab/>
        <w:t>Закон о местном самоуправлении предусматривает включение в состав муниципальных советов представителя рома в районах проживания соотве</w:t>
      </w:r>
      <w:r w:rsidRPr="00313382">
        <w:t>т</w:t>
      </w:r>
      <w:r w:rsidRPr="00313382">
        <w:t>ствующих общин. Среди 18 избранных членов советов из числа рома (на выб</w:t>
      </w:r>
      <w:r w:rsidRPr="00313382">
        <w:t>о</w:t>
      </w:r>
      <w:r w:rsidRPr="00313382">
        <w:t>рах 2010</w:t>
      </w:r>
      <w:r>
        <w:t> </w:t>
      </w:r>
      <w:r w:rsidRPr="00313382">
        <w:t>года) имеется одна женщина, что составляет 5,5 процента. В соотве</w:t>
      </w:r>
      <w:r w:rsidRPr="00313382">
        <w:t>т</w:t>
      </w:r>
      <w:r w:rsidRPr="00313382">
        <w:t>ствии с законом об общине рома в 2007 году была создана зонтичная организ</w:t>
      </w:r>
      <w:r w:rsidRPr="00313382">
        <w:t>а</w:t>
      </w:r>
      <w:r w:rsidRPr="00313382">
        <w:t>ция общины рома</w:t>
      </w:r>
      <w:r>
        <w:t xml:space="preserve"> — </w:t>
      </w:r>
      <w:r w:rsidRPr="00313382">
        <w:t>Совет по делам общины рома Республики Словения; с февраля 2012</w:t>
      </w:r>
      <w:r>
        <w:t> </w:t>
      </w:r>
      <w:r w:rsidRPr="00313382">
        <w:t>года он возглавляется председателем-женщиной, имеющей вы</w:t>
      </w:r>
      <w:r w:rsidRPr="00313382">
        <w:t>с</w:t>
      </w:r>
      <w:r w:rsidRPr="00313382">
        <w:t xml:space="preserve">шее образование </w:t>
      </w:r>
      <w:r>
        <w:t>в сфере с</w:t>
      </w:r>
      <w:r w:rsidRPr="00313382">
        <w:t>оциальн</w:t>
      </w:r>
      <w:r>
        <w:t xml:space="preserve">ой </w:t>
      </w:r>
      <w:r w:rsidRPr="00313382">
        <w:t>работ</w:t>
      </w:r>
      <w:r>
        <w:t>ы</w:t>
      </w:r>
      <w:r w:rsidRPr="00313382">
        <w:t xml:space="preserve">. </w:t>
      </w:r>
    </w:p>
    <w:p w:rsidR="00E54A08" w:rsidRPr="00313382" w:rsidRDefault="00E54A08" w:rsidP="006811B3">
      <w:pPr>
        <w:pStyle w:val="SingleTxt"/>
      </w:pPr>
      <w:r w:rsidRPr="00313382">
        <w:t>59.</w:t>
      </w:r>
      <w:r w:rsidRPr="00313382">
        <w:tab/>
        <w:t>На выборах в местные органы власти 2010 года доля женщин</w:t>
      </w:r>
      <w:r>
        <w:t>, претенд</w:t>
      </w:r>
      <w:r>
        <w:t>о</w:t>
      </w:r>
      <w:r>
        <w:t>вавших на избрание в качестве мэра,</w:t>
      </w:r>
      <w:r w:rsidRPr="00313382">
        <w:t xml:space="preserve"> составила 11,95 процента, что на 2,53</w:t>
      </w:r>
      <w:r>
        <w:t> </w:t>
      </w:r>
      <w:r w:rsidRPr="00313382">
        <w:t xml:space="preserve">процентных пункта </w:t>
      </w:r>
      <w:r>
        <w:t xml:space="preserve">больше </w:t>
      </w:r>
      <w:r w:rsidRPr="00313382">
        <w:t>по сравнению с выборами 2006 года; на дол</w:t>
      </w:r>
      <w:r w:rsidRPr="00313382">
        <w:t>ж</w:t>
      </w:r>
      <w:r w:rsidRPr="00313382">
        <w:t>ности мэров (в общей сложности 208) были избраны 10 женщин (или 5 пр</w:t>
      </w:r>
      <w:r w:rsidRPr="00313382">
        <w:t>о</w:t>
      </w:r>
      <w:r w:rsidRPr="00313382">
        <w:t>центов)</w:t>
      </w:r>
      <w:r w:rsidRPr="007E0CCC">
        <w:rPr>
          <w:rStyle w:val="FootnoteReference"/>
        </w:rPr>
        <w:footnoteReference w:id="23"/>
      </w:r>
      <w:r w:rsidRPr="00313382">
        <w:t>.</w:t>
      </w:r>
    </w:p>
    <w:p w:rsidR="00E54A08" w:rsidRPr="00313382" w:rsidRDefault="00E54A08" w:rsidP="006811B3">
      <w:pPr>
        <w:pStyle w:val="SingleTxt"/>
      </w:pPr>
      <w:bookmarkStart w:id="2" w:name="OLE_LINK4"/>
      <w:r w:rsidRPr="00313382">
        <w:t>60.</w:t>
      </w:r>
      <w:r w:rsidRPr="00313382">
        <w:tab/>
        <w:t xml:space="preserve">Управление по вопросам равных возможностей поручило провести анализ списков кандидатов в члены местных общинных советов и мэры и </w:t>
      </w:r>
      <w:r>
        <w:t xml:space="preserve">итогов </w:t>
      </w:r>
      <w:r w:rsidRPr="00313382">
        <w:t>в</w:t>
      </w:r>
      <w:r w:rsidRPr="00313382">
        <w:t>ы</w:t>
      </w:r>
      <w:r w:rsidRPr="00313382">
        <w:t>боров 2006 и 2010 годов. Целью этого анализа являлось рассмо</w:t>
      </w:r>
      <w:r w:rsidRPr="00313382">
        <w:t>т</w:t>
      </w:r>
      <w:r w:rsidRPr="00313382">
        <w:t>рение влияния квот на сбалансированную в гендерном отношении представленность в спи</w:t>
      </w:r>
      <w:r w:rsidRPr="00313382">
        <w:t>с</w:t>
      </w:r>
      <w:r w:rsidRPr="00313382">
        <w:t xml:space="preserve">ках кандидатов и </w:t>
      </w:r>
      <w:r>
        <w:t xml:space="preserve">способность </w:t>
      </w:r>
      <w:r w:rsidRPr="00313382">
        <w:t xml:space="preserve">женщин </w:t>
      </w:r>
      <w:r>
        <w:t>быть избранными</w:t>
      </w:r>
      <w:r w:rsidRPr="00313382">
        <w:t>. Анализ результатов выборов в местные органы власти 2010 года показал, что позитивные меры способствовали расширению представленности женщин в списках кандидатов. Чередование кандидатов-женщин и кандидатов-мужчин в списках кандидатов оказалось менее эффективным с учетом того, что большинство политических партий и другие составители списков соблюдали лишь минимальные требов</w:t>
      </w:r>
      <w:r w:rsidRPr="00313382">
        <w:t>а</w:t>
      </w:r>
      <w:r w:rsidRPr="00313382">
        <w:t>ния закона и помещали имена женщин в каждой третьей строке списка. Как следует из этого анализа, позитивные меры являются важным, но недостато</w:t>
      </w:r>
      <w:r w:rsidRPr="00313382">
        <w:t>ч</w:t>
      </w:r>
      <w:r w:rsidRPr="00313382">
        <w:t>ным</w:t>
      </w:r>
      <w:r>
        <w:t>,</w:t>
      </w:r>
      <w:r w:rsidRPr="00313382">
        <w:t xml:space="preserve"> механизмом увеличения доли женщин в принятии политич</w:t>
      </w:r>
      <w:r w:rsidRPr="00313382">
        <w:t>е</w:t>
      </w:r>
      <w:r w:rsidRPr="00313382">
        <w:t xml:space="preserve">ских решений на местном уровне. Кроме того, необходимо </w:t>
      </w:r>
      <w:r>
        <w:t xml:space="preserve">вводить </w:t>
      </w:r>
      <w:r w:rsidRPr="00313382">
        <w:t xml:space="preserve">меры менее технического характера и осуществлять мероприятия, которые направлены на </w:t>
      </w:r>
      <w:r>
        <w:t xml:space="preserve">формирование </w:t>
      </w:r>
      <w:r w:rsidRPr="00313382">
        <w:t xml:space="preserve">политической культуры, способствующей обеспечению сбалансированной в гендерном отношении представленности на </w:t>
      </w:r>
      <w:r>
        <w:t xml:space="preserve">директивных </w:t>
      </w:r>
      <w:r w:rsidRPr="00313382">
        <w:t>дол</w:t>
      </w:r>
      <w:r w:rsidRPr="00313382">
        <w:t>ж</w:t>
      </w:r>
      <w:r w:rsidRPr="00313382">
        <w:t>ностях.</w:t>
      </w:r>
    </w:p>
    <w:bookmarkEnd w:id="2"/>
    <w:p w:rsidR="00E54A08" w:rsidRPr="00313382" w:rsidRDefault="00E54A08" w:rsidP="006811B3">
      <w:pPr>
        <w:pStyle w:val="SingleTxt"/>
      </w:pPr>
      <w:r w:rsidRPr="00313382">
        <w:t>61.</w:t>
      </w:r>
      <w:r w:rsidRPr="00313382">
        <w:tab/>
        <w:t>Сбалансированная представленность женщин и мужчин была обеспечена в отношении членов Европейского парламента от Словении, в состав которого на 2009</w:t>
      </w:r>
      <w:r>
        <w:t>–</w:t>
      </w:r>
      <w:r w:rsidRPr="00313382">
        <w:t>2014 годы были избраны четыре женщины и чет</w:t>
      </w:r>
      <w:r>
        <w:t xml:space="preserve">ыре </w:t>
      </w:r>
      <w:r w:rsidRPr="00313382">
        <w:t>мужчин</w:t>
      </w:r>
      <w:r>
        <w:t>ы</w:t>
      </w:r>
      <w:r w:rsidRPr="00313382">
        <w:t>. Пок</w:t>
      </w:r>
      <w:r w:rsidRPr="00313382">
        <w:t>а</w:t>
      </w:r>
      <w:r w:rsidRPr="00313382">
        <w:t>затель представленности женщин, который для Республики Словения со</w:t>
      </w:r>
      <w:r>
        <w:t>с</w:t>
      </w:r>
      <w:r w:rsidRPr="00313382">
        <w:t>та</w:t>
      </w:r>
      <w:r w:rsidRPr="00313382">
        <w:t>в</w:t>
      </w:r>
      <w:r w:rsidRPr="00313382">
        <w:t>ляет 50</w:t>
      </w:r>
      <w:r>
        <w:t> </w:t>
      </w:r>
      <w:r w:rsidRPr="00313382">
        <w:t xml:space="preserve">процентов, значительно выше среднего показателя представленности женщин в Европейском парламенте среди стран ЕС. </w:t>
      </w:r>
    </w:p>
    <w:p w:rsidR="00E54A08" w:rsidRDefault="00E54A08" w:rsidP="006811B3">
      <w:pPr>
        <w:pStyle w:val="SingleTxt"/>
      </w:pPr>
      <w:bookmarkStart w:id="3" w:name="OLE_LINK453"/>
      <w:bookmarkStart w:id="4" w:name="OLE_LINK8"/>
      <w:bookmarkStart w:id="5" w:name="OLE_LINK7"/>
      <w:bookmarkStart w:id="6" w:name="OLE_LINK6"/>
      <w:bookmarkStart w:id="7" w:name="OLE_LINK5"/>
      <w:r w:rsidRPr="00313382">
        <w:t>62.</w:t>
      </w:r>
      <w:r w:rsidRPr="00313382">
        <w:tab/>
        <w:t>В целях повышения информированности и поддержки более широкого участия женщин в политической жизни в 2011 году был осуществлен экспер</w:t>
      </w:r>
      <w:r w:rsidRPr="00313382">
        <w:t>и</w:t>
      </w:r>
      <w:r w:rsidRPr="00313382">
        <w:t>ментальный проект под названием «День наставника с женщиной-политиком». Цель этого проекта состояла в том, чтобы предложить учащимся женского п</w:t>
      </w:r>
      <w:r w:rsidRPr="00313382">
        <w:t>о</w:t>
      </w:r>
      <w:r w:rsidRPr="00313382">
        <w:t>ла, проявляющим интерес к политике, возможность близко познакомиться с процессом принятия политических решений путем организации для них пр</w:t>
      </w:r>
      <w:r w:rsidRPr="00313382">
        <w:t>о</w:t>
      </w:r>
      <w:r w:rsidRPr="00313382">
        <w:t>грамм наставничества с участием политиков</w:t>
      </w:r>
      <w:r>
        <w:t>-женщин</w:t>
      </w:r>
      <w:r w:rsidRPr="00313382">
        <w:t xml:space="preserve"> самого высокого уровня (министров и членов парламента). 8 марта 2011 года в Международный же</w:t>
      </w:r>
      <w:r w:rsidRPr="00313382">
        <w:t>н</w:t>
      </w:r>
      <w:r w:rsidRPr="00313382">
        <w:t>ский день учащиеся женского пола провели один день с женщинами-политиками, в ходе которого учащиеся сопровождали женщин-политиков во время выполнения ими своих обязанностей и близко познакомились с их раб</w:t>
      </w:r>
      <w:r w:rsidRPr="00313382">
        <w:t>о</w:t>
      </w:r>
      <w:r w:rsidRPr="00313382">
        <w:t>той. Наставниками учащихся женского пола выступили большинство депут</w:t>
      </w:r>
      <w:r w:rsidRPr="00313382">
        <w:t>а</w:t>
      </w:r>
      <w:r w:rsidRPr="00313382">
        <w:t>тов</w:t>
      </w:r>
      <w:r>
        <w:t>-женщин</w:t>
      </w:r>
      <w:r w:rsidRPr="00313382">
        <w:t>, все министры</w:t>
      </w:r>
      <w:r>
        <w:t>-</w:t>
      </w:r>
      <w:r w:rsidRPr="00313382">
        <w:t>женщин</w:t>
      </w:r>
      <w:r>
        <w:t>ы</w:t>
      </w:r>
      <w:r w:rsidRPr="00313382">
        <w:t xml:space="preserve"> и руководитель Канцелярии Председат</w:t>
      </w:r>
      <w:r w:rsidRPr="00313382">
        <w:t>е</w:t>
      </w:r>
      <w:r w:rsidRPr="00313382">
        <w:t>ля Государственного собрания. День наставника завершился проведением пу</w:t>
      </w:r>
      <w:r w:rsidRPr="00313382">
        <w:t>б</w:t>
      </w:r>
      <w:r w:rsidRPr="00313382">
        <w:t>личной дискуссии в Государственном собрании, во время которой учащиеся женского пола и политики обменялись опытом и обсудили стимулы для расш</w:t>
      </w:r>
      <w:r w:rsidRPr="00313382">
        <w:t>и</w:t>
      </w:r>
      <w:r w:rsidRPr="00313382">
        <w:t>рения участия женщин в политической жизни. Опыт и замечания политиков</w:t>
      </w:r>
      <w:r>
        <w:t>-женщин</w:t>
      </w:r>
      <w:r w:rsidRPr="00313382">
        <w:t xml:space="preserve"> и учащихся, касающиеся </w:t>
      </w:r>
      <w:r>
        <w:t>Д</w:t>
      </w:r>
      <w:r w:rsidRPr="00313382">
        <w:t>ня наставника, и предложения в отнош</w:t>
      </w:r>
      <w:r w:rsidRPr="00313382">
        <w:t>е</w:t>
      </w:r>
      <w:r w:rsidRPr="00313382">
        <w:t>нии дальнейшей работы были изложены в издании «День с политиком</w:t>
      </w:r>
      <w:r>
        <w:t xml:space="preserve">-женщиной — </w:t>
      </w:r>
      <w:r w:rsidRPr="00313382">
        <w:t xml:space="preserve">экспериментальный проект </w:t>
      </w:r>
      <w:r>
        <w:t>н</w:t>
      </w:r>
      <w:r w:rsidRPr="00313382">
        <w:t>аставничеств</w:t>
      </w:r>
      <w:r>
        <w:t>а</w:t>
      </w:r>
      <w:r w:rsidRPr="00313382">
        <w:t xml:space="preserve"> </w:t>
      </w:r>
      <w:r>
        <w:t xml:space="preserve">для </w:t>
      </w:r>
      <w:r w:rsidRPr="00313382">
        <w:t>молодых же</w:t>
      </w:r>
      <w:r w:rsidRPr="00313382">
        <w:t>н</w:t>
      </w:r>
      <w:r w:rsidRPr="00313382">
        <w:t>щин</w:t>
      </w:r>
      <w:r>
        <w:t>»</w:t>
      </w:r>
      <w:r w:rsidRPr="00313382">
        <w:t>. Этот проект был осуществлен Управлением по вопросам равных во</w:t>
      </w:r>
      <w:r w:rsidRPr="00313382">
        <w:t>з</w:t>
      </w:r>
      <w:r w:rsidRPr="00313382">
        <w:t>можностей в сотрудничестве с правительством Республики Словения, Госуда</w:t>
      </w:r>
      <w:r w:rsidRPr="00313382">
        <w:t>р</w:t>
      </w:r>
      <w:r w:rsidRPr="00313382">
        <w:t>ственным собранием и несколькими факультетами по инициативе эксперта</w:t>
      </w:r>
      <w:r>
        <w:t>-женщины</w:t>
      </w:r>
      <w:r w:rsidRPr="00313382">
        <w:t xml:space="preserve"> и преподавателя</w:t>
      </w:r>
      <w:r>
        <w:t>-женщины</w:t>
      </w:r>
      <w:r w:rsidRPr="00313382">
        <w:t>, занимающ</w:t>
      </w:r>
      <w:r>
        <w:t>их</w:t>
      </w:r>
      <w:r w:rsidRPr="00313382">
        <w:t>ся вопросами участия в п</w:t>
      </w:r>
      <w:r w:rsidRPr="00313382">
        <w:t>о</w:t>
      </w:r>
      <w:r w:rsidRPr="00313382">
        <w:t>литической жизни.</w:t>
      </w:r>
    </w:p>
    <w:p w:rsidR="00E54A08" w:rsidRPr="00313382" w:rsidRDefault="00E54A08" w:rsidP="006811B3">
      <w:pPr>
        <w:pStyle w:val="SingleTxt"/>
        <w:spacing w:after="0" w:line="120" w:lineRule="exact"/>
        <w:rPr>
          <w:sz w:val="10"/>
        </w:rPr>
      </w:pPr>
    </w:p>
    <w:bookmarkEnd w:id="3"/>
    <w:bookmarkEnd w:id="4"/>
    <w:bookmarkEnd w:id="5"/>
    <w:bookmarkEnd w:id="6"/>
    <w:bookmarkEnd w:id="7"/>
    <w:p w:rsidR="00E54A08" w:rsidRDefault="00E54A08" w:rsidP="006811B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13382">
        <w:t>Женщины в правительстве</w:t>
      </w:r>
    </w:p>
    <w:p w:rsidR="00E54A08" w:rsidRPr="00313382" w:rsidRDefault="00E54A08" w:rsidP="006811B3">
      <w:pPr>
        <w:pStyle w:val="SingleTxt"/>
        <w:spacing w:after="0" w:line="120" w:lineRule="exact"/>
        <w:rPr>
          <w:sz w:val="10"/>
        </w:rPr>
      </w:pPr>
    </w:p>
    <w:p w:rsidR="00E54A08" w:rsidRPr="00313382" w:rsidRDefault="00E54A08" w:rsidP="006811B3">
      <w:pPr>
        <w:pStyle w:val="SingleTxt"/>
      </w:pPr>
      <w:r w:rsidRPr="00313382">
        <w:t>63.</w:t>
      </w:r>
      <w:r w:rsidRPr="00313382">
        <w:tab/>
        <w:t>После назначения нового правительства 20 марта 2013 года премьер-министром Республики Словения впервые стала женщина. Одна министр</w:t>
      </w:r>
      <w:r>
        <w:t>-женщина</w:t>
      </w:r>
      <w:r w:rsidRPr="00313382">
        <w:t xml:space="preserve"> (8,3</w:t>
      </w:r>
      <w:r>
        <w:t> </w:t>
      </w:r>
      <w:r w:rsidRPr="00313382">
        <w:t>процента) и одна</w:t>
      </w:r>
      <w:r>
        <w:t xml:space="preserve"> </w:t>
      </w:r>
      <w:r w:rsidRPr="00313382">
        <w:t>министр без портфеля занимают министе</w:t>
      </w:r>
      <w:r w:rsidRPr="00313382">
        <w:t>р</w:t>
      </w:r>
      <w:r w:rsidRPr="00313382">
        <w:t>ские должности (из в общей сложности 13</w:t>
      </w:r>
      <w:r>
        <w:t> человек</w:t>
      </w:r>
      <w:r w:rsidRPr="00313382">
        <w:t>). С 2004 года самая высокая доля министров</w:t>
      </w:r>
      <w:r>
        <w:t>-женщин</w:t>
      </w:r>
      <w:r w:rsidRPr="00313382">
        <w:t xml:space="preserve"> была зафиксирована в 2008 году, когда в состав нового правительства вошло пять министров</w:t>
      </w:r>
      <w:r>
        <w:t>-женщин</w:t>
      </w:r>
      <w:r w:rsidRPr="00313382">
        <w:t>, или 27,8 процента. Генерал</w:t>
      </w:r>
      <w:r w:rsidRPr="00313382">
        <w:t>ь</w:t>
      </w:r>
      <w:r w:rsidRPr="00313382">
        <w:t>ным секретарем правительства является женщина; восемь женщин занимают должности государственных секретарей, что составляет 33,3 процента.</w:t>
      </w:r>
    </w:p>
    <w:p w:rsidR="00E54A08" w:rsidRDefault="00E54A08" w:rsidP="006811B3">
      <w:pPr>
        <w:pStyle w:val="SingleTxt"/>
      </w:pPr>
      <w:r w:rsidRPr="00313382">
        <w:t>64.</w:t>
      </w:r>
      <w:r w:rsidRPr="00313382">
        <w:tab/>
      </w:r>
      <w:r>
        <w:t>Б</w:t>
      </w:r>
      <w:r w:rsidRPr="00313382">
        <w:t>олее сбалансированн</w:t>
      </w:r>
      <w:r>
        <w:t>о, чем в политической жизни, ж</w:t>
      </w:r>
      <w:r w:rsidRPr="00313382">
        <w:t>енщины и мужч</w:t>
      </w:r>
      <w:r w:rsidRPr="00313382">
        <w:t>и</w:t>
      </w:r>
      <w:r w:rsidRPr="00313382">
        <w:t>ны представлены в правительственных учреждениях и государственных органах власти, так, среди генеральных директоров женщины составляют 43</w:t>
      </w:r>
      <w:r>
        <w:t> </w:t>
      </w:r>
      <w:r w:rsidRPr="00313382">
        <w:t>процента, среди руководителей государственных учреждений</w:t>
      </w:r>
      <w:r>
        <w:t xml:space="preserve"> — </w:t>
      </w:r>
      <w:r w:rsidRPr="00313382">
        <w:t>56 процентов и среди руководителей административных подразделений</w:t>
      </w:r>
      <w:r>
        <w:t xml:space="preserve"> — </w:t>
      </w:r>
      <w:r w:rsidRPr="00313382">
        <w:t>59 проце</w:t>
      </w:r>
      <w:r w:rsidRPr="00313382">
        <w:t>н</w:t>
      </w:r>
      <w:r w:rsidRPr="00313382">
        <w:t>тов</w:t>
      </w:r>
      <w:r w:rsidRPr="007E0CCC">
        <w:rPr>
          <w:rStyle w:val="FootnoteReference"/>
        </w:rPr>
        <w:footnoteReference w:id="24"/>
      </w:r>
      <w:r w:rsidRPr="00313382">
        <w:t>.</w:t>
      </w:r>
    </w:p>
    <w:p w:rsidR="00E54A08" w:rsidRPr="00313382" w:rsidRDefault="00E54A08" w:rsidP="006811B3">
      <w:pPr>
        <w:pStyle w:val="SingleTxt"/>
        <w:spacing w:after="0" w:line="120" w:lineRule="exact"/>
        <w:rPr>
          <w:sz w:val="10"/>
        </w:rPr>
      </w:pPr>
    </w:p>
    <w:p w:rsidR="00E54A08" w:rsidRDefault="00E54A08" w:rsidP="006811B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13382">
        <w:t>Женщины в судебных органах</w:t>
      </w:r>
    </w:p>
    <w:p w:rsidR="00E54A08" w:rsidRPr="00313382" w:rsidRDefault="00E54A08" w:rsidP="006811B3">
      <w:pPr>
        <w:pStyle w:val="SingleTxt"/>
        <w:spacing w:after="0" w:line="120" w:lineRule="exact"/>
        <w:rPr>
          <w:sz w:val="10"/>
        </w:rPr>
      </w:pPr>
    </w:p>
    <w:p w:rsidR="00E54A08" w:rsidRPr="00313382" w:rsidRDefault="00E54A08" w:rsidP="006811B3">
      <w:pPr>
        <w:pStyle w:val="SingleTxt"/>
      </w:pPr>
      <w:r w:rsidRPr="00313382">
        <w:t>65.</w:t>
      </w:r>
      <w:r w:rsidRPr="00313382">
        <w:tab/>
        <w:t xml:space="preserve">В среднем в органах судебной власти доля судей-женщин выше, чем доля судей-мужчин. </w:t>
      </w:r>
      <w:r>
        <w:t xml:space="preserve">В составе </w:t>
      </w:r>
      <w:r w:rsidRPr="00313382">
        <w:t>судей Конституционного суда женщин больше, чем мужчин. Конституционный суд состоит из девяти судей, из которых пять (или 55,5</w:t>
      </w:r>
      <w:r>
        <w:t> </w:t>
      </w:r>
      <w:r w:rsidRPr="00313382">
        <w:t>процента)</w:t>
      </w:r>
      <w:r>
        <w:t xml:space="preserve"> — </w:t>
      </w:r>
      <w:r w:rsidRPr="00313382">
        <w:t>женщины; Председателем Конституционного суда является мужчина. В 2011 году доля судей-женщин была самой высокой в местных с</w:t>
      </w:r>
      <w:r w:rsidRPr="00313382">
        <w:t>у</w:t>
      </w:r>
      <w:r w:rsidRPr="00313382">
        <w:t xml:space="preserve">дах (82,8 процента) и </w:t>
      </w:r>
      <w:r>
        <w:t xml:space="preserve">самой низкой </w:t>
      </w:r>
      <w:r w:rsidRPr="00313382">
        <w:t>в Верховном суде (53,3 процента)</w:t>
      </w:r>
      <w:r w:rsidRPr="007E0CCC">
        <w:rPr>
          <w:rStyle w:val="FootnoteReference"/>
        </w:rPr>
        <w:footnoteReference w:id="25"/>
      </w:r>
      <w:r w:rsidRPr="00313382">
        <w:t>. В п</w:t>
      </w:r>
      <w:r w:rsidRPr="00313382">
        <w:t>о</w:t>
      </w:r>
      <w:r w:rsidRPr="00313382">
        <w:t xml:space="preserve">следние годы наблюдается позитивная тенденция в отношении числа женщин, занимающих </w:t>
      </w:r>
      <w:r>
        <w:t xml:space="preserve">руководящие </w:t>
      </w:r>
      <w:r w:rsidRPr="00313382">
        <w:t xml:space="preserve">должности. Верховный суд возглавляет мужчина, однако </w:t>
      </w:r>
      <w:r>
        <w:t xml:space="preserve">на долю </w:t>
      </w:r>
      <w:r w:rsidRPr="00313382">
        <w:t>женщин</w:t>
      </w:r>
      <w:r>
        <w:t xml:space="preserve"> приходится</w:t>
      </w:r>
      <w:r w:rsidRPr="00313382">
        <w:t xml:space="preserve"> 50 процентов </w:t>
      </w:r>
      <w:r>
        <w:t xml:space="preserve">должностей </w:t>
      </w:r>
      <w:r w:rsidRPr="00313382">
        <w:t>глав вышесто</w:t>
      </w:r>
      <w:r w:rsidRPr="00313382">
        <w:t>я</w:t>
      </w:r>
      <w:r w:rsidRPr="00313382">
        <w:t>щих судов, помимо этого, женщины возглавляют Вышестоящий суд по труд</w:t>
      </w:r>
      <w:r w:rsidRPr="00313382">
        <w:t>о</w:t>
      </w:r>
      <w:r w:rsidRPr="00313382">
        <w:t>вым и социальным вопросам и Административный суд</w:t>
      </w:r>
      <w:r w:rsidRPr="007E0CCC">
        <w:rPr>
          <w:rStyle w:val="FootnoteReference"/>
        </w:rPr>
        <w:footnoteReference w:id="26"/>
      </w:r>
      <w:r w:rsidRPr="00313382">
        <w:t>.</w:t>
      </w:r>
    </w:p>
    <w:p w:rsidR="00E54A08" w:rsidRDefault="00E54A08" w:rsidP="006811B3">
      <w:pPr>
        <w:pStyle w:val="SingleTxt"/>
      </w:pPr>
      <w:r w:rsidRPr="00313382">
        <w:t>66.</w:t>
      </w:r>
      <w:r w:rsidRPr="00313382">
        <w:tab/>
        <w:t>Среди государственных прокуроров доля женщин несколько выше дол</w:t>
      </w:r>
      <w:r>
        <w:t>и</w:t>
      </w:r>
      <w:r w:rsidRPr="00313382">
        <w:t xml:space="preserve"> мужчин. Однако </w:t>
      </w:r>
      <w:r>
        <w:t xml:space="preserve">в верхних звеньях руководящих </w:t>
      </w:r>
      <w:r w:rsidRPr="00313382">
        <w:t>сотрудников прокуратуры д</w:t>
      </w:r>
      <w:r w:rsidRPr="00313382">
        <w:t>о</w:t>
      </w:r>
      <w:r w:rsidRPr="00313382">
        <w:t xml:space="preserve">ля женщин </w:t>
      </w:r>
      <w:r>
        <w:t>снижается</w:t>
      </w:r>
      <w:r w:rsidRPr="00313382">
        <w:t>. Доля женщин среди сотрудников старшего звена райо</w:t>
      </w:r>
      <w:r w:rsidRPr="00313382">
        <w:t>н</w:t>
      </w:r>
      <w:r w:rsidRPr="00313382">
        <w:t>ных отделов государственной прокуратуры составляет 36,4 процента. Дол</w:t>
      </w:r>
      <w:r w:rsidRPr="00313382">
        <w:t>ж</w:t>
      </w:r>
      <w:r w:rsidRPr="00313382">
        <w:t xml:space="preserve">ность </w:t>
      </w:r>
      <w:r>
        <w:t>Г</w:t>
      </w:r>
      <w:r w:rsidRPr="00313382">
        <w:t>осударственного генерального прокурора занимает мужчина; кроме т</w:t>
      </w:r>
      <w:r w:rsidRPr="00313382">
        <w:t>о</w:t>
      </w:r>
      <w:r w:rsidRPr="00313382">
        <w:t>го, мужчина возглавляет Специализированное управление Государственной прокуратуры</w:t>
      </w:r>
      <w:r w:rsidRPr="007E0CCC">
        <w:rPr>
          <w:rStyle w:val="FootnoteReference"/>
        </w:rPr>
        <w:footnoteReference w:id="27"/>
      </w:r>
      <w:r>
        <w:t>.</w:t>
      </w:r>
    </w:p>
    <w:p w:rsidR="00E54A08" w:rsidRDefault="00E54A08" w:rsidP="00E54A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13382">
        <w:t>Женщины в секторе экономики, организациях работодателей и профсо</w:t>
      </w:r>
      <w:r w:rsidRPr="00313382">
        <w:t>ю</w:t>
      </w:r>
      <w:r w:rsidRPr="00313382">
        <w:t>зах</w:t>
      </w:r>
    </w:p>
    <w:p w:rsidR="00E54A08" w:rsidRPr="00313382" w:rsidRDefault="00E54A08" w:rsidP="00E54A08">
      <w:pPr>
        <w:pStyle w:val="SingleTxt"/>
        <w:keepNext/>
        <w:spacing w:after="0" w:line="120" w:lineRule="exact"/>
        <w:rPr>
          <w:sz w:val="10"/>
        </w:rPr>
      </w:pPr>
    </w:p>
    <w:p w:rsidR="00E54A08" w:rsidRPr="00313382" w:rsidRDefault="00E54A08" w:rsidP="006811B3">
      <w:pPr>
        <w:pStyle w:val="SingleTxt"/>
      </w:pPr>
      <w:r w:rsidRPr="00313382">
        <w:t>67.</w:t>
      </w:r>
      <w:r w:rsidRPr="00313382">
        <w:tab/>
      </w:r>
      <w:r>
        <w:t>Сохраняется низкое ч</w:t>
      </w:r>
      <w:r w:rsidRPr="00313382">
        <w:t>исло женщин на руководящих должностях в комп</w:t>
      </w:r>
      <w:r w:rsidRPr="00313382">
        <w:t>а</w:t>
      </w:r>
      <w:r w:rsidRPr="00313382">
        <w:t>ниях, организациях социальных партнеров и других объединениях и организ</w:t>
      </w:r>
      <w:r w:rsidRPr="00313382">
        <w:t>а</w:t>
      </w:r>
      <w:r w:rsidRPr="00313382">
        <w:t xml:space="preserve">циях. В 2012 году </w:t>
      </w:r>
      <w:r>
        <w:t xml:space="preserve">доля женщин на </w:t>
      </w:r>
      <w:r w:rsidRPr="00313382">
        <w:t>должност</w:t>
      </w:r>
      <w:r>
        <w:t>ях</w:t>
      </w:r>
      <w:r w:rsidRPr="00313382">
        <w:t xml:space="preserve"> председателей советов упра</w:t>
      </w:r>
      <w:r w:rsidRPr="00313382">
        <w:t>в</w:t>
      </w:r>
      <w:r w:rsidRPr="00313382">
        <w:t xml:space="preserve">ляющих </w:t>
      </w:r>
      <w:r>
        <w:t xml:space="preserve">в </w:t>
      </w:r>
      <w:r w:rsidRPr="00313382">
        <w:t>крупнейших компани</w:t>
      </w:r>
      <w:r>
        <w:t>ях</w:t>
      </w:r>
      <w:r w:rsidRPr="00313382">
        <w:t xml:space="preserve">, зарегистрированных на бирже, </w:t>
      </w:r>
      <w:r>
        <w:t xml:space="preserve">составляла </w:t>
      </w:r>
      <w:r w:rsidRPr="00313382">
        <w:t>11</w:t>
      </w:r>
      <w:r>
        <w:t> </w:t>
      </w:r>
      <w:r w:rsidRPr="00313382">
        <w:t xml:space="preserve">процентов, а </w:t>
      </w:r>
      <w:r>
        <w:t xml:space="preserve">на должностях членов </w:t>
      </w:r>
      <w:r w:rsidRPr="00313382">
        <w:t>советов управляющих</w:t>
      </w:r>
      <w:r>
        <w:t> — 14 процентов</w:t>
      </w:r>
      <w:r w:rsidRPr="00313382">
        <w:t xml:space="preserve"> (в 2010 году 6 процентов и 10 процентов</w:t>
      </w:r>
      <w:r>
        <w:t>,</w:t>
      </w:r>
      <w:r w:rsidRPr="00313382">
        <w:t xml:space="preserve"> соответственно). Среди лиц, заним</w:t>
      </w:r>
      <w:r w:rsidRPr="00313382">
        <w:t>а</w:t>
      </w:r>
      <w:r w:rsidRPr="00313382">
        <w:t xml:space="preserve">ющих управленческие должности в 2010 году, </w:t>
      </w:r>
      <w:r>
        <w:t xml:space="preserve">женщины составляли </w:t>
      </w:r>
      <w:r w:rsidRPr="00313382">
        <w:t>27 пр</w:t>
      </w:r>
      <w:r w:rsidRPr="00313382">
        <w:t>о</w:t>
      </w:r>
      <w:r w:rsidRPr="00313382">
        <w:t>центов</w:t>
      </w:r>
      <w:r w:rsidRPr="007E0CCC">
        <w:rPr>
          <w:rStyle w:val="FootnoteReference"/>
        </w:rPr>
        <w:footnoteReference w:id="28"/>
      </w:r>
      <w:r>
        <w:t>.</w:t>
      </w:r>
    </w:p>
    <w:p w:rsidR="00E54A08" w:rsidRPr="00313382" w:rsidRDefault="00E54A08" w:rsidP="006811B3">
      <w:pPr>
        <w:pStyle w:val="SingleTxt"/>
      </w:pPr>
      <w:bookmarkStart w:id="8" w:name="OLE_LINK455"/>
      <w:bookmarkStart w:id="9" w:name="OLE_LINK454"/>
      <w:bookmarkStart w:id="10" w:name="OLE_LINK9"/>
      <w:r w:rsidRPr="00313382">
        <w:t>68.</w:t>
      </w:r>
      <w:r w:rsidRPr="00313382">
        <w:tab/>
        <w:t>В октябре 2011</w:t>
      </w:r>
      <w:r>
        <w:t> </w:t>
      </w:r>
      <w:r w:rsidRPr="00313382">
        <w:t>года Управление по вопросам равных возможностей направило почти 800 (782) крупнейшим работодателям вопросник о ситуации со сбалансированной представленностью женщин и мужчин на руководящих должностях. Доля ответивших на вопросы составила 32,35 процента. Это и</w:t>
      </w:r>
      <w:r w:rsidRPr="00313382">
        <w:t>с</w:t>
      </w:r>
      <w:r w:rsidRPr="00313382">
        <w:t>следование показало, что всего в немногим более одной пятой организаций (21,8</w:t>
      </w:r>
      <w:r>
        <w:t> </w:t>
      </w:r>
      <w:r w:rsidRPr="00313382">
        <w:t>процента) руководящую должность занимала женщина. Большая часть компаний, ответивших на вопросы, работает в финансовом и страховом сект</w:t>
      </w:r>
      <w:r w:rsidRPr="00313382">
        <w:t>о</w:t>
      </w:r>
      <w:r w:rsidRPr="00313382">
        <w:t xml:space="preserve">рах, торговле и обрабатывающей промышленности. </w:t>
      </w:r>
      <w:r>
        <w:t xml:space="preserve">Две целых восемь десятых </w:t>
      </w:r>
      <w:r w:rsidRPr="00313382">
        <w:t>процента организаций приня</w:t>
      </w:r>
      <w:r>
        <w:t xml:space="preserve">ли </w:t>
      </w:r>
      <w:r w:rsidRPr="00313382">
        <w:t>внутреннее распоряжение или мер</w:t>
      </w:r>
      <w:r>
        <w:t>у</w:t>
      </w:r>
      <w:r w:rsidRPr="00313382">
        <w:t>, касающ</w:t>
      </w:r>
      <w:r>
        <w:t>и</w:t>
      </w:r>
      <w:r>
        <w:t>е</w:t>
      </w:r>
      <w:r w:rsidRPr="00313382">
        <w:t>ся обеспечения сбалансированного представительства женщин и мужчин. Разъясняя главные причины неспособности достичь сбалансированно</w:t>
      </w:r>
      <w:r>
        <w:t>й</w:t>
      </w:r>
      <w:r w:rsidRPr="00313382">
        <w:t xml:space="preserve"> пре</w:t>
      </w:r>
      <w:r w:rsidRPr="00313382">
        <w:t>д</w:t>
      </w:r>
      <w:r w:rsidRPr="00313382">
        <w:t>став</w:t>
      </w:r>
      <w:r>
        <w:t>ленности</w:t>
      </w:r>
      <w:r w:rsidRPr="00313382">
        <w:t xml:space="preserve"> женщин и мужчин на руководящих должностях, компании указ</w:t>
      </w:r>
      <w:r w:rsidRPr="00313382">
        <w:t>ы</w:t>
      </w:r>
      <w:r w:rsidRPr="00313382">
        <w:t>вали на значительное доминирование одного пола (40,2 процента) и на тот факт, что высшее руководящее звено представлено только одним человеком, а не группой людей (28,6 процента). Сохраняющиеся предрассудки можно отм</w:t>
      </w:r>
      <w:r w:rsidRPr="00313382">
        <w:t>е</w:t>
      </w:r>
      <w:r w:rsidRPr="00313382">
        <w:t>тить в ответах, согласно которым среди женщин нет достаточно опытных и подходящих кандидатов (5,6 процента) и что мужчины предпочитают пов</w:t>
      </w:r>
      <w:r w:rsidRPr="00313382">
        <w:t>ы</w:t>
      </w:r>
      <w:r w:rsidRPr="00313382">
        <w:t>шать по службе му</w:t>
      </w:r>
      <w:r w:rsidRPr="00313382">
        <w:t>ж</w:t>
      </w:r>
      <w:r w:rsidRPr="00313382">
        <w:t xml:space="preserve">чин. </w:t>
      </w:r>
      <w:bookmarkEnd w:id="8"/>
      <w:bookmarkEnd w:id="9"/>
    </w:p>
    <w:bookmarkEnd w:id="10"/>
    <w:p w:rsidR="00E54A08" w:rsidRPr="00313382" w:rsidRDefault="00E54A08" w:rsidP="006811B3">
      <w:pPr>
        <w:pStyle w:val="SingleTxt"/>
      </w:pPr>
      <w:r w:rsidRPr="00313382">
        <w:t>69.</w:t>
      </w:r>
      <w:r w:rsidRPr="00313382">
        <w:tab/>
        <w:t>8 марта 2012 года по случаю Международного женского дня Управление по вопросам равных возможностей, Факультет социальных наук и группа рук</w:t>
      </w:r>
      <w:r w:rsidRPr="00313382">
        <w:t>о</w:t>
      </w:r>
      <w:r w:rsidRPr="00313382">
        <w:t>водителей-женщин Ассоциации руководителей провели тематическую пресс-конференцию «Раскрываем ли мы весь потенциал?», в ходе которой основное внимание было сосредоточено на вопросе о несбалансированной представле</w:t>
      </w:r>
      <w:r w:rsidRPr="00313382">
        <w:t>н</w:t>
      </w:r>
      <w:r w:rsidRPr="00313382">
        <w:t>ности женщин и мужчин на руководящих должностях в сфере предприним</w:t>
      </w:r>
      <w:r w:rsidRPr="00313382">
        <w:t>а</w:t>
      </w:r>
      <w:r w:rsidRPr="00313382">
        <w:t>тельства. На этой пресс-конференции были представлены результаты выш</w:t>
      </w:r>
      <w:r w:rsidRPr="00313382">
        <w:t>е</w:t>
      </w:r>
      <w:r w:rsidRPr="00313382">
        <w:t>упомянутого исследования, руководящие принципы содействия обеспечению равноправия на руководящих должностях в сфере экономики под названием «Включа</w:t>
      </w:r>
      <w:r>
        <w:t>й</w:t>
      </w:r>
      <w:r w:rsidRPr="00313382">
        <w:t xml:space="preserve">. Всех» и проспект «Раскрываем ли мы весь потенциал?». </w:t>
      </w:r>
    </w:p>
    <w:p w:rsidR="00E54A08" w:rsidRPr="00313382" w:rsidRDefault="00E54A08" w:rsidP="006811B3">
      <w:pPr>
        <w:pStyle w:val="SingleTxt"/>
      </w:pPr>
      <w:r w:rsidRPr="00313382">
        <w:t>70.</w:t>
      </w:r>
      <w:r w:rsidRPr="00313382">
        <w:tab/>
        <w:t>Во всех крупных словенских конфедерациях профсоюзов пост председ</w:t>
      </w:r>
      <w:r w:rsidRPr="00313382">
        <w:t>а</w:t>
      </w:r>
      <w:r w:rsidRPr="00313382">
        <w:t>теля занимает мужчина. Обзор управленческой структуры профсоюзов, вход</w:t>
      </w:r>
      <w:r w:rsidRPr="00313382">
        <w:t>я</w:t>
      </w:r>
      <w:r w:rsidRPr="00313382">
        <w:t xml:space="preserve">щих в состав конфедераций, показывает, что председателями в большинстве случаев являются мужчины, </w:t>
      </w:r>
      <w:r>
        <w:t xml:space="preserve">в то время как </w:t>
      </w:r>
      <w:r w:rsidRPr="00313382">
        <w:t>женщины немног</w:t>
      </w:r>
      <w:r>
        <w:t xml:space="preserve">о </w:t>
      </w:r>
      <w:r w:rsidRPr="00313382">
        <w:t xml:space="preserve">чаще занимают должности заместителя председателя, хотя их доля по-прежнему </w:t>
      </w:r>
      <w:r>
        <w:t xml:space="preserve">совсем </w:t>
      </w:r>
      <w:r w:rsidRPr="00313382">
        <w:t>мала.</w:t>
      </w:r>
    </w:p>
    <w:p w:rsidR="00E54A08" w:rsidRPr="00313382" w:rsidRDefault="00E54A08" w:rsidP="006811B3">
      <w:pPr>
        <w:pStyle w:val="SingleTxt"/>
      </w:pPr>
      <w:r w:rsidRPr="00313382">
        <w:t>71.</w:t>
      </w:r>
      <w:r w:rsidRPr="00313382">
        <w:tab/>
        <w:t>Аналогичное положение наблюдается в организациях работодателей (А</w:t>
      </w:r>
      <w:r w:rsidRPr="00313382">
        <w:t>с</w:t>
      </w:r>
      <w:r w:rsidRPr="00313382">
        <w:t xml:space="preserve">социация работодателей Словении, Торгово-промышленная палата Словении, Палата ремесленников и малых предпринимателей Словении), в которых нет ни одной женщины, занимающей должность председателя. </w:t>
      </w:r>
    </w:p>
    <w:p w:rsidR="00E54A08" w:rsidRPr="009D5BF8" w:rsidRDefault="00E54A08" w:rsidP="009D5BF8">
      <w:pPr>
        <w:pStyle w:val="SingleTxt"/>
        <w:spacing w:after="0" w:line="120" w:lineRule="exact"/>
        <w:rPr>
          <w:sz w:val="10"/>
        </w:rPr>
      </w:pPr>
    </w:p>
    <w:p w:rsidR="009D5BF8" w:rsidRPr="009D5BF8" w:rsidRDefault="009D5BF8" w:rsidP="009D5BF8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9D5B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Статья 8</w:t>
      </w:r>
      <w:r w:rsidRPr="00DF1A95">
        <w:br/>
        <w:t>Женщины, представляющие правительство в международных организ</w:t>
      </w:r>
      <w:r w:rsidRPr="00DF1A95">
        <w:t>а</w:t>
      </w:r>
      <w:r w:rsidRPr="00DF1A95">
        <w:t>циях и находящиеся на дипломатической службе</w:t>
      </w:r>
    </w:p>
    <w:p w:rsidR="009D5BF8" w:rsidRPr="009D5BF8" w:rsidRDefault="009D5BF8" w:rsidP="009D5BF8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SingleTxt"/>
      </w:pPr>
      <w:r w:rsidRPr="00DF1A95">
        <w:t>72.</w:t>
      </w:r>
      <w:r w:rsidRPr="00DF1A95">
        <w:tab/>
        <w:t xml:space="preserve"> По данным министерства иностранных дел, незначительно увеличилось число женщин-послов (26,6</w:t>
      </w:r>
      <w:r>
        <w:t> процент</w:t>
      </w:r>
      <w:r w:rsidRPr="00DF1A95">
        <w:t>а) по сравнению с 2004</w:t>
      </w:r>
      <w:r>
        <w:t> год</w:t>
      </w:r>
      <w:r w:rsidRPr="00DF1A95">
        <w:t>ом (22,6</w:t>
      </w:r>
      <w:r>
        <w:t> процент</w:t>
      </w:r>
      <w:r w:rsidRPr="00DF1A95">
        <w:t>а), когда началась подготовка предыдущего периодического д</w:t>
      </w:r>
      <w:r w:rsidRPr="00DF1A95">
        <w:t>о</w:t>
      </w:r>
      <w:r w:rsidRPr="00DF1A95">
        <w:t>клада. Также возросло количество женщин, занимающих должности полн</w:t>
      </w:r>
      <w:r w:rsidRPr="00DF1A95">
        <w:t>о</w:t>
      </w:r>
      <w:r w:rsidRPr="00DF1A95">
        <w:t>мочных посланников и советников-посланников</w:t>
      </w:r>
      <w:r>
        <w:t xml:space="preserve"> — </w:t>
      </w:r>
      <w:r w:rsidRPr="00DF1A95">
        <w:t>до 56,1</w:t>
      </w:r>
      <w:r>
        <w:t> процент</w:t>
      </w:r>
      <w:r w:rsidRPr="00DF1A95">
        <w:t>а и 63,6</w:t>
      </w:r>
      <w:r>
        <w:t> процент</w:t>
      </w:r>
      <w:r w:rsidRPr="00DF1A95">
        <w:t>а</w:t>
      </w:r>
      <w:r>
        <w:t>,</w:t>
      </w:r>
      <w:r w:rsidRPr="005C4A19">
        <w:t xml:space="preserve"> </w:t>
      </w:r>
      <w:r w:rsidRPr="00DF1A95">
        <w:t>соответственно, причем в 2004</w:t>
      </w:r>
      <w:r>
        <w:t> год</w:t>
      </w:r>
      <w:r w:rsidRPr="00DF1A95">
        <w:t>у эти показатели составляли 38,6</w:t>
      </w:r>
      <w:r>
        <w:t> процент</w:t>
      </w:r>
      <w:r w:rsidRPr="00DF1A95">
        <w:t>а и 62,1</w:t>
      </w:r>
      <w:r>
        <w:t> процент</w:t>
      </w:r>
      <w:r w:rsidRPr="00DF1A95">
        <w:t>а</w:t>
      </w:r>
      <w:r>
        <w:t>,</w:t>
      </w:r>
      <w:r w:rsidRPr="005C4A19">
        <w:t xml:space="preserve"> </w:t>
      </w:r>
      <w:r w:rsidRPr="00DF1A95">
        <w:t>соответственно</w:t>
      </w:r>
      <w:r>
        <w:t>.</w:t>
      </w:r>
      <w:r w:rsidRPr="00DF1A95">
        <w:t xml:space="preserve"> На женщин приходится более половины должностей советников первого класса (три женщины и два мужч</w:t>
      </w:r>
      <w:r w:rsidRPr="00DF1A95">
        <w:t>и</w:t>
      </w:r>
      <w:r w:rsidRPr="00DF1A95">
        <w:t>ны) и половина должностей сове</w:t>
      </w:r>
      <w:r w:rsidRPr="00DF1A95">
        <w:t>т</w:t>
      </w:r>
      <w:r w:rsidRPr="00DF1A95">
        <w:t>ников (12</w:t>
      </w:r>
      <w:r>
        <w:t> </w:t>
      </w:r>
      <w:r w:rsidRPr="00DF1A95">
        <w:t>женщин и 12</w:t>
      </w:r>
      <w:r>
        <w:t> </w:t>
      </w:r>
      <w:r w:rsidRPr="00DF1A95">
        <w:t>мужчин). Кроме того, среди женщин больше первых, вторых и третьих сек</w:t>
      </w:r>
      <w:r>
        <w:t>ретарей</w:t>
      </w:r>
      <w:r w:rsidRPr="00DF1A95">
        <w:t xml:space="preserve"> (75</w:t>
      </w:r>
      <w:r>
        <w:t> процент</w:t>
      </w:r>
      <w:r w:rsidRPr="00DF1A95">
        <w:t>ов), а единственную должность атташе занимает мужчина</w:t>
      </w:r>
      <w:r w:rsidRPr="007E0CCC">
        <w:rPr>
          <w:vertAlign w:val="superscript"/>
        </w:rPr>
        <w:footnoteReference w:id="29"/>
      </w:r>
      <w:r>
        <w:t>.</w:t>
      </w:r>
    </w:p>
    <w:p w:rsidR="009D5BF8" w:rsidRPr="00DF1A95" w:rsidRDefault="009D5BF8" w:rsidP="00D12BAA">
      <w:pPr>
        <w:pStyle w:val="SingleTxt"/>
      </w:pPr>
      <w:r w:rsidRPr="00DF1A95">
        <w:t>73.</w:t>
      </w:r>
      <w:r w:rsidRPr="00DF1A95">
        <w:tab/>
        <w:t xml:space="preserve"> В наднациональных парламентах, Европейском парламенте и Парламен</w:t>
      </w:r>
      <w:r w:rsidRPr="00DF1A95">
        <w:t>т</w:t>
      </w:r>
      <w:r w:rsidRPr="00DF1A95">
        <w:t>ской ассамблее Совета Европы женщины из Словении представлены следу</w:t>
      </w:r>
      <w:r w:rsidRPr="00DF1A95">
        <w:t>ю</w:t>
      </w:r>
      <w:r w:rsidRPr="00DF1A95">
        <w:t>щим образом: четыре женщины-парламентария (50</w:t>
      </w:r>
      <w:r>
        <w:t> процент</w:t>
      </w:r>
      <w:r w:rsidRPr="00DF1A95">
        <w:t>ов), как уже отм</w:t>
      </w:r>
      <w:r w:rsidRPr="00DF1A95">
        <w:t>е</w:t>
      </w:r>
      <w:r w:rsidRPr="00DF1A95">
        <w:t>чалось, работают в Европейском парламенте; делегация Словении в Парл</w:t>
      </w:r>
      <w:r w:rsidRPr="00DF1A95">
        <w:t>а</w:t>
      </w:r>
      <w:r w:rsidRPr="00DF1A95">
        <w:t>ментской ассамблее Совета Европы в составе шести членов (три представителя и три заместителя) состоит из двух женщин и четырех мужчин; в делегации Словении в Комитете регионов Европейского союза, которая состоит из 14</w:t>
      </w:r>
      <w:r>
        <w:t> </w:t>
      </w:r>
      <w:r w:rsidRPr="00DF1A95">
        <w:t>членов (семи представителей и семи заместителей), доля женщин составл</w:t>
      </w:r>
      <w:r w:rsidRPr="00DF1A95">
        <w:t>я</w:t>
      </w:r>
      <w:r w:rsidRPr="00DF1A95">
        <w:t>ет 14,3</w:t>
      </w:r>
      <w:r>
        <w:t> процент</w:t>
      </w:r>
      <w:r w:rsidRPr="00DF1A95">
        <w:t>а. При этом все семь представителей Словении в Экономич</w:t>
      </w:r>
      <w:r w:rsidRPr="00DF1A95">
        <w:t>е</w:t>
      </w:r>
      <w:r w:rsidRPr="00DF1A95">
        <w:t xml:space="preserve">ском и </w:t>
      </w:r>
      <w:r>
        <w:t>с</w:t>
      </w:r>
      <w:r w:rsidRPr="00DF1A95">
        <w:t xml:space="preserve">оциальном комитете Европейского союза являются мужчинами. </w:t>
      </w:r>
    </w:p>
    <w:p w:rsidR="009D5BF8" w:rsidRPr="00DF1A95" w:rsidRDefault="009D5BF8" w:rsidP="00D12BAA">
      <w:pPr>
        <w:pStyle w:val="SingleTxt"/>
      </w:pPr>
      <w:r w:rsidRPr="00DF1A95">
        <w:t xml:space="preserve">74. </w:t>
      </w:r>
      <w:r w:rsidRPr="00DF1A95">
        <w:tab/>
        <w:t>Из 18</w:t>
      </w:r>
      <w:r>
        <w:t> </w:t>
      </w:r>
      <w:r w:rsidRPr="00DF1A95">
        <w:t>граждан Словении, работающих в Организации Объединенных Наций, десять</w:t>
      </w:r>
      <w:r>
        <w:t xml:space="preserve"> — </w:t>
      </w:r>
      <w:r w:rsidRPr="00DF1A95">
        <w:t>это женщины; еще две женщины находятся в числе семи сл</w:t>
      </w:r>
      <w:r w:rsidRPr="00DF1A95">
        <w:t>о</w:t>
      </w:r>
      <w:r w:rsidRPr="00DF1A95">
        <w:t>венцев, являющихся сотрудниками Организации по безопасности и сотрудн</w:t>
      </w:r>
      <w:r w:rsidRPr="00DF1A95">
        <w:t>и</w:t>
      </w:r>
      <w:r w:rsidRPr="00DF1A95">
        <w:t>честву в Европе (ОБСЕ); а три женщины (37</w:t>
      </w:r>
      <w:r>
        <w:t> процент</w:t>
      </w:r>
      <w:r w:rsidRPr="00DF1A95">
        <w:t>ов) прикомандированы к Европейской комиссии в качестве национальных экспертов.</w:t>
      </w:r>
    </w:p>
    <w:p w:rsidR="009D5BF8" w:rsidRPr="00DF1A95" w:rsidRDefault="009D5BF8" w:rsidP="00D12BAA">
      <w:pPr>
        <w:pStyle w:val="SingleTxt"/>
      </w:pPr>
      <w:bookmarkStart w:id="11" w:name="OLE_LINK456"/>
      <w:r w:rsidRPr="00DF1A95">
        <w:t>75.</w:t>
      </w:r>
      <w:r w:rsidRPr="00DF1A95">
        <w:tab/>
        <w:t xml:space="preserve"> В 2009</w:t>
      </w:r>
      <w:r>
        <w:t> год</w:t>
      </w:r>
      <w:r w:rsidRPr="00DF1A95">
        <w:t xml:space="preserve">у в сотрудничестве со Словенским институтом по вопросам миграции и </w:t>
      </w:r>
      <w:r>
        <w:t>На</w:t>
      </w:r>
      <w:r w:rsidRPr="00DF1A95">
        <w:t>учно-исследовательским центром Словенской академи</w:t>
      </w:r>
      <w:r>
        <w:t>и</w:t>
      </w:r>
      <w:r w:rsidRPr="00DF1A95">
        <w:t xml:space="preserve"> наук и искусств министерство иностранных дел провело исследование и подготовило научную монографию </w:t>
      </w:r>
      <w:r>
        <w:t>«</w:t>
      </w:r>
      <w:r w:rsidRPr="00DF1A95">
        <w:t>Обеспечение равных возможностей в рамках слове</w:t>
      </w:r>
      <w:r w:rsidRPr="00DF1A95">
        <w:t>н</w:t>
      </w:r>
      <w:r w:rsidRPr="00DF1A95">
        <w:t>ской дипломатии</w:t>
      </w:r>
      <w:r>
        <w:t>»</w:t>
      </w:r>
      <w:r w:rsidRPr="00DF1A95">
        <w:t>. Цель исследования состояла в том, чтобы теоретически и практически изучить вопрос равенства возможностей для женщин и мужчин и другие проблемы словенской дипломатии, а также предложить меры по улу</w:t>
      </w:r>
      <w:r w:rsidRPr="00DF1A95">
        <w:t>ч</w:t>
      </w:r>
      <w:r w:rsidRPr="00DF1A95">
        <w:t>шению ситуации на основе результатов анализа. После опубликования резул</w:t>
      </w:r>
      <w:r w:rsidRPr="00DF1A95">
        <w:t>ь</w:t>
      </w:r>
      <w:r w:rsidRPr="00DF1A95">
        <w:t>татов исследования в министерстве была создана рабочая группа по вопросам равных возможностей, которой было поручено проанализировать результаты исследования, выявить основные проблемы и нерешенные вопросы в области обеспечения равных возможностей и межличностных отношений и предложить надлежащие меры по их решению. Рабочая группа наметила четыре направл</w:t>
      </w:r>
      <w:r w:rsidRPr="00DF1A95">
        <w:t>е</w:t>
      </w:r>
      <w:r w:rsidRPr="00DF1A95">
        <w:t>ния деятельности, определила связанные с ними проблемы и предложила меры по их решению. Одно из направлений работы касается положения женщин на дипломатической службе. В этой связи министерству было рекомендовано принять меры по сбалансированию структуры управления, решению вопроса низкой представленности женщин на должностях послов и достижению ге</w:t>
      </w:r>
      <w:r w:rsidRPr="00DF1A95">
        <w:t>н</w:t>
      </w:r>
      <w:r w:rsidRPr="00DF1A95">
        <w:t>дерного баланса при назначении на должности среднего звена и при труд</w:t>
      </w:r>
      <w:r w:rsidRPr="00DF1A95">
        <w:t>о</w:t>
      </w:r>
      <w:r w:rsidRPr="00DF1A95">
        <w:t>устрой</w:t>
      </w:r>
      <w:r>
        <w:t>стве.</w:t>
      </w:r>
    </w:p>
    <w:p w:rsidR="009D5BF8" w:rsidRPr="009D5BF8" w:rsidRDefault="009D5BF8" w:rsidP="009D5BF8">
      <w:pPr>
        <w:pStyle w:val="SingleTxt"/>
        <w:spacing w:after="0" w:line="120" w:lineRule="exact"/>
        <w:rPr>
          <w:sz w:val="10"/>
        </w:rPr>
      </w:pPr>
    </w:p>
    <w:p w:rsidR="009D5BF8" w:rsidRPr="00E52E1F" w:rsidRDefault="009D5BF8" w:rsidP="00D12BAA">
      <w:pPr>
        <w:pStyle w:val="SingleTxt"/>
        <w:spacing w:after="0" w:line="120" w:lineRule="exact"/>
        <w:rPr>
          <w:sz w:val="10"/>
        </w:rPr>
      </w:pPr>
    </w:p>
    <w:bookmarkEnd w:id="11"/>
    <w:p w:rsidR="009D5BF8" w:rsidRPr="00DF1A95" w:rsidRDefault="009D5BF8" w:rsidP="009D5B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F1A95">
        <w:t>Статья 9</w:t>
      </w:r>
      <w:r>
        <w:br/>
      </w:r>
      <w:r w:rsidRPr="00DF1A95">
        <w:t>Гражданство</w:t>
      </w:r>
    </w:p>
    <w:p w:rsidR="009D5BF8" w:rsidRPr="009D5BF8" w:rsidRDefault="009D5BF8" w:rsidP="009D5BF8">
      <w:pPr>
        <w:pStyle w:val="SingleTxt"/>
        <w:spacing w:after="0" w:line="120" w:lineRule="exact"/>
        <w:rPr>
          <w:sz w:val="10"/>
        </w:rPr>
      </w:pPr>
    </w:p>
    <w:p w:rsidR="009D5BF8" w:rsidRPr="00E52E1F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SingleTxt"/>
      </w:pPr>
      <w:r>
        <w:t>76.</w:t>
      </w:r>
      <w:r>
        <w:tab/>
      </w:r>
      <w:r w:rsidRPr="00DF1A95">
        <w:t>За отчетный период каких-либо изменений в плане соблюдения этой ст</w:t>
      </w:r>
      <w:r w:rsidRPr="00DF1A95">
        <w:t>а</w:t>
      </w:r>
      <w:r w:rsidRPr="00DF1A95">
        <w:t>тьи не произошло.</w:t>
      </w:r>
    </w:p>
    <w:p w:rsidR="009D5BF8" w:rsidRPr="009D5BF8" w:rsidRDefault="009D5BF8" w:rsidP="009D5BF8">
      <w:pPr>
        <w:pStyle w:val="SingleTxt"/>
        <w:spacing w:after="0" w:line="120" w:lineRule="exact"/>
        <w:rPr>
          <w:sz w:val="10"/>
        </w:rPr>
      </w:pPr>
    </w:p>
    <w:p w:rsidR="009D5BF8" w:rsidRPr="00E52E1F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9D5B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F1A95">
        <w:t>Статья 10</w:t>
      </w:r>
      <w:r>
        <w:br/>
      </w:r>
      <w:r w:rsidRPr="00DF1A95">
        <w:t>Образование</w:t>
      </w:r>
    </w:p>
    <w:p w:rsidR="009D5BF8" w:rsidRPr="009D5BF8" w:rsidRDefault="009D5BF8" w:rsidP="009D5BF8">
      <w:pPr>
        <w:pStyle w:val="SingleTxt"/>
        <w:spacing w:after="0" w:line="120" w:lineRule="exact"/>
        <w:rPr>
          <w:sz w:val="10"/>
        </w:rPr>
      </w:pPr>
    </w:p>
    <w:p w:rsidR="009D5BF8" w:rsidRPr="00E52E1F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SingleTxt"/>
      </w:pPr>
      <w:r w:rsidRPr="00DF1A95">
        <w:t>77.</w:t>
      </w:r>
      <w:r w:rsidRPr="00DF1A95">
        <w:tab/>
        <w:t>В Закон об организации и финансировании образования, который был принят в отчетный период, было внесено несколько поправок, но ни одна из них не касалась вопросов гендерного равенства.</w:t>
      </w:r>
    </w:p>
    <w:p w:rsidR="009D5BF8" w:rsidRPr="00DF1A95" w:rsidRDefault="009D5BF8" w:rsidP="00D12BAA">
      <w:pPr>
        <w:pStyle w:val="SingleTxt"/>
      </w:pPr>
      <w:r w:rsidRPr="00DF1A95">
        <w:t xml:space="preserve">78. </w:t>
      </w:r>
      <w:r w:rsidRPr="00DF1A95">
        <w:tab/>
        <w:t>В последние</w:t>
      </w:r>
      <w:r>
        <w:t> год</w:t>
      </w:r>
      <w:r w:rsidRPr="00DF1A95">
        <w:t>ы меняется ситуация в плане обучения цыганского нас</w:t>
      </w:r>
      <w:r w:rsidRPr="00DF1A95">
        <w:t>е</w:t>
      </w:r>
      <w:r w:rsidRPr="00DF1A95">
        <w:t>ления. В 2011</w:t>
      </w:r>
      <w:r>
        <w:t> год</w:t>
      </w:r>
      <w:r w:rsidRPr="00DF1A95">
        <w:t>у были внесены поправки в Стратегию по вопросам образ</w:t>
      </w:r>
      <w:r w:rsidRPr="00DF1A95">
        <w:t>о</w:t>
      </w:r>
      <w:r w:rsidRPr="00DF1A95">
        <w:t>вания для цыган, которая, в частности, предусматривает повышение уровня образования взрослого цыганского населения, развитие его человеческого п</w:t>
      </w:r>
      <w:r w:rsidRPr="00DF1A95">
        <w:t>о</w:t>
      </w:r>
      <w:r w:rsidRPr="00DF1A95">
        <w:t>тенциала и создание в районах проживания цыган сети консультационных це</w:t>
      </w:r>
      <w:r w:rsidRPr="00DF1A95">
        <w:t>н</w:t>
      </w:r>
      <w:r w:rsidRPr="00DF1A95">
        <w:t>тров. Особое внимание в Стратегии уделяется обучению цыганских девочек и женщин. Были утверждены приложение, посвященное работе с детьми цыган, к учебной программе дошкольных учреждений, а также инструкции по ос</w:t>
      </w:r>
      <w:r w:rsidRPr="00DF1A95">
        <w:t>у</w:t>
      </w:r>
      <w:r w:rsidRPr="00DF1A95">
        <w:t>ществлению учебной программы девятилетней начальной школы для учащихся из числа цыган. Дополнительный персонал привлекается для работы в детс</w:t>
      </w:r>
      <w:r w:rsidRPr="00DF1A95">
        <w:t>а</w:t>
      </w:r>
      <w:r w:rsidRPr="00DF1A95">
        <w:t>довских группах, если в них есть цыганские дети, и в начальных классах, если в них учатся не менее трех цыган. На тему цыганской культуры могут пров</w:t>
      </w:r>
      <w:r w:rsidRPr="00DF1A95">
        <w:t>о</w:t>
      </w:r>
      <w:r w:rsidRPr="00DF1A95">
        <w:t>диться факультативные занятия. Если среди учеников первых классах учатся цыгане, уроки проводят два учителя, а начальная школа, которую они посещ</w:t>
      </w:r>
      <w:r w:rsidRPr="00DF1A95">
        <w:t>а</w:t>
      </w:r>
      <w:r w:rsidRPr="00DF1A95">
        <w:t xml:space="preserve">ют, может нанять еще одного учителя или социального работника. Если </w:t>
      </w:r>
      <w:r>
        <w:t>в шк</w:t>
      </w:r>
      <w:r>
        <w:t>о</w:t>
      </w:r>
      <w:r>
        <w:t>ле учится больше</w:t>
      </w:r>
      <w:r w:rsidRPr="00DF1A95">
        <w:t xml:space="preserve"> 45</w:t>
      </w:r>
      <w:r>
        <w:t> цыган</w:t>
      </w:r>
      <w:r w:rsidRPr="00DF1A95">
        <w:t xml:space="preserve">, то </w:t>
      </w:r>
      <w:r>
        <w:t>она</w:t>
      </w:r>
      <w:r w:rsidRPr="00DF1A95">
        <w:t xml:space="preserve"> может нанять еще двух педагогов для оказ</w:t>
      </w:r>
      <w:r w:rsidRPr="00DF1A95">
        <w:t>а</w:t>
      </w:r>
      <w:r>
        <w:t>ния учебной и иной помощи.</w:t>
      </w:r>
    </w:p>
    <w:p w:rsidR="009D5BF8" w:rsidRPr="00A32E5F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F1A95">
        <w:t>Дошкольное обучение в детских садах</w:t>
      </w:r>
    </w:p>
    <w:p w:rsidR="009D5BF8" w:rsidRPr="00A32E5F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SingleTxt"/>
      </w:pPr>
      <w:r w:rsidRPr="00DF1A95">
        <w:t>79.</w:t>
      </w:r>
      <w:r w:rsidRPr="00DF1A95">
        <w:tab/>
        <w:t>В последние</w:t>
      </w:r>
      <w:r>
        <w:t> год</w:t>
      </w:r>
      <w:r w:rsidRPr="00DF1A95">
        <w:t>ы значительно увеличилось число детей, посещающих дошкольные учреждения. В 2012/2013</w:t>
      </w:r>
      <w:r>
        <w:t> </w:t>
      </w:r>
      <w:r w:rsidRPr="00DF1A95">
        <w:t>учебном</w:t>
      </w:r>
      <w:r>
        <w:t xml:space="preserve"> год</w:t>
      </w:r>
      <w:r w:rsidRPr="00DF1A95">
        <w:t>у их посещали 77,7</w:t>
      </w:r>
      <w:r>
        <w:t> про</w:t>
      </w:r>
      <w:r>
        <w:softHyphen/>
        <w:t>цент</w:t>
      </w:r>
      <w:r w:rsidRPr="00DF1A95">
        <w:t>а детей в возрасте 1</w:t>
      </w:r>
      <w:r>
        <w:t>–</w:t>
      </w:r>
      <w:r w:rsidRPr="00DF1A95">
        <w:t>6</w:t>
      </w:r>
      <w:r>
        <w:t> </w:t>
      </w:r>
      <w:r w:rsidRPr="00DF1A95">
        <w:t>лет (83 090</w:t>
      </w:r>
      <w:r>
        <w:t xml:space="preserve"> </w:t>
      </w:r>
      <w:r w:rsidRPr="00DF1A95">
        <w:t>детей), что на 16,3</w:t>
      </w:r>
      <w:r>
        <w:t> процент</w:t>
      </w:r>
      <w:r w:rsidRPr="00DF1A95">
        <w:t xml:space="preserve">а </w:t>
      </w:r>
      <w:r>
        <w:t>больше</w:t>
      </w:r>
      <w:r w:rsidRPr="00DF1A95">
        <w:t>, чем в 2004</w:t>
      </w:r>
      <w:r>
        <w:t> год</w:t>
      </w:r>
      <w:r w:rsidRPr="00DF1A95">
        <w:t>у. Увеличение числа детей, посещающих дошкольные учрежд</w:t>
      </w:r>
      <w:r w:rsidRPr="00DF1A95">
        <w:t>е</w:t>
      </w:r>
      <w:r w:rsidRPr="00DF1A95">
        <w:t>ния, может отчасти объясняться тем, что в Закон о дошкольных учреждениях 2008</w:t>
      </w:r>
      <w:r>
        <w:t> год</w:t>
      </w:r>
      <w:r w:rsidRPr="00DF1A95">
        <w:t>а были внесены поправки. Согласно измененной статье</w:t>
      </w:r>
      <w:r>
        <w:t> </w:t>
      </w:r>
      <w:r w:rsidRPr="00DF1A95">
        <w:t>32(4), если р</w:t>
      </w:r>
      <w:r w:rsidRPr="00DF1A95">
        <w:t>о</w:t>
      </w:r>
      <w:r w:rsidRPr="00DF1A95">
        <w:t>дители отдают в детский сад более чем одного ребенка, то за старшего р</w:t>
      </w:r>
      <w:r w:rsidRPr="00DF1A95">
        <w:t>е</w:t>
      </w:r>
      <w:r w:rsidRPr="00DF1A95">
        <w:t>бенка они платят меньше, а за младших детей не платят вообще. В Законе о госуда</w:t>
      </w:r>
      <w:r w:rsidRPr="00DF1A95">
        <w:t>р</w:t>
      </w:r>
      <w:r w:rsidRPr="00DF1A95">
        <w:t>ственном бюджете 2012</w:t>
      </w:r>
      <w:r>
        <w:t> год</w:t>
      </w:r>
      <w:r w:rsidRPr="00DF1A95">
        <w:t>а это право было изменено. Родители, которые о</w:t>
      </w:r>
      <w:r w:rsidRPr="00DF1A95">
        <w:t>т</w:t>
      </w:r>
      <w:r w:rsidRPr="00DF1A95">
        <w:t>дают в детский сад двух или более детей, в соответствии с этим законом платят 30</w:t>
      </w:r>
      <w:r>
        <w:t> процент</w:t>
      </w:r>
      <w:r w:rsidRPr="00DF1A95">
        <w:t>ов от установленной суммы только за младшего ребенка и освобо</w:t>
      </w:r>
      <w:r w:rsidRPr="00DF1A95">
        <w:t>ж</w:t>
      </w:r>
      <w:r w:rsidRPr="00DF1A95">
        <w:t xml:space="preserve">даются от уплаты за </w:t>
      </w:r>
      <w:r>
        <w:t>всех других</w:t>
      </w:r>
      <w:r w:rsidRPr="00DF1A95">
        <w:t xml:space="preserve"> детей. Разница в оплате для детских садов п</w:t>
      </w:r>
      <w:r w:rsidRPr="00DF1A95">
        <w:t>о</w:t>
      </w:r>
      <w:r w:rsidRPr="00DF1A95">
        <w:t>крывается из бюджета. Доля девочек от общего числа детей, посещающих д</w:t>
      </w:r>
      <w:r w:rsidRPr="00DF1A95">
        <w:t>о</w:t>
      </w:r>
      <w:r w:rsidRPr="00DF1A95">
        <w:t>школьные учреждения, как и доля девочек от общего числа живорожденных детей, составляет чуть более 48</w:t>
      </w:r>
      <w:r>
        <w:t> процент</w:t>
      </w:r>
      <w:r w:rsidRPr="00DF1A95">
        <w:t xml:space="preserve">ов. </w:t>
      </w:r>
    </w:p>
    <w:p w:rsidR="009D5BF8" w:rsidRPr="00DF1A95" w:rsidRDefault="009D5BF8" w:rsidP="00D12BAA">
      <w:pPr>
        <w:pStyle w:val="SingleTxt"/>
      </w:pPr>
      <w:r>
        <w:t>80.</w:t>
      </w:r>
      <w:r>
        <w:tab/>
      </w:r>
      <w:r w:rsidRPr="00DF1A95">
        <w:t>Увеличение числа воспитанников детских садов привело к тому, что т</w:t>
      </w:r>
      <w:r w:rsidRPr="00DF1A95">
        <w:t>а</w:t>
      </w:r>
      <w:r w:rsidRPr="00DF1A95">
        <w:t>ких учреждений и работающего в них персонала стало больше. С точки зрения с</w:t>
      </w:r>
      <w:r w:rsidRPr="00DF1A95">
        <w:t>о</w:t>
      </w:r>
      <w:r w:rsidRPr="00DF1A95">
        <w:t>отношения полов кадровая структура детских садов почти не изменилась</w:t>
      </w:r>
      <w:r>
        <w:t xml:space="preserve"> — </w:t>
      </w:r>
      <w:r w:rsidRPr="00DF1A95">
        <w:t>большинство их сотрудников составляют женщины</w:t>
      </w:r>
      <w:r w:rsidRPr="007E0CCC">
        <w:rPr>
          <w:vertAlign w:val="superscript"/>
        </w:rPr>
        <w:footnoteReference w:id="30"/>
      </w:r>
      <w:r w:rsidRPr="00DF1A95">
        <w:t>.</w:t>
      </w:r>
    </w:p>
    <w:p w:rsidR="009D5BF8" w:rsidRPr="00DF1A95" w:rsidRDefault="009D5BF8" w:rsidP="00D12BAA">
      <w:pPr>
        <w:pStyle w:val="SingleTxt"/>
      </w:pPr>
      <w:r w:rsidRPr="00DF1A95">
        <w:t>81.</w:t>
      </w:r>
      <w:r w:rsidRPr="00DF1A95">
        <w:tab/>
        <w:t xml:space="preserve"> В период с июня 2010</w:t>
      </w:r>
      <w:r>
        <w:t> год</w:t>
      </w:r>
      <w:r w:rsidRPr="00DF1A95">
        <w:t>а по август 2013</w:t>
      </w:r>
      <w:r>
        <w:t> год</w:t>
      </w:r>
      <w:r w:rsidRPr="00DF1A95">
        <w:t>а в целях содействия успешной интеграции детей цыган на стадии начального образования был весьма успешно осуществлен проект, цель которого заключалась в повышении социально-культурного уровня цыганского населения. В рамках этого проекта были разработаны новаторские и творческие подходы к проведению среди ц</w:t>
      </w:r>
      <w:r w:rsidRPr="00DF1A95">
        <w:t>ы</w:t>
      </w:r>
      <w:r w:rsidRPr="00DF1A95">
        <w:t>ган просветительской работы и особое внимание уделялось их дошкольному образованию. Одной из инновационных особенностей этого проекта было с</w:t>
      </w:r>
      <w:r w:rsidRPr="00DF1A95">
        <w:t>о</w:t>
      </w:r>
      <w:r w:rsidRPr="00DF1A95">
        <w:t>действие обучению цыган путем осуществления всеобъемлющей программы, предусматривающей различные виды взаимодействия в цыганских общинах с детьми, молодежью и взрослыми. В июле 2011</w:t>
      </w:r>
      <w:r>
        <w:t> год</w:t>
      </w:r>
      <w:r w:rsidRPr="00DF1A95">
        <w:t>а в этом проекте, который охватывал 28</w:t>
      </w:r>
      <w:r>
        <w:t> </w:t>
      </w:r>
      <w:r w:rsidRPr="00DF1A95">
        <w:t>детских садов и школ, участвовало 545</w:t>
      </w:r>
      <w:r>
        <w:t> </w:t>
      </w:r>
      <w:r w:rsidRPr="00DF1A95">
        <w:t>детей, школьников и ст</w:t>
      </w:r>
      <w:r w:rsidRPr="00DF1A95">
        <w:t>у</w:t>
      </w:r>
      <w:r w:rsidRPr="00DF1A95">
        <w:t>дентов, которые получали помощь в учебе и вовлекались в другие виды уче</w:t>
      </w:r>
      <w:r w:rsidRPr="00DF1A95">
        <w:t>б</w:t>
      </w:r>
      <w:r w:rsidRPr="00DF1A95">
        <w:t>ной деятельности в рамках дошкольного и внеклассного обучения. В учебных программах также участвовало 153</w:t>
      </w:r>
      <w:r>
        <w:t> </w:t>
      </w:r>
      <w:r w:rsidRPr="00DF1A95">
        <w:t>учителя и других специалиста в области образования.</w:t>
      </w:r>
    </w:p>
    <w:p w:rsidR="009D5BF8" w:rsidRPr="00D32BF7" w:rsidRDefault="009D5BF8" w:rsidP="00D12BAA">
      <w:pPr>
        <w:pStyle w:val="SingleTxt"/>
        <w:spacing w:after="0" w:line="120" w:lineRule="exact"/>
        <w:rPr>
          <w:b/>
          <w:sz w:val="10"/>
        </w:rPr>
      </w:pPr>
    </w:p>
    <w:p w:rsidR="009D5BF8" w:rsidRPr="00DF1A95" w:rsidRDefault="009D5BF8" w:rsidP="00D12B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F1A95">
        <w:t>Н</w:t>
      </w:r>
      <w:r>
        <w:t>ачальное и среднее образование</w:t>
      </w:r>
    </w:p>
    <w:p w:rsidR="009D5BF8" w:rsidRPr="00D32BF7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SingleTxt"/>
      </w:pPr>
      <w:r w:rsidRPr="00DF1A95">
        <w:t>82.</w:t>
      </w:r>
      <w:r w:rsidRPr="00DF1A95">
        <w:tab/>
        <w:t>В Словении в начальных школах обучается примерно одинаковое число девочек и мальчиков. В 2010/2011 учебном</w:t>
      </w:r>
      <w:r>
        <w:t> год</w:t>
      </w:r>
      <w:r w:rsidRPr="00DF1A95">
        <w:t>у доля девочек от общего числа учащихся начальных школ</w:t>
      </w:r>
      <w:r>
        <w:t xml:space="preserve"> </w:t>
      </w:r>
      <w:r w:rsidRPr="00DF1A95">
        <w:t>составляла 48,6</w:t>
      </w:r>
      <w:r>
        <w:t> процент</w:t>
      </w:r>
      <w:r w:rsidRPr="00DF1A95">
        <w:t>а, а от общего количества учащихся средних школ</w:t>
      </w:r>
      <w:r>
        <w:t xml:space="preserve"> — </w:t>
      </w:r>
      <w:r w:rsidRPr="00DF1A95">
        <w:t>49,2</w:t>
      </w:r>
      <w:r>
        <w:t> процент</w:t>
      </w:r>
      <w:r w:rsidRPr="00DF1A95">
        <w:t>а.</w:t>
      </w:r>
    </w:p>
    <w:p w:rsidR="009D5BF8" w:rsidRPr="00DF1A95" w:rsidRDefault="009D5BF8" w:rsidP="00D12BAA">
      <w:pPr>
        <w:pStyle w:val="SingleTxt"/>
      </w:pPr>
      <w:r>
        <w:t>83.</w:t>
      </w:r>
      <w:r>
        <w:tab/>
      </w:r>
      <w:r w:rsidRPr="00DF1A95">
        <w:t>Что касается получения среднего образования, то в 2010/2011</w:t>
      </w:r>
      <w:r>
        <w:t> </w:t>
      </w:r>
      <w:r w:rsidRPr="00DF1A95">
        <w:t>учебном</w:t>
      </w:r>
      <w:r>
        <w:t xml:space="preserve"> г</w:t>
      </w:r>
      <w:r>
        <w:t>о</w:t>
      </w:r>
      <w:r>
        <w:t>д</w:t>
      </w:r>
      <w:r w:rsidRPr="00DF1A95">
        <w:t>у большинство учащихся (41,3</w:t>
      </w:r>
      <w:r>
        <w:t> процент</w:t>
      </w:r>
      <w:r w:rsidRPr="00DF1A95">
        <w:t>а) обучались по общеобразов</w:t>
      </w:r>
      <w:r w:rsidRPr="00DF1A95">
        <w:t>а</w:t>
      </w:r>
      <w:r w:rsidRPr="00DF1A95">
        <w:t>тельной программе, причем девочек среди них было чуть больше (59,5</w:t>
      </w:r>
      <w:r>
        <w:t> процент</w:t>
      </w:r>
      <w:r w:rsidRPr="00DF1A95">
        <w:t>а). Пр</w:t>
      </w:r>
      <w:r w:rsidRPr="00DF1A95">
        <w:t>и</w:t>
      </w:r>
      <w:r w:rsidRPr="00DF1A95">
        <w:t>мерно равное количество мальчиков и девочек обучаются не только по общ</w:t>
      </w:r>
      <w:r w:rsidRPr="00DF1A95">
        <w:t>е</w:t>
      </w:r>
      <w:r w:rsidRPr="00DF1A95">
        <w:t>образовательной программе, но и по программам сферы обслуживания (56,8</w:t>
      </w:r>
      <w:r>
        <w:t> процент</w:t>
      </w:r>
      <w:r w:rsidRPr="00DF1A95">
        <w:t>а девочек) и сельского хозяйства, лесоводства, рыболовства и в</w:t>
      </w:r>
      <w:r w:rsidRPr="00DF1A95">
        <w:t>е</w:t>
      </w:r>
      <w:r w:rsidRPr="00DF1A95">
        <w:t>теринарии (51,5</w:t>
      </w:r>
      <w:r>
        <w:t> процент</w:t>
      </w:r>
      <w:r w:rsidRPr="00DF1A95">
        <w:t>а девочек). Гендерный дисбаланс наиболее заметен среди учащихся по программе естественных наук, математики и и</w:t>
      </w:r>
      <w:r w:rsidRPr="00DF1A95">
        <w:t>н</w:t>
      </w:r>
      <w:r w:rsidRPr="00DF1A95">
        <w:t>форматики, где до</w:t>
      </w:r>
      <w:r>
        <w:t>минируют</w:t>
      </w:r>
      <w:r w:rsidRPr="00DF1A95">
        <w:t xml:space="preserve"> мальчик</w:t>
      </w:r>
      <w:r>
        <w:t>и</w:t>
      </w:r>
      <w:r w:rsidRPr="00DF1A95">
        <w:t xml:space="preserve"> (96,5</w:t>
      </w:r>
      <w:r>
        <w:t> процент</w:t>
      </w:r>
      <w:r w:rsidRPr="00DF1A95">
        <w:t>а), а также по программе машиностр</w:t>
      </w:r>
      <w:r w:rsidRPr="00DF1A95">
        <w:t>о</w:t>
      </w:r>
      <w:r w:rsidRPr="00DF1A95">
        <w:t>ения, обрабатывающей промышленности и строительства (93,6</w:t>
      </w:r>
      <w:r>
        <w:t> процент</w:t>
      </w:r>
      <w:r w:rsidRPr="00DF1A95">
        <w:t xml:space="preserve">а). </w:t>
      </w:r>
      <w:r>
        <w:t>Зато</w:t>
      </w:r>
      <w:r w:rsidRPr="00DF1A95">
        <w:t xml:space="preserve"> больше девочек обучается по </w:t>
      </w:r>
      <w:r>
        <w:t xml:space="preserve">педагогическим </w:t>
      </w:r>
      <w:r w:rsidRPr="00DF1A95">
        <w:t>программ</w:t>
      </w:r>
      <w:r>
        <w:t>ам</w:t>
      </w:r>
      <w:r w:rsidRPr="00DF1A95">
        <w:t xml:space="preserve"> (93,3</w:t>
      </w:r>
      <w:r>
        <w:t> процент</w:t>
      </w:r>
      <w:r w:rsidRPr="00DF1A95">
        <w:t>а)</w:t>
      </w:r>
      <w:r w:rsidRPr="007E0CCC">
        <w:rPr>
          <w:vertAlign w:val="superscript"/>
        </w:rPr>
        <w:footnoteReference w:id="31"/>
      </w:r>
      <w:r w:rsidRPr="00DF1A95">
        <w:t>.</w:t>
      </w:r>
    </w:p>
    <w:p w:rsidR="009D5BF8" w:rsidRPr="00DF1A95" w:rsidRDefault="009D5BF8" w:rsidP="00D12BAA">
      <w:pPr>
        <w:pStyle w:val="SingleTxt"/>
      </w:pPr>
      <w:r w:rsidRPr="00DF1A95">
        <w:t>84.</w:t>
      </w:r>
      <w:r w:rsidRPr="00DF1A95">
        <w:tab/>
        <w:t>В 2012 учебном</w:t>
      </w:r>
      <w:r>
        <w:t> год</w:t>
      </w:r>
      <w:r w:rsidRPr="00DF1A95">
        <w:t>у в начальных школах и специализированных учебных учреждениях обучалось 1724</w:t>
      </w:r>
      <w:r>
        <w:t> </w:t>
      </w:r>
      <w:r w:rsidRPr="00DF1A95">
        <w:t>учащихся, в том числе 646</w:t>
      </w:r>
      <w:r>
        <w:t> </w:t>
      </w:r>
      <w:r w:rsidRPr="00DF1A95">
        <w:t>девочек (37,5</w:t>
      </w:r>
      <w:r>
        <w:t> процент</w:t>
      </w:r>
      <w:r w:rsidRPr="00DF1A95">
        <w:t>а). В том же</w:t>
      </w:r>
      <w:r>
        <w:t> год</w:t>
      </w:r>
      <w:r w:rsidRPr="00DF1A95">
        <w:t>у в средних школах училось 3508</w:t>
      </w:r>
      <w:r>
        <w:t> </w:t>
      </w:r>
      <w:r w:rsidRPr="00DF1A95">
        <w:t>учащихся с особыми п</w:t>
      </w:r>
      <w:r w:rsidRPr="00DF1A95">
        <w:t>о</w:t>
      </w:r>
      <w:r w:rsidRPr="00DF1A95">
        <w:t>требностями, из них 37,9</w:t>
      </w:r>
      <w:r>
        <w:t> процент</w:t>
      </w:r>
      <w:r w:rsidRPr="00DF1A95">
        <w:t>а</w:t>
      </w:r>
      <w:r>
        <w:t xml:space="preserve"> — </w:t>
      </w:r>
      <w:r w:rsidRPr="00DF1A95">
        <w:t>девоч</w:t>
      </w:r>
      <w:r>
        <w:t>ки</w:t>
      </w:r>
      <w:r w:rsidRPr="007E0CCC">
        <w:rPr>
          <w:vertAlign w:val="superscript"/>
        </w:rPr>
        <w:footnoteReference w:id="32"/>
      </w:r>
      <w:r w:rsidRPr="00DF1A95">
        <w:t>.</w:t>
      </w:r>
    </w:p>
    <w:p w:rsidR="009D5BF8" w:rsidRPr="00DF1A95" w:rsidRDefault="009D5BF8" w:rsidP="00D12BAA">
      <w:pPr>
        <w:pStyle w:val="SingleTxt"/>
      </w:pPr>
      <w:r w:rsidRPr="00DF1A95">
        <w:t>85.</w:t>
      </w:r>
      <w:r w:rsidRPr="00DF1A95">
        <w:tab/>
        <w:t>Для успешной интеграции детей цыган на стадии дошкольного и начал</w:t>
      </w:r>
      <w:r w:rsidRPr="00DF1A95">
        <w:t>ь</w:t>
      </w:r>
      <w:r w:rsidRPr="00DF1A95">
        <w:t>ного образования осуществлялись различные проекты. В период с мая 2008</w:t>
      </w:r>
      <w:r>
        <w:t> год</w:t>
      </w:r>
      <w:r w:rsidRPr="00DF1A95">
        <w:t>а по август 2011</w:t>
      </w:r>
      <w:r>
        <w:t> год</w:t>
      </w:r>
      <w:r w:rsidRPr="00DF1A95">
        <w:t>а в координации с Союзом цыган Словении ос</w:t>
      </w:r>
      <w:r w:rsidRPr="00DF1A95">
        <w:t>у</w:t>
      </w:r>
      <w:r w:rsidRPr="00DF1A95">
        <w:t>ществлялся проект, главная цель которого состояла в подготовке из числа ц</w:t>
      </w:r>
      <w:r w:rsidRPr="00DF1A95">
        <w:t>ы</w:t>
      </w:r>
      <w:r w:rsidRPr="00DF1A95">
        <w:t>ган помощников учителя, помогающих детям преодолевать психологические и языковые трудности и выполняющих функцию связующего звена между д</w:t>
      </w:r>
      <w:r w:rsidRPr="00DF1A95">
        <w:t>о</w:t>
      </w:r>
      <w:r w:rsidRPr="00DF1A95">
        <w:t>школьными и школьными учреждениями</w:t>
      </w:r>
      <w:r>
        <w:t xml:space="preserve"> </w:t>
      </w:r>
      <w:r w:rsidRPr="00DF1A95">
        <w:t>и цыганским населением. Из числа цыган было подготовлено 30 помощников учителя, в школах были сформир</w:t>
      </w:r>
      <w:r w:rsidRPr="00DF1A95">
        <w:t>о</w:t>
      </w:r>
      <w:r w:rsidRPr="00DF1A95">
        <w:t>ваны проектные группы, была налажена профессиональная подготовка, а для специалистов в области образования были разработаны справочные и учебно-методические материалы. В сентябре 2011</w:t>
      </w:r>
      <w:r>
        <w:t> год</w:t>
      </w:r>
      <w:r w:rsidRPr="00DF1A95">
        <w:t>а в координации с Народным университетом в Кочевье и в продолжение вышеупомянутого проекта началось осуществление еще одного проекта, который планировалось завершить в авг</w:t>
      </w:r>
      <w:r w:rsidRPr="00DF1A95">
        <w:t>у</w:t>
      </w:r>
      <w:r w:rsidRPr="00DF1A95">
        <w:t>сте 2014</w:t>
      </w:r>
      <w:r>
        <w:t> год</w:t>
      </w:r>
      <w:r w:rsidRPr="00DF1A95">
        <w:t>а. Данный проект был направлен не только на повышение уровня знаний среди учащихся начальных классов из числа цыганского населения и обеспечение их максимальной интеграции на стадии среднего образования, но и на улучшение качества подготовки помощников учителя из числа цыган. До 2014</w:t>
      </w:r>
      <w:r>
        <w:t> год</w:t>
      </w:r>
      <w:r w:rsidRPr="00DF1A95">
        <w:t>а этот проект охватывал</w:t>
      </w:r>
      <w:r>
        <w:t xml:space="preserve"> не менее</w:t>
      </w:r>
      <w:r w:rsidRPr="00DF1A95">
        <w:t xml:space="preserve"> 30</w:t>
      </w:r>
      <w:r>
        <w:t> </w:t>
      </w:r>
      <w:r w:rsidRPr="00DF1A95">
        <w:t>учебных заведений, а также 500</w:t>
      </w:r>
      <w:r>
        <w:t> </w:t>
      </w:r>
      <w:r w:rsidRPr="00DF1A95">
        <w:t>учащихся и 20 помощников учителя из числа цыган</w:t>
      </w:r>
      <w:r w:rsidRPr="007E0CCC">
        <w:rPr>
          <w:vertAlign w:val="superscript"/>
        </w:rPr>
        <w:footnoteReference w:id="33"/>
      </w:r>
      <w:r w:rsidRPr="00DF1A95">
        <w:t>.</w:t>
      </w:r>
    </w:p>
    <w:p w:rsidR="009D5BF8" w:rsidRPr="00832F04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</w:t>
      </w:r>
      <w:r w:rsidRPr="00DF1A95">
        <w:t>рофессионально-техническ</w:t>
      </w:r>
      <w:r>
        <w:t>и</w:t>
      </w:r>
      <w:r w:rsidRPr="00DF1A95">
        <w:t xml:space="preserve">е </w:t>
      </w:r>
      <w:r>
        <w:t xml:space="preserve">училища </w:t>
      </w:r>
      <w:r w:rsidRPr="00DF1A95">
        <w:t>и университет</w:t>
      </w:r>
      <w:r>
        <w:t>ы</w:t>
      </w:r>
    </w:p>
    <w:p w:rsidR="009D5BF8" w:rsidRPr="00832F04" w:rsidRDefault="009D5BF8" w:rsidP="00D12BAA">
      <w:pPr>
        <w:pStyle w:val="SingleTxt"/>
        <w:spacing w:after="0" w:line="120" w:lineRule="exact"/>
        <w:rPr>
          <w:sz w:val="10"/>
        </w:rPr>
      </w:pPr>
    </w:p>
    <w:p w:rsidR="009D5BF8" w:rsidRPr="00DF1A95" w:rsidRDefault="009D5BF8" w:rsidP="00D12BAA">
      <w:pPr>
        <w:pStyle w:val="SingleTxt"/>
      </w:pPr>
      <w:r>
        <w:t>86.</w:t>
      </w:r>
      <w:r>
        <w:tab/>
      </w:r>
      <w:r w:rsidRPr="00DF1A95">
        <w:t>За исключением двух последних лет постоянно увеличивалось число ст</w:t>
      </w:r>
      <w:r w:rsidRPr="00DF1A95">
        <w:t>у</w:t>
      </w:r>
      <w:r w:rsidRPr="00DF1A95">
        <w:t>дентов университетов и других высших учебных заведений. Сейчас высшее образование получает каждый второй житель Словении в возрасте 19</w:t>
      </w:r>
      <w:r>
        <w:t>–</w:t>
      </w:r>
      <w:r w:rsidRPr="00DF1A95">
        <w:t>24</w:t>
      </w:r>
      <w:r>
        <w:t> </w:t>
      </w:r>
      <w:r w:rsidRPr="00DF1A95">
        <w:t xml:space="preserve">лет, </w:t>
      </w:r>
      <w:r>
        <w:t xml:space="preserve">а </w:t>
      </w:r>
      <w:r w:rsidRPr="00DF1A95">
        <w:t>десять лет назад его получали лишь 35</w:t>
      </w:r>
      <w:r>
        <w:t> процент</w:t>
      </w:r>
      <w:r w:rsidRPr="00DF1A95">
        <w:t>ов представителей этой во</w:t>
      </w:r>
      <w:r w:rsidRPr="00DF1A95">
        <w:t>з</w:t>
      </w:r>
      <w:r w:rsidRPr="00DF1A95">
        <w:t>растной группы.</w:t>
      </w:r>
    </w:p>
    <w:p w:rsidR="009D5BF8" w:rsidRPr="00DF1A95" w:rsidRDefault="009D5BF8" w:rsidP="00D12BAA">
      <w:pPr>
        <w:pStyle w:val="SingleTxt"/>
      </w:pPr>
      <w:r>
        <w:t>87.</w:t>
      </w:r>
      <w:r>
        <w:tab/>
      </w:r>
      <w:r w:rsidRPr="00DF1A95">
        <w:t>В 2011</w:t>
      </w:r>
      <w:r>
        <w:t> год</w:t>
      </w:r>
      <w:r w:rsidRPr="00DF1A95">
        <w:t>у высшее образование получали 104</w:t>
      </w:r>
      <w:r>
        <w:t> </w:t>
      </w:r>
      <w:r w:rsidRPr="00DF1A95">
        <w:t>003</w:t>
      </w:r>
      <w:r>
        <w:t> </w:t>
      </w:r>
      <w:r w:rsidRPr="00DF1A95">
        <w:t>студента, из них 60</w:t>
      </w:r>
      <w:r>
        <w:t> </w:t>
      </w:r>
      <w:r w:rsidRPr="00DF1A95">
        <w:t>044</w:t>
      </w:r>
      <w:r>
        <w:t> </w:t>
      </w:r>
      <w:r w:rsidRPr="00DF1A95">
        <w:t>девушки (57,7</w:t>
      </w:r>
      <w:r>
        <w:t> процент</w:t>
      </w:r>
      <w:r w:rsidRPr="00DF1A95">
        <w:t>а), а профессионально-техническое образов</w:t>
      </w:r>
      <w:r w:rsidRPr="00DF1A95">
        <w:t>а</w:t>
      </w:r>
      <w:r w:rsidRPr="00DF1A95">
        <w:t>ние</w:t>
      </w:r>
      <w:r>
        <w:t xml:space="preserve"> — </w:t>
      </w:r>
      <w:r w:rsidRPr="00DF1A95">
        <w:t>14</w:t>
      </w:r>
      <w:r>
        <w:t> </w:t>
      </w:r>
      <w:r w:rsidRPr="00DF1A95">
        <w:t>403</w:t>
      </w:r>
      <w:r>
        <w:t> </w:t>
      </w:r>
      <w:r w:rsidRPr="00DF1A95">
        <w:t>студента, из них 6403</w:t>
      </w:r>
      <w:r>
        <w:t> </w:t>
      </w:r>
      <w:r w:rsidRPr="00DF1A95">
        <w:t>девушки (44,5</w:t>
      </w:r>
      <w:r>
        <w:t> процент</w:t>
      </w:r>
      <w:r w:rsidRPr="00DF1A95">
        <w:t>а)</w:t>
      </w:r>
      <w:r w:rsidRPr="007E0CCC">
        <w:rPr>
          <w:vertAlign w:val="superscript"/>
        </w:rPr>
        <w:footnoteReference w:id="34"/>
      </w:r>
      <w:r w:rsidRPr="00DF1A95">
        <w:t>.</w:t>
      </w:r>
    </w:p>
    <w:p w:rsidR="009D5BF8" w:rsidRDefault="009D5BF8" w:rsidP="00D12BAA">
      <w:pPr>
        <w:pStyle w:val="SingleTxt"/>
      </w:pPr>
      <w:r>
        <w:t>88.</w:t>
      </w:r>
      <w:r>
        <w:tab/>
      </w:r>
      <w:r w:rsidRPr="00DF1A95">
        <w:t xml:space="preserve">Что касается </w:t>
      </w:r>
      <w:r>
        <w:t>специализации</w:t>
      </w:r>
      <w:r w:rsidRPr="00DF1A95">
        <w:t>, то в последние</w:t>
      </w:r>
      <w:r>
        <w:t> год</w:t>
      </w:r>
      <w:r w:rsidRPr="00DF1A95">
        <w:t>ы каких-либо существе</w:t>
      </w:r>
      <w:r w:rsidRPr="00DF1A95">
        <w:t>н</w:t>
      </w:r>
      <w:r w:rsidRPr="00DF1A95">
        <w:t xml:space="preserve">ных изменений в этой </w:t>
      </w:r>
      <w:r>
        <w:t>области</w:t>
      </w:r>
      <w:r w:rsidRPr="00DF1A95">
        <w:t xml:space="preserve"> не наблюдалось. Как и в предыдущие</w:t>
      </w:r>
      <w:r>
        <w:t xml:space="preserve"> год</w:t>
      </w:r>
      <w:r w:rsidRPr="00DF1A95">
        <w:t>ы, в профессионально-технических училищах, высших учебных заведениях и ун</w:t>
      </w:r>
      <w:r w:rsidRPr="00DF1A95">
        <w:t>и</w:t>
      </w:r>
      <w:r w:rsidRPr="00DF1A95">
        <w:t xml:space="preserve">верситетах основная доля учащихся по </w:t>
      </w:r>
      <w:r>
        <w:t>специальностям</w:t>
      </w:r>
      <w:r w:rsidRPr="00DF1A95">
        <w:t>, связанным со здрав</w:t>
      </w:r>
      <w:r w:rsidRPr="00DF1A95">
        <w:t>о</w:t>
      </w:r>
      <w:r w:rsidRPr="00DF1A95">
        <w:t>охранением, социальным обеспечением и образованием, по-прежнему прих</w:t>
      </w:r>
      <w:r w:rsidRPr="00DF1A95">
        <w:t>о</w:t>
      </w:r>
      <w:r w:rsidRPr="00DF1A95">
        <w:t>дилась на девушек. В период 2004</w:t>
      </w:r>
      <w:r>
        <w:t>–</w:t>
      </w:r>
      <w:r w:rsidRPr="00DF1A95">
        <w:t>2011</w:t>
      </w:r>
      <w:r>
        <w:t> год</w:t>
      </w:r>
      <w:r w:rsidRPr="00DF1A95">
        <w:t xml:space="preserve">ов изменения произошли </w:t>
      </w:r>
      <w:r>
        <w:t>в</w:t>
      </w:r>
      <w:r w:rsidRPr="00DF1A95">
        <w:t xml:space="preserve"> так</w:t>
      </w:r>
      <w:r>
        <w:t>их областях специализации</w:t>
      </w:r>
      <w:r w:rsidRPr="00DF1A95">
        <w:t>, как естествознание, математика и информатика, где доля студенток возросла почти на десять</w:t>
      </w:r>
      <w:r>
        <w:t xml:space="preserve"> процент</w:t>
      </w:r>
      <w:r w:rsidRPr="00DF1A95">
        <w:t xml:space="preserve">ов. Среди </w:t>
      </w:r>
      <w:r>
        <w:t>лиц, получающих законченное</w:t>
      </w:r>
      <w:r w:rsidRPr="00DF1A95">
        <w:t xml:space="preserve"> высшее образование, </w:t>
      </w:r>
      <w:r>
        <w:t xml:space="preserve">доля женщин </w:t>
      </w:r>
      <w:r w:rsidRPr="00DF1A95">
        <w:t xml:space="preserve">выше, чем </w:t>
      </w:r>
      <w:r>
        <w:t>доля</w:t>
      </w:r>
      <w:r w:rsidRPr="00DF1A95">
        <w:t xml:space="preserve"> му</w:t>
      </w:r>
      <w:r w:rsidRPr="00DF1A95">
        <w:t>ж</w:t>
      </w:r>
      <w:r w:rsidRPr="00DF1A95">
        <w:t>чин</w:t>
      </w:r>
      <w:r w:rsidRPr="007E0CCC">
        <w:rPr>
          <w:vertAlign w:val="superscript"/>
        </w:rPr>
        <w:footnoteReference w:id="35"/>
      </w:r>
      <w:r w:rsidRPr="00DF1A95">
        <w:t>.</w:t>
      </w:r>
    </w:p>
    <w:p w:rsidR="009D5BF8" w:rsidRPr="00DF1A95" w:rsidRDefault="009D5BF8" w:rsidP="00D12BAA">
      <w:pPr>
        <w:pStyle w:val="SingleTxt"/>
      </w:pPr>
    </w:p>
    <w:p w:rsidR="009D5BF8" w:rsidRPr="00DF1A95" w:rsidRDefault="009D5BF8" w:rsidP="00D12BAA">
      <w:pPr>
        <w:pStyle w:val="SingleTxt"/>
      </w:pPr>
      <w:r>
        <w:t>89.</w:t>
      </w:r>
      <w:r>
        <w:tab/>
      </w:r>
      <w:r w:rsidRPr="00DF1A95">
        <w:t>Кроме того, увеличилось число учащихся, продолжающих последипло</w:t>
      </w:r>
      <w:r w:rsidRPr="00DF1A95">
        <w:t>м</w:t>
      </w:r>
      <w:r w:rsidRPr="00DF1A95">
        <w:t>ное образование. В 2011</w:t>
      </w:r>
      <w:r>
        <w:t> год</w:t>
      </w:r>
      <w:r w:rsidRPr="00DF1A95">
        <w:t>у степень магистра получили 1630</w:t>
      </w:r>
      <w:r>
        <w:t> </w:t>
      </w:r>
      <w:r w:rsidRPr="00DF1A95">
        <w:t>студентов, из них 896</w:t>
      </w:r>
      <w:r>
        <w:rPr>
          <w:lang w:val="en-US"/>
        </w:rPr>
        <w:t> </w:t>
      </w:r>
      <w:r w:rsidRPr="00DF1A95">
        <w:t>женщин (60,5</w:t>
      </w:r>
      <w:r>
        <w:t> процент</w:t>
      </w:r>
      <w:r w:rsidRPr="00DF1A95">
        <w:t xml:space="preserve">а). </w:t>
      </w:r>
      <w:r>
        <w:t>Ученая</w:t>
      </w:r>
      <w:r w:rsidRPr="00DF1A95">
        <w:t xml:space="preserve"> степень была присвоена 469</w:t>
      </w:r>
      <w:r>
        <w:rPr>
          <w:lang w:val="en-US"/>
        </w:rPr>
        <w:t> </w:t>
      </w:r>
      <w:r w:rsidRPr="00DF1A95">
        <w:t>учащимся, из них 212</w:t>
      </w:r>
      <w:r>
        <w:rPr>
          <w:lang w:val="en-US"/>
        </w:rPr>
        <w:t> </w:t>
      </w:r>
      <w:r w:rsidRPr="00DF1A95">
        <w:t>женщин (42,7</w:t>
      </w:r>
      <w:r>
        <w:t> процент</w:t>
      </w:r>
      <w:r w:rsidRPr="00DF1A95">
        <w:t>а)</w:t>
      </w:r>
      <w:r w:rsidRPr="007E0CCC">
        <w:rPr>
          <w:vertAlign w:val="superscript"/>
        </w:rPr>
        <w:footnoteReference w:id="36"/>
      </w:r>
      <w:r w:rsidRPr="00DF1A95">
        <w:t>.</w:t>
      </w:r>
    </w:p>
    <w:p w:rsidR="009D5BF8" w:rsidRDefault="009D5BF8" w:rsidP="00D12BAA">
      <w:pPr>
        <w:pStyle w:val="SingleTxt"/>
      </w:pPr>
      <w:r>
        <w:t>90.</w:t>
      </w:r>
      <w:r>
        <w:tab/>
      </w:r>
      <w:r w:rsidRPr="00DF1A95">
        <w:t>Принимались различные меры по сокращению масштабов гендерной с</w:t>
      </w:r>
      <w:r w:rsidRPr="00DF1A95">
        <w:t>е</w:t>
      </w:r>
      <w:r w:rsidRPr="00DF1A95">
        <w:t>грегации в средних школах и профессионально-технических уч</w:t>
      </w:r>
      <w:r>
        <w:t>илищах</w:t>
      </w:r>
      <w:r w:rsidRPr="00DF1A95">
        <w:t>, а та</w:t>
      </w:r>
      <w:r w:rsidRPr="00DF1A95">
        <w:t>к</w:t>
      </w:r>
      <w:r w:rsidRPr="00DF1A95">
        <w:t>же при проведении учебных и внеклассных мероприятий. В 2009</w:t>
      </w:r>
      <w:r>
        <w:t> год</w:t>
      </w:r>
      <w:r w:rsidRPr="00DF1A95">
        <w:t>у в одном учебном центре осуществлялся проект, в рамках которого собиралась инфо</w:t>
      </w:r>
      <w:r w:rsidRPr="00DF1A95">
        <w:t>р</w:t>
      </w:r>
      <w:r w:rsidRPr="00DF1A95">
        <w:t>мация о ситуации на рынке труда и его гендерной структуре, а со студентами третьего курса обсуждались гендерные вопросы и проблема выбора профе</w:t>
      </w:r>
      <w:r w:rsidRPr="00DF1A95">
        <w:t>с</w:t>
      </w:r>
      <w:r w:rsidRPr="00DF1A95">
        <w:t>сии. На педагогическом факультете была разработана программа професси</w:t>
      </w:r>
      <w:r w:rsidRPr="00DF1A95">
        <w:t>о</w:t>
      </w:r>
      <w:r w:rsidRPr="00DF1A95">
        <w:t xml:space="preserve">нальной подготовки на тему </w:t>
      </w:r>
      <w:r>
        <w:t>«</w:t>
      </w:r>
      <w:r w:rsidRPr="00DF1A95">
        <w:t>Обеспечение равных возможностей для мужчин и женщин</w:t>
      </w:r>
      <w:r>
        <w:t>»</w:t>
      </w:r>
      <w:r w:rsidRPr="00DF1A95">
        <w:t>, которая предусматривала использование различных методов а</w:t>
      </w:r>
      <w:r w:rsidRPr="00DF1A95">
        <w:t>к</w:t>
      </w:r>
      <w:r w:rsidRPr="00DF1A95">
        <w:t>тивного и целенаправленного стимулирования девочек и мальчиков к посту</w:t>
      </w:r>
      <w:r w:rsidRPr="00DF1A95">
        <w:t>п</w:t>
      </w:r>
      <w:r w:rsidRPr="00DF1A95">
        <w:t>лению как в среднеобразовательные (профессионально-технические) учебные заведения, так и в высшие учебные заведения, а также к участию в учебных и внеклассных мероприятиях. С целью познакомить молодежь с нау</w:t>
      </w:r>
      <w:r w:rsidRPr="00DF1A95">
        <w:t>ч</w:t>
      </w:r>
      <w:r w:rsidRPr="00DF1A95">
        <w:t>ной работой и профессией ученого и вызвать у них интерес к получению высшего образ</w:t>
      </w:r>
      <w:r w:rsidRPr="00DF1A95">
        <w:t>о</w:t>
      </w:r>
      <w:r w:rsidRPr="00DF1A95">
        <w:t xml:space="preserve">вания была организована программа </w:t>
      </w:r>
      <w:r>
        <w:t>«Вечер ученых».</w:t>
      </w:r>
    </w:p>
    <w:p w:rsidR="009D5BF8" w:rsidRPr="00966FDC" w:rsidRDefault="009D5BF8" w:rsidP="00966FDC">
      <w:pPr>
        <w:pStyle w:val="SingleTxt"/>
        <w:spacing w:after="0" w:line="120" w:lineRule="exact"/>
        <w:rPr>
          <w:sz w:val="10"/>
        </w:rPr>
      </w:pPr>
    </w:p>
    <w:p w:rsidR="00966FDC" w:rsidRPr="000721A6" w:rsidRDefault="00966FDC" w:rsidP="007C22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0721A6">
        <w:t>Стипендии</w:t>
      </w:r>
    </w:p>
    <w:p w:rsidR="00966FDC" w:rsidRPr="000721A6" w:rsidRDefault="00966FDC" w:rsidP="007C22FD">
      <w:pPr>
        <w:pStyle w:val="SingleTxt"/>
        <w:spacing w:after="0" w:line="120" w:lineRule="exact"/>
        <w:rPr>
          <w:sz w:val="10"/>
        </w:rPr>
      </w:pPr>
    </w:p>
    <w:p w:rsidR="00966FDC" w:rsidRPr="000721A6" w:rsidRDefault="00966FDC" w:rsidP="007C22FD">
      <w:pPr>
        <w:pStyle w:val="SingleTxt"/>
      </w:pPr>
      <w:r>
        <w:t>91.</w:t>
      </w:r>
      <w:r>
        <w:tab/>
      </w:r>
      <w:r w:rsidRPr="000721A6">
        <w:t xml:space="preserve">В 2011 году почти треть (29 процентов) всех </w:t>
      </w:r>
      <w:r>
        <w:t xml:space="preserve">учащихся </w:t>
      </w:r>
      <w:r w:rsidRPr="000721A6">
        <w:t>в Словении пол</w:t>
      </w:r>
      <w:r w:rsidRPr="000721A6">
        <w:t>у</w:t>
      </w:r>
      <w:r w:rsidRPr="000721A6">
        <w:t>ча</w:t>
      </w:r>
      <w:r>
        <w:t>ла</w:t>
      </w:r>
      <w:r w:rsidRPr="000721A6">
        <w:t xml:space="preserve"> сти</w:t>
      </w:r>
      <w:r>
        <w:t>пендии. По сравнению с 2008 </w:t>
      </w:r>
      <w:r w:rsidRPr="000721A6">
        <w:t>годом число учащихся, получающих стипен</w:t>
      </w:r>
      <w:r>
        <w:t>дию, возросло на 22 </w:t>
      </w:r>
      <w:r w:rsidRPr="000721A6">
        <w:t>процента. В 2011 году большинству учащихся (20</w:t>
      </w:r>
      <w:r>
        <w:t> </w:t>
      </w:r>
      <w:r w:rsidRPr="000721A6">
        <w:t xml:space="preserve">149 человек) предоставлялись государственные стипендии. </w:t>
      </w:r>
    </w:p>
    <w:p w:rsidR="00966FDC" w:rsidRPr="000721A6" w:rsidRDefault="00966FDC" w:rsidP="007C22FD">
      <w:pPr>
        <w:pStyle w:val="SingleTxt"/>
      </w:pPr>
      <w:r>
        <w:t>92.</w:t>
      </w:r>
      <w:r>
        <w:tab/>
      </w:r>
      <w:r w:rsidRPr="000721A6">
        <w:t>В 2011 году средний размер стипендии составлял 150,69 евро для уч</w:t>
      </w:r>
      <w:r w:rsidRPr="000721A6">
        <w:t>а</w:t>
      </w:r>
      <w:r w:rsidRPr="000721A6">
        <w:t>щихся средних школ и 220,45 евро для студентов высших учебных заведений. В 2011 году среди стипендиатов насчитывалась</w:t>
      </w:r>
      <w:r>
        <w:t xml:space="preserve"> 38 521 девочка и девушка (55,7 </w:t>
      </w:r>
      <w:r w:rsidRPr="000721A6">
        <w:t>процента), из которых 20 043 девочки (51,4 процента) учились в средних шко</w:t>
      </w:r>
      <w:r>
        <w:t xml:space="preserve">лах и 18 374 девушки (61,3 процента) — </w:t>
      </w:r>
      <w:r w:rsidRPr="000721A6">
        <w:t>в высших учебных заведениях. Что касается видов стипендий, то меньшинство из них выплачивается комп</w:t>
      </w:r>
      <w:r w:rsidRPr="000721A6">
        <w:t>а</w:t>
      </w:r>
      <w:r w:rsidRPr="000721A6">
        <w:t>ниями (их получают 26,6 процента учениц средних школ и 38,8 процента ст</w:t>
      </w:r>
      <w:r w:rsidRPr="000721A6">
        <w:t>у</w:t>
      </w:r>
      <w:r w:rsidRPr="000721A6">
        <w:t>денток высших учебных зав</w:t>
      </w:r>
      <w:r>
        <w:t xml:space="preserve">едений), а большинство — </w:t>
      </w:r>
      <w:r w:rsidRPr="000721A6">
        <w:t>это стипендии имени Зоиса для талантливых детей (их получают 64,7 процента учениц средних школ и 62 пр</w:t>
      </w:r>
      <w:r w:rsidRPr="000721A6">
        <w:t>о</w:t>
      </w:r>
      <w:r w:rsidRPr="000721A6">
        <w:t>цента студенток высших учебных заведений)</w:t>
      </w:r>
      <w:r w:rsidRPr="007E0CCC">
        <w:rPr>
          <w:rStyle w:val="FootnoteReference"/>
        </w:rPr>
        <w:footnoteReference w:id="37"/>
      </w:r>
      <w:r w:rsidRPr="000721A6">
        <w:t xml:space="preserve">. </w:t>
      </w:r>
    </w:p>
    <w:p w:rsidR="00966FDC" w:rsidRPr="00794EB0" w:rsidRDefault="00966FDC" w:rsidP="007C22FD">
      <w:pPr>
        <w:pStyle w:val="SingleTxt"/>
        <w:spacing w:after="0" w:line="120" w:lineRule="exact"/>
        <w:rPr>
          <w:b/>
          <w:sz w:val="10"/>
        </w:rPr>
      </w:pPr>
    </w:p>
    <w:p w:rsidR="00966FDC" w:rsidRPr="000721A6" w:rsidRDefault="00966FDC" w:rsidP="007C22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721A6">
        <w:t>Непрерывное обучение</w:t>
      </w:r>
    </w:p>
    <w:p w:rsidR="00966FDC" w:rsidRPr="00794EB0" w:rsidRDefault="00966FDC" w:rsidP="007C22FD">
      <w:pPr>
        <w:pStyle w:val="SingleTxt"/>
        <w:spacing w:after="0" w:line="120" w:lineRule="exact"/>
        <w:rPr>
          <w:sz w:val="10"/>
        </w:rPr>
      </w:pPr>
    </w:p>
    <w:p w:rsidR="00966FDC" w:rsidRPr="000721A6" w:rsidRDefault="00966FDC" w:rsidP="007C22FD">
      <w:pPr>
        <w:pStyle w:val="SingleTxt"/>
      </w:pPr>
      <w:r>
        <w:t>93.</w:t>
      </w:r>
      <w:r>
        <w:tab/>
      </w:r>
      <w:r w:rsidRPr="000721A6">
        <w:t>Ежегодно правительство утверждает программу по вопросам образов</w:t>
      </w:r>
      <w:r w:rsidRPr="000721A6">
        <w:t>а</w:t>
      </w:r>
      <w:r w:rsidRPr="000721A6">
        <w:t>ния для взрослых, в которой определяются учебные курсы и мероприятия, подл</w:t>
      </w:r>
      <w:r w:rsidRPr="000721A6">
        <w:t>е</w:t>
      </w:r>
      <w:r w:rsidRPr="000721A6">
        <w:t>жащие финансированию или совместному финансированию за счет госуда</w:t>
      </w:r>
      <w:r w:rsidRPr="000721A6">
        <w:t>р</w:t>
      </w:r>
      <w:r w:rsidRPr="000721A6">
        <w:t xml:space="preserve">ственных средств. В 2013 году основная цель Национальной программы </w:t>
      </w:r>
      <w:r>
        <w:t>обр</w:t>
      </w:r>
      <w:r>
        <w:t>а</w:t>
      </w:r>
      <w:r>
        <w:t xml:space="preserve">зования для взрослых </w:t>
      </w:r>
      <w:r w:rsidRPr="000721A6">
        <w:t>состояла в повышении общего уровня образования взрослых и расширении их возможностей трудоустройства, подготовки и об</w:t>
      </w:r>
      <w:r w:rsidRPr="000721A6">
        <w:t>у</w:t>
      </w:r>
      <w:r w:rsidRPr="000721A6">
        <w:t>чения. В Программе отмечается, что для решения к 2020 году задачи, пред</w:t>
      </w:r>
      <w:r w:rsidRPr="000721A6">
        <w:t>у</w:t>
      </w:r>
      <w:r w:rsidRPr="000721A6">
        <w:t>сматривающей участие 15 процентов взрослого населения в процессе непр</w:t>
      </w:r>
      <w:r w:rsidRPr="000721A6">
        <w:t>е</w:t>
      </w:r>
      <w:r w:rsidRPr="000721A6">
        <w:t>рывного обучения, надлежащее внимание нужно уделять преодолению таких препятствий, как слабая мотивация и отсутствие образовательных учр</w:t>
      </w:r>
      <w:r w:rsidRPr="000721A6">
        <w:t>е</w:t>
      </w:r>
      <w:r w:rsidRPr="000721A6">
        <w:t>ждений, с тем чтобы помочь женщинам и мужчинам совмещать учебу с выполнением семейных и профессиональных обязанностей.</w:t>
      </w:r>
    </w:p>
    <w:p w:rsidR="00966FDC" w:rsidRPr="000721A6" w:rsidRDefault="00966FDC" w:rsidP="007C22FD">
      <w:pPr>
        <w:pStyle w:val="SingleTxt"/>
      </w:pPr>
      <w:r>
        <w:t>94.</w:t>
      </w:r>
      <w:r w:rsidRPr="000721A6">
        <w:tab/>
        <w:t>В 2011</w:t>
      </w:r>
      <w:r>
        <w:t xml:space="preserve"> году доля женщин в возрасте 18–</w:t>
      </w:r>
      <w:r w:rsidRPr="000721A6">
        <w:t>64 лет, получающих какое-либо образование, немного превышала соответствующую долю мужчин. Наиболее распространены такие виды обучения, которые предусматривают использов</w:t>
      </w:r>
      <w:r w:rsidRPr="000721A6">
        <w:t>а</w:t>
      </w:r>
      <w:r w:rsidRPr="000721A6">
        <w:t xml:space="preserve">ние телевизора, аудио- и видеокассет, </w:t>
      </w:r>
      <w:r>
        <w:t xml:space="preserve">учебной </w:t>
      </w:r>
      <w:r w:rsidRPr="000721A6">
        <w:t>литературы, компьютеров и м</w:t>
      </w:r>
      <w:r w:rsidRPr="000721A6">
        <w:t>а</w:t>
      </w:r>
      <w:r w:rsidRPr="000721A6">
        <w:t>териалов библиотек и учебных центров</w:t>
      </w:r>
      <w:r w:rsidRPr="007E0CCC">
        <w:rPr>
          <w:rStyle w:val="FootnoteReference"/>
        </w:rPr>
        <w:footnoteReference w:id="38"/>
      </w:r>
      <w:r w:rsidRPr="000721A6">
        <w:t>.</w:t>
      </w:r>
      <w:r w:rsidRPr="000721A6">
        <w:rPr>
          <w:vertAlign w:val="superscript"/>
        </w:rPr>
        <w:t xml:space="preserve"> </w:t>
      </w:r>
    </w:p>
    <w:p w:rsidR="00966FDC" w:rsidRPr="000721A6" w:rsidRDefault="00966FDC" w:rsidP="007C22FD">
      <w:pPr>
        <w:pStyle w:val="SingleTxt"/>
      </w:pPr>
      <w:r>
        <w:t>95.</w:t>
      </w:r>
      <w:r>
        <w:tab/>
        <w:t>В период 2012–</w:t>
      </w:r>
      <w:r w:rsidRPr="000721A6">
        <w:t>2014 годов с учетом поступивших заявок цыганки были записаны на следующие курсы общего неформ</w:t>
      </w:r>
      <w:r>
        <w:t>ального обучения для взрослых: «</w:t>
      </w:r>
      <w:r w:rsidRPr="000721A6">
        <w:t>Образование для цыган в цел</w:t>
      </w:r>
      <w:r>
        <w:t xml:space="preserve">ях улучшения качества жизни» — </w:t>
      </w:r>
      <w:r w:rsidRPr="000721A6">
        <w:t>о возможн</w:t>
      </w:r>
      <w:r w:rsidRPr="000721A6">
        <w:t>о</w:t>
      </w:r>
      <w:r w:rsidRPr="000721A6">
        <w:t>стях взрослых цыган повысить качество жизни в своих общинах</w:t>
      </w:r>
      <w:r>
        <w:t xml:space="preserve">; «Давайте учиться и играть вместе» — </w:t>
      </w:r>
      <w:r w:rsidRPr="000721A6">
        <w:t>о ро</w:t>
      </w:r>
      <w:r>
        <w:t>дительских обязанностях цыган; «</w:t>
      </w:r>
      <w:r w:rsidRPr="000721A6">
        <w:t>Роль учр</w:t>
      </w:r>
      <w:r w:rsidRPr="000721A6">
        <w:t>е</w:t>
      </w:r>
      <w:r w:rsidRPr="000721A6">
        <w:t>ж</w:t>
      </w:r>
      <w:r>
        <w:softHyphen/>
      </w:r>
      <w:r w:rsidRPr="000721A6">
        <w:t>дений в по</w:t>
      </w:r>
      <w:r>
        <w:t xml:space="preserve">вседневной жизни цыган» — </w:t>
      </w:r>
      <w:r w:rsidRPr="000721A6">
        <w:t>о положении взрослого цыганского нас</w:t>
      </w:r>
      <w:r>
        <w:t xml:space="preserve">еления; а также «Я — ты — мы» — </w:t>
      </w:r>
      <w:r w:rsidRPr="000721A6">
        <w:t xml:space="preserve">о жизни менее образованных женщин и мужчин из числа цыганского населения. </w:t>
      </w:r>
    </w:p>
    <w:p w:rsidR="00966FDC" w:rsidRPr="00966FDC" w:rsidRDefault="00966FDC" w:rsidP="00966FDC">
      <w:pPr>
        <w:pStyle w:val="SingleTxt"/>
        <w:spacing w:after="0" w:line="120" w:lineRule="exact"/>
        <w:rPr>
          <w:sz w:val="10"/>
        </w:rPr>
      </w:pPr>
    </w:p>
    <w:p w:rsidR="00966FDC" w:rsidRPr="00C87899" w:rsidRDefault="00966FDC" w:rsidP="007C22FD">
      <w:pPr>
        <w:pStyle w:val="SingleTxt"/>
        <w:spacing w:after="0" w:line="120" w:lineRule="exact"/>
        <w:rPr>
          <w:sz w:val="10"/>
        </w:rPr>
      </w:pPr>
    </w:p>
    <w:p w:rsidR="00966FDC" w:rsidRPr="000721A6" w:rsidRDefault="00966FDC" w:rsidP="00966F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721A6">
        <w:t>Статья 11</w:t>
      </w:r>
      <w:r>
        <w:br/>
      </w:r>
      <w:r w:rsidRPr="000721A6">
        <w:t>Занятость</w:t>
      </w:r>
    </w:p>
    <w:p w:rsidR="00966FDC" w:rsidRPr="00966FDC" w:rsidRDefault="00966FDC" w:rsidP="00966FDC">
      <w:pPr>
        <w:pStyle w:val="SingleTxt"/>
        <w:spacing w:after="0" w:line="120" w:lineRule="exact"/>
        <w:rPr>
          <w:b/>
          <w:sz w:val="10"/>
        </w:rPr>
      </w:pPr>
    </w:p>
    <w:p w:rsidR="00966FDC" w:rsidRPr="00C87899" w:rsidRDefault="00966FDC" w:rsidP="007C22FD">
      <w:pPr>
        <w:pStyle w:val="SingleTxt"/>
        <w:spacing w:after="0" w:line="120" w:lineRule="exact"/>
        <w:rPr>
          <w:b/>
          <w:sz w:val="10"/>
        </w:rPr>
      </w:pPr>
    </w:p>
    <w:p w:rsidR="00966FDC" w:rsidRPr="000721A6" w:rsidRDefault="00966FDC" w:rsidP="007C22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721A6">
        <w:t>Женщины на рынке труда</w:t>
      </w:r>
    </w:p>
    <w:p w:rsidR="00966FDC" w:rsidRPr="00C87899" w:rsidRDefault="00966FDC" w:rsidP="007C22FD">
      <w:pPr>
        <w:pStyle w:val="SingleTxt"/>
        <w:spacing w:after="0" w:line="120" w:lineRule="exact"/>
        <w:rPr>
          <w:sz w:val="10"/>
        </w:rPr>
      </w:pPr>
    </w:p>
    <w:p w:rsidR="00966FDC" w:rsidRPr="000721A6" w:rsidRDefault="00966FDC" w:rsidP="007C22FD">
      <w:pPr>
        <w:pStyle w:val="SingleTxt"/>
      </w:pPr>
      <w:r>
        <w:t>96.</w:t>
      </w:r>
      <w:r>
        <w:tab/>
      </w:r>
      <w:r w:rsidRPr="000721A6">
        <w:t>Со времени представления четвертого периодического доклада был пр</w:t>
      </w:r>
      <w:r w:rsidRPr="000721A6">
        <w:t>и</w:t>
      </w:r>
      <w:r w:rsidRPr="000721A6">
        <w:t>нят ряд новых законов, регулирующих вопросы занятости: новый Закон о тр</w:t>
      </w:r>
      <w:r w:rsidRPr="000721A6">
        <w:t>у</w:t>
      </w:r>
      <w:r>
        <w:t xml:space="preserve">довых отношениях </w:t>
      </w:r>
      <w:r w:rsidRPr="000721A6">
        <w:t>(2013 года), Закон об охране здоровья и технике безопасн</w:t>
      </w:r>
      <w:r w:rsidRPr="000721A6">
        <w:t>о</w:t>
      </w:r>
      <w:r w:rsidRPr="000721A6">
        <w:t>сти на производстве (2011 года), Закон о страховании пенсионеров и инв</w:t>
      </w:r>
      <w:r w:rsidRPr="000721A6">
        <w:t>а</w:t>
      </w:r>
      <w:r w:rsidRPr="000721A6">
        <w:t>лидов (2012 года) и Закон о регулировании рынка труда (2010 года), который действ</w:t>
      </w:r>
      <w:r w:rsidRPr="000721A6">
        <w:t>у</w:t>
      </w:r>
      <w:r w:rsidRPr="000721A6">
        <w:t>ет вместо Закона о занятости и страховании на случай безработицы. За искл</w:t>
      </w:r>
      <w:r w:rsidRPr="000721A6">
        <w:t>ю</w:t>
      </w:r>
      <w:r w:rsidRPr="000721A6">
        <w:t>чением Закона о страховании пенсионеров и инвалидов, который предусматр</w:t>
      </w:r>
      <w:r w:rsidRPr="000721A6">
        <w:t>и</w:t>
      </w:r>
      <w:r w:rsidRPr="000721A6">
        <w:t>вал постепенное уравнивание условий выхода на пенсию для женщин и му</w:t>
      </w:r>
      <w:r w:rsidRPr="000721A6">
        <w:t>ж</w:t>
      </w:r>
      <w:r w:rsidRPr="000721A6">
        <w:t>чин, эти законы не предполагали каки</w:t>
      </w:r>
      <w:r>
        <w:t xml:space="preserve">х-либо существенных изменений </w:t>
      </w:r>
      <w:r w:rsidRPr="000721A6">
        <w:t>стат</w:t>
      </w:r>
      <w:r w:rsidRPr="000721A6">
        <w:t>у</w:t>
      </w:r>
      <w:r>
        <w:t>са</w:t>
      </w:r>
      <w:r w:rsidRPr="000721A6">
        <w:t xml:space="preserve"> женщин.</w:t>
      </w:r>
    </w:p>
    <w:p w:rsidR="00966FDC" w:rsidRPr="000721A6" w:rsidRDefault="00966FDC" w:rsidP="007C22FD">
      <w:pPr>
        <w:pStyle w:val="SingleTxt"/>
      </w:pPr>
      <w:r>
        <w:t>97.</w:t>
      </w:r>
      <w:r w:rsidRPr="000721A6">
        <w:tab/>
        <w:t>Новый Закон о трудовых отнош</w:t>
      </w:r>
      <w:r>
        <w:t>ениях, который вступил в силу 4 </w:t>
      </w:r>
      <w:r w:rsidRPr="000721A6">
        <w:t>апреля 2013 года, не предусматривал внесения каких-либо весомых поправок относ</w:t>
      </w:r>
      <w:r w:rsidRPr="000721A6">
        <w:t>и</w:t>
      </w:r>
      <w:r w:rsidRPr="000721A6">
        <w:t>тельно гендерного равенства в положения Закон</w:t>
      </w:r>
      <w:r>
        <w:t>а о трудовых отношениях 2002 </w:t>
      </w:r>
      <w:r w:rsidRPr="000721A6">
        <w:t xml:space="preserve">года и Закона о внесении поправок </w:t>
      </w:r>
      <w:r>
        <w:t>в Закон о трудовых отношениях</w:t>
      </w:r>
      <w:r w:rsidRPr="000721A6">
        <w:t xml:space="preserve"> 2007</w:t>
      </w:r>
      <w:r>
        <w:t> </w:t>
      </w:r>
      <w:r w:rsidRPr="000721A6">
        <w:t>года. В статье 6 Закона о трудовых отношениях указывается, что работ</w:t>
      </w:r>
      <w:r w:rsidRPr="000721A6">
        <w:t>о</w:t>
      </w:r>
      <w:r w:rsidRPr="000721A6">
        <w:t xml:space="preserve">датели должны обеспечивать равное обращение </w:t>
      </w:r>
      <w:r>
        <w:t>со всеми желающими</w:t>
      </w:r>
      <w:r w:rsidRPr="000721A6">
        <w:t xml:space="preserve"> устр</w:t>
      </w:r>
      <w:r w:rsidRPr="000721A6">
        <w:t>о</w:t>
      </w:r>
      <w:r w:rsidRPr="000721A6">
        <w:t>иться на работу, дей</w:t>
      </w:r>
      <w:r>
        <w:t>ствующими работниками и завершающими</w:t>
      </w:r>
      <w:r w:rsidRPr="000721A6">
        <w:t xml:space="preserve"> работу по тр</w:t>
      </w:r>
      <w:r w:rsidRPr="000721A6">
        <w:t>у</w:t>
      </w:r>
      <w:r w:rsidRPr="000721A6">
        <w:t>довому контракту</w:t>
      </w:r>
      <w:r>
        <w:t> </w:t>
      </w:r>
      <w:r w:rsidRPr="000721A6">
        <w:t>— независимо от их этнической и расовой принадлежности, социального статуса, пола, цвета кожи, состояния здоровья, инвалидности, р</w:t>
      </w:r>
      <w:r w:rsidRPr="000721A6">
        <w:t>е</w:t>
      </w:r>
      <w:r w:rsidRPr="000721A6">
        <w:t>лигиозных или иных убеждений, возраста, сексуальной ориентации, семейного положения, членства в профсоюзе, финансового положения и других пред</w:t>
      </w:r>
      <w:r w:rsidRPr="000721A6">
        <w:t>у</w:t>
      </w:r>
      <w:r w:rsidRPr="000721A6">
        <w:t>смотренных этим законом признаков, а также положений, регулирующих с</w:t>
      </w:r>
      <w:r w:rsidRPr="000721A6">
        <w:t>о</w:t>
      </w:r>
      <w:r w:rsidRPr="000721A6">
        <w:t>блюдение принципа равного обращения и обеспечение равных возможностей для женщин и мужчин. Работодатели должны обеспечивать равное обращение с учетом всех вышеупомянутых признаков, особенно в плане трудоустройства, продвижения по службе, профессиональной подготовки, образования, перепо</w:t>
      </w:r>
      <w:r w:rsidRPr="000721A6">
        <w:t>д</w:t>
      </w:r>
      <w:r w:rsidRPr="000721A6">
        <w:t>готовки, заработной платы и других выплат от работодателя, времени отсу</w:t>
      </w:r>
      <w:r w:rsidRPr="000721A6">
        <w:t>т</w:t>
      </w:r>
      <w:r w:rsidRPr="000721A6">
        <w:t>ствия на работе, условий труда, продолжительности рабочего дня и расторж</w:t>
      </w:r>
      <w:r w:rsidRPr="000721A6">
        <w:t>е</w:t>
      </w:r>
      <w:r w:rsidRPr="000721A6">
        <w:t>ния трудо</w:t>
      </w:r>
      <w:r>
        <w:t>вых договоров. Прямая или косвенная</w:t>
      </w:r>
      <w:r w:rsidRPr="000721A6">
        <w:t xml:space="preserve"> </w:t>
      </w:r>
      <w:r>
        <w:t>дискриминация</w:t>
      </w:r>
      <w:r w:rsidRPr="000721A6">
        <w:t xml:space="preserve"> по вышеуп</w:t>
      </w:r>
      <w:r w:rsidRPr="000721A6">
        <w:t>о</w:t>
      </w:r>
      <w:r w:rsidRPr="000721A6">
        <w:t>мя</w:t>
      </w:r>
      <w:r>
        <w:t>нутым признакам запрещена</w:t>
      </w:r>
      <w:r w:rsidRPr="000721A6">
        <w:t>. Любые дискриминирующие по какому-либо признаку указания считаются проявлением прямой или косвенной дискрим</w:t>
      </w:r>
      <w:r w:rsidRPr="000721A6">
        <w:t>и</w:t>
      </w:r>
      <w:r w:rsidRPr="000721A6">
        <w:t>нации. Проявлением дискриминации также считается менее уважительное о</w:t>
      </w:r>
      <w:r w:rsidRPr="000721A6">
        <w:t>т</w:t>
      </w:r>
      <w:r w:rsidRPr="000721A6">
        <w:t>ношение к работникам по причине беременности и отпуска по уходу за ребе</w:t>
      </w:r>
      <w:r w:rsidRPr="000721A6">
        <w:t>н</w:t>
      </w:r>
      <w:r w:rsidRPr="000721A6">
        <w:t>ком. Изменение отношения к работникам по какому-либо признаку разрешае</w:t>
      </w:r>
      <w:r w:rsidRPr="000721A6">
        <w:t>т</w:t>
      </w:r>
      <w:r w:rsidRPr="000721A6">
        <w:t>ся и не считается дискриминацией, если данный признак с учетом характера работы и обстоятельств ее выполнения является важным и необходимым усл</w:t>
      </w:r>
      <w:r w:rsidRPr="000721A6">
        <w:t>о</w:t>
      </w:r>
      <w:r w:rsidRPr="000721A6">
        <w:t>вием производственного процесса, причем соответствующие требования дол</w:t>
      </w:r>
      <w:r w:rsidRPr="000721A6">
        <w:t>ж</w:t>
      </w:r>
      <w:r w:rsidRPr="000721A6">
        <w:t>ны пред</w:t>
      </w:r>
      <w:r w:rsidRPr="000721A6">
        <w:t>ъ</w:t>
      </w:r>
      <w:r w:rsidRPr="000721A6">
        <w:t>являться одинаково ко всем и быть юридически оправданными. Если в ходе спора возникают подозрения относительно нарушения запрета на ди</w:t>
      </w:r>
      <w:r w:rsidRPr="000721A6">
        <w:t>с</w:t>
      </w:r>
      <w:r w:rsidRPr="000721A6">
        <w:t>криминацию, работодатель должен доказать, что принцип равн</w:t>
      </w:r>
      <w:r w:rsidRPr="000721A6">
        <w:t>о</w:t>
      </w:r>
      <w:r w:rsidRPr="000721A6">
        <w:t>го обращения и запрет на дискриминацию были соблюдены. Жертвы дискриминации и пом</w:t>
      </w:r>
      <w:r w:rsidRPr="000721A6">
        <w:t>о</w:t>
      </w:r>
      <w:r w:rsidRPr="000721A6">
        <w:t>гающие им лица не должны преследоваться за действия по соблюдению запр</w:t>
      </w:r>
      <w:r w:rsidRPr="000721A6">
        <w:t>е</w:t>
      </w:r>
      <w:r w:rsidRPr="000721A6">
        <w:t>та на дискриминацию.</w:t>
      </w:r>
    </w:p>
    <w:p w:rsidR="00966FDC" w:rsidRPr="000721A6" w:rsidRDefault="00966FDC" w:rsidP="007C22FD">
      <w:pPr>
        <w:pStyle w:val="SingleTxt"/>
      </w:pPr>
      <w:r>
        <w:t>98.</w:t>
      </w:r>
      <w:r>
        <w:tab/>
      </w:r>
      <w:r w:rsidRPr="000721A6">
        <w:t>Закон запрещает сексуальные и другие виды домогательств, а также пр</w:t>
      </w:r>
      <w:r w:rsidRPr="000721A6">
        <w:t>е</w:t>
      </w:r>
      <w:r w:rsidRPr="000721A6">
        <w:t>следование</w:t>
      </w:r>
      <w:r>
        <w:t xml:space="preserve"> на рабочем месте (статья </w:t>
      </w:r>
      <w:r w:rsidRPr="000721A6">
        <w:t>7). (Более подробную информацию см. в главе</w:t>
      </w:r>
      <w:r>
        <w:t> </w:t>
      </w:r>
      <w:r w:rsidRPr="000721A6">
        <w:t>5 «Искоренение предрассудков, стереотипов и сексуальных домог</w:t>
      </w:r>
      <w:r w:rsidRPr="000721A6">
        <w:t>а</w:t>
      </w:r>
      <w:r w:rsidRPr="000721A6">
        <w:t>тельств на рабочем месте»</w:t>
      </w:r>
      <w:r>
        <w:t>.</w:t>
      </w:r>
      <w:r w:rsidRPr="000721A6">
        <w:t>) Если запрет на дискриминацию и преследование на рабочем месте нарушается, то работодатели в соответствии с общими но</w:t>
      </w:r>
      <w:r w:rsidRPr="000721A6">
        <w:t>р</w:t>
      </w:r>
      <w:r w:rsidRPr="000721A6">
        <w:t>мами гражданского права несут ответственность за причиненный кандидатам и/или работникам ущерб. К видам нематериального ущерба, причиненного кандидатам или работникам, относятся психические расстройства в результате неравного обращения и/или проявления дискриминации со стороны работод</w:t>
      </w:r>
      <w:r w:rsidRPr="000721A6">
        <w:t>а</w:t>
      </w:r>
      <w:r w:rsidRPr="000721A6">
        <w:t>телей и/или неспособность обеспечить защиту от сексуальных и других форм домогательств и преследований на рабочем месте. При определении размера компенсации за причинение нематериального ущерба необходимо учитывать следующее: компенсация должна быть эффективной и соразмерной ущербу, нанесенному кандидату и/или работнику</w:t>
      </w:r>
      <w:r>
        <w:t>,</w:t>
      </w:r>
      <w:r w:rsidRPr="000721A6">
        <w:t xml:space="preserve"> и должна удерживать работодателя от повторения нарушений (статья 8). </w:t>
      </w:r>
    </w:p>
    <w:p w:rsidR="00966FDC" w:rsidRPr="000721A6" w:rsidRDefault="00966FDC" w:rsidP="007C22FD">
      <w:pPr>
        <w:pStyle w:val="SingleTxt"/>
      </w:pPr>
      <w:bookmarkStart w:id="12" w:name="OLE_LINK511"/>
      <w:bookmarkStart w:id="13" w:name="OLE_LINK512"/>
      <w:bookmarkStart w:id="14" w:name="OLE_LINK513"/>
      <w:bookmarkStart w:id="15" w:name="OLE_LINK514"/>
      <w:r>
        <w:t>99.</w:t>
      </w:r>
      <w:r>
        <w:tab/>
      </w:r>
      <w:r w:rsidRPr="000721A6">
        <w:t xml:space="preserve">В новом Законе о трудовых отношениях было определено, что кормящие грудью женщины, работающие на полную ставку, в течение рабочего времени имеют право на перерыв для грудного вскармливания, который не может длиться меньше одного часа в день. В статье 188 указывается, что кормящие грудью работницы имеют такое право вплоть до достижения ребенком </w:t>
      </w:r>
      <w:r>
        <w:t>полут</w:t>
      </w:r>
      <w:r>
        <w:t>о</w:t>
      </w:r>
      <w:r>
        <w:t xml:space="preserve">рогодовалого </w:t>
      </w:r>
      <w:r w:rsidRPr="000721A6">
        <w:t xml:space="preserve">возраста. В соответствии с ранее действовавшим Законом они имели такое право в течение всего периода грудного вскармливания.  </w:t>
      </w:r>
    </w:p>
    <w:bookmarkEnd w:id="12"/>
    <w:bookmarkEnd w:id="13"/>
    <w:bookmarkEnd w:id="14"/>
    <w:bookmarkEnd w:id="15"/>
    <w:p w:rsidR="00966FDC" w:rsidRPr="000721A6" w:rsidRDefault="00966FDC" w:rsidP="007C22FD">
      <w:pPr>
        <w:pStyle w:val="SingleTxt"/>
      </w:pPr>
      <w:r w:rsidRPr="000721A6">
        <w:t>100.</w:t>
      </w:r>
      <w:r w:rsidRPr="000721A6">
        <w:tab/>
        <w:t>В статье 27 Закона о страховании пенсионеров и инвалидов, который вступил в силу 1 декабря 2013 года, отмечается, что мужчины и женщины п</w:t>
      </w:r>
      <w:r w:rsidRPr="000721A6">
        <w:t>о</w:t>
      </w:r>
      <w:r w:rsidRPr="000721A6">
        <w:t>луч</w:t>
      </w:r>
      <w:r>
        <w:t>ают право на пенсию по старости</w:t>
      </w:r>
      <w:r w:rsidRPr="000721A6">
        <w:t xml:space="preserve"> </w:t>
      </w:r>
      <w:r>
        <w:t>по достижении 65-летнего</w:t>
      </w:r>
      <w:r w:rsidRPr="000721A6">
        <w:t xml:space="preserve"> возраст</w:t>
      </w:r>
      <w:r>
        <w:t xml:space="preserve">а, если продолжительность страхового периода </w:t>
      </w:r>
      <w:r w:rsidRPr="000721A6">
        <w:t>не ме</w:t>
      </w:r>
      <w:r>
        <w:t xml:space="preserve">нее </w:t>
      </w:r>
      <w:r w:rsidRPr="000721A6">
        <w:t>15 лет. Новые положения б</w:t>
      </w:r>
      <w:r w:rsidRPr="000721A6">
        <w:t>у</w:t>
      </w:r>
      <w:r w:rsidRPr="000721A6">
        <w:t>дут вводиться постепенно вплоть до конца 2019 года. В переходный период к женщинам и мужчинам будут предъявляться различные возрастные требования при условии, что период страхования составляет не менее 15 или 20 лет. Н</w:t>
      </w:r>
      <w:r w:rsidRPr="000721A6">
        <w:t>е</w:t>
      </w:r>
      <w:r w:rsidRPr="000721A6">
        <w:t>смотря на это положение, мужчины и женщины имеют право на получение пенсии по старости в 60 лет, если имеют 40-летний трудовой стаж. Это право будет вводиться пост</w:t>
      </w:r>
      <w:r w:rsidRPr="000721A6">
        <w:t>е</w:t>
      </w:r>
      <w:r w:rsidRPr="000721A6">
        <w:t xml:space="preserve">пенно до конца 2018 года.  </w:t>
      </w:r>
    </w:p>
    <w:p w:rsidR="00966FDC" w:rsidRPr="000721A6" w:rsidRDefault="00966FDC" w:rsidP="007C22FD">
      <w:pPr>
        <w:pStyle w:val="SingleTxt"/>
      </w:pPr>
      <w:bookmarkStart w:id="16" w:name="OLE_LINK515"/>
      <w:bookmarkStart w:id="17" w:name="OLE_LINK516"/>
      <w:bookmarkStart w:id="18" w:name="OLE_LINK517"/>
      <w:r w:rsidRPr="000721A6">
        <w:t>101.</w:t>
      </w:r>
      <w:r w:rsidRPr="000721A6">
        <w:tab/>
        <w:t>Пенсионный возраст, по достижении которого дается право на получение пенсии по старости, может быть снижен, если застрахованное лицо осущест</w:t>
      </w:r>
      <w:r w:rsidRPr="000721A6">
        <w:t>в</w:t>
      </w:r>
      <w:r w:rsidRPr="000721A6">
        <w:t>ляло уход за родными или усыновленными детьми, имеющими гражданство Республики Словения, в течение первого года их жизни, если в соответству</w:t>
      </w:r>
      <w:r w:rsidRPr="000721A6">
        <w:t>ю</w:t>
      </w:r>
      <w:r w:rsidRPr="000721A6">
        <w:t xml:space="preserve">щем международном соглашении не предусмотрено иное. Пенсионный возраст снижается на </w:t>
      </w:r>
      <w:r>
        <w:t>6 </w:t>
      </w:r>
      <w:r w:rsidRPr="000721A6">
        <w:t>месяцев при наличи</w:t>
      </w:r>
      <w:r>
        <w:t xml:space="preserve">и одного ребенка, на 16 месяцев — </w:t>
      </w:r>
      <w:r w:rsidRPr="000721A6">
        <w:t>двух д</w:t>
      </w:r>
      <w:r w:rsidRPr="000721A6">
        <w:t>е</w:t>
      </w:r>
      <w:r>
        <w:t>тей, на 26 месяцев — трех детей, на 36 месяцев — четырех детей и 48 мес</w:t>
      </w:r>
      <w:r>
        <w:t>я</w:t>
      </w:r>
      <w:r>
        <w:t xml:space="preserve">цев — </w:t>
      </w:r>
      <w:r w:rsidRPr="000721A6">
        <w:t>пяти и более детей. Женщина имеет право на снижение пенсионного возраста, если ее муж не получал пособия по уходу за ребенком. Поэтому пе</w:t>
      </w:r>
      <w:r w:rsidRPr="000721A6">
        <w:t>н</w:t>
      </w:r>
      <w:r w:rsidRPr="000721A6">
        <w:t>сионный возраст, который установлен в 65 лет, для мужчин и женщин с 38</w:t>
      </w:r>
      <w:r>
        <w:noBreakHyphen/>
      </w:r>
      <w:r w:rsidRPr="000721A6">
        <w:t>летним трудовым стажем может быть уменьшен, но не ниже 61 года. Если трудовой стаж женщины или мужчины составляет 40 лет, то пенсионный во</w:t>
      </w:r>
      <w:r w:rsidRPr="000721A6">
        <w:t>з</w:t>
      </w:r>
      <w:r w:rsidRPr="000721A6">
        <w:t xml:space="preserve">раст, установленный в 60 лет, может быть также уменьшен, но не ниже 56 лет для женщин и 58 лет для мужчин. Переходный период установлен до конца 2018 года (статья 28).  </w:t>
      </w:r>
    </w:p>
    <w:p w:rsidR="00966FDC" w:rsidRPr="000721A6" w:rsidRDefault="00966FDC" w:rsidP="007C22FD">
      <w:pPr>
        <w:pStyle w:val="SingleTxt"/>
      </w:pPr>
      <w:bookmarkStart w:id="19" w:name="OLE_LINK518"/>
      <w:bookmarkStart w:id="20" w:name="OLE_LINK519"/>
      <w:bookmarkStart w:id="21" w:name="OLE_LINK10"/>
      <w:bookmarkStart w:id="22" w:name="OLE_LINK11"/>
      <w:bookmarkEnd w:id="16"/>
      <w:bookmarkEnd w:id="17"/>
      <w:bookmarkEnd w:id="18"/>
      <w:r w:rsidRPr="000721A6">
        <w:t>102.</w:t>
      </w:r>
      <w:r w:rsidRPr="000721A6">
        <w:tab/>
        <w:t>В связи с экономическим кризисом и в целях дальнейшей стабилизации национальных макроэкономических показателей в 2012 году был принят Закон о</w:t>
      </w:r>
      <w:r>
        <w:t xml:space="preserve"> сбалансированности бюджета</w:t>
      </w:r>
      <w:r w:rsidRPr="000721A6">
        <w:t>, который включает комплекс мер по обеспеч</w:t>
      </w:r>
      <w:r w:rsidRPr="000721A6">
        <w:t>е</w:t>
      </w:r>
      <w:r w:rsidRPr="000721A6">
        <w:t>нию сбалансированности государственного бюджета. В области занятости, в частности, предусмотрены меры по сокращению выплат по уходу за ребенком. Эти меры носят временный характер и негативно сказываются на женщинах</w:t>
      </w:r>
      <w:r>
        <w:t xml:space="preserve"> больше</w:t>
      </w:r>
      <w:r w:rsidRPr="000721A6">
        <w:t>, чем на мужчинах, поскольку женщины чаще мужчин берут отпуск по уходу за ребенком. В отличие от пособия по беременности и родам сумма в</w:t>
      </w:r>
      <w:r w:rsidRPr="000721A6">
        <w:t>ы</w:t>
      </w:r>
      <w:r w:rsidRPr="000721A6">
        <w:t>плат по уходу за ребенком сокращается со 100 до 90 процентов от базового уровня, если она превышает размер минимальной заработной платы (</w:t>
      </w:r>
      <w:r>
        <w:t>763,06 </w:t>
      </w:r>
      <w:r w:rsidRPr="000721A6">
        <w:t>евро) (статья 146 Закона</w:t>
      </w:r>
      <w:r>
        <w:t xml:space="preserve"> сбалансированности бюджета</w:t>
      </w:r>
      <w:r w:rsidRPr="000721A6">
        <w:t xml:space="preserve">). Максимальный размер выплат по уходу за ребенком сократился с 2,5 до </w:t>
      </w:r>
      <w:r>
        <w:t>2 </w:t>
      </w:r>
      <w:r w:rsidRPr="000721A6">
        <w:t>раз от размера сре</w:t>
      </w:r>
      <w:r w:rsidRPr="000721A6">
        <w:t>д</w:t>
      </w:r>
      <w:r w:rsidRPr="000721A6">
        <w:t>ней заработной платы (2862,84 евро в месяц) (статья 145). Это сокращение до двух раз вступило в силу 1 августа 2013 года в рамках принятия чрезвыча</w:t>
      </w:r>
      <w:r w:rsidRPr="000721A6">
        <w:t>й</w:t>
      </w:r>
      <w:r w:rsidRPr="000721A6">
        <w:t>ных мер в области рынка труда и Закона о родительской защите. Размер пос</w:t>
      </w:r>
      <w:r w:rsidRPr="000721A6">
        <w:t>о</w:t>
      </w:r>
      <w:r w:rsidRPr="000721A6">
        <w:t xml:space="preserve">бия по беременности и родам также сократился со 100 до 90 процентов от </w:t>
      </w:r>
      <w:r>
        <w:t xml:space="preserve">базового </w:t>
      </w:r>
      <w:r w:rsidRPr="000721A6">
        <w:t>уровня (статья 3).</w:t>
      </w:r>
      <w:bookmarkEnd w:id="19"/>
      <w:bookmarkEnd w:id="20"/>
    </w:p>
    <w:p w:rsidR="00966FDC" w:rsidRPr="000721A6" w:rsidRDefault="00966FDC" w:rsidP="007C22FD">
      <w:pPr>
        <w:pStyle w:val="SingleTxt"/>
      </w:pPr>
      <w:bookmarkStart w:id="23" w:name="OLE_LINK520"/>
      <w:bookmarkStart w:id="24" w:name="OLE_LINK521"/>
      <w:bookmarkStart w:id="25" w:name="OLE_LINK522"/>
      <w:bookmarkEnd w:id="21"/>
      <w:bookmarkEnd w:id="22"/>
      <w:r w:rsidRPr="000721A6">
        <w:t>103.</w:t>
      </w:r>
      <w:r w:rsidRPr="000721A6">
        <w:tab/>
        <w:t xml:space="preserve">Инспекторы </w:t>
      </w:r>
      <w:r>
        <w:t>труда</w:t>
      </w:r>
      <w:r w:rsidRPr="000721A6">
        <w:t xml:space="preserve"> редко выявляют случаи дискриминации по признаку пола.</w:t>
      </w:r>
      <w:r>
        <w:t xml:space="preserve"> Однако</w:t>
      </w:r>
      <w:r w:rsidRPr="000721A6">
        <w:t xml:space="preserve"> нельзя утверждать, что эти случаи происходят редко. Их сложно выявлять в ходе инспекций, поскольку подвергающиеся дискриминации рабо</w:t>
      </w:r>
      <w:r w:rsidRPr="000721A6">
        <w:t>т</w:t>
      </w:r>
      <w:r w:rsidRPr="000721A6">
        <w:t xml:space="preserve">ники, как правило, не хотят о них рассказывать. В 2010 году было выявлено пять случаев дискриминации при трудоустройстве, </w:t>
      </w:r>
      <w:r>
        <w:t xml:space="preserve">а в 2001 году — </w:t>
      </w:r>
      <w:r w:rsidRPr="000721A6">
        <w:t>четыре. В одном случае было установлено, что работодатель нанимал мужчин для в</w:t>
      </w:r>
      <w:r w:rsidRPr="000721A6">
        <w:t>ы</w:t>
      </w:r>
      <w:r w:rsidRPr="000721A6">
        <w:t>полнени</w:t>
      </w:r>
      <w:r>
        <w:t xml:space="preserve">я одних видов работы, а женщин — </w:t>
      </w:r>
      <w:r w:rsidRPr="000721A6">
        <w:t>для других. Кроме того, если в 2010 году инспекторы выявили два случая дискриминации ра</w:t>
      </w:r>
      <w:r>
        <w:t>ботников, то в 2011 году —</w:t>
      </w:r>
      <w:r w:rsidRPr="000721A6">
        <w:t xml:space="preserve"> три. В 2010 и 2011 годах инспекторы выявили по одному случаю нарушения, которые были связаны с порядком объявления вакантных должн</w:t>
      </w:r>
      <w:r w:rsidRPr="000721A6">
        <w:t>о</w:t>
      </w:r>
      <w:r w:rsidRPr="000721A6">
        <w:t xml:space="preserve">стей и противоречили статье 25 Закона о трудовых отношениях, касающейся равного обращения по признаку пола. Кроме того, были выявлены два случая дискриминации в связи с прекращением трудовых договоров, </w:t>
      </w:r>
      <w:r>
        <w:t>тогда как в 2011 </w:t>
      </w:r>
      <w:r w:rsidRPr="000721A6">
        <w:t>году таких нарушений не</w:t>
      </w:r>
      <w:r>
        <w:t xml:space="preserve"> было</w:t>
      </w:r>
      <w:r w:rsidRPr="000721A6">
        <w:t xml:space="preserve">. </w:t>
      </w:r>
      <w:r>
        <w:t>У</w:t>
      </w:r>
      <w:r w:rsidRPr="000721A6">
        <w:t>становлено еще одно нарушение, кот</w:t>
      </w:r>
      <w:r w:rsidRPr="000721A6">
        <w:t>о</w:t>
      </w:r>
      <w:r w:rsidRPr="000721A6">
        <w:t>рое рассматривалось в качестве проявления дискриминации и выражалось в менее уважительном отношении к работникам по причине беременности и о</w:t>
      </w:r>
      <w:r w:rsidRPr="000721A6">
        <w:t>т</w:t>
      </w:r>
      <w:r w:rsidRPr="000721A6">
        <w:t>пуска по уходу за ребенком</w:t>
      </w:r>
      <w:r>
        <w:t xml:space="preserve"> — </w:t>
      </w:r>
      <w:r w:rsidRPr="000721A6">
        <w:t>в 2011 году таких нарушений не было</w:t>
      </w:r>
      <w:r>
        <w:t xml:space="preserve"> выявлено</w:t>
      </w:r>
      <w:r w:rsidRPr="000721A6">
        <w:t>. В 2011 году был зафиксирован один случай, когда давались указания о дискр</w:t>
      </w:r>
      <w:r w:rsidRPr="000721A6">
        <w:t>и</w:t>
      </w:r>
      <w:r w:rsidRPr="000721A6">
        <w:t>минации работников по каким-либо признакам и который считался проя</w:t>
      </w:r>
      <w:r>
        <w:t>влен</w:t>
      </w:r>
      <w:r>
        <w:t>и</w:t>
      </w:r>
      <w:r>
        <w:t>ем дискриминации (статья 6</w:t>
      </w:r>
      <w:r w:rsidRPr="000721A6">
        <w:t>(3)). В 2010 году таких нарушений не наблюд</w:t>
      </w:r>
      <w:r w:rsidRPr="000721A6">
        <w:t>а</w:t>
      </w:r>
      <w:r w:rsidRPr="000721A6">
        <w:t>лось. В 2010 и 2011 годах каких-либо нарушений со стороны работодателя на стадии до заключения трудового договора в нарушение статьи 26 Закона о тр</w:t>
      </w:r>
      <w:r w:rsidRPr="000721A6">
        <w:t>у</w:t>
      </w:r>
      <w:r w:rsidRPr="000721A6">
        <w:t>довых отношениях не наблюд</w:t>
      </w:r>
      <w:r w:rsidRPr="000721A6">
        <w:t>а</w:t>
      </w:r>
      <w:r w:rsidRPr="000721A6">
        <w:t xml:space="preserve">лось.  </w:t>
      </w:r>
    </w:p>
    <w:bookmarkEnd w:id="23"/>
    <w:bookmarkEnd w:id="24"/>
    <w:bookmarkEnd w:id="25"/>
    <w:p w:rsidR="00966FDC" w:rsidRPr="000721A6" w:rsidRDefault="00966FDC" w:rsidP="007C22FD">
      <w:pPr>
        <w:pStyle w:val="SingleTxt"/>
      </w:pPr>
      <w:r w:rsidRPr="000721A6">
        <w:t>104.</w:t>
      </w:r>
      <w:r w:rsidRPr="000721A6">
        <w:tab/>
        <w:t>В 2006 году в Закон о родительской защите и семейных пособиях, инфо</w:t>
      </w:r>
      <w:r w:rsidRPr="000721A6">
        <w:t>р</w:t>
      </w:r>
      <w:r w:rsidRPr="000721A6">
        <w:t>мация о котором уже была представлена в четвертом докладе, были внесены поправки. Изменился порядок реализации не подлежащего передаче права о</w:t>
      </w:r>
      <w:r w:rsidRPr="000721A6">
        <w:t>т</w:t>
      </w:r>
      <w:r w:rsidRPr="000721A6">
        <w:t xml:space="preserve">цов на отпуск по уходу за ребенком, составляющий в общей сложности </w:t>
      </w:r>
      <w:r>
        <w:t>90 </w:t>
      </w:r>
      <w:r w:rsidRPr="000721A6">
        <w:t>дней. Отцы должны использовать 15 дней этого отпуска до того, как ребе</w:t>
      </w:r>
      <w:r w:rsidRPr="000721A6">
        <w:t>н</w:t>
      </w:r>
      <w:r w:rsidRPr="000721A6">
        <w:t xml:space="preserve">ку исполнится шесть </w:t>
      </w:r>
      <w:r>
        <w:t xml:space="preserve">месяцев (ранее — </w:t>
      </w:r>
      <w:r w:rsidRPr="000721A6">
        <w:t>в течение 105 дней отпуска по бер</w:t>
      </w:r>
      <w:r w:rsidRPr="000721A6">
        <w:t>е</w:t>
      </w:r>
      <w:r w:rsidRPr="000721A6">
        <w:t>менности и родам) и израсходовать остальные 75 дней до того, как ребенку и</w:t>
      </w:r>
      <w:r w:rsidRPr="000721A6">
        <w:t>с</w:t>
      </w:r>
      <w:r w:rsidRPr="000721A6">
        <w:t>полнится три года. В 2013 году министерство труда, по вопросам семьи, соц</w:t>
      </w:r>
      <w:r w:rsidRPr="000721A6">
        <w:t>и</w:t>
      </w:r>
      <w:r w:rsidRPr="000721A6">
        <w:t>альных дел и равных возможностей разработало новый законопроект по в</w:t>
      </w:r>
      <w:r w:rsidRPr="000721A6">
        <w:t>о</w:t>
      </w:r>
      <w:r w:rsidRPr="000721A6">
        <w:t>просу родител</w:t>
      </w:r>
      <w:r w:rsidRPr="000721A6">
        <w:t>ь</w:t>
      </w:r>
      <w:r w:rsidRPr="000721A6">
        <w:t>ской защиты и семейных пособий. В нем указывается, что отцу и матери о</w:t>
      </w:r>
      <w:r w:rsidRPr="000721A6">
        <w:t>т</w:t>
      </w:r>
      <w:r w:rsidRPr="000721A6">
        <w:t>дельно дается право использовать по 130 дней от предоставляемого 260-дневного отпуска по уходу за ребенком и передавать друг другу 100 о</w:t>
      </w:r>
      <w:r w:rsidRPr="000721A6">
        <w:t>т</w:t>
      </w:r>
      <w:r w:rsidRPr="000721A6">
        <w:t xml:space="preserve">пускных дней. В этом законопроекте было положение о том, что в некоторых случаях от одного родителя к другому могут передаваться все 130 дней. В ходе открытых </w:t>
      </w:r>
      <w:r>
        <w:t xml:space="preserve">бурных </w:t>
      </w:r>
      <w:r w:rsidRPr="000721A6">
        <w:t xml:space="preserve">обсуждений общественность выразила </w:t>
      </w:r>
      <w:r>
        <w:t xml:space="preserve">мнение, </w:t>
      </w:r>
      <w:r w:rsidRPr="000721A6">
        <w:t>что таким образом затрагивается право выбор</w:t>
      </w:r>
      <w:r>
        <w:t>а</w:t>
      </w:r>
      <w:r w:rsidRPr="000721A6">
        <w:t xml:space="preserve"> и что родителей </w:t>
      </w:r>
      <w:r>
        <w:t xml:space="preserve">просто </w:t>
      </w:r>
      <w:r w:rsidRPr="000721A6">
        <w:t>вынуждают брать отпуск. Когда в августе 2013 года открытые обсуждения завершились, комп</w:t>
      </w:r>
      <w:r w:rsidRPr="000721A6">
        <w:t>е</w:t>
      </w:r>
      <w:r w:rsidRPr="000721A6">
        <w:t>тентное министерство исключило или скорректировало соответствующие п</w:t>
      </w:r>
      <w:r w:rsidRPr="000721A6">
        <w:t>о</w:t>
      </w:r>
      <w:r w:rsidRPr="000721A6">
        <w:t>ложения. В нынешнем законопроекте, принятом правительством 11</w:t>
      </w:r>
      <w:r>
        <w:t> </w:t>
      </w:r>
      <w:r w:rsidRPr="000721A6">
        <w:t>октября 2013 года, содержится положение о том, что каждый из род</w:t>
      </w:r>
      <w:r w:rsidRPr="000721A6">
        <w:t>и</w:t>
      </w:r>
      <w:r w:rsidRPr="000721A6">
        <w:t>телей имеет право на 130-дневный отпуск по уходу за ребенком. Если матери могут передать о</w:t>
      </w:r>
      <w:r w:rsidRPr="000721A6">
        <w:t>т</w:t>
      </w:r>
      <w:r w:rsidRPr="000721A6">
        <w:t xml:space="preserve">цам 100 дней отпуска, то отцы могут передать матерям 130 дней. </w:t>
      </w:r>
      <w:r>
        <w:t>Пятнадцат</w:t>
      </w:r>
      <w:r>
        <w:t>и</w:t>
      </w:r>
      <w:r w:rsidRPr="000721A6">
        <w:t>дневный отпуск по уходу за ребенком для отцов, которые имеют право пол</w:t>
      </w:r>
      <w:r w:rsidRPr="000721A6">
        <w:t>у</w:t>
      </w:r>
      <w:r w:rsidRPr="000721A6">
        <w:t xml:space="preserve">чать соответствующие выплаты, был увеличен до 30 дней, а 75-дневный отпуск по уходу за ребенком для отцов, во время которого они получали социальные выплаты в размере минимального оклада, были отменены. Это право будет вводиться постепенно.  </w:t>
      </w:r>
    </w:p>
    <w:p w:rsidR="00966FDC" w:rsidRPr="000721A6" w:rsidRDefault="00966FDC" w:rsidP="007C22FD">
      <w:pPr>
        <w:pStyle w:val="SingleTxt"/>
      </w:pPr>
      <w:bookmarkStart w:id="26" w:name="OLE_LINK523"/>
      <w:r w:rsidRPr="000721A6">
        <w:t>105.</w:t>
      </w:r>
      <w:r w:rsidRPr="000721A6">
        <w:tab/>
      </w:r>
      <w:r>
        <w:t xml:space="preserve">Огромное </w:t>
      </w:r>
      <w:r w:rsidRPr="000721A6">
        <w:t>значение для поощрения равного распределения между женщ</w:t>
      </w:r>
      <w:r w:rsidRPr="000721A6">
        <w:t>и</w:t>
      </w:r>
      <w:r w:rsidRPr="000721A6">
        <w:t>нами и мужчинами родительских обязанностей по уходу за детьми имеет зак</w:t>
      </w:r>
      <w:r w:rsidRPr="000721A6">
        <w:t>о</w:t>
      </w:r>
      <w:r w:rsidRPr="000721A6">
        <w:t>нодательство, позволяющее обоим родителям осуществлять такой уход и ст</w:t>
      </w:r>
      <w:r w:rsidRPr="000721A6">
        <w:t>и</w:t>
      </w:r>
      <w:r w:rsidRPr="000721A6">
        <w:t>мулирующее отцов чаще выполнять соответствующие обязанности. Больши</w:t>
      </w:r>
      <w:r w:rsidRPr="000721A6">
        <w:t>н</w:t>
      </w:r>
      <w:r w:rsidRPr="000721A6">
        <w:t>ство отцов берут 15-дневный отпуск по уходу за ребенком и получают соотве</w:t>
      </w:r>
      <w:r w:rsidRPr="000721A6">
        <w:t>т</w:t>
      </w:r>
      <w:r w:rsidRPr="000721A6">
        <w:t>ствующие выплаты. В 2012 году т</w:t>
      </w:r>
      <w:r>
        <w:t>акой 15-дневный отпуск взяли 17 </w:t>
      </w:r>
      <w:r w:rsidRPr="000721A6">
        <w:t>468 отцов (около 85 процентов), а 3586 отцов использовали более 15 дней (</w:t>
      </w:r>
      <w:r>
        <w:t xml:space="preserve">при этом они </w:t>
      </w:r>
      <w:r w:rsidRPr="000721A6">
        <w:t>имели право на получение социальных выплат в размере минимального окл</w:t>
      </w:r>
      <w:r w:rsidRPr="000721A6">
        <w:t>а</w:t>
      </w:r>
      <w:r w:rsidRPr="000721A6">
        <w:t>да). Хотя право уходить в 260-дневный отпуск по уходу за ребенком имеют и матери</w:t>
      </w:r>
      <w:r>
        <w:t>,</w:t>
      </w:r>
      <w:r w:rsidRPr="000721A6">
        <w:t xml:space="preserve"> и отцы, на практике это делают в основном матери. В 2012 году этим отпуском частично воспользовались 1517 отцов, доля которых составляет пр</w:t>
      </w:r>
      <w:r w:rsidRPr="000721A6">
        <w:t>и</w:t>
      </w:r>
      <w:r w:rsidRPr="000721A6">
        <w:t xml:space="preserve">близительно 7,2 процента. За последние </w:t>
      </w:r>
      <w:r>
        <w:t>10 </w:t>
      </w:r>
      <w:r w:rsidRPr="000721A6">
        <w:t>лет доля отцов, кото</w:t>
      </w:r>
      <w:r>
        <w:t>рые взяли</w:t>
      </w:r>
      <w:r w:rsidRPr="000721A6">
        <w:t xml:space="preserve"> по мень</w:t>
      </w:r>
      <w:r>
        <w:t>шей мере</w:t>
      </w:r>
      <w:r w:rsidRPr="000721A6">
        <w:t xml:space="preserve"> несколько дней отпуска по уходу за ребенком, увеличился пр</w:t>
      </w:r>
      <w:r w:rsidRPr="000721A6">
        <w:t>и</w:t>
      </w:r>
      <w:r w:rsidRPr="000721A6">
        <w:t xml:space="preserve">мерно на </w:t>
      </w:r>
      <w:r>
        <w:t>5 </w:t>
      </w:r>
      <w:r w:rsidRPr="000721A6">
        <w:t>процентов.</w:t>
      </w:r>
    </w:p>
    <w:bookmarkEnd w:id="26"/>
    <w:p w:rsidR="00966FDC" w:rsidRPr="000721A6" w:rsidRDefault="00966FDC" w:rsidP="007C22FD">
      <w:pPr>
        <w:pStyle w:val="SingleTxt"/>
      </w:pPr>
      <w:r w:rsidRPr="000721A6">
        <w:t>106.</w:t>
      </w:r>
      <w:r w:rsidRPr="000721A6">
        <w:tab/>
        <w:t>В 2006 и 2007 годах Управление по вопросам равных возможностей пр</w:t>
      </w:r>
      <w:r w:rsidRPr="000721A6">
        <w:t>о</w:t>
      </w:r>
      <w:r w:rsidRPr="000721A6">
        <w:t>вело в средства</w:t>
      </w:r>
      <w:r>
        <w:t>х массовой информации кампанию «Папа, будь активным!»</w:t>
      </w:r>
      <w:r w:rsidRPr="000721A6">
        <w:t>, к</w:t>
      </w:r>
      <w:r w:rsidRPr="000721A6">
        <w:t>о</w:t>
      </w:r>
      <w:r w:rsidRPr="000721A6">
        <w:t>торая ос</w:t>
      </w:r>
      <w:r>
        <w:t>уществлялась по линии программы «Прогресс»</w:t>
      </w:r>
      <w:r w:rsidRPr="000721A6">
        <w:t xml:space="preserve"> при совместном ф</w:t>
      </w:r>
      <w:r w:rsidRPr="000721A6">
        <w:t>и</w:t>
      </w:r>
      <w:r w:rsidRPr="000721A6">
        <w:t>нансировании Европейской комиссии. Цель кампании заключалась в том, чт</w:t>
      </w:r>
      <w:r w:rsidRPr="000721A6">
        <w:t>о</w:t>
      </w:r>
      <w:r w:rsidRPr="000721A6">
        <w:t xml:space="preserve">бы стимулировать </w:t>
      </w:r>
      <w:r>
        <w:t>участие отцов в жизни</w:t>
      </w:r>
      <w:r w:rsidRPr="000721A6">
        <w:t xml:space="preserve"> семьи, пропагандировать их отве</w:t>
      </w:r>
      <w:r w:rsidRPr="000721A6">
        <w:t>т</w:t>
      </w:r>
      <w:r w:rsidRPr="000721A6">
        <w:t>ственную и активную роль, бороться с устоявшимися гендерными стереотип</w:t>
      </w:r>
      <w:r w:rsidRPr="000721A6">
        <w:t>а</w:t>
      </w:r>
      <w:r w:rsidRPr="000721A6">
        <w:t>ми, поощрять равное распределение между обоими партнерами семейных об</w:t>
      </w:r>
      <w:r w:rsidRPr="000721A6">
        <w:t>я</w:t>
      </w:r>
      <w:r w:rsidRPr="000721A6">
        <w:t>занностей и выявлять пользу совмещения работниками и работодателями пр</w:t>
      </w:r>
      <w:r w:rsidRPr="000721A6">
        <w:t>о</w:t>
      </w:r>
      <w:r w:rsidRPr="000721A6">
        <w:t>фессиональных и семейных обязанностей. В рамках этой кампании в ради</w:t>
      </w:r>
      <w:r w:rsidRPr="000721A6">
        <w:t>о</w:t>
      </w:r>
      <w:r w:rsidRPr="000721A6">
        <w:t>эфир вышли передачи на тему активной роли отцов, а по центральному тел</w:t>
      </w:r>
      <w:r w:rsidRPr="000721A6">
        <w:t>е</w:t>
      </w:r>
      <w:r w:rsidRPr="000721A6">
        <w:t>видению был показан общественно-просветительский документальный фильм. В 2006, 2010 и 2011 годах Управление по вопросам равных возможностей в с</w:t>
      </w:r>
      <w:r w:rsidRPr="000721A6">
        <w:t>о</w:t>
      </w:r>
      <w:r w:rsidRPr="000721A6">
        <w:t>трудничестве с местными общинами организовало спортивное и пропага</w:t>
      </w:r>
      <w:r w:rsidRPr="000721A6">
        <w:t>н</w:t>
      </w:r>
      <w:r>
        <w:t>дистское мероприятие «Пробежки папы»</w:t>
      </w:r>
      <w:r w:rsidRPr="000721A6">
        <w:t xml:space="preserve">, с тем чтобы </w:t>
      </w:r>
      <w:r>
        <w:t xml:space="preserve">побудить </w:t>
      </w:r>
      <w:r w:rsidRPr="000721A6">
        <w:t>мужчин акти</w:t>
      </w:r>
      <w:r w:rsidRPr="000721A6">
        <w:t>в</w:t>
      </w:r>
      <w:r w:rsidRPr="000721A6">
        <w:t>но заниматься с детьми и распространять информацию о правах отцов и о бл</w:t>
      </w:r>
      <w:r w:rsidRPr="000721A6">
        <w:t>а</w:t>
      </w:r>
      <w:r w:rsidRPr="000721A6">
        <w:t>готворном влиянии их активной роли на жизнь детей. Отцы совершали с дет</w:t>
      </w:r>
      <w:r w:rsidRPr="000721A6">
        <w:t>ь</w:t>
      </w:r>
      <w:r w:rsidRPr="000721A6">
        <w:t>ми пробежки, толкая детские коляски перед собой, держа детей на руках, ра</w:t>
      </w:r>
      <w:r w:rsidRPr="000721A6">
        <w:t>с</w:t>
      </w:r>
      <w:r w:rsidRPr="000721A6">
        <w:t>положив их за спиной, держа их за руку или находясь с ними бок о бок. В н</w:t>
      </w:r>
      <w:r w:rsidRPr="000721A6">
        <w:t>е</w:t>
      </w:r>
      <w:r w:rsidRPr="000721A6">
        <w:t>которых местных общинах совершение таких пробежек стало ежегодной тр</w:t>
      </w:r>
      <w:r w:rsidRPr="000721A6">
        <w:t>а</w:t>
      </w:r>
      <w:r w:rsidRPr="000721A6">
        <w:t>дицией.</w:t>
      </w:r>
    </w:p>
    <w:p w:rsidR="00966FDC" w:rsidRPr="00D1793B" w:rsidRDefault="00966FDC" w:rsidP="007C22FD">
      <w:pPr>
        <w:pStyle w:val="SingleTxt"/>
      </w:pPr>
      <w:r w:rsidRPr="000721A6">
        <w:t>107.</w:t>
      </w:r>
      <w:r w:rsidRPr="000721A6">
        <w:tab/>
        <w:t>В ноябре 2010 года Управление по вопросам равных возможностей орг</w:t>
      </w:r>
      <w:r w:rsidRPr="000721A6">
        <w:t>а</w:t>
      </w:r>
      <w:r>
        <w:t>низовало конференцию «</w:t>
      </w:r>
      <w:r w:rsidRPr="000721A6">
        <w:t>Различие между законодательством и практикой: роль руководителей в разработке полит</w:t>
      </w:r>
      <w:r>
        <w:t>ики, свободной от дискриминации»</w:t>
      </w:r>
      <w:r w:rsidRPr="000721A6">
        <w:t xml:space="preserve"> в с</w:t>
      </w:r>
      <w:r w:rsidRPr="000721A6">
        <w:t>о</w:t>
      </w:r>
      <w:r w:rsidRPr="000721A6">
        <w:t xml:space="preserve">трудничестве с секцией женщин-руководителей Ассоциации руководителей, </w:t>
      </w:r>
      <w:r>
        <w:t>Ф</w:t>
      </w:r>
      <w:r w:rsidRPr="000721A6">
        <w:t>акультетом</w:t>
      </w:r>
      <w:r>
        <w:t xml:space="preserve"> социологии</w:t>
      </w:r>
      <w:r w:rsidRPr="000721A6">
        <w:t xml:space="preserve"> и Словенской ассоциацией по управлению людскими ресурсами и производственным отношениям. Цель конференции заключалась в том, чтобы представить результаты исследования о масштабах распростран</w:t>
      </w:r>
      <w:r w:rsidRPr="000721A6">
        <w:t>е</w:t>
      </w:r>
      <w:r w:rsidRPr="000721A6">
        <w:t>ния различных форм дискриминации на рабочем месте, правовых обязател</w:t>
      </w:r>
      <w:r w:rsidRPr="000721A6">
        <w:t>ь</w:t>
      </w:r>
      <w:r w:rsidRPr="000721A6">
        <w:t>ствах работодателей, роли руководителей и правах работников в плане защиты от дискриминации, а также ознакомить ее участников с деятельностью инспе</w:t>
      </w:r>
      <w:r w:rsidRPr="000721A6">
        <w:t>к</w:t>
      </w:r>
      <w:r w:rsidRPr="000721A6">
        <w:t>торов труда, функциями уполномоченного по вопросам равноправия и работой Суда по трудовым спорам, связанной с проведением инспекционных и других мероприятий. В работе конференции приняли участие руководители, работн</w:t>
      </w:r>
      <w:r w:rsidRPr="000721A6">
        <w:t>и</w:t>
      </w:r>
      <w:r w:rsidRPr="000721A6">
        <w:t>ки кадровых служб, сотрудники по вопросам дискриминации в сфере занят</w:t>
      </w:r>
      <w:r w:rsidRPr="000721A6">
        <w:t>о</w:t>
      </w:r>
      <w:r w:rsidRPr="000721A6">
        <w:t>сти, представители профсоюзов, научные работники и другие заинтересова</w:t>
      </w:r>
      <w:r w:rsidRPr="000721A6">
        <w:t>н</w:t>
      </w:r>
      <w:r w:rsidRPr="000721A6">
        <w:t>ные лица.</w:t>
      </w:r>
    </w:p>
    <w:p w:rsidR="009D5BF8" w:rsidRPr="00861361" w:rsidRDefault="009D5BF8" w:rsidP="00861361">
      <w:pPr>
        <w:pStyle w:val="SingleTxt"/>
        <w:spacing w:after="0" w:line="120" w:lineRule="exact"/>
        <w:rPr>
          <w:sz w:val="10"/>
        </w:rPr>
      </w:pPr>
    </w:p>
    <w:p w:rsidR="00861361" w:rsidRDefault="00861361" w:rsidP="00684B3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43302">
        <w:t>Занятость</w:t>
      </w:r>
    </w:p>
    <w:p w:rsidR="00861361" w:rsidRPr="00243302" w:rsidRDefault="00861361" w:rsidP="00684B38">
      <w:pPr>
        <w:pStyle w:val="SingleTxt"/>
        <w:spacing w:after="0" w:line="120" w:lineRule="exact"/>
        <w:rPr>
          <w:sz w:val="10"/>
          <w:lang w:val="en-US"/>
        </w:rPr>
      </w:pPr>
    </w:p>
    <w:p w:rsidR="00861361" w:rsidRPr="00243302" w:rsidRDefault="00861361" w:rsidP="00684B38">
      <w:pPr>
        <w:pStyle w:val="SingleTxt"/>
      </w:pPr>
      <w:r w:rsidRPr="00243302">
        <w:t>108.</w:t>
      </w:r>
      <w:r w:rsidRPr="00243302">
        <w:tab/>
        <w:t>В последние годы было зарегистрировано незначительное снижение эк</w:t>
      </w:r>
      <w:r w:rsidRPr="00243302">
        <w:t>о</w:t>
      </w:r>
      <w:r w:rsidRPr="00243302">
        <w:t>номической активности населения и уровня занятости. В 2012 году уровень экономической активности населения составлял 56,9 процента (51,6 процента среди женщин; 62,4 процента среди мужчин), а уровень участия в рабочей силе составил 52,3 процента (47,1 процента среди женщин; 57,6 процента среди мужчин). Самый высокий показатель уровня участия в рабочей силе был з</w:t>
      </w:r>
      <w:r w:rsidRPr="00243302">
        <w:t>а</w:t>
      </w:r>
      <w:r w:rsidRPr="00243302">
        <w:t>фиксирован в возрастной группе от 25 до 49 лет, как среди мужчин, так и среди женщин (в 2012 году он составил 87,0 процента для мужчин и 82,2 процента для женщин). По сравнению с предыдущими годами наибольшее падение пок</w:t>
      </w:r>
      <w:r w:rsidRPr="00243302">
        <w:t>а</w:t>
      </w:r>
      <w:r w:rsidRPr="00243302">
        <w:t>зателя уровня участия в рабочей силе было зафиксировано в возрастной группе от 15 до 24 лет. В период 2008</w:t>
      </w:r>
      <w:r>
        <w:t>–</w:t>
      </w:r>
      <w:r w:rsidRPr="00243302">
        <w:t>2012 годов процентная доля женщин сниз</w:t>
      </w:r>
      <w:r w:rsidRPr="00243302">
        <w:t>и</w:t>
      </w:r>
      <w:r w:rsidRPr="00243302">
        <w:t>лась на 11,2 процентных пункта, а для мужчин</w:t>
      </w:r>
      <w:r>
        <w:rPr>
          <w:lang w:val="en-US"/>
        </w:rPr>
        <w:t> </w:t>
      </w:r>
      <w:r w:rsidRPr="00243302">
        <w:t>— на 11,5 пункта</w:t>
      </w:r>
      <w:r w:rsidRPr="007E0CCC">
        <w:rPr>
          <w:rStyle w:val="FootnoteReference"/>
        </w:rPr>
        <w:footnoteReference w:id="39"/>
      </w:r>
      <w:r w:rsidRPr="00243302">
        <w:t>.</w:t>
      </w:r>
    </w:p>
    <w:p w:rsidR="00861361" w:rsidRPr="00243302" w:rsidRDefault="00861361" w:rsidP="00684B38">
      <w:pPr>
        <w:pStyle w:val="SingleTxt"/>
      </w:pPr>
      <w:r w:rsidRPr="00243302">
        <w:t>109.</w:t>
      </w:r>
      <w:r w:rsidRPr="00243302">
        <w:tab/>
        <w:t>Структура занятого трудоспособного населения в разбивке по статусу з</w:t>
      </w:r>
      <w:r w:rsidRPr="00243302">
        <w:t>а</w:t>
      </w:r>
      <w:r w:rsidRPr="00243302">
        <w:t>нятости показывает, что на сегодняшний день наибольшую долю составляют лица, занятые на оплачиваемой работе. В 2012 году (второй квартал) больши</w:t>
      </w:r>
      <w:r w:rsidRPr="00243302">
        <w:t>н</w:t>
      </w:r>
      <w:r w:rsidRPr="00243302">
        <w:t>ство работающих трудоспособных женщин работали по найму (86,6 процента), за ними следовали женщины с индивидуальной трудовой деятельностью (7,9</w:t>
      </w:r>
      <w:r>
        <w:t> </w:t>
      </w:r>
      <w:r w:rsidRPr="00243302">
        <w:t xml:space="preserve">процента) и занимающиеся неоплачиваемым трудом </w:t>
      </w:r>
      <w:r>
        <w:t xml:space="preserve">в семейном хозяйстве </w:t>
      </w:r>
      <w:r w:rsidRPr="00243302">
        <w:t xml:space="preserve">(5,5 процента). Аналогичное распределение было замечено среди мужчин, где 81,6 процента работали по найму, 15,8 процента занимались индивидуальной трудовой деятельностью и 2,6 процента занимались неоплачиваемой работой </w:t>
      </w:r>
      <w:r>
        <w:t>в семейном хозяйстве</w:t>
      </w:r>
      <w:r w:rsidRPr="007E0CCC">
        <w:rPr>
          <w:rStyle w:val="FootnoteReference"/>
        </w:rPr>
        <w:footnoteReference w:id="40"/>
      </w:r>
      <w:r w:rsidRPr="00243302">
        <w:t>.</w:t>
      </w:r>
    </w:p>
    <w:p w:rsidR="00861361" w:rsidRPr="00243302" w:rsidRDefault="00861361" w:rsidP="00684B38">
      <w:pPr>
        <w:pStyle w:val="SingleTxt"/>
      </w:pPr>
      <w:r w:rsidRPr="00243302">
        <w:t>110.</w:t>
      </w:r>
      <w:r w:rsidRPr="00243302">
        <w:tab/>
        <w:t>В последние годы отмечалась тенденция к росту доли женщин и мужчин, занимающихся индивидуальной трудовой деятельностью. В 2007 году доля представителей трудоспособного населения, занимающихся индивидуальной трудовой деятельностью, составляла 11,5 процента, в то время как в 2012 году она была на уровне 12,2 процента. В 2012 году доля женщин, занимающихся индивидуальной трудовой деятельностью, была 29,8 процента, что несколько больше по сравнению с 28,1 процента в 2007 году</w:t>
      </w:r>
      <w:r w:rsidRPr="007E0CCC">
        <w:rPr>
          <w:rStyle w:val="FootnoteReference"/>
        </w:rPr>
        <w:footnoteReference w:id="41"/>
      </w:r>
      <w:r w:rsidRPr="00243302">
        <w:t>.</w:t>
      </w:r>
    </w:p>
    <w:p w:rsidR="00861361" w:rsidRPr="00243302" w:rsidRDefault="00861361" w:rsidP="00684B38">
      <w:pPr>
        <w:pStyle w:val="SingleTxt"/>
      </w:pPr>
      <w:r w:rsidRPr="00243302">
        <w:t>111.</w:t>
      </w:r>
      <w:r w:rsidRPr="00243302">
        <w:tab/>
        <w:t>Больш</w:t>
      </w:r>
      <w:r>
        <w:t>инство</w:t>
      </w:r>
      <w:r w:rsidRPr="00243302">
        <w:t xml:space="preserve"> трудоспособного населения составляют люди с полной з</w:t>
      </w:r>
      <w:r w:rsidRPr="00243302">
        <w:t>а</w:t>
      </w:r>
      <w:r w:rsidRPr="00243302">
        <w:t>нятостью. В 2012 году доля женщин и мужчин с частичной занятостью соста</w:t>
      </w:r>
      <w:r w:rsidRPr="00243302">
        <w:t>в</w:t>
      </w:r>
      <w:r w:rsidRPr="00243302">
        <w:t>ляла 12,4 и 8,9 процента, соответственно. В области частичной з</w:t>
      </w:r>
      <w:r w:rsidRPr="00243302">
        <w:t>а</w:t>
      </w:r>
      <w:r w:rsidRPr="00243302">
        <w:t>нятости среди женщин отмечалась легкая тенденция к росту, а среди мужчин</w:t>
      </w:r>
      <w:r>
        <w:t xml:space="preserve"> — </w:t>
      </w:r>
      <w:r w:rsidRPr="00243302">
        <w:t>легкая те</w:t>
      </w:r>
      <w:r w:rsidRPr="00243302">
        <w:t>н</w:t>
      </w:r>
      <w:r w:rsidRPr="00243302">
        <w:t>денция к понижению</w:t>
      </w:r>
      <w:r w:rsidRPr="007E0CCC">
        <w:rPr>
          <w:rStyle w:val="FootnoteReference"/>
        </w:rPr>
        <w:footnoteReference w:id="42"/>
      </w:r>
      <w:r w:rsidRPr="00243302">
        <w:t>.</w:t>
      </w:r>
    </w:p>
    <w:p w:rsidR="00861361" w:rsidRPr="00243302" w:rsidRDefault="00861361" w:rsidP="00684B38">
      <w:pPr>
        <w:pStyle w:val="SingleTxt"/>
      </w:pPr>
      <w:r w:rsidRPr="00243302">
        <w:t>112.</w:t>
      </w:r>
      <w:r w:rsidRPr="00243302">
        <w:tab/>
        <w:t>В 2012 году доля трудоспособного населения, занятая в государственном секторе, составила 29,1 процента. Женщины составляют 61,0 процента труд</w:t>
      </w:r>
      <w:r w:rsidRPr="00243302">
        <w:t>о</w:t>
      </w:r>
      <w:r w:rsidRPr="00243302">
        <w:t>способного населения, занятого в государственном секторе, в то время как мужчины составляют большинство трудоспособного населения, занятого в частном секторе (61,5 процента)</w:t>
      </w:r>
      <w:r w:rsidRPr="007E0CCC">
        <w:rPr>
          <w:rStyle w:val="FootnoteReference"/>
        </w:rPr>
        <w:footnoteReference w:id="43"/>
      </w:r>
      <w:r w:rsidRPr="00243302">
        <w:t>.</w:t>
      </w:r>
    </w:p>
    <w:p w:rsidR="00861361" w:rsidRPr="00243302" w:rsidRDefault="00861361" w:rsidP="00684B38">
      <w:pPr>
        <w:pStyle w:val="SingleTxt"/>
      </w:pPr>
      <w:r w:rsidRPr="00243302">
        <w:t>113.</w:t>
      </w:r>
      <w:r w:rsidRPr="00243302">
        <w:tab/>
        <w:t xml:space="preserve">Хотя в среднем женщины имеют более высокий уровень образования и более высокую квалификацию, чем мужчины, доля женщин на </w:t>
      </w:r>
      <w:r>
        <w:t xml:space="preserve">высших </w:t>
      </w:r>
      <w:r w:rsidRPr="00243302">
        <w:t xml:space="preserve">и </w:t>
      </w:r>
      <w:r>
        <w:t>лу</w:t>
      </w:r>
      <w:r>
        <w:t>ч</w:t>
      </w:r>
      <w:r>
        <w:t xml:space="preserve">ше всего </w:t>
      </w:r>
      <w:r w:rsidRPr="00243302">
        <w:t>оплачиваемых должностях (старшие должностные лица, управля</w:t>
      </w:r>
      <w:r w:rsidRPr="00243302">
        <w:t>ю</w:t>
      </w:r>
      <w:r w:rsidRPr="00243302">
        <w:t>щие и законодател</w:t>
      </w:r>
      <w:r>
        <w:t>и</w:t>
      </w:r>
      <w:r w:rsidRPr="00243302">
        <w:t xml:space="preserve">) ниже, чем среди мужчин. В 2012 году доля женщин на этих должностях составляла 39,6 процента. </w:t>
      </w:r>
      <w:r>
        <w:t xml:space="preserve">Касаясь </w:t>
      </w:r>
      <w:r w:rsidRPr="00243302">
        <w:t xml:space="preserve">рода занятий, </w:t>
      </w:r>
      <w:r>
        <w:t>следует о</w:t>
      </w:r>
      <w:r>
        <w:t>т</w:t>
      </w:r>
      <w:r>
        <w:t xml:space="preserve">метить, что </w:t>
      </w:r>
      <w:r w:rsidRPr="00243302">
        <w:t>в 2012 году доля женщин превысила соответствующие доли му</w:t>
      </w:r>
      <w:r w:rsidRPr="00243302">
        <w:t>ж</w:t>
      </w:r>
      <w:r w:rsidRPr="00243302">
        <w:t xml:space="preserve">чин среди специалистов (61,5 процента), должностных лиц (56,2 процента), персонала </w:t>
      </w:r>
      <w:r>
        <w:t xml:space="preserve">сферы </w:t>
      </w:r>
      <w:r w:rsidRPr="00243302">
        <w:t>услуг и торговли (61,9 процента), сотрудников те</w:t>
      </w:r>
      <w:r w:rsidRPr="00243302">
        <w:t>х</w:t>
      </w:r>
      <w:r w:rsidRPr="00243302">
        <w:t xml:space="preserve">нических и административных </w:t>
      </w:r>
      <w:r>
        <w:t xml:space="preserve">служб </w:t>
      </w:r>
      <w:r w:rsidRPr="00243302">
        <w:t>(51,6</w:t>
      </w:r>
      <w:r>
        <w:t> </w:t>
      </w:r>
      <w:r w:rsidRPr="00243302">
        <w:t>процента) и неквалифицированных рабочих (56,9 процента); самая низкая доля женщин была зарегистрирована среди представителей ремесленников и смежных профессий (9,6 процента)</w:t>
      </w:r>
      <w:r w:rsidRPr="007E0CCC">
        <w:rPr>
          <w:rStyle w:val="FootnoteReference"/>
        </w:rPr>
        <w:footnoteReference w:id="44"/>
      </w:r>
      <w:r w:rsidRPr="00243302">
        <w:t>.</w:t>
      </w:r>
    </w:p>
    <w:p w:rsidR="00861361" w:rsidRPr="00243302" w:rsidRDefault="00861361" w:rsidP="00684B38">
      <w:pPr>
        <w:pStyle w:val="SingleTxt"/>
      </w:pPr>
      <w:r w:rsidRPr="00243302">
        <w:t>114.</w:t>
      </w:r>
      <w:r w:rsidRPr="00243302">
        <w:tab/>
        <w:t xml:space="preserve">Женщины преобладают среди лиц, занятых в сфере услуг (55,3 процента), </w:t>
      </w:r>
      <w:r>
        <w:t>особенно</w:t>
      </w:r>
      <w:r w:rsidRPr="00243302">
        <w:t xml:space="preserve"> в сфере здравоохранения и социального обслуживания, образования, финансового посредничества, общественного питания и туризма. В несельск</w:t>
      </w:r>
      <w:r w:rsidRPr="00243302">
        <w:t>о</w:t>
      </w:r>
      <w:r w:rsidRPr="00243302">
        <w:t>хозяйственном секторе доля женщин составляет треть трудоспособного занят</w:t>
      </w:r>
      <w:r w:rsidRPr="00243302">
        <w:t>о</w:t>
      </w:r>
      <w:r w:rsidRPr="00243302">
        <w:t>го населения; меньше всего женщин работа</w:t>
      </w:r>
      <w:r>
        <w:t>ю</w:t>
      </w:r>
      <w:r w:rsidRPr="00243302">
        <w:t>т в строительной отрасли</w:t>
      </w:r>
      <w:r w:rsidRPr="007E0CCC">
        <w:rPr>
          <w:rStyle w:val="FootnoteReference"/>
        </w:rPr>
        <w:footnoteReference w:id="45"/>
      </w:r>
      <w:r w:rsidRPr="00243302">
        <w:t>.</w:t>
      </w:r>
    </w:p>
    <w:p w:rsidR="00861361" w:rsidRPr="00243302" w:rsidRDefault="00861361" w:rsidP="00684B38">
      <w:pPr>
        <w:pStyle w:val="SingleTxt"/>
      </w:pPr>
      <w:r w:rsidRPr="00243302">
        <w:t>115.</w:t>
      </w:r>
      <w:r w:rsidRPr="00243302">
        <w:tab/>
        <w:t>В 2012 году в рядах трудоспособного населения насчитывалось 29</w:t>
      </w:r>
      <w:r>
        <w:t> </w:t>
      </w:r>
      <w:r w:rsidRPr="00243302">
        <w:t>832</w:t>
      </w:r>
      <w:r>
        <w:t> </w:t>
      </w:r>
      <w:r w:rsidRPr="00243302">
        <w:t>ин</w:t>
      </w:r>
      <w:r>
        <w:softHyphen/>
      </w:r>
      <w:r w:rsidRPr="00243302">
        <w:t>валид</w:t>
      </w:r>
      <w:r>
        <w:t>а</w:t>
      </w:r>
      <w:r w:rsidRPr="00243302">
        <w:t>, из которых 46,5 процента составляли женщины</w:t>
      </w:r>
      <w:r w:rsidRPr="007E0CCC">
        <w:rPr>
          <w:rStyle w:val="FootnoteReference"/>
        </w:rPr>
        <w:footnoteReference w:id="46"/>
      </w:r>
      <w:r w:rsidRPr="00243302">
        <w:t>.</w:t>
      </w:r>
    </w:p>
    <w:p w:rsidR="00861361" w:rsidRDefault="00861361" w:rsidP="00684B38">
      <w:pPr>
        <w:pStyle w:val="SingleTxt"/>
      </w:pPr>
      <w:r w:rsidRPr="00243302">
        <w:t>116.</w:t>
      </w:r>
      <w:r w:rsidRPr="00243302">
        <w:tab/>
        <w:t>Данные за 2011 год показывают, что средний валов</w:t>
      </w:r>
      <w:r>
        <w:t>о</w:t>
      </w:r>
      <w:r w:rsidRPr="00243302">
        <w:t>й доход женщин был на 4,6 процентных пункта ниже средней валовой заработной платы мужчин. Наибольший разрыв наблюдался среди лиц с высшим образованием</w:t>
      </w:r>
      <w:r>
        <w:t>:</w:t>
      </w:r>
      <w:r w:rsidRPr="00243302">
        <w:t xml:space="preserve"> женщины зарабатывали в среднем 81</w:t>
      </w:r>
      <w:r>
        <w:t>,</w:t>
      </w:r>
      <w:r w:rsidRPr="00243302">
        <w:t xml:space="preserve">32 процента от заработной платы мужчин. </w:t>
      </w:r>
      <w:r>
        <w:t xml:space="preserve">Как </w:t>
      </w:r>
      <w:r w:rsidRPr="00243302">
        <w:t>в государственном</w:t>
      </w:r>
      <w:r>
        <w:t xml:space="preserve">, так </w:t>
      </w:r>
      <w:r w:rsidRPr="00243302">
        <w:t xml:space="preserve">и частном секторах женщины зарабатывают </w:t>
      </w:r>
      <w:r>
        <w:t xml:space="preserve">в среднем </w:t>
      </w:r>
      <w:r w:rsidRPr="00243302">
        <w:t>меньше мужчин</w:t>
      </w:r>
      <w:r w:rsidRPr="007E0CCC">
        <w:rPr>
          <w:rStyle w:val="FootnoteReference"/>
        </w:rPr>
        <w:footnoteReference w:id="47"/>
      </w:r>
      <w:r w:rsidRPr="00243302">
        <w:t xml:space="preserve">. </w:t>
      </w:r>
      <w:r>
        <w:t>Кроме того</w:t>
      </w:r>
      <w:r w:rsidRPr="00243302">
        <w:t>, в среднем женщины зарабатывали меньше мужчин во всех профессиональных группах, за исключением должностных лиц</w:t>
      </w:r>
      <w:r>
        <w:t>:</w:t>
      </w:r>
      <w:r w:rsidRPr="00243302">
        <w:t xml:space="preserve"> в 2011 году женщины зарабатывали в среднем на 12 евро в месяц больше, чем мужчины</w:t>
      </w:r>
      <w:r>
        <w:t>, в этой группе</w:t>
      </w:r>
      <w:r w:rsidRPr="00243302">
        <w:t>. Данные в разбивке по возрастным группам св</w:t>
      </w:r>
      <w:r w:rsidRPr="00243302">
        <w:t>и</w:t>
      </w:r>
      <w:r w:rsidRPr="00243302">
        <w:t>детельствуют о том, что в среднем женщины зарабатывают меньше мужчин во всех возрастных группах, за исключением группы от 55 до 64 лет.</w:t>
      </w:r>
    </w:p>
    <w:p w:rsidR="00861361" w:rsidRPr="00243302" w:rsidRDefault="00861361" w:rsidP="00684B38">
      <w:pPr>
        <w:pStyle w:val="SingleTxt"/>
        <w:spacing w:after="0" w:line="120" w:lineRule="exact"/>
        <w:rPr>
          <w:sz w:val="10"/>
        </w:rPr>
      </w:pPr>
    </w:p>
    <w:p w:rsidR="00861361" w:rsidRDefault="00861361" w:rsidP="00684B3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43302">
        <w:t>Безработица</w:t>
      </w:r>
    </w:p>
    <w:p w:rsidR="00861361" w:rsidRPr="00243302" w:rsidRDefault="00861361" w:rsidP="00684B38">
      <w:pPr>
        <w:pStyle w:val="SingleTxt"/>
        <w:spacing w:after="0" w:line="120" w:lineRule="exact"/>
        <w:rPr>
          <w:sz w:val="10"/>
        </w:rPr>
      </w:pPr>
    </w:p>
    <w:p w:rsidR="00861361" w:rsidRPr="00243302" w:rsidRDefault="00861361" w:rsidP="00684B38">
      <w:pPr>
        <w:pStyle w:val="SingleTxt"/>
      </w:pPr>
      <w:r w:rsidRPr="00243302">
        <w:t>117.</w:t>
      </w:r>
      <w:r w:rsidRPr="00243302">
        <w:tab/>
        <w:t>В последние годы в период экономического кризиса возрос уровень бе</w:t>
      </w:r>
      <w:r w:rsidRPr="00243302">
        <w:t>з</w:t>
      </w:r>
      <w:r w:rsidRPr="00243302">
        <w:t>работицы. По данным обследования</w:t>
      </w:r>
      <w:r>
        <w:t>,</w:t>
      </w:r>
      <w:r w:rsidRPr="00243302">
        <w:t xml:space="preserve"> в 2012 году уровень безработицы сост</w:t>
      </w:r>
      <w:r w:rsidRPr="00243302">
        <w:t>а</w:t>
      </w:r>
      <w:r w:rsidRPr="00243302">
        <w:t>вил 8,2 процента, что на 3,6 процента выше по сравнению с 2007 годом. Этот уровень несколько выше среди женщин (8,8 процента), чем среди мужчин (7,7</w:t>
      </w:r>
      <w:r>
        <w:t> </w:t>
      </w:r>
      <w:r w:rsidRPr="00243302">
        <w:t xml:space="preserve">процента). </w:t>
      </w:r>
      <w:r>
        <w:t>З</w:t>
      </w:r>
      <w:r w:rsidRPr="00243302">
        <w:t xml:space="preserve">арегистрированный уровень безработицы </w:t>
      </w:r>
      <w:r>
        <w:t xml:space="preserve">тоже </w:t>
      </w:r>
      <w:r w:rsidRPr="00243302">
        <w:t>выше среди женщин, чем среди мужчин. В 2012 году он составлял 12,3 процента среди женщин и 11,1 процента среди мужчин.</w:t>
      </w:r>
    </w:p>
    <w:p w:rsidR="00861361" w:rsidRPr="00243302" w:rsidRDefault="00861361" w:rsidP="00684B38">
      <w:pPr>
        <w:pStyle w:val="SingleTxt"/>
      </w:pPr>
      <w:bookmarkStart w:id="27" w:name="OLE_LINK508"/>
      <w:bookmarkStart w:id="28" w:name="OLE_LINK12"/>
      <w:r w:rsidRPr="00243302">
        <w:t>118.</w:t>
      </w:r>
      <w:r w:rsidRPr="00243302">
        <w:tab/>
        <w:t>Согласно обследованиям</w:t>
      </w:r>
      <w:r>
        <w:t>,</w:t>
      </w:r>
      <w:r w:rsidRPr="00243302">
        <w:t xml:space="preserve"> самый высокий уровень безработицы набл</w:t>
      </w:r>
      <w:r w:rsidRPr="00243302">
        <w:t>ю</w:t>
      </w:r>
      <w:r w:rsidRPr="00243302">
        <w:t>дался среди молодых людей в возрасте от 15 до 24 лет; в 2012 году он соста</w:t>
      </w:r>
      <w:r w:rsidRPr="00243302">
        <w:t>в</w:t>
      </w:r>
      <w:r w:rsidRPr="00243302">
        <w:t>лял 18,5 процента среди молодых женщин и 17,3 процента среди молодых л</w:t>
      </w:r>
      <w:r w:rsidRPr="00243302">
        <w:t>ю</w:t>
      </w:r>
      <w:r w:rsidRPr="00243302">
        <w:t>дей. Самая высокая доля безработных по критерию продолжительности наблюдалась среди лиц, ищущих работу более двух лет (26,9 процента мужчин и 30,4 процента женщин)</w:t>
      </w:r>
      <w:r w:rsidRPr="007E0CCC">
        <w:rPr>
          <w:rStyle w:val="FootnoteReference"/>
        </w:rPr>
        <w:footnoteReference w:id="48"/>
      </w:r>
      <w:r w:rsidRPr="00243302">
        <w:t>.</w:t>
      </w:r>
      <w:bookmarkEnd w:id="27"/>
    </w:p>
    <w:p w:rsidR="00861361" w:rsidRDefault="00861361" w:rsidP="00684B38">
      <w:pPr>
        <w:pStyle w:val="SingleTxt"/>
      </w:pPr>
      <w:bookmarkStart w:id="29" w:name="OLE_LINK15"/>
      <w:bookmarkStart w:id="30" w:name="OLE_LINK16"/>
      <w:bookmarkStart w:id="31" w:name="OLE_LINK13"/>
      <w:bookmarkStart w:id="32" w:name="OLE_LINK14"/>
      <w:bookmarkStart w:id="33" w:name="OLE_LINK17"/>
      <w:bookmarkStart w:id="34" w:name="OLE_LINK18"/>
      <w:bookmarkStart w:id="35" w:name="OLE_LINK19"/>
      <w:bookmarkStart w:id="36" w:name="OLE_LINK20"/>
      <w:bookmarkStart w:id="37" w:name="OLE_LINK21"/>
      <w:bookmarkStart w:id="38" w:name="OLE_LINK22"/>
      <w:bookmarkStart w:id="39" w:name="OLE_LINK25"/>
      <w:bookmarkStart w:id="40" w:name="OLE_LINK23"/>
      <w:bookmarkStart w:id="41" w:name="OLE_LINK24"/>
      <w:bookmarkStart w:id="42" w:name="OLE_LINK26"/>
      <w:bookmarkStart w:id="43" w:name="OLE_LINK27"/>
      <w:bookmarkStart w:id="44" w:name="OLE_LINK509"/>
      <w:bookmarkStart w:id="45" w:name="OLE_LINK510"/>
      <w:bookmarkEnd w:id="28"/>
      <w:r w:rsidRPr="00243302">
        <w:t>119.</w:t>
      </w:r>
      <w:r w:rsidRPr="00243302">
        <w:tab/>
        <w:t>Образование является одним из факторов, влияющих на возможности трудоустройства. Люди с более низким уровнем образования или образован</w:t>
      </w:r>
      <w:r w:rsidRPr="00243302">
        <w:t>и</w:t>
      </w:r>
      <w:r w:rsidRPr="00243302">
        <w:t>ем, не пользующимся спросом на рынке труда, по-прежнему имеют меньше шансов найти работу. Согласно обследованиям</w:t>
      </w:r>
      <w:r>
        <w:t>,</w:t>
      </w:r>
      <w:r w:rsidRPr="00243302">
        <w:t xml:space="preserve"> </w:t>
      </w:r>
      <w:r>
        <w:t xml:space="preserve">самый </w:t>
      </w:r>
      <w:r w:rsidRPr="00243302">
        <w:t>высокий уровень безр</w:t>
      </w:r>
      <w:r w:rsidRPr="00243302">
        <w:t>а</w:t>
      </w:r>
      <w:r w:rsidRPr="00243302">
        <w:t xml:space="preserve">ботицы наблюдается среди лиц с неполным начальным образованием, </w:t>
      </w:r>
      <w:r>
        <w:t xml:space="preserve">среди </w:t>
      </w:r>
      <w:r w:rsidRPr="00243302">
        <w:t xml:space="preserve">закончивших начальную школу или </w:t>
      </w:r>
      <w:r>
        <w:t xml:space="preserve">среди лиц </w:t>
      </w:r>
      <w:r w:rsidRPr="00243302">
        <w:t>с более низким профессионал</w:t>
      </w:r>
      <w:r w:rsidRPr="00243302">
        <w:t>ь</w:t>
      </w:r>
      <w:r w:rsidRPr="00243302">
        <w:t>ным образованием (14,7 процента среди женщин и 16,2 процента среди му</w:t>
      </w:r>
      <w:r w:rsidRPr="00243302">
        <w:t>ж</w:t>
      </w:r>
      <w:r w:rsidRPr="00243302">
        <w:t>чин)</w:t>
      </w:r>
      <w:r>
        <w:t>, а</w:t>
      </w:r>
      <w:r w:rsidRPr="00243302">
        <w:t xml:space="preserve"> самый низкий</w:t>
      </w:r>
      <w:r>
        <w:t xml:space="preserve"> — </w:t>
      </w:r>
      <w:r w:rsidRPr="00243302">
        <w:t xml:space="preserve">среди тех, кто получил по крайней мере два года </w:t>
      </w:r>
      <w:r>
        <w:t>пр</w:t>
      </w:r>
      <w:r>
        <w:t>о</w:t>
      </w:r>
      <w:r>
        <w:t xml:space="preserve">фессионально-технического </w:t>
      </w:r>
      <w:r w:rsidRPr="00243302">
        <w:t>или университетского образования или обучался по программам высшего образования (6,8 процента среди женщин и 5,8 пр</w:t>
      </w:r>
      <w:r w:rsidRPr="00243302">
        <w:t>о</w:t>
      </w:r>
      <w:r w:rsidRPr="00243302">
        <w:t>цента среди мужчин)</w:t>
      </w:r>
      <w:r w:rsidRPr="007E0CCC">
        <w:rPr>
          <w:rStyle w:val="FootnoteReference"/>
        </w:rPr>
        <w:footnoteReference w:id="49"/>
      </w:r>
      <w:r w:rsidRPr="00243302">
        <w:t>.</w:t>
      </w:r>
    </w:p>
    <w:p w:rsidR="00861361" w:rsidRPr="00251DE9" w:rsidRDefault="00861361" w:rsidP="00684B38">
      <w:pPr>
        <w:pStyle w:val="SingleTxt"/>
        <w:spacing w:after="0" w:line="120" w:lineRule="exact"/>
        <w:rPr>
          <w:sz w:val="10"/>
        </w:r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861361" w:rsidRDefault="00861361" w:rsidP="00684B3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43302">
        <w:t>Меры по обеспечению гендерного равенства на рынке труда и в сфере занятости</w:t>
      </w:r>
    </w:p>
    <w:p w:rsidR="00861361" w:rsidRPr="00251DE9" w:rsidRDefault="00861361" w:rsidP="00684B38">
      <w:pPr>
        <w:pStyle w:val="SingleTxt"/>
        <w:spacing w:after="0" w:line="120" w:lineRule="exact"/>
        <w:rPr>
          <w:sz w:val="10"/>
        </w:rPr>
      </w:pPr>
    </w:p>
    <w:p w:rsidR="00861361" w:rsidRPr="00243302" w:rsidRDefault="00861361" w:rsidP="00684B38">
      <w:pPr>
        <w:pStyle w:val="SingleTxt"/>
      </w:pPr>
      <w:bookmarkStart w:id="46" w:name="OLE_LINK28"/>
      <w:bookmarkStart w:id="47" w:name="OLE_LINK29"/>
      <w:bookmarkStart w:id="48" w:name="OLE_LINK30"/>
      <w:bookmarkStart w:id="49" w:name="OLE_LINK31"/>
      <w:bookmarkStart w:id="50" w:name="OLE_LINK32"/>
      <w:bookmarkStart w:id="51" w:name="OLE_LINK33"/>
      <w:bookmarkStart w:id="52" w:name="OLE_LINK36"/>
      <w:bookmarkStart w:id="53" w:name="OLE_LINK37"/>
      <w:bookmarkStart w:id="54" w:name="OLE_LINK38"/>
      <w:bookmarkStart w:id="55" w:name="OLE_LINK39"/>
      <w:bookmarkStart w:id="56" w:name="OLE_LINK40"/>
      <w:bookmarkStart w:id="57" w:name="OLE_LINK41"/>
      <w:bookmarkStart w:id="58" w:name="OLE_LINK42"/>
      <w:bookmarkStart w:id="59" w:name="OLE_LINK34"/>
      <w:bookmarkStart w:id="60" w:name="OLE_LINK35"/>
      <w:bookmarkStart w:id="61" w:name="OLE_LINK45"/>
      <w:bookmarkStart w:id="62" w:name="OLE_LINK43"/>
      <w:bookmarkStart w:id="63" w:name="OLE_LINK44"/>
      <w:bookmarkStart w:id="64" w:name="OLE_LINK524"/>
      <w:bookmarkStart w:id="65" w:name="OLE_LINK525"/>
      <w:r w:rsidRPr="00243302">
        <w:t>120.</w:t>
      </w:r>
      <w:r w:rsidRPr="00243302">
        <w:tab/>
        <w:t>Были приняты следующие стратегические документы</w:t>
      </w:r>
      <w:r>
        <w:t>,</w:t>
      </w:r>
      <w:r w:rsidRPr="00243302">
        <w:t xml:space="preserve"> направленные на содействие активным формам занятости, решение проблемы безработицы и развитие людских ресурсов: оперативная программа в области развития лю</w:t>
      </w:r>
      <w:r w:rsidRPr="00243302">
        <w:t>д</w:t>
      </w:r>
      <w:r w:rsidRPr="00243302">
        <w:t>ских ресурсов на 2007</w:t>
      </w:r>
      <w:r>
        <w:t>–</w:t>
      </w:r>
      <w:r w:rsidRPr="00243302">
        <w:t>2013 годы, программа активной политики в сфере зан</w:t>
      </w:r>
      <w:r w:rsidRPr="00243302">
        <w:t>я</w:t>
      </w:r>
      <w:r w:rsidRPr="00243302">
        <w:t>тости на 2007</w:t>
      </w:r>
      <w:r>
        <w:t>–</w:t>
      </w:r>
      <w:r w:rsidRPr="00243302">
        <w:t xml:space="preserve">2013 годы и руководящие принципы активной политики в сфере занятости </w:t>
      </w:r>
      <w:r>
        <w:t xml:space="preserve">в течение </w:t>
      </w:r>
      <w:r w:rsidRPr="00243302">
        <w:t>2013</w:t>
      </w:r>
      <w:r>
        <w:t>–</w:t>
      </w:r>
      <w:r w:rsidRPr="00243302">
        <w:t>2015 год</w:t>
      </w:r>
      <w:r>
        <w:t>ов</w:t>
      </w:r>
      <w:r w:rsidRPr="00243302">
        <w:t>; на их основе были подготовлены дву</w:t>
      </w:r>
      <w:r w:rsidRPr="00243302">
        <w:t>х</w:t>
      </w:r>
      <w:r w:rsidRPr="00243302">
        <w:t>летние программы осуществления. Равные возможности для женщин и мужчин в сфере труда и занятости были определены в качестве одной из стратегич</w:t>
      </w:r>
      <w:r w:rsidRPr="00243302">
        <w:t>е</w:t>
      </w:r>
      <w:r w:rsidRPr="00243302">
        <w:t xml:space="preserve">ских целей резолюции по </w:t>
      </w:r>
      <w:r>
        <w:t>Н</w:t>
      </w:r>
      <w:r w:rsidRPr="00243302">
        <w:t>ациональной программе обеспечения равных во</w:t>
      </w:r>
      <w:r w:rsidRPr="00243302">
        <w:t>з</w:t>
      </w:r>
      <w:r w:rsidRPr="00243302">
        <w:t>можностей для женщин и мужчин на 2005</w:t>
      </w:r>
      <w:r>
        <w:t>–</w:t>
      </w:r>
      <w:r w:rsidRPr="00243302">
        <w:t>2013 годы.</w:t>
      </w:r>
    </w:p>
    <w:p w:rsidR="00861361" w:rsidRPr="00243302" w:rsidRDefault="00861361" w:rsidP="00684B38">
      <w:pPr>
        <w:pStyle w:val="SingleTxt"/>
      </w:pPr>
      <w:bookmarkStart w:id="66" w:name="OLE_LINK46"/>
      <w:bookmarkStart w:id="67" w:name="OLE_LINK49"/>
      <w:bookmarkStart w:id="68" w:name="OLE_LINK50"/>
      <w:bookmarkStart w:id="69" w:name="OLE_LINK47"/>
      <w:bookmarkStart w:id="70" w:name="OLE_LINK48"/>
      <w:bookmarkStart w:id="71" w:name="OLE_LINK51"/>
      <w:bookmarkStart w:id="72" w:name="OLE_LINK52"/>
      <w:bookmarkStart w:id="73" w:name="OLE_LINK53"/>
      <w:bookmarkStart w:id="74" w:name="OLE_LINK54"/>
      <w:bookmarkStart w:id="75" w:name="OLE_LINK55"/>
      <w:bookmarkStart w:id="76" w:name="OLE_LINK56"/>
      <w:bookmarkStart w:id="77" w:name="OLE_LINK57"/>
      <w:bookmarkStart w:id="78" w:name="OLE_LINK58"/>
      <w:bookmarkStart w:id="79" w:name="OLE_LINK59"/>
      <w:bookmarkStart w:id="80" w:name="OLE_LINK60"/>
      <w:bookmarkStart w:id="81" w:name="OLE_LINK61"/>
      <w:bookmarkStart w:id="82" w:name="OLE_LINK62"/>
      <w:bookmarkStart w:id="83" w:name="OLE_LINK63"/>
      <w:bookmarkStart w:id="84" w:name="OLE_LINK64"/>
      <w:bookmarkStart w:id="85" w:name="OLE_LINK65"/>
      <w:bookmarkStart w:id="86" w:name="OLE_LINK66"/>
      <w:bookmarkStart w:id="87" w:name="OLE_LINK67"/>
      <w:bookmarkStart w:id="88" w:name="OLE_LINK68"/>
      <w:bookmarkStart w:id="89" w:name="OLE_LINK69"/>
      <w:bookmarkStart w:id="90" w:name="OLE_LINK70"/>
      <w:bookmarkStart w:id="91" w:name="OLE_LINK71"/>
      <w:bookmarkStart w:id="92" w:name="OLE_LINK72"/>
      <w:bookmarkStart w:id="93" w:name="OLE_LINK73"/>
      <w:bookmarkStart w:id="94" w:name="OLE_LINK74"/>
      <w:bookmarkStart w:id="95" w:name="OLE_LINK77"/>
      <w:bookmarkStart w:id="96" w:name="OLE_LINK75"/>
      <w:bookmarkStart w:id="97" w:name="OLE_LINK76"/>
      <w:bookmarkStart w:id="98" w:name="OLE_LINK78"/>
      <w:bookmarkStart w:id="99" w:name="OLE_LINK79"/>
      <w:bookmarkStart w:id="100" w:name="OLE_LINK80"/>
      <w:bookmarkStart w:id="101" w:name="OLE_LINK81"/>
      <w:bookmarkStart w:id="102" w:name="OLE_LINK83"/>
      <w:bookmarkStart w:id="103" w:name="OLE_LINK82"/>
      <w:bookmarkStart w:id="104" w:name="OLE_LINK87"/>
      <w:bookmarkStart w:id="105" w:name="OLE_LINK88"/>
      <w:bookmarkStart w:id="106" w:name="OLE_LINK84"/>
      <w:bookmarkStart w:id="107" w:name="OLE_LINK85"/>
      <w:bookmarkStart w:id="108" w:name="OLE_LINK86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243302">
        <w:t>121.</w:t>
      </w:r>
      <w:r w:rsidRPr="00243302">
        <w:tab/>
        <w:t xml:space="preserve">При осуществлении деятельности в рамках </w:t>
      </w:r>
      <w:r>
        <w:t>О</w:t>
      </w:r>
      <w:r w:rsidRPr="00243302">
        <w:t>перативной программы по развитию людских ресурсов в различных формах соблюдался принцип генде</w:t>
      </w:r>
      <w:r w:rsidRPr="00243302">
        <w:t>р</w:t>
      </w:r>
      <w:r w:rsidRPr="00243302">
        <w:t>ного равенства. В области поощрения предпринимательства и гибкости обе</w:t>
      </w:r>
      <w:r w:rsidRPr="00243302">
        <w:t>с</w:t>
      </w:r>
      <w:r w:rsidRPr="00243302">
        <w:t>печивается гендерное равенство в отношении возможности подачи заявок и о</w:t>
      </w:r>
      <w:r w:rsidRPr="00243302">
        <w:t>т</w:t>
      </w:r>
      <w:r w:rsidRPr="00243302">
        <w:t>бора и на всех этапах осуществления. В области расширения перспектив тр</w:t>
      </w:r>
      <w:r w:rsidRPr="00243302">
        <w:t>у</w:t>
      </w:r>
      <w:r w:rsidRPr="00243302">
        <w:t>доустройства лиц, ищущих работу, и бездействующих лиц общая цель на раб</w:t>
      </w:r>
      <w:r w:rsidRPr="00243302">
        <w:t>о</w:t>
      </w:r>
      <w:r w:rsidRPr="00243302">
        <w:t xml:space="preserve">чем уровне состоит в том, чтобы охватить по меньшей мере 55 процентов женщин. В рамках приоритета в области развития под названием </w:t>
      </w:r>
      <w:r>
        <w:t>«</w:t>
      </w:r>
      <w:r w:rsidRPr="00243302">
        <w:t>Равенство возможностей и содействие социальной интеграции</w:t>
      </w:r>
      <w:r>
        <w:t>»</w:t>
      </w:r>
      <w:r w:rsidRPr="00243302">
        <w:t xml:space="preserve"> идет </w:t>
      </w:r>
      <w:r>
        <w:t xml:space="preserve">реализация </w:t>
      </w:r>
      <w:r w:rsidRPr="00243302">
        <w:t>полож</w:t>
      </w:r>
      <w:r w:rsidRPr="00243302">
        <w:t>е</w:t>
      </w:r>
      <w:r w:rsidRPr="00243302">
        <w:t xml:space="preserve">ний с упором на гендерное равенство. Проект </w:t>
      </w:r>
      <w:r>
        <w:t>«</w:t>
      </w:r>
      <w:r w:rsidRPr="00243302">
        <w:t>Компании, учитывающие инт</w:t>
      </w:r>
      <w:r w:rsidRPr="00243302">
        <w:t>е</w:t>
      </w:r>
      <w:r w:rsidRPr="00243302">
        <w:t>ресы семей</w:t>
      </w:r>
      <w:r>
        <w:t>»</w:t>
      </w:r>
      <w:r w:rsidRPr="00243302">
        <w:t xml:space="preserve"> направлен на содействие совмещению профессиональной и ли</w:t>
      </w:r>
      <w:r w:rsidRPr="00243302">
        <w:t>ч</w:t>
      </w:r>
      <w:r w:rsidRPr="00243302">
        <w:t xml:space="preserve">ной жизни, положительно влияет на </w:t>
      </w:r>
      <w:r>
        <w:t xml:space="preserve">борьбу с </w:t>
      </w:r>
      <w:r w:rsidRPr="00243302">
        <w:t>дискриминаци</w:t>
      </w:r>
      <w:r>
        <w:t>ей</w:t>
      </w:r>
      <w:r w:rsidRPr="00243302">
        <w:t xml:space="preserve"> на рынке труда и укрепл</w:t>
      </w:r>
      <w:r>
        <w:t>я</w:t>
      </w:r>
      <w:r w:rsidRPr="00243302">
        <w:t>е</w:t>
      </w:r>
      <w:r>
        <w:t>т</w:t>
      </w:r>
      <w:r w:rsidRPr="00243302">
        <w:t xml:space="preserve"> концепци</w:t>
      </w:r>
      <w:r>
        <w:t>ю</w:t>
      </w:r>
      <w:r w:rsidRPr="00243302">
        <w:t xml:space="preserve"> равных возможностей. В контексте проекта </w:t>
      </w:r>
      <w:r>
        <w:t>«</w:t>
      </w:r>
      <w:r w:rsidRPr="00243302">
        <w:t>День д</w:t>
      </w:r>
      <w:r w:rsidRPr="00243302">
        <w:t>е</w:t>
      </w:r>
      <w:r w:rsidRPr="00243302">
        <w:t>вочек</w:t>
      </w:r>
      <w:r>
        <w:t>»</w:t>
      </w:r>
      <w:r w:rsidRPr="00243302">
        <w:t xml:space="preserve"> посещающим начальную школу девочкам предоставляется возмо</w:t>
      </w:r>
      <w:r w:rsidRPr="00243302">
        <w:t>ж</w:t>
      </w:r>
      <w:r w:rsidRPr="00243302">
        <w:t>ность получить информацию о типичных мужских профессиях и поощряется увел</w:t>
      </w:r>
      <w:r w:rsidRPr="00243302">
        <w:t>и</w:t>
      </w:r>
      <w:r w:rsidRPr="00243302">
        <w:t>чение числа девочек, обучающихся по программам средней школы, где бол</w:t>
      </w:r>
      <w:r w:rsidRPr="00243302">
        <w:t>ь</w:t>
      </w:r>
      <w:r w:rsidRPr="00243302">
        <w:t>шинство учащихся составляют мальчики.</w:t>
      </w:r>
    </w:p>
    <w:p w:rsidR="00861361" w:rsidRPr="00243302" w:rsidRDefault="00861361" w:rsidP="00684B38">
      <w:pPr>
        <w:pStyle w:val="SingleTxt"/>
      </w:pPr>
      <w:bookmarkStart w:id="109" w:name="OLE_LINK91"/>
      <w:bookmarkStart w:id="110" w:name="OLE_LINK89"/>
      <w:bookmarkStart w:id="111" w:name="OLE_LINK9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243302">
        <w:t>122.</w:t>
      </w:r>
      <w:r w:rsidRPr="00243302">
        <w:tab/>
        <w:t>В 2012 году мероприятиями, осуществляемыми в рамках Оперативной программы в области развития людских ресурсов, были охвачены 191 789 ч</w:t>
      </w:r>
      <w:r w:rsidRPr="00243302">
        <w:t>е</w:t>
      </w:r>
      <w:r w:rsidRPr="00243302">
        <w:t>ловек, из которых 64 процента составляли женщины. Доля молодежи состав</w:t>
      </w:r>
      <w:r w:rsidRPr="00243302">
        <w:t>и</w:t>
      </w:r>
      <w:r w:rsidRPr="00243302">
        <w:t>ла 21,2 процента, из которых на женщин пришлось 56,5 процента. Среди инвал</w:t>
      </w:r>
      <w:r w:rsidRPr="00243302">
        <w:t>и</w:t>
      </w:r>
      <w:r w:rsidRPr="00243302">
        <w:t xml:space="preserve">дов также была отмечена </w:t>
      </w:r>
      <w:r>
        <w:t xml:space="preserve">более значительная </w:t>
      </w:r>
      <w:r w:rsidRPr="00243302">
        <w:t>доля женщин (61,3 процента) по сравнению с мужчинами</w:t>
      </w:r>
      <w:r w:rsidRPr="007E0CCC">
        <w:rPr>
          <w:rStyle w:val="FootnoteReference"/>
        </w:rPr>
        <w:footnoteReference w:id="50"/>
      </w:r>
      <w:r w:rsidRPr="00243302">
        <w:t>.</w:t>
      </w:r>
    </w:p>
    <w:p w:rsidR="00861361" w:rsidRPr="00243302" w:rsidRDefault="00861361" w:rsidP="00684B38">
      <w:pPr>
        <w:pStyle w:val="SingleTxt"/>
      </w:pPr>
      <w:bookmarkStart w:id="112" w:name="OLE_LINK92"/>
      <w:bookmarkStart w:id="113" w:name="OLE_LINK93"/>
      <w:bookmarkStart w:id="114" w:name="OLE_LINK94"/>
      <w:bookmarkStart w:id="115" w:name="OLE_LINK95"/>
      <w:bookmarkStart w:id="116" w:name="OLE_LINK96"/>
      <w:bookmarkStart w:id="117" w:name="OLE_LINK97"/>
      <w:bookmarkStart w:id="118" w:name="OLE_LINK98"/>
      <w:bookmarkStart w:id="119" w:name="OLE_LINK99"/>
      <w:bookmarkStart w:id="120" w:name="OLE_LINK100"/>
      <w:bookmarkStart w:id="121" w:name="OLE_LINK101"/>
      <w:bookmarkStart w:id="122" w:name="OLE_LINK102"/>
      <w:bookmarkStart w:id="123" w:name="OLE_LINK103"/>
      <w:bookmarkStart w:id="124" w:name="OLE_LINK104"/>
      <w:bookmarkStart w:id="125" w:name="OLE_LINK105"/>
      <w:bookmarkStart w:id="126" w:name="OLE_LINK106"/>
      <w:bookmarkStart w:id="127" w:name="OLE_LINK107"/>
      <w:bookmarkEnd w:id="109"/>
      <w:bookmarkEnd w:id="110"/>
      <w:bookmarkEnd w:id="111"/>
      <w:r w:rsidRPr="00243302">
        <w:t>123.</w:t>
      </w:r>
      <w:r w:rsidRPr="00243302">
        <w:tab/>
        <w:t>С целью сократить разрыв между уровнями занятости и безработицы ср</w:t>
      </w:r>
      <w:r w:rsidRPr="00243302">
        <w:t>е</w:t>
      </w:r>
      <w:r w:rsidRPr="00243302">
        <w:t>ди женщин, что обозначено в качестве отдельной цели в резолюции о наци</w:t>
      </w:r>
      <w:r w:rsidRPr="00243302">
        <w:t>о</w:t>
      </w:r>
      <w:r w:rsidRPr="00243302">
        <w:t xml:space="preserve">нальной программе обеспечения равных возможностей для женщин и мужчин на 2005–2013 годы, в рамках </w:t>
      </w:r>
      <w:r>
        <w:t>п</w:t>
      </w:r>
      <w:r w:rsidRPr="00243302">
        <w:t>рограммы активной политики в сфере занят</w:t>
      </w:r>
      <w:r w:rsidRPr="00243302">
        <w:t>о</w:t>
      </w:r>
      <w:r w:rsidRPr="00243302">
        <w:t>сти были реализованы специальные программы по содействию занятости и труд</w:t>
      </w:r>
      <w:r w:rsidRPr="00243302">
        <w:t>о</w:t>
      </w:r>
      <w:r w:rsidRPr="00243302">
        <w:t xml:space="preserve">вой деятельности. В частности, были реализованы следующие программы: </w:t>
      </w:r>
      <w:r>
        <w:t>«</w:t>
      </w:r>
      <w:r w:rsidRPr="00243302">
        <w:t xml:space="preserve">Содействие </w:t>
      </w:r>
      <w:r>
        <w:t xml:space="preserve">трудоустройству лиц, давно не имеющих работы, в </w:t>
      </w:r>
      <w:r w:rsidRPr="00243302">
        <w:t>2009</w:t>
      </w:r>
      <w:r>
        <w:t>–</w:t>
      </w:r>
      <w:r w:rsidRPr="00243302">
        <w:t>2010</w:t>
      </w:r>
      <w:r>
        <w:t xml:space="preserve"> </w:t>
      </w:r>
      <w:r w:rsidRPr="00243302">
        <w:t>г</w:t>
      </w:r>
      <w:r w:rsidRPr="00243302">
        <w:t>о</w:t>
      </w:r>
      <w:r w:rsidRPr="00243302">
        <w:t>дах</w:t>
      </w:r>
      <w:r>
        <w:t>»</w:t>
      </w:r>
      <w:r w:rsidRPr="00243302">
        <w:t xml:space="preserve">, 63,2 процента от общего числа участников которой составили женщины; </w:t>
      </w:r>
      <w:r>
        <w:t>«</w:t>
      </w:r>
      <w:r w:rsidRPr="00243302">
        <w:t>Подготовка</w:t>
      </w:r>
      <w:r>
        <w:t xml:space="preserve"> на рабочем месте»</w:t>
      </w:r>
      <w:r w:rsidRPr="00243302">
        <w:t>, 56,8 процента участников которой в 2010</w:t>
      </w:r>
      <w:r>
        <w:t> году</w:t>
      </w:r>
      <w:r w:rsidRPr="00243302">
        <w:t xml:space="preserve"> были женщины, а в 2011 году их доля составила 53,1 процента; Программа </w:t>
      </w:r>
      <w:r>
        <w:t>«</w:t>
      </w:r>
      <w:r w:rsidRPr="00243302">
        <w:t>Возьмите меня на работу</w:t>
      </w:r>
      <w:r>
        <w:t>»</w:t>
      </w:r>
      <w:r w:rsidRPr="00243302">
        <w:t xml:space="preserve"> была направлена на содействие трудоустройству безработных людей, которым сложно найти работу,</w:t>
      </w:r>
      <w:r>
        <w:t xml:space="preserve"> — </w:t>
      </w:r>
      <w:r w:rsidRPr="00243302">
        <w:t>44,3 и 49,8 процента ее участников пришлось на женщин в 2010 и 2011 годах, соответственно; пр</w:t>
      </w:r>
      <w:r w:rsidRPr="00243302">
        <w:t>о</w:t>
      </w:r>
      <w:r w:rsidRPr="00243302">
        <w:t xml:space="preserve">грамма </w:t>
      </w:r>
      <w:r>
        <w:t>«</w:t>
      </w:r>
      <w:r w:rsidRPr="00243302">
        <w:t>Поощрение трудоустройства лиц, впервые ищущих работу, в области социальной помощи</w:t>
      </w:r>
      <w:r>
        <w:t xml:space="preserve"> — </w:t>
      </w:r>
      <w:r w:rsidRPr="00243302">
        <w:t>стажеры</w:t>
      </w:r>
      <w:r>
        <w:t>»</w:t>
      </w:r>
      <w:r w:rsidRPr="00243302">
        <w:t>, в которой приняли участие 262 стажера же</w:t>
      </w:r>
      <w:r w:rsidRPr="00243302">
        <w:t>н</w:t>
      </w:r>
      <w:r w:rsidRPr="00243302">
        <w:t>ского и му</w:t>
      </w:r>
      <w:r w:rsidRPr="00243302">
        <w:t>ж</w:t>
      </w:r>
      <w:r w:rsidRPr="00243302">
        <w:t>ского пола, проходивших подготовку в области социальной помощи в 2012 г</w:t>
      </w:r>
      <w:r w:rsidRPr="00243302">
        <w:t>о</w:t>
      </w:r>
      <w:r w:rsidRPr="00243302">
        <w:t>ду</w:t>
      </w:r>
      <w:r w:rsidRPr="007E0CCC">
        <w:rPr>
          <w:rStyle w:val="FootnoteReference"/>
        </w:rPr>
        <w:footnoteReference w:id="51"/>
      </w:r>
      <w:r w:rsidRPr="00243302">
        <w:t>.</w:t>
      </w:r>
    </w:p>
    <w:p w:rsidR="00861361" w:rsidRPr="00243302" w:rsidRDefault="00861361" w:rsidP="00684B38">
      <w:pPr>
        <w:pStyle w:val="SingleTxt"/>
      </w:pPr>
      <w:bookmarkStart w:id="128" w:name="OLE_LINK108"/>
      <w:bookmarkStart w:id="129" w:name="OLE_LINK109"/>
      <w:bookmarkStart w:id="130" w:name="OLE_LINK110"/>
      <w:bookmarkStart w:id="131" w:name="OLE_LINK111"/>
      <w:bookmarkStart w:id="132" w:name="OLE_LINK112"/>
      <w:bookmarkStart w:id="133" w:name="OLE_LINK113"/>
      <w:bookmarkStart w:id="134" w:name="OLE_LINK114"/>
      <w:bookmarkStart w:id="135" w:name="OLE_LINK117"/>
      <w:bookmarkStart w:id="136" w:name="OLE_LINK118"/>
      <w:bookmarkStart w:id="137" w:name="OLE_LINK119"/>
      <w:bookmarkStart w:id="138" w:name="OLE_LINK120"/>
      <w:bookmarkStart w:id="139" w:name="OLE_LINK121"/>
      <w:bookmarkStart w:id="140" w:name="OLE_LINK122"/>
      <w:bookmarkStart w:id="141" w:name="OLE_LINK115"/>
      <w:bookmarkStart w:id="142" w:name="OLE_LINK116"/>
      <w:bookmarkStart w:id="143" w:name="OLE_LINK123"/>
      <w:bookmarkStart w:id="144" w:name="OLE_LINK124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243302">
        <w:t>124.</w:t>
      </w:r>
      <w:r w:rsidRPr="00243302">
        <w:tab/>
        <w:t>В рамках принимаемых отдельно на каждый календарный год мер пр</w:t>
      </w:r>
      <w:r w:rsidRPr="00243302">
        <w:t>о</w:t>
      </w:r>
      <w:r w:rsidRPr="00243302">
        <w:t>граммы активной политики в сфере занятости определяются виды программ и целевые группы безработных, которые могут принять участие в этих програ</w:t>
      </w:r>
      <w:r w:rsidRPr="00243302">
        <w:t>м</w:t>
      </w:r>
      <w:r w:rsidRPr="00243302">
        <w:t xml:space="preserve">мах, в том числе </w:t>
      </w:r>
      <w:r>
        <w:t xml:space="preserve">цыгане — как </w:t>
      </w:r>
      <w:r w:rsidRPr="00243302">
        <w:t>женщины</w:t>
      </w:r>
      <w:r>
        <w:t>, так</w:t>
      </w:r>
      <w:r w:rsidRPr="00243302">
        <w:t xml:space="preserve"> и мужчины. В 2008 году 890</w:t>
      </w:r>
      <w:r>
        <w:t> </w:t>
      </w:r>
      <w:r w:rsidRPr="00243302">
        <w:t xml:space="preserve">женщин и мужчин </w:t>
      </w:r>
      <w:r>
        <w:t xml:space="preserve">из числа цыган </w:t>
      </w:r>
      <w:r w:rsidRPr="00243302">
        <w:t>были охвачены мерами активной пол</w:t>
      </w:r>
      <w:r w:rsidRPr="00243302">
        <w:t>и</w:t>
      </w:r>
      <w:r w:rsidRPr="00243302">
        <w:t>тики в сфере занятости, 366 из них были женщины (41 процент). В целом 79 человек нашли работу, и</w:t>
      </w:r>
      <w:r>
        <w:t>з</w:t>
      </w:r>
      <w:r w:rsidRPr="00243302">
        <w:t xml:space="preserve"> них 27 </w:t>
      </w:r>
      <w:r>
        <w:t xml:space="preserve">человек, т.е. </w:t>
      </w:r>
      <w:r w:rsidRPr="00243302">
        <w:t>34,2 процента</w:t>
      </w:r>
      <w:r>
        <w:t>,</w:t>
      </w:r>
      <w:r w:rsidRPr="00243302">
        <w:t xml:space="preserve"> составляли же</w:t>
      </w:r>
      <w:r w:rsidRPr="00243302">
        <w:t>н</w:t>
      </w:r>
      <w:r w:rsidRPr="00243302">
        <w:t xml:space="preserve">щины. Увеличивалось число </w:t>
      </w:r>
      <w:r>
        <w:t xml:space="preserve">цыган — </w:t>
      </w:r>
      <w:r w:rsidRPr="00243302">
        <w:t>женщин и мужчин</w:t>
      </w:r>
      <w:r>
        <w:t xml:space="preserve">, — </w:t>
      </w:r>
      <w:r w:rsidRPr="00243302">
        <w:t>охваченных пр</w:t>
      </w:r>
      <w:r w:rsidRPr="00243302">
        <w:t>о</w:t>
      </w:r>
      <w:r w:rsidRPr="00243302">
        <w:t>грамм</w:t>
      </w:r>
      <w:r>
        <w:t>ой</w:t>
      </w:r>
      <w:r w:rsidRPr="00243302">
        <w:t xml:space="preserve"> активной политики в сфере занятости. В 2010 году их насчитывалось 1100 человек, а в 2011 году</w:t>
      </w:r>
      <w:r>
        <w:t xml:space="preserve"> — </w:t>
      </w:r>
      <w:r w:rsidRPr="00243302">
        <w:t xml:space="preserve">1311. В рамках </w:t>
      </w:r>
      <w:r>
        <w:t>О</w:t>
      </w:r>
      <w:r w:rsidRPr="00243302">
        <w:t>перативной программы по ра</w:t>
      </w:r>
      <w:r w:rsidRPr="00243302">
        <w:t>з</w:t>
      </w:r>
      <w:r w:rsidRPr="00243302">
        <w:t>витию людских ресурсов на 2007–2013</w:t>
      </w:r>
      <w:r>
        <w:t> </w:t>
      </w:r>
      <w:r w:rsidRPr="00243302">
        <w:t>годы был реализован проект под назв</w:t>
      </w:r>
      <w:r w:rsidRPr="00243302">
        <w:t>а</w:t>
      </w:r>
      <w:r w:rsidRPr="00243302">
        <w:t xml:space="preserve">нием </w:t>
      </w:r>
      <w:r>
        <w:t>«Цыганский дом». Э</w:t>
      </w:r>
      <w:r w:rsidRPr="00243302">
        <w:t xml:space="preserve">тот проект был нацелен на поощрение стремления женщин и мужчин </w:t>
      </w:r>
      <w:r>
        <w:t xml:space="preserve">из числа цыган </w:t>
      </w:r>
      <w:r w:rsidRPr="00243302">
        <w:t xml:space="preserve">повысить свою самооценку и </w:t>
      </w:r>
      <w:r>
        <w:t>на приобрет</w:t>
      </w:r>
      <w:r>
        <w:t>е</w:t>
      </w:r>
      <w:r>
        <w:t xml:space="preserve">ние ими </w:t>
      </w:r>
      <w:r w:rsidRPr="00243302">
        <w:t>знани</w:t>
      </w:r>
      <w:r>
        <w:t>й</w:t>
      </w:r>
      <w:r w:rsidRPr="00243302">
        <w:t>, необходимы</w:t>
      </w:r>
      <w:r>
        <w:t>х</w:t>
      </w:r>
      <w:r w:rsidRPr="00243302">
        <w:t xml:space="preserve"> для успешного выхода на рынок труда. В прое</w:t>
      </w:r>
      <w:r w:rsidRPr="00243302">
        <w:t>к</w:t>
      </w:r>
      <w:r w:rsidRPr="00243302">
        <w:t>те прин</w:t>
      </w:r>
      <w:r w:rsidRPr="00243302">
        <w:t>я</w:t>
      </w:r>
      <w:r w:rsidRPr="00243302">
        <w:t xml:space="preserve">ли участие 100 </w:t>
      </w:r>
      <w:r>
        <w:t xml:space="preserve">цыган — как </w:t>
      </w:r>
      <w:r w:rsidRPr="00243302">
        <w:t>женщин</w:t>
      </w:r>
      <w:r>
        <w:t>, так</w:t>
      </w:r>
      <w:r w:rsidRPr="00243302">
        <w:t xml:space="preserve"> и мужчин</w:t>
      </w:r>
      <w:r w:rsidRPr="007E0CCC">
        <w:rPr>
          <w:rStyle w:val="FootnoteReference"/>
        </w:rPr>
        <w:footnoteReference w:id="52"/>
      </w:r>
      <w:r w:rsidRPr="00243302">
        <w:t>.</w:t>
      </w:r>
    </w:p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p w:rsidR="00861361" w:rsidRPr="00243302" w:rsidRDefault="00861361" w:rsidP="00684B38">
      <w:pPr>
        <w:pStyle w:val="SingleTxt"/>
      </w:pPr>
      <w:r w:rsidRPr="00243302">
        <w:t>125.</w:t>
      </w:r>
      <w:r w:rsidRPr="00243302">
        <w:tab/>
        <w:t xml:space="preserve">В целях расширения и поощрения участия </w:t>
      </w:r>
      <w:r>
        <w:t xml:space="preserve">женщин </w:t>
      </w:r>
      <w:r w:rsidRPr="00243302">
        <w:t>в индивидуальной трудовой и предпринимательской деятельности, что было определено в кач</w:t>
      </w:r>
      <w:r w:rsidRPr="00243302">
        <w:t>е</w:t>
      </w:r>
      <w:r w:rsidRPr="00243302">
        <w:t>стве конкретной цели в резолюции о национальной программе обеспечения равных возможностей для женщин и мужчин на 2005–2013 годы, были ос</w:t>
      </w:r>
      <w:r w:rsidRPr="00243302">
        <w:t>у</w:t>
      </w:r>
      <w:r w:rsidRPr="00243302">
        <w:t>ществлены различные программы и проекты. В 2010 году для же</w:t>
      </w:r>
      <w:r w:rsidRPr="00243302">
        <w:t>н</w:t>
      </w:r>
      <w:r w:rsidRPr="00243302">
        <w:t xml:space="preserve">щин-предпринимателей было проведено пять пропагандистских мероприятий под названием </w:t>
      </w:r>
      <w:r>
        <w:t>«</w:t>
      </w:r>
      <w:r w:rsidRPr="00243302">
        <w:t>Женщины, давайте начнем свое дело</w:t>
      </w:r>
      <w:r>
        <w:t>»</w:t>
      </w:r>
      <w:r w:rsidRPr="00243302">
        <w:t xml:space="preserve">, которые получили </w:t>
      </w:r>
      <w:r>
        <w:t xml:space="preserve">высокую </w:t>
      </w:r>
      <w:r w:rsidRPr="00243302">
        <w:t>оценку со стороны участников. В мероприятиях приняли участие более 500 с</w:t>
      </w:r>
      <w:r w:rsidRPr="00243302">
        <w:t>о</w:t>
      </w:r>
      <w:r w:rsidRPr="00243302">
        <w:t>стоявшихся и потенциальных предпринимателей из числа женщин. В 2011 году Государственное агентство по предпринимательству и иностранным инвест</w:t>
      </w:r>
      <w:r w:rsidRPr="00243302">
        <w:t>и</w:t>
      </w:r>
      <w:r w:rsidRPr="00243302">
        <w:t xml:space="preserve">циям провело конференцию на тему </w:t>
      </w:r>
      <w:r>
        <w:t>«</w:t>
      </w:r>
      <w:r w:rsidRPr="00243302">
        <w:t xml:space="preserve">Социальное предпринимательство </w:t>
      </w:r>
      <w:r>
        <w:t>=</w:t>
      </w:r>
      <w:r w:rsidRPr="00243302">
        <w:t xml:space="preserve"> г</w:t>
      </w:r>
      <w:r w:rsidRPr="00243302">
        <w:t>у</w:t>
      </w:r>
      <w:r w:rsidRPr="00243302">
        <w:t>манное предпринимательство</w:t>
      </w:r>
      <w:r>
        <w:t>»</w:t>
      </w:r>
      <w:r w:rsidRPr="00243302">
        <w:t>, в рамках которой особое внимание уделялось обучению женщин-предпринимателей передовому опыту. Также велось поо</w:t>
      </w:r>
      <w:r w:rsidRPr="00243302">
        <w:t>щ</w:t>
      </w:r>
      <w:r w:rsidRPr="00243302">
        <w:t>рение предпринимательства с помощью субсидий на цели индивидуальной трудовой деятельности. В 2010 году ими были охвачены 5148 человек, из кот</w:t>
      </w:r>
      <w:r w:rsidRPr="00243302">
        <w:t>о</w:t>
      </w:r>
      <w:r w:rsidRPr="00243302">
        <w:t xml:space="preserve">рых 1989 составляли женщины (38,6 процента); в 2011 году </w:t>
      </w:r>
      <w:r>
        <w:t xml:space="preserve">было </w:t>
      </w:r>
      <w:r w:rsidRPr="00243302">
        <w:t>4502</w:t>
      </w:r>
      <w:r>
        <w:t xml:space="preserve"> таких человека</w:t>
      </w:r>
      <w:r w:rsidRPr="00243302">
        <w:t>, из которых 1832 были женщины (40,7 процента).</w:t>
      </w:r>
    </w:p>
    <w:p w:rsidR="00902CE7" w:rsidRDefault="00902CE7" w:rsidP="00A81DD7">
      <w:pPr>
        <w:pStyle w:val="SingleTxt"/>
      </w:pPr>
      <w:r>
        <w:t>126.</w:t>
      </w:r>
      <w:r>
        <w:tab/>
        <w:t>С целью привлечения внимания к проблеме неравенства между мужчин</w:t>
      </w:r>
      <w:r>
        <w:t>а</w:t>
      </w:r>
      <w:r>
        <w:t>ми и женщинами на рынке труда были организованы различные мероприятия. В 2010 году Управление по вопросам равных возможностей организовало ко</w:t>
      </w:r>
      <w:r>
        <w:t>н</w:t>
      </w:r>
      <w:r>
        <w:t>ференцию под названием «Различия между законодательством и практикой» в сотрудничестве с секцией руководителей-женщин Ассоциации руководителей и Факультетом социологии с целью подчеркнуть роль руководства в разработке политики предотвращения дискриминации; посредством кампании «Вам не обязательно сообщать работодателю, вы можете сказать нам!» Управление по вопросам равных возможностей и Служба занятости Словении призвали л</w:t>
      </w:r>
      <w:r>
        <w:t>ю</w:t>
      </w:r>
      <w:r>
        <w:t>дей, устраивающихся на работу, анонимно сообщать о нарушениях статьи 26 Закона об отношениях в сфере занятости, который запрещает работодателям в ходе собеседования задавать кандидатам на должности вопросы об их семе</w:t>
      </w:r>
      <w:r>
        <w:t>й</w:t>
      </w:r>
      <w:r>
        <w:t>ном положении, числе детей, семейных планах и беременности. С одной ст</w:t>
      </w:r>
      <w:r>
        <w:t>о</w:t>
      </w:r>
      <w:r>
        <w:t>роны, цель этой кампании состояла в том, чтобы предупредить работодателей, что законодательство запрещает такие вопросы, а с другой — повысить ур</w:t>
      </w:r>
      <w:r>
        <w:t>о</w:t>
      </w:r>
      <w:r>
        <w:t>вень осведомленности кандидатов о том, что они не обязаны отвечать на такие в</w:t>
      </w:r>
      <w:r>
        <w:t>о</w:t>
      </w:r>
      <w:r>
        <w:t xml:space="preserve">просы. </w:t>
      </w:r>
    </w:p>
    <w:p w:rsidR="00902CE7" w:rsidRPr="002F428F" w:rsidRDefault="00902CE7" w:rsidP="00A81DD7">
      <w:pPr>
        <w:pStyle w:val="SingleTxt"/>
        <w:spacing w:after="0" w:line="120" w:lineRule="exact"/>
        <w:rPr>
          <w:sz w:val="10"/>
        </w:rPr>
      </w:pPr>
    </w:p>
    <w:p w:rsidR="00902CE7" w:rsidRPr="002F428F" w:rsidRDefault="00902CE7" w:rsidP="00A81DD7">
      <w:pPr>
        <w:pStyle w:val="SingleTxt"/>
        <w:spacing w:after="0" w:line="120" w:lineRule="exact"/>
        <w:rPr>
          <w:sz w:val="10"/>
        </w:rPr>
      </w:pPr>
    </w:p>
    <w:p w:rsidR="00902CE7" w:rsidRDefault="00902CE7" w:rsidP="00A81D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12</w:t>
      </w:r>
      <w:r>
        <w:br/>
        <w:t>Охрана здоровья женщин</w:t>
      </w:r>
    </w:p>
    <w:p w:rsidR="00902CE7" w:rsidRPr="002F428F" w:rsidRDefault="00902CE7" w:rsidP="00A81DD7">
      <w:pPr>
        <w:pStyle w:val="SingleTxt"/>
        <w:spacing w:after="0" w:line="120" w:lineRule="exact"/>
        <w:rPr>
          <w:sz w:val="10"/>
        </w:rPr>
      </w:pPr>
    </w:p>
    <w:p w:rsidR="00902CE7" w:rsidRPr="002F428F" w:rsidRDefault="00902CE7" w:rsidP="00A81DD7">
      <w:pPr>
        <w:pStyle w:val="SingleTxt"/>
        <w:spacing w:after="0" w:line="120" w:lineRule="exact"/>
        <w:rPr>
          <w:sz w:val="10"/>
        </w:rPr>
      </w:pPr>
    </w:p>
    <w:p w:rsidR="00902CE7" w:rsidRDefault="00902CE7" w:rsidP="00A81DD7">
      <w:pPr>
        <w:pStyle w:val="SingleTxt"/>
      </w:pPr>
      <w:r>
        <w:t>127.</w:t>
      </w:r>
      <w:r>
        <w:tab/>
        <w:t>После представления четвертого доклада в Закон об охране здоровья и медицинском страховании были внесены поправки с целью отразить измен</w:t>
      </w:r>
      <w:r>
        <w:t>е</w:t>
      </w:r>
      <w:r>
        <w:t>ния цен на услуги в области диагностики и лечения, связанные с уменьшением плодовитости, искусственным оплодотворением, стерилизацией и абортами в рамках обязательного медицинского страхования. Доля расходов, покрываемых обязательным медицинским страхованием, сократилась до 80 процентов (ст</w:t>
      </w:r>
      <w:r>
        <w:t>а</w:t>
      </w:r>
      <w:r>
        <w:t>тья 23).</w:t>
      </w:r>
    </w:p>
    <w:p w:rsidR="00902CE7" w:rsidRDefault="00902CE7" w:rsidP="00A81DD7">
      <w:pPr>
        <w:pStyle w:val="SingleTxt"/>
      </w:pPr>
      <w:r>
        <w:t>128.</w:t>
      </w:r>
      <w:r>
        <w:tab/>
        <w:t>Несмотря на то, что статья 23 Закона об охране здоровья и медицинском страховании предусматривает, что услуги здравоохранения для женщин, св</w:t>
      </w:r>
      <w:r>
        <w:t>я</w:t>
      </w:r>
      <w:r>
        <w:t>занные с консультациями по планированию семьи, контрацепцией, беременн</w:t>
      </w:r>
      <w:r>
        <w:t>о</w:t>
      </w:r>
      <w:r>
        <w:t>стью и родами, полностью покрываются обязательным медицинским страхов</w:t>
      </w:r>
      <w:r>
        <w:t>а</w:t>
      </w:r>
      <w:r>
        <w:t>нием, принятые в апреле 2013 года правила классификации медицинской пр</w:t>
      </w:r>
      <w:r>
        <w:t>о</w:t>
      </w:r>
      <w:r>
        <w:t>дукции предусматривают, что некоторые методы конрацепции должны оплач</w:t>
      </w:r>
      <w:r>
        <w:t>и</w:t>
      </w:r>
      <w:r>
        <w:t>ваться дополнительно. Вследствие возражений и озабоченности, в первую оч</w:t>
      </w:r>
      <w:r>
        <w:t>е</w:t>
      </w:r>
      <w:r>
        <w:t>редь со стороны женщин и мужчин-гинекологов, эти правила не соблюдаются.</w:t>
      </w:r>
    </w:p>
    <w:p w:rsidR="00902CE7" w:rsidRDefault="00902CE7" w:rsidP="00A81DD7">
      <w:pPr>
        <w:pStyle w:val="SingleTxt"/>
      </w:pPr>
      <w:r>
        <w:t>129.</w:t>
      </w:r>
      <w:r>
        <w:tab/>
        <w:t>Принятая в 2008 году резолюция о Национальном плане здравоохранения на период 2008–2013 годов, озаглавленная «Довольные получатели и поста</w:t>
      </w:r>
      <w:r>
        <w:t>в</w:t>
      </w:r>
      <w:r>
        <w:t>щики медицинских услуг», основана на принципе равноправия мужчин и же</w:t>
      </w:r>
      <w:r>
        <w:t>н</w:t>
      </w:r>
      <w:r>
        <w:t>щин и стремлении предоставить наилучшие возможные услуги здравоохран</w:t>
      </w:r>
      <w:r>
        <w:t>е</w:t>
      </w:r>
      <w:r>
        <w:t>ния каждому; сокращение гендерного неравенства в области здравоохранения является одной из ее задач.</w:t>
      </w:r>
    </w:p>
    <w:p w:rsidR="00902CE7" w:rsidRDefault="00902CE7" w:rsidP="00A81DD7">
      <w:pPr>
        <w:pStyle w:val="SingleTxt"/>
      </w:pPr>
      <w:r>
        <w:t>130.</w:t>
      </w:r>
      <w:r>
        <w:tab/>
        <w:t>В целях эффективной разработки системного подхода и накопления зн</w:t>
      </w:r>
      <w:r>
        <w:t>а</w:t>
      </w:r>
      <w:r>
        <w:t>ний, связанных с постоянным повышением качества медицинского обслужив</w:t>
      </w:r>
      <w:r>
        <w:t>а</w:t>
      </w:r>
      <w:r>
        <w:t>ния и безопасности пациентов, в 2010 году была принята Национальная стр</w:t>
      </w:r>
      <w:r>
        <w:t>а</w:t>
      </w:r>
      <w:r>
        <w:t>тегия обеспечения качественных и безопасных услуг здравоохранения (2010–2015 годы). Эта стратегия, в частности, учитывает принцип р</w:t>
      </w:r>
      <w:r>
        <w:t>а</w:t>
      </w:r>
      <w:r>
        <w:t>венства.</w:t>
      </w:r>
    </w:p>
    <w:p w:rsidR="00902CE7" w:rsidRDefault="00902CE7" w:rsidP="00A81DD7">
      <w:pPr>
        <w:pStyle w:val="SingleTxt"/>
      </w:pPr>
      <w:r>
        <w:t>131.</w:t>
      </w:r>
      <w:r>
        <w:tab/>
        <w:t>В 2010 году была принята Национальная программа борьбы с раковыми заболеваниями в Словении на 2010–2015 годы; она определяет программу м</w:t>
      </w:r>
      <w:r>
        <w:t>е</w:t>
      </w:r>
      <w:r>
        <w:t>роприятий, задачи и меры, необходимые для эффективной борьбы с раком в Словении, и добавляет ряд новых элементов к уже утвержденной деятельности в целях борьбы с раковыми заболеваниями в будущем. Ежегодно в Словении выявляется порядка 11 000 случаев заболевания раком, из которых примерно 5500 случаев приходится на долю мужчин и 5200 на женщин, а также рег</w:t>
      </w:r>
      <w:r>
        <w:t>и</w:t>
      </w:r>
      <w:r>
        <w:t>стрируется более 5000 смертей, вызванных раком, — примерно 2800 мужчин и 2300 женщин. Половина мужчин и 65 процентов женщин живут по крайней мере в течение пяти лет после того, как им был поставлен этот диагноз. С</w:t>
      </w:r>
      <w:r>
        <w:t>о</w:t>
      </w:r>
      <w:r>
        <w:t>кращение смертности от рака молочной железы и шейки матки можно отчасти объяснить воздействием программ онкологических обследований ЗОРА и ДОРА, осуществление которых началось в Словении в 2003 и 2008 годах, соо</w:t>
      </w:r>
      <w:r>
        <w:t>т</w:t>
      </w:r>
      <w:r>
        <w:t>ветственно (более подробную информацию см. в пунктах 135 и 136).</w:t>
      </w:r>
    </w:p>
    <w:p w:rsidR="00902CE7" w:rsidRPr="006F5F8C" w:rsidRDefault="00902CE7" w:rsidP="00A81DD7">
      <w:pPr>
        <w:pStyle w:val="SingleTxt"/>
        <w:spacing w:after="0" w:line="120" w:lineRule="exact"/>
        <w:rPr>
          <w:sz w:val="10"/>
        </w:rPr>
      </w:pPr>
    </w:p>
    <w:p w:rsidR="00902CE7" w:rsidRDefault="00902CE7" w:rsidP="00A81D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Медицинское обслуживание женщин</w:t>
      </w:r>
    </w:p>
    <w:p w:rsidR="00902CE7" w:rsidRPr="006F5F8C" w:rsidRDefault="00902CE7" w:rsidP="00A81DD7">
      <w:pPr>
        <w:pStyle w:val="SingleTxt"/>
        <w:spacing w:after="0" w:line="120" w:lineRule="exact"/>
        <w:rPr>
          <w:sz w:val="10"/>
        </w:rPr>
      </w:pPr>
    </w:p>
    <w:p w:rsidR="00902CE7" w:rsidRDefault="00902CE7" w:rsidP="00A81DD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Репродуктивное здоровье</w:t>
      </w:r>
    </w:p>
    <w:p w:rsidR="00902CE7" w:rsidRPr="006F5F8C" w:rsidRDefault="00902CE7" w:rsidP="00A81DD7">
      <w:pPr>
        <w:pStyle w:val="SingleTxt"/>
        <w:spacing w:after="0" w:line="120" w:lineRule="exact"/>
        <w:rPr>
          <w:sz w:val="10"/>
        </w:rPr>
      </w:pPr>
    </w:p>
    <w:p w:rsidR="00902CE7" w:rsidRDefault="00902CE7" w:rsidP="00A81DD7">
      <w:pPr>
        <w:pStyle w:val="SingleTxt"/>
      </w:pPr>
      <w:r>
        <w:t>132.</w:t>
      </w:r>
      <w:r>
        <w:tab/>
        <w:t>Словения приняла дальнейшие меры, направленные на снижение коэфф</w:t>
      </w:r>
      <w:r>
        <w:t>и</w:t>
      </w:r>
      <w:r>
        <w:t>циента материнской смертности, которые были рекомендованы Комитетом по ликвидации дискриминации в отношении женщин в его заключительных зам</w:t>
      </w:r>
      <w:r>
        <w:t>е</w:t>
      </w:r>
      <w:r>
        <w:t>чаниях по итогам рассмотрения им четвертого периодического доклада Ре</w:t>
      </w:r>
      <w:r>
        <w:t>с</w:t>
      </w:r>
      <w:r>
        <w:t>публики Словения. Как уже было указано в четвертом докладе, в Институте здравоохранения Республики Словения была создана рабочая группа для о</w:t>
      </w:r>
      <w:r>
        <w:t>б</w:t>
      </w:r>
      <w:r>
        <w:t>суждения случаев материнской смертности; она занимается анализом всех т</w:t>
      </w:r>
      <w:r>
        <w:t>а</w:t>
      </w:r>
      <w:r>
        <w:t>ких случаев и дает заключения. На основе этого анализа регулярно составл</w:t>
      </w:r>
      <w:r>
        <w:t>я</w:t>
      </w:r>
      <w:r>
        <w:t>ются доклады, содержащие выводы и рекомендации для принятия в больницах и других учреждениях системы здравоохранения профессиональных мер по охране репродуктивного здоровья и медицинскому обслуживанию. С 2008 года были проведены следующие мероприятия: в 2009 году организовано совещ</w:t>
      </w:r>
      <w:r>
        <w:t>а</w:t>
      </w:r>
      <w:r>
        <w:t>ние экспертов на тему «Психическое здоровье и беременность, роды и раннее отцовство и материнство»; в 2010 году проведены семинары медицинских р</w:t>
      </w:r>
      <w:r>
        <w:t>а</w:t>
      </w:r>
      <w:r>
        <w:t>ботников, специализирующихся в области акушерства и гинекологии; в 2011 году семинары были посвящены беременности женщин с преэклампсией, эклампсией и синдромом HELP, лечению тромбоза и тромбоэмболии в пер</w:t>
      </w:r>
      <w:r>
        <w:t>и</w:t>
      </w:r>
      <w:r>
        <w:t>од беременности и акушерским кровотечениям; в 2009 году было организовано совещание гинекологов и акушеров по вопросам акушерских кровотечений и преэклампсии, а также были изданы инструкции по этим вопросам; в 2013 году был разработан проект стратегии развития акушерства и гинекол</w:t>
      </w:r>
      <w:r>
        <w:t>о</w:t>
      </w:r>
      <w:r>
        <w:t>гии.</w:t>
      </w:r>
    </w:p>
    <w:p w:rsidR="00902CE7" w:rsidRDefault="00902CE7" w:rsidP="00A81DD7">
      <w:pPr>
        <w:pStyle w:val="SingleTxt"/>
      </w:pPr>
      <w:r>
        <w:t>133.</w:t>
      </w:r>
      <w:r>
        <w:tab/>
        <w:t>В период 2005–2009 годов в Словении было зарегистрировано 15 случаев материнской смертности, то есть 15,0 случаев на 100 000 живорождений</w:t>
      </w:r>
      <w:r w:rsidRPr="007E0CCC">
        <w:rPr>
          <w:rStyle w:val="FootnoteReference"/>
        </w:rPr>
        <w:footnoteReference w:id="53"/>
      </w:r>
      <w:r>
        <w:t xml:space="preserve">. </w:t>
      </w:r>
    </w:p>
    <w:p w:rsidR="00902CE7" w:rsidRDefault="00902CE7" w:rsidP="00A81DD7">
      <w:pPr>
        <w:pStyle w:val="SingleTxt"/>
      </w:pPr>
      <w:r>
        <w:t>134.</w:t>
      </w:r>
      <w:r>
        <w:tab/>
        <w:t>В Словении женщинам гарантируется право на всестороннее профила</w:t>
      </w:r>
      <w:r>
        <w:t>к</w:t>
      </w:r>
      <w:r>
        <w:t>тическое медицинское обслуживание в связи с охраной репродуктивного зд</w:t>
      </w:r>
      <w:r>
        <w:t>о</w:t>
      </w:r>
      <w:r>
        <w:t>ровья, беременностью и родами. Предоставляются следующие услуги: обсл</w:t>
      </w:r>
      <w:r>
        <w:t>е</w:t>
      </w:r>
      <w:r>
        <w:t>дования и консультации по вопросам планирования семьи, использования пр</w:t>
      </w:r>
      <w:r>
        <w:t>о</w:t>
      </w:r>
      <w:r>
        <w:t>тивозачаточных средств, профилактики инфекций, передаваемых половым п</w:t>
      </w:r>
      <w:r>
        <w:t>у</w:t>
      </w:r>
      <w:r>
        <w:t>тем, и последующего бесплодия, профилактические осмотры в период бер</w:t>
      </w:r>
      <w:r>
        <w:t>е</w:t>
      </w:r>
      <w:r>
        <w:t>менности — до десяти систематических осмотров, не менее двух ультразвук</w:t>
      </w:r>
      <w:r>
        <w:t>о</w:t>
      </w:r>
      <w:r>
        <w:t>вых обследований, индивидуальное консультирование и лабораторные анализы (тестирование на предмет наличия токсоплазмоза, сифилиса, гепатита В); для беременных женщин в возрасте 35–37 лет осуществляется проверка на си</w:t>
      </w:r>
      <w:r>
        <w:t>н</w:t>
      </w:r>
      <w:r>
        <w:t>дром Дауна, а для беременных женщин в возрасте старше 37 лет проводится амниоцентез; обследования и консультации после родов и возможность добр</w:t>
      </w:r>
      <w:r>
        <w:t>о</w:t>
      </w:r>
      <w:r>
        <w:t>вольного прерывания беременности и внематочной беременности; обследов</w:t>
      </w:r>
      <w:r>
        <w:t>а</w:t>
      </w:r>
      <w:r>
        <w:t>ния и консультации по вопросам менопаузы; профилактический медицинский уход (профилактическое посещение беременных женщин на дому медсестрами и послеродовый уход на дому за матерями и новорожденными); программы ранней диагностики раковых и предраковых изменений шейки матки (пр</w:t>
      </w:r>
      <w:r>
        <w:t>о</w:t>
      </w:r>
      <w:r>
        <w:t>грамма ЗОРА); программа раннего выявления рака груди (пр</w:t>
      </w:r>
      <w:r>
        <w:t>о</w:t>
      </w:r>
      <w:r>
        <w:t xml:space="preserve">грамма ДОРА). </w:t>
      </w:r>
    </w:p>
    <w:p w:rsidR="00902CE7" w:rsidRDefault="00902CE7" w:rsidP="00A81DD7">
      <w:pPr>
        <w:pStyle w:val="SingleTxt"/>
      </w:pPr>
      <w:r>
        <w:t>135.</w:t>
      </w:r>
      <w:r>
        <w:tab/>
        <w:t>Осуществление национальной программы ЗОРА, о которой также соо</w:t>
      </w:r>
      <w:r>
        <w:t>б</w:t>
      </w:r>
      <w:r>
        <w:t>щалось в предыдущем докладе, началось в 2003 году; ее осуществлением з</w:t>
      </w:r>
      <w:r>
        <w:t>а</w:t>
      </w:r>
      <w:r>
        <w:t>нимаются группы по вопросам репродуктивного здоровья и амбулаторные г</w:t>
      </w:r>
      <w:r>
        <w:t>и</w:t>
      </w:r>
      <w:r>
        <w:t>некологи, а вопросами координации, работы центральной информационной с</w:t>
      </w:r>
      <w:r>
        <w:t>и</w:t>
      </w:r>
      <w:r>
        <w:t>стемы и контроля за осуществлением программы занимается Институт онкол</w:t>
      </w:r>
      <w:r>
        <w:t>о</w:t>
      </w:r>
      <w:r>
        <w:t>гии Любляны (столицы страны). За три года с 2009 по 2012 год проверку пр</w:t>
      </w:r>
      <w:r>
        <w:t>о</w:t>
      </w:r>
      <w:r>
        <w:t>шли более 70 процентов всех женщин в возрасте 20–64 лет. Наибольшее число проверок пришлось на женщин в возрасте от 20 до 24 лет: более 80 процентов женщин этой возрастной группы прошли проверку. Наибольшую озабоче</w:t>
      </w:r>
      <w:r>
        <w:t>н</w:t>
      </w:r>
      <w:r>
        <w:t>ность вызывают низкие показатели числа прошедших проверку женщин в во</w:t>
      </w:r>
      <w:r>
        <w:t>з</w:t>
      </w:r>
      <w:r>
        <w:t>расте 50 лет и старше, учитывая тот факт, что доля прошедших проверку же</w:t>
      </w:r>
      <w:r>
        <w:t>н</w:t>
      </w:r>
      <w:r>
        <w:t>щин в этой возрастной группе составляет менее 70 процентов. Лишь пол</w:t>
      </w:r>
      <w:r>
        <w:t>о</w:t>
      </w:r>
      <w:r>
        <w:t>вина женщин в возрасте 60–64 лет прошли проверку. За восемь лет с начала ос</w:t>
      </w:r>
      <w:r>
        <w:t>у</w:t>
      </w:r>
      <w:r>
        <w:t>ществления программы ЗОРА заболеваемость раком шейки матки сократ</w:t>
      </w:r>
      <w:r>
        <w:t>и</w:t>
      </w:r>
      <w:r>
        <w:t>лась более чем на одну треть (с 210 новых пациентов в 2003 году до 138 новых п</w:t>
      </w:r>
      <w:r>
        <w:t>а</w:t>
      </w:r>
      <w:r>
        <w:t>циентов в 2011 году). Качество программы обеспечивается посредством ста</w:t>
      </w:r>
      <w:r>
        <w:t>н</w:t>
      </w:r>
      <w:r>
        <w:t>дартизированных форм, единообразных инструкций, профессиональных рук</w:t>
      </w:r>
      <w:r>
        <w:t>о</w:t>
      </w:r>
      <w:r>
        <w:t>водящих принципов и регулярной подготовки и проверки качества работы сп</w:t>
      </w:r>
      <w:r>
        <w:t>е</w:t>
      </w:r>
      <w:r>
        <w:t>циалистов, участвующих в реализации этой программы. В предстоящие годы мероприятия будут сосредоточены на двух целях: проведение цит</w:t>
      </w:r>
      <w:r>
        <w:t>о</w:t>
      </w:r>
      <w:r>
        <w:t>логического анализа шейки матки 80 процентов женщин в возрасте от 20 до 64 лет раз в три года и сокращение заболеваемости раком шейки матки на 50 процентов по сравнению с уровнем заболеваемости 2002 года (максимум 100 новых случ</w:t>
      </w:r>
      <w:r>
        <w:t>а</w:t>
      </w:r>
      <w:r>
        <w:t>ев)</w:t>
      </w:r>
      <w:r w:rsidRPr="007E0CCC">
        <w:rPr>
          <w:rStyle w:val="FootnoteReference"/>
        </w:rPr>
        <w:footnoteReference w:id="54"/>
      </w:r>
      <w:r>
        <w:t xml:space="preserve">. </w:t>
      </w:r>
    </w:p>
    <w:p w:rsidR="00902CE7" w:rsidRDefault="00902CE7" w:rsidP="00A81DD7">
      <w:pPr>
        <w:pStyle w:val="SingleTxt"/>
      </w:pPr>
      <w:r>
        <w:t>136.</w:t>
      </w:r>
      <w:r>
        <w:tab/>
        <w:t>В 2008 году в Словении началась реализация программы обследования на предмет рака молочной железы ДОРА. Она была впервые внедрена в Це</w:t>
      </w:r>
      <w:r>
        <w:t>н</w:t>
      </w:r>
      <w:r>
        <w:t>тральном регионе Словении и постепенно должна охватить всю территорию государства. Программа призвана выполнять роль централизованной системы с двумя стационарными отделениями диагностических проверок (Любляна и Марибор) и мобильными подразделениями, оснащенными оборудованием для цифровой маммографии. Программа предназначена для женской части насел</w:t>
      </w:r>
      <w:r>
        <w:t>е</w:t>
      </w:r>
      <w:r>
        <w:t>ния в возрасте 50–69 лет; всем женщинам, у которых в ходе проверки мамм</w:t>
      </w:r>
      <w:r>
        <w:t>о</w:t>
      </w:r>
      <w:r>
        <w:t>графии были выявлены изменения, предлагается пройти дополнительное т</w:t>
      </w:r>
      <w:r>
        <w:t>е</w:t>
      </w:r>
      <w:r>
        <w:t>стирование и лечение в случае необходимости. Эта программа направлена на достижение двух целей: охват 80 процентов женщин в возрасте 50–69 лет и с</w:t>
      </w:r>
      <w:r>
        <w:t>о</w:t>
      </w:r>
      <w:r>
        <w:t>кращение на 30 процентов коэффициента смертности от рака молочной ж</w:t>
      </w:r>
      <w:r>
        <w:t>е</w:t>
      </w:r>
      <w:r>
        <w:t>лезы среди учас</w:t>
      </w:r>
      <w:r>
        <w:t>т</w:t>
      </w:r>
      <w:r>
        <w:t>вующего в программе населения</w:t>
      </w:r>
      <w:r w:rsidRPr="007E0CCC">
        <w:rPr>
          <w:rStyle w:val="FootnoteReference"/>
        </w:rPr>
        <w:footnoteReference w:id="55"/>
      </w:r>
      <w:r>
        <w:t xml:space="preserve">. </w:t>
      </w:r>
    </w:p>
    <w:p w:rsidR="00902CE7" w:rsidRDefault="00902CE7" w:rsidP="00A81DD7">
      <w:pPr>
        <w:pStyle w:val="SingleTxt"/>
      </w:pPr>
      <w:r>
        <w:t>137.</w:t>
      </w:r>
      <w:r>
        <w:tab/>
        <w:t>Школа для родителей предназначена для беременных женщин, их партн</w:t>
      </w:r>
      <w:r>
        <w:t>е</w:t>
      </w:r>
      <w:r>
        <w:t>ров и других сопровождающих их лиц и предоставляет обучающие курсы на тему хода беременности, соответствующих физических и психологических и</w:t>
      </w:r>
      <w:r>
        <w:t>з</w:t>
      </w:r>
      <w:r>
        <w:t>менений, проблем и потенциальных настораживающих признаков, здорового образа жизни, правильного питания, гигиены и безопасной физической акти</w:t>
      </w:r>
      <w:r>
        <w:t>в</w:t>
      </w:r>
      <w:r>
        <w:t>ности во время беременности, ухода и питания новорожденного, анатомии и физиологии репродуктивной системы женщин, беременности, важности физ</w:t>
      </w:r>
      <w:r>
        <w:t>и</w:t>
      </w:r>
      <w:r>
        <w:t>ческой активности во время беременности, родов и послеродового периода, превентивной стоматологической помощи беременным женщинам и детям, психологических изменений во время беременности, родов и в послеродовой период, а также умственного развития ребенка. Данные свидетельствуют о том, что среди посетителей курсов школы много мужчин. В 2011 году курсы этой школы посетили 11 993 женщины (56,1 процента) и 9383 мужчины (43,9 пр</w:t>
      </w:r>
      <w:r>
        <w:t>о</w:t>
      </w:r>
      <w:r>
        <w:t>цента), в то время как в 2001 году в числе посетителей было 12 833 женщины (62,0 процента) и 7858 мужчин (38,0 процента)</w:t>
      </w:r>
      <w:r w:rsidRPr="007E0CCC">
        <w:rPr>
          <w:rStyle w:val="FootnoteReference"/>
        </w:rPr>
        <w:footnoteReference w:id="56"/>
      </w:r>
      <w:r>
        <w:t xml:space="preserve">. </w:t>
      </w:r>
    </w:p>
    <w:p w:rsidR="00902CE7" w:rsidRDefault="00902CE7" w:rsidP="00A81DD7">
      <w:pPr>
        <w:pStyle w:val="SingleTxt"/>
      </w:pPr>
      <w:r>
        <w:t>138.</w:t>
      </w:r>
      <w:r>
        <w:tab/>
        <w:t>В Словении охрана репродуктивного здоровья ведется на низовом, сре</w:t>
      </w:r>
      <w:r>
        <w:t>д</w:t>
      </w:r>
      <w:r>
        <w:t>нем и высшем уровнях. На низовом уровне (местные медицинские центры) группа в составе гинеколога, квалифицированной акушерки и медсестры или санитара оказывает женщинам комплексные услуги по охране репродуктивного здоровья (женские клиники). Таким образом, женщинам в Словении обеспеч</w:t>
      </w:r>
      <w:r>
        <w:t>и</w:t>
      </w:r>
      <w:r>
        <w:t>вается уход со стороны специалистов в области гинекологии уже на низовом уровне. В 2011 году на одного врача на низовом уровне приходилось 6797 женщин; это означает, что с учетом установленных критериев 95,6 пр</w:t>
      </w:r>
      <w:r>
        <w:t>о</w:t>
      </w:r>
      <w:r>
        <w:t>цента женщин имели доступ к услугам врача. По сравнению с 2005 годом наблюдалось увеличение числа женщин-врачей. В 2011 году в рамках пред</w:t>
      </w:r>
      <w:r>
        <w:t>о</w:t>
      </w:r>
      <w:r>
        <w:t>ставления основных услуг по охране репродуктивного здоровья было зарег</w:t>
      </w:r>
      <w:r>
        <w:t>и</w:t>
      </w:r>
      <w:r>
        <w:t>стрировано 671 600 посещений в профилактических и лечебных целях, что на 12,2 процента ниже п</w:t>
      </w:r>
      <w:r>
        <w:t>о</w:t>
      </w:r>
      <w:r>
        <w:t>казателя, зарегистрированного в 2005 году</w:t>
      </w:r>
      <w:r w:rsidRPr="007E0CCC">
        <w:rPr>
          <w:rStyle w:val="FootnoteReference"/>
        </w:rPr>
        <w:footnoteReference w:id="57"/>
      </w:r>
      <w:r>
        <w:t xml:space="preserve">. </w:t>
      </w:r>
    </w:p>
    <w:p w:rsidR="00902CE7" w:rsidRDefault="00902CE7" w:rsidP="00A81DD7">
      <w:pPr>
        <w:pStyle w:val="SingleTxt"/>
      </w:pPr>
      <w:r>
        <w:t>139.</w:t>
      </w:r>
      <w:r>
        <w:tab/>
        <w:t>Надлежащий доступ к гинекологам на низовом уровне также означает, что женщины всех возрастных групп имеют надлежащий доступ к услугам в обл</w:t>
      </w:r>
      <w:r>
        <w:t>а</w:t>
      </w:r>
      <w:r>
        <w:t>сти контрацепции. В 2011 году 80 343 женщины пользовались гормональной контрацепцией, а 7676 женщин установили ВМС. По сравнению с 2005 годом уменьшилось число женщин, пользовавшихся средствами гормональной ко</w:t>
      </w:r>
      <w:r>
        <w:t>н</w:t>
      </w:r>
      <w:r>
        <w:t>трацепции (89 923 в 2005 году), но больше женщин установили ВМС (4917 в 2005 году)</w:t>
      </w:r>
      <w:r w:rsidRPr="007E0CCC">
        <w:rPr>
          <w:rStyle w:val="FootnoteReference"/>
        </w:rPr>
        <w:footnoteReference w:id="58"/>
      </w:r>
      <w:r>
        <w:t xml:space="preserve">. </w:t>
      </w:r>
    </w:p>
    <w:p w:rsidR="00902CE7" w:rsidRPr="002F428F" w:rsidRDefault="00902CE7" w:rsidP="00A81DD7">
      <w:pPr>
        <w:pStyle w:val="SingleTxt"/>
      </w:pPr>
      <w:r>
        <w:t>140.</w:t>
      </w:r>
      <w:r>
        <w:tab/>
        <w:t>Показатель легальных абортов в Словении снижается. Он сократился с 15,2 на 1000 человек в 2001 году до 9 на 1000 человек в 2011 году. Сокращение этого показателя было зарегистрировано во всех возрастных группах. В 2011 году наименьшее число разрешенных абортов (восемь) было зарегистр</w:t>
      </w:r>
      <w:r>
        <w:t>и</w:t>
      </w:r>
      <w:r>
        <w:t>ровано среди женщин в возрастной группе 15–19 лет, а самый высокий показ</w:t>
      </w:r>
      <w:r>
        <w:t>а</w:t>
      </w:r>
      <w:r>
        <w:t>тель (1081) был зарегистрирован среди женщин в возрасте 30–34 лет</w:t>
      </w:r>
      <w:r w:rsidRPr="007E0CCC">
        <w:rPr>
          <w:rStyle w:val="FootnoteReference"/>
        </w:rPr>
        <w:footnoteReference w:id="59"/>
      </w:r>
      <w:r>
        <w:t>. Пол</w:t>
      </w:r>
      <w:r>
        <w:t>о</w:t>
      </w:r>
      <w:r>
        <w:t>вое воспитание (по вопросам сексуального поведения и деторождения) в начальных и средних школах и информационно-просветительские мероприятия игр</w:t>
      </w:r>
      <w:r>
        <w:t>а</w:t>
      </w:r>
      <w:r>
        <w:t>ют важную роль в сокращении числа легальных абортов среди подростков и материнства в раннем возрасте. В 2009 году Институт здравоохранения в</w:t>
      </w:r>
      <w:r>
        <w:t>ы</w:t>
      </w:r>
      <w:r>
        <w:t>пустил брошюру под названием «В защиту здорового и безопасного секса» с целью защиты и поощрения охраны репродуктивного здоровья молодежи; она была распространена среди учащихся третьих классов средней школы. По сл</w:t>
      </w:r>
      <w:r>
        <w:t>у</w:t>
      </w:r>
      <w:r>
        <w:t>чаю Всемирного дня контрацепции в 2011 году все учащиеся первого класса средних школ получили брошюру «Все о средствах контрацепции», где были описаны все имеющиеся методы контрацепции; в 2012 учащиеся средних школ подписывали предоставляемое им заявление о безопасном сексе.</w:t>
      </w:r>
    </w:p>
    <w:p w:rsidR="00902CE7" w:rsidRPr="00A82BD7" w:rsidRDefault="00902CE7" w:rsidP="00A82BD7">
      <w:pPr>
        <w:pStyle w:val="SingleTxt"/>
        <w:spacing w:after="0" w:line="120" w:lineRule="exact"/>
        <w:rPr>
          <w:sz w:val="10"/>
        </w:rPr>
      </w:pPr>
    </w:p>
    <w:p w:rsidR="00A82BD7" w:rsidRDefault="00A82BD7" w:rsidP="008D20B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E26BE">
        <w:t>Заболеваемость и смертность среди женщин</w:t>
      </w:r>
    </w:p>
    <w:p w:rsidR="00A82BD7" w:rsidRPr="002E26BE" w:rsidRDefault="00A82BD7" w:rsidP="008D20B4">
      <w:pPr>
        <w:pStyle w:val="SingleTxt"/>
        <w:spacing w:after="0" w:line="120" w:lineRule="exact"/>
        <w:rPr>
          <w:sz w:val="10"/>
          <w:lang w:val="en-US"/>
        </w:rPr>
      </w:pPr>
    </w:p>
    <w:p w:rsidR="00A82BD7" w:rsidRPr="002E26BE" w:rsidRDefault="00A82BD7" w:rsidP="008D20B4">
      <w:pPr>
        <w:pStyle w:val="SingleTxt"/>
      </w:pPr>
      <w:bookmarkStart w:id="145" w:name="OLE_LINK382"/>
      <w:bookmarkStart w:id="146" w:name="OLE_LINK383"/>
      <w:bookmarkStart w:id="147" w:name="OLE_LINK384"/>
      <w:bookmarkStart w:id="148" w:name="OLE_LINK385"/>
      <w:bookmarkStart w:id="149" w:name="OLE_LINK386"/>
      <w:bookmarkStart w:id="150" w:name="OLE_LINK387"/>
      <w:bookmarkStart w:id="151" w:name="OLE_LINK388"/>
      <w:bookmarkStart w:id="152" w:name="OLE_LINK393"/>
      <w:bookmarkStart w:id="153" w:name="OLE_LINK394"/>
      <w:bookmarkStart w:id="154" w:name="OLE_LINK389"/>
      <w:bookmarkStart w:id="155" w:name="OLE_LINK390"/>
      <w:bookmarkStart w:id="156" w:name="OLE_LINK391"/>
      <w:bookmarkStart w:id="157" w:name="OLE_LINK392"/>
      <w:bookmarkStart w:id="158" w:name="OLE_LINK397"/>
      <w:bookmarkStart w:id="159" w:name="OLE_LINK398"/>
      <w:bookmarkStart w:id="160" w:name="OLE_LINK395"/>
      <w:bookmarkStart w:id="161" w:name="OLE_LINK396"/>
      <w:bookmarkStart w:id="162" w:name="OLE_LINK399"/>
      <w:bookmarkStart w:id="163" w:name="OLE_LINK400"/>
      <w:r w:rsidRPr="002E26BE">
        <w:t>141.</w:t>
      </w:r>
      <w:r w:rsidRPr="002E26BE">
        <w:tab/>
        <w:t>Уровни заболеваемости и смертности среди населения являются важными показателями здоровья. В Словении женщины страдают от заболеваний, т</w:t>
      </w:r>
      <w:r w:rsidRPr="002E26BE">
        <w:t>и</w:t>
      </w:r>
      <w:r w:rsidRPr="002E26BE">
        <w:t>пичных для обоих полов, а также могут испытывать проблемы с репродукти</w:t>
      </w:r>
      <w:r w:rsidRPr="002E26BE">
        <w:t>в</w:t>
      </w:r>
      <w:r w:rsidRPr="002E26BE">
        <w:t>ным здоровьем и сталкиваться с соответствующими заболеваниями. В 2012 г</w:t>
      </w:r>
      <w:r w:rsidRPr="002E26BE">
        <w:t>о</w:t>
      </w:r>
      <w:r w:rsidRPr="002E26BE">
        <w:t>ду средняя продолжительность жизни женщин, родившихся в Словении, с</w:t>
      </w:r>
      <w:r w:rsidRPr="002E26BE">
        <w:t>о</w:t>
      </w:r>
      <w:r w:rsidRPr="002E26BE">
        <w:t>ставляла 82,9 года, что на 5,8 лет выше, чем среди мужчин. Хотя мужчины умирают раньше, согласно большинству исследований, женщины болеют чаще мужчин и проводят более значительную часть своей жизни в состоянии боле</w:t>
      </w:r>
      <w:r w:rsidRPr="002E26BE">
        <w:t>з</w:t>
      </w:r>
      <w:r w:rsidRPr="002E26BE">
        <w:t xml:space="preserve">ни. Период времени, которые словенские женщины проводят в </w:t>
      </w:r>
      <w:r>
        <w:t>болезненном состоянии</w:t>
      </w:r>
      <w:r w:rsidRPr="002E26BE">
        <w:t>, может достигать 21</w:t>
      </w:r>
      <w:r>
        <w:t> </w:t>
      </w:r>
      <w:r w:rsidRPr="002E26BE">
        <w:t>года, т.е. равняться одной четверти всей их жизни</w:t>
      </w:r>
      <w:r w:rsidRPr="007E0CCC">
        <w:rPr>
          <w:rStyle w:val="FootnoteReference"/>
        </w:rPr>
        <w:footnoteReference w:id="60"/>
      </w:r>
      <w:r w:rsidRPr="002E26BE">
        <w:t>.</w:t>
      </w:r>
    </w:p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p w:rsidR="00A82BD7" w:rsidRPr="002E26BE" w:rsidRDefault="00A82BD7" w:rsidP="008D20B4">
      <w:pPr>
        <w:pStyle w:val="SingleTxt"/>
      </w:pPr>
      <w:r w:rsidRPr="002E26BE">
        <w:t>142.</w:t>
      </w:r>
      <w:r w:rsidRPr="002E26BE">
        <w:tab/>
        <w:t>Одна треть женщин в возрасте 20</w:t>
      </w:r>
      <w:r>
        <w:t>–</w:t>
      </w:r>
      <w:r w:rsidRPr="002E26BE">
        <w:t>64</w:t>
      </w:r>
      <w:r>
        <w:t> </w:t>
      </w:r>
      <w:r w:rsidRPr="002E26BE">
        <w:t xml:space="preserve">лет страдает от продолжительных болезней или испытывает постоянные проблемы со здоровьем, </w:t>
      </w:r>
      <w:r>
        <w:t xml:space="preserve">и </w:t>
      </w:r>
      <w:r w:rsidRPr="002E26BE">
        <w:t>примерно 7</w:t>
      </w:r>
      <w:r>
        <w:t> </w:t>
      </w:r>
      <w:r w:rsidRPr="002E26BE">
        <w:t>процентов женщин в этом возрасте оценивают свое общее состояние здор</w:t>
      </w:r>
      <w:r w:rsidRPr="002E26BE">
        <w:t>о</w:t>
      </w:r>
      <w:r w:rsidRPr="002E26BE">
        <w:t>вья как плохое или очень плохое. Они обращаются к врачу чаще мужчин, гла</w:t>
      </w:r>
      <w:r w:rsidRPr="002E26BE">
        <w:t>в</w:t>
      </w:r>
      <w:r w:rsidRPr="002E26BE">
        <w:t>ным образом в связи с острыми респираторными инфекциями и инфекциями мочевыводящих путей и гинекологическими и костно-мышечными заболеван</w:t>
      </w:r>
      <w:r w:rsidRPr="002E26BE">
        <w:t>и</w:t>
      </w:r>
      <w:r w:rsidRPr="002E26BE">
        <w:t>ями; женщины более молодого возраста обращаются к врачу из-за травм, а женщины в возрасте старше 50 лет</w:t>
      </w:r>
      <w:r>
        <w:t xml:space="preserve"> — </w:t>
      </w:r>
      <w:r w:rsidRPr="002E26BE">
        <w:t>в связи с сердечно-сосудистыми забол</w:t>
      </w:r>
      <w:r w:rsidRPr="002E26BE">
        <w:t>е</w:t>
      </w:r>
      <w:r w:rsidRPr="002E26BE">
        <w:t>ваниями, в основном высоким кровяным давлением. Кроме того, часто пров</w:t>
      </w:r>
      <w:r w:rsidRPr="002E26BE">
        <w:t>о</w:t>
      </w:r>
      <w:r w:rsidRPr="002E26BE">
        <w:t>дятся профилактические осмотры, в основном обследования на рак шейки ма</w:t>
      </w:r>
      <w:r w:rsidRPr="002E26BE">
        <w:t>т</w:t>
      </w:r>
      <w:r w:rsidRPr="002E26BE">
        <w:t>ки, консультации по вопросам контрацепции и обследования в период бер</w:t>
      </w:r>
      <w:r w:rsidRPr="002E26BE">
        <w:t>е</w:t>
      </w:r>
      <w:r w:rsidRPr="002E26BE">
        <w:t>менности. Костно-мышечные заболевания, травмы, острые респираторные и</w:t>
      </w:r>
      <w:r w:rsidRPr="002E26BE">
        <w:t>н</w:t>
      </w:r>
      <w:r w:rsidRPr="002E26BE">
        <w:t>фекции и психические расстройства являются наиболее распространенными причинами отсутствия на работе; женщины более молодого возраста берут больничные весьма часто и на длительный срок во время беременности, а та</w:t>
      </w:r>
      <w:r w:rsidRPr="002E26BE">
        <w:t>к</w:t>
      </w:r>
      <w:r w:rsidRPr="002E26BE">
        <w:t>же часто</w:t>
      </w:r>
      <w:r>
        <w:t xml:space="preserve"> — </w:t>
      </w:r>
      <w:r w:rsidRPr="002E26BE">
        <w:t>для ухода за членом семьи</w:t>
      </w:r>
      <w:r w:rsidRPr="007E0CCC">
        <w:rPr>
          <w:rStyle w:val="FootnoteReference"/>
        </w:rPr>
        <w:footnoteReference w:id="61"/>
      </w:r>
      <w:r w:rsidRPr="002E26BE">
        <w:t>. Женщины в возрасте 20</w:t>
      </w:r>
      <w:r>
        <w:t>–</w:t>
      </w:r>
      <w:r w:rsidRPr="002E26BE">
        <w:t>64 лет пр</w:t>
      </w:r>
      <w:r w:rsidRPr="002E26BE">
        <w:t>о</w:t>
      </w:r>
      <w:r w:rsidRPr="002E26BE">
        <w:t xml:space="preserve">ходят лечение в стационаре чаще, чем мужчины; </w:t>
      </w:r>
      <w:r>
        <w:t xml:space="preserve">эти различия могут </w:t>
      </w:r>
      <w:r w:rsidRPr="002E26BE">
        <w:t>быть об</w:t>
      </w:r>
      <w:r w:rsidRPr="002E26BE">
        <w:t>у</w:t>
      </w:r>
      <w:r w:rsidRPr="002E26BE">
        <w:t>словлен</w:t>
      </w:r>
      <w:r>
        <w:t>ы</w:t>
      </w:r>
      <w:r w:rsidRPr="002E26BE">
        <w:t xml:space="preserve"> репродуктивной ролью молоды</w:t>
      </w:r>
      <w:r>
        <w:t xml:space="preserve">х </w:t>
      </w:r>
      <w:r w:rsidRPr="002E26BE">
        <w:t>женщин. Основные причины госп</w:t>
      </w:r>
      <w:r w:rsidRPr="002E26BE">
        <w:t>и</w:t>
      </w:r>
      <w:r w:rsidRPr="002E26BE">
        <w:t>тализации женщин в возрасте до 40 лет включают беременность, роды и н</w:t>
      </w:r>
      <w:r w:rsidRPr="002E26BE">
        <w:t>е</w:t>
      </w:r>
      <w:r w:rsidRPr="002E26BE">
        <w:t>воспалительные женские заболевания, которые также являются наиболее ра</w:t>
      </w:r>
      <w:r w:rsidRPr="002E26BE">
        <w:t>с</w:t>
      </w:r>
      <w:r w:rsidRPr="002E26BE">
        <w:t>пространенными заболеваниями среди женщин в возрасте до 60</w:t>
      </w:r>
      <w:r>
        <w:t> </w:t>
      </w:r>
      <w:r w:rsidRPr="002E26BE">
        <w:t>лет. К числу основных причин госпитализации также относятся доброкачественные и зл</w:t>
      </w:r>
      <w:r w:rsidRPr="002E26BE">
        <w:t>о</w:t>
      </w:r>
      <w:r w:rsidRPr="002E26BE">
        <w:t>качественные новообразования, желудочно-кишечные расстройства (в первую очередь болезни желчного пузыря), травмы и сердечно-сосудистые и костно-мышечные забол</w:t>
      </w:r>
      <w:r w:rsidRPr="002E26BE">
        <w:t>е</w:t>
      </w:r>
      <w:r w:rsidRPr="002E26BE">
        <w:t>вания</w:t>
      </w:r>
      <w:r w:rsidRPr="007E0CCC">
        <w:rPr>
          <w:rStyle w:val="FootnoteReference"/>
        </w:rPr>
        <w:footnoteReference w:id="62"/>
      </w:r>
      <w:r w:rsidRPr="002E26BE">
        <w:t>.</w:t>
      </w:r>
    </w:p>
    <w:p w:rsidR="00A82BD7" w:rsidRPr="002E26BE" w:rsidRDefault="00A82BD7" w:rsidP="008D20B4">
      <w:pPr>
        <w:pStyle w:val="SingleTxt"/>
      </w:pPr>
      <w:r w:rsidRPr="002E26BE">
        <w:t>143.</w:t>
      </w:r>
      <w:r w:rsidRPr="002E26BE">
        <w:tab/>
        <w:t>В 2009 году рак был диагностирован у 12 226 человек: 6602 мужчин и 5624</w:t>
      </w:r>
      <w:r>
        <w:t> </w:t>
      </w:r>
      <w:r w:rsidRPr="002E26BE">
        <w:t>женщин; в том же году скончалось 5787 больных: 3260 мужчин и 2527</w:t>
      </w:r>
      <w:r>
        <w:t> </w:t>
      </w:r>
      <w:r w:rsidRPr="002E26BE">
        <w:t>женщин. По данным Реестра раковых заболеваний Словении за 2009 год, чаще всего у женщин диагностируется рак молочной железы, регистрируемый в каждом пятом случае всех раковых заболеваний (20,1 процента), а также н</w:t>
      </w:r>
      <w:r w:rsidRPr="002E26BE">
        <w:t>е</w:t>
      </w:r>
      <w:r w:rsidRPr="002E26BE">
        <w:t>меланомный рак кожи, рак толстой и прямой кишки и рак легких. У мужчин чаще всего диагностируется рак предстательной железы (практически в 20</w:t>
      </w:r>
      <w:r>
        <w:t> </w:t>
      </w:r>
      <w:r w:rsidRPr="002E26BE">
        <w:t>процентах всех случаев рака), а также рак толстой и прямой кишки, немел</w:t>
      </w:r>
      <w:r w:rsidRPr="002E26BE">
        <w:t>а</w:t>
      </w:r>
      <w:r w:rsidRPr="002E26BE">
        <w:t xml:space="preserve">номный рак кожи и рак легких. Распространенность каждого вида рака </w:t>
      </w:r>
      <w:r>
        <w:t xml:space="preserve">зависит </w:t>
      </w:r>
      <w:r w:rsidRPr="002E26BE">
        <w:t>от возраста. Рак крайне редко встречается у детей и подростков в возрасте до 20</w:t>
      </w:r>
      <w:r>
        <w:t> </w:t>
      </w:r>
      <w:r w:rsidRPr="002E26BE">
        <w:t>лет; в период 2005</w:t>
      </w:r>
      <w:r>
        <w:t>–</w:t>
      </w:r>
      <w:r w:rsidRPr="002E26BE">
        <w:t>2009 годов в среднем в год рак диагностировался у 34</w:t>
      </w:r>
      <w:r>
        <w:t> </w:t>
      </w:r>
      <w:r w:rsidRPr="002E26BE">
        <w:t>мальчиков и 31 девочки. У мальчиков чаще всего диагностируется лейкемия (24,0</w:t>
      </w:r>
      <w:r>
        <w:t> </w:t>
      </w:r>
      <w:r w:rsidRPr="002E26BE">
        <w:t>процента), опухоли центральной и вегетативной нервной системы (18,7</w:t>
      </w:r>
      <w:r>
        <w:t> </w:t>
      </w:r>
      <w:r w:rsidRPr="002E26BE">
        <w:t>процента) и лимфогранулематоз (11,7 процента); у девочек чаще диагн</w:t>
      </w:r>
      <w:r w:rsidRPr="002E26BE">
        <w:t>о</w:t>
      </w:r>
      <w:r w:rsidRPr="002E26BE">
        <w:t>стируются лейкемия (30,1 процента) и опухоли центральной и вегетативной нервной с</w:t>
      </w:r>
      <w:r w:rsidRPr="002E26BE">
        <w:t>и</w:t>
      </w:r>
      <w:r w:rsidRPr="002E26BE">
        <w:t>стемы (16,3 процента), а также рак кости (8,5 процента). В среднем в год рак диагностировался у 129 молодых мужчин (в возрасте от 20 до 34 лет); почти у половины из них был диагностирован рак яичек (42,4 процента), в остальных случаях</w:t>
      </w:r>
      <w:r>
        <w:t xml:space="preserve"> — </w:t>
      </w:r>
      <w:r w:rsidRPr="002E26BE">
        <w:t>меланома (9,6 процента), немеланомный рак кожи (7,1</w:t>
      </w:r>
      <w:r>
        <w:t> </w:t>
      </w:r>
      <w:r w:rsidRPr="002E26BE">
        <w:t>процента) и опухоли центральной и вегетативной нервной системы (6,1</w:t>
      </w:r>
      <w:r>
        <w:t> </w:t>
      </w:r>
      <w:r w:rsidRPr="002E26BE">
        <w:t>процента). Среди молодых женщин (в среднем 152 новых случая в год) чаще всего диагностир</w:t>
      </w:r>
      <w:r w:rsidRPr="002E26BE">
        <w:t>о</w:t>
      </w:r>
      <w:r w:rsidRPr="002E26BE">
        <w:t>вался рак молочной железы (15,2 процента), меланома (14,9 процента) и рак шейки матки (14,8 процента). Тенденция роста заболев</w:t>
      </w:r>
      <w:r w:rsidRPr="002E26BE">
        <w:t>а</w:t>
      </w:r>
      <w:r w:rsidRPr="002E26BE">
        <w:t>емости раком молочной железы в 1990-е годы в последние годы стабилизир</w:t>
      </w:r>
      <w:r w:rsidRPr="002E26BE">
        <w:t>о</w:t>
      </w:r>
      <w:r w:rsidRPr="002E26BE">
        <w:t>валась. Ухудшились показатели заболеваемости раком легких и раком матки, в то время как уровень заболеваемости раком шейки матки стал медленно сн</w:t>
      </w:r>
      <w:r w:rsidRPr="002E26BE">
        <w:t>и</w:t>
      </w:r>
      <w:r w:rsidRPr="002E26BE">
        <w:t>жаться с 2003 года. Среди женщин и мужчин повысились показатели заболев</w:t>
      </w:r>
      <w:r w:rsidRPr="002E26BE">
        <w:t>а</w:t>
      </w:r>
      <w:r w:rsidRPr="002E26BE">
        <w:t>емости раком толстой и прямой кишки, злокачественной меланомой и другими видами рака кожи, в то время как число случаев заболева</w:t>
      </w:r>
      <w:r>
        <w:t xml:space="preserve">ния </w:t>
      </w:r>
      <w:r w:rsidRPr="002E26BE">
        <w:t>раком желудка среди женщин и му</w:t>
      </w:r>
      <w:r w:rsidRPr="002E26BE">
        <w:t>ж</w:t>
      </w:r>
      <w:r w:rsidRPr="002E26BE">
        <w:t>чин продолжает медленно снижаться</w:t>
      </w:r>
      <w:r w:rsidRPr="007E0CCC">
        <w:rPr>
          <w:rStyle w:val="FootnoteReference"/>
        </w:rPr>
        <w:footnoteReference w:id="63"/>
      </w:r>
      <w:r w:rsidRPr="002E26BE">
        <w:t>.</w:t>
      </w:r>
    </w:p>
    <w:p w:rsidR="00A82BD7" w:rsidRPr="002E26BE" w:rsidRDefault="00A82BD7" w:rsidP="008D20B4">
      <w:pPr>
        <w:pStyle w:val="SingleTxt"/>
      </w:pPr>
      <w:r w:rsidRPr="002E26BE">
        <w:t>144.</w:t>
      </w:r>
      <w:r w:rsidRPr="002E26BE">
        <w:tab/>
        <w:t>Продолжительность жизни и здоровье в значительной степени зависят от социально-экономических условий жизни населения. Такие факторы, как ур</w:t>
      </w:r>
      <w:r w:rsidRPr="002E26BE">
        <w:t>о</w:t>
      </w:r>
      <w:r w:rsidRPr="002E26BE">
        <w:t>вень образования, занятость, уровень доходов, социальное обеспечение и с</w:t>
      </w:r>
      <w:r w:rsidRPr="002E26BE">
        <w:t>о</w:t>
      </w:r>
      <w:r w:rsidRPr="002E26BE">
        <w:t>циальная интеграция, влияют на образ жизни людей, факторы риска, пользов</w:t>
      </w:r>
      <w:r w:rsidRPr="002E26BE">
        <w:t>а</w:t>
      </w:r>
      <w:r w:rsidRPr="002E26BE">
        <w:t>ние медицинскими и другими услугами и, следовательно, на уровни заболев</w:t>
      </w:r>
      <w:r w:rsidRPr="002E26BE">
        <w:t>а</w:t>
      </w:r>
      <w:r w:rsidRPr="002E26BE">
        <w:t xml:space="preserve">емости и смертности и продолжительность жизни. В 2011 году Министерство здравоохранения издало публикацию </w:t>
      </w:r>
      <w:r>
        <w:t>«</w:t>
      </w:r>
      <w:r w:rsidRPr="002E26BE">
        <w:t>Неравенство в сфере здравоохранения в Словении</w:t>
      </w:r>
      <w:r>
        <w:t>»</w:t>
      </w:r>
      <w:r w:rsidRPr="002E26BE">
        <w:t>, в которой информация о состоянии здоровья населения Словении приводится в контексте социально-экономических факторов; этот документ призван содействовать разработке политики, направленной на сокращение н</w:t>
      </w:r>
      <w:r w:rsidRPr="002E26BE">
        <w:t>е</w:t>
      </w:r>
      <w:r w:rsidRPr="002E26BE">
        <w:t>равенства</w:t>
      </w:r>
      <w:r w:rsidRPr="007E0CCC">
        <w:rPr>
          <w:rStyle w:val="FootnoteReference"/>
        </w:rPr>
        <w:footnoteReference w:id="64"/>
      </w:r>
      <w:r w:rsidRPr="002E26BE">
        <w:t>.</w:t>
      </w:r>
    </w:p>
    <w:p w:rsidR="00A82BD7" w:rsidRPr="002E26BE" w:rsidRDefault="00A82BD7" w:rsidP="008D20B4">
      <w:pPr>
        <w:pStyle w:val="SingleTxt"/>
      </w:pPr>
      <w:r w:rsidRPr="002E26BE">
        <w:t>145.</w:t>
      </w:r>
      <w:r w:rsidRPr="002E26BE">
        <w:tab/>
        <w:t>В июне 2013 года Институт здравоохранения Республики Словени</w:t>
      </w:r>
      <w:r>
        <w:t>я</w:t>
      </w:r>
      <w:r w:rsidRPr="002E26BE">
        <w:t xml:space="preserve"> и Ф</w:t>
      </w:r>
      <w:r w:rsidRPr="002E26BE">
        <w:t>а</w:t>
      </w:r>
      <w:r w:rsidRPr="002E26BE">
        <w:t xml:space="preserve">культет </w:t>
      </w:r>
      <w:r>
        <w:t xml:space="preserve">общественных </w:t>
      </w:r>
      <w:r w:rsidRPr="002E26BE">
        <w:t>наук Люблянского университета провели в сотруднич</w:t>
      </w:r>
      <w:r w:rsidRPr="002E26BE">
        <w:t>е</w:t>
      </w:r>
      <w:r w:rsidRPr="002E26BE">
        <w:t xml:space="preserve">стве со Всемирной организацией здравоохранения конференцию </w:t>
      </w:r>
      <w:r>
        <w:t>«</w:t>
      </w:r>
      <w:r w:rsidRPr="002E26BE">
        <w:t>Социальные аспекты неравенства женщин в сфере здравоохранения</w:t>
      </w:r>
      <w:r>
        <w:t>»</w:t>
      </w:r>
      <w:r w:rsidRPr="002E26BE">
        <w:t>. На основе выводов, представленных в ходе этой научной консультации, были разработаны предл</w:t>
      </w:r>
      <w:r w:rsidRPr="002E26BE">
        <w:t>о</w:t>
      </w:r>
      <w:r w:rsidRPr="002E26BE">
        <w:t>жения, направленные на уменьшение неравенства, включая необходимость с</w:t>
      </w:r>
      <w:r w:rsidRPr="002E26BE">
        <w:t>и</w:t>
      </w:r>
      <w:r w:rsidRPr="002E26BE">
        <w:t>стематического мониторинга неравенства в сфере здрав</w:t>
      </w:r>
      <w:r w:rsidRPr="002E26BE">
        <w:t>о</w:t>
      </w:r>
      <w:r w:rsidRPr="002E26BE">
        <w:t>охранения в будущем и требование учета при разработке новых мер политики в области здравоохр</w:t>
      </w:r>
      <w:r w:rsidRPr="002E26BE">
        <w:t>а</w:t>
      </w:r>
      <w:r w:rsidRPr="002E26BE">
        <w:t>нения их потенциального воздействия на увеличение неравенства женщин в области здравоохранения</w:t>
      </w:r>
      <w:r w:rsidRPr="007E0CCC">
        <w:rPr>
          <w:rStyle w:val="FootnoteReference"/>
        </w:rPr>
        <w:footnoteReference w:id="65"/>
      </w:r>
      <w:r w:rsidRPr="002E26BE">
        <w:t>.</w:t>
      </w:r>
    </w:p>
    <w:p w:rsidR="00A82BD7" w:rsidRDefault="00A82BD7" w:rsidP="008D20B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E26BE">
        <w:t>Психическое здоровье женщин</w:t>
      </w:r>
    </w:p>
    <w:p w:rsidR="00A82BD7" w:rsidRPr="002E26BE" w:rsidRDefault="00A82BD7" w:rsidP="008D20B4">
      <w:pPr>
        <w:pStyle w:val="SingleTxt"/>
        <w:spacing w:after="0" w:line="120" w:lineRule="exact"/>
        <w:rPr>
          <w:sz w:val="10"/>
        </w:rPr>
      </w:pPr>
    </w:p>
    <w:p w:rsidR="00A82BD7" w:rsidRPr="002E26BE" w:rsidRDefault="00A82BD7" w:rsidP="008D20B4">
      <w:pPr>
        <w:pStyle w:val="SingleTxt"/>
      </w:pPr>
      <w:r w:rsidRPr="002E26BE">
        <w:t>146.</w:t>
      </w:r>
      <w:r w:rsidRPr="002E26BE">
        <w:tab/>
        <w:t>Психические расстройства представляют собой значительную проблему. По сравнению с мужчинами женщины чаще испытывают депрессии и трево</w:t>
      </w:r>
      <w:r w:rsidRPr="002E26BE">
        <w:t>ж</w:t>
      </w:r>
      <w:r w:rsidRPr="002E26BE">
        <w:t>ные неврозы, а также специфические расстройства, такие как проблемы с пс</w:t>
      </w:r>
      <w:r w:rsidRPr="002E26BE">
        <w:t>и</w:t>
      </w:r>
      <w:r w:rsidRPr="002E26BE">
        <w:t xml:space="preserve">хическим здоровьем до и после родов. </w:t>
      </w:r>
      <w:r>
        <w:t xml:space="preserve">Самым </w:t>
      </w:r>
      <w:r w:rsidRPr="002E26BE">
        <w:t>распространенным психическим расстройством среди женщин является депрессия. По данным за 2007</w:t>
      </w:r>
      <w:r>
        <w:t> </w:t>
      </w:r>
      <w:r w:rsidRPr="002E26BE">
        <w:t>год</w:t>
      </w:r>
      <w:r>
        <w:t>,</w:t>
      </w:r>
      <w:r w:rsidRPr="002E26BE">
        <w:t xml:space="preserve"> 4,6</w:t>
      </w:r>
      <w:r>
        <w:t> </w:t>
      </w:r>
      <w:r w:rsidRPr="002E26BE">
        <w:t>процента словенских женщин в возрасте 20</w:t>
      </w:r>
      <w:r>
        <w:t>–</w:t>
      </w:r>
      <w:r w:rsidRPr="002E26BE">
        <w:t>65</w:t>
      </w:r>
      <w:r>
        <w:t> </w:t>
      </w:r>
      <w:r w:rsidRPr="002E26BE">
        <w:t xml:space="preserve">лет испытывали депрессию по крайней мере один раз в течение своей жизни. Учитывая, что </w:t>
      </w:r>
      <w:r>
        <w:t xml:space="preserve">эта </w:t>
      </w:r>
      <w:r w:rsidRPr="002E26BE">
        <w:t>болезнь зачастую не выявляется, эти данные, вероятно, являются заниженными. По оценкам, в Европе этот показатель среди женщин составляет 17</w:t>
      </w:r>
      <w:r>
        <w:t> </w:t>
      </w:r>
      <w:r w:rsidRPr="002E26BE">
        <w:t>процентов. Е</w:t>
      </w:r>
      <w:r w:rsidRPr="002E26BE">
        <w:t>с</w:t>
      </w:r>
      <w:r w:rsidRPr="002E26BE">
        <w:t xml:space="preserve">ли депрессию не лечить, она нередко приводит к суицидальному поведению. Количество попыток самоубийства выше среди женщин, чем среди мужчин, а </w:t>
      </w:r>
      <w:r>
        <w:t xml:space="preserve">частотность </w:t>
      </w:r>
      <w:r w:rsidRPr="002E26BE">
        <w:t>факт</w:t>
      </w:r>
      <w:r w:rsidRPr="002E26BE">
        <w:t>и</w:t>
      </w:r>
      <w:r w:rsidRPr="002E26BE">
        <w:t>ческих самоубийств, наоборот, выше среди мужчин.</w:t>
      </w:r>
    </w:p>
    <w:p w:rsidR="00A82BD7" w:rsidRDefault="00A82BD7" w:rsidP="008D20B4">
      <w:pPr>
        <w:pStyle w:val="SingleTxt"/>
      </w:pPr>
      <w:r w:rsidRPr="002E26BE">
        <w:t>147.</w:t>
      </w:r>
      <w:r w:rsidRPr="002E26BE">
        <w:tab/>
        <w:t xml:space="preserve">В 2012 году в Словении было зарегистрировано 443 случая самоубийства; из общего числа случаев самоубийств 80, </w:t>
      </w:r>
      <w:r>
        <w:t xml:space="preserve">то есть </w:t>
      </w:r>
      <w:r w:rsidRPr="002E26BE">
        <w:t>18,1 процента, были сове</w:t>
      </w:r>
      <w:r w:rsidRPr="002E26BE">
        <w:t>р</w:t>
      </w:r>
      <w:r w:rsidRPr="002E26BE">
        <w:t>шены женщинами. Коэффициент самоубийств (количество смертей в результ</w:t>
      </w:r>
      <w:r w:rsidRPr="002E26BE">
        <w:t>а</w:t>
      </w:r>
      <w:r w:rsidRPr="002E26BE">
        <w:t xml:space="preserve">те самоубийства на 100 000 человек) составлял 21,54. </w:t>
      </w:r>
      <w:r>
        <w:t xml:space="preserve">За последнее </w:t>
      </w:r>
      <w:r w:rsidRPr="002E26BE">
        <w:t>десятил</w:t>
      </w:r>
      <w:r w:rsidRPr="002E26BE">
        <w:t>е</w:t>
      </w:r>
      <w:r w:rsidRPr="002E26BE">
        <w:t>ти</w:t>
      </w:r>
      <w:r>
        <w:t>е</w:t>
      </w:r>
      <w:r w:rsidRPr="002E26BE">
        <w:t xml:space="preserve"> коэффициент самоубийств снизился с 30 до 20 случаев на 100 000</w:t>
      </w:r>
      <w:r>
        <w:t> </w:t>
      </w:r>
      <w:r w:rsidRPr="002E26BE">
        <w:t>ч</w:t>
      </w:r>
      <w:r w:rsidRPr="002E26BE">
        <w:t>е</w:t>
      </w:r>
      <w:r w:rsidRPr="002E26BE">
        <w:t>ловек. Причины этого сокращения могут объясняться многочисленными профилакт</w:t>
      </w:r>
      <w:r w:rsidRPr="002E26BE">
        <w:t>и</w:t>
      </w:r>
      <w:r w:rsidRPr="002E26BE">
        <w:t>ческими мероприятиями и тесным сотрудничеством между всеми ключевыми заинтересованными сторонами.</w:t>
      </w:r>
    </w:p>
    <w:p w:rsidR="00A82BD7" w:rsidRPr="002E26BE" w:rsidRDefault="00A82BD7" w:rsidP="008D20B4">
      <w:pPr>
        <w:pStyle w:val="SingleTxt"/>
        <w:spacing w:after="0" w:line="120" w:lineRule="exact"/>
        <w:rPr>
          <w:sz w:val="10"/>
        </w:rPr>
      </w:pPr>
    </w:p>
    <w:p w:rsidR="00A82BD7" w:rsidRDefault="00A82BD7" w:rsidP="008D20B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E26BE">
        <w:t>Заболевания, передаваемые половым путем, СПИД и ВИЧ</w:t>
      </w:r>
    </w:p>
    <w:p w:rsidR="00A82BD7" w:rsidRPr="002E26BE" w:rsidRDefault="00A82BD7" w:rsidP="008D20B4">
      <w:pPr>
        <w:pStyle w:val="SingleTxt"/>
        <w:spacing w:after="0" w:line="120" w:lineRule="exact"/>
        <w:rPr>
          <w:sz w:val="10"/>
        </w:rPr>
      </w:pPr>
    </w:p>
    <w:p w:rsidR="00A82BD7" w:rsidRPr="002E26BE" w:rsidRDefault="00A82BD7" w:rsidP="008D20B4">
      <w:pPr>
        <w:pStyle w:val="SingleTxt"/>
      </w:pPr>
      <w:r w:rsidRPr="002E26BE">
        <w:t>148.</w:t>
      </w:r>
      <w:r w:rsidRPr="002E26BE">
        <w:tab/>
        <w:t>Наиболее распространенными в Словении инфекциями, передаваемыми половым путем, являются хламидиоз, гонорея, неспецифический уретрит, г</w:t>
      </w:r>
      <w:r w:rsidRPr="002E26BE">
        <w:t>е</w:t>
      </w:r>
      <w:r w:rsidRPr="002E26BE">
        <w:t>нитальный герпес и остроконечные кондиломы; встречаются также случаи с</w:t>
      </w:r>
      <w:r w:rsidRPr="002E26BE">
        <w:t>и</w:t>
      </w:r>
      <w:r w:rsidRPr="002E26BE">
        <w:t>филиса. В 2011</w:t>
      </w:r>
      <w:r>
        <w:t> </w:t>
      </w:r>
      <w:r w:rsidRPr="002E26BE">
        <w:t>году случаи инфицирования чаще регистрировались среди мужчин, чем среди женщин, за исключением сифилиса</w:t>
      </w:r>
      <w:r w:rsidRPr="007E0CCC">
        <w:rPr>
          <w:rStyle w:val="FootnoteReference"/>
        </w:rPr>
        <w:footnoteReference w:id="66"/>
      </w:r>
      <w:r w:rsidRPr="002E26BE">
        <w:t>.</w:t>
      </w:r>
    </w:p>
    <w:p w:rsidR="00A82BD7" w:rsidRDefault="00A82BD7" w:rsidP="008D20B4">
      <w:pPr>
        <w:pStyle w:val="SingleTxt"/>
      </w:pPr>
      <w:r w:rsidRPr="002E26BE">
        <w:t>149.</w:t>
      </w:r>
      <w:r w:rsidRPr="002E26BE">
        <w:tab/>
        <w:t>Как уже упоминалось в предыдущем докладе, все жители Словении могут сдать бесплатный анализ на ВИЧ, который в равной степени доступен женщ</w:t>
      </w:r>
      <w:r w:rsidRPr="002E26BE">
        <w:t>и</w:t>
      </w:r>
      <w:r w:rsidRPr="002E26BE">
        <w:t xml:space="preserve">нам и мужчинам. В 2011 в Словении году было зарегистрировано </w:t>
      </w:r>
      <w:r>
        <w:t>55 </w:t>
      </w:r>
      <w:r w:rsidRPr="002E26BE">
        <w:t>случаев заражения ВИЧ: 7 среди женщин и 48 среди мужчин (включая одного мальч</w:t>
      </w:r>
      <w:r w:rsidRPr="002E26BE">
        <w:t>и</w:t>
      </w:r>
      <w:r w:rsidRPr="002E26BE">
        <w:t>ка); у 12 мужчин и 3 женщин развился СПИД</w:t>
      </w:r>
      <w:r w:rsidRPr="007E0CCC">
        <w:rPr>
          <w:vertAlign w:val="superscript"/>
        </w:rPr>
        <w:footnoteReference w:id="67"/>
      </w:r>
      <w:r w:rsidRPr="002E26BE">
        <w:t>.</w:t>
      </w:r>
    </w:p>
    <w:p w:rsidR="00A82BD7" w:rsidRPr="00A82BD7" w:rsidRDefault="00A82BD7" w:rsidP="00A82BD7">
      <w:pPr>
        <w:pStyle w:val="SingleTxt"/>
        <w:spacing w:after="0" w:line="120" w:lineRule="exact"/>
        <w:rPr>
          <w:sz w:val="10"/>
        </w:rPr>
      </w:pPr>
    </w:p>
    <w:p w:rsidR="00A82BD7" w:rsidRPr="002E26BE" w:rsidRDefault="00A82BD7" w:rsidP="008D20B4">
      <w:pPr>
        <w:pStyle w:val="SingleTxt"/>
        <w:spacing w:after="0" w:line="120" w:lineRule="exact"/>
        <w:rPr>
          <w:sz w:val="10"/>
        </w:rPr>
      </w:pPr>
    </w:p>
    <w:p w:rsidR="00A82BD7" w:rsidRDefault="00A82BD7" w:rsidP="00A82B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E26BE">
        <w:t>Статья 13</w:t>
      </w:r>
      <w:r>
        <w:br/>
      </w:r>
      <w:r w:rsidRPr="002E26BE">
        <w:t>Прочие области социально-экономической жизни</w:t>
      </w:r>
    </w:p>
    <w:p w:rsidR="00A82BD7" w:rsidRPr="00A82BD7" w:rsidRDefault="00A82BD7" w:rsidP="00A82BD7">
      <w:pPr>
        <w:pStyle w:val="SingleTxt"/>
        <w:spacing w:after="0" w:line="120" w:lineRule="exact"/>
        <w:rPr>
          <w:sz w:val="10"/>
        </w:rPr>
      </w:pPr>
    </w:p>
    <w:p w:rsidR="00A82BD7" w:rsidRPr="002E26BE" w:rsidRDefault="00A82BD7" w:rsidP="008D20B4">
      <w:pPr>
        <w:pStyle w:val="SingleTxt"/>
        <w:spacing w:after="0" w:line="120" w:lineRule="exact"/>
        <w:rPr>
          <w:sz w:val="10"/>
        </w:rPr>
      </w:pPr>
    </w:p>
    <w:p w:rsidR="00A82BD7" w:rsidRPr="002E26BE" w:rsidRDefault="00A82BD7" w:rsidP="008D20B4">
      <w:pPr>
        <w:pStyle w:val="SingleTxt"/>
      </w:pPr>
      <w:r w:rsidRPr="002E26BE">
        <w:t>150.</w:t>
      </w:r>
      <w:r w:rsidRPr="002E26BE">
        <w:tab/>
        <w:t>С 1 января 2012 года вступили в силу два закона: Закон об осуществлении прав на получение государственных средств и Закон о финансовой социальной помощи. Эти два закона отразились на законодательстве, регулирующем предоставление социальной помощи, семейных пособий и субсидий, и внесли существенные изменения в систему прав, гарантируемых государственными фондами. В рамках усилий Словении по укреплению государственных фина</w:t>
      </w:r>
      <w:r w:rsidRPr="002E26BE">
        <w:t>н</w:t>
      </w:r>
      <w:r w:rsidRPr="002E26BE">
        <w:t>сов было принято два дополнительных закона, в которых более подробно ра</w:t>
      </w:r>
      <w:r w:rsidRPr="002E26BE">
        <w:t>с</w:t>
      </w:r>
      <w:r w:rsidRPr="002E26BE">
        <w:t xml:space="preserve">сматривался вопрос о правах на получение государственных средств. Закон о дополнительных мерах вмешательства вступил в силу 1 января 2012 года, т.е. в тот же день, что и новое социальное законодательство. Закон о </w:t>
      </w:r>
      <w:r>
        <w:t>сбалансирова</w:t>
      </w:r>
      <w:r>
        <w:t>н</w:t>
      </w:r>
      <w:r>
        <w:t xml:space="preserve">ности </w:t>
      </w:r>
      <w:r w:rsidRPr="002E26BE">
        <w:t>бюджет</w:t>
      </w:r>
      <w:r>
        <w:t>а</w:t>
      </w:r>
      <w:r w:rsidRPr="002E26BE">
        <w:t xml:space="preserve"> вступил в силу 31 мая 2012 года.</w:t>
      </w:r>
    </w:p>
    <w:p w:rsidR="00A82BD7" w:rsidRPr="002E26BE" w:rsidRDefault="00A82BD7" w:rsidP="008D20B4">
      <w:pPr>
        <w:pStyle w:val="SingleTxt"/>
      </w:pPr>
      <w:r w:rsidRPr="002E26BE">
        <w:t>151.</w:t>
      </w:r>
      <w:r w:rsidRPr="002E26BE">
        <w:tab/>
        <w:t>В Законе об осуществлении прав на получение государственных средств предусматривалось создание центрального реестра социальных выплат, уст</w:t>
      </w:r>
      <w:r w:rsidRPr="002E26BE">
        <w:t>а</w:t>
      </w:r>
      <w:r w:rsidRPr="002E26BE">
        <w:t>новление взаимосвязи между информационными системами, создание единой структуры принятия решений (центр социальной работы) и объединение эл</w:t>
      </w:r>
      <w:r w:rsidRPr="002E26BE">
        <w:t>е</w:t>
      </w:r>
      <w:r w:rsidRPr="002E26BE">
        <w:t>ментов, влияющих на принятие решений относительно социальных прав; в нем также менялись квалификационные критерии в отношении некоторых соц</w:t>
      </w:r>
      <w:r w:rsidRPr="002E26BE">
        <w:t>и</w:t>
      </w:r>
      <w:r w:rsidRPr="002E26BE">
        <w:t xml:space="preserve">альных прав. </w:t>
      </w:r>
    </w:p>
    <w:p w:rsidR="00A82BD7" w:rsidRPr="002E26BE" w:rsidRDefault="00A82BD7" w:rsidP="008D20B4">
      <w:pPr>
        <w:pStyle w:val="SingleTxt"/>
      </w:pPr>
      <w:r w:rsidRPr="002E26BE">
        <w:t>152.</w:t>
      </w:r>
      <w:r w:rsidRPr="002E26BE">
        <w:tab/>
        <w:t>В соответствии с новым социальным законодательством детские пособия стали частью единой системы осуществления прав на получение государстве</w:t>
      </w:r>
      <w:r w:rsidRPr="002E26BE">
        <w:t>н</w:t>
      </w:r>
      <w:r w:rsidRPr="002E26BE">
        <w:t>ных средств. Родитель или ребенок в возрасте до 18 лет независимо от его ст</w:t>
      </w:r>
      <w:r w:rsidRPr="002E26BE">
        <w:t>а</w:t>
      </w:r>
      <w:r w:rsidRPr="002E26BE">
        <w:t>туса имеет право на получение детского пособия. В соответствии с ранее де</w:t>
      </w:r>
      <w:r w:rsidRPr="002E26BE">
        <w:t>й</w:t>
      </w:r>
      <w:r w:rsidRPr="002E26BE">
        <w:t>ствовавшим законодательством родитель или ребенок имел право на детское пособие по достижении 18-летнего возраста, если он имел статус ученика или студента, но только до 26 лет. В исключительных случаях родитель или реб</w:t>
      </w:r>
      <w:r w:rsidRPr="002E26BE">
        <w:t>е</w:t>
      </w:r>
      <w:r w:rsidRPr="002E26BE">
        <w:t>нок имел право на детское пособие после 26 лет, если он продолжал учиться или не получил образование до 26 лет вследствие затянувшейся болезни, тра</w:t>
      </w:r>
      <w:r w:rsidRPr="002E26BE">
        <w:t>в</w:t>
      </w:r>
      <w:r w:rsidRPr="002E26BE">
        <w:t>мы или прохождения военной службы. В этих случаях он имел право на де</w:t>
      </w:r>
      <w:r w:rsidRPr="002E26BE">
        <w:t>т</w:t>
      </w:r>
      <w:r w:rsidRPr="002E26BE">
        <w:t>ское пособие</w:t>
      </w:r>
      <w:r>
        <w:t xml:space="preserve"> — это право продлевалось </w:t>
      </w:r>
      <w:r w:rsidRPr="002E26BE">
        <w:t>по вышеуказанным причинам вплоть до получения образования. Если сравнивать с ранее действовавшим законод</w:t>
      </w:r>
      <w:r w:rsidRPr="002E26BE">
        <w:t>а</w:t>
      </w:r>
      <w:r w:rsidRPr="002E26BE">
        <w:t>тельством (о котором сообщалось в предыдущих докладах), то были внесены  изменения в шкалу доходов, применяющуюся для расчета детских пособий</w:t>
      </w:r>
      <w:r>
        <w:t>;</w:t>
      </w:r>
      <w:r w:rsidRPr="002E26BE">
        <w:t xml:space="preserve"> в частности</w:t>
      </w:r>
      <w:r>
        <w:t>,</w:t>
      </w:r>
      <w:r w:rsidRPr="002E26BE">
        <w:t xml:space="preserve"> был повышен уровень доходов в категориях, предусматривающих право на получение такого пособия, и был увеличен размер детского пособия на учащихся средних школ. Согласно имеющимся данным, в декабре 2011 года право на детское пособие имели 296</w:t>
      </w:r>
      <w:r>
        <w:t> </w:t>
      </w:r>
      <w:r w:rsidRPr="002E26BE">
        <w:t>077</w:t>
      </w:r>
      <w:r>
        <w:t> </w:t>
      </w:r>
      <w:r w:rsidRPr="002E26BE">
        <w:t>несовершеннолетних, а в ноябре 2012</w:t>
      </w:r>
      <w:r>
        <w:t> </w:t>
      </w:r>
      <w:r w:rsidRPr="002E26BE">
        <w:t>года</w:t>
      </w:r>
      <w:r>
        <w:t xml:space="preserve"> — </w:t>
      </w:r>
      <w:r w:rsidRPr="002E26BE">
        <w:t>267 872</w:t>
      </w:r>
      <w:r>
        <w:t> ребенка</w:t>
      </w:r>
      <w:r w:rsidRPr="002E26BE">
        <w:t xml:space="preserve">. Уменьшение числа получателей пособия может быть обусловлено, в частности, действием Закона о </w:t>
      </w:r>
      <w:r>
        <w:t xml:space="preserve">сбалансированности </w:t>
      </w:r>
      <w:r w:rsidRPr="002E26BE">
        <w:t>бю</w:t>
      </w:r>
      <w:r w:rsidRPr="002E26BE">
        <w:t>д</w:t>
      </w:r>
      <w:r w:rsidRPr="002E26BE">
        <w:t>жет</w:t>
      </w:r>
      <w:r>
        <w:t>а</w:t>
      </w:r>
      <w:r w:rsidRPr="002E26BE">
        <w:t>, в соответствии с которым детские пособия не предоставляются гражд</w:t>
      </w:r>
      <w:r w:rsidRPr="002E26BE">
        <w:t>а</w:t>
      </w:r>
      <w:r w:rsidRPr="002E26BE">
        <w:t>нам, чьи уровни доходов подпадают под седьмую и восьмую категорию дох</w:t>
      </w:r>
      <w:r w:rsidRPr="002E26BE">
        <w:t>о</w:t>
      </w:r>
      <w:r w:rsidRPr="002E26BE">
        <w:t>дов</w:t>
      </w:r>
      <w:smartTag w:uri="urn:schemas-microsoft-com:office:smarttags" w:element="metricconverter">
        <w:smartTagPr>
          <w:attr w:name="ProductID" w:val="267,872 in"/>
        </w:smartTagPr>
      </w:smartTag>
      <w:r w:rsidRPr="007E0CCC">
        <w:rPr>
          <w:vertAlign w:val="superscript"/>
        </w:rPr>
        <w:footnoteReference w:id="68"/>
      </w:r>
      <w:r w:rsidRPr="002E26BE">
        <w:t>.</w:t>
      </w:r>
    </w:p>
    <w:p w:rsidR="00A82BD7" w:rsidRPr="002E26BE" w:rsidRDefault="00A82BD7" w:rsidP="008D20B4">
      <w:pPr>
        <w:pStyle w:val="SingleTxt"/>
      </w:pPr>
      <w:r w:rsidRPr="002E26BE">
        <w:t>153.</w:t>
      </w:r>
      <w:r w:rsidRPr="002E26BE">
        <w:tab/>
        <w:t>В настоящее время право на финансовую социальную помощь регулир</w:t>
      </w:r>
      <w:r w:rsidRPr="002E26BE">
        <w:t>у</w:t>
      </w:r>
      <w:r w:rsidRPr="002E26BE">
        <w:t>ется Законом о финансовой социальной помощи (ранее</w:t>
      </w:r>
      <w:r>
        <w:t xml:space="preserve"> — </w:t>
      </w:r>
      <w:r w:rsidRPr="002E26BE">
        <w:t>Законом о социал</w:t>
      </w:r>
      <w:r w:rsidRPr="002E26BE">
        <w:t>ь</w:t>
      </w:r>
      <w:r w:rsidRPr="002E26BE">
        <w:t xml:space="preserve">ном обеспечении) и Законом о </w:t>
      </w:r>
      <w:r>
        <w:t xml:space="preserve">сбалансированности </w:t>
      </w:r>
      <w:r w:rsidRPr="002E26BE">
        <w:t>бюджет</w:t>
      </w:r>
      <w:r>
        <w:t>а</w:t>
      </w:r>
      <w:r w:rsidRPr="002E26BE">
        <w:t>. Одним из ключ</w:t>
      </w:r>
      <w:r w:rsidRPr="002E26BE">
        <w:t>е</w:t>
      </w:r>
      <w:r w:rsidRPr="002E26BE">
        <w:t xml:space="preserve">вых новых элементов предоставления социальной помощи является проверка </w:t>
      </w:r>
      <w:r>
        <w:t>материального положения</w:t>
      </w:r>
      <w:r w:rsidRPr="002E26BE">
        <w:t>. Согласно данным о выделенной финансовой соц</w:t>
      </w:r>
      <w:r w:rsidRPr="002E26BE">
        <w:t>и</w:t>
      </w:r>
      <w:r w:rsidRPr="002E26BE">
        <w:t xml:space="preserve">альной помощи, за последние </w:t>
      </w:r>
      <w:r>
        <w:t>10 </w:t>
      </w:r>
      <w:r w:rsidRPr="002E26BE">
        <w:t xml:space="preserve">лет заявления на ее получение подали </w:t>
      </w:r>
      <w:r>
        <w:t xml:space="preserve">чуть более </w:t>
      </w:r>
      <w:r w:rsidRPr="002E26BE">
        <w:t>50</w:t>
      </w:r>
      <w:r>
        <w:t> </w:t>
      </w:r>
      <w:r w:rsidRPr="002E26BE">
        <w:t>000</w:t>
      </w:r>
      <w:r>
        <w:t> </w:t>
      </w:r>
      <w:r w:rsidRPr="002E26BE">
        <w:t>человек. В июне 2011 года финансовая социальная помощь была выделена 51</w:t>
      </w:r>
      <w:r>
        <w:t> </w:t>
      </w:r>
      <w:r w:rsidRPr="002E26BE">
        <w:t>591</w:t>
      </w:r>
      <w:r>
        <w:t> человеку</w:t>
      </w:r>
      <w:r w:rsidRPr="002E26BE">
        <w:t>, из которых 49,43 процента</w:t>
      </w:r>
      <w:r>
        <w:t xml:space="preserve"> — </w:t>
      </w:r>
      <w:r w:rsidRPr="002E26BE">
        <w:t>женщ</w:t>
      </w:r>
      <w:r w:rsidRPr="002E26BE">
        <w:t>и</w:t>
      </w:r>
      <w:r w:rsidRPr="002E26BE">
        <w:t>ны</w:t>
      </w:r>
      <w:r w:rsidRPr="007E0CCC">
        <w:rPr>
          <w:rStyle w:val="FootnoteReference"/>
        </w:rPr>
        <w:footnoteReference w:id="69"/>
      </w:r>
      <w:r w:rsidRPr="002E26BE">
        <w:t>.</w:t>
      </w:r>
    </w:p>
    <w:p w:rsidR="00A82BD7" w:rsidRPr="002E26BE" w:rsidRDefault="00A82BD7" w:rsidP="008D20B4">
      <w:pPr>
        <w:pStyle w:val="SingleTxt"/>
      </w:pPr>
      <w:bookmarkStart w:id="166" w:name="OLE_LINK506"/>
      <w:bookmarkStart w:id="167" w:name="OLE_LINK507"/>
      <w:r w:rsidRPr="002E26BE">
        <w:t>154.</w:t>
      </w:r>
      <w:r w:rsidRPr="002E26BE">
        <w:tab/>
        <w:t>В 2011 году доля лиц, находящихся на грани бедности</w:t>
      </w:r>
      <w:r w:rsidRPr="007E0CCC">
        <w:rPr>
          <w:rStyle w:val="FootnoteReference"/>
        </w:rPr>
        <w:footnoteReference w:id="70"/>
      </w:r>
      <w:r w:rsidRPr="002E26BE">
        <w:t>, рассчитанная на основе уровня доходов наличными и натурой, составляла 13,3 процента (11,9</w:t>
      </w:r>
      <w:r>
        <w:t> </w:t>
      </w:r>
      <w:r w:rsidRPr="002E26BE">
        <w:t xml:space="preserve">процента среди мужчин и 14,6 процента среди женщин). Это означает, что в Словении на грани бедности </w:t>
      </w:r>
      <w:r>
        <w:t xml:space="preserve">жили </w:t>
      </w:r>
      <w:r w:rsidRPr="002E26BE">
        <w:t>примерно 271</w:t>
      </w:r>
      <w:r>
        <w:t> </w:t>
      </w:r>
      <w:r w:rsidRPr="002E26BE">
        <w:t>000</w:t>
      </w:r>
      <w:r>
        <w:t> </w:t>
      </w:r>
      <w:r w:rsidRPr="002E26BE">
        <w:t>человек. Согласно статистическим данным о доле лиц, живущих на грани бедности, среди ра</w:t>
      </w:r>
      <w:r w:rsidRPr="002E26BE">
        <w:t>з</w:t>
      </w:r>
      <w:r w:rsidRPr="002E26BE">
        <w:t>личных социально-экономических категорий населения и домашних х</w:t>
      </w:r>
      <w:r w:rsidRPr="002E26BE">
        <w:t>о</w:t>
      </w:r>
      <w:r w:rsidRPr="002E26BE">
        <w:t>зяйств в наихудшем положении находятся люди, живущие в безработных домохозя</w:t>
      </w:r>
      <w:r w:rsidRPr="002E26BE">
        <w:t>й</w:t>
      </w:r>
      <w:r w:rsidRPr="002E26BE">
        <w:t>ствах (36,6 процента людей, живущих за чертой бедности), в особенности с детьми-иждивенцами (70,1 процента). Если проводить анализ по типам д</w:t>
      </w:r>
      <w:r w:rsidRPr="002E26BE">
        <w:t>о</w:t>
      </w:r>
      <w:r w:rsidRPr="002E26BE">
        <w:t xml:space="preserve">машнего хозяйства, то в </w:t>
      </w:r>
      <w:r>
        <w:t xml:space="preserve">самом </w:t>
      </w:r>
      <w:r w:rsidRPr="002E26BE">
        <w:t>неблагоприятном положении находятся дома</w:t>
      </w:r>
      <w:r w:rsidRPr="002E26BE">
        <w:t>ш</w:t>
      </w:r>
      <w:r w:rsidRPr="002E26BE">
        <w:t>ние хозяйства, состоящие из одного человека (39,9 процента): доля лиц, нах</w:t>
      </w:r>
      <w:r w:rsidRPr="002E26BE">
        <w:t>о</w:t>
      </w:r>
      <w:r w:rsidRPr="002E26BE">
        <w:t>дящихся на грани бедности, в категории домашних хозяйств из одного челов</w:t>
      </w:r>
      <w:r w:rsidRPr="002E26BE">
        <w:t>е</w:t>
      </w:r>
      <w:r w:rsidRPr="002E26BE">
        <w:t>ка составляет 42,4 процента среди женщин и 36,4 процента среди мужчин. По сравнению с 2008 годом доля домашних хозяйств из одного человека, наход</w:t>
      </w:r>
      <w:r w:rsidRPr="002E26BE">
        <w:t>я</w:t>
      </w:r>
      <w:r w:rsidRPr="002E26BE">
        <w:t>щихся на грани бедности, незначительно сократилась (на 4,4 процентных пункта</w:t>
      </w:r>
      <w:r>
        <w:t xml:space="preserve"> — </w:t>
      </w:r>
      <w:r w:rsidRPr="002E26BE">
        <w:t>на 1,4 процентных пункта среди женщин и на 8,4 процента среди мужчин). Превышают средний показатель процентной доли лиц, живущих на грани бедности, по Словении семьи из одного родителя и по меньшей мере о</w:t>
      </w:r>
      <w:r w:rsidRPr="002E26BE">
        <w:t>д</w:t>
      </w:r>
      <w:r w:rsidRPr="002E26BE">
        <w:t>ного ребенка-иждивенца (30,7 процента), большинство из которых</w:t>
      </w:r>
      <w:r>
        <w:t xml:space="preserve"> — </w:t>
      </w:r>
      <w:r w:rsidRPr="002E26BE">
        <w:t>семьи с матерью</w:t>
      </w:r>
      <w:r>
        <w:t>-одиночкой</w:t>
      </w:r>
      <w:r w:rsidRPr="002E26BE">
        <w:t>. Также высокой является доля лиц, находящихся на грани бедности, среди безработных (43,8 процента среди женщин и 44,8 процента среди мужчин) и людей, снимающих жилье (31,8 процента среди женщин и 27,6</w:t>
      </w:r>
      <w:r>
        <w:t> </w:t>
      </w:r>
      <w:r w:rsidRPr="002E26BE">
        <w:t>процента среди мужчин). В период 2008</w:t>
      </w:r>
      <w:r>
        <w:t>–</w:t>
      </w:r>
      <w:r w:rsidRPr="002E26BE">
        <w:t>2011 годов доля лиц, находящи</w:t>
      </w:r>
      <w:r w:rsidRPr="002E26BE">
        <w:t>х</w:t>
      </w:r>
      <w:r w:rsidRPr="002E26BE">
        <w:t>ся на грани бедности, увеличилась во всех этих группах</w:t>
      </w:r>
      <w:r w:rsidRPr="007E0CCC">
        <w:rPr>
          <w:rStyle w:val="FootnoteReference"/>
        </w:rPr>
        <w:footnoteReference w:id="71"/>
      </w:r>
      <w:r w:rsidRPr="002E26BE">
        <w:rPr>
          <w:rStyle w:val="FootnoteReference"/>
        </w:rPr>
        <w:t>.</w:t>
      </w:r>
    </w:p>
    <w:bookmarkEnd w:id="166"/>
    <w:bookmarkEnd w:id="167"/>
    <w:p w:rsidR="00A82BD7" w:rsidRDefault="00A82BD7" w:rsidP="008D20B4">
      <w:pPr>
        <w:pStyle w:val="SingleTxt"/>
      </w:pPr>
      <w:r w:rsidRPr="002E26BE">
        <w:t>155.</w:t>
      </w:r>
      <w:r w:rsidRPr="002E26BE">
        <w:tab/>
        <w:t>Одна десятая часть взрослого населения Словении регулярно занимается физической активностью высокой интенсивности, а одна пятая</w:t>
      </w:r>
      <w:r>
        <w:t xml:space="preserve"> — </w:t>
      </w:r>
      <w:r w:rsidRPr="002E26BE">
        <w:t>физич</w:t>
      </w:r>
      <w:r w:rsidRPr="002E26BE">
        <w:t>е</w:t>
      </w:r>
      <w:r w:rsidRPr="002E26BE">
        <w:t>ской активностью умеренной интенсивности; в обеих группах количество мужчин превышает количество женщин (EHIS, 2007</w:t>
      </w:r>
      <w:r>
        <w:t> </w:t>
      </w:r>
      <w:r w:rsidRPr="002E26BE">
        <w:t>год). Как правило, физическая а</w:t>
      </w:r>
      <w:r w:rsidRPr="002E26BE">
        <w:t>к</w:t>
      </w:r>
      <w:r w:rsidRPr="002E26BE">
        <w:t>тивность повышается с уровнем образования. Большинство людей, не заним</w:t>
      </w:r>
      <w:r w:rsidRPr="002E26BE">
        <w:t>а</w:t>
      </w:r>
      <w:r w:rsidRPr="002E26BE">
        <w:t>ющихся никакой физической активностью (15 процентов), относится к группе населения с наиболее низким уровнем образования, в то время как в группе населения с высшим образованием лишь 5</w:t>
      </w:r>
      <w:r>
        <w:t> </w:t>
      </w:r>
      <w:r w:rsidRPr="002E26BE">
        <w:t>процентов людей не занимаются никакой физической активностью. Доля женщин, не занимающихся физич</w:t>
      </w:r>
      <w:r w:rsidRPr="002E26BE">
        <w:t>е</w:t>
      </w:r>
      <w:r w:rsidRPr="002E26BE">
        <w:t>ской активностью, превышает долю мужчин во всех группах независимо от уровня образования</w:t>
      </w:r>
      <w:r w:rsidRPr="007E0CCC">
        <w:rPr>
          <w:rStyle w:val="FootnoteReference"/>
        </w:rPr>
        <w:footnoteReference w:id="72"/>
      </w:r>
      <w:r w:rsidRPr="002E26BE">
        <w:t>.</w:t>
      </w:r>
    </w:p>
    <w:p w:rsidR="00A82BD7" w:rsidRPr="002E26BE" w:rsidRDefault="00A82BD7" w:rsidP="008D20B4">
      <w:pPr>
        <w:pStyle w:val="SingleTxt"/>
        <w:spacing w:after="0" w:line="120" w:lineRule="exact"/>
        <w:rPr>
          <w:sz w:val="10"/>
        </w:rPr>
      </w:pPr>
    </w:p>
    <w:p w:rsidR="00A82BD7" w:rsidRPr="002E26BE" w:rsidRDefault="00A82BD7" w:rsidP="008D20B4">
      <w:pPr>
        <w:pStyle w:val="SingleTxt"/>
        <w:spacing w:after="0" w:line="120" w:lineRule="exact"/>
        <w:rPr>
          <w:sz w:val="10"/>
        </w:rPr>
      </w:pPr>
    </w:p>
    <w:p w:rsidR="00A82BD7" w:rsidRDefault="00A82BD7" w:rsidP="00A82B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E26BE">
        <w:t>Статья 14</w:t>
      </w:r>
      <w:r>
        <w:br/>
      </w:r>
      <w:r w:rsidRPr="002E26BE">
        <w:t>Сельские женщины</w:t>
      </w:r>
    </w:p>
    <w:p w:rsidR="00A82BD7" w:rsidRPr="00A82BD7" w:rsidRDefault="00A82BD7" w:rsidP="00A82BD7">
      <w:pPr>
        <w:pStyle w:val="SingleTxt"/>
        <w:keepNext/>
        <w:spacing w:after="0" w:line="120" w:lineRule="exact"/>
        <w:rPr>
          <w:sz w:val="10"/>
        </w:rPr>
      </w:pPr>
    </w:p>
    <w:p w:rsidR="00A82BD7" w:rsidRPr="002E26BE" w:rsidRDefault="00A82BD7" w:rsidP="008D20B4">
      <w:pPr>
        <w:pStyle w:val="SingleTxt"/>
        <w:keepNext/>
        <w:spacing w:after="0" w:line="120" w:lineRule="exact"/>
        <w:rPr>
          <w:sz w:val="10"/>
        </w:rPr>
      </w:pPr>
    </w:p>
    <w:p w:rsidR="00A82BD7" w:rsidRPr="00EA414C" w:rsidRDefault="00A82BD7" w:rsidP="008D20B4">
      <w:pPr>
        <w:pStyle w:val="SingleTxt"/>
      </w:pPr>
      <w:r w:rsidRPr="002E26BE">
        <w:t>156.</w:t>
      </w:r>
      <w:r w:rsidRPr="002E26BE">
        <w:tab/>
        <w:t>В рамках Программы развития сельских районов Республики Словени</w:t>
      </w:r>
      <w:r>
        <w:t>я</w:t>
      </w:r>
      <w:r w:rsidRPr="002E26BE">
        <w:t xml:space="preserve"> на 2007</w:t>
      </w:r>
      <w:r>
        <w:t>–</w:t>
      </w:r>
      <w:r w:rsidRPr="002E26BE">
        <w:t>2013</w:t>
      </w:r>
      <w:r>
        <w:t> </w:t>
      </w:r>
      <w:r w:rsidRPr="002E26BE">
        <w:t>годы систематически поощрялись равные возможности и доступ ко всем мероприятиям независимо от половой, этнической, религиозной или иной принадлежности. В рамках Программы развития сельских районов Министе</w:t>
      </w:r>
      <w:r w:rsidRPr="002E26BE">
        <w:t>р</w:t>
      </w:r>
      <w:r w:rsidRPr="002E26BE">
        <w:t>ство сельского хозяйства и охраны окружающей среды уделяло особое вним</w:t>
      </w:r>
      <w:r w:rsidRPr="002E26BE">
        <w:t>а</w:t>
      </w:r>
      <w:r w:rsidRPr="002E26BE">
        <w:t>ние вопросу о гендерном равенстве в процессе подготовки и реализации мер</w:t>
      </w:r>
      <w:r w:rsidRPr="002E26BE">
        <w:t>о</w:t>
      </w:r>
      <w:r w:rsidRPr="002E26BE">
        <w:t xml:space="preserve">приятий. Принципы гендерного равенства и равных возможностей были также включены в критерии отбора конкретных мероприятий. </w:t>
      </w:r>
      <w:r>
        <w:t xml:space="preserve">Некоторые </w:t>
      </w:r>
      <w:r w:rsidRPr="002E26BE">
        <w:t>меропри</w:t>
      </w:r>
      <w:r w:rsidRPr="002E26BE">
        <w:t>я</w:t>
      </w:r>
      <w:r w:rsidRPr="002E26BE">
        <w:t xml:space="preserve">тия предусматривали </w:t>
      </w:r>
      <w:r>
        <w:t>введение квот</w:t>
      </w:r>
      <w:r w:rsidRPr="002E26BE">
        <w:t xml:space="preserve">, направленных на </w:t>
      </w:r>
      <w:r>
        <w:t xml:space="preserve">улучшение положения </w:t>
      </w:r>
      <w:r w:rsidRPr="002E26BE">
        <w:t>женщин и расширение их участия.</w:t>
      </w:r>
    </w:p>
    <w:p w:rsidR="00C6395B" w:rsidRDefault="00C6395B" w:rsidP="004401AB">
      <w:pPr>
        <w:pStyle w:val="SingleTxt"/>
      </w:pPr>
      <w:r>
        <w:t>157.</w:t>
      </w:r>
      <w:r>
        <w:tab/>
        <w:t>По случаю Международного дня сельских женщин Статистическое управление Республики Словения публикует специальный ежего</w:t>
      </w:r>
      <w:r>
        <w:t>д</w:t>
      </w:r>
      <w:r>
        <w:t>ный доклад о положении сельских женщин в стране. В 2012 году сельским хозяйством зан</w:t>
      </w:r>
      <w:r>
        <w:t>и</w:t>
      </w:r>
      <w:r>
        <w:t>малось 37 000 женщин, т.е. почти 9 процентов всех трудящихся женщин. Сре</w:t>
      </w:r>
      <w:r>
        <w:t>д</w:t>
      </w:r>
      <w:r>
        <w:t>нестатистической сельской женщине 51 год, и она работает 39 часов в неделю. За последние десять лет повысился уровень образования сельских женщин. В 2002 году почти 70 процентов сельских женщин имели начальное образование или еще более низкий уровень образования; в 2012 году эта доля сократилась до менее 50 процентов. За тот же период доля сельских женщин со средним образованием увеличилась с 26 до 44 процентов, а доля сельских женщин с высшим образованием увеличилась с 5 до 9 процентов.</w:t>
      </w:r>
    </w:p>
    <w:p w:rsidR="00C6395B" w:rsidRDefault="00C6395B" w:rsidP="004401AB">
      <w:pPr>
        <w:pStyle w:val="SingleTxt"/>
      </w:pPr>
      <w:r>
        <w:t>158.</w:t>
      </w:r>
      <w:r>
        <w:tab/>
        <w:t>Согласно данным сельскохозяйственной переписи 2010 года, 20 300 же</w:t>
      </w:r>
      <w:r>
        <w:t>н</w:t>
      </w:r>
      <w:r>
        <w:t>щин управляли семейными фермерскими хозяйствами (27,3 процента). Их средний возраст составлял 60 лет (56 лет у мужчин).</w:t>
      </w:r>
    </w:p>
    <w:p w:rsidR="00C6395B" w:rsidRDefault="00C6395B" w:rsidP="004401AB">
      <w:pPr>
        <w:pStyle w:val="SingleTxt"/>
      </w:pPr>
      <w:r>
        <w:t>159.</w:t>
      </w:r>
      <w:r>
        <w:tab/>
        <w:t>Ассоциация сельских женщин Словении — неправительственная орган</w:t>
      </w:r>
      <w:r>
        <w:t>и</w:t>
      </w:r>
      <w:r>
        <w:t>зация, в которую входят 124 местные организации, имеющие более 9000 чл</w:t>
      </w:r>
      <w:r>
        <w:t>е</w:t>
      </w:r>
      <w:r>
        <w:t>нов, играет важную роль в объединении сельских женщин, их просвещении и содействии деятельности женщин-фермеров. Она организует различные ле</w:t>
      </w:r>
      <w:r>
        <w:t>к</w:t>
      </w:r>
      <w:r>
        <w:t>ции, семинары, курсы и экскурсии, позволяя своим членам приобретать допо</w:t>
      </w:r>
      <w:r>
        <w:t>л</w:t>
      </w:r>
      <w:r>
        <w:t>нительные знания и навыки. Ассоциация играет также активную роль в ра</w:t>
      </w:r>
      <w:r>
        <w:t>с</w:t>
      </w:r>
      <w:r>
        <w:t>пространении информации о правах женщин-фермеров и в предупреждении насилия в отнош</w:t>
      </w:r>
      <w:r>
        <w:t>е</w:t>
      </w:r>
      <w:r>
        <w:t>нии женщин, детей и подростков.</w:t>
      </w:r>
    </w:p>
    <w:p w:rsidR="00C6395B" w:rsidRDefault="00C6395B" w:rsidP="004401AB">
      <w:pPr>
        <w:pStyle w:val="SingleTxt"/>
      </w:pPr>
      <w:r>
        <w:t>160.</w:t>
      </w:r>
      <w:r>
        <w:tab/>
        <w:t>Министерство сельского хозяйства и охраны окружающей среды обесп</w:t>
      </w:r>
      <w:r>
        <w:t>е</w:t>
      </w:r>
      <w:r>
        <w:t>чивает финансирование профессиональных организаций и различных ассоци</w:t>
      </w:r>
      <w:r>
        <w:t>а</w:t>
      </w:r>
      <w:r>
        <w:t>ций с различными целевыми группами в сельских районах, а также поддерж</w:t>
      </w:r>
      <w:r>
        <w:t>и</w:t>
      </w:r>
      <w:r>
        <w:t>вает программы по улучшению условий труда и жизни женщин-фермеров и сельских женщин, в первую очередь самых обездоленных групп населения, т</w:t>
      </w:r>
      <w:r>
        <w:t>а</w:t>
      </w:r>
      <w:r>
        <w:t>ких как пожилые женщины и женщины с низким уровнем дохода. В 2012 и 2013 годах Ассоциация сельских женщин Словении проводила информацио</w:t>
      </w:r>
      <w:r>
        <w:t>н</w:t>
      </w:r>
      <w:r>
        <w:t>но-разъяснительную работу среди своих членов в целях повышения социал</w:t>
      </w:r>
      <w:r>
        <w:t>ь</w:t>
      </w:r>
      <w:r>
        <w:t>ного статуса женщин, входящих в состав Ассоциации, и укрепления их ув</w:t>
      </w:r>
      <w:r>
        <w:t>е</w:t>
      </w:r>
      <w:r>
        <w:t>ренности в своих силах, рассказывая им о роли сельских женщин и их влиянии на поощрение гендерного равенства и/или об их направленных на это усилиях. В связи с этим Ассоциация осуществила различные мероприятия. В 2013 году два совещания в формате «круглого стола», организованные на региональном уровне, были посвящены вопросу о положении женщин и важности их роли в сельских районах. Участники указали на то, что женщины в сельских районах выполняют много работы, в то время как лавры зачастую д</w:t>
      </w:r>
      <w:r>
        <w:t>о</w:t>
      </w:r>
      <w:r>
        <w:t>стаются другим, и что женщины не участвуют в процессах принятия решений наравне с их пар</w:t>
      </w:r>
      <w:r>
        <w:t>т</w:t>
      </w:r>
      <w:r>
        <w:t>нерами и другими членами семьи; участники обратили также внимание на пр</w:t>
      </w:r>
      <w:r>
        <w:t>о</w:t>
      </w:r>
      <w:r>
        <w:t>блему насилия в семье. На одном из совещаний за круглым столом был пров</w:t>
      </w:r>
      <w:r>
        <w:t>е</w:t>
      </w:r>
      <w:r>
        <w:t>ден опрос о страховании сельских женщин, по результатам которого выясн</w:t>
      </w:r>
      <w:r>
        <w:t>и</w:t>
      </w:r>
      <w:r>
        <w:t>лось, что застраховано было лишь очень небольшое количество женщин-респондентов, а в большинстве случаев страховку имели их партнеры. Бол</w:t>
      </w:r>
      <w:r>
        <w:t>ь</w:t>
      </w:r>
      <w:r>
        <w:t>шинство застрахованных женщин являются владелицами х</w:t>
      </w:r>
      <w:r>
        <w:t>о</w:t>
      </w:r>
      <w:r>
        <w:t xml:space="preserve">зяйств. </w:t>
      </w:r>
    </w:p>
    <w:p w:rsidR="00C6395B" w:rsidRDefault="00C6395B" w:rsidP="004401AB">
      <w:pPr>
        <w:pStyle w:val="SingleTxt"/>
      </w:pPr>
      <w:r>
        <w:t>161.</w:t>
      </w:r>
      <w:r>
        <w:tab/>
        <w:t>Среди сельских женщин в самом неблагоприятном положении находятся цыганки, поскольку многие цыганские семьи по-прежнему живут в плохих условиях (без электричества и водопровода). Поэтому улучшение жилищных условий и поселений цыган находится в числе приоритетов Национальной программы мероприятий в интересах цыган на 2010–2015 годы. Эти меропри</w:t>
      </w:r>
      <w:r>
        <w:t>я</w:t>
      </w:r>
      <w:r>
        <w:t>тия включают публикацию примеров передового опыта, проведение госуда</w:t>
      </w:r>
      <w:r>
        <w:t>р</w:t>
      </w:r>
      <w:r>
        <w:t>ственных тендеров, заявленных в 2012 году относительно совместного фина</w:t>
      </w:r>
      <w:r>
        <w:t>н</w:t>
      </w:r>
      <w:r>
        <w:t>сирования основных проектов в области жили</w:t>
      </w:r>
      <w:r>
        <w:t>щ</w:t>
      </w:r>
      <w:r>
        <w:t>но-коммунального хозяйства в цыганских поселениях, и подготовку планов действий по реализации мер в рамках Национальной программы в местах проживания цыган</w:t>
      </w:r>
      <w:r w:rsidRPr="007E0CCC">
        <w:rPr>
          <w:rStyle w:val="FootnoteReference"/>
        </w:rPr>
        <w:footnoteReference w:id="73"/>
      </w:r>
      <w:r>
        <w:t>.</w:t>
      </w: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Default="00C6395B" w:rsidP="004401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6BBA">
        <w:tab/>
      </w:r>
      <w:r w:rsidRPr="00A36BBA">
        <w:tab/>
      </w:r>
      <w:r>
        <w:t>Статья 15</w:t>
      </w:r>
      <w:r>
        <w:br/>
        <w:t>Равенство перед законом</w:t>
      </w: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Default="00C6395B" w:rsidP="004401AB">
      <w:pPr>
        <w:pStyle w:val="SingleTxt"/>
      </w:pPr>
      <w:r>
        <w:t>162.</w:t>
      </w:r>
      <w:r>
        <w:tab/>
        <w:t>За отчетный период никаких изменений в выполнении положений этой статьи не произошло.</w:t>
      </w: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Default="00C6395B" w:rsidP="004401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Статья 16</w:t>
      </w:r>
      <w:r>
        <w:br/>
        <w:t>Брак и семейные отношения</w:t>
      </w: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Pr="003B017C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Default="00C6395B" w:rsidP="004401AB">
      <w:pPr>
        <w:pStyle w:val="SingleTxt"/>
      </w:pPr>
      <w:r>
        <w:t>163.</w:t>
      </w:r>
      <w:r>
        <w:tab/>
        <w:t>В течение отчетного периода не было принято никаких законодательных поправок. В июне 2011 года Государственное собрание приняло новый Семе</w:t>
      </w:r>
      <w:r>
        <w:t>й</w:t>
      </w:r>
      <w:r>
        <w:t>ный кодекс, но он был отвергнут на референдуме в марте следующего года. Новый Семейный кодекс предусматривал изменение концепции долг</w:t>
      </w:r>
      <w:r>
        <w:t>о</w:t>
      </w:r>
      <w:r>
        <w:t>срочных отношений: к долгосрочным отношениям между мужчиной и женщиной, ва</w:t>
      </w:r>
      <w:r>
        <w:t>ж</w:t>
      </w:r>
      <w:r>
        <w:t>ным с точки зрения воспроизводства населения, были добавлены однополые партнерства, которые должны были приравниваться к браку и внебрачным с</w:t>
      </w:r>
      <w:r>
        <w:t>о</w:t>
      </w:r>
      <w:r>
        <w:t>юзам с точки зрения правовых и социальных норм; предусматривалась во</w:t>
      </w:r>
      <w:r>
        <w:t>з</w:t>
      </w:r>
      <w:r>
        <w:t>можность усыновления/удочерения детей однополыми партнерами; в соотве</w:t>
      </w:r>
      <w:r>
        <w:t>т</w:t>
      </w:r>
      <w:r>
        <w:t>ствии с новым Кодексом брак больше не имел особого значения для общества с точки зрения создания семьи. В новом Семейном кодексе также давалось б</w:t>
      </w:r>
      <w:r>
        <w:t>о</w:t>
      </w:r>
      <w:r>
        <w:t>лее четкое определение имущественных прав на совместную со</w:t>
      </w:r>
      <w:r>
        <w:t>б</w:t>
      </w:r>
      <w:r>
        <w:t>ственность — эта тема с озабоченностью затрагивалась Комитетом в его заключительных зам</w:t>
      </w:r>
      <w:r>
        <w:t>е</w:t>
      </w:r>
      <w:r>
        <w:t>чаниях.</w:t>
      </w:r>
    </w:p>
    <w:p w:rsidR="00C6395B" w:rsidRDefault="00C6395B" w:rsidP="004401AB">
      <w:pPr>
        <w:pStyle w:val="SingleTxt"/>
      </w:pPr>
      <w:r>
        <w:t>164.</w:t>
      </w:r>
      <w:r>
        <w:tab/>
        <w:t>В сфере семейной жизни в Словении просматриваются социально-демографические аналогии и тенденции, характерные для остальной части Е</w:t>
      </w:r>
      <w:r>
        <w:t>в</w:t>
      </w:r>
      <w:r>
        <w:t>ропы. Наряду с «традиционными» семьями, состоящими из супружеских пар с детьми, увеличивается число семей с одним родителем, воссоединенных или реорганизованных семей, внебрачных союзов и однополых партнерств.</w:t>
      </w:r>
    </w:p>
    <w:p w:rsidR="00C6395B" w:rsidRDefault="00C6395B" w:rsidP="004401AB">
      <w:pPr>
        <w:pStyle w:val="SingleTxt"/>
      </w:pPr>
      <w:r>
        <w:t>165.</w:t>
      </w:r>
      <w:r>
        <w:tab/>
        <w:t>По данным переписи населения 2011 года, семьи с одним родителем с</w:t>
      </w:r>
      <w:r>
        <w:t>о</w:t>
      </w:r>
      <w:r>
        <w:t>ставляли 25 процентов от общего числа семей в Словении, что на 6 процентов больше по сравнению с данными переписи 2002 года. Семьи с матерями-одиночками составляли 84 процента всех семей с одним родителем. Наиболее распространенным типом семьи была нуклеарная семья, состоящая из супр</w:t>
      </w:r>
      <w:r>
        <w:t>у</w:t>
      </w:r>
      <w:r>
        <w:t>жеских пар с детьми (56 процентов); пары с детьми, живущие во внебрачном союзе, составляют 12 процентов</w:t>
      </w:r>
      <w:r w:rsidRPr="007E0CCC">
        <w:rPr>
          <w:rStyle w:val="FootnoteReference"/>
        </w:rPr>
        <w:footnoteReference w:id="74"/>
      </w:r>
      <w:r>
        <w:t>.</w:t>
      </w:r>
    </w:p>
    <w:p w:rsidR="00C6395B" w:rsidRDefault="00C6395B" w:rsidP="004401AB">
      <w:pPr>
        <w:pStyle w:val="SingleTxt"/>
      </w:pPr>
      <w:r>
        <w:t>166.</w:t>
      </w:r>
      <w:r>
        <w:tab/>
        <w:t>Число регистрируемых браков оставалось примерно на том же уровне — около 6600 в год; существенно не изменилось и число разводов. В среднем каждый третий брак кончается разводом. Большинство детей рождается вне брака. В 2011 году вне брака родились 56,8 процента детей</w:t>
      </w:r>
      <w:r w:rsidRPr="007E0CCC">
        <w:rPr>
          <w:rStyle w:val="FootnoteReference"/>
        </w:rPr>
        <w:footnoteReference w:id="75"/>
      </w:r>
      <w:r>
        <w:t>. Примерно пол</w:t>
      </w:r>
      <w:r>
        <w:t>о</w:t>
      </w:r>
      <w:r>
        <w:t>вина ра</w:t>
      </w:r>
      <w:r>
        <w:t>з</w:t>
      </w:r>
      <w:r>
        <w:t>веденных пар имели детей-иждивенцев (49,5 процента в 2012 году). В 77 процентах случаев попечение и воспитание детей было поручено матери, в 7 процентах случаев — отцу, а в 14 процентах случаев дети находились под совместной опекой.</w:t>
      </w:r>
    </w:p>
    <w:p w:rsidR="00C6395B" w:rsidRDefault="00C6395B" w:rsidP="004401AB">
      <w:pPr>
        <w:pStyle w:val="SingleTxt"/>
      </w:pPr>
      <w:r>
        <w:t>167.</w:t>
      </w:r>
      <w:r>
        <w:tab/>
        <w:t>Согласно данным Министерства труда, по вопросам семьи, социальных дел и равных возможностей, в большинстве случаев размер алиментов уст</w:t>
      </w:r>
      <w:r>
        <w:t>а</w:t>
      </w:r>
      <w:r>
        <w:t>навливается по договоренности сторон в суде (31 279 случаев), судебным р</w:t>
      </w:r>
      <w:r>
        <w:t>е</w:t>
      </w:r>
      <w:r>
        <w:t>шением (15 200 случаев), на основании взаимной договоренности между род</w:t>
      </w:r>
      <w:r>
        <w:t>и</w:t>
      </w:r>
      <w:r>
        <w:t>телями в центрах социальной работы (13 305 случаев) и нотариально завере</w:t>
      </w:r>
      <w:r>
        <w:t>н</w:t>
      </w:r>
      <w:r>
        <w:t>ной договоренности, подлежащей обязательному исполнению (1396 случаев). В большинстве случаев алименты получают матери детей (71 процент случаев) или сами дети (23 процента случаев). В 90 процентах случаев лицом, несущим ответственность за уплату алиментов, является отец ребенка</w:t>
      </w:r>
      <w:r w:rsidRPr="007E0CCC">
        <w:rPr>
          <w:rStyle w:val="FootnoteReference"/>
        </w:rPr>
        <w:footnoteReference w:id="76"/>
      </w:r>
      <w:r>
        <w:t>. Средний размер алиментов составляет 130 евро.</w:t>
      </w:r>
    </w:p>
    <w:p w:rsidR="00C6395B" w:rsidRPr="00C37F17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Pr="00C37F17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Default="00C6395B" w:rsidP="00C639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Юридическая библиография</w:t>
      </w:r>
    </w:p>
    <w:p w:rsidR="00C6395B" w:rsidRPr="00C37F17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Pr="00C37F17" w:rsidRDefault="00C6395B" w:rsidP="004401AB">
      <w:pPr>
        <w:pStyle w:val="SingleTxt"/>
        <w:spacing w:after="0" w:line="120" w:lineRule="exact"/>
        <w:rPr>
          <w:sz w:val="10"/>
        </w:rPr>
      </w:pPr>
    </w:p>
    <w:p w:rsidR="00C6395B" w:rsidRDefault="00C6395B" w:rsidP="004401AB">
      <w:pPr>
        <w:pStyle w:val="SingleTxt"/>
      </w:pPr>
      <w:r>
        <w:t>1.</w:t>
      </w:r>
      <w:r>
        <w:tab/>
        <w:t xml:space="preserve">Конституция Республики Словения, </w:t>
      </w:r>
      <w:r w:rsidRPr="00C80A8A">
        <w:rPr>
          <w:i/>
        </w:rPr>
        <w:t>Uradni list RS</w:t>
      </w:r>
      <w:r>
        <w:t xml:space="preserve"> No. 33I/1991, </w:t>
      </w:r>
      <w:r>
        <w:br/>
        <w:t xml:space="preserve">33I/1991-I-UZIU, 42/1997, 66/2000, 24/2003, 69/2004, 69/2004, 69/2004, 68/2006, 47/2013, 47/2013. </w:t>
      </w:r>
    </w:p>
    <w:p w:rsidR="00C6395B" w:rsidRDefault="00C6395B" w:rsidP="004401AB">
      <w:pPr>
        <w:pStyle w:val="SingleTxt"/>
      </w:pPr>
      <w:r>
        <w:t>2.</w:t>
      </w:r>
      <w:r>
        <w:tab/>
        <w:t xml:space="preserve">Закон об осуществлении принципа равного обращения, </w:t>
      </w:r>
      <w:r w:rsidRPr="00C80A8A">
        <w:rPr>
          <w:i/>
        </w:rPr>
        <w:t xml:space="preserve">Uradni list RS </w:t>
      </w:r>
      <w:r>
        <w:t xml:space="preserve">No. 93/2007-UPB1. </w:t>
      </w:r>
    </w:p>
    <w:p w:rsidR="00C6395B" w:rsidRDefault="00C6395B" w:rsidP="004401AB">
      <w:pPr>
        <w:pStyle w:val="SingleTxt"/>
      </w:pPr>
      <w:r>
        <w:t>3.</w:t>
      </w:r>
      <w:r>
        <w:tab/>
        <w:t xml:space="preserve">Закон о равных возможностях для женщин и мужчин, </w:t>
      </w:r>
      <w:r w:rsidRPr="00C80A8A">
        <w:rPr>
          <w:i/>
        </w:rPr>
        <w:t>Uradni list RS</w:t>
      </w:r>
      <w:r>
        <w:t xml:space="preserve"> No. 59/2002, št. 61/2007-ZUNEO-A. </w:t>
      </w:r>
    </w:p>
    <w:p w:rsidR="00C6395B" w:rsidRDefault="00C6395B" w:rsidP="004401AB">
      <w:pPr>
        <w:pStyle w:val="SingleTxt"/>
      </w:pPr>
      <w:r>
        <w:t>4.</w:t>
      </w:r>
      <w:r>
        <w:tab/>
        <w:t xml:space="preserve">Закон о политических партиях, </w:t>
      </w:r>
      <w:r w:rsidRPr="00C80A8A">
        <w:rPr>
          <w:i/>
        </w:rPr>
        <w:t>Uradni list RS</w:t>
      </w:r>
      <w:r>
        <w:t xml:space="preserve"> No. 100/2005-UPB1, 103/2007, 99/2013. </w:t>
      </w:r>
    </w:p>
    <w:p w:rsidR="00C6395B" w:rsidRDefault="00C6395B" w:rsidP="004401AB">
      <w:pPr>
        <w:pStyle w:val="SingleTxt"/>
      </w:pPr>
      <w:r>
        <w:t>5.</w:t>
      </w:r>
      <w:r>
        <w:tab/>
        <w:t xml:space="preserve">Закон о выборах членов Европейского парламента от Словении, </w:t>
      </w:r>
      <w:r w:rsidRPr="00C80A8A">
        <w:rPr>
          <w:i/>
        </w:rPr>
        <w:t>Uradni list RS</w:t>
      </w:r>
      <w:r>
        <w:t xml:space="preserve"> No. 40/2004-UPB1, 41/2007-ZVRK, 109/2009. </w:t>
      </w:r>
    </w:p>
    <w:p w:rsidR="00C6395B" w:rsidRDefault="00C6395B" w:rsidP="004401AB">
      <w:pPr>
        <w:pStyle w:val="SingleTxt"/>
      </w:pPr>
      <w:r>
        <w:t>6.</w:t>
      </w:r>
      <w:r>
        <w:tab/>
        <w:t xml:space="preserve">Закон о выборах в местные органы власти, </w:t>
      </w:r>
      <w:r w:rsidRPr="00C80A8A">
        <w:rPr>
          <w:i/>
        </w:rPr>
        <w:t>Uradni list RS</w:t>
      </w:r>
      <w:r>
        <w:t xml:space="preserve"> No. 94/2007-UPB3, 45/2008, 83/2012. </w:t>
      </w:r>
    </w:p>
    <w:p w:rsidR="00C6395B" w:rsidRPr="00C37F17" w:rsidRDefault="00C6395B" w:rsidP="004401AB">
      <w:pPr>
        <w:pStyle w:val="SingleTxt"/>
      </w:pPr>
      <w:r>
        <w:t>7.</w:t>
      </w:r>
      <w:r>
        <w:tab/>
        <w:t>Закон о выборах в Государственное собрание</w:t>
      </w:r>
      <w:r w:rsidRPr="00C37F17">
        <w:rPr>
          <w:i/>
        </w:rPr>
        <w:t xml:space="preserve"> </w:t>
      </w:r>
      <w:r w:rsidRPr="00C80A8A">
        <w:rPr>
          <w:i/>
        </w:rPr>
        <w:t>Uradni list RS</w:t>
      </w:r>
      <w:r>
        <w:t xml:space="preserve"> No. 109/2006-UPB1, 54/2007 Odl.US: U-I-7/07-22, Up-1054/07-24, 49/2008 Skl.US: U-I-272/07-12</w:t>
      </w:r>
      <w:r w:rsidRPr="00C37F17">
        <w:t>.</w:t>
      </w:r>
    </w:p>
    <w:p w:rsidR="00C6395B" w:rsidRPr="00C37F17" w:rsidRDefault="00C6395B" w:rsidP="004401AB">
      <w:pPr>
        <w:pStyle w:val="SingleTxt"/>
      </w:pPr>
      <w:r w:rsidRPr="00C37F17">
        <w:t>8.</w:t>
      </w:r>
      <w:r w:rsidRPr="00C37F17">
        <w:tab/>
      </w:r>
      <w:r>
        <w:t>Закон</w:t>
      </w:r>
      <w:r w:rsidRPr="00C37F17">
        <w:t xml:space="preserve"> </w:t>
      </w:r>
      <w:r>
        <w:t>об</w:t>
      </w:r>
      <w:r w:rsidRPr="00C37F17">
        <w:t xml:space="preserve"> </w:t>
      </w:r>
      <w:r>
        <w:t>Уголовном</w:t>
      </w:r>
      <w:r w:rsidRPr="00C37F17">
        <w:t xml:space="preserve"> </w:t>
      </w:r>
      <w:r>
        <w:t>кодексе</w:t>
      </w:r>
      <w:r w:rsidRPr="00C37F17">
        <w:t xml:space="preserve">, </w:t>
      </w:r>
      <w:r w:rsidRPr="00C80A8A">
        <w:rPr>
          <w:i/>
        </w:rPr>
        <w:t>Uradni list RS</w:t>
      </w:r>
      <w:r>
        <w:t xml:space="preserve"> No. 55/2008 (66/2008 popr.), 39/2009, 55/2009 Odl.US: U-I-73/09-19, 56/2011 Odl.US: U-I-262/10-18, 91/2011, 34/2012 Odl.US: U-I-24/10-12, 50/2012-UPB2, 63/2013</w:t>
      </w:r>
      <w:r w:rsidRPr="00C37F17">
        <w:t xml:space="preserve">. </w:t>
      </w:r>
    </w:p>
    <w:p w:rsidR="00C6395B" w:rsidRPr="00C37F17" w:rsidRDefault="00C6395B" w:rsidP="004401AB">
      <w:pPr>
        <w:pStyle w:val="SingleTxt"/>
      </w:pPr>
      <w:r>
        <w:t>9.</w:t>
      </w:r>
      <w:r>
        <w:tab/>
        <w:t>Уголовно-процессуальный закон — официальный текст с последующ</w:t>
      </w:r>
      <w:r>
        <w:t>и</w:t>
      </w:r>
      <w:r>
        <w:t>ми изменениями и дополнениями</w:t>
      </w:r>
      <w:r w:rsidRPr="00C37F17">
        <w:rPr>
          <w:i/>
        </w:rPr>
        <w:t xml:space="preserve"> </w:t>
      </w:r>
      <w:r w:rsidRPr="00C80A8A">
        <w:rPr>
          <w:i/>
        </w:rPr>
        <w:t>Uradni list RS</w:t>
      </w:r>
      <w:r>
        <w:t xml:space="preserve"> No. 32/2012-UPB8, 36/2012 Odl.US: U-I-275/10-10, Up-1507/10-20, 55/2012 Odl.US: Up-402/12-16, </w:t>
      </w:r>
      <w:r>
        <w:br/>
        <w:t>U-I-86/12-1, 47/2013</w:t>
      </w:r>
      <w:r w:rsidRPr="00C37F17">
        <w:t xml:space="preserve">. </w:t>
      </w:r>
    </w:p>
    <w:p w:rsidR="00C6395B" w:rsidRPr="00C37F17" w:rsidRDefault="00C6395B" w:rsidP="004401AB">
      <w:pPr>
        <w:pStyle w:val="SingleTxt"/>
      </w:pPr>
      <w:r w:rsidRPr="00C37F17">
        <w:t>10.</w:t>
      </w:r>
      <w:r w:rsidRPr="00C37F17">
        <w:tab/>
      </w:r>
      <w:r>
        <w:t>Закон</w:t>
      </w:r>
      <w:r w:rsidRPr="00C37F17">
        <w:t xml:space="preserve"> </w:t>
      </w:r>
      <w:r>
        <w:t>о</w:t>
      </w:r>
      <w:r w:rsidRPr="00C37F17">
        <w:t xml:space="preserve"> </w:t>
      </w:r>
      <w:r>
        <w:t>полиции</w:t>
      </w:r>
      <w:r w:rsidRPr="00C37F17">
        <w:t xml:space="preserve">, </w:t>
      </w:r>
      <w:r w:rsidRPr="00C80A8A">
        <w:rPr>
          <w:i/>
        </w:rPr>
        <w:t>Uradni list RS</w:t>
      </w:r>
      <w:r>
        <w:t xml:space="preserve"> No. 66/2009-UPB7, 22/2010, 26/2011 Odl.US: U-I-271/08-19, 58/2011-ZDT-1, 40/2012-ZUJF, 96/2012-ZPIZ-2, 15/2013-ZNPPol, 15/2013-ZODPol</w:t>
      </w:r>
      <w:r w:rsidRPr="00C37F17">
        <w:t xml:space="preserve">. </w:t>
      </w:r>
    </w:p>
    <w:p w:rsidR="00C6395B" w:rsidRPr="00E3665B" w:rsidRDefault="00C6395B" w:rsidP="004401AB">
      <w:pPr>
        <w:pStyle w:val="SingleTxt"/>
      </w:pPr>
      <w:r w:rsidRPr="00E3665B">
        <w:t>11.</w:t>
      </w:r>
      <w:r w:rsidRPr="00E3665B">
        <w:tab/>
      </w:r>
      <w:r>
        <w:t>Закон</w:t>
      </w:r>
      <w:r w:rsidRPr="00E3665B">
        <w:t xml:space="preserve"> </w:t>
      </w:r>
      <w:r>
        <w:t>об</w:t>
      </w:r>
      <w:r w:rsidRPr="00E3665B">
        <w:t xml:space="preserve"> </w:t>
      </w:r>
      <w:r>
        <w:t>охране</w:t>
      </w:r>
      <w:r w:rsidRPr="00E3665B">
        <w:t xml:space="preserve"> </w:t>
      </w:r>
      <w:r>
        <w:t>общественного</w:t>
      </w:r>
      <w:r w:rsidRPr="00E3665B">
        <w:t xml:space="preserve"> </w:t>
      </w:r>
      <w:r>
        <w:t>порядка</w:t>
      </w:r>
      <w:r w:rsidRPr="00E3665B">
        <w:t xml:space="preserve">, </w:t>
      </w:r>
      <w:r w:rsidRPr="00C80A8A">
        <w:rPr>
          <w:i/>
        </w:rPr>
        <w:t>Uradni list RS</w:t>
      </w:r>
      <w:r>
        <w:t xml:space="preserve"> No. 70/2006</w:t>
      </w:r>
      <w:r w:rsidRPr="00E3665B">
        <w:t xml:space="preserve">. </w:t>
      </w:r>
    </w:p>
    <w:p w:rsidR="00C6395B" w:rsidRDefault="00C6395B" w:rsidP="004401AB">
      <w:pPr>
        <w:pStyle w:val="SingleTxt"/>
      </w:pPr>
      <w:r>
        <w:t>12.</w:t>
      </w:r>
      <w:r>
        <w:tab/>
        <w:t xml:space="preserve">Закон о гражданстве Республики Словения, </w:t>
      </w:r>
      <w:r w:rsidRPr="00C80A8A">
        <w:rPr>
          <w:i/>
        </w:rPr>
        <w:t>Uradni list RS</w:t>
      </w:r>
      <w:r>
        <w:t xml:space="preserve"> No. 24/2007-UPB2. </w:t>
      </w:r>
    </w:p>
    <w:p w:rsidR="00C6395B" w:rsidRDefault="00C6395B" w:rsidP="004401AB">
      <w:pPr>
        <w:pStyle w:val="SingleTxt"/>
      </w:pPr>
      <w:r>
        <w:t>13.</w:t>
      </w:r>
      <w:r>
        <w:tab/>
        <w:t xml:space="preserve">Закон о трудовых отношениях, </w:t>
      </w:r>
      <w:r w:rsidRPr="00C80A8A">
        <w:rPr>
          <w:i/>
        </w:rPr>
        <w:t>Uradni list RS</w:t>
      </w:r>
      <w:r>
        <w:t xml:space="preserve"> No. 21/2013-ZDR-1 (78/2013 popr.).</w:t>
      </w:r>
    </w:p>
    <w:p w:rsidR="00C6395B" w:rsidRDefault="00C6395B" w:rsidP="004401AB">
      <w:pPr>
        <w:pStyle w:val="SingleTxt"/>
      </w:pPr>
      <w:r>
        <w:t>14.</w:t>
      </w:r>
      <w:r>
        <w:tab/>
        <w:t xml:space="preserve">Закон о браке и семейных отношениях, </w:t>
      </w:r>
      <w:r w:rsidRPr="00E3665B">
        <w:rPr>
          <w:i/>
        </w:rPr>
        <w:t>Uradni list RS</w:t>
      </w:r>
      <w:r>
        <w:t xml:space="preserve"> No. 69/2004-UPB1, 101/2007 Odl. </w:t>
      </w:r>
      <w:r w:rsidRPr="001E56E4">
        <w:rPr>
          <w:lang w:val="en-US"/>
        </w:rPr>
        <w:t xml:space="preserve">US: U-I-328/05-12, 122/2007 Odl. US: U-I-11/07-45, 90/2011 Odl. US: U-I-85/10-10, 84/2012 Odl. </w:t>
      </w:r>
      <w:r>
        <w:t xml:space="preserve">US: U-I-30/12-12. </w:t>
      </w:r>
    </w:p>
    <w:p w:rsidR="00C6395B" w:rsidRDefault="00C6395B" w:rsidP="004401AB">
      <w:pPr>
        <w:pStyle w:val="SingleTxt"/>
      </w:pPr>
      <w:r>
        <w:t>15.</w:t>
      </w:r>
      <w:r>
        <w:tab/>
        <w:t xml:space="preserve">Закон о страховании в связи с выполнением родительских обязанностей и семейных пособиях, </w:t>
      </w:r>
      <w:r w:rsidRPr="00E3665B">
        <w:rPr>
          <w:i/>
        </w:rPr>
        <w:t>Uradni list RS</w:t>
      </w:r>
      <w:r>
        <w:t xml:space="preserve"> No. 110/2006-UPB2, 114/2006-ZUTPG, 122/2007 Odl. US: U-I-11/07-45, 10/2008, 62/2010-ZUPJS, 40/2012-ZUJF, 63/2013-ZIUPTDSV, 99/2013-ZSVarPre-C. </w:t>
      </w:r>
    </w:p>
    <w:p w:rsidR="00C6395B" w:rsidRPr="001E56E4" w:rsidRDefault="00C6395B" w:rsidP="004401AB">
      <w:pPr>
        <w:pStyle w:val="SingleTxt"/>
        <w:rPr>
          <w:lang w:val="en-US"/>
        </w:rPr>
      </w:pPr>
      <w:r>
        <w:t>16.</w:t>
      </w:r>
      <w:r>
        <w:tab/>
        <w:t xml:space="preserve">Закон об организации и финансировании системы образования, </w:t>
      </w:r>
      <w:r w:rsidRPr="00E3665B">
        <w:rPr>
          <w:i/>
        </w:rPr>
        <w:t>Uradni list RS</w:t>
      </w:r>
      <w:r>
        <w:t xml:space="preserve"> No. 16/2007-UPB5, 101/2007 Odl. </w:t>
      </w:r>
      <w:r w:rsidRPr="001E56E4">
        <w:rPr>
          <w:lang w:val="en-US"/>
        </w:rPr>
        <w:t xml:space="preserve">US, 36/2008, 22/2009 Odl. US: U-I-205/07-10, 55/2009 Skl. US: U-I-356/07-13, 58/2009 (64/2009 popr., 65/2009 popr.), 16/2010 Odl. US: U-I-256/08-27, 47/2010 Odl. US: U-I-312/08-31, 20/2011, 34/2011 Odl. US: U-I-205/10-23, 40/2012-ZUJF, 57/2012-ZPCP-2D. </w:t>
      </w:r>
    </w:p>
    <w:p w:rsidR="00C6395B" w:rsidRDefault="00C6395B" w:rsidP="004401AB">
      <w:pPr>
        <w:pStyle w:val="SingleTxt"/>
      </w:pPr>
      <w:r>
        <w:t>17.</w:t>
      </w:r>
      <w:r>
        <w:tab/>
        <w:t xml:space="preserve">Закон о пенсионном страховании и страховании по инвалидности, </w:t>
      </w:r>
      <w:r w:rsidRPr="00E3665B">
        <w:rPr>
          <w:i/>
        </w:rPr>
        <w:t>Uradni list RS</w:t>
      </w:r>
      <w:r>
        <w:t xml:space="preserve"> No. 96/2012-ZPIZ-2. </w:t>
      </w:r>
    </w:p>
    <w:p w:rsidR="00C6395B" w:rsidRPr="001E56E4" w:rsidRDefault="00C6395B" w:rsidP="004401AB">
      <w:pPr>
        <w:pStyle w:val="SingleTxt"/>
        <w:rPr>
          <w:lang w:val="en-US"/>
        </w:rPr>
      </w:pPr>
      <w:r>
        <w:t>18.</w:t>
      </w:r>
      <w:r>
        <w:tab/>
        <w:t xml:space="preserve">Закон об охране здоровья и медицинском страховании, </w:t>
      </w:r>
      <w:r w:rsidRPr="00E3665B">
        <w:rPr>
          <w:i/>
        </w:rPr>
        <w:t>Uradni list RS</w:t>
      </w:r>
      <w:r>
        <w:t xml:space="preserve"> No. 72/2006-UPB3, 114/2006-ZUTPG, 91/2007, 71/2008 Skl. </w:t>
      </w:r>
      <w:r w:rsidRPr="001E56E4">
        <w:rPr>
          <w:lang w:val="en-US"/>
        </w:rPr>
        <w:t xml:space="preserve">US: U-I-163/08-7, 76/2008, 118/2008 Skl. US: U-I-163/08-12, 47/2010 Odl. US: U-I-312/08-31, 62/2010-ZUPJS, 87/2011, 40/2012-ZUJF, 21/2013-ZUTD-A, 63/2013-ZIUPTDSV, 91/2013, 99/2013-ZUPJS-C, 99/2013-ZSVarPre-C. </w:t>
      </w:r>
    </w:p>
    <w:p w:rsidR="00C6395B" w:rsidRDefault="00C6395B" w:rsidP="004401AB">
      <w:pPr>
        <w:pStyle w:val="SingleTxt"/>
      </w:pPr>
      <w:r>
        <w:t>19.</w:t>
      </w:r>
      <w:r>
        <w:tab/>
        <w:t xml:space="preserve">Закон об охране здоровья и технике безопасности на рабочем месте, Ur. l. RS, št. 43/2011-ZVZD-1. </w:t>
      </w:r>
    </w:p>
    <w:p w:rsidR="00C6395B" w:rsidRPr="001E56E4" w:rsidRDefault="00C6395B" w:rsidP="004401AB">
      <w:pPr>
        <w:pStyle w:val="SingleTxt"/>
        <w:rPr>
          <w:lang w:val="en-US"/>
        </w:rPr>
      </w:pPr>
      <w:r>
        <w:t>20.</w:t>
      </w:r>
      <w:r>
        <w:tab/>
        <w:t xml:space="preserve">Закон о социальном обеспечении, </w:t>
      </w:r>
      <w:r w:rsidRPr="00E3665B">
        <w:rPr>
          <w:i/>
        </w:rPr>
        <w:t>Uradni list RS</w:t>
      </w:r>
      <w:r>
        <w:t xml:space="preserve"> No. 3/2007-UPB2 (23/2007 popr., 41/2007 popr.), 122/2007 Odl. </w:t>
      </w:r>
      <w:r w:rsidRPr="001E56E4">
        <w:rPr>
          <w:lang w:val="en-US"/>
        </w:rPr>
        <w:t xml:space="preserve">US: U-I-11/07-45, 61/2010-ZSVarPre, 62/2010-ZUPJS, 57/2012. </w:t>
      </w:r>
    </w:p>
    <w:p w:rsidR="00C6395B" w:rsidRDefault="00C6395B" w:rsidP="004401AB">
      <w:pPr>
        <w:pStyle w:val="SingleTxt"/>
      </w:pPr>
      <w:r w:rsidRPr="001E56E4">
        <w:rPr>
          <w:lang w:val="en-US"/>
        </w:rPr>
        <w:t>21.</w:t>
      </w:r>
      <w:r w:rsidRPr="001E56E4">
        <w:rPr>
          <w:lang w:val="en-US"/>
        </w:rPr>
        <w:tab/>
      </w:r>
      <w:r>
        <w:t>Закон</w:t>
      </w:r>
      <w:r w:rsidRPr="001E56E4">
        <w:rPr>
          <w:lang w:val="en-US"/>
        </w:rPr>
        <w:t xml:space="preserve"> </w:t>
      </w:r>
      <w:r>
        <w:t>об</w:t>
      </w:r>
      <w:r w:rsidRPr="001E56E4">
        <w:rPr>
          <w:lang w:val="en-US"/>
        </w:rPr>
        <w:t xml:space="preserve"> </w:t>
      </w:r>
      <w:r>
        <w:t>иностранцах</w:t>
      </w:r>
      <w:r w:rsidRPr="001E56E4">
        <w:rPr>
          <w:lang w:val="en-US"/>
        </w:rPr>
        <w:t xml:space="preserve">, </w:t>
      </w:r>
      <w:r w:rsidRPr="00E3665B">
        <w:rPr>
          <w:i/>
          <w:lang w:val="en-US"/>
        </w:rPr>
        <w:t>Uradni list RS</w:t>
      </w:r>
      <w:r w:rsidRPr="001E56E4">
        <w:rPr>
          <w:lang w:val="en-US"/>
        </w:rPr>
        <w:t xml:space="preserve"> No. 64/2009-UPB6, 26/2011 Odl. </w:t>
      </w:r>
      <w:r>
        <w:br/>
        <w:t xml:space="preserve">US: Up-456/10-22, U-I-89/10-16, 50/2011-ZTuj-2 (57/2011 popr.), </w:t>
      </w:r>
    </w:p>
    <w:p w:rsidR="00C6395B" w:rsidRDefault="00C6395B" w:rsidP="004401AB">
      <w:pPr>
        <w:pStyle w:val="SingleTxt"/>
      </w:pPr>
      <w:r>
        <w:t>22.</w:t>
      </w:r>
      <w:r>
        <w:tab/>
        <w:t xml:space="preserve">Закон об осуществлении прав на получение государственных средств, </w:t>
      </w:r>
      <w:r w:rsidRPr="00E3665B">
        <w:rPr>
          <w:i/>
        </w:rPr>
        <w:t>Uradni list RS</w:t>
      </w:r>
      <w:r>
        <w:t xml:space="preserve"> No. 62/2010, 40/2011, 40/2012-ZUJF, 57/2012-ZPCP-2D, 14/2013, 56/2013-ZŠtip-1, 99/2013. </w:t>
      </w:r>
    </w:p>
    <w:p w:rsidR="00C6395B" w:rsidRDefault="00C6395B" w:rsidP="004401AB">
      <w:pPr>
        <w:pStyle w:val="SingleTxt"/>
      </w:pPr>
      <w:r>
        <w:t>23.</w:t>
      </w:r>
      <w:r>
        <w:tab/>
        <w:t xml:space="preserve">Закон о предупреждении насилия в семье, </w:t>
      </w:r>
      <w:r w:rsidRPr="00E3665B">
        <w:rPr>
          <w:i/>
        </w:rPr>
        <w:t>Uradni list RS</w:t>
      </w:r>
      <w:r>
        <w:t xml:space="preserve"> No. 16/2008. </w:t>
      </w:r>
    </w:p>
    <w:p w:rsidR="00C6395B" w:rsidRPr="001E56E4" w:rsidRDefault="00C6395B" w:rsidP="004401AB">
      <w:pPr>
        <w:pStyle w:val="SingleTxt"/>
        <w:rPr>
          <w:lang w:val="en-US"/>
        </w:rPr>
      </w:pPr>
      <w:r>
        <w:t>24.</w:t>
      </w:r>
      <w:r>
        <w:tab/>
        <w:t xml:space="preserve">Уголовно-процессуальный закон, </w:t>
      </w:r>
      <w:r w:rsidRPr="00E3665B">
        <w:rPr>
          <w:i/>
        </w:rPr>
        <w:t>Uradni list RS</w:t>
      </w:r>
      <w:r>
        <w:t xml:space="preserve"> No. 32/2012-UPB8, 36/2012 Odl. </w:t>
      </w:r>
      <w:r w:rsidRPr="001E56E4">
        <w:rPr>
          <w:lang w:val="en-US"/>
        </w:rPr>
        <w:t xml:space="preserve">US: U-I-275/10-10, Up-1507/ 10-20, 55/2012 Odl. US: Up-402/12-16, U-I-86/12-1, 47/2013. </w:t>
      </w:r>
    </w:p>
    <w:p w:rsidR="00C6395B" w:rsidRPr="001E56E4" w:rsidRDefault="00C6395B" w:rsidP="004401AB">
      <w:pPr>
        <w:pStyle w:val="SingleTxt"/>
        <w:rPr>
          <w:lang w:val="en-US"/>
        </w:rPr>
      </w:pPr>
      <w:r w:rsidRPr="001E56E4">
        <w:rPr>
          <w:lang w:val="en-US"/>
        </w:rPr>
        <w:t>25.</w:t>
      </w:r>
      <w:r w:rsidRPr="001E56E4">
        <w:rPr>
          <w:lang w:val="en-US"/>
        </w:rPr>
        <w:tab/>
      </w:r>
      <w:r>
        <w:t>Закон</w:t>
      </w:r>
      <w:r w:rsidRPr="001E56E4">
        <w:rPr>
          <w:lang w:val="en-US"/>
        </w:rPr>
        <w:t xml:space="preserve"> </w:t>
      </w:r>
      <w:r>
        <w:t>о</w:t>
      </w:r>
      <w:r w:rsidRPr="001E56E4">
        <w:rPr>
          <w:lang w:val="en-US"/>
        </w:rPr>
        <w:t xml:space="preserve"> </w:t>
      </w:r>
      <w:r>
        <w:t>функциях</w:t>
      </w:r>
      <w:r w:rsidRPr="001E56E4">
        <w:rPr>
          <w:lang w:val="en-US"/>
        </w:rPr>
        <w:t xml:space="preserve"> </w:t>
      </w:r>
      <w:r>
        <w:t>и</w:t>
      </w:r>
      <w:r w:rsidRPr="001E56E4">
        <w:rPr>
          <w:lang w:val="en-US"/>
        </w:rPr>
        <w:t xml:space="preserve"> </w:t>
      </w:r>
      <w:r>
        <w:t>полномочиях</w:t>
      </w:r>
      <w:r w:rsidRPr="001E56E4">
        <w:rPr>
          <w:lang w:val="en-US"/>
        </w:rPr>
        <w:t xml:space="preserve"> </w:t>
      </w:r>
      <w:r>
        <w:t>полиции</w:t>
      </w:r>
      <w:r w:rsidRPr="001E56E4">
        <w:rPr>
          <w:lang w:val="en-US"/>
        </w:rPr>
        <w:t xml:space="preserve">, </w:t>
      </w:r>
      <w:r w:rsidRPr="00E3665B">
        <w:rPr>
          <w:i/>
          <w:lang w:val="en-US"/>
        </w:rPr>
        <w:t>Uradni list RS</w:t>
      </w:r>
      <w:r w:rsidRPr="001E56E4">
        <w:rPr>
          <w:lang w:val="en-US"/>
        </w:rPr>
        <w:t xml:space="preserve"> No. 15/2013. </w:t>
      </w:r>
    </w:p>
    <w:p w:rsidR="00C6395B" w:rsidRDefault="00C6395B" w:rsidP="004401AB">
      <w:pPr>
        <w:pStyle w:val="SingleTxt"/>
      </w:pPr>
      <w:r>
        <w:t>26.</w:t>
      </w:r>
      <w:r>
        <w:tab/>
        <w:t xml:space="preserve">Закон о трудоустройстве и занятости иностранцев, </w:t>
      </w:r>
      <w:r w:rsidRPr="00E3665B">
        <w:rPr>
          <w:i/>
        </w:rPr>
        <w:t>Uradni list RS</w:t>
      </w:r>
      <w:r>
        <w:t xml:space="preserve"> No. 76/2007-UPB2, 26/2011-ZZDT-1.</w:t>
      </w:r>
    </w:p>
    <w:p w:rsidR="00C6395B" w:rsidRPr="001E56E4" w:rsidRDefault="00C6395B" w:rsidP="004401AB">
      <w:pPr>
        <w:pStyle w:val="SingleTxt"/>
        <w:rPr>
          <w:lang w:val="en-US"/>
        </w:rPr>
      </w:pPr>
      <w:r>
        <w:t>27.</w:t>
      </w:r>
      <w:r>
        <w:tab/>
        <w:t xml:space="preserve">Закон о местном самоуправлении, </w:t>
      </w:r>
      <w:r w:rsidRPr="00E3665B">
        <w:rPr>
          <w:i/>
        </w:rPr>
        <w:t>Uradni list RS</w:t>
      </w:r>
      <w:r>
        <w:t xml:space="preserve"> No. 94/2007-UPB2, 27/2008 Odl. </w:t>
      </w:r>
      <w:r w:rsidRPr="001E56E4">
        <w:rPr>
          <w:lang w:val="en-US"/>
        </w:rPr>
        <w:t xml:space="preserve">US: Up-2925/07-15, U-I-21/07-18, 76/2008, 100/2008 Odl. </w:t>
      </w:r>
      <w:r>
        <w:br/>
      </w:r>
      <w:r w:rsidRPr="001E56E4">
        <w:rPr>
          <w:lang w:val="en-US"/>
        </w:rPr>
        <w:t xml:space="preserve">US: U-I-427/06-9, 79/2009, 14/2010 Odl. US: U-I-267/09-19, 51/2010, 84/2010 Odl. US: U-I-176/08-10, 40/2012-ZUJF. </w:t>
      </w:r>
    </w:p>
    <w:p w:rsidR="00C6395B" w:rsidRPr="00E3665B" w:rsidRDefault="00C6395B" w:rsidP="004401AB">
      <w:pPr>
        <w:pStyle w:val="SingleTxt"/>
      </w:pPr>
      <w:r w:rsidRPr="00E3665B">
        <w:t>28.</w:t>
      </w:r>
      <w:r w:rsidRPr="00E3665B">
        <w:tab/>
      </w:r>
      <w:r>
        <w:t>Закон</w:t>
      </w:r>
      <w:r w:rsidRPr="00E3665B">
        <w:t xml:space="preserve"> </w:t>
      </w:r>
      <w:r>
        <w:t>о цыганской общине</w:t>
      </w:r>
      <w:r w:rsidRPr="00E3665B">
        <w:t xml:space="preserve">, </w:t>
      </w:r>
      <w:r w:rsidRPr="00E3665B">
        <w:rPr>
          <w:i/>
          <w:lang w:val="en-US"/>
        </w:rPr>
        <w:t>Uradni</w:t>
      </w:r>
      <w:r w:rsidRPr="00E3665B">
        <w:rPr>
          <w:i/>
        </w:rPr>
        <w:t xml:space="preserve"> </w:t>
      </w:r>
      <w:r w:rsidRPr="00E3665B">
        <w:rPr>
          <w:i/>
          <w:lang w:val="en-US"/>
        </w:rPr>
        <w:t>list</w:t>
      </w:r>
      <w:r w:rsidRPr="00E3665B">
        <w:rPr>
          <w:i/>
        </w:rPr>
        <w:t xml:space="preserve"> </w:t>
      </w:r>
      <w:r w:rsidRPr="00E3665B">
        <w:rPr>
          <w:i/>
          <w:lang w:val="en-US"/>
        </w:rPr>
        <w:t>RS</w:t>
      </w:r>
      <w:r w:rsidRPr="00E3665B">
        <w:t xml:space="preserve"> </w:t>
      </w:r>
      <w:r w:rsidRPr="001E56E4">
        <w:rPr>
          <w:lang w:val="en-US"/>
        </w:rPr>
        <w:t>No</w:t>
      </w:r>
      <w:r w:rsidRPr="00E3665B">
        <w:t xml:space="preserve">. 33/2007, 54/2010 </w:t>
      </w:r>
      <w:r w:rsidRPr="001E56E4">
        <w:rPr>
          <w:lang w:val="en-US"/>
        </w:rPr>
        <w:t>Odl</w:t>
      </w:r>
      <w:r w:rsidRPr="00E3665B">
        <w:t xml:space="preserve">. </w:t>
      </w:r>
      <w:r>
        <w:br/>
      </w:r>
      <w:r w:rsidRPr="001E56E4">
        <w:rPr>
          <w:lang w:val="en-US"/>
        </w:rPr>
        <w:t>US</w:t>
      </w:r>
      <w:r w:rsidRPr="00E3665B">
        <w:t xml:space="preserve">: </w:t>
      </w:r>
      <w:r w:rsidRPr="001E56E4">
        <w:rPr>
          <w:lang w:val="en-US"/>
        </w:rPr>
        <w:t>U</w:t>
      </w:r>
      <w:r w:rsidRPr="00E3665B">
        <w:t>-</w:t>
      </w:r>
      <w:r w:rsidRPr="001E56E4">
        <w:rPr>
          <w:lang w:val="en-US"/>
        </w:rPr>
        <w:t>I</w:t>
      </w:r>
      <w:r w:rsidRPr="00E3665B">
        <w:t>-15/10-13.</w:t>
      </w:r>
    </w:p>
    <w:p w:rsidR="00C6395B" w:rsidRPr="00E3665B" w:rsidRDefault="00C6395B" w:rsidP="004401AB">
      <w:pPr>
        <w:pStyle w:val="SingleTxt"/>
      </w:pPr>
      <w:r w:rsidRPr="00E3665B">
        <w:t>29.</w:t>
      </w:r>
      <w:r w:rsidRPr="00E3665B">
        <w:tab/>
      </w:r>
      <w:r>
        <w:t>Закон</w:t>
      </w:r>
      <w:r w:rsidRPr="00E3665B">
        <w:t xml:space="preserve"> </w:t>
      </w:r>
      <w:r>
        <w:t>о</w:t>
      </w:r>
      <w:r w:rsidRPr="00E3665B">
        <w:t xml:space="preserve"> </w:t>
      </w:r>
      <w:r>
        <w:t>дошкольных</w:t>
      </w:r>
      <w:r w:rsidRPr="00E3665B">
        <w:t xml:space="preserve"> </w:t>
      </w:r>
      <w:r>
        <w:t>учреждениях</w:t>
      </w:r>
      <w:r w:rsidRPr="00E3665B">
        <w:t xml:space="preserve">, </w:t>
      </w:r>
      <w:r w:rsidRPr="00E3665B">
        <w:rPr>
          <w:i/>
          <w:lang w:val="en-US"/>
        </w:rPr>
        <w:t>Uradni</w:t>
      </w:r>
      <w:r w:rsidRPr="00E3665B">
        <w:rPr>
          <w:i/>
        </w:rPr>
        <w:t xml:space="preserve"> </w:t>
      </w:r>
      <w:r w:rsidRPr="00E3665B">
        <w:rPr>
          <w:i/>
          <w:lang w:val="en-US"/>
        </w:rPr>
        <w:t>list</w:t>
      </w:r>
      <w:r w:rsidRPr="00E3665B">
        <w:rPr>
          <w:i/>
        </w:rPr>
        <w:t xml:space="preserve"> </w:t>
      </w:r>
      <w:r w:rsidRPr="00E3665B">
        <w:rPr>
          <w:i/>
          <w:lang w:val="en-US"/>
        </w:rPr>
        <w:t>RS</w:t>
      </w:r>
      <w:r w:rsidRPr="00E3665B">
        <w:t xml:space="preserve"> </w:t>
      </w:r>
      <w:r w:rsidRPr="001E56E4">
        <w:rPr>
          <w:lang w:val="en-US"/>
        </w:rPr>
        <w:t>No</w:t>
      </w:r>
      <w:r w:rsidRPr="00E3665B">
        <w:t>.</w:t>
      </w:r>
      <w:r>
        <w:t> </w:t>
      </w:r>
      <w:r w:rsidRPr="00E3665B">
        <w:t>100/2005-</w:t>
      </w:r>
      <w:r w:rsidRPr="001E56E4">
        <w:rPr>
          <w:lang w:val="en-US"/>
        </w:rPr>
        <w:t>UPB</w:t>
      </w:r>
      <w:r w:rsidRPr="00E3665B">
        <w:t>2, 25/2008, 98/2009-</w:t>
      </w:r>
      <w:r w:rsidRPr="001E56E4">
        <w:rPr>
          <w:lang w:val="en-US"/>
        </w:rPr>
        <w:t>ZIUZGK</w:t>
      </w:r>
      <w:r w:rsidRPr="00E3665B">
        <w:t>, 36/2010, 62/2010-</w:t>
      </w:r>
      <w:r w:rsidRPr="001E56E4">
        <w:rPr>
          <w:lang w:val="en-US"/>
        </w:rPr>
        <w:t>ZUPJS</w:t>
      </w:r>
      <w:r w:rsidRPr="00E3665B">
        <w:t>, 94/2010-</w:t>
      </w:r>
      <w:r w:rsidRPr="001E56E4">
        <w:rPr>
          <w:lang w:val="en-US"/>
        </w:rPr>
        <w:t>ZIU</w:t>
      </w:r>
      <w:r w:rsidRPr="00E3665B">
        <w:t>, 40/2012-</w:t>
      </w:r>
      <w:r w:rsidRPr="001E56E4">
        <w:rPr>
          <w:lang w:val="en-US"/>
        </w:rPr>
        <w:t>ZUJF</w:t>
      </w:r>
      <w:r w:rsidRPr="00E3665B">
        <w:t xml:space="preserve">. </w:t>
      </w:r>
    </w:p>
    <w:p w:rsidR="00C6395B" w:rsidRDefault="00C6395B" w:rsidP="004401AB">
      <w:pPr>
        <w:pStyle w:val="SingleTxt"/>
      </w:pPr>
      <w:r>
        <w:t>30.</w:t>
      </w:r>
      <w:r>
        <w:tab/>
        <w:t xml:space="preserve">Закон о финансовой социальной помощи, </w:t>
      </w:r>
      <w:r w:rsidRPr="00E3665B">
        <w:rPr>
          <w:i/>
        </w:rPr>
        <w:t>Uradni list RS</w:t>
      </w:r>
      <w:r>
        <w:t xml:space="preserve"> No. 61/2010, 40/2011, 110/2011-ZDIU12, 40/2012-ZUJF, 14/2013, 99/2013.</w:t>
      </w:r>
    </w:p>
    <w:p w:rsidR="00C6395B" w:rsidRDefault="00C6395B" w:rsidP="004401AB">
      <w:pPr>
        <w:pStyle w:val="SingleTxt"/>
      </w:pPr>
      <w:r>
        <w:t>31.</w:t>
      </w:r>
      <w:r>
        <w:tab/>
        <w:t xml:space="preserve">Закон о регулировании рынка труда, </w:t>
      </w:r>
      <w:r w:rsidRPr="00E3665B">
        <w:rPr>
          <w:i/>
        </w:rPr>
        <w:t>Uradni list RS</w:t>
      </w:r>
      <w:r>
        <w:t xml:space="preserve"> No.80/2010, 40/2012-ZUJF, 21/2013, 63/2013-ZIUPTDSV, 63/2013, 100/2013.</w:t>
      </w:r>
    </w:p>
    <w:p w:rsidR="00C6395B" w:rsidRDefault="00C6395B" w:rsidP="004401AB">
      <w:pPr>
        <w:pStyle w:val="SingleTxt"/>
      </w:pPr>
      <w:r>
        <w:t>32.</w:t>
      </w:r>
      <w:r>
        <w:tab/>
        <w:t>Резолюция о Национальной программе по обеспечению равных возмо</w:t>
      </w:r>
      <w:r>
        <w:t>ж</w:t>
      </w:r>
      <w:r>
        <w:t xml:space="preserve">ностей для женщин и мужчин (2005–2013 годы), </w:t>
      </w:r>
      <w:r w:rsidRPr="00E3665B">
        <w:rPr>
          <w:i/>
        </w:rPr>
        <w:t>Uradni list RS</w:t>
      </w:r>
      <w:r>
        <w:t xml:space="preserve"> No. 100/2005. </w:t>
      </w:r>
    </w:p>
    <w:p w:rsidR="00C6395B" w:rsidRDefault="00C6395B" w:rsidP="004401AB">
      <w:pPr>
        <w:pStyle w:val="SingleTxt"/>
      </w:pPr>
      <w:r>
        <w:t>33.</w:t>
      </w:r>
      <w:r>
        <w:tab/>
        <w:t xml:space="preserve">Резолюция о Национальной программе по борьбе с насилием в семье, </w:t>
      </w:r>
      <w:r w:rsidRPr="00E3665B">
        <w:rPr>
          <w:i/>
        </w:rPr>
        <w:t xml:space="preserve">Uradni list RS </w:t>
      </w:r>
      <w:r>
        <w:t xml:space="preserve">No. 41/2009. </w:t>
      </w:r>
    </w:p>
    <w:p w:rsidR="00C6395B" w:rsidRDefault="00C6395B" w:rsidP="004401AB">
      <w:pPr>
        <w:pStyle w:val="SingleTxt"/>
      </w:pPr>
      <w:r>
        <w:t>34.</w:t>
      </w:r>
      <w:r>
        <w:tab/>
        <w:t xml:space="preserve">Резолюция о Национальном плане здравоохранения на 2008–2013 годы «Удовлетворенные пациенты и медицинские работники», </w:t>
      </w:r>
      <w:r w:rsidRPr="00E3665B">
        <w:rPr>
          <w:i/>
        </w:rPr>
        <w:t>Uradni list RS</w:t>
      </w:r>
      <w:r>
        <w:t xml:space="preserve"> No. 72/2008 (47/2008 popr.). </w:t>
      </w:r>
    </w:p>
    <w:p w:rsidR="00C6395B" w:rsidRDefault="00C6395B" w:rsidP="004401AB">
      <w:pPr>
        <w:pStyle w:val="SingleTxt"/>
      </w:pPr>
      <w:r>
        <w:t>35.</w:t>
      </w:r>
      <w:r>
        <w:tab/>
        <w:t>Указ о мерах по защите достоинства работников государственной админ</w:t>
      </w:r>
      <w:r>
        <w:t>и</w:t>
      </w:r>
      <w:r>
        <w:t xml:space="preserve">страции, </w:t>
      </w:r>
      <w:r w:rsidRPr="00E3665B">
        <w:rPr>
          <w:i/>
        </w:rPr>
        <w:t>Uradni list RS</w:t>
      </w:r>
      <w:r>
        <w:t xml:space="preserve"> No. 36/2009. </w:t>
      </w:r>
    </w:p>
    <w:p w:rsidR="00C6395B" w:rsidRDefault="00C6395B" w:rsidP="004401AB">
      <w:pPr>
        <w:pStyle w:val="SingleTxt"/>
      </w:pPr>
      <w:r>
        <w:t>36.</w:t>
      </w:r>
      <w:r>
        <w:tab/>
        <w:t>Правила организации и работы многопрофильных групп и региональных служб и деятельности центров социальной работы по борьбе с бытовым нас</w:t>
      </w:r>
      <w:r>
        <w:t>и</w:t>
      </w:r>
      <w:r>
        <w:t xml:space="preserve">лием, </w:t>
      </w:r>
      <w:r w:rsidRPr="00E3665B">
        <w:rPr>
          <w:i/>
        </w:rPr>
        <w:t>Uradni list RS</w:t>
      </w:r>
      <w:r>
        <w:t xml:space="preserve"> No. 31/2009. </w:t>
      </w:r>
    </w:p>
    <w:p w:rsidR="00C6395B" w:rsidRDefault="00C6395B" w:rsidP="004401AB">
      <w:pPr>
        <w:pStyle w:val="SingleTxt"/>
      </w:pPr>
      <w:r>
        <w:t>37.</w:t>
      </w:r>
      <w:r>
        <w:tab/>
        <w:t>Правила сотрудничества между полицией и другими структурами в ра</w:t>
      </w:r>
      <w:r>
        <w:t>м</w:t>
      </w:r>
      <w:r>
        <w:t xml:space="preserve">ках выявления и предупреждения случаев бытового насилия, </w:t>
      </w:r>
      <w:r w:rsidRPr="00E3665B">
        <w:rPr>
          <w:i/>
        </w:rPr>
        <w:t>Uradni list RS</w:t>
      </w:r>
      <w:r>
        <w:t xml:space="preserve"> No. 25/2010.</w:t>
      </w:r>
    </w:p>
    <w:p w:rsidR="00C6395B" w:rsidRDefault="00C6395B" w:rsidP="004401AB">
      <w:pPr>
        <w:pStyle w:val="SingleTxt"/>
      </w:pPr>
      <w:r>
        <w:t>38.</w:t>
      </w:r>
      <w:r>
        <w:tab/>
        <w:t xml:space="preserve">Правила действий в случае бытового насилия в рамках осуществления медико-санитарных мероприятий, </w:t>
      </w:r>
      <w:r w:rsidRPr="00E3665B">
        <w:rPr>
          <w:i/>
        </w:rPr>
        <w:t>Uradni list RS</w:t>
      </w:r>
      <w:r>
        <w:t xml:space="preserve"> No. 38/2011. </w:t>
      </w:r>
    </w:p>
    <w:p w:rsidR="00C6395B" w:rsidRDefault="00C6395B" w:rsidP="004401AB">
      <w:pPr>
        <w:pStyle w:val="SingleTxt"/>
      </w:pPr>
      <w:r>
        <w:t>39.</w:t>
      </w:r>
      <w:r>
        <w:tab/>
        <w:t xml:space="preserve">Программа разбирательства случаев бытового насилия, предназначенная для учебных заведений, </w:t>
      </w:r>
      <w:r w:rsidRPr="00E3665B">
        <w:rPr>
          <w:i/>
        </w:rPr>
        <w:t>Uradni list RS</w:t>
      </w:r>
      <w:r>
        <w:t xml:space="preserve"> No. 104/2009. </w:t>
      </w:r>
    </w:p>
    <w:p w:rsidR="00C6395B" w:rsidRDefault="00C6395B" w:rsidP="004401AB">
      <w:pPr>
        <w:pStyle w:val="SingleTxt"/>
      </w:pPr>
      <w:r>
        <w:t>40.</w:t>
      </w:r>
      <w:r>
        <w:tab/>
        <w:t xml:space="preserve">Правила классификации лекарств, включенных в перечень, </w:t>
      </w:r>
      <w:r w:rsidRPr="00E3665B">
        <w:rPr>
          <w:i/>
        </w:rPr>
        <w:t xml:space="preserve">Uradni list RS </w:t>
      </w:r>
      <w:r>
        <w:t>No. 110/2010, 35/2013.</w:t>
      </w:r>
    </w:p>
    <w:p w:rsidR="00C6395B" w:rsidRPr="00E3665B" w:rsidRDefault="00C6395B" w:rsidP="004401AB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p w:rsidR="00C6395B" w:rsidRPr="00CC5BAD" w:rsidRDefault="00C6395B" w:rsidP="00240981">
      <w:pPr>
        <w:pStyle w:val="SingleTxt"/>
      </w:pPr>
    </w:p>
    <w:sectPr w:rsidR="00C6395B" w:rsidRPr="00CC5BAD" w:rsidSect="00240981">
      <w:type w:val="continuous"/>
      <w:pgSz w:w="12240" w:h="15840"/>
      <w:pgMar w:top="1742" w:right="1195" w:bottom="1898" w:left="1195" w:header="576" w:footer="1030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7-21T08:30:00Z" w:initials="Start">
    <w:p w:rsidR="009F433E" w:rsidRPr="00240981" w:rsidRDefault="009F433E">
      <w:pPr>
        <w:pStyle w:val="CommentText"/>
        <w:rPr>
          <w:lang w:val="en-US"/>
        </w:rPr>
      </w:pPr>
      <w:r>
        <w:fldChar w:fldCharType="begin"/>
      </w:r>
      <w:r w:rsidRPr="00240981">
        <w:rPr>
          <w:rStyle w:val="CommentReference"/>
          <w:lang w:val="en-US"/>
        </w:rPr>
        <w:instrText xml:space="preserve"> </w:instrText>
      </w:r>
      <w:r w:rsidRPr="00240981">
        <w:rPr>
          <w:lang w:val="en-US"/>
        </w:rPr>
        <w:instrText>PAGE \# "'Page: '#'</w:instrText>
      </w:r>
      <w:r w:rsidRPr="00240981">
        <w:rPr>
          <w:lang w:val="en-US"/>
        </w:rPr>
        <w:br/>
        <w:instrText>'"</w:instrText>
      </w:r>
      <w:r w:rsidRPr="0024098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40981">
        <w:rPr>
          <w:lang w:val="en-US"/>
        </w:rPr>
        <w:t>&lt;&lt;ODS JOB NO&gt;&gt;N1443094R&lt;&lt;ODS JOB NO&gt;&gt;</w:t>
      </w:r>
    </w:p>
    <w:p w:rsidR="009F433E" w:rsidRPr="00240981" w:rsidRDefault="009F433E">
      <w:pPr>
        <w:pStyle w:val="CommentText"/>
        <w:rPr>
          <w:lang w:val="en-US"/>
        </w:rPr>
      </w:pPr>
      <w:r w:rsidRPr="00240981">
        <w:rPr>
          <w:lang w:val="en-US"/>
        </w:rPr>
        <w:t>&lt;&lt;ODS DOC SYMBOL1&gt;&gt;CEDAW/C/SVN/5-6&lt;&lt;ODS DOC SYMBOL1&gt;&gt;</w:t>
      </w:r>
    </w:p>
    <w:p w:rsidR="009F433E" w:rsidRPr="00240981" w:rsidRDefault="009F433E">
      <w:pPr>
        <w:pStyle w:val="CommentText"/>
        <w:rPr>
          <w:lang w:val="en-US"/>
        </w:rPr>
      </w:pPr>
      <w:r w:rsidRPr="0024098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83" w:rsidRDefault="002C5383" w:rsidP="008A1A7A">
      <w:pPr>
        <w:spacing w:line="240" w:lineRule="auto"/>
      </w:pPr>
      <w:r>
        <w:separator/>
      </w:r>
    </w:p>
  </w:endnote>
  <w:endnote w:type="continuationSeparator" w:id="0">
    <w:p w:rsidR="002C5383" w:rsidRDefault="002C538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9F433E" w:rsidTr="009F433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Footer"/>
            <w:rPr>
              <w:color w:val="000000"/>
              <w:szCs w:val="22"/>
              <w:lang w:eastAsia="en-US"/>
            </w:rPr>
          </w:pPr>
          <w:r w:rsidRPr="00FC207D">
            <w:rPr>
              <w:szCs w:val="22"/>
              <w:lang w:eastAsia="en-US"/>
            </w:rPr>
            <w:fldChar w:fldCharType="begin"/>
          </w:r>
          <w:r w:rsidRPr="00FC207D">
            <w:rPr>
              <w:szCs w:val="22"/>
              <w:lang w:eastAsia="en-US"/>
            </w:rPr>
            <w:instrText xml:space="preserve"> PAGE  \* Arabic  \* MERGEFORMAT </w:instrText>
          </w:r>
          <w:r w:rsidRPr="00FC207D">
            <w:rPr>
              <w:szCs w:val="22"/>
              <w:lang w:eastAsia="en-US"/>
            </w:rPr>
            <w:fldChar w:fldCharType="separate"/>
          </w:r>
          <w:r w:rsidR="007602CC" w:rsidRPr="00FC207D">
            <w:rPr>
              <w:noProof/>
              <w:szCs w:val="22"/>
              <w:lang w:eastAsia="en-US"/>
            </w:rPr>
            <w:t>52</w:t>
          </w:r>
          <w:r w:rsidRPr="00FC207D">
            <w:rPr>
              <w:szCs w:val="22"/>
              <w:lang w:eastAsia="en-US"/>
            </w:rPr>
            <w:fldChar w:fldCharType="end"/>
          </w:r>
          <w:r w:rsidRPr="00FC207D">
            <w:rPr>
              <w:szCs w:val="22"/>
              <w:lang w:eastAsia="en-US"/>
            </w:rPr>
            <w:t>/</w:t>
          </w:r>
          <w:fldSimple w:instr=" NUMPAGES  \* Arabic  \* MERGEFORMAT ">
            <w:r w:rsidR="007602CC" w:rsidRPr="00FC207D">
              <w:rPr>
                <w:noProof/>
                <w:szCs w:val="22"/>
                <w:lang w:eastAsia="en-US"/>
              </w:rPr>
              <w:t>62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7602CC" w:rsidRPr="00FC207D">
              <w:rPr>
                <w:b w:val="0"/>
                <w:color w:val="000000"/>
                <w:sz w:val="14"/>
                <w:szCs w:val="22"/>
                <w:lang w:eastAsia="en-US"/>
              </w:rPr>
              <w:t>14-55403</w:t>
            </w:r>
          </w:fldSimple>
        </w:p>
      </w:tc>
    </w:tr>
  </w:tbl>
  <w:p w:rsidR="009F433E" w:rsidRPr="009F433E" w:rsidRDefault="009F433E" w:rsidP="009F43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9F433E" w:rsidTr="009F433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7602CC" w:rsidRPr="00FC207D">
              <w:rPr>
                <w:b w:val="0"/>
                <w:color w:val="000000"/>
                <w:sz w:val="14"/>
                <w:szCs w:val="22"/>
                <w:lang w:eastAsia="en-US"/>
              </w:rPr>
              <w:t>14-55403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Footer"/>
            <w:jc w:val="right"/>
            <w:rPr>
              <w:szCs w:val="22"/>
              <w:lang w:eastAsia="en-US"/>
            </w:rPr>
          </w:pPr>
          <w:r w:rsidRPr="00FC207D">
            <w:rPr>
              <w:szCs w:val="22"/>
              <w:lang w:eastAsia="en-US"/>
            </w:rPr>
            <w:fldChar w:fldCharType="begin"/>
          </w:r>
          <w:r w:rsidRPr="00FC207D">
            <w:rPr>
              <w:szCs w:val="22"/>
              <w:lang w:eastAsia="en-US"/>
            </w:rPr>
            <w:instrText xml:space="preserve"> PAGE  \* Arabic  \* MERGEFORMAT </w:instrText>
          </w:r>
          <w:r w:rsidRPr="00FC207D">
            <w:rPr>
              <w:szCs w:val="22"/>
              <w:lang w:eastAsia="en-US"/>
            </w:rPr>
            <w:fldChar w:fldCharType="separate"/>
          </w:r>
          <w:r w:rsidR="007602CC" w:rsidRPr="00FC207D">
            <w:rPr>
              <w:noProof/>
              <w:szCs w:val="22"/>
              <w:lang w:eastAsia="en-US"/>
            </w:rPr>
            <w:t>51</w:t>
          </w:r>
          <w:r w:rsidRPr="00FC207D">
            <w:rPr>
              <w:szCs w:val="22"/>
              <w:lang w:eastAsia="en-US"/>
            </w:rPr>
            <w:fldChar w:fldCharType="end"/>
          </w:r>
          <w:r w:rsidRPr="00FC207D">
            <w:rPr>
              <w:szCs w:val="22"/>
              <w:lang w:eastAsia="en-US"/>
            </w:rPr>
            <w:t>/</w:t>
          </w:r>
          <w:fldSimple w:instr=" NUMPAGES  \* Arabic  \* MERGEFORMAT ">
            <w:r w:rsidR="007602CC" w:rsidRPr="00FC207D">
              <w:rPr>
                <w:noProof/>
                <w:szCs w:val="22"/>
                <w:lang w:eastAsia="en-US"/>
              </w:rPr>
              <w:t>62</w:t>
            </w:r>
          </w:fldSimple>
        </w:p>
      </w:tc>
    </w:tr>
  </w:tbl>
  <w:p w:rsidR="009F433E" w:rsidRPr="009F433E" w:rsidRDefault="009F433E" w:rsidP="009F43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3E" w:rsidRDefault="009F433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4pt;margin-top:683.75pt;width:54.9pt;height:54.9pt;z-index:1;mso-position-horizontal-relative:page;mso-position-vertical-relative:page" o:preferrelative="f">
          <v:imagedata r:id="rId1" o:title="5-6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9F433E" w:rsidTr="009F433E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9F433E" w:rsidRDefault="009F433E" w:rsidP="009F433E">
          <w:pPr>
            <w:pStyle w:val="ReleaseDate"/>
            <w:rPr>
              <w:color w:val="010000"/>
            </w:rPr>
          </w:pPr>
          <w:r>
            <w:t>14-55403 (R)</w:t>
          </w:r>
          <w:r>
            <w:rPr>
              <w:color w:val="010000"/>
            </w:rPr>
            <w:t xml:space="preserve">    1</w:t>
          </w:r>
          <w:r w:rsidR="00240981">
            <w:rPr>
              <w:color w:val="010000"/>
            </w:rPr>
            <w:t>6</w:t>
          </w:r>
          <w:r>
            <w:rPr>
              <w:color w:val="010000"/>
            </w:rPr>
            <w:t>0714    210714</w:t>
          </w:r>
        </w:p>
        <w:p w:rsidR="009F433E" w:rsidRPr="009F433E" w:rsidRDefault="009F433E" w:rsidP="009F433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*1455403(R)*</w:t>
          </w:r>
        </w:p>
      </w:tc>
      <w:tc>
        <w:tcPr>
          <w:tcW w:w="5033" w:type="dxa"/>
        </w:tcPr>
        <w:p w:rsidR="009F433E" w:rsidRPr="00FC207D" w:rsidRDefault="009F433E" w:rsidP="009F433E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FC207D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9F433E" w:rsidRPr="009F433E" w:rsidRDefault="009F433E" w:rsidP="009F433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83" w:rsidRPr="007E0CCC" w:rsidRDefault="002C5383" w:rsidP="007E0CCC">
      <w:pPr>
        <w:pStyle w:val="Footer"/>
        <w:spacing w:after="80"/>
        <w:ind w:left="792"/>
        <w:rPr>
          <w:sz w:val="16"/>
        </w:rPr>
      </w:pPr>
      <w:r w:rsidRPr="007E0CCC">
        <w:rPr>
          <w:sz w:val="16"/>
        </w:rPr>
        <w:t>__________________</w:t>
      </w:r>
    </w:p>
  </w:footnote>
  <w:footnote w:type="continuationSeparator" w:id="0">
    <w:p w:rsidR="002C5383" w:rsidRPr="007E0CCC" w:rsidRDefault="002C5383" w:rsidP="007E0CCC">
      <w:pPr>
        <w:pStyle w:val="Footer"/>
        <w:spacing w:after="80"/>
        <w:ind w:left="792"/>
        <w:rPr>
          <w:sz w:val="16"/>
        </w:rPr>
      </w:pPr>
      <w:r w:rsidRPr="007E0CCC">
        <w:rPr>
          <w:sz w:val="16"/>
        </w:rPr>
        <w:t>__________________</w:t>
      </w:r>
    </w:p>
  </w:footnote>
  <w:footnote w:id="1">
    <w:p w:rsidR="00240981" w:rsidRP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40981">
        <w:rPr>
          <w:rStyle w:val="FootnoteReference"/>
        </w:rPr>
        <w:tab/>
      </w:r>
      <w:r>
        <w:rPr>
          <w:rStyle w:val="FootnoteReference"/>
        </w:rPr>
        <w:t>*</w:t>
      </w:r>
      <w:r w:rsidRPr="00240981">
        <w:rPr>
          <w:rStyle w:val="FootnoteReference"/>
        </w:rPr>
        <w:tab/>
      </w:r>
      <w:r w:rsidRPr="00240981">
        <w:t>Настоящий документ издается без официального редактирования.</w:t>
      </w:r>
    </w:p>
  </w:footnote>
  <w:footnote w:id="2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rPr>
          <w:rStyle w:val="FootnoteReference"/>
        </w:rPr>
        <w:tab/>
      </w:r>
      <w:r>
        <w:rPr>
          <w:sz w:val="16"/>
          <w:szCs w:val="24"/>
        </w:rPr>
        <w:t>В настоящей главе приводится соответствующая информация, обновляющая данные общего базового документа Словении, в частности путем включения в него гендерных сведений.</w:t>
      </w:r>
    </w:p>
  </w:footnote>
  <w:footnote w:id="3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 xml:space="preserve">См. Приложение, таблицы 1 и 2. </w:t>
      </w:r>
    </w:p>
  </w:footnote>
  <w:footnote w:id="4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 xml:space="preserve">См. Приложение, таблица 2. </w:t>
      </w:r>
    </w:p>
  </w:footnote>
  <w:footnote w:id="5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м. Приложение, таблицы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3 и 4. </w:t>
      </w:r>
    </w:p>
  </w:footnote>
  <w:footnote w:id="6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См.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>Приложение, таблица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37. </w:t>
      </w:r>
    </w:p>
  </w:footnote>
  <w:footnote w:id="7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См.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>Приложение, таблицы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5 и 6. </w:t>
      </w:r>
    </w:p>
  </w:footnote>
  <w:footnote w:id="8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См.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>Приложение, таблица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7. </w:t>
      </w:r>
    </w:p>
  </w:footnote>
  <w:footnote w:id="9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См.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>Приложение, таблицы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8 и 9. </w:t>
      </w:r>
    </w:p>
  </w:footnote>
  <w:footnote w:id="10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См.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>Приложение, таблица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18. </w:t>
      </w:r>
    </w:p>
  </w:footnote>
  <w:footnote w:id="11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См.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Приложение, таблица 22. </w:t>
      </w:r>
    </w:p>
  </w:footnote>
  <w:footnote w:id="12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  <w:t>См.</w:t>
      </w:r>
      <w:r>
        <w:rPr>
          <w:sz w:val="16"/>
          <w:szCs w:val="24"/>
          <w:lang w:val="en-US"/>
        </w:rPr>
        <w:t> </w:t>
      </w:r>
      <w:r>
        <w:rPr>
          <w:sz w:val="16"/>
          <w:szCs w:val="24"/>
        </w:rPr>
        <w:t xml:space="preserve">Приложение, таблица 25. </w:t>
      </w:r>
    </w:p>
  </w:footnote>
  <w:footnote w:id="13">
    <w:p w:rsidR="00240981" w:rsidRDefault="0024098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sz w:val="16"/>
          <w:szCs w:val="24"/>
        </w:rPr>
        <w:tab/>
      </w:r>
      <w:r w:rsidRPr="00105B63">
        <w:rPr>
          <w:sz w:val="16"/>
          <w:szCs w:val="24"/>
        </w:rPr>
        <w:t>См.</w:t>
      </w:r>
      <w:r w:rsidRPr="00105B63">
        <w:rPr>
          <w:sz w:val="16"/>
          <w:szCs w:val="24"/>
          <w:lang w:val="en-US"/>
        </w:rPr>
        <w:t> </w:t>
      </w:r>
      <w:r w:rsidRPr="00105B63">
        <w:rPr>
          <w:sz w:val="16"/>
          <w:szCs w:val="24"/>
        </w:rPr>
        <w:t>Приложение, таблица</w:t>
      </w:r>
      <w:r>
        <w:rPr>
          <w:sz w:val="16"/>
          <w:szCs w:val="24"/>
          <w:lang w:val="en-US"/>
        </w:rPr>
        <w:t> </w:t>
      </w:r>
      <w:r w:rsidRPr="00105B63">
        <w:rPr>
          <w:sz w:val="16"/>
          <w:szCs w:val="24"/>
        </w:rPr>
        <w:t>28.</w:t>
      </w:r>
      <w:r>
        <w:rPr>
          <w:rFonts w:ascii="Arial" w:hAnsi="Arial"/>
          <w:sz w:val="16"/>
          <w:szCs w:val="24"/>
        </w:rPr>
        <w:t xml:space="preserve"> </w:t>
      </w:r>
    </w:p>
  </w:footnote>
  <w:footnote w:id="14">
    <w:p w:rsidR="00CC5BAD" w:rsidRDefault="00CC5BAD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847362">
        <w:t>Гендерное равенство в семье и в рамках партнерских отношений. Министерство труда, по вопросам семьи, социальных дел и равных возможностей</w:t>
      </w:r>
      <w:r>
        <w:t>,</w:t>
      </w:r>
      <w:r w:rsidRPr="00847362">
        <w:t xml:space="preserve"> 2012 год.</w:t>
      </w:r>
    </w:p>
  </w:footnote>
  <w:footnote w:id="15">
    <w:p w:rsidR="00D149C3" w:rsidRDefault="00D149C3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873458">
        <w:t>См. приложение, таблица 1</w:t>
      </w:r>
      <w:r>
        <w:t>1</w:t>
      </w:r>
      <w:r w:rsidRPr="00873458">
        <w:t>.</w:t>
      </w:r>
    </w:p>
  </w:footnote>
  <w:footnote w:id="16">
    <w:p w:rsidR="00D149C3" w:rsidRDefault="00D149C3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873458">
        <w:t>Источник: Министерство внутренних дел, полиция, 2013 год.</w:t>
      </w:r>
    </w:p>
  </w:footnote>
  <w:footnote w:id="17">
    <w:p w:rsidR="00D149C3" w:rsidRPr="00873458" w:rsidRDefault="00D149C3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873458">
        <w:rPr>
          <w:lang w:val="en-US"/>
        </w:rPr>
        <w:tab/>
        <w:t xml:space="preserve">Leskošek V. , Urek </w:t>
      </w:r>
      <w:r w:rsidRPr="00873458">
        <w:t>М</w:t>
      </w:r>
      <w:r w:rsidRPr="00873458">
        <w:rPr>
          <w:lang w:val="en-US"/>
        </w:rPr>
        <w:t>. , Zaviršek D. : Report on the national survey on violence in the private sphere and partnership, 2010.</w:t>
      </w:r>
    </w:p>
  </w:footnote>
  <w:footnote w:id="18">
    <w:p w:rsidR="00D149C3" w:rsidRPr="00873458" w:rsidRDefault="00D149C3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873458">
        <w:rPr>
          <w:lang w:val="en-US"/>
        </w:rPr>
        <w:tab/>
        <w:t xml:space="preserve">Filipčič K. , Parazajda K. , Rihtaršič </w:t>
      </w:r>
      <w:r w:rsidRPr="00873458">
        <w:t>М</w:t>
      </w:r>
      <w:r w:rsidRPr="00873458">
        <w:rPr>
          <w:lang w:val="en-US"/>
        </w:rPr>
        <w:t>. , Murgel S. : The work of institutions in dealing with family violence.</w:t>
      </w:r>
    </w:p>
  </w:footnote>
  <w:footnote w:id="19">
    <w:p w:rsidR="005F57A6" w:rsidRDefault="005F57A6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5F57A6">
        <w:t>В центрах социальной работы профессиональные сотрудники/координаторы занимаются оказанием профессиональной поддержки и помощи жертвам насилия. В настоящее время насчитывается 12 таких координаторов.</w:t>
      </w:r>
    </w:p>
  </w:footnote>
  <w:footnote w:id="20">
    <w:p w:rsidR="005F57A6" w:rsidRPr="00314899" w:rsidRDefault="005F57A6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Источник: Доклад о работе Трудовой инспекции Республики Словения за 2008, 2009, 2010, 2011 и 2012 годы.</w:t>
      </w:r>
    </w:p>
  </w:footnote>
  <w:footnote w:id="21">
    <w:p w:rsidR="005F57A6" w:rsidRDefault="005F57A6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9C54EB">
        <w:t xml:space="preserve">Источник: </w:t>
      </w:r>
      <w:r>
        <w:t>М</w:t>
      </w:r>
      <w:r w:rsidRPr="009C54EB">
        <w:t>инистерство внутренних дел, полиция, 2013 год.</w:t>
      </w:r>
    </w:p>
  </w:footnote>
  <w:footnote w:id="22">
    <w:p w:rsidR="005F57A6" w:rsidRDefault="005F57A6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9C54EB">
        <w:t>Источник: Доклад о работе, проведенной Межведомственной рабочей группой по борьбе с торговлей людьми в 2012 году.</w:t>
      </w:r>
    </w:p>
  </w:footnote>
  <w:footnote w:id="23">
    <w:p w:rsidR="00E54A08" w:rsidRDefault="00E54A0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13382">
        <w:t>См. приложение, таблица 14.</w:t>
      </w:r>
    </w:p>
  </w:footnote>
  <w:footnote w:id="24">
    <w:p w:rsidR="00E54A08" w:rsidRPr="00313382" w:rsidRDefault="00E54A0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13382">
        <w:tab/>
      </w:r>
      <w:r w:rsidRPr="00313382">
        <w:rPr>
          <w:rStyle w:val="FootnoteReference"/>
        </w:rPr>
        <w:footnoteRef/>
      </w:r>
      <w:r w:rsidRPr="00313382">
        <w:tab/>
        <w:t xml:space="preserve">Источник: http://www.vlada.si. Собственные расчеты. По состоянию на 4 ноября 2013 года. </w:t>
      </w:r>
    </w:p>
  </w:footnote>
  <w:footnote w:id="25">
    <w:p w:rsidR="00E54A08" w:rsidRPr="00313382" w:rsidRDefault="00E54A0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13382">
        <w:tab/>
      </w:r>
      <w:r w:rsidRPr="00313382">
        <w:rPr>
          <w:rStyle w:val="FootnoteReference"/>
        </w:rPr>
        <w:footnoteRef/>
      </w:r>
      <w:r w:rsidRPr="00313382">
        <w:tab/>
        <w:t xml:space="preserve">См. приложение, таблица 15. </w:t>
      </w:r>
    </w:p>
  </w:footnote>
  <w:footnote w:id="26">
    <w:p w:rsidR="00E54A08" w:rsidRPr="00313382" w:rsidRDefault="00E54A0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13382">
        <w:tab/>
      </w:r>
      <w:r w:rsidRPr="00313382">
        <w:rPr>
          <w:rStyle w:val="FootnoteReference"/>
        </w:rPr>
        <w:footnoteRef/>
      </w:r>
      <w:r w:rsidRPr="00313382">
        <w:tab/>
        <w:t xml:space="preserve">Источник: http://sodisce.si/. По состоянию на 31 июля 2013 года. </w:t>
      </w:r>
    </w:p>
  </w:footnote>
  <w:footnote w:id="27">
    <w:p w:rsidR="00E54A08" w:rsidRPr="00313382" w:rsidRDefault="00E54A0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13382">
        <w:tab/>
      </w:r>
      <w:r w:rsidRPr="00313382">
        <w:rPr>
          <w:rStyle w:val="FootnoteReference"/>
        </w:rPr>
        <w:footnoteRef/>
      </w:r>
      <w:r w:rsidRPr="00313382">
        <w:tab/>
        <w:t xml:space="preserve">Источник: http://www.dt-rs.si/. По состоянию на 25 октября 2013 года. </w:t>
      </w:r>
    </w:p>
  </w:footnote>
  <w:footnote w:id="28">
    <w:p w:rsidR="00E54A08" w:rsidRPr="00E54A08" w:rsidRDefault="00E54A0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E54A08">
        <w:rPr>
          <w:lang w:val="en-US"/>
        </w:rPr>
        <w:tab/>
      </w:r>
      <w:r w:rsidRPr="00313382">
        <w:t>Источник</w:t>
      </w:r>
      <w:r w:rsidRPr="00E54A08">
        <w:rPr>
          <w:lang w:val="en-US"/>
        </w:rPr>
        <w:t>: http://ec.europa.eu/justice/gender-equality/gender-decision-making/database/ business-finance/quoted-companies/index_en.htm.</w:t>
      </w:r>
    </w:p>
  </w:footnote>
  <w:footnote w:id="29">
    <w:p w:rsidR="009D5BF8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 w:rsidRPr="007D58E5">
        <w:rPr>
          <w:sz w:val="16"/>
          <w:szCs w:val="24"/>
        </w:rPr>
        <w:tab/>
      </w:r>
      <w:r>
        <w:rPr>
          <w:sz w:val="16"/>
          <w:szCs w:val="24"/>
        </w:rPr>
        <w:t xml:space="preserve">Источник: данные министерства иностранных дел от 2013 года. См. Приложение, таблица 16. </w:t>
      </w:r>
    </w:p>
  </w:footnote>
  <w:footnote w:id="30">
    <w:p w:rsidR="009D5BF8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rFonts w:ascii="Arial" w:hAnsi="Arial"/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 w:rsidRPr="007D58E5">
        <w:rPr>
          <w:rFonts w:ascii="Arial" w:hAnsi="Arial"/>
          <w:sz w:val="16"/>
          <w:szCs w:val="24"/>
        </w:rPr>
        <w:tab/>
      </w:r>
      <w:r w:rsidRPr="009D5BF8">
        <w:t>См.</w:t>
      </w:r>
      <w:r>
        <w:t xml:space="preserve"> п</w:t>
      </w:r>
      <w:r w:rsidRPr="00055721">
        <w:t>риложение, таблица 17.</w:t>
      </w:r>
      <w:r>
        <w:rPr>
          <w:rFonts w:ascii="Arial" w:hAnsi="Arial"/>
          <w:sz w:val="16"/>
          <w:szCs w:val="24"/>
        </w:rPr>
        <w:t xml:space="preserve"> </w:t>
      </w:r>
    </w:p>
  </w:footnote>
  <w:footnote w:id="31">
    <w:p w:rsidR="009D5BF8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</w:rPr>
      </w:pPr>
      <w:r>
        <w:rPr>
          <w:rFonts w:ascii="Arial" w:hAnsi="Arial"/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 w:rsidRPr="007D58E5">
        <w:rPr>
          <w:rFonts w:ascii="Arial" w:hAnsi="Arial"/>
          <w:sz w:val="16"/>
          <w:szCs w:val="24"/>
        </w:rPr>
        <w:tab/>
      </w:r>
      <w:r w:rsidRPr="009D5BF8">
        <w:t>Источник: Статистический ежегодник за 2012</w:t>
      </w:r>
      <w:r w:rsidRPr="006A0B15">
        <w:rPr>
          <w:lang w:val="en-US"/>
        </w:rPr>
        <w:t> </w:t>
      </w:r>
      <w:r w:rsidRPr="009D5BF8">
        <w:t xml:space="preserve">год. </w:t>
      </w:r>
      <w:r w:rsidRPr="00055721">
        <w:t>См.</w:t>
      </w:r>
      <w:r>
        <w:rPr>
          <w:lang w:val="en-US"/>
        </w:rPr>
        <w:t> </w:t>
      </w:r>
      <w:r w:rsidRPr="00055721">
        <w:t>Приложение, таблицы 20 и 21.</w:t>
      </w:r>
    </w:p>
  </w:footnote>
  <w:footnote w:id="32">
    <w:p w:rsidR="009D5BF8" w:rsidRPr="00055721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Fonts w:ascii="Arial" w:hAnsi="Arial"/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 w:rsidRPr="007D58E5">
        <w:rPr>
          <w:rFonts w:ascii="Arial" w:hAnsi="Arial"/>
          <w:sz w:val="16"/>
          <w:szCs w:val="24"/>
        </w:rPr>
        <w:tab/>
      </w:r>
      <w:r w:rsidRPr="009D5BF8">
        <w:t>См. </w:t>
      </w:r>
      <w:r>
        <w:t>п</w:t>
      </w:r>
      <w:r w:rsidRPr="00055721">
        <w:t xml:space="preserve">риложение, таблица 19. </w:t>
      </w:r>
    </w:p>
  </w:footnote>
  <w:footnote w:id="33">
    <w:p w:rsidR="009D5BF8" w:rsidRPr="007D58E5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  <w:lang w:val="en-US"/>
        </w:rPr>
      </w:pPr>
      <w:r w:rsidRPr="007D58E5">
        <w:rPr>
          <w:rFonts w:ascii="Arial" w:hAnsi="Arial"/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 w:rsidRPr="009D5BF8">
        <w:rPr>
          <w:rFonts w:ascii="Arial" w:hAnsi="Arial"/>
          <w:sz w:val="16"/>
          <w:szCs w:val="24"/>
        </w:rPr>
        <w:t xml:space="preserve"> </w:t>
      </w:r>
      <w:r w:rsidRPr="009D5BF8">
        <w:rPr>
          <w:rFonts w:ascii="Arial" w:hAnsi="Arial"/>
          <w:sz w:val="16"/>
          <w:szCs w:val="24"/>
        </w:rPr>
        <w:tab/>
      </w:r>
      <w:r w:rsidRPr="009D5BF8">
        <w:t>Источни</w:t>
      </w:r>
      <w:r w:rsidRPr="00086D56">
        <w:rPr>
          <w:lang w:val="en-US"/>
        </w:rPr>
        <w:t>к</w:t>
      </w:r>
      <w:r w:rsidRPr="00086D56">
        <w:rPr>
          <w:szCs w:val="24"/>
          <w:lang w:val="en-US"/>
        </w:rPr>
        <w:t xml:space="preserve">: </w:t>
      </w:r>
      <w:r w:rsidRPr="007D58E5">
        <w:rPr>
          <w:lang w:val="en-US"/>
        </w:rPr>
        <w:t>The</w:t>
      </w:r>
      <w:r w:rsidRPr="00F563FE">
        <w:rPr>
          <w:szCs w:val="24"/>
          <w:lang w:val="en-GB"/>
        </w:rPr>
        <w:t xml:space="preserve"> Second Report of the Government of the Republic of Slovenia on the Status of the Roma Community in Slovenia – the Report on the Implementation of the Roma Community Act and the National Programme of Measures for Roma for the Period 2010–2015. </w:t>
      </w:r>
      <w:r w:rsidRPr="007D58E5">
        <w:rPr>
          <w:szCs w:val="24"/>
          <w:lang w:val="en-US"/>
        </w:rPr>
        <w:t>2012.</w:t>
      </w:r>
    </w:p>
  </w:footnote>
  <w:footnote w:id="34">
    <w:p w:rsidR="009D5BF8" w:rsidRPr="009D5BF8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Fonts w:ascii="Arial" w:hAnsi="Arial"/>
          <w:sz w:val="16"/>
          <w:szCs w:val="24"/>
          <w:lang w:val="en-US"/>
        </w:rPr>
        <w:tab/>
      </w:r>
      <w:r>
        <w:rPr>
          <w:rStyle w:val="FootnoteReference"/>
          <w:sz w:val="16"/>
          <w:szCs w:val="24"/>
        </w:rPr>
        <w:footnoteRef/>
      </w:r>
      <w:r w:rsidRPr="00055721">
        <w:rPr>
          <w:rFonts w:ascii="Arial" w:hAnsi="Arial"/>
          <w:sz w:val="16"/>
          <w:szCs w:val="24"/>
        </w:rPr>
        <w:tab/>
      </w:r>
      <w:r w:rsidRPr="009D5BF8">
        <w:t>См. </w:t>
      </w:r>
      <w:r>
        <w:t>п</w:t>
      </w:r>
      <w:r w:rsidRPr="009D5BF8">
        <w:t xml:space="preserve">риложение, таблица 22. </w:t>
      </w:r>
    </w:p>
  </w:footnote>
  <w:footnote w:id="35">
    <w:p w:rsidR="009D5BF8" w:rsidRPr="009D5BF8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55721">
        <w:rPr>
          <w:rFonts w:ascii="Arial" w:hAnsi="Arial"/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 w:rsidRPr="00055721">
        <w:rPr>
          <w:rFonts w:ascii="Arial" w:hAnsi="Arial"/>
          <w:sz w:val="16"/>
          <w:szCs w:val="24"/>
        </w:rPr>
        <w:tab/>
      </w:r>
      <w:r w:rsidRPr="009D5BF8">
        <w:t>См. </w:t>
      </w:r>
      <w:r>
        <w:t>п</w:t>
      </w:r>
      <w:r w:rsidRPr="007D58E5">
        <w:t>риложение</w:t>
      </w:r>
      <w:r w:rsidRPr="009D5BF8">
        <w:t xml:space="preserve">, таблицы 23 и 24. </w:t>
      </w:r>
    </w:p>
  </w:footnote>
  <w:footnote w:id="36">
    <w:p w:rsidR="009D5BF8" w:rsidRPr="007D58E5" w:rsidRDefault="009D5BF8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ascii="Calibri" w:hAnsi="Calibri"/>
          <w:szCs w:val="24"/>
          <w:lang w:val="en-US"/>
        </w:rPr>
      </w:pPr>
      <w:r w:rsidRPr="00055721">
        <w:rPr>
          <w:rFonts w:ascii="Arial" w:hAnsi="Arial"/>
          <w:sz w:val="16"/>
          <w:szCs w:val="24"/>
        </w:rPr>
        <w:tab/>
      </w:r>
      <w:r>
        <w:rPr>
          <w:rStyle w:val="FootnoteReference"/>
          <w:sz w:val="16"/>
          <w:szCs w:val="24"/>
        </w:rPr>
        <w:footnoteRef/>
      </w:r>
      <w:r>
        <w:rPr>
          <w:rFonts w:ascii="Arial" w:hAnsi="Arial"/>
          <w:sz w:val="16"/>
          <w:szCs w:val="24"/>
          <w:lang w:val="en-US"/>
        </w:rPr>
        <w:tab/>
      </w:r>
      <w:r w:rsidRPr="009D5BF8">
        <w:t>См. </w:t>
      </w:r>
      <w:r>
        <w:t>п</w:t>
      </w:r>
      <w:r w:rsidRPr="007D58E5">
        <w:t>риложение</w:t>
      </w:r>
      <w:r w:rsidRPr="00A8334A">
        <w:rPr>
          <w:lang w:val="en-US"/>
        </w:rPr>
        <w:t>, таблица 25.</w:t>
      </w:r>
      <w:r w:rsidRPr="007D58E5">
        <w:rPr>
          <w:rFonts w:ascii="Arial" w:hAnsi="Arial"/>
          <w:sz w:val="16"/>
          <w:szCs w:val="24"/>
          <w:lang w:val="en-US"/>
        </w:rPr>
        <w:t xml:space="preserve"> </w:t>
      </w:r>
    </w:p>
  </w:footnote>
  <w:footnote w:id="37">
    <w:p w:rsidR="00966FDC" w:rsidRDefault="00966FDC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654103">
        <w:t>См.</w:t>
      </w:r>
      <w:r>
        <w:t>п</w:t>
      </w:r>
      <w:r w:rsidRPr="00654103">
        <w:t>риложение, таблица 26.</w:t>
      </w:r>
    </w:p>
  </w:footnote>
  <w:footnote w:id="38">
    <w:p w:rsidR="00966FDC" w:rsidRDefault="00966FDC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A57EE7">
        <w:t>Источник: Статистическое управление Республики Словения</w:t>
      </w:r>
      <w:r>
        <w:t>. См. приложение, таблица </w:t>
      </w:r>
      <w:r w:rsidRPr="00A57EE7">
        <w:t>27.</w:t>
      </w:r>
    </w:p>
  </w:footnote>
  <w:footnote w:id="39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 xml:space="preserve">См. </w:t>
      </w:r>
      <w:r>
        <w:t>п</w:t>
      </w:r>
      <w:r w:rsidRPr="00243302">
        <w:t>риложение, таблицы 28 и 29.</w:t>
      </w:r>
    </w:p>
  </w:footnote>
  <w:footnote w:id="40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>Источник: Статистическое управление Республики Словения.</w:t>
      </w:r>
    </w:p>
  </w:footnote>
  <w:footnote w:id="41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>Источник: Статистическое управление Республики Словения.</w:t>
      </w:r>
    </w:p>
  </w:footnote>
  <w:footnote w:id="42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>Источник: Статистическое управление Республики Словения.</w:t>
      </w:r>
    </w:p>
  </w:footnote>
  <w:footnote w:id="43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>Источник: Статистическое управление Республики Словения.</w:t>
      </w:r>
    </w:p>
  </w:footnote>
  <w:footnote w:id="44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 xml:space="preserve">См. </w:t>
      </w:r>
      <w:r>
        <w:t>п</w:t>
      </w:r>
      <w:r w:rsidRPr="00243302">
        <w:t>риложение, таблица 3</w:t>
      </w:r>
      <w:r>
        <w:t>0</w:t>
      </w:r>
      <w:r w:rsidRPr="00243302">
        <w:t>.</w:t>
      </w:r>
    </w:p>
  </w:footnote>
  <w:footnote w:id="45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 xml:space="preserve">См. </w:t>
      </w:r>
      <w:r>
        <w:t>п</w:t>
      </w:r>
      <w:r w:rsidRPr="00243302">
        <w:t>риложение, таблица 31.</w:t>
      </w:r>
    </w:p>
  </w:footnote>
  <w:footnote w:id="46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>Источник: Статистическое управление Республики Словени</w:t>
      </w:r>
      <w:r>
        <w:t>я</w:t>
      </w:r>
      <w:r w:rsidRPr="00243302">
        <w:t>.</w:t>
      </w:r>
    </w:p>
  </w:footnote>
  <w:footnote w:id="47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 xml:space="preserve">См. </w:t>
      </w:r>
      <w:r>
        <w:t>п</w:t>
      </w:r>
      <w:r w:rsidRPr="00243302">
        <w:t>риложение, таблица 32.</w:t>
      </w:r>
    </w:p>
  </w:footnote>
  <w:footnote w:id="48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 xml:space="preserve">См. </w:t>
      </w:r>
      <w:r>
        <w:t>п</w:t>
      </w:r>
      <w:r w:rsidRPr="00243302">
        <w:t>риложение, таблица 33.</w:t>
      </w:r>
    </w:p>
  </w:footnote>
  <w:footnote w:id="49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>Источник: Евростат.</w:t>
      </w:r>
    </w:p>
  </w:footnote>
  <w:footnote w:id="50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 xml:space="preserve">Источник: </w:t>
      </w:r>
      <w:r>
        <w:t>Е</w:t>
      </w:r>
      <w:r w:rsidRPr="00243302">
        <w:t>жегодный доклад об осуществлении</w:t>
      </w:r>
      <w:r>
        <w:t xml:space="preserve"> О</w:t>
      </w:r>
      <w:r w:rsidRPr="00243302">
        <w:t>перативной программы развития человеческих ресурсов на период 2007–2013 годов за 2012 год.</w:t>
      </w:r>
    </w:p>
  </w:footnote>
  <w:footnote w:id="51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>Источник: Доклад об осуществлении резолюции о национальной программе обеспечения равных возможностей для мужчин и женщин на 2010 и 2011 годы.</w:t>
      </w:r>
    </w:p>
  </w:footnote>
  <w:footnote w:id="52">
    <w:p w:rsidR="00861361" w:rsidRDefault="00861361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43302">
        <w:t xml:space="preserve">Источник: </w:t>
      </w:r>
      <w:r>
        <w:t>В</w:t>
      </w:r>
      <w:r w:rsidRPr="00243302">
        <w:t xml:space="preserve">торой доклад правительства Республики Словения о </w:t>
      </w:r>
      <w:r>
        <w:t xml:space="preserve">положении цыган </w:t>
      </w:r>
      <w:r w:rsidRPr="00243302">
        <w:t>в Словении</w:t>
      </w:r>
      <w:r>
        <w:t xml:space="preserve"> — </w:t>
      </w:r>
      <w:r w:rsidRPr="00243302">
        <w:t>Доклад об осуществлении закона о</w:t>
      </w:r>
      <w:r>
        <w:t xml:space="preserve"> цыганской</w:t>
      </w:r>
      <w:r w:rsidRPr="00243302">
        <w:t xml:space="preserve"> общине и национальной программе мер для </w:t>
      </w:r>
      <w:r>
        <w:t xml:space="preserve">цыганской </w:t>
      </w:r>
      <w:r w:rsidRPr="00243302">
        <w:t>общины на период 2010–2015 годов.</w:t>
      </w:r>
    </w:p>
  </w:footnote>
  <w:footnote w:id="53">
    <w:p w:rsidR="00902CE7" w:rsidRPr="003E4BF9" w:rsidRDefault="00902CE7" w:rsidP="007E0CC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Источник: </w:t>
      </w:r>
      <w:r w:rsidRPr="003E4BF9">
        <w:t>Институт здравоохранения Республики Словени</w:t>
      </w:r>
      <w:r>
        <w:t>я</w:t>
      </w:r>
      <w:r w:rsidRPr="003E4BF9">
        <w:t>, 2013 год.</w:t>
      </w:r>
    </w:p>
  </w:footnote>
  <w:footnote w:id="54">
    <w:p w:rsidR="00902CE7" w:rsidRDefault="00902CE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E4BF9">
        <w:t xml:space="preserve">Источник: Национальная программа борьбы с раковыми заболеваниями </w:t>
      </w:r>
      <w:r>
        <w:t>в Словении  на 2010–2015 </w:t>
      </w:r>
      <w:r w:rsidRPr="003E4BF9">
        <w:t xml:space="preserve">годы и пресс-релиз по случаю Европейской недели профилактики рака </w:t>
      </w:r>
      <w:r>
        <w:t>шейки матки, 20–26 января 2013 </w:t>
      </w:r>
      <w:r w:rsidRPr="003E4BF9">
        <w:t>года.</w:t>
      </w:r>
    </w:p>
  </w:footnote>
  <w:footnote w:id="55">
    <w:p w:rsidR="00902CE7" w:rsidRDefault="00902CE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E4BF9">
        <w:t>Источник</w:t>
      </w:r>
      <w:r>
        <w:t>:</w:t>
      </w:r>
      <w:r w:rsidRPr="003E4BF9">
        <w:t xml:space="preserve"> Национальная программа борьбы с раковыми заболеваниями </w:t>
      </w:r>
      <w:r>
        <w:t xml:space="preserve">в </w:t>
      </w:r>
      <w:r w:rsidRPr="003E4BF9">
        <w:t>Словении на 2010</w:t>
      </w:r>
      <w:r>
        <w:t>–2013 </w:t>
      </w:r>
      <w:r w:rsidRPr="003E4BF9">
        <w:t>годы.</w:t>
      </w:r>
    </w:p>
  </w:footnote>
  <w:footnote w:id="56">
    <w:p w:rsidR="00902CE7" w:rsidRDefault="00902CE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E4BF9">
        <w:t>Источник: Медицинские статистические ежегодники за 2005 и 2011 годы, Институт здравоохранения.</w:t>
      </w:r>
    </w:p>
  </w:footnote>
  <w:footnote w:id="57">
    <w:p w:rsidR="00902CE7" w:rsidRDefault="00902CE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E4BF9">
        <w:t xml:space="preserve">Источник: </w:t>
      </w:r>
      <w:r>
        <w:t xml:space="preserve">Статистический ежегодник </w:t>
      </w:r>
      <w:r w:rsidRPr="003E4BF9">
        <w:t>за 2011 и 2005 годы</w:t>
      </w:r>
      <w:r>
        <w:t>. Институт здравоохранения. См. п</w:t>
      </w:r>
      <w:r w:rsidRPr="003E4BF9">
        <w:t>риложение, таблицы 34, 35 и 36.</w:t>
      </w:r>
    </w:p>
  </w:footnote>
  <w:footnote w:id="58">
    <w:p w:rsidR="00902CE7" w:rsidRDefault="00902CE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E4BF9">
        <w:t xml:space="preserve">Источник: </w:t>
      </w:r>
      <w:r>
        <w:t>Статистический ежегодник</w:t>
      </w:r>
      <w:r w:rsidRPr="003E4BF9">
        <w:t xml:space="preserve"> за 2011 и 2005 годы. Институт здравоохранения.</w:t>
      </w:r>
    </w:p>
  </w:footnote>
  <w:footnote w:id="59">
    <w:p w:rsidR="00902CE7" w:rsidRDefault="00902CE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937F53">
        <w:t xml:space="preserve">См. </w:t>
      </w:r>
      <w:r>
        <w:t>п</w:t>
      </w:r>
      <w:r w:rsidRPr="00937F53">
        <w:t>риложение, таблица 37.</w:t>
      </w:r>
    </w:p>
  </w:footnote>
  <w:footnote w:id="60">
    <w:p w:rsidR="00A82BD7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2E26BE">
        <w:t>Источник: «Здравоохранение в Словении», Институт здравоохранения Республики Словения.</w:t>
      </w:r>
    </w:p>
  </w:footnote>
  <w:footnote w:id="61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См. приложение, таблица 43. </w:t>
      </w:r>
    </w:p>
  </w:footnote>
  <w:footnote w:id="62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Источник: «Здравоохранение в Словении», Институт здравоохранения Республики Словения. </w:t>
      </w:r>
    </w:p>
  </w:footnote>
  <w:footnote w:id="63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rPr>
          <w:rStyle w:val="FootnoteReference"/>
        </w:rPr>
        <w:tab/>
      </w:r>
      <w:r w:rsidRPr="002E26BE">
        <w:rPr>
          <w:rStyle w:val="FootnoteReference"/>
        </w:rPr>
        <w:footnoteRef/>
      </w:r>
      <w:r w:rsidRPr="002E26BE">
        <w:tab/>
        <w:t xml:space="preserve">Источник: Реестр раковых заболеваний Словении. Институт онкологии, Любляна. </w:t>
      </w:r>
      <w:bookmarkStart w:id="164" w:name="OLE_LINK527"/>
      <w:bookmarkStart w:id="165" w:name="OLE_LINK528"/>
      <w:bookmarkEnd w:id="164"/>
      <w:bookmarkEnd w:id="165"/>
    </w:p>
  </w:footnote>
  <w:footnote w:id="64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Источник: </w:t>
      </w:r>
      <w:r>
        <w:t>«</w:t>
      </w:r>
      <w:r w:rsidRPr="002E26BE">
        <w:t>Неравенство в сфере здравоохранения в Словении</w:t>
      </w:r>
      <w:r>
        <w:t>»</w:t>
      </w:r>
      <w:r w:rsidRPr="002E26BE">
        <w:t xml:space="preserve">, Министерство здравоохранения. </w:t>
      </w:r>
    </w:p>
  </w:footnote>
  <w:footnote w:id="65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Источник: </w:t>
      </w:r>
      <w:r>
        <w:t>в</w:t>
      </w:r>
      <w:r w:rsidRPr="002E26BE">
        <w:t xml:space="preserve">ыводы научного заседания: </w:t>
      </w:r>
      <w:r>
        <w:t>с</w:t>
      </w:r>
      <w:r w:rsidRPr="002E26BE">
        <w:t xml:space="preserve">оциальные аспекты неравенства женщин в области здравоохранения. </w:t>
      </w:r>
    </w:p>
  </w:footnote>
  <w:footnote w:id="66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>Источник: Статистический ежегодник за 2011 год. Институт здравоохранения Республики Словени</w:t>
      </w:r>
      <w:r>
        <w:t>я</w:t>
      </w:r>
      <w:r w:rsidRPr="002E26BE">
        <w:t xml:space="preserve">. </w:t>
      </w:r>
    </w:p>
  </w:footnote>
  <w:footnote w:id="67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>Источник: Статистический ежегодник за 2011 год. Институт здравоохранения Республики Словени</w:t>
      </w:r>
      <w:r>
        <w:t>я</w:t>
      </w:r>
      <w:r w:rsidRPr="002E26BE">
        <w:t xml:space="preserve">. См. приложение, таблица 38. </w:t>
      </w:r>
    </w:p>
  </w:footnote>
  <w:footnote w:id="68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Источник: </w:t>
      </w:r>
      <w:r>
        <w:t>о</w:t>
      </w:r>
      <w:r w:rsidRPr="002E26BE">
        <w:t xml:space="preserve">ценка последствий нового социального законодательства, Институт социальной защиты, 2013 год. </w:t>
      </w:r>
    </w:p>
  </w:footnote>
  <w:footnote w:id="69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См. приложение, таблица 39. </w:t>
      </w:r>
    </w:p>
  </w:footnote>
  <w:footnote w:id="70">
    <w:p w:rsidR="00A82BD7" w:rsidRPr="002E26BE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Выражается в виде процентной доли лиц, проживающих в домашних хозяйствах с эквивалентом чистого дохода ниже пороговой величины возникновения риска обнищания. Данные о доле лиц, живущих на грани бедности, на основе доходов наличными и натурой. </w:t>
      </w:r>
    </w:p>
  </w:footnote>
  <w:footnote w:id="71">
    <w:p w:rsidR="00A82BD7" w:rsidRPr="0084579B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См. приложение, таблица 40. </w:t>
      </w:r>
    </w:p>
  </w:footnote>
  <w:footnote w:id="72">
    <w:p w:rsidR="00A82BD7" w:rsidRPr="0084579B" w:rsidRDefault="00A82BD7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 w:rsidRPr="002E26BE">
        <w:tab/>
      </w:r>
      <w:r w:rsidRPr="002E26BE">
        <w:rPr>
          <w:rStyle w:val="FootnoteReference"/>
        </w:rPr>
        <w:footnoteRef/>
      </w:r>
      <w:r w:rsidRPr="002E26BE">
        <w:tab/>
        <w:t xml:space="preserve">Источник: «Неравенство в сфере здравоохранения в Словении», Министерство здравоохранения. </w:t>
      </w:r>
    </w:p>
  </w:footnote>
  <w:footnote w:id="73">
    <w:p w:rsidR="00C6395B" w:rsidRDefault="00C6395B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1E56E4">
        <w:t xml:space="preserve">Источник: второй доклад правительства Республики Словения о положении </w:t>
      </w:r>
      <w:r>
        <w:t xml:space="preserve">цыган </w:t>
      </w:r>
      <w:r w:rsidRPr="001E56E4">
        <w:t>в Словении</w:t>
      </w:r>
      <w:r>
        <w:t xml:space="preserve"> — </w:t>
      </w:r>
      <w:r w:rsidRPr="001E56E4">
        <w:t xml:space="preserve">доклад об исполнении Закона о </w:t>
      </w:r>
      <w:r>
        <w:t>цыганской общине</w:t>
      </w:r>
      <w:r w:rsidRPr="001E56E4">
        <w:t xml:space="preserve"> и Национальной программы мероприятий в интересах </w:t>
      </w:r>
      <w:r>
        <w:t xml:space="preserve">цыган </w:t>
      </w:r>
      <w:r w:rsidRPr="001E56E4">
        <w:t xml:space="preserve">на 2010–2015 годы. </w:t>
      </w:r>
      <w:r>
        <w:t xml:space="preserve">Издание </w:t>
      </w:r>
      <w:r w:rsidRPr="001E56E4">
        <w:t>2012 год</w:t>
      </w:r>
      <w:r>
        <w:t>а</w:t>
      </w:r>
      <w:r w:rsidRPr="001E56E4">
        <w:t>.</w:t>
      </w:r>
    </w:p>
  </w:footnote>
  <w:footnote w:id="74">
    <w:p w:rsidR="00C6395B" w:rsidRDefault="00C6395B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37F17">
        <w:t>См. приложение, таблица 41.</w:t>
      </w:r>
    </w:p>
  </w:footnote>
  <w:footnote w:id="75">
    <w:p w:rsidR="00C6395B" w:rsidRDefault="00C6395B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37F17">
        <w:t>См. приложение, таблица 42.</w:t>
      </w:r>
    </w:p>
  </w:footnote>
  <w:footnote w:id="76">
    <w:p w:rsidR="00C6395B" w:rsidRDefault="00C6395B" w:rsidP="007E0C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A36BBA">
        <w:t>Источник: Министерство труда, по вопросам семьи, социальных дел и равных возможностей, 2013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9F433E" w:rsidTr="009F433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7602CC" w:rsidRPr="00FC207D">
              <w:rPr>
                <w:b/>
                <w:szCs w:val="22"/>
                <w:lang w:eastAsia="en-US"/>
              </w:rPr>
              <w:t>CEDAW/C/SVN/5-6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Header"/>
            <w:rPr>
              <w:szCs w:val="22"/>
              <w:lang w:eastAsia="en-US"/>
            </w:rPr>
          </w:pPr>
        </w:p>
      </w:tc>
    </w:tr>
  </w:tbl>
  <w:p w:rsidR="009F433E" w:rsidRPr="009F433E" w:rsidRDefault="009F433E" w:rsidP="009F43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9F433E" w:rsidTr="009F433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9F433E" w:rsidRPr="00FC207D" w:rsidRDefault="009F433E" w:rsidP="009F433E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7602CC" w:rsidRPr="00FC207D">
              <w:rPr>
                <w:b/>
                <w:szCs w:val="22"/>
                <w:lang w:eastAsia="en-US"/>
              </w:rPr>
              <w:t>CEDAW/C/SVN/5-6</w:t>
            </w:r>
          </w:fldSimple>
        </w:p>
      </w:tc>
    </w:tr>
  </w:tbl>
  <w:p w:rsidR="009F433E" w:rsidRPr="009F433E" w:rsidRDefault="009F433E" w:rsidP="009F43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9F433E" w:rsidTr="009F433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F433E" w:rsidRPr="009F433E" w:rsidRDefault="009F433E" w:rsidP="009F433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433E" w:rsidRPr="00FC207D" w:rsidRDefault="009F433E" w:rsidP="009F433E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F433E" w:rsidRPr="00FC207D" w:rsidRDefault="009F433E" w:rsidP="009F433E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FC207D">
            <w:rPr>
              <w:sz w:val="40"/>
              <w:szCs w:val="22"/>
              <w:lang w:eastAsia="en-US"/>
            </w:rPr>
            <w:t>CEDAW</w:t>
          </w:r>
          <w:r w:rsidRPr="00FC207D">
            <w:rPr>
              <w:sz w:val="20"/>
              <w:szCs w:val="22"/>
              <w:lang w:eastAsia="en-US"/>
            </w:rPr>
            <w:t>/C/SVN/5-6</w:t>
          </w:r>
        </w:p>
      </w:tc>
    </w:tr>
    <w:tr w:rsidR="009F433E" w:rsidRPr="00240981" w:rsidTr="009F433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33E" w:rsidRPr="00FC207D" w:rsidRDefault="009F433E" w:rsidP="009F433E">
          <w:pPr>
            <w:pStyle w:val="Header"/>
            <w:spacing w:before="109"/>
            <w:rPr>
              <w:szCs w:val="22"/>
              <w:lang w:eastAsia="en-US"/>
            </w:rPr>
          </w:pPr>
          <w:r w:rsidRPr="00FC207D">
            <w:rPr>
              <w:szCs w:val="22"/>
              <w:lang w:eastAsia="en-US"/>
            </w:rPr>
            <w:t xml:space="preserve"> </w:t>
          </w:r>
          <w:r w:rsidRPr="00FC207D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9F433E" w:rsidRPr="00FC207D" w:rsidRDefault="009F433E" w:rsidP="009F433E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33E" w:rsidRPr="009F433E" w:rsidRDefault="009F433E" w:rsidP="009F433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33E" w:rsidRPr="00FC207D" w:rsidRDefault="009F433E" w:rsidP="009F433E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33E" w:rsidRPr="00240981" w:rsidRDefault="009F433E" w:rsidP="009F433E">
          <w:pPr>
            <w:pStyle w:val="Distribution"/>
            <w:rPr>
              <w:color w:val="000000"/>
              <w:lang w:val="en-US"/>
            </w:rPr>
          </w:pPr>
          <w:r w:rsidRPr="00240981">
            <w:rPr>
              <w:color w:val="000000"/>
              <w:lang w:val="en-US"/>
            </w:rPr>
            <w:t>Distr.: General</w:t>
          </w:r>
        </w:p>
        <w:p w:rsidR="009F433E" w:rsidRPr="00240981" w:rsidRDefault="009F433E" w:rsidP="009F433E">
          <w:pPr>
            <w:pStyle w:val="Publication"/>
            <w:rPr>
              <w:color w:val="000000"/>
              <w:lang w:val="en-US"/>
            </w:rPr>
          </w:pPr>
          <w:r w:rsidRPr="00240981">
            <w:rPr>
              <w:color w:val="000000"/>
              <w:lang w:val="en-US"/>
            </w:rPr>
            <w:t>16 June 2014</w:t>
          </w:r>
        </w:p>
        <w:p w:rsidR="009F433E" w:rsidRPr="00240981" w:rsidRDefault="009F433E" w:rsidP="009F433E">
          <w:pPr>
            <w:rPr>
              <w:color w:val="000000"/>
              <w:lang w:val="en-US"/>
            </w:rPr>
          </w:pPr>
          <w:r w:rsidRPr="00240981">
            <w:rPr>
              <w:color w:val="000000"/>
              <w:lang w:val="en-US"/>
            </w:rPr>
            <w:t>Russian</w:t>
          </w:r>
        </w:p>
        <w:p w:rsidR="009F433E" w:rsidRPr="00240981" w:rsidRDefault="009F433E" w:rsidP="009F433E">
          <w:pPr>
            <w:pStyle w:val="Original"/>
            <w:rPr>
              <w:color w:val="000000"/>
              <w:lang w:val="en-US"/>
            </w:rPr>
          </w:pPr>
          <w:r w:rsidRPr="00240981">
            <w:rPr>
              <w:color w:val="000000"/>
              <w:lang w:val="en-US"/>
            </w:rPr>
            <w:t>Original: English</w:t>
          </w:r>
        </w:p>
        <w:p w:rsidR="009F433E" w:rsidRPr="00240981" w:rsidRDefault="009F433E" w:rsidP="009F433E">
          <w:pPr>
            <w:rPr>
              <w:lang w:val="en-US"/>
            </w:rPr>
          </w:pPr>
        </w:p>
      </w:tc>
    </w:tr>
  </w:tbl>
  <w:p w:rsidR="009F433E" w:rsidRPr="00240981" w:rsidRDefault="009F433E" w:rsidP="009F433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6E3"/>
    <w:multiLevelType w:val="multilevel"/>
    <w:tmpl w:val="7966B61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55403*"/>
    <w:docVar w:name="CreationDt" w:val="21/07/2014 8:30: AM"/>
    <w:docVar w:name="DocCategory" w:val="Doc"/>
    <w:docVar w:name="DocType" w:val="Final"/>
    <w:docVar w:name="FooterJN" w:val="14-55403"/>
    <w:docVar w:name="jobn" w:val="14-55403 (R)"/>
    <w:docVar w:name="jobnDT" w:val="14-55403 (R)   210714"/>
    <w:docVar w:name="jobnDTDT" w:val="14-55403 (R)   210714   210714"/>
    <w:docVar w:name="JobNo" w:val="1455403R"/>
    <w:docVar w:name="JobNo2" w:val="1443094R"/>
    <w:docVar w:name="OandT" w:val=" "/>
    <w:docVar w:name="sss1" w:val="CEDAW/C/SVN/5-6"/>
    <w:docVar w:name="sss2" w:val="-"/>
    <w:docVar w:name="Symbol1" w:val="CEDAW/C/SVN/5-6"/>
    <w:docVar w:name="Symbol2" w:val="-"/>
  </w:docVars>
  <w:rsids>
    <w:rsidRoot w:val="00BE5878"/>
    <w:rsid w:val="00004615"/>
    <w:rsid w:val="00004756"/>
    <w:rsid w:val="00024A67"/>
    <w:rsid w:val="00033C1F"/>
    <w:rsid w:val="000513EF"/>
    <w:rsid w:val="0005420D"/>
    <w:rsid w:val="00055EA2"/>
    <w:rsid w:val="00056217"/>
    <w:rsid w:val="00067A90"/>
    <w:rsid w:val="00070C37"/>
    <w:rsid w:val="000A111E"/>
    <w:rsid w:val="000C67BC"/>
    <w:rsid w:val="000E4411"/>
    <w:rsid w:val="000F1ACD"/>
    <w:rsid w:val="000F5D07"/>
    <w:rsid w:val="00105B0E"/>
    <w:rsid w:val="001444A3"/>
    <w:rsid w:val="00153645"/>
    <w:rsid w:val="00153E8C"/>
    <w:rsid w:val="00162E88"/>
    <w:rsid w:val="001726A4"/>
    <w:rsid w:val="00177361"/>
    <w:rsid w:val="001A39EE"/>
    <w:rsid w:val="001A6777"/>
    <w:rsid w:val="001C54CE"/>
    <w:rsid w:val="001D1749"/>
    <w:rsid w:val="001E25A2"/>
    <w:rsid w:val="001E61AD"/>
    <w:rsid w:val="00211A7E"/>
    <w:rsid w:val="00217A24"/>
    <w:rsid w:val="00223C57"/>
    <w:rsid w:val="00240981"/>
    <w:rsid w:val="002535D8"/>
    <w:rsid w:val="00254046"/>
    <w:rsid w:val="00261386"/>
    <w:rsid w:val="00261C41"/>
    <w:rsid w:val="00264A43"/>
    <w:rsid w:val="00277697"/>
    <w:rsid w:val="002B6E2A"/>
    <w:rsid w:val="002C5383"/>
    <w:rsid w:val="002C66D0"/>
    <w:rsid w:val="002D4606"/>
    <w:rsid w:val="002E1F79"/>
    <w:rsid w:val="002F5C45"/>
    <w:rsid w:val="002F6149"/>
    <w:rsid w:val="00326F5F"/>
    <w:rsid w:val="00337D91"/>
    <w:rsid w:val="00350756"/>
    <w:rsid w:val="003658B0"/>
    <w:rsid w:val="0037679F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01AB"/>
    <w:rsid w:val="004420FB"/>
    <w:rsid w:val="004504A6"/>
    <w:rsid w:val="00460D23"/>
    <w:rsid w:val="004645DD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90EDF"/>
    <w:rsid w:val="005933CB"/>
    <w:rsid w:val="005A1D01"/>
    <w:rsid w:val="005D38B6"/>
    <w:rsid w:val="005D7642"/>
    <w:rsid w:val="005E0A46"/>
    <w:rsid w:val="005E7DCF"/>
    <w:rsid w:val="005F57A6"/>
    <w:rsid w:val="005F6E5C"/>
    <w:rsid w:val="00602F9D"/>
    <w:rsid w:val="006261A6"/>
    <w:rsid w:val="0063491E"/>
    <w:rsid w:val="00635AF8"/>
    <w:rsid w:val="00646363"/>
    <w:rsid w:val="00655212"/>
    <w:rsid w:val="00657EE4"/>
    <w:rsid w:val="006811B3"/>
    <w:rsid w:val="00684B38"/>
    <w:rsid w:val="006A1698"/>
    <w:rsid w:val="006A1D06"/>
    <w:rsid w:val="006A3F10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602CC"/>
    <w:rsid w:val="00781ACA"/>
    <w:rsid w:val="00787B44"/>
    <w:rsid w:val="00795A5A"/>
    <w:rsid w:val="007B098D"/>
    <w:rsid w:val="007B1DE5"/>
    <w:rsid w:val="007B5785"/>
    <w:rsid w:val="007B5CF3"/>
    <w:rsid w:val="007C22FD"/>
    <w:rsid w:val="007C62D1"/>
    <w:rsid w:val="007C706F"/>
    <w:rsid w:val="007D4423"/>
    <w:rsid w:val="007E0CCC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61361"/>
    <w:rsid w:val="008776BB"/>
    <w:rsid w:val="00880540"/>
    <w:rsid w:val="0088396E"/>
    <w:rsid w:val="008A1A7A"/>
    <w:rsid w:val="008B08A3"/>
    <w:rsid w:val="008B709D"/>
    <w:rsid w:val="008C6372"/>
    <w:rsid w:val="008D0CE3"/>
    <w:rsid w:val="008D20B4"/>
    <w:rsid w:val="008F12FD"/>
    <w:rsid w:val="008F13EA"/>
    <w:rsid w:val="00902CE7"/>
    <w:rsid w:val="00904F3C"/>
    <w:rsid w:val="00907EDB"/>
    <w:rsid w:val="009110C5"/>
    <w:rsid w:val="00915944"/>
    <w:rsid w:val="00932579"/>
    <w:rsid w:val="009327BF"/>
    <w:rsid w:val="00935F33"/>
    <w:rsid w:val="0094745A"/>
    <w:rsid w:val="0095649D"/>
    <w:rsid w:val="00966FDC"/>
    <w:rsid w:val="00984EE4"/>
    <w:rsid w:val="0099354F"/>
    <w:rsid w:val="009B3444"/>
    <w:rsid w:val="009B5DCD"/>
    <w:rsid w:val="009D5BF8"/>
    <w:rsid w:val="009D6E3D"/>
    <w:rsid w:val="009F0808"/>
    <w:rsid w:val="009F433E"/>
    <w:rsid w:val="00A14F1D"/>
    <w:rsid w:val="00A1703F"/>
    <w:rsid w:val="00A23C2D"/>
    <w:rsid w:val="00A63339"/>
    <w:rsid w:val="00A81DD7"/>
    <w:rsid w:val="00A82BD7"/>
    <w:rsid w:val="00A90F41"/>
    <w:rsid w:val="00A9600A"/>
    <w:rsid w:val="00A96C80"/>
    <w:rsid w:val="00AA0ABF"/>
    <w:rsid w:val="00AA27C2"/>
    <w:rsid w:val="00AD6322"/>
    <w:rsid w:val="00AD78B1"/>
    <w:rsid w:val="00AF0B91"/>
    <w:rsid w:val="00B33139"/>
    <w:rsid w:val="00B5129B"/>
    <w:rsid w:val="00B56376"/>
    <w:rsid w:val="00B606B7"/>
    <w:rsid w:val="00B77FC0"/>
    <w:rsid w:val="00BB052D"/>
    <w:rsid w:val="00BB1F92"/>
    <w:rsid w:val="00BB5B7F"/>
    <w:rsid w:val="00BD2F16"/>
    <w:rsid w:val="00BE448A"/>
    <w:rsid w:val="00BE531D"/>
    <w:rsid w:val="00BE5878"/>
    <w:rsid w:val="00BF3D60"/>
    <w:rsid w:val="00BF5FCB"/>
    <w:rsid w:val="00C16B93"/>
    <w:rsid w:val="00C2210E"/>
    <w:rsid w:val="00C2524E"/>
    <w:rsid w:val="00C32802"/>
    <w:rsid w:val="00C40B0B"/>
    <w:rsid w:val="00C60105"/>
    <w:rsid w:val="00C623BF"/>
    <w:rsid w:val="00C6395B"/>
    <w:rsid w:val="00C70D59"/>
    <w:rsid w:val="00C7432F"/>
    <w:rsid w:val="00C77473"/>
    <w:rsid w:val="00CA2CF3"/>
    <w:rsid w:val="00CA44D0"/>
    <w:rsid w:val="00CB519E"/>
    <w:rsid w:val="00CC5B37"/>
    <w:rsid w:val="00CC5BAD"/>
    <w:rsid w:val="00CD2ED3"/>
    <w:rsid w:val="00CD3C62"/>
    <w:rsid w:val="00CF021B"/>
    <w:rsid w:val="00CF07BE"/>
    <w:rsid w:val="00D028FF"/>
    <w:rsid w:val="00D12BAA"/>
    <w:rsid w:val="00D1470E"/>
    <w:rsid w:val="00D149C3"/>
    <w:rsid w:val="00D20AA4"/>
    <w:rsid w:val="00D31446"/>
    <w:rsid w:val="00D434AF"/>
    <w:rsid w:val="00D57C11"/>
    <w:rsid w:val="00D61BB7"/>
    <w:rsid w:val="00D7165D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54A08"/>
    <w:rsid w:val="00E6111E"/>
    <w:rsid w:val="00E616D0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C207D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9F4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33E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F433E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433E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styleId="Hyperlink">
    <w:name w:val="Hyperlink"/>
    <w:uiPriority w:val="99"/>
    <w:semiHidden/>
    <w:unhideWhenUsed/>
    <w:rsid w:val="007E0CCC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7E0CCC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C11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26563</Words>
  <Characters>151413</Characters>
  <Application>Microsoft Office Outlook</Application>
  <DocSecurity>4</DocSecurity>
  <Lines>1261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177621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Irina.Sergueenko</dc:creator>
  <cp:keywords/>
  <cp:lastModifiedBy>Front Desk</cp:lastModifiedBy>
  <cp:revision>6</cp:revision>
  <cp:lastPrinted>2014-07-21T09:46:00Z</cp:lastPrinted>
  <dcterms:created xsi:type="dcterms:W3CDTF">2014-07-21T08:54:00Z</dcterms:created>
  <dcterms:modified xsi:type="dcterms:W3CDTF">2014-07-21T09:52:00Z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1455403R</vt:lpwstr>
  </property>
  <property fmtid="{D5CDD505-2E9C-101B-9397-08002B2CF9AE}" pid="3" name="ODSRefJobNo">
    <vt:lpwstr>1443094R</vt:lpwstr>
  </property>
  <property fmtid="{D5CDD505-2E9C-101B-9397-08002B2CF9AE}" pid="4" name="Symbol1">
    <vt:lpwstr>CEDAW/C/SVN/5-6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16 June 2014</vt:lpwstr>
  </property>
  <property fmtid="{D5CDD505-2E9C-101B-9397-08002B2CF9AE}" pid="9" name="Original">
    <vt:lpwstr>English</vt:lpwstr>
  </property>
  <property fmtid="{D5CDD505-2E9C-101B-9397-08002B2CF9AE}" pid="10" name="Release Date">
    <vt:lpwstr>210714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/>
  </property>
</Properties>
</file>