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третья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481-м заседании,</w:t>
      </w:r>
    </w:p>
    <w:p w:rsidR="00000000" w:rsidRDefault="00000000">
      <w:r>
        <w:t>состоявшемся в Центральных учреждениях, Нью-Йорк, в пятницу, 23 июня 2000 года, в 10 ч. 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 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suppressAutoHyphens/>
        <w:ind w:left="1425"/>
      </w:pPr>
      <w:r>
        <w:t>Рассмотрение докладов, представленных государствами-участниками в соответствии со статьей 18 Ко</w:t>
      </w:r>
      <w:r>
        <w:t>н</w:t>
      </w:r>
      <w:r>
        <w:t>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suppressAutoHyphens/>
        <w:spacing w:line="120" w:lineRule="exact"/>
        <w:ind w:left="1425"/>
        <w:rPr>
          <w:sz w:val="10"/>
        </w:rPr>
      </w:pPr>
    </w:p>
    <w:p w:rsidR="00000000" w:rsidRDefault="00000000">
      <w:pPr>
        <w:suppressAutoHyphens/>
        <w:ind w:left="2160" w:hanging="735"/>
        <w:rPr>
          <w:i/>
        </w:rPr>
      </w:pPr>
      <w:r>
        <w:rPr>
          <w:i/>
        </w:rPr>
        <w:tab/>
        <w:t>Сводные четвертый и пятый периодические доклады Румынии</w:t>
      </w:r>
    </w:p>
    <w:p w:rsidR="00000000" w:rsidRDefault="00000000">
      <w:pPr>
        <w:pStyle w:val="SingleTxt"/>
        <w:spacing w:after="0" w:line="240" w:lineRule="auto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10 ч. 55 мин.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 xml:space="preserve">Рассмотрение докладов, представленных государствами участниками в соответствии </w:t>
      </w:r>
      <w:r>
        <w:br/>
        <w:t>со статьей 18 Конвенции (продолжение)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tabs>
          <w:tab w:val="clear" w:pos="480"/>
          <w:tab w:val="left" w:pos="475"/>
        </w:tabs>
        <w:ind w:left="475" w:hanging="475"/>
      </w:pPr>
      <w:r>
        <w:rPr>
          <w:i/>
        </w:rPr>
        <w:tab/>
        <w:t xml:space="preserve">Сводные четвертый и пятый периодические доклады Румынии </w:t>
      </w:r>
      <w:r>
        <w:t>(CEDAW/C/ROM/4–5, CEDAW/PSWG/2000/II/CRP.1/Add.4 и CRP.2/ Add.3)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делегация Р</w:t>
      </w:r>
      <w:r>
        <w:t>у</w:t>
      </w:r>
      <w:r>
        <w:t>мынии занимает м</w:t>
      </w:r>
      <w:r>
        <w:t>е</w:t>
      </w:r>
      <w:r>
        <w:t>сто за столом Комитета.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жа Николаи </w:t>
      </w:r>
      <w:r>
        <w:t>(Румыния) говорит, что пис</w:t>
      </w:r>
      <w:r>
        <w:t>ь</w:t>
      </w:r>
      <w:r>
        <w:t>менный доклад, представленный Комитету, охват</w:t>
      </w:r>
      <w:r>
        <w:t>ы</w:t>
      </w:r>
      <w:r>
        <w:t>вает значительные события, связанные с улучшен</w:t>
      </w:r>
      <w:r>
        <w:t>и</w:t>
      </w:r>
      <w:r>
        <w:t>ем положения женщин в период с 1992 по 1998 год. В своем устном докладе она представит обновле</w:t>
      </w:r>
      <w:r>
        <w:t>н</w:t>
      </w:r>
      <w:r>
        <w:t>ную информацию о событиях, произошедших после 1998 года. Румыния была среди первых 20 стран, ратифицировавших Конвенцию, и сняла свою ог</w:t>
      </w:r>
      <w:r>
        <w:t>о</w:t>
      </w:r>
      <w:r>
        <w:t>ворку к статье 29. Демократические преобразов</w:t>
      </w:r>
      <w:r>
        <w:t>а</w:t>
      </w:r>
      <w:r>
        <w:t>ния, происходившие в стране с 1989 года, придали новый импульс усилиям, направленным на поощр</w:t>
      </w:r>
      <w:r>
        <w:t>е</w:t>
      </w:r>
      <w:r>
        <w:t>ние всех прав человека; Румыния присоединилась ко всем важнейшим международным документам по правам человека и обязалась соблюдать междун</w:t>
      </w:r>
      <w:r>
        <w:t>а</w:t>
      </w:r>
      <w:r>
        <w:t>родные процедуры, касающиеся представления докладов. В соответствии с Конституцией межд</w:t>
      </w:r>
      <w:r>
        <w:t>у</w:t>
      </w:r>
      <w:r>
        <w:t>народные документы по правам человека имеют в Румынии силу закона.</w:t>
      </w:r>
    </w:p>
    <w:p w:rsidR="00000000" w:rsidRDefault="00000000">
      <w:pPr>
        <w:pStyle w:val="DualTxt"/>
      </w:pPr>
      <w:r>
        <w:t>3.</w:t>
      </w:r>
      <w:r>
        <w:tab/>
        <w:t>Расширяется осознание того, что укрепление прав человека и поощрение равенства мужчин и женщин тесным образом связаны с укреплением демократии, благого управления и законности. Т</w:t>
      </w:r>
      <w:r>
        <w:t>а</w:t>
      </w:r>
      <w:r>
        <w:t>ким образом, одним из приоритетных направлений программы правительства на 2001–2004 годы явл</w:t>
      </w:r>
      <w:r>
        <w:t>я</w:t>
      </w:r>
      <w:r>
        <w:t>ется обеспечение социальной справедливости и с</w:t>
      </w:r>
      <w:r>
        <w:t>о</w:t>
      </w:r>
      <w:r>
        <w:t>гласия, в частности на основе обеспечения равных возможностей для мужчин и женщин. Осуществл</w:t>
      </w:r>
      <w:r>
        <w:t>я</w:t>
      </w:r>
      <w:r>
        <w:t>ются также конкретные институциональные и зак</w:t>
      </w:r>
      <w:r>
        <w:t>о</w:t>
      </w:r>
      <w:r>
        <w:t>нодательные меры в целях осуществления Пеки</w:t>
      </w:r>
      <w:r>
        <w:t>н</w:t>
      </w:r>
      <w:r>
        <w:t>ской декларации и Пла</w:t>
      </w:r>
      <w:r>
        <w:t>т</w:t>
      </w:r>
      <w:r>
        <w:t>формы действий.</w:t>
      </w:r>
    </w:p>
    <w:p w:rsidR="00000000" w:rsidRDefault="00000000">
      <w:pPr>
        <w:pStyle w:val="DualTxt"/>
      </w:pPr>
      <w:r>
        <w:t>4.</w:t>
      </w:r>
      <w:r>
        <w:tab/>
        <w:t>Одной из приоритетных задач правительства является согласование национального законодател</w:t>
      </w:r>
      <w:r>
        <w:t>ь</w:t>
      </w:r>
      <w:r>
        <w:t>ства с европейскими и международными нормами в рамках национального плана присоединения к Е</w:t>
      </w:r>
      <w:r>
        <w:t>в</w:t>
      </w:r>
      <w:r>
        <w:t>ропейскому союзу. Среди принятых недавно зак</w:t>
      </w:r>
      <w:r>
        <w:t>о</w:t>
      </w:r>
      <w:r>
        <w:t>нодательных актов в целях поощрения равных во</w:t>
      </w:r>
      <w:r>
        <w:t>з</w:t>
      </w:r>
      <w:r>
        <w:t>можностей и создания условий для совмещения с</w:t>
      </w:r>
      <w:r>
        <w:t>е</w:t>
      </w:r>
      <w:r>
        <w:t>мейных и профессиональных обязанностей два з</w:t>
      </w:r>
      <w:r>
        <w:t>а</w:t>
      </w:r>
      <w:r>
        <w:t>служивают особого внимания. Во</w:t>
      </w:r>
      <w:r>
        <w:noBreakHyphen/>
        <w:t>первых, закон об отпуске для отцов укрепляет принцип разделения обязанностей в семье и обществе; во-вторых, в па</w:t>
      </w:r>
      <w:r>
        <w:t>р</w:t>
      </w:r>
      <w:r>
        <w:t>ламенте обсуждается проект закона о равных во</w:t>
      </w:r>
      <w:r>
        <w:t>з</w:t>
      </w:r>
      <w:r>
        <w:t>можностях для мужчин и женщин, гарантирующего равное обращение во всех областях и обязывающ</w:t>
      </w:r>
      <w:r>
        <w:t>е</w:t>
      </w:r>
      <w:r>
        <w:t>го защищать такое право.</w:t>
      </w:r>
    </w:p>
    <w:p w:rsidR="00000000" w:rsidRDefault="00000000">
      <w:pPr>
        <w:pStyle w:val="DualTxt"/>
      </w:pPr>
      <w:r>
        <w:t>5.</w:t>
      </w:r>
      <w:r>
        <w:tab/>
        <w:t>После Пекинской конференции в 1995 году в Министерстве труда и социальной защиты был со</w:t>
      </w:r>
      <w:r>
        <w:t>з</w:t>
      </w:r>
      <w:r>
        <w:t>дан национальный механизм по улучшению пол</w:t>
      </w:r>
      <w:r>
        <w:t>о</w:t>
      </w:r>
      <w:r>
        <w:t>жения женщин: Департамент по вопросам поощр</w:t>
      </w:r>
      <w:r>
        <w:t>е</w:t>
      </w:r>
      <w:r>
        <w:t>ния и защиты прав женщин. В 1998 году его зам</w:t>
      </w:r>
      <w:r>
        <w:t>е</w:t>
      </w:r>
      <w:r>
        <w:t>нил Директорат по обеспечению равных возможн</w:t>
      </w:r>
      <w:r>
        <w:t>о</w:t>
      </w:r>
      <w:r>
        <w:t>стей, который непосредственно подчиняется Мин</w:t>
      </w:r>
      <w:r>
        <w:t>и</w:t>
      </w:r>
      <w:r>
        <w:t>стерству труда и социальной защиты с марта 2000 года. Основными задачами Директората явл</w:t>
      </w:r>
      <w:r>
        <w:t>я</w:t>
      </w:r>
      <w:r>
        <w:t>ется обеспечение ликвидации дискриминации де</w:t>
      </w:r>
      <w:r>
        <w:noBreakHyphen/>
        <w:t>факто в области доступа на рынок труда и улу</w:t>
      </w:r>
      <w:r>
        <w:t>ч</w:t>
      </w:r>
      <w:r>
        <w:t>шение условий труда, представление предложений об усовершенствовании юридической базы для осуществления прав человека женщин и оценка с</w:t>
      </w:r>
      <w:r>
        <w:t>о</w:t>
      </w:r>
      <w:r>
        <w:t>циального положения женщин и разработка практ</w:t>
      </w:r>
      <w:r>
        <w:t>и</w:t>
      </w:r>
      <w:r>
        <w:t>ческих предложений. Национальная институци</w:t>
      </w:r>
      <w:r>
        <w:t>о</w:t>
      </w:r>
      <w:r>
        <w:t>нальная структура постоянно расширяется, однако для успешного осуществления политики и мер в этой области необходимо улучшать координацию и согласованность между всеми механи</w:t>
      </w:r>
      <w:r>
        <w:t>з</w:t>
      </w:r>
      <w:r>
        <w:t>мами.</w:t>
      </w:r>
    </w:p>
    <w:p w:rsidR="00000000" w:rsidRDefault="00000000">
      <w:pPr>
        <w:pStyle w:val="DualTxt"/>
      </w:pPr>
      <w:r>
        <w:t>6.</w:t>
      </w:r>
      <w:r>
        <w:tab/>
        <w:t>Создание Бюро Народного адвоката является важным этапом в упрочении и защите прав челов</w:t>
      </w:r>
      <w:r>
        <w:t>е</w:t>
      </w:r>
      <w:r>
        <w:t>ка, включая права человека женщин. Бюро является независимым учреждением, которое выполняет большинство традиционных функций омбудсмена по правам человека. Один из его четырех департ</w:t>
      </w:r>
      <w:r>
        <w:t>а</w:t>
      </w:r>
      <w:r>
        <w:t>ментов занимается вопросами защиты прав детей, женщин и семьи. В 1999 году адвокат получил 4380 жалоб, из которых около 30 процентов пост</w:t>
      </w:r>
      <w:r>
        <w:t>у</w:t>
      </w:r>
      <w:r>
        <w:t>пили от женщин. Лишь несколько жалоб касаются случаев дискриминации в отношении же</w:t>
      </w:r>
      <w:r>
        <w:t>н</w:t>
      </w:r>
      <w:r>
        <w:t>щин.</w:t>
      </w:r>
    </w:p>
    <w:p w:rsidR="00000000" w:rsidRDefault="00000000">
      <w:pPr>
        <w:pStyle w:val="DualTxt"/>
      </w:pPr>
      <w:r>
        <w:t>7.</w:t>
      </w:r>
      <w:r>
        <w:tab/>
        <w:t>Что касается участия женщин в политической жизни, то она говорит, что на практике женщины пока не представлены на высоких политических должностях. Несмотря на большую численность женщин среди членов партии, большинство из них занимаются пропагандистской и организационной деятельностью и не имеют реальных возможностей для продвижения до высших ступеней политич</w:t>
      </w:r>
      <w:r>
        <w:t>е</w:t>
      </w:r>
      <w:r>
        <w:t>ских структур. Законопроект, призывающий к сб</w:t>
      </w:r>
      <w:r>
        <w:t>а</w:t>
      </w:r>
      <w:r>
        <w:t>лансированной представленности женщин в стру</w:t>
      </w:r>
      <w:r>
        <w:t>к</w:t>
      </w:r>
      <w:r>
        <w:t>турах политических партий и поощряющий их уч</w:t>
      </w:r>
      <w:r>
        <w:t>а</w:t>
      </w:r>
      <w:r>
        <w:t>стие в парламенте, к сожалению, был отклонен. Вместе с тем на местном уровне число женщин, и</w:t>
      </w:r>
      <w:r>
        <w:t>з</w:t>
      </w:r>
      <w:r>
        <w:t>бранных в ходе состоявшихся в июне 2000 года в</w:t>
      </w:r>
      <w:r>
        <w:t>ы</w:t>
      </w:r>
      <w:r>
        <w:t>боров в местные органы власти, увеличилось. Ра</w:t>
      </w:r>
      <w:r>
        <w:t>с</w:t>
      </w:r>
      <w:r>
        <w:t>ширение диалога и сотрудничества между прав</w:t>
      </w:r>
      <w:r>
        <w:t>и</w:t>
      </w:r>
      <w:r>
        <w:t>тельством и неправительственными организациями, исследовательскими центрами и средствами масс</w:t>
      </w:r>
      <w:r>
        <w:t>о</w:t>
      </w:r>
      <w:r>
        <w:t>вой информации должно способствовать расшир</w:t>
      </w:r>
      <w:r>
        <w:t>е</w:t>
      </w:r>
      <w:r>
        <w:t>нию осведомленности о важной роли и потенциал</w:t>
      </w:r>
      <w:r>
        <w:t>ь</w:t>
      </w:r>
      <w:r>
        <w:t>ных возможностях женщин в процессе принятия решений.</w:t>
      </w:r>
    </w:p>
    <w:p w:rsidR="00000000" w:rsidRDefault="00000000">
      <w:pPr>
        <w:pStyle w:val="DualTxt"/>
      </w:pPr>
      <w:r>
        <w:t>8.</w:t>
      </w:r>
      <w:r>
        <w:tab/>
        <w:t>Особую обеспокоенность вызывает проблема насилия в семье, которую сложно предотвратить и которая может стать еще более острой в результате нищеты, снижения уровня жизни и безработицы. Хотя в законодательстве Румынии каких</w:t>
      </w:r>
      <w:r>
        <w:noBreakHyphen/>
        <w:t>либо ко</w:t>
      </w:r>
      <w:r>
        <w:t>н</w:t>
      </w:r>
      <w:r>
        <w:t>кретных положений, в соответствии с которыми н</w:t>
      </w:r>
      <w:r>
        <w:t>а</w:t>
      </w:r>
      <w:r>
        <w:t>силие в семье считалось бы отдельным правонар</w:t>
      </w:r>
      <w:r>
        <w:t>у</w:t>
      </w:r>
      <w:r>
        <w:t>шением, нет, в соответствии с уголовным кодексом насилие, нападение, изнасилование и сексуальные домогательства являются наказуемыми деяниями. Правительство принимает ряд мер для предупре</w:t>
      </w:r>
      <w:r>
        <w:t>ж</w:t>
      </w:r>
      <w:r>
        <w:t>дения и ликвидации насилия в семье и оказывает помощь и з</w:t>
      </w:r>
      <w:r>
        <w:t>а</w:t>
      </w:r>
      <w:r>
        <w:t>щиту его жертвам.</w:t>
      </w:r>
    </w:p>
    <w:p w:rsidR="00000000" w:rsidRDefault="00000000">
      <w:pPr>
        <w:pStyle w:val="DualTxt"/>
      </w:pPr>
      <w:r>
        <w:t>9.</w:t>
      </w:r>
      <w:r>
        <w:tab/>
        <w:t>Вызывает обеспокоенность то, что в после</w:t>
      </w:r>
      <w:r>
        <w:t>д</w:t>
      </w:r>
      <w:r>
        <w:t>ние годы расширяются масштабы проституции и международной торговли женщинами и девочками. В соответствии с уголовным кодексом проституция и сводничество являются наказуемыми деяниями. Хотя специальных законов о борьбе с торговлей женщинами нет, в парламенте на рассмотрении н</w:t>
      </w:r>
      <w:r>
        <w:t>а</w:t>
      </w:r>
      <w:r>
        <w:t>ходятся предложения о внесении в кодекс соотве</w:t>
      </w:r>
      <w:r>
        <w:t>т</w:t>
      </w:r>
      <w:r>
        <w:t>ствующих поправок. Министерство внутренних дел ведет серьезную работу по предупреждению этого феномена и борьбе с ним и заключило с 19 странами ряд соглашений о двустороннем с</w:t>
      </w:r>
      <w:r>
        <w:t>о</w:t>
      </w:r>
      <w:r>
        <w:t>трудничестве. Оно участвует также в мероприятиях, направленных на просвещение населения и пов</w:t>
      </w:r>
      <w:r>
        <w:t>ы</w:t>
      </w:r>
      <w:r>
        <w:t>шение осведомленности об опасн</w:t>
      </w:r>
      <w:r>
        <w:t>о</w:t>
      </w:r>
      <w:r>
        <w:t>сти этого зла.</w:t>
      </w:r>
    </w:p>
    <w:p w:rsidR="00000000" w:rsidRDefault="00000000">
      <w:pPr>
        <w:pStyle w:val="DualTxt"/>
      </w:pPr>
      <w:r>
        <w:t>10.</w:t>
      </w:r>
      <w:r>
        <w:tab/>
        <w:t>В Румынии женщины имеют свободный до</w:t>
      </w:r>
      <w:r>
        <w:t>с</w:t>
      </w:r>
      <w:r>
        <w:t>туп к образованию и какого</w:t>
      </w:r>
      <w:r>
        <w:noBreakHyphen/>
        <w:t>либо существенного несоответствия числа обучающихся в школах мал</w:t>
      </w:r>
      <w:r>
        <w:t>ь</w:t>
      </w:r>
      <w:r>
        <w:t>чиков и девочек нет. В последние годы увеличилось также число женщин, поступающих в высшие уче</w:t>
      </w:r>
      <w:r>
        <w:t>б</w:t>
      </w:r>
      <w:r>
        <w:t>ные заведения. Женщины составляют 71  процент преподавательского состава во всех учебных зав</w:t>
      </w:r>
      <w:r>
        <w:t>е</w:t>
      </w:r>
      <w:r>
        <w:t>дениях, однако лишь немногие из них занимают высшие административные и управленческие дол</w:t>
      </w:r>
      <w:r>
        <w:t>ж</w:t>
      </w:r>
      <w:r>
        <w:t>ности. Вместе с тем существует определенный ге</w:t>
      </w:r>
      <w:r>
        <w:t>н</w:t>
      </w:r>
      <w:r>
        <w:t>дерный дисбаланс в связи с различными показат</w:t>
      </w:r>
      <w:r>
        <w:t>е</w:t>
      </w:r>
      <w:r>
        <w:t>лями зачисления в школы в сельских и городских районах. Хотя с начала 90</w:t>
      </w:r>
      <w:r>
        <w:noBreakHyphen/>
        <w:t>х годов неграмотность среди женщин снизилась, она по</w:t>
      </w:r>
      <w:r>
        <w:noBreakHyphen/>
        <w:t>прежнему являе</w:t>
      </w:r>
      <w:r>
        <w:t>т</w:t>
      </w:r>
      <w:r>
        <w:t>ся высокой: 4,6 процента в 1997 году. Возраст 85 процентов неграмотных женщин превышает 50 лет. Программы изучения гендерной проблем</w:t>
      </w:r>
      <w:r>
        <w:t>а</w:t>
      </w:r>
      <w:r>
        <w:t>тики недавно были включены в учебную программу четырех университетов, а с 1998 года действует программа изучения гендерной проблематики, п</w:t>
      </w:r>
      <w:r>
        <w:t>о</w:t>
      </w:r>
      <w:r>
        <w:t>сле окончания которой присваивается ученая ст</w:t>
      </w:r>
      <w:r>
        <w:t>е</w:t>
      </w:r>
      <w:r>
        <w:t>пень. В сотрудничестве с неправительственными организациями и ПРООН министерство национал</w:t>
      </w:r>
      <w:r>
        <w:t>ь</w:t>
      </w:r>
      <w:r>
        <w:t>ного образования проводит исследования, каса</w:t>
      </w:r>
      <w:r>
        <w:t>ю</w:t>
      </w:r>
      <w:r>
        <w:t>щиеся отражения гендерной проблематики в уче</w:t>
      </w:r>
      <w:r>
        <w:t>б</w:t>
      </w:r>
      <w:r>
        <w:t>никах для н</w:t>
      </w:r>
      <w:r>
        <w:t>а</w:t>
      </w:r>
      <w:r>
        <w:t>чальных школ.</w:t>
      </w:r>
    </w:p>
    <w:p w:rsidR="00000000" w:rsidRDefault="00000000">
      <w:pPr>
        <w:pStyle w:val="DualTxt"/>
      </w:pPr>
      <w:r>
        <w:t>11.</w:t>
      </w:r>
      <w:r>
        <w:tab/>
        <w:t>В результате экономической реформы возро</w:t>
      </w:r>
      <w:r>
        <w:t>с</w:t>
      </w:r>
      <w:r>
        <w:t>ли масштабы безработицы и снизился уровень с</w:t>
      </w:r>
      <w:r>
        <w:t>о</w:t>
      </w:r>
      <w:r>
        <w:t>циальной безопасности, что оказывает чрезвычайно негативное воздействие на женщин. В апреле 2000 года безработица среди женщин составила 11,2 процента. Сохраняется неравенство положения мужчин и женщин в области заработной платы, причем женщины заняты в отраслях с более низкой заработной платой. В 1999 году женщины занимали лишь одну треть от общего числа высших должн</w:t>
      </w:r>
      <w:r>
        <w:t>о</w:t>
      </w:r>
      <w:r>
        <w:t>стей в области управления и коммерческой деятел</w:t>
      </w:r>
      <w:r>
        <w:t>ь</w:t>
      </w:r>
      <w:r>
        <w:t>ности. Вместе с тем к позитивным изменениям о</w:t>
      </w:r>
      <w:r>
        <w:t>т</w:t>
      </w:r>
      <w:r>
        <w:t>носятся расширение частного сектора и высокая доля женщин в частном се</w:t>
      </w:r>
      <w:r>
        <w:t>к</w:t>
      </w:r>
      <w:r>
        <w:t>торе.</w:t>
      </w:r>
    </w:p>
    <w:p w:rsidR="00000000" w:rsidRDefault="00000000">
      <w:pPr>
        <w:pStyle w:val="DualTxt"/>
      </w:pPr>
      <w:r>
        <w:t>12.</w:t>
      </w:r>
      <w:r>
        <w:tab/>
        <w:t>Женщины стали весьма конкурентоспособн</w:t>
      </w:r>
      <w:r>
        <w:t>ы</w:t>
      </w:r>
      <w:r>
        <w:t>ми в ряде секторов, включая банковское дело, жу</w:t>
      </w:r>
      <w:r>
        <w:t>р</w:t>
      </w:r>
      <w:r>
        <w:t>налистику и систему правосудия. Одновременно возрастает число женщин, занятых неполный раб</w:t>
      </w:r>
      <w:r>
        <w:t>о</w:t>
      </w:r>
      <w:r>
        <w:t>чий день и выполняющих неоплачиваемую работу на дому, что сопряжено с риском того, что они в н</w:t>
      </w:r>
      <w:r>
        <w:t>е</w:t>
      </w:r>
      <w:r>
        <w:t>достаточной степени охвачены системой социал</w:t>
      </w:r>
      <w:r>
        <w:t>ь</w:t>
      </w:r>
      <w:r>
        <w:t>ного обеспечения. В связи с этим Министерство труда и социальной защиты прииняло ряд мер в ц</w:t>
      </w:r>
      <w:r>
        <w:t>е</w:t>
      </w:r>
      <w:r>
        <w:t>лях улучшения условий занятости женщин, таких, как осуществление программ, способствующих равным возможностям, поддержка безработных женщин и женщин, находящихся в неблагоприятном положении, а также оказание женщинам помощи в диверсификации их экономической деятельности, поощрение их предпринимательской инициативы и содействие их возвр</w:t>
      </w:r>
      <w:r>
        <w:t>а</w:t>
      </w:r>
      <w:r>
        <w:t>щению на рынок труда.</w:t>
      </w:r>
    </w:p>
    <w:p w:rsidR="00000000" w:rsidRDefault="00000000">
      <w:pPr>
        <w:pStyle w:val="DualTxt"/>
      </w:pPr>
      <w:r>
        <w:t>13.</w:t>
      </w:r>
      <w:r>
        <w:tab/>
        <w:t>Последние статистические данные свидетел</w:t>
      </w:r>
      <w:r>
        <w:t>ь</w:t>
      </w:r>
      <w:r>
        <w:t>ствуют о том, что показатель средней продолж</w:t>
      </w:r>
      <w:r>
        <w:t>и</w:t>
      </w:r>
      <w:r>
        <w:t>тельности жизни при рождении является самым в</w:t>
      </w:r>
      <w:r>
        <w:t>ы</w:t>
      </w:r>
      <w:r>
        <w:t>соким среди женщин, особенно женщин, прож</w:t>
      </w:r>
      <w:r>
        <w:t>и</w:t>
      </w:r>
      <w:r>
        <w:t>вающих в сельских районах, и что в то же время к</w:t>
      </w:r>
      <w:r>
        <w:t>о</w:t>
      </w:r>
      <w:r>
        <w:t>эффициент рождаемости снизился на 21,4 процента. Показатели детской смертности являются высок</w:t>
      </w:r>
      <w:r>
        <w:t>и</w:t>
      </w:r>
      <w:r>
        <w:t>ми; более того, вызывает тревогу то, что число абортов после их легализации также является выс</w:t>
      </w:r>
      <w:r>
        <w:t>о</w:t>
      </w:r>
      <w:r>
        <w:t>ким. Министерство здравоохранения разработало национальную программу планирования семьи, в соответствии с которой создается городская сеть планирования семьи. Вместе с тем необходимо а</w:t>
      </w:r>
      <w:r>
        <w:t>к</w:t>
      </w:r>
      <w:r>
        <w:t>тивизировать распространение среди сельского н</w:t>
      </w:r>
      <w:r>
        <w:t>а</w:t>
      </w:r>
      <w:r>
        <w:t>селения общественной информации о современных методах регулирования деторожд</w:t>
      </w:r>
      <w:r>
        <w:t>е</w:t>
      </w:r>
      <w:r>
        <w:t>ния.</w:t>
      </w:r>
    </w:p>
    <w:p w:rsidR="00000000" w:rsidRDefault="00000000">
      <w:pPr>
        <w:pStyle w:val="DualTxt"/>
      </w:pPr>
      <w:r>
        <w:t>14.</w:t>
      </w:r>
      <w:r>
        <w:tab/>
        <w:t>Она коснулась мер, принимаемых с целью р</w:t>
      </w:r>
      <w:r>
        <w:t>е</w:t>
      </w:r>
      <w:r>
        <w:t>формирования системы здравоохранения, включая принятие нового законодательства, разработку стр</w:t>
      </w:r>
      <w:r>
        <w:t>а</w:t>
      </w:r>
      <w:r>
        <w:t>тегии в области репродуктивного здоровья и ме</w:t>
      </w:r>
      <w:r>
        <w:t>ж</w:t>
      </w:r>
      <w:r>
        <w:t>секторальные консультации по ВИЧ/СПИДу. Кроме того, принимаются эффективные меры для выпо</w:t>
      </w:r>
      <w:r>
        <w:t>л</w:t>
      </w:r>
      <w:r>
        <w:t>нения поставленных в Пекинской платформе дейс</w:t>
      </w:r>
      <w:r>
        <w:t>т</w:t>
      </w:r>
      <w:r>
        <w:t>вий задач в области охраны здоровья. Что касается социального обеспечения детей, то необходимы комплексные и скоординированные действия на о</w:t>
      </w:r>
      <w:r>
        <w:t>с</w:t>
      </w:r>
      <w:r>
        <w:t>нове сотрудничества правительства, местных орг</w:t>
      </w:r>
      <w:r>
        <w:t>а</w:t>
      </w:r>
      <w:r>
        <w:t>нов власти, неправительственных организаций и международных партнеров. Кроме того, для осущ</w:t>
      </w:r>
      <w:r>
        <w:t>е</w:t>
      </w:r>
      <w:r>
        <w:t>ствления прав всех детей в полном объеме особо важное значение имеет институциональная соглас</w:t>
      </w:r>
      <w:r>
        <w:t>о</w:t>
      </w:r>
      <w:r>
        <w:t>ванность и достаточный объем эффективно испол</w:t>
      </w:r>
      <w:r>
        <w:t>ь</w:t>
      </w:r>
      <w:r>
        <w:t>зуемых ресурсов, выделяемых на цели защиты д</w:t>
      </w:r>
      <w:r>
        <w:t>е</w:t>
      </w:r>
      <w:r>
        <w:t>тей. В этих целях Румыния приняла стратегию, к</w:t>
      </w:r>
      <w:r>
        <w:t>а</w:t>
      </w:r>
      <w:r>
        <w:t>сающуюся социального обеспечения детей (2000–2003 годы), в которой содержатся общие принципы и конкретные задачи, которые необходимо выполнить в течение конкретного периода времени.</w:t>
      </w:r>
    </w:p>
    <w:p w:rsidR="00000000" w:rsidRDefault="00000000">
      <w:pPr>
        <w:pStyle w:val="DualTxt"/>
      </w:pPr>
      <w:r>
        <w:t>15.</w:t>
      </w:r>
      <w:r>
        <w:tab/>
        <w:t>Ее правительство признает, что цели, каса</w:t>
      </w:r>
      <w:r>
        <w:t>ю</w:t>
      </w:r>
      <w:r>
        <w:t>щиеся улучшения положения женщин и обеспеч</w:t>
      </w:r>
      <w:r>
        <w:t>е</w:t>
      </w:r>
      <w:r>
        <w:t>ния равенства мужчин и женщин, могут быть до</w:t>
      </w:r>
      <w:r>
        <w:t>с</w:t>
      </w:r>
      <w:r>
        <w:t>тигнуты лишь на основе совместной деятельности с гражданским обществом. Неправительственные о</w:t>
      </w:r>
      <w:r>
        <w:t>р</w:t>
      </w:r>
      <w:r>
        <w:t>ганизации осуществляют эффективную деятел</w:t>
      </w:r>
      <w:r>
        <w:t>ь</w:t>
      </w:r>
      <w:r>
        <w:t>ность в таких важнейших областях, как повышение осведомленности о вопросах, касающихся женщин, расширение возможностей для предпринимател</w:t>
      </w:r>
      <w:r>
        <w:t>ь</w:t>
      </w:r>
      <w:r>
        <w:t>ской деятельности, охрана здоровья, репродукти</w:t>
      </w:r>
      <w:r>
        <w:t>в</w:t>
      </w:r>
      <w:r>
        <w:t>ные права и борьба с насилием в отношении же</w:t>
      </w:r>
      <w:r>
        <w:t>н</w:t>
      </w:r>
      <w:r>
        <w:t>щин. Румыния высоко ценит сотрудничество с о</w:t>
      </w:r>
      <w:r>
        <w:t>р</w:t>
      </w:r>
      <w:r>
        <w:t>ганами Организации Объединенных Наций, евр</w:t>
      </w:r>
      <w:r>
        <w:t>о</w:t>
      </w:r>
      <w:r>
        <w:t>пейскими учреждениями и ее двусторонними пар</w:t>
      </w:r>
      <w:r>
        <w:t>т</w:t>
      </w:r>
      <w:r>
        <w:t>нерами в странах Центральной и Восточной Евр</w:t>
      </w:r>
      <w:r>
        <w:t>о</w:t>
      </w:r>
      <w:r>
        <w:t>пы. И, наконец, она вновь заявляет о решимости ее правительства осуществлять Конвенцию в полном объеме и информирует Комитет, что Румыния уже начала процесс подписания и ратификации Факул</w:t>
      </w:r>
      <w:r>
        <w:t>ь</w:t>
      </w:r>
      <w:r>
        <w:t>тативного протокола к Конве</w:t>
      </w:r>
      <w:r>
        <w:t>н</w:t>
      </w:r>
      <w:r>
        <w:t>ции.</w:t>
      </w:r>
    </w:p>
    <w:p w:rsidR="00000000" w:rsidRDefault="00000000">
      <w:pPr>
        <w:pStyle w:val="DualTxt"/>
      </w:pPr>
      <w:r>
        <w:t>16.</w:t>
      </w:r>
      <w:r>
        <w:tab/>
      </w:r>
      <w:r>
        <w:rPr>
          <w:b/>
        </w:rPr>
        <w:t>Председатель</w:t>
      </w:r>
      <w:r>
        <w:t xml:space="preserve"> благодарит представителя Р</w:t>
      </w:r>
      <w:r>
        <w:t>у</w:t>
      </w:r>
      <w:r>
        <w:t>мынии и, отмечая высокий профессиональный ур</w:t>
      </w:r>
      <w:r>
        <w:t>о</w:t>
      </w:r>
      <w:r>
        <w:t>вень членов делегации, приветствует заявление о намерении правительства присоединиться к Ф</w:t>
      </w:r>
      <w:r>
        <w:t>а</w:t>
      </w:r>
      <w:r>
        <w:t>культ</w:t>
      </w:r>
      <w:r>
        <w:t>а</w:t>
      </w:r>
      <w:r>
        <w:t>тивному протоколу.</w:t>
      </w:r>
    </w:p>
    <w:p w:rsidR="00000000" w:rsidRDefault="00000000">
      <w:pPr>
        <w:pStyle w:val="DualTxt"/>
      </w:pPr>
      <w:r>
        <w:t>17.</w:t>
      </w:r>
      <w:r>
        <w:tab/>
      </w:r>
      <w:r>
        <w:rPr>
          <w:b/>
        </w:rPr>
        <w:t>Г</w:t>
      </w:r>
      <w:r>
        <w:rPr>
          <w:b/>
        </w:rPr>
        <w:noBreakHyphen/>
        <w:t>жа Корти</w:t>
      </w:r>
      <w:r>
        <w:t xml:space="preserve"> благодарит делегацию за правд</w:t>
      </w:r>
      <w:r>
        <w:t>и</w:t>
      </w:r>
      <w:r>
        <w:t>вое изложение фактов в ее устном докладе и гов</w:t>
      </w:r>
      <w:r>
        <w:t>о</w:t>
      </w:r>
      <w:r>
        <w:t>рит, что она особо высоко ценит предпринимаемые правительством усилия по согласованию сущес</w:t>
      </w:r>
      <w:r>
        <w:t>т</w:t>
      </w:r>
      <w:r>
        <w:t>вующего законодательства с директивами Европе</w:t>
      </w:r>
      <w:r>
        <w:t>й</w:t>
      </w:r>
      <w:r>
        <w:t>ского союза и осуществлению Конвенции. Подче</w:t>
      </w:r>
      <w:r>
        <w:t>р</w:t>
      </w:r>
      <w:r>
        <w:t>кивая ряд позитивных аспектов развития событий в Румынии, она вместе с тем хотела бы знать, во</w:t>
      </w:r>
      <w:r>
        <w:t>з</w:t>
      </w:r>
      <w:r>
        <w:t>можно ли распределение обязанностей между мн</w:t>
      </w:r>
      <w:r>
        <w:t>о</w:t>
      </w:r>
      <w:r>
        <w:t>гочисленными министерскими органами, занима</w:t>
      </w:r>
      <w:r>
        <w:t>ю</w:t>
      </w:r>
      <w:r>
        <w:t>щимися вопросами социального обеспечения детей, и вопросами, касающимися женщин. Она задается вопросом, не было ли бы более целесообразным б</w:t>
      </w:r>
      <w:r>
        <w:t>о</w:t>
      </w:r>
      <w:r>
        <w:t>лее четко разграничить две группы вопросов на уровне осуществл</w:t>
      </w:r>
      <w:r>
        <w:t>е</w:t>
      </w:r>
      <w:r>
        <w:t>ния.</w:t>
      </w:r>
    </w:p>
    <w:p w:rsidR="00000000" w:rsidRDefault="00000000">
      <w:pPr>
        <w:pStyle w:val="DualTxt"/>
      </w:pPr>
      <w:r>
        <w:t>18.</w:t>
      </w:r>
      <w:r>
        <w:tab/>
        <w:t>С учетом насущных и возрастающих проблем, с которыми сталкиваются женщины, таких, как н</w:t>
      </w:r>
      <w:r>
        <w:t>а</w:t>
      </w:r>
      <w:r>
        <w:t>силие в семье и проституция, правительство дол</w:t>
      </w:r>
      <w:r>
        <w:t>ж</w:t>
      </w:r>
      <w:r>
        <w:t>но принять срочное решение по многим проектам законов, которые предстоит обсудить. Необходим более жесткий механизм скоординированного р</w:t>
      </w:r>
      <w:r>
        <w:t>е</w:t>
      </w:r>
      <w:r>
        <w:t>шения вопросов, касающихся женщин. Кроме того, необходимо принимать более эффективные меры в целях решения проблемы патриархальной культуры в Румынии и ее искорен</w:t>
      </w:r>
      <w:r>
        <w:t>е</w:t>
      </w:r>
      <w:r>
        <w:t>ния.</w:t>
      </w:r>
    </w:p>
    <w:p w:rsidR="00000000" w:rsidRDefault="00000000">
      <w:pPr>
        <w:pStyle w:val="DualTxt"/>
      </w:pPr>
      <w:r>
        <w:t>19.</w:t>
      </w:r>
      <w:r>
        <w:tab/>
        <w:t>Возрастающей и серьезной проблемой являе</w:t>
      </w:r>
      <w:r>
        <w:t>т</w:t>
      </w:r>
      <w:r>
        <w:t>ся насилие в отношении женщин, особенно насилие в семье. Поэтому в существующее законодательство необходимо внести поправки, с тем чтобы в нем т</w:t>
      </w:r>
      <w:r>
        <w:t>а</w:t>
      </w:r>
      <w:r>
        <w:t>кое насилие характеризовалось не только как пр</w:t>
      </w:r>
      <w:r>
        <w:t>е</w:t>
      </w:r>
      <w:r>
        <w:t>ступление против женщин, но и против обществе</w:t>
      </w:r>
      <w:r>
        <w:t>н</w:t>
      </w:r>
      <w:r>
        <w:t>ного порядка. Кроме того, необходимо приложить максимум усилий для скорейшего принятия проекта закона о борьбе с сексуальными домогательствами; в этой связи принятие проекта закона о равных во</w:t>
      </w:r>
      <w:r>
        <w:t>з</w:t>
      </w:r>
      <w:r>
        <w:t>можностях является основой политики, направле</w:t>
      </w:r>
      <w:r>
        <w:t>н</w:t>
      </w:r>
      <w:r>
        <w:t>ной на достижение равенства мужчин и женщин.</w:t>
      </w:r>
    </w:p>
    <w:p w:rsidR="00000000" w:rsidRDefault="00000000">
      <w:pPr>
        <w:pStyle w:val="DualTxt"/>
      </w:pPr>
      <w:r>
        <w:t>20.</w:t>
      </w:r>
      <w:r>
        <w:tab/>
        <w:t>Она чрезвычайно обеспокоена масштабами торговли женщинами в целях сексуальной эксплу</w:t>
      </w:r>
      <w:r>
        <w:t>а</w:t>
      </w:r>
      <w:r>
        <w:t>тации и интересуется, каким образом правительство намерено решать данную проблему. Она была бы признательна за представление информации о ходе обсуждения вопроса о легализации проституции. Отчитывающемуся государству следует указать, к</w:t>
      </w:r>
      <w:r>
        <w:t>а</w:t>
      </w:r>
      <w:r>
        <w:t>ким образом правительство намерено решать пр</w:t>
      </w:r>
      <w:r>
        <w:t>о</w:t>
      </w:r>
      <w:r>
        <w:t>блему высокого уровня безработицы среди женщин. Отмечая, что женщины, которые не находят работу, пытаются открыть свое собственное предприятие, она интересуется, какие меры принимает прав</w:t>
      </w:r>
      <w:r>
        <w:t>и</w:t>
      </w:r>
      <w:r>
        <w:t>тельство для облегчения доступа женщин к кред</w:t>
      </w:r>
      <w:r>
        <w:t>и</w:t>
      </w:r>
      <w:r>
        <w:t>там. В частном секторе, в котором преобладают иностранные предприятия, как правило, не выпо</w:t>
      </w:r>
      <w:r>
        <w:t>л</w:t>
      </w:r>
      <w:r>
        <w:t>няются существующие законы, выплачивается ни</w:t>
      </w:r>
      <w:r>
        <w:t>з</w:t>
      </w:r>
      <w:r>
        <w:t>кая заработная плата и с женщинами заключают контракты на очень короткие сроки. Комитет хотел бы знать, каким образом правительство намерено защищать своих граждан от таких р</w:t>
      </w:r>
      <w:r>
        <w:t>а</w:t>
      </w:r>
      <w:r>
        <w:t>ботодателей.</w:t>
      </w:r>
    </w:p>
    <w:p w:rsidR="00000000" w:rsidRDefault="00000000">
      <w:pPr>
        <w:pStyle w:val="DualTxt"/>
      </w:pPr>
      <w:r>
        <w:t>21.</w:t>
      </w:r>
      <w:r>
        <w:tab/>
        <w:t>По вопросу об охране здоровья женщин она отмечает, что ни положения статьи 12 Конвенции, ни общая рекомендация КЛДОЖ № 24 об охране здоровья не выполняются. В связи с большим чи</w:t>
      </w:r>
      <w:r>
        <w:t>с</w:t>
      </w:r>
      <w:r>
        <w:t>лом абортов, включая нелегальные аборты, высок</w:t>
      </w:r>
      <w:r>
        <w:t>и</w:t>
      </w:r>
      <w:r>
        <w:t>ми показателями материнской смертности и ростом инфицирования ВИЧ/СПИДом она хотела бы знать, какие меры в этой связи принимает Министерство здравоохранения. Она особенно обеспокоена выс</w:t>
      </w:r>
      <w:r>
        <w:t>о</w:t>
      </w:r>
      <w:r>
        <w:t>кими показателями инфицирования ВИЧ среди д</w:t>
      </w:r>
      <w:r>
        <w:t>е</w:t>
      </w:r>
      <w:r>
        <w:t>тей в Румынии и выражает обеспокоенность тем фактом, что существующие центры не располагают достаточными финансовыми средствами для пр</w:t>
      </w:r>
      <w:r>
        <w:t>о</w:t>
      </w:r>
      <w:r>
        <w:t>должения надлежащего функционир</w:t>
      </w:r>
      <w:r>
        <w:t>о</w:t>
      </w:r>
      <w:r>
        <w:t>вания.</w:t>
      </w:r>
    </w:p>
    <w:p w:rsidR="00000000" w:rsidRDefault="00000000">
      <w:pPr>
        <w:pStyle w:val="DualTxt"/>
      </w:pPr>
      <w:r>
        <w:t>22.</w:t>
      </w:r>
      <w:r>
        <w:tab/>
        <w:t>Следует представить информацию о бюджете системы здравоохранения. Она приветствует тот факт, что в настоящее время правительство Рум</w:t>
      </w:r>
      <w:r>
        <w:t>ы</w:t>
      </w:r>
      <w:r>
        <w:t>нии уделяет огромное внимание охране здоровья пожилых женщин. Отчитывающемуся государству следует представить информацию о новом законе о пенсиях и выходе на пенсию и дать разъяснения в отношении того, почему парламент отклонил пре</w:t>
      </w:r>
      <w:r>
        <w:t>д</w:t>
      </w:r>
      <w:r>
        <w:t>ложение о том, чтобы возраст вступления в брак для мальчиков и девочек составлял 18 лет. В заключ</w:t>
      </w:r>
      <w:r>
        <w:t>е</w:t>
      </w:r>
      <w:r>
        <w:t>ние она выражает надежду на то, что Факультати</w:t>
      </w:r>
      <w:r>
        <w:t>в</w:t>
      </w:r>
      <w:r>
        <w:t>ный протокол будет в скором времени ратифицир</w:t>
      </w:r>
      <w:r>
        <w:t>о</w:t>
      </w:r>
      <w:r>
        <w:t>ван.</w:t>
      </w:r>
    </w:p>
    <w:p w:rsidR="00000000" w:rsidRDefault="00000000">
      <w:pPr>
        <w:pStyle w:val="DualTxt"/>
      </w:pPr>
      <w:r>
        <w:t>23.</w:t>
      </w:r>
      <w:r>
        <w:tab/>
      </w:r>
      <w:r>
        <w:rPr>
          <w:b/>
        </w:rPr>
        <w:t>Г</w:t>
      </w:r>
      <w:r>
        <w:rPr>
          <w:b/>
        </w:rPr>
        <w:noBreakHyphen/>
        <w:t>жа Габр</w:t>
      </w:r>
      <w:r>
        <w:t xml:space="preserve"> говорит, что, хотя она приветствует дополнительную и подробную информацию, пре</w:t>
      </w:r>
      <w:r>
        <w:t>д</w:t>
      </w:r>
      <w:r>
        <w:t>ставленную делегацией Румынии в ее устном до</w:t>
      </w:r>
      <w:r>
        <w:t>к</w:t>
      </w:r>
      <w:r>
        <w:t>ладе, она сожалеет о том, что в докладе не пре</w:t>
      </w:r>
      <w:r>
        <w:t>д</w:t>
      </w:r>
      <w:r>
        <w:t>ставлена подробная информация и статистические данные, касающиеся программ и механизмов в и</w:t>
      </w:r>
      <w:r>
        <w:t>н</w:t>
      </w:r>
      <w:r>
        <w:t>тересах женщин. Комитет приветствует принима</w:t>
      </w:r>
      <w:r>
        <w:t>е</w:t>
      </w:r>
      <w:r>
        <w:t>мые правительством меры, с тем чтобы привести национальное законодательство в соответствие с положениями Конвенции и других международных документов по правам человека, к которым Рум</w:t>
      </w:r>
      <w:r>
        <w:t>ы</w:t>
      </w:r>
      <w:r>
        <w:t>ния присоединилась. Она приветствует прогресс, достигнутый в обеспечении социальной защиты в таких областях, как отпуск по беременности и р</w:t>
      </w:r>
      <w:r>
        <w:t>о</w:t>
      </w:r>
      <w:r>
        <w:t>дам и заработная плата. Отчитывающемуся гос</w:t>
      </w:r>
      <w:r>
        <w:t>у</w:t>
      </w:r>
      <w:r>
        <w:t>дарству следует представить подробную информ</w:t>
      </w:r>
      <w:r>
        <w:t>а</w:t>
      </w:r>
      <w:r>
        <w:t>цию о порядке подготовки доклада и о статусе ме</w:t>
      </w:r>
      <w:r>
        <w:t>ж</w:t>
      </w:r>
      <w:r>
        <w:t>дународных конвенций в рамках законодательства Рум</w:t>
      </w:r>
      <w:r>
        <w:t>ы</w:t>
      </w:r>
      <w:r>
        <w:t>нии.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 Фэн Цуй</w:t>
      </w:r>
      <w:r>
        <w:t xml:space="preserve"> говорит, что в докладе, а также ответах делегации упоминались поправки к некот</w:t>
      </w:r>
      <w:r>
        <w:t>о</w:t>
      </w:r>
      <w:r>
        <w:t>рым законам, но не была дана какая-либо подробная информация. Отчитывающемуся государству след</w:t>
      </w:r>
      <w:r>
        <w:t>у</w:t>
      </w:r>
      <w:r>
        <w:t>ет дать разъяснения в отношении того, как опред</w:t>
      </w:r>
      <w:r>
        <w:t>е</w:t>
      </w:r>
      <w:r>
        <w:t>ляется насилие в семье, и указать, принимало ли участие министерство труда в разработке такого о</w:t>
      </w:r>
      <w:r>
        <w:t>п</w:t>
      </w:r>
      <w:r>
        <w:t>ределения. Она интересуется, имеют ли экспер</w:t>
      </w:r>
      <w:r>
        <w:t>и</w:t>
      </w:r>
      <w:r>
        <w:t>ментальный центр защиты и помощи жертвам нас</w:t>
      </w:r>
      <w:r>
        <w:t>и</w:t>
      </w:r>
      <w:r>
        <w:t>лия в семье и информационно-консультативный центр по проблемам семьи отделения в других ча</w:t>
      </w:r>
      <w:r>
        <w:t>с</w:t>
      </w:r>
      <w:r>
        <w:t>тях страны и организованы ли «горячие линии» и имеются ли пр</w:t>
      </w:r>
      <w:r>
        <w:t>и</w:t>
      </w:r>
      <w:r>
        <w:t>юты для жертв насилия в семье.</w:t>
      </w:r>
    </w:p>
    <w:p w:rsidR="00000000" w:rsidRDefault="00000000">
      <w:pPr>
        <w:pStyle w:val="DualTxt"/>
      </w:pPr>
      <w:r>
        <w:t>25.</w:t>
      </w:r>
      <w:r>
        <w:tab/>
        <w:t>Комитет хотел бы знать, поддерживают ли с</w:t>
      </w:r>
      <w:r>
        <w:t>о</w:t>
      </w:r>
      <w:r>
        <w:t>трудничество директорат по обеспечению равных возможностей и министерство труда и социальной защиты. Отмечая, что директорат создал сеть для обмена информацией между семью центрами и что пять центров были созданы неправительственными организациями и два министерством труда, она и</w:t>
      </w:r>
      <w:r>
        <w:t>н</w:t>
      </w:r>
      <w:r>
        <w:t>тересуется, оказывает ли правительство поддержку пяти центрам, находящимся в ведении неправител</w:t>
      </w:r>
      <w:r>
        <w:t>ь</w:t>
      </w:r>
      <w:r>
        <w:t>ственных орг</w:t>
      </w:r>
      <w:r>
        <w:t>а</w:t>
      </w:r>
      <w:r>
        <w:t>низаций.</w:t>
      </w:r>
    </w:p>
    <w:p w:rsidR="00000000" w:rsidRDefault="00000000">
      <w:pPr>
        <w:pStyle w:val="DualTxt"/>
      </w:pPr>
      <w:r>
        <w:t>26.</w:t>
      </w:r>
      <w:r>
        <w:tab/>
      </w:r>
      <w:r>
        <w:rPr>
          <w:b/>
        </w:rPr>
        <w:t>Г</w:t>
      </w:r>
      <w:r>
        <w:rPr>
          <w:b/>
        </w:rPr>
        <w:noBreakHyphen/>
        <w:t>жа Николаи</w:t>
      </w:r>
      <w:r>
        <w:t xml:space="preserve"> (Румыния) говорит, что реал</w:t>
      </w:r>
      <w:r>
        <w:t>ь</w:t>
      </w:r>
      <w:r>
        <w:t>но осуществление мер по содействию решению гендерных вопросов и улучшению положения же</w:t>
      </w:r>
      <w:r>
        <w:t>н</w:t>
      </w:r>
      <w:r>
        <w:t>щин было начато лишь после Пекинской конфере</w:t>
      </w:r>
      <w:r>
        <w:t>н</w:t>
      </w:r>
      <w:r>
        <w:t>ции. Учитывая особое своеобразие социальной и политической истории Румынии, существует много проблем, с которыми предстоит столкнуться на п</w:t>
      </w:r>
      <w:r>
        <w:t>у</w:t>
      </w:r>
      <w:r>
        <w:t>ти преодоления культурных и традиционных взгл</w:t>
      </w:r>
      <w:r>
        <w:t>я</w:t>
      </w:r>
      <w:r>
        <w:t>дов, в том числе тех, которые были характерны для коммунистической эпохи. Был создан юридический механизм, начиная с государственного секретариата по гендерной политике, а совсем недавно — дире</w:t>
      </w:r>
      <w:r>
        <w:t>к</w:t>
      </w:r>
      <w:r>
        <w:t>торат по обеспечению равенства возможностей (ДРВ), который стремится содействовать углубл</w:t>
      </w:r>
      <w:r>
        <w:t>е</w:t>
      </w:r>
      <w:r>
        <w:t>нию понимая вопросов, касающихся положения женщин на рынке труда. Директорат финансируется правительством, однако его бюджет остается ни</w:t>
      </w:r>
      <w:r>
        <w:t>з</w:t>
      </w:r>
      <w:r>
        <w:t>ким в связи с неудовлетворительным экономич</w:t>
      </w:r>
      <w:r>
        <w:t>е</w:t>
      </w:r>
      <w:r>
        <w:t>ским положением. К счастью, многие проекты ос</w:t>
      </w:r>
      <w:r>
        <w:t>у</w:t>
      </w:r>
      <w:r>
        <w:t>ществляются в сотрудничестве с международными орган</w:t>
      </w:r>
      <w:r>
        <w:t>и</w:t>
      </w:r>
      <w:r>
        <w:t>зациями.</w:t>
      </w:r>
    </w:p>
    <w:p w:rsidR="00000000" w:rsidRDefault="00000000">
      <w:pPr>
        <w:pStyle w:val="DualTxt"/>
      </w:pPr>
      <w:r>
        <w:t>27.</w:t>
      </w:r>
      <w:r>
        <w:tab/>
        <w:t>Непосредственное участие в контроле за ос</w:t>
      </w:r>
      <w:r>
        <w:t>у</w:t>
      </w:r>
      <w:r>
        <w:t>ществлением гендерной политики принимают па</w:t>
      </w:r>
      <w:r>
        <w:t>р</w:t>
      </w:r>
      <w:r>
        <w:t>ламентский подкомитет по обеспечению равных возможностей и народный адвокат (омбудсмен). Основная приоритетная задача правительства з</w:t>
      </w:r>
      <w:r>
        <w:t>а</w:t>
      </w:r>
      <w:r>
        <w:t>ключается в согласовании его законодательства с международными и особенно европейскими норами в качестве первого шага на пути к вступлению в Европейский союз. Даже в коммунистическую эп</w:t>
      </w:r>
      <w:r>
        <w:t>о</w:t>
      </w:r>
      <w:r>
        <w:t>ху Румыния присоединилась ко многим междун</w:t>
      </w:r>
      <w:r>
        <w:t>а</w:t>
      </w:r>
      <w:r>
        <w:t>родным конвенциям, однако, как отметила г</w:t>
      </w:r>
      <w:r>
        <w:noBreakHyphen/>
        <w:t>жа Корти, во многих случаях закон не применялся на практике. Вместе с тем она считает, что генде</w:t>
      </w:r>
      <w:r>
        <w:t>р</w:t>
      </w:r>
      <w:r>
        <w:t>ная политика должна отражать стиль жизни, кул</w:t>
      </w:r>
      <w:r>
        <w:t>ь</w:t>
      </w:r>
      <w:r>
        <w:t>туру и образование и обеспечивать реальное раве</w:t>
      </w:r>
      <w:r>
        <w:t>н</w:t>
      </w:r>
      <w:r>
        <w:t>ство путем привлечения всех представителей гра</w:t>
      </w:r>
      <w:r>
        <w:t>ж</w:t>
      </w:r>
      <w:r>
        <w:t>данского общества, с тем чтобы реально изменить отношение. В этих целях правительство финанс</w:t>
      </w:r>
      <w:r>
        <w:t>и</w:t>
      </w:r>
      <w:r>
        <w:t>рует разработанные неправительственными орган</w:t>
      </w:r>
      <w:r>
        <w:t>и</w:t>
      </w:r>
      <w:r>
        <w:t>зациями проекты, связанные с гендерными вопр</w:t>
      </w:r>
      <w:r>
        <w:t>о</w:t>
      </w:r>
      <w:r>
        <w:t>сами.</w:t>
      </w:r>
    </w:p>
    <w:p w:rsidR="00000000" w:rsidRDefault="00000000">
      <w:pPr>
        <w:pStyle w:val="DualTxt"/>
      </w:pPr>
      <w:r>
        <w:t>28.</w:t>
      </w:r>
      <w:r>
        <w:tab/>
        <w:t>Что касается рынка труда, реальная политика содействия правам женщин отсутствует. Уровень безработицы среди женщин примерно соответств</w:t>
      </w:r>
      <w:r>
        <w:t>у</w:t>
      </w:r>
      <w:r>
        <w:t>ет уровню безработицы среди мужчин, причем ос</w:t>
      </w:r>
      <w:r>
        <w:t>о</w:t>
      </w:r>
      <w:r>
        <w:t>бо высокие показатели безработицы характерны для лиц старше 50 лет. В связи с нехваткой ресурсов, особенно таких материальных ресурсов, как ко</w:t>
      </w:r>
      <w:r>
        <w:t>м</w:t>
      </w:r>
      <w:r>
        <w:t>пьютеры, осуществить подготовку таких лиц для общества современных коммуникаций является весьма сложной задачей. По существу, многие же</w:t>
      </w:r>
      <w:r>
        <w:t>н</w:t>
      </w:r>
      <w:r>
        <w:t>щины, когда встает вопрос о необходимости соч</w:t>
      </w:r>
      <w:r>
        <w:t>е</w:t>
      </w:r>
      <w:r>
        <w:t>тания личной жизни и профессиональной деятел</w:t>
      </w:r>
      <w:r>
        <w:t>ь</w:t>
      </w:r>
      <w:r>
        <w:t>ности, предпочитают оставаться дома. Организ</w:t>
      </w:r>
      <w:r>
        <w:t>о</w:t>
      </w:r>
      <w:r>
        <w:t>вать их и обеспечить их переподготовку, дающую им возможность вернуться на рынок труда, является сложной задачей. Кроме того, многие женщины досрочно выходят на пенсию; вместе с тем в н</w:t>
      </w:r>
      <w:r>
        <w:t>а</w:t>
      </w:r>
      <w:r>
        <w:t>стоящее время мужчины и женщины могут вых</w:t>
      </w:r>
      <w:r>
        <w:t>о</w:t>
      </w:r>
      <w:r>
        <w:t>дить на пенсию в возрасте 65 лет. Два года назад был принят закон о поощрении предпринимательс</w:t>
      </w:r>
      <w:r>
        <w:t>т</w:t>
      </w:r>
      <w:r>
        <w:t>ва и создании рабочих мест, особенно для женщин, в соответствии с которым правительство будет о</w:t>
      </w:r>
      <w:r>
        <w:t>п</w:t>
      </w:r>
      <w:r>
        <w:t>лачивать 70 процентов зарплаты новых служащих.</w:t>
      </w:r>
    </w:p>
    <w:p w:rsidR="00000000" w:rsidRDefault="00000000">
      <w:pPr>
        <w:pStyle w:val="DualTxt"/>
      </w:pPr>
      <w:r>
        <w:t>29.</w:t>
      </w:r>
      <w:r>
        <w:tab/>
        <w:t>Для женщин была также разработана пр</w:t>
      </w:r>
      <w:r>
        <w:t>о</w:t>
      </w:r>
      <w:r>
        <w:t>грамма микрокредитования в целях поощрения предпринимательства и владения частной собстве</w:t>
      </w:r>
      <w:r>
        <w:t>н</w:t>
      </w:r>
      <w:r>
        <w:t>ностью. К сожалению, в культуре Румынии в целом и в органах государственной власти отсутствует укоренившаяся традиция предпринимательства. Принимаются также другие меры в целях поощр</w:t>
      </w:r>
      <w:r>
        <w:t>е</w:t>
      </w:r>
      <w:r>
        <w:t>ния новой роли женщин на рынке труда и сокращ</w:t>
      </w:r>
      <w:r>
        <w:t>е</w:t>
      </w:r>
      <w:r>
        <w:t>ния дискриминации, во многих случаях в сотрудн</w:t>
      </w:r>
      <w:r>
        <w:t>и</w:t>
      </w:r>
      <w:r>
        <w:t>честве с международными организациями, однако они осуществляются с разной степенью успеха. Был принят закон о поощрении иностранного инвест</w:t>
      </w:r>
      <w:r>
        <w:t>и</w:t>
      </w:r>
      <w:r>
        <w:t>рования и, как представляется, инвесторы проявл</w:t>
      </w:r>
      <w:r>
        <w:t>я</w:t>
      </w:r>
      <w:r>
        <w:t>ют интерес к Румынии, поскольку она располагает в целом высококвалифицированными работниками. Вместе с тем политическая нестабильность ведет к сокращению числа желающих вкладывать деньги. Нынешнее правительство является правительством меньшинства, состоящим из коалиции различных партий, и в связи с выборами в ноябре никакой г</w:t>
      </w:r>
      <w:r>
        <w:t>а</w:t>
      </w:r>
      <w:r>
        <w:t>рантии того, что закон 1999 года об иностранном инвестировании останется в силе, нет.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</w:t>
      </w:r>
      <w:r>
        <w:rPr>
          <w:b/>
        </w:rPr>
        <w:noBreakHyphen/>
        <w:t>жа Попеску</w:t>
      </w:r>
      <w:r>
        <w:t xml:space="preserve"> (Румыния) говорит, что подг</w:t>
      </w:r>
      <w:r>
        <w:t>о</w:t>
      </w:r>
      <w:r>
        <w:t>товка периодических докладов является коллекти</w:t>
      </w:r>
      <w:r>
        <w:t>в</w:t>
      </w:r>
      <w:r>
        <w:t>ной работой нескольких министерств, в частности министерства труда и социальной защиты, которое отвечает за государственный механизм улучшения положения женщин. Она отмечает, что в каждом разделе доклада упоминается работа неправител</w:t>
      </w:r>
      <w:r>
        <w:t>ь</w:t>
      </w:r>
      <w:r>
        <w:t>ственных организаций, и подчеркивает, что во мн</w:t>
      </w:r>
      <w:r>
        <w:t>о</w:t>
      </w:r>
      <w:r>
        <w:t>гих случаях эти организации осуществляют свою деятельность в областях, в которых правительство не имеет возможности действовать. Условно говоря, хотя неправительственные организации Румынии по</w:t>
      </w:r>
      <w:r>
        <w:noBreakHyphen/>
        <w:t>прежнему находятся на начальном этапе своего развития, они все активнее участвуют в деятельн</w:t>
      </w:r>
      <w:r>
        <w:t>о</w:t>
      </w:r>
      <w:r>
        <w:t>сти, направленной на поощрение социальных и эк</w:t>
      </w:r>
      <w:r>
        <w:t>о</w:t>
      </w:r>
      <w:r>
        <w:t>номических прав женщин в целом и расширение осведомленности об этих вопросах и предупрежд</w:t>
      </w:r>
      <w:r>
        <w:t>е</w:t>
      </w:r>
      <w:r>
        <w:t>ние конкретных нарушений, таких, как насилие в отн</w:t>
      </w:r>
      <w:r>
        <w:t>о</w:t>
      </w:r>
      <w:r>
        <w:t>шении женщин.</w:t>
      </w:r>
    </w:p>
    <w:p w:rsidR="00000000" w:rsidRDefault="00000000">
      <w:pPr>
        <w:pStyle w:val="DualTxt"/>
      </w:pPr>
      <w:r>
        <w:t>31.</w:t>
      </w:r>
      <w:r>
        <w:tab/>
        <w:t>В соответствии с конституцией Румынии ме</w:t>
      </w:r>
      <w:r>
        <w:t>ж</w:t>
      </w:r>
      <w:r>
        <w:t>дународные документы имеют приоритет над н</w:t>
      </w:r>
      <w:r>
        <w:t>а</w:t>
      </w:r>
      <w:r>
        <w:t>циональным законодательством, и она обеспечив</w:t>
      </w:r>
      <w:r>
        <w:t>а</w:t>
      </w:r>
      <w:r>
        <w:t>ет, в частности, беспрепятственное осуществление документов по правам человека. Признавая разл</w:t>
      </w:r>
      <w:r>
        <w:t>и</w:t>
      </w:r>
      <w:r>
        <w:t>чия в положении де</w:t>
      </w:r>
      <w:r>
        <w:noBreakHyphen/>
        <w:t>юре и де</w:t>
      </w:r>
      <w:r>
        <w:noBreakHyphen/>
        <w:t>факто, она говорит, что предстоит еще многое сделать для расширения осведомленности о таких документах по правам ч</w:t>
      </w:r>
      <w:r>
        <w:t>е</w:t>
      </w:r>
      <w:r>
        <w:t>ловека, как Конвенция КЛДОЖ в рамках админис</w:t>
      </w:r>
      <w:r>
        <w:t>т</w:t>
      </w:r>
      <w:r>
        <w:t xml:space="preserve">ративной и судебной системы в целях обеспечения учета гендерных вопросов. </w:t>
      </w:r>
    </w:p>
    <w:p w:rsidR="00000000" w:rsidRDefault="00000000">
      <w:pPr>
        <w:pStyle w:val="DualTxt"/>
      </w:pPr>
      <w:r>
        <w:t>32.</w:t>
      </w:r>
      <w:r>
        <w:tab/>
        <w:t>В ответ на обеспокоенность, высказанную в связи с большим числом созданных органов, зан</w:t>
      </w:r>
      <w:r>
        <w:t>и</w:t>
      </w:r>
      <w:r>
        <w:t>мающихся вопросами прав женщин, она надеется, что их число позволит создать положительный э</w:t>
      </w:r>
      <w:r>
        <w:t>ф</w:t>
      </w:r>
      <w:r>
        <w:t>фект и повысить внимание к вопросам, касающимся женщин. Например, за полтора года своего сущес</w:t>
      </w:r>
      <w:r>
        <w:t>т</w:t>
      </w:r>
      <w:r>
        <w:t>вования Бюро омбудсмена по правам человека уже столкнулось со многими случаями, касающимися женщин, семьи и детей. Большинство жалоб были поданы женщинами, и во многих случаях они кас</w:t>
      </w:r>
      <w:r>
        <w:t>а</w:t>
      </w:r>
      <w:r>
        <w:t>лись не только проблем женщин, но также других вопр</w:t>
      </w:r>
      <w:r>
        <w:t>о</w:t>
      </w:r>
      <w:r>
        <w:t>сов, затрагивающих семью.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</w:t>
      </w:r>
      <w:r>
        <w:rPr>
          <w:b/>
        </w:rPr>
        <w:noBreakHyphen/>
        <w:t>жа Николаи</w:t>
      </w:r>
      <w:r>
        <w:t xml:space="preserve"> (Румыния) говорит по вопросу о предупреждении насилия в семье, что уголовный кодекс Румынии был разработан на основе европе</w:t>
      </w:r>
      <w:r>
        <w:t>й</w:t>
      </w:r>
      <w:r>
        <w:t>ских кодексов, таких, как кодексы Франции и Ит</w:t>
      </w:r>
      <w:r>
        <w:t>а</w:t>
      </w:r>
      <w:r>
        <w:t>лии. Вместе с тем за короткое время сложно изм</w:t>
      </w:r>
      <w:r>
        <w:t>е</w:t>
      </w:r>
      <w:r>
        <w:t>нить культурные и традиционные взгляды в таких консервативных странах, как Румыния. В парламе</w:t>
      </w:r>
      <w:r>
        <w:t>н</w:t>
      </w:r>
      <w:r>
        <w:t>те проводятся обсуждения по вопросу о равенстве возможностей, однако выработать приемлемое о</w:t>
      </w:r>
      <w:r>
        <w:t>п</w:t>
      </w:r>
      <w:r>
        <w:t>ределение дискриминации является весьма сложной задачей. Определения, подобные тем, которые и</w:t>
      </w:r>
      <w:r>
        <w:t>с</w:t>
      </w:r>
      <w:r>
        <w:t>пользуются в странах Северной Европы, в других странах Европы или на международном уровне, как представляется, не подходят для румынского общ</w:t>
      </w:r>
      <w:r>
        <w:t>е</w:t>
      </w:r>
      <w:r>
        <w:t>ства. Кроме того, доля женщин в сенате не велика и заручиться поддержкой различных партий и соде</w:t>
      </w:r>
      <w:r>
        <w:t>й</w:t>
      </w:r>
      <w:r>
        <w:t>ствовать выработке общей позиции является сло</w:t>
      </w:r>
      <w:r>
        <w:t>ж</w:t>
      </w:r>
      <w:r>
        <w:t>ной задачей; в результате до сих пор не принято н</w:t>
      </w:r>
      <w:r>
        <w:t>и</w:t>
      </w:r>
      <w:r>
        <w:t>какого закона.</w:t>
      </w:r>
    </w:p>
    <w:p w:rsidR="00000000" w:rsidRDefault="00000000">
      <w:pPr>
        <w:pStyle w:val="DualTxt"/>
      </w:pPr>
      <w:r>
        <w:t>34.</w:t>
      </w:r>
      <w:r>
        <w:tab/>
        <w:t>Велось обсуждение вопроса о квотах для женщин в политических партиях, однако, к сожал</w:t>
      </w:r>
      <w:r>
        <w:t>е</w:t>
      </w:r>
      <w:r>
        <w:t>нию, даже женщины-политики, как представляется, не имеют особой мотивации. Лишь две партии предприняли попытку установить квоты для же</w:t>
      </w:r>
      <w:r>
        <w:t>н</w:t>
      </w:r>
      <w:r>
        <w:t>щин в своих списках кандидатов. Что касается пр</w:t>
      </w:r>
      <w:r>
        <w:t>о</w:t>
      </w:r>
      <w:r>
        <w:t>ституции, то она отмечает, что Румыния ратифиц</w:t>
      </w:r>
      <w:r>
        <w:t>и</w:t>
      </w:r>
      <w:r>
        <w:t>ровала Конвенцию о борьбе с торговлей людьми и с эксплуатацией проституции третьими лицами. Вм</w:t>
      </w:r>
      <w:r>
        <w:t>е</w:t>
      </w:r>
      <w:r>
        <w:t>сте с тем она лично возражает против любой п</w:t>
      </w:r>
      <w:r>
        <w:t>о</w:t>
      </w:r>
      <w:r>
        <w:t xml:space="preserve">пытки легализовать или регулировать проституцию, поскольку такой шаг будет представлять серьезную долгосрочную угрозу для социального и морального состояния страны. 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  <w:rPr>
          <w:i w:val="0"/>
        </w:rPr>
      </w:pPr>
      <w:r>
        <w:tab/>
        <w:t>Заседание закрывается в 13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NO&gt;&gt;N0049826R&lt;&lt;ODS JOB NO&gt;&gt;</w:t>
      </w:r>
    </w:p>
    <w:p w:rsidR="00000000" w:rsidRDefault="00000000">
      <w:pPr>
        <w:pStyle w:val="CommentText"/>
      </w:pPr>
      <w:r>
        <w:t>&lt;&lt;ODS DOC SYMBOL1&gt;&gt;CEDAW/C/SR.481&lt;&lt;ODS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7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00-49826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*0049826*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CEDAW/C/SR.481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CEDAW/C/SR.481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/C/SR.481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21</w:t>
          </w:r>
          <w:r>
            <w:rPr>
              <w:lang w:val="en-US"/>
            </w:rPr>
            <w:t xml:space="preserve"> </w:t>
          </w:r>
          <w:r>
            <w:t>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475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20/11/2001 7:51: AM"/>
    <w:docVar w:name="DocCategory" w:val="SROthers"/>
    <w:docVar w:name="DocType" w:val="Final"/>
    <w:docVar w:name="JobNo" w:val="0049826R"/>
    <w:docVar w:name="OandT" w:val=" "/>
    <w:docVar w:name="Symbol1" w:val="CEDAW/C/SR.48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DualTxt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3090</Words>
  <Characters>21327</Characters>
  <Application>Microsoft Office Word</Application>
  <DocSecurity>4</DocSecurity>
  <Lines>561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25344</CharactersWithSpaces>
  <SharedDoc>false</SharedDoc>
  <HLinks>
    <vt:vector size="6" baseType="variant">
      <vt:variant>
        <vt:i4>4522087</vt:i4>
      </vt:variant>
      <vt:variant>
        <vt:i4>51142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12</cp:revision>
  <cp:lastPrinted>2001-11-20T09:54:00Z</cp:lastPrinted>
  <dcterms:created xsi:type="dcterms:W3CDTF">2001-11-20T09:48:00Z</dcterms:created>
  <dcterms:modified xsi:type="dcterms:W3CDTF">2001-11-20T09:58:00Z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0049826</vt:lpwstr>
  </property>
  <property fmtid="{D5CDD505-2E9C-101B-9397-08002B2CF9AE}" pid="3" name="Symbol1">
    <vt:lpwstr>CEDAW/C/SR.481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7</vt:lpwstr>
  </property>
  <property fmtid="{D5CDD505-2E9C-101B-9397-08002B2CF9AE}" pid="8" name="Operator">
    <vt:lpwstr> Litvinova</vt:lpwstr>
  </property>
</Properties>
</file>