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575F47">
        <w:trPr>
          <w:cantSplit/>
          <w:trHeight w:hRule="exact" w:val="851"/>
        </w:trPr>
        <w:tc>
          <w:tcPr>
            <w:tcW w:w="1276" w:type="dxa"/>
            <w:tcBorders>
              <w:bottom w:val="single" w:sz="4" w:space="0" w:color="auto"/>
            </w:tcBorders>
            <w:vAlign w:val="bottom"/>
          </w:tcPr>
          <w:p w:rsidR="00575F47" w:rsidRDefault="00575F47">
            <w:pPr>
              <w:pStyle w:val="SingleTxtG"/>
            </w:pPr>
          </w:p>
        </w:tc>
        <w:tc>
          <w:tcPr>
            <w:tcW w:w="2268" w:type="dxa"/>
            <w:tcBorders>
              <w:bottom w:val="single" w:sz="4" w:space="0" w:color="auto"/>
            </w:tcBorders>
            <w:vAlign w:val="bottom"/>
          </w:tcPr>
          <w:p w:rsidR="00575F47" w:rsidRDefault="00575F4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575F47" w:rsidRDefault="00261CFD" w:rsidP="00261CFD">
            <w:pPr>
              <w:suppressAutoHyphens w:val="0"/>
              <w:spacing w:after="20"/>
              <w:jc w:val="right"/>
            </w:pPr>
            <w:r w:rsidRPr="00261CFD">
              <w:rPr>
                <w:sz w:val="40"/>
              </w:rPr>
              <w:t>CEDAW</w:t>
            </w:r>
            <w:r>
              <w:t>/C/SR.959</w:t>
            </w:r>
          </w:p>
        </w:tc>
      </w:tr>
      <w:tr w:rsidR="00575F47">
        <w:trPr>
          <w:cantSplit/>
          <w:trHeight w:hRule="exact" w:val="2835"/>
        </w:trPr>
        <w:tc>
          <w:tcPr>
            <w:tcW w:w="1276" w:type="dxa"/>
            <w:tcBorders>
              <w:top w:val="single" w:sz="4" w:space="0" w:color="auto"/>
              <w:bottom w:val="single" w:sz="12" w:space="0" w:color="auto"/>
            </w:tcBorders>
          </w:tcPr>
          <w:p w:rsidR="00575F47" w:rsidRDefault="00575F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75F47" w:rsidRDefault="00575F47">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575F47" w:rsidRDefault="00575F47">
            <w:pPr>
              <w:spacing w:before="120" w:line="420" w:lineRule="exact"/>
            </w:pPr>
          </w:p>
        </w:tc>
        <w:tc>
          <w:tcPr>
            <w:tcW w:w="2835" w:type="dxa"/>
            <w:tcBorders>
              <w:top w:val="single" w:sz="4" w:space="0" w:color="auto"/>
              <w:bottom w:val="single" w:sz="12" w:space="0" w:color="auto"/>
            </w:tcBorders>
          </w:tcPr>
          <w:p w:rsidR="00261CFD" w:rsidRDefault="00261CFD" w:rsidP="00261CFD">
            <w:pPr>
              <w:suppressAutoHyphens w:val="0"/>
              <w:spacing w:before="240" w:line="240" w:lineRule="exact"/>
            </w:pPr>
            <w:r>
              <w:t>Distr.: General</w:t>
            </w:r>
          </w:p>
          <w:p w:rsidR="00261CFD" w:rsidRDefault="00B62FB1" w:rsidP="00261CFD">
            <w:pPr>
              <w:suppressAutoHyphens w:val="0"/>
            </w:pPr>
            <w:r>
              <w:t xml:space="preserve">1 </w:t>
            </w:r>
            <w:r w:rsidR="00261CFD">
              <w:t>November 2010</w:t>
            </w:r>
          </w:p>
          <w:p w:rsidR="00261CFD" w:rsidRDefault="00261CFD" w:rsidP="00261CFD">
            <w:pPr>
              <w:suppressAutoHyphens w:val="0"/>
            </w:pPr>
          </w:p>
          <w:p w:rsidR="00575F47" w:rsidRDefault="00261CFD" w:rsidP="00261CFD">
            <w:pPr>
              <w:suppressAutoHyphens w:val="0"/>
            </w:pPr>
            <w:r>
              <w:t>Original: English</w:t>
            </w:r>
          </w:p>
        </w:tc>
      </w:tr>
    </w:tbl>
    <w:p w:rsidR="00261CFD" w:rsidRDefault="00261CFD" w:rsidP="00261CFD">
      <w:pPr>
        <w:spacing w:before="120"/>
        <w:rPr>
          <w:b/>
          <w:sz w:val="24"/>
        </w:rPr>
      </w:pPr>
      <w:r>
        <w:rPr>
          <w:b/>
          <w:sz w:val="24"/>
        </w:rPr>
        <w:t>Committee on the Elimination of Discrimination</w:t>
      </w:r>
      <w:r>
        <w:rPr>
          <w:b/>
          <w:sz w:val="24"/>
        </w:rPr>
        <w:br/>
        <w:t>against Women</w:t>
      </w:r>
    </w:p>
    <w:p w:rsidR="00261CFD" w:rsidRDefault="00261CFD" w:rsidP="00261CFD">
      <w:pPr>
        <w:spacing w:after="120"/>
        <w:rPr>
          <w:b/>
        </w:rPr>
      </w:pPr>
      <w:r>
        <w:rPr>
          <w:b/>
        </w:rPr>
        <w:t>Forty-seventh session</w:t>
      </w:r>
    </w:p>
    <w:p w:rsidR="00261CFD" w:rsidRDefault="00261CFD" w:rsidP="00261CFD">
      <w:pPr>
        <w:rPr>
          <w:b/>
        </w:rPr>
      </w:pPr>
      <w:r>
        <w:rPr>
          <w:b/>
        </w:rPr>
        <w:t>Summary record of the 959th meeting</w:t>
      </w:r>
    </w:p>
    <w:p w:rsidR="00261CFD" w:rsidRDefault="00261CFD" w:rsidP="00261CFD">
      <w:pPr>
        <w:spacing w:after="120"/>
      </w:pPr>
      <w:r>
        <w:t>Held at the Palais des Nations, Geneva, on Friday, 22 October 2010, at noon</w:t>
      </w:r>
    </w:p>
    <w:p w:rsidR="00261CFD" w:rsidRDefault="00261CFD" w:rsidP="00261CFD">
      <w:pPr>
        <w:tabs>
          <w:tab w:val="right" w:pos="992"/>
          <w:tab w:val="left" w:pos="1276"/>
          <w:tab w:val="right" w:leader="dot" w:pos="8504"/>
        </w:tabs>
        <w:spacing w:after="120"/>
      </w:pPr>
      <w:r>
        <w:rPr>
          <w:i/>
        </w:rPr>
        <w:tab/>
        <w:t>Chairperson</w:t>
      </w:r>
      <w:r>
        <w:t>:</w:t>
      </w:r>
      <w:r>
        <w:tab/>
        <w:t>Ms. Zou Xiaoqiao (Vice-Chairperson)</w:t>
      </w:r>
    </w:p>
    <w:p w:rsidR="00261CFD" w:rsidRDefault="00261CFD" w:rsidP="00261CFD">
      <w:pPr>
        <w:tabs>
          <w:tab w:val="right" w:pos="992"/>
          <w:tab w:val="left" w:pos="1276"/>
          <w:tab w:val="right" w:leader="dot" w:pos="8504"/>
        </w:tabs>
        <w:spacing w:before="360" w:after="240"/>
        <w:rPr>
          <w:sz w:val="28"/>
        </w:rPr>
      </w:pPr>
      <w:r>
        <w:rPr>
          <w:sz w:val="28"/>
        </w:rPr>
        <w:t>Contents</w:t>
      </w:r>
    </w:p>
    <w:p w:rsidR="0043550A" w:rsidRDefault="0043550A" w:rsidP="00261CFD">
      <w:pPr>
        <w:pStyle w:val="SingleTxtG"/>
      </w:pPr>
      <w:r>
        <w:t>Adoption of the report of the Committee on its forty-seventh session</w:t>
      </w:r>
    </w:p>
    <w:p w:rsidR="0043550A" w:rsidRDefault="0043550A" w:rsidP="00261CFD">
      <w:pPr>
        <w:pStyle w:val="SingleTxtG"/>
      </w:pPr>
      <w:r>
        <w:t>Provisional agenda for the forty-eighth session</w:t>
      </w:r>
    </w:p>
    <w:p w:rsidR="0043550A" w:rsidRDefault="0043550A" w:rsidP="00261CFD">
      <w:pPr>
        <w:pStyle w:val="SingleTxtG"/>
      </w:pPr>
      <w:r>
        <w:t>Statement by the Chairperson</w:t>
      </w:r>
    </w:p>
    <w:p w:rsidR="0043550A" w:rsidRDefault="0043550A" w:rsidP="00261CFD">
      <w:pPr>
        <w:pStyle w:val="SingleTxtG"/>
      </w:pPr>
      <w:r>
        <w:t>Closure of the session</w:t>
      </w:r>
    </w:p>
    <w:p w:rsidR="0043550A" w:rsidRPr="00EB1F42" w:rsidRDefault="0043550A" w:rsidP="0043550A">
      <w:pPr>
        <w:pStyle w:val="SingleTxtG"/>
        <w:rPr>
          <w:i/>
        </w:rPr>
      </w:pPr>
      <w:r>
        <w:br w:type="page"/>
      </w:r>
      <w:r w:rsidRPr="00EB1F42">
        <w:rPr>
          <w:i/>
        </w:rPr>
        <w:t>The meeting was called to order at 12.40 p.m.</w:t>
      </w:r>
    </w:p>
    <w:p w:rsidR="0043550A" w:rsidRPr="00690CAC" w:rsidRDefault="00690CAC" w:rsidP="00690CAC">
      <w:pPr>
        <w:pStyle w:val="H23G"/>
        <w:jc w:val="left"/>
      </w:pPr>
      <w:r>
        <w:tab/>
      </w:r>
      <w:r>
        <w:tab/>
      </w:r>
      <w:r w:rsidR="0043550A" w:rsidRPr="00690CAC">
        <w:t>Adoption of the report of the Committ</w:t>
      </w:r>
      <w:r w:rsidRPr="00690CAC">
        <w:t>ee on its forty-seventh session</w:t>
      </w:r>
      <w:r w:rsidR="00027E11">
        <w:t xml:space="preserve"> </w:t>
      </w:r>
      <w:r w:rsidR="0043550A" w:rsidRPr="00690CAC">
        <w:rPr>
          <w:b w:val="0"/>
        </w:rPr>
        <w:t>(CEDAW/C/2010/III/L.1; CEDAW/C/BFA/CO/6, CEDAW/C/CZE/CO/5, CEDAW/C/IND/SP.1, CEDAW/C/MLT/CO/4, CEDAW/C/TUN/CO/6 and CEDAW/C/UGA/CO/7; CEDAW/C/2010/III/CRP.1)</w:t>
      </w:r>
    </w:p>
    <w:p w:rsidR="0043550A" w:rsidRPr="00565757" w:rsidRDefault="0043550A" w:rsidP="00EB1F42">
      <w:pPr>
        <w:pStyle w:val="ParaNoG"/>
      </w:pPr>
      <w:r w:rsidRPr="00565757">
        <w:rPr>
          <w:b/>
        </w:rPr>
        <w:t>Ms. Neubauer</w:t>
      </w:r>
      <w:r w:rsidRPr="00565757">
        <w:t xml:space="preserve"> (Rapporteur) introduced document CEDAW/C/2010/III/L.1, containing chapters II and III of the Committee’s draft report, and the draft concluding observations, as amended, on the reports by States parties that the Committee had considered during the forty-seventh session (CEDAW/C/BFA/CO/6, CEDAW/C/CZE/CO/5, CEDAW/C/IND/SP.1, CEDAW/C/MLT/CO/4, CEDAW/C/TUN/CO/6 and CEDAW/C/UGA/CO/7).</w:t>
      </w:r>
    </w:p>
    <w:p w:rsidR="0043550A" w:rsidRPr="00565757" w:rsidRDefault="0043550A" w:rsidP="00EB1F42">
      <w:pPr>
        <w:pStyle w:val="ParaNoG"/>
      </w:pPr>
      <w:r w:rsidRPr="00565757">
        <w:rPr>
          <w:b/>
        </w:rPr>
        <w:t>The Chairperson</w:t>
      </w:r>
      <w:r w:rsidRPr="00565757">
        <w:t xml:space="preserve"> said </w:t>
      </w:r>
      <w:r w:rsidR="0027506E">
        <w:t xml:space="preserve">that </w:t>
      </w:r>
      <w:r w:rsidRPr="00565757">
        <w:t>she took it that the Committee wished to adopt the sections of the draft report contained in document CEDAW/C/2010/III/L.1 and the draft concluding observations on the reports by States parties considered at the session.</w:t>
      </w:r>
    </w:p>
    <w:p w:rsidR="0043550A" w:rsidRPr="00F62660" w:rsidRDefault="0043550A" w:rsidP="00EB1F42">
      <w:pPr>
        <w:pStyle w:val="ParaNoG"/>
        <w:rPr>
          <w:i/>
        </w:rPr>
      </w:pPr>
      <w:r w:rsidRPr="00F62660">
        <w:rPr>
          <w:i/>
        </w:rPr>
        <w:t>It was so decided.</w:t>
      </w:r>
    </w:p>
    <w:p w:rsidR="0043550A" w:rsidRPr="00565757" w:rsidRDefault="0043550A" w:rsidP="00EB1F42">
      <w:pPr>
        <w:pStyle w:val="ParaNoG"/>
      </w:pPr>
      <w:r w:rsidRPr="00565757">
        <w:rPr>
          <w:b/>
        </w:rPr>
        <w:t>Ms. Neubauer</w:t>
      </w:r>
      <w:r w:rsidRPr="00565757">
        <w:t xml:space="preserve"> (Rapporteur) introduced the draft report of the Working Group of the Whole (CEDAW/C/2010/III/CRP.1), which described the actions taken by the Committee under items 5 and 6 of the provisional agenda (CEDAW/C/2010/47/1/Rev.1 and Corr.1).</w:t>
      </w:r>
    </w:p>
    <w:p w:rsidR="0043550A" w:rsidRPr="00565757" w:rsidRDefault="0043550A" w:rsidP="00EB1F42">
      <w:pPr>
        <w:pStyle w:val="ParaNoG"/>
      </w:pPr>
      <w:r w:rsidRPr="00565757">
        <w:rPr>
          <w:b/>
        </w:rPr>
        <w:t>The Chairperson</w:t>
      </w:r>
      <w:r w:rsidRPr="00565757">
        <w:t xml:space="preserve"> said</w:t>
      </w:r>
      <w:r w:rsidR="0027506E">
        <w:t xml:space="preserve"> that</w:t>
      </w:r>
      <w:r w:rsidRPr="00565757">
        <w:t xml:space="preserve"> </w:t>
      </w:r>
      <w:r w:rsidR="0027506E">
        <w:t>it was her understanding</w:t>
      </w:r>
      <w:r w:rsidRPr="00565757">
        <w:t xml:space="preserve"> that the Committee wished to adopt the draft report of the Working Group of the Whole, as amended, for inclusion in the Committee’s draft report</w:t>
      </w:r>
      <w:r w:rsidR="0027506E">
        <w:t>.</w:t>
      </w:r>
    </w:p>
    <w:p w:rsidR="0043550A" w:rsidRPr="0027506E" w:rsidRDefault="0043550A" w:rsidP="00EB1F42">
      <w:pPr>
        <w:pStyle w:val="ParaNoG"/>
        <w:rPr>
          <w:i/>
        </w:rPr>
      </w:pPr>
      <w:r w:rsidRPr="0027506E">
        <w:rPr>
          <w:i/>
        </w:rPr>
        <w:t>It was so decided.</w:t>
      </w:r>
    </w:p>
    <w:p w:rsidR="0043550A" w:rsidRPr="0027506E" w:rsidRDefault="0043550A" w:rsidP="00EB1F42">
      <w:pPr>
        <w:pStyle w:val="ParaNoG"/>
        <w:rPr>
          <w:i/>
        </w:rPr>
      </w:pPr>
      <w:r w:rsidRPr="0027506E">
        <w:rPr>
          <w:i/>
        </w:rPr>
        <w:t>The draft report of the Committee on its forty-seventh session was adopted as a whole, as amended, subject to finalization by the Rapporteur.</w:t>
      </w:r>
    </w:p>
    <w:p w:rsidR="0043550A" w:rsidRPr="00565757" w:rsidRDefault="0027506E" w:rsidP="00EB1F42">
      <w:pPr>
        <w:pStyle w:val="H23G"/>
      </w:pPr>
      <w:r>
        <w:tab/>
      </w:r>
      <w:r>
        <w:tab/>
      </w:r>
      <w:r w:rsidR="0043550A" w:rsidRPr="00565757">
        <w:t>Provisional agenda for the forty-eighth session</w:t>
      </w:r>
    </w:p>
    <w:p w:rsidR="0043550A" w:rsidRPr="00565757" w:rsidRDefault="0043550A" w:rsidP="0027506E">
      <w:pPr>
        <w:pStyle w:val="ParaNoG"/>
      </w:pPr>
      <w:r w:rsidRPr="00565757">
        <w:rPr>
          <w:b/>
        </w:rPr>
        <w:t>Ms. Neubauer</w:t>
      </w:r>
      <w:r w:rsidRPr="00565757">
        <w:t xml:space="preserve"> (Rapporteur) drew attention to the provisional agenda for the forty-eighth session, which was to be found in the report of the Working Group of the Whole.</w:t>
      </w:r>
    </w:p>
    <w:p w:rsidR="0043550A" w:rsidRPr="00F62660" w:rsidRDefault="0043550A" w:rsidP="0027506E">
      <w:pPr>
        <w:pStyle w:val="ParaNoG"/>
        <w:rPr>
          <w:i/>
        </w:rPr>
      </w:pPr>
      <w:r w:rsidRPr="00F62660">
        <w:rPr>
          <w:i/>
        </w:rPr>
        <w:t>The provisional agenda for the forty-eighth session was adopted.</w:t>
      </w:r>
    </w:p>
    <w:p w:rsidR="0043550A" w:rsidRPr="00565757" w:rsidRDefault="0027506E" w:rsidP="0027506E">
      <w:pPr>
        <w:pStyle w:val="H23G"/>
      </w:pPr>
      <w:r>
        <w:tab/>
      </w:r>
      <w:r>
        <w:tab/>
      </w:r>
      <w:r w:rsidR="0043550A" w:rsidRPr="00565757">
        <w:t>Statement by the Chairperson</w:t>
      </w:r>
    </w:p>
    <w:p w:rsidR="0043550A" w:rsidRPr="00565757" w:rsidRDefault="0043550A" w:rsidP="0027506E">
      <w:pPr>
        <w:pStyle w:val="ParaNoG"/>
      </w:pPr>
      <w:r w:rsidRPr="00565757">
        <w:rPr>
          <w:b/>
        </w:rPr>
        <w:t>The Chairperson</w:t>
      </w:r>
      <w:r w:rsidR="0027506E">
        <w:rPr>
          <w:b/>
        </w:rPr>
        <w:t xml:space="preserve"> </w:t>
      </w:r>
      <w:r w:rsidR="0027506E">
        <w:t>said</w:t>
      </w:r>
      <w:r w:rsidRPr="00565757">
        <w:t xml:space="preserve"> that the Committee had considered the reports of six States parties submitted under article 18 of the Convention. In addition to adopting concluding observations on the</w:t>
      </w:r>
      <w:r w:rsidR="00221C97">
        <w:t xml:space="preserve"> reports of the</w:t>
      </w:r>
      <w:r w:rsidRPr="00565757">
        <w:t xml:space="preserve"> foregoing States parties, the Committee had adop</w:t>
      </w:r>
      <w:r w:rsidR="00221C97">
        <w:t>ted two general recommendations: one</w:t>
      </w:r>
      <w:r w:rsidRPr="00565757">
        <w:t xml:space="preserve"> on older women and protection of their human rights</w:t>
      </w:r>
      <w:r w:rsidR="00221C97">
        <w:t>,</w:t>
      </w:r>
      <w:r w:rsidRPr="00565757">
        <w:t xml:space="preserve"> and </w:t>
      </w:r>
      <w:r w:rsidR="00221C97">
        <w:t xml:space="preserve">another </w:t>
      </w:r>
      <w:r w:rsidRPr="00565757">
        <w:t>on article 2 of the Convention.</w:t>
      </w:r>
    </w:p>
    <w:p w:rsidR="0043550A" w:rsidRPr="00565757" w:rsidRDefault="0043550A" w:rsidP="0027506E">
      <w:pPr>
        <w:pStyle w:val="ParaNoG"/>
      </w:pPr>
      <w:r w:rsidRPr="00565757">
        <w:t xml:space="preserve">The Committee had also issued a joint press release with the Committee on the Rights of the Child and the Committee on the Rights of Persons with Disabilities concerning the flooding in Pakistan and a statement on the establishment of UN Women. It had decided to draft a general recommendation on women in armed conflict and post-conflict situations and would establish a working group to that end in January 2011. It was also working </w:t>
      </w:r>
      <w:r w:rsidRPr="00221C97">
        <w:t>with the Commi</w:t>
      </w:r>
      <w:r w:rsidR="00221C97" w:rsidRPr="00221C97">
        <w:t xml:space="preserve">ttee on the Rights of the Child </w:t>
      </w:r>
      <w:r w:rsidRPr="00565757">
        <w:t>on a joint general recommendation on harmful practices</w:t>
      </w:r>
      <w:r w:rsidR="00221C97">
        <w:t>.</w:t>
      </w:r>
    </w:p>
    <w:p w:rsidR="0043550A" w:rsidRPr="00565757" w:rsidRDefault="0043550A" w:rsidP="0027506E">
      <w:pPr>
        <w:pStyle w:val="ParaNoG"/>
      </w:pPr>
      <w:r w:rsidRPr="00565757">
        <w:t xml:space="preserve">The Committee had considered follow-up information on the implementation of the Convention and </w:t>
      </w:r>
      <w:r w:rsidR="00221C97">
        <w:t xml:space="preserve">had </w:t>
      </w:r>
      <w:r w:rsidR="00282E33">
        <w:t>decided, on the Working Group’</w:t>
      </w:r>
      <w:r w:rsidRPr="00565757">
        <w:t>s recommendation, to conclude its follow-up procedure in relation to communication No. 4/2004, as it was satisfied with the implementation of its recommendations. The Committee had adopted the report of the rapporteur on follow-up</w:t>
      </w:r>
      <w:r w:rsidR="00221C97">
        <w:t xml:space="preserve"> and had decided to send </w:t>
      </w:r>
      <w:r w:rsidRPr="00565757">
        <w:t>reminders to several States that had not submitted their follow-up reports within the established deadlines.</w:t>
      </w:r>
    </w:p>
    <w:p w:rsidR="0043550A" w:rsidRPr="00565757" w:rsidRDefault="0043550A" w:rsidP="0027506E">
      <w:pPr>
        <w:pStyle w:val="ParaNoG"/>
      </w:pPr>
      <w:r w:rsidRPr="00565757">
        <w:t>During the Committee’s constructive dialogues with the six State</w:t>
      </w:r>
      <w:r w:rsidR="00221C97">
        <w:t>s</w:t>
      </w:r>
      <w:r w:rsidRPr="00565757">
        <w:t xml:space="preserve"> parties, it </w:t>
      </w:r>
      <w:r w:rsidR="00221C97">
        <w:t xml:space="preserve">had </w:t>
      </w:r>
      <w:r w:rsidRPr="00565757">
        <w:t xml:space="preserve">recommended that the Convention should be integrated fully into their domestic legislation. It was important to associate the implementation of the Convention with that of other human rights treaties and policy documents, such as the Beijing Declaration and Platform for Action, the Millennium Development Goals and Security Council resolutions 1325 (2000), 1820 (2008) and 1888 (2009). She urged States parties to ensure that the Committee’s concluding observations on their periodic reports were discussed in </w:t>
      </w:r>
      <w:r w:rsidR="00221C97">
        <w:t>p</w:t>
      </w:r>
      <w:r w:rsidRPr="00565757">
        <w:t>arliament and that their next periodic report</w:t>
      </w:r>
      <w:r w:rsidR="00221C97">
        <w:t>s</w:t>
      </w:r>
      <w:r w:rsidR="00F62660">
        <w:t xml:space="preserve"> and </w:t>
      </w:r>
      <w:r w:rsidRPr="00565757">
        <w:t xml:space="preserve">reports submitted in the context of the Committee’s follow-up procedure were made available to </w:t>
      </w:r>
      <w:r w:rsidR="00221C97">
        <w:t>p</w:t>
      </w:r>
      <w:r w:rsidR="00F62660">
        <w:t>arliament and to all G</w:t>
      </w:r>
      <w:r w:rsidRPr="00565757">
        <w:t>overnment ministries.</w:t>
      </w:r>
    </w:p>
    <w:p w:rsidR="0043550A" w:rsidRPr="00565757" w:rsidRDefault="0027506E" w:rsidP="0027506E">
      <w:pPr>
        <w:pStyle w:val="H23G"/>
      </w:pPr>
      <w:r>
        <w:tab/>
      </w:r>
      <w:r>
        <w:tab/>
      </w:r>
      <w:r w:rsidR="0043550A" w:rsidRPr="00565757">
        <w:t>Closure of the session</w:t>
      </w:r>
    </w:p>
    <w:p w:rsidR="0043550A" w:rsidRPr="00565757" w:rsidRDefault="0043550A" w:rsidP="00282E33">
      <w:pPr>
        <w:pStyle w:val="ParaNoG"/>
      </w:pPr>
      <w:r w:rsidRPr="00565757">
        <w:t xml:space="preserve">Following an exchange of courtesies, </w:t>
      </w:r>
      <w:r w:rsidRPr="00565757">
        <w:rPr>
          <w:b/>
        </w:rPr>
        <w:t>the Chairperson</w:t>
      </w:r>
      <w:r w:rsidRPr="00565757">
        <w:t xml:space="preserve"> declared the forty-seventh session closed.</w:t>
      </w:r>
    </w:p>
    <w:p w:rsidR="00575F47" w:rsidRPr="0027506E" w:rsidRDefault="0043550A" w:rsidP="0043550A">
      <w:pPr>
        <w:pStyle w:val="SingleTxtG"/>
        <w:rPr>
          <w:i/>
        </w:rPr>
      </w:pPr>
      <w:r w:rsidRPr="0027506E">
        <w:rPr>
          <w:i/>
        </w:rPr>
        <w:t>The meeting rose at 1 p.m.</w:t>
      </w:r>
    </w:p>
    <w:sectPr w:rsidR="00575F47" w:rsidRPr="0027506E" w:rsidSect="00261CF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C6" w:rsidRDefault="005B62C6"/>
  </w:endnote>
  <w:endnote w:type="continuationSeparator" w:id="0">
    <w:p w:rsidR="005B62C6" w:rsidRDefault="005B62C6"/>
  </w:endnote>
  <w:endnote w:type="continuationNotice" w:id="1">
    <w:p w:rsidR="005B62C6" w:rsidRDefault="005B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C6" w:rsidRPr="00261CFD" w:rsidRDefault="005B62C6" w:rsidP="00261CFD">
    <w:pPr>
      <w:pStyle w:val="Footer"/>
      <w:tabs>
        <w:tab w:val="right" w:pos="9598"/>
      </w:tabs>
    </w:pPr>
    <w:r w:rsidRPr="00261CFD">
      <w:rPr>
        <w:b/>
        <w:sz w:val="18"/>
      </w:rPr>
      <w:fldChar w:fldCharType="begin"/>
    </w:r>
    <w:r w:rsidRPr="00261CFD">
      <w:rPr>
        <w:b/>
        <w:sz w:val="18"/>
      </w:rPr>
      <w:instrText xml:space="preserve"> PAGE  \* MERGEFORMAT </w:instrText>
    </w:r>
    <w:r w:rsidRPr="00261CFD">
      <w:rPr>
        <w:b/>
        <w:sz w:val="18"/>
      </w:rPr>
      <w:fldChar w:fldCharType="separate"/>
    </w:r>
    <w:r>
      <w:rPr>
        <w:b/>
        <w:noProof/>
        <w:sz w:val="18"/>
      </w:rPr>
      <w:t>2</w:t>
    </w:r>
    <w:r w:rsidRPr="00261CFD">
      <w:rPr>
        <w:b/>
        <w:sz w:val="18"/>
      </w:rPr>
      <w:fldChar w:fldCharType="end"/>
    </w:r>
    <w:r>
      <w:rPr>
        <w:sz w:val="18"/>
      </w:rPr>
      <w:tab/>
    </w:r>
    <w:r>
      <w:t>GE.10-45963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C6" w:rsidRPr="00261CFD" w:rsidRDefault="005B62C6" w:rsidP="00261CFD">
    <w:pPr>
      <w:pStyle w:val="Footer"/>
      <w:tabs>
        <w:tab w:val="right" w:pos="9598"/>
      </w:tabs>
      <w:rPr>
        <w:b/>
        <w:sz w:val="18"/>
      </w:rPr>
    </w:pPr>
    <w:r>
      <w:t>GE.10-45963</w:t>
    </w:r>
    <w:r>
      <w:tab/>
    </w:r>
    <w:r w:rsidRPr="00261CFD">
      <w:rPr>
        <w:b/>
        <w:sz w:val="18"/>
      </w:rPr>
      <w:fldChar w:fldCharType="begin"/>
    </w:r>
    <w:r w:rsidRPr="00261CFD">
      <w:rPr>
        <w:b/>
        <w:sz w:val="18"/>
      </w:rPr>
      <w:instrText xml:space="preserve"> PAGE  \* MERGEFORMAT </w:instrText>
    </w:r>
    <w:r w:rsidRPr="00261CFD">
      <w:rPr>
        <w:b/>
        <w:sz w:val="18"/>
      </w:rPr>
      <w:fldChar w:fldCharType="separate"/>
    </w:r>
    <w:r>
      <w:rPr>
        <w:b/>
        <w:noProof/>
        <w:sz w:val="18"/>
      </w:rPr>
      <w:t>3</w:t>
    </w:r>
    <w:r w:rsidRPr="00261C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C6" w:rsidRDefault="005B62C6" w:rsidP="00261CFD">
    <w:pPr>
      <w:pStyle w:val="FootnoteText"/>
      <w:pBdr>
        <w:bottom w:val="single" w:sz="4" w:space="1" w:color="auto"/>
      </w:pBdr>
      <w:tabs>
        <w:tab w:val="clear" w:pos="1021"/>
      </w:tabs>
      <w:ind w:left="0" w:right="0" w:firstLine="0"/>
    </w:pPr>
  </w:p>
  <w:p w:rsidR="005B62C6" w:rsidRDefault="005B62C6" w:rsidP="00261CFD">
    <w:pPr>
      <w:pStyle w:val="FootnoteText"/>
      <w:spacing w:after="120"/>
      <w:ind w:firstLine="0"/>
    </w:pPr>
    <w:r>
      <w:t>This record is subject to correction.</w:t>
    </w:r>
  </w:p>
  <w:p w:rsidR="005B62C6" w:rsidRDefault="005B62C6" w:rsidP="00261CF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5B62C6" w:rsidRPr="00261CFD" w:rsidRDefault="005B62C6" w:rsidP="00261CFD">
    <w:pPr>
      <w:pStyle w:val="FootnoteText"/>
      <w:spacing w:after="240"/>
      <w:ind w:firstLine="0"/>
    </w:pPr>
    <w:r>
      <w:t>Any corrections to the records of this session will be consolidated in a single corrigendum, to be issued shortly after the end of the session.</w:t>
    </w:r>
  </w:p>
  <w:p w:rsidR="005B62C6" w:rsidRDefault="005B62C6">
    <w:pPr>
      <w:pStyle w:val="Footer"/>
    </w:pPr>
    <w:r>
      <w:rPr>
        <w:sz w:val="20"/>
      </w:rPr>
      <w:t>GE.10-45963</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291010    011110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C6" w:rsidRDefault="005B62C6">
      <w:pPr>
        <w:tabs>
          <w:tab w:val="right" w:pos="2155"/>
        </w:tabs>
        <w:spacing w:after="80"/>
        <w:ind w:left="680"/>
        <w:rPr>
          <w:u w:val="single"/>
        </w:rPr>
      </w:pPr>
      <w:r>
        <w:rPr>
          <w:u w:val="single"/>
        </w:rPr>
        <w:tab/>
      </w:r>
    </w:p>
  </w:footnote>
  <w:footnote w:type="continuationSeparator" w:id="0">
    <w:p w:rsidR="005B62C6" w:rsidRDefault="005B62C6">
      <w:pPr>
        <w:tabs>
          <w:tab w:val="left" w:pos="2155"/>
        </w:tabs>
        <w:spacing w:after="80"/>
        <w:ind w:left="680"/>
        <w:rPr>
          <w:u w:val="single"/>
        </w:rPr>
      </w:pPr>
      <w:r>
        <w:rPr>
          <w:u w:val="single"/>
        </w:rPr>
        <w:tab/>
      </w:r>
    </w:p>
  </w:footnote>
  <w:footnote w:type="continuationNotice" w:id="1">
    <w:p w:rsidR="005B62C6" w:rsidRDefault="005B6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C6" w:rsidRPr="00261CFD" w:rsidRDefault="005B62C6" w:rsidP="00261CFD">
    <w:pPr>
      <w:pStyle w:val="Header"/>
    </w:pPr>
    <w:r w:rsidRPr="00261CFD">
      <w:t>CEDAW/C/SR.959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C6" w:rsidRPr="00261CFD" w:rsidRDefault="005B62C6" w:rsidP="00261CFD">
    <w:pPr>
      <w:pStyle w:val="Header"/>
      <w:jc w:val="right"/>
    </w:pPr>
    <w:r w:rsidRPr="00261CFD">
      <w:t>CEDAW/C/SR.959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F47"/>
    <w:rsid w:val="00027E11"/>
    <w:rsid w:val="00076EE2"/>
    <w:rsid w:val="000E5C1B"/>
    <w:rsid w:val="00221C97"/>
    <w:rsid w:val="0023009D"/>
    <w:rsid w:val="00234143"/>
    <w:rsid w:val="00261CFD"/>
    <w:rsid w:val="0027506E"/>
    <w:rsid w:val="00282E33"/>
    <w:rsid w:val="00327EA2"/>
    <w:rsid w:val="0035112F"/>
    <w:rsid w:val="003A1511"/>
    <w:rsid w:val="0043550A"/>
    <w:rsid w:val="00575F47"/>
    <w:rsid w:val="005B62C6"/>
    <w:rsid w:val="005D1D50"/>
    <w:rsid w:val="00690CAC"/>
    <w:rsid w:val="006A5B6D"/>
    <w:rsid w:val="008175DE"/>
    <w:rsid w:val="00856EEB"/>
    <w:rsid w:val="00A93ED1"/>
    <w:rsid w:val="00B225F4"/>
    <w:rsid w:val="00B37F09"/>
    <w:rsid w:val="00B62FB1"/>
    <w:rsid w:val="00C470B5"/>
    <w:rsid w:val="00EB1F42"/>
    <w:rsid w:val="00F57984"/>
    <w:rsid w:val="00F626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90CAC"/>
    <w:pPr>
      <w:keepNext/>
      <w:keepLines/>
      <w:tabs>
        <w:tab w:val="right" w:pos="851"/>
      </w:tabs>
      <w:spacing w:before="240" w:after="120" w:line="240" w:lineRule="exact"/>
      <w:ind w:left="1134" w:right="1134" w:hanging="1134"/>
      <w:jc w:val="both"/>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paragraph" w:styleId="BalloonText">
    <w:name w:val="Balloon Text"/>
    <w:basedOn w:val="Normal"/>
    <w:semiHidden/>
    <w:rsid w:val="00B6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3</Pages>
  <Words>709</Words>
  <Characters>4085</Characters>
  <Application>Microsoft Office Word</Application>
  <DocSecurity>4</DocSecurity>
  <Lines>85</Lines>
  <Paragraphs>41</Paragraphs>
  <ScaleCrop>false</ScaleCrop>
  <HeadingPairs>
    <vt:vector size="2" baseType="variant">
      <vt:variant>
        <vt:lpstr>Title</vt:lpstr>
      </vt:variant>
      <vt:variant>
        <vt:i4>1</vt:i4>
      </vt:variant>
    </vt:vector>
  </HeadingPairs>
  <TitlesOfParts>
    <vt:vector size="1" baseType="lpstr">
      <vt:lpstr>45963S1</vt:lpstr>
    </vt:vector>
  </TitlesOfParts>
  <Company>CSD</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45963S1</dc:title>
  <dc:subject>CEDAW/C/SR.959</dc:subject>
  <dc:creator>Morris</dc:creator>
  <cp:keywords/>
  <dc:description>Final</dc:description>
  <cp:lastModifiedBy>Admieng</cp:lastModifiedBy>
  <cp:revision>2</cp:revision>
  <cp:lastPrinted>2010-11-01T11:29:00Z</cp:lastPrinted>
  <dcterms:created xsi:type="dcterms:W3CDTF">2010-11-01T13:26:00Z</dcterms:created>
  <dcterms:modified xsi:type="dcterms:W3CDTF">2010-11-01T13:26:00Z</dcterms:modified>
</cp:coreProperties>
</file>