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C1A" w:rsidRDefault="00FC6C1A">
      <w:pPr>
        <w:spacing w:line="60" w:lineRule="exact"/>
        <w:rPr>
          <w:sz w:val="6"/>
        </w:rPr>
        <w:sectPr w:rsidR="00FC6C1A">
          <w:headerReference w:type="even" r:id="rId7"/>
          <w:headerReference w:type="default" r:id="rId8"/>
          <w:footerReference w:type="even" r:id="rId9"/>
          <w:footerReference w:type="default" r:id="rId10"/>
          <w:headerReference w:type="first" r:id="rId11"/>
          <w:footerReference w:type="first" r:id="rId12"/>
          <w:type w:val="continuous"/>
          <w:pgSz w:w="12242" w:h="15842" w:code="1"/>
          <w:pgMar w:top="1742" w:right="1195" w:bottom="1898" w:left="1195" w:header="576" w:footer="1030" w:gutter="0"/>
          <w:cols w:space="425"/>
          <w:titlePg/>
          <w:docGrid w:type="lines" w:linePitch="312"/>
        </w:sectPr>
      </w:pPr>
      <w:r>
        <w:rPr>
          <w:rStyle w:val="CommentReference"/>
          <w:rFonts w:hint="eastAsia"/>
          <w:vanish/>
        </w:rPr>
        <w:commentReference w:id="0"/>
      </w:r>
    </w:p>
    <w:p w:rsidR="00FC6C1A" w:rsidRDefault="00FC6C1A">
      <w:pPr>
        <w:spacing w:line="60" w:lineRule="exact"/>
        <w:rPr>
          <w:sz w:val="6"/>
        </w:rPr>
      </w:pPr>
    </w:p>
    <w:p w:rsidR="00FC6C1A" w:rsidRDefault="00FC6C1A">
      <w:pPr>
        <w:pStyle w:val="H1"/>
        <w:rPr>
          <w:rFonts w:hint="eastAsia"/>
        </w:rPr>
      </w:pPr>
      <w:r>
        <w:rPr>
          <w:rFonts w:hint="eastAsia"/>
        </w:rPr>
        <w:t>消除对妇女歧视委员会</w:t>
      </w:r>
    </w:p>
    <w:p w:rsidR="00FC6C1A" w:rsidRDefault="00FC6C1A">
      <w:pPr>
        <w:pStyle w:val="H23"/>
        <w:rPr>
          <w:rFonts w:hint="eastAsia"/>
        </w:rPr>
      </w:pPr>
      <w:r>
        <w:rPr>
          <w:rFonts w:hint="eastAsia"/>
        </w:rPr>
        <w:t>特别会议</w:t>
      </w:r>
    </w:p>
    <w:p w:rsidR="00FC6C1A" w:rsidRDefault="00FC6C1A">
      <w:pPr>
        <w:spacing w:line="120" w:lineRule="exact"/>
        <w:rPr>
          <w:sz w:val="12"/>
        </w:rPr>
      </w:pPr>
    </w:p>
    <w:p w:rsidR="00FC6C1A" w:rsidRDefault="00FC6C1A">
      <w:pPr>
        <w:spacing w:line="120" w:lineRule="exact"/>
        <w:rPr>
          <w:sz w:val="10"/>
        </w:rPr>
      </w:pPr>
    </w:p>
    <w:p w:rsidR="00FC6C1A" w:rsidRDefault="00FC6C1A">
      <w:pPr>
        <w:pStyle w:val="H23"/>
        <w:rPr>
          <w:rFonts w:hint="eastAsia"/>
        </w:rPr>
      </w:pPr>
      <w:r>
        <w:rPr>
          <w:rFonts w:hint="eastAsia"/>
        </w:rPr>
        <w:t>第568次会议简要记录</w:t>
      </w:r>
    </w:p>
    <w:p w:rsidR="00FC6C1A" w:rsidRDefault="00FC6C1A">
      <w:pPr>
        <w:rPr>
          <w:rFonts w:hint="eastAsia"/>
        </w:rPr>
      </w:pPr>
      <w:r>
        <w:rPr>
          <w:rFonts w:hint="eastAsia"/>
        </w:rPr>
        <w:t>2002年8月5日，星期一，上午10时在纽约总部举行</w:t>
      </w:r>
    </w:p>
    <w:p w:rsidR="00FC6C1A" w:rsidRDefault="00FC6C1A">
      <w:pPr>
        <w:spacing w:line="120" w:lineRule="exact"/>
        <w:rPr>
          <w:rFonts w:hint="eastAsia"/>
          <w:sz w:val="10"/>
        </w:rPr>
      </w:pPr>
    </w:p>
    <w:p w:rsidR="00FC6C1A" w:rsidRDefault="00FC6C1A">
      <w:pPr>
        <w:tabs>
          <w:tab w:val="left" w:pos="1267"/>
          <w:tab w:val="right" w:leader="dot" w:pos="8568"/>
        </w:tabs>
        <w:ind w:right="1267"/>
        <w:rPr>
          <w:rFonts w:hint="eastAsia"/>
          <w:color w:val="000000"/>
        </w:rPr>
      </w:pPr>
      <w:r>
        <w:rPr>
          <w:rFonts w:eastAsia="KaiTi_GB2312" w:hint="eastAsia"/>
          <w:color w:val="0000FF"/>
        </w:rPr>
        <w:t>主席：</w:t>
      </w:r>
      <w:r>
        <w:rPr>
          <w:color w:val="000000"/>
        </w:rPr>
        <w:tab/>
      </w:r>
      <w:r>
        <w:rPr>
          <w:rFonts w:hint="eastAsia"/>
          <w:color w:val="000000"/>
        </w:rPr>
        <w:t>阿巴卡女士</w:t>
      </w:r>
    </w:p>
    <w:p w:rsidR="00FC6C1A" w:rsidRDefault="00FC6C1A">
      <w:pPr>
        <w:tabs>
          <w:tab w:val="left" w:pos="1267"/>
          <w:tab w:val="right" w:leader="dot" w:pos="8568"/>
        </w:tabs>
        <w:spacing w:line="120" w:lineRule="exact"/>
        <w:ind w:right="1267"/>
        <w:rPr>
          <w:color w:val="000000"/>
          <w:sz w:val="10"/>
        </w:rPr>
      </w:pPr>
    </w:p>
    <w:p w:rsidR="00FC6C1A" w:rsidRDefault="00FC6C1A">
      <w:pPr>
        <w:tabs>
          <w:tab w:val="left" w:pos="1267"/>
          <w:tab w:val="right" w:leader="dot" w:pos="8568"/>
        </w:tabs>
        <w:spacing w:line="120" w:lineRule="exact"/>
        <w:ind w:right="1267"/>
        <w:rPr>
          <w:color w:val="000000"/>
          <w:sz w:val="10"/>
        </w:rPr>
      </w:pPr>
    </w:p>
    <w:p w:rsidR="00FC6C1A" w:rsidRDefault="00FC6C1A">
      <w:pPr>
        <w:tabs>
          <w:tab w:val="left" w:pos="1267"/>
          <w:tab w:val="right" w:leader="dot" w:pos="8568"/>
        </w:tabs>
        <w:spacing w:line="120" w:lineRule="exact"/>
        <w:ind w:right="1267"/>
        <w:rPr>
          <w:color w:val="000000"/>
          <w:sz w:val="10"/>
        </w:rPr>
      </w:pPr>
    </w:p>
    <w:p w:rsidR="00FC6C1A" w:rsidRDefault="00FC6C1A">
      <w:pPr>
        <w:pStyle w:val="HCh"/>
        <w:rPr>
          <w:rFonts w:eastAsia="SimSun" w:hint="eastAsia"/>
        </w:rPr>
      </w:pPr>
      <w:r>
        <w:rPr>
          <w:rFonts w:eastAsia="SimSun" w:hint="eastAsia"/>
        </w:rPr>
        <w:t>目录</w:t>
      </w:r>
    </w:p>
    <w:p w:rsidR="00FC6C1A" w:rsidRDefault="00FC6C1A">
      <w:pPr>
        <w:pStyle w:val="HCh"/>
        <w:spacing w:line="240" w:lineRule="auto"/>
        <w:rPr>
          <w:rFonts w:eastAsia="SimSun"/>
          <w:sz w:val="14"/>
        </w:rPr>
      </w:pPr>
    </w:p>
    <w:p w:rsidR="00FC6C1A" w:rsidRDefault="00FC6C1A">
      <w:pPr>
        <w:pStyle w:val="SingleTxt"/>
        <w:rPr>
          <w:rFonts w:hint="eastAsia"/>
        </w:rPr>
      </w:pPr>
      <w:r>
        <w:rPr>
          <w:rFonts w:hint="eastAsia"/>
        </w:rPr>
        <w:t>会议开幕</w:t>
      </w:r>
    </w:p>
    <w:p w:rsidR="00FC6C1A" w:rsidRDefault="00FC6C1A">
      <w:pPr>
        <w:pStyle w:val="SingleTxt"/>
        <w:rPr>
          <w:rFonts w:hint="eastAsia"/>
        </w:rPr>
      </w:pPr>
      <w:r>
        <w:rPr>
          <w:rFonts w:hint="eastAsia"/>
        </w:rPr>
        <w:t>通过议程和工作安排</w:t>
      </w:r>
    </w:p>
    <w:p w:rsidR="00FC6C1A" w:rsidRDefault="00FC6C1A">
      <w:pPr>
        <w:pStyle w:val="SingleTxt"/>
        <w:rPr>
          <w:rFonts w:hint="eastAsia"/>
        </w:rPr>
      </w:pPr>
      <w:r>
        <w:rPr>
          <w:rFonts w:hint="eastAsia"/>
        </w:rPr>
        <w:t>主席关于委员会在第二十七届会议和特别会议之间进行的活动的报告</w:t>
      </w:r>
    </w:p>
    <w:p w:rsidR="00FC6C1A" w:rsidRDefault="00FC6C1A">
      <w:pPr>
        <w:pStyle w:val="SingleTxt"/>
      </w:pPr>
      <w:r>
        <w:rPr>
          <w:rFonts w:hint="eastAsia"/>
        </w:rPr>
        <w:t>《公约》第22条执行情况</w:t>
      </w:r>
    </w:p>
    <w:p w:rsidR="00FC6C1A" w:rsidRDefault="00FC6C1A">
      <w:pPr>
        <w:pStyle w:val="SingleTxt"/>
        <w:spacing w:after="0" w:line="80" w:lineRule="exact"/>
        <w:sectPr w:rsidR="00FC6C1A">
          <w:type w:val="continuous"/>
          <w:pgSz w:w="12242" w:h="15842" w:code="1"/>
          <w:pgMar w:top="1742" w:right="1195" w:bottom="1898" w:left="1195" w:header="576" w:footer="1030" w:gutter="0"/>
          <w:pgNumType w:start="1"/>
          <w:cols w:space="425"/>
          <w:noEndnote/>
          <w:docGrid w:type="lines" w:linePitch="312"/>
        </w:sectPr>
      </w:pPr>
      <w:r>
        <w:br w:type="page"/>
      </w:r>
    </w:p>
    <w:p w:rsidR="00FC6C1A" w:rsidRDefault="00FC6C1A">
      <w:pPr>
        <w:pStyle w:val="DualTxt"/>
        <w:spacing w:after="160"/>
        <w:rPr>
          <w:rFonts w:ascii="KaiTi_GB2312" w:eastAsia="KaiTi_GB2312" w:hint="eastAsia"/>
          <w:color w:val="0000FF"/>
        </w:rPr>
      </w:pPr>
      <w:r>
        <w:rPr>
          <w:rFonts w:ascii="KaiTi_GB2312" w:eastAsia="KaiTi_GB2312" w:hint="eastAsia"/>
          <w:color w:val="0000FF"/>
        </w:rPr>
        <w:tab/>
        <w:t>上午10时10分宣布开会</w:t>
      </w:r>
    </w:p>
    <w:p w:rsidR="00FC6C1A" w:rsidRDefault="00FC6C1A">
      <w:pPr>
        <w:pStyle w:val="DualTxt"/>
        <w:spacing w:after="160"/>
        <w:rPr>
          <w:rFonts w:ascii="SimHei" w:eastAsia="SimHei" w:hint="eastAsia"/>
          <w:color w:val="FF0000"/>
        </w:rPr>
      </w:pPr>
      <w:r>
        <w:rPr>
          <w:rFonts w:ascii="SimHei" w:eastAsia="SimHei" w:hint="eastAsia"/>
          <w:color w:val="FF0000"/>
        </w:rPr>
        <w:t>会议开幕</w:t>
      </w:r>
    </w:p>
    <w:p w:rsidR="00FC6C1A" w:rsidRDefault="00FC6C1A">
      <w:pPr>
        <w:pStyle w:val="DualTxt"/>
        <w:spacing w:after="160"/>
        <w:ind w:left="420"/>
        <w:rPr>
          <w:rFonts w:ascii="KaiTi_GB2312" w:eastAsia="KaiTi_GB2312" w:hint="eastAsia"/>
          <w:color w:val="0000FF"/>
        </w:rPr>
      </w:pPr>
      <w:r>
        <w:rPr>
          <w:rFonts w:ascii="KaiTi_GB2312" w:eastAsia="KaiTi_GB2312" w:hint="eastAsia"/>
          <w:color w:val="0000FF"/>
        </w:rPr>
        <w:t>主管经济和社会事务助理秘书长兼秘书长性别问题和提高妇女地位问题特别顾问致开幕词</w:t>
      </w:r>
    </w:p>
    <w:p w:rsidR="00FC6C1A" w:rsidRDefault="00FC6C1A">
      <w:pPr>
        <w:pStyle w:val="DualTxt"/>
        <w:spacing w:after="160" w:line="330" w:lineRule="exact"/>
        <w:rPr>
          <w:rFonts w:hint="eastAsia"/>
        </w:rPr>
      </w:pPr>
      <w:r>
        <w:rPr>
          <w:rFonts w:hint="eastAsia"/>
        </w:rPr>
        <w:t>1.</w:t>
      </w:r>
      <w:r>
        <w:rPr>
          <w:rFonts w:hint="eastAsia"/>
        </w:rPr>
        <w:tab/>
      </w:r>
      <w:r>
        <w:rPr>
          <w:rFonts w:ascii="SimHei" w:eastAsia="SimHei" w:hint="eastAsia"/>
          <w:color w:val="FF0000"/>
        </w:rPr>
        <w:t>King女士</w:t>
      </w:r>
      <w:r>
        <w:rPr>
          <w:rFonts w:hint="eastAsia"/>
        </w:rPr>
        <w:t>(主管经济和社会事务助理秘书长兼秘书长性别问题和提高妇女地位问题特别顾问)说，主席和提高妇女地位司妇女权利科科长 Jane Connors女士出席了2002年6月24日至26日在日内瓦举行的人权条约各机构主席第14次会议；主席并当选为该次会议的主席报告员。在会议期间，各位主席同特别程序任务的负责人举行了他们的第四次会议，并建议人权事务高级专员办事处应探索各种方式，鼓励他们同特别程序任务负责人进行进一步对话，包括鼓励他们参与条约机构的各届会议。在同缔约国举行的同一次会议和经济及社会理事会2002年实质性会议期间，各国均强调2002年6月17日委员会同缔约国间举行的非正式会议的价值。</w:t>
      </w:r>
    </w:p>
    <w:p w:rsidR="00FC6C1A" w:rsidRDefault="00FC6C1A">
      <w:pPr>
        <w:pStyle w:val="DualTxt"/>
        <w:spacing w:after="160" w:line="330" w:lineRule="exact"/>
        <w:rPr>
          <w:rFonts w:hint="eastAsia"/>
        </w:rPr>
      </w:pPr>
      <w:r>
        <w:rPr>
          <w:rFonts w:hint="eastAsia"/>
        </w:rPr>
        <w:t>2.</w:t>
      </w:r>
      <w:r>
        <w:rPr>
          <w:rFonts w:hint="eastAsia"/>
        </w:rPr>
        <w:tab/>
        <w:t>紧接着各主席的会议之后，又进行了第一次委员会间会议；委员会主席 Corti 女士同Gonz</w:t>
      </w:r>
      <w:r>
        <w:t>á</w:t>
      </w:r>
      <w:r>
        <w:rPr>
          <w:rFonts w:hint="eastAsia"/>
        </w:rPr>
        <w:t>lez女士出席了会议；前者并当选为这次会议的主席。与会者集中讨论如何加强条约机构间的合作并协调其工作方法，以强调人权条约框架的全面性质。会议建议，在今后两年期内应召开第二次会议。</w:t>
      </w:r>
    </w:p>
    <w:p w:rsidR="00FC6C1A" w:rsidRDefault="00FC6C1A">
      <w:pPr>
        <w:pStyle w:val="DualTxt"/>
        <w:spacing w:after="120" w:line="330" w:lineRule="exact"/>
        <w:rPr>
          <w:rFonts w:hint="eastAsia"/>
        </w:rPr>
      </w:pPr>
      <w:r>
        <w:rPr>
          <w:rFonts w:hint="eastAsia"/>
        </w:rPr>
        <w:t>3.</w:t>
      </w:r>
      <w:r>
        <w:rPr>
          <w:rFonts w:hint="eastAsia"/>
        </w:rPr>
        <w:tab/>
        <w:t>2002年7月25日，在安全理事会关于冲突、维持和平和性别问题的公开辩论中，她提出了秘书长根据安全理事会第1325（2000）号决议授权进行的、即将完成的一项研究的结果、挑战和建议，说明武装冲突对妇女和女童的影响、妇女在建设和平中的作用、和平进程的性别层面和解决冲突问题。研究的材料来自参与妇女、和平与安全问题机构间工作组的所有联合国实体的投入，其中包括国际移徙组织(移徙组织)、红十字国际委员会(红十字委员会)、非政府组织，关于妇女、和平和安全问题工作组、两位秘书长的前特别代表(Margaret Anstee夫人和Anne Hercus夫人)、学者、在基层工作的妇女和委员会的一名成员(Goonesekere )。</w:t>
      </w:r>
    </w:p>
    <w:p w:rsidR="00FC6C1A" w:rsidRDefault="00FC6C1A">
      <w:pPr>
        <w:pStyle w:val="DualTxt"/>
        <w:spacing w:after="120"/>
        <w:rPr>
          <w:rFonts w:hint="eastAsia"/>
        </w:rPr>
      </w:pPr>
      <w:r>
        <w:rPr>
          <w:rFonts w:hint="eastAsia"/>
        </w:rPr>
        <w:t>4.</w:t>
      </w:r>
      <w:r>
        <w:rPr>
          <w:rFonts w:hint="eastAsia"/>
        </w:rPr>
        <w:tab/>
        <w:t>这项研究对联合国在和平与安全领域中与性别有关的活动作出了有系统的概览。研究中审查了武装冲突的每一阶段对妇女和女童的冲击，其中揭露在武装冲突期间对她们的普遍暴力在冲突过后继续以家庭暴力形式存在。研究清楚的刻画了妇女在寻求参与全部和平进程中发挥的作用及遭受的阻碍。研究的结论认为，若不能加强妇女的权力和充分的参与，便不可能取得可持续的和平和持久的安全。因此，它还强调了诸如保护、人道主义法、女童兵、解除武装、复员、重新定居和重建等问题的重要性。这份报告将于2002年10月送交安全理事会，以纪念第1373（2000）号决议通过两周年。</w:t>
      </w:r>
    </w:p>
    <w:p w:rsidR="00FC6C1A" w:rsidRDefault="00FC6C1A">
      <w:pPr>
        <w:pStyle w:val="DualTxt"/>
        <w:spacing w:after="120"/>
        <w:rPr>
          <w:rFonts w:hint="eastAsia"/>
        </w:rPr>
      </w:pPr>
      <w:r>
        <w:rPr>
          <w:rFonts w:hint="eastAsia"/>
        </w:rPr>
        <w:t>5.</w:t>
      </w:r>
      <w:r>
        <w:rPr>
          <w:rFonts w:hint="eastAsia"/>
        </w:rPr>
        <w:tab/>
        <w:t>妇女地位委员会在2003年第四十七届会议上,除了原定的议程外，将审议两个专题:妇女参与和取得媒体、资讯和通讯技术及其作为提高妇女地位和加强妇女权力的工具所产生的影响和作用。此外，会议还将根据《北京行动纲要》以及题为2000年妇女:21世纪两性平等、发展与和平的大会第二十三届特别会议的结果文件，讨论妇女人权以及消除对妇女一切形式暴力的问题。</w:t>
      </w:r>
    </w:p>
    <w:p w:rsidR="00FC6C1A" w:rsidRDefault="00FC6C1A">
      <w:pPr>
        <w:pStyle w:val="DualTxt"/>
        <w:spacing w:after="120"/>
        <w:rPr>
          <w:rFonts w:hint="eastAsia"/>
        </w:rPr>
      </w:pPr>
      <w:r>
        <w:rPr>
          <w:rFonts w:hint="eastAsia"/>
        </w:rPr>
        <w:t>6.</w:t>
      </w:r>
      <w:r>
        <w:rPr>
          <w:rFonts w:hint="eastAsia"/>
        </w:rPr>
        <w:tab/>
        <w:t>目前，《公约》的缔约国共有170个国家；其中75个国家签署了公约任择议定书；35个国家批准了对《公约》第20.1条的修订案。她的办事处和提高妇女地位司将争取一切机会，推动各国加入这些文书并鼓励根据公约规定提出定期报告，执行公约和支持委员会的工作等。提高妇女地位司计划于2002年11月为尚未向委员会提出报告的东亚的缔约国，在亚洲和太平洋经济及社会委员会（亚太经社会)举办一次编写报告的讲习班；希望曾经表示愿意加入公约的阿富汗和东帝汶两国政府能派代表出席。</w:t>
      </w:r>
    </w:p>
    <w:p w:rsidR="00FC6C1A" w:rsidRDefault="00FC6C1A">
      <w:pPr>
        <w:pStyle w:val="DualTxt"/>
        <w:spacing w:after="120"/>
        <w:rPr>
          <w:rFonts w:hint="eastAsia"/>
        </w:rPr>
      </w:pPr>
      <w:r>
        <w:rPr>
          <w:rFonts w:hint="eastAsia"/>
        </w:rPr>
        <w:t>7.</w:t>
      </w:r>
      <w:r>
        <w:rPr>
          <w:rFonts w:hint="eastAsia"/>
        </w:rPr>
        <w:tab/>
        <w:t>依照大会的意愿，特别会议将完全致力于审议缔约国的报告，以减少因等待审查而积压的报告。会议中将提出报告的国家有11个:阿富汗，亚美尼亚，巴巴多斯，捷克共和国，希腊，危地马拉，匈牙利，墨西哥，秘鲁，乌干达和也门。这方面，2002年8月17日将由提高妇女地位司、国际妇女权利行动观察 (妇女权利观察)和德国常驻代表团联合主持,举办一个关于临时特别措施(《公约》第4(1)条)的讲习班，并将其就该条编写的一般性建议随时通报委员会。</w:t>
      </w:r>
    </w:p>
    <w:p w:rsidR="00FC6C1A" w:rsidRDefault="00FC6C1A">
      <w:pPr>
        <w:pStyle w:val="DualTxt"/>
        <w:rPr>
          <w:rFonts w:hint="eastAsia"/>
        </w:rPr>
      </w:pPr>
      <w:r>
        <w:rPr>
          <w:rFonts w:hint="eastAsia"/>
        </w:rPr>
        <w:t>8.</w:t>
      </w:r>
      <w:r>
        <w:rPr>
          <w:rFonts w:hint="eastAsia"/>
        </w:rPr>
        <w:tab/>
        <w:t>大会关于在联合国所有专业及其以上职位中让</w:t>
      </w:r>
      <w:r>
        <w:rPr>
          <w:rFonts w:hint="eastAsia"/>
          <w:spacing w:val="-2"/>
        </w:rPr>
        <w:t>妇女占50％的目标尚未达成；截至2002年6月30日为止，在按地域分配的员额中，妇女在秘书处占41</w:t>
      </w:r>
      <w:r>
        <w:rPr>
          <w:rFonts w:hint="eastAsia"/>
        </w:rPr>
        <w:t>％，在所有秘书处员额中占35％，在联合国系统所有员额中占34％。她建议委员会依照《公约》第8条，应要求缔约国就该国妇女在国际或区域组织中任职的人数定期提供资料。</w:t>
      </w:r>
    </w:p>
    <w:p w:rsidR="00FC6C1A" w:rsidRDefault="00FC6C1A">
      <w:pPr>
        <w:pStyle w:val="DualTxt"/>
        <w:rPr>
          <w:rFonts w:hint="eastAsia"/>
        </w:rPr>
      </w:pPr>
      <w:r>
        <w:rPr>
          <w:rFonts w:hint="eastAsia"/>
        </w:rPr>
        <w:t>9.</w:t>
      </w:r>
      <w:r>
        <w:rPr>
          <w:rFonts w:hint="eastAsia"/>
        </w:rPr>
        <w:tab/>
        <w:t>她很了解委员会本届会议的负担很重，并对于经费所限，开会时间不能超过下午1点和下午6点，并不能在晚间举行会议这点表示遗憾。将尽一切努力确保这些限制不致对委员会的工作产生不利影响。</w:t>
      </w:r>
    </w:p>
    <w:p w:rsidR="00FC6C1A" w:rsidRDefault="00FC6C1A">
      <w:pPr>
        <w:pStyle w:val="DualTxt"/>
        <w:rPr>
          <w:rFonts w:ascii="SimHei" w:eastAsia="SimHei" w:hint="eastAsia"/>
          <w:color w:val="FF0000"/>
        </w:rPr>
      </w:pPr>
      <w:r>
        <w:rPr>
          <w:rFonts w:ascii="SimHei" w:eastAsia="SimHei" w:hint="eastAsia"/>
          <w:color w:val="FF0000"/>
        </w:rPr>
        <w:t>通过议程和工作安排</w:t>
      </w:r>
    </w:p>
    <w:p w:rsidR="00FC6C1A" w:rsidRDefault="00FC6C1A">
      <w:pPr>
        <w:pStyle w:val="DualTxt"/>
        <w:rPr>
          <w:rFonts w:hint="eastAsia"/>
        </w:rPr>
      </w:pPr>
      <w:r>
        <w:rPr>
          <w:rFonts w:hint="eastAsia"/>
        </w:rPr>
        <w:t>10.</w:t>
      </w:r>
      <w:r>
        <w:rPr>
          <w:rFonts w:hint="eastAsia"/>
        </w:rPr>
        <w:tab/>
        <w:t>议程通过。</w:t>
      </w:r>
    </w:p>
    <w:p w:rsidR="00FC6C1A" w:rsidRDefault="00FC6C1A">
      <w:pPr>
        <w:pStyle w:val="DualTxt"/>
        <w:rPr>
          <w:rFonts w:ascii="SimHei" w:eastAsia="SimHei" w:hint="eastAsia"/>
          <w:color w:val="FF0000"/>
        </w:rPr>
      </w:pPr>
      <w:r>
        <w:rPr>
          <w:rFonts w:ascii="SimHei" w:eastAsia="SimHei" w:hint="eastAsia"/>
          <w:color w:val="FF0000"/>
        </w:rPr>
        <w:t>主席关于委员会在第二十七届会议和特别会议之间进行的活动的报告</w:t>
      </w:r>
    </w:p>
    <w:p w:rsidR="00FC6C1A" w:rsidRDefault="00FC6C1A">
      <w:pPr>
        <w:pStyle w:val="DualTxt"/>
        <w:rPr>
          <w:rFonts w:hint="eastAsia"/>
        </w:rPr>
      </w:pPr>
      <w:r>
        <w:rPr>
          <w:rFonts w:hint="eastAsia"/>
        </w:rPr>
        <w:t>11.</w:t>
      </w:r>
      <w:r>
        <w:rPr>
          <w:rFonts w:hint="eastAsia"/>
        </w:rPr>
        <w:tab/>
      </w:r>
      <w:r>
        <w:rPr>
          <w:rFonts w:ascii="SimHei" w:eastAsia="SimHei" w:hint="eastAsia"/>
          <w:color w:val="FF0000"/>
        </w:rPr>
        <w:t>主席</w:t>
      </w:r>
      <w:r>
        <w:rPr>
          <w:rFonts w:hint="eastAsia"/>
        </w:rPr>
        <w:t>在报告她自委员会上届会议以来进行的活动时说，各条约机构主席第14次会议的议程包括:各主席第13届会议的后续工作、第13次会议后的最新进展情况、与缔约国举行关于反对种族歧视，仇外思想及有关的不容忍问题世界会议的后续工作会议、同专门机构和非政府组织举行一次会议、以及同特别程序任务的负责人举行一次会议。人权委员会和禁止酷刑委员会的代表宣布任命后续工作报告员。各主席对于大会通过关于对联合国各机构和附属机构成员酬金问题的全盘研究的第56/272 号决议表示失望以后，婉拒就此事进一步讨论。</w:t>
      </w:r>
    </w:p>
    <w:p w:rsidR="00FC6C1A" w:rsidRDefault="00FC6C1A">
      <w:pPr>
        <w:pStyle w:val="DualTxt"/>
        <w:rPr>
          <w:rFonts w:hint="eastAsia"/>
        </w:rPr>
      </w:pPr>
      <w:r>
        <w:rPr>
          <w:rFonts w:hint="eastAsia"/>
        </w:rPr>
        <w:t>12.</w:t>
      </w:r>
      <w:r>
        <w:rPr>
          <w:rFonts w:hint="eastAsia"/>
        </w:rPr>
        <w:tab/>
        <w:t>同缔约国举行的后续会议出席情况很好。他们欢迎对各条约机构工作方法的修订，并对非政府组织参与编写报告的进程以及日内瓦发出的新闻稿的准确性表示关切。在同各专门机构举行会议期间，联合国教育、科学及文化组织(教科文组织)的一名代表谈到了该机构的改组工作。其后，主席提到了委员会的教科文组织协调中心(Gaspard女士)注意到委员会同该机构以前的密切关系最近若干年来已大不如前，并希望经过改组以后情况能有改善。非政府组织的各代表们曾要求能出席在主席会议后立即召开的委员会间会议。但是，由于这是这类会议的第一次，专家们拒绝了这一要求，但不排除非政府组织今后参加的可能。</w:t>
      </w:r>
    </w:p>
    <w:p w:rsidR="00FC6C1A" w:rsidRDefault="00FC6C1A">
      <w:pPr>
        <w:pStyle w:val="DualTxt"/>
        <w:spacing w:after="160" w:line="322" w:lineRule="exact"/>
        <w:rPr>
          <w:rFonts w:hint="eastAsia"/>
        </w:rPr>
      </w:pPr>
      <w:r>
        <w:rPr>
          <w:rFonts w:hint="eastAsia"/>
        </w:rPr>
        <w:t>13.</w:t>
      </w:r>
      <w:r>
        <w:rPr>
          <w:rFonts w:hint="eastAsia"/>
        </w:rPr>
        <w:tab/>
        <w:t>在同特别程序任务负责人进行的第四次联席会议上建议应特别努力筹集任务负责人和条约机构之间进行面对面交流意见的经费，作为人权专员办事处的年度呼吁的一部分。委员会特别认为很难与暴力侵害妇女问题特别报告员会晤。为了避免工作的重复，已建议编写一份概述任务负责人关于德班会议后续工作的文件。或者，不妨由人权专员办事处编写一份文件，就这些后续工作向条约机构提出报告的事提供指导。有建议认为，第五次联席会议应集中讨论关于全球化对条约机构、任务和文书的影响问题。最后，会议又建议，主席们的今后会议应该同过去一样分五天进行。</w:t>
      </w:r>
    </w:p>
    <w:p w:rsidR="00FC6C1A" w:rsidRDefault="00FC6C1A">
      <w:pPr>
        <w:pStyle w:val="DualTxt"/>
        <w:spacing w:after="160" w:line="322" w:lineRule="exact"/>
        <w:rPr>
          <w:rFonts w:hint="eastAsia"/>
          <w:spacing w:val="2"/>
        </w:rPr>
      </w:pPr>
      <w:r>
        <w:rPr>
          <w:rFonts w:hint="eastAsia"/>
        </w:rPr>
        <w:t>14.</w:t>
      </w:r>
      <w:r>
        <w:rPr>
          <w:rFonts w:hint="eastAsia"/>
        </w:rPr>
        <w:tab/>
        <w:t>第一次委员会间会议由人权事务副高级专员宣布开幕。开会前为所有酷刑的受害者默哀一分钟。经过了一场生动讨论后，就各种问题提出了建议，并取得了</w:t>
      </w:r>
      <w:r>
        <w:rPr>
          <w:rFonts w:hint="eastAsia"/>
          <w:spacing w:val="2"/>
        </w:rPr>
        <w:t>共识。两年以后的下一次会议将集中于专题的讨论；Corti女士已提议以非歧视为题。会议的议程将包括背景文件中提到但由于时间限制而未能讨论的专题以及一些没有取得共识的问题。她感谢Connors女士有效、及时地对第一次会议的成功作出贡献。</w:t>
      </w:r>
    </w:p>
    <w:p w:rsidR="00FC6C1A" w:rsidRDefault="00FC6C1A">
      <w:pPr>
        <w:pStyle w:val="DualTxt"/>
        <w:spacing w:after="160"/>
        <w:rPr>
          <w:rFonts w:hint="eastAsia"/>
        </w:rPr>
      </w:pPr>
      <w:r>
        <w:rPr>
          <w:rFonts w:hint="eastAsia"/>
        </w:rPr>
        <w:t>15.</w:t>
      </w:r>
      <w:r>
        <w:rPr>
          <w:rFonts w:hint="eastAsia"/>
        </w:rPr>
        <w:tab/>
        <w:t>最后，她强调，由于争取委员会批准举行目前的特别会议得来不易，她敦促各成员明智地利用现有的时间。</w:t>
      </w:r>
    </w:p>
    <w:p w:rsidR="00FC6C1A" w:rsidRDefault="00FC6C1A">
      <w:pPr>
        <w:pStyle w:val="DualTxt"/>
        <w:spacing w:after="160"/>
        <w:rPr>
          <w:rFonts w:hint="eastAsia"/>
        </w:rPr>
      </w:pPr>
      <w:r>
        <w:rPr>
          <w:rFonts w:hint="eastAsia"/>
        </w:rPr>
        <w:t>16.</w:t>
      </w:r>
      <w:r>
        <w:rPr>
          <w:rFonts w:hint="eastAsia"/>
        </w:rPr>
        <w:tab/>
      </w:r>
      <w:r>
        <w:rPr>
          <w:rFonts w:ascii="SimHei" w:eastAsia="SimHei" w:hint="eastAsia"/>
          <w:color w:val="FF0000"/>
        </w:rPr>
        <w:t>Gaspard女士</w:t>
      </w:r>
      <w:r>
        <w:rPr>
          <w:rFonts w:hint="eastAsia"/>
        </w:rPr>
        <w:t>说,她的了解是，教科文组织的一位代表将出席委员会的非正式会议，同时该机构有兴趣就共同关心的问题进行讨论。</w:t>
      </w:r>
    </w:p>
    <w:p w:rsidR="00FC6C1A" w:rsidRDefault="00FC6C1A">
      <w:pPr>
        <w:pStyle w:val="DualTxt"/>
        <w:spacing w:after="160" w:line="340" w:lineRule="exact"/>
        <w:rPr>
          <w:rFonts w:hint="eastAsia"/>
        </w:rPr>
      </w:pPr>
      <w:r>
        <w:rPr>
          <w:rFonts w:hint="eastAsia"/>
        </w:rPr>
        <w:t>17.</w:t>
      </w:r>
      <w:r>
        <w:rPr>
          <w:rFonts w:hint="eastAsia"/>
        </w:rPr>
        <w:tab/>
      </w:r>
      <w:r>
        <w:rPr>
          <w:rFonts w:ascii="SimHei" w:eastAsia="SimHei" w:hint="eastAsia"/>
          <w:color w:val="FF0000"/>
        </w:rPr>
        <w:t>Sch</w:t>
      </w:r>
      <w:r>
        <w:rPr>
          <w:rFonts w:ascii="SimHei" w:eastAsia="SimHei"/>
          <w:color w:val="FF0000"/>
        </w:rPr>
        <w:t>ö</w:t>
      </w:r>
      <w:r>
        <w:rPr>
          <w:rFonts w:ascii="SimHei" w:eastAsia="SimHei" w:hint="eastAsia"/>
          <w:color w:val="FF0000"/>
        </w:rPr>
        <w:t>pp-Schilling女士</w:t>
      </w:r>
      <w:r>
        <w:rPr>
          <w:rFonts w:hint="eastAsia"/>
        </w:rPr>
        <w:t>要求委员会秘书处为那些担任其他人权条约机构联络工作的成员作出安排，以便她们取得文件。</w:t>
      </w:r>
    </w:p>
    <w:p w:rsidR="00FC6C1A" w:rsidRDefault="00FC6C1A">
      <w:pPr>
        <w:pStyle w:val="DualTxt"/>
        <w:spacing w:after="160" w:line="340" w:lineRule="exact"/>
        <w:rPr>
          <w:rFonts w:hint="eastAsia"/>
        </w:rPr>
      </w:pPr>
      <w:r>
        <w:rPr>
          <w:rFonts w:hint="eastAsia"/>
        </w:rPr>
        <w:t>18.</w:t>
      </w:r>
      <w:r>
        <w:rPr>
          <w:rFonts w:hint="eastAsia"/>
        </w:rPr>
        <w:tab/>
      </w:r>
      <w:r>
        <w:rPr>
          <w:rFonts w:ascii="SimHei" w:eastAsia="SimHei" w:hint="eastAsia"/>
          <w:color w:val="FF0000"/>
        </w:rPr>
        <w:t>Gonz</w:t>
      </w:r>
      <w:r>
        <w:rPr>
          <w:rFonts w:ascii="SimHei" w:eastAsia="SimHei"/>
          <w:color w:val="FF0000"/>
        </w:rPr>
        <w:t>á</w:t>
      </w:r>
      <w:r>
        <w:rPr>
          <w:rFonts w:ascii="SimHei" w:eastAsia="SimHei" w:hint="eastAsia"/>
          <w:color w:val="FF0000"/>
        </w:rPr>
        <w:t>lez女士</w:t>
      </w:r>
      <w:r>
        <w:rPr>
          <w:rFonts w:hint="eastAsia"/>
        </w:rPr>
        <w:t>说，他已经在因特网上找到许多相关的报告，其中包括暴力侵害妇女问题特别报告员的报告。</w:t>
      </w:r>
    </w:p>
    <w:p w:rsidR="00FC6C1A" w:rsidRDefault="00FC6C1A">
      <w:pPr>
        <w:pStyle w:val="DualTxt"/>
        <w:spacing w:after="160" w:line="340" w:lineRule="exact"/>
        <w:rPr>
          <w:rFonts w:hint="eastAsia"/>
        </w:rPr>
      </w:pPr>
      <w:r>
        <w:rPr>
          <w:rFonts w:hint="eastAsia"/>
        </w:rPr>
        <w:t>19.</w:t>
      </w:r>
      <w:r>
        <w:rPr>
          <w:rFonts w:hint="eastAsia"/>
        </w:rPr>
        <w:tab/>
      </w:r>
      <w:r>
        <w:rPr>
          <w:rFonts w:ascii="SimHei" w:eastAsia="SimHei" w:hint="eastAsia"/>
          <w:color w:val="FF0000"/>
        </w:rPr>
        <w:t>Corti女士</w:t>
      </w:r>
      <w:r>
        <w:rPr>
          <w:rFonts w:hint="eastAsia"/>
        </w:rPr>
        <w:t>说，新人权事务高级专员的任命将可提供机会让主席写信要求委员会同暴力侵害妇女问题特别报告员直接接触。这样的关系似乎是很自然的步骤，特别是因为委员会正在进行关于暴力侵害妇女问题的一般性评论工作。</w:t>
      </w:r>
    </w:p>
    <w:p w:rsidR="00FC6C1A" w:rsidRDefault="00FC6C1A">
      <w:pPr>
        <w:pStyle w:val="DualTxt"/>
        <w:spacing w:after="160" w:line="340" w:lineRule="exact"/>
        <w:rPr>
          <w:rFonts w:hint="eastAsia"/>
        </w:rPr>
      </w:pPr>
      <w:r>
        <w:rPr>
          <w:rFonts w:ascii="SimHei" w:eastAsia="SimHei" w:hint="eastAsia"/>
          <w:color w:val="FF0000"/>
        </w:rPr>
        <w:t>《公约》第22条执行情况</w:t>
      </w:r>
      <w:r>
        <w:rPr>
          <w:rFonts w:hint="eastAsia"/>
        </w:rPr>
        <w:t>(CEDAW/C/2002/EXC/3和Add.1-4)</w:t>
      </w:r>
    </w:p>
    <w:p w:rsidR="00FC6C1A" w:rsidRDefault="00FC6C1A">
      <w:pPr>
        <w:pStyle w:val="DualTxt"/>
        <w:tabs>
          <w:tab w:val="clear" w:pos="432"/>
          <w:tab w:val="left" w:pos="420"/>
        </w:tabs>
        <w:spacing w:after="160" w:line="340" w:lineRule="exact"/>
        <w:rPr>
          <w:rFonts w:hint="eastAsia"/>
        </w:rPr>
      </w:pPr>
      <w:r>
        <w:rPr>
          <w:rFonts w:hint="eastAsia"/>
        </w:rPr>
        <w:t>20.</w:t>
      </w:r>
      <w:r>
        <w:rPr>
          <w:rFonts w:hint="eastAsia"/>
        </w:rPr>
        <w:tab/>
      </w:r>
      <w:r>
        <w:rPr>
          <w:rFonts w:ascii="SimHei" w:eastAsia="SimHei" w:hint="eastAsia"/>
          <w:color w:val="FF0000"/>
          <w:spacing w:val="-2"/>
        </w:rPr>
        <w:t>Connors女士</w:t>
      </w:r>
      <w:r>
        <w:rPr>
          <w:rFonts w:hint="eastAsia"/>
          <w:spacing w:val="-2"/>
        </w:rPr>
        <w:t>(提高妇女地位司妇女权利科科长</w:t>
      </w:r>
      <w:r>
        <w:rPr>
          <w:rFonts w:hint="eastAsia"/>
          <w:spacing w:val="2"/>
        </w:rPr>
        <w:t>)说，《公约》第22条规定，专门机构可派代表出席特别会议；这些代表们已在会前工作组提供了投入。联合国粮食及农业组织(粮农组织)、世界卫生组织(卫生组织)、联合国教育、科学及文化组织(教</w:t>
      </w:r>
      <w:r>
        <w:rPr>
          <w:rFonts w:hint="eastAsia"/>
          <w:spacing w:val="8"/>
        </w:rPr>
        <w:t>科文组织)和国际劳工组织(劳工组织)均提出了报告，</w:t>
      </w:r>
      <w:r>
        <w:rPr>
          <w:rFonts w:hint="eastAsia"/>
        </w:rPr>
        <w:t>载在秘书长的报告增编1-4(CEDAW/C/2002/EXE/3)。</w:t>
      </w:r>
    </w:p>
    <w:p w:rsidR="00FC6C1A" w:rsidRDefault="00FC6C1A">
      <w:pPr>
        <w:pStyle w:val="DualTxt"/>
        <w:spacing w:after="120"/>
        <w:rPr>
          <w:rFonts w:hint="eastAsia"/>
        </w:rPr>
      </w:pPr>
      <w:r>
        <w:br w:type="column"/>
      </w:r>
      <w:r>
        <w:rPr>
          <w:rFonts w:hint="eastAsia"/>
        </w:rPr>
        <w:t>21.</w:t>
      </w:r>
      <w:r>
        <w:rPr>
          <w:rFonts w:hint="eastAsia"/>
        </w:rPr>
        <w:tab/>
        <w:t>在说明了文件的最新情况后，她告诉委员会成员说，由于某些缔约国对问题单的答复提交过迟，因此，来不及立即将所有的答复以所有的语文提供；只能在开会期间陆续提供。今后将可通过软磁盘或电子邮件的方式向成员提供文件的电子副本。</w:t>
      </w:r>
    </w:p>
    <w:p w:rsidR="00FC6C1A" w:rsidRDefault="00FC6C1A">
      <w:pPr>
        <w:pStyle w:val="DualTxt"/>
        <w:spacing w:after="120"/>
        <w:rPr>
          <w:rFonts w:hint="eastAsia"/>
        </w:rPr>
      </w:pPr>
      <w:r>
        <w:rPr>
          <w:rFonts w:hint="eastAsia"/>
        </w:rPr>
        <w:t>22.</w:t>
      </w:r>
      <w:r>
        <w:rPr>
          <w:rFonts w:hint="eastAsia"/>
        </w:rPr>
        <w:tab/>
      </w:r>
      <w:r>
        <w:rPr>
          <w:rFonts w:ascii="SimHei" w:eastAsia="SimHei" w:hint="eastAsia"/>
          <w:color w:val="FF0000"/>
        </w:rPr>
        <w:t>Corti女士</w:t>
      </w:r>
      <w:r>
        <w:rPr>
          <w:rFonts w:hint="eastAsia"/>
        </w:rPr>
        <w:t>报告在主席Melander先生缺席的情况下特别会议会前工作组会议情况时说，该工作组就十一个缔约国提出的报告编写了问题和询问清单。工作组认为，虽然报告中叙述各国在不同条件、不同限制下的执行情况，但有几个共同的关切问题，其中包括:对性别角色持续的刻板态度、暴力侵害妇女、妇女失业和就业不足、固定的工作隔离和工资差别、以及妇女在所有决策层的人数偏低。此外，还注意到，贩卖和剥削妇女的严重的、日增的问题。</w:t>
      </w:r>
    </w:p>
    <w:p w:rsidR="00FC6C1A" w:rsidRDefault="00FC6C1A">
      <w:pPr>
        <w:pStyle w:val="DualTxt"/>
        <w:spacing w:after="120"/>
        <w:rPr>
          <w:rFonts w:hint="eastAsia"/>
        </w:rPr>
      </w:pPr>
      <w:r>
        <w:rPr>
          <w:rFonts w:hint="eastAsia"/>
        </w:rPr>
        <w:t>23.</w:t>
      </w:r>
      <w:r>
        <w:rPr>
          <w:rFonts w:hint="eastAsia"/>
        </w:rPr>
        <w:tab/>
        <w:t>提出并执行性别问题纳入主流政策是一项积极的发展，但不能取代针对妇女的方案、适当的国家机制以及充分的人力和财力资源的需要。还注意到的是，法律上的平等并未确保妇女实际上的平等。大家还关切在转型期国家、受到结构调整政策和公共部门私有化影响、或受经济危机影响的国家贫穷妇女人数日增，以及妇女健康和就业状况恶化等问题。</w:t>
      </w:r>
    </w:p>
    <w:p w:rsidR="00FC6C1A" w:rsidRDefault="00FC6C1A">
      <w:pPr>
        <w:pStyle w:val="DualTxt"/>
        <w:spacing w:after="120"/>
        <w:rPr>
          <w:rFonts w:ascii="KaiTi_GB2312" w:eastAsia="KaiTi_GB2312" w:hint="eastAsia"/>
          <w:color w:val="0000FF"/>
        </w:rPr>
      </w:pPr>
      <w:r>
        <w:rPr>
          <w:rFonts w:ascii="KaiTi_GB2312" w:eastAsia="KaiTi_GB2312" w:hint="eastAsia"/>
          <w:color w:val="0000FF"/>
        </w:rPr>
        <w:tab/>
        <w:t>上午11时15分散会</w:t>
      </w:r>
    </w:p>
    <w:p w:rsidR="00FC6C1A" w:rsidRDefault="00FC6C1A">
      <w:pPr>
        <w:pStyle w:val="DualTxt"/>
      </w:pPr>
    </w:p>
    <w:sectPr w:rsidR="00FC6C1A">
      <w:type w:val="continuous"/>
      <w:pgSz w:w="12242" w:h="15842" w:code="1"/>
      <w:pgMar w:top="1742" w:right="1195" w:bottom="1898" w:left="1195" w:header="576" w:footer="1030" w:gutter="0"/>
      <w:cols w:num="2" w:space="24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FC6C1A" w:rsidRDefault="00FC6C1A">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NO&gt;&gt;N0250785C&lt;&lt;ODS JOB NO&gt;&gt;</w:t>
      </w:r>
    </w:p>
    <w:p w:rsidR="00FC6C1A" w:rsidRDefault="00FC6C1A">
      <w:pPr>
        <w:pStyle w:val="CommentText"/>
      </w:pPr>
      <w:r>
        <w:t>&lt;&lt;ODS DOC SYMBOL1&gt;&gt;CEDAW/C/SR.568&lt;&lt;ODS DOC SYMBOL1&gt;&gt;</w:t>
      </w:r>
    </w:p>
    <w:p w:rsidR="00FC6C1A" w:rsidRDefault="00FC6C1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91E32">
      <w:pPr>
        <w:spacing w:line="240" w:lineRule="auto"/>
      </w:pPr>
      <w:r>
        <w:separator/>
      </w:r>
    </w:p>
  </w:endnote>
  <w:endnote w:type="continuationSeparator" w:id="0">
    <w:p w:rsidR="00000000" w:rsidRDefault="00991E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Arial Unicode MS"/>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FC6C1A">
      <w:tblPrEx>
        <w:tblCellMar>
          <w:top w:w="0" w:type="dxa"/>
          <w:bottom w:w="0" w:type="dxa"/>
        </w:tblCellMar>
      </w:tblPrEx>
      <w:tc>
        <w:tcPr>
          <w:tcW w:w="5034" w:type="dxa"/>
          <w:vAlign w:val="bottom"/>
        </w:tcPr>
        <w:p w:rsidR="00FC6C1A" w:rsidRDefault="00FC6C1A">
          <w:pPr>
            <w:pStyle w:val="Footer"/>
          </w:pPr>
          <w:r>
            <w:fldChar w:fldCharType="begin"/>
          </w:r>
          <w:r>
            <w:instrText xml:space="preserve"> PAGE  \* MERGEFORMAT </w:instrText>
          </w:r>
          <w:r>
            <w:fldChar w:fldCharType="separate"/>
          </w:r>
          <w:r>
            <w:t>2</w:t>
          </w:r>
          <w:r>
            <w:fldChar w:fldCharType="end"/>
          </w:r>
        </w:p>
      </w:tc>
      <w:tc>
        <w:tcPr>
          <w:tcW w:w="5034" w:type="dxa"/>
          <w:vAlign w:val="bottom"/>
        </w:tcPr>
        <w:p w:rsidR="00FC6C1A" w:rsidRDefault="00FC6C1A">
          <w:pPr>
            <w:pStyle w:val="Footer"/>
            <w:jc w:val="right"/>
          </w:pPr>
        </w:p>
      </w:tc>
    </w:tr>
  </w:tbl>
  <w:p w:rsidR="00FC6C1A" w:rsidRDefault="00FC6C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FC6C1A">
      <w:tblPrEx>
        <w:tblCellMar>
          <w:top w:w="0" w:type="dxa"/>
          <w:bottom w:w="0" w:type="dxa"/>
        </w:tblCellMar>
      </w:tblPrEx>
      <w:tc>
        <w:tcPr>
          <w:tcW w:w="5034" w:type="dxa"/>
          <w:vAlign w:val="bottom"/>
        </w:tcPr>
        <w:p w:rsidR="00FC6C1A" w:rsidRDefault="00FC6C1A">
          <w:pPr>
            <w:pStyle w:val="Footer"/>
          </w:pPr>
        </w:p>
      </w:tc>
      <w:tc>
        <w:tcPr>
          <w:tcW w:w="5034" w:type="dxa"/>
          <w:vAlign w:val="bottom"/>
        </w:tcPr>
        <w:p w:rsidR="00FC6C1A" w:rsidRDefault="00FC6C1A">
          <w:pPr>
            <w:pStyle w:val="Footer"/>
            <w:jc w:val="right"/>
          </w:pPr>
          <w:r>
            <w:fldChar w:fldCharType="begin"/>
          </w:r>
          <w:r>
            <w:instrText xml:space="preserve"> PAGE  \* MERGEFORMAT </w:instrText>
          </w:r>
          <w:r>
            <w:fldChar w:fldCharType="separate"/>
          </w:r>
          <w:r>
            <w:t>3</w:t>
          </w:r>
          <w:r>
            <w:fldChar w:fldCharType="end"/>
          </w:r>
        </w:p>
      </w:tc>
    </w:tr>
  </w:tbl>
  <w:p w:rsidR="00FC6C1A" w:rsidRDefault="00FC6C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1A" w:rsidRDefault="00FC6C1A">
    <w:pPr>
      <w:pStyle w:val="Footer"/>
    </w:pPr>
  </w:p>
  <w:p w:rsidR="00FC6C1A" w:rsidRDefault="00FC6C1A">
    <w:pPr>
      <w:pStyle w:val="Footer"/>
      <w:pBdr>
        <w:top w:val="single" w:sz="2" w:space="0" w:color="000000"/>
      </w:pBdr>
      <w:rPr>
        <w:sz w:val="2"/>
      </w:rPr>
    </w:pPr>
  </w:p>
  <w:p w:rsidR="00FC6C1A" w:rsidRDefault="00FC6C1A">
    <w:pPr>
      <w:spacing w:after="120" w:line="240" w:lineRule="auto"/>
      <w:ind w:left="1267" w:right="1267"/>
      <w:jc w:val="both"/>
      <w:rPr>
        <w:snapToGrid w:val="0"/>
        <w:spacing w:val="5"/>
        <w:w w:val="104"/>
        <w:sz w:val="17"/>
      </w:rPr>
    </w:pPr>
    <w:r>
      <w:rPr>
        <w:rFonts w:hint="eastAsia"/>
        <w:snapToGrid w:val="0"/>
        <w:spacing w:val="5"/>
        <w:w w:val="104"/>
        <w:sz w:val="17"/>
      </w:rPr>
      <w:t>本记录可以更正。</w:t>
    </w:r>
  </w:p>
  <w:p w:rsidR="00FC6C1A" w:rsidRDefault="00FC6C1A">
    <w:pPr>
      <w:spacing w:after="120" w:line="240" w:lineRule="auto"/>
      <w:ind w:left="1267" w:right="1267"/>
      <w:jc w:val="both"/>
      <w:rPr>
        <w:rFonts w:hint="eastAsia"/>
        <w:snapToGrid w:val="0"/>
        <w:spacing w:val="5"/>
        <w:w w:val="104"/>
        <w:sz w:val="17"/>
      </w:rPr>
    </w:pPr>
    <w:r>
      <w:rPr>
        <w:rFonts w:hint="eastAsia"/>
        <w:snapToGrid w:val="0"/>
        <w:spacing w:val="5"/>
        <w:w w:val="104"/>
        <w:sz w:val="17"/>
      </w:rPr>
      <w:t>本记录的各项更正应以一种工作语文提出。各项更正应在一份备忘录内列明，并填写在一份记录上。各项更正应</w:t>
    </w:r>
    <w:r>
      <w:rPr>
        <w:rFonts w:eastAsia="SimHei" w:hint="eastAsia"/>
        <w:snapToGrid w:val="0"/>
        <w:spacing w:val="5"/>
        <w:w w:val="104"/>
        <w:sz w:val="17"/>
      </w:rPr>
      <w:t>在本文件印发日期后一个星期内</w:t>
    </w:r>
    <w:r>
      <w:rPr>
        <w:rFonts w:hint="eastAsia"/>
        <w:snapToGrid w:val="0"/>
        <w:spacing w:val="5"/>
        <w:w w:val="104"/>
        <w:sz w:val="17"/>
      </w:rPr>
      <w:t>送交正式记录编辑科科长（联合国广场</w:t>
    </w:r>
    <w:r>
      <w:rPr>
        <w:snapToGrid w:val="0"/>
        <w:spacing w:val="5"/>
        <w:w w:val="104"/>
        <w:sz w:val="17"/>
      </w:rPr>
      <w:t>2</w:t>
    </w:r>
    <w:r>
      <w:rPr>
        <w:rFonts w:hint="eastAsia"/>
        <w:snapToGrid w:val="0"/>
        <w:spacing w:val="5"/>
        <w:w w:val="104"/>
        <w:sz w:val="17"/>
      </w:rPr>
      <w:t>号</w:t>
    </w:r>
    <w:r>
      <w:rPr>
        <w:snapToGrid w:val="0"/>
        <w:spacing w:val="5"/>
        <w:w w:val="104"/>
        <w:sz w:val="17"/>
      </w:rPr>
      <w:t xml:space="preserve"> DC2-750</w:t>
    </w:r>
    <w:r>
      <w:rPr>
        <w:rFonts w:hint="eastAsia"/>
        <w:snapToGrid w:val="0"/>
        <w:spacing w:val="5"/>
        <w:w w:val="104"/>
        <w:sz w:val="17"/>
      </w:rPr>
      <w:t>室）。</w:t>
    </w:r>
  </w:p>
  <w:p w:rsidR="00FC6C1A" w:rsidRDefault="00FC6C1A">
    <w:pPr>
      <w:pStyle w:val="FootnoteText"/>
      <w:spacing w:after="140"/>
      <w:ind w:left="1267" w:right="1267" w:firstLine="0"/>
      <w:rPr>
        <w:rFonts w:hint="eastAsia"/>
        <w:snapToGrid w:val="0"/>
      </w:rPr>
    </w:pPr>
    <w:r>
      <w:rPr>
        <w:rFonts w:hint="eastAsia"/>
        <w:noProof w:val="0"/>
        <w:snapToGrid w:val="0"/>
        <w:spacing w:val="5"/>
        <w:w w:val="104"/>
        <w:sz w:val="17"/>
      </w:rPr>
      <w:t>对本届会议各次会议记录的任何更正将并入一份更正汇编，在届会结束后不久印发</w:t>
    </w:r>
    <w:r>
      <w:rPr>
        <w:rFonts w:hint="eastAsia"/>
        <w:snapToGrid w:val="0"/>
      </w:rPr>
      <w:t>。</w:t>
    </w:r>
  </w:p>
  <w:p w:rsidR="00FC6C1A" w:rsidRDefault="00FC6C1A">
    <w:pPr>
      <w:pStyle w:val="Footer"/>
      <w:rPr>
        <w:b w:val="0"/>
        <w:snapToGrid w:val="0"/>
        <w:sz w:val="21"/>
      </w:rPr>
    </w:pPr>
    <w:r>
      <w:rPr>
        <w:b w:val="0"/>
        <w:snapToGrid w:val="0"/>
        <w:sz w:val="21"/>
      </w:rPr>
      <w:t>02-50785 (C)</w:t>
    </w:r>
  </w:p>
  <w:p w:rsidR="00FC6C1A" w:rsidRDefault="00FC6C1A">
    <w:pPr>
      <w:spacing w:before="60" w:line="200" w:lineRule="exact"/>
      <w:rPr>
        <w:rFonts w:ascii="Barcode 3 of 9 by request" w:hAnsi="Barcode 3 of 9 by request" w:hint="eastAsia"/>
        <w:b/>
        <w:snapToGrid w:val="0"/>
      </w:rPr>
    </w:pPr>
    <w:r>
      <w:rPr>
        <w:rFonts w:ascii="Barcode 3 of 9 by request" w:hAnsi="Barcode 3 of 9 by request"/>
        <w:b/>
        <w:snapToGrid w:val="0"/>
      </w:rPr>
      <w:t>*0250785*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91E32">
      <w:pPr>
        <w:spacing w:line="240" w:lineRule="auto"/>
      </w:pPr>
      <w:r>
        <w:separator/>
      </w:r>
    </w:p>
  </w:footnote>
  <w:footnote w:type="continuationSeparator" w:id="0">
    <w:p w:rsidR="00000000" w:rsidRDefault="00991E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1A" w:rsidRDefault="00FC6C1A">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mso-wrap-style:tight"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FC6C1A">
                  <w:tblPrEx>
                    <w:tblCellMar>
                      <w:top w:w="0" w:type="dxa"/>
                      <w:bottom w:w="0" w:type="dxa"/>
                    </w:tblCellMar>
                  </w:tblPrEx>
                  <w:trPr>
                    <w:trHeight w:hRule="exact" w:val="864"/>
                  </w:trPr>
                  <w:tc>
                    <w:tcPr>
                      <w:tcW w:w="4838" w:type="dxa"/>
                      <w:vAlign w:val="bottom"/>
                    </w:tcPr>
                    <w:p w:rsidR="00FC6C1A" w:rsidRDefault="00FC6C1A">
                      <w:pPr>
                        <w:pStyle w:val="Header"/>
                        <w:spacing w:after="80"/>
                        <w:rPr>
                          <w:b/>
                          <w:sz w:val="17"/>
                        </w:rPr>
                      </w:pPr>
                      <w:r>
                        <w:rPr>
                          <w:b/>
                          <w:sz w:val="17"/>
                        </w:rPr>
                        <w:t>CEDAW/C/SR.568</w:t>
                      </w:r>
                    </w:p>
                  </w:tc>
                  <w:tc>
                    <w:tcPr>
                      <w:tcW w:w="5048" w:type="dxa"/>
                      <w:vAlign w:val="bottom"/>
                    </w:tcPr>
                    <w:p w:rsidR="00FC6C1A" w:rsidRDefault="00FC6C1A">
                      <w:pPr>
                        <w:pStyle w:val="Header"/>
                      </w:pPr>
                    </w:p>
                  </w:tc>
                </w:tr>
              </w:tbl>
              <w:p w:rsidR="00FC6C1A" w:rsidRDefault="00FC6C1A"/>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1A" w:rsidRDefault="00FC6C1A">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mso-wrap-style:tight"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FC6C1A">
                  <w:tblPrEx>
                    <w:tblCellMar>
                      <w:top w:w="0" w:type="dxa"/>
                      <w:bottom w:w="0" w:type="dxa"/>
                    </w:tblCellMar>
                  </w:tblPrEx>
                  <w:trPr>
                    <w:trHeight w:hRule="exact" w:val="864"/>
                  </w:trPr>
                  <w:tc>
                    <w:tcPr>
                      <w:tcW w:w="4838" w:type="dxa"/>
                      <w:vAlign w:val="bottom"/>
                    </w:tcPr>
                    <w:p w:rsidR="00FC6C1A" w:rsidRDefault="00FC6C1A">
                      <w:pPr>
                        <w:pStyle w:val="Header"/>
                      </w:pPr>
                    </w:p>
                  </w:tc>
                  <w:tc>
                    <w:tcPr>
                      <w:tcW w:w="5048" w:type="dxa"/>
                      <w:vAlign w:val="bottom"/>
                    </w:tcPr>
                    <w:p w:rsidR="00FC6C1A" w:rsidRDefault="00FC6C1A">
                      <w:pPr>
                        <w:pStyle w:val="Header"/>
                        <w:spacing w:after="80"/>
                        <w:jc w:val="right"/>
                        <w:rPr>
                          <w:b/>
                          <w:sz w:val="17"/>
                        </w:rPr>
                      </w:pPr>
                      <w:r>
                        <w:rPr>
                          <w:b/>
                          <w:sz w:val="17"/>
                        </w:rPr>
                        <w:t>CEDAW/C/SR.568</w:t>
                      </w:r>
                    </w:p>
                  </w:tc>
                </w:tr>
              </w:tbl>
              <w:p w:rsidR="00FC6C1A" w:rsidRDefault="00FC6C1A"/>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FC6C1A">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FC6C1A" w:rsidRDefault="00FC6C1A">
          <w:pPr>
            <w:pStyle w:val="Header"/>
            <w:spacing w:after="120"/>
          </w:pPr>
        </w:p>
      </w:tc>
      <w:tc>
        <w:tcPr>
          <w:tcW w:w="1872" w:type="dxa"/>
          <w:tcBorders>
            <w:top w:val="nil"/>
            <w:left w:val="nil"/>
            <w:bottom w:val="single" w:sz="4" w:space="0" w:color="auto"/>
            <w:right w:val="nil"/>
          </w:tcBorders>
          <w:vAlign w:val="bottom"/>
        </w:tcPr>
        <w:p w:rsidR="00FC6C1A" w:rsidRDefault="00FC6C1A">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FC6C1A" w:rsidRDefault="00FC6C1A">
          <w:pPr>
            <w:pStyle w:val="Header"/>
            <w:spacing w:after="120"/>
          </w:pPr>
        </w:p>
      </w:tc>
      <w:tc>
        <w:tcPr>
          <w:tcW w:w="6523" w:type="dxa"/>
          <w:gridSpan w:val="3"/>
          <w:tcBorders>
            <w:top w:val="nil"/>
            <w:left w:val="nil"/>
            <w:bottom w:val="single" w:sz="4" w:space="0" w:color="auto"/>
            <w:right w:val="nil"/>
          </w:tcBorders>
          <w:vAlign w:val="bottom"/>
        </w:tcPr>
        <w:p w:rsidR="00FC6C1A" w:rsidRDefault="00FC6C1A">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/C/SR.568</w:t>
          </w:r>
        </w:p>
      </w:tc>
    </w:tr>
    <w:tr w:rsidR="00FC6C1A">
      <w:tblPrEx>
        <w:tblCellMar>
          <w:top w:w="0" w:type="dxa"/>
          <w:bottom w:w="0" w:type="dxa"/>
        </w:tblCellMar>
      </w:tblPrEx>
      <w:trPr>
        <w:trHeight w:hRule="exact" w:val="2880"/>
      </w:trPr>
      <w:tc>
        <w:tcPr>
          <w:tcW w:w="1267" w:type="dxa"/>
          <w:tcBorders>
            <w:left w:val="nil"/>
            <w:bottom w:val="single" w:sz="12" w:space="0" w:color="auto"/>
            <w:right w:val="nil"/>
          </w:tcBorders>
        </w:tcPr>
        <w:p w:rsidR="00FC6C1A" w:rsidRDefault="00FC6C1A">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FC6C1A" w:rsidRDefault="00FC6C1A">
          <w:pPr>
            <w:pStyle w:val="Header"/>
            <w:spacing w:before="109"/>
            <w:ind w:left="-72"/>
          </w:pPr>
        </w:p>
      </w:tc>
      <w:tc>
        <w:tcPr>
          <w:tcW w:w="5227" w:type="dxa"/>
          <w:gridSpan w:val="3"/>
          <w:tcBorders>
            <w:left w:val="nil"/>
            <w:bottom w:val="single" w:sz="12" w:space="0" w:color="auto"/>
            <w:right w:val="nil"/>
          </w:tcBorders>
        </w:tcPr>
        <w:p w:rsidR="00FC6C1A" w:rsidRDefault="00FC6C1A">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FC6C1A" w:rsidRDefault="00FC6C1A">
          <w:pPr>
            <w:pStyle w:val="Header"/>
            <w:spacing w:before="109"/>
          </w:pPr>
        </w:p>
      </w:tc>
      <w:tc>
        <w:tcPr>
          <w:tcW w:w="3180" w:type="dxa"/>
          <w:gridSpan w:val="2"/>
          <w:tcBorders>
            <w:left w:val="nil"/>
            <w:bottom w:val="single" w:sz="12" w:space="0" w:color="auto"/>
            <w:right w:val="nil"/>
          </w:tcBorders>
        </w:tcPr>
        <w:p w:rsidR="00FC6C1A" w:rsidRDefault="00FC6C1A">
          <w:pPr>
            <w:spacing w:before="240" w:line="240" w:lineRule="exact"/>
            <w:rPr>
              <w:rFonts w:ascii="Times New Roman"/>
            </w:rPr>
          </w:pPr>
          <w:r>
            <w:rPr>
              <w:rFonts w:ascii="Times New Roman"/>
            </w:rPr>
            <w:t>Distr.: General</w:t>
          </w:r>
        </w:p>
        <w:p w:rsidR="00FC6C1A" w:rsidRDefault="00FC6C1A">
          <w:pPr>
            <w:spacing w:line="240" w:lineRule="exact"/>
            <w:rPr>
              <w:rFonts w:ascii="Times New Roman"/>
            </w:rPr>
          </w:pPr>
          <w:r>
            <w:rPr>
              <w:rFonts w:ascii="Times New Roman"/>
            </w:rPr>
            <w:t>18 February 2004</w:t>
          </w:r>
        </w:p>
        <w:p w:rsidR="00FC6C1A" w:rsidRDefault="00FC6C1A">
          <w:pPr>
            <w:spacing w:line="240" w:lineRule="exact"/>
            <w:rPr>
              <w:rFonts w:ascii="Times New Roman"/>
            </w:rPr>
          </w:pPr>
          <w:r>
            <w:rPr>
              <w:rFonts w:ascii="Times New Roman"/>
            </w:rPr>
            <w:t>Chinese</w:t>
          </w:r>
        </w:p>
        <w:p w:rsidR="00FC6C1A" w:rsidRDefault="00FC6C1A">
          <w:pPr>
            <w:spacing w:line="240" w:lineRule="exact"/>
            <w:rPr>
              <w:rFonts w:ascii="Times New Roman"/>
            </w:rPr>
          </w:pPr>
          <w:r>
            <w:rPr>
              <w:rFonts w:ascii="Times New Roman"/>
            </w:rPr>
            <w:t>Original: English</w:t>
          </w:r>
        </w:p>
      </w:tc>
    </w:tr>
  </w:tbl>
  <w:p w:rsidR="00FC6C1A" w:rsidRDefault="00FC6C1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printColBlack/>
    <w:showBreaksInFrames/>
    <w:suppressBottomSpacing/>
    <w:suppressTopSpacing/>
    <w:suppressSpBfAfterPgBrk/>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3/02/2004 11:03 AM"/>
    <w:docVar w:name="DocCategory" w:val="SROthers"/>
    <w:docVar w:name="DocType" w:val="Final"/>
    <w:docVar w:name="JobNo" w:val="0250785C"/>
    <w:docVar w:name="OandT" w:val="Lin xq"/>
    <w:docVar w:name="Symbol1" w:val="CEDAW/C/SR.568"/>
    <w:docVar w:name="Symbol2" w:val="-"/>
  </w:docVars>
  <w:rsids>
    <w:rsidRoot w:val="00FC6C1A"/>
    <w:rsid w:val="00991E32"/>
    <w:rsid w:val="00FC6C1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styleId="BalloonText">
    <w:name w:val="Balloon Text"/>
    <w:basedOn w:val="Normal"/>
    <w:semiHidden/>
    <w:rsid w:val="00FC6C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137</TotalTime>
  <Pages>3</Pages>
  <Words>623</Words>
  <Characters>3554</Characters>
  <Application>Microsoft Office Word</Application>
  <DocSecurity>4</DocSecurity>
  <Lines>29</Lines>
  <Paragraphs>8</Paragraphs>
  <ScaleCrop>false</ScaleCrop>
  <HeadingPairs>
    <vt:vector size="4" baseType="variant">
      <vt:variant>
        <vt:lpstr>Title</vt:lpstr>
      </vt:variant>
      <vt:variant>
        <vt:i4>1</vt:i4>
      </vt:variant>
      <vt:variant>
        <vt:lpstr>题目</vt:lpstr>
      </vt:variant>
      <vt:variant>
        <vt:i4>1</vt:i4>
      </vt:variant>
    </vt:vector>
  </HeadingPairs>
  <TitlesOfParts>
    <vt:vector size="2" baseType="lpstr">
      <vt:lpstr> </vt:lpstr>
      <vt:lpstr> </vt:lpstr>
    </vt:vector>
  </TitlesOfParts>
  <Company>United Nations</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Dezuo CAO</dc:creator>
  <cp:keywords/>
  <dc:description/>
  <cp:lastModifiedBy>Dezuo CAO</cp:lastModifiedBy>
  <cp:revision>12</cp:revision>
  <cp:lastPrinted>2004-02-18T08:15:00Z</cp:lastPrinted>
  <dcterms:created xsi:type="dcterms:W3CDTF">2004-02-13T10:03:00Z</dcterms:created>
  <dcterms:modified xsi:type="dcterms:W3CDTF">2004-02-18T08:18:00Z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0250785</vt:lpwstr>
  </property>
  <property fmtid="{D5CDD505-2E9C-101B-9397-08002B2CF9AE}" pid="3" name="Symbol1">
    <vt:lpwstr>CEDAW/C/SR.568</vt:lpwstr>
  </property>
  <property fmtid="{D5CDD505-2E9C-101B-9397-08002B2CF9AE}" pid="4" name="Symbol2">
    <vt:lpwstr/>
  </property>
  <property fmtid="{D5CDD505-2E9C-101B-9397-08002B2CF9AE}" pid="5" name="Translator">
    <vt:lpwstr/>
  </property>
  <property fmtid="{D5CDD505-2E9C-101B-9397-08002B2CF9AE}" pid="6" name="Operator">
    <vt:lpwstr>Lin xq</vt:lpwstr>
  </property>
  <property fmtid="{D5CDD505-2E9C-101B-9397-08002B2CF9AE}" pid="7" name="DraftPages">
    <vt:lpwstr> </vt:lpwstr>
  </property>
  <property fmtid="{D5CDD505-2E9C-101B-9397-08002B2CF9AE}" pid="8" name="Comment">
    <vt:lpwstr/>
  </property>
</Properties>
</file>