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восьмая 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602-м заседании,</w:t>
      </w:r>
    </w:p>
    <w:p w:rsidR="00000000" w:rsidRDefault="00000000">
      <w:r>
        <w:t>состоявшемся в Центральных учреждениях, Нью-Йорк, в среду, 22 января 2003 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 xml:space="preserve"> г</w:t>
      </w:r>
      <w:r>
        <w:noBreakHyphen/>
        <w:t>жа Ачар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представляемых государствами-участниками в 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ind w:left="1742" w:hanging="475"/>
        <w:rPr>
          <w:i/>
        </w:rPr>
      </w:pPr>
      <w:r>
        <w:tab/>
      </w:r>
      <w:r>
        <w:rPr>
          <w:i/>
        </w:rPr>
        <w:t xml:space="preserve">Четвертый периодический доклад Люксембурга </w:t>
      </w:r>
      <w:r>
        <w:t>(</w:t>
      </w:r>
      <w:r>
        <w:rPr>
          <w:i/>
        </w:rPr>
        <w:t>пр</w:t>
      </w:r>
      <w:r>
        <w:rPr>
          <w:i/>
        </w:rPr>
        <w:t>о</w:t>
      </w:r>
      <w:r>
        <w:rPr>
          <w:i/>
        </w:rPr>
        <w:t>должение</w:t>
      </w:r>
      <w:r>
        <w:t>)</w:t>
      </w:r>
      <w:r>
        <w:rPr>
          <w:i/>
        </w:rPr>
        <w:t xml:space="preserve"> </w:t>
      </w:r>
    </w:p>
    <w:p w:rsidR="00000000" w:rsidRDefault="00000000">
      <w:pPr>
        <w:pStyle w:val="SingleTxt"/>
        <w:spacing w:after="0" w:line="240" w:lineRule="auto"/>
        <w:jc w:val="left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DualTxt"/>
      </w:pPr>
      <w:r>
        <w:rPr>
          <w:i/>
        </w:rPr>
        <w:t>Заседание о</w:t>
      </w:r>
      <w:r>
        <w:rPr>
          <w:i/>
        </w:rPr>
        <w:t>т</w:t>
      </w:r>
      <w:r>
        <w:rPr>
          <w:i/>
        </w:rPr>
        <w:t>крывается в 15 ч.  05 м</w:t>
      </w:r>
      <w:r>
        <w:t>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 xml:space="preserve">Рассмотрение докладов, представляемых государствами-участниками в соответствии 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</w:t>
      </w:r>
      <w:r>
        <w:rPr>
          <w:b w:val="0"/>
          <w:i/>
        </w:rPr>
        <w:t>е</w:t>
      </w:r>
      <w:r>
        <w:rPr>
          <w:b w:val="0"/>
          <w:i/>
        </w:rPr>
        <w:t>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i w:val="0"/>
        </w:rPr>
      </w:pPr>
      <w:r>
        <w:tab/>
        <w:t xml:space="preserve">Четвертый периодический доклад Люксембурга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 (CEDAW/C/LUX/4; CEDAW/</w:t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rPr>
          <w:i w:val="0"/>
        </w:rPr>
        <w:t>PSWG/2003/I/CRP.1/Add.4 и CRP.2)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члены делег</w:t>
      </w:r>
      <w:r>
        <w:t>а</w:t>
      </w:r>
      <w:r>
        <w:t>ции Люксембурга занимают места за столом Ком</w:t>
      </w:r>
      <w:r>
        <w:t>и</w:t>
      </w:r>
      <w:r>
        <w:t>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 xml:space="preserve">Председатель </w:t>
      </w:r>
      <w:r>
        <w:t>предлагает членам делегации Люксембурга продолжить отвечать на вопросы, п</w:t>
      </w:r>
      <w:r>
        <w:t>о</w:t>
      </w:r>
      <w:r>
        <w:t>ставленные на предыдущем засед</w:t>
      </w:r>
      <w:r>
        <w:t>а</w:t>
      </w:r>
      <w:r>
        <w:t>нии.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Экер </w:t>
      </w:r>
      <w:r>
        <w:t>(Люксембург) говорит, что закон о бремени доказывания в случаях, связанных с ди</w:t>
      </w:r>
      <w:r>
        <w:t>с</w:t>
      </w:r>
      <w:r>
        <w:t>криминацией по признаку пола, был подготовлен на основе директивы Совета Европейского союза (ЕС), относящейся к области занятости. Эта директива была принята во время выполнения Люксембургом обязанностей Председателя Европейского союза, и Люксембург рассматривает ее как важный шаг вп</w:t>
      </w:r>
      <w:r>
        <w:t>е</w:t>
      </w:r>
      <w:r>
        <w:t>ред, поскольку бремя доказывания было перелож</w:t>
      </w:r>
      <w:r>
        <w:t>е</w:t>
      </w:r>
      <w:r>
        <w:t>но на другую сторону. Распространяясь в принципе только на сферу производственных отношений, она затрагивает, тем не менее, и такие вопросы, как се</w:t>
      </w:r>
      <w:r>
        <w:t>к</w:t>
      </w:r>
      <w:r>
        <w:t>суальные домог</w:t>
      </w:r>
      <w:r>
        <w:t>а</w:t>
      </w:r>
      <w:r>
        <w:t>тельства.</w:t>
      </w:r>
    </w:p>
    <w:p w:rsidR="00000000" w:rsidRDefault="00000000">
      <w:pPr>
        <w:pStyle w:val="DualTxt"/>
      </w:pPr>
      <w:r>
        <w:t>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Шёпп-Шиллинг </w:t>
      </w:r>
      <w:r>
        <w:t>отмечает, что Комитет рассматривал вопрос о значении директив Совета ЕС в сопоставлении с положениями Конвенции. Она хотела бы знать, бралась ли Конвенция за осн</w:t>
      </w:r>
      <w:r>
        <w:t>о</w:t>
      </w:r>
      <w:r>
        <w:t>ву при подготовке какого</w:t>
      </w:r>
      <w:r>
        <w:noBreakHyphen/>
        <w:t>либо законодательного а</w:t>
      </w:r>
      <w:r>
        <w:t>к</w:t>
      </w:r>
      <w:r>
        <w:t>та в Люксембурге.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Флинтерман </w:t>
      </w:r>
      <w:r>
        <w:t>говорит, что, насколько он понимает, в соответствии с законодательством Лю</w:t>
      </w:r>
      <w:r>
        <w:t>к</w:t>
      </w:r>
      <w:r>
        <w:t>сембурга в суде допускаются ссылки на междун</w:t>
      </w:r>
      <w:r>
        <w:t>а</w:t>
      </w:r>
      <w:r>
        <w:t>родные договоры, и, в случае вступления в прот</w:t>
      </w:r>
      <w:r>
        <w:t>и</w:t>
      </w:r>
      <w:r>
        <w:t>воречие с национальным законодательством, ме</w:t>
      </w:r>
      <w:r>
        <w:t>ж</w:t>
      </w:r>
      <w:r>
        <w:t>дународные документы имеют преимущественную силу. Если он понимает правильно, вопрос о том, может ли непосредственно применяться то или иное договорное положение, решает суд. Как явствует из недавних судебных решений, судебные инстанции Люксембурга определили, что положения Конве</w:t>
      </w:r>
      <w:r>
        <w:t>н</w:t>
      </w:r>
      <w:r>
        <w:t>ции не являются самоисполнимыми. С другой ст</w:t>
      </w:r>
      <w:r>
        <w:t>о</w:t>
      </w:r>
      <w:r>
        <w:t>роны, если тот или иной закон противоречит пол</w:t>
      </w:r>
      <w:r>
        <w:t>о</w:t>
      </w:r>
      <w:r>
        <w:t>жениям международной конвенции, в принципе следует объявлять его недействительным. Было бы полезно узнать мнение правительства по вопросу о применимости Конвенции, особенно с учетом того, что Люксембург подписал Факультативный прот</w:t>
      </w:r>
      <w:r>
        <w:t>о</w:t>
      </w:r>
      <w:r>
        <w:t>кол, в основе которого лежит та посылка, что пол</w:t>
      </w:r>
      <w:r>
        <w:t>о</w:t>
      </w:r>
      <w:r>
        <w:t>жения Конвенции могут использоваться в суде.</w:t>
      </w: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Морваи </w:t>
      </w:r>
      <w:r>
        <w:t>говорит, что практика предо</w:t>
      </w:r>
      <w:r>
        <w:t>с</w:t>
      </w:r>
      <w:r>
        <w:t>тавления специальных визовых разрешений та</w:t>
      </w:r>
      <w:r>
        <w:t>н</w:t>
      </w:r>
      <w:r>
        <w:t>цовщицам кабаре должна быть прекращена, п</w:t>
      </w:r>
      <w:r>
        <w:t>о</w:t>
      </w:r>
      <w:r>
        <w:t>скольку танцы в кабаре связаны с торговлей же</w:t>
      </w:r>
      <w:r>
        <w:t>н</w:t>
      </w:r>
      <w:r>
        <w:t>щинами и простит</w:t>
      </w:r>
      <w:r>
        <w:t>у</w:t>
      </w:r>
      <w:r>
        <w:t>цией.</w:t>
      </w:r>
    </w:p>
    <w:p w:rsidR="00000000" w:rsidRDefault="00000000">
      <w:pPr>
        <w:pStyle w:val="DualTxt"/>
      </w:pPr>
      <w:r>
        <w:t>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Гаспар </w:t>
      </w:r>
      <w:r>
        <w:t>просит представить дополн</w:t>
      </w:r>
      <w:r>
        <w:t>и</w:t>
      </w:r>
      <w:r>
        <w:t>тельную информацию о правовом статусе женщин-иммигрантов. Как представляется, статус нераб</w:t>
      </w:r>
      <w:r>
        <w:t>о</w:t>
      </w:r>
      <w:r>
        <w:t>тающих супругов зависит от статуса супругов раб</w:t>
      </w:r>
      <w:r>
        <w:t>о</w:t>
      </w:r>
      <w:r>
        <w:t>тающих, из чего следует, что женщины-иммигранты не располагают автономным статусом. Госуда</w:t>
      </w:r>
      <w:r>
        <w:t>р</w:t>
      </w:r>
      <w:r>
        <w:t>ству-участнику следует указать, может ли в случае ра</w:t>
      </w:r>
      <w:r>
        <w:t>з</w:t>
      </w:r>
      <w:r>
        <w:t>вода женщина получить вид на жительство или она обязана покинуть страну и имеет ли женщина право остаться в стране в случае, если супруг покидает ее пр</w:t>
      </w:r>
      <w:r>
        <w:t>е</w:t>
      </w:r>
      <w:r>
        <w:t>делы.</w:t>
      </w:r>
    </w:p>
    <w:p w:rsidR="00000000" w:rsidRDefault="00000000">
      <w:pPr>
        <w:pStyle w:val="DualTxt"/>
      </w:pPr>
      <w:r>
        <w:t>8.</w:t>
      </w:r>
      <w:r>
        <w:tab/>
        <w:t>Страны — члены ЕС обязаны привести свое законодательство в соответствие с директивами С</w:t>
      </w:r>
      <w:r>
        <w:t>о</w:t>
      </w:r>
      <w:r>
        <w:t>вета ЕС, однако пока это касается только области трудоустройства. Люксембургу следует тщательным образом рассмотреть положения Конвенции, кот</w:t>
      </w:r>
      <w:r>
        <w:t>о</w:t>
      </w:r>
      <w:r>
        <w:t>рые носят гораздо более широкий характер, и пр</w:t>
      </w:r>
      <w:r>
        <w:t>и</w:t>
      </w:r>
      <w:r>
        <w:t>вести свое законодательство в соответствие с н</w:t>
      </w:r>
      <w:r>
        <w:t>и</w:t>
      </w:r>
      <w:r>
        <w:t>ми.</w:t>
      </w:r>
    </w:p>
    <w:p w:rsidR="00000000" w:rsidRDefault="00000000">
      <w:pPr>
        <w:pStyle w:val="DualTxt"/>
      </w:pPr>
      <w:r>
        <w:t>9.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Джакобс </w:t>
      </w:r>
      <w:r>
        <w:t>(Люксембург) говорит, что правительство страны, естественно, обязано выпо</w:t>
      </w:r>
      <w:r>
        <w:t>л</w:t>
      </w:r>
      <w:r>
        <w:t>нять директивы Совета ЕС, но в то же время оно должно следить за тем, чтобы они не противореч</w:t>
      </w:r>
      <w:r>
        <w:t>и</w:t>
      </w:r>
      <w:r>
        <w:t>ли Конвенции. Недавно европейские страны начали включать положения директив в свое национальное законодательство не только в области трудоустро</w:t>
      </w:r>
      <w:r>
        <w:t>й</w:t>
      </w:r>
      <w:r>
        <w:t>ства. Тем не менее, несмотря на наличие большого числа общих элементов между директивами и Ко</w:t>
      </w:r>
      <w:r>
        <w:t>н</w:t>
      </w:r>
      <w:r>
        <w:t>венцией, имеется и много областей, не охваченных законодательс</w:t>
      </w:r>
      <w:r>
        <w:t>т</w:t>
      </w:r>
      <w:r>
        <w:t>вом ЕС.</w:t>
      </w:r>
    </w:p>
    <w:p w:rsidR="00000000" w:rsidRDefault="00000000">
      <w:pPr>
        <w:pStyle w:val="DualTxt"/>
      </w:pPr>
      <w:r>
        <w:t>10.</w:t>
      </w:r>
      <w:r>
        <w:tab/>
        <w:t>Люксембург предпринял усилия по организ</w:t>
      </w:r>
      <w:r>
        <w:t>а</w:t>
      </w:r>
      <w:r>
        <w:t>ции конференций по таким вопросам, как связь м</w:t>
      </w:r>
      <w:r>
        <w:t>е</w:t>
      </w:r>
      <w:r>
        <w:t>жду национальным и международным законод</w:t>
      </w:r>
      <w:r>
        <w:t>а</w:t>
      </w:r>
      <w:r>
        <w:t>тельством; однако порой бывает трудно заинтерес</w:t>
      </w:r>
      <w:r>
        <w:t>о</w:t>
      </w:r>
      <w:r>
        <w:t>вать юристов этими вопр</w:t>
      </w:r>
      <w:r>
        <w:t>о</w:t>
      </w:r>
      <w:r>
        <w:t>сами.</w:t>
      </w:r>
    </w:p>
    <w:p w:rsidR="00000000" w:rsidRDefault="00000000">
      <w:pPr>
        <w:pStyle w:val="DualTxt"/>
      </w:pPr>
      <w:r>
        <w:t>11.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Экер </w:t>
      </w:r>
      <w:r>
        <w:t>(Люксембург) говорит, что, п</w:t>
      </w:r>
      <w:r>
        <w:t>о</w:t>
      </w:r>
      <w:r>
        <w:t>скольку юристы и адвокаты, как правило, не осв</w:t>
      </w:r>
      <w:r>
        <w:t>е</w:t>
      </w:r>
      <w:r>
        <w:t>домлены о Конвенции, ссылки на нее даются редко. Было бы действительно важно обеспечить их и</w:t>
      </w:r>
      <w:r>
        <w:t>н</w:t>
      </w:r>
      <w:r>
        <w:t>формированность об этом инструменте. После р</w:t>
      </w:r>
      <w:r>
        <w:t>а</w:t>
      </w:r>
      <w:r>
        <w:t>тификации Факультативного протокола, по ее мн</w:t>
      </w:r>
      <w:r>
        <w:t>е</w:t>
      </w:r>
      <w:r>
        <w:t>нию, положения Конвенции будут чаще упоминат</w:t>
      </w:r>
      <w:r>
        <w:t>ь</w:t>
      </w:r>
      <w:r>
        <w:t>ся в судах Люксембурга.</w:t>
      </w: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Джакобс </w:t>
      </w:r>
      <w:r>
        <w:t>(Люксембург) говорит, что правительство страны рассматривает вопрос о пр</w:t>
      </w:r>
      <w:r>
        <w:t>е</w:t>
      </w:r>
      <w:r>
        <w:t>кращении практики предоставления специальных разрешений танцовщицам кабаре. Оно опасается, тем не менее, что такие лица будут работать нел</w:t>
      </w:r>
      <w:r>
        <w:t>е</w:t>
      </w:r>
      <w:r>
        <w:t>гально и что в результате станет невозможно ко</w:t>
      </w:r>
      <w:r>
        <w:t>н</w:t>
      </w:r>
      <w:r>
        <w:t>тролировать их деятельность. Чрезвычайно важно обеспечить, чтобы девушки были осведомлены об опасностях такой работы. В скором времени в стр</w:t>
      </w:r>
      <w:r>
        <w:t>а</w:t>
      </w:r>
      <w:r>
        <w:t>не оратора будет проведена конференция по пр</w:t>
      </w:r>
      <w:r>
        <w:t>о</w:t>
      </w:r>
      <w:r>
        <w:t>блеме проституции и торговли женщин</w:t>
      </w:r>
      <w:r>
        <w:t>а</w:t>
      </w:r>
      <w:r>
        <w:t>ми.</w:t>
      </w:r>
    </w:p>
    <w:p w:rsidR="00000000" w:rsidRDefault="00000000">
      <w:pPr>
        <w:pStyle w:val="DualTxt"/>
      </w:pPr>
      <w:r>
        <w:t>13.</w:t>
      </w:r>
      <w:r>
        <w:tab/>
        <w:t>Проституцию невозможно ликвидировать в одночасье. В Швеции проституция была запрещена, однако это не означает, что этой проблемы больше не существует. Также важно, по ее мнению, соср</w:t>
      </w:r>
      <w:r>
        <w:t>е</w:t>
      </w:r>
      <w:r>
        <w:t>доточить внимание на ответственности мужчин за проституцию в их качестве клиентов, сводников и лиц, причастных к торговле же</w:t>
      </w:r>
      <w:r>
        <w:t>н</w:t>
      </w:r>
      <w:r>
        <w:t>щинами.</w:t>
      </w:r>
    </w:p>
    <w:p w:rsidR="00000000" w:rsidRDefault="00000000">
      <w:pPr>
        <w:pStyle w:val="DualTxt"/>
      </w:pPr>
      <w:r>
        <w:t>14.</w:t>
      </w:r>
      <w:r>
        <w:tab/>
        <w:t>Все европейцы имеют право на получение разрешений на работу и видов на жительство. И</w:t>
      </w:r>
      <w:r>
        <w:t>м</w:t>
      </w:r>
      <w:r>
        <w:t>мигранты из других стран могут получить вид на жительство после получения разрешения на работу. Эти положения в равной мере распространяются на мужчин и женщин.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Бельмихуб-Зердани </w:t>
      </w:r>
      <w:r>
        <w:t>говорит, что Лю</w:t>
      </w:r>
      <w:r>
        <w:t>к</w:t>
      </w:r>
      <w:r>
        <w:t>сембургу следует стремиться обеспечить назнач</w:t>
      </w:r>
      <w:r>
        <w:t>е</w:t>
      </w:r>
      <w:r>
        <w:t>ние как можно большего числа женщин в состав Г</w:t>
      </w:r>
      <w:r>
        <w:t>о</w:t>
      </w:r>
      <w:r>
        <w:t>сударственного совета с учетом более высокой в</w:t>
      </w:r>
      <w:r>
        <w:t>е</w:t>
      </w:r>
      <w:r>
        <w:t>роятности того, что женщины обеспечат прогре</w:t>
      </w:r>
      <w:r>
        <w:t>с</w:t>
      </w:r>
      <w:r>
        <w:t>сивное толкование законодательства в интересах женщин.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 xml:space="preserve">Председатель </w:t>
      </w:r>
      <w:r>
        <w:t>благодарит Люксембург за его четвертый периодический доклад и делегацию за ее конструктивный и полезный диалог с членами К</w:t>
      </w:r>
      <w:r>
        <w:t>о</w:t>
      </w:r>
      <w:r>
        <w:t>митета. Она настоятельно призывает Люксембург снять оговорку к статье 7, касающуюся правил н</w:t>
      </w:r>
      <w:r>
        <w:t>а</w:t>
      </w:r>
      <w:r>
        <w:t>следования короны Великого герцога, которые о</w:t>
      </w:r>
      <w:r>
        <w:t>с</w:t>
      </w:r>
      <w:r>
        <w:t>новываются на принципе первородства по мужской линии, и оговорку к статье 16, касающуюся пр</w:t>
      </w:r>
      <w:r>
        <w:t>и</w:t>
      </w:r>
      <w:r>
        <w:t>своения ребенку фамилии отца. Снятие этих огов</w:t>
      </w:r>
      <w:r>
        <w:t>о</w:t>
      </w:r>
      <w:r>
        <w:t>рок послужит для общества Люксембурга и межд</w:t>
      </w:r>
      <w:r>
        <w:t>у</w:t>
      </w:r>
      <w:r>
        <w:t>народного сообщества в целом мощным сигналом, свидетельствующим об учете интересов женщин. Она надеется на то, что будут ратифицированы Ф</w:t>
      </w:r>
      <w:r>
        <w:t>а</w:t>
      </w:r>
      <w:r>
        <w:t>культативный протокол и поправка к пункту 1 ст</w:t>
      </w:r>
      <w:r>
        <w:t>а</w:t>
      </w:r>
      <w:r>
        <w:t>тьи 20 Конвенции.</w:t>
      </w:r>
    </w:p>
    <w:p w:rsidR="00000000" w:rsidRDefault="00000000">
      <w:pPr>
        <w:pStyle w:val="DualTxt"/>
      </w:pPr>
      <w:r>
        <w:t>17.</w:t>
      </w:r>
      <w:r>
        <w:tab/>
        <w:t>Комитет выражает признательность прав</w:t>
      </w:r>
      <w:r>
        <w:t>и</w:t>
      </w:r>
      <w:r>
        <w:t>тельству за его усилия в области законодательства и политики, но вместе с тем хотел бы получить д</w:t>
      </w:r>
      <w:r>
        <w:t>о</w:t>
      </w:r>
      <w:r>
        <w:t>полнительную информацию о результатах таких мер. В частности, его интересуют сведения о дал</w:t>
      </w:r>
      <w:r>
        <w:t>ь</w:t>
      </w:r>
      <w:r>
        <w:t>нейшем прогрессе в плане представленности же</w:t>
      </w:r>
      <w:r>
        <w:t>н</w:t>
      </w:r>
      <w:r>
        <w:t>щин на руководящих должностях и улучшения р</w:t>
      </w:r>
      <w:r>
        <w:t>а</w:t>
      </w:r>
      <w:r>
        <w:t>венства полов на рабочем месте. Чрезвычайно ва</w:t>
      </w:r>
      <w:r>
        <w:t>ж</w:t>
      </w:r>
      <w:r>
        <w:t>но добиться изменения взглядов как мужчин, так и женщин, и остается надеяться, что в следующем докладе найдет отражение прогресс в этой области. Наконец, она надеется, что правительство обесп</w:t>
      </w:r>
      <w:r>
        <w:t>е</w:t>
      </w:r>
      <w:r>
        <w:t>чит широкое распространение заключительных з</w:t>
      </w:r>
      <w:r>
        <w:t>а</w:t>
      </w:r>
      <w:r>
        <w:t>мечаний Комитета по его четвертому периодич</w:t>
      </w:r>
      <w:r>
        <w:t>е</w:t>
      </w:r>
      <w:r>
        <w:t>скому докладу.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Джакобс </w:t>
      </w:r>
      <w:r>
        <w:t>(Люксембург) говорит, что правительство страны продолжит свои усилия по обеспечению равенства возможностей для женщин и мужчин. Она благодарит Комитет за его работу по улучшению положения женщин во всем мире.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15  ч.  35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NO&gt;&gt;N0321994R&lt;&lt;ODS JOB NO&gt;&gt;</w:t>
      </w:r>
    </w:p>
    <w:p w:rsidR="00000000" w:rsidRDefault="00000000">
      <w:pPr>
        <w:pStyle w:val="CommentText"/>
      </w:pPr>
      <w:r>
        <w:t>&lt;&lt;ODS DOC SYMBOL1&gt;&gt;CEDAW/C/SR.602&lt;&lt;ODS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03-21994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*0321994*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next-textbox:#_x0000_s1026;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CEDAW/C/SR.602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next-textbox:#_x0000_s1025;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CEDAW/C/SR.602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/C/SR.602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 xml:space="preserve">18 February </w:t>
          </w:r>
          <w:r>
            <w:t>2004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7/01/2004 9:23: AM"/>
    <w:docVar w:name="DocCategory" w:val="SROthers"/>
    <w:docVar w:name="DocType" w:val="Final"/>
    <w:docVar w:name="JobNo" w:val="0321994R"/>
    <w:docVar w:name="OandT" w:val=" "/>
    <w:docVar w:name="Symbol1" w:val="CEDAW/C/SR.602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1114</Words>
  <Characters>6354</Characters>
  <Application>Microsoft Office Word</Application>
  <DocSecurity>4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7803</CharactersWithSpaces>
  <SharedDoc>false</SharedDoc>
  <HLinks>
    <vt:vector size="6" baseType="variant">
      <vt:variant>
        <vt:i4>4522087</vt:i4>
      </vt:variant>
      <vt:variant>
        <vt:i4>16670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2004-02-17T08:21:00Z</cp:lastPrinted>
  <dcterms:created xsi:type="dcterms:W3CDTF">2004-02-17T08:40:00Z</dcterms:created>
  <dcterms:modified xsi:type="dcterms:W3CDTF">2004-02-17T08:42:00Z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0321994</vt:lpwstr>
  </property>
  <property fmtid="{D5CDD505-2E9C-101B-9397-08002B2CF9AE}" pid="3" name="Symbol1">
    <vt:lpwstr>CEDAW/C/SR.602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3</vt:lpwstr>
  </property>
  <property fmtid="{D5CDD505-2E9C-101B-9397-08002B2CF9AE}" pid="8" name="Operator">
    <vt:lpwstr>Mitrofanova</vt:lpwstr>
  </property>
</Properties>
</file>