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>Девятнадцатая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396-м заседании,</w:t>
      </w:r>
    </w:p>
    <w:p w:rsidR="00000000" w:rsidRDefault="00000000">
      <w:r>
        <w:t>состоявшемся в Центральных учреждениях, Нью-Йорк, в четверг, 2 июля 1998 года, в 15 ч. 00 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г-жа Хан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</w:t>
      </w:r>
      <w:r>
        <w:t>н</w:t>
      </w:r>
      <w:r>
        <w:t>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</w:pPr>
      <w:r>
        <w:tab/>
      </w:r>
      <w:r>
        <w:rPr>
          <w:i/>
        </w:rPr>
        <w:t>Второй и третий периодические доклады Нигерии</w:t>
      </w:r>
      <w:r>
        <w:t xml:space="preserve"> (</w:t>
      </w:r>
      <w:r>
        <w:rPr>
          <w:i/>
        </w:rPr>
        <w:t>продолжение</w:t>
      </w:r>
      <w:r>
        <w:t>)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/>
        <w:rPr>
          <w:i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15 ч. 20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 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Второй и третий периодические доклады Нигерии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</w:t>
      </w:r>
      <w:r>
        <w:t xml:space="preserve"> </w:t>
      </w:r>
      <w:r>
        <w:rPr>
          <w:i w:val="0"/>
        </w:rPr>
        <w:t>(CEDAW/C/NGA/2–3)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г</w:t>
      </w:r>
      <w:r>
        <w:noBreakHyphen/>
        <w:t>жа Сани, г</w:t>
      </w:r>
      <w:r>
        <w:noBreakHyphen/>
        <w:t>н Айвах, г</w:t>
      </w:r>
      <w:r>
        <w:noBreakHyphen/>
        <w:t>жа Мухаммед и г</w:t>
      </w:r>
      <w:r>
        <w:noBreakHyphen/>
        <w:t>жа Осиджо (Нигерия) занимают м</w:t>
      </w:r>
      <w:r>
        <w:t>е</w:t>
      </w:r>
      <w:r>
        <w:t>сто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 Хартоно</w:t>
      </w:r>
      <w:r>
        <w:t xml:space="preserve"> говорит, что, согласно докл</w:t>
      </w:r>
      <w:r>
        <w:t>а</w:t>
      </w:r>
      <w:r>
        <w:t>дам государства-участника, в Нигерии не отмечае</w:t>
      </w:r>
      <w:r>
        <w:t>т</w:t>
      </w:r>
      <w:r>
        <w:t>ся случаев насилия в семье. Это может означать, что люди не хотят доводить информацию о своих пр</w:t>
      </w:r>
      <w:r>
        <w:t>о</w:t>
      </w:r>
      <w:r>
        <w:t>блемах до сведения властей. Из содержащейся в докладах информации складывается впечатление о том, что планирование семьи является частным в</w:t>
      </w:r>
      <w:r>
        <w:t>о</w:t>
      </w:r>
      <w:r>
        <w:t>просом, который решают исключительно женщины. Такое толкование противоречит духу Конвенции, в которой подчеркивается необходимость совместн</w:t>
      </w:r>
      <w:r>
        <w:t>о</w:t>
      </w:r>
      <w:r>
        <w:t>го участия мужчин и женщин в решении подобных проблем. Комитет хотел бы получить дополнител</w:t>
      </w:r>
      <w:r>
        <w:t>ь</w:t>
      </w:r>
      <w:r>
        <w:t>ную информацию о том, как Национальная коми</w:t>
      </w:r>
      <w:r>
        <w:t>с</w:t>
      </w:r>
      <w:r>
        <w:t>сия по правам человека разрешает конфликты, св</w:t>
      </w:r>
      <w:r>
        <w:t>я</w:t>
      </w:r>
      <w:r>
        <w:t>занные с семьями и женщинами. Представившее доклад государство должно направить информацию о полномочиях Комиссии, в частности информ</w:t>
      </w:r>
      <w:r>
        <w:t>а</w:t>
      </w:r>
      <w:r>
        <w:t>цию, сравнивающую эти полномочия с полном</w:t>
      </w:r>
      <w:r>
        <w:t>о</w:t>
      </w:r>
      <w:r>
        <w:t>чиями других органов, занимающихся урегулиров</w:t>
      </w:r>
      <w:r>
        <w:t>а</w:t>
      </w:r>
      <w:r>
        <w:t>нием конфликтов. Делегация должна указать также, можно ли опротестовать в суде решения ADR, и разъяснить последствия в тех случаях, когда муж или отец не выполняют постановления с</w:t>
      </w:r>
      <w:r>
        <w:t>у</w:t>
      </w:r>
      <w:r>
        <w:t>да.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>жа Шалев</w:t>
      </w:r>
      <w:r>
        <w:t xml:space="preserve"> говорит, что, согласно рассма</w:t>
      </w:r>
      <w:r>
        <w:t>т</w:t>
      </w:r>
      <w:r>
        <w:t>риваемым докладам, отсутствуют случаи изнасил</w:t>
      </w:r>
      <w:r>
        <w:t>о</w:t>
      </w:r>
      <w:r>
        <w:t>ваний в браке; не зарегистрировано случаев нас</w:t>
      </w:r>
      <w:r>
        <w:t>и</w:t>
      </w:r>
      <w:r>
        <w:t>лия в отношении женщин; отсутствуют приюты для женщин, являющихся жертвами насилия; мужчины и женщины не получают образования на равных у</w:t>
      </w:r>
      <w:r>
        <w:t>с</w:t>
      </w:r>
      <w:r>
        <w:t>ловиях; существует дискриминационная практика в отношении женщин в соответствии с исламским и обычным правом; в политической жизни женщины недопредставлены. Особую озабоченность у орат</w:t>
      </w:r>
      <w:r>
        <w:t>о</w:t>
      </w:r>
      <w:r>
        <w:t>ра вызывает тот факт, что, как представляется, пр</w:t>
      </w:r>
      <w:r>
        <w:t>а</w:t>
      </w:r>
      <w:r>
        <w:t>вительство не знает о стереотипах, оказывающих неблагоприятное воздействие на жизнь женщин в нигерийском обществе, а также не понимает, каким должно быть положение женщин, с тем чтобы в полной мере выполнить Ко</w:t>
      </w:r>
      <w:r>
        <w:t>н</w:t>
      </w:r>
      <w:r>
        <w:t>венцию.</w:t>
      </w:r>
    </w:p>
    <w:p w:rsidR="00000000" w:rsidRDefault="00000000">
      <w:pPr>
        <w:pStyle w:val="DualTxt"/>
      </w:pPr>
      <w:r>
        <w:t>4.</w:t>
      </w:r>
      <w:r>
        <w:tab/>
        <w:t>Для ликвидации негативных культурных тр</w:t>
      </w:r>
      <w:r>
        <w:t>а</w:t>
      </w:r>
      <w:r>
        <w:t>диций в обществе правительство должно проявить политическую волю, с тем чтобы улучшить пол</w:t>
      </w:r>
      <w:r>
        <w:t>о</w:t>
      </w:r>
      <w:r>
        <w:t>жение женщин и содействовать проведению пол</w:t>
      </w:r>
      <w:r>
        <w:t>и</w:t>
      </w:r>
      <w:r>
        <w:t>тики позитивных действий и улучшению поним</w:t>
      </w:r>
      <w:r>
        <w:t>а</w:t>
      </w:r>
      <w:r>
        <w:t>ния общественностью вопросов, касающихся р</w:t>
      </w:r>
      <w:r>
        <w:t>а</w:t>
      </w:r>
      <w:r>
        <w:t>венства мужчин и женщин. Поскольку в докладе не представлено достаточно статистической информ</w:t>
      </w:r>
      <w:r>
        <w:t>а</w:t>
      </w:r>
      <w:r>
        <w:t>ции, трудно оценить прогресс, достигнутый в ос</w:t>
      </w:r>
      <w:r>
        <w:t>у</w:t>
      </w:r>
      <w:r>
        <w:t>ществлении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5.</w:t>
      </w:r>
      <w:r>
        <w:tab/>
        <w:t>Комитет рассчитывает получать от предоста</w:t>
      </w:r>
      <w:r>
        <w:t>в</w:t>
      </w:r>
      <w:r>
        <w:t>ляющих доклады государств транспарентную и подробную информацию. Если правительства не представляют достаточного объема информации, то необходимо использовать данные, поступающие из независимых источников. По сообщениям неправ</w:t>
      </w:r>
      <w:r>
        <w:t>и</w:t>
      </w:r>
      <w:r>
        <w:t>тельственных организаций, в нигерийской полиции существует практика дискриминации женщин при приеме на работу, и лишь 0,8 процента национал</w:t>
      </w:r>
      <w:r>
        <w:t>ь</w:t>
      </w:r>
      <w:r>
        <w:t>ного бюджета выделяется на охрану здоровья, в то время как в странах Африки, расположенных к югу от Сахары, на эти цели в среднем выделяется 2,5 процента. Хотя Нигерия является одной из с</w:t>
      </w:r>
      <w:r>
        <w:t>а</w:t>
      </w:r>
      <w:r>
        <w:t>мых богатых стран в регионе, показатели матери</w:t>
      </w:r>
      <w:r>
        <w:t>н</w:t>
      </w:r>
      <w:r>
        <w:t>ской смертности в стране самые высокие в Африке, что объясняется ограниченным доступом к мед</w:t>
      </w:r>
      <w:r>
        <w:t>и</w:t>
      </w:r>
      <w:r>
        <w:t>цинским учреждениям и тем фактом, что за услуги по охране материнства взимается плата. В соотве</w:t>
      </w:r>
      <w:r>
        <w:t>т</w:t>
      </w:r>
      <w:r>
        <w:t>ствии со статьей 12 Конвенции государства-участники должны предоставлять, когда это нео</w:t>
      </w:r>
      <w:r>
        <w:t>б</w:t>
      </w:r>
      <w:r>
        <w:t>ходимо, бесплатные услуги в этой области. С уч</w:t>
      </w:r>
      <w:r>
        <w:t>е</w:t>
      </w:r>
      <w:r>
        <w:t>том экономических ресурсов Нигерии оратор н</w:t>
      </w:r>
      <w:r>
        <w:t>а</w:t>
      </w:r>
      <w:r>
        <w:t>стоятельно призывает правительство безотлагател</w:t>
      </w:r>
      <w:r>
        <w:t>ь</w:t>
      </w:r>
      <w:r>
        <w:t>но приступить к оказанию нигерийским женщинам услуг, связанных с дет</w:t>
      </w:r>
      <w:r>
        <w:t>о</w:t>
      </w:r>
      <w:r>
        <w:t>рождением.</w:t>
      </w:r>
    </w:p>
    <w:p w:rsidR="00000000" w:rsidRDefault="00000000">
      <w:pPr>
        <w:pStyle w:val="DualTxt"/>
      </w:pPr>
      <w:r>
        <w:t>6.</w:t>
      </w:r>
      <w:r>
        <w:tab/>
        <w:t>Согласно дополнительной информации, пол</w:t>
      </w:r>
      <w:r>
        <w:t>у</w:t>
      </w:r>
      <w:r>
        <w:t>ченной из независимых источников, отмечается в</w:t>
      </w:r>
      <w:r>
        <w:t>ы</w:t>
      </w:r>
      <w:r>
        <w:t>сокий уровень материнской смертности, причиной чего являются небезопасные аборты. В Нигерии аборты считаются законными лишь тогда, когда речь идет о спасении жизни женщины. Однако пр</w:t>
      </w:r>
      <w:r>
        <w:t>а</w:t>
      </w:r>
      <w:r>
        <w:t>вительство не выделяет субсидии на оказание м</w:t>
      </w:r>
      <w:r>
        <w:t>е</w:t>
      </w:r>
      <w:r>
        <w:t>дицинских услуг женщинам в этой области. Отсу</w:t>
      </w:r>
      <w:r>
        <w:t>т</w:t>
      </w:r>
      <w:r>
        <w:t>ствие в докладах статистических данных о боле</w:t>
      </w:r>
      <w:r>
        <w:t>з</w:t>
      </w:r>
      <w:r>
        <w:t>нями ВИЧ/СПИДом и другими заболеваниями, п</w:t>
      </w:r>
      <w:r>
        <w:t>е</w:t>
      </w:r>
      <w:r>
        <w:t>редаваемыми половым путем, неприемлемо, ос</w:t>
      </w:r>
      <w:r>
        <w:t>о</w:t>
      </w:r>
      <w:r>
        <w:t>бенно для страны с высокой степенью риска из</w:t>
      </w:r>
      <w:r>
        <w:noBreakHyphen/>
        <w:t>за полигамии и проституции, а также отсутствия у женщин права отказать супругам в удовлетворении их сексуальных потребн</w:t>
      </w:r>
      <w:r>
        <w:t>о</w:t>
      </w:r>
      <w:r>
        <w:t>стей.</w:t>
      </w:r>
    </w:p>
    <w:p w:rsidR="00000000" w:rsidRDefault="00000000">
      <w:pPr>
        <w:pStyle w:val="DualTxt"/>
      </w:pPr>
      <w:r>
        <w:t>7.</w:t>
      </w:r>
      <w:r>
        <w:tab/>
        <w:t>Кроме того, как представляется, нет закона, запрещающего калечащие операции на женских п</w:t>
      </w:r>
      <w:r>
        <w:t>о</w:t>
      </w:r>
      <w:r>
        <w:t>ловых органах в стране, где примерно половина всего женского населения является жертвой этой практики. Оратор высоко оценивает мужество ниг</w:t>
      </w:r>
      <w:r>
        <w:t>е</w:t>
      </w:r>
      <w:r>
        <w:t>рийских неправительственных организаций и же</w:t>
      </w:r>
      <w:r>
        <w:t>н</w:t>
      </w:r>
      <w:r>
        <w:t>ских групп, предоставивших Комитету информ</w:t>
      </w:r>
      <w:r>
        <w:t>а</w:t>
      </w:r>
      <w:r>
        <w:t>цию, несмотря на то, что в стране, представившей доклад, сложилась неблагоприятная обстановка в плане свободы слова, выражения мнений и асс</w:t>
      </w:r>
      <w:r>
        <w:t>о</w:t>
      </w:r>
      <w:r>
        <w:t>циаций.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Г-жа Абака</w:t>
      </w:r>
      <w:r>
        <w:t xml:space="preserve"> подчеркивает необходимость об</w:t>
      </w:r>
      <w:r>
        <w:t>у</w:t>
      </w:r>
      <w:r>
        <w:t>чения женщин в сельских районах в качестве одн</w:t>
      </w:r>
      <w:r>
        <w:t>о</w:t>
      </w:r>
      <w:r>
        <w:t>го из средств расширения их прав и возможностей во всех сферах жизни. Ее интересует, имеют ли они доступ к специальным программам в рамках фо</w:t>
      </w:r>
      <w:r>
        <w:t>р</w:t>
      </w:r>
      <w:r>
        <w:t>мального и неформального образования, а также то, какие меры принимаются для обеспечения того, чтобы они не подвергались бесчеловечной традиц</w:t>
      </w:r>
      <w:r>
        <w:t>и</w:t>
      </w:r>
      <w:r>
        <w:t>онной практике. Представляющее доклад госуда</w:t>
      </w:r>
      <w:r>
        <w:t>р</w:t>
      </w:r>
      <w:r>
        <w:t>ство должно разъяснить, как положения раздела 51 конституции 1979 года затрагивают такую практику, и представить информацию о рекомендациях, сд</w:t>
      </w:r>
      <w:r>
        <w:t>е</w:t>
      </w:r>
      <w:r>
        <w:t>ланных в этом направлении Национальным комит</w:t>
      </w:r>
      <w:r>
        <w:t>е</w:t>
      </w:r>
      <w:r>
        <w:t>том по вопросам сексуального домогательства. К</w:t>
      </w:r>
      <w:r>
        <w:t>о</w:t>
      </w:r>
      <w:r>
        <w:t>митет хотел бы также знать, какие имеются методы контрацепции помимо к васектомии и какова пр</w:t>
      </w:r>
      <w:r>
        <w:t>о</w:t>
      </w:r>
      <w:r>
        <w:t>центная доля мужчин, использующих эти методы. Охвачены ли мужчины программами планирования с</w:t>
      </w:r>
      <w:r>
        <w:t>е</w:t>
      </w:r>
      <w:r>
        <w:t>мьи?</w:t>
      </w:r>
    </w:p>
    <w:p w:rsidR="00000000" w:rsidRDefault="00000000">
      <w:pPr>
        <w:pStyle w:val="DualTxt"/>
      </w:pPr>
      <w:r>
        <w:t>9.</w:t>
      </w:r>
      <w:r>
        <w:tab/>
        <w:t>Поскольку меры в области структурной пер</w:t>
      </w:r>
      <w:r>
        <w:t>е</w:t>
      </w:r>
      <w:r>
        <w:t>стройки нередко имели неблагоприятные последс</w:t>
      </w:r>
      <w:r>
        <w:t>т</w:t>
      </w:r>
      <w:r>
        <w:t>вия для социального сектора, представляющее до</w:t>
      </w:r>
      <w:r>
        <w:t>к</w:t>
      </w:r>
      <w:r>
        <w:t>лад государство должно указать, существуют ли к</w:t>
      </w:r>
      <w:r>
        <w:t>а</w:t>
      </w:r>
      <w:r>
        <w:t>кие-либо программы для уменьшения этих после</w:t>
      </w:r>
      <w:r>
        <w:t>д</w:t>
      </w:r>
      <w:r>
        <w:t>ствий. Нигерийская делегация должна также ук</w:t>
      </w:r>
      <w:r>
        <w:t>а</w:t>
      </w:r>
      <w:r>
        <w:t>зать, могут ли женщины свободно использовать противозачаточные средства, или же для того, чт</w:t>
      </w:r>
      <w:r>
        <w:t>о</w:t>
      </w:r>
      <w:r>
        <w:t>бы воспользоваться услугами в области планиров</w:t>
      </w:r>
      <w:r>
        <w:t>а</w:t>
      </w:r>
      <w:r>
        <w:t>ния семьи, им необходимо получить согласие своих мужей.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Г-жа Гувава</w:t>
      </w:r>
      <w:r>
        <w:t xml:space="preserve"> говорит, что она разделяет оз</w:t>
      </w:r>
      <w:r>
        <w:t>а</w:t>
      </w:r>
      <w:r>
        <w:t>боченность, выраженную предыдущими ораторами, прежде всего в отношении весьма высокого показ</w:t>
      </w:r>
      <w:r>
        <w:t>а</w:t>
      </w:r>
      <w:r>
        <w:t>теля материнской смертности в Нигерии. Ее инт</w:t>
      </w:r>
      <w:r>
        <w:t>е</w:t>
      </w:r>
      <w:r>
        <w:t>ресует, известно ли правительству о масштабах этой проблемы и имеются ли какие-либо програ</w:t>
      </w:r>
      <w:r>
        <w:t>м</w:t>
      </w:r>
      <w:r>
        <w:t>мы для ее решения. Учитывая, что среднюю школу в Нигерии посещает лишь 17 процентов девочек, Комитет хотел бы получить информацию о том, к</w:t>
      </w:r>
      <w:r>
        <w:t>а</w:t>
      </w:r>
      <w:r>
        <w:t>кие меры принимает правительство для улучшения положения девочек, которые не могут получить среднего образования, а также о том, принимаются ли какие-либо специальные меры в этом отношении в соо</w:t>
      </w:r>
      <w:r>
        <w:t>т</w:t>
      </w:r>
      <w:r>
        <w:t>ветствии со статьей 4 Конвенции.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Г-жа Бустело</w:t>
      </w:r>
      <w:r>
        <w:t xml:space="preserve"> говорит, что положение женщин в Нигерии имеет особо важное значение для Ком</w:t>
      </w:r>
      <w:r>
        <w:t>и</w:t>
      </w:r>
      <w:r>
        <w:t>тета, учитывая размер, большую численность нас</w:t>
      </w:r>
      <w:r>
        <w:t>е</w:t>
      </w:r>
      <w:r>
        <w:t>ления и географическое расположение этой страны. Комитет хотел бы получить дополнительную и</w:t>
      </w:r>
      <w:r>
        <w:t>н</w:t>
      </w:r>
      <w:r>
        <w:t>формацию о фактическом положении женщин в Н</w:t>
      </w:r>
      <w:r>
        <w:t>и</w:t>
      </w:r>
      <w:r>
        <w:t>герии и новом законодательстве, введенном в теч</w:t>
      </w:r>
      <w:r>
        <w:t>е</w:t>
      </w:r>
      <w:r>
        <w:t>ние рассматриваемого периода, на основе которого ему следует проводить оценку того, как осущест</w:t>
      </w:r>
      <w:r>
        <w:t>в</w:t>
      </w:r>
      <w:r>
        <w:t>ляется Конвенция. С учетом больших экономич</w:t>
      </w:r>
      <w:r>
        <w:t>е</w:t>
      </w:r>
      <w:r>
        <w:t>ских ресурсов страны трудно понять, как нехватка ресурсов могла помешать Нигерии более эффекти</w:t>
      </w:r>
      <w:r>
        <w:t>в</w:t>
      </w:r>
      <w:r>
        <w:t>но выполнить свои обязательства. Существует н</w:t>
      </w:r>
      <w:r>
        <w:t>а</w:t>
      </w:r>
      <w:r>
        <w:t>дежда, что с наступлением демократии Нигерия станет одним из лидеров в регионе с точки зрения содействия обеспечению равных возможностей мужчин и женщин и защиты прав женщин.</w:t>
      </w:r>
    </w:p>
    <w:p w:rsidR="00000000" w:rsidRDefault="00000000">
      <w:pPr>
        <w:pStyle w:val="DualTxt"/>
      </w:pPr>
      <w:r>
        <w:t>12.</w:t>
      </w:r>
      <w:r>
        <w:tab/>
        <w:t>В свой следующий доклад представляющее доклад государство должно включить дополнител</w:t>
      </w:r>
      <w:r>
        <w:t>ь</w:t>
      </w:r>
      <w:r>
        <w:t>ную информацию о содержании и применении з</w:t>
      </w:r>
      <w:r>
        <w:t>а</w:t>
      </w:r>
      <w:r>
        <w:t>конов, предусматривающих наказание за торговлю женщинами и эксплуатацию проституции женщин, как это предусмотрено в статье 6 Конвенции. Нео</w:t>
      </w:r>
      <w:r>
        <w:t>б</w:t>
      </w:r>
      <w:r>
        <w:t>ходима дополнительная информация о законод</w:t>
      </w:r>
      <w:r>
        <w:t>а</w:t>
      </w:r>
      <w:r>
        <w:t>тельстве, обеспечивающем защиту женщин, я</w:t>
      </w:r>
      <w:r>
        <w:t>в</w:t>
      </w:r>
      <w:r>
        <w:t>ляющихся жертвами таких преступлений, а также о доступе проституток к медицинским услугам и об осуществлении законов, касающихся изнасилов</w:t>
      </w:r>
      <w:r>
        <w:t>а</w:t>
      </w:r>
      <w:r>
        <w:t>ния, когда жертвами являются проститутки, а кроме того, необходимы социологические данные о же</w:t>
      </w:r>
      <w:r>
        <w:t>н</w:t>
      </w:r>
      <w:r>
        <w:t>щинах, занимающихся проституцией. Предста</w:t>
      </w:r>
      <w:r>
        <w:t>в</w:t>
      </w:r>
      <w:r>
        <w:t>ляющее доклад государство должно также указать, как оно обеспечивает защиту женщин, иммигрир</w:t>
      </w:r>
      <w:r>
        <w:t>о</w:t>
      </w:r>
      <w:r>
        <w:t>вавших в другие страны, прежде всего молодых женщин, с тем чтобы они не стали жертвами кр</w:t>
      </w:r>
      <w:r>
        <w:t>и</w:t>
      </w:r>
      <w:r>
        <w:t>минальных группировок, занимающихся торговлей женщинами и эксплуатацией прост</w:t>
      </w:r>
      <w:r>
        <w:t>и</w:t>
      </w:r>
      <w:r>
        <w:t>туции.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Г-жа Юнь-Чуан Ким</w:t>
      </w:r>
      <w:r>
        <w:t xml:space="preserve"> дает высокую оценку принятым правительством Нигерии мерам, напра</w:t>
      </w:r>
      <w:r>
        <w:t>в</w:t>
      </w:r>
      <w:r>
        <w:t>ленным на привлечение дополнительного числа женщин к участию в политической и общественной жизни на руководящем уровне. Однако лоббиров</w:t>
      </w:r>
      <w:r>
        <w:t>а</w:t>
      </w:r>
      <w:r>
        <w:t>ние через неправительственные организации явл</w:t>
      </w:r>
      <w:r>
        <w:t>я</w:t>
      </w:r>
      <w:r>
        <w:t>ется недостаточным. Оратор настоятельно призыв</w:t>
      </w:r>
      <w:r>
        <w:t>а</w:t>
      </w:r>
      <w:r>
        <w:t>ет правительство осуществлять систематические программы, направленные на расширение участия женщин в процессе перехода к демократии, особе</w:t>
      </w:r>
      <w:r>
        <w:t>н</w:t>
      </w:r>
      <w:r>
        <w:t>но на местном уровне, а также к участию в деятел</w:t>
      </w:r>
      <w:r>
        <w:t>ь</w:t>
      </w:r>
      <w:r>
        <w:t>ности государственных исполнительных и закон</w:t>
      </w:r>
      <w:r>
        <w:t>о</w:t>
      </w:r>
      <w:r>
        <w:t>дательных органов и профсоюзов. Показатель гр</w:t>
      </w:r>
      <w:r>
        <w:t>а</w:t>
      </w:r>
      <w:r>
        <w:t>мотности женщин, составляющий 39,5 процента, по</w:t>
      </w:r>
      <w:r>
        <w:noBreakHyphen/>
        <w:t>прежнему весьма низок по сравнению с анал</w:t>
      </w:r>
      <w:r>
        <w:t>о</w:t>
      </w:r>
      <w:r>
        <w:t>гичным показателем для мужчин. Ее интересует, предусматривает ли проводимая государством п</w:t>
      </w:r>
      <w:r>
        <w:t>о</w:t>
      </w:r>
      <w:r>
        <w:t>литика в области образования меры по пересмотру содержания учебников и учебного расписания. Ор</w:t>
      </w:r>
      <w:r>
        <w:t>а</w:t>
      </w:r>
      <w:r>
        <w:t>тор отмечает, что, несмотря на общее повышение показателя посещаемости школы девочками, же</w:t>
      </w:r>
      <w:r>
        <w:t>н</w:t>
      </w:r>
      <w:r>
        <w:t>щины составляют лишь 27 процентов студентов университетов и их учеба ограничивается традиц</w:t>
      </w:r>
      <w:r>
        <w:t>и</w:t>
      </w:r>
      <w:r>
        <w:t>онно женскими областями образования, что означ</w:t>
      </w:r>
      <w:r>
        <w:t>а</w:t>
      </w:r>
      <w:r>
        <w:t>ет, что они не получают достаточно знаний в таких сферах, как наука и техника. Она надеется, что в следующем периодическом докладе будет отражена более позитивная ситу</w:t>
      </w:r>
      <w:r>
        <w:t>а</w:t>
      </w:r>
      <w:r>
        <w:t>ция.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Г-жа Гонсалес</w:t>
      </w:r>
      <w:r>
        <w:rPr>
          <w:b/>
          <w:i/>
        </w:rPr>
        <w:t xml:space="preserve"> </w:t>
      </w:r>
      <w:r>
        <w:t>говорит, что смешение гра</w:t>
      </w:r>
      <w:r>
        <w:t>ж</w:t>
      </w:r>
      <w:r>
        <w:t>данского, обычного и религиозного права автомат</w:t>
      </w:r>
      <w:r>
        <w:t>и</w:t>
      </w:r>
      <w:r>
        <w:t>чески влечет за собой определенное нарушение прав женщин. Например, практика калечащих оп</w:t>
      </w:r>
      <w:r>
        <w:t>е</w:t>
      </w:r>
      <w:r>
        <w:t>раций на женских половых органах продолжает препятствовать профилактике и лечению болезней, передаваемых половым путем (CEDAW/C/NGA/2–3, пункты 55.6 и 55.7), и ее необходимо запретить. Аналогичным образом следует ликвидировать бе</w:t>
      </w:r>
      <w:r>
        <w:t>с</w:t>
      </w:r>
      <w:r>
        <w:t>человечную традиционную практику отношения к вдовам. В этой связи законодательная реформа, н</w:t>
      </w:r>
      <w:r>
        <w:t>а</w:t>
      </w:r>
      <w:r>
        <w:t>правленная на обеспечение того, чтобы такая пра</w:t>
      </w:r>
      <w:r>
        <w:t>к</w:t>
      </w:r>
      <w:r>
        <w:t>тика в одинаковой мере применялась в отношении мужчин и женщин, неприемлема.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Г-жа Феррер</w:t>
      </w:r>
      <w:r>
        <w:t xml:space="preserve"> говорит, что Комитет не имеет достаточных статистических данных, прежде всего в отношении статей 11 и 14 Конвенции, с тем чтобы проанализировать положение женщин в Нигерии. В этой связи она хотела бы получить информацию об основных законодательных реформах, предл</w:t>
      </w:r>
      <w:r>
        <w:t>о</w:t>
      </w:r>
      <w:r>
        <w:t>женных национальным Комитетом по положению женщин и детей, после их рассмотрения. Когда они будут представлены парламенту для рассмотрения? Оратор отмечает трудности с применением закона в федеральной системе, в рамках которой констит</w:t>
      </w:r>
      <w:r>
        <w:t>у</w:t>
      </w:r>
      <w:r>
        <w:t>ционное право инко</w:t>
      </w:r>
      <w:r>
        <w:t>р</w:t>
      </w:r>
      <w:r>
        <w:t>порируется в исламское.</w:t>
      </w:r>
    </w:p>
    <w:p w:rsidR="00000000" w:rsidRDefault="00000000">
      <w:pPr>
        <w:pStyle w:val="DualTxt"/>
      </w:pPr>
      <w:r>
        <w:t>16.</w:t>
      </w:r>
      <w:r>
        <w:tab/>
        <w:t>Оратора интересует, подготовило ли прав</w:t>
      </w:r>
      <w:r>
        <w:t>и</w:t>
      </w:r>
      <w:r>
        <w:t>тельство комплексный план просвещения населения и обучения женщин, прежде всего в сельских ра</w:t>
      </w:r>
      <w:r>
        <w:t>й</w:t>
      </w:r>
      <w:r>
        <w:t>онах, в целях ликвидации гендерных стереотипов и предрассудков. Рассматривая положение живущих в условиях нищеты женщин, делегация г</w:t>
      </w:r>
      <w:r>
        <w:t>о</w:t>
      </w:r>
      <w:r>
        <w:t>сударства-участника затронула лишь государственный план, а никакой информации о содержании, задачах и числе бенефициаров не представлено. Отмечая пагубные побочные результаты структурной перестройки и бремени обслуживания задолженности для женщин и неимущих слоев населения, оратор просит пре</w:t>
      </w:r>
      <w:r>
        <w:t>д</w:t>
      </w:r>
      <w:r>
        <w:t>ставить дополнительную информацию о конкре</w:t>
      </w:r>
      <w:r>
        <w:t>т</w:t>
      </w:r>
      <w:r>
        <w:t>ных программах, направленных на расширение до</w:t>
      </w:r>
      <w:r>
        <w:t>с</w:t>
      </w:r>
      <w:r>
        <w:t>тупа наиболее неимущих женщин к рабочим ме</w:t>
      </w:r>
      <w:r>
        <w:t>с</w:t>
      </w:r>
      <w:r>
        <w:t>там, услугам по охране здоровья и питьевой воде. Было бы также интересно получить информацию о программах развития сельского хозяйства, в том числе о кооперативах и центрах сбыта сельскох</w:t>
      </w:r>
      <w:r>
        <w:t>о</w:t>
      </w:r>
      <w:r>
        <w:t>зяйственной продукции. Оратор согласна с замеч</w:t>
      </w:r>
      <w:r>
        <w:t>а</w:t>
      </w:r>
      <w:r>
        <w:t>ниями г</w:t>
      </w:r>
      <w:r>
        <w:noBreakHyphen/>
        <w:t>жи Картрайт и г</w:t>
      </w:r>
      <w:r>
        <w:noBreakHyphen/>
        <w:t>жи Шалев о нарушениях статей 15 и 16 и статьи 12 Пакта, соответственно. Она задает вопрос о подготовке по гендерным пр</w:t>
      </w:r>
      <w:r>
        <w:t>о</w:t>
      </w:r>
      <w:r>
        <w:t>граммам сотрудников государственных директи</w:t>
      </w:r>
      <w:r>
        <w:t>в</w:t>
      </w:r>
      <w:r>
        <w:t>ных органов, суда и полиции. И наконец, оратор выражает сожаление в связи с традиционными об</w:t>
      </w:r>
      <w:r>
        <w:t>ы</w:t>
      </w:r>
      <w:r>
        <w:t>чаями и практикой, неблагоприятно сказывающ</w:t>
      </w:r>
      <w:r>
        <w:t>и</w:t>
      </w:r>
      <w:r>
        <w:t>мися на здоровье и благополучии женщин, включая калечащие операции на женских половых органах, обращение с вдовами, насилие в отношении же</w:t>
      </w:r>
      <w:r>
        <w:t>н</w:t>
      </w:r>
      <w:r>
        <w:t>щин и полиг</w:t>
      </w:r>
      <w:r>
        <w:t>а</w:t>
      </w:r>
      <w:r>
        <w:t>мию.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Г-жа Лин Шангзен</w:t>
      </w:r>
      <w:r>
        <w:t xml:space="preserve"> отмечает, что в эконом</w:t>
      </w:r>
      <w:r>
        <w:t>и</w:t>
      </w:r>
      <w:r>
        <w:t>ческом отношении Нигерия мощнее многих разв</w:t>
      </w:r>
      <w:r>
        <w:t>и</w:t>
      </w:r>
      <w:r>
        <w:t>вающихся стран, сталкивающихся с аналогичными проблемами в таких областях, как здравоохранение, образование и положение женщин в семье. Она н</w:t>
      </w:r>
      <w:r>
        <w:t>а</w:t>
      </w:r>
      <w:r>
        <w:t>деется, что национальным учреждениям и мин</w:t>
      </w:r>
      <w:r>
        <w:t>и</w:t>
      </w:r>
      <w:r>
        <w:t>стерству по делам женщин и социальному развитию будут выделены необходимые ресурсы для урегул</w:t>
      </w:r>
      <w:r>
        <w:t>и</w:t>
      </w:r>
      <w:r>
        <w:t>рования указанных проблем. В целях преодоления неблагоприятного воздействия традиционной пра</w:t>
      </w:r>
      <w:r>
        <w:t>к</w:t>
      </w:r>
      <w:r>
        <w:t>тики и стереотипов необходимо развернуть крупн</w:t>
      </w:r>
      <w:r>
        <w:t>о</w:t>
      </w:r>
      <w:r>
        <w:t>масштабную информационную кампанию. Необх</w:t>
      </w:r>
      <w:r>
        <w:t>о</w:t>
      </w:r>
      <w:r>
        <w:t>димо также разработать всеобъемлющие программы для расширения экономических прав и возможн</w:t>
      </w:r>
      <w:r>
        <w:t>о</w:t>
      </w:r>
      <w:r>
        <w:t>стей женщин и для проведения дополнительных о</w:t>
      </w:r>
      <w:r>
        <w:t>б</w:t>
      </w:r>
      <w:r>
        <w:t>зоров и исслед</w:t>
      </w:r>
      <w:r>
        <w:t>о</w:t>
      </w:r>
      <w:r>
        <w:t>ваний.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Г-жа Шопп-Шиллинг</w:t>
      </w:r>
      <w:r>
        <w:t xml:space="preserve"> выражает признател</w:t>
      </w:r>
      <w:r>
        <w:t>ь</w:t>
      </w:r>
      <w:r>
        <w:t>ность делегации за представление доклада, однако она разделяет озабоченность, выраженную другими членами Комитета. Хотя Нигерия ратифицировала Конвенцию без оговорок, непринятие мер равн</w:t>
      </w:r>
      <w:r>
        <w:t>о</w:t>
      </w:r>
      <w:r>
        <w:t>сильно выдвижению оговорок. Она выражает сол</w:t>
      </w:r>
      <w:r>
        <w:t>и</w:t>
      </w:r>
      <w:r>
        <w:t>дарность с правительством и женщинами Нигерии в их усилиях, направленных на улучшение сущес</w:t>
      </w:r>
      <w:r>
        <w:t>т</w:t>
      </w:r>
      <w:r>
        <w:t>вующей ситуации.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Г-жа Сани</w:t>
      </w:r>
      <w:r>
        <w:t xml:space="preserve"> (Нигерия), отвечая на дополн</w:t>
      </w:r>
      <w:r>
        <w:t>и</w:t>
      </w:r>
      <w:r>
        <w:t>тельные вопросы, подчеркивает, что ратификация ее правительством Конвенции сама по себе является недвусмысленным доказательством его приверже</w:t>
      </w:r>
      <w:r>
        <w:t>н</w:t>
      </w:r>
      <w:r>
        <w:t>ности выполнению Конвенции. Ссылаясь на ст</w:t>
      </w:r>
      <w:r>
        <w:t>а</w:t>
      </w:r>
      <w:r>
        <w:t>тью 15, она говорит, что традиция испрашивать у мужа разрешение уехать из страны основывается на взаимном уважении института брака и совместном выполнении обязанностей по ведению домашнего хозяйства; фактически мужчина не имеет законного права ограничивать свободу передвижения своей жены. Она объясняет, что причиной недостаточного объема статистических данных является географ</w:t>
      </w:r>
      <w:r>
        <w:t>и</w:t>
      </w:r>
      <w:r>
        <w:t>ческое положение страны и ее большое население. Данные, представленные неправительственными организациями, были собраны в спешке; сбор то</w:t>
      </w:r>
      <w:r>
        <w:t>ч</w:t>
      </w:r>
      <w:r>
        <w:t>ных данных правительственной структурой займет больше времени и его результаты будут представл</w:t>
      </w:r>
      <w:r>
        <w:t>е</w:t>
      </w:r>
      <w:r>
        <w:t>ны Комитету в самое ближайшее вр</w:t>
      </w:r>
      <w:r>
        <w:t>е</w:t>
      </w:r>
      <w:r>
        <w:t>мя.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Г-жа Айевах</w:t>
      </w:r>
      <w:r>
        <w:t xml:space="preserve"> (Нигерия) говорит, что предп</w:t>
      </w:r>
      <w:r>
        <w:t>о</w:t>
      </w:r>
      <w:r>
        <w:t>ложения Комитета о том, что Нигерия выполнит все положения Конвенции, нереальны, так как ликвид</w:t>
      </w:r>
      <w:r>
        <w:t>а</w:t>
      </w:r>
      <w:r>
        <w:t>ция традиционной и культурной практики, которая дискриминирует против женщин, и усложняет в</w:t>
      </w:r>
      <w:r>
        <w:t>ы</w:t>
      </w:r>
      <w:r>
        <w:t>полнение Нигерией определенных положений, за</w:t>
      </w:r>
      <w:r>
        <w:t>й</w:t>
      </w:r>
      <w:r>
        <w:t>мет продолжительное время. Тот факт, что Нигерия подписала Конвенцию без каких-либо оговорок, свидетельствует о ее желании реализовать все ее аспе</w:t>
      </w:r>
      <w:r>
        <w:t>к</w:t>
      </w:r>
      <w:r>
        <w:t>ты.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 Сани</w:t>
      </w:r>
      <w:r>
        <w:t xml:space="preserve"> (Нигерия) говорит, что в разных регионах Нигерии подход к вопросу о вдовах н</w:t>
      </w:r>
      <w:r>
        <w:t>е</w:t>
      </w:r>
      <w:r>
        <w:t>одинаков. Практика, о которой говорили члены К</w:t>
      </w:r>
      <w:r>
        <w:t>о</w:t>
      </w:r>
      <w:r>
        <w:t>митета, применяется в ограниченном районе Ниг</w:t>
      </w:r>
      <w:r>
        <w:t>е</w:t>
      </w:r>
      <w:r>
        <w:t>рии и ее не следует рассма</w:t>
      </w:r>
      <w:r>
        <w:t>т</w:t>
      </w:r>
      <w:r>
        <w:t>ривать как норму.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жа Мухаммед</w:t>
      </w:r>
      <w:r>
        <w:t xml:space="preserve"> (Нигерия) говорит, что пок</w:t>
      </w:r>
      <w:r>
        <w:t>а</w:t>
      </w:r>
      <w:r>
        <w:t>затели материнской и младенческой смертности, на которые ссылаются г</w:t>
      </w:r>
      <w:r>
        <w:noBreakHyphen/>
        <w:t>жа Гувава и г</w:t>
      </w:r>
      <w:r>
        <w:noBreakHyphen/>
        <w:t>жа Абака, явл</w:t>
      </w:r>
      <w:r>
        <w:t>я</w:t>
      </w:r>
      <w:r>
        <w:t>ются результатом обследования, проведенного н</w:t>
      </w:r>
      <w:r>
        <w:t>е</w:t>
      </w:r>
      <w:r>
        <w:t>сколько лет назад. После этого обследования в ра</w:t>
      </w:r>
      <w:r>
        <w:t>м</w:t>
      </w:r>
      <w:r>
        <w:t>ках своей системы первичного медико-санитарного обслуживания министерство здравоохранения пр</w:t>
      </w:r>
      <w:r>
        <w:t>и</w:t>
      </w:r>
      <w:r>
        <w:t>лагало согласованные усилия, направленные на с</w:t>
      </w:r>
      <w:r>
        <w:t>о</w:t>
      </w:r>
      <w:r>
        <w:t>кращение этих показателей. Хотя у оратора нет то</w:t>
      </w:r>
      <w:r>
        <w:t>ч</w:t>
      </w:r>
      <w:r>
        <w:t>ных данных, она хотела бы подтвердить, что сл</w:t>
      </w:r>
      <w:r>
        <w:t>о</w:t>
      </w:r>
      <w:r>
        <w:t>жившееся положение постепенно улучшается. П</w:t>
      </w:r>
      <w:r>
        <w:t>о</w:t>
      </w:r>
      <w:r>
        <w:t>мимо деревенских центров охраны здоровья имею</w:t>
      </w:r>
      <w:r>
        <w:t>т</w:t>
      </w:r>
      <w:r>
        <w:t>ся передвижные клиники, которые охватывают на</w:t>
      </w:r>
      <w:r>
        <w:t>и</w:t>
      </w:r>
      <w:r>
        <w:t>более отдаленные районы Н</w:t>
      </w:r>
      <w:r>
        <w:t>и</w:t>
      </w:r>
      <w:r>
        <w:t>герии.</w:t>
      </w:r>
    </w:p>
    <w:p w:rsidR="00000000" w:rsidRDefault="00000000">
      <w:pPr>
        <w:pStyle w:val="DualTxt"/>
      </w:pPr>
      <w:r>
        <w:t>23.</w:t>
      </w:r>
      <w:r>
        <w:tab/>
        <w:t>Федеральное министерство по делам женщин и социального развития сотрудничает с министе</w:t>
      </w:r>
      <w:r>
        <w:t>р</w:t>
      </w:r>
      <w:r>
        <w:t>ством образования в деле расширения приема же</w:t>
      </w:r>
      <w:r>
        <w:t>н</w:t>
      </w:r>
      <w:r>
        <w:t>щин в учебные заведения, особенно в северных районах страны. В целях повышения посещаемости школы девочками правительство Нигерии в каждом федеральном штате создало средние школы: одну исключительно для девочек и еще одну — для с</w:t>
      </w:r>
      <w:r>
        <w:t>о</w:t>
      </w:r>
      <w:r>
        <w:t>вместного обучения, благодаря чему этот показ</w:t>
      </w:r>
      <w:r>
        <w:t>а</w:t>
      </w:r>
      <w:r>
        <w:t>тель существенно увеличился. В следующем пери</w:t>
      </w:r>
      <w:r>
        <w:t>о</w:t>
      </w:r>
      <w:r>
        <w:t>дическом докладе Нигерия представит точные да</w:t>
      </w:r>
      <w:r>
        <w:t>н</w:t>
      </w:r>
      <w:r>
        <w:t>ные о посещаемости учебных заведений мальчик</w:t>
      </w:r>
      <w:r>
        <w:t>а</w:t>
      </w:r>
      <w:r>
        <w:t>ми и д</w:t>
      </w:r>
      <w:r>
        <w:t>е</w:t>
      </w:r>
      <w:r>
        <w:t>вочками.</w:t>
      </w:r>
    </w:p>
    <w:p w:rsidR="00000000" w:rsidRDefault="00000000">
      <w:pPr>
        <w:pStyle w:val="DualTxt"/>
      </w:pPr>
      <w:r>
        <w:t>24.</w:t>
      </w:r>
      <w:r>
        <w:tab/>
        <w:t>Насилие в браке является в Нигерии весьма частным вопросом, и сообщения об этом поступают редко. В Нигерии нет приютов для жертв насилия в семье, поскольку система расширенной семьи игр</w:t>
      </w:r>
      <w:r>
        <w:t>а</w:t>
      </w:r>
      <w:r>
        <w:t>ет ключевую роль в решении этой проблемы, и ни одна из жертв такого насилия не захочет воспольз</w:t>
      </w:r>
      <w:r>
        <w:t>о</w:t>
      </w:r>
      <w:r>
        <w:t>ваться приютом.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>жа Шалев</w:t>
      </w:r>
      <w:r>
        <w:t xml:space="preserve"> заявила, что 1987 год был п</w:t>
      </w:r>
      <w:r>
        <w:t>о</w:t>
      </w:r>
      <w:r>
        <w:t>следним годом, когда правительство Нигерии выд</w:t>
      </w:r>
      <w:r>
        <w:t>е</w:t>
      </w:r>
      <w:r>
        <w:t>лило бюджетные ассигнования на цели здравоохр</w:t>
      </w:r>
      <w:r>
        <w:t>а</w:t>
      </w:r>
      <w:r>
        <w:t>нения. Это не так. Каждое министерство, включая министерство здравоохранения, имеет ежегодный бюджет. Министерство здравоохранения разработ</w:t>
      </w:r>
      <w:r>
        <w:t>а</w:t>
      </w:r>
      <w:r>
        <w:t>ло программу оказания медицинских услуг всем гражданам Нигерии к 2000 году. Кроме того, прав</w:t>
      </w:r>
      <w:r>
        <w:t>и</w:t>
      </w:r>
      <w:r>
        <w:t>тельство Нигерии осознает особые потребности женщин и детей и прилагает максимум мер для т</w:t>
      </w:r>
      <w:r>
        <w:t>о</w:t>
      </w:r>
      <w:r>
        <w:t>го, чтобы на практике реализовать соответству</w:t>
      </w:r>
      <w:r>
        <w:t>ю</w:t>
      </w:r>
      <w:r>
        <w:t>щие положения Конвенции, с тем чтобы улучшить положение этой группы насел</w:t>
      </w:r>
      <w:r>
        <w:t>е</w:t>
      </w:r>
      <w:r>
        <w:t>ния.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Осиджо</w:t>
      </w:r>
      <w:r>
        <w:t xml:space="preserve"> (Нигерия) говорит, что, хотя в Нигерии нет законов, конкретно касающихся нас</w:t>
      </w:r>
      <w:r>
        <w:t>и</w:t>
      </w:r>
      <w:r>
        <w:t>лия в отношении женщин, женщины, которые зая</w:t>
      </w:r>
      <w:r>
        <w:t>в</w:t>
      </w:r>
      <w:r>
        <w:t>ляют, что их мужья плохо к ним относятся, могут предъявить иск в соответствии с существующими законами, касающимися нападений с нанесением побоев. Однако правительство могло бы рассмо</w:t>
      </w:r>
      <w:r>
        <w:t>т</w:t>
      </w:r>
      <w:r>
        <w:t>реть вопрос о введении закона, конкретно касающ</w:t>
      </w:r>
      <w:r>
        <w:t>е</w:t>
      </w:r>
      <w:r>
        <w:t>гося насилия в отношении женщин. Помимо отсл</w:t>
      </w:r>
      <w:r>
        <w:t>е</w:t>
      </w:r>
      <w:r>
        <w:t>живания нарушений в области прав человека и их расследования в Нигерии недавно сформированная Национальная комиссия по правам человека оказ</w:t>
      </w:r>
      <w:r>
        <w:t>ы</w:t>
      </w:r>
      <w:r>
        <w:t>вала помощь жертвам насилия в обращении с иск</w:t>
      </w:r>
      <w:r>
        <w:t>а</w:t>
      </w:r>
      <w:r>
        <w:t>ми. К сожалению, оратор не имеет никакой ко</w:t>
      </w:r>
      <w:r>
        <w:t>н</w:t>
      </w:r>
      <w:r>
        <w:t>кретной информации о мерах, принятых Комиссией в этом отношении. Недавно члены правления К</w:t>
      </w:r>
      <w:r>
        <w:t>о</w:t>
      </w:r>
      <w:r>
        <w:t>миссии встретились с главой государства для обс</w:t>
      </w:r>
      <w:r>
        <w:t>у</w:t>
      </w:r>
      <w:r>
        <w:t>ждения вопросов, касающихся прав человека.</w:t>
      </w:r>
    </w:p>
    <w:p w:rsidR="00000000" w:rsidRDefault="00000000">
      <w:pPr>
        <w:pStyle w:val="DualTxt"/>
      </w:pPr>
      <w:r>
        <w:t>27.</w:t>
      </w:r>
      <w:r>
        <w:tab/>
        <w:t>В пункте 31 конституции Нигерии, касающе</w:t>
      </w:r>
      <w:r>
        <w:t>м</w:t>
      </w:r>
      <w:r>
        <w:t>ся основополагающих прав всех нигерийцев, гов</w:t>
      </w:r>
      <w:r>
        <w:t>о</w:t>
      </w:r>
      <w:r>
        <w:t>рится: «Каждый имеет право на уважение достои</w:t>
      </w:r>
      <w:r>
        <w:t>н</w:t>
      </w:r>
      <w:r>
        <w:t>ства его личности, и поэтому никто не может быть подвергнут бесчеловечному или унижающему до</w:t>
      </w:r>
      <w:r>
        <w:t>с</w:t>
      </w:r>
      <w:r>
        <w:t>тоинство обращению. Никто не должен находиться в рабстве или в зависимости и никто не обязан з</w:t>
      </w:r>
      <w:r>
        <w:t>а</w:t>
      </w:r>
      <w:r>
        <w:t>ниматься принудительным или обязательным тр</w:t>
      </w:r>
      <w:r>
        <w:t>у</w:t>
      </w:r>
      <w:r>
        <w:t>дом». «Обязательный труд» подразумевает любой труд, который необходимо выполнять по приговору или приказу суда, любой труд, обязательный для выполнения в вооруженных силах Федерации или в полицейских силах Нигерии в рамках выполнения их обязанностей как таковых или же в тех случаях, когда кто-либо отказывается служить в вооруже</w:t>
      </w:r>
      <w:r>
        <w:t>н</w:t>
      </w:r>
      <w:r>
        <w:t>ных силах Федерации по религиозным соображен</w:t>
      </w:r>
      <w:r>
        <w:t>и</w:t>
      </w:r>
      <w:r>
        <w:t>ям; и любой труд, обоснованно считающийся нео</w:t>
      </w:r>
      <w:r>
        <w:t>б</w:t>
      </w:r>
      <w:r>
        <w:t>ходимым в случае чрезвычайной ситуации или ст</w:t>
      </w:r>
      <w:r>
        <w:t>и</w:t>
      </w:r>
      <w:r>
        <w:t>хийного бедствия, когда создается угроза для жизни и благополучия общины.</w:t>
      </w:r>
    </w:p>
    <w:p w:rsidR="00000000" w:rsidRDefault="00000000">
      <w:pPr>
        <w:pStyle w:val="DualTxt"/>
      </w:pPr>
      <w:r>
        <w:t>28.</w:t>
      </w:r>
      <w:r>
        <w:tab/>
        <w:t>Право владеть собственностью связано с тр</w:t>
      </w:r>
      <w:r>
        <w:t>е</w:t>
      </w:r>
      <w:r>
        <w:t>мя формами брака, существующими в Нигерии. Е</w:t>
      </w:r>
      <w:r>
        <w:t>с</w:t>
      </w:r>
      <w:r>
        <w:t>ли женщина вступает в брак в соответствии с зак</w:t>
      </w:r>
      <w:r>
        <w:t>о</w:t>
      </w:r>
      <w:r>
        <w:t>ном о браке, на нее могут распространяться пол</w:t>
      </w:r>
      <w:r>
        <w:t>о</w:t>
      </w:r>
      <w:r>
        <w:t>жения закона о собственности. Однако, если она с</w:t>
      </w:r>
      <w:r>
        <w:t>о</w:t>
      </w:r>
      <w:r>
        <w:t>стоит в какой-либо другой форме брака, имеются другие процедуры, на основании которых она м</w:t>
      </w:r>
      <w:r>
        <w:t>о</w:t>
      </w:r>
      <w:r>
        <w:t>жет обращаться в суд. Недавно было издано суде</w:t>
      </w:r>
      <w:r>
        <w:t>б</w:t>
      </w:r>
      <w:r>
        <w:t>ное постановление, в котором говорилось, что л</w:t>
      </w:r>
      <w:r>
        <w:t>ю</w:t>
      </w:r>
      <w:r>
        <w:t>бая форма брака или любая традиционная норма, препятствующая тому, чтобы женщина владела со</w:t>
      </w:r>
      <w:r>
        <w:t>б</w:t>
      </w:r>
      <w:r>
        <w:t>ственностью, принадлежащей ее отцу, несовмест</w:t>
      </w:r>
      <w:r>
        <w:t>и</w:t>
      </w:r>
      <w:r>
        <w:t>мы с принципами естественной справедливости, равенства и добросовестности. Постепенно Нигерия отказывается от норм, не соответствующих межд</w:t>
      </w:r>
      <w:r>
        <w:t>у</w:t>
      </w:r>
      <w:r>
        <w:t>народной практике.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Сани</w:t>
      </w:r>
      <w:r>
        <w:t xml:space="preserve"> (Нигерия) благодарит членов К</w:t>
      </w:r>
      <w:r>
        <w:t>о</w:t>
      </w:r>
      <w:r>
        <w:t>митета за их конструктивные замечания. Нигерия сделает все возможное для того, чтобы включить в свой следующий доклад удовлетворительную и бл</w:t>
      </w:r>
      <w:r>
        <w:t>а</w:t>
      </w:r>
      <w:r>
        <w:t>гоприятную информацию об осуществлении пол</w:t>
      </w:r>
      <w:r>
        <w:t>о</w:t>
      </w:r>
      <w:r>
        <w:t>жений Конвенции.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Председатель</w:t>
      </w:r>
      <w:r>
        <w:t xml:space="preserve"> благодарит делегацию Нигерии за представление объединенного второго и третьего периодических докладов Нигерии, которые были подготовлены в соответствии с руководящими принципами Комитета. Однако вызывает сожаление тот факт, что в доклад не включены статистические данные, которые позволили бы Комитету проанал</w:t>
      </w:r>
      <w:r>
        <w:t>и</w:t>
      </w:r>
      <w:r>
        <w:t>зировать прогресс, достигнутый с момента пре</w:t>
      </w:r>
      <w:r>
        <w:t>д</w:t>
      </w:r>
      <w:r>
        <w:t>ставления Нигерией ее первого доклада в 1986 году. Хотя во вступительных замечаниях делегации Н</w:t>
      </w:r>
      <w:r>
        <w:t>и</w:t>
      </w:r>
      <w:r>
        <w:t>герии содержится значительный объем справочной информации, вызывает разочарование тот факт, что делегация не дала конкретного ответа на 75 вопр</w:t>
      </w:r>
      <w:r>
        <w:t>о</w:t>
      </w:r>
      <w:r>
        <w:t>сов, подготовленных предсессионной рабочей гру</w:t>
      </w:r>
      <w:r>
        <w:t>п</w:t>
      </w:r>
      <w:r>
        <w:t>пой Комитета.</w:t>
      </w:r>
    </w:p>
    <w:p w:rsidR="00000000" w:rsidRDefault="00000000">
      <w:pPr>
        <w:pStyle w:val="DualTxt"/>
      </w:pPr>
      <w:r>
        <w:t>31.</w:t>
      </w:r>
      <w:r>
        <w:tab/>
        <w:t>Положительным является тот факт, что Ниг</w:t>
      </w:r>
      <w:r>
        <w:t>е</w:t>
      </w:r>
      <w:r>
        <w:t>рия, основную часть населения которой составляют мусульмане, ратифицировала Конвенцию без к</w:t>
      </w:r>
      <w:r>
        <w:t>а</w:t>
      </w:r>
      <w:r>
        <w:t>ких-либо оговорок. Оратор приветствует предпринятые недавно усилия по введению конституционного п</w:t>
      </w:r>
      <w:r>
        <w:t>о</w:t>
      </w:r>
      <w:r>
        <w:t>ложения, которое позволит отдельным лицам обр</w:t>
      </w:r>
      <w:r>
        <w:t>а</w:t>
      </w:r>
      <w:r>
        <w:t>щаться в суд в случае нарушения их прав, и она з</w:t>
      </w:r>
      <w:r>
        <w:t>а</w:t>
      </w:r>
      <w:r>
        <w:t>дает вопрос о том, какие приемлемые для них сре</w:t>
      </w:r>
      <w:r>
        <w:t>д</w:t>
      </w:r>
      <w:r>
        <w:t>ства будут иметь в своем распоряжении нигери</w:t>
      </w:r>
      <w:r>
        <w:t>й</w:t>
      </w:r>
      <w:r>
        <w:t>ские женщины в случае нарушения их прав в их семьях. Несмотря на положения конституции 1979 года, некоторые законы в Нигерии по-прежнему являются дискриминационными. Хотя оратор понимает причины существования дискр</w:t>
      </w:r>
      <w:r>
        <w:t>и</w:t>
      </w:r>
      <w:r>
        <w:t>минационной практики в отношении женщин как в частной, так и в государственной сферах, она хот</w:t>
      </w:r>
      <w:r>
        <w:t>е</w:t>
      </w:r>
      <w:r>
        <w:t>ла бы отметить, что Нигерия не является единс</w:t>
      </w:r>
      <w:r>
        <w:t>т</w:t>
      </w:r>
      <w:r>
        <w:t>венной страной, вынужденной вести борьбу с тр</w:t>
      </w:r>
      <w:r>
        <w:t>а</w:t>
      </w:r>
      <w:r>
        <w:t>диционными мировоззрениями, традициями и рел</w:t>
      </w:r>
      <w:r>
        <w:t>и</w:t>
      </w:r>
      <w:r>
        <w:t>гией. Многие развивающиеся страны нашли дост</w:t>
      </w:r>
      <w:r>
        <w:t>а</w:t>
      </w:r>
      <w:r>
        <w:t>точно эффективные средства для решения этих пр</w:t>
      </w:r>
      <w:r>
        <w:t>о</w:t>
      </w:r>
      <w:r>
        <w:t>блем и улучш</w:t>
      </w:r>
      <w:r>
        <w:t>е</w:t>
      </w:r>
      <w:r>
        <w:t>ния положения женщин.</w:t>
      </w:r>
    </w:p>
    <w:p w:rsidR="00000000" w:rsidRDefault="00000000">
      <w:pPr>
        <w:pStyle w:val="DualTxt"/>
      </w:pPr>
      <w:r>
        <w:t>32.</w:t>
      </w:r>
      <w:r>
        <w:tab/>
        <w:t>Члены Комитета обратили внимание на такие вредные формы традиционной практики, как жест</w:t>
      </w:r>
      <w:r>
        <w:t>о</w:t>
      </w:r>
      <w:r>
        <w:t>кое обращение с вдовами, полигамия, насилие в с</w:t>
      </w:r>
      <w:r>
        <w:t>е</w:t>
      </w:r>
      <w:r>
        <w:t>мье и калечащие операции на женских половых о</w:t>
      </w:r>
      <w:r>
        <w:t>р</w:t>
      </w:r>
      <w:r>
        <w:t>ганах, которые нельзя оправдать соображениями, связанными с традициями или религией. Замечания делегации Нигерии о том, что полигамия является предпочтительной, так как благодаря ей уменьш</w:t>
      </w:r>
      <w:r>
        <w:t>а</w:t>
      </w:r>
      <w:r>
        <w:t>ются масштабы проституции, вызывают особую озабоченность. Оратор надеется, что правительство Нигерии изучит существующее законодательство, с тем чтобы отменить дискриминационные законы, обычаи и традиции, противоречащие положениям Конвенции.</w:t>
      </w:r>
    </w:p>
    <w:p w:rsidR="00000000" w:rsidRDefault="00000000">
      <w:pPr>
        <w:pStyle w:val="DualTxt"/>
      </w:pPr>
      <w:r>
        <w:t>33.</w:t>
      </w:r>
      <w:r>
        <w:tab/>
        <w:t>Хотя в докладе отмечается, что произошли о</w:t>
      </w:r>
      <w:r>
        <w:t>г</w:t>
      </w:r>
      <w:r>
        <w:t>ромные изменения и достигнут колоссальный пр</w:t>
      </w:r>
      <w:r>
        <w:t>о</w:t>
      </w:r>
      <w:r>
        <w:t>гресс в области образования, в нем указывается также, что показатель грамотности женщин соста</w:t>
      </w:r>
      <w:r>
        <w:t>в</w:t>
      </w:r>
      <w:r>
        <w:t>ляет менее 40 процентов по сравнению с 62 проце</w:t>
      </w:r>
      <w:r>
        <w:t>н</w:t>
      </w:r>
      <w:r>
        <w:t>тами для мужчин. Такая богатая нефтью страна, как Нигерия, должна сделать образование обязательным и бесплатным и может быть даже оказывать фина</w:t>
      </w:r>
      <w:r>
        <w:t>н</w:t>
      </w:r>
      <w:r>
        <w:t>совую поддержку нуждающимся учащимся, ос</w:t>
      </w:r>
      <w:r>
        <w:t>о</w:t>
      </w:r>
      <w:r>
        <w:t>бенно девочкам. В свой следующий доклад Нигерия должна включить информацию о бюджете мин</w:t>
      </w:r>
      <w:r>
        <w:t>и</w:t>
      </w:r>
      <w:r>
        <w:t>стерства образования и доле поступлений от нефти, израсходованных на цели социал</w:t>
      </w:r>
      <w:r>
        <w:t>ь</w:t>
      </w:r>
      <w:r>
        <w:t>ного развития.</w:t>
      </w:r>
    </w:p>
    <w:p w:rsidR="00000000" w:rsidRDefault="00000000">
      <w:pPr>
        <w:pStyle w:val="DualTxt"/>
      </w:pPr>
      <w:r>
        <w:t>34.</w:t>
      </w:r>
      <w:r>
        <w:tab/>
        <w:t>Правительство Нигерии не уделяет достато</w:t>
      </w:r>
      <w:r>
        <w:t>ч</w:t>
      </w:r>
      <w:r>
        <w:t>ного внимания социальному развитию. Согласно независимым источникам, 70 процентов всех ниг</w:t>
      </w:r>
      <w:r>
        <w:t>е</w:t>
      </w:r>
      <w:r>
        <w:t>рийцев живут в сельских районах, а 52 процента нигерийских женщин живут на уровне ниже черты бедности. Серьезную озабоченность вызывают п</w:t>
      </w:r>
      <w:r>
        <w:t>о</w:t>
      </w:r>
      <w:r>
        <w:t>казатели материнской и младенческой смертности и вступление в брак в раннем возрасте. Согласно и</w:t>
      </w:r>
      <w:r>
        <w:t>с</w:t>
      </w:r>
      <w:r>
        <w:t>точникам Организации Объединенных Наций, лишь 40 процентов населения имеют доступ к медици</w:t>
      </w:r>
      <w:r>
        <w:t>н</w:t>
      </w:r>
      <w:r>
        <w:t>ским услугам, а нехватка медицинских учреждений заставляет сельских женщин прибегать к услугам традиционной медицины. Эти вопросы необходимо учитывать в национальной политике Нигерии в о</w:t>
      </w:r>
      <w:r>
        <w:t>б</w:t>
      </w:r>
      <w:r>
        <w:t>ласти здравоохранения.</w:t>
      </w:r>
    </w:p>
    <w:p w:rsidR="00000000" w:rsidRDefault="00000000">
      <w:pPr>
        <w:pStyle w:val="DualTxt"/>
      </w:pPr>
      <w:r>
        <w:t>35.</w:t>
      </w:r>
      <w:r>
        <w:tab/>
        <w:t>Однако на практике положение женщин Ниг</w:t>
      </w:r>
      <w:r>
        <w:t>е</w:t>
      </w:r>
      <w:r>
        <w:t>рии улучшилось. В частности, существенно увел</w:t>
      </w:r>
      <w:r>
        <w:t>и</w:t>
      </w:r>
      <w:r>
        <w:t>чилось число женщин, занимающих руководящие должности. Правительство Нигерии осуществляет проект «Улучшение жизни женщин сельских ра</w:t>
      </w:r>
      <w:r>
        <w:t>й</w:t>
      </w:r>
      <w:r>
        <w:t>онов», который в значительной мере способствовал развитию сельских районов. Нигерия должна уд</w:t>
      </w:r>
      <w:r>
        <w:t>е</w:t>
      </w:r>
      <w:r>
        <w:t>лять особое внимание статье 4 Конвенции и докл</w:t>
      </w:r>
      <w:r>
        <w:t>а</w:t>
      </w:r>
      <w:r>
        <w:t>ду Программы развития Организации Объедине</w:t>
      </w:r>
      <w:r>
        <w:t>н</w:t>
      </w:r>
      <w:r>
        <w:t>ных Наций “Human Development Report” («Доклад о развитии человека»), в котором странам рекоменд</w:t>
      </w:r>
      <w:r>
        <w:t>у</w:t>
      </w:r>
      <w:r>
        <w:t>ется выделять от 4 до 6 процентов средств годовых бюджетов на цели здравоохранения и образования.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17 ч. 10 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NO&gt;&gt;N0130152R&lt;&lt;ODS JOB NO&gt;&gt;</w:t>
      </w:r>
    </w:p>
    <w:p w:rsidR="00000000" w:rsidRDefault="00000000">
      <w:pPr>
        <w:pStyle w:val="CommentText"/>
      </w:pPr>
      <w:r>
        <w:t>&lt;&lt;ODS DOC SYMBOL1&gt;&gt;CEDAW/C/SR.396&lt;&lt;ODS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01-30152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*0130152*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CEDAW/C/SR.396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CEDAW/C/SR.396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/C/SR.396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9 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7/11/2001 3:50: PM"/>
    <w:docVar w:name="DocCategory" w:val="SROthers"/>
    <w:docVar w:name="DocType" w:val="Final"/>
    <w:docVar w:name="JobNo" w:val="0130152R"/>
    <w:docVar w:name="OandT" w:val=" "/>
    <w:docVar w:name="Symbol1" w:val="CEDAW/C/SR.39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3026</Words>
  <Characters>20884</Characters>
  <Application>Microsoft Office Word</Application>
  <DocSecurity>4</DocSecurity>
  <Lines>549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24817</CharactersWithSpaces>
  <SharedDoc>false</SharedDoc>
  <HLinks>
    <vt:vector size="6" baseType="variant">
      <vt:variant>
        <vt:i4>4522087</vt:i4>
      </vt:variant>
      <vt:variant>
        <vt:i4>50106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2001-11-08T09:52:00Z</cp:lastPrinted>
  <dcterms:created xsi:type="dcterms:W3CDTF">2001-11-08T09:52:00Z</dcterms:created>
  <dcterms:modified xsi:type="dcterms:W3CDTF">2001-11-08T09:55:00Z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0130152</vt:lpwstr>
  </property>
  <property fmtid="{D5CDD505-2E9C-101B-9397-08002B2CF9AE}" pid="3" name="Symbol1">
    <vt:lpwstr>CEDAW/C/SR.396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Alexeenko</vt:lpwstr>
  </property>
</Properties>
</file>