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AA" w:rsidRDefault="00E017AA">
      <w:pPr>
        <w:tabs>
          <w:tab w:val="left" w:pos="680"/>
        </w:tabs>
        <w:spacing w:line="60" w:lineRule="exact"/>
        <w:rPr>
          <w:sz w:val="6"/>
        </w:rPr>
        <w:sectPr w:rsidR="00E017AA">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E017AA" w:rsidRDefault="00E017AA">
      <w:pPr>
        <w:pStyle w:val="H1"/>
        <w:tabs>
          <w:tab w:val="left" w:pos="680"/>
        </w:tabs>
        <w:spacing w:after="1080"/>
        <w:ind w:left="284" w:hanging="284"/>
        <w:jc w:val="left"/>
        <w:rPr>
          <w:spacing w:val="0"/>
          <w:w w:val="100"/>
        </w:rPr>
      </w:pPr>
      <w:bookmarkStart w:id="1" w:name="insstart"/>
      <w:bookmarkEnd w:id="1"/>
      <w:r>
        <w:rPr>
          <w:spacing w:val="0"/>
          <w:w w:val="100"/>
        </w:rPr>
        <w:t>Комитет по ликвидации дискриминации</w:t>
      </w:r>
      <w:r>
        <w:rPr>
          <w:spacing w:val="0"/>
          <w:w w:val="100"/>
          <w:lang/>
        </w:rPr>
        <w:br/>
      </w:r>
      <w:r>
        <w:rPr>
          <w:spacing w:val="0"/>
          <w:w w:val="100"/>
        </w:rPr>
        <w:t>в отношении женщин</w:t>
      </w:r>
    </w:p>
    <w:p w:rsidR="00E017AA" w:rsidRDefault="00E017AA">
      <w:pPr>
        <w:pStyle w:val="HCh"/>
        <w:tabs>
          <w:tab w:val="left" w:pos="680"/>
        </w:tabs>
        <w:spacing w:after="600"/>
        <w:ind w:left="0" w:firstLine="0"/>
        <w:jc w:val="center"/>
        <w:rPr>
          <w:spacing w:val="0"/>
          <w:w w:val="100"/>
        </w:rPr>
      </w:pPr>
      <w:r>
        <w:rPr>
          <w:spacing w:val="0"/>
          <w:w w:val="100"/>
        </w:rPr>
        <w:t xml:space="preserve">Рассмотрение докладов, представленных государствами-участниками </w:t>
      </w:r>
      <w:r>
        <w:rPr>
          <w:spacing w:val="0"/>
          <w:w w:val="100"/>
          <w:lang/>
        </w:rPr>
        <w:br/>
      </w:r>
      <w:r>
        <w:rPr>
          <w:spacing w:val="0"/>
          <w:w w:val="100"/>
        </w:rPr>
        <w:t xml:space="preserve">в соответствии со статьей 18 Конвенции о ликвидации </w:t>
      </w:r>
      <w:r>
        <w:rPr>
          <w:spacing w:val="0"/>
          <w:w w:val="100"/>
          <w:lang/>
        </w:rPr>
        <w:br/>
      </w:r>
      <w:r>
        <w:rPr>
          <w:spacing w:val="0"/>
          <w:w w:val="100"/>
        </w:rPr>
        <w:t>всех форм дискриминации в отношении женщин</w:t>
      </w:r>
    </w:p>
    <w:p w:rsidR="00E017AA" w:rsidRDefault="00E017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rPr>
          <w:spacing w:val="0"/>
          <w:w w:val="100"/>
          <w:sz w:val="10"/>
        </w:rPr>
      </w:pPr>
    </w:p>
    <w:p w:rsidR="00E017AA" w:rsidRDefault="00E017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rPr>
          <w:spacing w:val="0"/>
          <w:w w:val="100"/>
          <w:sz w:val="10"/>
        </w:rPr>
      </w:pPr>
    </w:p>
    <w:p w:rsidR="00E017AA" w:rsidRDefault="00E017AA">
      <w:pPr>
        <w:pStyle w:val="H1"/>
        <w:tabs>
          <w:tab w:val="left" w:pos="680"/>
        </w:tabs>
        <w:spacing w:after="720"/>
        <w:ind w:left="0" w:firstLine="0"/>
        <w:jc w:val="center"/>
        <w:rPr>
          <w:spacing w:val="0"/>
          <w:w w:val="100"/>
        </w:rPr>
      </w:pPr>
      <w:r>
        <w:rPr>
          <w:spacing w:val="0"/>
          <w:w w:val="100"/>
        </w:rPr>
        <w:t>Объединенные шестой и седьмой периодические доклады государств-участников</w:t>
      </w:r>
    </w:p>
    <w:p w:rsidR="00E017AA" w:rsidRDefault="00E017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rPr>
          <w:spacing w:val="0"/>
          <w:w w:val="100"/>
          <w:sz w:val="10"/>
        </w:rPr>
      </w:pPr>
    </w:p>
    <w:p w:rsidR="00E017AA" w:rsidRDefault="00E017AA">
      <w:pPr>
        <w:pStyle w:val="H1"/>
        <w:tabs>
          <w:tab w:val="left" w:pos="680"/>
        </w:tabs>
        <w:ind w:left="0" w:firstLine="0"/>
        <w:jc w:val="center"/>
        <w:rPr>
          <w:sz w:val="28"/>
        </w:rPr>
      </w:pPr>
      <w:r>
        <w:rPr>
          <w:spacing w:val="0"/>
          <w:w w:val="100"/>
          <w:sz w:val="28"/>
        </w:rPr>
        <w:t>Швеция</w:t>
      </w:r>
      <w:r>
        <w:rPr>
          <w:b w:val="0"/>
          <w:bCs/>
          <w:spacing w:val="0"/>
          <w:w w:val="100"/>
          <w:sz w:val="28"/>
        </w:rPr>
        <w:t>*</w:t>
      </w: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6"/>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6"/>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6"/>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6"/>
        </w:rPr>
      </w:pPr>
      <w:r>
        <w:rPr>
          <w:spacing w:val="0"/>
          <w:w w:val="100"/>
          <w:sz w:val="6"/>
        </w:rPr>
        <w:t>ъ</w:t>
      </w: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p>
    <w:p w:rsidR="00E017AA" w:rsidRDefault="00E017AA">
      <w:pPr>
        <w:pStyle w:val="FootnoteText"/>
        <w:tabs>
          <w:tab w:val="clear" w:pos="418"/>
          <w:tab w:val="clear" w:pos="567"/>
          <w:tab w:val="clear" w:pos="907"/>
          <w:tab w:val="clear" w:pos="1247"/>
          <w:tab w:val="clear" w:pos="1588"/>
          <w:tab w:val="left" w:pos="284"/>
        </w:tabs>
        <w:spacing w:after="0" w:line="240" w:lineRule="auto"/>
        <w:ind w:left="0" w:firstLine="0"/>
        <w:rPr>
          <w:spacing w:val="0"/>
          <w:w w:val="100"/>
          <w:sz w:val="18"/>
        </w:rPr>
      </w:pPr>
      <w:r>
        <w:rPr>
          <w:noProof/>
          <w:spacing w:val="0"/>
          <w:w w:val="100"/>
          <w:sz w:val="20"/>
        </w:rPr>
        <w:pict>
          <v:line id="_x0000_s2067" style="position:absolute;left:0;text-align:left;z-index:1" from="-.1pt,2.9pt" to="141.65pt,2.9pt" strokeweight=".5pt"/>
        </w:pict>
      </w:r>
    </w:p>
    <w:p w:rsidR="00E017AA" w:rsidRDefault="00E017AA">
      <w:pPr>
        <w:pStyle w:val="FootnoteText"/>
        <w:tabs>
          <w:tab w:val="clear" w:pos="418"/>
          <w:tab w:val="clear" w:pos="907"/>
          <w:tab w:val="clear" w:pos="1247"/>
          <w:tab w:val="clear" w:pos="1588"/>
        </w:tabs>
        <w:spacing w:after="0" w:line="240" w:lineRule="auto"/>
        <w:ind w:left="0" w:firstLine="0"/>
        <w:rPr>
          <w:spacing w:val="0"/>
          <w:w w:val="100"/>
          <w:sz w:val="18"/>
          <w:lang/>
        </w:rPr>
      </w:pPr>
      <w:r>
        <w:rPr>
          <w:spacing w:val="0"/>
          <w:w w:val="100"/>
          <w:sz w:val="18"/>
        </w:rPr>
        <w:t>*</w:t>
      </w:r>
      <w:r>
        <w:rPr>
          <w:spacing w:val="0"/>
          <w:w w:val="100"/>
          <w:sz w:val="18"/>
        </w:rPr>
        <w:tab/>
        <w:t>Настоящий документ издается без официального редактирования.</w:t>
      </w:r>
      <w:r>
        <w:rPr>
          <w:spacing w:val="0"/>
          <w:w w:val="100"/>
          <w:sz w:val="18"/>
          <w:lang/>
        </w:rPr>
        <w:t xml:space="preserve"> </w:t>
      </w:r>
    </w:p>
    <w:p w:rsidR="00E017AA" w:rsidRDefault="00E017AA">
      <w:pPr>
        <w:pStyle w:val="SingleTxt"/>
        <w:spacing w:before="120" w:after="0" w:line="240" w:lineRule="auto"/>
        <w:ind w:left="0" w:right="0" w:firstLine="0"/>
        <w:rPr>
          <w:spacing w:val="0"/>
          <w:w w:val="100"/>
        </w:rPr>
      </w:pPr>
      <w:r>
        <w:rPr>
          <w:spacing w:val="-2"/>
          <w:w w:val="100"/>
          <w:sz w:val="18"/>
          <w:szCs w:val="24"/>
        </w:rPr>
        <w:tab/>
      </w:r>
      <w:r>
        <w:rPr>
          <w:spacing w:val="0"/>
          <w:w w:val="100"/>
          <w:sz w:val="18"/>
        </w:rPr>
        <w:t>Первоначальный доклад, представленный правительством Швеции, см. в документе CEDAW/C/5/Add.8, который был рассмотрен Комитетом на его второй сессии. Второй периодический доклад см. в документе CEDAW/C/13/Add.6, который был рассмотрен Комитетом на его седьмой сессии. Третий периодический доклад см. в документе CEDAW/C/18/Add.1, который был рассмотрен Комитетом на его двенадцатой сессии. Объединенный четвертый периодический доклад см. в документе CEDAW/C/SWE/4, который был рассмотрен Комитетом на его двадцать пятой сессии. Пятый периодический доклад см. в документе CEDAW/C/SWE/5, который был рассмотрен Комитетом на его двадцать пятой сессии.</w:t>
      </w:r>
    </w:p>
    <w:p w:rsidR="00E017AA" w:rsidRDefault="00E017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1264" w:right="1264"/>
        <w:rPr>
          <w:sz w:val="10"/>
        </w:rPr>
      </w:pPr>
    </w:p>
    <w:p w:rsidR="00E017AA" w:rsidRDefault="00E017AA">
      <w:pPr>
        <w:pStyle w:val="H1"/>
        <w:tabs>
          <w:tab w:val="left" w:pos="680"/>
        </w:tabs>
        <w:ind w:left="1267" w:right="1260" w:hanging="1267"/>
        <w:sectPr w:rsidR="00E017AA">
          <w:headerReference w:type="default" r:id="rId13"/>
          <w:footerReference w:type="even" r:id="rId14"/>
          <w:footerReference w:type="default" r:id="rId15"/>
          <w:endnotePr>
            <w:numFmt w:val="decimal"/>
          </w:endnotePr>
          <w:type w:val="continuous"/>
          <w:pgSz w:w="12240" w:h="15840" w:code="1"/>
          <w:pgMar w:top="1814" w:right="1202" w:bottom="1814" w:left="1202" w:header="1304" w:footer="1134" w:gutter="0"/>
          <w:pgNumType w:start="1"/>
          <w:cols w:space="720"/>
          <w:noEndnote/>
        </w:sectPr>
      </w:pPr>
      <w:bookmarkStart w:id="2" w:name="insend"/>
      <w:bookmarkEnd w:id="2"/>
    </w:p>
    <w:p w:rsidR="00E017AA" w:rsidRDefault="00E017AA">
      <w:pPr>
        <w:pStyle w:val="Heading8"/>
        <w:tabs>
          <w:tab w:val="left" w:pos="1134"/>
          <w:tab w:val="right" w:pos="9540"/>
        </w:tabs>
        <w:spacing w:after="200"/>
        <w:ind w:left="0" w:firstLine="0"/>
        <w:rPr>
          <w:iCs/>
          <w:sz w:val="28"/>
          <w:lang w:val="ru-RU"/>
        </w:rPr>
      </w:pPr>
      <w:r>
        <w:rPr>
          <w:sz w:val="28"/>
        </w:rPr>
        <w:t xml:space="preserve">Шестой и седьмой периодические доклады правительства Швеции </w:t>
      </w:r>
      <w:r>
        <w:rPr>
          <w:sz w:val="28"/>
          <w:lang w:val="ru-RU"/>
        </w:rPr>
        <w:br/>
      </w:r>
      <w:r>
        <w:rPr>
          <w:sz w:val="28"/>
        </w:rPr>
        <w:t xml:space="preserve">о мерах по осуществлению положений Конвенции о ликвидации </w:t>
      </w:r>
      <w:r>
        <w:rPr>
          <w:sz w:val="28"/>
          <w:lang w:val="ru-RU"/>
        </w:rPr>
        <w:br/>
      </w:r>
      <w:r>
        <w:rPr>
          <w:sz w:val="28"/>
        </w:rPr>
        <w:t>всех форм дискриминации в отношении женщин</w:t>
      </w:r>
    </w:p>
    <w:p w:rsidR="00E017AA" w:rsidRDefault="00E017AA">
      <w:pPr>
        <w:pStyle w:val="Heading8"/>
        <w:tabs>
          <w:tab w:val="left" w:pos="1134"/>
          <w:tab w:val="right" w:pos="9540"/>
        </w:tabs>
        <w:spacing w:after="200"/>
        <w:jc w:val="both"/>
        <w:rPr>
          <w:bCs w:val="0"/>
          <w:iCs/>
          <w:sz w:val="24"/>
          <w:lang w:val="ru-RU"/>
        </w:rPr>
      </w:pPr>
    </w:p>
    <w:p w:rsidR="00E017AA" w:rsidRDefault="00E017AA">
      <w:pPr>
        <w:pStyle w:val="Heading8"/>
        <w:tabs>
          <w:tab w:val="left" w:pos="1134"/>
          <w:tab w:val="right" w:pos="9540"/>
        </w:tabs>
        <w:spacing w:after="200"/>
        <w:rPr>
          <w:bCs w:val="0"/>
          <w:iCs/>
          <w:sz w:val="24"/>
          <w:lang w:val="ru-RU"/>
        </w:rPr>
      </w:pPr>
      <w:r>
        <w:rPr>
          <w:bCs w:val="0"/>
          <w:iCs/>
          <w:sz w:val="24"/>
          <w:lang w:val="ru-RU"/>
        </w:rPr>
        <w:t>Содержание</w:t>
      </w:r>
    </w:p>
    <w:p w:rsidR="00E017AA" w:rsidRDefault="00E017AA">
      <w:pPr>
        <w:tabs>
          <w:tab w:val="left" w:pos="1134"/>
          <w:tab w:val="right" w:pos="9540"/>
        </w:tabs>
        <w:spacing w:after="200"/>
        <w:jc w:val="right"/>
        <w:rPr>
          <w:b/>
          <w:szCs w:val="24"/>
        </w:rPr>
      </w:pPr>
      <w:r>
        <w:rPr>
          <w:b/>
          <w:szCs w:val="24"/>
        </w:rPr>
        <w:t>Стр.</w:t>
      </w:r>
    </w:p>
    <w:p w:rsidR="00E017AA" w:rsidRDefault="00E017AA">
      <w:pPr>
        <w:tabs>
          <w:tab w:val="clear" w:pos="907"/>
          <w:tab w:val="clear" w:pos="1247"/>
          <w:tab w:val="clear" w:pos="1588"/>
          <w:tab w:val="left" w:leader="dot" w:pos="8505"/>
          <w:tab w:val="right" w:pos="9356"/>
          <w:tab w:val="right" w:pos="9540"/>
        </w:tabs>
        <w:spacing w:after="120"/>
        <w:rPr>
          <w:bCs/>
          <w:szCs w:val="24"/>
        </w:rPr>
      </w:pPr>
      <w:r>
        <w:rPr>
          <w:bCs/>
          <w:szCs w:val="24"/>
        </w:rPr>
        <w:t>Введение</w:t>
      </w:r>
      <w:r>
        <w:rPr>
          <w:bCs/>
          <w:szCs w:val="24"/>
        </w:rPr>
        <w:tab/>
      </w:r>
      <w:r>
        <w:rPr>
          <w:bCs/>
          <w:szCs w:val="24"/>
        </w:rPr>
        <w:tab/>
        <w:t>3</w:t>
      </w:r>
    </w:p>
    <w:p w:rsidR="00E017AA" w:rsidRDefault="00E017AA">
      <w:pPr>
        <w:tabs>
          <w:tab w:val="clear" w:pos="907"/>
          <w:tab w:val="clear" w:pos="1247"/>
          <w:tab w:val="clear" w:pos="1588"/>
          <w:tab w:val="left" w:leader="dot" w:pos="8505"/>
          <w:tab w:val="right" w:pos="9356"/>
          <w:tab w:val="right" w:pos="9540"/>
        </w:tabs>
        <w:spacing w:after="120"/>
        <w:ind w:left="0" w:firstLine="0"/>
        <w:jc w:val="left"/>
        <w:rPr>
          <w:szCs w:val="24"/>
        </w:rPr>
      </w:pPr>
      <w:r>
        <w:t xml:space="preserve">Часть </w:t>
      </w:r>
      <w:r>
        <w:rPr>
          <w:lang w:val="en-US"/>
        </w:rPr>
        <w:t>I</w:t>
      </w:r>
      <w:r>
        <w:tab/>
      </w:r>
      <w:r>
        <w:tab/>
        <w:t>6</w:t>
      </w:r>
    </w:p>
    <w:p w:rsidR="00E017AA" w:rsidRDefault="00E017AA">
      <w:pPr>
        <w:tabs>
          <w:tab w:val="clear" w:pos="567"/>
          <w:tab w:val="clear" w:pos="907"/>
          <w:tab w:val="clear" w:pos="1247"/>
          <w:tab w:val="clear" w:pos="1588"/>
          <w:tab w:val="left" w:pos="284"/>
          <w:tab w:val="left" w:leader="dot" w:pos="8505"/>
          <w:tab w:val="right" w:pos="9356"/>
          <w:tab w:val="right" w:pos="9540"/>
        </w:tabs>
        <w:spacing w:after="120"/>
        <w:ind w:left="284" w:firstLine="0"/>
        <w:jc w:val="left"/>
        <w:rPr>
          <w:szCs w:val="24"/>
        </w:rPr>
      </w:pPr>
      <w:r>
        <w:rPr>
          <w:szCs w:val="24"/>
        </w:rPr>
        <w:t>Статья 1</w:t>
      </w:r>
      <w:r>
        <w:rPr>
          <w:szCs w:val="24"/>
        </w:rPr>
        <w:tab/>
      </w:r>
      <w:r>
        <w:rPr>
          <w:szCs w:val="24"/>
        </w:rPr>
        <w:tab/>
        <w:t>6</w:t>
      </w:r>
    </w:p>
    <w:p w:rsidR="00E017AA" w:rsidRDefault="00E017AA">
      <w:pPr>
        <w:tabs>
          <w:tab w:val="clear" w:pos="567"/>
          <w:tab w:val="clear" w:pos="907"/>
          <w:tab w:val="clear" w:pos="1247"/>
          <w:tab w:val="clear" w:pos="1588"/>
          <w:tab w:val="left" w:pos="284"/>
          <w:tab w:val="left" w:leader="dot" w:pos="8505"/>
          <w:tab w:val="right" w:pos="9356"/>
          <w:tab w:val="right" w:pos="9540"/>
        </w:tabs>
        <w:spacing w:after="120"/>
        <w:ind w:left="284" w:firstLine="0"/>
        <w:jc w:val="left"/>
        <w:rPr>
          <w:szCs w:val="24"/>
        </w:rPr>
      </w:pPr>
      <w:r>
        <w:t>Статья 2.   Обязательство по ликвидации дискриминации в отношении женщин</w:t>
      </w:r>
      <w:r>
        <w:tab/>
      </w:r>
      <w:r>
        <w:tab/>
        <w:t>6</w:t>
      </w:r>
    </w:p>
    <w:p w:rsidR="00E017AA" w:rsidRDefault="00E017AA">
      <w:pPr>
        <w:tabs>
          <w:tab w:val="clear" w:pos="567"/>
          <w:tab w:val="clear" w:pos="907"/>
          <w:tab w:val="clear" w:pos="1247"/>
          <w:tab w:val="clear" w:pos="1588"/>
          <w:tab w:val="left" w:pos="284"/>
          <w:tab w:val="left" w:leader="dot" w:pos="8505"/>
          <w:tab w:val="right" w:pos="9356"/>
          <w:tab w:val="right" w:pos="9540"/>
        </w:tabs>
        <w:spacing w:after="120"/>
        <w:ind w:left="284" w:firstLine="0"/>
        <w:jc w:val="left"/>
        <w:rPr>
          <w:szCs w:val="24"/>
        </w:rPr>
      </w:pPr>
      <w:r>
        <w:rPr>
          <w:szCs w:val="24"/>
        </w:rPr>
        <w:t xml:space="preserve">Статья 3.   </w:t>
      </w:r>
      <w:r>
        <w:t>Осуществление женщинами прав человека</w:t>
      </w:r>
      <w:r>
        <w:rPr>
          <w:szCs w:val="24"/>
        </w:rPr>
        <w:tab/>
      </w:r>
      <w:r>
        <w:rPr>
          <w:szCs w:val="24"/>
        </w:rPr>
        <w:tab/>
        <w:t>12</w:t>
      </w:r>
    </w:p>
    <w:p w:rsidR="00E017AA" w:rsidRDefault="00E017AA">
      <w:pPr>
        <w:tabs>
          <w:tab w:val="clear" w:pos="567"/>
          <w:tab w:val="clear" w:pos="907"/>
          <w:tab w:val="clear" w:pos="1247"/>
          <w:tab w:val="clear" w:pos="1588"/>
          <w:tab w:val="left" w:pos="284"/>
          <w:tab w:val="right" w:pos="9356"/>
          <w:tab w:val="right" w:pos="9540"/>
        </w:tabs>
        <w:spacing w:after="120"/>
        <w:ind w:left="284" w:firstLine="0"/>
        <w:jc w:val="left"/>
        <w:rPr>
          <w:szCs w:val="24"/>
        </w:rPr>
      </w:pPr>
      <w:r>
        <w:rPr>
          <w:szCs w:val="24"/>
        </w:rPr>
        <w:t xml:space="preserve">Статья 4.   </w:t>
      </w:r>
      <w:r>
        <w:rPr>
          <w:bCs/>
        </w:rPr>
        <w:t>Меры по ускорению достижения равенства между женщинами и мужчинами</w:t>
      </w:r>
      <w:r>
        <w:rPr>
          <w:szCs w:val="24"/>
        </w:rPr>
        <w:tab/>
        <w:t>22</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5.   </w:t>
      </w:r>
      <w:r>
        <w:rPr>
          <w:bCs/>
        </w:rPr>
        <w:t>Типовые модели</w:t>
      </w:r>
      <w:r>
        <w:rPr>
          <w:szCs w:val="24"/>
        </w:rPr>
        <w:tab/>
      </w:r>
      <w:r>
        <w:rPr>
          <w:szCs w:val="24"/>
        </w:rPr>
        <w:tab/>
        <w:t>22</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6.   </w:t>
      </w:r>
      <w:r>
        <w:rPr>
          <w:bCs/>
        </w:rPr>
        <w:t>Торговля женщинами и эксплуатация женской проституции</w:t>
      </w:r>
      <w:r>
        <w:rPr>
          <w:szCs w:val="24"/>
        </w:rPr>
        <w:tab/>
      </w:r>
      <w:r>
        <w:rPr>
          <w:szCs w:val="24"/>
        </w:rPr>
        <w:tab/>
        <w:t>26</w:t>
      </w:r>
    </w:p>
    <w:p w:rsidR="00E017AA" w:rsidRDefault="00E017AA">
      <w:pPr>
        <w:tabs>
          <w:tab w:val="clear" w:pos="907"/>
          <w:tab w:val="clear" w:pos="1247"/>
          <w:tab w:val="clear" w:pos="1588"/>
          <w:tab w:val="left" w:leader="dot" w:pos="8505"/>
          <w:tab w:val="right" w:pos="9356"/>
          <w:tab w:val="right" w:pos="9540"/>
        </w:tabs>
        <w:spacing w:after="120"/>
        <w:rPr>
          <w:szCs w:val="24"/>
        </w:rPr>
      </w:pPr>
      <w:r>
        <w:t xml:space="preserve">Часть </w:t>
      </w:r>
      <w:r>
        <w:rPr>
          <w:lang w:val="en-US"/>
        </w:rPr>
        <w:t>II</w:t>
      </w:r>
      <w:r>
        <w:rPr>
          <w:szCs w:val="24"/>
        </w:rPr>
        <w:tab/>
      </w:r>
      <w:r>
        <w:rPr>
          <w:szCs w:val="24"/>
        </w:rPr>
        <w:tab/>
        <w:t>29</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jc w:val="left"/>
        <w:rPr>
          <w:szCs w:val="24"/>
        </w:rPr>
      </w:pPr>
      <w:r>
        <w:rPr>
          <w:szCs w:val="24"/>
        </w:rPr>
        <w:t xml:space="preserve">Статья 7.    </w:t>
      </w:r>
      <w:r>
        <w:rPr>
          <w:bCs/>
        </w:rPr>
        <w:t xml:space="preserve">Ликвидация дискриминации в отношении женщин в политической </w:t>
      </w:r>
      <w:r>
        <w:rPr>
          <w:bCs/>
        </w:rPr>
        <w:br/>
        <w:t>и общественной жизни страны</w:t>
      </w:r>
      <w:r>
        <w:rPr>
          <w:szCs w:val="24"/>
        </w:rPr>
        <w:tab/>
      </w:r>
      <w:r>
        <w:rPr>
          <w:szCs w:val="24"/>
        </w:rPr>
        <w:tab/>
        <w:t>29</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8.    </w:t>
      </w:r>
      <w:r>
        <w:rPr>
          <w:bCs/>
        </w:rPr>
        <w:t>Представительство и участие на международном уровне</w:t>
      </w:r>
      <w:r>
        <w:rPr>
          <w:szCs w:val="24"/>
        </w:rPr>
        <w:tab/>
      </w:r>
      <w:r>
        <w:rPr>
          <w:szCs w:val="24"/>
        </w:rPr>
        <w:tab/>
        <w:t>35</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Статья 9.    Гражданство</w:t>
      </w:r>
      <w:r>
        <w:rPr>
          <w:szCs w:val="24"/>
        </w:rPr>
        <w:tab/>
      </w:r>
      <w:r>
        <w:rPr>
          <w:szCs w:val="24"/>
        </w:rPr>
        <w:tab/>
        <w:t>36</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Статья 10.  Образование</w:t>
      </w:r>
      <w:r>
        <w:rPr>
          <w:szCs w:val="24"/>
        </w:rPr>
        <w:tab/>
      </w:r>
      <w:r>
        <w:rPr>
          <w:szCs w:val="24"/>
        </w:rPr>
        <w:tab/>
        <w:t>37</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11.  </w:t>
      </w:r>
      <w:r>
        <w:rPr>
          <w:bCs/>
        </w:rPr>
        <w:t>Рынок рабочей силы и трудовая деятельность</w:t>
      </w:r>
      <w:r>
        <w:rPr>
          <w:szCs w:val="24"/>
        </w:rPr>
        <w:tab/>
      </w:r>
      <w:r>
        <w:rPr>
          <w:szCs w:val="24"/>
        </w:rPr>
        <w:tab/>
        <w:t>43</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12.  </w:t>
      </w:r>
      <w:r>
        <w:t>Здравоохранение и медицинские услуги</w:t>
      </w:r>
      <w:r>
        <w:rPr>
          <w:szCs w:val="24"/>
        </w:rPr>
        <w:tab/>
      </w:r>
      <w:r>
        <w:rPr>
          <w:szCs w:val="24"/>
        </w:rPr>
        <w:tab/>
        <w:t>55</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jc w:val="left"/>
        <w:rPr>
          <w:szCs w:val="24"/>
        </w:rPr>
      </w:pPr>
      <w:r>
        <w:rPr>
          <w:szCs w:val="24"/>
        </w:rPr>
        <w:t xml:space="preserve">Статья 13.  </w:t>
      </w:r>
      <w:r>
        <w:t xml:space="preserve">Искоренение дискриминации в отношении женщин в других сферах </w:t>
      </w:r>
      <w:r>
        <w:br/>
        <w:t>экономической и социальной жизни общества</w:t>
      </w:r>
      <w:r>
        <w:rPr>
          <w:szCs w:val="24"/>
        </w:rPr>
        <w:tab/>
      </w:r>
      <w:r>
        <w:rPr>
          <w:szCs w:val="24"/>
        </w:rPr>
        <w:tab/>
        <w:t>57</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14.  </w:t>
      </w:r>
      <w:r>
        <w:t>Сельские женщины</w:t>
      </w:r>
      <w:r>
        <w:rPr>
          <w:szCs w:val="24"/>
        </w:rPr>
        <w:tab/>
      </w:r>
      <w:r>
        <w:rPr>
          <w:szCs w:val="24"/>
        </w:rPr>
        <w:tab/>
        <w:t>59</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Статья 15.  Равенство перед законом</w:t>
      </w:r>
      <w:r>
        <w:rPr>
          <w:szCs w:val="24"/>
        </w:rPr>
        <w:tab/>
      </w:r>
      <w:r>
        <w:rPr>
          <w:szCs w:val="24"/>
        </w:rPr>
        <w:tab/>
        <w:t>60</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rPr>
          <w:szCs w:val="24"/>
        </w:rPr>
      </w:pPr>
      <w:r>
        <w:rPr>
          <w:szCs w:val="24"/>
        </w:rPr>
        <w:t xml:space="preserve">Статья 16.  </w:t>
      </w:r>
      <w:r>
        <w:t>Искоренение дискриминации в брачных и семейных отношениях</w:t>
      </w:r>
      <w:r>
        <w:rPr>
          <w:szCs w:val="24"/>
        </w:rPr>
        <w:t xml:space="preserve"> </w:t>
      </w:r>
      <w:r>
        <w:rPr>
          <w:szCs w:val="24"/>
        </w:rPr>
        <w:tab/>
      </w:r>
      <w:r>
        <w:rPr>
          <w:szCs w:val="24"/>
        </w:rPr>
        <w:tab/>
        <w:t>60</w:t>
      </w:r>
    </w:p>
    <w:p w:rsidR="00E017AA" w:rsidRDefault="00E017AA">
      <w:pPr>
        <w:tabs>
          <w:tab w:val="clear" w:pos="907"/>
          <w:tab w:val="clear" w:pos="1247"/>
          <w:tab w:val="clear" w:pos="1588"/>
          <w:tab w:val="left" w:leader="dot" w:pos="8505"/>
          <w:tab w:val="right" w:pos="9356"/>
          <w:tab w:val="right" w:pos="9540"/>
        </w:tabs>
        <w:spacing w:after="120"/>
      </w:pPr>
      <w:r>
        <w:t>Дополнение 1</w:t>
      </w:r>
    </w:p>
    <w:p w:rsidR="00E017AA" w:rsidRDefault="00E017AA">
      <w:pPr>
        <w:tabs>
          <w:tab w:val="clear" w:pos="907"/>
          <w:tab w:val="clear" w:pos="1247"/>
          <w:tab w:val="clear" w:pos="1588"/>
          <w:tab w:val="left" w:leader="dot" w:pos="8505"/>
          <w:tab w:val="right" w:pos="9356"/>
          <w:tab w:val="right" w:pos="9540"/>
        </w:tabs>
        <w:spacing w:after="120"/>
        <w:ind w:hanging="283"/>
      </w:pPr>
      <w:r>
        <w:t>Развитие сотрудничества на глобальном уровне</w:t>
      </w:r>
      <w:r>
        <w:rPr>
          <w:szCs w:val="24"/>
        </w:rPr>
        <w:tab/>
      </w:r>
      <w:r>
        <w:tab/>
        <w:t>61</w:t>
      </w:r>
    </w:p>
    <w:p w:rsidR="00E017AA" w:rsidRDefault="00E017AA">
      <w:pPr>
        <w:tabs>
          <w:tab w:val="clear" w:pos="567"/>
          <w:tab w:val="clear" w:pos="907"/>
          <w:tab w:val="clear" w:pos="1247"/>
          <w:tab w:val="clear" w:pos="1588"/>
          <w:tab w:val="left" w:leader="dot" w:pos="8505"/>
          <w:tab w:val="right" w:pos="9356"/>
          <w:tab w:val="right" w:pos="9540"/>
        </w:tabs>
        <w:spacing w:after="120"/>
      </w:pPr>
      <w:r>
        <w:t>Дополнение 2</w:t>
      </w:r>
    </w:p>
    <w:p w:rsidR="00E017AA" w:rsidRDefault="00E017AA">
      <w:pPr>
        <w:tabs>
          <w:tab w:val="clear" w:pos="567"/>
          <w:tab w:val="clear" w:pos="907"/>
          <w:tab w:val="clear" w:pos="1247"/>
          <w:tab w:val="clear" w:pos="1588"/>
          <w:tab w:val="left" w:leader="dot" w:pos="8505"/>
          <w:tab w:val="right" w:pos="9356"/>
          <w:tab w:val="right" w:pos="9540"/>
        </w:tabs>
        <w:spacing w:after="120"/>
        <w:ind w:left="284" w:firstLine="0"/>
        <w:jc w:val="left"/>
      </w:pPr>
      <w:r>
        <w:t xml:space="preserve">Деятельность Швеции по осуществлении резолюции 1325 Совета Безопасности </w:t>
      </w:r>
      <w:r>
        <w:br/>
        <w:t>Организации Объединенных Наций о женщинах, мире и безопасности</w:t>
      </w:r>
      <w:r>
        <w:tab/>
      </w:r>
      <w:r>
        <w:tab/>
        <w:t>63</w:t>
      </w:r>
    </w:p>
    <w:p w:rsidR="00E017AA" w:rsidRDefault="00E017AA">
      <w:pPr>
        <w:tabs>
          <w:tab w:val="clear" w:pos="567"/>
          <w:tab w:val="left" w:pos="1134"/>
          <w:tab w:val="left" w:pos="1701"/>
        </w:tabs>
        <w:ind w:left="0" w:firstLine="0"/>
        <w:jc w:val="left"/>
        <w:rPr>
          <w:b/>
          <w:bCs/>
          <w:sz w:val="24"/>
        </w:rPr>
      </w:pPr>
      <w:r>
        <w:t xml:space="preserve"> </w:t>
      </w:r>
      <w:r>
        <w:br w:type="page"/>
      </w:r>
      <w:r>
        <w:rPr>
          <w:b/>
          <w:bCs/>
          <w:sz w:val="24"/>
        </w:rPr>
        <w:t>Введение</w:t>
      </w:r>
    </w:p>
    <w:p w:rsidR="00E017AA" w:rsidRDefault="00E017AA">
      <w:pPr>
        <w:tabs>
          <w:tab w:val="left" w:pos="567"/>
          <w:tab w:val="left" w:pos="1134"/>
          <w:tab w:val="left" w:pos="1701"/>
        </w:tabs>
        <w:spacing w:after="200"/>
      </w:pPr>
      <w:r>
        <w:t>1.</w:t>
      </w:r>
      <w:r>
        <w:tab/>
        <w:t xml:space="preserve">Данный доклад включает шестой и седьмой периодические доклады Швеции, представленные Комитету по ликвидации дискриминации в отношении женщин. </w:t>
      </w:r>
      <w:r>
        <w:br/>
        <w:t>В нижеследующем докладе учтены замечания и рекомендации, полученные Швецией от Комитета по ликвидации дискриминации в отношении женщин по рассмотрении четвертого и пятого докладов Швеции на 25</w:t>
      </w:r>
      <w:r>
        <w:noBreakHyphen/>
        <w:t>й сессии Комитета 1 июля 2001 года.</w:t>
      </w:r>
    </w:p>
    <w:p w:rsidR="00E017AA" w:rsidRDefault="00E017AA">
      <w:pPr>
        <w:tabs>
          <w:tab w:val="left" w:pos="567"/>
          <w:tab w:val="left" w:pos="1134"/>
          <w:tab w:val="left" w:pos="1701"/>
        </w:tabs>
        <w:spacing w:after="200"/>
      </w:pPr>
      <w:r>
        <w:t>2.</w:t>
      </w:r>
      <w:r>
        <w:tab/>
        <w:t>Цель правительства Швеции заключается в привлечении внимания к областям, в которых женщины и девочки лишены возможностей для полного осуществления прав человека как в Швеции, так и в других странах. Содействие осуществлению прав человека женщинами и девочками является центральной частью работы правительства в Швеции и на международном уровне.</w:t>
      </w:r>
    </w:p>
    <w:p w:rsidR="00E017AA" w:rsidRDefault="00E017AA">
      <w:pPr>
        <w:tabs>
          <w:tab w:val="left" w:pos="567"/>
          <w:tab w:val="left" w:pos="1134"/>
          <w:tab w:val="left" w:pos="1701"/>
        </w:tabs>
        <w:spacing w:after="200"/>
      </w:pPr>
      <w:r>
        <w:t>3.</w:t>
      </w:r>
      <w:r>
        <w:tab/>
        <w:t>В своей деятельности по осуществлению женщинами и девочками своих прав человека правительство уделяет первоочередное внимание вопросам, связанным с насилием в отношении женщин, а также сексуальному и репродуктивному здоровью и правам женщин и девочек, включая право принимать решения, касающиеся их сексуальных отношений и деторождения.</w:t>
      </w:r>
    </w:p>
    <w:p w:rsidR="00E017AA" w:rsidRDefault="00E017AA">
      <w:pPr>
        <w:tabs>
          <w:tab w:val="left" w:pos="567"/>
          <w:tab w:val="left" w:pos="1134"/>
          <w:tab w:val="left" w:pos="1701"/>
        </w:tabs>
        <w:spacing w:after="200"/>
      </w:pPr>
      <w:r>
        <w:t>4.</w:t>
      </w:r>
      <w:r>
        <w:tab/>
        <w:t>Цель политики Швеции в области гендерного равенства заключается в обеспечении женщинам и мужчинам, девочкам и мальчикам равных возможностей и равных прав. Для того чтобы женщины и мужчины в равной степени пользовались правами человека, необходимо иметь информацию о тех органах власти, которые так или иначе способствуют сохранению господствующего положения мужчин и соответствующей зависимости женщин, и проводить в связи с этим надлежащую работу. Специальные меры в интересах женщин и девочек также необходимы для достижения гендерного равенства и ликвидации дискриминации в отношении женщин и девочек.</w:t>
      </w:r>
    </w:p>
    <w:p w:rsidR="00E017AA" w:rsidRDefault="00E017AA">
      <w:pPr>
        <w:tabs>
          <w:tab w:val="left" w:pos="567"/>
          <w:tab w:val="left" w:pos="1134"/>
          <w:tab w:val="left" w:pos="1701"/>
        </w:tabs>
        <w:spacing w:after="200"/>
      </w:pPr>
      <w:r>
        <w:t>5.</w:t>
      </w:r>
      <w:r>
        <w:tab/>
        <w:t>В докладе 2002 года риксдагу (шведскому парламенту) о национальной политике в области гендерного равенства (Официальный доклад правительства 2002/03:140) правительство отчиталось о принимавшихся с 1999 года мерах в области политики гендерного равенства и представило национальный план действий по обеспечению гендерного равенства на период между выборами (2002–2006 годы). Помимо работы по учету гендерных факторов в данном плане определены следующие области, требующие особого внимания:</w:t>
      </w:r>
    </w:p>
    <w:p w:rsidR="00E017AA" w:rsidRDefault="00E017AA">
      <w:pPr>
        <w:tabs>
          <w:tab w:val="clear" w:pos="907"/>
          <w:tab w:val="clear" w:pos="1247"/>
          <w:tab w:val="left" w:pos="567"/>
          <w:tab w:val="left" w:pos="993"/>
          <w:tab w:val="left" w:pos="1701"/>
        </w:tabs>
        <w:spacing w:after="180"/>
        <w:ind w:left="992" w:hanging="425"/>
      </w:pPr>
      <w:r>
        <w:t>–</w:t>
      </w:r>
      <w:r>
        <w:tab/>
        <w:t>представленность; равный доступ к руководящим должностям и возможность оказывать воздействие;</w:t>
      </w:r>
    </w:p>
    <w:p w:rsidR="00E017AA" w:rsidRDefault="00E017AA">
      <w:pPr>
        <w:tabs>
          <w:tab w:val="clear" w:pos="907"/>
          <w:tab w:val="clear" w:pos="1247"/>
          <w:tab w:val="left" w:pos="567"/>
          <w:tab w:val="left" w:pos="993"/>
          <w:tab w:val="left" w:pos="1701"/>
        </w:tabs>
        <w:spacing w:after="180"/>
        <w:ind w:left="992" w:hanging="425"/>
      </w:pPr>
      <w:r>
        <w:t>–</w:t>
      </w:r>
      <w:r>
        <w:tab/>
        <w:t>равная оплата за равный труд и труд равной ценности;</w:t>
      </w:r>
    </w:p>
    <w:p w:rsidR="00E017AA" w:rsidRDefault="00E017AA">
      <w:pPr>
        <w:tabs>
          <w:tab w:val="clear" w:pos="907"/>
          <w:tab w:val="clear" w:pos="1247"/>
          <w:tab w:val="left" w:pos="567"/>
          <w:tab w:val="left" w:pos="993"/>
          <w:tab w:val="left" w:pos="1701"/>
        </w:tabs>
        <w:spacing w:after="180"/>
        <w:ind w:left="992" w:hanging="425"/>
      </w:pPr>
      <w:r>
        <w:t>–</w:t>
      </w:r>
      <w:r>
        <w:tab/>
        <w:t>насилие со стороны мужчин в отношении женщин, проституция и торговля женщинами для целей сексуальной эксплуатации;</w:t>
      </w:r>
    </w:p>
    <w:p w:rsidR="00E017AA" w:rsidRDefault="00E017AA">
      <w:pPr>
        <w:tabs>
          <w:tab w:val="clear" w:pos="907"/>
          <w:tab w:val="clear" w:pos="1247"/>
          <w:tab w:val="left" w:pos="567"/>
          <w:tab w:val="left" w:pos="993"/>
          <w:tab w:val="left" w:pos="1701"/>
        </w:tabs>
        <w:spacing w:after="180"/>
        <w:ind w:left="992" w:hanging="425"/>
      </w:pPr>
      <w:r>
        <w:t>–</w:t>
      </w:r>
      <w:r>
        <w:tab/>
        <w:t>мужчины и гендерное равенство; и</w:t>
      </w:r>
    </w:p>
    <w:p w:rsidR="00E017AA" w:rsidRDefault="00E017AA">
      <w:pPr>
        <w:tabs>
          <w:tab w:val="clear" w:pos="907"/>
          <w:tab w:val="clear" w:pos="1247"/>
          <w:tab w:val="left" w:pos="567"/>
          <w:tab w:val="left" w:pos="993"/>
          <w:tab w:val="left" w:pos="1701"/>
        </w:tabs>
        <w:spacing w:after="180"/>
        <w:ind w:left="992" w:hanging="425"/>
      </w:pPr>
      <w:r>
        <w:t>–</w:t>
      </w:r>
      <w:r>
        <w:tab/>
        <w:t>сексуализация общественной сферы.</w:t>
      </w:r>
    </w:p>
    <w:p w:rsidR="00E017AA" w:rsidRDefault="00E017AA">
      <w:pPr>
        <w:tabs>
          <w:tab w:val="left" w:pos="567"/>
          <w:tab w:val="left" w:pos="1134"/>
          <w:tab w:val="left" w:pos="1701"/>
        </w:tabs>
        <w:spacing w:after="200"/>
      </w:pPr>
      <w:r>
        <w:t>6.</w:t>
      </w:r>
      <w:r>
        <w:tab/>
        <w:t>В феврале 2004 года правительство назначило комиссию по расследованию с целью проведения обзора целей, ориентации, организации и эффективности политики гендерного равенства. Комиссия представила свой доклад (SOU 2005:66) в августе 2005 года.</w:t>
      </w:r>
    </w:p>
    <w:p w:rsidR="00E017AA" w:rsidRDefault="00E017AA">
      <w:pPr>
        <w:tabs>
          <w:tab w:val="left" w:pos="567"/>
          <w:tab w:val="left" w:pos="1134"/>
          <w:tab w:val="left" w:pos="1701"/>
        </w:tabs>
        <w:spacing w:after="200"/>
      </w:pPr>
      <w:r>
        <w:t>7.</w:t>
      </w:r>
      <w:r>
        <w:tab/>
        <w:t>В марте 2006 года правительство представило риксдагу законопроект (законопроект правительства 2005/06:155). Законопроект, в котором предлагаются новые цели в области политики гендерного равенства, был принят риксдагом 16 мая 2006 года. Основная цель при этом заключается в обеспечении женщинам и мужчинам одинаковых полномочий в обществе и в устройстве своей собственной жизни. В законопроекте особо подчеркивается проблема насилия в отношении женщин, в частности насилие мужчин в отношении женщин. Были поставлены следующие вспомогательные цели:</w:t>
      </w:r>
    </w:p>
    <w:p w:rsidR="00E017AA" w:rsidRDefault="00E017AA">
      <w:pPr>
        <w:tabs>
          <w:tab w:val="clear" w:pos="907"/>
          <w:tab w:val="clear" w:pos="1247"/>
          <w:tab w:val="clear" w:pos="1588"/>
          <w:tab w:val="left" w:pos="567"/>
          <w:tab w:val="left" w:pos="1701"/>
        </w:tabs>
        <w:spacing w:after="200"/>
        <w:ind w:left="851" w:hanging="284"/>
      </w:pPr>
      <w:r>
        <w:t>–</w:t>
      </w:r>
      <w:r>
        <w:tab/>
        <w:t>Равное распределение полномочий и влияния между женщинами и мужчинами. Женщины и мужчины будут иметь одинаковые права и возможности, что позволит им стать активными гражданами и формировать условия для принятия решений.</w:t>
      </w:r>
    </w:p>
    <w:p w:rsidR="00E017AA" w:rsidRDefault="00E017AA">
      <w:pPr>
        <w:tabs>
          <w:tab w:val="clear" w:pos="907"/>
          <w:tab w:val="clear" w:pos="1247"/>
          <w:tab w:val="clear" w:pos="1588"/>
          <w:tab w:val="left" w:pos="567"/>
          <w:tab w:val="left" w:pos="1701"/>
        </w:tabs>
        <w:spacing w:after="200"/>
        <w:ind w:left="851" w:hanging="284"/>
      </w:pPr>
      <w:r>
        <w:t>–</w:t>
      </w:r>
      <w:r>
        <w:tab/>
        <w:t>Экономическое равенство между женщинами и мужчинами. Женщины и мужчины будут иметь одинаковые возможности и условия в том, что касается образования и оплачиваемой работы, и это обеспечит им экономическую независимость на протяжении всей жизни.</w:t>
      </w:r>
    </w:p>
    <w:p w:rsidR="00E017AA" w:rsidRDefault="00E017AA">
      <w:pPr>
        <w:tabs>
          <w:tab w:val="clear" w:pos="907"/>
          <w:tab w:val="clear" w:pos="1247"/>
          <w:tab w:val="clear" w:pos="1588"/>
          <w:tab w:val="left" w:pos="567"/>
          <w:tab w:val="left" w:pos="1701"/>
        </w:tabs>
        <w:spacing w:after="200"/>
        <w:ind w:left="851" w:hanging="284"/>
      </w:pPr>
      <w:r>
        <w:t>–</w:t>
      </w:r>
      <w:r>
        <w:tab/>
        <w:t>Равное распределение неоплачиваемой работы по уходу за членами семьи и выполнению домашних обязанностей. Женщины и мужчины будут нести одинаковую ответственность за выполнение работы по дому, а также иметь одинаковые возможности, с тем чтобы они могли на равных условиях получать необходимую заботу и, в свою очередь, обеспечивать ее другим членам семьи.</w:t>
      </w:r>
    </w:p>
    <w:p w:rsidR="00E017AA" w:rsidRDefault="00E017AA">
      <w:pPr>
        <w:tabs>
          <w:tab w:val="clear" w:pos="907"/>
          <w:tab w:val="clear" w:pos="1247"/>
          <w:tab w:val="clear" w:pos="1588"/>
          <w:tab w:val="left" w:pos="567"/>
          <w:tab w:val="left" w:pos="1701"/>
        </w:tabs>
        <w:spacing w:after="200"/>
        <w:ind w:left="851" w:hanging="284"/>
      </w:pPr>
      <w:r>
        <w:t>–</w:t>
      </w:r>
      <w:r>
        <w:tab/>
        <w:t>Насилию мужчин в отношении женщин будет положен конец. Женщины и мужчины, девочки и мальчики будут иметь равные права и возможности в плане физической неприкосновенности.</w:t>
      </w:r>
    </w:p>
    <w:p w:rsidR="00E017AA" w:rsidRDefault="00E017AA">
      <w:pPr>
        <w:tabs>
          <w:tab w:val="left" w:pos="567"/>
          <w:tab w:val="left" w:pos="1134"/>
          <w:tab w:val="left" w:pos="1701"/>
        </w:tabs>
        <w:spacing w:after="200"/>
      </w:pPr>
      <w:r>
        <w:t>8.</w:t>
      </w:r>
      <w:r>
        <w:tab/>
        <w:t>В вышеуказанном законопроекте подтверждается, что учет гендерных факторов продолжает быть стратегическим направлением для достижения целей в области гендерного равенства. Кроме того, правительство заявляет о своем намерении создать государственное учреждение, ответственное за содействие развитию эффективной политики гендерного равенства. Правительство также заявляет о своем намерении укреплять работу в области гендерного равенства на местном и региональном уровнях. Правительство будет изучать проблемы гендерного равенства среди различных социальных групп в качестве части своих последующих действий по реализации вспомогательных целей законопроекта.</w:t>
      </w:r>
    </w:p>
    <w:p w:rsidR="00E017AA" w:rsidRDefault="00E017AA">
      <w:pPr>
        <w:tabs>
          <w:tab w:val="left" w:pos="567"/>
          <w:tab w:val="left" w:pos="1134"/>
          <w:tab w:val="left" w:pos="1701"/>
        </w:tabs>
        <w:spacing w:after="200"/>
      </w:pPr>
      <w:r>
        <w:t>9.</w:t>
      </w:r>
      <w:r>
        <w:tab/>
        <w:t>В законопроекте предусматривается, что основная цель политики правительства в области гендерного равенства актуальна для каждого человека в различных ситуациях и на разных этапах жизни, независимо, например, от возраста, этнического происхождения, инвалидности или местожительства. Женщины и мужчины должны иметь одинаковые возможности в плане формирования общества и устройства собственной жизни. Не должно быть также системных различий в условиях, в которых растут девочки и мальчики, как в отношении их доли в ресурсах общества, так и в связи с возможностями расти свободными от ограничений, налагаемых гендерными стереотипами.</w:t>
      </w:r>
    </w:p>
    <w:p w:rsidR="00E017AA" w:rsidRDefault="00E017AA">
      <w:pPr>
        <w:tabs>
          <w:tab w:val="left" w:pos="567"/>
          <w:tab w:val="left" w:pos="1134"/>
          <w:tab w:val="left" w:pos="1701"/>
        </w:tabs>
        <w:spacing w:after="200"/>
      </w:pPr>
      <w:r>
        <w:t>10.</w:t>
      </w:r>
      <w:r>
        <w:tab/>
        <w:t>Швеция ратифицировала Факультативный протокол к Конвенции о ликвидации всех форм дискриминации в отношении женщин 23 апреля 2003 года. До настоящего времени ратификация не привела к принятию каких-либо мер. Никаких жалоб до сих пор не поступало.</w:t>
      </w:r>
    </w:p>
    <w:p w:rsidR="00E017AA" w:rsidRDefault="00E017AA">
      <w:pPr>
        <w:keepNext/>
        <w:tabs>
          <w:tab w:val="left" w:pos="567"/>
          <w:tab w:val="left" w:pos="1134"/>
          <w:tab w:val="left" w:pos="1701"/>
        </w:tabs>
        <w:spacing w:after="200"/>
        <w:rPr>
          <w:b/>
          <w:bCs/>
          <w:sz w:val="24"/>
        </w:rPr>
      </w:pPr>
      <w:r>
        <w:rPr>
          <w:b/>
          <w:bCs/>
          <w:sz w:val="24"/>
        </w:rPr>
        <w:t>Учет гендерных факторов в основных направлениях деятельности</w:t>
      </w:r>
    </w:p>
    <w:p w:rsidR="00E017AA" w:rsidRDefault="00E017AA">
      <w:pPr>
        <w:tabs>
          <w:tab w:val="left" w:pos="567"/>
          <w:tab w:val="left" w:pos="1134"/>
          <w:tab w:val="left" w:pos="1701"/>
        </w:tabs>
        <w:spacing w:after="200"/>
      </w:pPr>
      <w:r>
        <w:t>11.</w:t>
      </w:r>
      <w:r>
        <w:tab/>
        <w:t>В апреле 2004 года правительство приняло специальный план по учету гендерных факторов во всех направлениях деятельности государственных учреждений. План действует до 31 декабря 2009 года.</w:t>
      </w:r>
    </w:p>
    <w:p w:rsidR="00E017AA" w:rsidRDefault="00E017AA">
      <w:pPr>
        <w:tabs>
          <w:tab w:val="left" w:pos="567"/>
          <w:tab w:val="left" w:pos="1134"/>
          <w:tab w:val="left" w:pos="1701"/>
        </w:tabs>
        <w:spacing w:after="200"/>
      </w:pPr>
      <w:r>
        <w:t>12.</w:t>
      </w:r>
      <w:r>
        <w:tab/>
        <w:t>В соответствии с этой стратегией каждый министр отвечает за обеспечение гендерного равенства в своем ведомстве или в своей политической области, а министр по вопросам гендерного равенства несет ответственность за обеспечение прогресса в данной сфере, а также за принятие последующих мер на всеобъемлющей основе. Все министры создали надлежащие организации и составили планы соответствующей деятельности.</w:t>
      </w:r>
    </w:p>
    <w:p w:rsidR="00E017AA" w:rsidRDefault="00E017AA">
      <w:pPr>
        <w:tabs>
          <w:tab w:val="left" w:pos="567"/>
          <w:tab w:val="left" w:pos="1134"/>
          <w:tab w:val="left" w:pos="1701"/>
        </w:tabs>
        <w:spacing w:after="200"/>
      </w:pPr>
      <w:r>
        <w:t>13.</w:t>
      </w:r>
      <w:r>
        <w:tab/>
        <w:t>Итоги данной деятельности будут подводиться ежегодно с использованием количественных и качественных показателей. Помимо заключительной оценки в 2010 году также будут проведены две промежуточные оценки.</w:t>
      </w:r>
    </w:p>
    <w:p w:rsidR="00E017AA" w:rsidRDefault="00E017AA">
      <w:pPr>
        <w:tabs>
          <w:tab w:val="left" w:pos="567"/>
          <w:tab w:val="left" w:pos="1134"/>
          <w:tab w:val="left" w:pos="1701"/>
        </w:tabs>
        <w:spacing w:after="200"/>
      </w:pPr>
      <w:r>
        <w:t>14.</w:t>
      </w:r>
      <w:r>
        <w:tab/>
        <w:t>В качестве первого этапа этой деятельности в 2004 и 2005 годах было проведено около 70 исследований в 47 областях политики. Основным результатом этих исследований стало формулирование новых целей и определение показателей для государственных учреждений. Данная деятельность охватывает сферу образования и меры в области профессиональной подготовки.</w:t>
      </w:r>
    </w:p>
    <w:p w:rsidR="00E017AA" w:rsidRDefault="00E017AA">
      <w:pPr>
        <w:tabs>
          <w:tab w:val="left" w:pos="567"/>
          <w:tab w:val="left" w:pos="1134"/>
          <w:tab w:val="left" w:pos="1701"/>
        </w:tabs>
        <w:spacing w:after="200"/>
      </w:pPr>
      <w:r>
        <w:t>15.</w:t>
      </w:r>
      <w:r>
        <w:tab/>
        <w:t>В 2006 году основная работа будет направлена на процесс составления бюджета, выработку руководящих указаний по контролю за правительственными комиссиями по расследованию (их сфер действий) и управление государственными учреждениями.</w:t>
      </w:r>
    </w:p>
    <w:p w:rsidR="00E017AA" w:rsidRDefault="00E017AA">
      <w:pPr>
        <w:tabs>
          <w:tab w:val="left" w:pos="567"/>
          <w:tab w:val="left" w:pos="1134"/>
          <w:tab w:val="left" w:pos="1701"/>
        </w:tabs>
        <w:spacing w:after="200"/>
      </w:pPr>
      <w:r>
        <w:t>16.</w:t>
      </w:r>
      <w:r>
        <w:tab/>
        <w:t>В 2002 году был начат проект по учету гендерных факторов в процессе составления бюджета центрального правительства. В рамках данного проекта осуществлялись разработка методики и выявление потребностей в профессиональной подготовке. В настоящее время эта деятельность осуществляется на регулярной основе.</w:t>
      </w:r>
    </w:p>
    <w:p w:rsidR="00E017AA" w:rsidRDefault="00E017AA">
      <w:pPr>
        <w:keepNext/>
        <w:tabs>
          <w:tab w:val="clear" w:pos="567"/>
          <w:tab w:val="left" w:pos="1134"/>
          <w:tab w:val="left" w:pos="1701"/>
        </w:tabs>
        <w:spacing w:after="200"/>
        <w:ind w:left="0" w:firstLine="0"/>
        <w:jc w:val="left"/>
        <w:rPr>
          <w:b/>
          <w:bCs/>
          <w:sz w:val="24"/>
        </w:rPr>
      </w:pPr>
      <w:r>
        <w:rPr>
          <w:b/>
          <w:bCs/>
          <w:sz w:val="24"/>
        </w:rPr>
        <w:t>Распространение информации относительно Конвенции о ликвидации всех форм дискриминации в отношении женщин</w:t>
      </w:r>
    </w:p>
    <w:p w:rsidR="00E017AA" w:rsidRDefault="00E017AA">
      <w:pPr>
        <w:tabs>
          <w:tab w:val="left" w:pos="567"/>
          <w:tab w:val="left" w:pos="1134"/>
          <w:tab w:val="left" w:pos="1701"/>
        </w:tabs>
        <w:spacing w:after="200"/>
        <w:rPr>
          <w:u w:val="single"/>
        </w:rPr>
      </w:pPr>
      <w:r>
        <w:t>17.</w:t>
      </w:r>
      <w:r>
        <w:tab/>
        <w:t>В конце 2004 года правительство приступило к осуществлению информационного проекта о работе Организации Объединенных Наций по улучшению положения женщин в обществе. Этот проект завершился проведением в ноябре 2005 года в Оребро национальной конференции по вопросам гендерного равенства. Целью этой конференции, организованной совместно со Шведской ассоциацией местных органов власти и регионов, являлось повышение уровня осведомленности о деятельности Организации Объединенных Наций по содействию реализации женщинами своих прав человека и по улучшению положения женщин в обществе, а также оказание помощи в выработке планов осуществления глобальных соглашений на местном уровне. В рамках этого информационного проекта неправительственным организациям также была предоставлена информация и обеспечена подготовка по проблематике Конвенции о ликвидации всех форм дискриминации в отношении женщин и Плана действий Пекинской конференции по положению женщин 1995 года.</w:t>
      </w:r>
    </w:p>
    <w:p w:rsidR="00E017AA" w:rsidRDefault="00E017AA">
      <w:pPr>
        <w:tabs>
          <w:tab w:val="left" w:pos="567"/>
          <w:tab w:val="left" w:pos="1134"/>
          <w:tab w:val="left" w:pos="1701"/>
        </w:tabs>
        <w:spacing w:after="200"/>
      </w:pPr>
      <w:r>
        <w:t>18.</w:t>
      </w:r>
      <w:r>
        <w:tab/>
        <w:t>Правительство выделило средства на проведение общественно-информационной кампании по Конвенции о ликвидации всех форм дискриминации в отношении женщин. Данная кампания, осуществляемая Ассоциацией трудящихся по вопросам образования совместно со шведским комитетом Фонда Организации Объединенных Наций для развития в интересах женщин, будет проходить в 2006–2007 годах.</w:t>
      </w:r>
    </w:p>
    <w:p w:rsidR="00E017AA" w:rsidRDefault="00E017AA">
      <w:pPr>
        <w:tabs>
          <w:tab w:val="left" w:pos="567"/>
          <w:tab w:val="left" w:pos="1134"/>
          <w:tab w:val="left" w:pos="1701"/>
        </w:tabs>
        <w:spacing w:after="200"/>
      </w:pPr>
      <w:r>
        <w:t>19.</w:t>
      </w:r>
      <w:r>
        <w:tab/>
        <w:t>Правительство выделило средства на проект реализации положений Конвенции о ликвидации всех форм дискриминации в отношении женщин (КЛДЖ), целью которого являются составление и распространение справочника о Конвенции. Работа осуществляется сетью КЛДЖ, состоящей из ряда неправительственных организаций. Сеть КЛДЖ также организовала в нескольких районах страны семинары и выставки по проблематике Конвенции.</w:t>
      </w:r>
    </w:p>
    <w:p w:rsidR="00E017AA" w:rsidRDefault="00E017AA">
      <w:pPr>
        <w:keepNext/>
        <w:tabs>
          <w:tab w:val="left" w:pos="567"/>
          <w:tab w:val="left" w:pos="1134"/>
          <w:tab w:val="left" w:pos="1701"/>
        </w:tabs>
        <w:spacing w:before="300" w:after="200"/>
        <w:rPr>
          <w:sz w:val="26"/>
        </w:rPr>
      </w:pPr>
      <w:r>
        <w:rPr>
          <w:sz w:val="26"/>
        </w:rPr>
        <w:t xml:space="preserve">Часть </w:t>
      </w:r>
      <w:r>
        <w:rPr>
          <w:sz w:val="26"/>
          <w:lang w:val="en-US"/>
        </w:rPr>
        <w:t>I</w:t>
      </w:r>
    </w:p>
    <w:p w:rsidR="00E017AA" w:rsidRDefault="00E017AA">
      <w:pPr>
        <w:keepNext/>
        <w:tabs>
          <w:tab w:val="left" w:pos="567"/>
          <w:tab w:val="left" w:pos="1134"/>
          <w:tab w:val="left" w:pos="1701"/>
        </w:tabs>
        <w:spacing w:after="200"/>
        <w:rPr>
          <w:b/>
          <w:bCs/>
          <w:sz w:val="24"/>
        </w:rPr>
      </w:pPr>
      <w:r>
        <w:rPr>
          <w:b/>
          <w:bCs/>
          <w:sz w:val="24"/>
        </w:rPr>
        <w:t>Статья 1.</w:t>
      </w:r>
    </w:p>
    <w:p w:rsidR="00E017AA" w:rsidRDefault="00E017AA">
      <w:pPr>
        <w:tabs>
          <w:tab w:val="left" w:pos="567"/>
          <w:tab w:val="left" w:pos="1134"/>
          <w:tab w:val="left" w:pos="1701"/>
        </w:tabs>
        <w:spacing w:after="200"/>
      </w:pPr>
      <w:r>
        <w:t>20.</w:t>
      </w:r>
      <w:r>
        <w:tab/>
        <w:t>См. настоящий и предыдущие доклады.</w:t>
      </w:r>
    </w:p>
    <w:p w:rsidR="00E017AA" w:rsidRDefault="00E017AA">
      <w:pPr>
        <w:keepNext/>
        <w:tabs>
          <w:tab w:val="left" w:pos="567"/>
          <w:tab w:val="left" w:pos="1134"/>
          <w:tab w:val="left" w:pos="1701"/>
        </w:tabs>
        <w:spacing w:before="240" w:after="200"/>
        <w:rPr>
          <w:b/>
          <w:bCs/>
          <w:sz w:val="24"/>
        </w:rPr>
      </w:pPr>
      <w:r>
        <w:rPr>
          <w:b/>
          <w:bCs/>
          <w:sz w:val="24"/>
        </w:rPr>
        <w:t>Статья 2.  Обязательство по ликвидации дискриминации в отношении женщин</w:t>
      </w:r>
    </w:p>
    <w:p w:rsidR="00E017AA" w:rsidRDefault="00E017AA">
      <w:pPr>
        <w:keepNext/>
        <w:tabs>
          <w:tab w:val="left" w:pos="567"/>
          <w:tab w:val="left" w:pos="1134"/>
          <w:tab w:val="left" w:pos="1701"/>
        </w:tabs>
        <w:spacing w:after="200"/>
        <w:rPr>
          <w:b/>
          <w:bCs/>
        </w:rPr>
      </w:pPr>
      <w:r>
        <w:rPr>
          <w:b/>
          <w:bCs/>
        </w:rPr>
        <w:t>Статьи 2 </w:t>
      </w:r>
      <w:r>
        <w:rPr>
          <w:b/>
          <w:bCs/>
          <w:lang w:val="en-US"/>
        </w:rPr>
        <w:t>a</w:t>
      </w:r>
      <w:r>
        <w:rPr>
          <w:b/>
          <w:bCs/>
        </w:rPr>
        <w:t>) и 2 </w:t>
      </w:r>
      <w:r>
        <w:rPr>
          <w:b/>
          <w:bCs/>
          <w:lang w:val="en-US"/>
        </w:rPr>
        <w:t>b</w:t>
      </w:r>
      <w:r>
        <w:rPr>
          <w:b/>
          <w:bCs/>
        </w:rPr>
        <w:t>). Законодательные меры</w:t>
      </w:r>
    </w:p>
    <w:p w:rsidR="00E017AA" w:rsidRDefault="00E017AA">
      <w:pPr>
        <w:tabs>
          <w:tab w:val="left" w:pos="567"/>
          <w:tab w:val="left" w:pos="1134"/>
          <w:tab w:val="left" w:pos="1701"/>
        </w:tabs>
        <w:spacing w:after="200"/>
      </w:pPr>
      <w:r>
        <w:t>21.</w:t>
      </w:r>
      <w:r>
        <w:tab/>
        <w:t>Предварительный отчет о шведских законодательных мерах, направленных на ликвидацию дискриминации по гендерному признаку, см. в материале об осуществлении статьи 2 во втором докладе Швеции, а также в других докладах Швеции.</w:t>
      </w:r>
    </w:p>
    <w:p w:rsidR="00E017AA" w:rsidRDefault="00E017AA">
      <w:pPr>
        <w:tabs>
          <w:tab w:val="left" w:pos="567"/>
          <w:tab w:val="left" w:pos="1134"/>
          <w:tab w:val="left" w:pos="1701"/>
        </w:tabs>
        <w:spacing w:after="200"/>
      </w:pPr>
      <w:r>
        <w:t>22.</w:t>
      </w:r>
      <w:r>
        <w:tab/>
        <w:t>Дискриминация по гендерному признаку, помимо того что она является предметом положений конституции Швеции, в основном рассматривается в Законе о равных возможностях (1991:433), в Законе о запрещении дискриминации (2003:307), Законе о равном обращении в отношении студентов университетов (2001:1286), а также в Законе о запрещении дискриминации и другого унижающего достоинство детей и учащихся школ обращения (2006:67). Со времени представления предыдущего доклада в Закон о равных возможностях были внесены поправки. Отчет об этих поправках приводится в разделе, посвященном статье 2 b). Работа омбудсмена по вопросам равенства возможностей описана в разделе, посвященном статье 2 с).</w:t>
      </w:r>
    </w:p>
    <w:p w:rsidR="00E017AA" w:rsidRDefault="00E017AA">
      <w:pPr>
        <w:keepNext/>
        <w:tabs>
          <w:tab w:val="left" w:pos="567"/>
          <w:tab w:val="left" w:pos="1134"/>
          <w:tab w:val="left" w:pos="1701"/>
        </w:tabs>
        <w:spacing w:after="200"/>
        <w:rPr>
          <w:b/>
          <w:bCs/>
        </w:rPr>
      </w:pPr>
      <w:r>
        <w:rPr>
          <w:b/>
          <w:bCs/>
        </w:rPr>
        <w:t>Закон о равных возможностях (1991:433)</w:t>
      </w:r>
    </w:p>
    <w:p w:rsidR="00E017AA" w:rsidRDefault="00E017AA">
      <w:pPr>
        <w:tabs>
          <w:tab w:val="left" w:pos="567"/>
          <w:tab w:val="left" w:pos="1134"/>
          <w:tab w:val="left" w:pos="1701"/>
        </w:tabs>
        <w:spacing w:after="200"/>
      </w:pPr>
      <w:r>
        <w:t>23.</w:t>
      </w:r>
      <w:r>
        <w:tab/>
        <w:t>Со времени завершения предыдущего доклада в Закон дважды были внесены поправки: 1 января 2001 года и 1 июля 2005 года. Эти поправки означают, что "директива о бремени доказывания" Европейского суда (Council Directive 97/80/EC) была полностью реализована в положениях Закона о равных возможностях.</w:t>
      </w:r>
    </w:p>
    <w:p w:rsidR="00E017AA" w:rsidRDefault="00E017AA">
      <w:pPr>
        <w:tabs>
          <w:tab w:val="left" w:pos="567"/>
          <w:tab w:val="left" w:pos="1134"/>
          <w:tab w:val="left" w:pos="1701"/>
        </w:tabs>
        <w:spacing w:after="200"/>
      </w:pPr>
      <w:r>
        <w:t>24.</w:t>
      </w:r>
      <w:r>
        <w:tab/>
        <w:t>Изменения, которые вошли в законодательство 1 января 2001 года, в первую очередь касаются двух аспектов: запрещения дискриминации и правил проведения, среди прочего, обследований заработной платы. Эти поправки были описаны в предыдущем докладе, однако ниже приводятся некоторые дополнительные сведения.</w:t>
      </w:r>
    </w:p>
    <w:p w:rsidR="00E017AA" w:rsidRDefault="00E017AA">
      <w:pPr>
        <w:tabs>
          <w:tab w:val="left" w:pos="567"/>
          <w:tab w:val="left" w:pos="1134"/>
          <w:tab w:val="left" w:pos="1701"/>
        </w:tabs>
        <w:spacing w:after="200"/>
      </w:pPr>
      <w:r>
        <w:t>25.</w:t>
      </w:r>
      <w:r>
        <w:tab/>
        <w:t>В Закон было внесено определение термина "труд равной ценности".</w:t>
      </w:r>
    </w:p>
    <w:p w:rsidR="00E017AA" w:rsidRDefault="00E017AA">
      <w:pPr>
        <w:tabs>
          <w:tab w:val="left" w:pos="567"/>
          <w:tab w:val="left" w:pos="1134"/>
          <w:tab w:val="left" w:pos="1701"/>
        </w:tabs>
        <w:spacing w:after="200"/>
      </w:pPr>
      <w:r>
        <w:t>26.</w:t>
      </w:r>
      <w:r>
        <w:tab/>
        <w:t>Каждый работодатель теперь должен проводить обследование и анализировать неравенство в заработной плате женщин и мужчин, и это включает обязанность проводить оценку того, связаны ли непосредственно или косвенно с полом те или иные имеющиеся неравенства в заработной плате. Эта оценка в особенности направлена на женщин и мужчин, выполняющих работу, которая может рассматриваться как труд равной ценности. Следовательно, данная оценка должна включать группы трудящихся, которые выполняют работу, являющуюся или традиционно рассматриваемую в качестве преимущественно женской, а также группы трудящихся, выполняющих работу, которая должна рассматриваться как имеющая равную ценность с такой работой, но не считается или традиционно не считается преимущественно женской.</w:t>
      </w:r>
    </w:p>
    <w:p w:rsidR="00E017AA" w:rsidRDefault="00E017AA">
      <w:pPr>
        <w:tabs>
          <w:tab w:val="left" w:pos="567"/>
          <w:tab w:val="left" w:pos="1134"/>
          <w:tab w:val="left" w:pos="1701"/>
        </w:tabs>
        <w:spacing w:after="200"/>
      </w:pPr>
      <w:r>
        <w:t>27.</w:t>
      </w:r>
      <w:r>
        <w:tab/>
        <w:t>Письменный план действий в целях обеспечения равной оплаты, который работодатель должен представлять ежегодно, включает информацию о коррективах в заработной плате и других мерах, необходимых для достижения равной оплаты за равный труд или труд равной ценности. Меры должны быть приняты как можно скорее, по крайней мере – в течение трех лет. Доклад об осуществлении планируемых мер и соответствующий анализ должны быть включены в план действий на следующий год.</w:t>
      </w:r>
    </w:p>
    <w:p w:rsidR="00E017AA" w:rsidRDefault="00E017AA">
      <w:pPr>
        <w:tabs>
          <w:tab w:val="left" w:pos="567"/>
          <w:tab w:val="left" w:pos="1134"/>
          <w:tab w:val="left" w:pos="1701"/>
        </w:tabs>
        <w:spacing w:after="160"/>
      </w:pPr>
      <w:r>
        <w:t>28.</w:t>
      </w:r>
      <w:r>
        <w:tab/>
        <w:t xml:space="preserve">С 1 января 2001 года организации трудящихся, с которыми работодатель заключил коллективные соглашения, имеют право на получение информации, необходимой для сотрудничества с работодателем при проведении обзора и анализа системы заработной платы и имеющегося неравенства в этой области и при составлении планов действий в целях обеспечения равной заработной оплаты. </w:t>
      </w:r>
    </w:p>
    <w:p w:rsidR="00E017AA" w:rsidRDefault="00E017AA">
      <w:pPr>
        <w:tabs>
          <w:tab w:val="left" w:pos="567"/>
          <w:tab w:val="left" w:pos="1134"/>
          <w:tab w:val="left" w:pos="1701"/>
        </w:tabs>
        <w:spacing w:after="160"/>
      </w:pPr>
      <w:r>
        <w:t>29.</w:t>
      </w:r>
      <w:r>
        <w:tab/>
        <w:t>1 июля 2005 года Закон о равных возможностях был расширен и распространялся на претендентов на рабочие места или на тех, кто проходит испытательный срок. Это означает, что положения о запрещении дискриминации, притеснений, о недействительности трудовых договоров и ущербе также применимы к таким случаям. Отдельные лица, выполняющие работу на рабочем месте без подписания трудового договора, но использующиеся как наемные работники или работающие по совместительству, также должны рассматриваться как трудящиеся. В свою очередь, место работы, где приобретается опыт работы, также рассматривается как работодатель. Эти предписания в первую очередь касаются студентов, которые подают заявки на стажировку или завершают стажировку как часть своей программы образования.</w:t>
      </w:r>
    </w:p>
    <w:p w:rsidR="00E017AA" w:rsidRDefault="00E017AA">
      <w:pPr>
        <w:tabs>
          <w:tab w:val="left" w:pos="567"/>
          <w:tab w:val="left" w:pos="1134"/>
          <w:tab w:val="left" w:pos="1701"/>
        </w:tabs>
        <w:spacing w:after="160"/>
      </w:pPr>
      <w:r>
        <w:t>30.</w:t>
      </w:r>
      <w:r>
        <w:tab/>
        <w:t>Кроме того, противозаконным считается данное наемному работнику указание совершить дискриминационный акт. В результате выполнения подобного указания становится очевидным, что с кем-либо обращаются несправедливо. Если это указание не выполняется, соответствующие последствия отсутствуют, поскольку не имеет места дискриминация, однако даже невыполненное подобное указание может означать, что лицо (или лица) в перспективе может (могут) стать жертвой (жертвами) дискриминации. Такое указание способно само по себе привлечь внимание сотрудников и привести к слухам и сплетням, что может, по сути, также являться проявлением дискриминации. Если работодатель дает служащему указание совершить дискриминационный поступок, который приведет к несправедливому обращению, работодатель считается непосредственно связанным с дискриминационным поведением служащего; в этом случае работодатель может также подвергнуться судебному преследованию за нанесение ущерба.</w:t>
      </w:r>
    </w:p>
    <w:p w:rsidR="00E017AA" w:rsidRDefault="00E017AA">
      <w:pPr>
        <w:tabs>
          <w:tab w:val="left" w:pos="567"/>
          <w:tab w:val="left" w:pos="1134"/>
          <w:tab w:val="left" w:pos="1701"/>
        </w:tabs>
        <w:spacing w:after="200"/>
      </w:pPr>
      <w:r>
        <w:t>31.</w:t>
      </w:r>
      <w:r>
        <w:tab/>
        <w:t>Исключения из положения о запрещении дискриминации также были ограничены. Прежнее исключение "по идеологическим соображениям или в связи с особым интересом" было отменено. Новое исключение распространяется на решения о занятости, продвижении по службе и профессиональной подготовке, необходимой для продвижения по службе, и формулируется следующим образом: "когда лицо конкретного пола требуется в связи с характером работы или обстоятельствами, в которых выполняется данный вид работы". Это исключение носит весьма узкий характер, и работодатель должен иметь веские основания, чтобы на него ссылаться. Аргументы работодателя необходимы вследствие имеющихся высоких стандартов, и должно быть ясно, что характер работы или обстоятельства, в которых она выполняется, являются определяющим фактором.</w:t>
      </w:r>
    </w:p>
    <w:p w:rsidR="00E017AA" w:rsidRDefault="00E017AA">
      <w:pPr>
        <w:keepNext/>
        <w:tabs>
          <w:tab w:val="left" w:pos="567"/>
          <w:tab w:val="left" w:pos="1134"/>
          <w:tab w:val="left" w:pos="1701"/>
        </w:tabs>
        <w:spacing w:after="200"/>
        <w:rPr>
          <w:b/>
          <w:bCs/>
        </w:rPr>
      </w:pPr>
      <w:r>
        <w:rPr>
          <w:b/>
          <w:bCs/>
        </w:rPr>
        <w:t>Запрещение в связи с Законом о дискриминации (2003:307)</w:t>
      </w:r>
    </w:p>
    <w:p w:rsidR="00E017AA" w:rsidRDefault="00E017AA">
      <w:pPr>
        <w:tabs>
          <w:tab w:val="left" w:pos="567"/>
          <w:tab w:val="left" w:pos="1134"/>
          <w:tab w:val="left" w:pos="1701"/>
        </w:tabs>
        <w:spacing w:after="180"/>
      </w:pPr>
      <w:r>
        <w:t>32.</w:t>
      </w:r>
      <w:r>
        <w:tab/>
        <w:t>Параллельно с Законом о равных возможностях был принят еще один закон, запрещающий, среди прочего, дискриминацию по гендерному признаку. Он известен как "Запрещение в связи с Законом о дискриминации". Этот закон с 2005 года распространяется на некоторые виды дискриминации по гендерному признаку. В соответствии с ним дискриминация может быть прямой и косвенной, а также проявляться в виде сексуального домогательства и указаний совершить дискриминационные действия. В соответствии с этим Законом дискриминация по гендерному признаку запрещается:</w:t>
      </w:r>
    </w:p>
    <w:p w:rsidR="00E017AA" w:rsidRDefault="00E017AA">
      <w:pPr>
        <w:tabs>
          <w:tab w:val="clear" w:pos="907"/>
          <w:tab w:val="clear" w:pos="1247"/>
          <w:tab w:val="left" w:pos="567"/>
          <w:tab w:val="left" w:pos="1701"/>
        </w:tabs>
        <w:spacing w:after="140"/>
        <w:ind w:left="851" w:hanging="284"/>
      </w:pPr>
      <w:r>
        <w:t>–</w:t>
      </w:r>
      <w:r>
        <w:tab/>
        <w:t>при проведении политики на рынке труда, то есть при предоставлении частных или государственных услуг в сфере занятости;</w:t>
      </w:r>
    </w:p>
    <w:p w:rsidR="00E017AA" w:rsidRDefault="00E017AA">
      <w:pPr>
        <w:tabs>
          <w:tab w:val="clear" w:pos="907"/>
          <w:tab w:val="clear" w:pos="1247"/>
          <w:tab w:val="left" w:pos="567"/>
          <w:tab w:val="left" w:pos="1701"/>
        </w:tabs>
        <w:spacing w:after="140"/>
        <w:ind w:left="851" w:hanging="284"/>
      </w:pPr>
      <w:r>
        <w:t>–</w:t>
      </w:r>
      <w:r>
        <w:tab/>
        <w:t>в начале предпринимательской деятельности или в ее процессе;</w:t>
      </w:r>
    </w:p>
    <w:p w:rsidR="00E017AA" w:rsidRDefault="00E017AA">
      <w:pPr>
        <w:tabs>
          <w:tab w:val="clear" w:pos="907"/>
          <w:tab w:val="clear" w:pos="1247"/>
          <w:tab w:val="left" w:pos="567"/>
          <w:tab w:val="left" w:pos="1701"/>
        </w:tabs>
        <w:spacing w:after="140"/>
        <w:ind w:left="851" w:hanging="284"/>
      </w:pPr>
      <w:r>
        <w:t>–</w:t>
      </w:r>
      <w:r>
        <w:tab/>
        <w:t>при освоении профессии;</w:t>
      </w:r>
    </w:p>
    <w:p w:rsidR="00E017AA" w:rsidRDefault="00E017AA">
      <w:pPr>
        <w:tabs>
          <w:tab w:val="clear" w:pos="907"/>
          <w:tab w:val="clear" w:pos="1247"/>
          <w:tab w:val="left" w:pos="567"/>
          <w:tab w:val="left" w:pos="1701"/>
        </w:tabs>
        <w:spacing w:after="140"/>
        <w:ind w:left="851" w:hanging="284"/>
      </w:pPr>
      <w:r>
        <w:t>–</w:t>
      </w:r>
      <w:r>
        <w:tab/>
        <w:t>при членстве и/или участии в организации служащих, организации работодателей или профессиональной организации или при предоставлении льгот, которые такая организация обеспечивает своим членам;</w:t>
      </w:r>
    </w:p>
    <w:p w:rsidR="00E017AA" w:rsidRDefault="00E017AA">
      <w:pPr>
        <w:tabs>
          <w:tab w:val="clear" w:pos="907"/>
          <w:tab w:val="clear" w:pos="1247"/>
          <w:tab w:val="left" w:pos="567"/>
          <w:tab w:val="left" w:pos="1701"/>
        </w:tabs>
        <w:spacing w:after="200"/>
        <w:ind w:left="851" w:hanging="284"/>
      </w:pPr>
      <w:r>
        <w:t>–</w:t>
      </w:r>
      <w:r>
        <w:tab/>
        <w:t>при предоставлении товаров, услуг и жилья на профессиональном уровне.</w:t>
      </w:r>
    </w:p>
    <w:p w:rsidR="00E017AA" w:rsidRDefault="00E017AA">
      <w:pPr>
        <w:tabs>
          <w:tab w:val="left" w:pos="567"/>
          <w:tab w:val="left" w:pos="1134"/>
          <w:tab w:val="left" w:pos="1701"/>
        </w:tabs>
        <w:spacing w:after="200"/>
      </w:pPr>
      <w:r>
        <w:t>33.</w:t>
      </w:r>
      <w:r>
        <w:tab/>
        <w:t>Основанием для такой расширенной защиты являются директивы Европейского союза в данной области и тот факт, что защита от дискриминации по гендерному признаку должна быть такой же надежной, как и защита от дискриминации по признаку этнического происхождения, религии или иных верований, сексуальной ориентации или инвалидности.</w:t>
      </w:r>
    </w:p>
    <w:p w:rsidR="00E017AA" w:rsidRDefault="00E017AA">
      <w:pPr>
        <w:tabs>
          <w:tab w:val="left" w:pos="567"/>
          <w:tab w:val="left" w:pos="1134"/>
          <w:tab w:val="left" w:pos="1701"/>
        </w:tabs>
        <w:spacing w:after="200"/>
      </w:pPr>
      <w:r>
        <w:t>34.</w:t>
      </w:r>
      <w:r>
        <w:tab/>
        <w:t>Лицо, которое совершает дискриминационные акты или подвергает другое лицо репрессалиям, обязано возместить ущерб за соответствующие нарушения вследствие дискриминации. Работодатель обязан возместить ущерб, нанесенный действиями служащего в отношении третьих сторон.</w:t>
      </w:r>
    </w:p>
    <w:p w:rsidR="00E017AA" w:rsidRDefault="00E017AA">
      <w:pPr>
        <w:keepNext/>
        <w:tabs>
          <w:tab w:val="left" w:pos="567"/>
          <w:tab w:val="left" w:pos="1134"/>
          <w:tab w:val="left" w:pos="1701"/>
        </w:tabs>
        <w:spacing w:after="200"/>
        <w:rPr>
          <w:b/>
          <w:bCs/>
        </w:rPr>
      </w:pPr>
      <w:r>
        <w:rPr>
          <w:b/>
          <w:bCs/>
        </w:rPr>
        <w:t>Закон о равном обращении в отношении студентов университетов (2001:1286)</w:t>
      </w:r>
    </w:p>
    <w:p w:rsidR="00E017AA" w:rsidRDefault="00E017AA">
      <w:pPr>
        <w:tabs>
          <w:tab w:val="left" w:pos="567"/>
          <w:tab w:val="left" w:pos="1134"/>
          <w:tab w:val="left" w:pos="1701"/>
        </w:tabs>
        <w:spacing w:after="200"/>
      </w:pPr>
      <w:r>
        <w:t>35.</w:t>
      </w:r>
      <w:r>
        <w:tab/>
        <w:t>Закон о равном обращении, принятый 1 марта 2002 года, имеет целью содействовать равным правам студентов и абитуриентов в университетах и других высших учебных заведениях, а также борьбе с дискриминацией по гендерному признаку, по признаку этнического происхождения, религии или иных верований, сексуальной ориентации или инвалидности.</w:t>
      </w:r>
    </w:p>
    <w:p w:rsidR="00E017AA" w:rsidRDefault="00E017AA">
      <w:pPr>
        <w:tabs>
          <w:tab w:val="left" w:pos="567"/>
          <w:tab w:val="left" w:pos="1134"/>
          <w:tab w:val="left" w:pos="1701"/>
        </w:tabs>
        <w:spacing w:after="200"/>
      </w:pPr>
      <w:r>
        <w:t>36.</w:t>
      </w:r>
      <w:r>
        <w:tab/>
        <w:t>Высшие учебные заведения должны проводить целенаправленную работу по активному содействию равным правам студентов. Ежегодно учебные заведения должны составлять планы необходимых мер, которые должны включать меры по предупреждению и пресечению различных притеснений. Необходимо проводить ежегодную переоценку плана, и работа над планом должна осуществляться в тесном сотрудничестве со студентами университетов и их организациями.</w:t>
      </w:r>
    </w:p>
    <w:p w:rsidR="00E017AA" w:rsidRDefault="00E017AA">
      <w:pPr>
        <w:tabs>
          <w:tab w:val="left" w:pos="567"/>
          <w:tab w:val="left" w:pos="1134"/>
          <w:tab w:val="left" w:pos="1701"/>
        </w:tabs>
        <w:spacing w:after="200"/>
      </w:pPr>
      <w:r>
        <w:t>37.</w:t>
      </w:r>
      <w:r>
        <w:tab/>
        <w:t>Положение о запрещении прямой или косвенной дискриминации применяется, когда учебное заведение проводит прием студентов или принимает другие меры, имеющие важное значение при приеме, например вступительные экзамены. Данное положение также применяется при решении учебного заведения, например, о замене или отзыве куратора, а также в отношении других ресурсов в рамках аспирантского обучения или грантов для подготовки аспирантов. Положения о запрещении дискриминации также могут вступать в силу, когда институт принимает определенные дисциплинарные меры, такие как несправедливое исключение студента, или если соответствующие действия со стороны преподавателя приводят к тому, что студент прекращает учебу.</w:t>
      </w:r>
    </w:p>
    <w:p w:rsidR="00E017AA" w:rsidRDefault="00E017AA">
      <w:pPr>
        <w:tabs>
          <w:tab w:val="left" w:pos="567"/>
          <w:tab w:val="left" w:pos="1134"/>
          <w:tab w:val="left" w:pos="1701"/>
        </w:tabs>
        <w:spacing w:after="200"/>
      </w:pPr>
      <w:r>
        <w:t>38.</w:t>
      </w:r>
      <w:r>
        <w:tab/>
        <w:t>Данный закон также обеспечивает защиту от тех или иных притеснений. Если в высшем учебном заведении становится известно о каких-либо притеснениях по отношению к учащемуся/учащейся, инцидент должен быть расследован, и, в случае необходимости, учебное заведение должно принять меры по предупреждению подобных притеснений в дальнейшем. Под притеснениями понимаются действия, нарушающие физическую и духовную неприкосновенность студентов в процессе учебы или связанные с их этническим происхождением, сексуальной ориентацией, инвалидностью или полом либо носящие сексуальный характер.</w:t>
      </w:r>
    </w:p>
    <w:p w:rsidR="00E017AA" w:rsidRDefault="00E017AA">
      <w:pPr>
        <w:tabs>
          <w:tab w:val="left" w:pos="567"/>
          <w:tab w:val="left" w:pos="1134"/>
          <w:tab w:val="left" w:pos="1701"/>
        </w:tabs>
        <w:spacing w:after="200"/>
      </w:pPr>
      <w:r>
        <w:t>39.</w:t>
      </w:r>
      <w:r>
        <w:tab/>
        <w:t>Если высшее учебное заведение нарушает положение о запрещении дискриминации или не проводит надлежащего расследования и не принимает меры в отношении притеснений, оно может преследоваться в судебном порядке за соответствующий ущерб.</w:t>
      </w:r>
    </w:p>
    <w:p w:rsidR="00E017AA" w:rsidRDefault="00E017AA">
      <w:pPr>
        <w:keepNext/>
        <w:tabs>
          <w:tab w:val="clear" w:pos="567"/>
          <w:tab w:val="left" w:pos="1134"/>
          <w:tab w:val="left" w:pos="1701"/>
        </w:tabs>
        <w:spacing w:after="200"/>
        <w:ind w:left="0" w:firstLine="0"/>
        <w:rPr>
          <w:b/>
          <w:bCs/>
        </w:rPr>
      </w:pPr>
      <w:r>
        <w:rPr>
          <w:b/>
          <w:bCs/>
        </w:rPr>
        <w:t>Закон о запрещении дискриминации и другого унижающего достоинство детей и учащихся школы обращения (2006:67)</w:t>
      </w:r>
    </w:p>
    <w:p w:rsidR="00E017AA" w:rsidRDefault="00E017AA">
      <w:pPr>
        <w:tabs>
          <w:tab w:val="left" w:pos="567"/>
          <w:tab w:val="left" w:pos="1134"/>
          <w:tab w:val="left" w:pos="1701"/>
        </w:tabs>
        <w:spacing w:after="200"/>
      </w:pPr>
      <w:r>
        <w:t>40.</w:t>
      </w:r>
      <w:r>
        <w:tab/>
        <w:t>В законопроекте (2005/06:38) правительство представило предложение о новом законе о запрещении дискриминации и другого унижающего достоинство детей и учащихся школы обращения. Закон вступил в силу 1 апреля 2006 года и касается дошкольных учреждений, присмотра за школьниками, получающими обязательное образование или среднее школьное образование верхней ступени, а также муниципальных образовательных учреждений для взрослых. Закон имеет целью содействовать равным правам детей и учащихся школ и борьбе с дискриминацией по признаку пола, этнического происхождения, религии или других верований, сексуальной ориентации или инвалидности. Закон также призван предупреждать и останавливать иное унижающее достоинство обращение, не связанное непосредственно с перечисленными основаниями для дискриминации. Это означает, что новый закон охватывает все формы унижающего достоинство обращения, включая запугивание.</w:t>
      </w:r>
    </w:p>
    <w:p w:rsidR="00E017AA" w:rsidRDefault="00E017AA">
      <w:pPr>
        <w:keepNext/>
        <w:tabs>
          <w:tab w:val="left" w:pos="567"/>
          <w:tab w:val="left" w:pos="1134"/>
          <w:tab w:val="left" w:pos="1701"/>
        </w:tabs>
        <w:spacing w:after="200"/>
        <w:ind w:left="0" w:firstLine="0"/>
        <w:rPr>
          <w:b/>
          <w:bCs/>
        </w:rPr>
      </w:pPr>
      <w:r>
        <w:rPr>
          <w:b/>
          <w:bCs/>
        </w:rPr>
        <w:t>Статья 2 </w:t>
      </w:r>
      <w:r>
        <w:rPr>
          <w:b/>
          <w:bCs/>
          <w:lang w:val="en-US"/>
        </w:rPr>
        <w:t>c</w:t>
      </w:r>
      <w:r>
        <w:rPr>
          <w:b/>
          <w:bCs/>
        </w:rPr>
        <w:t>). Обеспечение эффективной защиты женщин от дискриминации, в частности с помощью государственных институтов; деятельность омбудсмена по вопросам равенства возможностей; осуществление надзора</w:t>
      </w:r>
    </w:p>
    <w:p w:rsidR="00E017AA" w:rsidRDefault="00E017AA">
      <w:pPr>
        <w:tabs>
          <w:tab w:val="left" w:pos="567"/>
          <w:tab w:val="left" w:pos="1134"/>
          <w:tab w:val="left" w:pos="1701"/>
        </w:tabs>
        <w:spacing w:after="200"/>
      </w:pPr>
      <w:r>
        <w:t>41.</w:t>
      </w:r>
      <w:r>
        <w:tab/>
        <w:t>Омбудсмен по вопросам равенства возможностей (ОРВ) осуществляет надзор за соблюдением вышеупомянутых законов в плане как их позитивных аспектов, так и их антидискриминационных аспектов. Если работодатель не выполняет обязанностей в отношении позитивных мер, ОРВ может обращаться в Комиссию по равным возможностям для наложения предварительного штрафа. Не существует соответствующих положений относительно санкций к высшим учебным заведениям или школам, которые не выполняют своих соответствующих обязанностей. Закон о запрете дискриминации не содержит каких-либо предписаний в отношении позитивных мер. Если какая-либо сторона нарушает положение о запрещении дискриминации по гендерному признаку, содержащееся в Законе о равных возможностях, дело может быть передано в Суд по трудовым спорам. В случае нарушений запрета дискриминации по гендерному признаку, содержащегося в Законе о равном обращении и Законе о запрете дискриминации, дело может быть передано в суд общей юрисдикции.</w:t>
      </w:r>
    </w:p>
    <w:p w:rsidR="00E017AA" w:rsidRDefault="00E017AA">
      <w:pPr>
        <w:keepNext/>
        <w:tabs>
          <w:tab w:val="left" w:pos="567"/>
          <w:tab w:val="left" w:pos="1134"/>
          <w:tab w:val="left" w:pos="1701"/>
        </w:tabs>
        <w:spacing w:after="200"/>
        <w:rPr>
          <w:b/>
          <w:bCs/>
        </w:rPr>
      </w:pPr>
      <w:r>
        <w:rPr>
          <w:b/>
          <w:bCs/>
        </w:rPr>
        <w:t>Содействие правам</w:t>
      </w:r>
    </w:p>
    <w:p w:rsidR="00E017AA" w:rsidRDefault="00E017AA">
      <w:pPr>
        <w:tabs>
          <w:tab w:val="left" w:pos="567"/>
          <w:tab w:val="left" w:pos="1134"/>
          <w:tab w:val="left" w:pos="1701"/>
        </w:tabs>
        <w:spacing w:after="200"/>
      </w:pPr>
      <w:r>
        <w:t>42.</w:t>
      </w:r>
      <w:r>
        <w:tab/>
        <w:t>С 2001 года ОРВ предоставлял новейшую информацию и проводил подготовку представителей работодателей и профсоюзов в Швеции относительно новых правил, содержащихся в Законе о равных возможностях. Такая подготовка включала меры, согласованные со специалистами по вопросам гендерного равенства в административных советах всех ленов Швеции. Подготовка и информирование были сосредоточены в первую очередь на новых правилах обследований заработной платы, предписанных в Законе о равных возможностях.</w:t>
      </w:r>
    </w:p>
    <w:p w:rsidR="00E017AA" w:rsidRDefault="00E017AA">
      <w:pPr>
        <w:tabs>
          <w:tab w:val="left" w:pos="567"/>
          <w:tab w:val="left" w:pos="1134"/>
          <w:tab w:val="left" w:pos="1701"/>
        </w:tabs>
        <w:spacing w:after="200"/>
      </w:pPr>
      <w:r>
        <w:t>43.</w:t>
      </w:r>
      <w:r>
        <w:tab/>
        <w:t>С 2001 года специальный проект в отношении заработной платы является частью обычной деятельности ОРВ, который может иметь свою собственную систему оценки для определения равной ценности оплаты труда. Это – важное дополнение к законодательству, поскольку в этом случае обязанность сравнивать работу на предмет ее равноценности возлагается на работодателей.</w:t>
      </w:r>
    </w:p>
    <w:p w:rsidR="00E017AA" w:rsidRDefault="00E017AA">
      <w:pPr>
        <w:tabs>
          <w:tab w:val="left" w:pos="567"/>
          <w:tab w:val="left" w:pos="1134"/>
          <w:tab w:val="left" w:pos="1701"/>
        </w:tabs>
        <w:spacing w:after="200"/>
      </w:pPr>
      <w:r>
        <w:t>44.</w:t>
      </w:r>
      <w:r>
        <w:tab/>
        <w:t>По указанию правительства ОРВ и четыре других государственных учреждения приняли участие в проекте по сокращению недобровольной частичной занятости. Этот проект будет завершен в 2006 году.</w:t>
      </w:r>
    </w:p>
    <w:p w:rsidR="00E017AA" w:rsidRDefault="00E017AA">
      <w:pPr>
        <w:tabs>
          <w:tab w:val="left" w:pos="567"/>
          <w:tab w:val="left" w:pos="1134"/>
          <w:tab w:val="left" w:pos="1701"/>
        </w:tabs>
        <w:spacing w:after="160"/>
      </w:pPr>
      <w:r>
        <w:t>45.</w:t>
      </w:r>
      <w:r>
        <w:tab/>
        <w:t>Омбудсмен по вопросам равенства возможностей ежегодно изучает большое число планов в отношении гендерного равенства. В период 2001–2004 годов были изучены более тысячи таких планов в государственных учреждениях, муниципалитетах, советах ленов, службах спасения и частных предприятиях. Около половины этих исследований касаются только обследований заработной платы в частных предприятиях. ОРВ также проводит текущее исследование планов в отношении гендерного равенства в ответ на сообщения, полученные от представителей трудящихся или профсоюзов.</w:t>
      </w:r>
    </w:p>
    <w:p w:rsidR="00E017AA" w:rsidRDefault="00E017AA">
      <w:pPr>
        <w:tabs>
          <w:tab w:val="left" w:pos="567"/>
          <w:tab w:val="left" w:pos="1134"/>
          <w:tab w:val="left" w:pos="1701"/>
        </w:tabs>
        <w:spacing w:after="160"/>
      </w:pPr>
      <w:r>
        <w:t>46.</w:t>
      </w:r>
      <w:r>
        <w:tab/>
        <w:t>В 2003 году омбудсмен провел кампанию по всей стране с целью информирования высших учебных заведений и студентов о содержании Закона о равном обращении.</w:t>
      </w:r>
    </w:p>
    <w:p w:rsidR="00E017AA" w:rsidRDefault="00E017AA">
      <w:pPr>
        <w:tabs>
          <w:tab w:val="left" w:pos="567"/>
          <w:tab w:val="left" w:pos="1134"/>
          <w:tab w:val="left" w:pos="1701"/>
        </w:tabs>
        <w:spacing w:after="160"/>
      </w:pPr>
      <w:r>
        <w:t>47.</w:t>
      </w:r>
      <w:r>
        <w:tab/>
        <w:t>В период 2001–2004 годов ОРВ получил 575 сообщений о случаях дискриминации. Дела, рассмотренные в Суде по трудовым спорам, включали случаи дискриминации в оплате труда, дискриминации при назначениях и гендерной дискриминации в связи с беременностью.</w:t>
      </w:r>
    </w:p>
    <w:p w:rsidR="00E017AA" w:rsidRDefault="00E017AA">
      <w:pPr>
        <w:keepNext/>
        <w:tabs>
          <w:tab w:val="left" w:pos="567"/>
          <w:tab w:val="left" w:pos="1134"/>
          <w:tab w:val="left" w:pos="1701"/>
        </w:tabs>
        <w:spacing w:after="200"/>
        <w:rPr>
          <w:b/>
          <w:bCs/>
        </w:rPr>
      </w:pPr>
      <w:r>
        <w:rPr>
          <w:b/>
          <w:bCs/>
        </w:rPr>
        <w:t>Политика в отношении меньшинств</w:t>
      </w:r>
    </w:p>
    <w:p w:rsidR="00E017AA" w:rsidRDefault="00E017AA">
      <w:pPr>
        <w:tabs>
          <w:tab w:val="left" w:pos="567"/>
          <w:tab w:val="left" w:pos="1134"/>
          <w:tab w:val="left" w:pos="1701"/>
        </w:tabs>
        <w:spacing w:after="200"/>
      </w:pPr>
      <w:r>
        <w:t>48.</w:t>
      </w:r>
      <w:r>
        <w:tab/>
        <w:t xml:space="preserve">Национальные меньшинства в Швеции представлены следующими народами: саами (которые также являются коренным народом), шведские финны, торнедальцы, цыгане (рома) и евреи. Признанными языками меньшинств являются все варианты саамского, финского, меэнкиели (язык финских торнедальцев), все варианты цыганских диалектов и идиш. </w:t>
      </w:r>
    </w:p>
    <w:p w:rsidR="00E017AA" w:rsidRDefault="00E017AA">
      <w:pPr>
        <w:tabs>
          <w:tab w:val="left" w:pos="567"/>
          <w:tab w:val="left" w:pos="1134"/>
          <w:tab w:val="left" w:pos="1701"/>
        </w:tabs>
        <w:spacing w:after="200"/>
      </w:pPr>
      <w:r>
        <w:t>49.</w:t>
      </w:r>
      <w:r>
        <w:tab/>
        <w:t>В настоящее время проводится работа по вовлечению женщин из числа национальных меньшинств в процессы принятия решений. Целью политики в отношении меньшинств является защита национальных меньшинств, содействие их участию в общественной жизни и процессах принятия решений, а также помощь в сохранении их традиционных языков. Проведение политики в отношении меньшинств основывается на учете гендерного равенства.</w:t>
      </w:r>
    </w:p>
    <w:p w:rsidR="00E017AA" w:rsidRDefault="00E017AA">
      <w:pPr>
        <w:tabs>
          <w:tab w:val="left" w:pos="567"/>
          <w:tab w:val="left" w:pos="1134"/>
          <w:tab w:val="left" w:pos="1701"/>
        </w:tabs>
        <w:spacing w:after="200"/>
      </w:pPr>
      <w:r>
        <w:t>50.</w:t>
      </w:r>
      <w:r>
        <w:tab/>
        <w:t>Правительство обеспечивает финансовую поддержку организациям, которые представляют национальные меньшинства. Одна из целей такой поддержки заключается в усилении их влияния на жизнь конкретной общины. С целью улучшения положения женщин с 2006 года правительство ввело требование, согласно которому финансовая поддержка предоставляется тем организациям, которые стремятся обеспечить, чтобы полномочия и влияние в них равномерно распределялись среди их членов – мужчин и женщин.</w:t>
      </w:r>
    </w:p>
    <w:p w:rsidR="00E017AA" w:rsidRDefault="00E017AA">
      <w:pPr>
        <w:tabs>
          <w:tab w:val="left" w:pos="567"/>
          <w:tab w:val="left" w:pos="1134"/>
          <w:tab w:val="left" w:pos="1701"/>
        </w:tabs>
        <w:spacing w:after="200"/>
      </w:pPr>
      <w:r>
        <w:t>51.</w:t>
      </w:r>
      <w:r>
        <w:tab/>
        <w:t>Омбудсмен по борьбе с этнической дискриминацией в 2002 и 2003 годах осуществил специальный проект по предупреждению этнической дискриминации цыган и борьбе с нею. Была проведена оценка возможных различий в дискриминации, которой, соответственно, подвергаются мужчины и женщины – цыгане. Однако существенных различий между мужчинами и женщинами в этом отношении выявлено не было. Таким образом, предположение, согласно которому женщины в традиционных цыганских одеждах более подвержены дискриминации, подтверждения в этих сообщениях не получило. Однако имеется большое число неподтвержденных сообщений, и в свете имеющихся суждений в отношении незаконной дискриминации есть основания подозревать, что женщины и девочки подвергаются особому риску дискриминации просто потому, что цыганская одежда делает их более заметными.</w:t>
      </w:r>
    </w:p>
    <w:p w:rsidR="00E017AA" w:rsidRDefault="00E017AA">
      <w:pPr>
        <w:tabs>
          <w:tab w:val="left" w:pos="567"/>
          <w:tab w:val="left" w:pos="1134"/>
          <w:tab w:val="left" w:pos="1701"/>
        </w:tabs>
        <w:spacing w:after="200"/>
      </w:pPr>
      <w:r>
        <w:t>52.</w:t>
      </w:r>
      <w:r>
        <w:tab/>
        <w:t>В 2002 году была создана рабочая группа цыганских женщин, которую возглавил государственный секретарь, ответственный за политику в данной области. Целью данной рабочей группы являются обсуждение и освещение положения цыганских женщин, а также расширение для них возможностей оказывать влияние. С февраля 2005 года эта рабочая группа провела ряд региональных семинаров с участием цыганских женщин и муниципальных служащих, работающих над проблемами цыган, с целью обсуждения нынешнего положения цыганских девочек и женщин в Швеции, особенно в сферах занятости и образования.</w:t>
      </w:r>
    </w:p>
    <w:p w:rsidR="00E017AA" w:rsidRDefault="00E017AA">
      <w:pPr>
        <w:keepNext/>
        <w:tabs>
          <w:tab w:val="left" w:pos="567"/>
          <w:tab w:val="left" w:pos="1134"/>
          <w:tab w:val="left" w:pos="1701"/>
        </w:tabs>
        <w:spacing w:after="200"/>
        <w:rPr>
          <w:b/>
          <w:bCs/>
        </w:rPr>
      </w:pPr>
      <w:r>
        <w:rPr>
          <w:b/>
          <w:bCs/>
        </w:rPr>
        <w:t>Политика в отношении народа саами</w:t>
      </w:r>
    </w:p>
    <w:p w:rsidR="00E017AA" w:rsidRDefault="00E017AA">
      <w:pPr>
        <w:tabs>
          <w:tab w:val="left" w:pos="567"/>
          <w:tab w:val="left" w:pos="1134"/>
          <w:tab w:val="left" w:pos="1701"/>
        </w:tabs>
        <w:spacing w:after="160"/>
      </w:pPr>
      <w:r>
        <w:t>53.</w:t>
      </w:r>
      <w:r>
        <w:tab/>
        <w:t>Правительство работает над укреплением положения саамских женщин в обществе, включая саамское. Это подчеркнуто в правительственном сообщении и плане действий в отношении гендерного равенства (см. введение). Одним из аспектов является увеличение представленности женщин в саамском парламенте. После последних (2005 год) выборов в саамский парламент 32 процента (10 из 31 члена) составляют женщины и 68 процентов – мужчины. Это означает, что представленность женщин увеличилась на 7 процентных пунктов со времени выборов в 2001 году.</w:t>
      </w:r>
    </w:p>
    <w:p w:rsidR="00E017AA" w:rsidRDefault="00E017AA">
      <w:pPr>
        <w:tabs>
          <w:tab w:val="left" w:pos="567"/>
          <w:tab w:val="left" w:pos="1134"/>
          <w:tab w:val="left" w:pos="1701"/>
        </w:tabs>
        <w:spacing w:after="200"/>
      </w:pPr>
      <w:r>
        <w:t>54.</w:t>
      </w:r>
      <w:r>
        <w:tab/>
        <w:t>В правительственном законопроекте по расширению влияния саами (Govt. Bill 2005/2006:86) предлагаются поправки к Закону об оленеводстве (1971:437) и Закону о саамском парламенте (1992:1433), цель которых – придать этим законам более нейтральный в гендерном отношении характер. Предполагается, что эти предложения обретут силу закона 1 июля 2006 года и 1 января 2007 года соответственно.</w:t>
      </w:r>
    </w:p>
    <w:p w:rsidR="00E017AA" w:rsidRDefault="00E017AA">
      <w:pPr>
        <w:tabs>
          <w:tab w:val="left" w:pos="567"/>
          <w:tab w:val="left" w:pos="1134"/>
          <w:tab w:val="left" w:pos="1701"/>
        </w:tabs>
        <w:spacing w:after="200"/>
      </w:pPr>
      <w:r>
        <w:t>55.</w:t>
      </w:r>
      <w:r>
        <w:tab/>
        <w:t>Одним из результатов программы обеспечения гендерного равенства, принятой на сессии саамского парламента 2004 года, является то, что саамские организации и объединения, получающие гранты от Совета по культуре саамского парламента, начиная с 2006 года должны постоянно представлять планы обеспечения гендерного равенства.</w:t>
      </w:r>
    </w:p>
    <w:p w:rsidR="00E017AA" w:rsidRDefault="00E017AA">
      <w:pPr>
        <w:tabs>
          <w:tab w:val="left" w:pos="567"/>
          <w:tab w:val="left" w:pos="1134"/>
          <w:tab w:val="left" w:pos="1701"/>
        </w:tabs>
        <w:spacing w:after="200"/>
      </w:pPr>
      <w:r>
        <w:t>56.</w:t>
      </w:r>
      <w:r>
        <w:tab/>
        <w:t>В смете ассигнований саамскому парламенту на 2006 год содержится еще более четкое указание о необходимости сообщать данные об участии женщин и мужчин.</w:t>
      </w:r>
    </w:p>
    <w:p w:rsidR="00E017AA" w:rsidRDefault="00E017AA">
      <w:pPr>
        <w:tabs>
          <w:tab w:val="left" w:pos="567"/>
          <w:tab w:val="left" w:pos="1134"/>
          <w:tab w:val="left" w:pos="1701"/>
        </w:tabs>
        <w:spacing w:after="200"/>
      </w:pPr>
      <w:r>
        <w:t>57.</w:t>
      </w:r>
      <w:r>
        <w:tab/>
        <w:t>Одним из конкретных шагов, направленных на укрепление гендерного равенства в саамском обществе, является проект Европейского союза о равных условиях в районе Сапми, осуществляемый под руководством Федерацией саами Швеции и совместно финансируемый Административным советом лена и Шведским агентством по экономическому и региональному росту. Этот проект является одним из первых проектов такого рода в районе проживания саами (Сапми) и направлен в первую очередь на создание сетей и обеспечение подготовки в отношении навыков общественной деятельности и руководства.</w:t>
      </w:r>
    </w:p>
    <w:p w:rsidR="00E017AA" w:rsidRDefault="00E017AA">
      <w:pPr>
        <w:keepNext/>
        <w:tabs>
          <w:tab w:val="left" w:pos="567"/>
          <w:tab w:val="left" w:pos="1134"/>
          <w:tab w:val="left" w:pos="1701"/>
        </w:tabs>
        <w:spacing w:after="200"/>
        <w:rPr>
          <w:b/>
          <w:bCs/>
        </w:rPr>
      </w:pPr>
      <w:r>
        <w:rPr>
          <w:b/>
          <w:bCs/>
        </w:rPr>
        <w:t>Политика в отношении инвалидов</w:t>
      </w:r>
    </w:p>
    <w:p w:rsidR="00E017AA" w:rsidRDefault="00E017AA">
      <w:pPr>
        <w:tabs>
          <w:tab w:val="left" w:pos="567"/>
          <w:tab w:val="left" w:pos="1134"/>
          <w:tab w:val="left" w:pos="1701"/>
        </w:tabs>
        <w:spacing w:after="200"/>
      </w:pPr>
      <w:r>
        <w:t>58.</w:t>
      </w:r>
      <w:r>
        <w:tab/>
        <w:t>Шведский омбудсмен по вопросам инвалидности обратил внимание на дискриминацию по гендерному признаку в отношении женщин-инвалидов. В сообщениях омбудсмена о случаях дискриминации должны содержаться сведения о том, сколько случаев дискриминации касается женщин и мужчин, а также девочек и мальчиков соответственно.</w:t>
      </w:r>
    </w:p>
    <w:p w:rsidR="00E017AA" w:rsidRDefault="00E017AA">
      <w:pPr>
        <w:tabs>
          <w:tab w:val="left" w:pos="567"/>
          <w:tab w:val="left" w:pos="1134"/>
          <w:tab w:val="left" w:pos="1701"/>
        </w:tabs>
        <w:spacing w:after="160"/>
      </w:pPr>
      <w:r>
        <w:t>59.</w:t>
      </w:r>
      <w:r>
        <w:tab/>
        <w:t>1 января 2006 года было создано новое государственное учреждение с целью обеспечения эффективного краткосрочного и долгосрочного осуществления национальной политики в отношении инвалидов. Это учреждение будет также нести ответственность за общую координацию политики в отношении инвалидов, что означает, что оно будет поддерживать, стимулировать и убеждать участников разных уровней в необходимости учитывать цели политики в отношении инвалидов в своей деятельности. Это учреждение призвано оказывать содействие в работе по выполнению обязательств Швеции в области защиты прав человека. Наиболее важными инструментами в этой работе будут установленные данным учреждением стандарты, а также обеспечение надлежащей подготовки и информации. Еще одной задачей этого учреждения является продолжение политики гендерного равенства в отношении инвалидов, а также привлечение внимания к различиям в условиях жизни женщин и мужчин, девочек и мальчиков с инвалидностью.</w:t>
      </w:r>
    </w:p>
    <w:p w:rsidR="00E017AA" w:rsidRDefault="00E017AA">
      <w:pPr>
        <w:keepNext/>
        <w:tabs>
          <w:tab w:val="left" w:pos="567"/>
          <w:tab w:val="left" w:pos="1134"/>
          <w:tab w:val="left" w:pos="1701"/>
        </w:tabs>
        <w:spacing w:after="200"/>
        <w:rPr>
          <w:b/>
          <w:bCs/>
        </w:rPr>
      </w:pPr>
      <w:r>
        <w:rPr>
          <w:b/>
          <w:bCs/>
        </w:rPr>
        <w:t>Статьи 2 </w:t>
      </w:r>
      <w:r>
        <w:rPr>
          <w:b/>
          <w:bCs/>
          <w:lang w:val="en-US"/>
        </w:rPr>
        <w:t>d</w:t>
      </w:r>
      <w:r>
        <w:rPr>
          <w:b/>
          <w:bCs/>
        </w:rPr>
        <w:t>)–</w:t>
      </w:r>
      <w:r>
        <w:rPr>
          <w:b/>
          <w:bCs/>
          <w:lang w:val="en-US"/>
        </w:rPr>
        <w:t>g</w:t>
      </w:r>
      <w:r>
        <w:rPr>
          <w:b/>
          <w:bCs/>
        </w:rPr>
        <w:t>)</w:t>
      </w:r>
    </w:p>
    <w:p w:rsidR="00E017AA" w:rsidRDefault="00E017AA">
      <w:pPr>
        <w:tabs>
          <w:tab w:val="left" w:pos="567"/>
          <w:tab w:val="left" w:pos="1134"/>
          <w:tab w:val="left" w:pos="1701"/>
        </w:tabs>
        <w:spacing w:after="160"/>
      </w:pPr>
      <w:r>
        <w:t>60.</w:t>
      </w:r>
      <w:r>
        <w:tab/>
        <w:t>См. второй доклад Швеции и другие разделы настоящего доклада, посвященные статье 2.</w:t>
      </w:r>
    </w:p>
    <w:p w:rsidR="00E017AA" w:rsidRDefault="00E017AA">
      <w:pPr>
        <w:keepNext/>
        <w:tabs>
          <w:tab w:val="left" w:pos="567"/>
          <w:tab w:val="left" w:pos="1134"/>
          <w:tab w:val="left" w:pos="1701"/>
        </w:tabs>
        <w:spacing w:before="80" w:after="200"/>
        <w:rPr>
          <w:b/>
          <w:bCs/>
          <w:sz w:val="24"/>
        </w:rPr>
      </w:pPr>
      <w:r>
        <w:rPr>
          <w:b/>
          <w:bCs/>
          <w:sz w:val="24"/>
        </w:rPr>
        <w:t>Статья 3.  Осуществление женщинами прав человека</w:t>
      </w:r>
    </w:p>
    <w:p w:rsidR="00E017AA" w:rsidRDefault="00E017AA">
      <w:pPr>
        <w:tabs>
          <w:tab w:val="left" w:pos="567"/>
          <w:tab w:val="left" w:pos="1134"/>
          <w:tab w:val="left" w:pos="1701"/>
        </w:tabs>
        <w:spacing w:after="160"/>
      </w:pPr>
      <w:r>
        <w:t>61.</w:t>
      </w:r>
      <w:r>
        <w:tab/>
        <w:t>См. также предыдущие доклады Швеции. Дополнительную информацию о работе правительства по содействию осуществлению женщинами прав человека см. в Дополнении 1.</w:t>
      </w:r>
    </w:p>
    <w:p w:rsidR="00E017AA" w:rsidRDefault="00E017AA">
      <w:pPr>
        <w:keepNext/>
        <w:tabs>
          <w:tab w:val="left" w:pos="567"/>
          <w:tab w:val="left" w:pos="1134"/>
          <w:tab w:val="left" w:pos="1701"/>
        </w:tabs>
        <w:spacing w:after="200"/>
        <w:rPr>
          <w:b/>
          <w:bCs/>
        </w:rPr>
      </w:pPr>
      <w:r>
        <w:rPr>
          <w:b/>
          <w:bCs/>
        </w:rPr>
        <w:t>Работа по национальному плану действий в области прав человека</w:t>
      </w:r>
    </w:p>
    <w:p w:rsidR="00E017AA" w:rsidRDefault="00E017AA">
      <w:pPr>
        <w:tabs>
          <w:tab w:val="left" w:pos="567"/>
          <w:tab w:val="left" w:pos="1134"/>
          <w:tab w:val="left" w:pos="1701"/>
        </w:tabs>
        <w:spacing w:after="200"/>
      </w:pPr>
      <w:r>
        <w:t>62.</w:t>
      </w:r>
      <w:r>
        <w:tab/>
        <w:t>В циркуляре под названием "Национальный план действий в области прав человека" (Government Communication 2001/02:83), осуществлявшемся в 2002–2004 годах, содержался обзор работы правительства по достижению долгосрочной цели обеспечения полного соблюдения прав человека в Швеции. В этом документе говорилось о мерах по содействию гендерному равенству и тем самым – осуществлению женщинами прав человека. Был сделан особый упор на ряде областей, включая вопросы рынка труда и условий работы, транспорта и информационных технологий, насилия в отношении женщин, образования, статистики и исследований. Последующая работа над первым планом действий показала, что практически все меры, описанные в этом документе, были осуществлены. Осенью 2004 года правительство возложило на генерального секретаря Международного центра имени Улофа Пальме задачу по оценке осуществления плана действий. Правительству был дан ряд рекомендаций в отношении будущей работы, в том числе о необходимости знания и осведомленности о правах человека по всему государственному сектору, с тем чтобы следующий план действий в области прав человека включал аспект гендерного равенства.</w:t>
      </w:r>
    </w:p>
    <w:p w:rsidR="00E017AA" w:rsidRDefault="00E017AA">
      <w:pPr>
        <w:tabs>
          <w:tab w:val="left" w:pos="567"/>
          <w:tab w:val="left" w:pos="1134"/>
          <w:tab w:val="left" w:pos="1701"/>
        </w:tabs>
        <w:spacing w:after="160"/>
      </w:pPr>
      <w:r>
        <w:t>63.</w:t>
      </w:r>
      <w:r>
        <w:tab/>
        <w:t>В марте 2006 года правительство приняло свой второй план действий в области прав человека, содержащийся в циркуляре под названием "Национальный план действий в области прав человека на 2006–2009 годы" (Government Communication 2005/06:95), и представило этот план риксдагу. В 2006–2009 годах будет осуществлено примерно 130 заявленных в плане мероприятий. Общая направленность плана – борьба с дискриминацией, включая гендерную дискриминацию. Экономические и социальные права, в том числе право на труд, также рассматриваются в аспекте недопущения дискриминации. Одним из важных аспектов плана действий являются меры, касающиеся насилия мужчин в отношении женщин, насилия "во имя чести", а также торговли людьми. План действий основан на обследовании положения в области прав человека в Швеции, проводившемся в 2005 году. Данное обследование включено в этот документ. Обследование и план действий были подготовлены в консультации с почти 400 представителями государственного сектора и гражданского общества.</w:t>
      </w:r>
    </w:p>
    <w:p w:rsidR="00E017AA" w:rsidRDefault="00E017AA">
      <w:pPr>
        <w:tabs>
          <w:tab w:val="left" w:pos="567"/>
          <w:tab w:val="left" w:pos="1134"/>
          <w:tab w:val="left" w:pos="1701"/>
        </w:tabs>
        <w:spacing w:after="160"/>
      </w:pPr>
      <w:r>
        <w:t>64.</w:t>
      </w:r>
      <w:r>
        <w:tab/>
        <w:t>В марте 2006 года правительство назначило Делегацию по правам человека в Швеции. Задачи Делегации, которая будет действовать до марта 2010 года, включают поддержку работы в целях достижения полного соблюдения прав человека в государственных учреждениях, муниципалитетах и советах ленов, причем основу этой работы составит вышеуказанный план действий. Делегация должна также проводить информационные и образовательные меры по правам человека и стимулировать общественные прения по правам человека в Швеции. Кроме того, Делегация должна представить предложения о том, каким образом следует продолжать оказывать поддержку полному соблюдению прав человека в Швеции, после того как Делегация завершит свою работу.</w:t>
      </w:r>
    </w:p>
    <w:p w:rsidR="00E017AA" w:rsidRDefault="00E017AA">
      <w:pPr>
        <w:keepNext/>
        <w:tabs>
          <w:tab w:val="clear" w:pos="567"/>
          <w:tab w:val="left" w:pos="1134"/>
          <w:tab w:val="left" w:pos="1701"/>
        </w:tabs>
        <w:spacing w:after="200"/>
        <w:ind w:left="0" w:firstLine="0"/>
        <w:jc w:val="left"/>
        <w:rPr>
          <w:b/>
          <w:bCs/>
        </w:rPr>
      </w:pPr>
      <w:r>
        <w:rPr>
          <w:b/>
          <w:bCs/>
        </w:rPr>
        <w:t xml:space="preserve">Работа над проблемами насилия в отношении женщин, в частности насилия мужчин </w:t>
      </w:r>
      <w:r>
        <w:rPr>
          <w:b/>
          <w:bCs/>
        </w:rPr>
        <w:br/>
        <w:t>в отношении женщин</w:t>
      </w:r>
    </w:p>
    <w:p w:rsidR="00E017AA" w:rsidRDefault="00E017AA">
      <w:pPr>
        <w:tabs>
          <w:tab w:val="left" w:pos="567"/>
          <w:tab w:val="left" w:pos="1134"/>
          <w:tab w:val="left" w:pos="1701"/>
        </w:tabs>
        <w:spacing w:after="160"/>
      </w:pPr>
      <w:r>
        <w:t>65.</w:t>
      </w:r>
      <w:r>
        <w:tab/>
        <w:t>Подверженность насилию может быть серьезным препятствием к пользованию правами человека. Политика гендерного равенства включает преобладающую ответственность за вопросы, касающиеся насилия, которому подвергаются женщины, или риска стать объектом насилия. Принятые со времени представления предыдущего доклада меры изложены ниже. Меры по предупреждению насилия "во имя чести" изложены в специальном разделе материала о статье 6. Меры по борьбе с торговлей людьми, особенно женщинами и детьми, для целей сексуальной эксплуатации и меры борьбы с проституцией изложены в разделе материала о статье 6.</w:t>
      </w:r>
    </w:p>
    <w:p w:rsidR="00E017AA" w:rsidRDefault="00E017AA">
      <w:pPr>
        <w:tabs>
          <w:tab w:val="left" w:pos="567"/>
          <w:tab w:val="left" w:pos="1134"/>
          <w:tab w:val="left" w:pos="1701"/>
        </w:tabs>
        <w:spacing w:after="200"/>
      </w:pPr>
      <w:r>
        <w:t>66.</w:t>
      </w:r>
      <w:r>
        <w:tab/>
        <w:t>Декларация о ликвидации насилия в отношении женщин, принятая Организацией Объединенных Наций в 1993 году, является отправной точкой для правительства в его усилиях по предупреждению такого насилия.</w:t>
      </w:r>
    </w:p>
    <w:p w:rsidR="00E017AA" w:rsidRDefault="00E017AA">
      <w:pPr>
        <w:tabs>
          <w:tab w:val="left" w:pos="567"/>
          <w:tab w:val="left" w:pos="1134"/>
          <w:tab w:val="left" w:pos="1701"/>
        </w:tabs>
        <w:spacing w:after="200"/>
      </w:pPr>
      <w:r>
        <w:t>67.</w:t>
      </w:r>
      <w:r>
        <w:tab/>
        <w:t>Правительство обеспечивает финансирование на ежегодной основе приютов для женщин и других организаций, занимающихся проблемой предупреждения насилия в отношении женщин, прежде всего двух национальных организаций, обеспечивающих функционирование приютов для женщин. Правительство также поддерживает кризисные центры, где мужчины оказывают помощь мужчинам в кризисной ситуации. Важной задачей таких центров является профессиональная работа с мужчинами, склонными к совершению агрессивных и жестоких поступков, с использованием консультаций и других методов.</w:t>
      </w:r>
    </w:p>
    <w:p w:rsidR="00E017AA" w:rsidRDefault="00E017AA">
      <w:pPr>
        <w:tabs>
          <w:tab w:val="left" w:pos="567"/>
          <w:tab w:val="left" w:pos="1134"/>
          <w:tab w:val="left" w:pos="1701"/>
        </w:tabs>
        <w:spacing w:after="200"/>
      </w:pPr>
      <w:r>
        <w:t>68.</w:t>
      </w:r>
      <w:r>
        <w:tab/>
        <w:t>В проекте бюджета на 2006 год предусмотрено специальное финансирование в размере 135 млн. шведских крон в год на период 2006–2008 годов, среди прочего, для усиления поддержки женщин, подвергающихся насилию, а также их детей, и предупреждения насилия мужчин в отношении женщин. Эти средства выделяются приютам для женщин, женским организациям, а также Национальному центру для подвергающихся избиению и изнасилованию женщин для превращения его в Национальный центр знаний, работа которого, как ожидается, начнется во второй половине 2006 года. В 2006 году из этих средств будет выделено 81,5 млн. шведских крон на работу приютов для женщин. Правительство подчеркивает важность улучшения поддержки женщин иностранного происхождения, женщин-инвалидов и женщин, страдающих от злоупотребления алкоголем или наркотиками, которые подвергаются насилию. [Дополнительная информация о женских организациях содержится в материале о статье 7 с).]</w:t>
      </w:r>
    </w:p>
    <w:p w:rsidR="00E017AA" w:rsidRDefault="00E017AA">
      <w:pPr>
        <w:tabs>
          <w:tab w:val="left" w:pos="567"/>
          <w:tab w:val="left" w:pos="1134"/>
          <w:tab w:val="left" w:pos="1701"/>
        </w:tabs>
        <w:spacing w:after="200"/>
      </w:pPr>
      <w:r>
        <w:t>69.</w:t>
      </w:r>
      <w:r>
        <w:tab/>
        <w:t>В правительственном законопроекте о насилии в отношении женщин (см. предыдущий доклад) поднимается вопрос о преобладании насилия в отношении женщин с инвалидностью, и это была одна из семи тематических областей работы Национального совета по проблемам насилия в отношении женщин в период 2000–2003 годов (см. раздел предыдущего доклада, посвященный статье 6).</w:t>
      </w:r>
    </w:p>
    <w:p w:rsidR="00E017AA" w:rsidRDefault="00E017AA">
      <w:pPr>
        <w:tabs>
          <w:tab w:val="left" w:pos="567"/>
          <w:tab w:val="left" w:pos="1134"/>
          <w:tab w:val="left" w:pos="1701"/>
        </w:tabs>
        <w:spacing w:after="160"/>
      </w:pPr>
      <w:r>
        <w:t>70.</w:t>
      </w:r>
      <w:r>
        <w:tab/>
        <w:t>В течение 2003 и 2004 годов административные советы ленов страны выделяли муниципалитетам средства, с тем чтобы они могли разрабатывать меры по оказанию помощи, среди прочего, злоупотребляющим наркотиками и алкоголем женщинам, которые подвергаются насилию, а также детям в семьях, взрослые члены которых практикуют насилие и дурное обращение.</w:t>
      </w:r>
    </w:p>
    <w:p w:rsidR="00E017AA" w:rsidRDefault="00E017AA">
      <w:pPr>
        <w:tabs>
          <w:tab w:val="left" w:pos="567"/>
          <w:tab w:val="left" w:pos="1134"/>
          <w:tab w:val="left" w:pos="1701"/>
        </w:tabs>
        <w:spacing w:after="160"/>
      </w:pPr>
      <w:r>
        <w:t>71.</w:t>
      </w:r>
      <w:r>
        <w:tab/>
        <w:t>В 2003 году административным советам ленов было предписано обеспечить оказание социальными службами поддержки и защиты женщин, которые подвергаются в своих семьях насилию или другим видам жестокого обращения. В 2004 году была поставлена цель, чтобы в работе по надзору особое внимание уделялось поддержке и защите женщин, подвергающихся насилию или другим видам дурного обращения.</w:t>
      </w:r>
    </w:p>
    <w:p w:rsidR="00E017AA" w:rsidRDefault="00E017AA">
      <w:pPr>
        <w:tabs>
          <w:tab w:val="left" w:pos="567"/>
          <w:tab w:val="left" w:pos="1134"/>
          <w:tab w:val="left" w:pos="1701"/>
        </w:tabs>
        <w:spacing w:after="200"/>
      </w:pPr>
      <w:r>
        <w:t>72.</w:t>
      </w:r>
      <w:r>
        <w:tab/>
        <w:t>С целью проведения обзора деятельности социальных служб, оказывающих поддержку женщинам, которые подвергаются насилию, правительство намерено осуществить исследование. В ходе данного исследования должно быть проанализировано, какую поддержку оказывают муниципалитеты подвергающимся насилию женщинам и их детям, а также представлены предложения в отношении того, как такая поддержка может быть укреплена и улучшена. Кроме того, при проведении обследования особое внимание будет обращено на то, какая поддержка предоставляется женщинам, злоупотребляющим алкоголем или наркотиками, а также женщинам-инвалидам, которые подвергаются насилию, а также женщинам и девочкам иностранного происхождения, которые подвергаются насилию. Выводы по результатам данного исследования должны быть представлены не позднее 30 июня 2006 года.</w:t>
      </w:r>
    </w:p>
    <w:p w:rsidR="00E017AA" w:rsidRDefault="00E017AA">
      <w:pPr>
        <w:keepNext/>
        <w:tabs>
          <w:tab w:val="left" w:pos="567"/>
          <w:tab w:val="left" w:pos="1134"/>
          <w:tab w:val="left" w:pos="1701"/>
        </w:tabs>
        <w:spacing w:after="200"/>
        <w:rPr>
          <w:b/>
          <w:bCs/>
        </w:rPr>
      </w:pPr>
      <w:r>
        <w:rPr>
          <w:b/>
          <w:bCs/>
        </w:rPr>
        <w:t>Законодательство</w:t>
      </w:r>
    </w:p>
    <w:p w:rsidR="00E017AA" w:rsidRDefault="00E017AA">
      <w:pPr>
        <w:tabs>
          <w:tab w:val="left" w:pos="567"/>
          <w:tab w:val="left" w:pos="1134"/>
          <w:tab w:val="left" w:pos="1701"/>
        </w:tabs>
        <w:spacing w:after="200"/>
      </w:pPr>
      <w:r>
        <w:t>73.</w:t>
      </w:r>
      <w:r>
        <w:tab/>
        <w:t>Новое законодательство о преступлениях на сексуальной почве вступило в силу 1 апреля 2005 года. Цель данного законодательства – дальнейшее укрепление и разъяснение абсолютного права каждого лица на личную и сексуальную неприкосновенность и сексуальное самоопределение, а также использование различных средств для разъяснения данных вопросов и усиления защиты детей и молодых людей от сексуального насилия.</w:t>
      </w:r>
    </w:p>
    <w:p w:rsidR="00E017AA" w:rsidRDefault="00E017AA">
      <w:pPr>
        <w:tabs>
          <w:tab w:val="left" w:pos="567"/>
          <w:tab w:val="left" w:pos="1134"/>
          <w:tab w:val="left" w:pos="1701"/>
        </w:tabs>
        <w:spacing w:after="200"/>
      </w:pPr>
      <w:r>
        <w:t>74.</w:t>
      </w:r>
      <w:r>
        <w:tab/>
        <w:t>Определение изнасилования как преступления было расширено. В качестве изнасилования должно рассматриваться большее число деяний, среди прочего, потому что критерии в отношении принуждения были снижены, а также потому что определение изнасилования было расширено и стало включать наиболее серьезные случаи сексуальной эксплуатации. Перечень обстоятельств, позволяющих считать изнасилование как совершенное с отягчающими обстоятельствами, тоже был до некоторой степени расширен. В этих положениях также указывается, что данное преступление рассматривается как совершенное при отягчающих обстоятельствах в случаях изнасилования более чем одним лицом.</w:t>
      </w:r>
    </w:p>
    <w:p w:rsidR="00E017AA" w:rsidRDefault="00E017AA">
      <w:pPr>
        <w:tabs>
          <w:tab w:val="left" w:pos="567"/>
          <w:tab w:val="left" w:pos="1134"/>
          <w:tab w:val="left" w:pos="1701"/>
        </w:tabs>
        <w:spacing w:after="200"/>
      </w:pPr>
      <w:r>
        <w:t>75.</w:t>
      </w:r>
      <w:r>
        <w:tab/>
        <w:t>1 сентября 2003 года были расширены положения Закона о запретительных судебных приказах. В новых положениях предусматривается, что запретительный судебный приказ в некоторых случаях может распространяться на более обширные районы. Запретительный судебный приказ может также применяться в отношении общего дома в том случае, если имеются особые обстоятельства, указывающие на очевидную опасность того, что лицо, на которое распространяется запретительный судебный приказ, может совершить посягательство на жизнь, здоровье, свободу или неприкосновенность проживающего совместно с ним человека.</w:t>
      </w:r>
    </w:p>
    <w:p w:rsidR="00E017AA" w:rsidRDefault="00E017AA">
      <w:pPr>
        <w:keepNext/>
        <w:tabs>
          <w:tab w:val="left" w:pos="567"/>
          <w:tab w:val="left" w:pos="1134"/>
          <w:tab w:val="left" w:pos="1701"/>
        </w:tabs>
        <w:spacing w:after="200"/>
        <w:rPr>
          <w:b/>
          <w:bCs/>
        </w:rPr>
      </w:pPr>
      <w:r>
        <w:rPr>
          <w:b/>
          <w:bCs/>
        </w:rPr>
        <w:t>Деятельность государственных органов</w:t>
      </w:r>
    </w:p>
    <w:p w:rsidR="00E017AA" w:rsidRDefault="00E017AA">
      <w:pPr>
        <w:tabs>
          <w:tab w:val="left" w:pos="567"/>
          <w:tab w:val="left" w:pos="1134"/>
          <w:tab w:val="left" w:pos="1701"/>
        </w:tabs>
        <w:spacing w:after="200"/>
      </w:pPr>
      <w:r>
        <w:t>76.</w:t>
      </w:r>
      <w:r>
        <w:tab/>
        <w:t>В 2003 году правительство решило провести расследование для выяснения и оценки структуры властных полномочий с гендерной точки зрения. Государственным учреждениям в правительственном законопроекте о насилии в отношении женщин были даны общие указания и конкретные задания (см. материал о статье 6 в предыдущем докладе). В выводах отмечалось (</w:t>
      </w:r>
      <w:r>
        <w:rPr>
          <w:lang w:val="en-US"/>
        </w:rPr>
        <w:t>SOU</w:t>
      </w:r>
      <w:r>
        <w:t xml:space="preserve"> 2004:121), что эти учреждения выполнили лишь некоторые из задач, тогда как другие задачи не были выполнены или выполнены не в полной мере. Отдельные предложения касались правительственного законопроекта о новых целях политики в области гендерного равенства (см. введение).</w:t>
      </w:r>
    </w:p>
    <w:p w:rsidR="00E017AA" w:rsidRDefault="00E017AA">
      <w:pPr>
        <w:keepNext/>
        <w:tabs>
          <w:tab w:val="left" w:pos="567"/>
          <w:tab w:val="left" w:pos="1134"/>
          <w:tab w:val="left" w:pos="1701"/>
        </w:tabs>
        <w:spacing w:after="200"/>
        <w:rPr>
          <w:b/>
          <w:bCs/>
        </w:rPr>
      </w:pPr>
      <w:r>
        <w:rPr>
          <w:b/>
          <w:bCs/>
        </w:rPr>
        <w:t>Полиция</w:t>
      </w:r>
    </w:p>
    <w:p w:rsidR="00E017AA" w:rsidRDefault="00E017AA">
      <w:pPr>
        <w:tabs>
          <w:tab w:val="left" w:pos="567"/>
          <w:tab w:val="left" w:pos="1134"/>
          <w:tab w:val="left" w:pos="1701"/>
        </w:tabs>
        <w:spacing w:after="200"/>
      </w:pPr>
      <w:r>
        <w:t>77.</w:t>
      </w:r>
      <w:r>
        <w:tab/>
        <w:t>В отношении органов полиции был осуществлен целый ряд мер, в том числе организованы учебные курсы, расширилось сотрудничество с органами социального обеспечения, службами здравоохранения и НПО, а также произведены организационные изменения. Цель заключалась как в расширении возможностей полиции в расследовании преступлений данной категории, так и в совершенствовании работы по предупреждению преступности.</w:t>
      </w:r>
    </w:p>
    <w:p w:rsidR="00E017AA" w:rsidRDefault="00E017AA">
      <w:pPr>
        <w:tabs>
          <w:tab w:val="left" w:pos="567"/>
          <w:tab w:val="left" w:pos="1134"/>
          <w:tab w:val="left" w:pos="1701"/>
        </w:tabs>
        <w:spacing w:after="200"/>
      </w:pPr>
      <w:r>
        <w:t>78.</w:t>
      </w:r>
      <w:r>
        <w:tab/>
        <w:t>В адресованных полиции документах, содержащих направления политики, правительство неизменно подчеркивает важность уделения особого внимания в борьбе с преступностью разным видам насилия в отношении женщин. Одним из путей осуществления этой приоритетной задачи на практике было предписание Национальному полицейскому управлению специально освещать данный вопрос в своих ежегодных докладах.</w:t>
      </w:r>
    </w:p>
    <w:p w:rsidR="00E017AA" w:rsidRDefault="00E017AA">
      <w:pPr>
        <w:tabs>
          <w:tab w:val="left" w:pos="567"/>
          <w:tab w:val="left" w:pos="1134"/>
          <w:tab w:val="left" w:pos="1701"/>
        </w:tabs>
        <w:spacing w:after="200"/>
      </w:pPr>
      <w:r>
        <w:t>79.</w:t>
      </w:r>
      <w:r>
        <w:tab/>
        <w:t xml:space="preserve">В ноябре 2003 года правительство поручило Национальному полицейскому управлению и Генеральной прокуратуре разработать руководящие принципы для полиции по оценке степени угрозы и оценки риска в случаях, связанных с насилием в семье. О результатах выполнения этой задачи было сообщено в июне 2004 года. Такие практика и принципы должны показать, к примеру, каким образом следует выполнять запретительные судебные приказы, как и какую информацию нужно давать соответствующим сторонам, а также какие меры необходимо принимать в случае, если лицо, находящееся под защитой запретительного судебного приказа, сообщает о факте нарушения этого приказа. </w:t>
      </w:r>
    </w:p>
    <w:p w:rsidR="00E017AA" w:rsidRDefault="00E017AA">
      <w:pPr>
        <w:tabs>
          <w:tab w:val="left" w:pos="567"/>
          <w:tab w:val="left" w:pos="1134"/>
          <w:tab w:val="left" w:pos="1701"/>
        </w:tabs>
        <w:spacing w:after="200"/>
      </w:pPr>
      <w:r>
        <w:t>80.</w:t>
      </w:r>
      <w:r>
        <w:tab/>
        <w:t>Правительство надеется, что в некоторых случаях запретительные судебные приказы можно будет сочетать с электронным наблюдением. Соответственно Национальное полицейское управление получило указание изучить различные технические решения, которые можно было бы использовать для этой цели. Результаты и выводы должны быть представлены 31 декабря 2006 года.</w:t>
      </w:r>
    </w:p>
    <w:p w:rsidR="00E017AA" w:rsidRDefault="00E017AA">
      <w:pPr>
        <w:keepNext/>
        <w:tabs>
          <w:tab w:val="left" w:pos="567"/>
          <w:tab w:val="left" w:pos="1134"/>
          <w:tab w:val="left" w:pos="1701"/>
        </w:tabs>
        <w:spacing w:after="200"/>
        <w:rPr>
          <w:b/>
          <w:bCs/>
        </w:rPr>
      </w:pPr>
      <w:r>
        <w:rPr>
          <w:b/>
          <w:bCs/>
        </w:rPr>
        <w:t>Прокуратура Швеции</w:t>
      </w:r>
    </w:p>
    <w:p w:rsidR="00E017AA" w:rsidRDefault="00E017AA">
      <w:pPr>
        <w:tabs>
          <w:tab w:val="left" w:pos="567"/>
          <w:tab w:val="left" w:pos="1134"/>
          <w:tab w:val="left" w:pos="1701"/>
        </w:tabs>
        <w:spacing w:after="200"/>
      </w:pPr>
      <w:r>
        <w:t>81.</w:t>
      </w:r>
      <w:r>
        <w:tab/>
        <w:t>Органы прокуратуры на протяжении многих лет выделяют значительные средства на борьбу с насилием в отношении женщин. Для органов прокуратуры одной из самых приоритетных задач является расследование насильственных преступлений и преступлений на сексуальной почве, совершаемых в отношении женщин. Это привело к специализации и улучшению профессиональной подготовки по этим вопросам, а также к совершенствованию методов работы. Многие местные прокуратуры также принимают участие в межучрежденческих проектах, направленных на повышение уровня осознания в обществе проблемы насилия мужчин в отношении женщин и необходимости борьбы с этим насилием.</w:t>
      </w:r>
    </w:p>
    <w:p w:rsidR="00E017AA" w:rsidRDefault="00E017AA">
      <w:pPr>
        <w:tabs>
          <w:tab w:val="left" w:pos="567"/>
          <w:tab w:val="left" w:pos="1134"/>
          <w:tab w:val="left" w:pos="1701"/>
        </w:tabs>
        <w:spacing w:after="200"/>
      </w:pPr>
      <w:r>
        <w:t>82.</w:t>
      </w:r>
      <w:r>
        <w:tab/>
        <w:t>Выделяя для Генеральной прокуратуры Швеции ассигнования, правительство неоднократно отмечало, что насильственные преступления в отношении женщин представляют собой такой вид преступлений, когда особую важность имеет оперативная разработка, и Генеральная прокуратура должна докладывать о принимаемых ею мерах по борьбе с такими преступлениями. В предусмотренных для Генеральной прокуратуры ассигнованиях на 2006 бюджетный год содержится также требование представлять отчеты о мерах по улучшению обращения с жертвами преступлений; это в особенности касается жертв насилия на сексуальной почве.</w:t>
      </w:r>
    </w:p>
    <w:p w:rsidR="00E017AA" w:rsidRDefault="00E017AA">
      <w:pPr>
        <w:tabs>
          <w:tab w:val="left" w:pos="567"/>
          <w:tab w:val="left" w:pos="1134"/>
          <w:tab w:val="left" w:pos="1701"/>
        </w:tabs>
        <w:spacing w:after="200"/>
      </w:pPr>
      <w:r>
        <w:t>83.</w:t>
      </w:r>
      <w:r>
        <w:tab/>
        <w:t xml:space="preserve">В 2003 году ряд органов прокуратуры провели расширенный анализ потенциальных возможностей доведения до суда большего числа дел, связанных с такими преступлениями. </w:t>
      </w:r>
      <w:r>
        <w:br/>
        <w:t>В числе выводов, сделанных на основе этого анализа, говорилось в том числе и о возможности совершенствования деятельности полиции на первоначальном этапе, а также о более широком применении требования о как можно более раннем привлечении прокурорского работника к предварительному расследованию.</w:t>
      </w:r>
    </w:p>
    <w:p w:rsidR="00E017AA" w:rsidRDefault="00E017AA">
      <w:pPr>
        <w:tabs>
          <w:tab w:val="left" w:pos="567"/>
          <w:tab w:val="left" w:pos="1134"/>
          <w:tab w:val="left" w:pos="1701"/>
        </w:tabs>
        <w:spacing w:after="200"/>
      </w:pPr>
      <w:r>
        <w:t>84.</w:t>
      </w:r>
      <w:r>
        <w:tab/>
        <w:t>Одним из положительных примеров оперативной разработки является тесное сотрудничество между полицейскими подразделениями по борьбе с бытовым насилием и рядом местных прокуратур, что позволяет доводить до суда большее число таких дел. Это дало возможность усовершенствовать действия полиции на первоначальном этапе и обеспечило ведущую роль прокуратуры на этапе предварительного расследования.</w:t>
      </w:r>
    </w:p>
    <w:p w:rsidR="00E017AA" w:rsidRDefault="00E017AA">
      <w:pPr>
        <w:tabs>
          <w:tab w:val="left" w:pos="567"/>
          <w:tab w:val="left" w:pos="1134"/>
          <w:tab w:val="left" w:pos="1701"/>
        </w:tabs>
        <w:spacing w:after="200"/>
      </w:pPr>
      <w:r>
        <w:t>85.</w:t>
      </w:r>
      <w:r>
        <w:tab/>
        <w:t>24 февраля 2003 года Генеральная прокуратура приняла руководящие принципы и план действий по оказанию поддержки жертвам преступлений. Они включают такие вопросы, как обращение с жертвами и доступность. План действий был рассчитан на 2003–2004 годы. Вопросы, касающиеся обращения с жертвами преступлений, включались в учебные курсы по проблемам насилия и других надругательств над женщинами.</w:t>
      </w:r>
    </w:p>
    <w:p w:rsidR="00E017AA" w:rsidRDefault="00E017AA">
      <w:pPr>
        <w:tabs>
          <w:tab w:val="left" w:pos="567"/>
          <w:tab w:val="left" w:pos="1134"/>
          <w:tab w:val="left" w:pos="1701"/>
        </w:tabs>
        <w:spacing w:after="200"/>
      </w:pPr>
      <w:r>
        <w:t>86.</w:t>
      </w:r>
      <w:r>
        <w:tab/>
        <w:t>В 2004 году Национальное полицейское управление и Генеральная прокуратура Швеции осуществили совместный обзор расследований дел об изнасиловании в целях улучшения качества таких расследований. Факты, которые были обнародованы в апреле 2005 года, свидетельствовали о наличии ряда недостатков, в том числе в отношении оказания правовой помощи потерпевшим в суде. Был принят ряд мер для повышения качества уголовных расследований и обеспечения соблюдения правил, касающихся защитников для потерпевших. Кроме того, Национальное полицейское управление и Генеральная прокуратура Швеции провели в 2005 году слушания по вопросу о мерах улучшения расследований дел об изнасиловании. Гётеборгскому Центру по совершенствованию работы было поручено продолжать деятельность в этом направлении и предпринимать инициативы, которые, как указывалось в докладе, могут быть необходимы. Новые инспекции будут осуществлены в 2006 году.</w:t>
      </w:r>
    </w:p>
    <w:p w:rsidR="00E017AA" w:rsidRDefault="00E017AA">
      <w:pPr>
        <w:tabs>
          <w:tab w:val="left" w:pos="567"/>
          <w:tab w:val="left" w:pos="1134"/>
          <w:tab w:val="left" w:pos="1701"/>
        </w:tabs>
        <w:spacing w:after="200"/>
      </w:pPr>
      <w:r>
        <w:t>87.</w:t>
      </w:r>
      <w:r>
        <w:tab/>
        <w:t xml:space="preserve">В ноябре 2005 года Генеральная прокуратура Швеции провела масштабное исследование того, каким образом осуществляются уголовные расследования грубых посягательств на неприкосновенность личности женщины. По завершении данного исследования был представлен доклад (RättsPM 2006:8 Gothenburg Development Centre). </w:t>
      </w:r>
    </w:p>
    <w:p w:rsidR="00E017AA" w:rsidRDefault="00E017AA">
      <w:pPr>
        <w:tabs>
          <w:tab w:val="left" w:pos="567"/>
          <w:tab w:val="left" w:pos="1134"/>
          <w:tab w:val="left" w:pos="1701"/>
        </w:tabs>
        <w:spacing w:after="200"/>
      </w:pPr>
      <w:r>
        <w:t>88.</w:t>
      </w:r>
      <w:r>
        <w:tab/>
        <w:t>С осени 2005 года в базовый учебный курс Генеральной прокуратуры Швеции и продвинутые учебные курсы для прокуроров включен специальный курс по проблемам дурного обращения с женщинами.</w:t>
      </w:r>
    </w:p>
    <w:p w:rsidR="00E017AA" w:rsidRDefault="00E017AA">
      <w:pPr>
        <w:keepNext/>
        <w:tabs>
          <w:tab w:val="left" w:pos="567"/>
          <w:tab w:val="left" w:pos="1134"/>
          <w:tab w:val="left" w:pos="1701"/>
        </w:tabs>
        <w:spacing w:after="200"/>
        <w:rPr>
          <w:b/>
          <w:bCs/>
        </w:rPr>
      </w:pPr>
      <w:r>
        <w:rPr>
          <w:b/>
          <w:bCs/>
        </w:rPr>
        <w:t>Суды</w:t>
      </w:r>
    </w:p>
    <w:p w:rsidR="00E017AA" w:rsidRDefault="00E017AA">
      <w:pPr>
        <w:tabs>
          <w:tab w:val="left" w:pos="567"/>
          <w:tab w:val="left" w:pos="1134"/>
          <w:tab w:val="left" w:pos="1701"/>
        </w:tabs>
        <w:spacing w:after="200"/>
      </w:pPr>
      <w:r>
        <w:t>89.</w:t>
      </w:r>
      <w:r>
        <w:tab/>
        <w:t>В самых разных контекстах правительство подчеркивает важное значение большей общей информированности в рамках судебной системы по вопросам гендерного равенства, касающимся, например, отношения к женщинам, ставшим объектом преступных действий, таких как торговля людьми, или изнасилование, или другие виды насилия, а также обращения с такими женщинами.</w:t>
      </w:r>
    </w:p>
    <w:p w:rsidR="00E017AA" w:rsidRDefault="00E017AA">
      <w:pPr>
        <w:tabs>
          <w:tab w:val="left" w:pos="567"/>
          <w:tab w:val="left" w:pos="1134"/>
          <w:tab w:val="left" w:pos="1701"/>
        </w:tabs>
        <w:spacing w:after="200"/>
      </w:pPr>
      <w:r>
        <w:t>90.</w:t>
      </w:r>
      <w:r>
        <w:tab/>
        <w:t xml:space="preserve">В минувшем году Национальное судебное управление предприняло шаги по расширению профессиональной подготовки по вопросам, касающимся насилия в отношении женщин. </w:t>
      </w:r>
      <w:r>
        <w:br/>
        <w:t>В 2003 и 2004 годах в обычные курсы повышения квалификации для судей был включен вопрос о насилии мужчин в отношении женщин. Кроме того, в обязательный курс подготовки для вновь назначенных судей включены вопросы, касающиеся обращения с жертвами, а также гендерного равенства в целом.</w:t>
      </w:r>
    </w:p>
    <w:p w:rsidR="00E017AA" w:rsidRDefault="00E017AA">
      <w:pPr>
        <w:tabs>
          <w:tab w:val="left" w:pos="567"/>
          <w:tab w:val="left" w:pos="1134"/>
          <w:tab w:val="left" w:pos="1701"/>
        </w:tabs>
        <w:spacing w:after="200"/>
      </w:pPr>
      <w:r>
        <w:t>91.</w:t>
      </w:r>
      <w:r>
        <w:tab/>
        <w:t xml:space="preserve">В 2005 году был организован специальный курс, касающийся нового законодательства в области преступлений с применением насилия, который будет продолжен в 2006 году. </w:t>
      </w:r>
      <w:r>
        <w:br/>
        <w:t>В 2005 году был также введен новый курс по проблеме торговли людьми.</w:t>
      </w:r>
    </w:p>
    <w:p w:rsidR="00E017AA" w:rsidRDefault="00E017AA">
      <w:pPr>
        <w:tabs>
          <w:tab w:val="left" w:pos="567"/>
          <w:tab w:val="left" w:pos="1134"/>
          <w:tab w:val="left" w:pos="1701"/>
        </w:tabs>
        <w:spacing w:after="200"/>
      </w:pPr>
      <w:r>
        <w:t>92.</w:t>
      </w:r>
      <w:r>
        <w:tab/>
        <w:t>Кроме того, в феврале 2006 года правительство возложило на Национальное судебное управление задачу организации специального учебного курса по расширению познаний судей относительно преступлений "во имя чести" в отношении девушек и молодых женщин.</w:t>
      </w:r>
    </w:p>
    <w:p w:rsidR="00E017AA" w:rsidRDefault="00E017AA">
      <w:pPr>
        <w:keepNext/>
        <w:tabs>
          <w:tab w:val="clear" w:pos="567"/>
          <w:tab w:val="left" w:pos="1134"/>
          <w:tab w:val="left" w:pos="1701"/>
        </w:tabs>
        <w:spacing w:after="200"/>
        <w:ind w:left="0" w:firstLine="0"/>
        <w:jc w:val="left"/>
        <w:rPr>
          <w:b/>
          <w:bCs/>
        </w:rPr>
      </w:pPr>
      <w:r>
        <w:rPr>
          <w:b/>
          <w:bCs/>
        </w:rPr>
        <w:t xml:space="preserve">Национальный совет по предупреждению преступности и Управление по реабилитации </w:t>
      </w:r>
      <w:r>
        <w:rPr>
          <w:b/>
          <w:bCs/>
        </w:rPr>
        <w:br/>
        <w:t>и оказанию помощи жертвам преступлений</w:t>
      </w:r>
    </w:p>
    <w:p w:rsidR="00E017AA" w:rsidRDefault="00E017AA">
      <w:pPr>
        <w:tabs>
          <w:tab w:val="left" w:pos="567"/>
          <w:tab w:val="left" w:pos="1134"/>
          <w:tab w:val="left" w:pos="1701"/>
        </w:tabs>
        <w:spacing w:after="200"/>
      </w:pPr>
      <w:r>
        <w:t>93.</w:t>
      </w:r>
      <w:r>
        <w:tab/>
        <w:t xml:space="preserve">В 2004 году правительство провело исследование в отношении вопросов, касающихся жертв преступлений на сексуальной почве. Выводы данного исследования были обнародованы в ноябре 2005 года. Один из выводов, особо отмеченный в докладе, касается возможных причин того, почему о преступлениях на сексуальной почве не сообщается. В связи с этим предлагаются меры с целью побудить потерпевших сообщать о преступлениях и минимизировать стресс, испытываемый потерпевшим(ей) на протяжении судебного разбирательства. Одним из предложений было также поручение Национальному совету по предупреждению преступности разработать, совместно с омбудсменом по вопросам равных возможностей, справочный материал для молодых людей с целью освещения вопросов сексуальных домогательств и отношения к ним в обществе. На эти цели в бюджете на 2006 год выделены соответствующие ассигнования. В рамках ассигнований на 2006 год Управление по реабилитации и оказанию поддержки жертвам преступлений должно было разработать национальную координационную программу помощи жертвам преступлений в общинах. Задача данной программы – обратить особое внимание на проблему преступлений на сексуальной почве. Кроме того, указанному Управлению поручено создать портал в отношении потерпевших, а также национальный центр анализа и синтеза информации, содержащий, среди прочего, и информацию о сексуальных преступлениях. </w:t>
      </w:r>
      <w:r>
        <w:br/>
        <w:t>В консультационных целях были распространены законодательные предложения, вытекающие из вышеупомянутого исследования.</w:t>
      </w:r>
    </w:p>
    <w:p w:rsidR="00E017AA" w:rsidRDefault="00E017AA">
      <w:pPr>
        <w:tabs>
          <w:tab w:val="left" w:pos="567"/>
          <w:tab w:val="left" w:pos="1134"/>
          <w:tab w:val="left" w:pos="1701"/>
        </w:tabs>
        <w:spacing w:after="200"/>
        <w:rPr>
          <w:iCs/>
          <w:lang w:val="en-US"/>
        </w:rPr>
      </w:pPr>
      <w:r>
        <w:t>94.</w:t>
      </w:r>
      <w:r>
        <w:tab/>
        <w:t>По поручению правительства Управление по реабилитации и оказанию поддержки жертвам преступлений провело специальное исследование, касающееся женщин – жертв насилия со стороны мужчин, и опубликовало доклад «Королева в неволе. Насилие мужчин в отношении женщин в "равноправной" Швеции: изучение распространенности» (</w:t>
      </w:r>
      <w:r>
        <w:rPr>
          <w:iCs/>
          <w:lang w:val="en-US"/>
        </w:rPr>
        <w:t>Captured</w:t>
      </w:r>
      <w:r>
        <w:rPr>
          <w:iCs/>
        </w:rPr>
        <w:t xml:space="preserve"> </w:t>
      </w:r>
      <w:r>
        <w:rPr>
          <w:iCs/>
          <w:lang w:val="en-US"/>
        </w:rPr>
        <w:t>Queen</w:t>
      </w:r>
      <w:r>
        <w:rPr>
          <w:iCs/>
        </w:rPr>
        <w:t xml:space="preserve">. </w:t>
      </w:r>
      <w:r>
        <w:rPr>
          <w:iCs/>
          <w:lang w:val="en-US"/>
        </w:rPr>
        <w:t xml:space="preserve">Men’s violence against women in "equal" </w:t>
      </w:r>
      <w:smartTag w:uri="urn:schemas-microsoft-com:office:smarttags" w:element="country-region">
        <w:smartTag w:uri="urn:schemas-microsoft-com:office:smarttags" w:element="place">
          <w:r>
            <w:rPr>
              <w:iCs/>
              <w:lang w:val="en-US"/>
            </w:rPr>
            <w:t>Sweden</w:t>
          </w:r>
        </w:smartTag>
      </w:smartTag>
      <w:r>
        <w:rPr>
          <w:iCs/>
          <w:lang w:val="en-US"/>
        </w:rPr>
        <w:t xml:space="preserve"> – a prevalence study).</w:t>
      </w:r>
    </w:p>
    <w:p w:rsidR="00E017AA" w:rsidRDefault="00E017AA">
      <w:pPr>
        <w:tabs>
          <w:tab w:val="left" w:pos="567"/>
          <w:tab w:val="left" w:pos="1134"/>
          <w:tab w:val="left" w:pos="1701"/>
        </w:tabs>
        <w:spacing w:after="200"/>
      </w:pPr>
      <w:r>
        <w:t>95.</w:t>
      </w:r>
      <w:r>
        <w:tab/>
        <w:t xml:space="preserve">В 2004 году правительство поручило Национальному совету по предупреждению преступности провести оценку выполнения принятых мер и применения Закона о запретительных судебных приказах. Доклад о выполнении данного поручения должен быть представлен в марте 2007 года. Промежуточный доклад, представленный в июле 2005 года, свидетельствует о том, что число обращений на выдачу запретительных судебных приказов возрастает, а доля нарушений запретительных судебных приказов осталась на уровне предыдущей оценки, проведенной в 2003 году. Примерно две трети всех запретительных приказов, выданных обвинителями, выполняются. </w:t>
      </w:r>
    </w:p>
    <w:p w:rsidR="00E017AA" w:rsidRDefault="00E017AA">
      <w:pPr>
        <w:keepNext/>
        <w:tabs>
          <w:tab w:val="left" w:pos="567"/>
          <w:tab w:val="left" w:pos="1134"/>
          <w:tab w:val="left" w:pos="1701"/>
        </w:tabs>
        <w:spacing w:after="200"/>
        <w:rPr>
          <w:b/>
          <w:bCs/>
          <w:i/>
        </w:rPr>
      </w:pPr>
      <w:r>
        <w:rPr>
          <w:b/>
          <w:bCs/>
        </w:rPr>
        <w:t xml:space="preserve">Управление по тюрьмам и по работе с условно осужденными </w:t>
      </w:r>
    </w:p>
    <w:p w:rsidR="00E017AA" w:rsidRDefault="00E017AA">
      <w:pPr>
        <w:tabs>
          <w:tab w:val="left" w:pos="567"/>
          <w:tab w:val="left" w:pos="1134"/>
          <w:tab w:val="left" w:pos="1701"/>
        </w:tabs>
        <w:spacing w:after="200"/>
      </w:pPr>
      <w:r>
        <w:t>96.</w:t>
      </w:r>
      <w:r>
        <w:tab/>
        <w:t>Управление по тюрьмам и по работе с условно осужденными вырабатывает воспитательные меры в отношении мужчин, осужденных за насилие в отношении женщин. Основное внимание сосредоточено на таких мужчинах и на том, какие воспитательные меры необходимы, чтобы предотвратить рецидив насильственных действий с их стороны. Совместно с Министерством внутренних дел Соединенного Королевства разрабатываются основанные на исследованиях и поддающиеся оценке воспитательные меры в отношении лиц, осужденных за бытовое насилие. Большое внимание уделяется также проблеме обеспечения безопасности потерпевших во время отбывания мужчинами тюремного заключения.</w:t>
      </w:r>
    </w:p>
    <w:p w:rsidR="00E017AA" w:rsidRDefault="00E017AA">
      <w:pPr>
        <w:tabs>
          <w:tab w:val="left" w:pos="567"/>
          <w:tab w:val="left" w:pos="1134"/>
          <w:tab w:val="left" w:pos="1701"/>
        </w:tabs>
        <w:spacing w:after="200"/>
      </w:pPr>
      <w:r>
        <w:t>97.</w:t>
      </w:r>
      <w:r>
        <w:tab/>
        <w:t>Сведения в отношении бытового насилия представляют собой важный и постоянно повторяющийся аспект учебных курсов для сотрудников Управления по тюрьмам и по работе с условно осужденными.</w:t>
      </w:r>
    </w:p>
    <w:p w:rsidR="00E017AA" w:rsidRDefault="00E017AA">
      <w:pPr>
        <w:keepNext/>
        <w:tabs>
          <w:tab w:val="left" w:pos="567"/>
          <w:tab w:val="left" w:pos="1134"/>
          <w:tab w:val="left" w:pos="1701"/>
        </w:tabs>
        <w:spacing w:after="200"/>
        <w:rPr>
          <w:b/>
          <w:bCs/>
          <w:i/>
        </w:rPr>
      </w:pPr>
      <w:r>
        <w:rPr>
          <w:b/>
          <w:bCs/>
        </w:rPr>
        <w:t xml:space="preserve">Национальное управление по здравоохранению и социальному обеспечению </w:t>
      </w:r>
    </w:p>
    <w:p w:rsidR="00E017AA" w:rsidRDefault="00E017AA">
      <w:pPr>
        <w:tabs>
          <w:tab w:val="left" w:pos="567"/>
          <w:tab w:val="left" w:pos="1134"/>
          <w:tab w:val="left" w:pos="1701"/>
        </w:tabs>
        <w:spacing w:after="200"/>
      </w:pPr>
      <w:r>
        <w:t>98.</w:t>
      </w:r>
      <w:r>
        <w:tab/>
        <w:t>Национальное управление по здравоохранению и социальному обеспечению сообщает о постоянном позитивном развитии в деле оказания социальными службами поддержки женщинам, подвергающимся насилию, однако считает эти меры все еще недостаточными. Существует очевидная необходимость в расширении межпрофессионального сотрудничества и принятии совместных решений в смежных областях.</w:t>
      </w:r>
    </w:p>
    <w:p w:rsidR="00E017AA" w:rsidRDefault="00E017AA">
      <w:pPr>
        <w:tabs>
          <w:tab w:val="left" w:pos="567"/>
          <w:tab w:val="left" w:pos="1134"/>
          <w:tab w:val="left" w:pos="1701"/>
        </w:tabs>
        <w:spacing w:after="200"/>
      </w:pPr>
      <w:r>
        <w:t>99.</w:t>
      </w:r>
      <w:r>
        <w:tab/>
        <w:t>Правительство поручило Национальному управлению по здравоохранению и социальному обеспечению и административным советам ленов собрать сведения о количестве муниципалитетов в стране, имеющих планы действий по своей работе с женщинами, подвергшимися насилию. Такие сведения были представлены 30 октября 2005 года. В общем, примерно 70 процентов муниципалитетов имеют планы действий. В последние годы эта цифра неуклонно растет.</w:t>
      </w:r>
    </w:p>
    <w:p w:rsidR="00E017AA" w:rsidRDefault="00E017AA">
      <w:pPr>
        <w:tabs>
          <w:tab w:val="left" w:pos="567"/>
          <w:tab w:val="left" w:pos="1134"/>
          <w:tab w:val="left" w:pos="1701"/>
        </w:tabs>
        <w:spacing w:after="200"/>
      </w:pPr>
      <w:r>
        <w:t>100.</w:t>
      </w:r>
      <w:r>
        <w:tab/>
        <w:t xml:space="preserve">В рамках задачи, поставленной в правительственном законопроекте о насилии в отношении женщин (см. статью 6 предыдущего доклада), данное </w:t>
      </w:r>
      <w:r>
        <w:rPr>
          <w:caps/>
        </w:rPr>
        <w:t>у</w:t>
      </w:r>
      <w:r>
        <w:t>правление, среди прочего, опубликовало информацию и учебные материалы о насилии мужчин в отношении женщин. Кроме того, в 2003 году Управление проводило отслеживание хода обучения сотрудников ряда органов, работающих в данной сфере, во время проведения реформы, касающейся насилия в отношении женщин. Такое отслеживание показало, что это обучение вызвало к жизни конкретные меры.</w:t>
      </w:r>
    </w:p>
    <w:p w:rsidR="00E017AA" w:rsidRDefault="00E017AA">
      <w:pPr>
        <w:tabs>
          <w:tab w:val="left" w:pos="567"/>
          <w:tab w:val="left" w:pos="1134"/>
          <w:tab w:val="left" w:pos="1701"/>
        </w:tabs>
        <w:spacing w:after="200"/>
      </w:pPr>
      <w:r>
        <w:t>101.</w:t>
      </w:r>
      <w:r>
        <w:tab/>
        <w:t>Управление инициировало осуществление проекта сотрудничества государственных учреждений по проблеме насилия в отношении женщин, в котором приняли участие 16 учреждений. Управление является ответственным за администрирование совместного веб-сайта. Задача этого веб-сайта – предоставить учреждениям возможность пользоваться содержащимися на нем сведениями в работе, касающейся насилия мужчин в отношении женщин.</w:t>
      </w:r>
    </w:p>
    <w:p w:rsidR="00E017AA" w:rsidRDefault="00E017AA">
      <w:pPr>
        <w:tabs>
          <w:tab w:val="left" w:pos="567"/>
          <w:tab w:val="left" w:pos="1134"/>
          <w:tab w:val="left" w:pos="1701"/>
        </w:tabs>
        <w:spacing w:after="200"/>
      </w:pPr>
      <w:r>
        <w:t>102.</w:t>
      </w:r>
      <w:r>
        <w:tab/>
        <w:t>Управлению было поручено подготовить к изданию сборник эффективных методов и рабочих процедур, используемых социальными службами в своей работе с подвергшимися насилию женщинами. Цель сборника – содействовать единообразию процедур в данной сфере в масштабах всей страны. Результаты и выводы должны быть представлены не позднее 30 ноября 2006 года.</w:t>
      </w:r>
    </w:p>
    <w:p w:rsidR="00E017AA" w:rsidRDefault="00E017AA">
      <w:pPr>
        <w:tabs>
          <w:tab w:val="left" w:pos="567"/>
          <w:tab w:val="left" w:pos="1134"/>
          <w:tab w:val="left" w:pos="1701"/>
        </w:tabs>
        <w:spacing w:after="200"/>
      </w:pPr>
      <w:r>
        <w:t>103.</w:t>
      </w:r>
      <w:r>
        <w:tab/>
        <w:t>В соответствии с указаниями правительства в 2005 году Управление представило социальным и иным службам письменный информационный материал для использования в работе с лицами, чьи персональные данные находятся под защитой. Большинство таких лиц – женщины, подвергающиеся угрозам со стороны бывших мужей или бывших партнеров.</w:t>
      </w:r>
    </w:p>
    <w:p w:rsidR="00E017AA" w:rsidRDefault="00E017AA">
      <w:pPr>
        <w:tabs>
          <w:tab w:val="left" w:pos="567"/>
          <w:tab w:val="left" w:pos="1134"/>
          <w:tab w:val="left" w:pos="1701"/>
        </w:tabs>
        <w:spacing w:after="200"/>
      </w:pPr>
      <w:r>
        <w:t>104.</w:t>
      </w:r>
      <w:r>
        <w:tab/>
        <w:t xml:space="preserve">В последние годы Управление поддерживает работу социальных служб с семьями, в которых наблюдаются насилие и дурное обращение, по ознакомлению с семейным правом. Эта деятельность была суммирована в представленном докладе. </w:t>
      </w:r>
    </w:p>
    <w:p w:rsidR="00E017AA" w:rsidRDefault="00E017AA">
      <w:pPr>
        <w:tabs>
          <w:tab w:val="left" w:pos="567"/>
          <w:tab w:val="left" w:pos="1134"/>
          <w:tab w:val="left" w:pos="1701"/>
        </w:tabs>
        <w:spacing w:after="200"/>
      </w:pPr>
    </w:p>
    <w:p w:rsidR="00E017AA" w:rsidRDefault="00E017AA">
      <w:pPr>
        <w:tabs>
          <w:tab w:val="left" w:pos="567"/>
          <w:tab w:val="left" w:pos="1134"/>
          <w:tab w:val="left" w:pos="1701"/>
        </w:tabs>
        <w:spacing w:after="160"/>
      </w:pPr>
      <w:r>
        <w:t>105.</w:t>
      </w:r>
      <w:r>
        <w:tab/>
        <w:t xml:space="preserve">На Управление была возложена первостепенная ответственность за осуществление национального Плана действий по предотвращению нанесения увечий женским гениталиям, принятого правительством в июне 2003 года. Была созвана международная конференция с целью обмена опытом в области эффективных методов недопущения нанесения увечий гениталиям девочек и женщин. По распоряжению правительства осенью 2005 года Управление по здравоохранению и социальному обеспечению, Национальное полицейское управление и Генеральная прокуратура организовали четыре региональные конференции по профилактической и вспомогательной работе в отношении этой проблемы. В декабре 2003 года Управлению было поручено улучшить работу по предупреждению случаев нанесения увечий гениталиям девочек и женщин в Швеции. Результаты и выводы должны быть представлены 30 июня 2006 года. </w:t>
      </w:r>
    </w:p>
    <w:p w:rsidR="00E017AA" w:rsidRDefault="00E017AA">
      <w:pPr>
        <w:tabs>
          <w:tab w:val="left" w:pos="567"/>
          <w:tab w:val="left" w:pos="1134"/>
          <w:tab w:val="left" w:pos="1701"/>
        </w:tabs>
        <w:spacing w:after="160"/>
      </w:pPr>
      <w:r>
        <w:t>106.</w:t>
      </w:r>
      <w:r>
        <w:tab/>
        <w:t>В 2005 году Управление представило доклад о положении женщин с умственными недостатками, которые подвергались насилию. В докладе обсуждаются вопросы распространенности такого вида насилия, обращения с жертвами, правовые аспекты, а также положительные примеры методов работы.</w:t>
      </w:r>
    </w:p>
    <w:p w:rsidR="00E017AA" w:rsidRDefault="00E017AA">
      <w:pPr>
        <w:keepNext/>
        <w:tabs>
          <w:tab w:val="left" w:pos="567"/>
          <w:tab w:val="left" w:pos="1134"/>
          <w:tab w:val="left" w:pos="1701"/>
        </w:tabs>
        <w:spacing w:after="200"/>
        <w:rPr>
          <w:b/>
          <w:bCs/>
          <w:i/>
        </w:rPr>
      </w:pPr>
      <w:r>
        <w:rPr>
          <w:b/>
          <w:bCs/>
        </w:rPr>
        <w:t>Преступления "во имя чести"</w:t>
      </w:r>
    </w:p>
    <w:p w:rsidR="00E017AA" w:rsidRDefault="00E017AA">
      <w:pPr>
        <w:tabs>
          <w:tab w:val="left" w:pos="567"/>
          <w:tab w:val="left" w:pos="1134"/>
          <w:tab w:val="left" w:pos="1701"/>
        </w:tabs>
        <w:spacing w:after="200"/>
      </w:pPr>
      <w:r>
        <w:t>107.</w:t>
      </w:r>
      <w:r>
        <w:tab/>
        <w:t xml:space="preserve">За прошедшие несколько лет правительство приняло специальные меры по оказанию помощи молодым людям как мужского, так и женского пола, которые подвергаются риску притеснения или преступления "во имя чести" со стороны своих близких родственников. </w:t>
      </w:r>
      <w:r>
        <w:br/>
        <w:t>На осуществление этой деятельности правительство выделило 180 млн. шведских крон на 2003–2007 годы.</w:t>
      </w:r>
    </w:p>
    <w:p w:rsidR="00E017AA" w:rsidRDefault="00E017AA">
      <w:pPr>
        <w:tabs>
          <w:tab w:val="left" w:pos="567"/>
          <w:tab w:val="left" w:pos="1134"/>
          <w:tab w:val="left" w:pos="1701"/>
        </w:tabs>
        <w:spacing w:after="200"/>
      </w:pPr>
      <w:r>
        <w:t>108.</w:t>
      </w:r>
      <w:r>
        <w:tab/>
        <w:t xml:space="preserve">По поручению правительства в 2002–2003 годах административные советы ленов определили пункты, в которых необходимо создание приютов для лиц, подвергающихся насилию, а также наметили другие меры. По оценкам административных советов ленов, примерно 1,5–2 тыс. девочек и молодых женщин подвергались угрозам и насилию со стороны своих близких родственников, и 10–15 процентов из них нуждаются в убежище. На поддержку и укрепление приютов административным советам в трех муниципальных районах столицы были выделены средства. К началу 2006 года в приютах было создано свыше 100 мест с разными видами оказываемых услуг. Наряду с задачей создания приютов, поставленной перед муниципалитетами столицы, всем районным административным советам было предписано проводить профилактическую работу, такую как принятие мер по просвещению и обучению, реализация планов по сотрудничеству и планов действий, работа по изменению стереотипных представлений и т. д. Кроме того, оказывается поддержка проектам, осуществляемым НПО и религиозными общинами. </w:t>
      </w:r>
    </w:p>
    <w:p w:rsidR="00E017AA" w:rsidRDefault="00E017AA">
      <w:pPr>
        <w:tabs>
          <w:tab w:val="left" w:pos="567"/>
          <w:tab w:val="left" w:pos="1134"/>
          <w:tab w:val="left" w:pos="1701"/>
        </w:tabs>
        <w:spacing w:after="200"/>
      </w:pPr>
      <w:r>
        <w:t>109.</w:t>
      </w:r>
      <w:r>
        <w:tab/>
        <w:t>В апреле 2006 года Национальное управление по здравоохранению и социальному обеспечению представило всеобъемлющий доклад о состоянии дел в отношении мер, принятых административными советами ленов по борьбе с преступлениями "во имя чести".</w:t>
      </w:r>
    </w:p>
    <w:p w:rsidR="00E017AA" w:rsidRDefault="00E017AA">
      <w:pPr>
        <w:tabs>
          <w:tab w:val="left" w:pos="567"/>
          <w:tab w:val="left" w:pos="1134"/>
          <w:tab w:val="left" w:pos="1701"/>
        </w:tabs>
        <w:spacing w:after="200"/>
      </w:pPr>
      <w:r>
        <w:t>110.</w:t>
      </w:r>
      <w:r>
        <w:tab/>
        <w:t xml:space="preserve">В 2005 году правительство приняло решение выделить административным советам ленов 34,5 млн. шведских крон на постоянную борьбу с этим видом насилия. В то же время перед Национальным полицейским управлением была поставлена задача обеспечить подготовку персонала на различных уровнях в рамках своего ведомства. Прокуратуре Швеции было поручено провести изучение и анализ рассмотрения дел, связанных с этим видом насилия, а также организовать для работников прокуратуры специальные учебные курсы по расширению соответствующих знаний и компетентности. Кроме того, Институт социальной работы на основе конкретных данных при Национальном управлении по здравоохранению и социальному обеспечению должен осуществлять обзор исследований принимаемых мер и оценку методов работы в странах, в которых уже давно ведется работа с уязвимыми группами молодых людей. Институт должен также отслеживать результаты применения на практике различных мер на региональном и местном уровнях с использованием специальных средств, выделяемых правительством административным советам ленов. Наконец, Комитет по предоставлению государственных грантов религиозным общинам получил финансовые средства на цели расширения своего взаимодействия с этими общинами. </w:t>
      </w:r>
    </w:p>
    <w:p w:rsidR="00E017AA" w:rsidRDefault="00E017AA">
      <w:pPr>
        <w:tabs>
          <w:tab w:val="left" w:pos="567"/>
          <w:tab w:val="left" w:pos="1134"/>
          <w:tab w:val="left" w:pos="1701"/>
        </w:tabs>
        <w:spacing w:after="200"/>
      </w:pPr>
      <w:r>
        <w:t>111.</w:t>
      </w:r>
      <w:r>
        <w:tab/>
        <w:t xml:space="preserve">В начале 2006 года правительство поручило Национальному судебному управлению организовать специальный учебный курс по расширению знаний и опыта работников судов о преступлениях "во имя чести", совершаемых в отношении девочек и молодых женщин, а также мальчиков и молодых людей. Национальному управлению по совершенствованию школьного образования было поручено разработать и осуществить меры по предупреждению такого насилия и противодействию такому насилию и притеснениям для содействия гендерному равенству в школах. Наконец, Национальному совету по делам молодежи было поручено содействовать созданию сети приютов для девочек, а также расширению знаний и опыта в этой области. </w:t>
      </w:r>
    </w:p>
    <w:p w:rsidR="00E017AA" w:rsidRDefault="00E017AA">
      <w:pPr>
        <w:tabs>
          <w:tab w:val="left" w:pos="567"/>
          <w:tab w:val="left" w:pos="1134"/>
          <w:tab w:val="left" w:pos="1701"/>
        </w:tabs>
        <w:spacing w:after="200"/>
      </w:pPr>
      <w:r>
        <w:t>112.</w:t>
      </w:r>
      <w:r>
        <w:tab/>
        <w:t>В июне 2006 года правительство выделило примерно 36 млн. шведских крон для административных советов ленов на поддержку мер по оказанию помощи девочкам и молодым женщинам, мальчикам и юношам, которые подвергаются опасности насилия "во имя чести". Из этой суммы 5 млн. шведских крон предназначены для осуществления мер на национальном или местном уровне.</w:t>
      </w:r>
    </w:p>
    <w:p w:rsidR="00E017AA" w:rsidRDefault="00E017AA">
      <w:pPr>
        <w:tabs>
          <w:tab w:val="left" w:pos="567"/>
          <w:tab w:val="left" w:pos="1134"/>
          <w:tab w:val="left" w:pos="1701"/>
        </w:tabs>
        <w:spacing w:after="200"/>
      </w:pPr>
      <w:r>
        <w:t>113.</w:t>
      </w:r>
      <w:r>
        <w:tab/>
        <w:t>В 2005 году Национальному управлению по здравоохранению и социальному обеспечению было поручено провести общенациональный обзор распространенности случаев насилия и угроз, которые "во имя чести" совершаются в отношении молодых людей их близкими родственниками. Данный обзор следует проводить с разбивкой по полу, отметив отдельно распространенность угроз и насилия "во имя чести" в отношении молодых людей из-за их сексуальной ориентации.</w:t>
      </w:r>
    </w:p>
    <w:p w:rsidR="00E017AA" w:rsidRDefault="00E017AA">
      <w:pPr>
        <w:tabs>
          <w:tab w:val="left" w:pos="567"/>
          <w:tab w:val="left" w:pos="1134"/>
          <w:tab w:val="left" w:pos="1701"/>
        </w:tabs>
        <w:spacing w:after="200"/>
        <w:rPr>
          <w:iCs/>
        </w:rPr>
      </w:pPr>
      <w:r>
        <w:t>114.</w:t>
      </w:r>
      <w:r>
        <w:tab/>
        <w:t>В конце 2004 года правительство организовало международную конференцию по проблеме насилия со стороны старших членов семьи. Был опубликован доклад конференции, озаглавленный «Борьба с насилием в отношении женщин, осуществляемым старшими членами семьи, с упором на преступления "во имя чести"» (</w:t>
      </w:r>
      <w:r>
        <w:rPr>
          <w:iCs/>
          <w:lang w:val="en-US"/>
        </w:rPr>
        <w:t>Combating</w:t>
      </w:r>
      <w:r>
        <w:rPr>
          <w:iCs/>
        </w:rPr>
        <w:t xml:space="preserve"> </w:t>
      </w:r>
      <w:r>
        <w:rPr>
          <w:iCs/>
          <w:lang w:val="en-US"/>
        </w:rPr>
        <w:t>patriarchal</w:t>
      </w:r>
      <w:r>
        <w:rPr>
          <w:iCs/>
        </w:rPr>
        <w:t xml:space="preserve"> </w:t>
      </w:r>
      <w:r>
        <w:rPr>
          <w:iCs/>
          <w:lang w:val="en-US"/>
        </w:rPr>
        <w:t>violence</w:t>
      </w:r>
      <w:r>
        <w:rPr>
          <w:iCs/>
        </w:rPr>
        <w:t xml:space="preserve"> </w:t>
      </w:r>
      <w:r>
        <w:rPr>
          <w:iCs/>
          <w:lang w:val="en-US"/>
        </w:rPr>
        <w:t>against</w:t>
      </w:r>
      <w:r>
        <w:rPr>
          <w:iCs/>
        </w:rPr>
        <w:t xml:space="preserve"> </w:t>
      </w:r>
      <w:r>
        <w:rPr>
          <w:iCs/>
          <w:lang w:val="en-US"/>
        </w:rPr>
        <w:t>women</w:t>
      </w:r>
      <w:r>
        <w:rPr>
          <w:iCs/>
        </w:rPr>
        <w:t xml:space="preserve"> – </w:t>
      </w:r>
      <w:r>
        <w:rPr>
          <w:iCs/>
          <w:lang w:val="en-US"/>
        </w:rPr>
        <w:t>focusing</w:t>
      </w:r>
      <w:r>
        <w:rPr>
          <w:iCs/>
        </w:rPr>
        <w:t xml:space="preserve"> </w:t>
      </w:r>
      <w:r>
        <w:rPr>
          <w:iCs/>
          <w:lang w:val="en-US"/>
        </w:rPr>
        <w:t>on</w:t>
      </w:r>
      <w:r>
        <w:rPr>
          <w:iCs/>
        </w:rPr>
        <w:t xml:space="preserve"> </w:t>
      </w:r>
      <w:r>
        <w:rPr>
          <w:iCs/>
          <w:lang w:val="en-US"/>
        </w:rPr>
        <w:t>violence</w:t>
      </w:r>
      <w:r>
        <w:rPr>
          <w:iCs/>
        </w:rPr>
        <w:t xml:space="preserve"> </w:t>
      </w:r>
      <w:r>
        <w:rPr>
          <w:iCs/>
          <w:lang w:val="en-US"/>
        </w:rPr>
        <w:t>in</w:t>
      </w:r>
      <w:r>
        <w:rPr>
          <w:iCs/>
        </w:rPr>
        <w:t xml:space="preserve"> </w:t>
      </w:r>
      <w:r>
        <w:rPr>
          <w:iCs/>
          <w:lang w:val="en-US"/>
        </w:rPr>
        <w:t>the</w:t>
      </w:r>
      <w:r>
        <w:rPr>
          <w:iCs/>
        </w:rPr>
        <w:t xml:space="preserve"> </w:t>
      </w:r>
      <w:r>
        <w:rPr>
          <w:iCs/>
          <w:lang w:val="en-US"/>
        </w:rPr>
        <w:t>name</w:t>
      </w:r>
      <w:r>
        <w:rPr>
          <w:iCs/>
        </w:rPr>
        <w:t xml:space="preserve"> </w:t>
      </w:r>
      <w:r>
        <w:rPr>
          <w:iCs/>
          <w:lang w:val="en-US"/>
        </w:rPr>
        <w:t>of</w:t>
      </w:r>
      <w:r>
        <w:rPr>
          <w:iCs/>
        </w:rPr>
        <w:t xml:space="preserve"> </w:t>
      </w:r>
      <w:r>
        <w:rPr>
          <w:iCs/>
          <w:lang w:val="en-US"/>
        </w:rPr>
        <w:t>honor</w:t>
      </w:r>
      <w:r>
        <w:rPr>
          <w:iCs/>
        </w:rPr>
        <w:t>).</w:t>
      </w:r>
    </w:p>
    <w:p w:rsidR="00E017AA" w:rsidRDefault="00E017AA">
      <w:pPr>
        <w:tabs>
          <w:tab w:val="left" w:pos="567"/>
          <w:tab w:val="left" w:pos="1134"/>
          <w:tab w:val="left" w:pos="1701"/>
        </w:tabs>
        <w:spacing w:after="200"/>
        <w:rPr>
          <w:iCs/>
        </w:rPr>
      </w:pPr>
      <w:r>
        <w:t>115.</w:t>
      </w:r>
      <w:r>
        <w:tab/>
        <w:t>Кроме того, правительство опубликовало доклад «Насилие со стороны старших членов семьи – угроза безопасности человека: широкий обзор мер по борьбе с насилием и притеснениями со стороны старших членов семьи, особенно деяниями, совершенными "во имя чести" и касающимися женщин, гомосексуалистов, бисексуалов и трансвеститов» (</w:t>
      </w:r>
      <w:r>
        <w:rPr>
          <w:iCs/>
          <w:lang w:val="en-US"/>
        </w:rPr>
        <w:t>Patriarchal</w:t>
      </w:r>
      <w:r>
        <w:rPr>
          <w:iCs/>
        </w:rPr>
        <w:t xml:space="preserve"> </w:t>
      </w:r>
      <w:r>
        <w:rPr>
          <w:iCs/>
          <w:lang w:val="en-US"/>
        </w:rPr>
        <w:t>violence</w:t>
      </w:r>
      <w:r>
        <w:rPr>
          <w:iCs/>
        </w:rPr>
        <w:t xml:space="preserve"> – </w:t>
      </w:r>
      <w:r>
        <w:rPr>
          <w:iCs/>
          <w:lang w:val="en-US"/>
        </w:rPr>
        <w:t>an</w:t>
      </w:r>
      <w:r>
        <w:rPr>
          <w:iCs/>
        </w:rPr>
        <w:t xml:space="preserve"> </w:t>
      </w:r>
      <w:r>
        <w:rPr>
          <w:iCs/>
          <w:lang w:val="en-US"/>
        </w:rPr>
        <w:t>attack</w:t>
      </w:r>
      <w:r>
        <w:rPr>
          <w:iCs/>
        </w:rPr>
        <w:t xml:space="preserve"> </w:t>
      </w:r>
      <w:r>
        <w:rPr>
          <w:iCs/>
          <w:lang w:val="en-US"/>
        </w:rPr>
        <w:t>on</w:t>
      </w:r>
      <w:r>
        <w:rPr>
          <w:iCs/>
        </w:rPr>
        <w:t xml:space="preserve"> </w:t>
      </w:r>
      <w:r>
        <w:rPr>
          <w:iCs/>
          <w:lang w:val="en-US"/>
        </w:rPr>
        <w:t>human</w:t>
      </w:r>
      <w:r>
        <w:rPr>
          <w:iCs/>
        </w:rPr>
        <w:t xml:space="preserve"> </w:t>
      </w:r>
      <w:r>
        <w:rPr>
          <w:iCs/>
          <w:lang w:val="en-US"/>
        </w:rPr>
        <w:t>security</w:t>
      </w:r>
      <w:r>
        <w:rPr>
          <w:iCs/>
        </w:rPr>
        <w:t xml:space="preserve"> – </w:t>
      </w:r>
      <w:r>
        <w:rPr>
          <w:iCs/>
          <w:lang w:val="en-US"/>
        </w:rPr>
        <w:t>A</w:t>
      </w:r>
      <w:r>
        <w:rPr>
          <w:iCs/>
        </w:rPr>
        <w:t xml:space="preserve"> </w:t>
      </w:r>
      <w:r>
        <w:rPr>
          <w:iCs/>
          <w:lang w:val="en-US"/>
        </w:rPr>
        <w:t>broad</w:t>
      </w:r>
      <w:r>
        <w:rPr>
          <w:iCs/>
        </w:rPr>
        <w:t xml:space="preserve"> </w:t>
      </w:r>
      <w:r>
        <w:rPr>
          <w:iCs/>
          <w:lang w:val="en-US"/>
        </w:rPr>
        <w:t>survey</w:t>
      </w:r>
      <w:r>
        <w:rPr>
          <w:iCs/>
        </w:rPr>
        <w:t xml:space="preserve"> </w:t>
      </w:r>
      <w:r>
        <w:rPr>
          <w:iCs/>
          <w:lang w:val="en-US"/>
        </w:rPr>
        <w:t>of</w:t>
      </w:r>
      <w:r>
        <w:rPr>
          <w:iCs/>
        </w:rPr>
        <w:t xml:space="preserve"> </w:t>
      </w:r>
      <w:r>
        <w:rPr>
          <w:iCs/>
          <w:lang w:val="en-US"/>
        </w:rPr>
        <w:t>measures</w:t>
      </w:r>
      <w:r>
        <w:rPr>
          <w:iCs/>
        </w:rPr>
        <w:t xml:space="preserve"> </w:t>
      </w:r>
      <w:r>
        <w:rPr>
          <w:iCs/>
          <w:lang w:val="en-US"/>
        </w:rPr>
        <w:t>to</w:t>
      </w:r>
      <w:r>
        <w:rPr>
          <w:iCs/>
        </w:rPr>
        <w:t xml:space="preserve"> </w:t>
      </w:r>
      <w:r>
        <w:rPr>
          <w:iCs/>
          <w:lang w:val="en-US"/>
        </w:rPr>
        <w:t>combat</w:t>
      </w:r>
      <w:r>
        <w:rPr>
          <w:iCs/>
        </w:rPr>
        <w:t xml:space="preserve"> </w:t>
      </w:r>
      <w:r>
        <w:rPr>
          <w:iCs/>
          <w:lang w:val="en-US"/>
        </w:rPr>
        <w:t>patriarchal</w:t>
      </w:r>
      <w:r>
        <w:rPr>
          <w:iCs/>
        </w:rPr>
        <w:t xml:space="preserve"> </w:t>
      </w:r>
      <w:r>
        <w:rPr>
          <w:iCs/>
          <w:lang w:val="en-US"/>
        </w:rPr>
        <w:t>violence</w:t>
      </w:r>
      <w:r>
        <w:rPr>
          <w:iCs/>
        </w:rPr>
        <w:t xml:space="preserve"> </w:t>
      </w:r>
      <w:r>
        <w:rPr>
          <w:iCs/>
          <w:lang w:val="en-US"/>
        </w:rPr>
        <w:t>and</w:t>
      </w:r>
      <w:r>
        <w:rPr>
          <w:iCs/>
        </w:rPr>
        <w:t xml:space="preserve"> </w:t>
      </w:r>
      <w:r>
        <w:rPr>
          <w:iCs/>
          <w:lang w:val="en-US"/>
        </w:rPr>
        <w:t>oppression</w:t>
      </w:r>
      <w:r>
        <w:rPr>
          <w:iCs/>
        </w:rPr>
        <w:t xml:space="preserve">, </w:t>
      </w:r>
      <w:r>
        <w:rPr>
          <w:iCs/>
          <w:lang w:val="en-US"/>
        </w:rPr>
        <w:t>particularly</w:t>
      </w:r>
      <w:r>
        <w:rPr>
          <w:iCs/>
        </w:rPr>
        <w:t xml:space="preserve"> </w:t>
      </w:r>
      <w:r>
        <w:rPr>
          <w:iCs/>
          <w:lang w:val="en-US"/>
        </w:rPr>
        <w:t>acts</w:t>
      </w:r>
      <w:r>
        <w:rPr>
          <w:iCs/>
        </w:rPr>
        <w:t xml:space="preserve"> </w:t>
      </w:r>
      <w:r>
        <w:rPr>
          <w:iCs/>
          <w:lang w:val="en-US"/>
        </w:rPr>
        <w:t>committed</w:t>
      </w:r>
      <w:r>
        <w:rPr>
          <w:iCs/>
        </w:rPr>
        <w:t xml:space="preserve"> </w:t>
      </w:r>
      <w:r>
        <w:rPr>
          <w:iCs/>
          <w:lang w:val="en-US"/>
        </w:rPr>
        <w:t>in</w:t>
      </w:r>
      <w:r>
        <w:rPr>
          <w:iCs/>
        </w:rPr>
        <w:t xml:space="preserve"> </w:t>
      </w:r>
      <w:r>
        <w:rPr>
          <w:iCs/>
          <w:lang w:val="en-US"/>
        </w:rPr>
        <w:t>the</w:t>
      </w:r>
      <w:r>
        <w:rPr>
          <w:iCs/>
        </w:rPr>
        <w:t xml:space="preserve"> </w:t>
      </w:r>
      <w:r>
        <w:rPr>
          <w:iCs/>
          <w:lang w:val="en-US"/>
        </w:rPr>
        <w:t>name</w:t>
      </w:r>
      <w:r>
        <w:rPr>
          <w:iCs/>
        </w:rPr>
        <w:t xml:space="preserve"> </w:t>
      </w:r>
      <w:r>
        <w:rPr>
          <w:iCs/>
          <w:lang w:val="en-US"/>
        </w:rPr>
        <w:t>of</w:t>
      </w:r>
      <w:r>
        <w:rPr>
          <w:iCs/>
        </w:rPr>
        <w:t xml:space="preserve"> </w:t>
      </w:r>
      <w:r>
        <w:rPr>
          <w:iCs/>
          <w:lang w:val="en-US"/>
        </w:rPr>
        <w:t>honour</w:t>
      </w:r>
      <w:r>
        <w:rPr>
          <w:iCs/>
        </w:rPr>
        <w:t xml:space="preserve"> </w:t>
      </w:r>
      <w:r>
        <w:rPr>
          <w:iCs/>
          <w:lang w:val="en-US"/>
        </w:rPr>
        <w:t>directed</w:t>
      </w:r>
      <w:r>
        <w:rPr>
          <w:iCs/>
        </w:rPr>
        <w:t xml:space="preserve"> </w:t>
      </w:r>
      <w:r>
        <w:rPr>
          <w:iCs/>
          <w:lang w:val="en-US"/>
        </w:rPr>
        <w:t>at</w:t>
      </w:r>
      <w:r>
        <w:rPr>
          <w:iCs/>
        </w:rPr>
        <w:t xml:space="preserve"> </w:t>
      </w:r>
      <w:r>
        <w:rPr>
          <w:iCs/>
          <w:lang w:val="en-US"/>
        </w:rPr>
        <w:t>women</w:t>
      </w:r>
      <w:r>
        <w:rPr>
          <w:iCs/>
        </w:rPr>
        <w:t xml:space="preserve">, </w:t>
      </w:r>
      <w:r>
        <w:rPr>
          <w:iCs/>
          <w:lang w:val="en-US"/>
        </w:rPr>
        <w:t>homosexuals</w:t>
      </w:r>
      <w:r>
        <w:rPr>
          <w:iCs/>
        </w:rPr>
        <w:t xml:space="preserve"> </w:t>
      </w:r>
      <w:r>
        <w:rPr>
          <w:iCs/>
          <w:lang w:val="en-US"/>
        </w:rPr>
        <w:t>and</w:t>
      </w:r>
      <w:r>
        <w:rPr>
          <w:iCs/>
        </w:rPr>
        <w:t xml:space="preserve"> </w:t>
      </w:r>
      <w:r>
        <w:rPr>
          <w:iCs/>
          <w:lang w:val="en-US"/>
        </w:rPr>
        <w:t>transgender</w:t>
      </w:r>
      <w:r>
        <w:rPr>
          <w:iCs/>
        </w:rPr>
        <w:t xml:space="preserve"> </w:t>
      </w:r>
      <w:r>
        <w:rPr>
          <w:iCs/>
          <w:lang w:val="en-US"/>
        </w:rPr>
        <w:t>persons</w:t>
      </w:r>
      <w:r>
        <w:rPr>
          <w:iCs/>
        </w:rPr>
        <w:t>).</w:t>
      </w:r>
    </w:p>
    <w:p w:rsidR="00E017AA" w:rsidRDefault="00E017AA">
      <w:pPr>
        <w:keepNext/>
        <w:tabs>
          <w:tab w:val="left" w:pos="567"/>
          <w:tab w:val="left" w:pos="1134"/>
          <w:tab w:val="left" w:pos="1701"/>
        </w:tabs>
        <w:spacing w:after="200"/>
        <w:rPr>
          <w:b/>
          <w:spacing w:val="-2"/>
          <w:sz w:val="24"/>
        </w:rPr>
      </w:pPr>
      <w:r>
        <w:rPr>
          <w:b/>
          <w:spacing w:val="-2"/>
          <w:sz w:val="24"/>
        </w:rPr>
        <w:t>Статья 4.  Меры по ускорению достижения равенства между женщинами и мужчинами</w:t>
      </w:r>
    </w:p>
    <w:p w:rsidR="00E017AA" w:rsidRDefault="00E017AA">
      <w:pPr>
        <w:keepNext/>
        <w:tabs>
          <w:tab w:val="left" w:pos="567"/>
          <w:tab w:val="left" w:pos="1134"/>
          <w:tab w:val="left" w:pos="1701"/>
        </w:tabs>
        <w:spacing w:after="200"/>
        <w:rPr>
          <w:b/>
          <w:bCs/>
        </w:rPr>
      </w:pPr>
      <w:r>
        <w:rPr>
          <w:b/>
          <w:bCs/>
        </w:rPr>
        <w:t>Разделы 4.1–4.2</w:t>
      </w:r>
    </w:p>
    <w:p w:rsidR="00E017AA" w:rsidRDefault="00E017AA">
      <w:pPr>
        <w:tabs>
          <w:tab w:val="left" w:pos="567"/>
          <w:tab w:val="left" w:pos="1134"/>
          <w:tab w:val="left" w:pos="1701"/>
        </w:tabs>
        <w:spacing w:after="200"/>
      </w:pPr>
      <w:r>
        <w:t>116.</w:t>
      </w:r>
      <w:r>
        <w:tab/>
        <w:t>См. второй и третий доклады Швеции. Меры, направленные на ускорение достижения фактического равенства в различных областях, изложены в настоящем докладе в рамках каждой соответствующей статьи.</w:t>
      </w:r>
    </w:p>
    <w:p w:rsidR="00E017AA" w:rsidRDefault="00E017AA">
      <w:pPr>
        <w:tabs>
          <w:tab w:val="left" w:pos="567"/>
          <w:tab w:val="left" w:pos="1134"/>
          <w:tab w:val="left" w:pos="1701"/>
        </w:tabs>
        <w:spacing w:after="200"/>
      </w:pPr>
      <w:r>
        <w:t>117.</w:t>
      </w:r>
      <w:r>
        <w:tab/>
        <w:t>Первоначальные сведения о шведском законодательстве, направленном на защиту материнства, содержатся в предыдущих докладах Швеции. Меры по оказанию помощи родителям в деле сочетания оплачиваемой работы с родительскими обязанностями представлены в рамках пункта 2 с) статьи 11. См. также пункт </w:t>
      </w:r>
      <w:r>
        <w:rPr>
          <w:lang w:val="en-US"/>
        </w:rPr>
        <w:t>b</w:t>
      </w:r>
      <w:r>
        <w:t>) статьи 5, касающийся родительского страхования.</w:t>
      </w:r>
    </w:p>
    <w:p w:rsidR="00E017AA" w:rsidRDefault="00E017AA">
      <w:pPr>
        <w:tabs>
          <w:tab w:val="left" w:pos="567"/>
          <w:tab w:val="left" w:pos="1134"/>
          <w:tab w:val="left" w:pos="1701"/>
        </w:tabs>
        <w:spacing w:after="200"/>
      </w:pPr>
      <w:r>
        <w:t>118.</w:t>
      </w:r>
      <w:r>
        <w:tab/>
        <w:t>В рамках Закона об отпуске по беременности и родам женщина, ожидающая ребенка, только что родившая или кормящая ребенка грудью, имеет право на перевод на другую работу с сохранением при этом положенных ей пособий, при условии что ей запрещено продолжать свою прежнюю работу согласно положениям законодательства об охране труда на производстве.</w:t>
      </w:r>
    </w:p>
    <w:p w:rsidR="00E017AA" w:rsidRDefault="00E017AA">
      <w:pPr>
        <w:tabs>
          <w:tab w:val="left" w:pos="567"/>
          <w:tab w:val="left" w:pos="1134"/>
          <w:tab w:val="left" w:pos="1701"/>
        </w:tabs>
        <w:spacing w:after="200"/>
      </w:pPr>
      <w:r>
        <w:t>119.</w:t>
      </w:r>
      <w:r>
        <w:tab/>
        <w:t xml:space="preserve">В 2002 году омбудсмен по вопросам равенства возможностей (ОРВ) провел информационную кампанию по проблеме дискриминации беременных. Кампания явилась первой частью проекта "Дети и работа" </w:t>
      </w:r>
      <w:r>
        <w:rPr>
          <w:iCs/>
        </w:rPr>
        <w:t>(</w:t>
      </w:r>
      <w:r>
        <w:rPr>
          <w:iCs/>
          <w:lang w:val="en-US"/>
        </w:rPr>
        <w:t>Children</w:t>
      </w:r>
      <w:r>
        <w:rPr>
          <w:iCs/>
        </w:rPr>
        <w:t xml:space="preserve"> </w:t>
      </w:r>
      <w:r>
        <w:rPr>
          <w:iCs/>
          <w:lang w:val="en-US"/>
        </w:rPr>
        <w:t>AND</w:t>
      </w:r>
      <w:r>
        <w:rPr>
          <w:iCs/>
        </w:rPr>
        <w:t xml:space="preserve"> </w:t>
      </w:r>
      <w:r>
        <w:rPr>
          <w:iCs/>
          <w:lang w:val="en-US"/>
        </w:rPr>
        <w:t>Jobs</w:t>
      </w:r>
      <w:r>
        <w:rPr>
          <w:iCs/>
        </w:rPr>
        <w:t>)</w:t>
      </w:r>
      <w:r>
        <w:t>, цель которой – информирование общественности о существующих положениях и правах и оказание действенного влияния на работодателей, профсоюзы и лиц, принимающих решения, в целях ликвидации дискриминации в отношении беременных. Осуществление второй части проекта, посвященной проблеме родительских обязанностей и труда, началось в 2003 году. При этом ставилась задача убедить работодателей облегчить родителям маленьких детей совмещение оплачиваемой работы с выполнением родительских обязанностей, а также информировать родителей и будущих родителей о положениях законодательства, касающихся места работы. Благодаря этой кампании удалось привлечь внимание к данному вопросу, в результате чего увеличилось число женщин, сообщающих омбудсмену о несправедливом к ним отношении в связи с беременностью. Омбудсмен по вопросам равенства возможностей способствовал урегулированию ряда дел, связанных с данной проблемой.</w:t>
      </w:r>
    </w:p>
    <w:p w:rsidR="00E017AA" w:rsidRDefault="00E017AA">
      <w:pPr>
        <w:keepNext/>
        <w:tabs>
          <w:tab w:val="left" w:pos="567"/>
          <w:tab w:val="left" w:pos="1134"/>
          <w:tab w:val="left" w:pos="1701"/>
        </w:tabs>
        <w:spacing w:before="240" w:after="200"/>
        <w:rPr>
          <w:b/>
          <w:sz w:val="24"/>
        </w:rPr>
      </w:pPr>
      <w:r>
        <w:rPr>
          <w:b/>
          <w:sz w:val="24"/>
        </w:rPr>
        <w:t>Статья 5.  Типовые модели</w:t>
      </w:r>
    </w:p>
    <w:p w:rsidR="00E017AA" w:rsidRDefault="00E017AA">
      <w:pPr>
        <w:tabs>
          <w:tab w:val="left" w:pos="567"/>
          <w:tab w:val="left" w:pos="1134"/>
          <w:tab w:val="left" w:pos="1701"/>
        </w:tabs>
        <w:spacing w:after="200"/>
      </w:pPr>
      <w:r>
        <w:t>120.</w:t>
      </w:r>
      <w:r>
        <w:tab/>
        <w:t>Данный вопрос рассматривается во введении и при описании деятельности шведского правительства по преодолению неравноправной гендерной ситуации в семье.</w:t>
      </w:r>
    </w:p>
    <w:p w:rsidR="00E017AA" w:rsidRDefault="00E017AA">
      <w:pPr>
        <w:tabs>
          <w:tab w:val="left" w:pos="567"/>
          <w:tab w:val="left" w:pos="1134"/>
          <w:tab w:val="left" w:pos="1701"/>
        </w:tabs>
        <w:spacing w:after="200"/>
      </w:pPr>
      <w:r>
        <w:t>121.</w:t>
      </w:r>
      <w:r>
        <w:tab/>
        <w:t xml:space="preserve">Статистическое бюро Швеции провело новое исследование вопроса использования времени, которое было инициировано правительством и представлено в 2002 году. Предыдущее исследование было проведено десятью годами раньше (см. четвертый доклад Швеции). Последнее исследование показывает, что в 1990-х годах разница в объеме неоплачиваемой работы, выполняемой женщинами и мужчинами, сократилась, что объясняется увеличением объема оплачиваемой работы, выполняемой женщинами, и, напротив, уменьшением объема оплачиваемой работы, выполняемой мужчинами. В данном исследовании также отмечается, что, несмотря на почти одинаковое с мужчинами участие женщин в рынке труда (оплачиваемой работе), женщины выполняют 58 процентов неоплачиваемой работы по дому. Одним из позитивных изменений является тот факт, что число дней отпуска по уходу за детьми, взятых мужчинами, несколько увеличилось. </w:t>
      </w:r>
    </w:p>
    <w:p w:rsidR="00E017AA" w:rsidRDefault="00E017AA">
      <w:pPr>
        <w:tabs>
          <w:tab w:val="left" w:pos="567"/>
          <w:tab w:val="left" w:pos="1134"/>
          <w:tab w:val="left" w:pos="1701"/>
        </w:tabs>
        <w:spacing w:after="200"/>
      </w:pPr>
      <w:r>
        <w:t>122.</w:t>
      </w:r>
      <w:r>
        <w:tab/>
        <w:t>Неравное распределение домашних обязанностей и обязанностей по уходу за членами семьи между мужчинами и женщинами затрудняет женщинам возможность иметь оплачиваемую работу, достичь тем самым экономической независимости и участвовать в жизни общества. Как отмечается во введении к настоящему докладу, в законопроекте правительства о политике в области гендерного равенства ставится новая дополнительная цель – добиться равного распределения между мужчинами и женщинами домашних обязанностей и обязанностей по уходу за членами семьи. Данная цель имеет важное значение для реализации ряда мер, включая экономическую политику в отношении семьи, обязанности по уходу за членами семьи и участия в рынке труда. Данная цель охватывает неоплачиваемую домашнюю работу, а также уход за детьми и престарелыми.</w:t>
      </w:r>
    </w:p>
    <w:p w:rsidR="00E017AA" w:rsidRDefault="00E017AA">
      <w:pPr>
        <w:keepNext/>
        <w:tabs>
          <w:tab w:val="clear" w:pos="567"/>
          <w:tab w:val="left" w:pos="1134"/>
          <w:tab w:val="left" w:pos="1701"/>
        </w:tabs>
        <w:spacing w:after="200"/>
        <w:ind w:left="0" w:firstLine="0"/>
        <w:jc w:val="left"/>
        <w:rPr>
          <w:b/>
          <w:bCs/>
        </w:rPr>
      </w:pPr>
      <w:r>
        <w:rPr>
          <w:b/>
          <w:bCs/>
        </w:rPr>
        <w:t>Пункт а) статьи 5.  Ответственность мужчин и ответственность мужчин в достижении гендерного равенства</w:t>
      </w:r>
    </w:p>
    <w:p w:rsidR="00E017AA" w:rsidRDefault="00E017AA">
      <w:pPr>
        <w:tabs>
          <w:tab w:val="left" w:pos="567"/>
          <w:tab w:val="left" w:pos="1134"/>
          <w:tab w:val="left" w:pos="1701"/>
        </w:tabs>
        <w:spacing w:after="160"/>
      </w:pPr>
      <w:r>
        <w:t>123.</w:t>
      </w:r>
      <w:r>
        <w:tab/>
        <w:t xml:space="preserve">Проект "Мужчины и гендерное равенство" </w:t>
      </w:r>
      <w:r>
        <w:rPr>
          <w:i/>
        </w:rPr>
        <w:t>(</w:t>
      </w:r>
      <w:r>
        <w:rPr>
          <w:iCs/>
          <w:lang w:val="en-US"/>
        </w:rPr>
        <w:t>Men</w:t>
      </w:r>
      <w:r>
        <w:rPr>
          <w:iCs/>
        </w:rPr>
        <w:t xml:space="preserve"> </w:t>
      </w:r>
      <w:r>
        <w:rPr>
          <w:iCs/>
          <w:lang w:val="en-US"/>
        </w:rPr>
        <w:t>and</w:t>
      </w:r>
      <w:r>
        <w:rPr>
          <w:iCs/>
        </w:rPr>
        <w:t xml:space="preserve"> </w:t>
      </w:r>
      <w:r>
        <w:rPr>
          <w:iCs/>
          <w:lang w:val="en-US"/>
        </w:rPr>
        <w:t>Gender</w:t>
      </w:r>
      <w:r>
        <w:rPr>
          <w:iCs/>
        </w:rPr>
        <w:t xml:space="preserve"> </w:t>
      </w:r>
      <w:r>
        <w:rPr>
          <w:iCs/>
          <w:lang w:val="en-US"/>
        </w:rPr>
        <w:t>Equality</w:t>
      </w:r>
      <w:r>
        <w:rPr>
          <w:iCs/>
        </w:rPr>
        <w:t xml:space="preserve">) </w:t>
      </w:r>
      <w:r>
        <w:t>был завершен в апреле 2002 года; изданный по его итогам доклад показал, что основной причиной нежелания мужчин участвовать в деятельности по достижению гендерного равенства является социальная структура, подразумевающая превосходство мужчин над женщинами и не предполагающая, чтобы женщины и мужчины выполняли одинаковые функции.</w:t>
      </w:r>
    </w:p>
    <w:p w:rsidR="00E017AA" w:rsidRDefault="00E017AA">
      <w:pPr>
        <w:tabs>
          <w:tab w:val="left" w:pos="567"/>
          <w:tab w:val="left" w:pos="1134"/>
          <w:tab w:val="left" w:pos="1701"/>
        </w:tabs>
        <w:spacing w:after="160"/>
      </w:pPr>
      <w:r>
        <w:t>124.</w:t>
      </w:r>
      <w:r>
        <w:tab/>
        <w:t>В 2005 году министр по вопросам гендерного равенства созвала два "круглых стола", посвященных ответственности мужчин за недопущение насилия мужчин в отношении женщин. В дискуссиях участвовали организации, целью деятельности которых было содействие достижению гендерного равенства, в том числе шведская Ассоциация приютов для женщин, "Мужская сеть" (</w:t>
      </w:r>
      <w:r>
        <w:rPr>
          <w:lang w:val="en-US"/>
        </w:rPr>
        <w:t>Manliga</w:t>
      </w:r>
      <w:r>
        <w:t xml:space="preserve"> </w:t>
      </w:r>
      <w:r>
        <w:rPr>
          <w:lang w:val="en-US"/>
        </w:rPr>
        <w:t>Natverket</w:t>
      </w:r>
      <w:r>
        <w:t>) и другие мужские сети связи, участвующие в решении проблемы насилия мужчин в отношении женщин, а также профсоюзы, спортивные ассоциации, представители вооруженных сил и ряд исследователей.</w:t>
      </w:r>
    </w:p>
    <w:p w:rsidR="00E017AA" w:rsidRDefault="00E017AA">
      <w:pPr>
        <w:tabs>
          <w:tab w:val="left" w:pos="567"/>
          <w:tab w:val="left" w:pos="1134"/>
          <w:tab w:val="left" w:pos="1701"/>
        </w:tabs>
        <w:spacing w:after="200"/>
      </w:pPr>
      <w:r>
        <w:t>125.</w:t>
      </w:r>
      <w:r>
        <w:tab/>
        <w:t>Одним из аспектов работы, направленной на изменение поведенческих моделей и отношений, является стимулирование отцов к использованию права на родительский отпуск. См. пункт </w:t>
      </w:r>
      <w:r>
        <w:rPr>
          <w:lang w:val="en-US"/>
        </w:rPr>
        <w:t>b</w:t>
      </w:r>
      <w:r>
        <w:t>) статьи 5, ниже.</w:t>
      </w:r>
    </w:p>
    <w:p w:rsidR="00E017AA" w:rsidRDefault="00E017AA">
      <w:pPr>
        <w:keepNext/>
        <w:tabs>
          <w:tab w:val="left" w:pos="567"/>
          <w:tab w:val="left" w:pos="1134"/>
          <w:tab w:val="left" w:pos="1701"/>
        </w:tabs>
        <w:spacing w:after="200"/>
        <w:rPr>
          <w:b/>
          <w:bCs/>
        </w:rPr>
      </w:pPr>
      <w:r>
        <w:rPr>
          <w:b/>
          <w:bCs/>
        </w:rPr>
        <w:t>Сексуализация в общественной сфере и роль средств массовой информации</w:t>
      </w:r>
    </w:p>
    <w:p w:rsidR="00E017AA" w:rsidRDefault="00E017AA">
      <w:pPr>
        <w:tabs>
          <w:tab w:val="left" w:pos="567"/>
          <w:tab w:val="left" w:pos="1134"/>
          <w:tab w:val="left" w:pos="1701"/>
        </w:tabs>
        <w:spacing w:after="160"/>
      </w:pPr>
      <w:r>
        <w:t>126.</w:t>
      </w:r>
      <w:r>
        <w:tab/>
        <w:t>Отражение гендерного фактора и ролей мужчин и женщин в средствах массовой информации, рекламном бизнесе и в других сферах общественного воздействия свидетельствует о гендерном неравенстве в обществе и в то же время способствует его увековечиванию. Исследования показывают, что за последние десять лет образы и язык становятся более вульгарными, и эта тенденция получила название "сексуализация общественной сферы". В политике правительства достижение гендерного равенства является одной из пяти приоритетных областей на текущий срок его функционирования.</w:t>
      </w:r>
    </w:p>
    <w:p w:rsidR="00E017AA" w:rsidRDefault="00E017AA">
      <w:pPr>
        <w:tabs>
          <w:tab w:val="left" w:pos="567"/>
          <w:tab w:val="left" w:pos="1134"/>
          <w:tab w:val="left" w:pos="1701"/>
        </w:tabs>
        <w:spacing w:after="200"/>
      </w:pPr>
      <w:r>
        <w:t>127.</w:t>
      </w:r>
      <w:r>
        <w:tab/>
        <w:t>В настоящее время государственными учреждениями рассматривается вопрос о расследовании случаев сексуальной дискриминации в рекламе.</w:t>
      </w:r>
    </w:p>
    <w:p w:rsidR="00E017AA" w:rsidRDefault="00E017AA">
      <w:pPr>
        <w:tabs>
          <w:tab w:val="left" w:pos="567"/>
          <w:tab w:val="left" w:pos="1134"/>
          <w:tab w:val="left" w:pos="1701"/>
        </w:tabs>
        <w:spacing w:after="200"/>
      </w:pPr>
      <w:r>
        <w:t>128.</w:t>
      </w:r>
      <w:r>
        <w:tab/>
        <w:t>Правительство выделило 2,5 млн. шведских крон на осуществление проектов, касающихся "сексуализации" в общественной сфере. Такие проекты осуществляются, и доклад по ним будет представлен в 2006 году.</w:t>
      </w:r>
    </w:p>
    <w:p w:rsidR="00E017AA" w:rsidRDefault="00E017AA">
      <w:pPr>
        <w:tabs>
          <w:tab w:val="left" w:pos="567"/>
          <w:tab w:val="left" w:pos="1134"/>
          <w:tab w:val="left" w:pos="1701"/>
        </w:tabs>
        <w:spacing w:after="160"/>
      </w:pPr>
      <w:r>
        <w:t>129.</w:t>
      </w:r>
      <w:r>
        <w:tab/>
        <w:t xml:space="preserve">Проект </w:t>
      </w:r>
      <w:r>
        <w:rPr>
          <w:lang w:val="en-US"/>
        </w:rPr>
        <w:t>FLICKA</w:t>
      </w:r>
      <w:r>
        <w:t xml:space="preserve"> был завершен в июне 2005 года. Данный проект осуществлялся с ноября 2003 года по поручению правительства; задача проекта – инициировать обсуждение проблемы коммерциализации и "сексуализации", с которыми сталкиваются девушки и юноши в своей повседневной жизни, и воздействия этих явлений на собственный имидж и имидж других. Другая цель проекта заключалась в налаживании диалога со средствами массовой информации, рекламными агентствами, рекламодателями и др. по вопросу их роли и ответственности в оказании воздействия на детей и молодых людей. В 2004 году каждый день из 25 дней, отведенных на проведение кампании, встречи проходили в одном из 25 городов. В этих мероприятиях участвовали примерно 25 тыс. юношей и девушек, обсуждавших вопросы собственного достоинства, гендерного равенства, идеалов и личности, и около 100 НПО по всей стране.</w:t>
      </w:r>
    </w:p>
    <w:p w:rsidR="00E017AA" w:rsidRDefault="00E017AA">
      <w:pPr>
        <w:tabs>
          <w:tab w:val="left" w:pos="567"/>
          <w:tab w:val="left" w:pos="1134"/>
          <w:tab w:val="left" w:pos="1701"/>
        </w:tabs>
        <w:spacing w:after="200"/>
      </w:pPr>
      <w:r>
        <w:t>130.</w:t>
      </w:r>
      <w:r>
        <w:tab/>
        <w:t>В 2003 году Совету по средствам массовой информации</w:t>
      </w:r>
      <w:r>
        <w:rPr>
          <w:iCs/>
        </w:rPr>
        <w:t xml:space="preserve">, </w:t>
      </w:r>
      <w:r>
        <w:t xml:space="preserve">называвшемуся в то время Советом по вопросам насилия в СМИ, дополнительно было поручено привносить в свою деятельность четкое гендерное видение и обращать особое внимание на отображение в СМИ насилия и порнографии, поскольку есть опасность того, что такая тематика оказывает наиболее разрушительное воздействие на детей и молодежь. В 2004 году название Совета было изменено, и он стал называться "Совет по средствам массовой информации". </w:t>
      </w:r>
      <w:r>
        <w:br/>
        <w:t xml:space="preserve">В 2005 году Совет подготовил два доклада: один – по использованию молодыми людьми средств массовой информации и воздействию последних на молодежь и второй – о мнениях относительно воздействия на молодых людей сцен насилия и порнографии в СМИ. </w:t>
      </w:r>
      <w:r>
        <w:br/>
        <w:t>В 2004 году Совет провел обзор и изучение вопроса о насилии и порнографии в отношении девочек и мальчиков в телевизионных передачах.</w:t>
      </w:r>
    </w:p>
    <w:p w:rsidR="00E017AA" w:rsidRDefault="00E017AA">
      <w:pPr>
        <w:tabs>
          <w:tab w:val="left" w:pos="567"/>
          <w:tab w:val="left" w:pos="1134"/>
          <w:tab w:val="left" w:pos="1701"/>
        </w:tabs>
        <w:spacing w:after="160"/>
      </w:pPr>
      <w:r>
        <w:t>131.</w:t>
      </w:r>
      <w:r>
        <w:tab/>
        <w:t>Деятельность Совета по средствам массовой информации сосредоточена на воздействии СМИ на детей и молодежь. В соответствии с дополнительной директивой 2003 года эта деятельность должна быть полностью сосредоточена на сокращении опасности того, что дети и молодежь окажутся под воздействием вредного содержания в материалах СМИ; при этом особое внимание следует обращать на изображение сцен насилия и порнографии. Согласно этим указаниям, Совет в своей работе должен также обладать четким гендерным видением. Это может касаться, например, сбора и мониторинга информации о том, как содержание материалов в СМИ воздействует соответственно на девочек и мальчиков, а также о различиях в использовании средств массовой информации девочками и мальчиками и о том, каковы возможные последствия таких различий.</w:t>
      </w:r>
    </w:p>
    <w:p w:rsidR="00E017AA" w:rsidRDefault="00E017AA">
      <w:pPr>
        <w:tabs>
          <w:tab w:val="left" w:pos="567"/>
          <w:tab w:val="left" w:pos="1134"/>
          <w:tab w:val="left" w:pos="1701"/>
        </w:tabs>
        <w:spacing w:after="160"/>
      </w:pPr>
      <w:r>
        <w:t>132.</w:t>
      </w:r>
      <w:r>
        <w:tab/>
        <w:t>Государственные радио и телевидение должны играть важную роль в борьбе против стереотипных представлений о мужчинах и женщинах и влияния этих представлений на гендерные роли в обществе. Правительственный законопроект о государственном радио и телевидении (законопроект 2005/06:112) содержит предложения относительно условий и принципов, которые следует применять в ходе предстоящего периода лицензирования этих каналов телерадиовещания шведским радио, шведским телевидением и шведской компанией образовательного вещания. Согласно данному законопроекту, равенство мужчин и женщин является четко выраженным аспектом фундаментального демократического идеала достижения равных прав для всех. Утверждение принципа гендерного равенства также является следствием включения "положения о демократии" в Закон о радио и телевидении.</w:t>
      </w:r>
    </w:p>
    <w:p w:rsidR="00E017AA" w:rsidRDefault="00E017AA">
      <w:pPr>
        <w:keepNext/>
        <w:tabs>
          <w:tab w:val="left" w:pos="567"/>
          <w:tab w:val="left" w:pos="1134"/>
          <w:tab w:val="left" w:pos="1701"/>
        </w:tabs>
        <w:spacing w:after="200"/>
        <w:rPr>
          <w:b/>
          <w:bCs/>
        </w:rPr>
      </w:pPr>
      <w:r>
        <w:rPr>
          <w:b/>
          <w:bCs/>
        </w:rPr>
        <w:t>Пункт </w:t>
      </w:r>
      <w:r>
        <w:rPr>
          <w:b/>
          <w:bCs/>
          <w:lang w:val="en-US"/>
        </w:rPr>
        <w:t>b</w:t>
      </w:r>
      <w:r>
        <w:rPr>
          <w:b/>
          <w:bCs/>
        </w:rPr>
        <w:t>) статьи 5. Страхование родителей, родительский отпуск, просвещение родителей</w:t>
      </w:r>
    </w:p>
    <w:p w:rsidR="00E017AA" w:rsidRDefault="00E017AA">
      <w:pPr>
        <w:tabs>
          <w:tab w:val="left" w:pos="567"/>
          <w:tab w:val="left" w:pos="1134"/>
          <w:tab w:val="left" w:pos="1701"/>
        </w:tabs>
        <w:spacing w:after="200"/>
      </w:pPr>
      <w:r>
        <w:t>133.</w:t>
      </w:r>
      <w:r>
        <w:tab/>
        <w:t>Представление о системе страхования родителей в Швеции дается в предыдущих докладах Швеции.</w:t>
      </w:r>
    </w:p>
    <w:p w:rsidR="00E017AA" w:rsidRDefault="00E017AA">
      <w:pPr>
        <w:tabs>
          <w:tab w:val="left" w:pos="567"/>
          <w:tab w:val="left" w:pos="1134"/>
          <w:tab w:val="left" w:pos="1701"/>
        </w:tabs>
        <w:spacing w:after="200"/>
      </w:pPr>
      <w:r>
        <w:t>134.</w:t>
      </w:r>
      <w:r>
        <w:tab/>
        <w:t>Как отмечается в предыдущих докладах, страхование родителей в Швеции заключается в предоставлении трех льгот: отпуска по беременности и родам, родительского отпуска и временного родительского отпуска.</w:t>
      </w:r>
    </w:p>
    <w:p w:rsidR="00E017AA" w:rsidRDefault="00E017AA">
      <w:pPr>
        <w:tabs>
          <w:tab w:val="left" w:pos="567"/>
          <w:tab w:val="left" w:pos="1134"/>
          <w:tab w:val="left" w:pos="1701"/>
        </w:tabs>
        <w:spacing w:after="200"/>
      </w:pPr>
      <w:r>
        <w:t>135.</w:t>
      </w:r>
      <w:r>
        <w:tab/>
        <w:t>В настоящее время родители имеют право на оплачиваемый родительский отпуск общей продолжительностью 480 дней на каждого ребенка. Родительский отпуск оплачивается в размере 80 процентов от заработка родителя за 390 дней. Родителям с низким уровнем дохода или не имеющим доход выплачивается пособие в размере 180 шведских крон в день. За остальные 90 дней размер выплаты за родительский отпуск составляет также 180 шведских крон в день.</w:t>
      </w:r>
    </w:p>
    <w:p w:rsidR="00E017AA" w:rsidRDefault="00E017AA">
      <w:pPr>
        <w:tabs>
          <w:tab w:val="left" w:pos="567"/>
          <w:tab w:val="left" w:pos="1134"/>
          <w:tab w:val="left" w:pos="1701"/>
        </w:tabs>
        <w:spacing w:after="200"/>
      </w:pPr>
      <w:r>
        <w:t>136.</w:t>
      </w:r>
      <w:r>
        <w:tab/>
        <w:t>В 2002 году для каждого родителя был предусмотрен дополнительный месячный отпуск (общая продолжительность такого отпуска у обоих родителей – 60 дней), который они не могут передавать друг другу. Как отмечается в четвертом докладе Швеции, первый дополнительный месячный отпуск (по одному для каждого родителя) был введен в 1995 году.</w:t>
      </w:r>
    </w:p>
    <w:p w:rsidR="00E017AA" w:rsidRDefault="00E017AA">
      <w:pPr>
        <w:tabs>
          <w:tab w:val="left" w:pos="567"/>
          <w:tab w:val="left" w:pos="1134"/>
          <w:tab w:val="left" w:pos="1701"/>
        </w:tabs>
        <w:spacing w:after="200"/>
      </w:pPr>
      <w:r>
        <w:t>137.</w:t>
      </w:r>
      <w:r>
        <w:tab/>
        <w:t>Если сравнить, как обстоит дело с двухлетними детьми 1995 и 2002 годов рождения, то видно, что со временем разрыв в родительском отпуске отца и матери сокращался. Тем не менее наибольшее число дней по-прежнему берут матери. Матери детей, родившихся в 2002 году и достигших возраста двух полных лет, брали в среднем на 257 дней больше, чем отцы. Для детей, родившихся в 1999 году, цифра составляла 288 дней. Введение в 2002 году дополнительного месячного отпуска для отцов может способствовать более равномерному распределению родительского отпуска. Из общего числа взрослых, получивших пособие по родительскому отпуску в 2004 году, 43,2 процента составляли мужчины, тогда как в 2003 году на их долю приходилось 42,7 процента.</w:t>
      </w:r>
    </w:p>
    <w:p w:rsidR="00E017AA" w:rsidRDefault="00E017AA">
      <w:pPr>
        <w:tabs>
          <w:tab w:val="left" w:pos="567"/>
          <w:tab w:val="left" w:pos="1134"/>
          <w:tab w:val="left" w:pos="1701"/>
        </w:tabs>
        <w:spacing w:after="200"/>
      </w:pPr>
      <w:r>
        <w:t>138.</w:t>
      </w:r>
      <w:r>
        <w:tab/>
        <w:t>1 июля 2006 года была поднята планка исчисления дохода в системе медицинского страхования. Такое увеличение будет применяться и к расчету выплаты по родительскому отпуску, пособий по беременности и родам и оплаты временного родительского отпуска. Согласно сделанному правительством анализу в проекте бюджета на 2005 год, такое увеличение является одним из способов побуждения отцов, чьи доходы в настоящее время превышают предельно допустимый порог, брать больше дней по родительскому отпуску.</w:t>
      </w:r>
    </w:p>
    <w:p w:rsidR="00E017AA" w:rsidRDefault="00E017AA">
      <w:pPr>
        <w:tabs>
          <w:tab w:val="left" w:pos="567"/>
          <w:tab w:val="left" w:pos="1134"/>
          <w:tab w:val="left" w:pos="1701"/>
        </w:tabs>
        <w:spacing w:after="200"/>
      </w:pPr>
      <w:r>
        <w:t>139.</w:t>
      </w:r>
      <w:r>
        <w:tab/>
        <w:t>В 2005 году на основе изучения реформы страхования родителей были внесены предложения относительно поправок в законодательство о родительском отпуске. Эти предложения касались более равномерного распределения выплат по родительским дням (оплачиваемый отпуск) между матерью и отцом. Доклад об изучении данного вопроса находится на рассмотрении в государственных ведомствах.</w:t>
      </w:r>
    </w:p>
    <w:p w:rsidR="00E017AA" w:rsidRDefault="00E017AA">
      <w:pPr>
        <w:tabs>
          <w:tab w:val="left" w:pos="567"/>
          <w:tab w:val="left" w:pos="1134"/>
          <w:tab w:val="left" w:pos="1701"/>
        </w:tabs>
        <w:spacing w:after="200"/>
      </w:pPr>
      <w:r>
        <w:t>140.</w:t>
      </w:r>
      <w:r>
        <w:tab/>
        <w:t>В июне 2001 года правительство поручило Национальному институту здравоохранения осуществить сбор, анализ и распространение информации относительно возможных путей и средств осуществления различных видов поддержки родителей, которые дали бы конкретные результаты. В январе 2005 года Институт представил доклад, содержащий предложения о новых видах поддержки родителей. В докладе содержится ряд предложений по оказанию помощи родителям на разных этапах детского возраста ребенка, а также предложения относительно методов и содержания работы по просвещению родителей, основу которого составляют развитие ребенка и его потребности.</w:t>
      </w:r>
    </w:p>
    <w:p w:rsidR="00E017AA" w:rsidRDefault="00E017AA">
      <w:pPr>
        <w:tabs>
          <w:tab w:val="left" w:pos="567"/>
          <w:tab w:val="left" w:pos="1134"/>
          <w:tab w:val="left" w:pos="1701"/>
        </w:tabs>
        <w:spacing w:after="200"/>
      </w:pPr>
      <w:r>
        <w:t>141.</w:t>
      </w:r>
      <w:r>
        <w:tab/>
        <w:t>В качестве последующего шага, как явствует из данного доклада, правительство поручило Институту здравоохранения в рамках выделенных ему ассигнований на 2006 год сообщать о принятых мерах по распространению содержащихся в докладе методов и проводить оценку того, к каким улучшениям привело применение этих методов в плане просвещения родителей и оказания им помощи. Кроме того, в марте 2006 года правительство приняло решение оказать содействие в производстве видеоматериалов для групп поддержки родителей.</w:t>
      </w:r>
    </w:p>
    <w:p w:rsidR="00E017AA" w:rsidRDefault="00E017AA">
      <w:pPr>
        <w:keepNext/>
        <w:tabs>
          <w:tab w:val="left" w:pos="567"/>
          <w:tab w:val="left" w:pos="1134"/>
          <w:tab w:val="left" w:pos="1701"/>
        </w:tabs>
        <w:spacing w:before="240" w:after="200"/>
        <w:rPr>
          <w:b/>
          <w:sz w:val="24"/>
        </w:rPr>
      </w:pPr>
      <w:r>
        <w:rPr>
          <w:b/>
          <w:sz w:val="24"/>
        </w:rPr>
        <w:t>Статья 6.  Торговля женщинами и эксплуатация женской проституции</w:t>
      </w:r>
    </w:p>
    <w:p w:rsidR="00E017AA" w:rsidRDefault="00E017AA">
      <w:pPr>
        <w:tabs>
          <w:tab w:val="left" w:pos="567"/>
          <w:tab w:val="left" w:pos="1134"/>
          <w:tab w:val="left" w:pos="1701"/>
        </w:tabs>
        <w:spacing w:after="200"/>
      </w:pPr>
      <w:r>
        <w:t>142.</w:t>
      </w:r>
      <w:r>
        <w:tab/>
        <w:t>Швеция подписала и ратифицировала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p>
    <w:p w:rsidR="00E017AA" w:rsidRDefault="00E017AA">
      <w:pPr>
        <w:tabs>
          <w:tab w:val="left" w:pos="567"/>
          <w:tab w:val="left" w:pos="1134"/>
          <w:tab w:val="left" w:pos="1701"/>
        </w:tabs>
        <w:spacing w:after="200"/>
      </w:pPr>
      <w:r>
        <w:t>143.</w:t>
      </w:r>
      <w:r>
        <w:tab/>
        <w:t xml:space="preserve">16 мая 2005 года Швеция подписала Конвенцию Совета Европы о действиях по борьбе с торговлей людьми (CETS No. 197). </w:t>
      </w:r>
    </w:p>
    <w:p w:rsidR="00E017AA" w:rsidRDefault="00E017AA">
      <w:pPr>
        <w:tabs>
          <w:tab w:val="left" w:pos="567"/>
          <w:tab w:val="left" w:pos="1134"/>
          <w:tab w:val="left" w:pos="1701"/>
        </w:tabs>
        <w:spacing w:after="200"/>
      </w:pPr>
      <w:r>
        <w:t>144.</w:t>
      </w:r>
      <w:r>
        <w:tab/>
        <w:t xml:space="preserve">1 апреля 2005 года, в связи с внесением поправок в положения Уголовного кодекса, касающиеся преступлений на сексуальной почве, был расширен Закон о запрещении платных сексуальных услуг, с тем чтобы включить в него случаи, когда плата за такие услуги была обещана или произведена неким посредником. Кроме того, подлежат наказанию попытки получить за плату разовую сексуальную услугу. Преступлением считаются все виды сексуальных услуг, независимо от того, оказываются ли они на улице, в публичных домах, массажных салонах, в виде эскортных или других аналогичных услуг. </w:t>
      </w:r>
    </w:p>
    <w:p w:rsidR="00E017AA" w:rsidRDefault="00E017AA">
      <w:pPr>
        <w:tabs>
          <w:tab w:val="left" w:pos="567"/>
          <w:tab w:val="left" w:pos="1134"/>
          <w:tab w:val="left" w:pos="1701"/>
        </w:tabs>
        <w:spacing w:after="200"/>
      </w:pPr>
      <w:r>
        <w:t>145.</w:t>
      </w:r>
      <w:r>
        <w:tab/>
        <w:t>Правительство поручило Национальному управлению по здравоохранению и социальному обеспечению провести сбор информации и мониторинг относительно распространенности проституции и изменений в этой сфере, а также социальной деятельности на местном уровне. Кроме того, Управлению было поручено оказывать, в случае необходимости, содействие в совершенствовании работы на местном уровне. В 2000 и 2004 годах Управление представило два обзора в этой области. Самый последний обзор свидетельствует о том, что в Швеции число женщин, занимающихся проституцией, уменьшилось с примерно 2,5 тыс. до введения Закона о запрещении платных сексуальных услуг в 1999 году до приблизительно 1,5 тыс. в 2002 году. В трех районах столицы в 2003 году число женщин, занимающихся уличной проституцией, уменьшилось по сравнению с периодом, предшествовавшим введению Закона о запрещении платных сексуальных услуг. Число покупателей этих услуг также уменьшилось.</w:t>
      </w:r>
    </w:p>
    <w:p w:rsidR="00E017AA" w:rsidRDefault="00E017AA">
      <w:pPr>
        <w:tabs>
          <w:tab w:val="left" w:pos="567"/>
          <w:tab w:val="left" w:pos="1134"/>
          <w:tab w:val="left" w:pos="1701"/>
        </w:tabs>
        <w:spacing w:after="200"/>
      </w:pPr>
      <w:r>
        <w:t>146.</w:t>
      </w:r>
      <w:r>
        <w:tab/>
        <w:t>Согласно оценкам, произведенным в 2002 году полицией Стокгольма и Группой по оказанию социальной помощи проституткам (Гётеборг), в Швеции 200–250 женщин были проданы через Интернет для оказания сексуальных услуг. В 2003 году было проведено исследование о секс-индустрии в Интернете. Согласно исследованию, относительно небольшое число женщин в Швеции, примерно 80–100 человек, были проданы через Интернет для сексуальных услуг. В 2004 году, по оценкам Национального докладчика по вопросу о торговле людьми при Национальном отделе по уголовным расследованиям, примерно 400–600 женщин и девочек стали жертвами торговли людьми в Швеции.</w:t>
      </w:r>
    </w:p>
    <w:p w:rsidR="00E017AA" w:rsidRDefault="00E017AA">
      <w:pPr>
        <w:tabs>
          <w:tab w:val="left" w:pos="567"/>
          <w:tab w:val="left" w:pos="1134"/>
          <w:tab w:val="left" w:pos="1701"/>
        </w:tabs>
        <w:spacing w:after="200"/>
      </w:pPr>
      <w:r>
        <w:t>147.</w:t>
      </w:r>
      <w:r>
        <w:tab/>
        <w:t>Что касается так называемой проституции на дому, то, по мнению Национального отдела по уголовным расследованиям, чтобы торговля женщинами приносила выгоду торговцам людьми, им нужно установить контакт с потенциальными покупателями и обеспечить им доступ к жертвам. Полиция уделяет первоочередное внимание борьбе с проституцией на дому, например в квартирах-борделях, ведя активную полицейскую работу, такую как сбор информации, прослушивание с помощью технических средств, слежку и обширную сыскную работу в Интернете. Группы по оказанию социальной помощи проституткам также ведут работу по установлению контактов с лицами, подвергающимися эксплуатации, будучи занятыми в уличной и домашней проституции. Кроме того, ряд таких групп и НПО провели исследования и разработали методы пропагандистской деятельности среди лиц, занимающихся проституцией с использованием веб-сайтов Интернета.</w:t>
      </w:r>
    </w:p>
    <w:p w:rsidR="00E017AA" w:rsidRDefault="00E017AA">
      <w:pPr>
        <w:tabs>
          <w:tab w:val="left" w:pos="567"/>
          <w:tab w:val="left" w:pos="1134"/>
          <w:tab w:val="left" w:pos="1701"/>
        </w:tabs>
        <w:spacing w:after="200"/>
      </w:pPr>
      <w:r>
        <w:t>148.</w:t>
      </w:r>
      <w:r>
        <w:tab/>
        <w:t>В целях дальнейшего содействия работе полиции, направленной на расследование преступлений в сфере торговли людьми для сексуальных услуг и на борьбу с такой торговлей, правительство в 2003 году приняло решение выделять не менее 10 млн. шведских крон в год из регулярных ассигнований для Национального полицейского управления в течение 2004–2006 годов. Эти средства используются на оперативную работу, борьбу с интернет-проституцией и на программы обучения и соответствующей подготовки контактных лиц и сотрудников местных органов полиции.</w:t>
      </w:r>
    </w:p>
    <w:p w:rsidR="00E017AA" w:rsidRDefault="00E017AA">
      <w:pPr>
        <w:tabs>
          <w:tab w:val="left" w:pos="567"/>
          <w:tab w:val="left" w:pos="1134"/>
          <w:tab w:val="left" w:pos="1701"/>
        </w:tabs>
        <w:spacing w:after="200"/>
      </w:pPr>
      <w:r>
        <w:t>149.</w:t>
      </w:r>
      <w:r>
        <w:tab/>
        <w:t xml:space="preserve">1 июля 2002 года в Уголовный кодекс было добавлено положение о криминализации торговли людьми в сексуальных целях. Сфера его применения включает все случаи трансграничной торговли людьми в сексуальных целях, когда преступник пользуется незащищенностью другого лица. Данное положение применимо также ко всем, кто принимает, перевозит или дает убежище тому или иному лицу в целях сексуальной эксплуатации. Были криминализированы также попытка, подготовка или сговор в отношении торговли людьми в сексуальных целях или сокрытие такого преступления. В соответствии с законодательством лицо, осуществляющее торговлю людьми, может быть подвергнуто наказанию в виде лишения свободы на срок минимум два года и максимум десять лет; если совершенное преступление считается не столь серьезным, то максимальный срок тюремного заключения составляет четыре года. </w:t>
      </w:r>
    </w:p>
    <w:p w:rsidR="00E017AA" w:rsidRDefault="00E017AA">
      <w:pPr>
        <w:tabs>
          <w:tab w:val="left" w:pos="567"/>
          <w:tab w:val="left" w:pos="1134"/>
          <w:tab w:val="left" w:pos="1701"/>
        </w:tabs>
        <w:spacing w:after="200"/>
      </w:pPr>
      <w:r>
        <w:t>150.</w:t>
      </w:r>
      <w:r>
        <w:tab/>
        <w:t>В целях полного осуществления Протокола Организации Объединенных Наций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наряду с рамочным решением Совета Европы о борьбе с торговлей людьми (202/629/</w:t>
      </w:r>
      <w:r>
        <w:rPr>
          <w:lang w:val="en-US"/>
        </w:rPr>
        <w:t>JHA</w:t>
      </w:r>
      <w:r>
        <w:t>), 1 июля 2004 года в закон Швеции о торговле людьми были внесены поправки. Согласно данным поправкам, криминализация распространялась на все виды торговли людьми, включая торговлю людьми на территории страны и в целях, например, принудительного труда или изъятия человеческих органов.</w:t>
      </w:r>
    </w:p>
    <w:p w:rsidR="00E017AA" w:rsidRDefault="00E017AA">
      <w:pPr>
        <w:tabs>
          <w:tab w:val="left" w:pos="567"/>
          <w:tab w:val="left" w:pos="1134"/>
          <w:tab w:val="left" w:pos="1701"/>
        </w:tabs>
        <w:spacing w:after="200"/>
      </w:pPr>
      <w:r>
        <w:t>151.</w:t>
      </w:r>
      <w:r>
        <w:tab/>
        <w:t>В феврале 2006 года правительство поручило провести обзор выполнения законодательства от 2004 года о борьбе с торговлей людьми. В этом обзоре будут содержаться оценка выполнения данного законодательства и предложения относительно возможного внесения дополнительных изменений в законодательство, с тем чтобы Швеция смогла ратифицировать Конвенцию Совета Европы о действиях по борьбе с торговлей людьми; а также в ходе обзора должно быть проанализировано, обеспечивает ли шведское уголовное право адекватную защиту от детских и насильственных браков. Данный обзор должен быть завершен к 30 июня 2007 года.</w:t>
      </w:r>
    </w:p>
    <w:p w:rsidR="00E017AA" w:rsidRDefault="00E017AA">
      <w:pPr>
        <w:tabs>
          <w:tab w:val="left" w:pos="567"/>
          <w:tab w:val="left" w:pos="1134"/>
          <w:tab w:val="left" w:pos="1701"/>
        </w:tabs>
        <w:spacing w:after="200"/>
      </w:pPr>
      <w:r>
        <w:t>152.</w:t>
      </w:r>
      <w:r>
        <w:tab/>
        <w:t>1 апреля 2005 года было внесено изменение в закон о сводничестве, и теперь этот вид преступления с отягчающими обстоятельствами карается лишением свободы на срок восемь лет (ранее – шесть лет).</w:t>
      </w:r>
    </w:p>
    <w:p w:rsidR="00E017AA" w:rsidRDefault="00E017AA">
      <w:pPr>
        <w:tabs>
          <w:tab w:val="left" w:pos="567"/>
          <w:tab w:val="left" w:pos="1134"/>
          <w:tab w:val="left" w:pos="1701"/>
        </w:tabs>
        <w:spacing w:after="200"/>
      </w:pPr>
      <w:r>
        <w:t>153.</w:t>
      </w:r>
      <w:r>
        <w:tab/>
        <w:t>Как явствует из ежегодных докладов о положении дел в этой сфере, представляемых Национальным докладчиком по торговле людьми, запрет на платные сексуальные услуги является сдерживающим фактором для преступников, осуществляющих свою деятельность в Швеции, и служит барьером для торговли людьми.</w:t>
      </w:r>
    </w:p>
    <w:p w:rsidR="00E017AA" w:rsidRDefault="00E017AA">
      <w:pPr>
        <w:tabs>
          <w:tab w:val="left" w:pos="567"/>
          <w:tab w:val="left" w:pos="1134"/>
          <w:tab w:val="left" w:pos="1701"/>
        </w:tabs>
        <w:spacing w:after="200"/>
      </w:pPr>
      <w:r>
        <w:t>154.</w:t>
      </w:r>
      <w:r>
        <w:tab/>
        <w:t xml:space="preserve">В 2005 году Национальный отдел по уголовным расследованиям при Национальном полицейском управлении начал специальное расследование, касающееся несовершеннолетних жертв торговли людьми в Швеции. </w:t>
      </w:r>
    </w:p>
    <w:p w:rsidR="00E017AA" w:rsidRDefault="00E017AA">
      <w:pPr>
        <w:tabs>
          <w:tab w:val="left" w:pos="567"/>
          <w:tab w:val="left" w:pos="1134"/>
          <w:tab w:val="left" w:pos="1701"/>
        </w:tabs>
        <w:spacing w:after="200"/>
      </w:pPr>
      <w:r>
        <w:t>155.</w:t>
      </w:r>
      <w:r>
        <w:tab/>
        <w:t>В сотрудничестве с Национальным докладчиком по торговле людьми правительственные ведомства периодически организуют семинары и практикумы для сотрудников правоохранительных органов, в том числе для прокуроров, полицейских, судей и инструкторов, посвященные политике и законодательству Швеции в отношении проституции и торговли людьми.</w:t>
      </w:r>
    </w:p>
    <w:p w:rsidR="00E017AA" w:rsidRDefault="00E017AA">
      <w:pPr>
        <w:tabs>
          <w:tab w:val="left" w:pos="567"/>
          <w:tab w:val="left" w:pos="1134"/>
          <w:tab w:val="left" w:pos="1701"/>
        </w:tabs>
        <w:spacing w:after="200"/>
      </w:pPr>
      <w:r>
        <w:t>156.</w:t>
      </w:r>
      <w:r>
        <w:tab/>
        <w:t>В нескольких полицейских участках были созданы специальные подразделения, занимающиеся исключительно борьбой с торговлей людьми и проституцией.</w:t>
      </w:r>
    </w:p>
    <w:p w:rsidR="00E017AA" w:rsidRDefault="00E017AA">
      <w:pPr>
        <w:tabs>
          <w:tab w:val="left" w:pos="567"/>
          <w:tab w:val="left" w:pos="1134"/>
          <w:tab w:val="left" w:pos="1701"/>
        </w:tabs>
        <w:spacing w:after="200"/>
      </w:pPr>
      <w:r>
        <w:t>157.</w:t>
      </w:r>
      <w:r>
        <w:tab/>
        <w:t xml:space="preserve">Согласно статистическим данным Национального совета по предупреждению преступности, в 2005 году было зарегистрировано 44 случая торговли людьми и 94 случая сводничества. В том же году, как сообщалось, 460 лиц нарушили положение законодательства о запрете на платные сексуальные услуги. Согласно отчетам, в период между январем 1999 года и февралем 2006 года свыше 1,3 тыс. человек нарушили законодательство о запрете платных сексуальных услуг. </w:t>
      </w:r>
    </w:p>
    <w:p w:rsidR="00E017AA" w:rsidRDefault="00E017AA">
      <w:pPr>
        <w:tabs>
          <w:tab w:val="left" w:pos="567"/>
          <w:tab w:val="left" w:pos="1134"/>
          <w:tab w:val="left" w:pos="1701"/>
        </w:tabs>
        <w:spacing w:after="200"/>
      </w:pPr>
      <w:r>
        <w:t>158.</w:t>
      </w:r>
      <w:r>
        <w:tab/>
        <w:t>1 октября 2004 года в Закон об иностранных гражданах были внесены поправки и добавлено новое положение, предусматривающее возможность выдачи временного вида на жительство жертвам или свидетелям торговли людьми и других преступлений. Временный вид на жительство может быть выдан жертве торговли людьми, если это представляется необходимым для проведения предварительного расследования или основного слушания уголовного дела. В зависимости от сложности дела срок вида на жительство может быть продлен по ходатайству прокурора. Вид на жительство не имеет временных рамок. Во время пребывания в Швеции жертвы/свидетели имеют право на медицинские услуги и лечение, а также на финансовую помощь.</w:t>
      </w:r>
    </w:p>
    <w:p w:rsidR="00E017AA" w:rsidRDefault="00E017AA">
      <w:pPr>
        <w:tabs>
          <w:tab w:val="left" w:pos="567"/>
          <w:tab w:val="left" w:pos="1134"/>
          <w:tab w:val="left" w:pos="1701"/>
        </w:tabs>
        <w:spacing w:after="200"/>
      </w:pPr>
      <w:r>
        <w:t>159.</w:t>
      </w:r>
      <w:r>
        <w:tab/>
        <w:t>В 2005 году Национальное управление по здравоохранению и социальному обеспечению получило от правительства указание подготовить специальную письменную информацию для муниципалитетов, касающуюся изменений в Законе об иностранных гражданах и вышеупомянутых прав жертв торговли людьми.</w:t>
      </w:r>
    </w:p>
    <w:p w:rsidR="00E017AA" w:rsidRDefault="00E017AA">
      <w:pPr>
        <w:tabs>
          <w:tab w:val="left" w:pos="567"/>
          <w:tab w:val="left" w:pos="1134"/>
          <w:tab w:val="left" w:pos="1701"/>
        </w:tabs>
        <w:spacing w:after="200"/>
      </w:pPr>
      <w:r>
        <w:t>160.</w:t>
      </w:r>
      <w:r>
        <w:tab/>
        <w:t>С 2001 года под руководством правительственных учреждений осуществляется проект по борьбе с проституцией и торговлей людьми. В ходе осуществления проекта был разработан и реализован ряд мер в рамках национальной и международной деятельности правительства по предупреждению проституции и торговли людьми и борьбы с этими видами преступлений.</w:t>
      </w:r>
    </w:p>
    <w:p w:rsidR="00E017AA" w:rsidRDefault="00E017AA">
      <w:pPr>
        <w:tabs>
          <w:tab w:val="left" w:pos="567"/>
          <w:tab w:val="left" w:pos="1134"/>
          <w:tab w:val="left" w:pos="1701"/>
        </w:tabs>
        <w:spacing w:after="200"/>
      </w:pPr>
      <w:r>
        <w:t>161.</w:t>
      </w:r>
      <w:r>
        <w:tab/>
        <w:t>В июне 2001 года на неформальной встрече на уровне министров скандинавских стран и стран Балтии в Вильнюсе (Литва) министры по вопросам гендерного равенства договорились об обмене информацией и проведении пропагандистской кампании, касающейся торговли женщинами в этих странах. Кампания, проводимая скандинавскими странами и странами Балтии и частично финансировавшаяся Советом министров скандинавских стран, была проведена в 2002 году при координации Швеции. В июне 2004 года Совет министров опубликовал итоговый доклад о кампании.</w:t>
      </w:r>
    </w:p>
    <w:p w:rsidR="00E017AA" w:rsidRDefault="00E017AA">
      <w:pPr>
        <w:tabs>
          <w:tab w:val="left" w:pos="567"/>
          <w:tab w:val="left" w:pos="1134"/>
          <w:tab w:val="left" w:pos="1701"/>
        </w:tabs>
        <w:spacing w:after="200"/>
      </w:pPr>
      <w:r>
        <w:t>162.</w:t>
      </w:r>
      <w:r>
        <w:tab/>
        <w:t>Общая задача шведской стороны в рамках кампании скандинавских стран и стран Балтии по борьбе с торговлей женщинами заключалась в расширении информированности и знаний по проблеме проституции и международной торговли женщинами путем просвещения и профессиональной подготовки, а также с помощью передачи информации правительству и другим государственным органам, НПО, средствам массовой информации и широкой общественности. В ходе национальной кампании особое внимание уделялось различным мерам в отношении покупателей и потенциальных покупателей женщин и детей, главным образом девочек, занимающихся проституцией, в Швеции, а также в отношении тех лиц, которые посещают другие страны с конкретными целями покупки и использования женщин и детей для занятия проституцией.</w:t>
      </w:r>
    </w:p>
    <w:p w:rsidR="00E017AA" w:rsidRDefault="00E017AA">
      <w:pPr>
        <w:tabs>
          <w:tab w:val="left" w:pos="567"/>
          <w:tab w:val="left" w:pos="1134"/>
          <w:tab w:val="left" w:pos="1701"/>
        </w:tabs>
        <w:spacing w:after="200"/>
      </w:pPr>
      <w:r>
        <w:t>163.</w:t>
      </w:r>
      <w:r>
        <w:tab/>
        <w:t>Правительство Швеции разрабатывает национальную программу действий по борьбе с торговлей людьми, состоящую из двух национальных планов действий: национального плана действий по постоянной борьбе с проституцией и торговлей людьми, особенно женщинами и детьми, для сексуальных целей и национального плана действий по борьбе с торговлей людьми для целей принудительного труда, изъятия человеческих органов и других видов эксплуатации.</w:t>
      </w:r>
    </w:p>
    <w:p w:rsidR="00E017AA" w:rsidRDefault="00E017AA">
      <w:pPr>
        <w:tabs>
          <w:tab w:val="left" w:pos="567"/>
          <w:tab w:val="left" w:pos="1134"/>
          <w:tab w:val="left" w:pos="1701"/>
        </w:tabs>
        <w:spacing w:after="200"/>
      </w:pPr>
      <w:r>
        <w:t>164.</w:t>
      </w:r>
      <w:r>
        <w:tab/>
        <w:t>Национальный план действий по постоянной борьбе с проституцией и торговлей людьми для сексуальных целей будет включать обзор осуществленных ранее мер, специальные превентивные меры по противодействию спросу на людей, особенно женщин и детей, для занятия проституцией и торговле людьми с целью сексуальной эксплуатации, а также меры по защите жертв и оказанию им помощи. Кроме того, данный план будет включать меры, касающиеся судебной системы, полиции и социальных служб, а также меры по содействию и расширению защиты прав человека и по сокращению неравенства в социальной, политической, правовой и экономической сферах в странах происхождения и странах транзита.</w:t>
      </w:r>
    </w:p>
    <w:p w:rsidR="00E017AA" w:rsidRDefault="00E017AA">
      <w:pPr>
        <w:keepNext/>
        <w:tabs>
          <w:tab w:val="left" w:pos="567"/>
          <w:tab w:val="left" w:pos="1134"/>
          <w:tab w:val="left" w:pos="1701"/>
        </w:tabs>
        <w:spacing w:before="300" w:after="200"/>
        <w:rPr>
          <w:sz w:val="26"/>
        </w:rPr>
      </w:pPr>
      <w:r>
        <w:rPr>
          <w:sz w:val="26"/>
        </w:rPr>
        <w:t xml:space="preserve">Часть </w:t>
      </w:r>
      <w:r>
        <w:rPr>
          <w:sz w:val="26"/>
          <w:lang w:val="en-US"/>
        </w:rPr>
        <w:t>II</w:t>
      </w:r>
    </w:p>
    <w:p w:rsidR="00E017AA" w:rsidRDefault="00E017AA">
      <w:pPr>
        <w:keepNext/>
        <w:tabs>
          <w:tab w:val="clear" w:pos="567"/>
          <w:tab w:val="left" w:pos="1134"/>
          <w:tab w:val="left" w:pos="1701"/>
        </w:tabs>
        <w:spacing w:after="200"/>
        <w:ind w:left="0" w:firstLine="0"/>
        <w:jc w:val="left"/>
        <w:rPr>
          <w:b/>
          <w:sz w:val="24"/>
        </w:rPr>
      </w:pPr>
      <w:r>
        <w:rPr>
          <w:b/>
          <w:sz w:val="24"/>
        </w:rPr>
        <w:t xml:space="preserve">Статья 7.  Ликвидация дискриминации в отношении женщин в политической </w:t>
      </w:r>
      <w:r>
        <w:rPr>
          <w:b/>
          <w:sz w:val="24"/>
        </w:rPr>
        <w:br/>
        <w:t>и общественной жизни страны</w:t>
      </w:r>
    </w:p>
    <w:p w:rsidR="00E017AA" w:rsidRDefault="00E017AA">
      <w:pPr>
        <w:tabs>
          <w:tab w:val="left" w:pos="567"/>
          <w:tab w:val="left" w:pos="1134"/>
          <w:tab w:val="left" w:pos="1701"/>
        </w:tabs>
        <w:spacing w:after="200"/>
        <w:rPr>
          <w:b/>
        </w:rPr>
      </w:pPr>
      <w:r>
        <w:t>165.</w:t>
      </w:r>
      <w:r>
        <w:tab/>
        <w:t>Весной 2004 года в своем Обращении к риксдагу правительство заявило, что политика в области демократии должна основываться на анализе условий и соблюдения демократических принципов</w:t>
      </w:r>
      <w:r>
        <w:rPr>
          <w:b/>
        </w:rPr>
        <w:t xml:space="preserve"> </w:t>
      </w:r>
      <w:r>
        <w:t>в отношении женщин</w:t>
      </w:r>
      <w:r>
        <w:rPr>
          <w:bCs/>
        </w:rPr>
        <w:t>.</w:t>
      </w:r>
    </w:p>
    <w:p w:rsidR="00E017AA" w:rsidRDefault="00E017AA">
      <w:pPr>
        <w:tabs>
          <w:tab w:val="left" w:pos="567"/>
          <w:tab w:val="left" w:pos="1134"/>
          <w:tab w:val="left" w:pos="1701"/>
        </w:tabs>
        <w:spacing w:after="200"/>
      </w:pPr>
      <w:r>
        <w:t>166.</w:t>
      </w:r>
      <w:r>
        <w:tab/>
        <w:t>Обновляемые, компилированные и легкодоступные статистические данные, касающиеся представленных в государственных органах власти женщин и мужчин, являются в Швеции необходимой основой для постоянной работы правительства в области гендерного равенства. Правительство поручило провести обзор с целью анализа участия женщин и мужчин в органах власти в Швеции и доложить о результатах. Доклад о результатах обзора должен быть представлен не позднее 1 ноября 2006 года.</w:t>
      </w:r>
    </w:p>
    <w:p w:rsidR="00E017AA" w:rsidRDefault="00E017AA">
      <w:pPr>
        <w:tabs>
          <w:tab w:val="left" w:pos="567"/>
          <w:tab w:val="left" w:pos="1134"/>
          <w:tab w:val="left" w:pos="1701"/>
        </w:tabs>
        <w:spacing w:after="200"/>
      </w:pPr>
      <w:r>
        <w:t>167.</w:t>
      </w:r>
      <w:r>
        <w:tab/>
        <w:t>Информация о политике в отношении меньшинств содержится в материале о пункте с) статьи 2.</w:t>
      </w:r>
    </w:p>
    <w:p w:rsidR="00E017AA" w:rsidRDefault="00E017AA">
      <w:pPr>
        <w:keepNext/>
        <w:tabs>
          <w:tab w:val="left" w:pos="567"/>
          <w:tab w:val="left" w:pos="1134"/>
          <w:tab w:val="left" w:pos="1701"/>
        </w:tabs>
        <w:spacing w:after="200"/>
        <w:rPr>
          <w:b/>
          <w:bCs/>
        </w:rPr>
      </w:pPr>
      <w:r>
        <w:rPr>
          <w:b/>
          <w:bCs/>
        </w:rPr>
        <w:t>Пункт а) статьи 7. Избирательная активность</w:t>
      </w:r>
    </w:p>
    <w:p w:rsidR="00E017AA" w:rsidRDefault="00E017AA">
      <w:pPr>
        <w:tabs>
          <w:tab w:val="left" w:pos="567"/>
          <w:tab w:val="left" w:pos="1134"/>
          <w:tab w:val="left" w:pos="1701"/>
        </w:tabs>
        <w:spacing w:after="200"/>
      </w:pPr>
      <w:r>
        <w:t>168.</w:t>
      </w:r>
      <w:r>
        <w:tab/>
        <w:t xml:space="preserve">До начала всеобщих выборов проводятся избирательные кампании в целях повышения избирательной активности. Эти кампании нацелены на более пассивные по сравнению с другими группы. В такие группы, которые в настоящее время проявляют недостаточную активность, входят молодые женщины и мужчины, безработные – как женщины, так и мужчины – и лица иностранного происхождения, то есть родившиеся за границей или в Швеции, но родители которых родились за границей. До всеобщих выборов 2006 года принимаются меры в рамках правительственной долгосрочной программы "Участие в выборах в Швеции" </w:t>
      </w:r>
      <w:r>
        <w:rPr>
          <w:iCs/>
        </w:rPr>
        <w:t>(</w:t>
      </w:r>
      <w:r>
        <w:rPr>
          <w:iCs/>
          <w:lang w:val="en-US"/>
        </w:rPr>
        <w:t>Participating</w:t>
      </w:r>
      <w:r>
        <w:rPr>
          <w:iCs/>
        </w:rPr>
        <w:t xml:space="preserve"> </w:t>
      </w:r>
      <w:r>
        <w:rPr>
          <w:iCs/>
          <w:lang w:val="en-US"/>
        </w:rPr>
        <w:t>Sweden</w:t>
      </w:r>
      <w:r>
        <w:rPr>
          <w:iCs/>
        </w:rPr>
        <w:t>)</w:t>
      </w:r>
      <w:r>
        <w:rPr>
          <w:i/>
        </w:rPr>
        <w:t>,</w:t>
      </w:r>
      <w:r>
        <w:t xml:space="preserve"> направленные на то, чтобы исключить случаи недопущения к выборам и расширить участие в них. Одна из целей программы – оказать содействие в достижении равенства между мужчинами и женщинами.</w:t>
      </w:r>
    </w:p>
    <w:p w:rsidR="00E017AA" w:rsidRDefault="00E017AA">
      <w:pPr>
        <w:tabs>
          <w:tab w:val="left" w:pos="567"/>
          <w:tab w:val="left" w:pos="1134"/>
          <w:tab w:val="left" w:pos="1701"/>
        </w:tabs>
        <w:spacing w:after="200"/>
      </w:pPr>
      <w:r>
        <w:t>169.</w:t>
      </w:r>
      <w:r>
        <w:tab/>
        <w:t>В силу давней традиции женщины отличаются более высокой по сравнению с мужчинами избирательной активностью. Этот разрыв сократился и почти исчез в ходе последних всеобщих выборов в 2002 году. Тем не менее различия в избирательной активности у мужчин и женщин зависят от того, какие группы изучаются. Среди молодых людей избирательная активность в разное время неодинакова. Например, в выборах 1998 года более высокую активность проявляли молодые мужчины, тогда как в выборах 2002 года активность молодых женщин примерно на 4 процента превышала активность мужчин. Среди пожилых избирателей участие мужчин было выше, хотя среди лиц среднего возраста более высокая активность отмечалась у женщин.</w:t>
      </w:r>
    </w:p>
    <w:p w:rsidR="00E017AA" w:rsidRDefault="00E017AA">
      <w:pPr>
        <w:keepNext/>
        <w:tabs>
          <w:tab w:val="left" w:pos="567"/>
          <w:tab w:val="left" w:pos="1134"/>
          <w:tab w:val="left" w:pos="1701"/>
        </w:tabs>
        <w:spacing w:after="200"/>
        <w:rPr>
          <w:b/>
          <w:bCs/>
        </w:rPr>
      </w:pPr>
      <w:r>
        <w:rPr>
          <w:b/>
          <w:bCs/>
        </w:rPr>
        <w:t>Пункт </w:t>
      </w:r>
      <w:r>
        <w:rPr>
          <w:b/>
          <w:bCs/>
          <w:lang w:val="en-US"/>
        </w:rPr>
        <w:t>b</w:t>
      </w:r>
      <w:r>
        <w:rPr>
          <w:b/>
          <w:bCs/>
        </w:rPr>
        <w:t>) статьи 7. Представленность в выборных органах</w:t>
      </w:r>
    </w:p>
    <w:p w:rsidR="00E017AA" w:rsidRDefault="00E017AA">
      <w:pPr>
        <w:tabs>
          <w:tab w:val="left" w:pos="567"/>
          <w:tab w:val="left" w:pos="1134"/>
          <w:tab w:val="left" w:pos="1701"/>
        </w:tabs>
        <w:spacing w:after="200"/>
      </w:pPr>
      <w:r>
        <w:t>170.</w:t>
      </w:r>
      <w:r>
        <w:tab/>
        <w:t xml:space="preserve">1 июля 2002 года в законодательство был внесен ряд изменений, касающихся положений о выборных представителях. Правительство исходило из того, что эти изменения могут содействовать достижению гендерного равенства. Изменения в законодательстве включают меры по расширению возможностей брать свободные дни без сохранения содержания и получать компенсацию по уходу за детьми. </w:t>
      </w:r>
    </w:p>
    <w:p w:rsidR="00E017AA" w:rsidRDefault="00E017AA">
      <w:pPr>
        <w:tabs>
          <w:tab w:val="left" w:pos="567"/>
          <w:tab w:val="left" w:pos="1134"/>
          <w:tab w:val="left" w:pos="1701"/>
        </w:tabs>
        <w:spacing w:after="200"/>
      </w:pPr>
      <w:r>
        <w:t>171.</w:t>
      </w:r>
      <w:r>
        <w:tab/>
        <w:t>Правительство поддерживает постоянный диалог с представителями на местном и региональном уровнях, в том числе и по вопросу о расширении участия женщин в политических процессах. На более высоких иерархических уровнях мужчины чрезмерно представлены, тогда как женщины представлены недостаточно, и по-прежнему в разных сферах политики имеется гендерная дискриминация. В муниципалитетах доля женщин на руководящих постах составляет примерно 30 процентов, тогда как доля мужчин – 70 процентов. Представленность женщин на региональном уровне более высокая. Среди членов комитетов по оперативным вопросам и по вопросам ресурсов 47 процентов составляют женщины и 53 процента – мужчины. В административных советах ленов в целом соотношение женщин и мужчин составляет 44 и 56 процентов соответственно.</w:t>
      </w:r>
    </w:p>
    <w:p w:rsidR="00E017AA" w:rsidRDefault="00E017AA">
      <w:pPr>
        <w:tabs>
          <w:tab w:val="left" w:pos="567"/>
          <w:tab w:val="left" w:pos="1134"/>
          <w:tab w:val="left" w:pos="1701"/>
        </w:tabs>
        <w:spacing w:after="200"/>
      </w:pPr>
      <w:r>
        <w:t>172.</w:t>
      </w:r>
      <w:r>
        <w:tab/>
        <w:t>С целью обеспечить основу для деятельности правительства по укреплению полномочий и влияния женщин в процессе принятия политических решений был проведен ряд исследований. По поручению правительства университет в Уппсале подготовил и в сентябре 2005 года представил доклад о структурных барьерах и отношении к женщинам в политической жизни Швеции в плане дискриминации. Доклад представляет собой обзор сведений в данной области и касается дискриминации по гендерному признаку, этническому происхождению, возрасту, инвалидности и сексуальной ориентации. В отношении гендерного аспекта следует отметить, что для получения более полного представления об отношении к женщинам данное исследование необходимо расширить.</w:t>
      </w:r>
    </w:p>
    <w:p w:rsidR="00E017AA" w:rsidRDefault="00E017AA">
      <w:pPr>
        <w:tabs>
          <w:tab w:val="left" w:pos="567"/>
          <w:tab w:val="left" w:pos="1134"/>
          <w:tab w:val="left" w:pos="1701"/>
        </w:tabs>
        <w:spacing w:after="200"/>
      </w:pPr>
      <w:r>
        <w:t>173.</w:t>
      </w:r>
      <w:r>
        <w:tab/>
        <w:t>Также по указанию правительства ведется постоянный сбор статистических данных о нынешнем характере участия женщин и мужчин в добровольных ассоциациях и политической жизни в период между выборами. Эта деятельность является одним из этапов дальнейших шагов в рамках политики демократизации и обеспечивает основу для принятия решений о будущих мерах в данной области.</w:t>
      </w:r>
    </w:p>
    <w:p w:rsidR="00E017AA" w:rsidRDefault="00E017AA">
      <w:pPr>
        <w:keepNext/>
        <w:tabs>
          <w:tab w:val="clear" w:pos="567"/>
          <w:tab w:val="left" w:pos="1134"/>
          <w:tab w:val="left" w:pos="1701"/>
        </w:tabs>
        <w:spacing w:after="200"/>
        <w:ind w:left="0" w:firstLine="0"/>
        <w:jc w:val="left"/>
        <w:rPr>
          <w:b/>
          <w:bCs/>
        </w:rPr>
      </w:pPr>
      <w:r>
        <w:rPr>
          <w:b/>
          <w:bCs/>
        </w:rPr>
        <w:t xml:space="preserve">Доля женщин и мужчин в политических собраниях, советах директоров государственных </w:t>
      </w:r>
      <w:r>
        <w:rPr>
          <w:b/>
          <w:bCs/>
        </w:rPr>
        <w:br/>
        <w:t xml:space="preserve">и частных организациях, государственных компаниях и частных предприятиях: </w:t>
      </w:r>
      <w:r>
        <w:rPr>
          <w:b/>
          <w:bCs/>
        </w:rPr>
        <w:br/>
        <w:t>риксдаг и правительство</w:t>
      </w:r>
    </w:p>
    <w:p w:rsidR="00E017AA" w:rsidRDefault="00E017AA">
      <w:pPr>
        <w:tabs>
          <w:tab w:val="left" w:pos="567"/>
          <w:tab w:val="left" w:pos="1134"/>
          <w:tab w:val="left" w:pos="1701"/>
        </w:tabs>
        <w:spacing w:after="200"/>
      </w:pPr>
      <w:r>
        <w:t>174.</w:t>
      </w:r>
      <w:r>
        <w:tab/>
        <w:t>Начиная с всеобщих выборов 1994 года в шведском правительстве мужчины и женщины представлены более или менее одинаково. Министерские посты не подразделяются на традиционно "женские" и "мужские"; женщины и мужчины назначаются в соответствии с их квалификацией. Например, министром культуры и образования является мужчина, министром обороны – женщина, а министром здравоохранения и социального обеспечения – мужчина. Однако пост премьер-министра всегда занимает мужчина.</w:t>
      </w:r>
    </w:p>
    <w:p w:rsidR="00E017AA" w:rsidRDefault="00E017AA">
      <w:pPr>
        <w:tabs>
          <w:tab w:val="left" w:pos="567"/>
          <w:tab w:val="left" w:pos="1134"/>
          <w:tab w:val="left" w:pos="1701"/>
        </w:tabs>
        <w:spacing w:after="200"/>
      </w:pPr>
      <w:r>
        <w:t>175.</w:t>
      </w:r>
      <w:r>
        <w:tab/>
        <w:t>Начиная с выборов 2002 года на долю женщин приходится 45 процентов мест в риксдаге, а на долю мужчин – 55 процентов. В приведенной ниже таблице показана представленность мужчин и женщин в риксдаге по семи политическим партиям.</w:t>
      </w:r>
    </w:p>
    <w:tbl>
      <w:tblPr>
        <w:tblW w:w="0" w:type="auto"/>
        <w:tblInd w:w="108" w:type="dxa"/>
        <w:tblLayout w:type="fixed"/>
        <w:tblLook w:val="0000" w:firstRow="0" w:lastRow="0" w:firstColumn="0" w:lastColumn="0" w:noHBand="0" w:noVBand="0"/>
      </w:tblPr>
      <w:tblGrid>
        <w:gridCol w:w="4353"/>
        <w:gridCol w:w="847"/>
        <w:gridCol w:w="1259"/>
        <w:gridCol w:w="847"/>
        <w:gridCol w:w="1259"/>
        <w:gridCol w:w="819"/>
      </w:tblGrid>
      <w:tr w:rsidR="00E017AA">
        <w:tblPrEx>
          <w:tblCellMar>
            <w:top w:w="0" w:type="dxa"/>
            <w:bottom w:w="0" w:type="dxa"/>
          </w:tblCellMar>
        </w:tblPrEx>
        <w:trPr>
          <w:cantSplit/>
        </w:trPr>
        <w:tc>
          <w:tcPr>
            <w:tcW w:w="4353" w:type="dxa"/>
            <w:vMerge w:val="restart"/>
            <w:tcBorders>
              <w:top w:val="single" w:sz="4" w:space="0" w:color="auto"/>
              <w:left w:val="single" w:sz="4" w:space="0" w:color="auto"/>
              <w:right w:val="single" w:sz="4" w:space="0" w:color="auto"/>
            </w:tcBorders>
            <w:vAlign w:val="bottom"/>
          </w:tcPr>
          <w:p w:rsidR="00E017AA" w:rsidRDefault="00E017AA">
            <w:pPr>
              <w:keepNext/>
              <w:tabs>
                <w:tab w:val="left" w:pos="567"/>
                <w:tab w:val="left" w:pos="1134"/>
                <w:tab w:val="left" w:pos="1701"/>
              </w:tabs>
              <w:spacing w:before="100" w:after="100"/>
              <w:rPr>
                <w:sz w:val="20"/>
              </w:rPr>
            </w:pPr>
            <w:r>
              <w:rPr>
                <w:b/>
                <w:bCs/>
                <w:sz w:val="20"/>
              </w:rPr>
              <w:t>Политические партии</w:t>
            </w:r>
          </w:p>
        </w:tc>
        <w:tc>
          <w:tcPr>
            <w:tcW w:w="2106" w:type="dxa"/>
            <w:gridSpan w:val="2"/>
            <w:tcBorders>
              <w:top w:val="single" w:sz="4" w:space="0" w:color="auto"/>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b/>
                <w:bCs/>
                <w:sz w:val="20"/>
              </w:rPr>
              <w:t>Женщины</w:t>
            </w:r>
          </w:p>
        </w:tc>
        <w:tc>
          <w:tcPr>
            <w:tcW w:w="2106" w:type="dxa"/>
            <w:gridSpan w:val="2"/>
            <w:tcBorders>
              <w:top w:val="single" w:sz="4" w:space="0" w:color="auto"/>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b/>
                <w:bCs/>
                <w:sz w:val="20"/>
              </w:rPr>
              <w:t>Мужчины</w:t>
            </w:r>
          </w:p>
        </w:tc>
        <w:tc>
          <w:tcPr>
            <w:tcW w:w="819" w:type="dxa"/>
            <w:vMerge w:val="restart"/>
            <w:tcBorders>
              <w:top w:val="single" w:sz="4" w:space="0" w:color="auto"/>
              <w:left w:val="single" w:sz="4" w:space="0" w:color="auto"/>
              <w:right w:val="single" w:sz="4" w:space="0" w:color="auto"/>
            </w:tcBorders>
            <w:vAlign w:val="bottom"/>
          </w:tcPr>
          <w:p w:rsidR="00E017AA" w:rsidRDefault="00E017AA">
            <w:pPr>
              <w:keepNext/>
              <w:tabs>
                <w:tab w:val="left" w:pos="567"/>
                <w:tab w:val="left" w:pos="1134"/>
                <w:tab w:val="left" w:pos="1701"/>
              </w:tabs>
              <w:spacing w:before="100" w:after="100"/>
              <w:rPr>
                <w:sz w:val="20"/>
              </w:rPr>
            </w:pPr>
            <w:r>
              <w:rPr>
                <w:b/>
                <w:bCs/>
                <w:sz w:val="20"/>
              </w:rPr>
              <w:t>Всего</w:t>
            </w:r>
          </w:p>
        </w:tc>
      </w:tr>
      <w:tr w:rsidR="00E017AA">
        <w:tblPrEx>
          <w:tblCellMar>
            <w:top w:w="0" w:type="dxa"/>
            <w:bottom w:w="0" w:type="dxa"/>
          </w:tblCellMar>
        </w:tblPrEx>
        <w:trPr>
          <w:cantSplit/>
        </w:trPr>
        <w:tc>
          <w:tcPr>
            <w:tcW w:w="4353" w:type="dxa"/>
            <w:vMerge/>
            <w:tcBorders>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sz w:val="20"/>
              </w:rPr>
            </w:pPr>
          </w:p>
        </w:tc>
        <w:tc>
          <w:tcPr>
            <w:tcW w:w="847" w:type="dxa"/>
            <w:tcBorders>
              <w:top w:val="single" w:sz="4" w:space="0" w:color="auto"/>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b/>
                <w:bCs/>
                <w:sz w:val="20"/>
              </w:rPr>
            </w:pPr>
            <w:r>
              <w:rPr>
                <w:b/>
                <w:bCs/>
                <w:sz w:val="20"/>
              </w:rPr>
              <w:t>Число</w:t>
            </w:r>
          </w:p>
        </w:tc>
        <w:tc>
          <w:tcPr>
            <w:tcW w:w="1259" w:type="dxa"/>
            <w:tcBorders>
              <w:top w:val="single" w:sz="4" w:space="0" w:color="auto"/>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b/>
                <w:bCs/>
                <w:sz w:val="20"/>
              </w:rPr>
            </w:pPr>
            <w:r>
              <w:rPr>
                <w:b/>
                <w:bCs/>
                <w:sz w:val="20"/>
              </w:rPr>
              <w:t>Проценты</w:t>
            </w:r>
          </w:p>
        </w:tc>
        <w:tc>
          <w:tcPr>
            <w:tcW w:w="847" w:type="dxa"/>
            <w:tcBorders>
              <w:top w:val="single" w:sz="4" w:space="0" w:color="auto"/>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b/>
                <w:bCs/>
                <w:sz w:val="20"/>
              </w:rPr>
            </w:pPr>
            <w:r>
              <w:rPr>
                <w:b/>
                <w:bCs/>
                <w:sz w:val="20"/>
              </w:rPr>
              <w:t>Число</w:t>
            </w:r>
          </w:p>
        </w:tc>
        <w:tc>
          <w:tcPr>
            <w:tcW w:w="1259" w:type="dxa"/>
            <w:tcBorders>
              <w:top w:val="single" w:sz="4" w:space="0" w:color="auto"/>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b/>
                <w:bCs/>
                <w:sz w:val="20"/>
              </w:rPr>
            </w:pPr>
            <w:r>
              <w:rPr>
                <w:b/>
                <w:bCs/>
                <w:sz w:val="20"/>
              </w:rPr>
              <w:t>Проценты</w:t>
            </w:r>
          </w:p>
        </w:tc>
        <w:tc>
          <w:tcPr>
            <w:tcW w:w="819" w:type="dxa"/>
            <w:vMerge/>
            <w:tcBorders>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sz w:val="20"/>
              </w:rPr>
            </w:pPr>
          </w:p>
        </w:tc>
      </w:tr>
      <w:tr w:rsidR="00E017AA">
        <w:tblPrEx>
          <w:tblCellMar>
            <w:top w:w="0" w:type="dxa"/>
            <w:bottom w:w="0" w:type="dxa"/>
          </w:tblCellMar>
        </w:tblPrEx>
        <w:tc>
          <w:tcPr>
            <w:tcW w:w="4353" w:type="dxa"/>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Социал-демократическая партия</w:t>
            </w:r>
          </w:p>
        </w:tc>
        <w:tc>
          <w:tcPr>
            <w:tcW w:w="847" w:type="dxa"/>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68</w:t>
            </w:r>
          </w:p>
        </w:tc>
        <w:tc>
          <w:tcPr>
            <w:tcW w:w="1259" w:type="dxa"/>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47,2</w:t>
            </w:r>
          </w:p>
        </w:tc>
        <w:tc>
          <w:tcPr>
            <w:tcW w:w="847" w:type="dxa"/>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76</w:t>
            </w:r>
          </w:p>
        </w:tc>
        <w:tc>
          <w:tcPr>
            <w:tcW w:w="1259" w:type="dxa"/>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52,8</w:t>
            </w:r>
          </w:p>
        </w:tc>
        <w:tc>
          <w:tcPr>
            <w:tcW w:w="819" w:type="dxa"/>
            <w:tcBorders>
              <w:top w:val="single" w:sz="4" w:space="0" w:color="auto"/>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144</w:t>
            </w:r>
          </w:p>
        </w:tc>
      </w:tr>
      <w:tr w:rsidR="00E017AA">
        <w:tblPrEx>
          <w:tblCellMar>
            <w:top w:w="0" w:type="dxa"/>
            <w:bottom w:w="0" w:type="dxa"/>
          </w:tblCellMar>
        </w:tblPrEx>
        <w:tc>
          <w:tcPr>
            <w:tcW w:w="435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Умеренная партия</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22</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40,0</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33</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60,0</w:t>
            </w:r>
          </w:p>
        </w:tc>
        <w:tc>
          <w:tcPr>
            <w:tcW w:w="819" w:type="dxa"/>
            <w:tcBorders>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55</w:t>
            </w:r>
          </w:p>
        </w:tc>
      </w:tr>
      <w:tr w:rsidR="00E017AA">
        <w:tblPrEx>
          <w:tblCellMar>
            <w:top w:w="0" w:type="dxa"/>
            <w:bottom w:w="0" w:type="dxa"/>
          </w:tblCellMar>
        </w:tblPrEx>
        <w:tc>
          <w:tcPr>
            <w:tcW w:w="435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Либеральная партия</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23</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47,9</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25</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52,1</w:t>
            </w:r>
          </w:p>
        </w:tc>
        <w:tc>
          <w:tcPr>
            <w:tcW w:w="819" w:type="dxa"/>
            <w:tcBorders>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48</w:t>
            </w:r>
          </w:p>
        </w:tc>
      </w:tr>
      <w:tr w:rsidR="00E017AA">
        <w:tblPrEx>
          <w:tblCellMar>
            <w:top w:w="0" w:type="dxa"/>
            <w:bottom w:w="0" w:type="dxa"/>
          </w:tblCellMar>
        </w:tblPrEx>
        <w:tc>
          <w:tcPr>
            <w:tcW w:w="435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Христианско-демократическая партия</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10</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30,3</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23</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69,7</w:t>
            </w:r>
          </w:p>
        </w:tc>
        <w:tc>
          <w:tcPr>
            <w:tcW w:w="819" w:type="dxa"/>
            <w:tcBorders>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33</w:t>
            </w:r>
          </w:p>
        </w:tc>
      </w:tr>
      <w:tr w:rsidR="00E017AA">
        <w:tblPrEx>
          <w:tblCellMar>
            <w:top w:w="0" w:type="dxa"/>
            <w:bottom w:w="0" w:type="dxa"/>
          </w:tblCellMar>
        </w:tblPrEx>
        <w:tc>
          <w:tcPr>
            <w:tcW w:w="435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Левая партия</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14</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46,7</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16</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53,3</w:t>
            </w:r>
          </w:p>
        </w:tc>
        <w:tc>
          <w:tcPr>
            <w:tcW w:w="819" w:type="dxa"/>
            <w:tcBorders>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30</w:t>
            </w:r>
          </w:p>
        </w:tc>
      </w:tr>
      <w:tr w:rsidR="00E017AA">
        <w:tblPrEx>
          <w:tblCellMar>
            <w:top w:w="0" w:type="dxa"/>
            <w:bottom w:w="0" w:type="dxa"/>
          </w:tblCellMar>
        </w:tblPrEx>
        <w:tc>
          <w:tcPr>
            <w:tcW w:w="435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Партия центра</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11</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50,0</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11</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50,0</w:t>
            </w:r>
          </w:p>
        </w:tc>
        <w:tc>
          <w:tcPr>
            <w:tcW w:w="819" w:type="dxa"/>
            <w:tcBorders>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22</w:t>
            </w:r>
          </w:p>
        </w:tc>
      </w:tr>
      <w:tr w:rsidR="00E017AA">
        <w:tblPrEx>
          <w:tblCellMar>
            <w:top w:w="0" w:type="dxa"/>
            <w:bottom w:w="0" w:type="dxa"/>
          </w:tblCellMar>
        </w:tblPrEx>
        <w:tc>
          <w:tcPr>
            <w:tcW w:w="435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bCs/>
                <w:sz w:val="20"/>
              </w:rPr>
              <w:t>Партия "зеленых"</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10</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58,8</w:t>
            </w:r>
          </w:p>
        </w:tc>
        <w:tc>
          <w:tcPr>
            <w:tcW w:w="847"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7</w:t>
            </w:r>
          </w:p>
        </w:tc>
        <w:tc>
          <w:tcPr>
            <w:tcW w:w="1259"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jc w:val="center"/>
              <w:rPr>
                <w:sz w:val="20"/>
              </w:rPr>
            </w:pPr>
            <w:r>
              <w:rPr>
                <w:color w:val="000000"/>
                <w:sz w:val="20"/>
              </w:rPr>
              <w:t>41,2</w:t>
            </w:r>
          </w:p>
        </w:tc>
        <w:tc>
          <w:tcPr>
            <w:tcW w:w="819" w:type="dxa"/>
            <w:tcBorders>
              <w:left w:val="single" w:sz="4" w:space="0" w:color="auto"/>
              <w:right w:val="single" w:sz="4" w:space="0" w:color="auto"/>
            </w:tcBorders>
          </w:tcPr>
          <w:p w:rsidR="00E017AA" w:rsidRDefault="00E017AA">
            <w:pPr>
              <w:keepNext/>
              <w:tabs>
                <w:tab w:val="clear" w:pos="567"/>
                <w:tab w:val="left" w:pos="1134"/>
                <w:tab w:val="left" w:pos="1701"/>
              </w:tabs>
              <w:spacing w:before="100" w:after="100"/>
              <w:ind w:left="0" w:right="170" w:firstLine="0"/>
              <w:jc w:val="right"/>
              <w:rPr>
                <w:sz w:val="20"/>
              </w:rPr>
            </w:pPr>
            <w:r>
              <w:rPr>
                <w:color w:val="000000"/>
                <w:sz w:val="20"/>
              </w:rPr>
              <w:t>17</w:t>
            </w:r>
          </w:p>
        </w:tc>
      </w:tr>
      <w:tr w:rsidR="00E017AA">
        <w:tblPrEx>
          <w:tblCellMar>
            <w:top w:w="0" w:type="dxa"/>
            <w:bottom w:w="0" w:type="dxa"/>
          </w:tblCellMar>
        </w:tblPrEx>
        <w:tc>
          <w:tcPr>
            <w:tcW w:w="4353" w:type="dxa"/>
            <w:tcBorders>
              <w:left w:val="single" w:sz="4" w:space="0" w:color="auto"/>
              <w:bottom w:val="single" w:sz="4" w:space="0" w:color="auto"/>
              <w:right w:val="single" w:sz="4" w:space="0" w:color="auto"/>
            </w:tcBorders>
          </w:tcPr>
          <w:p w:rsidR="00E017AA" w:rsidRDefault="00E017AA">
            <w:pPr>
              <w:tabs>
                <w:tab w:val="left" w:pos="567"/>
                <w:tab w:val="left" w:pos="1134"/>
                <w:tab w:val="left" w:pos="1701"/>
              </w:tabs>
              <w:spacing w:before="100" w:after="100"/>
              <w:rPr>
                <w:bCs/>
                <w:sz w:val="20"/>
              </w:rPr>
            </w:pPr>
            <w:r>
              <w:rPr>
                <w:bCs/>
                <w:sz w:val="20"/>
              </w:rPr>
              <w:t>Все политические партии</w:t>
            </w:r>
          </w:p>
        </w:tc>
        <w:tc>
          <w:tcPr>
            <w:tcW w:w="847" w:type="dxa"/>
            <w:tcBorders>
              <w:left w:val="single" w:sz="4" w:space="0" w:color="auto"/>
              <w:bottom w:val="single" w:sz="4" w:space="0" w:color="auto"/>
              <w:right w:val="single" w:sz="4" w:space="0" w:color="auto"/>
            </w:tcBorders>
          </w:tcPr>
          <w:p w:rsidR="00E017AA" w:rsidRDefault="00E017AA">
            <w:pPr>
              <w:tabs>
                <w:tab w:val="left" w:pos="567"/>
                <w:tab w:val="left" w:pos="1134"/>
                <w:tab w:val="left" w:pos="1701"/>
              </w:tabs>
              <w:spacing w:before="100" w:after="100"/>
              <w:jc w:val="center"/>
              <w:rPr>
                <w:sz w:val="20"/>
              </w:rPr>
            </w:pPr>
            <w:r>
              <w:rPr>
                <w:color w:val="000000"/>
                <w:sz w:val="20"/>
              </w:rPr>
              <w:t>158</w:t>
            </w:r>
          </w:p>
        </w:tc>
        <w:tc>
          <w:tcPr>
            <w:tcW w:w="1259" w:type="dxa"/>
            <w:tcBorders>
              <w:left w:val="single" w:sz="4" w:space="0" w:color="auto"/>
              <w:bottom w:val="single" w:sz="4" w:space="0" w:color="auto"/>
              <w:right w:val="single" w:sz="4" w:space="0" w:color="auto"/>
            </w:tcBorders>
          </w:tcPr>
          <w:p w:rsidR="00E017AA" w:rsidRDefault="00E017AA">
            <w:pPr>
              <w:tabs>
                <w:tab w:val="left" w:pos="567"/>
                <w:tab w:val="left" w:pos="1134"/>
                <w:tab w:val="left" w:pos="1701"/>
              </w:tabs>
              <w:spacing w:before="100" w:after="100"/>
              <w:jc w:val="center"/>
              <w:rPr>
                <w:sz w:val="20"/>
              </w:rPr>
            </w:pPr>
            <w:r>
              <w:rPr>
                <w:color w:val="000000"/>
                <w:sz w:val="20"/>
              </w:rPr>
              <w:t>45,3</w:t>
            </w:r>
          </w:p>
        </w:tc>
        <w:tc>
          <w:tcPr>
            <w:tcW w:w="847" w:type="dxa"/>
            <w:tcBorders>
              <w:left w:val="single" w:sz="4" w:space="0" w:color="auto"/>
              <w:bottom w:val="single" w:sz="4" w:space="0" w:color="auto"/>
              <w:right w:val="single" w:sz="4" w:space="0" w:color="auto"/>
            </w:tcBorders>
          </w:tcPr>
          <w:p w:rsidR="00E017AA" w:rsidRDefault="00E017AA">
            <w:pPr>
              <w:tabs>
                <w:tab w:val="left" w:pos="567"/>
                <w:tab w:val="left" w:pos="1134"/>
                <w:tab w:val="left" w:pos="1701"/>
              </w:tabs>
              <w:spacing w:before="100" w:after="100"/>
              <w:jc w:val="center"/>
              <w:rPr>
                <w:sz w:val="20"/>
              </w:rPr>
            </w:pPr>
            <w:r>
              <w:rPr>
                <w:color w:val="000000"/>
                <w:sz w:val="20"/>
              </w:rPr>
              <w:t>191</w:t>
            </w:r>
          </w:p>
        </w:tc>
        <w:tc>
          <w:tcPr>
            <w:tcW w:w="1259" w:type="dxa"/>
            <w:tcBorders>
              <w:left w:val="single" w:sz="4" w:space="0" w:color="auto"/>
              <w:bottom w:val="single" w:sz="4" w:space="0" w:color="auto"/>
              <w:right w:val="single" w:sz="4" w:space="0" w:color="auto"/>
            </w:tcBorders>
          </w:tcPr>
          <w:p w:rsidR="00E017AA" w:rsidRDefault="00E017AA">
            <w:pPr>
              <w:tabs>
                <w:tab w:val="left" w:pos="567"/>
                <w:tab w:val="left" w:pos="1134"/>
                <w:tab w:val="left" w:pos="1701"/>
              </w:tabs>
              <w:spacing w:before="100" w:after="100"/>
              <w:jc w:val="center"/>
              <w:rPr>
                <w:sz w:val="20"/>
              </w:rPr>
            </w:pPr>
            <w:r>
              <w:rPr>
                <w:color w:val="000000"/>
                <w:sz w:val="20"/>
              </w:rPr>
              <w:t>54,7</w:t>
            </w:r>
          </w:p>
        </w:tc>
        <w:tc>
          <w:tcPr>
            <w:tcW w:w="819" w:type="dxa"/>
            <w:tcBorders>
              <w:left w:val="single" w:sz="4" w:space="0" w:color="auto"/>
              <w:bottom w:val="single" w:sz="4" w:space="0" w:color="auto"/>
              <w:right w:val="single" w:sz="4" w:space="0" w:color="auto"/>
            </w:tcBorders>
          </w:tcPr>
          <w:p w:rsidR="00E017AA" w:rsidRDefault="00E017AA">
            <w:pPr>
              <w:tabs>
                <w:tab w:val="clear" w:pos="567"/>
                <w:tab w:val="left" w:pos="1134"/>
                <w:tab w:val="left" w:pos="1701"/>
              </w:tabs>
              <w:spacing w:before="100" w:after="100"/>
              <w:ind w:left="0" w:right="170" w:firstLine="0"/>
              <w:jc w:val="right"/>
              <w:rPr>
                <w:sz w:val="20"/>
              </w:rPr>
            </w:pPr>
            <w:r>
              <w:rPr>
                <w:color w:val="000000"/>
                <w:sz w:val="20"/>
              </w:rPr>
              <w:t>349</w:t>
            </w:r>
          </w:p>
        </w:tc>
      </w:tr>
      <w:tr w:rsidR="00E017AA">
        <w:tblPrEx>
          <w:tblCellMar>
            <w:top w:w="0" w:type="dxa"/>
            <w:bottom w:w="0" w:type="dxa"/>
          </w:tblCellMar>
        </w:tblPrEx>
        <w:trPr>
          <w:cantSplit/>
        </w:trPr>
        <w:tc>
          <w:tcPr>
            <w:tcW w:w="9384" w:type="dxa"/>
            <w:gridSpan w:val="6"/>
            <w:tcBorders>
              <w:top w:val="single" w:sz="4" w:space="0" w:color="auto"/>
            </w:tcBorders>
          </w:tcPr>
          <w:p w:rsidR="00E017AA" w:rsidRDefault="00E017AA">
            <w:pPr>
              <w:tabs>
                <w:tab w:val="left" w:pos="567"/>
                <w:tab w:val="left" w:pos="1134"/>
                <w:tab w:val="left" w:pos="1701"/>
              </w:tabs>
              <w:spacing w:before="140" w:after="200"/>
              <w:rPr>
                <w:b/>
                <w:bCs/>
                <w:color w:val="000000"/>
                <w:sz w:val="20"/>
              </w:rPr>
            </w:pPr>
            <w:r>
              <w:rPr>
                <w:i/>
                <w:sz w:val="20"/>
              </w:rPr>
              <w:t xml:space="preserve">Источник:  </w:t>
            </w:r>
            <w:r>
              <w:rPr>
                <w:iCs/>
                <w:sz w:val="20"/>
              </w:rPr>
              <w:t>Избирательная комиссия/веб-сайт риксдага</w:t>
            </w:r>
            <w:r>
              <w:rPr>
                <w:i/>
                <w:sz w:val="20"/>
              </w:rPr>
              <w:t>.</w:t>
            </w:r>
          </w:p>
        </w:tc>
      </w:tr>
    </w:tbl>
    <w:p w:rsidR="00E017AA" w:rsidRDefault="00E017AA">
      <w:pPr>
        <w:tabs>
          <w:tab w:val="left" w:pos="567"/>
          <w:tab w:val="left" w:pos="1134"/>
          <w:tab w:val="left" w:pos="1701"/>
        </w:tabs>
        <w:spacing w:after="200"/>
        <w:rPr>
          <w:i/>
        </w:rPr>
      </w:pPr>
    </w:p>
    <w:p w:rsidR="00E017AA" w:rsidRDefault="00E017AA">
      <w:pPr>
        <w:tabs>
          <w:tab w:val="left" w:pos="567"/>
          <w:tab w:val="left" w:pos="1134"/>
          <w:tab w:val="left" w:pos="1701"/>
        </w:tabs>
        <w:spacing w:after="200"/>
      </w:pPr>
      <w:r>
        <w:t>176.</w:t>
      </w:r>
      <w:r>
        <w:tab/>
        <w:t>Среди членов постоянных комитетов парламента нет разделения на традиционно "женские" и "мужские" сферы деятельности, но они равномерно распределены по различным сферам ответственности. Однако председателями большинства постоянных комитетов и Комитета по делам ЕС являются мужчины: 10 мужчин и 6 женщин.</w:t>
      </w:r>
    </w:p>
    <w:p w:rsidR="00E017AA" w:rsidRDefault="00E017AA">
      <w:pPr>
        <w:keepNext/>
        <w:tabs>
          <w:tab w:val="left" w:pos="567"/>
          <w:tab w:val="left" w:pos="1134"/>
          <w:tab w:val="left" w:pos="1701"/>
        </w:tabs>
        <w:spacing w:after="200"/>
        <w:rPr>
          <w:b/>
          <w:bCs/>
        </w:rPr>
      </w:pPr>
      <w:r>
        <w:rPr>
          <w:b/>
          <w:bCs/>
        </w:rPr>
        <w:t>Муниципалитеты и советы членов</w:t>
      </w:r>
    </w:p>
    <w:p w:rsidR="00E017AA" w:rsidRDefault="00E017AA">
      <w:pPr>
        <w:tabs>
          <w:tab w:val="left" w:pos="567"/>
          <w:tab w:val="left" w:pos="1134"/>
          <w:tab w:val="left" w:pos="1701"/>
        </w:tabs>
        <w:spacing w:after="200"/>
      </w:pPr>
      <w:r>
        <w:t>177.</w:t>
      </w:r>
      <w:r>
        <w:tab/>
        <w:t>После выборов 2002 года доля женщин и мужчин в муниципальных советах составляла 42 процента и 58 процентов соответственно. По сравнению с выборами 1998 года это свидетельствует о более неравноправном в гендерном отношении распределении и уменьшении числа женщин в муниципальных советах на 3 процентных пункта.</w:t>
      </w:r>
    </w:p>
    <w:p w:rsidR="00E017AA" w:rsidRDefault="00E017AA">
      <w:pPr>
        <w:tabs>
          <w:tab w:val="left" w:pos="567"/>
          <w:tab w:val="left" w:pos="1134"/>
          <w:tab w:val="left" w:pos="1701"/>
        </w:tabs>
        <w:spacing w:after="200"/>
      </w:pPr>
      <w:r>
        <w:t>178.</w:t>
      </w:r>
      <w:r>
        <w:tab/>
        <w:t>Активная деятельность по достижению гендерного равенства привела к увеличению числа женщин на руководящих постах в советах ленов, в которых в настоящее время женщины занимают 44 процента постов и 56 – мужчины. Для большинства профессиональных категорий в секторах здравоохранения и медицинского обслуживания все еще характерно значительное преобладание женщин, тогда как мужчины по-прежнему занимают большинство руководящих должностей в секторе здравоохранения.</w:t>
      </w:r>
    </w:p>
    <w:p w:rsidR="00E017AA" w:rsidRDefault="00E017AA">
      <w:pPr>
        <w:keepNext/>
        <w:tabs>
          <w:tab w:val="left" w:pos="567"/>
          <w:tab w:val="left" w:pos="1134"/>
          <w:tab w:val="left" w:pos="1701"/>
        </w:tabs>
        <w:spacing w:after="200"/>
        <w:rPr>
          <w:b/>
          <w:bCs/>
        </w:rPr>
      </w:pPr>
      <w:r>
        <w:rPr>
          <w:b/>
          <w:bCs/>
        </w:rPr>
        <w:t>Советы управляющих в государственном секторе</w:t>
      </w:r>
    </w:p>
    <w:p w:rsidR="00E017AA" w:rsidRDefault="00E017AA">
      <w:pPr>
        <w:tabs>
          <w:tab w:val="left" w:pos="567"/>
          <w:tab w:val="left" w:pos="1134"/>
          <w:tab w:val="left" w:pos="1701"/>
        </w:tabs>
        <w:spacing w:after="160"/>
      </w:pPr>
      <w:r>
        <w:t>179.</w:t>
      </w:r>
      <w:r>
        <w:tab/>
        <w:t>В 2004 году доля женщин в советах центральных государственных учреждений составляла примерно 48 процентов, а мужчин – 52 процента. Число женщин и мужчин в региональных административных советах было в среднем одинаковым. Это означает, что цель достижения равного участия мужчин и женщин почти выполнена, хотя все еще необходимо проводить работу в отношении центральных государственных органов. То же можно сказать и о представленности женщин и мужчин на руководящих постах, две трети которых занимают мужчины.</w:t>
      </w:r>
    </w:p>
    <w:p w:rsidR="00E017AA" w:rsidRDefault="00E017AA">
      <w:pPr>
        <w:tabs>
          <w:tab w:val="left" w:pos="567"/>
          <w:tab w:val="left" w:pos="1134"/>
          <w:tab w:val="left" w:pos="1701"/>
        </w:tabs>
        <w:spacing w:after="200"/>
      </w:pPr>
      <w:r>
        <w:t>180.</w:t>
      </w:r>
      <w:r>
        <w:tab/>
        <w:t xml:space="preserve">С целью уменьшения гендерной диспропорции на руководящих должностях правительство намерено в последующие несколько лет уделить особое внимание вопросу назначения на такие должности. </w:t>
      </w:r>
    </w:p>
    <w:p w:rsidR="00E017AA" w:rsidRDefault="00E017AA">
      <w:pPr>
        <w:tabs>
          <w:tab w:val="left" w:pos="567"/>
          <w:tab w:val="left" w:pos="1134"/>
          <w:tab w:val="left" w:pos="1701"/>
        </w:tabs>
        <w:spacing w:after="160"/>
      </w:pPr>
      <w:r>
        <w:t>181.</w:t>
      </w:r>
      <w:r>
        <w:tab/>
        <w:t xml:space="preserve">Относительно равное распределение женщин и мужчин было достигнуто благодаря постоянному вниманию гендерному аспекту при выдвижении кандидатов и назначении на должность. Это обычно включает требование, чтобы орган, осуществляющий выдвижение кандидатов, представлял на каждую вакансию как женщин, так и мужчин, с тем чтобы правительство смогло выбрать менее представленного в гендерном отношении кандидата и сформировать совет с равным гендерным распределением. </w:t>
      </w:r>
    </w:p>
    <w:p w:rsidR="00E017AA" w:rsidRDefault="00E017AA">
      <w:pPr>
        <w:keepNext/>
        <w:tabs>
          <w:tab w:val="left" w:pos="567"/>
          <w:tab w:val="left" w:pos="1134"/>
          <w:tab w:val="left" w:pos="1701"/>
        </w:tabs>
        <w:spacing w:after="200"/>
        <w:rPr>
          <w:b/>
          <w:bCs/>
        </w:rPr>
      </w:pPr>
      <w:r>
        <w:rPr>
          <w:b/>
          <w:bCs/>
        </w:rPr>
        <w:t>Руководители государственных учреждений</w:t>
      </w:r>
    </w:p>
    <w:p w:rsidR="00E017AA" w:rsidRDefault="00E017AA">
      <w:pPr>
        <w:tabs>
          <w:tab w:val="left" w:pos="567"/>
          <w:tab w:val="left" w:pos="1134"/>
          <w:tab w:val="left" w:pos="1701"/>
        </w:tabs>
        <w:spacing w:after="200"/>
      </w:pPr>
      <w:r>
        <w:t>182.</w:t>
      </w:r>
      <w:r>
        <w:tab/>
        <w:t>Отмечается некоторое уменьшение доминирования мужчин среди руководителей государственных учреждений. В 2003 году 68 процентов руководителей государственных учреждений составляли мужчины и 32 процента – женщины. По состоянию на 1 января 2006 года доля мужчин и женщин составляла 66 процентов и 34 процента соответственно.</w:t>
      </w:r>
    </w:p>
    <w:p w:rsidR="00E017AA" w:rsidRDefault="00E017AA">
      <w:pPr>
        <w:keepNext/>
        <w:tabs>
          <w:tab w:val="left" w:pos="567"/>
          <w:tab w:val="left" w:pos="1134"/>
          <w:tab w:val="left" w:pos="1701"/>
        </w:tabs>
        <w:spacing w:after="200"/>
        <w:rPr>
          <w:b/>
          <w:bCs/>
        </w:rPr>
      </w:pPr>
      <w:r>
        <w:rPr>
          <w:b/>
          <w:bCs/>
        </w:rPr>
        <w:t>Государственные компании</w:t>
      </w:r>
    </w:p>
    <w:p w:rsidR="00E017AA" w:rsidRDefault="00E017AA">
      <w:pPr>
        <w:tabs>
          <w:tab w:val="left" w:pos="567"/>
          <w:tab w:val="left" w:pos="1134"/>
          <w:tab w:val="left" w:pos="1701"/>
        </w:tabs>
        <w:spacing w:after="200"/>
      </w:pPr>
      <w:r>
        <w:t>183.</w:t>
      </w:r>
      <w:r>
        <w:tab/>
        <w:t xml:space="preserve">Крупнейшим владельцем компаний в Швеции является государство. Компании с капиталом примерно в 500 млрд. шведских крон, в которых занято около 200 тыс. человек, управляются государственными ведомствами, и примерно 400 человек занимают должности в советах этих компаний. Для того чтобы получить место в совете директоров, требуется общая компетентность в сферах управления коммерческим предприятием, развития коммерческого предприятия, в специфике соответствующей отрасли, в финансовых вопросах и других соответствующих областях. Кроме того, для назначения требуется сочетание таких факторов, как компетентность, образование, возраст и пол. Поставленная правительством в 1999 году промежуточная цель заключалась в доведении к 2003 году численности женщин среди членов совета до 40 процентов. В то время она составляла 28 процентов. В июне 2003 года поставленная цель была достигнута. В мае 2006 года доля женщин в компаниях, полностью подконтрольных государству, составила 47 процентов. Эти результаты были достигнуты с помощью активного и ориентированного на конкретные результаты корпоративного управления. </w:t>
      </w:r>
    </w:p>
    <w:p w:rsidR="00E017AA" w:rsidRDefault="00E017AA">
      <w:pPr>
        <w:tabs>
          <w:tab w:val="left" w:pos="567"/>
          <w:tab w:val="left" w:pos="1134"/>
          <w:tab w:val="left" w:pos="1701"/>
        </w:tabs>
        <w:spacing w:after="160"/>
      </w:pPr>
      <w:r>
        <w:t>184.</w:t>
      </w:r>
      <w:r>
        <w:tab/>
        <w:t>На должностях исполнительного директора и в высшем руководстве все еще преимущественно находятся мужчины. Представленность женщин на этих должностях значительно ниже, чем в советах директоров; 86 процентов мужчин занимают должности исполнительных директоров и 77 процентов – должности в высшем руководстве. Политика в отношении государственной собственности требует, чтобы государственные компании служили ролевыми моделями в работе по достижению гендерного равенства, и правительство рассматривает это как постоянную и важную задачу по учету компетенции женщин и мужчин, в том числе при назначении на должности старшего уровня. Выполнение этих задач находит свое отражение в ежегодных докладах компаний правительству и риксдагу.</w:t>
      </w:r>
    </w:p>
    <w:p w:rsidR="00E017AA" w:rsidRDefault="00E017AA">
      <w:pPr>
        <w:keepNext/>
        <w:tabs>
          <w:tab w:val="left" w:pos="567"/>
          <w:tab w:val="left" w:pos="1134"/>
          <w:tab w:val="left" w:pos="1701"/>
        </w:tabs>
        <w:spacing w:after="200"/>
        <w:rPr>
          <w:b/>
          <w:bCs/>
        </w:rPr>
      </w:pPr>
      <w:r>
        <w:rPr>
          <w:b/>
          <w:bCs/>
        </w:rPr>
        <w:t>Частные предприятия</w:t>
      </w:r>
    </w:p>
    <w:p w:rsidR="00E017AA" w:rsidRDefault="00E017AA">
      <w:pPr>
        <w:tabs>
          <w:tab w:val="left" w:pos="567"/>
          <w:tab w:val="left" w:pos="1134"/>
          <w:tab w:val="left" w:pos="1701"/>
        </w:tabs>
        <w:spacing w:after="160"/>
      </w:pPr>
      <w:r>
        <w:t>185.</w:t>
      </w:r>
      <w:r>
        <w:tab/>
        <w:t xml:space="preserve">В частных предприятиях изменения в кадровой политике происходят гораздо медленнее. </w:t>
      </w:r>
      <w:r>
        <w:br/>
        <w:t>В 2002 году правительство инициировало проект в целях повышения уровня осведомленности среди старших должностных лиц и предоставления компаниям инструментов по нейтральному в гендерном отношении подбору кадров. В рамках данного проекта административные советы ленов организовали семинары в своих ленах для исполнительных директоров, членов советов и кандидатов на управленческие должности. Всего примерно 300 компаний приняли участие в этих мероприятиях. Оценка показала, что участники были весьма удовлетворены, расширив свои знания, касающиеся, например, недостатков в процессах подбора кадров.</w:t>
      </w:r>
    </w:p>
    <w:p w:rsidR="00E017AA" w:rsidRDefault="00E017AA">
      <w:pPr>
        <w:tabs>
          <w:tab w:val="left" w:pos="567"/>
          <w:tab w:val="left" w:pos="1134"/>
          <w:tab w:val="left" w:pos="1701"/>
        </w:tabs>
        <w:spacing w:after="200"/>
      </w:pPr>
      <w:r>
        <w:t>186.</w:t>
      </w:r>
      <w:r>
        <w:tab/>
        <w:t>Правительство приняло участие в финансируемом Европейском союзом проекте "Продвигать женщин на самый верх" (</w:t>
      </w:r>
      <w:r>
        <w:rPr>
          <w:lang w:val="en-US"/>
        </w:rPr>
        <w:t>Women</w:t>
      </w:r>
      <w:r>
        <w:t xml:space="preserve"> </w:t>
      </w:r>
      <w:r>
        <w:rPr>
          <w:lang w:val="en-US"/>
        </w:rPr>
        <w:t>to</w:t>
      </w:r>
      <w:r>
        <w:t xml:space="preserve"> </w:t>
      </w:r>
      <w:r>
        <w:rPr>
          <w:lang w:val="en-US"/>
        </w:rPr>
        <w:t>the</w:t>
      </w:r>
      <w:r>
        <w:t xml:space="preserve"> </w:t>
      </w:r>
      <w:r>
        <w:rPr>
          <w:lang w:val="en-US"/>
        </w:rPr>
        <w:t>Top</w:t>
      </w:r>
      <w:r>
        <w:t>), цель которого заключалась в ускорении процесса продвижения женщин на руководящие должности в частных предприятиях и в сфере государственного управления.</w:t>
      </w:r>
    </w:p>
    <w:p w:rsidR="00E017AA" w:rsidRDefault="00E017AA">
      <w:pPr>
        <w:tabs>
          <w:tab w:val="left" w:pos="567"/>
          <w:tab w:val="left" w:pos="1134"/>
          <w:tab w:val="left" w:pos="1701"/>
        </w:tabs>
        <w:spacing w:after="200"/>
      </w:pPr>
      <w:r>
        <w:t>187.</w:t>
      </w:r>
      <w:r>
        <w:tab/>
        <w:t>В целях анализа положения дел в отношении гендерного равенства в крупных организациях в 2002 году правительство предприняло изучение вопроса о назначении женщин на руководящие должности в частных предприятиях. Один из выводов доклада, сделанного по итогам этого исследования (</w:t>
      </w:r>
      <w:r>
        <w:rPr>
          <w:lang w:val="en-US"/>
        </w:rPr>
        <w:t>SOU</w:t>
      </w:r>
      <w:r>
        <w:t xml:space="preserve"> 2003:16), заключался в том, что в крупных организациях частного сектора руководящие должности занимают в основном мужчины. Кроме того, было установлено, что, несмотря на действительно проводимые изменения в организациях, направленные на достижение более равноправного распределения должностей по гендерному признаку, доля должностей, занимаемых женщинами в советах директоров частных компаний, за последние десять лет увеличилась всего с 2 до 8 процентов (за исключением представителей персонала).</w:t>
      </w:r>
    </w:p>
    <w:p w:rsidR="00E017AA" w:rsidRDefault="00E017AA">
      <w:pPr>
        <w:tabs>
          <w:tab w:val="left" w:pos="567"/>
          <w:tab w:val="left" w:pos="1134"/>
          <w:tab w:val="left" w:pos="1701"/>
        </w:tabs>
        <w:spacing w:after="200"/>
      </w:pPr>
      <w:r>
        <w:t>188.</w:t>
      </w:r>
      <w:r>
        <w:tab/>
        <w:t>После представления в 2003 году доклада о вышеуказанном исследовании правительство организовало несколько конференций "круглого стола" с участием представителей делового сообщества и правительства, которым было предложено представить в письменном виде свои предложения в отношении дальнейших мер. В конце 2003 года правительство организовало важную конференцию для более широкого круга представителей бизнеса и других секторов общества, с тем чтобы обсудить эти предложения и другие идеи, направленные на ускорение изменений в направлении более равного в гендерном отношении распределения руководящих должностей, а также постов в советах директоров.</w:t>
      </w:r>
    </w:p>
    <w:p w:rsidR="00E017AA" w:rsidRDefault="00E017AA">
      <w:pPr>
        <w:tabs>
          <w:tab w:val="left" w:pos="567"/>
          <w:tab w:val="left" w:pos="1134"/>
          <w:tab w:val="left" w:pos="1701"/>
        </w:tabs>
        <w:spacing w:after="160"/>
      </w:pPr>
      <w:r>
        <w:t>189.</w:t>
      </w:r>
      <w:r>
        <w:tab/>
        <w:t>Кроме того, правительство и риксдаг приняли закон о достижении более равномерного гендерного распределения. С 1 января 2004 года гендерное распределение в руководстве компаний должно указываться в их ежегодных докладах. Новые правила делают более прозрачным гендерное распределение руководящих должностей в компаниях.</w:t>
      </w:r>
    </w:p>
    <w:p w:rsidR="00E017AA" w:rsidRDefault="00E017AA">
      <w:pPr>
        <w:tabs>
          <w:tab w:val="left" w:pos="567"/>
          <w:tab w:val="left" w:pos="1134"/>
          <w:tab w:val="left" w:pos="1701"/>
        </w:tabs>
        <w:spacing w:after="160"/>
      </w:pPr>
      <w:r>
        <w:t>190.</w:t>
      </w:r>
      <w:r>
        <w:tab/>
        <w:t xml:space="preserve">Численность мужчин в советах директоров компаний, зарегистрированных на фондовой бирже, сократилась с 95 процентов в 2000 году до 84 процентов в 2005 году. </w:t>
      </w:r>
    </w:p>
    <w:p w:rsidR="00E017AA" w:rsidRDefault="00E017AA">
      <w:pPr>
        <w:tabs>
          <w:tab w:val="left" w:pos="567"/>
          <w:tab w:val="left" w:pos="1134"/>
          <w:tab w:val="left" w:pos="1701"/>
        </w:tabs>
        <w:spacing w:after="160"/>
      </w:pPr>
      <w:r>
        <w:t>191.</w:t>
      </w:r>
      <w:r>
        <w:tab/>
        <w:t>Для изучения возможностей дальнейшего ускорения прогресса в направлении более сбалансированного гендерного распределения правительство поручило провести обследование с целью изучения вопроса о том, возможно ли и каким образом – в каждом конкретном случае – ввести в шведское законодательство нормы, предусматривающие квоты для мужчин и женщин в советах директоров. В мандате на проведение обследования говорится, что наиболее предпочтительным является вариант, при котором компании сами принимают решения о достижении более удовлетворительного гендерного распределения в своих руководящих органах, но если это окажется невозможным, то могут рассматриваться и законодательные меры. Результаты обследования были представлены в начале июня 2006 года. Его выводы будут распространены для консультаций, а затем рассмотрены государственными ведомствами.</w:t>
      </w:r>
    </w:p>
    <w:p w:rsidR="00E017AA" w:rsidRDefault="00E017AA">
      <w:pPr>
        <w:keepNext/>
        <w:tabs>
          <w:tab w:val="left" w:pos="567"/>
          <w:tab w:val="left" w:pos="1134"/>
          <w:tab w:val="left" w:pos="1701"/>
        </w:tabs>
        <w:spacing w:after="200"/>
        <w:rPr>
          <w:b/>
          <w:bCs/>
        </w:rPr>
      </w:pPr>
      <w:r>
        <w:rPr>
          <w:b/>
          <w:bCs/>
        </w:rPr>
        <w:t>Состав судов</w:t>
      </w:r>
    </w:p>
    <w:p w:rsidR="00E017AA" w:rsidRDefault="00E017AA">
      <w:pPr>
        <w:tabs>
          <w:tab w:val="left" w:pos="567"/>
          <w:tab w:val="left" w:pos="1134"/>
          <w:tab w:val="left" w:pos="1701"/>
        </w:tabs>
        <w:spacing w:after="200"/>
      </w:pPr>
      <w:r>
        <w:t>192.</w:t>
      </w:r>
      <w:r>
        <w:tab/>
        <w:t>В 2003 году правительство внесло отдельные изменения в положения, касающиеся назначения судей. Цель заключалась в том, чтобы подчеркнуть необходимость более равномерного гендерного распределения среди судей. Кроме того, необходимо интенсифицировать меры, с тем чтобы стимулировать у женщин-судей интерес к вопросам руководства и тем самым побуждать больше женщин ходатайствовать о приеме на руководящие должности. Со времени представления предыдущего доклада правительства число женщин-судей, включая главных судей и других старших судей, неуклонно растет.</w:t>
      </w:r>
    </w:p>
    <w:p w:rsidR="00E017AA" w:rsidRDefault="00E017AA">
      <w:pPr>
        <w:keepNext/>
        <w:tabs>
          <w:tab w:val="left" w:pos="567"/>
          <w:tab w:val="left" w:pos="1134"/>
          <w:tab w:val="left" w:pos="1701"/>
        </w:tabs>
        <w:spacing w:after="200"/>
        <w:rPr>
          <w:b/>
          <w:bCs/>
        </w:rPr>
      </w:pPr>
      <w:r>
        <w:rPr>
          <w:b/>
          <w:bCs/>
        </w:rPr>
        <w:t xml:space="preserve">Суды общей юрисдикции и общие административные суды </w:t>
      </w:r>
    </w:p>
    <w:p w:rsidR="00E017AA" w:rsidRDefault="00E017AA">
      <w:pPr>
        <w:tabs>
          <w:tab w:val="left" w:pos="567"/>
          <w:tab w:val="left" w:pos="1134"/>
          <w:tab w:val="left" w:pos="1701"/>
        </w:tabs>
        <w:spacing w:after="200"/>
      </w:pPr>
      <w:r>
        <w:t>193.</w:t>
      </w:r>
      <w:r>
        <w:tab/>
        <w:t xml:space="preserve">В 2005 году женщины составляли 28 процентов, а мужчины – 72 процента постоянных судей в судах общей юрисдикции. Это свидетельствует об увеличении числа женщин на 11 процентных пунктов по сравнению с 1999 годом. В 2005 году в общих административных судах соотношение женщин и мужчин составляло 33 процента и 67 процентов соответственно. Это свидетельствует об увеличении на 6 процентных пунктов по сравнению с 1999 годом. За последние годы увеличилась и доля женщин среди главных судей. </w:t>
      </w:r>
    </w:p>
    <w:p w:rsidR="00E017AA" w:rsidRDefault="00E017AA">
      <w:pPr>
        <w:keepNext/>
        <w:tabs>
          <w:tab w:val="left" w:pos="567"/>
          <w:tab w:val="left" w:pos="1134"/>
          <w:tab w:val="left" w:pos="1701"/>
        </w:tabs>
        <w:spacing w:after="200"/>
        <w:rPr>
          <w:b/>
          <w:bCs/>
        </w:rPr>
      </w:pPr>
      <w:r>
        <w:rPr>
          <w:b/>
          <w:bCs/>
        </w:rPr>
        <w:t>Суд по трудовым спорам</w:t>
      </w:r>
    </w:p>
    <w:p w:rsidR="00E017AA" w:rsidRDefault="00E017AA">
      <w:pPr>
        <w:tabs>
          <w:tab w:val="left" w:pos="567"/>
          <w:tab w:val="left" w:pos="1134"/>
          <w:tab w:val="left" w:pos="1701"/>
        </w:tabs>
        <w:spacing w:after="200"/>
      </w:pPr>
      <w:r>
        <w:t>194.</w:t>
      </w:r>
      <w:r>
        <w:tab/>
        <w:t>В 2004 году среди постоянных членов Суда по трудовым спорам женщины составляли 48 процентов, а мужчины, соответственно, 52 процента. В том же году в составе Суда на ротационной основе было 44 процента женщин и 56 процентов мужчин. Общее соотношение мужчин и женщин не изменилось.</w:t>
      </w:r>
    </w:p>
    <w:p w:rsidR="00E017AA" w:rsidRDefault="00E017AA">
      <w:pPr>
        <w:keepNext/>
        <w:tabs>
          <w:tab w:val="left" w:pos="567"/>
          <w:tab w:val="left" w:pos="1134"/>
          <w:tab w:val="left" w:pos="1701"/>
        </w:tabs>
        <w:spacing w:after="200"/>
        <w:rPr>
          <w:b/>
          <w:bCs/>
        </w:rPr>
      </w:pPr>
      <w:r>
        <w:rPr>
          <w:b/>
          <w:bCs/>
        </w:rPr>
        <w:t>Пункт с) статьи 7. Добровольные ассоциации</w:t>
      </w:r>
    </w:p>
    <w:p w:rsidR="00E017AA" w:rsidRDefault="00E017AA">
      <w:pPr>
        <w:tabs>
          <w:tab w:val="left" w:pos="567"/>
          <w:tab w:val="left" w:pos="1134"/>
          <w:tab w:val="left" w:pos="1701"/>
        </w:tabs>
        <w:spacing w:after="200"/>
      </w:pPr>
      <w:r>
        <w:t>195.</w:t>
      </w:r>
      <w:r>
        <w:tab/>
        <w:t xml:space="preserve">Недавно была введена новая система грантов для женских организаций в целях содействия объединению женщин в свои собственные организации. </w:t>
      </w:r>
    </w:p>
    <w:p w:rsidR="00E017AA" w:rsidRDefault="00E017AA">
      <w:pPr>
        <w:tabs>
          <w:tab w:val="left" w:pos="567"/>
          <w:tab w:val="left" w:pos="1134"/>
          <w:tab w:val="left" w:pos="1701"/>
        </w:tabs>
        <w:spacing w:after="200"/>
      </w:pPr>
      <w:r>
        <w:t>196.</w:t>
      </w:r>
      <w:r>
        <w:tab/>
        <w:t>В течение 2006–2008 годов гранты для женских организаций будут постепенно увеличиваться – с примерно 3 млн. до 28 млн. шведских крон. Система грантов регулируется Комитетом по правительственным ассигнованиям на женские организации и на проекты в отношении гендерного равенства и является элементом специальной инициативы по расширению содействия женским организациям [см. пункт </w:t>
      </w:r>
      <w:r>
        <w:rPr>
          <w:lang w:val="en-US"/>
        </w:rPr>
        <w:t>f</w:t>
      </w:r>
      <w:r>
        <w:t>) статьи 2], представленной в проекте бюджета на 2006 год.</w:t>
      </w:r>
    </w:p>
    <w:p w:rsidR="00E017AA" w:rsidRDefault="00E017AA">
      <w:pPr>
        <w:tabs>
          <w:tab w:val="left" w:pos="567"/>
          <w:tab w:val="left" w:pos="1134"/>
          <w:tab w:val="left" w:pos="1701"/>
        </w:tabs>
        <w:spacing w:after="200"/>
      </w:pPr>
      <w:r>
        <w:t>197.</w:t>
      </w:r>
      <w:r>
        <w:tab/>
        <w:t>Осенью 2005 года было поручено проанализировать осуществляемую государством политику в отношении добровольных ассоциаций и внести предложения, касающиеся дальнейшего направления их деятельности, ее охвата и формы. При проведении обследования необходимо особо учитывать происходящие изменения в вовлеченности женщин и мужчин и путей самоорганизации, а также выявить, что способствует, а что препятствует этому. Результатом этого обследования должен стать доклад, содержащий предложения относительно возможностей для женщин и мужчин создавать добровольные организации и народные движения и принимать в них участие, в том числе в аспекте гендерного равенства. Выводы по результатам обследования должны быть представлены не позднее 30 июня 2007 года.</w:t>
      </w:r>
    </w:p>
    <w:p w:rsidR="00E017AA" w:rsidRDefault="00E017AA">
      <w:pPr>
        <w:tabs>
          <w:tab w:val="left" w:pos="567"/>
          <w:tab w:val="left" w:pos="1134"/>
          <w:tab w:val="left" w:pos="1701"/>
        </w:tabs>
        <w:spacing w:after="200"/>
      </w:pPr>
      <w:r>
        <w:t>198.</w:t>
      </w:r>
      <w:r>
        <w:tab/>
        <w:t>В своем недавно разработанном законопроекте о гендерном равенстве правительство придерживалось того мнения, что отправной точкой в этой области должно стать требование, согласно которому гранты предоставляются тем НПО, которые включают в свою деятельность гендерный аспект. Внедрение требования об учете критерия гендерного равенства будет происходить постепенно, например при выделении ассигнований и при введении новых систем грантов или в случае внесения изменений в системы предоставления грантов по другим соображениям.</w:t>
      </w:r>
    </w:p>
    <w:p w:rsidR="00E017AA" w:rsidRDefault="00E017AA">
      <w:pPr>
        <w:keepNext/>
        <w:tabs>
          <w:tab w:val="left" w:pos="567"/>
          <w:tab w:val="left" w:pos="1134"/>
          <w:tab w:val="left" w:pos="1701"/>
        </w:tabs>
        <w:spacing w:before="240" w:after="200"/>
        <w:rPr>
          <w:b/>
          <w:sz w:val="24"/>
        </w:rPr>
      </w:pPr>
      <w:r>
        <w:rPr>
          <w:b/>
          <w:sz w:val="24"/>
        </w:rPr>
        <w:t>Статья 8.  Представительство и участие на международном уровне</w:t>
      </w:r>
    </w:p>
    <w:p w:rsidR="00E017AA" w:rsidRDefault="00E017AA">
      <w:pPr>
        <w:tabs>
          <w:tab w:val="left" w:pos="567"/>
          <w:tab w:val="left" w:pos="1134"/>
          <w:tab w:val="left" w:pos="1701"/>
        </w:tabs>
        <w:spacing w:after="200"/>
      </w:pPr>
      <w:r>
        <w:t>199.</w:t>
      </w:r>
      <w:r>
        <w:tab/>
        <w:t xml:space="preserve">Министр иностранных дел уделяет приоритетное внимание отбору большего числа женщин-кандидатов для назначения на важные международные должности. Число женщин – глав представительств за границей увеличилось с 16 в 2000 году до 33 в 2005 году, что свидетельствует об увеличении с 16 процентов в 2000 году до 32 процентов в 2005 году. Как женщины, так и мужчины всегда должны представляться в качестве кандидатов на предварительном этапе, предшествующем таким назначениям. </w:t>
      </w:r>
    </w:p>
    <w:p w:rsidR="00E017AA" w:rsidRDefault="00E017AA">
      <w:pPr>
        <w:tabs>
          <w:tab w:val="left" w:pos="567"/>
          <w:tab w:val="left" w:pos="1134"/>
          <w:tab w:val="left" w:pos="1701"/>
        </w:tabs>
        <w:spacing w:after="200"/>
      </w:pPr>
      <w:r>
        <w:t>200.</w:t>
      </w:r>
      <w:r>
        <w:tab/>
        <w:t xml:space="preserve">В пакете мер Министерства иностранных дел в области гендерного равенства на 2005–2006 годы ставятся, среди прочего, следующие цели: </w:t>
      </w:r>
    </w:p>
    <w:p w:rsidR="00E017AA" w:rsidRDefault="00E017AA">
      <w:pPr>
        <w:tabs>
          <w:tab w:val="clear" w:pos="907"/>
          <w:tab w:val="clear" w:pos="1247"/>
          <w:tab w:val="left" w:pos="567"/>
          <w:tab w:val="left" w:pos="1701"/>
        </w:tabs>
        <w:spacing w:after="200"/>
        <w:ind w:left="851" w:hanging="284"/>
      </w:pPr>
      <w:r>
        <w:t>–</w:t>
      </w:r>
      <w:r>
        <w:tab/>
        <w:t xml:space="preserve">стремиться к равному гендерному распределению во всех департаментах/ представительствах за границей и на всех видах должностей. Это означает, что в процессе отбора кадров следует особо рассматривать возможность назначать/направлять на работу в департамент/представительство за границей кандидата недопредставленного пола; </w:t>
      </w:r>
    </w:p>
    <w:p w:rsidR="00E017AA" w:rsidRDefault="00E017AA">
      <w:pPr>
        <w:tabs>
          <w:tab w:val="clear" w:pos="907"/>
          <w:tab w:val="clear" w:pos="1247"/>
          <w:tab w:val="left" w:pos="567"/>
          <w:tab w:val="left" w:pos="1701"/>
        </w:tabs>
        <w:spacing w:after="200"/>
        <w:ind w:left="851" w:hanging="284"/>
      </w:pPr>
      <w:r>
        <w:t>–</w:t>
      </w:r>
      <w:r>
        <w:tab/>
        <w:t>доля женщин на руководящих должностях в Министерстве в Стокгольме и в представительствах за границей должна составлять не менее 40 процентов.</w:t>
      </w:r>
    </w:p>
    <w:p w:rsidR="00E017AA" w:rsidRDefault="00E017AA">
      <w:pPr>
        <w:tabs>
          <w:tab w:val="left" w:pos="567"/>
          <w:tab w:val="left" w:pos="1134"/>
          <w:tab w:val="left" w:pos="1701"/>
        </w:tabs>
        <w:spacing w:after="200"/>
      </w:pPr>
      <w:r>
        <w:t>201.</w:t>
      </w:r>
      <w:r>
        <w:tab/>
        <w:t>В мерах по расширению возможностей женщин участвовать в работе международных организаций правительственные ведомства стремятся использовать свои различные контакты и связи, с тем чтобы побуждать женщин ходатайствовать о приеме на такие должности.</w:t>
      </w:r>
    </w:p>
    <w:p w:rsidR="00E017AA" w:rsidRDefault="00E017AA">
      <w:pPr>
        <w:tabs>
          <w:tab w:val="left" w:pos="567"/>
          <w:tab w:val="left" w:pos="1134"/>
          <w:tab w:val="left" w:pos="1701"/>
        </w:tabs>
        <w:spacing w:after="200"/>
      </w:pPr>
      <w:r>
        <w:t>202.</w:t>
      </w:r>
      <w:r>
        <w:tab/>
        <w:t>Возможность правительства влиять на отбор кандидатов для работы в учреждениях Европейского союза (кроме двух судей и одного члена Европейского суда аудиторов, которые назначаются Швецией) ограничивается теми должностями высокого уровня, в отношении которых требуется политическая поддержка. Это касается должностей Директора или Генерального директора. В восьми учреждениях Европейского союза в настоящее время две женщины и семь мужчин из Швеции занимают должность этого уровня.</w:t>
      </w:r>
    </w:p>
    <w:p w:rsidR="00E017AA" w:rsidRDefault="00E017AA">
      <w:pPr>
        <w:tabs>
          <w:tab w:val="left" w:pos="567"/>
          <w:tab w:val="left" w:pos="1134"/>
          <w:tab w:val="left" w:pos="1701"/>
        </w:tabs>
        <w:spacing w:after="200"/>
      </w:pPr>
      <w:r>
        <w:t>203.</w:t>
      </w:r>
      <w:r>
        <w:tab/>
        <w:t>В учреждениях Европейского союза работают немногим более 1 тыс. граждан Швеции. Из них свыше 600 работают в Европейской комиссии, и 58 процентов из них составляют женщины и 42 процента – мужчины. Комиссия является единственным учреждением, публикующим новейшие статистические данные в разбивке по полу.</w:t>
      </w:r>
    </w:p>
    <w:p w:rsidR="00E017AA" w:rsidRDefault="00E017AA">
      <w:pPr>
        <w:tabs>
          <w:tab w:val="left" w:pos="567"/>
          <w:tab w:val="left" w:pos="1134"/>
          <w:tab w:val="left" w:pos="1701"/>
        </w:tabs>
        <w:spacing w:after="160"/>
      </w:pPr>
      <w:r>
        <w:t>204.</w:t>
      </w:r>
      <w:r>
        <w:tab/>
        <w:t>Вертикальное гендерное распределение среди шведов, работающих в Европейской комиссии, выглядит следующим образом:</w:t>
      </w:r>
    </w:p>
    <w:p w:rsidR="00E017AA" w:rsidRDefault="00E017AA">
      <w:pPr>
        <w:tabs>
          <w:tab w:val="clear" w:pos="907"/>
          <w:tab w:val="clear" w:pos="1247"/>
          <w:tab w:val="left" w:pos="567"/>
          <w:tab w:val="left" w:pos="1701"/>
        </w:tabs>
        <w:spacing w:after="160"/>
        <w:ind w:left="851" w:hanging="284"/>
      </w:pPr>
      <w:r>
        <w:t>–</w:t>
      </w:r>
      <w:r>
        <w:tab/>
        <w:t>должностные и старшие должностные лица: 46 процентов женщин и 54 процента мужчин;</w:t>
      </w:r>
    </w:p>
    <w:p w:rsidR="00E017AA" w:rsidRDefault="00E017AA">
      <w:pPr>
        <w:tabs>
          <w:tab w:val="clear" w:pos="907"/>
          <w:tab w:val="clear" w:pos="1247"/>
          <w:tab w:val="left" w:pos="567"/>
          <w:tab w:val="left" w:pos="1701"/>
        </w:tabs>
        <w:spacing w:after="160"/>
        <w:ind w:left="851" w:hanging="284"/>
      </w:pPr>
      <w:r>
        <w:t>–</w:t>
      </w:r>
      <w:r>
        <w:tab/>
        <w:t>помощники: 66 процентов женщин и 34 процента мужчин;</w:t>
      </w:r>
    </w:p>
    <w:p w:rsidR="00E017AA" w:rsidRDefault="00E017AA">
      <w:pPr>
        <w:tabs>
          <w:tab w:val="clear" w:pos="907"/>
          <w:tab w:val="clear" w:pos="1247"/>
          <w:tab w:val="left" w:pos="567"/>
          <w:tab w:val="left" w:pos="1701"/>
        </w:tabs>
        <w:spacing w:after="160"/>
        <w:ind w:left="851" w:hanging="284"/>
      </w:pPr>
      <w:r>
        <w:t>–</w:t>
      </w:r>
      <w:r>
        <w:tab/>
        <w:t>секретари: 96 процентов женщин и 4 процента мужчин;</w:t>
      </w:r>
    </w:p>
    <w:p w:rsidR="00E017AA" w:rsidRDefault="00E017AA">
      <w:pPr>
        <w:tabs>
          <w:tab w:val="clear" w:pos="907"/>
          <w:tab w:val="clear" w:pos="1247"/>
          <w:tab w:val="left" w:pos="567"/>
          <w:tab w:val="left" w:pos="1701"/>
        </w:tabs>
        <w:spacing w:after="200"/>
        <w:ind w:left="851" w:hanging="284"/>
      </w:pPr>
      <w:r>
        <w:t>–</w:t>
      </w:r>
      <w:r>
        <w:tab/>
        <w:t>технический персонал на 100 процентов укомплектован мужчинами.</w:t>
      </w:r>
    </w:p>
    <w:p w:rsidR="00E017AA" w:rsidRDefault="00E017AA">
      <w:pPr>
        <w:tabs>
          <w:tab w:val="left" w:pos="567"/>
          <w:tab w:val="left" w:pos="1134"/>
          <w:tab w:val="left" w:pos="1701"/>
        </w:tabs>
        <w:spacing w:after="200"/>
      </w:pPr>
      <w:r>
        <w:t>205.</w:t>
      </w:r>
      <w:r>
        <w:tab/>
        <w:t xml:space="preserve">Перед шведским Агентством связи и телекоммуникаций была поставлена задача по достижению более равномерного гендерного распределения в составе делегаций Швеции, принимающих участие в международном сотрудничестве в рамках сферы ответственности Агентства. </w:t>
      </w:r>
    </w:p>
    <w:p w:rsidR="00E017AA" w:rsidRDefault="00E017AA">
      <w:pPr>
        <w:keepNext/>
        <w:tabs>
          <w:tab w:val="left" w:pos="567"/>
          <w:tab w:val="left" w:pos="1134"/>
          <w:tab w:val="left" w:pos="1701"/>
        </w:tabs>
        <w:spacing w:before="240" w:after="200"/>
        <w:rPr>
          <w:b/>
          <w:sz w:val="24"/>
        </w:rPr>
      </w:pPr>
      <w:r>
        <w:rPr>
          <w:b/>
          <w:sz w:val="24"/>
        </w:rPr>
        <w:t>Статья 9.  Гражданство</w:t>
      </w:r>
    </w:p>
    <w:p w:rsidR="00E017AA" w:rsidRDefault="00E017AA">
      <w:pPr>
        <w:tabs>
          <w:tab w:val="left" w:pos="567"/>
          <w:tab w:val="left" w:pos="1134"/>
          <w:tab w:val="left" w:pos="1701"/>
        </w:tabs>
        <w:spacing w:after="200"/>
      </w:pPr>
      <w:r>
        <w:t>206.</w:t>
      </w:r>
      <w:r>
        <w:tab/>
        <w:t>См. также предыдущие доклады Швеции.</w:t>
      </w:r>
    </w:p>
    <w:p w:rsidR="00E017AA" w:rsidRDefault="00E017AA">
      <w:pPr>
        <w:keepNext/>
        <w:tabs>
          <w:tab w:val="left" w:pos="567"/>
          <w:tab w:val="left" w:pos="1134"/>
          <w:tab w:val="left" w:pos="1701"/>
        </w:tabs>
        <w:spacing w:after="200"/>
        <w:rPr>
          <w:b/>
          <w:bCs/>
        </w:rPr>
      </w:pPr>
      <w:r>
        <w:rPr>
          <w:b/>
          <w:bCs/>
        </w:rPr>
        <w:t>Пункты 1) и 2) статьи 9</w:t>
      </w:r>
    </w:p>
    <w:p w:rsidR="00E017AA" w:rsidRDefault="00E017AA">
      <w:pPr>
        <w:tabs>
          <w:tab w:val="left" w:pos="567"/>
          <w:tab w:val="left" w:pos="1134"/>
          <w:tab w:val="left" w:pos="1701"/>
        </w:tabs>
        <w:spacing w:after="200"/>
      </w:pPr>
      <w:r>
        <w:t>207.</w:t>
      </w:r>
      <w:r>
        <w:tab/>
        <w:t>При выделении бюджетных ассигнований для Шведского совета по вопросам миграции на 2003 год правительство поставило перед ним задачу представлять доклады о выполнении руководящих принципов, касающихся наилучших путей и средств учета потребностей женщин в защите в процессе предоставления убежища и осуществления этой работы в дальнейшем. При выделении Совету по вопросам миграции ассигнований на 2006 год также предписывалось учитывать аспект гендерного равенства в своей повседневной работе и, в сотрудничестве со Шведским управлением по вопросам интеграции, при предоставлении информации относительно лиц, ищущих убежища.</w:t>
      </w:r>
    </w:p>
    <w:p w:rsidR="00E017AA" w:rsidRDefault="00E017AA">
      <w:pPr>
        <w:tabs>
          <w:tab w:val="left" w:pos="567"/>
          <w:tab w:val="left" w:pos="1134"/>
          <w:tab w:val="left" w:pos="1701"/>
        </w:tabs>
        <w:spacing w:after="200"/>
      </w:pPr>
      <w:r>
        <w:t>208.</w:t>
      </w:r>
      <w:r>
        <w:tab/>
        <w:t>При рассмотрении ходатайств о предоставлении убежищ должностные лица обязаны обращать особое внимание и учитывать мотивы женщин, ходатайствующих о предоставлении убежища. Персоналу Совета по вопросам миграции обеспечивается специальная подготовка по проблеме гендерного равенства.</w:t>
      </w:r>
    </w:p>
    <w:p w:rsidR="00E017AA" w:rsidRDefault="00E017AA">
      <w:pPr>
        <w:tabs>
          <w:tab w:val="left" w:pos="567"/>
          <w:tab w:val="left" w:pos="1134"/>
          <w:tab w:val="left" w:pos="1701"/>
        </w:tabs>
        <w:spacing w:after="200"/>
      </w:pPr>
      <w:r>
        <w:t>209.</w:t>
      </w:r>
      <w:r>
        <w:tab/>
        <w:t>С 31 марта 2006 года начала действовать новая система обработки данных и принятия решений по делам, связанным с иностранцами и гражданством, и Совет по вопросам миграции и правительственные ведомства сотрудничают в работе по включению в эту систему гендерного фактора.</w:t>
      </w:r>
    </w:p>
    <w:p w:rsidR="00E017AA" w:rsidRDefault="00E017AA">
      <w:pPr>
        <w:tabs>
          <w:tab w:val="left" w:pos="567"/>
          <w:tab w:val="left" w:pos="1134"/>
          <w:tab w:val="left" w:pos="1701"/>
        </w:tabs>
        <w:spacing w:after="200"/>
      </w:pPr>
      <w:r>
        <w:t>210.</w:t>
      </w:r>
      <w:r>
        <w:tab/>
        <w:t>Новый Закон об иностранных гражданах (правительственный законопроект 2004/05:170) был принят риксдагом 14 сентября 2005 года. Теперь в данном законе используются нейтральные в гендерном отношении формулировки.</w:t>
      </w:r>
    </w:p>
    <w:p w:rsidR="00E017AA" w:rsidRDefault="00E017AA">
      <w:pPr>
        <w:tabs>
          <w:tab w:val="left" w:pos="567"/>
          <w:tab w:val="left" w:pos="1134"/>
          <w:tab w:val="left" w:pos="1701"/>
        </w:tabs>
        <w:spacing w:after="160"/>
      </w:pPr>
      <w:r>
        <w:t>211.</w:t>
      </w:r>
      <w:r>
        <w:tab/>
        <w:t>В сентябре 2005 года правительство представило в риксдаг законопроект о статусе беженца и о преследовании по гендерному признаку или на основании сексуальной ориентации (правительственный законопроект 2005/06:6). В законопроекте предлагается, чтобы те лица, которые имеют весьма обоснованные опасения подвергнуться преследованиям в связи с их полом или сексуальной ориентацией и которым в рамках существующего законодательства предоставлена защита как нуждающимся в ней и по другим основаниям (статус дополнительной защиты), должны вместо этого получить защиту как беженцы. Законопроект был принят риксдагом, и это положение в настоящее время включено в раздел 1 главы 4 Закона об иностранных гражданах (2005:716).</w:t>
      </w:r>
    </w:p>
    <w:p w:rsidR="00E017AA" w:rsidRDefault="00E017AA">
      <w:pPr>
        <w:tabs>
          <w:tab w:val="left" w:pos="567"/>
          <w:tab w:val="left" w:pos="1134"/>
          <w:tab w:val="left" w:pos="1701"/>
        </w:tabs>
        <w:spacing w:after="160"/>
      </w:pPr>
      <w:r>
        <w:t>212.</w:t>
      </w:r>
      <w:r>
        <w:tab/>
        <w:t xml:space="preserve">В Директиве Европейского союза о квалификационных требованиях при рассмотрении ходатайств о предоставлении убежища (2004/83/ЕС) отмечается, что акты преследования, являющиеся основанием для рассмотрения преследуемого лица в качестве беженца, включают, согласно Директиве, акты преследования по гендерному признаку. Правительство назначило группу по анализу и внесению предложений относительно методов выполнения данной Директивы в Швеции. Группа представила свои выводы в январе 2006 года, и в настоящее время данное предложение рассматривается, после чего оно будет обсуждаться в правительственных ведомствах. </w:t>
      </w:r>
    </w:p>
    <w:p w:rsidR="00E017AA" w:rsidRDefault="00E017AA">
      <w:pPr>
        <w:keepNext/>
        <w:tabs>
          <w:tab w:val="left" w:pos="567"/>
          <w:tab w:val="left" w:pos="1134"/>
          <w:tab w:val="left" w:pos="1701"/>
        </w:tabs>
        <w:spacing w:after="200"/>
        <w:rPr>
          <w:b/>
          <w:sz w:val="24"/>
        </w:rPr>
      </w:pPr>
      <w:r>
        <w:rPr>
          <w:b/>
          <w:sz w:val="24"/>
        </w:rPr>
        <w:t>Статья 10.  Образование</w:t>
      </w:r>
    </w:p>
    <w:p w:rsidR="00E017AA" w:rsidRDefault="00E017AA">
      <w:pPr>
        <w:tabs>
          <w:tab w:val="left" w:pos="567"/>
          <w:tab w:val="left" w:pos="1134"/>
          <w:tab w:val="left" w:pos="1701"/>
        </w:tabs>
        <w:spacing w:after="160"/>
      </w:pPr>
      <w:r>
        <w:t>213.</w:t>
      </w:r>
      <w:r>
        <w:tab/>
        <w:t xml:space="preserve">Сведения о шведской системе школьного образования содержатся во втором докладе Швеции. См. также пункты а) и </w:t>
      </w:r>
      <w:r>
        <w:rPr>
          <w:lang w:val="en-US"/>
        </w:rPr>
        <w:t>b</w:t>
      </w:r>
      <w:r>
        <w:t xml:space="preserve">) статьи 2 данного доклада о законодательстве в области образования. </w:t>
      </w:r>
    </w:p>
    <w:p w:rsidR="00E017AA" w:rsidRDefault="00E017AA">
      <w:pPr>
        <w:keepNext/>
        <w:tabs>
          <w:tab w:val="clear" w:pos="567"/>
          <w:tab w:val="left" w:pos="1134"/>
          <w:tab w:val="left" w:pos="1701"/>
        </w:tabs>
        <w:spacing w:after="200"/>
        <w:ind w:left="0" w:firstLine="0"/>
        <w:jc w:val="left"/>
        <w:rPr>
          <w:b/>
          <w:bCs/>
        </w:rPr>
      </w:pPr>
      <w:r>
        <w:rPr>
          <w:b/>
          <w:bCs/>
        </w:rPr>
        <w:t>Пункт а) статьи 10. Дошкольное, обязательное школьное, полное среднее  школьное</w:t>
      </w:r>
      <w:r>
        <w:rPr>
          <w:b/>
          <w:bCs/>
        </w:rPr>
        <w:br/>
        <w:t>и высшее образование</w:t>
      </w:r>
    </w:p>
    <w:p w:rsidR="00E017AA" w:rsidRDefault="00E017AA">
      <w:pPr>
        <w:keepNext/>
        <w:tabs>
          <w:tab w:val="left" w:pos="567"/>
          <w:tab w:val="left" w:pos="1134"/>
          <w:tab w:val="left" w:pos="1701"/>
        </w:tabs>
        <w:spacing w:after="200"/>
      </w:pPr>
      <w:r>
        <w:t>а)</w:t>
      </w:r>
      <w:r>
        <w:tab/>
        <w:t>Дошкольное, обязательное школьное и полное среднее школьное образование</w:t>
      </w:r>
    </w:p>
    <w:p w:rsidR="00E017AA" w:rsidRDefault="00E017AA">
      <w:pPr>
        <w:tabs>
          <w:tab w:val="left" w:pos="567"/>
          <w:tab w:val="left" w:pos="1134"/>
          <w:tab w:val="left" w:pos="1701"/>
        </w:tabs>
        <w:spacing w:after="200"/>
      </w:pPr>
      <w:r>
        <w:t>214.</w:t>
      </w:r>
      <w:r>
        <w:tab/>
        <w:t>Выделяя ассигнования на 2004 год, правительство поставило перед Управлением по вопросам совершенствования школьного обучения задачу принять общие меры в сфере гендерного равенства. Управление сообщило правительству о том, что приоритетное внимание в своей деятельности по совершенствованию образования Управление намерено сосредоточить на пяти областях. Одна из таких пяти приоритетных областей – демократия, гендерное равенство и возможности влияния.</w:t>
      </w:r>
    </w:p>
    <w:p w:rsidR="00E017AA" w:rsidRDefault="00E017AA">
      <w:pPr>
        <w:tabs>
          <w:tab w:val="left" w:pos="567"/>
          <w:tab w:val="left" w:pos="1134"/>
          <w:tab w:val="left" w:pos="1701"/>
        </w:tabs>
        <w:spacing w:after="200"/>
      </w:pPr>
      <w:r>
        <w:t>215.</w:t>
      </w:r>
      <w:r>
        <w:tab/>
        <w:t>Выделяя Управлению ассигнования на 2006 год, правительство определило в качестве приоритетной задачу достижения гендерного равенства.</w:t>
      </w:r>
    </w:p>
    <w:p w:rsidR="00E017AA" w:rsidRDefault="00E017AA">
      <w:pPr>
        <w:tabs>
          <w:tab w:val="left" w:pos="567"/>
          <w:tab w:val="left" w:pos="1134"/>
          <w:tab w:val="left" w:pos="1701"/>
        </w:tabs>
        <w:spacing w:after="200"/>
      </w:pPr>
      <w:r>
        <w:t>216.</w:t>
      </w:r>
      <w:r>
        <w:tab/>
        <w:t>Правительство выделило в общей сложности 12 млн. шведских крон, среди прочего, на исследования в отношении того, какие базовые ценности можно прививать в школе. Эти базовые ценности сформулированы в школьных учебных программах следующим образом: неприкосновенность человеческой жизни, личная свобода и физическая неприкосновенность, равное достоинство всех людей, равенство мужчин и женщин и солидарность со слабыми и уязвимыми – вот те ценности, которые должны прививаться в школе.</w:t>
      </w:r>
    </w:p>
    <w:p w:rsidR="00E017AA" w:rsidRDefault="00E017AA">
      <w:pPr>
        <w:tabs>
          <w:tab w:val="left" w:pos="567"/>
          <w:tab w:val="left" w:pos="1134"/>
          <w:tab w:val="left" w:pos="1701"/>
        </w:tabs>
        <w:spacing w:after="200"/>
      </w:pPr>
      <w:r>
        <w:t>217.</w:t>
      </w:r>
      <w:r>
        <w:tab/>
        <w:t>Управление по вопросам совершенствования школьного обучения подготовило для школ вспомогательный материал, касающийся роли школы в отношении положения девочек и мальчиков в социальной среде, глубоко пропитанной патриархальными ценностями. Данный материал предназначен для использования школьным персоналом. Осенью 2003 года данный материал был распространен во всех муниципалитетах и школах.</w:t>
      </w:r>
    </w:p>
    <w:p w:rsidR="00E017AA" w:rsidRDefault="00E017AA">
      <w:pPr>
        <w:tabs>
          <w:tab w:val="left" w:pos="567"/>
          <w:tab w:val="left" w:pos="1134"/>
          <w:tab w:val="left" w:pos="1701"/>
        </w:tabs>
        <w:spacing w:after="200"/>
      </w:pPr>
      <w:r>
        <w:t>218.</w:t>
      </w:r>
      <w:r>
        <w:tab/>
        <w:t>Правительство поручило Управлению по вопросам совершенствования школьного обучения подготовить справочный материал, который должен содействовать деятельности школ и муниципалитетов по достижению гендерного равенства и интенсифицировать эту деятельность. Данный материал содержит поучительные примеры того, как школы и муниципалитеты, работая совместно с различными организациями и государственными учреждениями, могут добиваться гендерного равенства и уважения социального и этнического многообразия. Все муниципалитеты и школы получили соответствующие информацию и материал осенью 2003 года.</w:t>
      </w:r>
    </w:p>
    <w:p w:rsidR="00E017AA" w:rsidRDefault="00E017AA">
      <w:pPr>
        <w:tabs>
          <w:tab w:val="left" w:pos="567"/>
          <w:tab w:val="left" w:pos="1134"/>
          <w:tab w:val="left" w:pos="1701"/>
        </w:tabs>
        <w:spacing w:after="200"/>
      </w:pPr>
      <w:r>
        <w:t>219.</w:t>
      </w:r>
      <w:r>
        <w:tab/>
        <w:t>В 2004 году правительство назначило Комиссию по гендерному равенству в системе дошкольного образования, задача которой – акцентировать, усиливать и совершенствовать работу в области гендерного равенства в дошкольных учреждениях. Комиссии отведен срок до 30 июня 2006 года, и в число ее задач входят выделение финансовых средств на проекты в области гендерного равенства, разработка критериев и подходов, которые позволят работникам дошкольных учреждений изучать и анализировать, например, учебные пособия, игровые материалы и детскую литературу с гендерной точки зрения, а также популяризация положительных примеров мер, принимаемых в Швеции и других странах с целью привлечения большего числа мужчин к прохождению учебных программ, ориентированных на работу с детьми в дошкольных учреждениях. Комиссия представила промежуточный доклад о своей работе (</w:t>
      </w:r>
      <w:r>
        <w:rPr>
          <w:lang w:val="en-US"/>
        </w:rPr>
        <w:t>SOU</w:t>
      </w:r>
      <w:r>
        <w:t xml:space="preserve"> 2004:115). </w:t>
      </w:r>
    </w:p>
    <w:p w:rsidR="00E017AA" w:rsidRDefault="00E017AA">
      <w:pPr>
        <w:tabs>
          <w:tab w:val="left" w:pos="567"/>
          <w:tab w:val="left" w:pos="1134"/>
          <w:tab w:val="left" w:pos="1701"/>
        </w:tabs>
        <w:spacing w:after="200"/>
      </w:pPr>
      <w:r>
        <w:t>220.</w:t>
      </w:r>
      <w:r>
        <w:tab/>
        <w:t>Правительство дало указание Национальному управлению образования учитывать гендерный фактор при составлении учебных планов.</w:t>
      </w:r>
    </w:p>
    <w:p w:rsidR="00E017AA" w:rsidRDefault="00E017AA">
      <w:pPr>
        <w:tabs>
          <w:tab w:val="left" w:pos="567"/>
          <w:tab w:val="left" w:pos="1134"/>
          <w:tab w:val="left" w:pos="1701"/>
        </w:tabs>
        <w:spacing w:after="200"/>
      </w:pPr>
      <w:r>
        <w:t>221.</w:t>
      </w:r>
      <w:r>
        <w:tab/>
        <w:t xml:space="preserve">На веб-сайте Управления по вопросам совершенствования школьного обучения размещены отчеты некоторых муниципалитетов об их работе в области гендерного равенства. </w:t>
      </w:r>
    </w:p>
    <w:p w:rsidR="00E017AA" w:rsidRDefault="00E017AA">
      <w:pPr>
        <w:tabs>
          <w:tab w:val="left" w:pos="567"/>
          <w:tab w:val="left" w:pos="1134"/>
          <w:tab w:val="left" w:pos="1701"/>
        </w:tabs>
        <w:spacing w:after="200"/>
      </w:pPr>
      <w:r>
        <w:t>222.</w:t>
      </w:r>
      <w:r>
        <w:tab/>
        <w:t xml:space="preserve">Правительство выделило финансовые средства на подготовку педагогов по вопросам гендерного равенства и на гендерные исследования в 2002–2004 годах. Данный учебный курс был предназначен для учителей и других педагогических работников в системе дошкольного, обязательного школьного и полного среднего школьного образования. Цель курса – подготовить учителей в данной области, с тем чтобы они могли внести соответствующие изменения в свою деятельность. Всего к настоящему времени в 145 муниципалитетах подготовку по гендерной тематике прошли 255 учителей. </w:t>
      </w:r>
    </w:p>
    <w:p w:rsidR="00E017AA" w:rsidRDefault="00E017AA">
      <w:pPr>
        <w:keepNext/>
        <w:tabs>
          <w:tab w:val="left" w:pos="567"/>
          <w:tab w:val="left" w:pos="1134"/>
          <w:tab w:val="left" w:pos="1701"/>
        </w:tabs>
        <w:spacing w:after="200"/>
      </w:pPr>
      <w:r>
        <w:rPr>
          <w:lang w:val="en-US"/>
        </w:rPr>
        <w:t>b</w:t>
      </w:r>
      <w:r>
        <w:t>)</w:t>
      </w:r>
      <w:r>
        <w:tab/>
        <w:t>Высшее образование</w:t>
      </w:r>
    </w:p>
    <w:p w:rsidR="00E017AA" w:rsidRDefault="00E017AA">
      <w:pPr>
        <w:tabs>
          <w:tab w:val="left" w:pos="567"/>
          <w:tab w:val="left" w:pos="1134"/>
          <w:tab w:val="left" w:pos="1701"/>
        </w:tabs>
        <w:spacing w:after="200"/>
      </w:pPr>
      <w:r>
        <w:t>223.</w:t>
      </w:r>
      <w:r>
        <w:tab/>
        <w:t>С 2001 года деятельность правительства по обеспечению гендерного равенства сосредоточена на защите от дискриминации и на содействии более равномерному гендерному распределению среди студентов, а также среди преподавательского состава и руководства.</w:t>
      </w:r>
    </w:p>
    <w:p w:rsidR="00E017AA" w:rsidRDefault="00E017AA">
      <w:pPr>
        <w:tabs>
          <w:tab w:val="left" w:pos="567"/>
          <w:tab w:val="left" w:pos="1134"/>
          <w:tab w:val="left" w:pos="1701"/>
        </w:tabs>
        <w:spacing w:after="200"/>
      </w:pPr>
      <w:r>
        <w:t>224.</w:t>
      </w:r>
      <w:r>
        <w:tab/>
        <w:t>Содержание высшего образования определяется прежде всего самими университетами и другими высшими учебными заведениями. Тем не менее в Постановлении о высшем образовании правительство определяет общие задачи для различных учебных программ. Для получения диплома по ряду специальностей установлен перечень общих требований, связанных с гендерными аспектами. В 2004 году правительство поручило Национальному управлению по высшему образованию провести исследование того, каким образом в некоторых программах подготовки специалистов учитываются гендерные проблемы и проблемы насилия мужчин в отношении женщин. Как показало исследование, во многих программах поднимается вопрос насилия мужчин в отношении женщин, однако такое обучение необходимо усовершенствовать во многих отношениях. В настоящее время проводится пересмотр требований для получения дипломов по ряду профессий, содержащихся в Постановлении о присвоении дипломов (Постановление о высшем образовании 1993:100, Добавление 2). Рассматриваемые правительством вопросы включают проблемы гендерного равенства и проблемы насилия мужчин в отношении женщин.</w:t>
      </w:r>
    </w:p>
    <w:p w:rsidR="00E017AA" w:rsidRDefault="00E017AA">
      <w:pPr>
        <w:tabs>
          <w:tab w:val="left" w:pos="567"/>
          <w:tab w:val="left" w:pos="1134"/>
          <w:tab w:val="left" w:pos="1701"/>
        </w:tabs>
        <w:spacing w:after="200"/>
      </w:pPr>
      <w:r>
        <w:t>225.</w:t>
      </w:r>
      <w:r>
        <w:tab/>
        <w:t xml:space="preserve">Совет по совершенствованию системы высшего образования, являвшийся до 2006 года подразделением Национального управления по высшему образованию, в последние годы при выделении ассигнований на проекты уделяет особое внимание гендерной проблематике. </w:t>
      </w:r>
      <w:r>
        <w:br/>
        <w:t xml:space="preserve">В своем ежегодном докладе Совет должен охарактеризовать деятельность по разработке методов учета гендерных аспектов в преподавательской практике и по разработке курсов для преподавателей высших учебных заведений. </w:t>
      </w:r>
    </w:p>
    <w:p w:rsidR="00E017AA" w:rsidRDefault="00E017AA">
      <w:pPr>
        <w:tabs>
          <w:tab w:val="left" w:pos="567"/>
          <w:tab w:val="left" w:pos="1134"/>
          <w:tab w:val="left" w:pos="1701"/>
        </w:tabs>
        <w:spacing w:after="200"/>
      </w:pPr>
      <w:r>
        <w:t>226.</w:t>
      </w:r>
      <w:r>
        <w:tab/>
        <w:t>С 2005 года все университеты и другие высшие учебные заведения должны представлять доклады об учете гендерных аспектов в своих учебных курсах.</w:t>
      </w:r>
    </w:p>
    <w:p w:rsidR="00E017AA" w:rsidRDefault="00E017AA">
      <w:pPr>
        <w:tabs>
          <w:tab w:val="left" w:pos="567"/>
          <w:tab w:val="left" w:pos="1134"/>
          <w:tab w:val="left" w:pos="1701"/>
        </w:tabs>
        <w:spacing w:after="200"/>
      </w:pPr>
      <w:r>
        <w:t>227.</w:t>
      </w:r>
      <w:r>
        <w:tab/>
        <w:t xml:space="preserve">Согласно правительственному законопроекту о новой форме подготовки преподавателей (Правительственный законопроект 1999/2000:135), высшие учебные заведения, обеспечивающие подготовку педагогов, должны включать гендерные аспекты в свои учебные программы. Кроме того, высшие учебные заведения должны внести изменения в свои программы, с тем чтобы повысить информированность и уровень знаний студентов относительно важности гендерных проблем в своей будущей преподавательской работе. </w:t>
      </w:r>
      <w:r>
        <w:br/>
        <w:t xml:space="preserve">В целях расширения познаний в области гендерного равенства в процессе обучения на Национальное управление по высшему образованию была возложена задача стимулирования дальнейшего совершенствования обучения по этим вопросам. Кроме того, в 2005 году были внесены изменения в требования к знаниям для получения дипломов преподавателей, с тем чтобы студенты могли усвоить и применять на практике информацию о действующих положениях по предупреждению и пресечению дискриминации и других видов унизительного обращения с детьми, в том числе учащимися. </w:t>
      </w:r>
    </w:p>
    <w:p w:rsidR="00E017AA" w:rsidRDefault="00E017AA">
      <w:pPr>
        <w:keepNext/>
        <w:tabs>
          <w:tab w:val="left" w:pos="567"/>
          <w:tab w:val="left" w:pos="1134"/>
          <w:tab w:val="left" w:pos="1701"/>
        </w:tabs>
        <w:spacing w:after="200"/>
        <w:rPr>
          <w:b/>
          <w:bCs/>
        </w:rPr>
      </w:pPr>
      <w:r>
        <w:rPr>
          <w:b/>
          <w:bCs/>
        </w:rPr>
        <w:t xml:space="preserve">Гендерно обусловленный выбор специализации в сфере высшего образования </w:t>
      </w:r>
    </w:p>
    <w:p w:rsidR="00E017AA" w:rsidRDefault="00E017AA">
      <w:pPr>
        <w:tabs>
          <w:tab w:val="left" w:pos="567"/>
          <w:tab w:val="left" w:pos="1134"/>
          <w:tab w:val="left" w:pos="1701"/>
        </w:tabs>
        <w:spacing w:after="200"/>
      </w:pPr>
      <w:r>
        <w:t>228.</w:t>
      </w:r>
      <w:r>
        <w:tab/>
        <w:t>Выбор студентами специальности для обучения все еще находится под сильным воздействием гендерного фактора. Это наиболее очевидно в выборе специальностей в подготовке учителей и воспитателей, а также по некоторым техническим и научным дисциплинам. Цель правительства заключается в достижении равного гендерного распределения по учебным специальностям, и поэтому оно требует от образовательных учреждений ежегодно докладывать о мерах, принятых для улучшения положения в специализациях, в которых наблюдается дисбаланс в гендерном распределении. Совокупные ежегодные изменения невелики, но уже заметна позитивная тенденция в некоторых областях; например, по сравнению с 2000/01 учебным годом на 3 процента возросла доля мужчин, получающих педагогическое образование.</w:t>
      </w:r>
    </w:p>
    <w:p w:rsidR="00E017AA" w:rsidRDefault="00E017AA">
      <w:pPr>
        <w:tabs>
          <w:tab w:val="left" w:pos="567"/>
          <w:tab w:val="left" w:pos="1134"/>
          <w:tab w:val="left" w:pos="1701"/>
        </w:tabs>
        <w:spacing w:after="200"/>
      </w:pPr>
      <w:r>
        <w:t>229.</w:t>
      </w:r>
      <w:r>
        <w:tab/>
        <w:t>Аналогичные существенные различия отмечаются и в отношении послевузовского образования (аспирантура). В медицинском послевузовском образовании доля женщин и мужчин составляет соответственно 61 и 39 процентов, а в технических областях – 30 и 70 процентов соответственно. За последние пять лет наибольшее увеличение числа женщин, получающих докторскую степень, отмечалось в сфере гуманитарных наук: в 2004 году доля женщин здесь увеличилась с 17 до 58 процентов. Правительство также требует, чтобы и в сфере послевузовского образования университеты и другие высшие учебные заведения представляли отчеты о мерах по достижению более сбалансированного гендерного распределения.</w:t>
      </w:r>
    </w:p>
    <w:p w:rsidR="00E017AA" w:rsidRDefault="00E017AA">
      <w:pPr>
        <w:tabs>
          <w:tab w:val="left" w:pos="567"/>
          <w:tab w:val="left" w:pos="1134"/>
          <w:tab w:val="left" w:pos="1701"/>
        </w:tabs>
        <w:spacing w:after="200"/>
      </w:pPr>
      <w:r>
        <w:t>230.</w:t>
      </w:r>
      <w:r>
        <w:tab/>
        <w:t xml:space="preserve">В 2003 году Национальное управление по высшему образованию изучило деятельность высших учебных заведений в отношении гендерного равенства и в своем докладе привело удачные примеры того, как можно усовершенствовать набор на учебные дисциплины, где наблюдается несбалансированное в гендерном отношении распределение. Например, в целях привлечения женщин на технические факультеты организуются "технические дни" и летние школы. </w:t>
      </w:r>
    </w:p>
    <w:p w:rsidR="00E017AA" w:rsidRDefault="00E017AA">
      <w:pPr>
        <w:keepNext/>
        <w:tabs>
          <w:tab w:val="clear" w:pos="567"/>
          <w:tab w:val="left" w:pos="1134"/>
          <w:tab w:val="left" w:pos="1701"/>
        </w:tabs>
        <w:spacing w:after="200"/>
        <w:ind w:left="0" w:firstLine="0"/>
        <w:jc w:val="left"/>
        <w:rPr>
          <w:b/>
          <w:bCs/>
        </w:rPr>
      </w:pPr>
      <w:r>
        <w:rPr>
          <w:b/>
          <w:bCs/>
        </w:rPr>
        <w:t xml:space="preserve">Гендерное распределение среди студентов, преподавательского состава и руководства </w:t>
      </w:r>
      <w:r>
        <w:rPr>
          <w:b/>
          <w:bCs/>
        </w:rPr>
        <w:br/>
        <w:t>в высших учебных заведениях</w:t>
      </w:r>
    </w:p>
    <w:p w:rsidR="00E017AA" w:rsidRDefault="00E017AA">
      <w:pPr>
        <w:tabs>
          <w:tab w:val="left" w:pos="567"/>
          <w:tab w:val="left" w:pos="1134"/>
          <w:tab w:val="left" w:pos="1701"/>
        </w:tabs>
        <w:spacing w:after="200"/>
      </w:pPr>
      <w:r>
        <w:t>231.</w:t>
      </w:r>
      <w:r>
        <w:tab/>
        <w:t xml:space="preserve">Среди студентов первых курсов высших учебных заведений 58 процентов составляют женщины и 42 процента – мужчины. С 2001 года доля женщин и мужчин среди студентов-выпускников остается почти неизменной – 60 и 40 процентов соответственно. </w:t>
      </w:r>
    </w:p>
    <w:p w:rsidR="00E017AA" w:rsidRDefault="00E017AA">
      <w:pPr>
        <w:tabs>
          <w:tab w:val="left" w:pos="567"/>
          <w:tab w:val="left" w:pos="1134"/>
          <w:tab w:val="left" w:pos="1701"/>
        </w:tabs>
        <w:spacing w:after="200"/>
      </w:pPr>
      <w:r>
        <w:t>232.</w:t>
      </w:r>
      <w:r>
        <w:tab/>
        <w:t xml:space="preserve">Растет число женщин, получающих послевузовское образование. В 2004 году число женщин, поступающих на послевузовское обучение, впервые превысило число мужчин. Доля женщин, получающих докторскую степень, по сравнению с 2001 годом увеличилась на 4 процентных пункта и составила 45 процентов. </w:t>
      </w:r>
    </w:p>
    <w:p w:rsidR="00E017AA" w:rsidRDefault="00E017AA">
      <w:pPr>
        <w:tabs>
          <w:tab w:val="left" w:pos="567"/>
          <w:tab w:val="left" w:pos="1134"/>
          <w:tab w:val="left" w:pos="1701"/>
        </w:tabs>
        <w:spacing w:after="200"/>
      </w:pPr>
      <w:r>
        <w:t>233.</w:t>
      </w:r>
      <w:r>
        <w:tab/>
        <w:t>Правительство стремится сделать высшее образование доступным для новых групп студентов и достичь более сбалансированного набора, открывая возможности получения образования для всех. Согласно поправке от 2002 года в Закон о высшем образовании (1992:1434), университеты и другие высшие учебные заведения должны более активно содействовать расширению набора студентов. Многие высшие учебные заведения назначают "студентов-послов", которые посещают выпускные классы средних школ, рассказывая о тех специальностях, которые они изучают.</w:t>
      </w:r>
    </w:p>
    <w:p w:rsidR="00E017AA" w:rsidRDefault="00E017AA">
      <w:pPr>
        <w:tabs>
          <w:tab w:val="left" w:pos="567"/>
          <w:tab w:val="left" w:pos="1134"/>
          <w:tab w:val="left" w:pos="1701"/>
        </w:tabs>
        <w:spacing w:after="200"/>
      </w:pPr>
      <w:r>
        <w:t>234.</w:t>
      </w:r>
      <w:r>
        <w:tab/>
        <w:t>Правительство установило целевые задания по набору профессорско-преподавательского состава с целью обеспечения равного соотношения женщин и мужчин во всех категориях персонала высших учебных заведений. С этой же целью оно призывает учебные заведения в системе высшего образования самим устанавливать нормы набора для других категорий преподавателей. Изучение динамики в данной области в 2001–2004 годах показывает, что из 24 высших учебных заведений, в которых были установлены нормы набора женщин на профессорские должности, треть выполнили поставленную цель. В среднем норма набора женщин составляла 24 процента, а результат составил 21 процент, то есть остался на том же уровне, что и в 1997–1999 годах. Тем не менее в целом изменения происходят в нужном направлении. В 1997–1999 годах из вновь назначенных профессоров 21 процент составляли женщины и 79 процентов – мужчины; в 2004 году соотношение составило 26 процентов женщин против 74 процентов мужчин. Общее соотношение женщин и мужчин среди профессорского состава в 2004 году составило 16 и 84 процента соответственно.</w:t>
      </w:r>
    </w:p>
    <w:p w:rsidR="00E017AA" w:rsidRDefault="00E017AA">
      <w:pPr>
        <w:tabs>
          <w:tab w:val="left" w:pos="567"/>
          <w:tab w:val="left" w:pos="1134"/>
          <w:tab w:val="left" w:pos="1701"/>
        </w:tabs>
        <w:spacing w:after="200"/>
      </w:pPr>
      <w:r>
        <w:t>235.</w:t>
      </w:r>
      <w:r>
        <w:tab/>
        <w:t>В своих бюджетных ассигнованиях на 2005 год правительство определило целевые задания на 2005–2008 годы (цифры для разных высших учебных заведений различны), касающиеся доли вновь назначаемых женщин-профессоров для университетов и других высших учебных заведений, утвержденных для научной работы в одной или более дисциплинах. Эти цели отражают требование увеличения числа женщин при назначении на профессорскую должность. В отношении других высших учебных заведений правительство дало задание довести число женщин при наборе на должности профессоров и старших преподавателей до 40–60 процентов или близко к этому.</w:t>
      </w:r>
    </w:p>
    <w:p w:rsidR="00E017AA" w:rsidRDefault="00E017AA">
      <w:pPr>
        <w:tabs>
          <w:tab w:val="left" w:pos="567"/>
          <w:tab w:val="left" w:pos="1134"/>
          <w:tab w:val="left" w:pos="1701"/>
        </w:tabs>
        <w:spacing w:after="200"/>
      </w:pPr>
      <w:r>
        <w:t>236.</w:t>
      </w:r>
      <w:r>
        <w:tab/>
        <w:t>Университеты и другие высшие учебные заведения должны представлять правительству ежегодные доклады о принятых ими мерах по обеспечению более равномерного гендерного распределения при наборе и продвижении по службе преподавательского состава, а также при назначении деканов факультетов, руководителей отделений, проректоров по науке или эквивалентных должностей.</w:t>
      </w:r>
    </w:p>
    <w:p w:rsidR="00E017AA" w:rsidRDefault="00E017AA">
      <w:pPr>
        <w:tabs>
          <w:tab w:val="left" w:pos="567"/>
          <w:tab w:val="left" w:pos="1134"/>
          <w:tab w:val="left" w:pos="1701"/>
        </w:tabs>
        <w:spacing w:after="200"/>
      </w:pPr>
      <w:r>
        <w:t>237.</w:t>
      </w:r>
      <w:r>
        <w:tab/>
        <w:t>Прямые гранты на научную работу и послевузовское обучение, которые правительство предназначает для университетов и других высших учебных заведений, используются прежде всего для финансирования должностей. Такие должности заполняются в соответствии с нормами, включая Закон о равных возможностях, запрещающими дискриминацию. Национальные научно-исследовательские советы имеют руководящие принципы по предупреждению случаев дискриминации при выделении средств на научно-исследовательскую работу и представляют отчеты о распределении ресурсов с использованием статистических данных в разбивке по полу.</w:t>
      </w:r>
    </w:p>
    <w:p w:rsidR="00E017AA" w:rsidRDefault="00E017AA">
      <w:pPr>
        <w:tabs>
          <w:tab w:val="left" w:pos="567"/>
          <w:tab w:val="left" w:pos="1134"/>
          <w:tab w:val="left" w:pos="1701"/>
        </w:tabs>
        <w:spacing w:after="200"/>
      </w:pPr>
      <w:r>
        <w:t>238.</w:t>
      </w:r>
      <w:r>
        <w:tab/>
        <w:t>Треть ректоров в университетах и других высших учебных заведениях составляют женщины и две трети – мужчины. Женщины находятся в меньшинстве также и на других руководящих должностях. С 1 июля 2002 года попечительские советы высших учебных заведений стремятся, по мере возможности, подбирать кандидатов среди как женщин, так и мужчин, если речь идет о назначении ректоров и проректоров. Эти советы представляют правительству отчеты о том, в какой мере учитывается при этом аспект гендерного</w:t>
      </w:r>
      <w:r>
        <w:br/>
        <w:t xml:space="preserve">равенства. </w:t>
      </w:r>
    </w:p>
    <w:tbl>
      <w:tblPr>
        <w:tblW w:w="0" w:type="auto"/>
        <w:tblInd w:w="108" w:type="dxa"/>
        <w:tblLayout w:type="fixed"/>
        <w:tblLook w:val="0000" w:firstRow="0" w:lastRow="0" w:firstColumn="0" w:lastColumn="0" w:noHBand="0" w:noVBand="0"/>
      </w:tblPr>
      <w:tblGrid>
        <w:gridCol w:w="3963"/>
        <w:gridCol w:w="1632"/>
        <w:gridCol w:w="1614"/>
        <w:gridCol w:w="1970"/>
      </w:tblGrid>
      <w:tr w:rsidR="00E017AA">
        <w:tblPrEx>
          <w:tblCellMar>
            <w:top w:w="0" w:type="dxa"/>
            <w:bottom w:w="0" w:type="dxa"/>
          </w:tblCellMar>
        </w:tblPrEx>
        <w:trPr>
          <w:cantSplit/>
        </w:trPr>
        <w:tc>
          <w:tcPr>
            <w:tcW w:w="9179" w:type="dxa"/>
            <w:gridSpan w:val="4"/>
          </w:tcPr>
          <w:p w:rsidR="00E017AA" w:rsidRDefault="00E017AA">
            <w:pPr>
              <w:keepNext/>
              <w:tabs>
                <w:tab w:val="left" w:pos="567"/>
                <w:tab w:val="left" w:pos="1134"/>
                <w:tab w:val="left" w:pos="1701"/>
              </w:tabs>
              <w:spacing w:after="200"/>
              <w:ind w:left="0" w:firstLine="0"/>
              <w:jc w:val="left"/>
              <w:rPr>
                <w:bCs/>
              </w:rPr>
            </w:pPr>
            <w:r>
              <w:rPr>
                <w:i/>
              </w:rPr>
              <w:t>Студенты и профессорско-преподавательский состав университетов и других высших учебных заведений, 2005 год</w:t>
            </w:r>
          </w:p>
        </w:tc>
      </w:tr>
      <w:tr w:rsidR="00E017AA">
        <w:tblPrEx>
          <w:tblCellMar>
            <w:top w:w="0" w:type="dxa"/>
            <w:bottom w:w="0" w:type="dxa"/>
          </w:tblCellMar>
        </w:tblPrEx>
        <w:trPr>
          <w:cantSplit/>
        </w:trPr>
        <w:tc>
          <w:tcPr>
            <w:tcW w:w="9179" w:type="dxa"/>
            <w:gridSpan w:val="4"/>
            <w:tcBorders>
              <w:bottom w:val="single" w:sz="4" w:space="0" w:color="auto"/>
            </w:tcBorders>
          </w:tcPr>
          <w:p w:rsidR="00E017AA" w:rsidRDefault="00E017AA">
            <w:pPr>
              <w:keepNext/>
              <w:tabs>
                <w:tab w:val="left" w:pos="567"/>
                <w:tab w:val="left" w:pos="1134"/>
                <w:tab w:val="left" w:pos="1701"/>
              </w:tabs>
              <w:spacing w:before="100" w:after="100"/>
              <w:rPr>
                <w:bCs/>
                <w:sz w:val="20"/>
              </w:rPr>
            </w:pPr>
            <w:r>
              <w:rPr>
                <w:b/>
                <w:sz w:val="20"/>
              </w:rPr>
              <w:t>Гендерное распределение (в процентах) и численность</w:t>
            </w:r>
          </w:p>
        </w:tc>
      </w:tr>
      <w:tr w:rsidR="00E017AA">
        <w:tblPrEx>
          <w:tblCellMar>
            <w:top w:w="0" w:type="dxa"/>
            <w:bottom w:w="0" w:type="dxa"/>
          </w:tblCellMar>
        </w:tblPrEx>
        <w:trPr>
          <w:cantSplit/>
        </w:trPr>
        <w:tc>
          <w:tcPr>
            <w:tcW w:w="3963" w:type="dxa"/>
            <w:vMerge w:val="restart"/>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rPr>
                <w:b/>
                <w:sz w:val="20"/>
              </w:rPr>
            </w:pPr>
            <w:r>
              <w:rPr>
                <w:b/>
                <w:sz w:val="20"/>
              </w:rPr>
              <w:t>Категория</w:t>
            </w:r>
          </w:p>
        </w:tc>
        <w:tc>
          <w:tcPr>
            <w:tcW w:w="3246" w:type="dxa"/>
            <w:gridSpan w:val="2"/>
            <w:tcBorders>
              <w:top w:val="single" w:sz="4" w:space="0" w:color="auto"/>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
                <w:sz w:val="20"/>
              </w:rPr>
            </w:pPr>
            <w:r>
              <w:rPr>
                <w:b/>
                <w:sz w:val="20"/>
              </w:rPr>
              <w:t>Гендерное распределение</w:t>
            </w:r>
          </w:p>
        </w:tc>
        <w:tc>
          <w:tcPr>
            <w:tcW w:w="1970" w:type="dxa"/>
            <w:tcBorders>
              <w:top w:val="single" w:sz="4" w:space="0" w:color="auto"/>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
                <w:sz w:val="20"/>
              </w:rPr>
            </w:pPr>
            <w:r>
              <w:rPr>
                <w:b/>
                <w:sz w:val="20"/>
              </w:rPr>
              <w:t>Численность</w:t>
            </w:r>
          </w:p>
        </w:tc>
      </w:tr>
      <w:tr w:rsidR="00E017AA">
        <w:tblPrEx>
          <w:tblCellMar>
            <w:top w:w="0" w:type="dxa"/>
            <w:bottom w:w="0" w:type="dxa"/>
          </w:tblCellMar>
        </w:tblPrEx>
        <w:trPr>
          <w:cantSplit/>
        </w:trPr>
        <w:tc>
          <w:tcPr>
            <w:tcW w:w="3963" w:type="dxa"/>
            <w:vMerge/>
            <w:tcBorders>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b/>
                <w:sz w:val="20"/>
              </w:rPr>
            </w:pPr>
          </w:p>
        </w:tc>
        <w:tc>
          <w:tcPr>
            <w:tcW w:w="1632" w:type="dxa"/>
            <w:tcBorders>
              <w:top w:val="single" w:sz="4" w:space="0" w:color="auto"/>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
                <w:sz w:val="20"/>
              </w:rPr>
            </w:pPr>
            <w:r>
              <w:rPr>
                <w:b/>
                <w:sz w:val="20"/>
              </w:rPr>
              <w:t>Женщины</w:t>
            </w:r>
          </w:p>
        </w:tc>
        <w:tc>
          <w:tcPr>
            <w:tcW w:w="1614" w:type="dxa"/>
            <w:tcBorders>
              <w:top w:val="single" w:sz="4" w:space="0" w:color="auto"/>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
                <w:sz w:val="20"/>
              </w:rPr>
            </w:pPr>
            <w:r>
              <w:rPr>
                <w:b/>
                <w:sz w:val="20"/>
              </w:rPr>
              <w:t>Мужчины</w:t>
            </w:r>
          </w:p>
        </w:tc>
        <w:tc>
          <w:tcPr>
            <w:tcW w:w="1970" w:type="dxa"/>
            <w:tcBorders>
              <w:top w:val="single" w:sz="4" w:space="0" w:color="auto"/>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
                <w:sz w:val="20"/>
              </w:rPr>
            </w:pPr>
            <w:r>
              <w:rPr>
                <w:b/>
                <w:sz w:val="20"/>
              </w:rPr>
              <w:t>Всего</w:t>
            </w:r>
          </w:p>
        </w:tc>
      </w:tr>
      <w:tr w:rsidR="00E017AA">
        <w:tblPrEx>
          <w:tblCellMar>
            <w:top w:w="0" w:type="dxa"/>
            <w:bottom w:w="0" w:type="dxa"/>
          </w:tblCellMar>
        </w:tblPrEx>
        <w:tc>
          <w:tcPr>
            <w:tcW w:w="3963" w:type="dxa"/>
            <w:tcBorders>
              <w:top w:val="single" w:sz="4" w:space="0" w:color="auto"/>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sz w:val="20"/>
              </w:rPr>
              <w:t>Студенты</w:t>
            </w:r>
          </w:p>
        </w:tc>
        <w:tc>
          <w:tcPr>
            <w:tcW w:w="1632" w:type="dxa"/>
            <w:tcBorders>
              <w:top w:val="single" w:sz="4" w:space="0" w:color="auto"/>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60</w:t>
            </w:r>
          </w:p>
        </w:tc>
        <w:tc>
          <w:tcPr>
            <w:tcW w:w="1614" w:type="dxa"/>
            <w:tcBorders>
              <w:top w:val="single" w:sz="4" w:space="0" w:color="auto"/>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40</w:t>
            </w:r>
          </w:p>
        </w:tc>
        <w:tc>
          <w:tcPr>
            <w:tcW w:w="1970" w:type="dxa"/>
            <w:tcBorders>
              <w:top w:val="single" w:sz="4" w:space="0" w:color="auto"/>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337 400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ind w:left="333" w:hanging="15"/>
              <w:rPr>
                <w:bCs/>
                <w:sz w:val="20"/>
              </w:rPr>
            </w:pPr>
            <w:r>
              <w:rPr>
                <w:sz w:val="20"/>
              </w:rPr>
              <w:t>Медицинские факультеты</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86</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14</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24 860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ind w:left="333" w:hanging="15"/>
              <w:rPr>
                <w:bCs/>
                <w:sz w:val="20"/>
              </w:rPr>
            </w:pPr>
            <w:r>
              <w:rPr>
                <w:sz w:val="20"/>
              </w:rPr>
              <w:t>Технические факультеты</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26</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74</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41 690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sz w:val="20"/>
              </w:rPr>
              <w:t xml:space="preserve">Аспиранты </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50</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50</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2 940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sz w:val="20"/>
              </w:rPr>
              <w:t>Обладатели степени доктора наук</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45</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55</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2 740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ind w:left="333" w:hanging="15"/>
              <w:rPr>
                <w:bCs/>
                <w:sz w:val="20"/>
              </w:rPr>
            </w:pPr>
            <w:r>
              <w:rPr>
                <w:sz w:val="20"/>
              </w:rPr>
              <w:t>Общественные науки</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50</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50</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360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ind w:left="333" w:hanging="15"/>
              <w:rPr>
                <w:bCs/>
                <w:sz w:val="20"/>
              </w:rPr>
            </w:pPr>
            <w:r>
              <w:rPr>
                <w:sz w:val="20"/>
              </w:rPr>
              <w:t>Технические науки</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23</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77</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630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sz w:val="20"/>
              </w:rPr>
              <w:t>Научно-исследовательские работники</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40</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60</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1 010</w:t>
            </w:r>
          </w:p>
        </w:tc>
      </w:tr>
      <w:tr w:rsidR="00E017AA">
        <w:tblPrEx>
          <w:tblCellMar>
            <w:top w:w="0" w:type="dxa"/>
            <w:bottom w:w="0" w:type="dxa"/>
          </w:tblCellMar>
        </w:tblPrEx>
        <w:tc>
          <w:tcPr>
            <w:tcW w:w="3963" w:type="dxa"/>
            <w:tcBorders>
              <w:left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sz w:val="20"/>
              </w:rPr>
              <w:t>Преподаватели</w:t>
            </w:r>
          </w:p>
        </w:tc>
        <w:tc>
          <w:tcPr>
            <w:tcW w:w="1632"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34</w:t>
            </w:r>
          </w:p>
        </w:tc>
        <w:tc>
          <w:tcPr>
            <w:tcW w:w="1614"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66</w:t>
            </w:r>
          </w:p>
        </w:tc>
        <w:tc>
          <w:tcPr>
            <w:tcW w:w="1970" w:type="dxa"/>
            <w:tcBorders>
              <w:left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sz w:val="20"/>
              </w:rPr>
            </w:pPr>
            <w:r>
              <w:rPr>
                <w:sz w:val="20"/>
              </w:rPr>
              <w:t>6 330</w:t>
            </w:r>
          </w:p>
        </w:tc>
      </w:tr>
      <w:tr w:rsidR="00E017AA">
        <w:tblPrEx>
          <w:tblCellMar>
            <w:top w:w="0" w:type="dxa"/>
            <w:bottom w:w="0" w:type="dxa"/>
          </w:tblCellMar>
        </w:tblPrEx>
        <w:tc>
          <w:tcPr>
            <w:tcW w:w="3963" w:type="dxa"/>
            <w:tcBorders>
              <w:left w:val="single" w:sz="4" w:space="0" w:color="auto"/>
              <w:bottom w:val="single" w:sz="4" w:space="0" w:color="auto"/>
              <w:right w:val="single" w:sz="4" w:space="0" w:color="auto"/>
            </w:tcBorders>
          </w:tcPr>
          <w:p w:rsidR="00E017AA" w:rsidRDefault="00E017AA">
            <w:pPr>
              <w:keepNext/>
              <w:tabs>
                <w:tab w:val="left" w:pos="567"/>
                <w:tab w:val="left" w:pos="1134"/>
                <w:tab w:val="left" w:pos="1701"/>
              </w:tabs>
              <w:spacing w:before="100" w:after="100"/>
              <w:rPr>
                <w:bCs/>
                <w:sz w:val="20"/>
              </w:rPr>
            </w:pPr>
            <w:r>
              <w:rPr>
                <w:sz w:val="20"/>
              </w:rPr>
              <w:t>Профессора</w:t>
            </w:r>
          </w:p>
        </w:tc>
        <w:tc>
          <w:tcPr>
            <w:tcW w:w="1632" w:type="dxa"/>
            <w:tcBorders>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16</w:t>
            </w:r>
          </w:p>
        </w:tc>
        <w:tc>
          <w:tcPr>
            <w:tcW w:w="1614" w:type="dxa"/>
            <w:tcBorders>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bCs/>
                <w:sz w:val="20"/>
              </w:rPr>
            </w:pPr>
            <w:r>
              <w:rPr>
                <w:sz w:val="20"/>
              </w:rPr>
              <w:t>84</w:t>
            </w:r>
          </w:p>
        </w:tc>
        <w:tc>
          <w:tcPr>
            <w:tcW w:w="1970" w:type="dxa"/>
            <w:tcBorders>
              <w:left w:val="single" w:sz="4" w:space="0" w:color="auto"/>
              <w:bottom w:val="single" w:sz="4" w:space="0" w:color="auto"/>
              <w:right w:val="single" w:sz="4" w:space="0" w:color="auto"/>
            </w:tcBorders>
          </w:tcPr>
          <w:p w:rsidR="00E017AA" w:rsidRDefault="00E017AA">
            <w:pPr>
              <w:keepNext/>
              <w:tabs>
                <w:tab w:val="clear" w:pos="567"/>
                <w:tab w:val="clear" w:pos="907"/>
                <w:tab w:val="clear" w:pos="1247"/>
                <w:tab w:val="clear" w:pos="1588"/>
              </w:tabs>
              <w:spacing w:before="100" w:after="100"/>
              <w:ind w:left="0" w:firstLine="0"/>
              <w:jc w:val="center"/>
              <w:rPr>
                <w:sz w:val="20"/>
              </w:rPr>
            </w:pPr>
            <w:r>
              <w:rPr>
                <w:sz w:val="20"/>
              </w:rPr>
              <w:t>3 840</w:t>
            </w:r>
          </w:p>
        </w:tc>
      </w:tr>
      <w:tr w:rsidR="00E017AA">
        <w:tblPrEx>
          <w:tblCellMar>
            <w:top w:w="0" w:type="dxa"/>
            <w:bottom w:w="0" w:type="dxa"/>
          </w:tblCellMar>
        </w:tblPrEx>
        <w:trPr>
          <w:cantSplit/>
        </w:trPr>
        <w:tc>
          <w:tcPr>
            <w:tcW w:w="9179" w:type="dxa"/>
            <w:gridSpan w:val="4"/>
            <w:tcBorders>
              <w:top w:val="single" w:sz="4" w:space="0" w:color="auto"/>
            </w:tcBorders>
          </w:tcPr>
          <w:p w:rsidR="00E017AA" w:rsidRDefault="00E017AA">
            <w:pPr>
              <w:tabs>
                <w:tab w:val="left" w:pos="567"/>
                <w:tab w:val="left" w:pos="1134"/>
                <w:tab w:val="left" w:pos="1701"/>
              </w:tabs>
              <w:spacing w:before="100" w:after="100"/>
              <w:ind w:left="0" w:firstLine="0"/>
              <w:jc w:val="left"/>
              <w:rPr>
                <w:sz w:val="20"/>
                <w:highlight w:val="yellow"/>
              </w:rPr>
            </w:pPr>
            <w:r>
              <w:rPr>
                <w:i/>
                <w:sz w:val="20"/>
              </w:rPr>
              <w:t xml:space="preserve">Источник: </w:t>
            </w:r>
            <w:r>
              <w:rPr>
                <w:iCs/>
                <w:sz w:val="20"/>
              </w:rPr>
              <w:t>Ежегодный доклад Национального управления по высшему образованию за 2005 год (2005:6</w:t>
            </w:r>
            <w:r>
              <w:rPr>
                <w:iCs/>
                <w:sz w:val="20"/>
                <w:lang w:val="en-US"/>
              </w:rPr>
              <w:t>R</w:t>
            </w:r>
            <w:r>
              <w:rPr>
                <w:iCs/>
                <w:sz w:val="20"/>
              </w:rPr>
              <w:t>) и статистические данные Швеции.</w:t>
            </w:r>
          </w:p>
        </w:tc>
      </w:tr>
    </w:tbl>
    <w:p w:rsidR="00E017AA" w:rsidRDefault="00E017AA">
      <w:pPr>
        <w:tabs>
          <w:tab w:val="left" w:pos="567"/>
          <w:tab w:val="left" w:pos="1134"/>
          <w:tab w:val="left" w:pos="1701"/>
        </w:tabs>
        <w:spacing w:after="200"/>
        <w:rPr>
          <w:bCs/>
        </w:rPr>
      </w:pPr>
    </w:p>
    <w:p w:rsidR="00E017AA" w:rsidRDefault="00E017AA">
      <w:pPr>
        <w:keepNext/>
        <w:tabs>
          <w:tab w:val="left" w:pos="567"/>
          <w:tab w:val="left" w:pos="1134"/>
          <w:tab w:val="left" w:pos="1701"/>
        </w:tabs>
        <w:spacing w:after="200"/>
        <w:rPr>
          <w:b/>
          <w:bCs/>
        </w:rPr>
      </w:pPr>
      <w:r>
        <w:rPr>
          <w:b/>
          <w:bCs/>
        </w:rPr>
        <w:t>Содействие гендерным исследованиям</w:t>
      </w:r>
    </w:p>
    <w:p w:rsidR="00E017AA" w:rsidRDefault="00E017AA">
      <w:pPr>
        <w:tabs>
          <w:tab w:val="left" w:pos="567"/>
          <w:tab w:val="left" w:pos="1134"/>
          <w:tab w:val="left" w:pos="1701"/>
        </w:tabs>
        <w:spacing w:after="200"/>
      </w:pPr>
      <w:r>
        <w:t>239.</w:t>
      </w:r>
      <w:r>
        <w:tab/>
        <w:t>В законопроекте, касающемся научных исследований (2004/05:80), правительство выделило ассигнования на дальнейшие исследования в гендерной области. Ассигнования шведского Совета по научно-исследовательской деятельности, выделенные на исследования в гендерной области, были увеличены с 10 млн. до 22 млн. шведских крон в год. Кроме того, было выделено 1 млн. шведских крон в год национальному Секретариату по вопросам гендерных исследований при Гётеборгском университете.</w:t>
      </w:r>
    </w:p>
    <w:p w:rsidR="00E017AA" w:rsidRDefault="00E017AA">
      <w:pPr>
        <w:tabs>
          <w:tab w:val="left" w:pos="567"/>
          <w:tab w:val="left" w:pos="1134"/>
          <w:tab w:val="left" w:pos="1701"/>
        </w:tabs>
        <w:spacing w:after="200"/>
      </w:pPr>
      <w:r>
        <w:t>240.</w:t>
      </w:r>
      <w:r>
        <w:tab/>
        <w:t>В 2001 году правительство выделило ассигнования для 16 национальных исследовательских центров, один из которых занимается гендерными исследованиями. В 2006 году в Национальной высшей школе гендерных исследований при университете в Умео было 45 аспирантов – 40 женщин и 5 мужчин.</w:t>
      </w:r>
    </w:p>
    <w:p w:rsidR="00E017AA" w:rsidRDefault="00E017AA">
      <w:pPr>
        <w:keepNext/>
        <w:tabs>
          <w:tab w:val="left" w:pos="567"/>
          <w:tab w:val="left" w:pos="1134"/>
          <w:tab w:val="left" w:pos="1701"/>
        </w:tabs>
        <w:spacing w:after="200"/>
        <w:rPr>
          <w:b/>
          <w:bCs/>
        </w:rPr>
      </w:pPr>
      <w:r>
        <w:rPr>
          <w:b/>
          <w:bCs/>
        </w:rPr>
        <w:t>Пункты </w:t>
      </w:r>
      <w:r>
        <w:rPr>
          <w:b/>
          <w:bCs/>
          <w:lang w:val="en-US"/>
        </w:rPr>
        <w:t>b</w:t>
      </w:r>
      <w:r>
        <w:rPr>
          <w:b/>
          <w:bCs/>
        </w:rPr>
        <w:t>)–</w:t>
      </w:r>
      <w:r>
        <w:rPr>
          <w:b/>
          <w:bCs/>
          <w:lang w:val="en-US"/>
        </w:rPr>
        <w:t>d</w:t>
      </w:r>
      <w:r>
        <w:rPr>
          <w:b/>
          <w:bCs/>
        </w:rPr>
        <w:t>) статьи 10</w:t>
      </w:r>
    </w:p>
    <w:p w:rsidR="00E017AA" w:rsidRDefault="00E017AA">
      <w:pPr>
        <w:tabs>
          <w:tab w:val="left" w:pos="567"/>
          <w:tab w:val="left" w:pos="1134"/>
          <w:tab w:val="left" w:pos="1701"/>
        </w:tabs>
        <w:spacing w:after="200"/>
      </w:pPr>
      <w:r>
        <w:t>241.</w:t>
      </w:r>
      <w:r>
        <w:tab/>
        <w:t>См. материал о статье 10 и предыдущие доклады.</w:t>
      </w:r>
    </w:p>
    <w:p w:rsidR="00E017AA" w:rsidRDefault="00E017AA">
      <w:pPr>
        <w:keepNext/>
        <w:tabs>
          <w:tab w:val="left" w:pos="567"/>
          <w:tab w:val="left" w:pos="1134"/>
          <w:tab w:val="left" w:pos="1701"/>
        </w:tabs>
        <w:spacing w:after="200"/>
        <w:rPr>
          <w:b/>
          <w:bCs/>
        </w:rPr>
      </w:pPr>
      <w:r>
        <w:rPr>
          <w:b/>
          <w:bCs/>
        </w:rPr>
        <w:t>Пункт е) статьи 10. Образование для взрослых</w:t>
      </w:r>
    </w:p>
    <w:p w:rsidR="00E017AA" w:rsidRDefault="00E017AA">
      <w:pPr>
        <w:tabs>
          <w:tab w:val="left" w:pos="567"/>
          <w:tab w:val="left" w:pos="1134"/>
          <w:tab w:val="left" w:pos="1701"/>
        </w:tabs>
        <w:spacing w:after="160"/>
      </w:pPr>
      <w:r>
        <w:t>242.</w:t>
      </w:r>
      <w:r>
        <w:tab/>
        <w:t xml:space="preserve">Комплексная задача обеспечения образования для взрослых (включая муниципальные программы образования для взрослых) включает цель достижения гендерного равенства. Большинство желающих продолжить образование по муниципальным программам для взрослых – женщины. За последних три учебных года 34 процента учащихся по </w:t>
      </w:r>
      <w:r>
        <w:rPr>
          <w:spacing w:val="-4"/>
        </w:rPr>
        <w:t>муниципальным программам образования для взрослых составляли мужчины и 66 процентов –</w:t>
      </w:r>
      <w:r>
        <w:t xml:space="preserve"> женщины. Многие муниципалитеты проводят работу по привлечению к обучению мужчин посредством изменения содержания учебных курсов и обучения без отрыва от работы. </w:t>
      </w:r>
    </w:p>
    <w:p w:rsidR="00E017AA" w:rsidRDefault="00E017AA">
      <w:pPr>
        <w:tabs>
          <w:tab w:val="left" w:pos="567"/>
          <w:tab w:val="left" w:pos="1134"/>
          <w:tab w:val="left" w:pos="1701"/>
        </w:tabs>
        <w:spacing w:after="160"/>
      </w:pPr>
      <w:r>
        <w:t>243.</w:t>
      </w:r>
      <w:r>
        <w:tab/>
        <w:t>При выделении ассигнований Управлению по вопросам совершенствования школьного обучения ставится задача, в частности, сосредоточить свою работу в трех сферах, одной из которых является гендерное равенство. С этой целью Управление в сотрудничестве с рядом муниципалитетов начало осуществление проекта в области гендерного равенства.</w:t>
      </w:r>
    </w:p>
    <w:p w:rsidR="00E017AA" w:rsidRDefault="00E017AA">
      <w:pPr>
        <w:tabs>
          <w:tab w:val="left" w:pos="567"/>
          <w:tab w:val="left" w:pos="1134"/>
          <w:tab w:val="left" w:pos="1701"/>
        </w:tabs>
        <w:spacing w:after="160"/>
      </w:pPr>
      <w:r>
        <w:t>244.</w:t>
      </w:r>
      <w:r>
        <w:tab/>
        <w:t>Все программы профессиональной подготовки должны содержать информацию относительно предполагаемых методов работы, с тем чтобы не допустить гендерных стереотипов при выборе учащимися тех или иных учебных программ. Доля женщин и мужчин, охваченных программами профессиональной подготовки, была равной (50/50), что свидетельствует об увеличении на 4 процента числа женщин по сравнению с 2001 годом и на 3 процента – по сравнению с предыдущим годом. Для того чтобы привлечь больше женщин к учебе на углубленных курсах профессиональной подготовки, организаторы прежде всего приняли меры в отношении информирования и маркетинга. Эти меры включают письменное и устное информирование ищущих работу лиц и учащихся старших классов средних учебных заведений на так называемых ярмарках образования и в школах. Выбор программ обучения в значительной мере является гендерно мотивированным; например, 86 процентов студентов, обучающихся на курсах повышения профессиональной подготовки в медицинском секторе, составляют женщины, хотя только 22 процента женщин учатся на курсах, ориентированных на строительную отрасль.</w:t>
      </w:r>
    </w:p>
    <w:p w:rsidR="00E017AA" w:rsidRDefault="00E017AA">
      <w:pPr>
        <w:tabs>
          <w:tab w:val="left" w:pos="567"/>
          <w:tab w:val="left" w:pos="1134"/>
          <w:tab w:val="left" w:pos="1701"/>
        </w:tabs>
        <w:spacing w:after="160"/>
      </w:pPr>
      <w:r>
        <w:t>245.</w:t>
      </w:r>
      <w:r>
        <w:tab/>
        <w:t>С 1 января 2006 года правительство ввело специальную надбавку в помощь студентам, имеющим детей.</w:t>
      </w:r>
    </w:p>
    <w:p w:rsidR="00E017AA" w:rsidRDefault="00E017AA">
      <w:pPr>
        <w:keepNext/>
        <w:tabs>
          <w:tab w:val="left" w:pos="567"/>
          <w:tab w:val="left" w:pos="1134"/>
          <w:tab w:val="left" w:pos="1701"/>
        </w:tabs>
        <w:spacing w:after="200"/>
        <w:rPr>
          <w:b/>
          <w:bCs/>
        </w:rPr>
      </w:pPr>
      <w:r>
        <w:rPr>
          <w:b/>
          <w:bCs/>
        </w:rPr>
        <w:t>Пункты </w:t>
      </w:r>
      <w:r>
        <w:rPr>
          <w:b/>
          <w:bCs/>
          <w:lang w:val="en-US"/>
        </w:rPr>
        <w:t>f</w:t>
      </w:r>
      <w:r>
        <w:rPr>
          <w:b/>
          <w:bCs/>
        </w:rPr>
        <w:t>)–</w:t>
      </w:r>
      <w:r>
        <w:rPr>
          <w:b/>
          <w:bCs/>
          <w:lang w:val="en-US"/>
        </w:rPr>
        <w:t>h</w:t>
      </w:r>
      <w:r>
        <w:rPr>
          <w:b/>
          <w:bCs/>
        </w:rPr>
        <w:t>) статьи 10</w:t>
      </w:r>
    </w:p>
    <w:p w:rsidR="00E017AA" w:rsidRDefault="00E017AA">
      <w:pPr>
        <w:tabs>
          <w:tab w:val="left" w:pos="567"/>
          <w:tab w:val="left" w:pos="1134"/>
          <w:tab w:val="left" w:pos="1701"/>
        </w:tabs>
        <w:spacing w:after="200"/>
      </w:pPr>
      <w:r>
        <w:t>246.</w:t>
      </w:r>
      <w:r>
        <w:tab/>
        <w:t>См. предыдущие доклады и материалы о пункте а) статьи 10 и пункте </w:t>
      </w:r>
      <w:r>
        <w:rPr>
          <w:lang w:val="en-US"/>
        </w:rPr>
        <w:t>b</w:t>
      </w:r>
      <w:r>
        <w:t>) статьи 5 настоящего доклада.</w:t>
      </w:r>
    </w:p>
    <w:p w:rsidR="00E017AA" w:rsidRDefault="00E017AA">
      <w:pPr>
        <w:keepNext/>
        <w:tabs>
          <w:tab w:val="left" w:pos="567"/>
          <w:tab w:val="left" w:pos="1134"/>
          <w:tab w:val="left" w:pos="1701"/>
        </w:tabs>
        <w:spacing w:before="140" w:after="200"/>
        <w:rPr>
          <w:b/>
          <w:sz w:val="24"/>
        </w:rPr>
      </w:pPr>
      <w:r>
        <w:rPr>
          <w:b/>
          <w:sz w:val="24"/>
        </w:rPr>
        <w:t>Статья 11.  Рынок рабочей силы и трудовая деятельность</w:t>
      </w:r>
    </w:p>
    <w:p w:rsidR="00E017AA" w:rsidRDefault="00E017AA">
      <w:pPr>
        <w:tabs>
          <w:tab w:val="left" w:pos="567"/>
          <w:tab w:val="left" w:pos="1134"/>
          <w:tab w:val="left" w:pos="1701"/>
        </w:tabs>
        <w:spacing w:after="200"/>
      </w:pPr>
      <w:r>
        <w:t>247.</w:t>
      </w:r>
      <w:r>
        <w:tab/>
        <w:t>См. также материал о статье 2, касающейся Закона о равных возможностях и гендерной дискриминации в сфере труда.</w:t>
      </w:r>
    </w:p>
    <w:p w:rsidR="00E017AA" w:rsidRDefault="00E017AA">
      <w:pPr>
        <w:keepNext/>
        <w:tabs>
          <w:tab w:val="left" w:pos="567"/>
          <w:tab w:val="left" w:pos="1134"/>
          <w:tab w:val="left" w:pos="1701"/>
        </w:tabs>
        <w:spacing w:after="200"/>
        <w:rPr>
          <w:b/>
          <w:bCs/>
          <w:i/>
        </w:rPr>
      </w:pPr>
      <w:r>
        <w:rPr>
          <w:b/>
          <w:bCs/>
        </w:rPr>
        <w:t>Пункт 1 а) статьи 11. Участие в рабочей силе</w:t>
      </w:r>
    </w:p>
    <w:p w:rsidR="00E017AA" w:rsidRDefault="00E017AA">
      <w:pPr>
        <w:tabs>
          <w:tab w:val="left" w:pos="567"/>
          <w:tab w:val="left" w:pos="1134"/>
          <w:tab w:val="left" w:pos="1701"/>
        </w:tabs>
        <w:spacing w:after="160"/>
      </w:pPr>
      <w:r>
        <w:t>248.</w:t>
      </w:r>
      <w:r>
        <w:tab/>
        <w:t>См. также четвертый доклад Швеции.</w:t>
      </w:r>
    </w:p>
    <w:p w:rsidR="00E017AA" w:rsidRDefault="00E017AA">
      <w:pPr>
        <w:tabs>
          <w:tab w:val="left" w:pos="567"/>
          <w:tab w:val="left" w:pos="1134"/>
          <w:tab w:val="left" w:pos="1701"/>
        </w:tabs>
        <w:spacing w:after="200"/>
      </w:pPr>
      <w:r>
        <w:t>249.</w:t>
      </w:r>
      <w:r>
        <w:tab/>
        <w:t>По сравнению с большинством стран Европы доля женщин в сфере оплачиваемого труда, особенно женщин с маленькими детьми, в Швеции выше. Это обеспечивает женщинам бóльшую экономическую независимость, что является важным шагом в достижении гендерного равенства.</w:t>
      </w:r>
    </w:p>
    <w:p w:rsidR="00E017AA" w:rsidRDefault="00E017AA">
      <w:pPr>
        <w:pStyle w:val="RKnormal"/>
        <w:keepNext/>
        <w:tabs>
          <w:tab w:val="clear" w:pos="2835"/>
        </w:tabs>
        <w:spacing w:after="200" w:line="240" w:lineRule="auto"/>
        <w:jc w:val="both"/>
        <w:rPr>
          <w:rFonts w:ascii="Times New Roman" w:hAnsi="Times New Roman"/>
          <w:sz w:val="22"/>
          <w:szCs w:val="24"/>
          <w:lang w:val="ru-RU"/>
        </w:rPr>
      </w:pPr>
      <w:r>
        <w:rPr>
          <w:rFonts w:ascii="Times New Roman" w:hAnsi="Times New Roman"/>
          <w:i/>
          <w:sz w:val="22"/>
          <w:lang w:val="ru-RU"/>
        </w:rPr>
        <w:t>Показатель экономической активности лиц в возрасте 20–64 лет, 2001–2005 годы</w:t>
      </w:r>
    </w:p>
    <w:tbl>
      <w:tblPr>
        <w:tblW w:w="0" w:type="auto"/>
        <w:tblInd w:w="108" w:type="dxa"/>
        <w:tblLayout w:type="fixed"/>
        <w:tblLook w:val="0000" w:firstRow="0" w:lastRow="0" w:firstColumn="0" w:lastColumn="0" w:noHBand="0" w:noVBand="0"/>
      </w:tblPr>
      <w:tblGrid>
        <w:gridCol w:w="2127"/>
        <w:gridCol w:w="1701"/>
        <w:gridCol w:w="2126"/>
      </w:tblGrid>
      <w:tr w:rsidR="00E017AA">
        <w:tblPrEx>
          <w:tblCellMar>
            <w:top w:w="0" w:type="dxa"/>
            <w:bottom w:w="0" w:type="dxa"/>
          </w:tblCellMar>
        </w:tblPrEx>
        <w:trPr>
          <w:cantSplit/>
        </w:trPr>
        <w:tc>
          <w:tcPr>
            <w:tcW w:w="5954" w:type="dxa"/>
            <w:gridSpan w:val="3"/>
            <w:tcBorders>
              <w:bottom w:val="single" w:sz="4" w:space="0" w:color="auto"/>
            </w:tcBorders>
          </w:tcPr>
          <w:p w:rsidR="00E017AA" w:rsidRDefault="00E017AA">
            <w:pPr>
              <w:pStyle w:val="RKnormal"/>
              <w:keepNext/>
              <w:tabs>
                <w:tab w:val="clear" w:pos="2835"/>
              </w:tabs>
              <w:spacing w:before="100" w:after="100" w:line="240" w:lineRule="auto"/>
              <w:jc w:val="both"/>
              <w:rPr>
                <w:rFonts w:ascii="Times New Roman" w:hAnsi="Times New Roman"/>
                <w:b/>
                <w:bCs/>
                <w:sz w:val="20"/>
                <w:szCs w:val="24"/>
                <w:lang w:val="ru-RU"/>
              </w:rPr>
            </w:pPr>
            <w:r>
              <w:rPr>
                <w:rFonts w:ascii="Times New Roman" w:hAnsi="Times New Roman"/>
                <w:b/>
                <w:bCs/>
                <w:sz w:val="20"/>
                <w:lang w:val="ru-RU"/>
              </w:rPr>
              <w:t>Доля населения, составляющего рабочую силу (в процентах)</w:t>
            </w:r>
          </w:p>
        </w:tc>
      </w:tr>
      <w:tr w:rsidR="00E017AA">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Год</w:t>
            </w:r>
          </w:p>
        </w:tc>
        <w:tc>
          <w:tcPr>
            <w:tcW w:w="1701"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Женщины</w:t>
            </w:r>
          </w:p>
        </w:tc>
        <w:tc>
          <w:tcPr>
            <w:tcW w:w="2126"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Мужчины</w:t>
            </w:r>
          </w:p>
        </w:tc>
      </w:tr>
      <w:tr w:rsidR="00E017AA">
        <w:tblPrEx>
          <w:tblCellMar>
            <w:top w:w="0" w:type="dxa"/>
            <w:bottom w:w="0" w:type="dxa"/>
          </w:tblCellMar>
        </w:tblPrEx>
        <w:tc>
          <w:tcPr>
            <w:tcW w:w="2127"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2001</w:t>
            </w:r>
          </w:p>
        </w:tc>
        <w:tc>
          <w:tcPr>
            <w:tcW w:w="1701"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79</w:t>
            </w:r>
          </w:p>
        </w:tc>
        <w:tc>
          <w:tcPr>
            <w:tcW w:w="2126"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84</w:t>
            </w:r>
          </w:p>
        </w:tc>
      </w:tr>
      <w:tr w:rsidR="00E017AA">
        <w:tblPrEx>
          <w:tblCellMar>
            <w:top w:w="0" w:type="dxa"/>
            <w:bottom w:w="0" w:type="dxa"/>
          </w:tblCellMar>
        </w:tblPrEx>
        <w:tc>
          <w:tcPr>
            <w:tcW w:w="2127" w:type="dxa"/>
            <w:tcBorders>
              <w:left w:val="single" w:sz="4" w:space="0" w:color="auto"/>
              <w:right w:val="single" w:sz="4" w:space="0" w:color="auto"/>
            </w:tcBorders>
          </w:tcPr>
          <w:p w:rsidR="00E017AA" w:rsidRDefault="00E017AA">
            <w:pPr>
              <w:keepNext/>
              <w:spacing w:before="100" w:after="100"/>
              <w:jc w:val="center"/>
              <w:rPr>
                <w:sz w:val="20"/>
              </w:rPr>
            </w:pPr>
            <w:r>
              <w:rPr>
                <w:sz w:val="20"/>
              </w:rPr>
              <w:t>2002</w:t>
            </w:r>
          </w:p>
        </w:tc>
        <w:tc>
          <w:tcPr>
            <w:tcW w:w="1701" w:type="dxa"/>
            <w:tcBorders>
              <w:left w:val="single" w:sz="4" w:space="0" w:color="auto"/>
              <w:right w:val="single" w:sz="4" w:space="0" w:color="auto"/>
            </w:tcBorders>
          </w:tcPr>
          <w:p w:rsidR="00E017AA" w:rsidRDefault="00E017AA">
            <w:pPr>
              <w:keepNext/>
              <w:spacing w:before="100" w:after="100"/>
              <w:jc w:val="center"/>
              <w:rPr>
                <w:sz w:val="20"/>
              </w:rPr>
            </w:pPr>
            <w:r>
              <w:rPr>
                <w:sz w:val="20"/>
              </w:rPr>
              <w:t>79</w:t>
            </w:r>
          </w:p>
        </w:tc>
        <w:tc>
          <w:tcPr>
            <w:tcW w:w="2126" w:type="dxa"/>
            <w:tcBorders>
              <w:left w:val="single" w:sz="4" w:space="0" w:color="auto"/>
              <w:right w:val="single" w:sz="4" w:space="0" w:color="auto"/>
            </w:tcBorders>
          </w:tcPr>
          <w:p w:rsidR="00E017AA" w:rsidRDefault="00E017AA">
            <w:pPr>
              <w:keepNext/>
              <w:spacing w:before="100" w:after="100"/>
              <w:jc w:val="center"/>
              <w:rPr>
                <w:sz w:val="20"/>
              </w:rPr>
            </w:pPr>
            <w:r>
              <w:rPr>
                <w:sz w:val="20"/>
              </w:rPr>
              <w:t>84</w:t>
            </w:r>
          </w:p>
        </w:tc>
      </w:tr>
      <w:tr w:rsidR="00E017AA">
        <w:tblPrEx>
          <w:tblCellMar>
            <w:top w:w="0" w:type="dxa"/>
            <w:bottom w:w="0" w:type="dxa"/>
          </w:tblCellMar>
        </w:tblPrEx>
        <w:tc>
          <w:tcPr>
            <w:tcW w:w="2127" w:type="dxa"/>
            <w:tcBorders>
              <w:left w:val="single" w:sz="4" w:space="0" w:color="auto"/>
              <w:right w:val="single" w:sz="4" w:space="0" w:color="auto"/>
            </w:tcBorders>
          </w:tcPr>
          <w:p w:rsidR="00E017AA" w:rsidRDefault="00E017AA">
            <w:pPr>
              <w:keepNext/>
              <w:spacing w:before="100" w:after="100"/>
              <w:jc w:val="center"/>
              <w:rPr>
                <w:sz w:val="20"/>
              </w:rPr>
            </w:pPr>
            <w:r>
              <w:rPr>
                <w:sz w:val="20"/>
              </w:rPr>
              <w:t>2003</w:t>
            </w:r>
          </w:p>
        </w:tc>
        <w:tc>
          <w:tcPr>
            <w:tcW w:w="1701" w:type="dxa"/>
            <w:tcBorders>
              <w:left w:val="single" w:sz="4" w:space="0" w:color="auto"/>
              <w:right w:val="single" w:sz="4" w:space="0" w:color="auto"/>
            </w:tcBorders>
          </w:tcPr>
          <w:p w:rsidR="00E017AA" w:rsidRDefault="00E017AA">
            <w:pPr>
              <w:keepNext/>
              <w:spacing w:before="100" w:after="100"/>
              <w:jc w:val="center"/>
              <w:rPr>
                <w:sz w:val="20"/>
              </w:rPr>
            </w:pPr>
            <w:r>
              <w:rPr>
                <w:sz w:val="20"/>
              </w:rPr>
              <w:t>79</w:t>
            </w:r>
          </w:p>
        </w:tc>
        <w:tc>
          <w:tcPr>
            <w:tcW w:w="2126" w:type="dxa"/>
            <w:tcBorders>
              <w:left w:val="single" w:sz="4" w:space="0" w:color="auto"/>
              <w:right w:val="single" w:sz="4" w:space="0" w:color="auto"/>
            </w:tcBorders>
          </w:tcPr>
          <w:p w:rsidR="00E017AA" w:rsidRDefault="00E017AA">
            <w:pPr>
              <w:keepNext/>
              <w:spacing w:before="100" w:after="100"/>
              <w:jc w:val="center"/>
              <w:rPr>
                <w:sz w:val="20"/>
              </w:rPr>
            </w:pPr>
            <w:r>
              <w:rPr>
                <w:sz w:val="20"/>
              </w:rPr>
              <w:t>84</w:t>
            </w:r>
          </w:p>
        </w:tc>
      </w:tr>
      <w:tr w:rsidR="00E017AA">
        <w:tblPrEx>
          <w:tblCellMar>
            <w:top w:w="0" w:type="dxa"/>
            <w:bottom w:w="0" w:type="dxa"/>
          </w:tblCellMar>
        </w:tblPrEx>
        <w:tc>
          <w:tcPr>
            <w:tcW w:w="2127" w:type="dxa"/>
            <w:tcBorders>
              <w:left w:val="single" w:sz="4" w:space="0" w:color="auto"/>
              <w:right w:val="single" w:sz="4" w:space="0" w:color="auto"/>
            </w:tcBorders>
          </w:tcPr>
          <w:p w:rsidR="00E017AA" w:rsidRDefault="00E017AA">
            <w:pPr>
              <w:keepNext/>
              <w:spacing w:before="100" w:after="100"/>
              <w:jc w:val="center"/>
              <w:rPr>
                <w:sz w:val="20"/>
              </w:rPr>
            </w:pPr>
            <w:r>
              <w:rPr>
                <w:sz w:val="20"/>
              </w:rPr>
              <w:t>2004</w:t>
            </w:r>
          </w:p>
        </w:tc>
        <w:tc>
          <w:tcPr>
            <w:tcW w:w="1701" w:type="dxa"/>
            <w:tcBorders>
              <w:left w:val="single" w:sz="4" w:space="0" w:color="auto"/>
              <w:right w:val="single" w:sz="4" w:space="0" w:color="auto"/>
            </w:tcBorders>
          </w:tcPr>
          <w:p w:rsidR="00E017AA" w:rsidRDefault="00E017AA">
            <w:pPr>
              <w:keepNext/>
              <w:spacing w:before="100" w:after="100"/>
              <w:jc w:val="center"/>
              <w:rPr>
                <w:sz w:val="20"/>
              </w:rPr>
            </w:pPr>
            <w:r>
              <w:rPr>
                <w:sz w:val="20"/>
              </w:rPr>
              <w:t>80</w:t>
            </w:r>
          </w:p>
        </w:tc>
        <w:tc>
          <w:tcPr>
            <w:tcW w:w="2126" w:type="dxa"/>
            <w:tcBorders>
              <w:left w:val="single" w:sz="4" w:space="0" w:color="auto"/>
              <w:right w:val="single" w:sz="4" w:space="0" w:color="auto"/>
            </w:tcBorders>
          </w:tcPr>
          <w:p w:rsidR="00E017AA" w:rsidRDefault="00E017AA">
            <w:pPr>
              <w:keepNext/>
              <w:spacing w:before="100" w:after="100"/>
              <w:jc w:val="center"/>
              <w:rPr>
                <w:sz w:val="20"/>
              </w:rPr>
            </w:pPr>
            <w:r>
              <w:rPr>
                <w:sz w:val="20"/>
              </w:rPr>
              <w:t>85</w:t>
            </w:r>
          </w:p>
        </w:tc>
      </w:tr>
      <w:tr w:rsidR="00E017AA">
        <w:tblPrEx>
          <w:tblCellMar>
            <w:top w:w="0" w:type="dxa"/>
            <w:bottom w:w="0" w:type="dxa"/>
          </w:tblCellMar>
        </w:tblPrEx>
        <w:tc>
          <w:tcPr>
            <w:tcW w:w="2127"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2005</w:t>
            </w:r>
          </w:p>
        </w:tc>
        <w:tc>
          <w:tcPr>
            <w:tcW w:w="1701"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80</w:t>
            </w:r>
          </w:p>
        </w:tc>
        <w:tc>
          <w:tcPr>
            <w:tcW w:w="2126"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86</w:t>
            </w:r>
          </w:p>
        </w:tc>
      </w:tr>
    </w:tbl>
    <w:p w:rsidR="00E017AA" w:rsidRDefault="00E017AA">
      <w:pPr>
        <w:tabs>
          <w:tab w:val="left" w:pos="567"/>
          <w:tab w:val="left" w:pos="1134"/>
          <w:tab w:val="left" w:pos="1701"/>
        </w:tabs>
        <w:spacing w:before="120" w:after="200"/>
        <w:rPr>
          <w:iCs/>
        </w:rPr>
      </w:pPr>
      <w:r>
        <w:rPr>
          <w:i/>
          <w:sz w:val="20"/>
        </w:rPr>
        <w:t xml:space="preserve">Источник: </w:t>
      </w:r>
      <w:r>
        <w:rPr>
          <w:iCs/>
          <w:sz w:val="20"/>
        </w:rPr>
        <w:t>Статистическое бюро Швеции, обследование рабочей силы.</w:t>
      </w:r>
    </w:p>
    <w:p w:rsidR="00E017AA" w:rsidRDefault="00E017AA">
      <w:pPr>
        <w:tabs>
          <w:tab w:val="left" w:pos="567"/>
          <w:tab w:val="left" w:pos="1134"/>
          <w:tab w:val="left" w:pos="1701"/>
        </w:tabs>
        <w:spacing w:before="200" w:after="360"/>
      </w:pPr>
      <w:r>
        <w:t>250.</w:t>
      </w:r>
      <w:r>
        <w:tab/>
        <w:t xml:space="preserve">Показатель занятости женщин несколько ниже по сравнению с мужчинами. </w:t>
      </w:r>
    </w:p>
    <w:p w:rsidR="00E017AA" w:rsidRDefault="00E017AA">
      <w:pPr>
        <w:pStyle w:val="RKnormal"/>
        <w:keepNext/>
        <w:tabs>
          <w:tab w:val="clear" w:pos="2835"/>
        </w:tabs>
        <w:spacing w:after="200" w:line="240" w:lineRule="auto"/>
        <w:jc w:val="both"/>
        <w:rPr>
          <w:rFonts w:ascii="Times New Roman" w:hAnsi="Times New Roman"/>
          <w:sz w:val="22"/>
          <w:szCs w:val="24"/>
          <w:lang w:val="ru-RU"/>
        </w:rPr>
      </w:pPr>
      <w:r>
        <w:rPr>
          <w:rFonts w:ascii="Times New Roman" w:hAnsi="Times New Roman"/>
          <w:i/>
          <w:sz w:val="22"/>
          <w:lang w:val="ru-RU"/>
        </w:rPr>
        <w:t>Уровень занятости мужчин и женщин в возрасте 20–64 лет, 2001–2005 годы</w:t>
      </w:r>
    </w:p>
    <w:tbl>
      <w:tblPr>
        <w:tblW w:w="0" w:type="auto"/>
        <w:tblInd w:w="108" w:type="dxa"/>
        <w:tblLayout w:type="fixed"/>
        <w:tblLook w:val="0000" w:firstRow="0" w:lastRow="0" w:firstColumn="0" w:lastColumn="0" w:noHBand="0" w:noVBand="0"/>
      </w:tblPr>
      <w:tblGrid>
        <w:gridCol w:w="2127"/>
        <w:gridCol w:w="1701"/>
        <w:gridCol w:w="2126"/>
      </w:tblGrid>
      <w:tr w:rsidR="00E017AA">
        <w:tblPrEx>
          <w:tblCellMar>
            <w:top w:w="0" w:type="dxa"/>
            <w:bottom w:w="0" w:type="dxa"/>
          </w:tblCellMar>
        </w:tblPrEx>
        <w:trPr>
          <w:cantSplit/>
        </w:trPr>
        <w:tc>
          <w:tcPr>
            <w:tcW w:w="5954" w:type="dxa"/>
            <w:gridSpan w:val="3"/>
            <w:tcBorders>
              <w:bottom w:val="single" w:sz="4" w:space="0" w:color="auto"/>
            </w:tcBorders>
          </w:tcPr>
          <w:p w:rsidR="00E017AA" w:rsidRDefault="00E017AA">
            <w:pPr>
              <w:pStyle w:val="RKnormal"/>
              <w:keepNext/>
              <w:tabs>
                <w:tab w:val="clear" w:pos="2835"/>
              </w:tabs>
              <w:spacing w:before="100" w:after="100" w:line="240" w:lineRule="auto"/>
              <w:jc w:val="both"/>
              <w:rPr>
                <w:rFonts w:ascii="Times New Roman" w:hAnsi="Times New Roman"/>
                <w:b/>
                <w:bCs/>
                <w:sz w:val="20"/>
                <w:szCs w:val="24"/>
                <w:lang w:val="ru-RU"/>
              </w:rPr>
            </w:pPr>
            <w:r>
              <w:rPr>
                <w:rFonts w:ascii="Times New Roman" w:hAnsi="Times New Roman"/>
                <w:b/>
                <w:sz w:val="20"/>
                <w:lang w:val="ru-RU"/>
              </w:rPr>
              <w:t>Доля занятого населения (в процентах)</w:t>
            </w:r>
          </w:p>
        </w:tc>
      </w:tr>
      <w:tr w:rsidR="00E017AA">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Год</w:t>
            </w:r>
          </w:p>
        </w:tc>
        <w:tc>
          <w:tcPr>
            <w:tcW w:w="1701"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Женщины</w:t>
            </w:r>
          </w:p>
        </w:tc>
        <w:tc>
          <w:tcPr>
            <w:tcW w:w="2126"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Мужчины</w:t>
            </w:r>
          </w:p>
        </w:tc>
      </w:tr>
      <w:tr w:rsidR="00E017AA">
        <w:tblPrEx>
          <w:tblCellMar>
            <w:top w:w="0" w:type="dxa"/>
            <w:bottom w:w="0" w:type="dxa"/>
          </w:tblCellMar>
        </w:tblPrEx>
        <w:tc>
          <w:tcPr>
            <w:tcW w:w="2127"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2001</w:t>
            </w:r>
          </w:p>
        </w:tc>
        <w:tc>
          <w:tcPr>
            <w:tcW w:w="1701"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76</w:t>
            </w:r>
          </w:p>
        </w:tc>
        <w:tc>
          <w:tcPr>
            <w:tcW w:w="2126"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81</w:t>
            </w:r>
          </w:p>
        </w:tc>
      </w:tr>
      <w:tr w:rsidR="00E017AA">
        <w:tblPrEx>
          <w:tblCellMar>
            <w:top w:w="0" w:type="dxa"/>
            <w:bottom w:w="0" w:type="dxa"/>
          </w:tblCellMar>
        </w:tblPrEx>
        <w:tc>
          <w:tcPr>
            <w:tcW w:w="2127" w:type="dxa"/>
            <w:tcBorders>
              <w:left w:val="single" w:sz="4" w:space="0" w:color="auto"/>
              <w:right w:val="single" w:sz="4" w:space="0" w:color="auto"/>
            </w:tcBorders>
          </w:tcPr>
          <w:p w:rsidR="00E017AA" w:rsidRDefault="00E017AA">
            <w:pPr>
              <w:keepNext/>
              <w:spacing w:before="100" w:after="100"/>
              <w:jc w:val="center"/>
              <w:rPr>
                <w:sz w:val="20"/>
              </w:rPr>
            </w:pPr>
            <w:r>
              <w:rPr>
                <w:sz w:val="20"/>
              </w:rPr>
              <w:t>2002</w:t>
            </w:r>
          </w:p>
        </w:tc>
        <w:tc>
          <w:tcPr>
            <w:tcW w:w="1701" w:type="dxa"/>
            <w:tcBorders>
              <w:left w:val="single" w:sz="4" w:space="0" w:color="auto"/>
              <w:right w:val="single" w:sz="4" w:space="0" w:color="auto"/>
            </w:tcBorders>
          </w:tcPr>
          <w:p w:rsidR="00E017AA" w:rsidRDefault="00E017AA">
            <w:pPr>
              <w:keepNext/>
              <w:spacing w:before="100" w:after="100"/>
              <w:jc w:val="center"/>
              <w:rPr>
                <w:sz w:val="20"/>
              </w:rPr>
            </w:pPr>
            <w:r>
              <w:rPr>
                <w:sz w:val="20"/>
              </w:rPr>
              <w:t>76</w:t>
            </w:r>
          </w:p>
        </w:tc>
        <w:tc>
          <w:tcPr>
            <w:tcW w:w="2126" w:type="dxa"/>
            <w:tcBorders>
              <w:left w:val="single" w:sz="4" w:space="0" w:color="auto"/>
              <w:right w:val="single" w:sz="4" w:space="0" w:color="auto"/>
            </w:tcBorders>
          </w:tcPr>
          <w:p w:rsidR="00E017AA" w:rsidRDefault="00E017AA">
            <w:pPr>
              <w:keepNext/>
              <w:spacing w:before="100" w:after="100"/>
              <w:jc w:val="center"/>
              <w:rPr>
                <w:sz w:val="20"/>
              </w:rPr>
            </w:pPr>
            <w:r>
              <w:rPr>
                <w:sz w:val="20"/>
              </w:rPr>
              <w:t>80</w:t>
            </w:r>
          </w:p>
        </w:tc>
      </w:tr>
      <w:tr w:rsidR="00E017AA">
        <w:tblPrEx>
          <w:tblCellMar>
            <w:top w:w="0" w:type="dxa"/>
            <w:bottom w:w="0" w:type="dxa"/>
          </w:tblCellMar>
        </w:tblPrEx>
        <w:tc>
          <w:tcPr>
            <w:tcW w:w="2127" w:type="dxa"/>
            <w:tcBorders>
              <w:left w:val="single" w:sz="4" w:space="0" w:color="auto"/>
              <w:right w:val="single" w:sz="4" w:space="0" w:color="auto"/>
            </w:tcBorders>
          </w:tcPr>
          <w:p w:rsidR="00E017AA" w:rsidRDefault="00E017AA">
            <w:pPr>
              <w:keepNext/>
              <w:spacing w:before="100" w:after="100"/>
              <w:jc w:val="center"/>
              <w:rPr>
                <w:sz w:val="20"/>
              </w:rPr>
            </w:pPr>
            <w:r>
              <w:rPr>
                <w:sz w:val="20"/>
              </w:rPr>
              <w:t>2003</w:t>
            </w:r>
          </w:p>
        </w:tc>
        <w:tc>
          <w:tcPr>
            <w:tcW w:w="1701" w:type="dxa"/>
            <w:tcBorders>
              <w:left w:val="single" w:sz="4" w:space="0" w:color="auto"/>
              <w:right w:val="single" w:sz="4" w:space="0" w:color="auto"/>
            </w:tcBorders>
          </w:tcPr>
          <w:p w:rsidR="00E017AA" w:rsidRDefault="00E017AA">
            <w:pPr>
              <w:keepNext/>
              <w:spacing w:before="100" w:after="100"/>
              <w:jc w:val="center"/>
              <w:rPr>
                <w:sz w:val="20"/>
              </w:rPr>
            </w:pPr>
            <w:r>
              <w:rPr>
                <w:sz w:val="20"/>
              </w:rPr>
              <w:t>76</w:t>
            </w:r>
          </w:p>
        </w:tc>
        <w:tc>
          <w:tcPr>
            <w:tcW w:w="2126" w:type="dxa"/>
            <w:tcBorders>
              <w:left w:val="single" w:sz="4" w:space="0" w:color="auto"/>
              <w:right w:val="single" w:sz="4" w:space="0" w:color="auto"/>
            </w:tcBorders>
          </w:tcPr>
          <w:p w:rsidR="00E017AA" w:rsidRDefault="00E017AA">
            <w:pPr>
              <w:keepNext/>
              <w:spacing w:before="100" w:after="100"/>
              <w:jc w:val="center"/>
              <w:rPr>
                <w:sz w:val="20"/>
              </w:rPr>
            </w:pPr>
            <w:r>
              <w:rPr>
                <w:sz w:val="20"/>
              </w:rPr>
              <w:t>80</w:t>
            </w:r>
          </w:p>
        </w:tc>
      </w:tr>
      <w:tr w:rsidR="00E017AA">
        <w:tblPrEx>
          <w:tblCellMar>
            <w:top w:w="0" w:type="dxa"/>
            <w:bottom w:w="0" w:type="dxa"/>
          </w:tblCellMar>
        </w:tblPrEx>
        <w:tc>
          <w:tcPr>
            <w:tcW w:w="2127" w:type="dxa"/>
            <w:tcBorders>
              <w:left w:val="single" w:sz="4" w:space="0" w:color="auto"/>
              <w:right w:val="single" w:sz="4" w:space="0" w:color="auto"/>
            </w:tcBorders>
          </w:tcPr>
          <w:p w:rsidR="00E017AA" w:rsidRDefault="00E017AA">
            <w:pPr>
              <w:keepNext/>
              <w:spacing w:before="100" w:after="100"/>
              <w:jc w:val="center"/>
              <w:rPr>
                <w:sz w:val="20"/>
              </w:rPr>
            </w:pPr>
            <w:r>
              <w:rPr>
                <w:sz w:val="20"/>
              </w:rPr>
              <w:t>2004</w:t>
            </w:r>
          </w:p>
        </w:tc>
        <w:tc>
          <w:tcPr>
            <w:tcW w:w="1701" w:type="dxa"/>
            <w:tcBorders>
              <w:left w:val="single" w:sz="4" w:space="0" w:color="auto"/>
              <w:right w:val="single" w:sz="4" w:space="0" w:color="auto"/>
            </w:tcBorders>
          </w:tcPr>
          <w:p w:rsidR="00E017AA" w:rsidRDefault="00E017AA">
            <w:pPr>
              <w:keepNext/>
              <w:spacing w:before="100" w:after="100"/>
              <w:jc w:val="center"/>
              <w:rPr>
                <w:sz w:val="20"/>
              </w:rPr>
            </w:pPr>
            <w:r>
              <w:rPr>
                <w:sz w:val="20"/>
              </w:rPr>
              <w:t>76</w:t>
            </w:r>
          </w:p>
        </w:tc>
        <w:tc>
          <w:tcPr>
            <w:tcW w:w="2126" w:type="dxa"/>
            <w:tcBorders>
              <w:left w:val="single" w:sz="4" w:space="0" w:color="auto"/>
              <w:right w:val="single" w:sz="4" w:space="0" w:color="auto"/>
            </w:tcBorders>
          </w:tcPr>
          <w:p w:rsidR="00E017AA" w:rsidRDefault="00E017AA">
            <w:pPr>
              <w:keepNext/>
              <w:spacing w:before="100" w:after="100"/>
              <w:jc w:val="center"/>
              <w:rPr>
                <w:sz w:val="20"/>
              </w:rPr>
            </w:pPr>
            <w:r>
              <w:rPr>
                <w:sz w:val="20"/>
              </w:rPr>
              <w:t>80</w:t>
            </w:r>
          </w:p>
        </w:tc>
      </w:tr>
      <w:tr w:rsidR="00E017AA">
        <w:tblPrEx>
          <w:tblCellMar>
            <w:top w:w="0" w:type="dxa"/>
            <w:bottom w:w="0" w:type="dxa"/>
          </w:tblCellMar>
        </w:tblPrEx>
        <w:tc>
          <w:tcPr>
            <w:tcW w:w="2127"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2005</w:t>
            </w:r>
          </w:p>
        </w:tc>
        <w:tc>
          <w:tcPr>
            <w:tcW w:w="1701"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76</w:t>
            </w:r>
          </w:p>
        </w:tc>
        <w:tc>
          <w:tcPr>
            <w:tcW w:w="2126"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81</w:t>
            </w:r>
          </w:p>
        </w:tc>
      </w:tr>
    </w:tbl>
    <w:p w:rsidR="00E017AA" w:rsidRDefault="00E017AA">
      <w:pPr>
        <w:tabs>
          <w:tab w:val="left" w:pos="567"/>
          <w:tab w:val="left" w:pos="1134"/>
          <w:tab w:val="left" w:pos="1701"/>
        </w:tabs>
        <w:spacing w:before="120" w:after="200"/>
        <w:rPr>
          <w:iCs/>
        </w:rPr>
      </w:pPr>
      <w:r>
        <w:rPr>
          <w:i/>
          <w:sz w:val="20"/>
        </w:rPr>
        <w:t>Источник:</w:t>
      </w:r>
      <w:r>
        <w:rPr>
          <w:iCs/>
          <w:sz w:val="20"/>
        </w:rPr>
        <w:t xml:space="preserve"> Статистическое бюро Швеции, обследование рабочей силы</w:t>
      </w:r>
      <w:r>
        <w:rPr>
          <w:i/>
          <w:sz w:val="20"/>
        </w:rPr>
        <w:t>.</w:t>
      </w:r>
    </w:p>
    <w:p w:rsidR="00E017AA" w:rsidRDefault="00E017AA">
      <w:pPr>
        <w:tabs>
          <w:tab w:val="left" w:pos="567"/>
          <w:tab w:val="left" w:pos="1134"/>
          <w:tab w:val="left" w:pos="1701"/>
        </w:tabs>
        <w:spacing w:before="160" w:after="200"/>
      </w:pPr>
      <w:r>
        <w:t>251.</w:t>
      </w:r>
      <w:r>
        <w:tab/>
        <w:t xml:space="preserve">По данным проведенного Статистическим бюро Швеции обследования рабочей силы, 1 млн. человек в возрасте 16–64 лет страдают от тех или иных серьезных заболеваний. </w:t>
      </w:r>
      <w:r>
        <w:br/>
        <w:t xml:space="preserve">В обследовании это определяется, например, как ослабление зрения или слуха, проблемы голоса или речи, разные аллергии, умственные недостатки, псориаз, сердечно-сосудистые и другие заболевания. Это касается примерно 20 процентов населения. Для шести из десяти таких человек это означает, что их способность к трудовой деятельности ограниченна. Из лиц с заболеваниями 60 процентов женщин и 50 процентов мужчин считают, что их способность к трудовой деятельности ограниченна. </w:t>
      </w:r>
    </w:p>
    <w:tbl>
      <w:tblPr>
        <w:tblW w:w="0" w:type="auto"/>
        <w:tblInd w:w="108" w:type="dxa"/>
        <w:tblLayout w:type="fixed"/>
        <w:tblLook w:val="0000" w:firstRow="0" w:lastRow="0" w:firstColumn="0" w:lastColumn="0" w:noHBand="0" w:noVBand="0"/>
      </w:tblPr>
      <w:tblGrid>
        <w:gridCol w:w="4322"/>
        <w:gridCol w:w="1850"/>
        <w:gridCol w:w="1829"/>
        <w:gridCol w:w="1355"/>
      </w:tblGrid>
      <w:tr w:rsidR="00E017AA">
        <w:tblPrEx>
          <w:tblCellMar>
            <w:top w:w="0" w:type="dxa"/>
            <w:bottom w:w="0" w:type="dxa"/>
          </w:tblCellMar>
        </w:tblPrEx>
        <w:trPr>
          <w:cantSplit/>
        </w:trPr>
        <w:tc>
          <w:tcPr>
            <w:tcW w:w="9356" w:type="dxa"/>
            <w:gridSpan w:val="4"/>
          </w:tcPr>
          <w:p w:rsidR="00E017AA" w:rsidRDefault="00E017AA">
            <w:pPr>
              <w:pStyle w:val="RKnormal"/>
              <w:keepNext/>
              <w:tabs>
                <w:tab w:val="clear" w:pos="2835"/>
              </w:tabs>
              <w:spacing w:after="200" w:line="240" w:lineRule="auto"/>
              <w:ind w:left="-108"/>
              <w:jc w:val="both"/>
              <w:rPr>
                <w:rFonts w:ascii="Times New Roman" w:hAnsi="Times New Roman"/>
                <w:sz w:val="22"/>
                <w:szCs w:val="24"/>
                <w:lang w:val="ru-RU"/>
              </w:rPr>
            </w:pPr>
            <w:r>
              <w:rPr>
                <w:rFonts w:ascii="Times New Roman" w:hAnsi="Times New Roman"/>
                <w:i/>
                <w:sz w:val="22"/>
                <w:lang w:val="ru-RU"/>
              </w:rPr>
              <w:t>Показатель экономической активности населения в возрасте 16–64 лет, четвертый квартал 2004 года</w:t>
            </w:r>
          </w:p>
        </w:tc>
      </w:tr>
      <w:tr w:rsidR="00E017AA">
        <w:tblPrEx>
          <w:tblCellMar>
            <w:top w:w="0" w:type="dxa"/>
            <w:bottom w:w="0" w:type="dxa"/>
          </w:tblCellMar>
        </w:tblPrEx>
        <w:trPr>
          <w:cantSplit/>
        </w:trPr>
        <w:tc>
          <w:tcPr>
            <w:tcW w:w="9356" w:type="dxa"/>
            <w:gridSpan w:val="4"/>
            <w:tcBorders>
              <w:bottom w:val="single" w:sz="4" w:space="0" w:color="auto"/>
            </w:tcBorders>
          </w:tcPr>
          <w:p w:rsidR="00E017AA" w:rsidRDefault="00E017AA">
            <w:pPr>
              <w:pStyle w:val="RKnormal"/>
              <w:keepNext/>
              <w:tabs>
                <w:tab w:val="clear" w:pos="2835"/>
              </w:tabs>
              <w:spacing w:before="100" w:after="100" w:line="240" w:lineRule="auto"/>
              <w:ind w:hanging="108"/>
              <w:jc w:val="both"/>
              <w:rPr>
                <w:rFonts w:ascii="Times New Roman" w:hAnsi="Times New Roman"/>
                <w:b/>
                <w:bCs/>
                <w:sz w:val="20"/>
                <w:szCs w:val="24"/>
                <w:lang w:val="ru-RU"/>
              </w:rPr>
            </w:pPr>
            <w:r>
              <w:rPr>
                <w:rFonts w:ascii="Times New Roman" w:hAnsi="Times New Roman"/>
                <w:b/>
                <w:bCs/>
                <w:sz w:val="20"/>
                <w:lang w:val="ru-RU"/>
              </w:rPr>
              <w:t>Доля населения, составляющего рабочую силу (в процентах)</w:t>
            </w:r>
          </w:p>
        </w:tc>
      </w:tr>
      <w:tr w:rsidR="00E017AA">
        <w:tblPrEx>
          <w:tblCellMar>
            <w:top w:w="0" w:type="dxa"/>
            <w:bottom w:w="0" w:type="dxa"/>
          </w:tblCellMar>
        </w:tblPrEx>
        <w:trPr>
          <w:cantSplit/>
        </w:trPr>
        <w:tc>
          <w:tcPr>
            <w:tcW w:w="4322"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both"/>
              <w:rPr>
                <w:rFonts w:ascii="Times New Roman" w:hAnsi="Times New Roman"/>
                <w:sz w:val="20"/>
                <w:szCs w:val="24"/>
                <w:lang w:val="ru-RU"/>
              </w:rPr>
            </w:pPr>
          </w:p>
        </w:tc>
        <w:tc>
          <w:tcPr>
            <w:tcW w:w="1850"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Женщины</w:t>
            </w:r>
          </w:p>
        </w:tc>
        <w:tc>
          <w:tcPr>
            <w:tcW w:w="1829"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Мужчины</w:t>
            </w:r>
          </w:p>
        </w:tc>
        <w:tc>
          <w:tcPr>
            <w:tcW w:w="1355"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Всего</w:t>
            </w:r>
          </w:p>
        </w:tc>
      </w:tr>
      <w:tr w:rsidR="00E017AA">
        <w:tblPrEx>
          <w:tblCellMar>
            <w:top w:w="0" w:type="dxa"/>
            <w:bottom w:w="0" w:type="dxa"/>
          </w:tblCellMar>
        </w:tblPrEx>
        <w:trPr>
          <w:cantSplit/>
        </w:trPr>
        <w:tc>
          <w:tcPr>
            <w:tcW w:w="4322" w:type="dxa"/>
            <w:tcBorders>
              <w:top w:val="single" w:sz="4" w:space="0" w:color="auto"/>
              <w:left w:val="single" w:sz="4" w:space="0" w:color="auto"/>
              <w:right w:val="single" w:sz="4" w:space="0" w:color="auto"/>
            </w:tcBorders>
          </w:tcPr>
          <w:p w:rsidR="00E017AA" w:rsidRDefault="00E017AA">
            <w:pPr>
              <w:keepNext/>
              <w:spacing w:before="100" w:after="100"/>
              <w:rPr>
                <w:sz w:val="20"/>
              </w:rPr>
            </w:pPr>
            <w:r>
              <w:rPr>
                <w:sz w:val="20"/>
              </w:rPr>
              <w:t>Лица с серьезными заболеваниями</w:t>
            </w:r>
          </w:p>
        </w:tc>
        <w:tc>
          <w:tcPr>
            <w:tcW w:w="1850"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p>
        </w:tc>
        <w:tc>
          <w:tcPr>
            <w:tcW w:w="1829"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p>
        </w:tc>
        <w:tc>
          <w:tcPr>
            <w:tcW w:w="1355"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p>
        </w:tc>
      </w:tr>
      <w:tr w:rsidR="00E017AA">
        <w:tblPrEx>
          <w:tblCellMar>
            <w:top w:w="0" w:type="dxa"/>
            <w:bottom w:w="0" w:type="dxa"/>
          </w:tblCellMar>
        </w:tblPrEx>
        <w:trPr>
          <w:cantSplit/>
        </w:trPr>
        <w:tc>
          <w:tcPr>
            <w:tcW w:w="4322" w:type="dxa"/>
            <w:tcBorders>
              <w:left w:val="single" w:sz="4" w:space="0" w:color="auto"/>
              <w:right w:val="single" w:sz="4" w:space="0" w:color="auto"/>
            </w:tcBorders>
          </w:tcPr>
          <w:p w:rsidR="00E017AA" w:rsidRDefault="00E017AA">
            <w:pPr>
              <w:keepNext/>
              <w:spacing w:before="100" w:after="100"/>
              <w:rPr>
                <w:sz w:val="20"/>
              </w:rPr>
            </w:pPr>
            <w:r>
              <w:rPr>
                <w:sz w:val="20"/>
              </w:rPr>
              <w:t>всего</w:t>
            </w:r>
          </w:p>
        </w:tc>
        <w:tc>
          <w:tcPr>
            <w:tcW w:w="1850" w:type="dxa"/>
            <w:tcBorders>
              <w:left w:val="single" w:sz="4" w:space="0" w:color="auto"/>
              <w:right w:val="single" w:sz="4" w:space="0" w:color="auto"/>
            </w:tcBorders>
          </w:tcPr>
          <w:p w:rsidR="00E017AA" w:rsidRDefault="00E017AA">
            <w:pPr>
              <w:keepNext/>
              <w:spacing w:before="100" w:after="100"/>
              <w:jc w:val="center"/>
              <w:rPr>
                <w:sz w:val="20"/>
              </w:rPr>
            </w:pPr>
            <w:r>
              <w:rPr>
                <w:sz w:val="20"/>
              </w:rPr>
              <w:t>63</w:t>
            </w:r>
          </w:p>
        </w:tc>
        <w:tc>
          <w:tcPr>
            <w:tcW w:w="1829" w:type="dxa"/>
            <w:tcBorders>
              <w:left w:val="single" w:sz="4" w:space="0" w:color="auto"/>
              <w:right w:val="single" w:sz="4" w:space="0" w:color="auto"/>
            </w:tcBorders>
          </w:tcPr>
          <w:p w:rsidR="00E017AA" w:rsidRDefault="00E017AA">
            <w:pPr>
              <w:keepNext/>
              <w:spacing w:before="100" w:after="100"/>
              <w:jc w:val="center"/>
              <w:rPr>
                <w:sz w:val="20"/>
              </w:rPr>
            </w:pPr>
            <w:r>
              <w:rPr>
                <w:sz w:val="20"/>
              </w:rPr>
              <w:t>69</w:t>
            </w:r>
          </w:p>
        </w:tc>
        <w:tc>
          <w:tcPr>
            <w:tcW w:w="1355" w:type="dxa"/>
            <w:tcBorders>
              <w:left w:val="single" w:sz="4" w:space="0" w:color="auto"/>
              <w:right w:val="single" w:sz="4" w:space="0" w:color="auto"/>
            </w:tcBorders>
          </w:tcPr>
          <w:p w:rsidR="00E017AA" w:rsidRDefault="00E017AA">
            <w:pPr>
              <w:keepNext/>
              <w:spacing w:before="100" w:after="100"/>
              <w:jc w:val="center"/>
              <w:rPr>
                <w:sz w:val="20"/>
              </w:rPr>
            </w:pPr>
            <w:r>
              <w:rPr>
                <w:sz w:val="20"/>
              </w:rPr>
              <w:t>66</w:t>
            </w:r>
          </w:p>
        </w:tc>
      </w:tr>
      <w:tr w:rsidR="00E017AA">
        <w:tblPrEx>
          <w:tblCellMar>
            <w:top w:w="0" w:type="dxa"/>
            <w:bottom w:w="0" w:type="dxa"/>
          </w:tblCellMar>
        </w:tblPrEx>
        <w:trPr>
          <w:cantSplit/>
        </w:trPr>
        <w:tc>
          <w:tcPr>
            <w:tcW w:w="4322" w:type="dxa"/>
            <w:tcBorders>
              <w:left w:val="single" w:sz="4" w:space="0" w:color="auto"/>
              <w:right w:val="single" w:sz="4" w:space="0" w:color="auto"/>
            </w:tcBorders>
          </w:tcPr>
          <w:p w:rsidR="00E017AA" w:rsidRDefault="00E017AA">
            <w:pPr>
              <w:keepNext/>
              <w:spacing w:before="100" w:after="100"/>
              <w:rPr>
                <w:sz w:val="20"/>
              </w:rPr>
            </w:pPr>
            <w:r>
              <w:rPr>
                <w:sz w:val="20"/>
              </w:rPr>
              <w:t>с ограничением трудоспособности</w:t>
            </w:r>
          </w:p>
        </w:tc>
        <w:tc>
          <w:tcPr>
            <w:tcW w:w="1850" w:type="dxa"/>
            <w:tcBorders>
              <w:left w:val="single" w:sz="4" w:space="0" w:color="auto"/>
              <w:right w:val="single" w:sz="4" w:space="0" w:color="auto"/>
            </w:tcBorders>
          </w:tcPr>
          <w:p w:rsidR="00E017AA" w:rsidRDefault="00E017AA">
            <w:pPr>
              <w:keepNext/>
              <w:spacing w:before="100" w:after="100"/>
              <w:jc w:val="center"/>
              <w:rPr>
                <w:sz w:val="20"/>
              </w:rPr>
            </w:pPr>
            <w:r>
              <w:rPr>
                <w:sz w:val="20"/>
              </w:rPr>
              <w:t>52</w:t>
            </w:r>
          </w:p>
        </w:tc>
        <w:tc>
          <w:tcPr>
            <w:tcW w:w="1829" w:type="dxa"/>
            <w:tcBorders>
              <w:left w:val="single" w:sz="4" w:space="0" w:color="auto"/>
              <w:right w:val="single" w:sz="4" w:space="0" w:color="auto"/>
            </w:tcBorders>
          </w:tcPr>
          <w:p w:rsidR="00E017AA" w:rsidRDefault="00E017AA">
            <w:pPr>
              <w:keepNext/>
              <w:spacing w:before="100" w:after="100"/>
              <w:jc w:val="center"/>
              <w:rPr>
                <w:sz w:val="20"/>
              </w:rPr>
            </w:pPr>
            <w:r>
              <w:rPr>
                <w:sz w:val="20"/>
              </w:rPr>
              <w:t>58</w:t>
            </w:r>
          </w:p>
        </w:tc>
        <w:tc>
          <w:tcPr>
            <w:tcW w:w="1355" w:type="dxa"/>
            <w:tcBorders>
              <w:left w:val="single" w:sz="4" w:space="0" w:color="auto"/>
              <w:right w:val="single" w:sz="4" w:space="0" w:color="auto"/>
            </w:tcBorders>
          </w:tcPr>
          <w:p w:rsidR="00E017AA" w:rsidRDefault="00E017AA">
            <w:pPr>
              <w:keepNext/>
              <w:spacing w:before="100" w:after="100"/>
              <w:jc w:val="center"/>
              <w:rPr>
                <w:sz w:val="20"/>
              </w:rPr>
            </w:pPr>
            <w:r>
              <w:rPr>
                <w:sz w:val="20"/>
              </w:rPr>
              <w:t>55</w:t>
            </w:r>
          </w:p>
        </w:tc>
      </w:tr>
      <w:tr w:rsidR="00E017AA">
        <w:tblPrEx>
          <w:tblCellMar>
            <w:top w:w="0" w:type="dxa"/>
            <w:bottom w:w="0" w:type="dxa"/>
          </w:tblCellMar>
        </w:tblPrEx>
        <w:trPr>
          <w:cantSplit/>
        </w:trPr>
        <w:tc>
          <w:tcPr>
            <w:tcW w:w="4322" w:type="dxa"/>
            <w:tcBorders>
              <w:left w:val="single" w:sz="4" w:space="0" w:color="auto"/>
              <w:right w:val="single" w:sz="4" w:space="0" w:color="auto"/>
            </w:tcBorders>
          </w:tcPr>
          <w:p w:rsidR="00E017AA" w:rsidRDefault="00E017AA">
            <w:pPr>
              <w:keepNext/>
              <w:spacing w:before="100" w:after="100"/>
              <w:rPr>
                <w:sz w:val="20"/>
              </w:rPr>
            </w:pPr>
            <w:r>
              <w:rPr>
                <w:sz w:val="20"/>
              </w:rPr>
              <w:t>без ограничения трудоспособности</w:t>
            </w:r>
          </w:p>
        </w:tc>
        <w:tc>
          <w:tcPr>
            <w:tcW w:w="1850" w:type="dxa"/>
            <w:tcBorders>
              <w:left w:val="single" w:sz="4" w:space="0" w:color="auto"/>
              <w:right w:val="single" w:sz="4" w:space="0" w:color="auto"/>
            </w:tcBorders>
          </w:tcPr>
          <w:p w:rsidR="00E017AA" w:rsidRDefault="00E017AA">
            <w:pPr>
              <w:keepNext/>
              <w:spacing w:before="100" w:after="100"/>
              <w:jc w:val="center"/>
              <w:rPr>
                <w:sz w:val="20"/>
              </w:rPr>
            </w:pPr>
            <w:r>
              <w:rPr>
                <w:sz w:val="20"/>
              </w:rPr>
              <w:t>80</w:t>
            </w:r>
          </w:p>
        </w:tc>
        <w:tc>
          <w:tcPr>
            <w:tcW w:w="1829" w:type="dxa"/>
            <w:tcBorders>
              <w:left w:val="single" w:sz="4" w:space="0" w:color="auto"/>
              <w:right w:val="single" w:sz="4" w:space="0" w:color="auto"/>
            </w:tcBorders>
          </w:tcPr>
          <w:p w:rsidR="00E017AA" w:rsidRDefault="00E017AA">
            <w:pPr>
              <w:keepNext/>
              <w:spacing w:before="100" w:after="100"/>
              <w:jc w:val="center"/>
              <w:rPr>
                <w:sz w:val="20"/>
              </w:rPr>
            </w:pPr>
            <w:r>
              <w:rPr>
                <w:sz w:val="20"/>
              </w:rPr>
              <w:t>81</w:t>
            </w:r>
          </w:p>
        </w:tc>
        <w:tc>
          <w:tcPr>
            <w:tcW w:w="1355" w:type="dxa"/>
            <w:tcBorders>
              <w:left w:val="single" w:sz="4" w:space="0" w:color="auto"/>
              <w:right w:val="single" w:sz="4" w:space="0" w:color="auto"/>
            </w:tcBorders>
          </w:tcPr>
          <w:p w:rsidR="00E017AA" w:rsidRDefault="00E017AA">
            <w:pPr>
              <w:keepNext/>
              <w:spacing w:before="100" w:after="100"/>
              <w:jc w:val="center"/>
              <w:rPr>
                <w:sz w:val="20"/>
              </w:rPr>
            </w:pPr>
            <w:r>
              <w:rPr>
                <w:sz w:val="20"/>
              </w:rPr>
              <w:t>81</w:t>
            </w:r>
          </w:p>
        </w:tc>
      </w:tr>
      <w:tr w:rsidR="00E017AA">
        <w:tblPrEx>
          <w:tblCellMar>
            <w:top w:w="0" w:type="dxa"/>
            <w:bottom w:w="0" w:type="dxa"/>
          </w:tblCellMar>
        </w:tblPrEx>
        <w:trPr>
          <w:cantSplit/>
        </w:trPr>
        <w:tc>
          <w:tcPr>
            <w:tcW w:w="4322" w:type="dxa"/>
            <w:tcBorders>
              <w:left w:val="single" w:sz="4" w:space="0" w:color="auto"/>
              <w:right w:val="single" w:sz="4" w:space="0" w:color="auto"/>
            </w:tcBorders>
          </w:tcPr>
          <w:p w:rsidR="00E017AA" w:rsidRDefault="00E017AA">
            <w:pPr>
              <w:keepNext/>
              <w:spacing w:before="100" w:after="100"/>
              <w:rPr>
                <w:sz w:val="20"/>
              </w:rPr>
            </w:pPr>
            <w:r>
              <w:rPr>
                <w:sz w:val="20"/>
              </w:rPr>
              <w:t>Без серьезных заболеваний</w:t>
            </w:r>
          </w:p>
        </w:tc>
        <w:tc>
          <w:tcPr>
            <w:tcW w:w="1850" w:type="dxa"/>
            <w:tcBorders>
              <w:left w:val="single" w:sz="4" w:space="0" w:color="auto"/>
              <w:right w:val="single" w:sz="4" w:space="0" w:color="auto"/>
            </w:tcBorders>
          </w:tcPr>
          <w:p w:rsidR="00E017AA" w:rsidRDefault="00E017AA">
            <w:pPr>
              <w:keepNext/>
              <w:spacing w:before="100" w:after="100"/>
              <w:jc w:val="center"/>
              <w:rPr>
                <w:sz w:val="20"/>
              </w:rPr>
            </w:pPr>
            <w:r>
              <w:rPr>
                <w:sz w:val="20"/>
              </w:rPr>
              <w:t>78</w:t>
            </w:r>
          </w:p>
        </w:tc>
        <w:tc>
          <w:tcPr>
            <w:tcW w:w="1829" w:type="dxa"/>
            <w:tcBorders>
              <w:left w:val="single" w:sz="4" w:space="0" w:color="auto"/>
              <w:right w:val="single" w:sz="4" w:space="0" w:color="auto"/>
            </w:tcBorders>
          </w:tcPr>
          <w:p w:rsidR="00E017AA" w:rsidRDefault="00E017AA">
            <w:pPr>
              <w:keepNext/>
              <w:spacing w:before="100" w:after="100"/>
              <w:jc w:val="center"/>
              <w:rPr>
                <w:sz w:val="20"/>
              </w:rPr>
            </w:pPr>
            <w:r>
              <w:rPr>
                <w:sz w:val="20"/>
              </w:rPr>
              <w:t>81</w:t>
            </w:r>
          </w:p>
        </w:tc>
        <w:tc>
          <w:tcPr>
            <w:tcW w:w="1355" w:type="dxa"/>
            <w:tcBorders>
              <w:left w:val="single" w:sz="4" w:space="0" w:color="auto"/>
              <w:right w:val="single" w:sz="4" w:space="0" w:color="auto"/>
            </w:tcBorders>
          </w:tcPr>
          <w:p w:rsidR="00E017AA" w:rsidRDefault="00E017AA">
            <w:pPr>
              <w:keepNext/>
              <w:spacing w:before="100" w:after="100"/>
              <w:jc w:val="center"/>
              <w:rPr>
                <w:sz w:val="20"/>
              </w:rPr>
            </w:pPr>
            <w:r>
              <w:rPr>
                <w:sz w:val="20"/>
              </w:rPr>
              <w:t>79</w:t>
            </w:r>
          </w:p>
        </w:tc>
      </w:tr>
      <w:tr w:rsidR="00E017AA">
        <w:tblPrEx>
          <w:tblCellMar>
            <w:top w:w="0" w:type="dxa"/>
            <w:bottom w:w="0" w:type="dxa"/>
          </w:tblCellMar>
        </w:tblPrEx>
        <w:trPr>
          <w:cantSplit/>
        </w:trPr>
        <w:tc>
          <w:tcPr>
            <w:tcW w:w="4322" w:type="dxa"/>
            <w:tcBorders>
              <w:left w:val="single" w:sz="4" w:space="0" w:color="auto"/>
              <w:bottom w:val="single" w:sz="4" w:space="0" w:color="auto"/>
              <w:right w:val="single" w:sz="4" w:space="0" w:color="auto"/>
            </w:tcBorders>
          </w:tcPr>
          <w:p w:rsidR="00E017AA" w:rsidRDefault="00E017AA">
            <w:pPr>
              <w:keepNext/>
              <w:spacing w:before="100" w:after="100"/>
              <w:rPr>
                <w:sz w:val="20"/>
              </w:rPr>
            </w:pPr>
            <w:r>
              <w:rPr>
                <w:sz w:val="20"/>
              </w:rPr>
              <w:t>Население в целом</w:t>
            </w:r>
          </w:p>
        </w:tc>
        <w:tc>
          <w:tcPr>
            <w:tcW w:w="1850"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75</w:t>
            </w:r>
          </w:p>
        </w:tc>
        <w:tc>
          <w:tcPr>
            <w:tcW w:w="1829"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79</w:t>
            </w:r>
          </w:p>
        </w:tc>
        <w:tc>
          <w:tcPr>
            <w:tcW w:w="1355"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77</w:t>
            </w:r>
          </w:p>
        </w:tc>
      </w:tr>
      <w:tr w:rsidR="00E017AA">
        <w:tblPrEx>
          <w:tblCellMar>
            <w:top w:w="0" w:type="dxa"/>
            <w:bottom w:w="0" w:type="dxa"/>
          </w:tblCellMar>
        </w:tblPrEx>
        <w:trPr>
          <w:cantSplit/>
        </w:trPr>
        <w:tc>
          <w:tcPr>
            <w:tcW w:w="9356" w:type="dxa"/>
            <w:gridSpan w:val="4"/>
            <w:tcBorders>
              <w:top w:val="single" w:sz="4" w:space="0" w:color="auto"/>
            </w:tcBorders>
          </w:tcPr>
          <w:p w:rsidR="00E017AA" w:rsidRDefault="00E017AA">
            <w:pPr>
              <w:spacing w:before="100" w:after="100"/>
              <w:ind w:left="0" w:firstLine="0"/>
              <w:jc w:val="left"/>
              <w:rPr>
                <w:sz w:val="20"/>
              </w:rPr>
            </w:pPr>
            <w:r>
              <w:rPr>
                <w:i/>
                <w:sz w:val="20"/>
              </w:rPr>
              <w:t xml:space="preserve">Источник: </w:t>
            </w:r>
            <w:r>
              <w:rPr>
                <w:iCs/>
                <w:sz w:val="20"/>
              </w:rPr>
              <w:t>Совет по проблемам рынка труда и Статистическое бюро Швеции, Положение лиц с заболеваниями на рынке труда, четвертый квартал 2004 года.</w:t>
            </w:r>
          </w:p>
        </w:tc>
      </w:tr>
    </w:tbl>
    <w:p w:rsidR="00E017AA" w:rsidRDefault="00E017AA">
      <w:pPr>
        <w:tabs>
          <w:tab w:val="left" w:pos="567"/>
          <w:tab w:val="left" w:pos="1134"/>
          <w:tab w:val="left" w:pos="1701"/>
        </w:tabs>
        <w:spacing w:after="200"/>
      </w:pPr>
    </w:p>
    <w:p w:rsidR="00E017AA" w:rsidRDefault="00E017AA">
      <w:pPr>
        <w:tabs>
          <w:tab w:val="left" w:pos="567"/>
          <w:tab w:val="left" w:pos="1134"/>
          <w:tab w:val="left" w:pos="1701"/>
        </w:tabs>
        <w:spacing w:after="200"/>
      </w:pPr>
      <w:r>
        <w:t>252.</w:t>
      </w:r>
      <w:r>
        <w:tab/>
        <w:t>В 2004 году уровень участия женщин в рабочей силе был ниже по сравнению с мужчинами, кроме женщин среди лиц с заболеваниями без ограничения трудоспособности, в отношении которых гендерные различия незначительны. В наиболее сложном положении находятся женщины с приобретенными серьезными заболеваниями, и лишь 10 процентов из них участвуют в открытом рынке труда (</w:t>
      </w:r>
      <w:r>
        <w:rPr>
          <w:i/>
          <w:lang w:val="en-US"/>
        </w:rPr>
        <w:t>RFV</w:t>
      </w:r>
      <w:r>
        <w:rPr>
          <w:i/>
        </w:rPr>
        <w:t xml:space="preserve"> </w:t>
      </w:r>
      <w:r>
        <w:rPr>
          <w:i/>
          <w:lang w:val="en-US"/>
        </w:rPr>
        <w:t>analyzerar</w:t>
      </w:r>
      <w:r>
        <w:rPr>
          <w:i/>
        </w:rPr>
        <w:t xml:space="preserve">, </w:t>
      </w:r>
      <w:r>
        <w:t>2003:15).</w:t>
      </w:r>
    </w:p>
    <w:p w:rsidR="00E017AA" w:rsidRDefault="00E017AA">
      <w:pPr>
        <w:tabs>
          <w:tab w:val="left" w:pos="567"/>
          <w:tab w:val="left" w:pos="1134"/>
          <w:tab w:val="left" w:pos="1701"/>
        </w:tabs>
        <w:spacing w:after="400"/>
      </w:pPr>
      <w:r>
        <w:t>253.</w:t>
      </w:r>
      <w:r>
        <w:tab/>
        <w:t>За отчетный период число безработных среди как женщин, так и мужчин увеличилось.</w:t>
      </w:r>
    </w:p>
    <w:tbl>
      <w:tblPr>
        <w:tblW w:w="0" w:type="auto"/>
        <w:tblInd w:w="108" w:type="dxa"/>
        <w:tblLayout w:type="fixed"/>
        <w:tblLook w:val="0000" w:firstRow="0" w:lastRow="0" w:firstColumn="0" w:lastColumn="0" w:noHBand="0" w:noVBand="0"/>
      </w:tblPr>
      <w:tblGrid>
        <w:gridCol w:w="8493"/>
      </w:tblGrid>
      <w:tr w:rsidR="00E017AA">
        <w:tblPrEx>
          <w:tblCellMar>
            <w:top w:w="0" w:type="dxa"/>
            <w:bottom w:w="0" w:type="dxa"/>
          </w:tblCellMar>
        </w:tblPrEx>
        <w:trPr>
          <w:cantSplit/>
        </w:trPr>
        <w:tc>
          <w:tcPr>
            <w:tcW w:w="8493" w:type="dxa"/>
          </w:tcPr>
          <w:p w:rsidR="00E017AA" w:rsidRDefault="00E017AA">
            <w:pPr>
              <w:pStyle w:val="RKnormal"/>
              <w:keepNext/>
              <w:tabs>
                <w:tab w:val="clear" w:pos="2835"/>
              </w:tabs>
              <w:spacing w:after="200" w:line="240" w:lineRule="auto"/>
              <w:ind w:hanging="108"/>
              <w:jc w:val="both"/>
              <w:rPr>
                <w:rFonts w:ascii="Times New Roman" w:hAnsi="Times New Roman"/>
                <w:sz w:val="22"/>
                <w:szCs w:val="24"/>
                <w:lang w:val="ru-RU"/>
              </w:rPr>
            </w:pPr>
            <w:r>
              <w:rPr>
                <w:rFonts w:ascii="Times New Roman" w:hAnsi="Times New Roman"/>
                <w:i/>
                <w:sz w:val="22"/>
                <w:lang w:val="ru-RU"/>
              </w:rPr>
              <w:t>Уровень безработицы среди лиц в возрасте 20–64 лет, 2001–2005 годы</w:t>
            </w:r>
          </w:p>
        </w:tc>
      </w:tr>
    </w:tbl>
    <w:p w:rsidR="00E017AA" w:rsidRDefault="00E017AA">
      <w:pPr>
        <w:spacing w:after="0"/>
        <w:jc w:val="left"/>
        <w:rPr>
          <w:sz w:val="4"/>
        </w:rPr>
      </w:pPr>
    </w:p>
    <w:tbl>
      <w:tblPr>
        <w:tblW w:w="0" w:type="auto"/>
        <w:tblInd w:w="108" w:type="dxa"/>
        <w:tblLayout w:type="fixed"/>
        <w:tblLook w:val="0000" w:firstRow="0" w:lastRow="0" w:firstColumn="0" w:lastColumn="0" w:noHBand="0" w:noVBand="0"/>
      </w:tblPr>
      <w:tblGrid>
        <w:gridCol w:w="1751"/>
        <w:gridCol w:w="2077"/>
        <w:gridCol w:w="1984"/>
      </w:tblGrid>
      <w:tr w:rsidR="00E017AA">
        <w:tblPrEx>
          <w:tblCellMar>
            <w:top w:w="0" w:type="dxa"/>
            <w:bottom w:w="0" w:type="dxa"/>
          </w:tblCellMar>
        </w:tblPrEx>
        <w:trPr>
          <w:cantSplit/>
        </w:trPr>
        <w:tc>
          <w:tcPr>
            <w:tcW w:w="5812" w:type="dxa"/>
            <w:gridSpan w:val="3"/>
            <w:tcBorders>
              <w:bottom w:val="single" w:sz="4" w:space="0" w:color="auto"/>
            </w:tcBorders>
          </w:tcPr>
          <w:p w:rsidR="00E017AA" w:rsidRDefault="00E017AA">
            <w:pPr>
              <w:pStyle w:val="RKnormal"/>
              <w:keepNext/>
              <w:tabs>
                <w:tab w:val="clear" w:pos="2835"/>
              </w:tabs>
              <w:spacing w:before="100" w:after="100" w:line="240" w:lineRule="auto"/>
              <w:ind w:hanging="108"/>
              <w:jc w:val="both"/>
              <w:rPr>
                <w:rFonts w:ascii="Times New Roman" w:hAnsi="Times New Roman"/>
                <w:b/>
                <w:bCs/>
                <w:sz w:val="20"/>
                <w:szCs w:val="24"/>
                <w:lang w:val="ru-RU"/>
              </w:rPr>
            </w:pPr>
            <w:r>
              <w:rPr>
                <w:rFonts w:ascii="Times New Roman" w:hAnsi="Times New Roman"/>
                <w:b/>
                <w:sz w:val="20"/>
                <w:lang w:val="ru-RU"/>
              </w:rPr>
              <w:t>Доля безработных во всей рабочей силе (в процентах)</w:t>
            </w:r>
          </w:p>
        </w:tc>
      </w:tr>
      <w:tr w:rsidR="00E017AA">
        <w:tblPrEx>
          <w:tblCellMar>
            <w:top w:w="0" w:type="dxa"/>
            <w:bottom w:w="0" w:type="dxa"/>
          </w:tblCellMar>
        </w:tblPrEx>
        <w:tc>
          <w:tcPr>
            <w:tcW w:w="1751"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Год</w:t>
            </w:r>
          </w:p>
        </w:tc>
        <w:tc>
          <w:tcPr>
            <w:tcW w:w="2077"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Женщины</w:t>
            </w:r>
          </w:p>
        </w:tc>
        <w:tc>
          <w:tcPr>
            <w:tcW w:w="1984"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Мужчины</w:t>
            </w:r>
          </w:p>
        </w:tc>
      </w:tr>
      <w:tr w:rsidR="00E017AA">
        <w:tblPrEx>
          <w:tblCellMar>
            <w:top w:w="0" w:type="dxa"/>
            <w:bottom w:w="0" w:type="dxa"/>
          </w:tblCellMar>
        </w:tblPrEx>
        <w:tc>
          <w:tcPr>
            <w:tcW w:w="1751"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2001</w:t>
            </w:r>
          </w:p>
        </w:tc>
        <w:tc>
          <w:tcPr>
            <w:tcW w:w="2077"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3,5</w:t>
            </w:r>
          </w:p>
        </w:tc>
        <w:tc>
          <w:tcPr>
            <w:tcW w:w="1984"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5,8</w:t>
            </w:r>
          </w:p>
        </w:tc>
      </w:tr>
      <w:tr w:rsidR="00E017AA">
        <w:tblPrEx>
          <w:tblCellMar>
            <w:top w:w="0" w:type="dxa"/>
            <w:bottom w:w="0" w:type="dxa"/>
          </w:tblCellMar>
        </w:tblPrEx>
        <w:tc>
          <w:tcPr>
            <w:tcW w:w="1751" w:type="dxa"/>
            <w:tcBorders>
              <w:left w:val="single" w:sz="4" w:space="0" w:color="auto"/>
              <w:right w:val="single" w:sz="4" w:space="0" w:color="auto"/>
            </w:tcBorders>
          </w:tcPr>
          <w:p w:rsidR="00E017AA" w:rsidRDefault="00E017AA">
            <w:pPr>
              <w:keepNext/>
              <w:spacing w:before="100" w:after="100"/>
              <w:jc w:val="center"/>
              <w:rPr>
                <w:sz w:val="20"/>
              </w:rPr>
            </w:pPr>
            <w:r>
              <w:rPr>
                <w:sz w:val="20"/>
              </w:rPr>
              <w:t>2002</w:t>
            </w:r>
          </w:p>
        </w:tc>
        <w:tc>
          <w:tcPr>
            <w:tcW w:w="2077" w:type="dxa"/>
            <w:tcBorders>
              <w:left w:val="single" w:sz="4" w:space="0" w:color="auto"/>
              <w:right w:val="single" w:sz="4" w:space="0" w:color="auto"/>
            </w:tcBorders>
          </w:tcPr>
          <w:p w:rsidR="00E017AA" w:rsidRDefault="00E017AA">
            <w:pPr>
              <w:keepNext/>
              <w:spacing w:before="100" w:after="100"/>
              <w:jc w:val="center"/>
              <w:rPr>
                <w:sz w:val="20"/>
              </w:rPr>
            </w:pPr>
            <w:r>
              <w:rPr>
                <w:sz w:val="20"/>
              </w:rPr>
              <w:t>3,4</w:t>
            </w:r>
          </w:p>
        </w:tc>
        <w:tc>
          <w:tcPr>
            <w:tcW w:w="1984" w:type="dxa"/>
            <w:tcBorders>
              <w:left w:val="single" w:sz="4" w:space="0" w:color="auto"/>
              <w:right w:val="single" w:sz="4" w:space="0" w:color="auto"/>
            </w:tcBorders>
          </w:tcPr>
          <w:p w:rsidR="00E017AA" w:rsidRDefault="00E017AA">
            <w:pPr>
              <w:keepNext/>
              <w:spacing w:before="100" w:after="100"/>
              <w:jc w:val="center"/>
              <w:rPr>
                <w:sz w:val="20"/>
              </w:rPr>
            </w:pPr>
            <w:r>
              <w:rPr>
                <w:sz w:val="20"/>
              </w:rPr>
              <w:t>4,2</w:t>
            </w:r>
          </w:p>
        </w:tc>
      </w:tr>
      <w:tr w:rsidR="00E017AA">
        <w:tblPrEx>
          <w:tblCellMar>
            <w:top w:w="0" w:type="dxa"/>
            <w:bottom w:w="0" w:type="dxa"/>
          </w:tblCellMar>
        </w:tblPrEx>
        <w:tc>
          <w:tcPr>
            <w:tcW w:w="1751" w:type="dxa"/>
            <w:tcBorders>
              <w:left w:val="single" w:sz="4" w:space="0" w:color="auto"/>
              <w:right w:val="single" w:sz="4" w:space="0" w:color="auto"/>
            </w:tcBorders>
          </w:tcPr>
          <w:p w:rsidR="00E017AA" w:rsidRDefault="00E017AA">
            <w:pPr>
              <w:keepNext/>
              <w:spacing w:before="100" w:after="100"/>
              <w:jc w:val="center"/>
              <w:rPr>
                <w:sz w:val="20"/>
              </w:rPr>
            </w:pPr>
            <w:r>
              <w:rPr>
                <w:sz w:val="20"/>
              </w:rPr>
              <w:t>2003</w:t>
            </w:r>
          </w:p>
        </w:tc>
        <w:tc>
          <w:tcPr>
            <w:tcW w:w="2077" w:type="dxa"/>
            <w:tcBorders>
              <w:left w:val="single" w:sz="4" w:space="0" w:color="auto"/>
              <w:right w:val="single" w:sz="4" w:space="0" w:color="auto"/>
            </w:tcBorders>
          </w:tcPr>
          <w:p w:rsidR="00E017AA" w:rsidRDefault="00E017AA">
            <w:pPr>
              <w:keepNext/>
              <w:spacing w:before="100" w:after="100"/>
              <w:jc w:val="center"/>
              <w:rPr>
                <w:sz w:val="20"/>
              </w:rPr>
            </w:pPr>
            <w:r>
              <w:rPr>
                <w:sz w:val="20"/>
              </w:rPr>
              <w:t>4,2</w:t>
            </w:r>
          </w:p>
        </w:tc>
        <w:tc>
          <w:tcPr>
            <w:tcW w:w="1984" w:type="dxa"/>
            <w:tcBorders>
              <w:left w:val="single" w:sz="4" w:space="0" w:color="auto"/>
              <w:right w:val="single" w:sz="4" w:space="0" w:color="auto"/>
            </w:tcBorders>
          </w:tcPr>
          <w:p w:rsidR="00E017AA" w:rsidRDefault="00E017AA">
            <w:pPr>
              <w:keepNext/>
              <w:spacing w:before="100" w:after="100"/>
              <w:jc w:val="center"/>
              <w:rPr>
                <w:sz w:val="20"/>
              </w:rPr>
            </w:pPr>
            <w:r>
              <w:rPr>
                <w:sz w:val="20"/>
              </w:rPr>
              <w:t>5,1</w:t>
            </w:r>
          </w:p>
        </w:tc>
      </w:tr>
      <w:tr w:rsidR="00E017AA">
        <w:tblPrEx>
          <w:tblCellMar>
            <w:top w:w="0" w:type="dxa"/>
            <w:bottom w:w="0" w:type="dxa"/>
          </w:tblCellMar>
        </w:tblPrEx>
        <w:tc>
          <w:tcPr>
            <w:tcW w:w="1751" w:type="dxa"/>
            <w:tcBorders>
              <w:left w:val="single" w:sz="4" w:space="0" w:color="auto"/>
              <w:right w:val="single" w:sz="4" w:space="0" w:color="auto"/>
            </w:tcBorders>
          </w:tcPr>
          <w:p w:rsidR="00E017AA" w:rsidRDefault="00E017AA">
            <w:pPr>
              <w:keepNext/>
              <w:spacing w:before="100" w:after="100"/>
              <w:jc w:val="center"/>
              <w:rPr>
                <w:sz w:val="20"/>
              </w:rPr>
            </w:pPr>
            <w:r>
              <w:rPr>
                <w:sz w:val="20"/>
              </w:rPr>
              <w:t>2004</w:t>
            </w:r>
          </w:p>
        </w:tc>
        <w:tc>
          <w:tcPr>
            <w:tcW w:w="2077" w:type="dxa"/>
            <w:tcBorders>
              <w:left w:val="single" w:sz="4" w:space="0" w:color="auto"/>
              <w:right w:val="single" w:sz="4" w:space="0" w:color="auto"/>
            </w:tcBorders>
          </w:tcPr>
          <w:p w:rsidR="00E017AA" w:rsidRDefault="00E017AA">
            <w:pPr>
              <w:keepNext/>
              <w:spacing w:before="100" w:after="100"/>
              <w:jc w:val="center"/>
              <w:rPr>
                <w:sz w:val="20"/>
              </w:rPr>
            </w:pPr>
            <w:r>
              <w:rPr>
                <w:sz w:val="20"/>
              </w:rPr>
              <w:t>4,9</w:t>
            </w:r>
          </w:p>
        </w:tc>
        <w:tc>
          <w:tcPr>
            <w:tcW w:w="1984" w:type="dxa"/>
            <w:tcBorders>
              <w:left w:val="single" w:sz="4" w:space="0" w:color="auto"/>
              <w:right w:val="single" w:sz="4" w:space="0" w:color="auto"/>
            </w:tcBorders>
          </w:tcPr>
          <w:p w:rsidR="00E017AA" w:rsidRDefault="00E017AA">
            <w:pPr>
              <w:keepNext/>
              <w:spacing w:before="100" w:after="100"/>
              <w:jc w:val="center"/>
              <w:rPr>
                <w:sz w:val="20"/>
              </w:rPr>
            </w:pPr>
            <w:r>
              <w:rPr>
                <w:sz w:val="20"/>
              </w:rPr>
              <w:t>5,6</w:t>
            </w:r>
          </w:p>
        </w:tc>
      </w:tr>
      <w:tr w:rsidR="00E017AA">
        <w:tblPrEx>
          <w:tblCellMar>
            <w:top w:w="0" w:type="dxa"/>
            <w:bottom w:w="0" w:type="dxa"/>
          </w:tblCellMar>
        </w:tblPrEx>
        <w:tc>
          <w:tcPr>
            <w:tcW w:w="1751"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2005</w:t>
            </w:r>
          </w:p>
        </w:tc>
        <w:tc>
          <w:tcPr>
            <w:tcW w:w="2077"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5,3</w:t>
            </w:r>
          </w:p>
        </w:tc>
        <w:tc>
          <w:tcPr>
            <w:tcW w:w="1984"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5,8</w:t>
            </w:r>
          </w:p>
        </w:tc>
      </w:tr>
    </w:tbl>
    <w:p w:rsidR="00E017AA" w:rsidRDefault="00E017AA">
      <w:pPr>
        <w:spacing w:before="100" w:after="100"/>
        <w:rPr>
          <w:sz w:val="20"/>
        </w:rPr>
      </w:pPr>
      <w:r>
        <w:rPr>
          <w:i/>
          <w:sz w:val="20"/>
        </w:rPr>
        <w:t xml:space="preserve">Источник: </w:t>
      </w:r>
      <w:r>
        <w:rPr>
          <w:iCs/>
          <w:sz w:val="20"/>
        </w:rPr>
        <w:t>Статистическое бюро Швеции, обследование рабочей силы.</w:t>
      </w:r>
    </w:p>
    <w:p w:rsidR="00E017AA" w:rsidRDefault="00E017AA">
      <w:pPr>
        <w:tabs>
          <w:tab w:val="left" w:pos="567"/>
          <w:tab w:val="left" w:pos="1134"/>
          <w:tab w:val="left" w:pos="1701"/>
        </w:tabs>
        <w:spacing w:after="200"/>
      </w:pPr>
    </w:p>
    <w:p w:rsidR="00E017AA" w:rsidRDefault="00E017AA">
      <w:pPr>
        <w:keepNext/>
        <w:tabs>
          <w:tab w:val="left" w:pos="567"/>
          <w:tab w:val="left" w:pos="1134"/>
          <w:tab w:val="left" w:pos="1701"/>
        </w:tabs>
        <w:spacing w:after="200"/>
        <w:rPr>
          <w:b/>
          <w:bCs/>
        </w:rPr>
      </w:pPr>
      <w:r>
        <w:rPr>
          <w:b/>
          <w:bCs/>
        </w:rPr>
        <w:t>Пункт 1 </w:t>
      </w:r>
      <w:r>
        <w:rPr>
          <w:b/>
          <w:bCs/>
          <w:lang w:val="en-US"/>
        </w:rPr>
        <w:t>b</w:t>
      </w:r>
      <w:r>
        <w:rPr>
          <w:b/>
          <w:bCs/>
        </w:rPr>
        <w:t>) статьи 11.  Неполная занятость</w:t>
      </w:r>
    </w:p>
    <w:p w:rsidR="00E017AA" w:rsidRDefault="00E017AA">
      <w:pPr>
        <w:tabs>
          <w:tab w:val="left" w:pos="567"/>
          <w:tab w:val="left" w:pos="1134"/>
          <w:tab w:val="left" w:pos="1701"/>
        </w:tabs>
        <w:spacing w:after="200"/>
      </w:pPr>
      <w:r>
        <w:t>254.</w:t>
      </w:r>
      <w:r>
        <w:tab/>
        <w:t>Лица, вынужденно работающие неполный рабочий день и желающие трудиться полный рабочий день, регистрируются как частично безработные. Неполная занятость особенно распространена в секторах, в которых доминируют женщины. Независимо от того, является ли неполная занятость вынужденной или добровольной, она влияет на заработок, возможности совершенствования и карьерного роста, а также на уровень пособий в рамках системы социального страхования, например на выплаты по болезни и родительский отпуск, страхование на случай безработицы и пенсии. Неполной занятостью считается работа продолжительностью от 1 часа до 34 часов в неделю.</w:t>
      </w:r>
    </w:p>
    <w:p w:rsidR="00E017AA" w:rsidRDefault="00E017AA">
      <w:pPr>
        <w:tabs>
          <w:tab w:val="left" w:pos="567"/>
          <w:tab w:val="left" w:pos="1134"/>
          <w:tab w:val="left" w:pos="1701"/>
        </w:tabs>
        <w:spacing w:after="200"/>
      </w:pPr>
      <w:r>
        <w:t>255.</w:t>
      </w:r>
      <w:r>
        <w:tab/>
        <w:t>Неполная и временная занятость в большей мере касаются женщин, нежели мужчин. В 2003 году 36 процентов работающих женщин в возрасте 20–64 лет, имеющих детей в возрасте младше 17 лет, работали неполный рабочий день. Аналогичный показатель в отношении мужчин составлял 6 процентов. Среди работающих женщин, не имеющих детей, 30 процентов работали неполный рабочий день; среди мужчин аналогичный показатель составил 12 процентов. В 1990-х годах доля женщин, работающих неполный рабочий день, снизилась, а доля мужчин увеличилась. В настоящее время число женщин с неполной занятостью уменьшилось на 170 тыс. человек, а число мужчин увеличилось на 40 тыс. человек.</w:t>
      </w:r>
    </w:p>
    <w:p w:rsidR="00E017AA" w:rsidRDefault="00E017AA">
      <w:pPr>
        <w:tabs>
          <w:tab w:val="left" w:pos="567"/>
          <w:tab w:val="left" w:pos="1134"/>
          <w:tab w:val="left" w:pos="1701"/>
        </w:tabs>
        <w:spacing w:after="200"/>
      </w:pPr>
      <w:r>
        <w:t>256.</w:t>
      </w:r>
      <w:r>
        <w:tab/>
        <w:t>С 2002 года действует закон (2002:293), запрещающий дискриминацию в отношении лиц с неполной и временной занятостью. Согласно данному закону, работодатель не имеет права предвзято относиться к лицам, работающим неполный рабочий день или временно. Запрещена также косвенная дискриминация.</w:t>
      </w:r>
    </w:p>
    <w:tbl>
      <w:tblPr>
        <w:tblW w:w="0" w:type="auto"/>
        <w:tblLayout w:type="fixed"/>
        <w:tblLook w:val="0000" w:firstRow="0" w:lastRow="0" w:firstColumn="0" w:lastColumn="0" w:noHBand="0" w:noVBand="0"/>
      </w:tblPr>
      <w:tblGrid>
        <w:gridCol w:w="9287"/>
      </w:tblGrid>
      <w:tr w:rsidR="00E017AA">
        <w:tblPrEx>
          <w:tblCellMar>
            <w:top w:w="0" w:type="dxa"/>
            <w:bottom w:w="0" w:type="dxa"/>
          </w:tblCellMar>
        </w:tblPrEx>
        <w:trPr>
          <w:cantSplit/>
        </w:trPr>
        <w:tc>
          <w:tcPr>
            <w:tcW w:w="9287" w:type="dxa"/>
          </w:tcPr>
          <w:p w:rsidR="00E017AA" w:rsidRDefault="00E017AA">
            <w:pPr>
              <w:pStyle w:val="RKnormal"/>
              <w:keepNext/>
              <w:tabs>
                <w:tab w:val="clear" w:pos="2835"/>
              </w:tabs>
              <w:spacing w:after="200" w:line="240" w:lineRule="auto"/>
              <w:jc w:val="both"/>
              <w:rPr>
                <w:rFonts w:ascii="Times New Roman" w:hAnsi="Times New Roman"/>
                <w:sz w:val="22"/>
                <w:szCs w:val="24"/>
                <w:lang w:val="ru-RU"/>
              </w:rPr>
            </w:pPr>
            <w:r>
              <w:rPr>
                <w:rFonts w:ascii="Times New Roman" w:hAnsi="Times New Roman"/>
                <w:i/>
                <w:sz w:val="22"/>
                <w:lang w:val="ru-RU"/>
              </w:rPr>
              <w:t>Работающие женщины и мужчины в возрасте 20–64 лет в разбивке на полностью и частично занятых, 2001–2005 годы</w:t>
            </w:r>
          </w:p>
        </w:tc>
      </w:tr>
    </w:tbl>
    <w:p w:rsidR="00E017AA" w:rsidRDefault="00E017AA">
      <w:pPr>
        <w:spacing w:after="0" w:line="40" w:lineRule="exact"/>
        <w:jc w:val="left"/>
      </w:pPr>
    </w:p>
    <w:tbl>
      <w:tblPr>
        <w:tblW w:w="0" w:type="auto"/>
        <w:tblInd w:w="108" w:type="dxa"/>
        <w:tblLayout w:type="fixed"/>
        <w:tblLook w:val="0000" w:firstRow="0" w:lastRow="0" w:firstColumn="0" w:lastColumn="0" w:noHBand="0" w:noVBand="0"/>
      </w:tblPr>
      <w:tblGrid>
        <w:gridCol w:w="993"/>
        <w:gridCol w:w="1984"/>
        <w:gridCol w:w="1985"/>
        <w:gridCol w:w="2069"/>
        <w:gridCol w:w="2325"/>
      </w:tblGrid>
      <w:tr w:rsidR="00E017AA">
        <w:tblPrEx>
          <w:tblCellMar>
            <w:top w:w="0" w:type="dxa"/>
            <w:bottom w:w="0" w:type="dxa"/>
          </w:tblCellMar>
        </w:tblPrEx>
        <w:trPr>
          <w:cantSplit/>
        </w:trPr>
        <w:tc>
          <w:tcPr>
            <w:tcW w:w="9356" w:type="dxa"/>
            <w:gridSpan w:val="5"/>
            <w:tcBorders>
              <w:bottom w:val="single" w:sz="4" w:space="0" w:color="auto"/>
            </w:tcBorders>
          </w:tcPr>
          <w:p w:rsidR="00E017AA" w:rsidRDefault="00E017AA">
            <w:pPr>
              <w:pStyle w:val="RKnormal"/>
              <w:keepNext/>
              <w:tabs>
                <w:tab w:val="clear" w:pos="2835"/>
              </w:tabs>
              <w:spacing w:before="100" w:after="100" w:line="240" w:lineRule="auto"/>
              <w:ind w:hanging="108"/>
              <w:jc w:val="both"/>
              <w:rPr>
                <w:rFonts w:ascii="Times New Roman" w:hAnsi="Times New Roman"/>
                <w:b/>
                <w:bCs/>
                <w:sz w:val="20"/>
                <w:szCs w:val="24"/>
                <w:lang w:val="ru-RU"/>
              </w:rPr>
            </w:pPr>
            <w:r>
              <w:rPr>
                <w:rFonts w:ascii="Times New Roman" w:hAnsi="Times New Roman"/>
                <w:b/>
                <w:bCs/>
                <w:sz w:val="20"/>
                <w:lang w:val="ru-RU"/>
              </w:rPr>
              <w:t>Процентное распределение</w:t>
            </w:r>
          </w:p>
        </w:tc>
      </w:tr>
      <w:tr w:rsidR="00E017AA">
        <w:tblPrEx>
          <w:tblCellMar>
            <w:top w:w="0" w:type="dxa"/>
            <w:bottom w:w="0" w:type="dxa"/>
          </w:tblCellMar>
        </w:tblPrEx>
        <w:trPr>
          <w:cantSplit/>
        </w:trPr>
        <w:tc>
          <w:tcPr>
            <w:tcW w:w="993" w:type="dxa"/>
            <w:tcBorders>
              <w:top w:val="single" w:sz="4" w:space="0" w:color="auto"/>
              <w:left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Год</w:t>
            </w:r>
          </w:p>
        </w:tc>
        <w:tc>
          <w:tcPr>
            <w:tcW w:w="3969" w:type="dxa"/>
            <w:gridSpan w:val="2"/>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Женщины</w:t>
            </w:r>
          </w:p>
        </w:tc>
        <w:tc>
          <w:tcPr>
            <w:tcW w:w="4394" w:type="dxa"/>
            <w:gridSpan w:val="2"/>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Мужчины</w:t>
            </w:r>
          </w:p>
        </w:tc>
      </w:tr>
      <w:tr w:rsidR="00E017AA">
        <w:tblPrEx>
          <w:tblCellMar>
            <w:top w:w="0" w:type="dxa"/>
            <w:bottom w:w="0" w:type="dxa"/>
          </w:tblCellMar>
        </w:tblPrEx>
        <w:trPr>
          <w:cantSplit/>
        </w:trPr>
        <w:tc>
          <w:tcPr>
            <w:tcW w:w="993" w:type="dxa"/>
            <w:tcBorders>
              <w:left w:val="single" w:sz="4" w:space="0" w:color="auto"/>
              <w:bottom w:val="single" w:sz="4" w:space="0" w:color="auto"/>
              <w:right w:val="single" w:sz="4" w:space="0" w:color="auto"/>
            </w:tcBorders>
          </w:tcPr>
          <w:p w:rsidR="00E017AA" w:rsidRDefault="00E017AA">
            <w:pPr>
              <w:keepNext/>
              <w:spacing w:before="100" w:after="100"/>
              <w:ind w:left="0"/>
              <w:jc w:val="center"/>
              <w:rPr>
                <w:b/>
                <w:bCs/>
                <w:sz w:val="20"/>
              </w:rPr>
            </w:pPr>
          </w:p>
        </w:tc>
        <w:tc>
          <w:tcPr>
            <w:tcW w:w="1984" w:type="dxa"/>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с полной занятостью</w:t>
            </w:r>
          </w:p>
        </w:tc>
        <w:tc>
          <w:tcPr>
            <w:tcW w:w="1985" w:type="dxa"/>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с частичной занятостью</w:t>
            </w:r>
          </w:p>
        </w:tc>
        <w:tc>
          <w:tcPr>
            <w:tcW w:w="2069" w:type="dxa"/>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 xml:space="preserve">с полной </w:t>
            </w:r>
            <w:r>
              <w:rPr>
                <w:b/>
                <w:bCs/>
                <w:sz w:val="20"/>
              </w:rPr>
              <w:br/>
              <w:t>занятостью</w:t>
            </w:r>
          </w:p>
        </w:tc>
        <w:tc>
          <w:tcPr>
            <w:tcW w:w="2325" w:type="dxa"/>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 xml:space="preserve">с частичной </w:t>
            </w:r>
            <w:r>
              <w:rPr>
                <w:b/>
                <w:bCs/>
                <w:sz w:val="20"/>
              </w:rPr>
              <w:br/>
              <w:t>занятостью</w:t>
            </w:r>
          </w:p>
        </w:tc>
      </w:tr>
      <w:tr w:rsidR="00E017AA">
        <w:tblPrEx>
          <w:tblCellMar>
            <w:top w:w="0" w:type="dxa"/>
            <w:bottom w:w="0" w:type="dxa"/>
          </w:tblCellMar>
        </w:tblPrEx>
        <w:trPr>
          <w:cantSplit/>
        </w:trPr>
        <w:tc>
          <w:tcPr>
            <w:tcW w:w="993"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2001</w:t>
            </w:r>
          </w:p>
        </w:tc>
        <w:tc>
          <w:tcPr>
            <w:tcW w:w="1984"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67</w:t>
            </w:r>
          </w:p>
        </w:tc>
        <w:tc>
          <w:tcPr>
            <w:tcW w:w="1985"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33</w:t>
            </w:r>
          </w:p>
        </w:tc>
        <w:tc>
          <w:tcPr>
            <w:tcW w:w="2069"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92</w:t>
            </w:r>
          </w:p>
        </w:tc>
        <w:tc>
          <w:tcPr>
            <w:tcW w:w="2325"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 xml:space="preserve">  8</w:t>
            </w:r>
          </w:p>
        </w:tc>
      </w:tr>
      <w:tr w:rsidR="00E017AA">
        <w:tblPrEx>
          <w:tblCellMar>
            <w:top w:w="0" w:type="dxa"/>
            <w:bottom w:w="0" w:type="dxa"/>
          </w:tblCellMar>
        </w:tblPrEx>
        <w:trPr>
          <w:cantSplit/>
        </w:trPr>
        <w:tc>
          <w:tcPr>
            <w:tcW w:w="993" w:type="dxa"/>
            <w:tcBorders>
              <w:left w:val="single" w:sz="4" w:space="0" w:color="auto"/>
              <w:right w:val="single" w:sz="4" w:space="0" w:color="auto"/>
            </w:tcBorders>
          </w:tcPr>
          <w:p w:rsidR="00E017AA" w:rsidRDefault="00E017AA">
            <w:pPr>
              <w:keepNext/>
              <w:spacing w:before="100" w:after="100"/>
              <w:jc w:val="center"/>
              <w:rPr>
                <w:sz w:val="20"/>
              </w:rPr>
            </w:pPr>
            <w:r>
              <w:rPr>
                <w:sz w:val="20"/>
              </w:rPr>
              <w:t>2002</w:t>
            </w:r>
          </w:p>
        </w:tc>
        <w:tc>
          <w:tcPr>
            <w:tcW w:w="1984" w:type="dxa"/>
            <w:tcBorders>
              <w:left w:val="single" w:sz="4" w:space="0" w:color="auto"/>
              <w:right w:val="single" w:sz="4" w:space="0" w:color="auto"/>
            </w:tcBorders>
          </w:tcPr>
          <w:p w:rsidR="00E017AA" w:rsidRDefault="00E017AA">
            <w:pPr>
              <w:keepNext/>
              <w:spacing w:before="100" w:after="100"/>
              <w:jc w:val="center"/>
              <w:rPr>
                <w:sz w:val="20"/>
              </w:rPr>
            </w:pPr>
            <w:r>
              <w:rPr>
                <w:sz w:val="20"/>
              </w:rPr>
              <w:t>67</w:t>
            </w:r>
          </w:p>
        </w:tc>
        <w:tc>
          <w:tcPr>
            <w:tcW w:w="1985" w:type="dxa"/>
            <w:tcBorders>
              <w:left w:val="single" w:sz="4" w:space="0" w:color="auto"/>
              <w:right w:val="single" w:sz="4" w:space="0" w:color="auto"/>
            </w:tcBorders>
          </w:tcPr>
          <w:p w:rsidR="00E017AA" w:rsidRDefault="00E017AA">
            <w:pPr>
              <w:keepNext/>
              <w:spacing w:before="100" w:after="100"/>
              <w:jc w:val="center"/>
              <w:rPr>
                <w:sz w:val="20"/>
              </w:rPr>
            </w:pPr>
            <w:r>
              <w:rPr>
                <w:sz w:val="20"/>
              </w:rPr>
              <w:t>33</w:t>
            </w:r>
          </w:p>
        </w:tc>
        <w:tc>
          <w:tcPr>
            <w:tcW w:w="2069" w:type="dxa"/>
            <w:tcBorders>
              <w:left w:val="single" w:sz="4" w:space="0" w:color="auto"/>
              <w:right w:val="single" w:sz="4" w:space="0" w:color="auto"/>
            </w:tcBorders>
          </w:tcPr>
          <w:p w:rsidR="00E017AA" w:rsidRDefault="00E017AA">
            <w:pPr>
              <w:keepNext/>
              <w:spacing w:before="100" w:after="100"/>
              <w:jc w:val="center"/>
              <w:rPr>
                <w:sz w:val="20"/>
              </w:rPr>
            </w:pPr>
            <w:r>
              <w:rPr>
                <w:sz w:val="20"/>
              </w:rPr>
              <w:t>91</w:t>
            </w:r>
          </w:p>
        </w:tc>
        <w:tc>
          <w:tcPr>
            <w:tcW w:w="2325" w:type="dxa"/>
            <w:tcBorders>
              <w:left w:val="single" w:sz="4" w:space="0" w:color="auto"/>
              <w:right w:val="single" w:sz="4" w:space="0" w:color="auto"/>
            </w:tcBorders>
          </w:tcPr>
          <w:p w:rsidR="00E017AA" w:rsidRDefault="00E017AA">
            <w:pPr>
              <w:keepNext/>
              <w:spacing w:before="100" w:after="100"/>
              <w:jc w:val="center"/>
              <w:rPr>
                <w:sz w:val="20"/>
              </w:rPr>
            </w:pPr>
            <w:r>
              <w:rPr>
                <w:sz w:val="20"/>
              </w:rPr>
              <w:t xml:space="preserve">  9</w:t>
            </w:r>
          </w:p>
        </w:tc>
      </w:tr>
      <w:tr w:rsidR="00E017AA">
        <w:tblPrEx>
          <w:tblCellMar>
            <w:top w:w="0" w:type="dxa"/>
            <w:bottom w:w="0" w:type="dxa"/>
          </w:tblCellMar>
        </w:tblPrEx>
        <w:trPr>
          <w:cantSplit/>
        </w:trPr>
        <w:tc>
          <w:tcPr>
            <w:tcW w:w="993" w:type="dxa"/>
            <w:tcBorders>
              <w:left w:val="single" w:sz="4" w:space="0" w:color="auto"/>
              <w:right w:val="single" w:sz="4" w:space="0" w:color="auto"/>
            </w:tcBorders>
          </w:tcPr>
          <w:p w:rsidR="00E017AA" w:rsidRDefault="00E017AA">
            <w:pPr>
              <w:keepNext/>
              <w:spacing w:before="100" w:after="100"/>
              <w:jc w:val="center"/>
              <w:rPr>
                <w:sz w:val="20"/>
              </w:rPr>
            </w:pPr>
            <w:r>
              <w:rPr>
                <w:sz w:val="20"/>
              </w:rPr>
              <w:t>2003</w:t>
            </w:r>
          </w:p>
        </w:tc>
        <w:tc>
          <w:tcPr>
            <w:tcW w:w="1984" w:type="dxa"/>
            <w:tcBorders>
              <w:left w:val="single" w:sz="4" w:space="0" w:color="auto"/>
              <w:right w:val="single" w:sz="4" w:space="0" w:color="auto"/>
            </w:tcBorders>
          </w:tcPr>
          <w:p w:rsidR="00E017AA" w:rsidRDefault="00E017AA">
            <w:pPr>
              <w:keepNext/>
              <w:spacing w:before="100" w:after="100"/>
              <w:jc w:val="center"/>
              <w:rPr>
                <w:sz w:val="20"/>
              </w:rPr>
            </w:pPr>
            <w:r>
              <w:rPr>
                <w:sz w:val="20"/>
              </w:rPr>
              <w:t>67</w:t>
            </w:r>
          </w:p>
        </w:tc>
        <w:tc>
          <w:tcPr>
            <w:tcW w:w="1985" w:type="dxa"/>
            <w:tcBorders>
              <w:left w:val="single" w:sz="4" w:space="0" w:color="auto"/>
              <w:right w:val="single" w:sz="4" w:space="0" w:color="auto"/>
            </w:tcBorders>
          </w:tcPr>
          <w:p w:rsidR="00E017AA" w:rsidRDefault="00E017AA">
            <w:pPr>
              <w:keepNext/>
              <w:spacing w:before="100" w:after="100"/>
              <w:jc w:val="center"/>
              <w:rPr>
                <w:sz w:val="20"/>
              </w:rPr>
            </w:pPr>
            <w:r>
              <w:rPr>
                <w:sz w:val="20"/>
              </w:rPr>
              <w:t>33</w:t>
            </w:r>
          </w:p>
        </w:tc>
        <w:tc>
          <w:tcPr>
            <w:tcW w:w="2069" w:type="dxa"/>
            <w:tcBorders>
              <w:left w:val="single" w:sz="4" w:space="0" w:color="auto"/>
              <w:right w:val="single" w:sz="4" w:space="0" w:color="auto"/>
            </w:tcBorders>
          </w:tcPr>
          <w:p w:rsidR="00E017AA" w:rsidRDefault="00E017AA">
            <w:pPr>
              <w:keepNext/>
              <w:spacing w:before="100" w:after="100"/>
              <w:jc w:val="center"/>
              <w:rPr>
                <w:sz w:val="20"/>
              </w:rPr>
            </w:pPr>
            <w:r>
              <w:rPr>
                <w:sz w:val="20"/>
              </w:rPr>
              <w:t>91</w:t>
            </w:r>
          </w:p>
        </w:tc>
        <w:tc>
          <w:tcPr>
            <w:tcW w:w="2325" w:type="dxa"/>
            <w:tcBorders>
              <w:left w:val="single" w:sz="4" w:space="0" w:color="auto"/>
              <w:right w:val="single" w:sz="4" w:space="0" w:color="auto"/>
            </w:tcBorders>
          </w:tcPr>
          <w:p w:rsidR="00E017AA" w:rsidRDefault="00E017AA">
            <w:pPr>
              <w:keepNext/>
              <w:spacing w:before="100" w:after="100"/>
              <w:jc w:val="center"/>
              <w:rPr>
                <w:sz w:val="20"/>
              </w:rPr>
            </w:pPr>
            <w:r>
              <w:rPr>
                <w:sz w:val="20"/>
              </w:rPr>
              <w:t xml:space="preserve">  9</w:t>
            </w:r>
          </w:p>
        </w:tc>
      </w:tr>
      <w:tr w:rsidR="00E017AA">
        <w:tblPrEx>
          <w:tblCellMar>
            <w:top w:w="0" w:type="dxa"/>
            <w:bottom w:w="0" w:type="dxa"/>
          </w:tblCellMar>
        </w:tblPrEx>
        <w:trPr>
          <w:cantSplit/>
        </w:trPr>
        <w:tc>
          <w:tcPr>
            <w:tcW w:w="993" w:type="dxa"/>
            <w:tcBorders>
              <w:left w:val="single" w:sz="4" w:space="0" w:color="auto"/>
              <w:right w:val="single" w:sz="4" w:space="0" w:color="auto"/>
            </w:tcBorders>
          </w:tcPr>
          <w:p w:rsidR="00E017AA" w:rsidRDefault="00E017AA">
            <w:pPr>
              <w:keepNext/>
              <w:spacing w:before="100" w:after="100"/>
              <w:jc w:val="center"/>
              <w:rPr>
                <w:sz w:val="20"/>
              </w:rPr>
            </w:pPr>
            <w:r>
              <w:rPr>
                <w:sz w:val="20"/>
              </w:rPr>
              <w:t>2004</w:t>
            </w:r>
          </w:p>
        </w:tc>
        <w:tc>
          <w:tcPr>
            <w:tcW w:w="1984" w:type="dxa"/>
            <w:tcBorders>
              <w:left w:val="single" w:sz="4" w:space="0" w:color="auto"/>
              <w:right w:val="single" w:sz="4" w:space="0" w:color="auto"/>
            </w:tcBorders>
          </w:tcPr>
          <w:p w:rsidR="00E017AA" w:rsidRDefault="00E017AA">
            <w:pPr>
              <w:keepNext/>
              <w:spacing w:before="100" w:after="100"/>
              <w:jc w:val="center"/>
              <w:rPr>
                <w:sz w:val="20"/>
              </w:rPr>
            </w:pPr>
            <w:r>
              <w:rPr>
                <w:sz w:val="20"/>
              </w:rPr>
              <w:t>67</w:t>
            </w:r>
          </w:p>
        </w:tc>
        <w:tc>
          <w:tcPr>
            <w:tcW w:w="1985" w:type="dxa"/>
            <w:tcBorders>
              <w:left w:val="single" w:sz="4" w:space="0" w:color="auto"/>
              <w:right w:val="single" w:sz="4" w:space="0" w:color="auto"/>
            </w:tcBorders>
          </w:tcPr>
          <w:p w:rsidR="00E017AA" w:rsidRDefault="00E017AA">
            <w:pPr>
              <w:keepNext/>
              <w:spacing w:before="100" w:after="100"/>
              <w:jc w:val="center"/>
              <w:rPr>
                <w:sz w:val="20"/>
              </w:rPr>
            </w:pPr>
            <w:r>
              <w:rPr>
                <w:sz w:val="20"/>
              </w:rPr>
              <w:t>33</w:t>
            </w:r>
          </w:p>
        </w:tc>
        <w:tc>
          <w:tcPr>
            <w:tcW w:w="2069" w:type="dxa"/>
            <w:tcBorders>
              <w:left w:val="single" w:sz="4" w:space="0" w:color="auto"/>
              <w:right w:val="single" w:sz="4" w:space="0" w:color="auto"/>
            </w:tcBorders>
          </w:tcPr>
          <w:p w:rsidR="00E017AA" w:rsidRDefault="00E017AA">
            <w:pPr>
              <w:keepNext/>
              <w:spacing w:before="100" w:after="100"/>
              <w:jc w:val="center"/>
              <w:rPr>
                <w:sz w:val="20"/>
              </w:rPr>
            </w:pPr>
            <w:r>
              <w:rPr>
                <w:sz w:val="20"/>
              </w:rPr>
              <w:t>90</w:t>
            </w:r>
          </w:p>
        </w:tc>
        <w:tc>
          <w:tcPr>
            <w:tcW w:w="2325" w:type="dxa"/>
            <w:tcBorders>
              <w:left w:val="single" w:sz="4" w:space="0" w:color="auto"/>
              <w:right w:val="single" w:sz="4" w:space="0" w:color="auto"/>
            </w:tcBorders>
          </w:tcPr>
          <w:p w:rsidR="00E017AA" w:rsidRDefault="00E017AA">
            <w:pPr>
              <w:keepNext/>
              <w:spacing w:before="100" w:after="100"/>
              <w:jc w:val="center"/>
              <w:rPr>
                <w:sz w:val="20"/>
              </w:rPr>
            </w:pPr>
            <w:r>
              <w:rPr>
                <w:sz w:val="20"/>
              </w:rPr>
              <w:t>10</w:t>
            </w:r>
          </w:p>
        </w:tc>
      </w:tr>
      <w:tr w:rsidR="00E017AA">
        <w:tblPrEx>
          <w:tblCellMar>
            <w:top w:w="0" w:type="dxa"/>
            <w:bottom w:w="0" w:type="dxa"/>
          </w:tblCellMar>
        </w:tblPrEx>
        <w:trPr>
          <w:cantSplit/>
        </w:trPr>
        <w:tc>
          <w:tcPr>
            <w:tcW w:w="993"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2005</w:t>
            </w:r>
          </w:p>
        </w:tc>
        <w:tc>
          <w:tcPr>
            <w:tcW w:w="1984"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65</w:t>
            </w:r>
          </w:p>
        </w:tc>
        <w:tc>
          <w:tcPr>
            <w:tcW w:w="1985"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35</w:t>
            </w:r>
          </w:p>
        </w:tc>
        <w:tc>
          <w:tcPr>
            <w:tcW w:w="2069"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89</w:t>
            </w:r>
          </w:p>
        </w:tc>
        <w:tc>
          <w:tcPr>
            <w:tcW w:w="2325"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11</w:t>
            </w:r>
          </w:p>
        </w:tc>
      </w:tr>
      <w:tr w:rsidR="00E017AA">
        <w:tblPrEx>
          <w:tblCellMar>
            <w:top w:w="0" w:type="dxa"/>
            <w:bottom w:w="0" w:type="dxa"/>
          </w:tblCellMar>
        </w:tblPrEx>
        <w:trPr>
          <w:cantSplit/>
        </w:trPr>
        <w:tc>
          <w:tcPr>
            <w:tcW w:w="9356" w:type="dxa"/>
            <w:gridSpan w:val="5"/>
            <w:tcBorders>
              <w:top w:val="single" w:sz="4" w:space="0" w:color="auto"/>
            </w:tcBorders>
          </w:tcPr>
          <w:p w:rsidR="00E017AA" w:rsidRDefault="00E017AA">
            <w:pPr>
              <w:spacing w:before="100" w:after="100"/>
              <w:ind w:hanging="675"/>
              <w:rPr>
                <w:sz w:val="20"/>
              </w:rPr>
            </w:pPr>
            <w:r>
              <w:rPr>
                <w:i/>
                <w:sz w:val="20"/>
              </w:rPr>
              <w:t xml:space="preserve">Источник: </w:t>
            </w:r>
            <w:r>
              <w:rPr>
                <w:iCs/>
                <w:sz w:val="20"/>
              </w:rPr>
              <w:t>Статистическое бюро Швеции, обследование рабочей силы.</w:t>
            </w:r>
          </w:p>
        </w:tc>
      </w:tr>
    </w:tbl>
    <w:p w:rsidR="00E017AA" w:rsidRDefault="00E017AA">
      <w:pPr>
        <w:tabs>
          <w:tab w:val="left" w:pos="567"/>
          <w:tab w:val="left" w:pos="1134"/>
          <w:tab w:val="left" w:pos="1701"/>
        </w:tabs>
        <w:spacing w:after="200"/>
      </w:pPr>
    </w:p>
    <w:p w:rsidR="00E017AA" w:rsidRDefault="00E017AA">
      <w:pPr>
        <w:pStyle w:val="RKnormal"/>
        <w:keepNext/>
        <w:tabs>
          <w:tab w:val="clear" w:pos="2835"/>
        </w:tabs>
        <w:spacing w:after="200" w:line="240" w:lineRule="auto"/>
        <w:jc w:val="both"/>
        <w:rPr>
          <w:rFonts w:ascii="Times New Roman" w:hAnsi="Times New Roman"/>
          <w:sz w:val="22"/>
          <w:szCs w:val="24"/>
          <w:lang w:val="ru-RU"/>
        </w:rPr>
      </w:pPr>
      <w:r>
        <w:rPr>
          <w:rFonts w:ascii="Times New Roman" w:hAnsi="Times New Roman"/>
          <w:i/>
          <w:sz w:val="22"/>
          <w:lang w:val="ru-RU"/>
        </w:rPr>
        <w:t>Частично безработные в возрасте 16–64 лет в процентах от общего числа зарегистрированных, желающих трудоустроиться на полный или неполный рабочий день, 2001–2005 годы</w:t>
      </w:r>
    </w:p>
    <w:tbl>
      <w:tblPr>
        <w:tblW w:w="0" w:type="auto"/>
        <w:tblInd w:w="108" w:type="dxa"/>
        <w:tblLayout w:type="fixed"/>
        <w:tblLook w:val="0000" w:firstRow="0" w:lastRow="0" w:firstColumn="0" w:lastColumn="0" w:noHBand="0" w:noVBand="0"/>
      </w:tblPr>
      <w:tblGrid>
        <w:gridCol w:w="2318"/>
        <w:gridCol w:w="2502"/>
        <w:gridCol w:w="1984"/>
        <w:gridCol w:w="516"/>
      </w:tblGrid>
      <w:tr w:rsidR="00E017AA">
        <w:tblPrEx>
          <w:tblCellMar>
            <w:top w:w="0" w:type="dxa"/>
            <w:bottom w:w="0" w:type="dxa"/>
          </w:tblCellMar>
        </w:tblPrEx>
        <w:tc>
          <w:tcPr>
            <w:tcW w:w="2318"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Год</w:t>
            </w:r>
          </w:p>
        </w:tc>
        <w:tc>
          <w:tcPr>
            <w:tcW w:w="2502" w:type="dxa"/>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Женщины</w:t>
            </w:r>
          </w:p>
        </w:tc>
        <w:tc>
          <w:tcPr>
            <w:tcW w:w="2500" w:type="dxa"/>
            <w:gridSpan w:val="2"/>
            <w:tcBorders>
              <w:top w:val="single" w:sz="4" w:space="0" w:color="auto"/>
              <w:left w:val="single" w:sz="4" w:space="0" w:color="auto"/>
              <w:bottom w:val="single" w:sz="4" w:space="0" w:color="auto"/>
              <w:right w:val="single" w:sz="4" w:space="0" w:color="auto"/>
            </w:tcBorders>
          </w:tcPr>
          <w:p w:rsidR="00E017AA" w:rsidRDefault="00E017AA">
            <w:pPr>
              <w:pStyle w:val="RKnormal"/>
              <w:keepNext/>
              <w:tabs>
                <w:tab w:val="clear" w:pos="2835"/>
              </w:tabs>
              <w:spacing w:before="100" w:after="100" w:line="240" w:lineRule="auto"/>
              <w:jc w:val="center"/>
              <w:rPr>
                <w:rFonts w:ascii="Times New Roman" w:hAnsi="Times New Roman"/>
                <w:b/>
                <w:bCs/>
                <w:sz w:val="20"/>
                <w:szCs w:val="24"/>
                <w:lang w:val="ru-RU"/>
              </w:rPr>
            </w:pPr>
            <w:r>
              <w:rPr>
                <w:rFonts w:ascii="Times New Roman" w:hAnsi="Times New Roman"/>
                <w:b/>
                <w:bCs/>
                <w:sz w:val="20"/>
                <w:szCs w:val="24"/>
                <w:lang w:val="ru-RU"/>
              </w:rPr>
              <w:t>Мужчины</w:t>
            </w:r>
          </w:p>
        </w:tc>
      </w:tr>
      <w:tr w:rsidR="00E017AA">
        <w:tblPrEx>
          <w:tblCellMar>
            <w:top w:w="0" w:type="dxa"/>
            <w:bottom w:w="0" w:type="dxa"/>
          </w:tblCellMar>
        </w:tblPrEx>
        <w:tc>
          <w:tcPr>
            <w:tcW w:w="2318"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2001</w:t>
            </w:r>
          </w:p>
        </w:tc>
        <w:tc>
          <w:tcPr>
            <w:tcW w:w="2502" w:type="dxa"/>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48</w:t>
            </w:r>
          </w:p>
        </w:tc>
        <w:tc>
          <w:tcPr>
            <w:tcW w:w="2500" w:type="dxa"/>
            <w:gridSpan w:val="2"/>
            <w:tcBorders>
              <w:top w:val="single" w:sz="4" w:space="0" w:color="auto"/>
              <w:left w:val="single" w:sz="4" w:space="0" w:color="auto"/>
              <w:right w:val="single" w:sz="4" w:space="0" w:color="auto"/>
            </w:tcBorders>
          </w:tcPr>
          <w:p w:rsidR="00E017AA" w:rsidRDefault="00E017AA">
            <w:pPr>
              <w:keepNext/>
              <w:spacing w:before="100" w:after="100"/>
              <w:jc w:val="center"/>
              <w:rPr>
                <w:sz w:val="20"/>
              </w:rPr>
            </w:pPr>
            <w:r>
              <w:rPr>
                <w:sz w:val="20"/>
              </w:rPr>
              <w:t>15</w:t>
            </w:r>
          </w:p>
        </w:tc>
      </w:tr>
      <w:tr w:rsidR="00E017AA">
        <w:tblPrEx>
          <w:tblCellMar>
            <w:top w:w="0" w:type="dxa"/>
            <w:bottom w:w="0" w:type="dxa"/>
          </w:tblCellMar>
        </w:tblPrEx>
        <w:tc>
          <w:tcPr>
            <w:tcW w:w="2318" w:type="dxa"/>
            <w:tcBorders>
              <w:left w:val="single" w:sz="4" w:space="0" w:color="auto"/>
              <w:right w:val="single" w:sz="4" w:space="0" w:color="auto"/>
            </w:tcBorders>
          </w:tcPr>
          <w:p w:rsidR="00E017AA" w:rsidRDefault="00E017AA">
            <w:pPr>
              <w:keepNext/>
              <w:spacing w:before="100" w:after="100"/>
              <w:jc w:val="center"/>
              <w:rPr>
                <w:sz w:val="20"/>
              </w:rPr>
            </w:pPr>
            <w:r>
              <w:rPr>
                <w:sz w:val="20"/>
              </w:rPr>
              <w:t>2002</w:t>
            </w:r>
          </w:p>
        </w:tc>
        <w:tc>
          <w:tcPr>
            <w:tcW w:w="2502" w:type="dxa"/>
            <w:tcBorders>
              <w:left w:val="single" w:sz="4" w:space="0" w:color="auto"/>
              <w:right w:val="single" w:sz="4" w:space="0" w:color="auto"/>
            </w:tcBorders>
          </w:tcPr>
          <w:p w:rsidR="00E017AA" w:rsidRDefault="00E017AA">
            <w:pPr>
              <w:keepNext/>
              <w:spacing w:before="100" w:after="100"/>
              <w:jc w:val="center"/>
              <w:rPr>
                <w:sz w:val="20"/>
              </w:rPr>
            </w:pPr>
            <w:r>
              <w:rPr>
                <w:sz w:val="20"/>
              </w:rPr>
              <w:t>46</w:t>
            </w:r>
          </w:p>
        </w:tc>
        <w:tc>
          <w:tcPr>
            <w:tcW w:w="2500" w:type="dxa"/>
            <w:gridSpan w:val="2"/>
            <w:tcBorders>
              <w:left w:val="single" w:sz="4" w:space="0" w:color="auto"/>
              <w:right w:val="single" w:sz="4" w:space="0" w:color="auto"/>
            </w:tcBorders>
          </w:tcPr>
          <w:p w:rsidR="00E017AA" w:rsidRDefault="00E017AA">
            <w:pPr>
              <w:keepNext/>
              <w:spacing w:before="100" w:after="100"/>
              <w:jc w:val="center"/>
              <w:rPr>
                <w:sz w:val="20"/>
              </w:rPr>
            </w:pPr>
            <w:r>
              <w:rPr>
                <w:sz w:val="20"/>
              </w:rPr>
              <w:t>13</w:t>
            </w:r>
          </w:p>
        </w:tc>
      </w:tr>
      <w:tr w:rsidR="00E017AA">
        <w:tblPrEx>
          <w:tblCellMar>
            <w:top w:w="0" w:type="dxa"/>
            <w:bottom w:w="0" w:type="dxa"/>
          </w:tblCellMar>
        </w:tblPrEx>
        <w:tc>
          <w:tcPr>
            <w:tcW w:w="2318" w:type="dxa"/>
            <w:tcBorders>
              <w:left w:val="single" w:sz="4" w:space="0" w:color="auto"/>
              <w:right w:val="single" w:sz="4" w:space="0" w:color="auto"/>
            </w:tcBorders>
          </w:tcPr>
          <w:p w:rsidR="00E017AA" w:rsidRDefault="00E017AA">
            <w:pPr>
              <w:keepNext/>
              <w:spacing w:before="100" w:after="100"/>
              <w:jc w:val="center"/>
              <w:rPr>
                <w:sz w:val="20"/>
              </w:rPr>
            </w:pPr>
            <w:r>
              <w:rPr>
                <w:sz w:val="20"/>
              </w:rPr>
              <w:t>2003</w:t>
            </w:r>
          </w:p>
        </w:tc>
        <w:tc>
          <w:tcPr>
            <w:tcW w:w="2502" w:type="dxa"/>
            <w:tcBorders>
              <w:left w:val="single" w:sz="4" w:space="0" w:color="auto"/>
              <w:right w:val="single" w:sz="4" w:space="0" w:color="auto"/>
            </w:tcBorders>
          </w:tcPr>
          <w:p w:rsidR="00E017AA" w:rsidRDefault="00E017AA">
            <w:pPr>
              <w:keepNext/>
              <w:spacing w:before="100" w:after="100"/>
              <w:jc w:val="center"/>
              <w:rPr>
                <w:sz w:val="20"/>
              </w:rPr>
            </w:pPr>
            <w:r>
              <w:rPr>
                <w:sz w:val="20"/>
              </w:rPr>
              <w:t>39</w:t>
            </w:r>
          </w:p>
        </w:tc>
        <w:tc>
          <w:tcPr>
            <w:tcW w:w="2500" w:type="dxa"/>
            <w:gridSpan w:val="2"/>
            <w:tcBorders>
              <w:left w:val="single" w:sz="4" w:space="0" w:color="auto"/>
              <w:right w:val="single" w:sz="4" w:space="0" w:color="auto"/>
            </w:tcBorders>
          </w:tcPr>
          <w:p w:rsidR="00E017AA" w:rsidRDefault="00E017AA">
            <w:pPr>
              <w:keepNext/>
              <w:spacing w:before="100" w:after="100"/>
              <w:jc w:val="center"/>
              <w:rPr>
                <w:sz w:val="20"/>
              </w:rPr>
            </w:pPr>
            <w:r>
              <w:rPr>
                <w:sz w:val="20"/>
              </w:rPr>
              <w:t>11</w:t>
            </w:r>
          </w:p>
        </w:tc>
      </w:tr>
      <w:tr w:rsidR="00E017AA">
        <w:tblPrEx>
          <w:tblCellMar>
            <w:top w:w="0" w:type="dxa"/>
            <w:bottom w:w="0" w:type="dxa"/>
          </w:tblCellMar>
        </w:tblPrEx>
        <w:tc>
          <w:tcPr>
            <w:tcW w:w="2318" w:type="dxa"/>
            <w:tcBorders>
              <w:left w:val="single" w:sz="4" w:space="0" w:color="auto"/>
              <w:right w:val="single" w:sz="4" w:space="0" w:color="auto"/>
            </w:tcBorders>
          </w:tcPr>
          <w:p w:rsidR="00E017AA" w:rsidRDefault="00E017AA">
            <w:pPr>
              <w:keepNext/>
              <w:spacing w:before="100" w:after="100"/>
              <w:jc w:val="center"/>
              <w:rPr>
                <w:sz w:val="20"/>
              </w:rPr>
            </w:pPr>
            <w:r>
              <w:rPr>
                <w:sz w:val="20"/>
              </w:rPr>
              <w:t>2004</w:t>
            </w:r>
          </w:p>
        </w:tc>
        <w:tc>
          <w:tcPr>
            <w:tcW w:w="2502" w:type="dxa"/>
            <w:tcBorders>
              <w:left w:val="single" w:sz="4" w:space="0" w:color="auto"/>
              <w:right w:val="single" w:sz="4" w:space="0" w:color="auto"/>
            </w:tcBorders>
          </w:tcPr>
          <w:p w:rsidR="00E017AA" w:rsidRDefault="00E017AA">
            <w:pPr>
              <w:keepNext/>
              <w:spacing w:before="100" w:after="100"/>
              <w:jc w:val="center"/>
              <w:rPr>
                <w:sz w:val="20"/>
              </w:rPr>
            </w:pPr>
            <w:r>
              <w:rPr>
                <w:sz w:val="20"/>
              </w:rPr>
              <w:t>35</w:t>
            </w:r>
          </w:p>
        </w:tc>
        <w:tc>
          <w:tcPr>
            <w:tcW w:w="2500" w:type="dxa"/>
            <w:gridSpan w:val="2"/>
            <w:tcBorders>
              <w:left w:val="single" w:sz="4" w:space="0" w:color="auto"/>
              <w:right w:val="single" w:sz="4" w:space="0" w:color="auto"/>
            </w:tcBorders>
          </w:tcPr>
          <w:p w:rsidR="00E017AA" w:rsidRDefault="00E017AA">
            <w:pPr>
              <w:keepNext/>
              <w:spacing w:before="100" w:after="100"/>
              <w:jc w:val="center"/>
              <w:rPr>
                <w:sz w:val="20"/>
              </w:rPr>
            </w:pPr>
            <w:r>
              <w:rPr>
                <w:sz w:val="20"/>
              </w:rPr>
              <w:t>11</w:t>
            </w:r>
          </w:p>
        </w:tc>
      </w:tr>
      <w:tr w:rsidR="00E017AA">
        <w:tblPrEx>
          <w:tblCellMar>
            <w:top w:w="0" w:type="dxa"/>
            <w:bottom w:w="0" w:type="dxa"/>
          </w:tblCellMar>
        </w:tblPrEx>
        <w:tc>
          <w:tcPr>
            <w:tcW w:w="2318"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2005</w:t>
            </w:r>
          </w:p>
        </w:tc>
        <w:tc>
          <w:tcPr>
            <w:tcW w:w="2502" w:type="dxa"/>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33</w:t>
            </w:r>
          </w:p>
        </w:tc>
        <w:tc>
          <w:tcPr>
            <w:tcW w:w="2500" w:type="dxa"/>
            <w:gridSpan w:val="2"/>
            <w:tcBorders>
              <w:left w:val="single" w:sz="4" w:space="0" w:color="auto"/>
              <w:bottom w:val="single" w:sz="4" w:space="0" w:color="auto"/>
              <w:right w:val="single" w:sz="4" w:space="0" w:color="auto"/>
            </w:tcBorders>
          </w:tcPr>
          <w:p w:rsidR="00E017AA" w:rsidRDefault="00E017AA">
            <w:pPr>
              <w:keepNext/>
              <w:spacing w:before="100" w:after="100"/>
              <w:jc w:val="center"/>
              <w:rPr>
                <w:sz w:val="20"/>
              </w:rPr>
            </w:pPr>
            <w:r>
              <w:rPr>
                <w:sz w:val="20"/>
              </w:rPr>
              <w:t>11</w:t>
            </w:r>
          </w:p>
        </w:tc>
      </w:tr>
      <w:tr w:rsidR="00E017AA">
        <w:tblPrEx>
          <w:tblCellMar>
            <w:top w:w="0" w:type="dxa"/>
            <w:bottom w:w="0" w:type="dxa"/>
          </w:tblCellMar>
        </w:tblPrEx>
        <w:trPr>
          <w:gridAfter w:val="1"/>
          <w:wAfter w:w="516" w:type="dxa"/>
          <w:cantSplit/>
        </w:trPr>
        <w:tc>
          <w:tcPr>
            <w:tcW w:w="6804" w:type="dxa"/>
            <w:gridSpan w:val="3"/>
            <w:tcBorders>
              <w:top w:val="single" w:sz="4" w:space="0" w:color="auto"/>
            </w:tcBorders>
          </w:tcPr>
          <w:p w:rsidR="00E017AA" w:rsidRDefault="00E017AA">
            <w:pPr>
              <w:spacing w:before="100" w:after="100"/>
              <w:rPr>
                <w:sz w:val="20"/>
              </w:rPr>
            </w:pPr>
            <w:r>
              <w:rPr>
                <w:i/>
                <w:sz w:val="20"/>
              </w:rPr>
              <w:t xml:space="preserve">Источник: </w:t>
            </w:r>
            <w:r>
              <w:rPr>
                <w:iCs/>
                <w:sz w:val="20"/>
              </w:rPr>
              <w:t>Совет по рынку труда.</w:t>
            </w:r>
          </w:p>
        </w:tc>
      </w:tr>
    </w:tbl>
    <w:p w:rsidR="00E017AA" w:rsidRDefault="00E017AA">
      <w:pPr>
        <w:tabs>
          <w:tab w:val="left" w:pos="567"/>
          <w:tab w:val="left" w:pos="1134"/>
          <w:tab w:val="left" w:pos="1701"/>
        </w:tabs>
        <w:spacing w:after="200"/>
      </w:pPr>
    </w:p>
    <w:p w:rsidR="00E017AA" w:rsidRDefault="00E017AA">
      <w:pPr>
        <w:tabs>
          <w:tab w:val="left" w:pos="567"/>
          <w:tab w:val="left" w:pos="1134"/>
          <w:tab w:val="left" w:pos="1701"/>
        </w:tabs>
        <w:spacing w:after="200"/>
      </w:pPr>
      <w:r>
        <w:t>257.</w:t>
      </w:r>
      <w:r>
        <w:tab/>
        <w:t>Для решения проблемы вынужденной неполной занятости правительство создало рабочую группу для изучения возможности укрепления права на полную занятость. В конце ноября 2005 года данная группа представила правительству свои выводы (</w:t>
      </w:r>
      <w:r>
        <w:rPr>
          <w:lang w:val="en-US"/>
        </w:rPr>
        <w:t>SOU</w:t>
      </w:r>
      <w:r>
        <w:t xml:space="preserve"> 2004:50). Весной 2006 года правительство намерено представить в риксдаг предложение об укреплении законодательства, касающегося права на полную занятость. Основу данного предложения составил доклад группы, в котором предлагаются способы укрепления права на полную занятость.</w:t>
      </w:r>
    </w:p>
    <w:p w:rsidR="00E017AA" w:rsidRDefault="00E017AA">
      <w:pPr>
        <w:tabs>
          <w:tab w:val="left" w:pos="567"/>
          <w:tab w:val="left" w:pos="1134"/>
          <w:tab w:val="left" w:pos="1701"/>
        </w:tabs>
        <w:spacing w:after="200"/>
      </w:pPr>
      <w:r>
        <w:t>258.</w:t>
      </w:r>
      <w:r>
        <w:tab/>
        <w:t>Деятельность Совета по рынку труда в области сокращения масштабов неполной занятости продолжает оставаться высокоприоритетной. Были приняты соответствующие меры в этой сфере.</w:t>
      </w:r>
    </w:p>
    <w:p w:rsidR="00E017AA" w:rsidRDefault="00E017AA">
      <w:pPr>
        <w:keepNext/>
        <w:tabs>
          <w:tab w:val="left" w:pos="567"/>
          <w:tab w:val="left" w:pos="1134"/>
          <w:tab w:val="left" w:pos="1701"/>
        </w:tabs>
        <w:spacing w:after="200"/>
        <w:ind w:left="0" w:firstLine="0"/>
        <w:jc w:val="left"/>
        <w:rPr>
          <w:b/>
          <w:bCs/>
        </w:rPr>
      </w:pPr>
      <w:r>
        <w:rPr>
          <w:b/>
          <w:bCs/>
        </w:rPr>
        <w:t>Пункт 1 с) статьи 11. Гендерная сегрегация на рынке труда и в предпринимательстве: меры по противодействию гендерной сегрегации на рынке труда</w:t>
      </w:r>
    </w:p>
    <w:p w:rsidR="00E017AA" w:rsidRDefault="00E017AA">
      <w:pPr>
        <w:tabs>
          <w:tab w:val="left" w:pos="567"/>
          <w:tab w:val="left" w:pos="1134"/>
          <w:tab w:val="left" w:pos="1701"/>
        </w:tabs>
        <w:spacing w:after="200"/>
      </w:pPr>
      <w:r>
        <w:t>259.</w:t>
      </w:r>
      <w:r>
        <w:tab/>
        <w:t xml:space="preserve">Одной из основных задач политики на рынке труда является борьба с гендерной сегрегацией в этой сфере, что призвано содействовать равенству женщин и мужчин, а также диверсификации трудовой деятельности. Несмотря на некоторую стабилизацию, на рынке труда сохраняется гендерная сегрегация, как вертикальная, так и горизонтальная. </w:t>
      </w:r>
    </w:p>
    <w:p w:rsidR="00E017AA" w:rsidRDefault="00E017AA">
      <w:pPr>
        <w:tabs>
          <w:tab w:val="left" w:pos="567"/>
          <w:tab w:val="left" w:pos="1134"/>
          <w:tab w:val="left" w:pos="1701"/>
        </w:tabs>
        <w:spacing w:after="200"/>
      </w:pPr>
      <w:r>
        <w:t>260.</w:t>
      </w:r>
      <w:r>
        <w:tab/>
        <w:t>В начале 2003 года в целях сокращения дисбаланса между женщинами и мужчинами в разного рода занятости и секторах на рынке труда правительство дало указание специально назначенной группе проанализировать изменения на шведском рынке труда за последние 30 лет в отношении гендерной сегрегации и воздействие серьезного экономического спада начала 1990-х годов на гендерную сегрегацию на рынке труда. В своем докладе (</w:t>
      </w:r>
      <w:r>
        <w:rPr>
          <w:lang w:val="en-US"/>
        </w:rPr>
        <w:t>SOU</w:t>
      </w:r>
      <w:r>
        <w:t xml:space="preserve"> 2004:43) указанная группа отметила некоторое сокращение гендерной сегрегации на рынке труда в 1990-х годах, однако сделала вывод, что шведскому рынку труда по-прежнему свойственна жесткая сегрегация. Изменения произошли главным образом благодаря женщинам, которые, в отличие от мужчин, значительно расширили свой выбор профессий и все в большей мере стремились овладеть "мужскими" профессиями, для которых необходимо высшее образование. Изменения в этом плане не наблюдаются в секторах, где доминируют мужчины, хотя в этих секторах требования в отношении образования более низкие. Половина женщин в возрасте 20–64 лет занята в государственном секторе и половина – в частном. Среди мужчин той же возрастной группы примерно 20 процентов работают в государственном секторе и около 80 процентов – в частном.</w:t>
      </w:r>
    </w:p>
    <w:p w:rsidR="00E017AA" w:rsidRDefault="00E017AA">
      <w:pPr>
        <w:tabs>
          <w:tab w:val="left" w:pos="567"/>
          <w:tab w:val="left" w:pos="1134"/>
          <w:tab w:val="left" w:pos="1701"/>
        </w:tabs>
        <w:spacing w:after="200"/>
      </w:pPr>
      <w:r>
        <w:t>261.</w:t>
      </w:r>
      <w:r>
        <w:tab/>
        <w:t xml:space="preserve">Правительство поставило перед Советом по рынку труда задачу противодействовать гендерной сегрегации на рынке труда. Каждый год на достижение этой цели специально выделяются средства. </w:t>
      </w:r>
    </w:p>
    <w:p w:rsidR="00E017AA" w:rsidRDefault="00E017AA">
      <w:pPr>
        <w:tabs>
          <w:tab w:val="left" w:pos="567"/>
          <w:tab w:val="left" w:pos="1134"/>
          <w:tab w:val="left" w:pos="1701"/>
        </w:tabs>
        <w:spacing w:after="200"/>
      </w:pPr>
      <w:r>
        <w:t>262.</w:t>
      </w:r>
      <w:r>
        <w:tab/>
        <w:t>Правительство считает, что необходимо уделять больше внимания методам, используемым работодателями при наборе кадров и продвижении по службе женщин и мужчин. В связи с этим при выделении ассигнований на 2006 год правительство призвало Совет по рынку труда усилить работу с целью повышения спроса со стороны работодателей на "нетрадиционные" профессии.</w:t>
      </w:r>
    </w:p>
    <w:p w:rsidR="00E017AA" w:rsidRDefault="00E017AA">
      <w:pPr>
        <w:tabs>
          <w:tab w:val="left" w:pos="567"/>
          <w:tab w:val="left" w:pos="1134"/>
          <w:tab w:val="left" w:pos="1701"/>
        </w:tabs>
        <w:spacing w:after="200"/>
      </w:pPr>
      <w:r>
        <w:t>263.</w:t>
      </w:r>
      <w:r>
        <w:tab/>
        <w:t>Различные условия труда для женщин и мужчин находят свое отражение в разных программах осуществления политики на рынке труда. Совету по рынку труда было дано указание принять в 2006 году меры по внедрению принципа гендерного равенства и преодолению гендерной сегрегации на рынке труда в деятельности своих служб занятости и при реализации программ. Кроме того, в 2006 году Совет должен представить доклад о мерах, которые необходимо разработать, с тем чтобы они лучше отвечали условиям на рынке труда мужчин и женщин. Доклад должен отражать гендерное распределение программ и мер, распределение ресурсов в разбивке по полу, а также гендерное распределение рабочих по завершении программы.</w:t>
      </w:r>
    </w:p>
    <w:p w:rsidR="00E017AA" w:rsidRDefault="00E017AA">
      <w:pPr>
        <w:tabs>
          <w:tab w:val="left" w:pos="567"/>
          <w:tab w:val="left" w:pos="1134"/>
          <w:tab w:val="left" w:pos="1701"/>
        </w:tabs>
        <w:spacing w:after="200"/>
      </w:pPr>
      <w:r>
        <w:t>264.</w:t>
      </w:r>
      <w:r>
        <w:tab/>
        <w:t>Как явствует из правительственного законопроекта (2004/05:175), касающегося целей политики в области информационных технологий, в данном секторе доминируют мужчины и занимают там лидирующие позиции. Кроме того, имеется значительный дисбаланс в оплате труда мужчин и женщин в секторе информационно-коммуникационных технологий как в частных, так и в государственных секторах. Образовательные программы в этой области также характеризуются искаженным гендерным распределением при явном преимуществе для мужчин. В указанном законопроекте предлагается разработать план действий, содержащий меры по достижению гендерного равенства в данном секторе. В настоящее время эти предложения рассматриваются в правительственных ведомствах.</w:t>
      </w:r>
    </w:p>
    <w:p w:rsidR="00E017AA" w:rsidRDefault="00E017AA">
      <w:pPr>
        <w:keepNext/>
        <w:tabs>
          <w:tab w:val="left" w:pos="567"/>
          <w:tab w:val="left" w:pos="1134"/>
          <w:tab w:val="left" w:pos="1701"/>
        </w:tabs>
        <w:spacing w:after="200"/>
        <w:rPr>
          <w:b/>
          <w:bCs/>
        </w:rPr>
      </w:pPr>
      <w:r>
        <w:rPr>
          <w:b/>
          <w:bCs/>
        </w:rPr>
        <w:t xml:space="preserve">Меры по содействию развитию предпринимательства среди женщин </w:t>
      </w:r>
    </w:p>
    <w:p w:rsidR="00E017AA" w:rsidRDefault="00E017AA">
      <w:pPr>
        <w:tabs>
          <w:tab w:val="left" w:pos="567"/>
          <w:tab w:val="left" w:pos="1134"/>
          <w:tab w:val="left" w:pos="1701"/>
        </w:tabs>
        <w:spacing w:after="200"/>
      </w:pPr>
      <w:r>
        <w:t>265.</w:t>
      </w:r>
      <w:r>
        <w:tab/>
        <w:t>См. также пятый доклад Швеции.</w:t>
      </w:r>
    </w:p>
    <w:p w:rsidR="00E017AA" w:rsidRDefault="00E017AA">
      <w:pPr>
        <w:tabs>
          <w:tab w:val="left" w:pos="567"/>
          <w:tab w:val="left" w:pos="1134"/>
          <w:tab w:val="left" w:pos="1701"/>
        </w:tabs>
        <w:spacing w:after="200"/>
      </w:pPr>
      <w:r>
        <w:t>266.</w:t>
      </w:r>
      <w:r>
        <w:tab/>
        <w:t>Проведенное в 2004 году обследование рынка труда показало, что примерно четверть всех предпринимателей в Швеции составляют женщины и три четверти – мужчины. В течение 1995–2004 годов доля женщин среди начинающих предпринимателей возросла с 25 до 32 процентов.</w:t>
      </w:r>
    </w:p>
    <w:p w:rsidR="00E017AA" w:rsidRDefault="00E017AA">
      <w:pPr>
        <w:tabs>
          <w:tab w:val="left" w:pos="567"/>
          <w:tab w:val="left" w:pos="1134"/>
          <w:tab w:val="left" w:pos="1701"/>
        </w:tabs>
        <w:spacing w:after="200"/>
      </w:pPr>
      <w:r>
        <w:t>267.</w:t>
      </w:r>
      <w:r>
        <w:tab/>
        <w:t>Подобно мужчинам, женщины управляют компаниями во всех секторах во всех частях страны. Женщины – руководители компаний в среднем моложе руководителей-мужчин: 63 процента женщин и 57 процентов мужчин моложе 50 лет. Большинство шведских компаний относятся к сфере услуг, и это самый распространенный сектор, в котором управляют компаниями как женщины, так и мужчины. Второе место по распространенности занимает розничная торговля. Меры правительства по оказанию помощи в создании и развитии компаний в 2002–2004 годах включали специальную меру по укреплению женского предпринимательства, в том числе оказание консультативных услуг в области ведения бизнеса, ориентированных на женщин, а также подготовку консультантов в этой сфере. Эта мера стала применяться на постоянной основе в 2005 году.</w:t>
      </w:r>
    </w:p>
    <w:p w:rsidR="00E017AA" w:rsidRDefault="00E017AA">
      <w:pPr>
        <w:tabs>
          <w:tab w:val="left" w:pos="567"/>
          <w:tab w:val="left" w:pos="1134"/>
          <w:tab w:val="left" w:pos="1701"/>
        </w:tabs>
        <w:spacing w:after="200"/>
      </w:pPr>
      <w:r>
        <w:t>268.</w:t>
      </w:r>
      <w:r>
        <w:tab/>
        <w:t xml:space="preserve">Была произведена оценка мер по укреплению женского предпринимательства, осуществленных в рамках программы в период 2002–2004 годов, которые дали хорошие результаты; среди прочего, возрос спрос на консультативные услуги в области бизнеса, предоставляемые женщинам. Улучшилось и географическое распространение таких услуг, число заявок на эти услуги ежегодно растет, а новый вид консультативной услуги, заключающейся в консультировании самими женщинами других женщин, явился удачным методом вовлечения новых целевых групп среди женщин. </w:t>
      </w:r>
    </w:p>
    <w:p w:rsidR="00E017AA" w:rsidRDefault="00E017AA">
      <w:pPr>
        <w:tabs>
          <w:tab w:val="left" w:pos="567"/>
          <w:tab w:val="left" w:pos="1134"/>
          <w:tab w:val="left" w:pos="1701"/>
        </w:tabs>
        <w:spacing w:after="200"/>
      </w:pPr>
      <w:r>
        <w:t>269.</w:t>
      </w:r>
      <w:r>
        <w:tab/>
        <w:t>В течение 2002–2004 годов действия программы всего было выделено 26,3 млн. шведских крон конкретно на содействие развитию женского предпринимательства. В 2005 году было ассигновано 11 млн. шведских крон. Всесторонние меры включают создание ресурсных центров для женщин (51 млн. шведских крон в 2005 году), о чем говорится ниже.</w:t>
      </w:r>
    </w:p>
    <w:p w:rsidR="00E017AA" w:rsidRDefault="00E017AA">
      <w:pPr>
        <w:tabs>
          <w:tab w:val="left" w:pos="567"/>
          <w:tab w:val="left" w:pos="1134"/>
          <w:tab w:val="left" w:pos="1701"/>
        </w:tabs>
        <w:spacing w:after="200"/>
      </w:pPr>
      <w:r>
        <w:t>270.</w:t>
      </w:r>
      <w:r>
        <w:tab/>
        <w:t>Примерно в 130 населенных пунктах Швеции существуют местные и региональные ресурсные центры для женщин. Деятельность этих центров фокусируется на повышении уровня знаний женщин-предпринимателей и способах осуществления проектов в области развития. На протяжении 2002–2004 годов осуществлялась задача по углублению аспектов гендерного равенства в предыдущих соглашениях по региональному развитию и в действующих в настоящее время программах регионального развития. С 2005 года задача состоит в том, чтобы данные центры оказывали помощь в улучшении условий и возможностей женщин принимать участие в программах по региональному развитию и в повышении действенности таких программ.</w:t>
      </w:r>
    </w:p>
    <w:p w:rsidR="00E017AA" w:rsidRDefault="00E017AA">
      <w:pPr>
        <w:tabs>
          <w:tab w:val="left" w:pos="567"/>
          <w:tab w:val="left" w:pos="1134"/>
          <w:tab w:val="left" w:pos="1701"/>
        </w:tabs>
        <w:spacing w:after="200"/>
      </w:pPr>
      <w:r>
        <w:t>271.</w:t>
      </w:r>
      <w:r>
        <w:tab/>
        <w:t xml:space="preserve">Государственная компания "ALMI Företagspartner", предоставляющая ссуды для компаний, в 2005 году увеличила размер ссуд для женщин. Одна из причин заключается в том, что с 2005 года </w:t>
      </w:r>
      <w:r>
        <w:rPr>
          <w:lang w:val="en-US"/>
        </w:rPr>
        <w:t>ALMI</w:t>
      </w:r>
      <w:r>
        <w:t xml:space="preserve"> начала осуществлять микрокредитование.</w:t>
      </w:r>
    </w:p>
    <w:p w:rsidR="00E017AA" w:rsidRDefault="00E017AA">
      <w:pPr>
        <w:keepNext/>
        <w:tabs>
          <w:tab w:val="left" w:pos="567"/>
          <w:tab w:val="left" w:pos="1134"/>
          <w:tab w:val="left" w:pos="1701"/>
        </w:tabs>
        <w:spacing w:before="100" w:after="200"/>
        <w:rPr>
          <w:b/>
          <w:bCs/>
        </w:rPr>
      </w:pPr>
      <w:r>
        <w:rPr>
          <w:b/>
          <w:bCs/>
        </w:rPr>
        <w:t>Пункт 1 </w:t>
      </w:r>
      <w:r>
        <w:rPr>
          <w:b/>
          <w:bCs/>
          <w:lang w:val="en-US"/>
        </w:rPr>
        <w:t>d</w:t>
      </w:r>
      <w:r>
        <w:rPr>
          <w:b/>
          <w:bCs/>
        </w:rPr>
        <w:t>) статьи 11. Равная оплата труда</w:t>
      </w:r>
    </w:p>
    <w:p w:rsidR="00E017AA" w:rsidRDefault="00E017AA">
      <w:pPr>
        <w:tabs>
          <w:tab w:val="left" w:pos="567"/>
          <w:tab w:val="left" w:pos="1134"/>
          <w:tab w:val="left" w:pos="1701"/>
        </w:tabs>
        <w:spacing w:after="200"/>
      </w:pPr>
      <w:r>
        <w:t>272.</w:t>
      </w:r>
      <w:r>
        <w:tab/>
        <w:t>См. также предыдущие доклады Швеции.</w:t>
      </w:r>
    </w:p>
    <w:p w:rsidR="00E017AA" w:rsidRDefault="00E017AA">
      <w:pPr>
        <w:tabs>
          <w:tab w:val="left" w:pos="567"/>
          <w:tab w:val="left" w:pos="1134"/>
          <w:tab w:val="left" w:pos="1701"/>
        </w:tabs>
        <w:spacing w:after="200"/>
      </w:pPr>
      <w:r>
        <w:t>273.</w:t>
      </w:r>
      <w:r>
        <w:tab/>
        <w:t xml:space="preserve">Официальная статистика оплаты труда была усовершенствована и теперь охватывает весь рынок труда. В настоящее время разработан метод, позволяющий постоянно отслеживать различия в оплате труда мужчин и женщин. Эта информация ежегодно представляется Статистическим бюро Швеции. </w:t>
      </w:r>
    </w:p>
    <w:p w:rsidR="00E017AA" w:rsidRDefault="00E017AA">
      <w:pPr>
        <w:tabs>
          <w:tab w:val="left" w:pos="567"/>
          <w:tab w:val="left" w:pos="1134"/>
          <w:tab w:val="left" w:pos="1701"/>
        </w:tabs>
        <w:spacing w:after="200"/>
      </w:pPr>
      <w:r>
        <w:t>274.</w:t>
      </w:r>
      <w:r>
        <w:tab/>
        <w:t>С начала 1990-х годов различия в оплате труда практически не изменились. Согласно статистическим данным о заработной плате, в среднем заработная плата женщин составляет 84 процента от заработной платы мужчин. Если произвести разбивку женщин и мужчин по возрасту, уровню образования, рабочему времени, сектору и профессиональным группам, то различия в заработной плате становятся меньше и заработная плата женщин составляет 92 процента от заработков мужчин. Фактором, обусловливающим расхождения в оплате труда, является главным образом род занятий. (Все расчеты основаны на оплате труда на условиях полной занятости.)</w:t>
      </w:r>
    </w:p>
    <w:tbl>
      <w:tblPr>
        <w:tblW w:w="0" w:type="auto"/>
        <w:tblInd w:w="108" w:type="dxa"/>
        <w:tblLayout w:type="fixed"/>
        <w:tblLook w:val="0000" w:firstRow="0" w:lastRow="0" w:firstColumn="0" w:lastColumn="0" w:noHBand="0" w:noVBand="0"/>
      </w:tblPr>
      <w:tblGrid>
        <w:gridCol w:w="819"/>
        <w:gridCol w:w="1547"/>
        <w:gridCol w:w="1371"/>
        <w:gridCol w:w="1411"/>
        <w:gridCol w:w="1310"/>
        <w:gridCol w:w="1411"/>
        <w:gridCol w:w="1310"/>
      </w:tblGrid>
      <w:tr w:rsidR="00E017AA">
        <w:tblPrEx>
          <w:tblCellMar>
            <w:top w:w="0" w:type="dxa"/>
            <w:bottom w:w="0" w:type="dxa"/>
          </w:tblCellMar>
        </w:tblPrEx>
        <w:trPr>
          <w:cantSplit/>
        </w:trPr>
        <w:tc>
          <w:tcPr>
            <w:tcW w:w="9179" w:type="dxa"/>
            <w:gridSpan w:val="7"/>
            <w:tcBorders>
              <w:bottom w:val="single" w:sz="4" w:space="0" w:color="auto"/>
            </w:tcBorders>
          </w:tcPr>
          <w:p w:rsidR="00E017AA" w:rsidRDefault="00E017AA">
            <w:pPr>
              <w:keepNext/>
              <w:spacing w:after="200"/>
              <w:ind w:left="0" w:hanging="108"/>
              <w:jc w:val="left"/>
              <w:rPr>
                <w:sz w:val="20"/>
              </w:rPr>
            </w:pPr>
            <w:r>
              <w:rPr>
                <w:b/>
                <w:sz w:val="20"/>
              </w:rPr>
              <w:t>Заработная плата женщин в процентах от заработной платы мужчин, 1996 и 2001–2004 годы</w:t>
            </w:r>
          </w:p>
        </w:tc>
      </w:tr>
      <w:tr w:rsidR="00E017AA">
        <w:tblPrEx>
          <w:tblCellMar>
            <w:top w:w="0" w:type="dxa"/>
            <w:bottom w:w="0" w:type="dxa"/>
          </w:tblCellMar>
        </w:tblPrEx>
        <w:trPr>
          <w:cantSplit/>
        </w:trPr>
        <w:tc>
          <w:tcPr>
            <w:tcW w:w="819"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Год</w:t>
            </w:r>
          </w:p>
        </w:tc>
        <w:tc>
          <w:tcPr>
            <w:tcW w:w="2918" w:type="dxa"/>
            <w:gridSpan w:val="2"/>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sz w:val="20"/>
              </w:rPr>
              <w:t>Государственный сектор</w:t>
            </w:r>
          </w:p>
        </w:tc>
        <w:tc>
          <w:tcPr>
            <w:tcW w:w="2721" w:type="dxa"/>
            <w:gridSpan w:val="2"/>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sz w:val="20"/>
              </w:rPr>
              <w:t>Частный сектор</w:t>
            </w:r>
          </w:p>
        </w:tc>
        <w:tc>
          <w:tcPr>
            <w:tcW w:w="2721" w:type="dxa"/>
            <w:gridSpan w:val="2"/>
            <w:tcBorders>
              <w:top w:val="single" w:sz="4" w:space="0" w:color="auto"/>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sz w:val="20"/>
              </w:rPr>
              <w:t>В целом</w:t>
            </w:r>
          </w:p>
        </w:tc>
      </w:tr>
      <w:tr w:rsidR="00E017AA">
        <w:tblPrEx>
          <w:tblCellMar>
            <w:top w:w="0" w:type="dxa"/>
            <w:bottom w:w="0" w:type="dxa"/>
          </w:tblCellMar>
        </w:tblPrEx>
        <w:tc>
          <w:tcPr>
            <w:tcW w:w="819"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p>
        </w:tc>
        <w:tc>
          <w:tcPr>
            <w:tcW w:w="1547"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Не ст. взв.</w:t>
            </w:r>
          </w:p>
        </w:tc>
        <w:tc>
          <w:tcPr>
            <w:tcW w:w="1371"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Ст. взв.</w:t>
            </w:r>
          </w:p>
        </w:tc>
        <w:tc>
          <w:tcPr>
            <w:tcW w:w="1411"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Не ст. взв.</w:t>
            </w:r>
          </w:p>
        </w:tc>
        <w:tc>
          <w:tcPr>
            <w:tcW w:w="1310"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Ст. взв.</w:t>
            </w:r>
          </w:p>
        </w:tc>
        <w:tc>
          <w:tcPr>
            <w:tcW w:w="1411"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Не ст. взв.</w:t>
            </w:r>
          </w:p>
        </w:tc>
        <w:tc>
          <w:tcPr>
            <w:tcW w:w="1310"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b/>
                <w:bCs/>
                <w:sz w:val="20"/>
              </w:rPr>
            </w:pPr>
            <w:r>
              <w:rPr>
                <w:b/>
                <w:bCs/>
                <w:sz w:val="20"/>
              </w:rPr>
              <w:t>Ст. взв.</w:t>
            </w:r>
          </w:p>
        </w:tc>
      </w:tr>
      <w:tr w:rsidR="00E017AA">
        <w:tblPrEx>
          <w:tblCellMar>
            <w:top w:w="0" w:type="dxa"/>
            <w:bottom w:w="0" w:type="dxa"/>
          </w:tblCellMar>
        </w:tblPrEx>
        <w:tc>
          <w:tcPr>
            <w:tcW w:w="819"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1996</w:t>
            </w:r>
          </w:p>
        </w:tc>
        <w:tc>
          <w:tcPr>
            <w:tcW w:w="1547"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81</w:t>
            </w:r>
          </w:p>
        </w:tc>
        <w:tc>
          <w:tcPr>
            <w:tcW w:w="1371"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95</w:t>
            </w:r>
          </w:p>
        </w:tc>
        <w:tc>
          <w:tcPr>
            <w:tcW w:w="1411"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85</w:t>
            </w:r>
          </w:p>
        </w:tc>
        <w:tc>
          <w:tcPr>
            <w:tcW w:w="1310"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91</w:t>
            </w:r>
          </w:p>
        </w:tc>
        <w:tc>
          <w:tcPr>
            <w:tcW w:w="1411"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83</w:t>
            </w:r>
          </w:p>
        </w:tc>
        <w:tc>
          <w:tcPr>
            <w:tcW w:w="1310" w:type="dxa"/>
            <w:tcBorders>
              <w:top w:val="single" w:sz="4" w:space="0" w:color="auto"/>
              <w:left w:val="single" w:sz="4" w:space="0" w:color="auto"/>
              <w:right w:val="single" w:sz="4" w:space="0" w:color="auto"/>
            </w:tcBorders>
          </w:tcPr>
          <w:p w:rsidR="00E017AA" w:rsidRDefault="00E017AA">
            <w:pPr>
              <w:keepNext/>
              <w:spacing w:before="100" w:after="100"/>
              <w:ind w:left="0" w:firstLine="0"/>
              <w:jc w:val="center"/>
              <w:rPr>
                <w:sz w:val="20"/>
              </w:rPr>
            </w:pPr>
            <w:r>
              <w:rPr>
                <w:sz w:val="20"/>
              </w:rPr>
              <w:t>92</w:t>
            </w:r>
          </w:p>
        </w:tc>
      </w:tr>
      <w:tr w:rsidR="00E017AA">
        <w:tblPrEx>
          <w:tblCellMar>
            <w:top w:w="0" w:type="dxa"/>
            <w:bottom w:w="0" w:type="dxa"/>
          </w:tblCellMar>
        </w:tblPrEx>
        <w:tc>
          <w:tcPr>
            <w:tcW w:w="819"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2000</w:t>
            </w:r>
          </w:p>
        </w:tc>
        <w:tc>
          <w:tcPr>
            <w:tcW w:w="1547"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82</w:t>
            </w:r>
          </w:p>
        </w:tc>
        <w:tc>
          <w:tcPr>
            <w:tcW w:w="137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95</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84</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90</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82</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92</w:t>
            </w:r>
          </w:p>
        </w:tc>
      </w:tr>
      <w:tr w:rsidR="00E017AA">
        <w:tblPrEx>
          <w:tblCellMar>
            <w:top w:w="0" w:type="dxa"/>
            <w:bottom w:w="0" w:type="dxa"/>
          </w:tblCellMar>
        </w:tblPrEx>
        <w:tc>
          <w:tcPr>
            <w:tcW w:w="819"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2001</w:t>
            </w:r>
          </w:p>
        </w:tc>
        <w:tc>
          <w:tcPr>
            <w:tcW w:w="1547"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82</w:t>
            </w:r>
          </w:p>
        </w:tc>
        <w:tc>
          <w:tcPr>
            <w:tcW w:w="137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96</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84</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90</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82</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92</w:t>
            </w:r>
          </w:p>
        </w:tc>
      </w:tr>
      <w:tr w:rsidR="00E017AA">
        <w:tblPrEx>
          <w:tblCellMar>
            <w:top w:w="0" w:type="dxa"/>
            <w:bottom w:w="0" w:type="dxa"/>
          </w:tblCellMar>
        </w:tblPrEx>
        <w:tc>
          <w:tcPr>
            <w:tcW w:w="819"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2002</w:t>
            </w:r>
          </w:p>
        </w:tc>
        <w:tc>
          <w:tcPr>
            <w:tcW w:w="1547"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82</w:t>
            </w:r>
          </w:p>
        </w:tc>
        <w:tc>
          <w:tcPr>
            <w:tcW w:w="137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95</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85</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90</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83</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92</w:t>
            </w:r>
          </w:p>
        </w:tc>
      </w:tr>
      <w:tr w:rsidR="00E017AA">
        <w:tblPrEx>
          <w:tblCellMar>
            <w:top w:w="0" w:type="dxa"/>
            <w:bottom w:w="0" w:type="dxa"/>
          </w:tblCellMar>
        </w:tblPrEx>
        <w:tc>
          <w:tcPr>
            <w:tcW w:w="819"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2003</w:t>
            </w:r>
          </w:p>
        </w:tc>
        <w:tc>
          <w:tcPr>
            <w:tcW w:w="1547"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82</w:t>
            </w:r>
          </w:p>
        </w:tc>
        <w:tc>
          <w:tcPr>
            <w:tcW w:w="137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96</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85</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90</w:t>
            </w:r>
          </w:p>
        </w:tc>
        <w:tc>
          <w:tcPr>
            <w:tcW w:w="1411"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84</w:t>
            </w:r>
          </w:p>
        </w:tc>
        <w:tc>
          <w:tcPr>
            <w:tcW w:w="1310" w:type="dxa"/>
            <w:tcBorders>
              <w:left w:val="single" w:sz="4" w:space="0" w:color="auto"/>
              <w:right w:val="single" w:sz="4" w:space="0" w:color="auto"/>
            </w:tcBorders>
          </w:tcPr>
          <w:p w:rsidR="00E017AA" w:rsidRDefault="00E017AA">
            <w:pPr>
              <w:keepNext/>
              <w:spacing w:before="100" w:after="100"/>
              <w:ind w:left="0" w:firstLine="0"/>
              <w:jc w:val="center"/>
              <w:rPr>
                <w:sz w:val="20"/>
              </w:rPr>
            </w:pPr>
            <w:r>
              <w:rPr>
                <w:sz w:val="20"/>
              </w:rPr>
              <w:t>92</w:t>
            </w:r>
          </w:p>
        </w:tc>
      </w:tr>
      <w:tr w:rsidR="00E017AA">
        <w:tblPrEx>
          <w:tblCellMar>
            <w:top w:w="0" w:type="dxa"/>
            <w:bottom w:w="0" w:type="dxa"/>
          </w:tblCellMar>
        </w:tblPrEx>
        <w:tc>
          <w:tcPr>
            <w:tcW w:w="819"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2004</w:t>
            </w:r>
          </w:p>
        </w:tc>
        <w:tc>
          <w:tcPr>
            <w:tcW w:w="1547"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83</w:t>
            </w:r>
          </w:p>
        </w:tc>
        <w:tc>
          <w:tcPr>
            <w:tcW w:w="1371"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96</w:t>
            </w:r>
          </w:p>
        </w:tc>
        <w:tc>
          <w:tcPr>
            <w:tcW w:w="1411"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85</w:t>
            </w:r>
          </w:p>
        </w:tc>
        <w:tc>
          <w:tcPr>
            <w:tcW w:w="1310"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91</w:t>
            </w:r>
          </w:p>
        </w:tc>
        <w:tc>
          <w:tcPr>
            <w:tcW w:w="1411"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83</w:t>
            </w:r>
          </w:p>
        </w:tc>
        <w:tc>
          <w:tcPr>
            <w:tcW w:w="1310" w:type="dxa"/>
            <w:tcBorders>
              <w:left w:val="single" w:sz="4" w:space="0" w:color="auto"/>
              <w:bottom w:val="single" w:sz="4" w:space="0" w:color="auto"/>
              <w:right w:val="single" w:sz="4" w:space="0" w:color="auto"/>
            </w:tcBorders>
          </w:tcPr>
          <w:p w:rsidR="00E017AA" w:rsidRDefault="00E017AA">
            <w:pPr>
              <w:keepNext/>
              <w:spacing w:before="100" w:after="100"/>
              <w:ind w:left="0" w:firstLine="0"/>
              <w:jc w:val="center"/>
              <w:rPr>
                <w:sz w:val="20"/>
              </w:rPr>
            </w:pPr>
            <w:r>
              <w:rPr>
                <w:sz w:val="20"/>
              </w:rPr>
              <w:t>92</w:t>
            </w:r>
          </w:p>
        </w:tc>
      </w:tr>
      <w:tr w:rsidR="00E017AA">
        <w:tblPrEx>
          <w:tblCellMar>
            <w:top w:w="0" w:type="dxa"/>
            <w:bottom w:w="0" w:type="dxa"/>
          </w:tblCellMar>
        </w:tblPrEx>
        <w:trPr>
          <w:cantSplit/>
        </w:trPr>
        <w:tc>
          <w:tcPr>
            <w:tcW w:w="9179" w:type="dxa"/>
            <w:gridSpan w:val="7"/>
            <w:tcBorders>
              <w:top w:val="single" w:sz="4" w:space="0" w:color="auto"/>
            </w:tcBorders>
          </w:tcPr>
          <w:p w:rsidR="00E017AA" w:rsidRDefault="00E017AA">
            <w:pPr>
              <w:keepNext/>
              <w:spacing w:before="120" w:after="200"/>
              <w:ind w:left="-108" w:firstLine="0"/>
              <w:rPr>
                <w:iCs/>
                <w:sz w:val="20"/>
                <w:highlight w:val="yellow"/>
              </w:rPr>
            </w:pPr>
            <w:r>
              <w:rPr>
                <w:iCs/>
                <w:sz w:val="20"/>
              </w:rPr>
              <w:t>Ст. взв. = стандартная взвешенная; учитываются возраст, образование, сектор, рабочее время (для работающих неполный рабочий день пересчитано на полный рабочий день) и профессиональная группа.</w:t>
            </w:r>
          </w:p>
        </w:tc>
      </w:tr>
      <w:tr w:rsidR="00E017AA">
        <w:tblPrEx>
          <w:tblCellMar>
            <w:top w:w="0" w:type="dxa"/>
            <w:bottom w:w="0" w:type="dxa"/>
          </w:tblCellMar>
        </w:tblPrEx>
        <w:trPr>
          <w:cantSplit/>
        </w:trPr>
        <w:tc>
          <w:tcPr>
            <w:tcW w:w="9179" w:type="dxa"/>
            <w:gridSpan w:val="7"/>
          </w:tcPr>
          <w:p w:rsidR="00E017AA" w:rsidRDefault="00E017AA">
            <w:pPr>
              <w:spacing w:after="200"/>
              <w:ind w:left="-108" w:firstLine="0"/>
              <w:rPr>
                <w:sz w:val="20"/>
                <w:highlight w:val="yellow"/>
              </w:rPr>
            </w:pPr>
            <w:r>
              <w:rPr>
                <w:i/>
                <w:sz w:val="20"/>
              </w:rPr>
              <w:t xml:space="preserve">Источник: </w:t>
            </w:r>
            <w:r>
              <w:rPr>
                <w:iCs/>
                <w:sz w:val="20"/>
              </w:rPr>
              <w:t>Статистическое бюро Швеции.</w:t>
            </w:r>
          </w:p>
        </w:tc>
      </w:tr>
    </w:tbl>
    <w:p w:rsidR="00E017AA" w:rsidRDefault="00E017AA">
      <w:pPr>
        <w:tabs>
          <w:tab w:val="left" w:pos="567"/>
          <w:tab w:val="left" w:pos="1134"/>
          <w:tab w:val="left" w:pos="1701"/>
        </w:tabs>
        <w:spacing w:after="0"/>
        <w:rPr>
          <w:b/>
        </w:rPr>
      </w:pPr>
    </w:p>
    <w:p w:rsidR="00E017AA" w:rsidRDefault="00E017AA">
      <w:pPr>
        <w:tabs>
          <w:tab w:val="left" w:pos="567"/>
          <w:tab w:val="left" w:pos="1134"/>
          <w:tab w:val="left" w:pos="1701"/>
        </w:tabs>
        <w:spacing w:after="0"/>
        <w:rPr>
          <w:b/>
        </w:rPr>
      </w:pPr>
    </w:p>
    <w:p w:rsidR="00E017AA" w:rsidRDefault="00E017AA">
      <w:pPr>
        <w:keepNext/>
        <w:tabs>
          <w:tab w:val="left" w:pos="567"/>
          <w:tab w:val="left" w:pos="1134"/>
          <w:tab w:val="left" w:pos="1701"/>
        </w:tabs>
        <w:spacing w:after="200"/>
        <w:rPr>
          <w:b/>
          <w:bCs/>
        </w:rPr>
      </w:pPr>
      <w:r>
        <w:rPr>
          <w:b/>
          <w:bCs/>
        </w:rPr>
        <w:t>Оценка труда</w:t>
      </w:r>
    </w:p>
    <w:p w:rsidR="00E017AA" w:rsidRDefault="00E017AA">
      <w:pPr>
        <w:tabs>
          <w:tab w:val="left" w:pos="567"/>
          <w:tab w:val="left" w:pos="1134"/>
          <w:tab w:val="left" w:pos="1701"/>
        </w:tabs>
        <w:spacing w:after="200"/>
      </w:pPr>
      <w:r>
        <w:t>275.</w:t>
      </w:r>
      <w:r>
        <w:tab/>
        <w:t>Омбудсменом по вопросам равенства возможностей был разработан простой и быстрый метод оценки труда и заработной платы; см. также материал о пункте с) статьи 2.</w:t>
      </w:r>
    </w:p>
    <w:p w:rsidR="00E017AA" w:rsidRDefault="00E017AA">
      <w:pPr>
        <w:tabs>
          <w:tab w:val="left" w:pos="567"/>
          <w:tab w:val="left" w:pos="1134"/>
          <w:tab w:val="left" w:pos="1701"/>
        </w:tabs>
        <w:spacing w:after="200"/>
      </w:pPr>
      <w:r>
        <w:t>276.</w:t>
      </w:r>
      <w:r>
        <w:tab/>
        <w:t>Более подробная информация о системах оценки труда содержится в предыдущем докладе.</w:t>
      </w:r>
    </w:p>
    <w:p w:rsidR="00E017AA" w:rsidRDefault="00E017AA">
      <w:pPr>
        <w:keepNext/>
        <w:tabs>
          <w:tab w:val="left" w:pos="567"/>
          <w:tab w:val="left" w:pos="1134"/>
          <w:tab w:val="left" w:pos="1701"/>
        </w:tabs>
        <w:spacing w:after="200"/>
        <w:rPr>
          <w:b/>
          <w:bCs/>
        </w:rPr>
      </w:pPr>
      <w:r>
        <w:rPr>
          <w:b/>
          <w:bCs/>
        </w:rPr>
        <w:t>Меры по устранению дискриминации в оплате труда</w:t>
      </w:r>
    </w:p>
    <w:p w:rsidR="00E017AA" w:rsidRDefault="00E017AA">
      <w:pPr>
        <w:tabs>
          <w:tab w:val="left" w:pos="567"/>
          <w:tab w:val="left" w:pos="1134"/>
          <w:tab w:val="left" w:pos="1701"/>
        </w:tabs>
        <w:spacing w:after="200"/>
      </w:pPr>
      <w:r>
        <w:t>277.</w:t>
      </w:r>
      <w:r>
        <w:tab/>
        <w:t>См. также материал о пункте </w:t>
      </w:r>
      <w:r>
        <w:rPr>
          <w:lang w:val="en-US"/>
        </w:rPr>
        <w:t>b</w:t>
      </w:r>
      <w:r>
        <w:t>) статьи 2 настоящего доклада.</w:t>
      </w:r>
    </w:p>
    <w:p w:rsidR="00E017AA" w:rsidRDefault="00E017AA">
      <w:pPr>
        <w:tabs>
          <w:tab w:val="left" w:pos="567"/>
          <w:tab w:val="left" w:pos="1134"/>
          <w:tab w:val="left" w:pos="1701"/>
        </w:tabs>
        <w:spacing w:after="200"/>
      </w:pPr>
      <w:r>
        <w:t>278.</w:t>
      </w:r>
      <w:r>
        <w:tab/>
        <w:t>1 января 2001 года были усилены и уточнены положения Закона о равных возможностях. По словам омбудсмена по вопросам равенства возможностей, эти положения начали оказывать четкое воздействие в основном в последние два года. Успешность данных положений состояла в том, что были скорректированы заработные платы многих групп, а также лиц среди преимущественно женских профессий.</w:t>
      </w:r>
    </w:p>
    <w:p w:rsidR="00E017AA" w:rsidRDefault="00E017AA">
      <w:pPr>
        <w:tabs>
          <w:tab w:val="left" w:pos="567"/>
          <w:tab w:val="left" w:pos="1134"/>
          <w:tab w:val="left" w:pos="1701"/>
        </w:tabs>
        <w:spacing w:after="200"/>
      </w:pPr>
      <w:r>
        <w:t>279.</w:t>
      </w:r>
      <w:r>
        <w:tab/>
        <w:t>С 2006 года омбудсмен по вопросам равенства возможностей получил дополнительные средства на работу по противодействию необоснованным диспропорциям в заработной плате.</w:t>
      </w:r>
    </w:p>
    <w:p w:rsidR="00E017AA" w:rsidRDefault="00E017AA">
      <w:pPr>
        <w:tabs>
          <w:tab w:val="left" w:pos="567"/>
          <w:tab w:val="left" w:pos="1134"/>
          <w:tab w:val="left" w:pos="1701"/>
        </w:tabs>
        <w:spacing w:after="180"/>
      </w:pPr>
      <w:r>
        <w:t>280.</w:t>
      </w:r>
      <w:r>
        <w:tab/>
        <w:t>Статистика показывает, что диспропорции в заработной плате в государственном секторе различаются в зависимости от того, какой подсектор изучается. Такие диспропорции в заработной плате невелики в муниципалитетах, но весьма ощутимы в советах ленов. Это объясняется тем, что большое число различных профессий сравниваются друг с другом, включая врачей – категорию, в которой многие мужчины имеют высокую заработную плату. Их зарплаты сравниваются с зарплатами низкооплачиваемых санитаров, большинство которых – женщины. В целом в государственном секторе различия в заработной плате у женщин и мужчин несколько бóльшие, чем в частном секторе. После стандартного взвешивания (см. выше, подпись под таблицей) имеет место обратное: диспропорции в заработной плате в частном секторе бóльшие, чем в государственном секторе.</w:t>
      </w:r>
    </w:p>
    <w:p w:rsidR="00E017AA" w:rsidRDefault="00E017AA">
      <w:pPr>
        <w:tabs>
          <w:tab w:val="left" w:pos="567"/>
          <w:tab w:val="left" w:pos="1134"/>
          <w:tab w:val="left" w:pos="1701"/>
        </w:tabs>
        <w:spacing w:after="180"/>
      </w:pPr>
      <w:r>
        <w:t>281.</w:t>
      </w:r>
      <w:r>
        <w:tab/>
        <w:t>Как свидетельствует статистика, на рынке труда в целом различия в заработной плате составляют в среднем 8 процентов с учетом ряда предопределенных факторов, которые влияют на заработную плату. Тем не менее нельзя с уверенностью утверждать, что остающиеся 8 процентов диспропорции в оплате труда объясняются дискриминацией. Это может быть определено только на основе обследования и анализа, предписанных в Законе о равных возможностях.</w:t>
      </w:r>
    </w:p>
    <w:p w:rsidR="00E017AA" w:rsidRDefault="00E017AA">
      <w:pPr>
        <w:tabs>
          <w:tab w:val="left" w:pos="567"/>
          <w:tab w:val="left" w:pos="1134"/>
          <w:tab w:val="left" w:pos="1701"/>
        </w:tabs>
        <w:spacing w:after="180"/>
      </w:pPr>
      <w:r>
        <w:t>282.</w:t>
      </w:r>
      <w:r>
        <w:tab/>
        <w:t>Задачами Арбитражного института являются разрешение трудовых споров и содействие процессу формирования эффективной заработной платы. Институт обязан представлять статистику по заработной плате и ежегодно публиковать доклад о тенденциях в области заработной платы, одна из глав которого посвящена анализу тенденций в отношении заработной платы с учетом гендерного фактора.</w:t>
      </w:r>
    </w:p>
    <w:p w:rsidR="00E017AA" w:rsidRDefault="00E017AA">
      <w:pPr>
        <w:tabs>
          <w:tab w:val="left" w:pos="567"/>
          <w:tab w:val="left" w:pos="1134"/>
          <w:tab w:val="left" w:pos="1701"/>
        </w:tabs>
        <w:spacing w:after="180"/>
      </w:pPr>
      <w:r>
        <w:t>283.</w:t>
      </w:r>
      <w:r>
        <w:tab/>
        <w:t>Формирование заработной платы относится к ведению работодателей и профсоюзов. Поэтому при выделении ассигнований на 2003 и 2004 годы Арбитражному институту было поручено, чтобы в своих директивах сторонам, ведущим переговоры о заключении новых соглашений, он указал на важность такого формулирования основных положений соглашений, чтобы они облегчали работу сторон на местах в целях достижения равной оплаты труда мужчин и женщин.</w:t>
      </w:r>
    </w:p>
    <w:p w:rsidR="00E017AA" w:rsidRDefault="00E017AA">
      <w:pPr>
        <w:tabs>
          <w:tab w:val="left" w:pos="567"/>
          <w:tab w:val="left" w:pos="1134"/>
          <w:tab w:val="left" w:pos="1701"/>
        </w:tabs>
        <w:spacing w:after="200"/>
      </w:pPr>
      <w:r>
        <w:t>284.</w:t>
      </w:r>
      <w:r>
        <w:tab/>
        <w:t>По просьбе Арбитражного института Статистическое бюро Швеции в 2003 году провело анализ того, оказали ли поправки к Закону о равных возможностях какое-либо воздействие, которое может быть статистически значимым. В ходе данного исследования изучалось, уменьшились ли диспропорции в оплате труда женщин и мужчин, выполняющих одинаковую работу, в результате принятия поправок к Закону о равных возможностях. Были обследованы группы работников в муниципалитетах, советах ленов и нескольких государственных учреждениях. По результатам данного исследования можно сделать следующие выводы. Как правило, невозможно выявить какие-либо четкие признаки дискриминации в отношении заработной платы в государственном секторе; в основном женщины и мужчины, выполняющие одинаковую работу, имеют равную заработную плату; большинство различий в заработной плате, выявленных в ходе общественных дискуссий и зачастую описываемых как "дискриминация при оплате труда", связано с профессиональными различиями.</w:t>
      </w:r>
    </w:p>
    <w:p w:rsidR="00E017AA" w:rsidRDefault="00E017AA">
      <w:pPr>
        <w:tabs>
          <w:tab w:val="left" w:pos="567"/>
          <w:tab w:val="left" w:pos="1134"/>
          <w:tab w:val="left" w:pos="1701"/>
        </w:tabs>
        <w:spacing w:after="200"/>
      </w:pPr>
      <w:r>
        <w:t>285.</w:t>
      </w:r>
      <w:r>
        <w:tab/>
        <w:t>С целью сокращения структурных диспропорций в оплате труда женщин и мужчин в государственном секторе правительство предложило в своей бюджетной смете на 2006 год выделять муниципальному сектору дополнительные ресурсы в течение следующих нескольких лет. До следующего раунда коллективных переговоров будут проведены переговоры с Шведской ассоциацией местных органов власти и регионов, с тем чтобы выяснить, что необходимо предпринять для сокращения разрыва в оплате труда женщин и мужчин.</w:t>
      </w:r>
    </w:p>
    <w:p w:rsidR="00E017AA" w:rsidRDefault="00E017AA">
      <w:pPr>
        <w:tabs>
          <w:tab w:val="left" w:pos="567"/>
          <w:tab w:val="left" w:pos="1134"/>
          <w:tab w:val="left" w:pos="1701"/>
        </w:tabs>
        <w:spacing w:after="200"/>
      </w:pPr>
      <w:r>
        <w:t>286.</w:t>
      </w:r>
      <w:r>
        <w:tab/>
        <w:t>В июне правительство представило риксдагу план действий по обеспечению равной оплаты труда (Govt. Communication 2005/06:213). Данный план охватывает те сферы, которые прямо или косвенно влияют на заработную плату. Это означает, что план не только затрагивает Закон о равных возможностях, но также охватывает такие сферы, как занятость, постоянное профессиональное совершенствование и распределение оплачиваемой и неоплачиваемой работы. Долгосрочная цель заключается в прекращении какой бы то ни было гендерной дискриминации на рынке труда.</w:t>
      </w:r>
    </w:p>
    <w:p w:rsidR="00E017AA" w:rsidRDefault="00E017AA">
      <w:pPr>
        <w:keepNext/>
        <w:tabs>
          <w:tab w:val="left" w:pos="567"/>
          <w:tab w:val="left" w:pos="1134"/>
          <w:tab w:val="left" w:pos="1701"/>
        </w:tabs>
        <w:spacing w:after="200"/>
        <w:rPr>
          <w:b/>
          <w:bCs/>
        </w:rPr>
      </w:pPr>
      <w:r>
        <w:rPr>
          <w:b/>
          <w:bCs/>
        </w:rPr>
        <w:t>Пункт 1 е) статьи 11. Социальное обеспечение: социальное страхование</w:t>
      </w:r>
    </w:p>
    <w:p w:rsidR="00E017AA" w:rsidRDefault="00E017AA">
      <w:pPr>
        <w:tabs>
          <w:tab w:val="left" w:pos="567"/>
          <w:tab w:val="left" w:pos="1134"/>
          <w:tab w:val="left" w:pos="1701"/>
        </w:tabs>
        <w:spacing w:after="200"/>
      </w:pPr>
      <w:r>
        <w:t>287.</w:t>
      </w:r>
      <w:r>
        <w:tab/>
        <w:t>С 1997 года Шведское управление социального страхования провело ряд обследований в отношении того, в какой мере в предоставляемых им пособиях и компенсациях учитываются гендерные аспекты. Результаты его самого последнего исследования были представлены правительству в докладе за 2005 год. В докладе подчеркивается необходимость принятия мер с целью обеспечения системе социального страхования большей степени гендерного равенства. Кроме того, в докладе говорится о трудностях и проблемах, связанных с анализом и оформлением конкретных дел по социальному страхованию, прежде всего в отношении страхования по болезни.</w:t>
      </w:r>
    </w:p>
    <w:p w:rsidR="00E017AA" w:rsidRDefault="00E017AA">
      <w:pPr>
        <w:tabs>
          <w:tab w:val="left" w:pos="567"/>
          <w:tab w:val="left" w:pos="1134"/>
          <w:tab w:val="left" w:pos="1701"/>
        </w:tabs>
        <w:spacing w:after="200"/>
      </w:pPr>
      <w:r>
        <w:t>288.</w:t>
      </w:r>
      <w:r>
        <w:tab/>
        <w:t>Для обеспечения того чтобы анализ и принятие решений в отношении страхования по болезни осуществлялись одинаково для мужчин и для женщин, правительство поручило Управлению социального страхования составить план актуализации гендерного фактора применительно к практике социального страхования. Управление должно разработать методы и процедуры обращения должностных лиц с конкретными людьми, а также единообразно и в соответствии с законом решать вопросы страхования по болезни безотносительно к полу данного конкретного лица.</w:t>
      </w:r>
    </w:p>
    <w:p w:rsidR="00E017AA" w:rsidRDefault="00E017AA">
      <w:pPr>
        <w:tabs>
          <w:tab w:val="left" w:pos="567"/>
          <w:tab w:val="left" w:pos="1134"/>
          <w:tab w:val="left" w:pos="1701"/>
        </w:tabs>
        <w:spacing w:after="200"/>
      </w:pPr>
      <w:r>
        <w:t>289.</w:t>
      </w:r>
      <w:r>
        <w:tab/>
        <w:t>Существуют большие различия в отношении пропусков рабочих дней по болезни у мужчин и у женщин. На долю женщин приходится 62 процента пропущенных по болезни рабочих дней, а на долю мужчин – 38 процентов. Отмечающееся в последние годы сокращение числа пропущенных по болезни рабочих дней было одинаковым у мужчин и женщин. Пропуски по болезни среди занятый неполный рабочий день несколько больше у женщин, чем у мужчин. В марте 2006 года пропуски по болезни у женщин, занятых неполный рабочий день, составляли 37 процентов, а у мужчин – 32 процента.</w:t>
      </w:r>
    </w:p>
    <w:p w:rsidR="00E017AA" w:rsidRDefault="00E017AA">
      <w:pPr>
        <w:keepNext/>
        <w:tabs>
          <w:tab w:val="left" w:pos="567"/>
          <w:tab w:val="left" w:pos="1134"/>
          <w:tab w:val="left" w:pos="1701"/>
        </w:tabs>
        <w:spacing w:after="200"/>
        <w:rPr>
          <w:b/>
          <w:bCs/>
        </w:rPr>
      </w:pPr>
      <w:r>
        <w:rPr>
          <w:b/>
          <w:bCs/>
        </w:rPr>
        <w:t>Забота о престарелых</w:t>
      </w:r>
    </w:p>
    <w:p w:rsidR="00E017AA" w:rsidRDefault="00E017AA">
      <w:pPr>
        <w:tabs>
          <w:tab w:val="left" w:pos="567"/>
          <w:tab w:val="left" w:pos="1134"/>
          <w:tab w:val="left" w:pos="1701"/>
        </w:tabs>
        <w:spacing w:after="200"/>
      </w:pPr>
      <w:r>
        <w:t>290.</w:t>
      </w:r>
      <w:r>
        <w:tab/>
        <w:t>У родственников-женщин, в основном пожилых жен и дочерей среднего возраста, наблюдается увеличение времени неоплачиваемой работы, которую они посвящают уходу за престарелыми женщинами и мужчинами. У родственников-мужчин среднего возраста не отмечается аналогичного увеличения времени на такую работу. Правительство считает, что в данной области крайне важно учитывать гендерный фактор, а также анализировать возможные последствия возложения большего бремени ответственности и такого рода труда для здоровья женщин и их способности заниматься оплачиваемой работой.</w:t>
      </w:r>
    </w:p>
    <w:p w:rsidR="00E017AA" w:rsidRDefault="00E017AA">
      <w:pPr>
        <w:tabs>
          <w:tab w:val="left" w:pos="567"/>
          <w:tab w:val="left" w:pos="1134"/>
          <w:tab w:val="left" w:pos="1701"/>
        </w:tabs>
        <w:spacing w:after="200"/>
      </w:pPr>
      <w:r>
        <w:t>291.</w:t>
      </w:r>
      <w:r>
        <w:tab/>
        <w:t>Информация о предложенной правительством новой вспомогательной цели обеспечения гендерного равенства в плане равномерного распределения неоплачиваемой домашней работы и работы по уходу содержится в разделе настоящего доклада, посвященном статье 5.</w:t>
      </w:r>
    </w:p>
    <w:p w:rsidR="00E017AA" w:rsidRDefault="00E017AA">
      <w:pPr>
        <w:tabs>
          <w:tab w:val="left" w:pos="567"/>
          <w:tab w:val="left" w:pos="1134"/>
          <w:tab w:val="left" w:pos="1701"/>
        </w:tabs>
        <w:spacing w:after="200"/>
      </w:pPr>
      <w:r>
        <w:t>292.</w:t>
      </w:r>
      <w:r>
        <w:tab/>
        <w:t>Доля пожилых, и в частности престарелых, в численности населения увеличилась. Больше женщин, чем мужчин, получают уход по достижении соответствующего возраста, поскольку в среднем женщины живут дольше, чем мужчины. Большинство женщин к концу своей жизни живут в одиночестве, в то время как большинство мужчин живут с партнером на протяжении всей своей жизни. Если проанализировать положение состоявших в браке пожилых женщин и мужчин, то можно отметить, что женщины, нуждающиеся в помощи, получают бóльшую финансируемую государством помощь по сравнению с мужчинами, нуждающимися в помощи. Эта ситуация также применима к случаям, когда требуется учитывать возраст и плохое состояние здоровья, и это свидетельствует о различии в требованиях, предъявляемых к родственникам женщин и мужчин, что явствует из доклада о расследовании совместно финансируемых действий по обеспечению равенства в сфере местного самоуправления (SOU 2003:88).</w:t>
      </w:r>
    </w:p>
    <w:p w:rsidR="00E017AA" w:rsidRDefault="00E017AA">
      <w:pPr>
        <w:tabs>
          <w:tab w:val="left" w:pos="567"/>
          <w:tab w:val="left" w:pos="1134"/>
          <w:tab w:val="left" w:pos="1701"/>
        </w:tabs>
        <w:spacing w:after="200"/>
      </w:pPr>
      <w:r>
        <w:t>293.</w:t>
      </w:r>
      <w:r>
        <w:tab/>
        <w:t>Вопрос о равенстве мужчин и женщин в отношении ухода за престарелыми анализируется в докладе об оказании социальных услуг на равной основе независимо от пола. В 2002 году Национальному совету по здравоохранению и социальным делам было поручено отследить, проанализировать и доложить о гендерных различиях в сферах деятельности служб здравоохранения и ухода, а также оказания социальных услуг. Данное поручение было выполнено в 2004 году. В представленном докладе содержались предложения о том, как улучшить положение дел со сбором статистических данных и сделать их более индивидуализированными, а также о необходимости совершенствования знаний о той роли, которую играет оценка потребности в помощи. Аналогичным образом требуется больше сведений о случаях насилия и дурного обращения в отношении пожилых женщин и мужчин.</w:t>
      </w:r>
    </w:p>
    <w:p w:rsidR="00E017AA" w:rsidRDefault="00E017AA">
      <w:pPr>
        <w:tabs>
          <w:tab w:val="left" w:pos="567"/>
          <w:tab w:val="left" w:pos="1134"/>
          <w:tab w:val="left" w:pos="1701"/>
        </w:tabs>
        <w:spacing w:after="200"/>
      </w:pPr>
      <w:r>
        <w:t>294.</w:t>
      </w:r>
      <w:r>
        <w:tab/>
        <w:t>В марте 2006 года правительство представило риксдагу национальный план совершенствования заботы о пожилых (Govt. Bill</w:t>
      </w:r>
      <w:r>
        <w:rPr>
          <w:color w:val="000000"/>
        </w:rPr>
        <w:t xml:space="preserve"> </w:t>
      </w:r>
      <w:r>
        <w:t>2005/06:115). Данный план призван обеспечить руководящие указания и финансовую поддержку для совершенствования заботы о пожилых на десятилетний период. Данный план был одобрен риксдагом и 1 июля 2006 года стал законом.</w:t>
      </w:r>
    </w:p>
    <w:p w:rsidR="00E017AA" w:rsidRDefault="00E017AA">
      <w:pPr>
        <w:keepNext/>
        <w:tabs>
          <w:tab w:val="left" w:pos="567"/>
          <w:tab w:val="left" w:pos="1134"/>
          <w:tab w:val="left" w:pos="1701"/>
        </w:tabs>
        <w:spacing w:after="200"/>
        <w:rPr>
          <w:b/>
          <w:bCs/>
        </w:rPr>
      </w:pPr>
      <w:r>
        <w:rPr>
          <w:b/>
          <w:bCs/>
        </w:rPr>
        <w:t>Женщины-инвалиды</w:t>
      </w:r>
    </w:p>
    <w:p w:rsidR="00E017AA" w:rsidRDefault="00E017AA">
      <w:pPr>
        <w:tabs>
          <w:tab w:val="left" w:pos="567"/>
          <w:tab w:val="left" w:pos="1134"/>
          <w:tab w:val="left" w:pos="1701"/>
        </w:tabs>
        <w:spacing w:after="200"/>
      </w:pPr>
      <w:r>
        <w:t>295.</w:t>
      </w:r>
      <w:r>
        <w:tab/>
        <w:t>В своем докладе 2005 года о положении с обеспечением ухода за инвалидами Национальный совет по здравоохранению и социальным делам отмечает, что, судя по всему, мужчинам-инвалидам в большей степени, чем женщинам-инвалидам, предоставляется помощь в плане облегчения доступа к трудовой деятельности, в то время как помощь женщинам зачастую служит заменой различных видов занятости и работы. Наблюдается относительно равное распределение между женщинами и мужчинами в плане мер Закона об оказании поддержки и обеспечении услуг лицам с определенными функциональными нарушениями, не считая мер в отношении контактных лиц, жилищных условий для взрослых и повседневной деятельности, которыми пользуются в большинстве случаев мужчины. Большему числу мужчин также предоставляется помощь в соответствии с Законом о пособиях и помощи. Большему числу женщин по сравнению с мужчинами оказываются услуги по оказанию помощи на дому, но большее число мужчин, чем женщин, получают жилье наряду со специальной помощью в соответствии с Законом о социальных услугах.</w:t>
      </w:r>
    </w:p>
    <w:p w:rsidR="00E017AA" w:rsidRDefault="00E017AA">
      <w:pPr>
        <w:tabs>
          <w:tab w:val="left" w:pos="567"/>
          <w:tab w:val="left" w:pos="1134"/>
          <w:tab w:val="left" w:pos="1701"/>
        </w:tabs>
        <w:spacing w:after="200"/>
      </w:pPr>
      <w:r>
        <w:t>296.</w:t>
      </w:r>
      <w:r>
        <w:tab/>
        <w:t>На основе доклада о равных в гендерном отношении социальных услугах (см. выше, в разделе "Забота о пожилых" настоящей статьи) Национальному совету по здравоохранению и социальным делам было поручено доложить о мерах по активизации гендерного аспекта при оказании социальных услуг, а также о том, каково было воздействие этих мер. Доклад охватывает политику в отношении инвалидов, политику в интересах пожилых и политику в области оказания социальных услуг. Административные советы ленов также должны доложить, каким образом актуализируется гендерный аспект в их деятельности.</w:t>
      </w:r>
    </w:p>
    <w:p w:rsidR="00E017AA" w:rsidRDefault="00E017AA">
      <w:pPr>
        <w:tabs>
          <w:tab w:val="left" w:pos="567"/>
          <w:tab w:val="left" w:pos="1134"/>
          <w:tab w:val="left" w:pos="1701"/>
        </w:tabs>
        <w:spacing w:after="200"/>
      </w:pPr>
      <w:r>
        <w:br w:type="page"/>
        <w:t>297.</w:t>
      </w:r>
      <w:r>
        <w:tab/>
        <w:t>С июля 2004 года общественному комитету (S 2004:06) дано поручение правительства осуществить обзор оказываемой помощи определенным лицам с функциональными нарушениями. В своей деятельности комитет должен уделять первостепенное внимание гендерному равенству.</w:t>
      </w:r>
    </w:p>
    <w:p w:rsidR="00E017AA" w:rsidRDefault="00E017AA">
      <w:pPr>
        <w:tabs>
          <w:tab w:val="left" w:pos="567"/>
          <w:tab w:val="left" w:pos="1134"/>
          <w:tab w:val="left" w:pos="1701"/>
        </w:tabs>
        <w:spacing w:after="200"/>
      </w:pPr>
      <w:r>
        <w:t>298.</w:t>
      </w:r>
      <w:r>
        <w:tab/>
        <w:t>Дополнительная информация о работе по борьбе с дискриминацией в отношении инвалидов – женщин и мужчин, девочек и мальчиков – содержится в разделах, посвященных пунктам </w:t>
      </w:r>
      <w:r>
        <w:rPr>
          <w:lang w:val="en-US"/>
        </w:rPr>
        <w:t>b</w:t>
      </w:r>
      <w:r>
        <w:t>) и с) статьи 2.</w:t>
      </w:r>
    </w:p>
    <w:p w:rsidR="00E017AA" w:rsidRDefault="00E017AA">
      <w:pPr>
        <w:keepNext/>
        <w:tabs>
          <w:tab w:val="left" w:pos="567"/>
          <w:tab w:val="left" w:pos="1134"/>
          <w:tab w:val="left" w:pos="1701"/>
        </w:tabs>
        <w:spacing w:after="200"/>
        <w:rPr>
          <w:b/>
          <w:bCs/>
        </w:rPr>
      </w:pPr>
      <w:r>
        <w:rPr>
          <w:b/>
          <w:bCs/>
        </w:rPr>
        <w:t>Пункт 1 </w:t>
      </w:r>
      <w:r>
        <w:rPr>
          <w:b/>
          <w:bCs/>
          <w:lang w:val="en-US"/>
        </w:rPr>
        <w:t>f</w:t>
      </w:r>
      <w:r>
        <w:rPr>
          <w:b/>
          <w:bCs/>
        </w:rPr>
        <w:t>) статьи 11.  Условия труда</w:t>
      </w:r>
    </w:p>
    <w:p w:rsidR="00E017AA" w:rsidRDefault="00E017AA">
      <w:pPr>
        <w:tabs>
          <w:tab w:val="left" w:pos="567"/>
          <w:tab w:val="left" w:pos="1134"/>
          <w:tab w:val="left" w:pos="1701"/>
        </w:tabs>
        <w:spacing w:after="200"/>
      </w:pPr>
      <w:r>
        <w:t>299.</w:t>
      </w:r>
      <w:r>
        <w:tab/>
        <w:t>См. также предыдущие доклады Швеции и раздел настоящего доклада, посвященный пункту </w:t>
      </w:r>
      <w:r>
        <w:rPr>
          <w:lang w:val="en-US"/>
        </w:rPr>
        <w:t>b</w:t>
      </w:r>
      <w:r>
        <w:t>) статьи 2.</w:t>
      </w:r>
    </w:p>
    <w:p w:rsidR="00E017AA" w:rsidRDefault="00E017AA">
      <w:pPr>
        <w:tabs>
          <w:tab w:val="left" w:pos="567"/>
          <w:tab w:val="left" w:pos="1134"/>
          <w:tab w:val="left" w:pos="1701"/>
        </w:tabs>
        <w:spacing w:after="200"/>
      </w:pPr>
      <w:r>
        <w:t>300.</w:t>
      </w:r>
      <w:r>
        <w:tab/>
        <w:t>До 2003 года в соответствии с мандатом правительства Управление по условиям труда работало в соответствии со специально разработанной стратегией, учитывающей различающиеся условия труда женщин и мужчин. Последующие шаги по осуществлению данной стратегии, предпринятые осенью 2005 года, показали, что она не дала желаемого эффекта. Поэтому Управление по условиям труда намеревается разработать другие политические инструменты, такие как внутренние правила для проведения проверок, которые будут способствовать устранению различий в условиях труда женщин и мужчин. Идея заключается в том, чтобы сделать эти инструкции более конкретными. Данная работа будет завершена в 2006 году.</w:t>
      </w:r>
    </w:p>
    <w:p w:rsidR="00E017AA" w:rsidRDefault="00E017AA">
      <w:pPr>
        <w:tabs>
          <w:tab w:val="left" w:pos="567"/>
          <w:tab w:val="left" w:pos="1134"/>
          <w:tab w:val="left" w:pos="1701"/>
        </w:tabs>
        <w:spacing w:after="200"/>
      </w:pPr>
      <w:r>
        <w:t>301.</w:t>
      </w:r>
      <w:r>
        <w:tab/>
        <w:t>Национальный институт труда начал свой исследовательский проект, озаглавленный "Гендерный фактор и работа", в 1999 году, а окончательный доклад был опубликован в 2005 году. В докладе четко показано, что гендерная сегрегация в трудовой сфере сохраняется и что изменения если и происходят, то весьма медленно. Даже если на каком-либо рабочем месте женщины выполняют одинаковую работу с мужчинами, их общая рабочая нагрузка может быть больше, чем нагрузка мужчин.</w:t>
      </w:r>
    </w:p>
    <w:p w:rsidR="00E017AA" w:rsidRDefault="00E017AA">
      <w:pPr>
        <w:keepNext/>
        <w:tabs>
          <w:tab w:val="left" w:pos="567"/>
          <w:tab w:val="left" w:pos="1134"/>
          <w:tab w:val="left" w:pos="1701"/>
        </w:tabs>
        <w:spacing w:after="200"/>
        <w:ind w:left="0" w:firstLine="0"/>
        <w:rPr>
          <w:b/>
          <w:bCs/>
        </w:rPr>
      </w:pPr>
      <w:r>
        <w:rPr>
          <w:b/>
          <w:bCs/>
        </w:rPr>
        <w:t>Пункт 2 статьи 11. Искоренение дискриминации в отношении женщин в связи с замужеством и материнством</w:t>
      </w:r>
    </w:p>
    <w:p w:rsidR="00E017AA" w:rsidRDefault="00E017AA">
      <w:pPr>
        <w:tabs>
          <w:tab w:val="left" w:pos="567"/>
          <w:tab w:val="left" w:pos="1134"/>
          <w:tab w:val="left" w:pos="1701"/>
        </w:tabs>
        <w:spacing w:after="200"/>
      </w:pPr>
      <w:r>
        <w:t>302.</w:t>
      </w:r>
      <w:r>
        <w:tab/>
        <w:t>См. также разделы настоящего доклада, посвященные статьям 2, 4 и 5. Положения в отношении материнского пособия и временного родительского пособия описаны в предыдущих докладах.</w:t>
      </w:r>
    </w:p>
    <w:p w:rsidR="00E017AA" w:rsidRDefault="00E017AA">
      <w:pPr>
        <w:tabs>
          <w:tab w:val="left" w:pos="567"/>
          <w:tab w:val="left" w:pos="1134"/>
          <w:tab w:val="left" w:pos="1701"/>
        </w:tabs>
        <w:spacing w:after="200"/>
      </w:pPr>
      <w:r>
        <w:t>303.</w:t>
      </w:r>
      <w:r>
        <w:tab/>
        <w:t>В основе шведской политики в области социального обеспечения и гендерного равенства является принцип, согласно которому мужчины и женщины не должны делать выбор между работой и семьей. Родительское страхование, обеспечение ухода за детьми и забота о престарелых играли очень важную роль в том, что в Швеции высок уровень участия женщин в рабочей силе и высок коэффициент рождаемости.</w:t>
      </w:r>
    </w:p>
    <w:p w:rsidR="00E017AA" w:rsidRDefault="00E017AA">
      <w:pPr>
        <w:tabs>
          <w:tab w:val="left" w:pos="567"/>
          <w:tab w:val="left" w:pos="1134"/>
          <w:tab w:val="left" w:pos="1701"/>
        </w:tabs>
        <w:spacing w:after="200"/>
      </w:pPr>
      <w:r>
        <w:t>304.</w:t>
      </w:r>
      <w:r>
        <w:tab/>
        <w:t>Шведское родительское страхование призвано дать обоим родителям возможность сочетать работу или учебу с выполнением родительских обязанностей.</w:t>
      </w:r>
    </w:p>
    <w:p w:rsidR="00E017AA" w:rsidRDefault="00E017AA">
      <w:pPr>
        <w:tabs>
          <w:tab w:val="left" w:pos="567"/>
          <w:tab w:val="left" w:pos="1134"/>
          <w:tab w:val="left" w:pos="1701"/>
        </w:tabs>
        <w:spacing w:after="200"/>
      </w:pPr>
      <w:r>
        <w:t>305.</w:t>
      </w:r>
      <w:r>
        <w:tab/>
        <w:t>Наряду с деятельностью правительства по облегчению для родителей возможности сочетать работу с семейной жизнью были внесены изменения в Закон о родительском отпуске (1995:584), который вступил в силу 1 июля 2001 года. Цель этих изменений – улучшение положения трудящихся в связи с уходом в отпуск и предоставление им бóльших возможностей по регулированию своего рабочего времени.</w:t>
      </w:r>
    </w:p>
    <w:p w:rsidR="00E017AA" w:rsidRDefault="00E017AA">
      <w:pPr>
        <w:keepNext/>
        <w:tabs>
          <w:tab w:val="left" w:pos="567"/>
          <w:tab w:val="left" w:pos="1134"/>
          <w:tab w:val="left" w:pos="1701"/>
        </w:tabs>
        <w:spacing w:after="200"/>
        <w:rPr>
          <w:b/>
          <w:bCs/>
        </w:rPr>
      </w:pPr>
      <w:r>
        <w:rPr>
          <w:b/>
          <w:bCs/>
        </w:rPr>
        <w:t>Пункт 3 статьи 11</w:t>
      </w:r>
    </w:p>
    <w:p w:rsidR="00E017AA" w:rsidRDefault="00E017AA">
      <w:pPr>
        <w:tabs>
          <w:tab w:val="left" w:pos="567"/>
          <w:tab w:val="left" w:pos="1134"/>
          <w:tab w:val="left" w:pos="1701"/>
        </w:tabs>
        <w:spacing w:after="180"/>
      </w:pPr>
      <w:r>
        <w:t>306.</w:t>
      </w:r>
      <w:r>
        <w:tab/>
        <w:t>Никаких изменений не произошло.</w:t>
      </w:r>
    </w:p>
    <w:p w:rsidR="00E017AA" w:rsidRDefault="00E017AA">
      <w:pPr>
        <w:keepNext/>
        <w:tabs>
          <w:tab w:val="left" w:pos="567"/>
          <w:tab w:val="left" w:pos="1134"/>
          <w:tab w:val="left" w:pos="1701"/>
        </w:tabs>
        <w:spacing w:before="200" w:after="200"/>
        <w:rPr>
          <w:b/>
          <w:bCs/>
          <w:sz w:val="24"/>
        </w:rPr>
      </w:pPr>
      <w:r>
        <w:rPr>
          <w:b/>
          <w:bCs/>
          <w:sz w:val="24"/>
        </w:rPr>
        <w:t>Статья 12.  Здравоохранение и медицинские услуги</w:t>
      </w:r>
    </w:p>
    <w:p w:rsidR="00E017AA" w:rsidRDefault="00E017AA">
      <w:pPr>
        <w:tabs>
          <w:tab w:val="left" w:pos="567"/>
          <w:tab w:val="left" w:pos="1134"/>
          <w:tab w:val="left" w:pos="1701"/>
        </w:tabs>
        <w:spacing w:after="200"/>
      </w:pPr>
      <w:r>
        <w:t>307.</w:t>
      </w:r>
      <w:r>
        <w:tab/>
        <w:t>См. также предыдущие доклады Швеции.</w:t>
      </w:r>
    </w:p>
    <w:p w:rsidR="00E017AA" w:rsidRDefault="00E017AA">
      <w:pPr>
        <w:keepNext/>
        <w:tabs>
          <w:tab w:val="left" w:pos="567"/>
          <w:tab w:val="left" w:pos="1134"/>
          <w:tab w:val="left" w:pos="1701"/>
        </w:tabs>
        <w:spacing w:after="200"/>
        <w:rPr>
          <w:b/>
          <w:bCs/>
        </w:rPr>
      </w:pPr>
      <w:r>
        <w:rPr>
          <w:b/>
          <w:bCs/>
        </w:rPr>
        <w:t>Пункт 1 статьи 12</w:t>
      </w:r>
    </w:p>
    <w:p w:rsidR="00E017AA" w:rsidRDefault="00E017AA">
      <w:pPr>
        <w:tabs>
          <w:tab w:val="left" w:pos="567"/>
          <w:tab w:val="left" w:pos="1134"/>
          <w:tab w:val="left" w:pos="1701"/>
        </w:tabs>
        <w:spacing w:after="180"/>
      </w:pPr>
      <w:r>
        <w:t>308.</w:t>
      </w:r>
      <w:r>
        <w:tab/>
        <w:t>Первоочередные цели работы по обеспечению гендерного равенства в секторе оказания медицинской помощи требуют непрерывного профессионального совершенствования медицинских работников, чтобы научить их принимать во внимание различия в положении женщин и мужчин. При формулировании политических мер первоочередное внимание должно уделяться гендерному равенству.</w:t>
      </w:r>
    </w:p>
    <w:p w:rsidR="00E017AA" w:rsidRDefault="00E017AA">
      <w:pPr>
        <w:tabs>
          <w:tab w:val="left" w:pos="567"/>
          <w:tab w:val="left" w:pos="1134"/>
          <w:tab w:val="left" w:pos="1701"/>
        </w:tabs>
        <w:spacing w:after="180"/>
      </w:pPr>
      <w:r>
        <w:t>309.</w:t>
      </w:r>
      <w:r>
        <w:tab/>
        <w:t>В октябре 2005 года Национальный институт здравоохранения представил свой Доклад о здравоохранении, 2005 год (S2005/7557/FH), в котором показаны тенденции в отношении ряда показателей, позволяющих измерить наиболее важные факторы, которые влияют на здравоохранение. Наиболее важным отправным моментом представленного в докладе анализа является достижение гендерного равенства. В докладе сделан вывод, что существуют значительные различия в состоянии здоровья женщин и мужчин. Женщины в большей степени страдают от связанных со стрессом заболеваний и в значительно большей степени, чем мужчины, пользуются услугами здравоохранения, принимают лекарства и используют отпуск по болезни. Тем не менее коэффициенты смертности у мужчин выше, чем у женщин, во всех возрастных группах, в первую очередь в силу высокой смертности от сердечно-сосудистых заболеваний, телесных повреждений и заболеваний, связанных со злоупотреблением алкоголем. Эти различия в состоянии здоровья не могут быть объяснены лишь биологическими различиями, в гораздо большей степени они зависят от различий в социально-экономическом положении женщин и мужчин.</w:t>
      </w:r>
    </w:p>
    <w:p w:rsidR="00E017AA" w:rsidRDefault="00E017AA">
      <w:pPr>
        <w:tabs>
          <w:tab w:val="left" w:pos="567"/>
          <w:tab w:val="left" w:pos="1134"/>
          <w:tab w:val="left" w:pos="1701"/>
        </w:tabs>
        <w:spacing w:after="180"/>
      </w:pPr>
      <w:r>
        <w:t>310.</w:t>
      </w:r>
      <w:r>
        <w:tab/>
        <w:t xml:space="preserve">В докладе Национального совета по здравоохранению и социальным делам (см. ниже) и в его Докладе о здравоохранении 2005 года отмечаются недоработки в плане гендерного равенства при оказании услуг в области здравоохранения. Это может касаться различного доступа к самому современному лечению женщин и мужчин, а также формулировок типичных диагнозов, которые используются медицинскими службами. Однако сведения об этих недоработках фрагментарны, так что степень возможных различий в лечении женщин и мужчин, осуществляемом медицинскими службами, в значительной мере неизвестна. </w:t>
      </w:r>
    </w:p>
    <w:p w:rsidR="00E017AA" w:rsidRDefault="00E017AA">
      <w:pPr>
        <w:tabs>
          <w:tab w:val="left" w:pos="567"/>
          <w:tab w:val="left" w:pos="1134"/>
          <w:tab w:val="left" w:pos="1701"/>
        </w:tabs>
        <w:spacing w:after="200"/>
      </w:pPr>
      <w:r>
        <w:t>311.</w:t>
      </w:r>
      <w:r>
        <w:tab/>
        <w:t>Наиболее важной инициативой, которая привела к повышению уровня знаний и понимания гендерно обусловленных различий в доступе к услугам здравоохранения, являлось поручение правительства Национальному совету по здравоохранению и социальным делам в июне 2002 года. В марте 2004 года был представлен доклад о соблюдении принципа гендерного равенства при оказании медицинских услуг. В докладе говорится, что все еще существуют некоторые недостатки в понимании гендерно обусловленных проблем и в методах лечения с учетом различающихся потребностей женщин и мужчин. Одним из примеров является обеспечение доступа к некоторым областям высокоспециализированной медицины: мужчинам более доступны дорогостоящие, передовые методы лечения, такие как шунтирование и операции по удалению катаракты. Дорогостоящие медицинские технологии и лекарства также наиболее быстро распространяются среди мужчин среднего возраста.</w:t>
      </w:r>
    </w:p>
    <w:p w:rsidR="00E017AA" w:rsidRDefault="00E017AA">
      <w:pPr>
        <w:tabs>
          <w:tab w:val="left" w:pos="567"/>
          <w:tab w:val="left" w:pos="1134"/>
          <w:tab w:val="left" w:pos="1701"/>
        </w:tabs>
        <w:spacing w:after="200"/>
      </w:pPr>
      <w:r>
        <w:t>312.</w:t>
      </w:r>
      <w:r>
        <w:tab/>
        <w:t>Правительство намеревается продолжать работу в целях расширения распространения информации о важности актуализации гендерного фактора в работе служб здравоохранения. Были также предприняты инициативы по повышению уровня осведомленности о доступе женщин и мужчин к лечению, в частности путем дачи поручений ответственным за это органам власти.</w:t>
      </w:r>
    </w:p>
    <w:p w:rsidR="00E017AA" w:rsidRDefault="00E017AA">
      <w:pPr>
        <w:tabs>
          <w:tab w:val="left" w:pos="567"/>
          <w:tab w:val="left" w:pos="1134"/>
          <w:tab w:val="left" w:pos="1701"/>
        </w:tabs>
        <w:spacing w:after="200"/>
      </w:pPr>
      <w:r>
        <w:t>313.</w:t>
      </w:r>
      <w:r>
        <w:tab/>
        <w:t>В качестве одной из последующих мер правительства, вытекающих из доклада Национального совета по здравоохранению и социальным делам относительно гендерного равенства при оказании медицинских услуг, в 2005 году правительство поручило Агентству по лекарственным средствам проанализировать, каким образом любые гендерно обусловленные различия оцениваются и рассматриваются при процедуре испытания лекарств. В представленном в декабре 2005 года докладе говорится, что при проведении клинических испытаний лекарств женщины представлены в достаточной мере и что, как оказалось, имеются различия в прямом и побочном воздействии лекарств на женщин и мужчин. Перед одобрением новых лекарств всегда оцениваются гендерно обусловленные аспекты.</w:t>
      </w:r>
    </w:p>
    <w:p w:rsidR="00E017AA" w:rsidRDefault="00E017AA">
      <w:pPr>
        <w:tabs>
          <w:tab w:val="left" w:pos="567"/>
          <w:tab w:val="left" w:pos="1134"/>
          <w:tab w:val="left" w:pos="1701"/>
        </w:tabs>
        <w:spacing w:after="200"/>
      </w:pPr>
      <w:r>
        <w:t>314.</w:t>
      </w:r>
      <w:r>
        <w:tab/>
        <w:t xml:space="preserve">Принцип гендерного равенства является центральным в работе системы здравоохранения. </w:t>
      </w:r>
      <w:r>
        <w:br/>
        <w:t xml:space="preserve">В декабре 2002 года правительство представило законопроект о задачах системы здравоохранения (2002/03:35) в плане более комплексного контроля за системой здравоохранения. Данный законопроект был принят ригсдагом в апреле 2003 года. В нем ставится всеохватывающая национальная задача обеспечения качественного медицинского обслуживания всего населения на равных условия. В этом законопроекте правительство сформулировало одиннадцать целевых областей для работы в общенациональном масштабе, и красной нитью во всех этих областях проходит учет гендерного фактора. </w:t>
      </w:r>
    </w:p>
    <w:p w:rsidR="00E017AA" w:rsidRDefault="00E017AA">
      <w:pPr>
        <w:tabs>
          <w:tab w:val="left" w:pos="567"/>
          <w:tab w:val="left" w:pos="1134"/>
          <w:tab w:val="left" w:pos="1701"/>
        </w:tabs>
        <w:spacing w:after="200"/>
      </w:pPr>
      <w:r>
        <w:t>315.</w:t>
      </w:r>
      <w:r>
        <w:tab/>
        <w:t>Доклад о здравоохранении 2005 года в наибольшей мере послужил основой для правительственного сообщения о политике в области здравоохранения, направленной на обеспечение равноправия и устойчивого роста в этой сфере (Govt. Communication 2005/06:205), в котором идет речь о том, что происходит в отношении вышеупомянутых одиннадцати целей политики в области здравоохранения. Доклад был представлен ригсдагу правительством в конце мая 2006 года. Одним из важнейших аспектов, о которых идет речь, является взаимозависимость между работой по обеспечению гендерного равенства и изменениями в плане здравоохранения для мужчин и женщин в рамках реализации указанных одиннадцати целей. В нем также описываются шаги, предпринятые для достижения каждой из этих целей, при осуществлении которых различия между женщинами и мужчинами учитывались в большей мере.</w:t>
      </w:r>
    </w:p>
    <w:p w:rsidR="00E017AA" w:rsidRDefault="00E017AA">
      <w:pPr>
        <w:tabs>
          <w:tab w:val="left" w:pos="567"/>
          <w:tab w:val="left" w:pos="1134"/>
          <w:tab w:val="left" w:pos="1701"/>
        </w:tabs>
        <w:spacing w:after="200"/>
      </w:pPr>
      <w:r>
        <w:t>316.</w:t>
      </w:r>
      <w:r>
        <w:tab/>
        <w:t>По указанию правительства в 2005 году Национальный институт здравоохранения провел более глубокий анализ политики в области здравоохранения с точки зрения гендерного равенства. Результаты анализа, в ходе которого отслеживалось выполнение вышеуказанных одиннадцати целей, были представлены правительству. Во всех целях существуют проблемы, которые, несомненно, являются гендерно обусловленными – от структурных препятствий для возможности женщин влиять на политику и бизнес до различий в чувствительности к экологическим токсинам.</w:t>
      </w:r>
    </w:p>
    <w:p w:rsidR="00E017AA" w:rsidRDefault="00E017AA">
      <w:pPr>
        <w:tabs>
          <w:tab w:val="left" w:pos="567"/>
          <w:tab w:val="left" w:pos="1134"/>
          <w:tab w:val="left" w:pos="1701"/>
        </w:tabs>
        <w:spacing w:after="200"/>
      </w:pPr>
      <w:r>
        <w:t>317.</w:t>
      </w:r>
      <w:r>
        <w:tab/>
        <w:t>Правительство предприняло шаги по улучшению положения дел в таких областях, как сексуальное воспитание в школах, консультативные центры для молодежи по вопросам контрацепции, дородовые клиники и другие консультативные услуги. В мае 2005 года правительство поручило Национальному бюро по вопросам образования обзор осуществления вышеуказанных целей в различных программах сексуального воспитания для обязательной и полной средней школы.</w:t>
      </w:r>
    </w:p>
    <w:p w:rsidR="00E017AA" w:rsidRDefault="00E017AA">
      <w:pPr>
        <w:tabs>
          <w:tab w:val="left" w:pos="567"/>
          <w:tab w:val="left" w:pos="1134"/>
          <w:tab w:val="left" w:pos="1701"/>
        </w:tabs>
        <w:spacing w:after="200"/>
      </w:pPr>
      <w:r>
        <w:t>318.</w:t>
      </w:r>
      <w:r>
        <w:tab/>
        <w:t xml:space="preserve">Сексуальное и репродуктивное здоровье должно стать общей ответственностью женщин и мужчин. Тем не менее, как показывают исследования, среди и мужчин, и женщин преобладают представления, что ответственность за предупреждение риска инфицирования несут в основном женщины. </w:t>
      </w:r>
    </w:p>
    <w:p w:rsidR="00E017AA" w:rsidRDefault="00E017AA">
      <w:pPr>
        <w:tabs>
          <w:tab w:val="left" w:pos="567"/>
          <w:tab w:val="left" w:pos="1134"/>
          <w:tab w:val="left" w:pos="1701"/>
        </w:tabs>
        <w:spacing w:after="200"/>
      </w:pPr>
      <w:r>
        <w:t>319.</w:t>
      </w:r>
      <w:r>
        <w:tab/>
        <w:t>В Швеции ВИЧ чаще диагностируется среди мужчин, в то время как среди женщин больше зарегистрированных случаев хламидиоза. Соответствующие анализы проходят больше женщин, чем мужчин. Женщины также чаще посещают консультационные клиники (центры) для молодежи по вопросам контрацепции. Первоначально эти клиники сосредоточивали внимание на консультациях по вопросам контрацепции и предупреждения абортов. Мужчины все еще составляют лишь 10 процентов посетителей таких клиник, несмотря на принятие различных мер по расширению охвата мужчин, с тем чтобы эти услуги стали более доступными для них.</w:t>
      </w:r>
    </w:p>
    <w:p w:rsidR="00E017AA" w:rsidRDefault="00E017AA">
      <w:pPr>
        <w:keepNext/>
        <w:tabs>
          <w:tab w:val="left" w:pos="567"/>
          <w:tab w:val="left" w:pos="1134"/>
          <w:tab w:val="left" w:pos="1701"/>
        </w:tabs>
        <w:spacing w:after="200"/>
        <w:rPr>
          <w:b/>
          <w:bCs/>
        </w:rPr>
      </w:pPr>
      <w:r>
        <w:rPr>
          <w:b/>
          <w:bCs/>
        </w:rPr>
        <w:t>Пункт 2 статьи 12.  Материнское здоровье</w:t>
      </w:r>
    </w:p>
    <w:p w:rsidR="00E017AA" w:rsidRDefault="00E017AA">
      <w:pPr>
        <w:tabs>
          <w:tab w:val="left" w:pos="567"/>
          <w:tab w:val="left" w:pos="1134"/>
          <w:tab w:val="left" w:pos="1701"/>
        </w:tabs>
        <w:spacing w:after="200"/>
      </w:pPr>
      <w:r>
        <w:t>320.</w:t>
      </w:r>
      <w:r>
        <w:tab/>
        <w:t>У Швеции имеются широкие по охвату и качественные дородовые и педиатрические службы, а также службы по охране здоровья школьников, и результатом их деятельности являются в основном хорошие показатели в плане здоровья детей и молодежи. Качественные клиники по уходу за младенцами и дородовому уходу, находящиеся в ведении советов ленов, играют центральную роль в обеспечении поддержки и консультирования молодых родителей. Проводимая этими клиниками работа по охране здоровья способствовала значительному улучшению охраны здоровья как молодых матерей, так и младенцев. В Швеции низкий коэффициент младенческой смертности – число случаев смерти младенцев в возрасте до года на 1000 живорождений составило в 2005 году 2,4.</w:t>
      </w:r>
    </w:p>
    <w:p w:rsidR="00E017AA" w:rsidRDefault="00E017AA">
      <w:pPr>
        <w:tabs>
          <w:tab w:val="left" w:pos="567"/>
          <w:tab w:val="left" w:pos="1134"/>
          <w:tab w:val="left" w:pos="1701"/>
        </w:tabs>
        <w:spacing w:after="200"/>
      </w:pPr>
      <w:r>
        <w:t>321.</w:t>
      </w:r>
      <w:r>
        <w:tab/>
        <w:t>В 2005 году средний возраст женщин и мужчин, у которых впервые родился ребенок, составлял 29 лет и 31,5 года соответственно.</w:t>
      </w:r>
    </w:p>
    <w:p w:rsidR="00E017AA" w:rsidRDefault="00E017AA">
      <w:pPr>
        <w:keepNext/>
        <w:tabs>
          <w:tab w:val="left" w:pos="567"/>
          <w:tab w:val="left" w:pos="1134"/>
          <w:tab w:val="left" w:pos="1701"/>
        </w:tabs>
        <w:spacing w:before="200" w:after="200"/>
        <w:ind w:left="0" w:firstLine="0"/>
        <w:jc w:val="left"/>
        <w:rPr>
          <w:b/>
          <w:bCs/>
          <w:sz w:val="24"/>
        </w:rPr>
      </w:pPr>
      <w:r>
        <w:rPr>
          <w:b/>
          <w:bCs/>
          <w:sz w:val="24"/>
        </w:rPr>
        <w:t>Статья 13.  Искоренение дискриминации в отношении женщин в других сферах экономической и социальной жизни общества</w:t>
      </w:r>
    </w:p>
    <w:p w:rsidR="00E017AA" w:rsidRDefault="00E017AA">
      <w:pPr>
        <w:tabs>
          <w:tab w:val="left" w:pos="567"/>
          <w:tab w:val="left" w:pos="1134"/>
          <w:tab w:val="left" w:pos="1701"/>
        </w:tabs>
        <w:spacing w:after="200"/>
      </w:pPr>
      <w:r>
        <w:t>322.</w:t>
      </w:r>
      <w:r>
        <w:tab/>
        <w:t>См. также предыдущие доклады Швеции и материалы о статьях 5 и 11 настоящего доклада.</w:t>
      </w:r>
    </w:p>
    <w:p w:rsidR="00E017AA" w:rsidRDefault="00E017AA">
      <w:pPr>
        <w:tabs>
          <w:tab w:val="left" w:pos="567"/>
          <w:tab w:val="left" w:pos="1134"/>
          <w:tab w:val="left" w:pos="1701"/>
        </w:tabs>
        <w:spacing w:after="200"/>
      </w:pPr>
      <w:r>
        <w:t>323.</w:t>
      </w:r>
      <w:r>
        <w:tab/>
        <w:t>Каждый год в приложении к своему законопроекту о бюджете правительство докладывает о последующих мерах по распределению экономических ресурсов среди женщин и мужчин.</w:t>
      </w:r>
    </w:p>
    <w:p w:rsidR="00E017AA" w:rsidRDefault="00E017AA">
      <w:pPr>
        <w:tabs>
          <w:tab w:val="left" w:pos="567"/>
          <w:tab w:val="left" w:pos="1134"/>
          <w:tab w:val="left" w:pos="1701"/>
        </w:tabs>
        <w:spacing w:after="200"/>
      </w:pPr>
      <w:r>
        <w:t>324.</w:t>
      </w:r>
      <w:r>
        <w:tab/>
        <w:t>Одна из целей национальной политики в области спорта заключается в том, чтобы дать женщинам и мужчинам, девочкам и мальчикам одинаковые шансы принимать участие в спортивной деятельности. В течение 2003–2006 годов правительство финансировало специальные меры по привлечению к занятию спортом детей и молодежи. Одна из поставленных целей в рамках этой меры – увеличение числа девочек, занимающихся спортом. В первый год реализации этой меры 33 процента местных и региональных мероприятий касались вовлечения девочек в занятия спортом.</w:t>
      </w:r>
    </w:p>
    <w:p w:rsidR="00E017AA" w:rsidRDefault="00E017AA">
      <w:pPr>
        <w:tabs>
          <w:tab w:val="left" w:pos="567"/>
          <w:tab w:val="left" w:pos="1134"/>
          <w:tab w:val="left" w:pos="1701"/>
        </w:tabs>
        <w:spacing w:after="200"/>
      </w:pPr>
      <w:r>
        <w:t>325.</w:t>
      </w:r>
      <w:r>
        <w:tab/>
        <w:t>В Совет Шведской федерации спорта входят пять женщин и пять мужчин. На собрании Шведской федерации спорта в 2005 году ее высший руководящий орган впервые в истории Федерации своим председателем избрал женщину.</w:t>
      </w:r>
    </w:p>
    <w:p w:rsidR="00E017AA" w:rsidRDefault="00E017AA">
      <w:pPr>
        <w:keepNext/>
        <w:tabs>
          <w:tab w:val="left" w:pos="567"/>
          <w:tab w:val="left" w:pos="1134"/>
          <w:tab w:val="left" w:pos="1701"/>
        </w:tabs>
        <w:spacing w:after="200"/>
        <w:rPr>
          <w:b/>
          <w:bCs/>
        </w:rPr>
      </w:pPr>
      <w:r>
        <w:rPr>
          <w:b/>
          <w:bCs/>
        </w:rPr>
        <w:t>Культурная политика</w:t>
      </w:r>
    </w:p>
    <w:p w:rsidR="00E017AA" w:rsidRDefault="00E017AA">
      <w:pPr>
        <w:tabs>
          <w:tab w:val="left" w:pos="567"/>
          <w:tab w:val="left" w:pos="1134"/>
          <w:tab w:val="left" w:pos="1701"/>
        </w:tabs>
        <w:spacing w:after="200"/>
      </w:pPr>
      <w:r>
        <w:t>326.</w:t>
      </w:r>
      <w:r>
        <w:tab/>
        <w:t>На 2006 год всем органам и учреждениям в области культурной политики была поставлена более четкая задача в отношении гендерного равенства: на гендерное равенство и учет различий должен быть сделан упор в работе каждого такого учреждения. Цель – разъяснение того, что гендерное равенство и учет различий являются практической задачей, а не "побочной линией" обычной деятельности. В некоторых сферах культурной политики были приняты конкретные меры по содействию гендерному равенству. Ниже приведены некоторые примеры этих мер.</w:t>
      </w:r>
    </w:p>
    <w:p w:rsidR="00E017AA" w:rsidRDefault="00E017AA">
      <w:pPr>
        <w:tabs>
          <w:tab w:val="clear" w:pos="907"/>
          <w:tab w:val="clear" w:pos="1247"/>
          <w:tab w:val="left" w:pos="567"/>
          <w:tab w:val="left" w:pos="1701"/>
        </w:tabs>
        <w:spacing w:after="200"/>
        <w:ind w:left="851" w:hanging="284"/>
      </w:pPr>
      <w:r>
        <w:t>–</w:t>
      </w:r>
      <w:r>
        <w:tab/>
        <w:t xml:space="preserve">Предприняты шаги по улучшению условий для женщин-кинематографистов. </w:t>
      </w:r>
      <w:r>
        <w:br/>
        <w:t>В соглашении о производстве фильмов, которое будет действовать в 2006–2010 годах, ставится задача равномерного распределения между мужчинами и женщинами ассигнований на производство шведских фильмов. Не позже чем за один год до окончания срока действия данного соглашения и мужчины, и женщины должны составлять долю не менее 40 процентов в категории сценаристов, продюсеров и режиссеров, исходя из количества проектов, получающих поддержку.</w:t>
      </w:r>
    </w:p>
    <w:p w:rsidR="00E017AA" w:rsidRDefault="00E017AA">
      <w:pPr>
        <w:tabs>
          <w:tab w:val="clear" w:pos="907"/>
          <w:tab w:val="clear" w:pos="1247"/>
          <w:tab w:val="left" w:pos="567"/>
          <w:tab w:val="left" w:pos="1701"/>
        </w:tabs>
        <w:spacing w:after="200"/>
        <w:ind w:left="851" w:hanging="284"/>
      </w:pPr>
      <w:r>
        <w:t>–</w:t>
      </w:r>
      <w:r>
        <w:tab/>
        <w:t>В июне 2001 года правительство назначило специальную рабочую группу для выработки предложений в отношении того, как можно повысить результативность учета фактора гендерного равенства в работе музеев. Рабочая группа представила свой доклад в январе 2004 года. В законопроекте о бюджете на 2006 год правительство предусмотрело выделение 500 тыс. шведских крон на изучение возможности учреждения ресурсного центра для отображения проблематики гендерного равенства в музеях.</w:t>
      </w:r>
    </w:p>
    <w:p w:rsidR="00E017AA" w:rsidRDefault="00E017AA">
      <w:pPr>
        <w:tabs>
          <w:tab w:val="clear" w:pos="907"/>
          <w:tab w:val="clear" w:pos="1247"/>
          <w:tab w:val="left" w:pos="567"/>
          <w:tab w:val="left" w:pos="1701"/>
        </w:tabs>
        <w:spacing w:after="200"/>
        <w:ind w:left="851" w:hanging="284"/>
      </w:pPr>
      <w:r>
        <w:t>–</w:t>
      </w:r>
      <w:r>
        <w:tab/>
        <w:t>В марте 2004 года правительство назначило комитет по вопросам гендерного равенства в сфере драматического искусства, поставив перед ним задачу по выработке предложений в отношении того, каким образом проблема гендерного равенства может быть убедительно и доходчиво отображена с использованием присущих драматическому искусству средств воздействия. Доклад комитета (SOU 2006:42) был представлен 28 апреля 2006 года.</w:t>
      </w:r>
    </w:p>
    <w:p w:rsidR="00E017AA" w:rsidRDefault="00E017AA">
      <w:pPr>
        <w:tabs>
          <w:tab w:val="clear" w:pos="907"/>
          <w:tab w:val="clear" w:pos="1247"/>
          <w:tab w:val="left" w:pos="567"/>
          <w:tab w:val="left" w:pos="1701"/>
        </w:tabs>
        <w:spacing w:after="200"/>
        <w:ind w:left="851" w:hanging="284"/>
      </w:pPr>
      <w:r>
        <w:t>–</w:t>
      </w:r>
      <w:r>
        <w:tab/>
        <w:t>В рамках деятельности Комитета по предоставлению грантов в области искусств ему было поручено провести в 2005 году углубленный анализ различий в экономических и социальных условиях мужчин и женщин, занимающихся искусством, а также их возможностей в плане образования. Результаты этого анализа, обнародованные в октябре 2005 года, показывают, что гранты и стипендии, распределенные Комитетом по предоставлению грантов в области искусств в 2002–2004 годах, были равномерно распределены между женщинами и мужчинами.</w:t>
      </w:r>
    </w:p>
    <w:p w:rsidR="00E017AA" w:rsidRDefault="00E017AA">
      <w:pPr>
        <w:keepNext/>
        <w:tabs>
          <w:tab w:val="left" w:pos="567"/>
          <w:tab w:val="left" w:pos="1134"/>
          <w:tab w:val="left" w:pos="1701"/>
        </w:tabs>
        <w:spacing w:after="200"/>
        <w:rPr>
          <w:b/>
          <w:bCs/>
          <w:sz w:val="24"/>
        </w:rPr>
      </w:pPr>
      <w:r>
        <w:rPr>
          <w:b/>
          <w:bCs/>
          <w:sz w:val="24"/>
        </w:rPr>
        <w:t>Статья 14.  Сельские женщины</w:t>
      </w:r>
    </w:p>
    <w:p w:rsidR="00E017AA" w:rsidRDefault="00E017AA">
      <w:pPr>
        <w:keepNext/>
        <w:tabs>
          <w:tab w:val="left" w:pos="567"/>
          <w:tab w:val="left" w:pos="1134"/>
          <w:tab w:val="left" w:pos="1701"/>
        </w:tabs>
        <w:spacing w:after="200"/>
        <w:rPr>
          <w:b/>
          <w:bCs/>
        </w:rPr>
      </w:pPr>
      <w:r>
        <w:rPr>
          <w:b/>
          <w:bCs/>
        </w:rPr>
        <w:t>Пункты 1 и 2 статьи 14</w:t>
      </w:r>
    </w:p>
    <w:p w:rsidR="00E017AA" w:rsidRDefault="00E017AA">
      <w:pPr>
        <w:tabs>
          <w:tab w:val="left" w:pos="567"/>
          <w:tab w:val="left" w:pos="1134"/>
          <w:tab w:val="left" w:pos="1701"/>
        </w:tabs>
        <w:spacing w:after="200"/>
      </w:pPr>
      <w:r>
        <w:t>327.</w:t>
      </w:r>
      <w:r>
        <w:tab/>
        <w:t>Нижеследующее относится к статье 14 в целом. О мерах, направленных на обеспечение гендерного равенства по всей стране, говорится в соответствующей статье. О мерах в отношении гендерного равенства в общине саами говорится в материале о пункте </w:t>
      </w:r>
      <w:r>
        <w:rPr>
          <w:lang w:val="en-US"/>
        </w:rPr>
        <w:t>b</w:t>
      </w:r>
      <w:r>
        <w:t>) статьи 2.</w:t>
      </w:r>
    </w:p>
    <w:p w:rsidR="00E017AA" w:rsidRDefault="00E017AA">
      <w:pPr>
        <w:tabs>
          <w:tab w:val="left" w:pos="567"/>
          <w:tab w:val="left" w:pos="1134"/>
          <w:tab w:val="left" w:pos="1701"/>
        </w:tabs>
        <w:spacing w:after="200"/>
      </w:pPr>
      <w:r>
        <w:t>328.</w:t>
      </w:r>
      <w:r>
        <w:tab/>
        <w:t>В действующей Шведской программе развития сельских районов содержатся меры по повышению возможностей женщин в плане занятости и начала предпринимательской деятельности в сельских районах. Учет гендерного равенства также содержится в данной программе в качестве одного из критериев, которым страны должны руководствоваться при составлении своих региональных планов в области развития, равно как и в сферах образования и профессиональной подготовки. Важным аспектом готовящейся программы по развитию сельских районов на 2007–2013 годы является поддержка гендерного равенства при формулировании направлений деятельности и форм сотрудничества.</w:t>
      </w:r>
    </w:p>
    <w:p w:rsidR="00E017AA" w:rsidRDefault="00E017AA">
      <w:pPr>
        <w:tabs>
          <w:tab w:val="left" w:pos="567"/>
          <w:tab w:val="left" w:pos="1134"/>
          <w:tab w:val="left" w:pos="1701"/>
        </w:tabs>
        <w:spacing w:after="200"/>
      </w:pPr>
      <w:r>
        <w:t>329.</w:t>
      </w:r>
      <w:r>
        <w:tab/>
        <w:t>В ноябре 2002 года было начато обследование с целью анализа гендерных различий в сфере земледелия. Результаты обследования были представлены в августе 2004 года. В качестве последующей меры по результатам обследования Совет по сельскому хозяйству и Совет по рыболовству подготовили доклады о соблюдении принципа гендерного равенства в сельскохозяйственной политике и политике в области рыболовства согласно указаниям правительства. Один из выводов доклада Совета по сельскому хозяйству состоит в том, что многие женщины в сельскохозяйственном секторе заняты приносящим доход трудом и имеют высшее образование, что означает, что они обладают большей, чем в прошлом, экономической самостоятельностью.</w:t>
      </w:r>
    </w:p>
    <w:p w:rsidR="00E017AA" w:rsidRDefault="00E017AA">
      <w:pPr>
        <w:tabs>
          <w:tab w:val="left" w:pos="567"/>
          <w:tab w:val="left" w:pos="1134"/>
          <w:tab w:val="left" w:pos="1701"/>
        </w:tabs>
        <w:spacing w:after="200"/>
      </w:pPr>
      <w:r>
        <w:t>330.</w:t>
      </w:r>
      <w:r>
        <w:tab/>
        <w:t>По поручению правительства Совет по рыболовству подготовил доклад, в котором говорится о положении в области гендерного равенства в секторе рыболовства. Один из выводов доклада заключается в том, что положение женщин не отражено в государственной статистике. В своем докладе Совет по рыболовству предложил ряд показателей, которые могут использоваться для прояснения различий в положении женщин и мужчин не только в секторе рыболовства, но и в других секторах.</w:t>
      </w:r>
    </w:p>
    <w:p w:rsidR="00E017AA" w:rsidRDefault="00E017AA">
      <w:pPr>
        <w:tabs>
          <w:tab w:val="left" w:pos="567"/>
          <w:tab w:val="left" w:pos="1134"/>
          <w:tab w:val="left" w:pos="1701"/>
        </w:tabs>
        <w:spacing w:after="200"/>
      </w:pPr>
      <w:r>
        <w:t>331.</w:t>
      </w:r>
      <w:r>
        <w:tab/>
        <w:t>Одной из дополнительных целей политики в сфере транспорта является достижение гендерного равноправная, то есть транспортная система функционирует с учетом потребностей как женщин, так и мужчин. Женщинам и мужчинам должны быть предоставлены одинаковые возможности оказывать влияние на замысел, структуру и администрацию транспортных систем, и запросам тех и других должно придаваться равное значение.</w:t>
      </w:r>
    </w:p>
    <w:p w:rsidR="00E017AA" w:rsidRDefault="00E017AA">
      <w:pPr>
        <w:tabs>
          <w:tab w:val="left" w:pos="567"/>
          <w:tab w:val="left" w:pos="1134"/>
          <w:tab w:val="left" w:pos="1701"/>
        </w:tabs>
        <w:spacing w:after="200"/>
      </w:pPr>
      <w:r>
        <w:t>332.</w:t>
      </w:r>
      <w:r>
        <w:tab/>
        <w:t>Правительство приступило к реализации широких мер по повышению осведомленности о гендерном равенстве в сфере транспорта. При подготовке соответствующих директив на 2003 год транспортным агентствам (Шведской администрации автомобильных дорог, Шведскому агентству железных дорог, Шведской администрации железных дорог, Шведскому совету гражданской авиации, Шведскому органу по гражданской авиации и Шведскому совету морского судоходства), а также Национальному агентству по общественному транспорту было поручено доложить об анализе использования женщинами и мужчинами транспортной системы, а также о том, как они могут влиять на ее развитие и управление ею.</w:t>
      </w:r>
    </w:p>
    <w:p w:rsidR="00E017AA" w:rsidRDefault="00E017AA">
      <w:pPr>
        <w:tabs>
          <w:tab w:val="left" w:pos="567"/>
          <w:tab w:val="left" w:pos="1134"/>
          <w:tab w:val="left" w:pos="1701"/>
        </w:tabs>
        <w:spacing w:after="200"/>
      </w:pPr>
      <w:r>
        <w:t>333.</w:t>
      </w:r>
      <w:r>
        <w:tab/>
        <w:t>В конце марта 2006 года правительство представило риксдагу законопроект о транспортной политике (2005/06:160). В числе предложений законопроекта – новая промежуточная цель, предусматривающая, что все другие промежуточные цели политики в сфере транспорта должны осуществляться с учетом гендерного равенства. Важным аспектом осуществления данной промежуточной цели является сокращение избыточной представленности мужчин и увеличение представленности женщин. Исследования показали, что в советах органов, принимающих решения в транспортном секторе, в значительной степени доминируют мужчины. Поэтому была поставлена новая промежуточная цель в отношении гендерной представленности: в старших руководящих звеньях транспортных агентств к 2010 году ни мужчины, ни женщины не должны быть представлены менее чем 40 процентами.</w:t>
      </w:r>
    </w:p>
    <w:p w:rsidR="00E017AA" w:rsidRDefault="00E017AA">
      <w:pPr>
        <w:keepNext/>
        <w:tabs>
          <w:tab w:val="left" w:pos="567"/>
          <w:tab w:val="left" w:pos="1134"/>
          <w:tab w:val="left" w:pos="1701"/>
        </w:tabs>
        <w:spacing w:before="200" w:after="200"/>
        <w:rPr>
          <w:b/>
          <w:bCs/>
          <w:sz w:val="24"/>
        </w:rPr>
      </w:pPr>
      <w:r>
        <w:rPr>
          <w:b/>
          <w:bCs/>
          <w:sz w:val="24"/>
        </w:rPr>
        <w:t>Статья 15.  Равенство перед законом</w:t>
      </w:r>
    </w:p>
    <w:p w:rsidR="00E017AA" w:rsidRDefault="00E017AA">
      <w:pPr>
        <w:keepNext/>
        <w:tabs>
          <w:tab w:val="left" w:pos="567"/>
          <w:tab w:val="left" w:pos="1134"/>
          <w:tab w:val="left" w:pos="1701"/>
        </w:tabs>
        <w:spacing w:after="200"/>
      </w:pPr>
      <w:r>
        <w:t>Пункты 1–4 статьи 15</w:t>
      </w:r>
    </w:p>
    <w:p w:rsidR="00E017AA" w:rsidRDefault="00E017AA">
      <w:pPr>
        <w:tabs>
          <w:tab w:val="left" w:pos="567"/>
          <w:tab w:val="left" w:pos="1134"/>
          <w:tab w:val="left" w:pos="1701"/>
        </w:tabs>
        <w:spacing w:after="200"/>
      </w:pPr>
      <w:r>
        <w:t>334.</w:t>
      </w:r>
      <w:r>
        <w:tab/>
        <w:t>См. предыдущие доклады Швеции.</w:t>
      </w:r>
    </w:p>
    <w:p w:rsidR="00E017AA" w:rsidRDefault="00E017AA">
      <w:pPr>
        <w:keepNext/>
        <w:tabs>
          <w:tab w:val="left" w:pos="567"/>
          <w:tab w:val="left" w:pos="1134"/>
          <w:tab w:val="left" w:pos="1701"/>
        </w:tabs>
        <w:spacing w:before="200" w:after="200"/>
        <w:rPr>
          <w:b/>
          <w:bCs/>
          <w:sz w:val="24"/>
        </w:rPr>
      </w:pPr>
      <w:r>
        <w:rPr>
          <w:b/>
          <w:bCs/>
          <w:sz w:val="24"/>
        </w:rPr>
        <w:t>Статья 16. Искоренение дискриминации в брачных и семейных отношениях</w:t>
      </w:r>
    </w:p>
    <w:p w:rsidR="00E017AA" w:rsidRDefault="00E017AA">
      <w:pPr>
        <w:keepNext/>
        <w:tabs>
          <w:tab w:val="left" w:pos="567"/>
          <w:tab w:val="left" w:pos="1134"/>
          <w:tab w:val="left" w:pos="1701"/>
        </w:tabs>
        <w:spacing w:after="200"/>
        <w:rPr>
          <w:b/>
          <w:bCs/>
        </w:rPr>
      </w:pPr>
      <w:r>
        <w:rPr>
          <w:b/>
          <w:bCs/>
        </w:rPr>
        <w:t>Пункт 1 статьи 16</w:t>
      </w:r>
    </w:p>
    <w:p w:rsidR="00E017AA" w:rsidRDefault="00E017AA">
      <w:pPr>
        <w:tabs>
          <w:tab w:val="left" w:pos="567"/>
          <w:tab w:val="left" w:pos="1134"/>
          <w:tab w:val="left" w:pos="1701"/>
        </w:tabs>
        <w:spacing w:after="200"/>
      </w:pPr>
      <w:r>
        <w:t>335.</w:t>
      </w:r>
      <w:r>
        <w:tab/>
        <w:t>См. предыдущие доклады Швеции.</w:t>
      </w:r>
    </w:p>
    <w:p w:rsidR="00E017AA" w:rsidRDefault="00E017AA">
      <w:pPr>
        <w:keepNext/>
        <w:tabs>
          <w:tab w:val="left" w:pos="567"/>
          <w:tab w:val="left" w:pos="1134"/>
          <w:tab w:val="left" w:pos="1701"/>
        </w:tabs>
        <w:spacing w:after="200"/>
        <w:rPr>
          <w:b/>
          <w:bCs/>
        </w:rPr>
      </w:pPr>
      <w:r>
        <w:rPr>
          <w:b/>
          <w:bCs/>
        </w:rPr>
        <w:t>Пункт 2 статьи 16</w:t>
      </w:r>
    </w:p>
    <w:p w:rsidR="00E017AA" w:rsidRDefault="00E017AA">
      <w:pPr>
        <w:tabs>
          <w:tab w:val="left" w:pos="567"/>
          <w:tab w:val="left" w:pos="1134"/>
          <w:tab w:val="left" w:pos="1701"/>
        </w:tabs>
        <w:spacing w:after="200"/>
      </w:pPr>
      <w:r>
        <w:t>336.</w:t>
      </w:r>
      <w:r>
        <w:tab/>
        <w:t>Также см. предыдущие доклады Швеции.</w:t>
      </w:r>
    </w:p>
    <w:p w:rsidR="00E017AA" w:rsidRDefault="00E017AA">
      <w:pPr>
        <w:tabs>
          <w:tab w:val="left" w:pos="567"/>
          <w:tab w:val="left" w:pos="1134"/>
          <w:tab w:val="left" w:pos="1701"/>
        </w:tabs>
        <w:spacing w:after="200"/>
      </w:pPr>
      <w:r>
        <w:t>337.</w:t>
      </w:r>
      <w:r>
        <w:tab/>
        <w:t>1 мая 2004 года вступили в силу законодательные изменения, имеющие целью улучшение защиты лиц от принудительных и ранних браков (Govt. Bill 2003/04:48). Согласно внесенным изменениям, никто в Швеции не может вступить в официальный брак до достижения 18</w:t>
      </w:r>
      <w:r>
        <w:noBreakHyphen/>
        <w:t>летнего возраста без специального разрешения. Закон также вносит ясность в то, что детские и принудительные браки, заключенные в других странах, не признаются в Швеции.</w:t>
      </w:r>
    </w:p>
    <w:p w:rsidR="00E017AA" w:rsidRDefault="00E017AA">
      <w:pPr>
        <w:tabs>
          <w:tab w:val="left" w:pos="567"/>
          <w:tab w:val="left" w:pos="1134"/>
          <w:tab w:val="left" w:pos="1701"/>
        </w:tabs>
        <w:spacing w:after="200"/>
      </w:pPr>
      <w:r>
        <w:t>338.</w:t>
      </w:r>
      <w:r>
        <w:tab/>
        <w:t>В шведском уголовном праве не существует специального правового положения в отношении вступления в брак по принуждению или с участием лиц, не достигших 18 лет. Поэтому правительство в декабре 2005 года приняло решение провести обследование с целью проанализировать, обеспечивает ли существующее законодательство удовлетворительную защиту от детских или принудительных браков с точки зрения уголовного права. Результаты обследования должны быть представлены не позднее 30 июня 2007 года.</w:t>
      </w:r>
    </w:p>
    <w:p w:rsidR="00E017AA" w:rsidRDefault="00E017AA">
      <w:pPr>
        <w:keepNext/>
        <w:tabs>
          <w:tab w:val="left" w:pos="567"/>
          <w:tab w:val="left" w:pos="1134"/>
          <w:tab w:val="left" w:pos="1701"/>
        </w:tabs>
        <w:spacing w:after="200"/>
        <w:rPr>
          <w:sz w:val="26"/>
        </w:rPr>
      </w:pPr>
      <w:r>
        <w:br w:type="page"/>
      </w:r>
      <w:r>
        <w:rPr>
          <w:sz w:val="26"/>
        </w:rPr>
        <w:t>Дополнение 1</w:t>
      </w:r>
    </w:p>
    <w:p w:rsidR="00E017AA" w:rsidRDefault="00E017AA">
      <w:pPr>
        <w:keepNext/>
        <w:tabs>
          <w:tab w:val="left" w:pos="567"/>
          <w:tab w:val="left" w:pos="1134"/>
          <w:tab w:val="left" w:pos="1701"/>
        </w:tabs>
        <w:spacing w:after="200"/>
        <w:rPr>
          <w:b/>
          <w:bCs/>
        </w:rPr>
      </w:pPr>
      <w:r>
        <w:rPr>
          <w:b/>
          <w:bCs/>
        </w:rPr>
        <w:t>Развитие сотрудничества на глобальном уровне</w:t>
      </w:r>
    </w:p>
    <w:p w:rsidR="00E017AA" w:rsidRDefault="00E017AA">
      <w:pPr>
        <w:tabs>
          <w:tab w:val="left" w:pos="567"/>
          <w:tab w:val="left" w:pos="1134"/>
          <w:tab w:val="left" w:pos="1701"/>
        </w:tabs>
        <w:spacing w:after="200"/>
      </w:pPr>
      <w:r>
        <w:rPr>
          <w:lang w:val="en-US"/>
        </w:rPr>
        <w:t>a</w:t>
      </w:r>
      <w:r>
        <w:t>)</w:t>
      </w:r>
      <w:r>
        <w:tab/>
        <w:t>Деятельность Швеции внутри страны по содействию гендерному равенству и укреплению возможностей женщин и девочек пользоваться правами человека тесно связана с ее деятельностью на международной арене, включая развитие сотрудничества. Осуществление политики гендерного равенства является отправным пунктом в национальной и международной деятельности. Правительство выдвинуло дополнительные цели гендерного равенства в деятельности на международном уровне. Это относится и к деятельности внешнеполитического ведомства. Среди этих целей – добиваться того, чтобы мужчины и женщины имели одинаковые возможности для пользования правами человека.</w:t>
      </w:r>
    </w:p>
    <w:p w:rsidR="00E017AA" w:rsidRDefault="00E017AA">
      <w:pPr>
        <w:tabs>
          <w:tab w:val="left" w:pos="567"/>
          <w:tab w:val="left" w:pos="1134"/>
          <w:tab w:val="left" w:pos="1701"/>
        </w:tabs>
        <w:spacing w:after="200"/>
      </w:pPr>
      <w:r>
        <w:rPr>
          <w:lang w:val="en-US"/>
        </w:rPr>
        <w:t>b</w:t>
      </w:r>
      <w:r>
        <w:t>)</w:t>
      </w:r>
      <w:r>
        <w:tab/>
        <w:t>Правительственная политика в области глобального развития (Govt. Bill 2002/03:122), целью которой является содействие справедливому и устойчивому развитию во всем мире, характеризуется двумя подходами: подходом в плане прав и подходом в отношении бедных в процессе развития. Гендерное равенство является центральным аспектом подхода в плане прав. В процессе развития сотрудничества Швеция оказывает поддержку гендерному равенству в странах-партнерах, то есть в странах, с которыми Швеция развивает сотрудничество. Эта работа основана на инициативах партнеров по сотрудничеству на местном, региональном или глобальном уровнях.</w:t>
      </w:r>
    </w:p>
    <w:p w:rsidR="00E017AA" w:rsidRDefault="00E017AA">
      <w:pPr>
        <w:tabs>
          <w:tab w:val="left" w:pos="567"/>
          <w:tab w:val="left" w:pos="1134"/>
          <w:tab w:val="left" w:pos="1701"/>
        </w:tabs>
        <w:spacing w:after="200"/>
      </w:pPr>
      <w:r>
        <w:rPr>
          <w:lang w:val="en-US"/>
        </w:rPr>
        <w:t>c</w:t>
      </w:r>
      <w:r>
        <w:t>)</w:t>
      </w:r>
      <w:r>
        <w:tab/>
        <w:t>Ниже приводятся некоторые примеры принимаемых Швецией мер в отношении развития сотрудничества на глобальном уровне.</w:t>
      </w:r>
    </w:p>
    <w:p w:rsidR="00E017AA" w:rsidRDefault="00E017AA">
      <w:pPr>
        <w:tabs>
          <w:tab w:val="left" w:pos="567"/>
          <w:tab w:val="left" w:pos="1134"/>
          <w:tab w:val="left" w:pos="1701"/>
        </w:tabs>
        <w:spacing w:after="200"/>
      </w:pPr>
      <w:r>
        <w:rPr>
          <w:lang w:val="en-US"/>
        </w:rPr>
        <w:t>d</w:t>
      </w:r>
      <w:r>
        <w:t>)</w:t>
      </w:r>
      <w:r>
        <w:tab/>
        <w:t>В заявлении о правительственной политике в сентябре 2005 года подчеркивается, что при оказании помощи приоритетными должны быть права и здоровье женщин. Права женщин и девочек на здоровье, включая право на сексуальное и репродуктивное здоровье, являются в высшей степени приоритетными в деятельности правительства.</w:t>
      </w:r>
    </w:p>
    <w:p w:rsidR="00E017AA" w:rsidRDefault="00E017AA">
      <w:pPr>
        <w:tabs>
          <w:tab w:val="left" w:pos="567"/>
          <w:tab w:val="left" w:pos="1134"/>
          <w:tab w:val="left" w:pos="1701"/>
        </w:tabs>
        <w:spacing w:after="200"/>
      </w:pPr>
      <w:r>
        <w:rPr>
          <w:lang w:val="en-US"/>
        </w:rPr>
        <w:t>e</w:t>
      </w:r>
      <w:r>
        <w:t>)</w:t>
      </w:r>
      <w:r>
        <w:tab/>
        <w:t>В конце 2005 года правительство одобрило политику Швеции на международном уровне в отношении права на сексуальное или репродуктивное здоровье. Данный документ, который является первым в своем роде, ляжет в основу международной двусторонней, многосторонней, оперативной и нормативной деятельности Швеции. Шведская политика в этой области включает множество различных взаимосвязанных вопросов: гендерное равенство, сексуальное просвещение, уделение особого внимания уязвимым группам, право на контрацепцию, безопасный аборт, материнское здоровье и здоровье новорожденных. Эта деятельность включает также усилия по борьбе с ВИЧ/СПИДом и другими заболеваниями, передаваемыми половым путем, равно как и борьбу с проституцией и торговлей людьми в сексуальных целях. Шведская политика в этой области также включает работу по изменениям во властных структурах и изменению представлений о том, что считается мужским и женским сексуальным поведением. В Швеции давно ведется работа как с молодыми людьми, так и с молодыми женщинами, касающаяся обсуждения вопросов сексуальности, взаимоотношений и гендерного равенства. Швеция будет продолжать оказание поддержки мерам, конкретной целью которых является стимулирование мужчин к принятию на себя ответственности во вопросах гендерного равенства.</w:t>
      </w:r>
    </w:p>
    <w:p w:rsidR="00E017AA" w:rsidRDefault="00E017AA">
      <w:pPr>
        <w:tabs>
          <w:tab w:val="left" w:pos="567"/>
          <w:tab w:val="left" w:pos="1134"/>
          <w:tab w:val="left" w:pos="1701"/>
        </w:tabs>
        <w:spacing w:after="200"/>
      </w:pPr>
      <w:r>
        <w:rPr>
          <w:lang w:val="en-US"/>
        </w:rPr>
        <w:t>f</w:t>
      </w:r>
      <w:r>
        <w:t>)</w:t>
      </w:r>
      <w:r>
        <w:tab/>
        <w:t>Деятельность Швеции по развитию сотрудничества включает меры по упразднению пагубных обычаев и практики, основанных на представлении, что женщины и девочки занимают подчиненное положение по отношению к мужчинам и мальчикам.</w:t>
      </w:r>
    </w:p>
    <w:p w:rsidR="00E017AA" w:rsidRDefault="00E017AA">
      <w:pPr>
        <w:tabs>
          <w:tab w:val="left" w:pos="567"/>
          <w:tab w:val="left" w:pos="1134"/>
          <w:tab w:val="left" w:pos="1701"/>
        </w:tabs>
        <w:spacing w:after="200"/>
      </w:pPr>
      <w:r>
        <w:rPr>
          <w:lang w:val="en-US"/>
        </w:rPr>
        <w:t>g</w:t>
      </w:r>
      <w:r>
        <w:t>)</w:t>
      </w:r>
      <w:r>
        <w:tab/>
        <w:t>В течение 2005 года правительство и Шведское агентство по вопросам развития международного сотрудничества (СИДА) готовили пересмотренные руководящие принципы по осуществлению Конвенции о ликвидации всех форм дискриминации в отношении женщин. Данный материал, как ожидается, будет готов к середине 2006 года.</w:t>
      </w:r>
    </w:p>
    <w:p w:rsidR="00E017AA" w:rsidRDefault="00E017AA">
      <w:pPr>
        <w:tabs>
          <w:tab w:val="left" w:pos="567"/>
          <w:tab w:val="left" w:pos="1134"/>
          <w:tab w:val="left" w:pos="1701"/>
        </w:tabs>
        <w:spacing w:after="200"/>
      </w:pPr>
      <w:r>
        <w:rPr>
          <w:lang w:val="en-US"/>
        </w:rPr>
        <w:t>h</w:t>
      </w:r>
      <w:r>
        <w:t>)</w:t>
      </w:r>
      <w:r>
        <w:tab/>
        <w:t>Швеция существенно увеличила организационный грант на 2004–2007 годы Фонду Организации Объединенных Наций для развития в интересах женщин с целью содействия женщинам в пользовании правами человека.</w:t>
      </w:r>
    </w:p>
    <w:p w:rsidR="00E017AA" w:rsidRDefault="00E017AA">
      <w:pPr>
        <w:tabs>
          <w:tab w:val="left" w:pos="567"/>
          <w:tab w:val="left" w:pos="1134"/>
          <w:tab w:val="left" w:pos="1701"/>
        </w:tabs>
        <w:spacing w:after="200"/>
      </w:pPr>
      <w:r>
        <w:rPr>
          <w:lang w:val="en-US"/>
        </w:rPr>
        <w:t>i</w:t>
      </w:r>
      <w:r>
        <w:t>)</w:t>
      </w:r>
      <w:r>
        <w:tab/>
        <w:t>Швеция будет продолжать содействовать женщинам в пользовании правами человека, считая это неотъемлемой частью всей своей деятельности в Организации Объединенных Наций и международной деятельности в целом и, в частности, в плане актуализации этих проблем во всех механизмах Организации Объединенных Наций в области прав человека. Швеция инициировала и организовала у себя международные совещания по вопросам калечащих операций на женских гениталиях (осень 2003 года) и насилия "во имя чести" (осень 2004 года).</w:t>
      </w:r>
    </w:p>
    <w:p w:rsidR="00E017AA" w:rsidRDefault="00E017AA">
      <w:pPr>
        <w:tabs>
          <w:tab w:val="left" w:pos="567"/>
          <w:tab w:val="left" w:pos="1134"/>
          <w:tab w:val="left" w:pos="1701"/>
        </w:tabs>
        <w:spacing w:after="200"/>
      </w:pPr>
      <w:r>
        <w:rPr>
          <w:lang w:val="en-US"/>
        </w:rPr>
        <w:t>j</w:t>
      </w:r>
      <w:r>
        <w:t>)</w:t>
      </w:r>
      <w:r>
        <w:tab/>
        <w:t>В рамках развития международного сотрудничества правительство Швеции приняло в 2003 году стратегию борьбы с торговлей людьми путем участия Швеции в международном сотрудничестве в области развития под названием "Бедность и торговля людьми: стратегия борьбы с торговлей людьми путем участия Швеции в международном сотрудничестве в области развития". Данная стратегия включает анализ опыта, причин и потребностей, а также собственных ресурсов и возможностей Швеции в борьбе с торговлей людьми. Она основана на определении торговли людьми, содержащемся в Протоколе Организации Объединенных Наций о предупреждении и пресечении торговли людьми, особенно женщинами и детьми, и наказании за нее, и торговля людьми рассматривается в ней как сложная глобальная проблема, в основе которой – бедность, маргинализация, неадекватная защита прав человека и дискриминационные представления о подчиненном положении женщин и детей, равно как и спрос на сексуальные услуги у покупателей таких услуг. Центральную роль в осуществлении данной стратегии в деятельности в области развития должно играть Шведское агентство по вопросам развития международного сотрудничества (СИДА), и в мае 2005 года Агентство представило доклад под названием "Против торговли людьми: обзор деятельности СИДА" о проделанной до настоящего времени работе, в котором также содержались рекомендации в отношении продолжения и активизации работы.</w:t>
      </w:r>
    </w:p>
    <w:p w:rsidR="00E017AA" w:rsidRDefault="00E017AA">
      <w:pPr>
        <w:tabs>
          <w:tab w:val="left" w:pos="567"/>
          <w:tab w:val="left" w:pos="1134"/>
          <w:tab w:val="left" w:pos="1701"/>
        </w:tabs>
        <w:spacing w:after="200"/>
      </w:pPr>
      <w:r>
        <w:rPr>
          <w:lang w:val="en-US"/>
        </w:rPr>
        <w:t>k</w:t>
      </w:r>
      <w:r>
        <w:t>)</w:t>
      </w:r>
      <w:r>
        <w:tab/>
        <w:t>С 1994 по 2004 год Агентство внесло свыше 240 млн. шведских крон на проекты по пресечению и предупреждению торговли людьми, в частности женщинами и детьми, особенно в сексуальных целях, в основном в Восточной Европе, Азии и Африке.</w:t>
      </w:r>
    </w:p>
    <w:p w:rsidR="00E017AA" w:rsidRDefault="00E017AA">
      <w:pPr>
        <w:tabs>
          <w:tab w:val="left" w:pos="567"/>
          <w:tab w:val="left" w:pos="1134"/>
          <w:tab w:val="left" w:pos="1701"/>
        </w:tabs>
        <w:spacing w:after="200"/>
      </w:pPr>
      <w:r>
        <w:rPr>
          <w:lang w:val="en-US"/>
        </w:rPr>
        <w:t>l</w:t>
      </w:r>
      <w:r>
        <w:t>)</w:t>
      </w:r>
      <w:r>
        <w:tab/>
        <w:t>В отношении политических прав правительство предоставляет гранты, в частности через посредничество Института по оказанию помощи в деле демократизации проведения выборов, на осуществление ряда проектов по поддержке права женщин участвовать в принятии решений, включая право выдвигать кандидатов на выборные политические должности, вступать в политические партии и участвовать в голосовании.</w:t>
      </w:r>
    </w:p>
    <w:p w:rsidR="00E017AA" w:rsidRDefault="00E017AA">
      <w:pPr>
        <w:tabs>
          <w:tab w:val="left" w:pos="567"/>
          <w:tab w:val="left" w:pos="1134"/>
          <w:tab w:val="left" w:pos="1701"/>
        </w:tabs>
        <w:spacing w:after="200"/>
      </w:pPr>
      <w:r>
        <w:rPr>
          <w:lang w:val="en-US"/>
        </w:rPr>
        <w:t>m</w:t>
      </w:r>
      <w:r>
        <w:t>)</w:t>
      </w:r>
      <w:r>
        <w:tab/>
        <w:t>В отношении образования шведское правительство поддерживает глобальную инициативу под названием "Образование для всех" – быстрый путь в целях содействия праву женщин и девочек на образование и реализацию целей 2 и 3 Целей в области развития, сформулированных в Декларации тысячелетия.</w:t>
      </w:r>
    </w:p>
    <w:p w:rsidR="00E017AA" w:rsidRDefault="00E017AA">
      <w:pPr>
        <w:keepNext/>
        <w:tabs>
          <w:tab w:val="left" w:pos="567"/>
          <w:tab w:val="left" w:pos="1134"/>
          <w:tab w:val="left" w:pos="1701"/>
        </w:tabs>
        <w:spacing w:after="200"/>
        <w:rPr>
          <w:sz w:val="26"/>
        </w:rPr>
      </w:pPr>
      <w:r>
        <w:rPr>
          <w:sz w:val="26"/>
        </w:rPr>
        <w:t>Дополнение 2</w:t>
      </w:r>
    </w:p>
    <w:p w:rsidR="00E017AA" w:rsidRDefault="00E017AA">
      <w:pPr>
        <w:keepNext/>
        <w:tabs>
          <w:tab w:val="left" w:pos="567"/>
          <w:tab w:val="left" w:pos="1134"/>
          <w:tab w:val="left" w:pos="1701"/>
        </w:tabs>
        <w:spacing w:after="200"/>
        <w:ind w:left="0" w:firstLine="0"/>
        <w:rPr>
          <w:b/>
          <w:bCs/>
        </w:rPr>
      </w:pPr>
      <w:r>
        <w:rPr>
          <w:b/>
          <w:bCs/>
        </w:rPr>
        <w:t>Деятельность Швеции по осуществлении резолюции 1325 Совета Безопасности Организации Объединенных Наций о женщинах, мире и безопасности</w:t>
      </w:r>
    </w:p>
    <w:p w:rsidR="00E017AA" w:rsidRDefault="00E017AA">
      <w:pPr>
        <w:tabs>
          <w:tab w:val="left" w:pos="567"/>
          <w:tab w:val="left" w:pos="1134"/>
          <w:tab w:val="left" w:pos="1701"/>
        </w:tabs>
        <w:spacing w:after="200"/>
      </w:pPr>
      <w:r>
        <w:rPr>
          <w:lang w:val="en-US"/>
        </w:rPr>
        <w:t>a</w:t>
      </w:r>
      <w:r>
        <w:t>)</w:t>
      </w:r>
      <w:r>
        <w:tab/>
        <w:t>Правительственными ведомствами в 2004 году была создана рабочая группа по активизации деятельности правительства Швеции по осуществлению резолюции 1325 Совета Безопасности Организации Объединенных Наций о женщинах, мире и безопасности. Одна из основных задач рабочей группы – подготовка национального плана действий по осуществлению положений резолюции 1325.</w:t>
      </w:r>
    </w:p>
    <w:p w:rsidR="00E017AA" w:rsidRDefault="00E017AA">
      <w:pPr>
        <w:tabs>
          <w:tab w:val="left" w:pos="567"/>
          <w:tab w:val="left" w:pos="1134"/>
          <w:tab w:val="left" w:pos="1701"/>
        </w:tabs>
        <w:spacing w:after="200"/>
      </w:pPr>
      <w:r>
        <w:rPr>
          <w:lang w:val="en-US"/>
        </w:rPr>
        <w:t>b</w:t>
      </w:r>
      <w:r>
        <w:t>)</w:t>
      </w:r>
      <w:r>
        <w:tab/>
        <w:t>Национальный план действий будет выполняться на трех уровнях: национальный уровень, уровень Европейского союза и уровень Организации Объединенных Наций. Соответствующая деятельность будет осуществляться и в других региональных организациях, таких как Организация по сотрудничеству стран Северной Европы и Организация по безопасности и сотрудничеству в Европе (</w:t>
      </w:r>
      <w:r>
        <w:rPr>
          <w:lang w:val="en-US"/>
        </w:rPr>
        <w:t>Nordic</w:t>
      </w:r>
      <w:r>
        <w:t xml:space="preserve"> </w:t>
      </w:r>
      <w:r>
        <w:rPr>
          <w:lang w:val="en-US"/>
        </w:rPr>
        <w:t>cooperation</w:t>
      </w:r>
      <w:r>
        <w:t>). План действий будет также включать меры в отношении обеих основных областей резолюции: укрепление возможностей женщин в плане участия в той или иной деятельности и защита женщин, ставших жертвами во время и после вооруженных конфликтов. Особое значение придается женщинам как участникам и активным силам, обладающим опытом, знаниями и заинтересованностью. План действий, который должен быть принят в июне 2006 года, рассчитан на 2006–2008 годы.</w:t>
      </w:r>
    </w:p>
    <w:p w:rsidR="00E017AA" w:rsidRDefault="00E017AA">
      <w:pPr>
        <w:tabs>
          <w:tab w:val="left" w:pos="567"/>
          <w:tab w:val="left" w:pos="1134"/>
          <w:tab w:val="left" w:pos="1701"/>
        </w:tabs>
        <w:spacing w:after="200"/>
      </w:pPr>
      <w:r>
        <w:rPr>
          <w:lang w:val="en-US"/>
        </w:rPr>
        <w:t>c</w:t>
      </w:r>
      <w:r>
        <w:t>)</w:t>
      </w:r>
      <w:r>
        <w:tab/>
        <w:t>Параллельно с разработкой плана действий были приняты, разработаны или осуществлены на национальном, региональном и глобальном уровнях ряд конкретных мер. Они включают, в частности, меры по расширению возможностей для женщин, с тем чтобы больше женщин участвовали в принятии решений, в работе учреждений, создаваемых в постконфликтных ситуациях; по предупреждению сексуального насилия в отношении женщин во время и после вооруженных конфликтов; а также меры по учету гендерного фактора в работе по созданию судебной системы в странах, переживших конфликт. Некоторые меры осуществлялись в рамках межведомственной рабочей группы, в то время как другие являются результатом усилий различных учреждений по осуществлению резолюции 1325 Совета Безопасности в ходе своих собственных операций. Одно из них – партнерство в области развития "Гендерное направление", в котором участвуют вооруженные силы, полиция, Шведское агентство служб спасения, Ассоциация офицеров вооруженных сил Швеции и Шведская женская добровольная служба обороны. Цели данного проекта включают актуализацию гендерного равенства в конкретной деятельности и увеличение доли женщин среди участников мероприятий по миростроительству и оказанию помощи при стихийных и иных бедствиях и в области развития.</w:t>
      </w:r>
    </w:p>
    <w:p w:rsidR="00E017AA" w:rsidRDefault="00E017AA">
      <w:pPr>
        <w:tabs>
          <w:tab w:val="left" w:pos="567"/>
          <w:tab w:val="left" w:pos="1134"/>
          <w:tab w:val="left" w:pos="1701"/>
        </w:tabs>
        <w:spacing w:after="200"/>
      </w:pPr>
    </w:p>
    <w:p w:rsidR="00E017AA" w:rsidRDefault="00E017AA">
      <w:pPr>
        <w:tabs>
          <w:tab w:val="left" w:pos="567"/>
          <w:tab w:val="left" w:pos="1134"/>
          <w:tab w:val="left" w:pos="1701"/>
        </w:tabs>
        <w:spacing w:after="200"/>
        <w:jc w:val="center"/>
      </w:pPr>
      <w:r>
        <w:t>___________________</w:t>
      </w:r>
    </w:p>
    <w:p w:rsidR="00E017AA" w:rsidRDefault="00E017AA">
      <w:pPr>
        <w:tabs>
          <w:tab w:val="left" w:pos="567"/>
          <w:tab w:val="left" w:pos="1134"/>
          <w:tab w:val="left" w:pos="1701"/>
        </w:tabs>
        <w:spacing w:after="200"/>
      </w:pPr>
    </w:p>
    <w:p w:rsidR="00E017AA" w:rsidRDefault="00E017AA">
      <w:pPr>
        <w:tabs>
          <w:tab w:val="left" w:pos="1134"/>
          <w:tab w:val="right" w:pos="9540"/>
        </w:tabs>
        <w:spacing w:after="200"/>
        <w:ind w:left="0" w:firstLine="0"/>
        <w:jc w:val="left"/>
        <w:rPr>
          <w:sz w:val="20"/>
        </w:rPr>
      </w:pPr>
    </w:p>
    <w:sectPr w:rsidR="00E017AA">
      <w:footerReference w:type="even" r:id="rId16"/>
      <w:footerReference w:type="default" r:id="rId17"/>
      <w:endnotePr>
        <w:numFmt w:val="decimal"/>
      </w:endnotePr>
      <w:pgSz w:w="12242" w:h="15842" w:code="1"/>
      <w:pgMar w:top="1418" w:right="1418" w:bottom="1701" w:left="1418" w:header="0" w:footer="851"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12T15:25:00Z" w:initials="Start">
    <w:p w:rsidR="00E017AA" w:rsidRDefault="00E017AA" w:rsidP="00E017AA">
      <w:pPr>
        <w:pStyle w:val="CommentText"/>
        <w:spacing w:after="0"/>
        <w:ind w:left="562" w:hanging="562"/>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NO&gt;&gt;N0655989R&lt;&lt;ODS JOB NO&gt;&gt;</w:t>
      </w:r>
    </w:p>
    <w:p w:rsidR="00E017AA" w:rsidRDefault="00E017AA" w:rsidP="00E017AA">
      <w:pPr>
        <w:pStyle w:val="CommentText"/>
        <w:spacing w:after="0"/>
        <w:ind w:left="562" w:hanging="562"/>
        <w:rPr>
          <w:lang w:val="en-US"/>
        </w:rPr>
      </w:pPr>
      <w:r>
        <w:rPr>
          <w:lang w:val="en-US"/>
        </w:rPr>
        <w:t>&lt;&lt;ODS DOC SYMBOL1&gt;&gt;CEDAW/C/SWE/7&lt;&lt;ODS DOC SYMBOL1&gt;&gt;</w:t>
      </w:r>
    </w:p>
    <w:p w:rsidR="00E017AA" w:rsidRDefault="00E017AA" w:rsidP="00E017AA">
      <w:pPr>
        <w:pStyle w:val="CommentText"/>
        <w:spacing w:after="0"/>
        <w:ind w:left="562" w:hanging="562"/>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8D" w:rsidRDefault="00E55B8D">
      <w:r>
        <w:separator/>
      </w:r>
    </w:p>
  </w:endnote>
  <w:endnote w:type="continuationSeparator" w:id="0">
    <w:p w:rsidR="00E55B8D" w:rsidRDefault="00E5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Humnst BT">
    <w:altName w:val="Lucida Sans Unicode"/>
    <w:charset w:val="00"/>
    <w:family w:val="swiss"/>
    <w:pitch w:val="variable"/>
    <w:sig w:usb0="00000087" w:usb1="00000000" w:usb2="00000000" w:usb3="00000000" w:csb0="0000001B"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017AA">
      <w:tblPrEx>
        <w:tblCellMar>
          <w:top w:w="0" w:type="dxa"/>
          <w:bottom w:w="0" w:type="dxa"/>
        </w:tblCellMar>
      </w:tblPrEx>
      <w:tc>
        <w:tcPr>
          <w:tcW w:w="5033" w:type="dxa"/>
          <w:vAlign w:val="bottom"/>
        </w:tcPr>
        <w:p w:rsidR="00E017AA" w:rsidRDefault="00E017AA">
          <w:pPr>
            <w:pStyle w:val="Footer"/>
          </w:pPr>
          <w:r>
            <w:fldChar w:fldCharType="begin"/>
          </w:r>
          <w:r>
            <w:instrText xml:space="preserve"> PAGE  \* MERGEFORMAT </w:instrText>
          </w:r>
          <w:r>
            <w:fldChar w:fldCharType="separate"/>
          </w:r>
          <w:r>
            <w:t>1</w:t>
          </w:r>
          <w:r>
            <w:fldChar w:fldCharType="end"/>
          </w:r>
        </w:p>
      </w:tc>
      <w:tc>
        <w:tcPr>
          <w:tcW w:w="5033" w:type="dxa"/>
          <w:vAlign w:val="bottom"/>
        </w:tcPr>
        <w:p w:rsidR="00E017AA" w:rsidRDefault="00E017AA">
          <w:pPr>
            <w:pStyle w:val="Footer"/>
            <w:jc w:val="right"/>
          </w:pPr>
        </w:p>
      </w:tc>
    </w:tr>
  </w:tbl>
  <w:p w:rsidR="00E017AA" w:rsidRDefault="00E01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017AA">
      <w:tblPrEx>
        <w:tblCellMar>
          <w:top w:w="0" w:type="dxa"/>
          <w:bottom w:w="0" w:type="dxa"/>
        </w:tblCellMar>
      </w:tblPrEx>
      <w:tc>
        <w:tcPr>
          <w:tcW w:w="5033" w:type="dxa"/>
          <w:vAlign w:val="bottom"/>
        </w:tcPr>
        <w:p w:rsidR="00E017AA" w:rsidRDefault="00E017AA">
          <w:pPr>
            <w:pStyle w:val="Footer"/>
          </w:pPr>
        </w:p>
      </w:tc>
      <w:tc>
        <w:tcPr>
          <w:tcW w:w="5033" w:type="dxa"/>
          <w:vAlign w:val="bottom"/>
        </w:tcPr>
        <w:p w:rsidR="00E017AA" w:rsidRDefault="00E017AA">
          <w:pPr>
            <w:pStyle w:val="Footer"/>
            <w:jc w:val="right"/>
          </w:pPr>
          <w:r>
            <w:fldChar w:fldCharType="begin"/>
          </w:r>
          <w:r>
            <w:instrText xml:space="preserve"> PAGE  \* MERGEFORMAT </w:instrText>
          </w:r>
          <w:r>
            <w:fldChar w:fldCharType="separate"/>
          </w:r>
          <w:r>
            <w:t>1</w:t>
          </w:r>
          <w:r>
            <w:fldChar w:fldCharType="end"/>
          </w:r>
        </w:p>
      </w:tc>
    </w:tr>
  </w:tbl>
  <w:p w:rsidR="00E017AA" w:rsidRDefault="00E01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AA" w:rsidRDefault="00E017AA">
    <w:pPr>
      <w:pStyle w:val="Footer"/>
      <w:rPr>
        <w:b w:val="0"/>
        <w:bCs/>
        <w:sz w:val="20"/>
        <w:lang w:val="en-US"/>
      </w:rPr>
    </w:pPr>
    <w:r>
      <w:rPr>
        <w:b w:val="0"/>
        <w:bCs/>
        <w:sz w:val="20"/>
        <w:lang w:val="en-US"/>
      </w:rPr>
      <w:t>06-55989</w:t>
    </w:r>
    <w:r>
      <w:rPr>
        <w:b w:val="0"/>
        <w:bCs/>
        <w:sz w:val="20"/>
      </w:rPr>
      <w:t>.</w:t>
    </w:r>
    <w:r>
      <w:rPr>
        <w:b w:val="0"/>
        <w:bCs/>
        <w:sz w:val="20"/>
        <w:lang w:val="en-US"/>
      </w:rPr>
      <w:t>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017AA">
      <w:tblPrEx>
        <w:tblCellMar>
          <w:top w:w="0" w:type="dxa"/>
          <w:bottom w:w="0" w:type="dxa"/>
        </w:tblCellMar>
      </w:tblPrEx>
      <w:tc>
        <w:tcPr>
          <w:tcW w:w="5033" w:type="dxa"/>
          <w:vAlign w:val="bottom"/>
        </w:tcPr>
        <w:p w:rsidR="00E017AA" w:rsidRDefault="00E017AA">
          <w:pPr>
            <w:pStyle w:val="Footer"/>
          </w:pPr>
          <w:r>
            <w:fldChar w:fldCharType="begin"/>
          </w:r>
          <w:r>
            <w:instrText xml:space="preserve"> PAGE  \* MERGEFORMAT </w:instrText>
          </w:r>
          <w:r>
            <w:fldChar w:fldCharType="separate"/>
          </w:r>
          <w:r>
            <w:t>2</w:t>
          </w:r>
          <w:r>
            <w:fldChar w:fldCharType="end"/>
          </w:r>
        </w:p>
      </w:tc>
      <w:tc>
        <w:tcPr>
          <w:tcW w:w="5033" w:type="dxa"/>
          <w:vAlign w:val="bottom"/>
        </w:tcPr>
        <w:p w:rsidR="00E017AA" w:rsidRDefault="00E017AA">
          <w:pPr>
            <w:pStyle w:val="Footer"/>
          </w:pPr>
        </w:p>
      </w:tc>
    </w:tr>
  </w:tbl>
  <w:p w:rsidR="00E017AA" w:rsidRDefault="00E017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017AA">
      <w:tblPrEx>
        <w:tblCellMar>
          <w:top w:w="0" w:type="dxa"/>
          <w:bottom w:w="0" w:type="dxa"/>
        </w:tblCellMar>
      </w:tblPrEx>
      <w:tc>
        <w:tcPr>
          <w:tcW w:w="5033" w:type="dxa"/>
          <w:vAlign w:val="bottom"/>
        </w:tcPr>
        <w:p w:rsidR="00E017AA" w:rsidRDefault="00E017AA">
          <w:pPr>
            <w:pStyle w:val="Footer"/>
          </w:pPr>
        </w:p>
      </w:tc>
      <w:tc>
        <w:tcPr>
          <w:tcW w:w="5033" w:type="dxa"/>
          <w:vAlign w:val="bottom"/>
        </w:tcPr>
        <w:p w:rsidR="00E017AA" w:rsidRDefault="00E017AA">
          <w:pPr>
            <w:pStyle w:val="Footer"/>
            <w:jc w:val="right"/>
          </w:pPr>
          <w:r>
            <w:fldChar w:fldCharType="begin"/>
          </w:r>
          <w:r>
            <w:instrText xml:space="preserve"> PAGE  \* MERGEFORMAT </w:instrText>
          </w:r>
          <w:r>
            <w:fldChar w:fldCharType="separate"/>
          </w:r>
          <w:r w:rsidR="00677865">
            <w:t>1</w:t>
          </w:r>
          <w:r>
            <w:fldChar w:fldCharType="end"/>
          </w:r>
        </w:p>
      </w:tc>
    </w:tr>
  </w:tbl>
  <w:p w:rsidR="00E017AA" w:rsidRDefault="00E017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AA" w:rsidRDefault="00E017AA">
    <w:pPr>
      <w:pStyle w:val="Footer"/>
      <w:jc w:val="center"/>
      <w:rPr>
        <w:b w:val="0"/>
        <w:bCs/>
        <w:sz w:val="22"/>
      </w:rPr>
    </w:pPr>
    <w:r>
      <w:rPr>
        <w:rStyle w:val="PageNumber"/>
        <w:b w:val="0"/>
        <w:bCs/>
        <w:sz w:val="22"/>
      </w:rPr>
      <w:fldChar w:fldCharType="begin"/>
    </w:r>
    <w:r>
      <w:rPr>
        <w:rStyle w:val="PageNumber"/>
        <w:b w:val="0"/>
        <w:bCs/>
        <w:sz w:val="22"/>
      </w:rPr>
      <w:instrText xml:space="preserve"> PAGE </w:instrText>
    </w:r>
    <w:r>
      <w:rPr>
        <w:rStyle w:val="PageNumber"/>
        <w:b w:val="0"/>
        <w:bCs/>
        <w:sz w:val="22"/>
      </w:rPr>
      <w:fldChar w:fldCharType="separate"/>
    </w:r>
    <w:r w:rsidR="00D862F8">
      <w:rPr>
        <w:rStyle w:val="PageNumber"/>
        <w:b w:val="0"/>
        <w:bCs/>
        <w:sz w:val="22"/>
      </w:rPr>
      <w:t>2</w:t>
    </w:r>
    <w:r>
      <w:rPr>
        <w:rStyle w:val="PageNumber"/>
        <w:b w:val="0"/>
        <w:bCs/>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AA" w:rsidRDefault="00E017AA">
    <w:pPr>
      <w:pStyle w:val="Footer"/>
      <w:jc w:val="center"/>
      <w:rPr>
        <w:b w:val="0"/>
        <w:bCs/>
        <w:sz w:val="22"/>
      </w:rPr>
    </w:pPr>
    <w:r>
      <w:rPr>
        <w:rStyle w:val="PageNumber"/>
        <w:b w:val="0"/>
        <w:bCs/>
        <w:sz w:val="22"/>
      </w:rPr>
      <w:fldChar w:fldCharType="begin"/>
    </w:r>
    <w:r>
      <w:rPr>
        <w:rStyle w:val="PageNumber"/>
        <w:b w:val="0"/>
        <w:bCs/>
        <w:sz w:val="22"/>
      </w:rPr>
      <w:instrText xml:space="preserve"> PAGE </w:instrText>
    </w:r>
    <w:r>
      <w:rPr>
        <w:rStyle w:val="PageNumber"/>
        <w:b w:val="0"/>
        <w:bCs/>
        <w:sz w:val="22"/>
      </w:rPr>
      <w:fldChar w:fldCharType="separate"/>
    </w:r>
    <w:r w:rsidR="008574AE">
      <w:rPr>
        <w:rStyle w:val="PageNumber"/>
        <w:b w:val="0"/>
        <w:bCs/>
        <w:sz w:val="22"/>
      </w:rPr>
      <w:t>63</w:t>
    </w:r>
    <w:r>
      <w:rPr>
        <w:rStyle w:val="PageNumber"/>
        <w:b w:val="0"/>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8D" w:rsidRDefault="00E55B8D">
      <w:pPr>
        <w:tabs>
          <w:tab w:val="left" w:pos="1021"/>
          <w:tab w:val="left" w:leader="underscore" w:pos="2552"/>
        </w:tabs>
        <w:spacing w:after="80"/>
      </w:pPr>
      <w:r>
        <w:separator/>
      </w:r>
    </w:p>
  </w:footnote>
  <w:footnote w:type="continuationSeparator" w:id="0">
    <w:p w:rsidR="00E55B8D" w:rsidRDefault="00E5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AA" w:rsidRDefault="00E017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7AA" w:rsidRDefault="00E017AA">
    <w:pPr>
      <w:pStyle w:val="Header"/>
      <w:ind w:right="360"/>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E017AA">
                  <w:tblPrEx>
                    <w:tblCellMar>
                      <w:top w:w="0" w:type="dxa"/>
                      <w:left w:w="0" w:type="dxa"/>
                      <w:bottom w:w="0" w:type="dxa"/>
                      <w:right w:w="0" w:type="dxa"/>
                    </w:tblCellMar>
                  </w:tblPrEx>
                  <w:trPr>
                    <w:trHeight w:hRule="exact" w:val="864"/>
                  </w:trPr>
                  <w:tc>
                    <w:tcPr>
                      <w:tcW w:w="4838" w:type="dxa"/>
                      <w:vAlign w:val="bottom"/>
                    </w:tcPr>
                    <w:p w:rsidR="00E017AA" w:rsidRDefault="00E017AA">
                      <w:pPr>
                        <w:pStyle w:val="Header"/>
                      </w:pPr>
                    </w:p>
                  </w:tc>
                  <w:tc>
                    <w:tcPr>
                      <w:tcW w:w="5047" w:type="dxa"/>
                      <w:vAlign w:val="bottom"/>
                    </w:tcPr>
                    <w:p w:rsidR="00E017AA" w:rsidRDefault="00E017AA">
                      <w:pPr>
                        <w:pStyle w:val="Header"/>
                        <w:spacing w:after="80"/>
                        <w:jc w:val="right"/>
                        <w:rPr>
                          <w:b/>
                        </w:rPr>
                      </w:pPr>
                      <w:r>
                        <w:rPr>
                          <w:b/>
                        </w:rPr>
                        <w:t>CEDAW/C/BLR/4-6</w:t>
                      </w:r>
                    </w:p>
                  </w:tc>
                </w:tr>
              </w:tbl>
              <w:p w:rsidR="00E017AA" w:rsidRDefault="00E017AA"/>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4403"/>
      <w:gridCol w:w="142"/>
      <w:gridCol w:w="682"/>
      <w:gridCol w:w="245"/>
      <w:gridCol w:w="3140"/>
    </w:tblGrid>
    <w:tr w:rsidR="00E017AA">
      <w:tblPrEx>
        <w:tblCellMar>
          <w:top w:w="0" w:type="dxa"/>
          <w:left w:w="0" w:type="dxa"/>
          <w:bottom w:w="0" w:type="dxa"/>
          <w:right w:w="0" w:type="dxa"/>
        </w:tblCellMar>
      </w:tblPrEx>
      <w:trPr>
        <w:cantSplit/>
        <w:trHeight w:hRule="exact" w:val="864"/>
      </w:trPr>
      <w:tc>
        <w:tcPr>
          <w:tcW w:w="5670" w:type="dxa"/>
          <w:gridSpan w:val="2"/>
          <w:tcBorders>
            <w:top w:val="nil"/>
            <w:left w:val="nil"/>
            <w:bottom w:val="nil"/>
            <w:right w:val="nil"/>
          </w:tcBorders>
          <w:vAlign w:val="bottom"/>
        </w:tcPr>
        <w:p w:rsidR="00E017AA" w:rsidRDefault="00E017AA">
          <w:pPr>
            <w:pStyle w:val="HCh"/>
            <w:spacing w:after="80"/>
            <w:jc w:val="left"/>
            <w:rPr>
              <w:bCs/>
              <w:spacing w:val="0"/>
              <w:w w:val="100"/>
            </w:rPr>
          </w:pPr>
          <w:r>
            <w:rPr>
              <w:bCs/>
              <w:spacing w:val="0"/>
              <w:w w:val="100"/>
            </w:rPr>
            <w:t>Организация Объединенных Наций</w:t>
          </w:r>
        </w:p>
      </w:tc>
      <w:tc>
        <w:tcPr>
          <w:tcW w:w="142" w:type="dxa"/>
          <w:tcBorders>
            <w:top w:val="nil"/>
            <w:left w:val="nil"/>
            <w:bottom w:val="nil"/>
            <w:right w:val="nil"/>
          </w:tcBorders>
          <w:vAlign w:val="bottom"/>
        </w:tcPr>
        <w:p w:rsidR="00E017AA" w:rsidRDefault="00E017AA">
          <w:pPr>
            <w:pStyle w:val="Header"/>
            <w:spacing w:after="120"/>
          </w:pPr>
        </w:p>
      </w:tc>
      <w:tc>
        <w:tcPr>
          <w:tcW w:w="4067" w:type="dxa"/>
          <w:gridSpan w:val="3"/>
          <w:tcBorders>
            <w:top w:val="nil"/>
            <w:left w:val="nil"/>
            <w:bottom w:val="nil"/>
            <w:right w:val="nil"/>
          </w:tcBorders>
          <w:vAlign w:val="bottom"/>
        </w:tcPr>
        <w:p w:rsidR="00E017AA" w:rsidRDefault="00E017AA">
          <w:pPr>
            <w:pStyle w:val="Header"/>
            <w:spacing w:after="20"/>
            <w:jc w:val="right"/>
            <w:rPr>
              <w:sz w:val="20"/>
              <w:lang w:val="en-US"/>
            </w:rPr>
          </w:pPr>
          <w:r>
            <w:rPr>
              <w:b/>
              <w:bCs/>
              <w:sz w:val="40"/>
            </w:rPr>
            <w:t>CEDAW</w:t>
          </w:r>
          <w:r>
            <w:rPr>
              <w:sz w:val="20"/>
            </w:rPr>
            <w:t>/C/</w:t>
          </w:r>
          <w:r>
            <w:rPr>
              <w:sz w:val="20"/>
              <w:lang w:val="en-US"/>
            </w:rPr>
            <w:t>SWE/7</w:t>
          </w:r>
        </w:p>
      </w:tc>
    </w:tr>
    <w:tr w:rsidR="00E017AA">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E017AA" w:rsidRDefault="00E017AA">
          <w:pPr>
            <w:pStyle w:val="Header"/>
            <w:spacing w:before="1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E017AA" w:rsidRDefault="00E017AA">
          <w:pPr>
            <w:pStyle w:val="Header"/>
            <w:spacing w:before="109"/>
          </w:pPr>
        </w:p>
      </w:tc>
      <w:tc>
        <w:tcPr>
          <w:tcW w:w="5227" w:type="dxa"/>
          <w:gridSpan w:val="3"/>
          <w:tcBorders>
            <w:left w:val="nil"/>
            <w:bottom w:val="single" w:sz="12" w:space="0" w:color="auto"/>
            <w:right w:val="nil"/>
          </w:tcBorders>
        </w:tcPr>
        <w:p w:rsidR="00E017AA" w:rsidRDefault="00E017AA">
          <w:pPr>
            <w:pStyle w:val="XLarge"/>
            <w:spacing w:before="109" w:line="330" w:lineRule="exact"/>
            <w:ind w:left="0" w:firstLine="0"/>
            <w:jc w:val="left"/>
            <w:rPr>
              <w:spacing w:val="0"/>
              <w:w w:val="100"/>
              <w:sz w:val="32"/>
            </w:rPr>
          </w:pPr>
          <w:r>
            <w:rPr>
              <w:spacing w:val="0"/>
              <w:w w:val="100"/>
              <w:sz w:val="32"/>
            </w:rPr>
            <w:t xml:space="preserve">Конвенция о ликвидации </w:t>
          </w:r>
          <w:r>
            <w:rPr>
              <w:spacing w:val="0"/>
              <w:w w:val="100"/>
              <w:sz w:val="32"/>
            </w:rPr>
            <w:br/>
            <w:t xml:space="preserve">всех форм дискриминации </w:t>
          </w:r>
          <w:r>
            <w:rPr>
              <w:spacing w:val="0"/>
              <w:w w:val="100"/>
              <w:sz w:val="32"/>
            </w:rPr>
            <w:br/>
            <w:t>в отношении женщин</w:t>
          </w:r>
        </w:p>
      </w:tc>
      <w:tc>
        <w:tcPr>
          <w:tcW w:w="245" w:type="dxa"/>
          <w:tcBorders>
            <w:left w:val="nil"/>
            <w:bottom w:val="single" w:sz="12" w:space="0" w:color="auto"/>
            <w:right w:val="nil"/>
          </w:tcBorders>
        </w:tcPr>
        <w:p w:rsidR="00E017AA" w:rsidRDefault="00E017AA">
          <w:pPr>
            <w:pStyle w:val="Header"/>
            <w:spacing w:before="109"/>
          </w:pPr>
        </w:p>
      </w:tc>
      <w:tc>
        <w:tcPr>
          <w:tcW w:w="3140" w:type="dxa"/>
          <w:tcBorders>
            <w:left w:val="nil"/>
            <w:bottom w:val="single" w:sz="12" w:space="0" w:color="auto"/>
            <w:right w:val="nil"/>
          </w:tcBorders>
        </w:tcPr>
        <w:p w:rsidR="00E017AA" w:rsidRDefault="00E017AA">
          <w:pPr>
            <w:spacing w:before="240" w:after="0"/>
            <w:rPr>
              <w:lang w:val="en-US"/>
            </w:rPr>
          </w:pPr>
          <w:r>
            <w:rPr>
              <w:lang w:val="en-US"/>
            </w:rPr>
            <w:t>Distr.: General</w:t>
          </w:r>
        </w:p>
        <w:p w:rsidR="00E017AA" w:rsidRDefault="00E017AA">
          <w:pPr>
            <w:spacing w:after="0"/>
            <w:rPr>
              <w:lang w:val="en-US"/>
            </w:rPr>
          </w:pPr>
          <w:r>
            <w:rPr>
              <w:lang w:val="en-US"/>
            </w:rPr>
            <w:t>14 September 2006</w:t>
          </w:r>
        </w:p>
        <w:p w:rsidR="00E017AA" w:rsidRDefault="00E017AA">
          <w:pPr>
            <w:spacing w:after="0"/>
            <w:rPr>
              <w:lang w:val="en-US"/>
            </w:rPr>
          </w:pPr>
        </w:p>
        <w:p w:rsidR="00E017AA" w:rsidRDefault="00E017AA">
          <w:pPr>
            <w:spacing w:after="0"/>
            <w:rPr>
              <w:lang w:val="en-US"/>
            </w:rPr>
          </w:pPr>
          <w:r>
            <w:rPr>
              <w:lang w:val="en-US"/>
            </w:rPr>
            <w:t>Russian</w:t>
          </w:r>
        </w:p>
        <w:p w:rsidR="00E017AA" w:rsidRDefault="00E017AA">
          <w:pPr>
            <w:spacing w:after="0"/>
            <w:rPr>
              <w:lang w:val="en-US"/>
            </w:rPr>
          </w:pPr>
          <w:r>
            <w:rPr>
              <w:lang w:val="en-US"/>
            </w:rPr>
            <w:t>Original: English</w:t>
          </w:r>
        </w:p>
      </w:tc>
    </w:tr>
  </w:tbl>
  <w:p w:rsidR="00E017AA" w:rsidRDefault="00E017AA">
    <w:pPr>
      <w:pStyle w:val="Header"/>
      <w:spacing w:line="20" w:lineRule="exact"/>
      <w:rPr>
        <w:sz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AA" w:rsidRDefault="00E01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1" w:dllVersion="512" w:checkStyle="1"/>
  <w:activeWritingStyle w:appName="MSWord"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hyphenationZone w:val="221"/>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2/2003 11:14 AM"/>
    <w:docVar w:name="DocCategory" w:val="Doc"/>
    <w:docVar w:name="DocType" w:val="Final"/>
    <w:docVar w:name="JobNo" w:val="0276198R"/>
    <w:docVar w:name="OandT" w:val=" "/>
    <w:docVar w:name="Symbol1" w:val="CEDAW/C/BLR/4-6"/>
    <w:docVar w:name="Symbol2" w:val="-"/>
  </w:docVars>
  <w:rsids>
    <w:rsidRoot w:val="00E017AA"/>
    <w:rsid w:val="00677865"/>
    <w:rsid w:val="008574AE"/>
    <w:rsid w:val="00D862F8"/>
    <w:rsid w:val="00E017AA"/>
    <w:rsid w:val="00E55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907"/>
        <w:tab w:val="left" w:pos="1247"/>
        <w:tab w:val="left" w:pos="1588"/>
      </w:tabs>
      <w:spacing w:after="240"/>
      <w:ind w:left="567" w:hanging="567"/>
      <w:jc w:val="both"/>
    </w:pPr>
    <w:rPr>
      <w:kern w:val="14"/>
      <w:sz w:val="22"/>
      <w:lang w:val="ru-RU" w:eastAsia="ru-RU"/>
    </w:rPr>
  </w:style>
  <w:style w:type="paragraph" w:styleId="Heading1">
    <w:name w:val="heading 1"/>
    <w:basedOn w:val="Normal"/>
    <w:next w:val="Normal"/>
    <w:qFormat/>
    <w:pPr>
      <w:keepNext/>
      <w:outlineLvl w:val="0"/>
    </w:pPr>
    <w:rPr>
      <w:b/>
      <w:bCs/>
      <w:kern w:val="0"/>
      <w:sz w:val="28"/>
      <w:szCs w:val="24"/>
      <w:lang w:val="es-ES" w:eastAsia="es-ES"/>
    </w:rPr>
  </w:style>
  <w:style w:type="paragraph" w:styleId="Heading2">
    <w:name w:val="heading 2"/>
    <w:basedOn w:val="Normal"/>
    <w:next w:val="Normal"/>
    <w:qFormat/>
    <w:pPr>
      <w:keepNext/>
      <w:outlineLvl w:val="1"/>
    </w:pPr>
    <w:rPr>
      <w:b/>
      <w:bCs/>
      <w:kern w:val="0"/>
      <w:sz w:val="24"/>
      <w:szCs w:val="24"/>
      <w:lang w:val="es-ES" w:eastAsia="es-ES"/>
    </w:rPr>
  </w:style>
  <w:style w:type="paragraph" w:styleId="Heading3">
    <w:name w:val="heading 3"/>
    <w:basedOn w:val="Normal"/>
    <w:next w:val="Normal"/>
    <w:qFormat/>
    <w:pPr>
      <w:keepNext/>
      <w:outlineLvl w:val="2"/>
    </w:pPr>
    <w:rPr>
      <w:b/>
      <w:bCs/>
      <w:kern w:val="0"/>
      <w:sz w:val="24"/>
      <w:szCs w:val="24"/>
      <w:lang w:val="es-ES" w:eastAsia="es-ES"/>
    </w:rPr>
  </w:style>
  <w:style w:type="paragraph" w:styleId="Heading4">
    <w:name w:val="heading 4"/>
    <w:basedOn w:val="Normal"/>
    <w:next w:val="Normal"/>
    <w:qFormat/>
    <w:pPr>
      <w:keepNext/>
      <w:outlineLvl w:val="3"/>
    </w:pPr>
    <w:rPr>
      <w:b/>
      <w:kern w:val="0"/>
      <w:lang w:val="es-BO" w:eastAsia="es-ES"/>
    </w:rPr>
  </w:style>
  <w:style w:type="paragraph" w:styleId="Heading5">
    <w:name w:val="heading 5"/>
    <w:basedOn w:val="Normal"/>
    <w:next w:val="Normal"/>
    <w:qFormat/>
    <w:pPr>
      <w:keepNext/>
      <w:tabs>
        <w:tab w:val="clear" w:pos="567"/>
        <w:tab w:val="clear" w:pos="907"/>
        <w:tab w:val="clear" w:pos="1247"/>
        <w:tab w:val="clear" w:pos="1588"/>
      </w:tabs>
      <w:spacing w:after="0"/>
      <w:ind w:left="360" w:firstLine="0"/>
      <w:outlineLvl w:val="4"/>
    </w:pPr>
    <w:rPr>
      <w:rFonts w:ascii="Book Antiqua" w:hAnsi="Book Antiqua"/>
      <w:b/>
      <w:bCs/>
      <w:kern w:val="0"/>
      <w:sz w:val="24"/>
      <w:szCs w:val="24"/>
      <w:lang w:val="es-ES" w:eastAsia="es-ES"/>
    </w:rPr>
  </w:style>
  <w:style w:type="paragraph" w:styleId="Heading6">
    <w:name w:val="heading 6"/>
    <w:basedOn w:val="Normal"/>
    <w:next w:val="Normal"/>
    <w:qFormat/>
    <w:pPr>
      <w:keepNext/>
      <w:ind w:left="540"/>
      <w:jc w:val="center"/>
      <w:outlineLvl w:val="5"/>
    </w:pPr>
    <w:rPr>
      <w:b/>
      <w:kern w:val="0"/>
      <w:sz w:val="24"/>
      <w:szCs w:val="24"/>
      <w:lang w:val="es-ES" w:eastAsia="es-ES"/>
    </w:rPr>
  </w:style>
  <w:style w:type="paragraph" w:styleId="Heading7">
    <w:name w:val="heading 7"/>
    <w:basedOn w:val="Normal"/>
    <w:next w:val="Normal"/>
    <w:qFormat/>
    <w:pPr>
      <w:keepNext/>
      <w:widowControl w:val="0"/>
      <w:tabs>
        <w:tab w:val="clear" w:pos="567"/>
        <w:tab w:val="clear" w:pos="907"/>
        <w:tab w:val="clear" w:pos="1247"/>
        <w:tab w:val="clear" w:pos="1588"/>
        <w:tab w:val="right" w:pos="9540"/>
      </w:tabs>
      <w:suppressAutoHyphens/>
      <w:spacing w:after="0" w:line="480" w:lineRule="auto"/>
      <w:ind w:left="0" w:firstLine="0"/>
      <w:jc w:val="left"/>
      <w:outlineLvl w:val="6"/>
    </w:pPr>
    <w:rPr>
      <w:spacing w:val="4"/>
      <w:w w:val="103"/>
      <w:sz w:val="24"/>
      <w:szCs w:val="24"/>
      <w:lang w:val="en-GB" w:eastAsia="en-US"/>
    </w:rPr>
  </w:style>
  <w:style w:type="paragraph" w:styleId="Heading8">
    <w:name w:val="heading 8"/>
    <w:basedOn w:val="Normal"/>
    <w:next w:val="Normal"/>
    <w:qFormat/>
    <w:pPr>
      <w:keepNext/>
      <w:jc w:val="center"/>
      <w:outlineLvl w:val="7"/>
    </w:pPr>
    <w:rPr>
      <w:b/>
      <w:bCs/>
      <w:kern w:val="0"/>
      <w:szCs w:val="24"/>
      <w:lang w:val="es-ES" w:eastAsia="es-ES"/>
    </w:rPr>
  </w:style>
  <w:style w:type="paragraph" w:styleId="Heading9">
    <w:name w:val="heading 9"/>
    <w:basedOn w:val="Normal"/>
    <w:next w:val="Normal"/>
    <w:qFormat/>
    <w:pPr>
      <w:keepNext/>
      <w:jc w:val="center"/>
      <w:outlineLvl w:val="8"/>
    </w:pPr>
    <w:rPr>
      <w:rFonts w:ascii="Tahoma" w:hAnsi="Tahoma"/>
      <w:b/>
      <w:color w:val="000000"/>
      <w:kern w:val="0"/>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pacing w:val="4"/>
      <w:w w:val="103"/>
      <w:sz w:val="24"/>
    </w:rPr>
  </w:style>
  <w:style w:type="paragraph" w:customStyle="1" w:styleId="SingleTxt">
    <w:name w:val="__Single Txt"/>
    <w:basedOn w:val="Normal"/>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pPr>
    <w:rPr>
      <w:spacing w:val="4"/>
      <w:w w:val="103"/>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spacing w:line="240" w:lineRule="exact"/>
      <w:outlineLvl w:val="3"/>
    </w:pPr>
    <w:rPr>
      <w:i/>
      <w:spacing w:val="3"/>
      <w:w w:val="103"/>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pPr>
    <w:rPr>
      <w:spacing w:val="4"/>
      <w:w w:val="103"/>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spacing w:val="0"/>
      <w:w w:val="100"/>
      <w:position w:val="0"/>
      <w:sz w:val="22"/>
      <w:vertAlign w:val="superscript"/>
    </w:rPr>
  </w:style>
  <w:style w:type="character" w:styleId="EndnoteReference">
    <w:name w:val="endnote reference"/>
    <w:basedOn w:val="FootnoteReference"/>
    <w:semiHidden/>
    <w:rPr>
      <w:rFonts w:ascii="Times New Roman" w:hAnsi="Times New Roman"/>
      <w:spacing w:val="0"/>
      <w:w w:val="100"/>
      <w:position w:val="0"/>
      <w:sz w:val="22"/>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ru-RU" w:eastAsia="ru-RU"/>
    </w:rPr>
  </w:style>
  <w:style w:type="paragraph" w:styleId="Header">
    <w:name w:val="header"/>
    <w:pPr>
      <w:tabs>
        <w:tab w:val="center" w:pos="4320"/>
        <w:tab w:val="right" w:pos="8640"/>
      </w:tabs>
    </w:pPr>
    <w:rPr>
      <w:noProof/>
      <w:sz w:val="17"/>
      <w:lang w:val="ru-RU" w:eastAsia="ru-RU"/>
    </w:rPr>
  </w:style>
  <w:style w:type="character" w:styleId="LineNumber">
    <w:name w:val="line number"/>
    <w:rPr>
      <w:sz w:val="14"/>
    </w:rPr>
  </w:style>
  <w:style w:type="paragraph" w:styleId="ListContinue2">
    <w:name w:val="List Continue 2"/>
    <w:basedOn w:val="Normal"/>
    <w:next w:val="Normal"/>
    <w:pPr>
      <w:numPr>
        <w:numId w:val="1"/>
      </w:numPr>
      <w:spacing w:after="120" w:line="240" w:lineRule="exact"/>
    </w:pPr>
    <w:rPr>
      <w:spacing w:val="4"/>
      <w:w w:val="103"/>
    </w:rPr>
  </w:style>
  <w:style w:type="paragraph" w:styleId="ListNumber">
    <w:name w:val="List Number"/>
    <w:basedOn w:val="H1"/>
    <w:next w:val="Normal"/>
    <w:pPr>
      <w:numPr>
        <w:numId w:val="2"/>
      </w:numPr>
      <w:tabs>
        <w:tab w:val="clear" w:pos="360"/>
        <w:tab w:val="num" w:pos="792"/>
      </w:tabs>
      <w:ind w:left="792" w:hanging="317"/>
    </w:pPr>
  </w:style>
  <w:style w:type="paragraph" w:styleId="ListNumber2">
    <w:name w:val="List Number 2"/>
    <w:basedOn w:val="H23"/>
    <w:next w:val="Normal"/>
    <w:pPr>
      <w:numPr>
        <w:numId w:val="3"/>
      </w:numPr>
      <w:tabs>
        <w:tab w:val="clear" w:pos="643"/>
        <w:tab w:val="num" w:pos="792"/>
      </w:tabs>
      <w:ind w:left="792" w:hanging="317"/>
    </w:pPr>
  </w:style>
  <w:style w:type="paragraph" w:styleId="ListNumber3">
    <w:name w:val="List Number 3"/>
    <w:basedOn w:val="H23"/>
    <w:next w:val="Normal"/>
    <w:pPr>
      <w:numPr>
        <w:numId w:val="4"/>
      </w:numPr>
      <w:tabs>
        <w:tab w:val="clear" w:pos="926"/>
        <w:tab w:val="num" w:pos="792"/>
      </w:tabs>
      <w:ind w:left="792" w:hanging="317"/>
    </w:pPr>
  </w:style>
  <w:style w:type="paragraph" w:styleId="ListNumber4">
    <w:name w:val="List Number 4"/>
    <w:basedOn w:val="H4"/>
    <w:next w:val="Normal"/>
    <w:pPr>
      <w:numPr>
        <w:numId w:val="5"/>
      </w:numPr>
      <w:tabs>
        <w:tab w:val="clear" w:pos="1209"/>
        <w:tab w:val="num" w:pos="792"/>
      </w:tabs>
      <w:ind w:left="792" w:hanging="317"/>
    </w:pPr>
  </w:style>
  <w:style w:type="paragraph" w:styleId="ListNumber5">
    <w:name w:val="List Number 5"/>
    <w:basedOn w:val="Normal"/>
    <w:next w:val="Normal"/>
    <w:pPr>
      <w:numPr>
        <w:numId w:val="6"/>
      </w:numPr>
      <w:tabs>
        <w:tab w:val="clear" w:pos="1492"/>
        <w:tab w:val="num" w:pos="792"/>
      </w:tabs>
      <w:spacing w:line="240" w:lineRule="exact"/>
      <w:ind w:left="792" w:hanging="317"/>
    </w:pPr>
    <w:rPr>
      <w:spacing w:val="4"/>
      <w:w w:val="103"/>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a">
    <w:name w:val="Текст выноски"/>
    <w:basedOn w:val="Normal"/>
    <w:semiHidden/>
    <w:rPr>
      <w:rFonts w:ascii="Tahoma" w:hAnsi="Tahoma" w:cs="Tahoma"/>
      <w:sz w:val="16"/>
      <w:szCs w:val="16"/>
    </w:rPr>
  </w:style>
  <w:style w:type="character" w:styleId="PageNumber">
    <w:name w:val="page number"/>
    <w:basedOn w:val="DefaultParagraphFont"/>
  </w:style>
  <w:style w:type="paragraph" w:styleId="BodyText">
    <w:name w:val="Body Text"/>
    <w:basedOn w:val="Normal"/>
    <w:rPr>
      <w:kern w:val="0"/>
      <w:sz w:val="24"/>
      <w:szCs w:val="24"/>
      <w:lang w:val="es-ES" w:eastAsia="es-ES"/>
    </w:rPr>
  </w:style>
  <w:style w:type="paragraph" w:styleId="Title">
    <w:name w:val="Title"/>
    <w:basedOn w:val="Normal"/>
    <w:qFormat/>
    <w:pPr>
      <w:jc w:val="center"/>
    </w:pPr>
    <w:rPr>
      <w:b/>
      <w:bCs/>
      <w:kern w:val="0"/>
      <w:sz w:val="24"/>
      <w:szCs w:val="24"/>
      <w:lang w:val="es-ES" w:eastAsia="es-ES"/>
    </w:rPr>
  </w:style>
  <w:style w:type="paragraph" w:styleId="BodyText2">
    <w:name w:val="Body Text 2"/>
    <w:basedOn w:val="Normal"/>
    <w:pPr>
      <w:spacing w:after="120" w:line="480" w:lineRule="auto"/>
    </w:pPr>
    <w:rPr>
      <w:kern w:val="0"/>
      <w:sz w:val="24"/>
      <w:lang w:val="en-US" w:eastAsia="es-ES"/>
    </w:rPr>
  </w:style>
  <w:style w:type="paragraph" w:styleId="BodyTextIndent">
    <w:name w:val="Body Text Indent"/>
    <w:basedOn w:val="Normal"/>
    <w:pPr>
      <w:spacing w:after="120" w:line="480" w:lineRule="auto"/>
    </w:pPr>
    <w:rPr>
      <w:kern w:val="0"/>
      <w:sz w:val="24"/>
      <w:lang w:val="en-US" w:eastAsia="es-ES"/>
    </w:rPr>
  </w:style>
  <w:style w:type="paragraph" w:styleId="NormalWeb">
    <w:name w:val="Normal (Web)"/>
    <w:basedOn w:val="Normal"/>
    <w:pPr>
      <w:spacing w:before="100" w:after="100"/>
    </w:pPr>
    <w:rPr>
      <w:rFonts w:ascii="Arial Unicode MS" w:eastAsia="Arial Unicode MS" w:hAnsi="Arial Unicode MS"/>
      <w:kern w:val="0"/>
      <w:sz w:val="24"/>
      <w:lang w:val="es-ES" w:eastAsia="es-ES"/>
    </w:rPr>
  </w:style>
  <w:style w:type="paragraph" w:styleId="BodyText3">
    <w:name w:val="Body Text 3"/>
    <w:basedOn w:val="Normal"/>
    <w:rPr>
      <w:b/>
      <w:bCs/>
      <w:kern w:val="0"/>
      <w:sz w:val="24"/>
      <w:szCs w:val="24"/>
      <w:lang w:val="es-ES_tradnl" w:eastAsia="es-ES"/>
    </w:rPr>
  </w:style>
  <w:style w:type="paragraph" w:styleId="BodyTextIndent2">
    <w:name w:val="Body Text Indent 2"/>
    <w:basedOn w:val="Normal"/>
    <w:pPr>
      <w:ind w:left="360"/>
    </w:pPr>
    <w:rPr>
      <w:snapToGrid w:val="0"/>
      <w:color w:val="000000"/>
      <w:kern w:val="0"/>
      <w:lang w:val="es-ES" w:eastAsia="es-ES"/>
    </w:rPr>
  </w:style>
  <w:style w:type="paragraph" w:customStyle="1" w:styleId="xl24">
    <w:name w:val="xl24"/>
    <w:basedOn w:val="Normal"/>
    <w:pPr>
      <w:spacing w:before="100" w:beforeAutospacing="1" w:after="100" w:afterAutospacing="1"/>
    </w:pPr>
    <w:rPr>
      <w:rFonts w:eastAsia="Arial Unicode MS"/>
      <w:kern w:val="0"/>
      <w:sz w:val="16"/>
      <w:szCs w:val="16"/>
      <w:lang w:val="en-GB" w:eastAsia="en-US"/>
    </w:rPr>
  </w:style>
  <w:style w:type="paragraph" w:customStyle="1" w:styleId="RightPar1a">
    <w:name w:val="Right Par 1a"/>
    <w:pPr>
      <w:widowControl w:val="0"/>
      <w:tabs>
        <w:tab w:val="left" w:pos="-720"/>
        <w:tab w:val="left" w:pos="0"/>
        <w:tab w:val="left" w:pos="288"/>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pPr>
    <w:rPr>
      <w:sz w:val="22"/>
      <w:szCs w:val="22"/>
      <w:lang w:val="en-US" w:eastAsia="es-ES"/>
    </w:rPr>
  </w:style>
  <w:style w:type="paragraph" w:customStyle="1" w:styleId="boxmargin">
    <w:name w:val="boxmargin"/>
    <w:basedOn w:val="Normal"/>
    <w:rPr>
      <w:rFonts w:ascii="ZapfHumnst BT" w:hAnsi="ZapfHumnst BT"/>
      <w:kern w:val="0"/>
      <w:sz w:val="18"/>
      <w:lang w:val="en-US" w:eastAsia="en-US"/>
    </w:rPr>
  </w:style>
  <w:style w:type="character" w:styleId="Hyperlink">
    <w:name w:val="Hyperlink"/>
    <w:rPr>
      <w:color w:val="0000FF"/>
      <w:u w:val="none"/>
    </w:rPr>
  </w:style>
  <w:style w:type="paragraph" w:styleId="BodyTextIndent3">
    <w:name w:val="Body Text Indent 3"/>
    <w:basedOn w:val="Normal"/>
    <w:pPr>
      <w:tabs>
        <w:tab w:val="clear" w:pos="567"/>
        <w:tab w:val="clear" w:pos="907"/>
        <w:tab w:val="clear" w:pos="1247"/>
        <w:tab w:val="clear" w:pos="1588"/>
        <w:tab w:val="left" w:pos="6465"/>
      </w:tabs>
      <w:spacing w:after="0"/>
      <w:ind w:left="720" w:firstLine="0"/>
    </w:pPr>
    <w:rPr>
      <w:kern w:val="0"/>
      <w:sz w:val="20"/>
      <w:lang w:val="es-MX" w:eastAsia="es-ES"/>
    </w:rPr>
  </w:style>
  <w:style w:type="paragraph" w:customStyle="1" w:styleId="a0">
    <w:name w:val="Тема примечания"/>
    <w:basedOn w:val="CommentText"/>
    <w:next w:val="CommentText"/>
    <w:semiHidden/>
    <w:pPr>
      <w:tabs>
        <w:tab w:val="clear" w:pos="567"/>
        <w:tab w:val="clear" w:pos="907"/>
        <w:tab w:val="clear" w:pos="1247"/>
        <w:tab w:val="clear" w:pos="1588"/>
      </w:tabs>
      <w:spacing w:after="0"/>
      <w:ind w:left="0" w:firstLine="0"/>
      <w:jc w:val="left"/>
    </w:pPr>
    <w:rPr>
      <w:b/>
      <w:bCs/>
      <w:kern w:val="0"/>
      <w:sz w:val="20"/>
      <w:lang w:val="es-ES" w:eastAsia="es-ES"/>
    </w:rPr>
  </w:style>
  <w:style w:type="character" w:styleId="FollowedHyperlink">
    <w:name w:val="FollowedHyperlink"/>
    <w:rPr>
      <w:color w:val="0000FF"/>
      <w:u w:val="none"/>
    </w:rPr>
  </w:style>
  <w:style w:type="paragraph" w:customStyle="1" w:styleId="RKnormal">
    <w:name w:val="RKnormal"/>
    <w:basedOn w:val="Normal"/>
    <w:pPr>
      <w:tabs>
        <w:tab w:val="clear" w:pos="567"/>
        <w:tab w:val="clear" w:pos="907"/>
        <w:tab w:val="clear" w:pos="1247"/>
        <w:tab w:val="clear" w:pos="1588"/>
        <w:tab w:val="left" w:pos="2835"/>
      </w:tabs>
      <w:overflowPunct w:val="0"/>
      <w:autoSpaceDE w:val="0"/>
      <w:autoSpaceDN w:val="0"/>
      <w:adjustRightInd w:val="0"/>
      <w:spacing w:after="0" w:line="240" w:lineRule="atLeast"/>
      <w:ind w:left="0" w:firstLine="0"/>
      <w:jc w:val="left"/>
      <w:textAlignment w:val="baseline"/>
    </w:pPr>
    <w:rPr>
      <w:rFonts w:ascii="OrigGarmnd BT" w:hAnsi="OrigGarmnd BT"/>
      <w:kern w:val="0"/>
      <w:sz w:val="24"/>
      <w:lang w:val="en-GB" w:eastAsia="en-US"/>
    </w:rPr>
  </w:style>
  <w:style w:type="paragraph" w:styleId="BalloonText">
    <w:name w:val="Balloon Text"/>
    <w:basedOn w:val="Normal"/>
    <w:semiHidden/>
    <w:rsid w:val="00E01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27277</Words>
  <Characters>155479</Characters>
  <Application>Microsoft Office Word</Application>
  <DocSecurity>4</DocSecurity>
  <Lines>1295</Lines>
  <Paragraphs>364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Maria.Griaznova_2</cp:lastModifiedBy>
  <cp:revision>5</cp:revision>
  <cp:lastPrinted>2006-12-11T16:19:00Z</cp:lastPrinted>
  <dcterms:created xsi:type="dcterms:W3CDTF">2006-12-12T13:26:00Z</dcterms:created>
  <dcterms:modified xsi:type="dcterms:W3CDTF">2006-12-12T13:37:00Z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0276198</vt:lpwstr>
  </property>
  <property fmtid="{D5CDD505-2E9C-101B-9397-08002B2CF9AE}" pid="3" name="Symbol1">
    <vt:lpwstr>CEDAW/C/BLR/4-6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63</vt:lpwstr>
  </property>
  <property fmtid="{D5CDD505-2E9C-101B-9397-08002B2CF9AE}" pid="8" name="Operator">
    <vt:lpwstr>Griaznova archive</vt:lpwstr>
  </property>
</Properties>
</file>