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914C9E" w:rsidRDefault="00E06285">
            <w:pPr>
              <w:spacing w:line="240" w:lineRule="atLeast"/>
              <w:jc w:val="right"/>
              <w:rPr>
                <w:sz w:val="20"/>
                <w:szCs w:val="21"/>
              </w:rPr>
            </w:pPr>
            <w:r>
              <w:rPr>
                <w:sz w:val="40"/>
                <w:szCs w:val="40"/>
              </w:rPr>
              <w:t>C</w:t>
            </w:r>
            <w:r w:rsidR="003916A2">
              <w:rPr>
                <w:rFonts w:hint="eastAsia"/>
                <w:sz w:val="40"/>
                <w:szCs w:val="40"/>
              </w:rPr>
              <w:t>EDAW</w:t>
            </w:r>
            <w:r w:rsidR="00FC5ECC">
              <w:rPr>
                <w:sz w:val="20"/>
              </w:rPr>
              <w:t>/</w:t>
            </w:r>
            <w:r w:rsidR="001539A6">
              <w:rPr>
                <w:sz w:val="20"/>
              </w:rPr>
              <w:t>C</w:t>
            </w:r>
            <w:r w:rsidR="00FC5ECC">
              <w:rPr>
                <w:sz w:val="20"/>
              </w:rPr>
              <w:t>/</w:t>
            </w:r>
            <w:r w:rsidR="008B57B1">
              <w:rPr>
                <w:sz w:val="20"/>
              </w:rPr>
              <w:t>SRB</w:t>
            </w:r>
            <w:r w:rsidR="00FC5ECC">
              <w:rPr>
                <w:sz w:val="20"/>
              </w:rPr>
              <w:t>/</w:t>
            </w:r>
            <w:r w:rsidR="008B57B1">
              <w:rPr>
                <w:sz w:val="20"/>
              </w:rPr>
              <w:t>Q</w:t>
            </w:r>
            <w:r w:rsidR="00FC5ECC">
              <w:rPr>
                <w:sz w:val="20"/>
              </w:rPr>
              <w:t>/</w:t>
            </w:r>
            <w:r w:rsidR="008B57B1">
              <w:rPr>
                <w:sz w:val="20"/>
              </w:rPr>
              <w:t>2</w:t>
            </w:r>
            <w:r w:rsidR="008B57B1">
              <w:rPr>
                <w:rFonts w:hint="eastAsia"/>
                <w:sz w:val="20"/>
              </w:rPr>
              <w:t>-</w:t>
            </w:r>
            <w:r w:rsidR="00914C9E" w:rsidRPr="00914C9E">
              <w:rPr>
                <w:sz w:val="20"/>
              </w:rPr>
              <w:t>3</w:t>
            </w:r>
            <w:r w:rsidR="00FC5ECC">
              <w:rPr>
                <w:sz w:val="20"/>
              </w:rPr>
              <w:t>/</w:t>
            </w:r>
            <w:r w:rsidR="00914C9E" w:rsidRPr="00914C9E">
              <w:rPr>
                <w:sz w:val="20"/>
              </w:rPr>
              <w:t>Add.1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FC5ECC" w:rsidP="00DA36A7">
            <w:pPr>
              <w:spacing w:before="240" w:line="240" w:lineRule="atLeast"/>
              <w:rPr>
                <w:sz w:val="20"/>
              </w:rPr>
            </w:pPr>
            <w:r>
              <w:rPr>
                <w:sz w:val="20"/>
              </w:rPr>
              <w:t xml:space="preserve">Distr.: </w:t>
            </w:r>
            <w:r w:rsidR="003916A2">
              <w:rPr>
                <w:sz w:val="20"/>
              </w:rPr>
              <w:t>General</w:t>
            </w:r>
          </w:p>
          <w:p w:rsidR="00E06285" w:rsidRPr="00DA36A7" w:rsidRDefault="008C4EAB">
            <w:pPr>
              <w:spacing w:line="240" w:lineRule="atLeast"/>
              <w:rPr>
                <w:sz w:val="20"/>
              </w:rPr>
            </w:pPr>
            <w:r w:rsidRPr="008C4EAB">
              <w:rPr>
                <w:sz w:val="20"/>
              </w:rPr>
              <w:t>6 August</w:t>
            </w:r>
            <w:r w:rsidR="00A64FC3">
              <w:rPr>
                <w:sz w:val="20"/>
              </w:rPr>
              <w:t xml:space="preserve"> 20</w:t>
            </w:r>
            <w:r w:rsidR="00916876">
              <w:rPr>
                <w:rFonts w:hint="eastAsia"/>
                <w:sz w:val="20"/>
              </w:rPr>
              <w:t>12</w:t>
            </w:r>
          </w:p>
          <w:p w:rsidR="00E06285" w:rsidRPr="00DA36A7" w:rsidRDefault="00E06285">
            <w:pPr>
              <w:spacing w:line="240" w:lineRule="atLeast"/>
              <w:rPr>
                <w:sz w:val="20"/>
              </w:rPr>
            </w:pPr>
            <w:r w:rsidRPr="00DA36A7">
              <w:rPr>
                <w:sz w:val="20"/>
              </w:rPr>
              <w:t xml:space="preserve">Chinese </w:t>
            </w:r>
          </w:p>
          <w:p w:rsidR="00E06285" w:rsidRPr="00DA36A7" w:rsidRDefault="00FC5ECC">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715335" w:rsidRPr="00715335">
        <w:rPr>
          <w:rFonts w:eastAsia="SimHei" w:hint="eastAsia"/>
          <w:szCs w:val="21"/>
        </w:rPr>
        <w:t>五十三</w:t>
      </w:r>
      <w:r>
        <w:rPr>
          <w:rFonts w:eastAsia="SimHei" w:hint="eastAsia"/>
          <w:szCs w:val="21"/>
        </w:rPr>
        <w:t>届会议</w:t>
      </w:r>
    </w:p>
    <w:p w:rsidR="003916A2" w:rsidRDefault="00715335" w:rsidP="001E53DE">
      <w:pPr>
        <w:rPr>
          <w:rFonts w:hint="eastAsia"/>
          <w:szCs w:val="21"/>
        </w:rPr>
      </w:pPr>
      <w:r w:rsidRPr="00715335">
        <w:rPr>
          <w:rFonts w:hint="eastAsia"/>
          <w:szCs w:val="21"/>
        </w:rPr>
        <w:t>2012</w:t>
      </w:r>
      <w:r w:rsidRPr="00715335">
        <w:rPr>
          <w:rFonts w:hint="eastAsia"/>
          <w:szCs w:val="21"/>
        </w:rPr>
        <w:t>年</w:t>
      </w:r>
      <w:r w:rsidRPr="00715335">
        <w:rPr>
          <w:rFonts w:hint="eastAsia"/>
          <w:szCs w:val="21"/>
        </w:rPr>
        <w:t>10</w:t>
      </w:r>
      <w:r w:rsidRPr="00715335">
        <w:rPr>
          <w:rFonts w:hint="eastAsia"/>
          <w:szCs w:val="21"/>
        </w:rPr>
        <w:t>月</w:t>
      </w:r>
      <w:r w:rsidRPr="00715335">
        <w:rPr>
          <w:rFonts w:hint="eastAsia"/>
          <w:szCs w:val="21"/>
        </w:rPr>
        <w:t>1</w:t>
      </w:r>
      <w:r w:rsidRPr="00715335">
        <w:rPr>
          <w:rFonts w:hint="eastAsia"/>
          <w:szCs w:val="21"/>
        </w:rPr>
        <w:t>日至</w:t>
      </w:r>
      <w:r w:rsidRPr="00715335">
        <w:rPr>
          <w:rFonts w:hint="eastAsia"/>
          <w:szCs w:val="21"/>
        </w:rPr>
        <w:t>19</w:t>
      </w:r>
      <w:r w:rsidRPr="00715335">
        <w:rPr>
          <w:rFonts w:hint="eastAsia"/>
          <w:szCs w:val="21"/>
        </w:rPr>
        <w:t>日</w:t>
      </w:r>
    </w:p>
    <w:p w:rsidR="001972F7" w:rsidRDefault="001972F7" w:rsidP="001E53DE">
      <w:pPr>
        <w:rPr>
          <w:rFonts w:hint="eastAsia"/>
          <w:szCs w:val="21"/>
        </w:rPr>
      </w:pPr>
    </w:p>
    <w:p w:rsidR="001972F7" w:rsidRDefault="001972F7" w:rsidP="001E53DE">
      <w:pPr>
        <w:rPr>
          <w:rFonts w:hint="eastAsia"/>
          <w:szCs w:val="21"/>
        </w:rPr>
      </w:pPr>
    </w:p>
    <w:p w:rsidR="003916A2" w:rsidRPr="00A93E8D" w:rsidRDefault="00A64FC3" w:rsidP="00485C1C">
      <w:pPr>
        <w:pStyle w:val="HMGC"/>
        <w:rPr>
          <w:rFonts w:hint="eastAsia"/>
        </w:rPr>
      </w:pPr>
      <w:r>
        <w:rPr>
          <w:rFonts w:hint="eastAsia"/>
        </w:rPr>
        <w:tab/>
      </w:r>
      <w:r>
        <w:rPr>
          <w:rFonts w:hint="eastAsia"/>
        </w:rPr>
        <w:tab/>
      </w:r>
      <w:r w:rsidR="00A93E8D" w:rsidRPr="00A93E8D">
        <w:rPr>
          <w:rFonts w:hint="eastAsia"/>
        </w:rPr>
        <w:t>与审议塞尔维亚定期报告相关的问题清单</w:t>
      </w:r>
    </w:p>
    <w:p w:rsidR="00A93E8D" w:rsidRPr="00A93E8D" w:rsidRDefault="00A93E8D" w:rsidP="00A93E8D">
      <w:pPr>
        <w:pStyle w:val="H23GC"/>
        <w:rPr>
          <w:rFonts w:hint="eastAsia"/>
        </w:rPr>
      </w:pPr>
      <w:r>
        <w:rPr>
          <w:rFonts w:hint="eastAsia"/>
        </w:rPr>
        <w:tab/>
      </w:r>
      <w:r>
        <w:rPr>
          <w:rFonts w:hint="eastAsia"/>
        </w:rPr>
        <w:tab/>
      </w:r>
      <w:r w:rsidRPr="008C2BB8">
        <w:rPr>
          <w:rFonts w:hint="eastAsia"/>
        </w:rPr>
        <w:t>增编</w:t>
      </w:r>
    </w:p>
    <w:p w:rsidR="001B5B95" w:rsidRDefault="001B5B95" w:rsidP="00485C1C">
      <w:pPr>
        <w:pStyle w:val="HChGC"/>
        <w:rPr>
          <w:rFonts w:hint="eastAsia"/>
          <w:spacing w:val="-2"/>
        </w:rPr>
      </w:pPr>
      <w:r>
        <w:rPr>
          <w:rFonts w:hint="eastAsia"/>
        </w:rPr>
        <w:tab/>
      </w:r>
      <w:r>
        <w:rPr>
          <w:rFonts w:hint="eastAsia"/>
        </w:rPr>
        <w:tab/>
      </w:r>
      <w:r w:rsidR="00A93E8D" w:rsidRPr="00A93E8D">
        <w:rPr>
          <w:rFonts w:hint="eastAsia"/>
        </w:rPr>
        <w:t>塞尔维亚对审议其第二次和第三次合并定期报告</w:t>
      </w:r>
      <w:r w:rsidR="00D1410A">
        <w:br/>
      </w:r>
      <w:r w:rsidR="00FC5ECC">
        <w:rPr>
          <w:rFonts w:hint="eastAsia"/>
        </w:rPr>
        <w:t>(</w:t>
      </w:r>
      <w:r w:rsidR="00A93E8D" w:rsidRPr="00A93E8D">
        <w:rPr>
          <w:rFonts w:hint="eastAsia"/>
        </w:rPr>
        <w:t>CEDAW</w:t>
      </w:r>
      <w:r w:rsidR="00FC5ECC">
        <w:rPr>
          <w:rFonts w:hint="eastAsia"/>
        </w:rPr>
        <w:t>/</w:t>
      </w:r>
      <w:r w:rsidR="00A93E8D" w:rsidRPr="00A93E8D">
        <w:rPr>
          <w:rFonts w:hint="eastAsia"/>
        </w:rPr>
        <w:t>C</w:t>
      </w:r>
      <w:r w:rsidR="00FC5ECC">
        <w:rPr>
          <w:rFonts w:hint="eastAsia"/>
        </w:rPr>
        <w:t>/</w:t>
      </w:r>
      <w:r w:rsidR="00A93E8D" w:rsidRPr="00A93E8D">
        <w:rPr>
          <w:rFonts w:hint="eastAsia"/>
        </w:rPr>
        <w:t>SRB</w:t>
      </w:r>
      <w:r w:rsidR="00FC5ECC">
        <w:rPr>
          <w:rFonts w:hint="eastAsia"/>
        </w:rPr>
        <w:t>/</w:t>
      </w:r>
      <w:r w:rsidR="00A93E8D" w:rsidRPr="00A93E8D">
        <w:rPr>
          <w:rFonts w:hint="eastAsia"/>
        </w:rPr>
        <w:t>2-3</w:t>
      </w:r>
      <w:r w:rsidR="00FC5ECC">
        <w:rPr>
          <w:rFonts w:hint="eastAsia"/>
        </w:rPr>
        <w:t>)</w:t>
      </w:r>
      <w:r w:rsidR="00A93E8D" w:rsidRPr="00A93E8D">
        <w:rPr>
          <w:rFonts w:hint="eastAsia"/>
        </w:rPr>
        <w:t>相关的问题清单的答复</w:t>
      </w:r>
      <w:r w:rsidR="00A93E8D" w:rsidRPr="00A93E8D">
        <w:footnoteReference w:customMarkFollows="1" w:id="1"/>
        <w:t>*</w:t>
      </w:r>
      <w:r w:rsidR="00A93E8D">
        <w:rPr>
          <w:rFonts w:hint="eastAsia"/>
        </w:rPr>
        <w:t xml:space="preserve"> </w:t>
      </w:r>
      <w:r w:rsidR="00A93E8D" w:rsidRPr="00BC40DA">
        <w:rPr>
          <w:spacing w:val="-2"/>
        </w:rPr>
        <w:footnoteReference w:customMarkFollows="1" w:id="2"/>
        <w:t>**</w:t>
      </w:r>
      <w:r w:rsidR="00A93E8D">
        <w:rPr>
          <w:rFonts w:hint="eastAsia"/>
        </w:rPr>
        <w:t xml:space="preserve"> </w:t>
      </w:r>
      <w:r w:rsidR="00A93E8D" w:rsidRPr="00BC40DA">
        <w:rPr>
          <w:spacing w:val="-2"/>
        </w:rPr>
        <w:footnoteReference w:customMarkFollows="1" w:id="3"/>
        <w:t>***</w:t>
      </w:r>
    </w:p>
    <w:p w:rsidR="00BC40DA" w:rsidRPr="00E27BB2" w:rsidRDefault="00BC40DA" w:rsidP="00BC15D1">
      <w:pPr>
        <w:pStyle w:val="H1GC"/>
      </w:pPr>
      <w:r>
        <w:br w:type="page"/>
      </w:r>
      <w:r w:rsidR="0060388D">
        <w:rPr>
          <w:rFonts w:hint="eastAsia"/>
        </w:rPr>
        <w:tab/>
      </w:r>
      <w:r w:rsidR="0060388D">
        <w:rPr>
          <w:rFonts w:hint="eastAsia"/>
        </w:rPr>
        <w:tab/>
      </w:r>
      <w:r w:rsidRPr="00E27BB2">
        <w:t>宪法、法规和体制框架</w:t>
      </w:r>
    </w:p>
    <w:p w:rsidR="00BC40DA" w:rsidRPr="00E27BB2" w:rsidRDefault="0060388D" w:rsidP="00BC15D1">
      <w:pPr>
        <w:pStyle w:val="H23GC"/>
        <w:rPr>
          <w:rFonts w:hint="eastAsia"/>
        </w:rPr>
      </w:pPr>
      <w:r>
        <w:rPr>
          <w:rFonts w:hint="eastAsia"/>
        </w:rPr>
        <w:tab/>
      </w:r>
      <w:r>
        <w:rPr>
          <w:rFonts w:hint="eastAsia"/>
        </w:rPr>
        <w:tab/>
      </w:r>
      <w:r w:rsidR="00BC40DA" w:rsidRPr="00E27BB2">
        <w:t>对问题清单</w:t>
      </w:r>
      <w:r w:rsidR="00FC5ECC">
        <w:t>(</w:t>
      </w:r>
      <w:r w:rsidR="00BC40DA" w:rsidRPr="00E27BB2">
        <w:t>CEDAW</w:t>
      </w:r>
      <w:r w:rsidR="00FC5ECC">
        <w:t>/</w:t>
      </w:r>
      <w:r w:rsidR="00BC40DA" w:rsidRPr="00E27BB2">
        <w:t>C</w:t>
      </w:r>
      <w:r w:rsidR="00FC5ECC">
        <w:t>/</w:t>
      </w:r>
      <w:r w:rsidR="00BC40DA" w:rsidRPr="00E27BB2">
        <w:t>SRB</w:t>
      </w:r>
      <w:r w:rsidR="00FC5ECC">
        <w:t>/</w:t>
      </w:r>
      <w:r w:rsidR="00BC40DA" w:rsidRPr="00E27BB2">
        <w:t>Q</w:t>
      </w:r>
      <w:r w:rsidR="00FC5ECC">
        <w:t>/</w:t>
      </w:r>
      <w:r w:rsidR="00BC40DA" w:rsidRPr="00E27BB2">
        <w:t>2-3</w:t>
      </w:r>
      <w:r w:rsidR="00FC5ECC">
        <w:t>)</w:t>
      </w:r>
      <w:r w:rsidR="00BC40DA" w:rsidRPr="00E27BB2">
        <w:t>第</w:t>
      </w:r>
      <w:r w:rsidR="00BC40DA" w:rsidRPr="00E27BB2">
        <w:t>1</w:t>
      </w:r>
      <w:r w:rsidR="00BC40DA" w:rsidRPr="00E27BB2">
        <w:t>段所提问题的答复</w:t>
      </w:r>
    </w:p>
    <w:p w:rsidR="00BC40DA" w:rsidRPr="00E27BB2" w:rsidRDefault="00FC5ECC" w:rsidP="00BC40DA">
      <w:pPr>
        <w:pStyle w:val="SingleTxtGC"/>
        <w:rPr>
          <w:rFonts w:hint="eastAsia"/>
        </w:rPr>
      </w:pPr>
      <w:r>
        <w:t>1.</w:t>
      </w:r>
      <w:r w:rsidR="00BC15D1">
        <w:rPr>
          <w:rFonts w:hint="eastAsia"/>
        </w:rPr>
        <w:t xml:space="preserve">  </w:t>
      </w:r>
      <w:r w:rsidR="00BC40DA" w:rsidRPr="00E27BB2">
        <w:t>应最高上诉法院判例法部的要求</w:t>
      </w:r>
      <w:r>
        <w:t>，</w:t>
      </w:r>
      <w:r w:rsidR="00BC40DA" w:rsidRPr="00E27BB2">
        <w:t>上诉法院提交了资料</w:t>
      </w:r>
      <w:r>
        <w:t>，</w:t>
      </w:r>
      <w:r w:rsidR="00BC40DA" w:rsidRPr="00E27BB2">
        <w:t>说明上诉领域主管法院没有将有关在法院诉讼程序中个人未援引或直接适用或提及《消除对妇女一切形式歧视公约》</w:t>
      </w:r>
      <w:r>
        <w:t>(</w:t>
      </w:r>
      <w:r w:rsidR="00BC40DA" w:rsidRPr="00E27BB2">
        <w:t>下称《公约》</w:t>
      </w:r>
      <w:r>
        <w:t>)</w:t>
      </w:r>
      <w:r w:rsidR="00BC40DA" w:rsidRPr="00E27BB2">
        <w:t>的案件记录在案。此外</w:t>
      </w:r>
      <w:r>
        <w:t>，</w:t>
      </w:r>
      <w:r w:rsidR="00BC40DA" w:rsidRPr="00E27BB2">
        <w:t>也没有妇女在法院援引不歧视妇女和两性平等的条款以要求落实其本身权利的案件。</w:t>
      </w:r>
    </w:p>
    <w:p w:rsidR="00BC40DA" w:rsidRPr="00E27BB2" w:rsidRDefault="00FC5ECC" w:rsidP="00BC15D1">
      <w:pPr>
        <w:pStyle w:val="SingleTxtGC"/>
      </w:pPr>
      <w:r>
        <w:t>2.</w:t>
      </w:r>
      <w:r w:rsidR="00BC15D1">
        <w:rPr>
          <w:rFonts w:hint="eastAsia"/>
        </w:rPr>
        <w:t xml:space="preserve">  </w:t>
      </w:r>
      <w:r w:rsidR="00BC40DA" w:rsidRPr="00E27BB2">
        <w:t>男女平等问题副监察员草拟了一份关于</w:t>
      </w:r>
      <w:r w:rsidR="00BC40DA" w:rsidRPr="00E27BB2">
        <w:t>2009</w:t>
      </w:r>
      <w:r w:rsidR="00BC40DA" w:rsidRPr="00E27BB2">
        <w:t>年</w:t>
      </w:r>
      <w:r w:rsidR="00BC40DA" w:rsidRPr="00E27BB2">
        <w:t>1</w:t>
      </w:r>
      <w:r w:rsidR="00BC40DA" w:rsidRPr="00E27BB2">
        <w:t>月</w:t>
      </w:r>
      <w:r w:rsidR="00BC40DA" w:rsidRPr="00E27BB2">
        <w:t>1</w:t>
      </w:r>
      <w:r w:rsidR="00BC40DA" w:rsidRPr="00E27BB2">
        <w:t>日至</w:t>
      </w:r>
      <w:r w:rsidR="00BC40DA" w:rsidRPr="00E27BB2">
        <w:t>2010</w:t>
      </w:r>
      <w:r w:rsidR="00BC40DA" w:rsidRPr="00E27BB2">
        <w:t>年</w:t>
      </w:r>
      <w:r w:rsidR="00BC40DA" w:rsidRPr="00E27BB2">
        <w:t>6</w:t>
      </w:r>
      <w:r w:rsidR="00BC40DA" w:rsidRPr="00E27BB2">
        <w:t>月</w:t>
      </w:r>
      <w:r w:rsidR="00BC40DA" w:rsidRPr="00E27BB2">
        <w:t>30</w:t>
      </w:r>
      <w:r w:rsidR="00BC40DA" w:rsidRPr="00E27BB2">
        <w:t>日家庭暴力侵害妇女情况的特别报告</w:t>
      </w:r>
      <w:r>
        <w:t>，</w:t>
      </w:r>
      <w:r w:rsidR="00BC40DA" w:rsidRPr="00E27BB2">
        <w:t>其中载有主管保护妇女权利使之免遭家庭暴力侵害的有关当局的行动中经查明的疏忽之处</w:t>
      </w:r>
      <w:r>
        <w:t>，</w:t>
      </w:r>
      <w:r w:rsidR="00BC40DA" w:rsidRPr="00E27BB2">
        <w:t>这主要反映在社会工作中心、警方部门、主管劳动和社会政策、卫生等事务各部委之间没有及时交流相关信息</w:t>
      </w:r>
      <w:r>
        <w:t>，</w:t>
      </w:r>
      <w:r w:rsidR="00BC40DA" w:rsidRPr="00E27BB2">
        <w:t>因此男女平等问题副监察员提交了若干项措施建议。同时</w:t>
      </w:r>
      <w:r>
        <w:t>，</w:t>
      </w:r>
      <w:r w:rsidR="00BC40DA" w:rsidRPr="00E27BB2">
        <w:t>男女平等问题副监察员还独立地和</w:t>
      </w:r>
      <w:r>
        <w:t>(</w:t>
      </w:r>
      <w:r w:rsidR="00BC40DA" w:rsidRPr="00E27BB2">
        <w:t>或</w:t>
      </w:r>
      <w:r>
        <w:t>)</w:t>
      </w:r>
      <w:r w:rsidR="00BC40DA" w:rsidRPr="00E27BB2">
        <w:t>与民间社会组织合作开展了活动</w:t>
      </w:r>
      <w:r>
        <w:t>，</w:t>
      </w:r>
      <w:r w:rsidR="00BC40DA" w:rsidRPr="00E27BB2">
        <w:t>目的是使女性公民了解副监察员在保护妇女人权领域中的职能。这一活动促成家庭暴力受害妇女提交了</w:t>
      </w:r>
      <w:r w:rsidR="00BC40DA" w:rsidRPr="00E27BB2">
        <w:t>20</w:t>
      </w:r>
      <w:r w:rsidR="00BC40DA" w:rsidRPr="00E27BB2">
        <w:t>项投诉。只有在一起案件中</w:t>
      </w:r>
      <w:r>
        <w:t>，</w:t>
      </w:r>
      <w:r w:rsidR="00BC40DA" w:rsidRPr="00E27BB2">
        <w:t>男女平等问题副监察员主动提起了诉讼。</w:t>
      </w:r>
      <w:r w:rsidR="00BC40DA" w:rsidRPr="00E27BB2">
        <w:t>2011</w:t>
      </w:r>
      <w:r w:rsidR="00BC40DA" w:rsidRPr="00E27BB2">
        <w:t>年收到了</w:t>
      </w:r>
      <w:r w:rsidR="00BC40DA" w:rsidRPr="00E27BB2">
        <w:t>11</w:t>
      </w:r>
      <w:r w:rsidR="00BC40DA" w:rsidRPr="00E27BB2">
        <w:t>项家庭暴力投诉</w:t>
      </w:r>
      <w:r>
        <w:t>，</w:t>
      </w:r>
      <w:r w:rsidR="00BC40DA" w:rsidRPr="00E27BB2">
        <w:t>男女平等问题副监察员在一起案件中主动提起了诉讼。</w:t>
      </w:r>
    </w:p>
    <w:p w:rsidR="00BC40DA" w:rsidRPr="00E27BB2" w:rsidRDefault="00FC5ECC" w:rsidP="00BC40DA">
      <w:pPr>
        <w:pStyle w:val="SingleTxtGC"/>
        <w:rPr>
          <w:rFonts w:hint="eastAsia"/>
        </w:rPr>
      </w:pPr>
      <w:r>
        <w:t>3.</w:t>
      </w:r>
      <w:r w:rsidR="00BC15D1">
        <w:rPr>
          <w:rFonts w:hint="eastAsia"/>
        </w:rPr>
        <w:t xml:space="preserve">  </w:t>
      </w:r>
      <w:r w:rsidR="00BC40DA" w:rsidRPr="00E27BB2">
        <w:t>由于遭受歧视以及在工作场所受到骚扰</w:t>
      </w:r>
      <w:r>
        <w:t>，</w:t>
      </w:r>
      <w:r w:rsidR="00BC40DA" w:rsidRPr="00E27BB2">
        <w:t>妇女在</w:t>
      </w:r>
      <w:r w:rsidR="00BC40DA" w:rsidRPr="00E27BB2">
        <w:t>2009</w:t>
      </w:r>
      <w:r w:rsidR="00BC40DA" w:rsidRPr="00E27BB2">
        <w:t>、</w:t>
      </w:r>
      <w:r w:rsidR="00BC40DA" w:rsidRPr="00E27BB2">
        <w:t>2010</w:t>
      </w:r>
      <w:r w:rsidR="00BC40DA" w:rsidRPr="00E27BB2">
        <w:t>和</w:t>
      </w:r>
      <w:r w:rsidR="00BC40DA" w:rsidRPr="00E27BB2">
        <w:t>2011</w:t>
      </w:r>
      <w:r w:rsidR="00BC40DA" w:rsidRPr="00E27BB2">
        <w:t>年提出的投诉分别为</w:t>
      </w:r>
      <w:r w:rsidR="00BC40DA" w:rsidRPr="00E27BB2">
        <w:t>8</w:t>
      </w:r>
      <w:r w:rsidR="00BC40DA" w:rsidRPr="00E27BB2">
        <w:t>项、</w:t>
      </w:r>
      <w:r w:rsidR="00BC40DA" w:rsidRPr="00E27BB2">
        <w:t>9</w:t>
      </w:r>
      <w:r w:rsidR="00BC40DA" w:rsidRPr="00E27BB2">
        <w:t>项和</w:t>
      </w:r>
      <w:r w:rsidR="00BC40DA" w:rsidRPr="00E27BB2">
        <w:t>3</w:t>
      </w:r>
      <w:r w:rsidR="00BC40DA" w:rsidRPr="00E27BB2">
        <w:t>项。从投诉的特有内容可看出这些投诉者主要是</w:t>
      </w:r>
      <w:r>
        <w:t>：</w:t>
      </w:r>
      <w:r w:rsidR="00BC40DA" w:rsidRPr="00E27BB2">
        <w:t>因怀孕无法获得工作或受雇主留用的青年妇女</w:t>
      </w:r>
      <w:r>
        <w:t>；</w:t>
      </w:r>
      <w:r w:rsidR="00BC40DA" w:rsidRPr="00E27BB2">
        <w:t>受到歧视的老年妇女</w:t>
      </w:r>
      <w:r>
        <w:t>，</w:t>
      </w:r>
      <w:r w:rsidR="00BC40DA" w:rsidRPr="00E27BB2">
        <w:t>此种歧视是有意迫使她们离开工作</w:t>
      </w:r>
      <w:r>
        <w:t>；</w:t>
      </w:r>
      <w:r w:rsidR="00BC40DA" w:rsidRPr="00E27BB2">
        <w:t>不能行使其权利的残疾妇女</w:t>
      </w:r>
      <w:r>
        <w:t>；</w:t>
      </w:r>
      <w:r w:rsidR="00BC40DA" w:rsidRPr="00E27BB2">
        <w:t>单身母亲和</w:t>
      </w:r>
      <w:r>
        <w:t>(</w:t>
      </w:r>
      <w:r w:rsidR="00BC40DA" w:rsidRPr="00E27BB2">
        <w:t>或</w:t>
      </w:r>
      <w:r>
        <w:t>)</w:t>
      </w:r>
      <w:r w:rsidR="00BC40DA" w:rsidRPr="00E27BB2">
        <w:t>需要照料残疾子女的母亲。</w:t>
      </w:r>
      <w:r w:rsidR="00BC40DA" w:rsidRPr="00E27BB2">
        <w:t>2010</w:t>
      </w:r>
      <w:r w:rsidR="00BC40DA" w:rsidRPr="00E27BB2">
        <w:t>年提出了下述若干项投诉</w:t>
      </w:r>
      <w:r>
        <w:t>：</w:t>
      </w:r>
      <w:r w:rsidR="00BC40DA" w:rsidRPr="00E27BB2">
        <w:t>一项涉及医疗专家委员会在工作中没有聘用一名妇女担任专业职务</w:t>
      </w:r>
      <w:r>
        <w:t>；</w:t>
      </w:r>
      <w:r w:rsidR="00BC40DA" w:rsidRPr="00E27BB2">
        <w:t>一项涉及媒体歧视行为</w:t>
      </w:r>
      <w:r>
        <w:t>；</w:t>
      </w:r>
      <w:r w:rsidR="00BC40DA" w:rsidRPr="00E27BB2">
        <w:t>一项涉及将对一名女毕业生的称呼写成对男性的称呼。</w:t>
      </w:r>
    </w:p>
    <w:p w:rsidR="00BC40DA" w:rsidRPr="00E27BB2" w:rsidRDefault="00FC5ECC" w:rsidP="00BC15D1">
      <w:pPr>
        <w:pStyle w:val="SingleTxtGC"/>
        <w:rPr>
          <w:rFonts w:hint="eastAsia"/>
        </w:rPr>
      </w:pPr>
      <w:r>
        <w:t>4.</w:t>
      </w:r>
      <w:r w:rsidR="00BC15D1">
        <w:rPr>
          <w:rFonts w:hint="eastAsia"/>
        </w:rPr>
        <w:t xml:space="preserve">  </w:t>
      </w:r>
      <w:r w:rsidR="00BC40DA" w:rsidRPr="00E27BB2">
        <w:t>在多数情况下</w:t>
      </w:r>
      <w:r>
        <w:t>，</w:t>
      </w:r>
      <w:r w:rsidR="00BC40DA" w:rsidRPr="00E27BB2">
        <w:t>由于男女平等问题副监察员不享有管辖权</w:t>
      </w:r>
      <w:r>
        <w:t>，</w:t>
      </w:r>
      <w:r w:rsidR="00BC40DA" w:rsidRPr="00E27BB2">
        <w:t>投诉案件都以没有根据为由而被驳回。现已通过了一项总结性建议</w:t>
      </w:r>
      <w:r>
        <w:t>，</w:t>
      </w:r>
      <w:r w:rsidR="00BC40DA" w:rsidRPr="00E27BB2">
        <w:t>据以消除财政部税务局在工作中的忽视行为</w:t>
      </w:r>
      <w:r>
        <w:t>，</w:t>
      </w:r>
      <w:r w:rsidR="00BC40DA" w:rsidRPr="00E27BB2">
        <w:t>因为女企业家在产假期间因其自营职业的身分而必须缴纳社会保障自付款项。因此</w:t>
      </w:r>
      <w:r>
        <w:t>，</w:t>
      </w:r>
      <w:r w:rsidR="00BC40DA" w:rsidRPr="00E27BB2">
        <w:t>女企业家无法享有与受雇妇女同等的地位。现已建议税务局取消</w:t>
      </w:r>
      <w:r w:rsidR="00BC40DA" w:rsidRPr="00E27BB2">
        <w:t>2010</w:t>
      </w:r>
      <w:r w:rsidR="00BC40DA" w:rsidRPr="00E27BB2">
        <w:t>年以来通过的所有相关决定</w:t>
      </w:r>
      <w:r>
        <w:t>，</w:t>
      </w:r>
      <w:r w:rsidR="00BC40DA" w:rsidRPr="00E27BB2">
        <w:t>并在今后不作出此种决定。</w:t>
      </w:r>
      <w:r w:rsidR="00BC15D1">
        <w:rPr>
          <w:rStyle w:val="FootnoteReference"/>
        </w:rPr>
        <w:footnoteReference w:id="4"/>
      </w:r>
    </w:p>
    <w:p w:rsidR="00BC40DA" w:rsidRPr="00E27BB2" w:rsidRDefault="00FC5ECC" w:rsidP="001D2DAC">
      <w:pPr>
        <w:pStyle w:val="SingleTxtGC"/>
      </w:pPr>
      <w:r>
        <w:t>5.</w:t>
      </w:r>
      <w:r w:rsidR="001D2DAC">
        <w:rPr>
          <w:rFonts w:hint="eastAsia"/>
        </w:rPr>
        <w:t xml:space="preserve">  </w:t>
      </w:r>
      <w:r w:rsidR="00BC40DA" w:rsidRPr="00E27BB2">
        <w:t>截至</w:t>
      </w:r>
      <w:r w:rsidR="00BC40DA" w:rsidRPr="00E27BB2">
        <w:t>2012</w:t>
      </w:r>
      <w:r w:rsidR="00BC40DA" w:rsidRPr="00E27BB2">
        <w:t>年</w:t>
      </w:r>
      <w:r w:rsidR="00BC40DA" w:rsidRPr="00E27BB2">
        <w:t>3</w:t>
      </w:r>
      <w:r w:rsidR="00BC40DA" w:rsidRPr="00E27BB2">
        <w:t>月</w:t>
      </w:r>
      <w:r w:rsidR="00BC40DA" w:rsidRPr="00E27BB2">
        <w:t>30</w:t>
      </w:r>
      <w:r w:rsidR="00BC40DA" w:rsidRPr="00E27BB2">
        <w:t>日共计提出了</w:t>
      </w:r>
      <w:r w:rsidR="00BC40DA" w:rsidRPr="00E27BB2">
        <w:t>20</w:t>
      </w:r>
      <w:r w:rsidR="00BC40DA" w:rsidRPr="00E27BB2">
        <w:t>项投诉</w:t>
      </w:r>
      <w:r>
        <w:t>，</w:t>
      </w:r>
      <w:r w:rsidR="00BC40DA" w:rsidRPr="00E27BB2">
        <w:t>其中涉及家庭暴力、工作场所骚扰、以及老年妇女遇到的在社会照料设施中获得住房的问题。</w:t>
      </w:r>
    </w:p>
    <w:p w:rsidR="00BC40DA" w:rsidRPr="00E27BB2" w:rsidRDefault="00FC5ECC" w:rsidP="00BC40DA">
      <w:pPr>
        <w:pStyle w:val="SingleTxtGC"/>
      </w:pPr>
      <w:r>
        <w:t>6.</w:t>
      </w:r>
      <w:r w:rsidR="001D2DAC">
        <w:rPr>
          <w:rFonts w:hint="eastAsia"/>
        </w:rPr>
        <w:t xml:space="preserve">  </w:t>
      </w:r>
      <w:r w:rsidR="00BC40DA" w:rsidRPr="00E27BB2">
        <w:t>在投诉的总数中</w:t>
      </w:r>
      <w:r>
        <w:t>，</w:t>
      </w:r>
      <w:r w:rsidR="00BC40DA" w:rsidRPr="00E27BB2">
        <w:t>妇女在</w:t>
      </w:r>
      <w:r w:rsidR="00BC40DA" w:rsidRPr="00E27BB2">
        <w:t>2010</w:t>
      </w:r>
      <w:r w:rsidR="00BC40DA" w:rsidRPr="00E27BB2">
        <w:t>年向平等问题专员提出的投诉占</w:t>
      </w:r>
      <w:r w:rsidR="00BC40DA" w:rsidRPr="00E27BB2">
        <w:t>4</w:t>
      </w:r>
      <w:r>
        <w:t>7.</w:t>
      </w:r>
      <w:r w:rsidR="00BC40DA" w:rsidRPr="00E27BB2">
        <w:t>47</w:t>
      </w:r>
      <w:r>
        <w:t>%</w:t>
      </w:r>
      <w:r>
        <w:t>，</w:t>
      </w:r>
      <w:r w:rsidR="00BC40DA" w:rsidRPr="00E27BB2">
        <w:t>其中有</w:t>
      </w:r>
      <w:r w:rsidR="00BC40DA" w:rsidRPr="00E27BB2">
        <w:t>5</w:t>
      </w:r>
      <w:r>
        <w:t>%</w:t>
      </w:r>
      <w:r w:rsidR="00BC40DA" w:rsidRPr="00E27BB2">
        <w:t>涉及性别歧视。妇女在</w:t>
      </w:r>
      <w:r w:rsidR="00BC40DA" w:rsidRPr="00E27BB2">
        <w:t>2011</w:t>
      </w:r>
      <w:r w:rsidR="00BC40DA" w:rsidRPr="00E27BB2">
        <w:t>年提出的投诉占总投诉数的</w:t>
      </w:r>
      <w:r w:rsidR="00BC40DA" w:rsidRPr="00E27BB2">
        <w:t>4</w:t>
      </w:r>
      <w:r>
        <w:t>5.</w:t>
      </w:r>
      <w:r w:rsidR="00BC40DA" w:rsidRPr="00E27BB2">
        <w:t>9</w:t>
      </w:r>
      <w:r>
        <w:t>%</w:t>
      </w:r>
      <w:r>
        <w:t>，</w:t>
      </w:r>
      <w:r w:rsidR="00BC40DA" w:rsidRPr="00E27BB2">
        <w:t>其中有</w:t>
      </w:r>
      <w:r w:rsidR="00BC40DA" w:rsidRPr="00E27BB2">
        <w:t>2</w:t>
      </w:r>
      <w:r>
        <w:t>5.</w:t>
      </w:r>
      <w:r w:rsidR="00BC40DA" w:rsidRPr="00E27BB2">
        <w:t>96</w:t>
      </w:r>
      <w:r>
        <w:t>%</w:t>
      </w:r>
      <w:r w:rsidR="00BC40DA" w:rsidRPr="00E27BB2">
        <w:t>涉及性别歧视</w:t>
      </w:r>
      <w:r>
        <w:t>，</w:t>
      </w:r>
      <w:r>
        <w:t>3.</w:t>
      </w:r>
      <w:r w:rsidR="00BC40DA" w:rsidRPr="00E27BB2">
        <w:t>54</w:t>
      </w:r>
      <w:r>
        <w:t>%</w:t>
      </w:r>
      <w:r w:rsidR="00BC40DA" w:rsidRPr="00E27BB2">
        <w:t>涉及基于性别的歧视。</w:t>
      </w:r>
    </w:p>
    <w:p w:rsidR="00BC40DA" w:rsidRPr="00E27BB2" w:rsidRDefault="001D2DAC" w:rsidP="001D2DAC">
      <w:pPr>
        <w:pStyle w:val="H23GC"/>
      </w:pPr>
      <w:r>
        <w:rPr>
          <w:rFonts w:hint="eastAsia"/>
        </w:rPr>
        <w:tab/>
      </w:r>
      <w:r>
        <w:rPr>
          <w:rFonts w:hint="eastAsia"/>
        </w:rPr>
        <w:tab/>
      </w:r>
      <w:r w:rsidR="00BC40DA" w:rsidRPr="00E27BB2">
        <w:t>对问题清单第</w:t>
      </w:r>
      <w:r w:rsidR="00BC40DA" w:rsidRPr="00E27BB2">
        <w:t>2</w:t>
      </w:r>
      <w:r w:rsidR="00BC40DA" w:rsidRPr="00E27BB2">
        <w:t>段所提问题的答复</w:t>
      </w:r>
    </w:p>
    <w:p w:rsidR="00BC40DA" w:rsidRPr="00E27BB2" w:rsidRDefault="00FC5ECC" w:rsidP="001D2DAC">
      <w:pPr>
        <w:pStyle w:val="SingleTxtGC"/>
      </w:pPr>
      <w:r>
        <w:t>7.</w:t>
      </w:r>
      <w:r w:rsidR="001D2DAC">
        <w:rPr>
          <w:rFonts w:hint="eastAsia"/>
        </w:rPr>
        <w:t xml:space="preserve">  </w:t>
      </w:r>
      <w:r w:rsidR="00BC40DA" w:rsidRPr="00E27BB2">
        <w:t>劳动和社会政策部通过了两项法规</w:t>
      </w:r>
      <w:r>
        <w:t>：</w:t>
      </w:r>
      <w:r w:rsidR="00BC40DA" w:rsidRPr="00E27BB2">
        <w:t>一项是关于提交消除或减轻不平等性别代表性措施计划的内容和方式的《规则手册》以及该《规则手册》实施情况年度报告</w:t>
      </w:r>
      <w:r w:rsidR="001D2DAC">
        <w:rPr>
          <w:rStyle w:val="FootnoteReference"/>
        </w:rPr>
        <w:footnoteReference w:id="5"/>
      </w:r>
      <w:r>
        <w:t>，</w:t>
      </w:r>
      <w:r w:rsidR="00BC40DA" w:rsidRPr="00E27BB2">
        <w:t>该《手册》的实施对象是有</w:t>
      </w:r>
      <w:r w:rsidR="00BC40DA" w:rsidRPr="00E27BB2">
        <w:t>50</w:t>
      </w:r>
      <w:r w:rsidR="00BC40DA" w:rsidRPr="00E27BB2">
        <w:t>名以上雇员的男女雇主</w:t>
      </w:r>
      <w:r>
        <w:t>；</w:t>
      </w:r>
      <w:r w:rsidR="00BC40DA" w:rsidRPr="00E27BB2">
        <w:t>另一项是涉及提供免受性别歧视保护的法院最终决定的记录和文件的《规则手册》</w:t>
      </w:r>
      <w:r w:rsidR="00612189">
        <w:rPr>
          <w:rStyle w:val="FootnoteReference"/>
        </w:rPr>
        <w:footnoteReference w:id="6"/>
      </w:r>
      <w:r w:rsidR="00BC40DA" w:rsidRPr="00E27BB2">
        <w:t>。监测这些文件执行情况的是劳动和社会政策部两性平等司的职责。</w:t>
      </w:r>
    </w:p>
    <w:p w:rsidR="00BC40DA" w:rsidRPr="00E27BB2" w:rsidRDefault="00FC5ECC" w:rsidP="00FC5ECC">
      <w:pPr>
        <w:pStyle w:val="SingleTxtGC"/>
        <w:rPr>
          <w:rFonts w:hint="eastAsia"/>
        </w:rPr>
      </w:pPr>
      <w:r>
        <w:t>8.</w:t>
      </w:r>
      <w:r w:rsidR="00E74521">
        <w:rPr>
          <w:rFonts w:hint="eastAsia"/>
        </w:rPr>
        <w:t xml:space="preserve">  </w:t>
      </w:r>
      <w:r w:rsidR="00BC40DA" w:rsidRPr="00E27BB2">
        <w:t>2010</w:t>
      </w:r>
      <w:r w:rsidR="00BC40DA" w:rsidRPr="00E27BB2">
        <w:t>至</w:t>
      </w:r>
      <w:r w:rsidR="00BC40DA" w:rsidRPr="00E27BB2">
        <w:t>2012</w:t>
      </w:r>
      <w:r w:rsidR="00BC40DA" w:rsidRPr="00E27BB2">
        <w:t>年期间</w:t>
      </w:r>
      <w:r>
        <w:t>，</w:t>
      </w:r>
      <w:r w:rsidR="00BC40DA" w:rsidRPr="00E27BB2">
        <w:t>在设有两性平等司的劳动和社会政策部建议下</w:t>
      </w:r>
      <w:r>
        <w:t>，</w:t>
      </w:r>
      <w:r w:rsidR="00BC40DA" w:rsidRPr="00E27BB2">
        <w:t>政府通过了《关于执行</w:t>
      </w:r>
      <w:r w:rsidR="00E74521">
        <w:t>2010</w:t>
      </w:r>
      <w:r w:rsidR="00E74521">
        <w:rPr>
          <w:rFonts w:hint="eastAsia"/>
        </w:rPr>
        <w:t>-</w:t>
      </w:r>
      <w:r w:rsidR="00BC40DA" w:rsidRPr="00E27BB2">
        <w:t>2015</w:t>
      </w:r>
      <w:r w:rsidR="00BC40DA" w:rsidRPr="00E27BB2">
        <w:t>年提高妇女地位和促进两性平等国家战略的行动计划》</w:t>
      </w:r>
      <w:r w:rsidR="00715C00">
        <w:rPr>
          <w:rStyle w:val="FootnoteReference"/>
        </w:rPr>
        <w:footnoteReference w:id="7"/>
      </w:r>
      <w:r w:rsidR="00BC40DA" w:rsidRPr="00E27BB2">
        <w:t>、《关于执行联合国安全理事会第</w:t>
      </w:r>
      <w:r w:rsidR="00BC40DA" w:rsidRPr="00E27BB2">
        <w:t>1325</w:t>
      </w:r>
      <w:r w:rsidR="00BC40DA" w:rsidRPr="00E27BB2">
        <w:t>号决议的国家行动计划</w:t>
      </w:r>
      <w:r>
        <w:t>：</w:t>
      </w:r>
      <w:r w:rsidR="00BC40DA" w:rsidRPr="00E27BB2">
        <w:t>塞尔维亚共和国的妇女与和平和安全》</w:t>
      </w:r>
      <w:r w:rsidR="00715C00">
        <w:rPr>
          <w:rStyle w:val="FootnoteReference"/>
        </w:rPr>
        <w:footnoteReference w:id="8"/>
      </w:r>
      <w:r w:rsidR="00715C00">
        <w:rPr>
          <w:rFonts w:hint="eastAsia"/>
        </w:rPr>
        <w:t xml:space="preserve"> </w:t>
      </w:r>
      <w:r>
        <w:t>(</w:t>
      </w:r>
      <w:r w:rsidR="00BC40DA" w:rsidRPr="00E27BB2">
        <w:t>2010-2015</w:t>
      </w:r>
      <w:r w:rsidR="00BC40DA" w:rsidRPr="00E27BB2">
        <w:t>年</w:t>
      </w:r>
      <w:r>
        <w:t>)</w:t>
      </w:r>
      <w:r w:rsidR="00BC40DA" w:rsidRPr="00E27BB2">
        <w:t>、以及《防范和打击在家庭和亲密关系中暴力侵害妇女的国家战略》</w:t>
      </w:r>
      <w:r w:rsidR="00DE572D">
        <w:rPr>
          <w:rStyle w:val="FootnoteReference"/>
        </w:rPr>
        <w:footnoteReference w:id="9"/>
      </w:r>
      <w:r w:rsidR="00BC40DA" w:rsidRPr="00E27BB2">
        <w:t>。两性平等司派出其专业代表参与了欧洲委员会《防止和打击暴力侵害妇女行为和家庭暴力公约》的拟定工作</w:t>
      </w:r>
      <w:r>
        <w:t>，</w:t>
      </w:r>
      <w:r w:rsidR="00BC40DA" w:rsidRPr="00E27BB2">
        <w:t>参加了欧洲委员会各主管委员会的工作</w:t>
      </w:r>
      <w:r>
        <w:t>，</w:t>
      </w:r>
      <w:r w:rsidR="00BC40DA" w:rsidRPr="00E27BB2">
        <w:t>并由塞尔维亚共和国发起签署了该项《公约》。</w:t>
      </w:r>
      <w:r w:rsidR="00BC40DA" w:rsidRPr="00E27BB2">
        <w:rPr>
          <w:lang w:val="en-GB"/>
        </w:rPr>
        <w:t>两性平等司</w:t>
      </w:r>
      <w:r w:rsidR="00BC40DA" w:rsidRPr="00E27BB2">
        <w:t>有</w:t>
      </w:r>
      <w:r w:rsidR="00BC40DA" w:rsidRPr="00E27BB2">
        <w:t>7</w:t>
      </w:r>
      <w:r w:rsidR="00BC40DA" w:rsidRPr="00E27BB2">
        <w:t>名员工</w:t>
      </w:r>
      <w:r>
        <w:t>，</w:t>
      </w:r>
      <w:r w:rsidR="00BC40DA" w:rsidRPr="00E27BB2">
        <w:t>为其</w:t>
      </w:r>
      <w:r w:rsidR="00BC40DA" w:rsidRPr="00E27BB2">
        <w:t>2011</w:t>
      </w:r>
      <w:r w:rsidR="00BC40DA" w:rsidRPr="00E27BB2">
        <w:t>年的活动确定的预算额为</w:t>
      </w:r>
      <w:r>
        <w:t>5,</w:t>
      </w:r>
      <w:r w:rsidR="00BC40DA" w:rsidRPr="00E27BB2">
        <w:t>09</w:t>
      </w:r>
      <w:r>
        <w:t>3,</w:t>
      </w:r>
      <w:r w:rsidR="00BC40DA" w:rsidRPr="00E27BB2">
        <w:t>000</w:t>
      </w:r>
      <w:r w:rsidR="00D531C4">
        <w:rPr>
          <w:rFonts w:hint="eastAsia"/>
        </w:rPr>
        <w:t>.00</w:t>
      </w:r>
      <w:r w:rsidR="00BC40DA" w:rsidRPr="00E27BB2">
        <w:t>塞尔维亚第纳尔。</w:t>
      </w:r>
    </w:p>
    <w:p w:rsidR="00BC40DA" w:rsidRPr="00E27BB2" w:rsidRDefault="00FC5ECC" w:rsidP="00FC5ECC">
      <w:pPr>
        <w:pStyle w:val="SingleTxtGC"/>
      </w:pPr>
      <w:r>
        <w:t>9.</w:t>
      </w:r>
      <w:r>
        <w:rPr>
          <w:rFonts w:hint="eastAsia"/>
        </w:rPr>
        <w:t xml:space="preserve">  </w:t>
      </w:r>
      <w:r w:rsidR="00BC40DA" w:rsidRPr="00E27BB2">
        <w:t>目前</w:t>
      </w:r>
      <w:r>
        <w:t>，</w:t>
      </w:r>
      <w:r w:rsidR="00BC40DA" w:rsidRPr="00E27BB2">
        <w:t>塞尔维亚共和国有</w:t>
      </w:r>
      <w:r w:rsidR="00BC40DA" w:rsidRPr="00E27BB2">
        <w:t>100</w:t>
      </w:r>
      <w:r w:rsidR="00BC40DA" w:rsidRPr="00E27BB2">
        <w:t>余个地方两性平等机构</w:t>
      </w:r>
      <w:r>
        <w:t>(</w:t>
      </w:r>
      <w:r w:rsidR="00BC40DA" w:rsidRPr="00E27BB2">
        <w:t>理事会、委员会等</w:t>
      </w:r>
      <w:r>
        <w:t>)</w:t>
      </w:r>
      <w:r>
        <w:t>，</w:t>
      </w:r>
      <w:r w:rsidR="00BC40DA" w:rsidRPr="00E27BB2">
        <w:t>并有</w:t>
      </w:r>
      <w:r w:rsidR="00BC40DA" w:rsidRPr="00E27BB2">
        <w:t>20</w:t>
      </w:r>
      <w:r w:rsidR="00BC40DA" w:rsidRPr="00E27BB2">
        <w:t>名员工处理两性平等问题。一些地方自治单位设有两性平等机构</w:t>
      </w:r>
      <w:r>
        <w:t>，</w:t>
      </w:r>
      <w:r w:rsidR="00BC40DA" w:rsidRPr="00E27BB2">
        <w:t>并有负责处理两性平等问题的人。两性平等司在其网站</w:t>
      </w:r>
      <w:r w:rsidR="00BC40DA" w:rsidRPr="00685D90">
        <w:rPr>
          <w:i/>
        </w:rPr>
        <w:t>www.gendernet.rs</w:t>
      </w:r>
      <w:r w:rsidR="00BC40DA" w:rsidRPr="00E27BB2">
        <w:t>的</w:t>
      </w:r>
      <w:r>
        <w:rPr>
          <w:rFonts w:hint="eastAsia"/>
        </w:rPr>
        <w:t>“</w:t>
      </w:r>
      <w:r w:rsidR="00BC40DA" w:rsidRPr="00E27BB2">
        <w:t>机制</w:t>
      </w:r>
      <w:r w:rsidR="00F7367C">
        <w:rPr>
          <w:rFonts w:hint="eastAsia"/>
          <w:spacing w:val="-50"/>
        </w:rPr>
        <w:t>―</w:t>
      </w:r>
      <w:r w:rsidR="00F7367C">
        <w:rPr>
          <w:rFonts w:hint="eastAsia"/>
        </w:rPr>
        <w:t>―</w:t>
      </w:r>
      <w:r w:rsidR="00BC40DA" w:rsidRPr="00E27BB2">
        <w:t>地方机制</w:t>
      </w:r>
      <w:r>
        <w:rPr>
          <w:rFonts w:hint="eastAsia"/>
        </w:rPr>
        <w:t>”</w:t>
      </w:r>
      <w:r w:rsidR="00BC40DA" w:rsidRPr="00E27BB2">
        <w:t>部分定期更新并公布有关各种地方机制的数据。此外</w:t>
      </w:r>
      <w:r>
        <w:t>，</w:t>
      </w:r>
      <w:r w:rsidR="00BC40DA" w:rsidRPr="00E27BB2">
        <w:t>两性平等司还在</w:t>
      </w:r>
      <w:r w:rsidR="00BC40DA" w:rsidRPr="00E27BB2">
        <w:t>2011</w:t>
      </w:r>
      <w:r w:rsidR="00BC40DA" w:rsidRPr="00E27BB2">
        <w:t>年</w:t>
      </w:r>
      <w:r w:rsidR="00BC40DA" w:rsidRPr="00E27BB2">
        <w:t>4</w:t>
      </w:r>
      <w:r w:rsidR="00BC40DA" w:rsidRPr="00E27BB2">
        <w:t>月举办了一次主题为</w:t>
      </w:r>
      <w:r w:rsidR="003A6EC0">
        <w:rPr>
          <w:rFonts w:hint="eastAsia"/>
        </w:rPr>
        <w:t>“</w:t>
      </w:r>
      <w:r w:rsidR="00BC40DA" w:rsidRPr="00E27BB2">
        <w:t>两性平等地方机构</w:t>
      </w:r>
      <w:r w:rsidR="001429E9">
        <w:rPr>
          <w:rFonts w:hint="eastAsia"/>
        </w:rPr>
        <w:t>”</w:t>
      </w:r>
      <w:r w:rsidR="00BC40DA" w:rsidRPr="00E27BB2">
        <w:t>的圆桌会议</w:t>
      </w:r>
      <w:r>
        <w:t>，</w:t>
      </w:r>
      <w:r w:rsidR="00BC40DA" w:rsidRPr="00E27BB2">
        <w:t>目的是使男女代表参加地方自治单位的工作</w:t>
      </w:r>
      <w:r>
        <w:t>，</w:t>
      </w:r>
      <w:r w:rsidR="00BC40DA" w:rsidRPr="00E27BB2">
        <w:t>履行他们在各自的社区</w:t>
      </w:r>
      <w:r>
        <w:t>(</w:t>
      </w:r>
      <w:r w:rsidR="00BC40DA" w:rsidRPr="00E27BB2">
        <w:t>城市和自治市镇</w:t>
      </w:r>
      <w:r>
        <w:t>)</w:t>
      </w:r>
      <w:r w:rsidR="00BC40DA" w:rsidRPr="00E27BB2">
        <w:t>组建两性平等机构的义务。</w:t>
      </w:r>
      <w:r w:rsidR="00BC40DA" w:rsidRPr="00E27BB2">
        <w:t>2011</w:t>
      </w:r>
      <w:r w:rsidR="00BC40DA" w:rsidRPr="00E27BB2">
        <w:t>年</w:t>
      </w:r>
      <w:r w:rsidR="00BC40DA" w:rsidRPr="00E27BB2">
        <w:t>12</w:t>
      </w:r>
      <w:r w:rsidR="00BC40DA" w:rsidRPr="00E27BB2">
        <w:t>月</w:t>
      </w:r>
      <w:r>
        <w:t>，</w:t>
      </w:r>
      <w:r w:rsidR="00BC40DA" w:rsidRPr="00E27BB2">
        <w:t>两性平等司举办了一次名为</w:t>
      </w:r>
      <w:r w:rsidR="001429E9">
        <w:rPr>
          <w:rFonts w:hint="eastAsia"/>
        </w:rPr>
        <w:t>“</w:t>
      </w:r>
      <w:r w:rsidR="00BC40DA" w:rsidRPr="00E27BB2">
        <w:t>平等始于地方一级</w:t>
      </w:r>
      <w:r w:rsidR="003A6EC0">
        <w:rPr>
          <w:rFonts w:hint="eastAsia"/>
        </w:rPr>
        <w:t>”</w:t>
      </w:r>
      <w:r w:rsidR="00BC40DA" w:rsidRPr="00E27BB2">
        <w:t>的全国会议</w:t>
      </w:r>
      <w:r>
        <w:t>，</w:t>
      </w:r>
      <w:r w:rsidR="00BC40DA" w:rsidRPr="00E27BB2">
        <w:t>并建立了由来自各地方自治单位即地方机制的两性平等问题男女培训员组成的网络。两性平等司一直在为他们的继续教育进行投资</w:t>
      </w:r>
      <w:r>
        <w:t>，</w:t>
      </w:r>
      <w:r w:rsidR="00BC40DA" w:rsidRPr="00E27BB2">
        <w:t>并在</w:t>
      </w:r>
      <w:r w:rsidR="00BC40DA" w:rsidRPr="00E27BB2">
        <w:t>2012</w:t>
      </w:r>
      <w:r w:rsidR="00BC40DA" w:rsidRPr="00E27BB2">
        <w:t>年</w:t>
      </w:r>
      <w:r w:rsidR="00BC40DA" w:rsidRPr="00E27BB2">
        <w:t>1</w:t>
      </w:r>
      <w:r w:rsidR="00BC40DA" w:rsidRPr="00E27BB2">
        <w:t>月宣布招标</w:t>
      </w:r>
      <w:r>
        <w:t>，</w:t>
      </w:r>
      <w:r w:rsidR="00BC40DA" w:rsidRPr="00E27BB2">
        <w:t>邀请相关方在地方自治单位的农村和城市近郊建立电子俱乐部</w:t>
      </w:r>
      <w:r>
        <w:t>，</w:t>
      </w:r>
      <w:r w:rsidR="00BC40DA" w:rsidRPr="00E27BB2">
        <w:t>以此作为《实施提高妇女地位和促进</w:t>
      </w:r>
      <w:r w:rsidR="00423832">
        <w:rPr>
          <w:rFonts w:hint="eastAsia"/>
        </w:rPr>
        <w:t>两</w:t>
      </w:r>
      <w:r w:rsidR="00BC40DA" w:rsidRPr="00E27BB2">
        <w:t>性平等国家行动计划优先事项方案》的组成部分。招标时所提的条件之一</w:t>
      </w:r>
      <w:r>
        <w:t>，</w:t>
      </w:r>
      <w:r w:rsidR="00BC40DA" w:rsidRPr="00E27BB2">
        <w:t>是地方自治单位必须设有一个两性平等机构。在塞尔维亚共和国</w:t>
      </w:r>
      <w:r w:rsidR="00BC40DA" w:rsidRPr="00E27BB2">
        <w:t>5</w:t>
      </w:r>
      <w:r w:rsidR="00BC40DA" w:rsidRPr="00E27BB2">
        <w:t>个城市建立电子俱乐部的项目的总费用为</w:t>
      </w:r>
      <w:r w:rsidR="00BC40DA" w:rsidRPr="00E27BB2">
        <w:t>7</w:t>
      </w:r>
      <w:r w:rsidR="00BC40DA" w:rsidRPr="00E27BB2">
        <w:t>万欧元。除了财政资源外</w:t>
      </w:r>
      <w:r>
        <w:t>，</w:t>
      </w:r>
      <w:r w:rsidR="00BC40DA" w:rsidRPr="00E27BB2">
        <w:t>地方两性平等机构还可从促进两性平等集团内的两性平等司获得人力资源。</w:t>
      </w:r>
    </w:p>
    <w:p w:rsidR="00BC40DA" w:rsidRPr="00E27BB2" w:rsidRDefault="00BC40DA" w:rsidP="00BC40DA">
      <w:pPr>
        <w:pStyle w:val="SingleTxtGC"/>
      </w:pPr>
      <w:r w:rsidRPr="00E27BB2">
        <w:t>1</w:t>
      </w:r>
      <w:r w:rsidR="00FC5ECC">
        <w:t>0.</w:t>
      </w:r>
      <w:r w:rsidR="0030728A">
        <w:rPr>
          <w:rFonts w:hint="eastAsia"/>
        </w:rPr>
        <w:t xml:space="preserve">  </w:t>
      </w:r>
      <w:r w:rsidRPr="00E27BB2">
        <w:t>附录提供了《男女平等法》</w:t>
      </w:r>
      <w:r w:rsidR="0030728A">
        <w:rPr>
          <w:rStyle w:val="FootnoteReference"/>
        </w:rPr>
        <w:footnoteReference w:id="10"/>
      </w:r>
      <w:r w:rsidRPr="00E27BB2">
        <w:t xml:space="preserve"> </w:t>
      </w:r>
      <w:r w:rsidRPr="00E27BB2">
        <w:t>英文本。</w:t>
      </w:r>
    </w:p>
    <w:p w:rsidR="00BC40DA" w:rsidRPr="00E27BB2" w:rsidRDefault="004059E4" w:rsidP="004059E4">
      <w:pPr>
        <w:pStyle w:val="H1GC"/>
      </w:pPr>
      <w:r>
        <w:rPr>
          <w:rFonts w:hint="eastAsia"/>
        </w:rPr>
        <w:tab/>
      </w:r>
      <w:r>
        <w:rPr>
          <w:rFonts w:hint="eastAsia"/>
        </w:rPr>
        <w:tab/>
      </w:r>
      <w:r w:rsidR="00BC40DA" w:rsidRPr="00E27BB2">
        <w:t>临时特别措施</w:t>
      </w:r>
    </w:p>
    <w:p w:rsidR="00BC40DA" w:rsidRPr="00E27BB2" w:rsidRDefault="004059E4" w:rsidP="004059E4">
      <w:pPr>
        <w:pStyle w:val="H23GC"/>
      </w:pPr>
      <w:r>
        <w:rPr>
          <w:rFonts w:hint="eastAsia"/>
        </w:rPr>
        <w:tab/>
      </w:r>
      <w:r>
        <w:rPr>
          <w:rFonts w:hint="eastAsia"/>
        </w:rPr>
        <w:tab/>
      </w:r>
      <w:r w:rsidR="00BC40DA" w:rsidRPr="00E27BB2">
        <w:t>对问题清单第</w:t>
      </w:r>
      <w:r w:rsidR="00BC40DA" w:rsidRPr="00E27BB2">
        <w:t>3</w:t>
      </w:r>
      <w:r w:rsidR="00BC40DA" w:rsidRPr="00E27BB2">
        <w:t>段所提问题的答复</w:t>
      </w:r>
    </w:p>
    <w:p w:rsidR="00BC40DA" w:rsidRPr="00E27BB2" w:rsidRDefault="00BC40DA" w:rsidP="004059E4">
      <w:pPr>
        <w:pStyle w:val="SingleTxtGC"/>
      </w:pPr>
      <w:r w:rsidRPr="00E27BB2">
        <w:t>1</w:t>
      </w:r>
      <w:r w:rsidR="00FC5ECC">
        <w:t>1.</w:t>
      </w:r>
      <w:r w:rsidR="004059E4">
        <w:rPr>
          <w:rFonts w:hint="eastAsia"/>
        </w:rPr>
        <w:t xml:space="preserve">  </w:t>
      </w:r>
      <w:r w:rsidRPr="00E27BB2">
        <w:t>每年年初</w:t>
      </w:r>
      <w:r w:rsidR="00FC5ECC">
        <w:t>，</w:t>
      </w:r>
      <w:r w:rsidRPr="00E27BB2">
        <w:t>国家就业事务局宣布公开招标</w:t>
      </w:r>
      <w:r w:rsidR="00FC5ECC">
        <w:t>，</w:t>
      </w:r>
      <w:r w:rsidRPr="00E27BB2">
        <w:t>邀请相关方执行积极的就业政</w:t>
      </w:r>
      <w:r w:rsidR="006F0A0D">
        <w:rPr>
          <w:rFonts w:hint="eastAsia"/>
        </w:rPr>
        <w:t>册措施，其中优先考虑难以受雇人员和劳力市场的弱势群体。</w:t>
      </w:r>
    </w:p>
    <w:tbl>
      <w:tblPr>
        <w:tblW w:w="9639"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156"/>
        <w:gridCol w:w="934"/>
        <w:gridCol w:w="934"/>
        <w:gridCol w:w="934"/>
        <w:gridCol w:w="934"/>
        <w:gridCol w:w="934"/>
        <w:gridCol w:w="934"/>
        <w:gridCol w:w="690"/>
        <w:gridCol w:w="1178"/>
        <w:gridCol w:w="11"/>
      </w:tblGrid>
      <w:tr w:rsidR="006F0A0D" w:rsidRPr="00D751CF" w:rsidTr="00F07D04">
        <w:trPr>
          <w:trHeight w:val="240"/>
          <w:tblHeader/>
        </w:trPr>
        <w:tc>
          <w:tcPr>
            <w:tcW w:w="2156" w:type="dxa"/>
            <w:vMerge w:val="restart"/>
            <w:tcBorders>
              <w:top w:val="single" w:sz="4" w:space="0" w:color="auto"/>
            </w:tcBorders>
            <w:shd w:val="clear" w:color="auto" w:fill="auto"/>
            <w:vAlign w:val="bottom"/>
          </w:tcPr>
          <w:p w:rsidR="006F0A0D" w:rsidRPr="00D751CF" w:rsidRDefault="006F0A0D" w:rsidP="00570F76">
            <w:pPr>
              <w:pStyle w:val="a0"/>
              <w:ind w:right="0"/>
              <w:jc w:val="left"/>
              <w:rPr>
                <w:szCs w:val="28"/>
              </w:rPr>
            </w:pPr>
            <w:r w:rsidRPr="00D751CF">
              <w:rPr>
                <w:rFonts w:hint="eastAsia"/>
              </w:rPr>
              <w:t>2011</w:t>
            </w:r>
            <w:r w:rsidRPr="00D751CF">
              <w:rPr>
                <w:rFonts w:hint="eastAsia"/>
              </w:rPr>
              <w:t>年积极就业政策措施</w:t>
            </w:r>
            <w:r w:rsidRPr="00D751CF">
              <w:t>(</w:t>
            </w:r>
            <w:r w:rsidRPr="00D751CF">
              <w:rPr>
                <w:rFonts w:hint="eastAsia"/>
              </w:rPr>
              <w:t>纳入</w:t>
            </w:r>
            <w:r w:rsidR="00BD4C4E">
              <w:rPr>
                <w:rFonts w:hint="eastAsia"/>
              </w:rPr>
              <w:t>措施</w:t>
            </w:r>
            <w:r w:rsidRPr="00D751CF">
              <w:rPr>
                <w:rFonts w:hint="eastAsia"/>
              </w:rPr>
              <w:t>的总</w:t>
            </w:r>
            <w:r w:rsidR="00BD4C4E">
              <w:rPr>
                <w:rFonts w:hint="eastAsia"/>
              </w:rPr>
              <w:t>人</w:t>
            </w:r>
            <w:r w:rsidRPr="00D751CF">
              <w:rPr>
                <w:rFonts w:hint="eastAsia"/>
              </w:rPr>
              <w:t>数是根据公开招标以及筹资来源或项目经费纳入方案</w:t>
            </w:r>
            <w:r w:rsidRPr="00D751CF">
              <w:rPr>
                <w:rFonts w:hint="eastAsia"/>
              </w:rPr>
              <w:t>/</w:t>
            </w:r>
            <w:r>
              <w:rPr>
                <w:rFonts w:hint="eastAsia"/>
              </w:rPr>
              <w:t>措施</w:t>
            </w:r>
            <w:r w:rsidRPr="00D751CF">
              <w:rPr>
                <w:rFonts w:hint="eastAsia"/>
              </w:rPr>
              <w:t>的总和</w:t>
            </w:r>
            <w:r w:rsidRPr="00D751CF">
              <w:rPr>
                <w:rFonts w:hint="eastAsia"/>
              </w:rPr>
              <w:t>)</w:t>
            </w:r>
          </w:p>
        </w:tc>
        <w:tc>
          <w:tcPr>
            <w:tcW w:w="1868" w:type="dxa"/>
            <w:gridSpan w:val="2"/>
            <w:tcBorders>
              <w:top w:val="single" w:sz="4" w:space="0" w:color="auto"/>
              <w:bottom w:val="single" w:sz="2" w:space="0" w:color="auto"/>
            </w:tcBorders>
            <w:shd w:val="clear" w:color="auto" w:fill="auto"/>
            <w:vAlign w:val="bottom"/>
          </w:tcPr>
          <w:p w:rsidR="006F0A0D" w:rsidRPr="006F0A0D" w:rsidRDefault="006F0A0D" w:rsidP="00570F76">
            <w:pPr>
              <w:pStyle w:val="a0"/>
              <w:ind w:left="227" w:right="0"/>
            </w:pPr>
            <w:r w:rsidRPr="00D751CF">
              <w:rPr>
                <w:rFonts w:hint="eastAsia"/>
              </w:rPr>
              <w:t>2011</w:t>
            </w:r>
            <w:r w:rsidRPr="00D751CF">
              <w:rPr>
                <w:rFonts w:hint="eastAsia"/>
              </w:rPr>
              <w:t>年纳入措施</w:t>
            </w:r>
            <w:r>
              <w:rPr>
                <w:rFonts w:hint="eastAsia"/>
              </w:rPr>
              <w:t>者</w:t>
            </w:r>
            <w:r w:rsidRPr="00D751CF">
              <w:rPr>
                <w:rFonts w:hint="eastAsia"/>
              </w:rPr>
              <w:t>的人数</w:t>
            </w:r>
          </w:p>
        </w:tc>
        <w:tc>
          <w:tcPr>
            <w:tcW w:w="1868" w:type="dxa"/>
            <w:gridSpan w:val="2"/>
            <w:tcBorders>
              <w:top w:val="single" w:sz="4" w:space="0" w:color="auto"/>
              <w:bottom w:val="single" w:sz="2" w:space="0" w:color="auto"/>
            </w:tcBorders>
            <w:shd w:val="clear" w:color="auto" w:fill="auto"/>
            <w:vAlign w:val="bottom"/>
          </w:tcPr>
          <w:p w:rsidR="006F0A0D" w:rsidRPr="00D751CF" w:rsidRDefault="006F0A0D" w:rsidP="00570F76">
            <w:pPr>
              <w:pStyle w:val="a0"/>
              <w:ind w:left="227" w:right="0"/>
              <w:rPr>
                <w:rFonts w:hint="eastAsia"/>
              </w:rPr>
            </w:pPr>
            <w:r w:rsidRPr="00D751CF">
              <w:rPr>
                <w:rFonts w:hint="eastAsia"/>
              </w:rPr>
              <w:t>纳入措施的属于难以受雇人员和弱势群体类别的人的人数</w:t>
            </w:r>
          </w:p>
        </w:tc>
        <w:tc>
          <w:tcPr>
            <w:tcW w:w="1868" w:type="dxa"/>
            <w:gridSpan w:val="2"/>
            <w:tcBorders>
              <w:top w:val="single" w:sz="4" w:space="0" w:color="auto"/>
              <w:bottom w:val="single" w:sz="2" w:space="0" w:color="auto"/>
            </w:tcBorders>
            <w:shd w:val="clear" w:color="auto" w:fill="auto"/>
            <w:vAlign w:val="bottom"/>
          </w:tcPr>
          <w:p w:rsidR="006F0A0D" w:rsidRPr="00D751CF" w:rsidRDefault="006F0A0D" w:rsidP="00570F76">
            <w:pPr>
              <w:pStyle w:val="a0"/>
              <w:ind w:left="227" w:right="0"/>
              <w:rPr>
                <w:rFonts w:hint="eastAsia"/>
              </w:rPr>
            </w:pPr>
            <w:r w:rsidRPr="00652623">
              <w:rPr>
                <w:rFonts w:hint="eastAsia"/>
                <w:spacing w:val="4"/>
              </w:rPr>
              <w:t>纳入措施的残疾人</w:t>
            </w:r>
            <w:r w:rsidRPr="00D751CF">
              <w:rPr>
                <w:rFonts w:hint="eastAsia"/>
              </w:rPr>
              <w:t>人数</w:t>
            </w:r>
          </w:p>
        </w:tc>
        <w:tc>
          <w:tcPr>
            <w:tcW w:w="1879" w:type="dxa"/>
            <w:gridSpan w:val="3"/>
            <w:tcBorders>
              <w:top w:val="single" w:sz="4" w:space="0" w:color="auto"/>
              <w:bottom w:val="single" w:sz="2" w:space="0" w:color="auto"/>
            </w:tcBorders>
            <w:shd w:val="clear" w:color="auto" w:fill="auto"/>
            <w:vAlign w:val="bottom"/>
          </w:tcPr>
          <w:p w:rsidR="006F0A0D" w:rsidRPr="00D751CF" w:rsidRDefault="006F0A0D" w:rsidP="00570F76">
            <w:pPr>
              <w:pStyle w:val="a0"/>
              <w:ind w:left="227" w:right="0"/>
            </w:pPr>
            <w:r w:rsidRPr="00D751CF">
              <w:rPr>
                <w:rFonts w:hint="eastAsia"/>
              </w:rPr>
              <w:t>纳入措施的罗姆族人人数</w:t>
            </w:r>
          </w:p>
        </w:tc>
      </w:tr>
      <w:tr w:rsidR="006F0A0D" w:rsidRPr="00D751CF" w:rsidTr="00F07D04">
        <w:trPr>
          <w:gridAfter w:val="1"/>
          <w:wAfter w:w="11" w:type="dxa"/>
          <w:trHeight w:val="240"/>
          <w:tblHeader/>
        </w:trPr>
        <w:tc>
          <w:tcPr>
            <w:tcW w:w="2156" w:type="dxa"/>
            <w:vMerge/>
            <w:tcBorders>
              <w:bottom w:val="single" w:sz="12" w:space="0" w:color="auto"/>
            </w:tcBorders>
            <w:shd w:val="clear" w:color="auto" w:fill="auto"/>
            <w:vAlign w:val="bottom"/>
          </w:tcPr>
          <w:p w:rsidR="006F0A0D" w:rsidRPr="00D751CF" w:rsidRDefault="006F0A0D" w:rsidP="00570F76">
            <w:pPr>
              <w:pStyle w:val="a5"/>
              <w:overflowPunct/>
              <w:ind w:right="0"/>
              <w:jc w:val="left"/>
            </w:pPr>
          </w:p>
        </w:tc>
        <w:tc>
          <w:tcPr>
            <w:tcW w:w="934" w:type="dxa"/>
            <w:tcBorders>
              <w:top w:val="single" w:sz="2" w:space="0" w:color="auto"/>
              <w:bottom w:val="single" w:sz="12" w:space="0" w:color="auto"/>
            </w:tcBorders>
            <w:shd w:val="clear" w:color="auto" w:fill="auto"/>
            <w:vAlign w:val="bottom"/>
          </w:tcPr>
          <w:p w:rsidR="006F0A0D" w:rsidRPr="00D751CF" w:rsidRDefault="006F0A0D" w:rsidP="00025728">
            <w:pPr>
              <w:pStyle w:val="a0"/>
              <w:ind w:left="227" w:right="0"/>
              <w:jc w:val="right"/>
            </w:pPr>
            <w:r w:rsidRPr="00D751CF">
              <w:rPr>
                <w:rFonts w:hint="eastAsia"/>
              </w:rPr>
              <w:t>共计</w:t>
            </w:r>
          </w:p>
        </w:tc>
        <w:tc>
          <w:tcPr>
            <w:tcW w:w="934" w:type="dxa"/>
            <w:tcBorders>
              <w:top w:val="single" w:sz="2" w:space="0" w:color="auto"/>
              <w:bottom w:val="single" w:sz="12" w:space="0" w:color="auto"/>
            </w:tcBorders>
            <w:shd w:val="clear" w:color="auto" w:fill="auto"/>
            <w:vAlign w:val="bottom"/>
          </w:tcPr>
          <w:p w:rsidR="006F0A0D" w:rsidRPr="00D751CF" w:rsidRDefault="006F0A0D" w:rsidP="00025728">
            <w:pPr>
              <w:pStyle w:val="a0"/>
              <w:ind w:left="227" w:right="0"/>
              <w:jc w:val="right"/>
              <w:rPr>
                <w:rFonts w:hint="eastAsia"/>
              </w:rPr>
            </w:pPr>
            <w:r w:rsidRPr="00D751CF">
              <w:rPr>
                <w:rFonts w:hint="eastAsia"/>
              </w:rPr>
              <w:t>妇女</w:t>
            </w:r>
          </w:p>
        </w:tc>
        <w:tc>
          <w:tcPr>
            <w:tcW w:w="934" w:type="dxa"/>
            <w:tcBorders>
              <w:top w:val="single" w:sz="2" w:space="0" w:color="auto"/>
              <w:bottom w:val="single" w:sz="12" w:space="0" w:color="auto"/>
            </w:tcBorders>
            <w:shd w:val="clear" w:color="auto" w:fill="auto"/>
            <w:vAlign w:val="bottom"/>
          </w:tcPr>
          <w:p w:rsidR="006F0A0D" w:rsidRPr="00D751CF" w:rsidRDefault="006F0A0D" w:rsidP="00025728">
            <w:pPr>
              <w:pStyle w:val="a0"/>
              <w:ind w:left="227" w:right="0"/>
              <w:jc w:val="right"/>
            </w:pPr>
            <w:r w:rsidRPr="00D751CF">
              <w:rPr>
                <w:rFonts w:hint="eastAsia"/>
              </w:rPr>
              <w:t>共计</w:t>
            </w:r>
          </w:p>
        </w:tc>
        <w:tc>
          <w:tcPr>
            <w:tcW w:w="934" w:type="dxa"/>
            <w:tcBorders>
              <w:top w:val="single" w:sz="2" w:space="0" w:color="auto"/>
              <w:bottom w:val="single" w:sz="12" w:space="0" w:color="auto"/>
            </w:tcBorders>
            <w:shd w:val="clear" w:color="auto" w:fill="auto"/>
            <w:vAlign w:val="bottom"/>
          </w:tcPr>
          <w:p w:rsidR="006F0A0D" w:rsidRPr="00D751CF" w:rsidRDefault="006F0A0D" w:rsidP="00025728">
            <w:pPr>
              <w:pStyle w:val="a0"/>
              <w:ind w:left="227" w:right="0"/>
              <w:jc w:val="right"/>
              <w:rPr>
                <w:rFonts w:hint="eastAsia"/>
              </w:rPr>
            </w:pPr>
            <w:r w:rsidRPr="00D751CF">
              <w:rPr>
                <w:rFonts w:hint="eastAsia"/>
              </w:rPr>
              <w:t>妇女</w:t>
            </w:r>
          </w:p>
        </w:tc>
        <w:tc>
          <w:tcPr>
            <w:tcW w:w="934" w:type="dxa"/>
            <w:tcBorders>
              <w:top w:val="single" w:sz="2" w:space="0" w:color="auto"/>
              <w:bottom w:val="single" w:sz="12" w:space="0" w:color="auto"/>
            </w:tcBorders>
            <w:shd w:val="clear" w:color="auto" w:fill="auto"/>
            <w:vAlign w:val="bottom"/>
          </w:tcPr>
          <w:p w:rsidR="006F0A0D" w:rsidRPr="00D751CF" w:rsidRDefault="006F0A0D" w:rsidP="00025728">
            <w:pPr>
              <w:pStyle w:val="a0"/>
              <w:ind w:left="227" w:right="0"/>
              <w:jc w:val="right"/>
            </w:pPr>
            <w:r w:rsidRPr="00D751CF">
              <w:rPr>
                <w:rFonts w:hint="eastAsia"/>
              </w:rPr>
              <w:t>共计</w:t>
            </w:r>
          </w:p>
        </w:tc>
        <w:tc>
          <w:tcPr>
            <w:tcW w:w="934" w:type="dxa"/>
            <w:tcBorders>
              <w:top w:val="single" w:sz="2" w:space="0" w:color="auto"/>
              <w:bottom w:val="single" w:sz="12" w:space="0" w:color="auto"/>
            </w:tcBorders>
            <w:shd w:val="clear" w:color="auto" w:fill="auto"/>
            <w:vAlign w:val="bottom"/>
          </w:tcPr>
          <w:p w:rsidR="006F0A0D" w:rsidRPr="00D751CF" w:rsidRDefault="006F0A0D" w:rsidP="00025728">
            <w:pPr>
              <w:pStyle w:val="a0"/>
              <w:ind w:left="227" w:right="0"/>
              <w:jc w:val="right"/>
              <w:rPr>
                <w:rFonts w:hint="eastAsia"/>
              </w:rPr>
            </w:pPr>
            <w:r w:rsidRPr="00D751CF">
              <w:rPr>
                <w:rFonts w:hint="eastAsia"/>
              </w:rPr>
              <w:t>妇女</w:t>
            </w:r>
          </w:p>
        </w:tc>
        <w:tc>
          <w:tcPr>
            <w:tcW w:w="690" w:type="dxa"/>
            <w:tcBorders>
              <w:top w:val="single" w:sz="2" w:space="0" w:color="auto"/>
              <w:bottom w:val="single" w:sz="12" w:space="0" w:color="auto"/>
            </w:tcBorders>
            <w:shd w:val="clear" w:color="auto" w:fill="auto"/>
            <w:vAlign w:val="bottom"/>
          </w:tcPr>
          <w:p w:rsidR="006F0A0D" w:rsidRPr="00D751CF" w:rsidRDefault="006F0A0D" w:rsidP="00025728">
            <w:pPr>
              <w:pStyle w:val="a0"/>
              <w:ind w:left="227" w:right="0"/>
              <w:jc w:val="right"/>
            </w:pPr>
            <w:r w:rsidRPr="00D751CF">
              <w:rPr>
                <w:rFonts w:hint="eastAsia"/>
              </w:rPr>
              <w:t>共计</w:t>
            </w:r>
          </w:p>
        </w:tc>
        <w:tc>
          <w:tcPr>
            <w:tcW w:w="1178" w:type="dxa"/>
            <w:tcBorders>
              <w:top w:val="single" w:sz="2" w:space="0" w:color="auto"/>
              <w:bottom w:val="single" w:sz="12" w:space="0" w:color="auto"/>
            </w:tcBorders>
            <w:shd w:val="clear" w:color="auto" w:fill="auto"/>
            <w:vAlign w:val="bottom"/>
          </w:tcPr>
          <w:p w:rsidR="006F0A0D" w:rsidRPr="00D751CF" w:rsidRDefault="006F0A0D" w:rsidP="00025728">
            <w:pPr>
              <w:pStyle w:val="a0"/>
              <w:ind w:left="227" w:right="0"/>
              <w:jc w:val="right"/>
              <w:rPr>
                <w:rFonts w:hint="eastAsia"/>
              </w:rPr>
            </w:pPr>
            <w:r w:rsidRPr="00D751CF">
              <w:rPr>
                <w:rFonts w:hint="eastAsia"/>
              </w:rPr>
              <w:t>妇女</w:t>
            </w:r>
          </w:p>
        </w:tc>
      </w:tr>
      <w:tr w:rsidR="006F0A0D" w:rsidRPr="00D751CF" w:rsidTr="00F07D04">
        <w:trPr>
          <w:gridAfter w:val="1"/>
          <w:wAfter w:w="11" w:type="dxa"/>
          <w:trHeight w:val="240"/>
        </w:trPr>
        <w:tc>
          <w:tcPr>
            <w:tcW w:w="2156" w:type="dxa"/>
            <w:tcBorders>
              <w:top w:val="single" w:sz="12" w:space="0" w:color="auto"/>
            </w:tcBorders>
            <w:shd w:val="clear" w:color="auto" w:fill="auto"/>
          </w:tcPr>
          <w:p w:rsidR="004059E4" w:rsidRPr="00D751CF" w:rsidRDefault="004059E4" w:rsidP="00570F76">
            <w:pPr>
              <w:pStyle w:val="a5"/>
              <w:overflowPunct/>
              <w:ind w:right="0"/>
              <w:jc w:val="left"/>
              <w:rPr>
                <w:rFonts w:hint="eastAsia"/>
              </w:rPr>
            </w:pPr>
            <w:r w:rsidRPr="00D751CF">
              <w:rPr>
                <w:rFonts w:hint="eastAsia"/>
              </w:rPr>
              <w:t>为积极谋</w:t>
            </w:r>
            <w:r>
              <w:rPr>
                <w:rFonts w:hint="eastAsia"/>
              </w:rPr>
              <w:t>职</w:t>
            </w:r>
            <w:r w:rsidRPr="00D751CF">
              <w:rPr>
                <w:rFonts w:hint="eastAsia"/>
              </w:rPr>
              <w:t>开展的培训</w:t>
            </w:r>
            <w:r w:rsidR="00BD4C4E">
              <w:rPr>
                <w:rFonts w:hint="eastAsia"/>
                <w:spacing w:val="-50"/>
              </w:rPr>
              <w:t>―</w:t>
            </w:r>
            <w:r w:rsidR="00BD4C4E">
              <w:rPr>
                <w:rFonts w:hint="eastAsia"/>
              </w:rPr>
              <w:t>―</w:t>
            </w:r>
            <w:r>
              <w:rPr>
                <w:rFonts w:hint="eastAsia"/>
              </w:rPr>
              <w:t>“</w:t>
            </w:r>
            <w:r w:rsidRPr="00D751CF">
              <w:rPr>
                <w:rFonts w:hint="eastAsia"/>
              </w:rPr>
              <w:t>积极谋</w:t>
            </w:r>
            <w:r>
              <w:rPr>
                <w:rFonts w:hint="eastAsia"/>
              </w:rPr>
              <w:t>职”</w:t>
            </w:r>
            <w:r w:rsidRPr="00D751CF">
              <w:t>1</w:t>
            </w:r>
          </w:p>
        </w:tc>
        <w:tc>
          <w:tcPr>
            <w:tcW w:w="934" w:type="dxa"/>
            <w:tcBorders>
              <w:top w:val="single" w:sz="12" w:space="0" w:color="auto"/>
            </w:tcBorders>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35,439</w:t>
            </w:r>
          </w:p>
        </w:tc>
        <w:tc>
          <w:tcPr>
            <w:tcW w:w="934" w:type="dxa"/>
            <w:tcBorders>
              <w:top w:val="single" w:sz="12" w:space="0" w:color="auto"/>
            </w:tcBorders>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20,312</w:t>
            </w:r>
          </w:p>
        </w:tc>
        <w:tc>
          <w:tcPr>
            <w:tcW w:w="934" w:type="dxa"/>
            <w:tcBorders>
              <w:top w:val="single" w:sz="12" w:space="0" w:color="auto"/>
            </w:tcBorders>
            <w:shd w:val="clear" w:color="auto" w:fill="auto"/>
            <w:vAlign w:val="bottom"/>
          </w:tcPr>
          <w:p w:rsidR="004059E4" w:rsidRPr="00D751CF" w:rsidRDefault="004059E4" w:rsidP="0097182A">
            <w:pPr>
              <w:pStyle w:val="a5"/>
              <w:overflowPunct/>
              <w:ind w:right="0"/>
              <w:jc w:val="right"/>
            </w:pPr>
            <w:r w:rsidRPr="00D751CF">
              <w:t>22,177</w:t>
            </w:r>
          </w:p>
        </w:tc>
        <w:tc>
          <w:tcPr>
            <w:tcW w:w="934" w:type="dxa"/>
            <w:tcBorders>
              <w:top w:val="single" w:sz="12" w:space="0" w:color="auto"/>
            </w:tcBorders>
            <w:shd w:val="clear" w:color="auto" w:fill="auto"/>
            <w:vAlign w:val="bottom"/>
          </w:tcPr>
          <w:p w:rsidR="004059E4" w:rsidRPr="00D751CF" w:rsidRDefault="004059E4" w:rsidP="0097182A">
            <w:pPr>
              <w:pStyle w:val="a5"/>
              <w:overflowPunct/>
              <w:ind w:right="0"/>
              <w:jc w:val="right"/>
            </w:pPr>
            <w:r w:rsidRPr="00D751CF">
              <w:t>13,720</w:t>
            </w:r>
          </w:p>
        </w:tc>
        <w:tc>
          <w:tcPr>
            <w:tcW w:w="934" w:type="dxa"/>
            <w:tcBorders>
              <w:top w:val="single" w:sz="12" w:space="0" w:color="auto"/>
            </w:tcBorders>
            <w:shd w:val="clear" w:color="auto" w:fill="auto"/>
            <w:vAlign w:val="bottom"/>
          </w:tcPr>
          <w:p w:rsidR="004059E4" w:rsidRPr="00D751CF" w:rsidRDefault="004059E4" w:rsidP="0097182A">
            <w:pPr>
              <w:pStyle w:val="a5"/>
              <w:overflowPunct/>
              <w:ind w:right="0"/>
              <w:jc w:val="right"/>
            </w:pPr>
            <w:r w:rsidRPr="00D751CF">
              <w:t>1,150</w:t>
            </w:r>
          </w:p>
        </w:tc>
        <w:tc>
          <w:tcPr>
            <w:tcW w:w="934" w:type="dxa"/>
            <w:tcBorders>
              <w:top w:val="single" w:sz="12" w:space="0" w:color="auto"/>
            </w:tcBorders>
            <w:shd w:val="clear" w:color="auto" w:fill="auto"/>
            <w:vAlign w:val="bottom"/>
          </w:tcPr>
          <w:p w:rsidR="004059E4" w:rsidRPr="00D751CF" w:rsidRDefault="004059E4" w:rsidP="0097182A">
            <w:pPr>
              <w:pStyle w:val="a5"/>
              <w:overflowPunct/>
              <w:ind w:right="0"/>
              <w:jc w:val="right"/>
            </w:pPr>
            <w:r w:rsidRPr="00D751CF">
              <w:t>421</w:t>
            </w:r>
          </w:p>
        </w:tc>
        <w:tc>
          <w:tcPr>
            <w:tcW w:w="690" w:type="dxa"/>
            <w:tcBorders>
              <w:top w:val="single" w:sz="12" w:space="0" w:color="auto"/>
            </w:tcBorders>
            <w:shd w:val="clear" w:color="auto" w:fill="auto"/>
            <w:vAlign w:val="bottom"/>
          </w:tcPr>
          <w:p w:rsidR="004059E4" w:rsidRPr="00D751CF" w:rsidRDefault="004059E4" w:rsidP="0097182A">
            <w:pPr>
              <w:pStyle w:val="a5"/>
              <w:overflowPunct/>
              <w:ind w:right="0"/>
              <w:jc w:val="right"/>
              <w:rPr>
                <w:lang w:eastAsia="en-GB"/>
              </w:rPr>
            </w:pPr>
          </w:p>
        </w:tc>
        <w:tc>
          <w:tcPr>
            <w:tcW w:w="1178" w:type="dxa"/>
            <w:tcBorders>
              <w:top w:val="single" w:sz="12" w:space="0" w:color="auto"/>
            </w:tcBorders>
            <w:shd w:val="clear" w:color="auto" w:fill="auto"/>
            <w:vAlign w:val="bottom"/>
          </w:tcPr>
          <w:p w:rsidR="004059E4" w:rsidRPr="00D751CF" w:rsidRDefault="004059E4" w:rsidP="0097182A">
            <w:pPr>
              <w:pStyle w:val="a5"/>
              <w:overflowPunct/>
              <w:ind w:right="0"/>
              <w:jc w:val="right"/>
              <w:rPr>
                <w:lang w:eastAsia="en-GB"/>
              </w:rPr>
            </w:pPr>
          </w:p>
        </w:tc>
      </w:tr>
      <w:tr w:rsidR="006F0A0D" w:rsidRPr="00D751CF" w:rsidTr="00F07D04">
        <w:trPr>
          <w:gridAfter w:val="1"/>
          <w:wAfter w:w="11" w:type="dxa"/>
          <w:trHeight w:val="240"/>
        </w:trPr>
        <w:tc>
          <w:tcPr>
            <w:tcW w:w="2156" w:type="dxa"/>
            <w:shd w:val="clear" w:color="auto" w:fill="auto"/>
          </w:tcPr>
          <w:p w:rsidR="004059E4" w:rsidRPr="00D751CF" w:rsidRDefault="004059E4" w:rsidP="00570F76">
            <w:pPr>
              <w:pStyle w:val="a5"/>
              <w:overflowPunct/>
              <w:ind w:right="0"/>
              <w:jc w:val="left"/>
              <w:rPr>
                <w:rFonts w:hint="eastAsia"/>
              </w:rPr>
            </w:pPr>
            <w:r w:rsidRPr="00D751CF">
              <w:rPr>
                <w:rFonts w:hint="eastAsia"/>
              </w:rPr>
              <w:t>积极谋</w:t>
            </w:r>
            <w:r>
              <w:rPr>
                <w:rFonts w:hint="eastAsia"/>
              </w:rPr>
              <w:t>职</w:t>
            </w:r>
            <w:r w:rsidRPr="00D751CF">
              <w:rPr>
                <w:rFonts w:hint="eastAsia"/>
              </w:rPr>
              <w:t>俱乐部</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3,530</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2,455</w:t>
            </w:r>
          </w:p>
        </w:tc>
        <w:tc>
          <w:tcPr>
            <w:tcW w:w="934" w:type="dxa"/>
            <w:shd w:val="clear" w:color="auto" w:fill="auto"/>
            <w:vAlign w:val="bottom"/>
          </w:tcPr>
          <w:p w:rsidR="004059E4" w:rsidRPr="00D751CF" w:rsidRDefault="004059E4" w:rsidP="0097182A">
            <w:pPr>
              <w:pStyle w:val="a5"/>
              <w:overflowPunct/>
              <w:ind w:right="0"/>
              <w:jc w:val="right"/>
            </w:pPr>
            <w:r w:rsidRPr="00D751CF">
              <w:t>2,162</w:t>
            </w:r>
          </w:p>
        </w:tc>
        <w:tc>
          <w:tcPr>
            <w:tcW w:w="934" w:type="dxa"/>
            <w:shd w:val="clear" w:color="auto" w:fill="auto"/>
            <w:vAlign w:val="bottom"/>
          </w:tcPr>
          <w:p w:rsidR="004059E4" w:rsidRPr="00D751CF" w:rsidRDefault="004059E4" w:rsidP="0097182A">
            <w:pPr>
              <w:pStyle w:val="a5"/>
              <w:overflowPunct/>
              <w:ind w:right="0"/>
              <w:jc w:val="right"/>
            </w:pPr>
            <w:r w:rsidRPr="00D751CF">
              <w:t>1,539</w:t>
            </w:r>
          </w:p>
        </w:tc>
        <w:tc>
          <w:tcPr>
            <w:tcW w:w="934" w:type="dxa"/>
            <w:shd w:val="clear" w:color="auto" w:fill="auto"/>
            <w:vAlign w:val="bottom"/>
          </w:tcPr>
          <w:p w:rsidR="004059E4" w:rsidRPr="00D751CF" w:rsidRDefault="004059E4" w:rsidP="0097182A">
            <w:pPr>
              <w:pStyle w:val="a5"/>
              <w:overflowPunct/>
              <w:ind w:right="0"/>
              <w:jc w:val="right"/>
            </w:pPr>
            <w:r w:rsidRPr="00D751CF">
              <w:t>169</w:t>
            </w:r>
          </w:p>
        </w:tc>
        <w:tc>
          <w:tcPr>
            <w:tcW w:w="934" w:type="dxa"/>
            <w:shd w:val="clear" w:color="auto" w:fill="auto"/>
            <w:vAlign w:val="bottom"/>
          </w:tcPr>
          <w:p w:rsidR="004059E4" w:rsidRPr="00D751CF" w:rsidRDefault="004059E4" w:rsidP="0097182A">
            <w:pPr>
              <w:pStyle w:val="a5"/>
              <w:overflowPunct/>
              <w:ind w:right="0"/>
              <w:jc w:val="right"/>
            </w:pPr>
            <w:r w:rsidRPr="00D751CF">
              <w:t>76</w:t>
            </w:r>
          </w:p>
        </w:tc>
        <w:tc>
          <w:tcPr>
            <w:tcW w:w="690" w:type="dxa"/>
            <w:shd w:val="clear" w:color="auto" w:fill="auto"/>
            <w:vAlign w:val="bottom"/>
          </w:tcPr>
          <w:p w:rsidR="004059E4" w:rsidRPr="00D751CF" w:rsidRDefault="0097182A" w:rsidP="0097182A">
            <w:pPr>
              <w:pStyle w:val="a5"/>
              <w:overflowPunct/>
              <w:ind w:right="0"/>
              <w:jc w:val="right"/>
              <w:rPr>
                <w:lang w:eastAsia="en-GB"/>
              </w:rPr>
            </w:pPr>
            <w:r w:rsidRPr="00D751CF">
              <w:rPr>
                <w:lang w:eastAsia="en-GB"/>
              </w:rPr>
              <w:t>340</w:t>
            </w:r>
          </w:p>
        </w:tc>
        <w:tc>
          <w:tcPr>
            <w:tcW w:w="1178" w:type="dxa"/>
            <w:shd w:val="clear" w:color="auto" w:fill="auto"/>
            <w:vAlign w:val="bottom"/>
          </w:tcPr>
          <w:p w:rsidR="004059E4" w:rsidRPr="00D751CF" w:rsidRDefault="0097182A" w:rsidP="0097182A">
            <w:pPr>
              <w:pStyle w:val="a5"/>
              <w:overflowPunct/>
              <w:ind w:right="0"/>
              <w:jc w:val="right"/>
              <w:rPr>
                <w:lang w:eastAsia="en-GB"/>
              </w:rPr>
            </w:pPr>
            <w:r w:rsidRPr="00D751CF">
              <w:rPr>
                <w:lang w:eastAsia="en-GB"/>
              </w:rPr>
              <w:t>183</w:t>
            </w:r>
          </w:p>
        </w:tc>
      </w:tr>
      <w:tr w:rsidR="006F0A0D" w:rsidRPr="00D751CF" w:rsidTr="00F07D04">
        <w:trPr>
          <w:gridAfter w:val="1"/>
          <w:wAfter w:w="11" w:type="dxa"/>
          <w:trHeight w:val="240"/>
        </w:trPr>
        <w:tc>
          <w:tcPr>
            <w:tcW w:w="2156" w:type="dxa"/>
            <w:shd w:val="clear" w:color="auto" w:fill="auto"/>
          </w:tcPr>
          <w:p w:rsidR="004059E4" w:rsidRPr="00D751CF" w:rsidRDefault="004059E4" w:rsidP="00570F76">
            <w:pPr>
              <w:pStyle w:val="a5"/>
              <w:overflowPunct/>
              <w:ind w:right="0"/>
              <w:jc w:val="left"/>
            </w:pPr>
            <w:r w:rsidRPr="00D751CF">
              <w:rPr>
                <w:rFonts w:hint="eastAsia"/>
              </w:rPr>
              <w:t>调动罗姆人失业者积极性的培训</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690"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 xml:space="preserve">1,545 </w:t>
            </w:r>
          </w:p>
        </w:tc>
        <w:tc>
          <w:tcPr>
            <w:tcW w:w="1178"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663</w:t>
            </w:r>
          </w:p>
        </w:tc>
      </w:tr>
      <w:tr w:rsidR="006F0A0D" w:rsidRPr="00D751CF" w:rsidTr="00F07D04">
        <w:trPr>
          <w:gridAfter w:val="1"/>
          <w:wAfter w:w="11" w:type="dxa"/>
          <w:trHeight w:val="240"/>
        </w:trPr>
        <w:tc>
          <w:tcPr>
            <w:tcW w:w="2156" w:type="dxa"/>
            <w:shd w:val="clear" w:color="auto" w:fill="auto"/>
          </w:tcPr>
          <w:p w:rsidR="004059E4" w:rsidRPr="00D751CF" w:rsidRDefault="004059E4" w:rsidP="00570F76">
            <w:pPr>
              <w:pStyle w:val="a5"/>
              <w:overflowPunct/>
              <w:ind w:right="0"/>
              <w:jc w:val="left"/>
            </w:pPr>
            <w:r w:rsidRPr="0074140A">
              <w:t>自我功效培</w:t>
            </w:r>
            <w:r w:rsidRPr="0074140A">
              <w:rPr>
                <w:rFonts w:hint="eastAsia"/>
              </w:rPr>
              <w:t>训</w:t>
            </w:r>
            <w:r w:rsidR="00BD4C4E">
              <w:rPr>
                <w:rFonts w:hint="eastAsia"/>
                <w:spacing w:val="-50"/>
              </w:rPr>
              <w:t>―</w:t>
            </w:r>
            <w:r w:rsidR="00BD4C4E">
              <w:rPr>
                <w:rFonts w:hint="eastAsia"/>
              </w:rPr>
              <w:t>―</w:t>
            </w:r>
            <w:r>
              <w:rPr>
                <w:rFonts w:hint="eastAsia"/>
              </w:rPr>
              <w:t>“</w:t>
            </w:r>
            <w:r w:rsidRPr="00D751CF">
              <w:rPr>
                <w:rFonts w:hint="eastAsia"/>
              </w:rPr>
              <w:t>积极</w:t>
            </w:r>
            <w:r w:rsidR="00356866">
              <w:br/>
            </w:r>
            <w:r w:rsidRPr="00D751CF">
              <w:rPr>
                <w:rFonts w:hint="eastAsia"/>
              </w:rPr>
              <w:t>谋</w:t>
            </w:r>
            <w:r>
              <w:rPr>
                <w:rFonts w:hint="eastAsia"/>
              </w:rPr>
              <w:t>职”</w:t>
            </w:r>
            <w:r w:rsidRPr="00D751CF">
              <w:t>2</w:t>
            </w:r>
          </w:p>
        </w:tc>
        <w:tc>
          <w:tcPr>
            <w:tcW w:w="934" w:type="dxa"/>
            <w:shd w:val="clear" w:color="auto" w:fill="auto"/>
            <w:vAlign w:val="bottom"/>
          </w:tcPr>
          <w:p w:rsidR="004059E4" w:rsidRPr="00D751CF" w:rsidRDefault="004059E4" w:rsidP="0097182A">
            <w:pPr>
              <w:pStyle w:val="a5"/>
              <w:overflowPunct/>
              <w:ind w:right="0"/>
              <w:jc w:val="right"/>
            </w:pPr>
            <w:r w:rsidRPr="00D751CF">
              <w:t>2,166</w:t>
            </w:r>
          </w:p>
        </w:tc>
        <w:tc>
          <w:tcPr>
            <w:tcW w:w="934" w:type="dxa"/>
            <w:shd w:val="clear" w:color="auto" w:fill="auto"/>
            <w:vAlign w:val="bottom"/>
          </w:tcPr>
          <w:p w:rsidR="004059E4" w:rsidRPr="00D751CF" w:rsidRDefault="004059E4" w:rsidP="0097182A">
            <w:pPr>
              <w:pStyle w:val="a5"/>
              <w:overflowPunct/>
              <w:ind w:right="0"/>
              <w:jc w:val="right"/>
            </w:pPr>
            <w:r w:rsidRPr="00D751CF">
              <w:t>1,644</w:t>
            </w:r>
          </w:p>
        </w:tc>
        <w:tc>
          <w:tcPr>
            <w:tcW w:w="934" w:type="dxa"/>
            <w:shd w:val="clear" w:color="auto" w:fill="auto"/>
            <w:vAlign w:val="bottom"/>
          </w:tcPr>
          <w:p w:rsidR="004059E4" w:rsidRPr="00D751CF" w:rsidRDefault="004059E4" w:rsidP="0097182A">
            <w:pPr>
              <w:pStyle w:val="a5"/>
              <w:overflowPunct/>
              <w:ind w:right="0"/>
              <w:jc w:val="right"/>
            </w:pPr>
            <w:r w:rsidRPr="00D751CF">
              <w:t>1,460</w:t>
            </w:r>
          </w:p>
        </w:tc>
        <w:tc>
          <w:tcPr>
            <w:tcW w:w="934" w:type="dxa"/>
            <w:shd w:val="clear" w:color="auto" w:fill="auto"/>
            <w:vAlign w:val="bottom"/>
          </w:tcPr>
          <w:p w:rsidR="004059E4" w:rsidRPr="00D751CF" w:rsidRDefault="004059E4" w:rsidP="0097182A">
            <w:pPr>
              <w:pStyle w:val="a5"/>
              <w:overflowPunct/>
              <w:ind w:right="0"/>
              <w:jc w:val="right"/>
            </w:pPr>
            <w:r w:rsidRPr="00D751CF">
              <w:t>1,108</w:t>
            </w:r>
          </w:p>
        </w:tc>
        <w:tc>
          <w:tcPr>
            <w:tcW w:w="934" w:type="dxa"/>
            <w:shd w:val="clear" w:color="auto" w:fill="auto"/>
            <w:vAlign w:val="bottom"/>
          </w:tcPr>
          <w:p w:rsidR="004059E4" w:rsidRPr="00D751CF" w:rsidRDefault="004059E4" w:rsidP="0097182A">
            <w:pPr>
              <w:pStyle w:val="a5"/>
              <w:overflowPunct/>
              <w:ind w:right="0"/>
              <w:jc w:val="right"/>
            </w:pPr>
            <w:r w:rsidRPr="00D751CF">
              <w:t>129</w:t>
            </w:r>
          </w:p>
        </w:tc>
        <w:tc>
          <w:tcPr>
            <w:tcW w:w="934" w:type="dxa"/>
            <w:shd w:val="clear" w:color="auto" w:fill="auto"/>
            <w:vAlign w:val="bottom"/>
          </w:tcPr>
          <w:p w:rsidR="004059E4" w:rsidRPr="00D751CF" w:rsidRDefault="004059E4" w:rsidP="0097182A">
            <w:pPr>
              <w:pStyle w:val="a5"/>
              <w:overflowPunct/>
              <w:ind w:right="0"/>
              <w:jc w:val="right"/>
            </w:pPr>
            <w:r w:rsidRPr="00D751CF">
              <w:t>98</w:t>
            </w:r>
          </w:p>
        </w:tc>
        <w:tc>
          <w:tcPr>
            <w:tcW w:w="690" w:type="dxa"/>
            <w:shd w:val="clear" w:color="auto" w:fill="auto"/>
            <w:vAlign w:val="bottom"/>
          </w:tcPr>
          <w:p w:rsidR="004059E4" w:rsidRPr="00D751CF" w:rsidRDefault="004059E4" w:rsidP="0097182A">
            <w:pPr>
              <w:pStyle w:val="a5"/>
              <w:overflowPunct/>
              <w:ind w:right="0"/>
              <w:jc w:val="right"/>
            </w:pPr>
            <w:r w:rsidRPr="00D751CF">
              <w:t>/</w:t>
            </w:r>
          </w:p>
        </w:tc>
        <w:tc>
          <w:tcPr>
            <w:tcW w:w="1178" w:type="dxa"/>
            <w:shd w:val="clear" w:color="auto" w:fill="auto"/>
            <w:vAlign w:val="bottom"/>
          </w:tcPr>
          <w:p w:rsidR="004059E4" w:rsidRPr="00D751CF" w:rsidRDefault="004059E4" w:rsidP="0097182A">
            <w:pPr>
              <w:pStyle w:val="a5"/>
              <w:overflowPunct/>
              <w:ind w:right="0"/>
              <w:jc w:val="right"/>
            </w:pPr>
            <w:r w:rsidRPr="00D751CF">
              <w:t>/</w:t>
            </w:r>
          </w:p>
        </w:tc>
      </w:tr>
      <w:tr w:rsidR="006F0A0D" w:rsidRPr="00D751CF" w:rsidTr="00F07D04">
        <w:trPr>
          <w:gridAfter w:val="1"/>
          <w:wAfter w:w="11" w:type="dxa"/>
          <w:trHeight w:val="240"/>
        </w:trPr>
        <w:tc>
          <w:tcPr>
            <w:tcW w:w="2156" w:type="dxa"/>
            <w:shd w:val="clear" w:color="auto" w:fill="auto"/>
          </w:tcPr>
          <w:p w:rsidR="004059E4" w:rsidRPr="00D751CF" w:rsidRDefault="004059E4" w:rsidP="00570F76">
            <w:pPr>
              <w:pStyle w:val="a5"/>
              <w:overflowPunct/>
              <w:ind w:right="0"/>
              <w:jc w:val="left"/>
              <w:rPr>
                <w:rFonts w:hint="eastAsia"/>
              </w:rPr>
            </w:pPr>
            <w:r w:rsidRPr="00D751CF">
              <w:rPr>
                <w:rFonts w:hint="eastAsia"/>
              </w:rPr>
              <w:t>就业交易会</w:t>
            </w:r>
          </w:p>
        </w:tc>
        <w:tc>
          <w:tcPr>
            <w:tcW w:w="934" w:type="dxa"/>
            <w:shd w:val="clear" w:color="auto" w:fill="auto"/>
            <w:vAlign w:val="bottom"/>
          </w:tcPr>
          <w:p w:rsidR="004059E4" w:rsidRPr="00D751CF" w:rsidRDefault="004059E4" w:rsidP="0097182A">
            <w:pPr>
              <w:pStyle w:val="a5"/>
              <w:overflowPunct/>
              <w:ind w:right="0"/>
              <w:jc w:val="right"/>
            </w:pPr>
            <w:r w:rsidRPr="00D751CF">
              <w:t>45,687</w:t>
            </w:r>
          </w:p>
        </w:tc>
        <w:tc>
          <w:tcPr>
            <w:tcW w:w="934" w:type="dxa"/>
            <w:shd w:val="clear" w:color="auto" w:fill="auto"/>
            <w:vAlign w:val="bottom"/>
          </w:tcPr>
          <w:p w:rsidR="004059E4" w:rsidRPr="00D751CF" w:rsidRDefault="004059E4" w:rsidP="0097182A">
            <w:pPr>
              <w:pStyle w:val="a5"/>
              <w:overflowPunct/>
              <w:ind w:right="0"/>
              <w:jc w:val="right"/>
            </w:pPr>
            <w:r w:rsidRPr="00D751CF">
              <w:t>24,069</w:t>
            </w:r>
          </w:p>
        </w:tc>
        <w:tc>
          <w:tcPr>
            <w:tcW w:w="934" w:type="dxa"/>
            <w:shd w:val="clear" w:color="auto" w:fill="auto"/>
            <w:vAlign w:val="bottom"/>
          </w:tcPr>
          <w:p w:rsidR="004059E4" w:rsidRPr="00D751CF" w:rsidRDefault="004059E4" w:rsidP="0097182A">
            <w:pPr>
              <w:pStyle w:val="a5"/>
              <w:overflowPunct/>
              <w:ind w:right="0"/>
              <w:jc w:val="right"/>
            </w:pPr>
            <w:r w:rsidRPr="00D751CF">
              <w:t>30,178</w:t>
            </w:r>
          </w:p>
        </w:tc>
        <w:tc>
          <w:tcPr>
            <w:tcW w:w="934" w:type="dxa"/>
            <w:shd w:val="clear" w:color="auto" w:fill="auto"/>
            <w:vAlign w:val="bottom"/>
          </w:tcPr>
          <w:p w:rsidR="004059E4" w:rsidRPr="00D751CF" w:rsidRDefault="004059E4" w:rsidP="0097182A">
            <w:pPr>
              <w:pStyle w:val="a5"/>
              <w:overflowPunct/>
              <w:ind w:right="0"/>
              <w:jc w:val="right"/>
            </w:pPr>
            <w:r w:rsidRPr="00D751CF">
              <w:t>15,830</w:t>
            </w:r>
          </w:p>
        </w:tc>
        <w:tc>
          <w:tcPr>
            <w:tcW w:w="934" w:type="dxa"/>
            <w:shd w:val="clear" w:color="auto" w:fill="auto"/>
            <w:vAlign w:val="bottom"/>
          </w:tcPr>
          <w:p w:rsidR="004059E4" w:rsidRPr="00D751CF" w:rsidRDefault="004059E4" w:rsidP="0097182A">
            <w:pPr>
              <w:pStyle w:val="a5"/>
              <w:overflowPunct/>
              <w:ind w:right="0"/>
              <w:jc w:val="right"/>
            </w:pPr>
            <w:r w:rsidRPr="00D751CF">
              <w:t>2,569</w:t>
            </w:r>
          </w:p>
        </w:tc>
        <w:tc>
          <w:tcPr>
            <w:tcW w:w="934" w:type="dxa"/>
            <w:shd w:val="clear" w:color="auto" w:fill="auto"/>
            <w:vAlign w:val="bottom"/>
          </w:tcPr>
          <w:p w:rsidR="004059E4" w:rsidRPr="00D751CF" w:rsidRDefault="004059E4" w:rsidP="0097182A">
            <w:pPr>
              <w:pStyle w:val="a5"/>
              <w:overflowPunct/>
              <w:ind w:right="0"/>
              <w:jc w:val="right"/>
            </w:pPr>
            <w:r w:rsidRPr="00D751CF">
              <w:t>926</w:t>
            </w:r>
          </w:p>
        </w:tc>
        <w:tc>
          <w:tcPr>
            <w:tcW w:w="690" w:type="dxa"/>
            <w:shd w:val="clear" w:color="auto" w:fill="auto"/>
            <w:vAlign w:val="bottom"/>
          </w:tcPr>
          <w:p w:rsidR="004059E4" w:rsidRPr="00D751CF" w:rsidRDefault="004059E4" w:rsidP="0097182A">
            <w:pPr>
              <w:pStyle w:val="a5"/>
              <w:overflowPunct/>
              <w:ind w:right="0"/>
              <w:jc w:val="right"/>
            </w:pPr>
            <w:r w:rsidRPr="00D751CF">
              <w:t>716</w:t>
            </w:r>
          </w:p>
        </w:tc>
        <w:tc>
          <w:tcPr>
            <w:tcW w:w="1178" w:type="dxa"/>
            <w:shd w:val="clear" w:color="auto" w:fill="auto"/>
            <w:vAlign w:val="bottom"/>
          </w:tcPr>
          <w:p w:rsidR="004059E4" w:rsidRPr="00D751CF" w:rsidRDefault="004059E4" w:rsidP="0097182A">
            <w:pPr>
              <w:pStyle w:val="a5"/>
              <w:overflowPunct/>
              <w:ind w:right="0"/>
              <w:jc w:val="right"/>
            </w:pPr>
            <w:r w:rsidRPr="00D751CF">
              <w:t>231</w:t>
            </w:r>
          </w:p>
        </w:tc>
      </w:tr>
      <w:tr w:rsidR="006F0A0D" w:rsidRPr="00D751CF" w:rsidTr="00F07D04">
        <w:trPr>
          <w:gridAfter w:val="1"/>
          <w:wAfter w:w="11" w:type="dxa"/>
          <w:trHeight w:val="240"/>
        </w:trPr>
        <w:tc>
          <w:tcPr>
            <w:tcW w:w="2156" w:type="dxa"/>
            <w:shd w:val="clear" w:color="auto" w:fill="auto"/>
          </w:tcPr>
          <w:p w:rsidR="004059E4" w:rsidRPr="00D751CF" w:rsidRDefault="004059E4" w:rsidP="00570F76">
            <w:pPr>
              <w:pStyle w:val="a5"/>
              <w:overflowPunct/>
              <w:ind w:right="0"/>
              <w:jc w:val="left"/>
              <w:rPr>
                <w:rFonts w:hint="eastAsia"/>
              </w:rPr>
            </w:pPr>
            <w:r w:rsidRPr="00D751CF">
              <w:rPr>
                <w:rFonts w:hint="eastAsia"/>
              </w:rPr>
              <w:t>志愿和实习方案</w:t>
            </w:r>
          </w:p>
        </w:tc>
        <w:tc>
          <w:tcPr>
            <w:tcW w:w="934" w:type="dxa"/>
            <w:shd w:val="clear" w:color="auto" w:fill="auto"/>
            <w:vAlign w:val="bottom"/>
          </w:tcPr>
          <w:p w:rsidR="004059E4" w:rsidRPr="00D751CF" w:rsidRDefault="004059E4" w:rsidP="0097182A">
            <w:pPr>
              <w:pStyle w:val="a5"/>
              <w:overflowPunct/>
              <w:ind w:right="0"/>
              <w:jc w:val="right"/>
            </w:pPr>
            <w:r w:rsidRPr="00D751CF">
              <w:t>10,852</w:t>
            </w:r>
          </w:p>
        </w:tc>
        <w:tc>
          <w:tcPr>
            <w:tcW w:w="934" w:type="dxa"/>
            <w:shd w:val="clear" w:color="auto" w:fill="auto"/>
            <w:vAlign w:val="bottom"/>
          </w:tcPr>
          <w:p w:rsidR="004059E4" w:rsidRPr="00D751CF" w:rsidRDefault="004059E4" w:rsidP="0097182A">
            <w:pPr>
              <w:pStyle w:val="a5"/>
              <w:overflowPunct/>
              <w:ind w:right="0"/>
              <w:jc w:val="right"/>
            </w:pPr>
            <w:r w:rsidRPr="00D751CF">
              <w:t>5,862</w:t>
            </w:r>
          </w:p>
        </w:tc>
        <w:tc>
          <w:tcPr>
            <w:tcW w:w="934" w:type="dxa"/>
            <w:shd w:val="clear" w:color="auto" w:fill="auto"/>
            <w:vAlign w:val="bottom"/>
          </w:tcPr>
          <w:p w:rsidR="004059E4" w:rsidRPr="00D751CF" w:rsidRDefault="004059E4" w:rsidP="0097182A">
            <w:pPr>
              <w:pStyle w:val="a5"/>
              <w:overflowPunct/>
              <w:ind w:right="0"/>
              <w:jc w:val="right"/>
            </w:pPr>
            <w:r w:rsidRPr="00D751CF">
              <w:t>10,740</w:t>
            </w:r>
          </w:p>
        </w:tc>
        <w:tc>
          <w:tcPr>
            <w:tcW w:w="934" w:type="dxa"/>
            <w:shd w:val="clear" w:color="auto" w:fill="auto"/>
            <w:vAlign w:val="bottom"/>
          </w:tcPr>
          <w:p w:rsidR="004059E4" w:rsidRPr="00D751CF" w:rsidRDefault="004059E4" w:rsidP="0097182A">
            <w:pPr>
              <w:pStyle w:val="a5"/>
              <w:overflowPunct/>
              <w:ind w:right="0"/>
              <w:jc w:val="right"/>
            </w:pPr>
            <w:r w:rsidRPr="00D751CF">
              <w:t>5,781</w:t>
            </w:r>
          </w:p>
        </w:tc>
        <w:tc>
          <w:tcPr>
            <w:tcW w:w="934" w:type="dxa"/>
            <w:shd w:val="clear" w:color="auto" w:fill="auto"/>
            <w:vAlign w:val="bottom"/>
          </w:tcPr>
          <w:p w:rsidR="004059E4" w:rsidRPr="00D751CF" w:rsidRDefault="004059E4" w:rsidP="0097182A">
            <w:pPr>
              <w:pStyle w:val="a5"/>
              <w:overflowPunct/>
              <w:ind w:right="0"/>
              <w:jc w:val="right"/>
            </w:pPr>
            <w:r w:rsidRPr="00D751CF">
              <w:t>12</w:t>
            </w:r>
          </w:p>
        </w:tc>
        <w:tc>
          <w:tcPr>
            <w:tcW w:w="934" w:type="dxa"/>
            <w:shd w:val="clear" w:color="auto" w:fill="auto"/>
            <w:vAlign w:val="bottom"/>
          </w:tcPr>
          <w:p w:rsidR="004059E4" w:rsidRPr="00D751CF" w:rsidRDefault="004059E4" w:rsidP="0097182A">
            <w:pPr>
              <w:pStyle w:val="a5"/>
              <w:overflowPunct/>
              <w:ind w:right="0"/>
              <w:jc w:val="right"/>
            </w:pPr>
            <w:r w:rsidRPr="00D751CF">
              <w:t>6</w:t>
            </w:r>
          </w:p>
        </w:tc>
        <w:tc>
          <w:tcPr>
            <w:tcW w:w="690" w:type="dxa"/>
            <w:shd w:val="clear" w:color="auto" w:fill="auto"/>
            <w:vAlign w:val="bottom"/>
          </w:tcPr>
          <w:p w:rsidR="004059E4" w:rsidRPr="00D751CF" w:rsidRDefault="004059E4" w:rsidP="0097182A">
            <w:pPr>
              <w:pStyle w:val="a5"/>
              <w:overflowPunct/>
              <w:ind w:right="0"/>
              <w:jc w:val="right"/>
            </w:pPr>
          </w:p>
        </w:tc>
        <w:tc>
          <w:tcPr>
            <w:tcW w:w="1178" w:type="dxa"/>
            <w:shd w:val="clear" w:color="auto" w:fill="auto"/>
            <w:vAlign w:val="bottom"/>
          </w:tcPr>
          <w:p w:rsidR="004059E4" w:rsidRPr="00D751CF" w:rsidRDefault="004059E4" w:rsidP="0097182A">
            <w:pPr>
              <w:pStyle w:val="a5"/>
              <w:overflowPunct/>
              <w:ind w:right="0"/>
              <w:jc w:val="right"/>
            </w:pPr>
          </w:p>
        </w:tc>
      </w:tr>
      <w:tr w:rsidR="006F0A0D" w:rsidRPr="00D751CF" w:rsidTr="00F07D04">
        <w:trPr>
          <w:gridAfter w:val="1"/>
          <w:wAfter w:w="11" w:type="dxa"/>
          <w:trHeight w:val="240"/>
        </w:trPr>
        <w:tc>
          <w:tcPr>
            <w:tcW w:w="2156" w:type="dxa"/>
            <w:shd w:val="clear" w:color="auto" w:fill="auto"/>
          </w:tcPr>
          <w:p w:rsidR="004059E4" w:rsidRPr="00D751CF" w:rsidRDefault="004059E4" w:rsidP="00570F76">
            <w:pPr>
              <w:pStyle w:val="a5"/>
              <w:overflowPunct/>
              <w:ind w:right="0"/>
              <w:jc w:val="left"/>
              <w:rPr>
                <w:lang w:eastAsia="en-GB"/>
              </w:rPr>
            </w:pPr>
            <w:r w:rsidRPr="00D751CF">
              <w:rPr>
                <w:rFonts w:hint="eastAsia"/>
              </w:rPr>
              <w:t>专业实践方案</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6,738</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4,584</w:t>
            </w:r>
          </w:p>
        </w:tc>
        <w:tc>
          <w:tcPr>
            <w:tcW w:w="934" w:type="dxa"/>
            <w:shd w:val="clear" w:color="auto" w:fill="auto"/>
            <w:vAlign w:val="bottom"/>
          </w:tcPr>
          <w:p w:rsidR="004059E4" w:rsidRPr="00D751CF" w:rsidRDefault="004059E4" w:rsidP="0097182A">
            <w:pPr>
              <w:pStyle w:val="a5"/>
              <w:overflowPunct/>
              <w:ind w:right="0"/>
              <w:jc w:val="right"/>
            </w:pPr>
            <w:r w:rsidRPr="00D751CF">
              <w:t>6,615</w:t>
            </w:r>
          </w:p>
        </w:tc>
        <w:tc>
          <w:tcPr>
            <w:tcW w:w="934" w:type="dxa"/>
            <w:shd w:val="clear" w:color="auto" w:fill="auto"/>
            <w:vAlign w:val="bottom"/>
          </w:tcPr>
          <w:p w:rsidR="004059E4" w:rsidRPr="00D751CF" w:rsidRDefault="004059E4" w:rsidP="0097182A">
            <w:pPr>
              <w:pStyle w:val="a5"/>
              <w:overflowPunct/>
              <w:ind w:right="0"/>
              <w:jc w:val="right"/>
            </w:pPr>
            <w:r w:rsidRPr="00D751CF">
              <w:t>4,513</w:t>
            </w:r>
          </w:p>
        </w:tc>
        <w:tc>
          <w:tcPr>
            <w:tcW w:w="934" w:type="dxa"/>
            <w:shd w:val="clear" w:color="auto" w:fill="auto"/>
            <w:vAlign w:val="bottom"/>
          </w:tcPr>
          <w:p w:rsidR="004059E4" w:rsidRPr="00D751CF" w:rsidRDefault="004059E4" w:rsidP="0097182A">
            <w:pPr>
              <w:pStyle w:val="a5"/>
              <w:overflowPunct/>
              <w:ind w:right="0"/>
              <w:jc w:val="right"/>
            </w:pPr>
            <w:r w:rsidRPr="00D751CF">
              <w:t>48</w:t>
            </w:r>
          </w:p>
        </w:tc>
        <w:tc>
          <w:tcPr>
            <w:tcW w:w="934" w:type="dxa"/>
            <w:shd w:val="clear" w:color="auto" w:fill="auto"/>
            <w:vAlign w:val="bottom"/>
          </w:tcPr>
          <w:p w:rsidR="004059E4" w:rsidRPr="00D751CF" w:rsidRDefault="004059E4" w:rsidP="0097182A">
            <w:pPr>
              <w:pStyle w:val="a5"/>
              <w:overflowPunct/>
              <w:ind w:right="0"/>
              <w:jc w:val="right"/>
            </w:pPr>
            <w:r w:rsidRPr="00D751CF">
              <w:t>12</w:t>
            </w:r>
          </w:p>
        </w:tc>
        <w:tc>
          <w:tcPr>
            <w:tcW w:w="690" w:type="dxa"/>
            <w:shd w:val="clear" w:color="auto" w:fill="auto"/>
            <w:vAlign w:val="bottom"/>
          </w:tcPr>
          <w:p w:rsidR="004059E4" w:rsidRPr="00D751CF" w:rsidRDefault="004059E4" w:rsidP="0097182A">
            <w:pPr>
              <w:pStyle w:val="a5"/>
              <w:overflowPunct/>
              <w:ind w:right="0"/>
              <w:jc w:val="right"/>
              <w:rPr>
                <w:lang w:eastAsia="en-GB"/>
              </w:rPr>
            </w:pPr>
          </w:p>
        </w:tc>
        <w:tc>
          <w:tcPr>
            <w:tcW w:w="1178" w:type="dxa"/>
            <w:shd w:val="clear" w:color="auto" w:fill="auto"/>
            <w:vAlign w:val="bottom"/>
          </w:tcPr>
          <w:p w:rsidR="004059E4" w:rsidRPr="00D751CF" w:rsidRDefault="004059E4" w:rsidP="0097182A">
            <w:pPr>
              <w:pStyle w:val="a5"/>
              <w:overflowPunct/>
              <w:ind w:right="0"/>
              <w:jc w:val="right"/>
              <w:rPr>
                <w:lang w:eastAsia="en-GB"/>
              </w:rPr>
            </w:pPr>
          </w:p>
        </w:tc>
      </w:tr>
      <w:tr w:rsidR="006F0A0D" w:rsidRPr="00D751CF" w:rsidTr="00F07D04">
        <w:trPr>
          <w:gridAfter w:val="1"/>
          <w:wAfter w:w="11" w:type="dxa"/>
          <w:trHeight w:val="240"/>
        </w:trPr>
        <w:tc>
          <w:tcPr>
            <w:tcW w:w="2156" w:type="dxa"/>
            <w:shd w:val="clear" w:color="auto" w:fill="auto"/>
          </w:tcPr>
          <w:p w:rsidR="004059E4" w:rsidRPr="00D751CF" w:rsidRDefault="004059E4" w:rsidP="00570F76">
            <w:pPr>
              <w:pStyle w:val="a5"/>
              <w:overflowPunct/>
              <w:ind w:right="0"/>
              <w:jc w:val="left"/>
              <w:rPr>
                <w:lang w:eastAsia="en-GB"/>
              </w:rPr>
            </w:pPr>
            <w:r w:rsidRPr="00D751CF">
              <w:rPr>
                <w:rFonts w:hint="eastAsia"/>
              </w:rPr>
              <w:t>劳力市场培训</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3,865</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1,963</w:t>
            </w:r>
          </w:p>
        </w:tc>
        <w:tc>
          <w:tcPr>
            <w:tcW w:w="934" w:type="dxa"/>
            <w:shd w:val="clear" w:color="auto" w:fill="auto"/>
            <w:vAlign w:val="bottom"/>
          </w:tcPr>
          <w:p w:rsidR="004059E4" w:rsidRPr="00D751CF" w:rsidRDefault="004059E4" w:rsidP="0097182A">
            <w:pPr>
              <w:pStyle w:val="a5"/>
              <w:overflowPunct/>
              <w:ind w:right="0"/>
              <w:jc w:val="right"/>
            </w:pPr>
            <w:r w:rsidRPr="00D751CF">
              <w:t>3,506</w:t>
            </w:r>
          </w:p>
        </w:tc>
        <w:tc>
          <w:tcPr>
            <w:tcW w:w="934" w:type="dxa"/>
            <w:shd w:val="clear" w:color="auto" w:fill="auto"/>
            <w:vAlign w:val="bottom"/>
          </w:tcPr>
          <w:p w:rsidR="004059E4" w:rsidRPr="00D751CF" w:rsidRDefault="004059E4" w:rsidP="0097182A">
            <w:pPr>
              <w:pStyle w:val="a5"/>
              <w:overflowPunct/>
              <w:ind w:right="0"/>
              <w:jc w:val="right"/>
            </w:pPr>
            <w:r w:rsidRPr="00D751CF">
              <w:t>1,831</w:t>
            </w:r>
          </w:p>
        </w:tc>
        <w:tc>
          <w:tcPr>
            <w:tcW w:w="934" w:type="dxa"/>
            <w:shd w:val="clear" w:color="auto" w:fill="auto"/>
            <w:vAlign w:val="bottom"/>
          </w:tcPr>
          <w:p w:rsidR="004059E4" w:rsidRPr="00D751CF" w:rsidRDefault="004059E4" w:rsidP="0097182A">
            <w:pPr>
              <w:pStyle w:val="a5"/>
              <w:overflowPunct/>
              <w:ind w:right="0"/>
              <w:jc w:val="right"/>
            </w:pPr>
            <w:r w:rsidRPr="00D751CF">
              <w:t>263</w:t>
            </w:r>
          </w:p>
        </w:tc>
        <w:tc>
          <w:tcPr>
            <w:tcW w:w="934" w:type="dxa"/>
            <w:shd w:val="clear" w:color="auto" w:fill="auto"/>
            <w:vAlign w:val="bottom"/>
          </w:tcPr>
          <w:p w:rsidR="004059E4" w:rsidRPr="00D751CF" w:rsidRDefault="004059E4" w:rsidP="0097182A">
            <w:pPr>
              <w:pStyle w:val="a5"/>
              <w:overflowPunct/>
              <w:ind w:right="0"/>
              <w:jc w:val="right"/>
            </w:pPr>
            <w:r w:rsidRPr="00D751CF">
              <w:t>92</w:t>
            </w:r>
          </w:p>
        </w:tc>
        <w:tc>
          <w:tcPr>
            <w:tcW w:w="690" w:type="dxa"/>
            <w:shd w:val="clear" w:color="auto" w:fill="auto"/>
            <w:vAlign w:val="bottom"/>
          </w:tcPr>
          <w:p w:rsidR="004059E4" w:rsidRPr="00D751CF" w:rsidRDefault="004059E4" w:rsidP="0097182A">
            <w:pPr>
              <w:pStyle w:val="a5"/>
              <w:overflowPunct/>
              <w:ind w:right="0"/>
              <w:jc w:val="right"/>
              <w:rPr>
                <w:lang w:eastAsia="en-GB"/>
              </w:rPr>
            </w:pPr>
          </w:p>
        </w:tc>
        <w:tc>
          <w:tcPr>
            <w:tcW w:w="1178" w:type="dxa"/>
            <w:shd w:val="clear" w:color="auto" w:fill="auto"/>
            <w:vAlign w:val="bottom"/>
          </w:tcPr>
          <w:p w:rsidR="004059E4" w:rsidRPr="00D751CF" w:rsidRDefault="004059E4" w:rsidP="0097182A">
            <w:pPr>
              <w:pStyle w:val="a5"/>
              <w:overflowPunct/>
              <w:ind w:right="0"/>
              <w:jc w:val="right"/>
              <w:rPr>
                <w:lang w:eastAsia="en-GB"/>
              </w:rPr>
            </w:pPr>
          </w:p>
        </w:tc>
      </w:tr>
      <w:tr w:rsidR="006F0A0D" w:rsidRPr="00D751CF" w:rsidTr="00F07D04">
        <w:trPr>
          <w:gridAfter w:val="1"/>
          <w:wAfter w:w="11" w:type="dxa"/>
          <w:trHeight w:val="240"/>
        </w:trPr>
        <w:tc>
          <w:tcPr>
            <w:tcW w:w="2156" w:type="dxa"/>
            <w:shd w:val="clear" w:color="auto" w:fill="auto"/>
          </w:tcPr>
          <w:p w:rsidR="004059E4" w:rsidRPr="00D751CF" w:rsidRDefault="004059E4" w:rsidP="00570F76">
            <w:pPr>
              <w:pStyle w:val="a5"/>
              <w:overflowPunct/>
              <w:ind w:right="0"/>
              <w:jc w:val="left"/>
            </w:pPr>
            <w:r w:rsidRPr="00D751CF">
              <w:rPr>
                <w:rFonts w:hint="eastAsia"/>
              </w:rPr>
              <w:t>应雇主的要求开展的培训</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1,605</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1,041</w:t>
            </w:r>
          </w:p>
        </w:tc>
        <w:tc>
          <w:tcPr>
            <w:tcW w:w="934" w:type="dxa"/>
            <w:shd w:val="clear" w:color="auto" w:fill="auto"/>
            <w:vAlign w:val="bottom"/>
          </w:tcPr>
          <w:p w:rsidR="004059E4" w:rsidRPr="00D751CF" w:rsidRDefault="004059E4" w:rsidP="0097182A">
            <w:pPr>
              <w:pStyle w:val="a5"/>
              <w:overflowPunct/>
              <w:ind w:right="0"/>
              <w:jc w:val="right"/>
            </w:pPr>
            <w:r w:rsidRPr="00D751CF">
              <w:t>1,292</w:t>
            </w:r>
          </w:p>
        </w:tc>
        <w:tc>
          <w:tcPr>
            <w:tcW w:w="934" w:type="dxa"/>
            <w:shd w:val="clear" w:color="auto" w:fill="auto"/>
            <w:vAlign w:val="bottom"/>
          </w:tcPr>
          <w:p w:rsidR="004059E4" w:rsidRPr="00D751CF" w:rsidRDefault="004059E4" w:rsidP="0097182A">
            <w:pPr>
              <w:pStyle w:val="a5"/>
              <w:overflowPunct/>
              <w:ind w:right="0"/>
              <w:jc w:val="right"/>
            </w:pPr>
            <w:r w:rsidRPr="00D751CF">
              <w:t>810</w:t>
            </w:r>
          </w:p>
        </w:tc>
        <w:tc>
          <w:tcPr>
            <w:tcW w:w="934" w:type="dxa"/>
            <w:shd w:val="clear" w:color="auto" w:fill="auto"/>
            <w:vAlign w:val="bottom"/>
          </w:tcPr>
          <w:p w:rsidR="004059E4" w:rsidRPr="00D751CF" w:rsidRDefault="004059E4" w:rsidP="0097182A">
            <w:pPr>
              <w:pStyle w:val="a5"/>
              <w:overflowPunct/>
              <w:ind w:right="0"/>
              <w:jc w:val="right"/>
            </w:pPr>
            <w:r w:rsidRPr="00D751CF">
              <w:t>1</w:t>
            </w:r>
          </w:p>
        </w:tc>
        <w:tc>
          <w:tcPr>
            <w:tcW w:w="934" w:type="dxa"/>
            <w:shd w:val="clear" w:color="auto" w:fill="auto"/>
            <w:vAlign w:val="bottom"/>
          </w:tcPr>
          <w:p w:rsidR="004059E4" w:rsidRPr="00D751CF" w:rsidRDefault="004059E4" w:rsidP="0097182A">
            <w:pPr>
              <w:pStyle w:val="a5"/>
              <w:overflowPunct/>
              <w:ind w:right="0"/>
              <w:jc w:val="right"/>
            </w:pPr>
            <w:r w:rsidRPr="00D751CF">
              <w:t>0</w:t>
            </w:r>
          </w:p>
        </w:tc>
        <w:tc>
          <w:tcPr>
            <w:tcW w:w="690" w:type="dxa"/>
            <w:shd w:val="clear" w:color="auto" w:fill="auto"/>
            <w:vAlign w:val="bottom"/>
          </w:tcPr>
          <w:p w:rsidR="004059E4" w:rsidRPr="00D751CF" w:rsidRDefault="0097182A" w:rsidP="0097182A">
            <w:pPr>
              <w:pStyle w:val="a5"/>
              <w:overflowPunct/>
              <w:ind w:right="0"/>
              <w:jc w:val="right"/>
              <w:rPr>
                <w:lang w:eastAsia="en-GB"/>
              </w:rPr>
            </w:pPr>
            <w:r w:rsidRPr="00D751CF">
              <w:rPr>
                <w:lang w:eastAsia="en-GB"/>
              </w:rPr>
              <w:t>88</w:t>
            </w:r>
          </w:p>
        </w:tc>
        <w:tc>
          <w:tcPr>
            <w:tcW w:w="1178" w:type="dxa"/>
            <w:shd w:val="clear" w:color="auto" w:fill="auto"/>
            <w:vAlign w:val="bottom"/>
          </w:tcPr>
          <w:p w:rsidR="004059E4" w:rsidRPr="00D751CF" w:rsidRDefault="0097182A" w:rsidP="0097182A">
            <w:pPr>
              <w:pStyle w:val="a5"/>
              <w:overflowPunct/>
              <w:ind w:right="0"/>
              <w:jc w:val="right"/>
              <w:rPr>
                <w:lang w:eastAsia="en-GB"/>
              </w:rPr>
            </w:pPr>
            <w:r w:rsidRPr="00D751CF">
              <w:rPr>
                <w:lang w:eastAsia="en-GB"/>
              </w:rPr>
              <w:t>36</w:t>
            </w:r>
          </w:p>
        </w:tc>
      </w:tr>
      <w:tr w:rsidR="006F0A0D" w:rsidRPr="00D751CF" w:rsidTr="00F07D04">
        <w:trPr>
          <w:gridAfter w:val="1"/>
          <w:wAfter w:w="11" w:type="dxa"/>
          <w:trHeight w:val="240"/>
        </w:trPr>
        <w:tc>
          <w:tcPr>
            <w:tcW w:w="2156" w:type="dxa"/>
            <w:shd w:val="clear" w:color="auto" w:fill="auto"/>
          </w:tcPr>
          <w:p w:rsidR="004059E4" w:rsidRPr="00D751CF" w:rsidRDefault="004059E4" w:rsidP="00570F76">
            <w:pPr>
              <w:pStyle w:val="a5"/>
              <w:overflowPunct/>
              <w:ind w:right="0"/>
              <w:jc w:val="left"/>
              <w:rPr>
                <w:lang w:eastAsia="en-GB"/>
              </w:rPr>
            </w:pPr>
            <w:r w:rsidRPr="00D751CF">
              <w:rPr>
                <w:rFonts w:hint="eastAsia"/>
              </w:rPr>
              <w:t>成人基础实用教育</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690"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441</w:t>
            </w:r>
          </w:p>
        </w:tc>
        <w:tc>
          <w:tcPr>
            <w:tcW w:w="1178"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244</w:t>
            </w:r>
          </w:p>
        </w:tc>
      </w:tr>
      <w:tr w:rsidR="006F0A0D" w:rsidRPr="00D751CF" w:rsidTr="00F07D04">
        <w:trPr>
          <w:trHeight w:val="240"/>
        </w:trPr>
        <w:tc>
          <w:tcPr>
            <w:tcW w:w="2156" w:type="dxa"/>
            <w:shd w:val="clear" w:color="auto" w:fill="auto"/>
          </w:tcPr>
          <w:p w:rsidR="004059E4" w:rsidRPr="00D751CF" w:rsidRDefault="004059E4" w:rsidP="00570F76">
            <w:pPr>
              <w:pStyle w:val="a5"/>
              <w:overflowPunct/>
              <w:ind w:right="0"/>
              <w:jc w:val="left"/>
            </w:pPr>
            <w:r w:rsidRPr="00D751CF">
              <w:rPr>
                <w:rFonts w:hint="eastAsia"/>
              </w:rPr>
              <w:t>培养企业精神教育方案</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12,006</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4,804</w:t>
            </w:r>
          </w:p>
        </w:tc>
        <w:tc>
          <w:tcPr>
            <w:tcW w:w="934" w:type="dxa"/>
            <w:shd w:val="clear" w:color="auto" w:fill="auto"/>
            <w:vAlign w:val="bottom"/>
          </w:tcPr>
          <w:p w:rsidR="004059E4" w:rsidRPr="00D751CF" w:rsidRDefault="004059E4" w:rsidP="0097182A">
            <w:pPr>
              <w:pStyle w:val="a5"/>
              <w:overflowPunct/>
              <w:ind w:right="0"/>
              <w:jc w:val="right"/>
            </w:pPr>
            <w:r w:rsidRPr="00D751CF">
              <w:t>9,096</w:t>
            </w:r>
          </w:p>
        </w:tc>
        <w:tc>
          <w:tcPr>
            <w:tcW w:w="934" w:type="dxa"/>
            <w:shd w:val="clear" w:color="auto" w:fill="auto"/>
            <w:vAlign w:val="bottom"/>
          </w:tcPr>
          <w:p w:rsidR="004059E4" w:rsidRPr="00D751CF" w:rsidRDefault="004059E4" w:rsidP="0097182A">
            <w:pPr>
              <w:pStyle w:val="a5"/>
              <w:overflowPunct/>
              <w:ind w:right="0"/>
              <w:jc w:val="right"/>
            </w:pPr>
            <w:r w:rsidRPr="00D751CF">
              <w:t>3,638</w:t>
            </w:r>
          </w:p>
        </w:tc>
        <w:tc>
          <w:tcPr>
            <w:tcW w:w="934" w:type="dxa"/>
            <w:shd w:val="clear" w:color="auto" w:fill="auto"/>
            <w:vAlign w:val="bottom"/>
          </w:tcPr>
          <w:p w:rsidR="004059E4" w:rsidRPr="00D751CF" w:rsidRDefault="004059E4" w:rsidP="0097182A">
            <w:pPr>
              <w:pStyle w:val="a5"/>
              <w:overflowPunct/>
              <w:ind w:right="0"/>
              <w:jc w:val="right"/>
            </w:pPr>
            <w:r w:rsidRPr="00D751CF">
              <w:t>308</w:t>
            </w:r>
          </w:p>
        </w:tc>
        <w:tc>
          <w:tcPr>
            <w:tcW w:w="934" w:type="dxa"/>
            <w:shd w:val="clear" w:color="auto" w:fill="auto"/>
            <w:vAlign w:val="bottom"/>
          </w:tcPr>
          <w:p w:rsidR="004059E4" w:rsidRPr="00D751CF" w:rsidRDefault="004059E4" w:rsidP="0097182A">
            <w:pPr>
              <w:pStyle w:val="a5"/>
              <w:overflowPunct/>
              <w:ind w:right="0"/>
              <w:jc w:val="right"/>
            </w:pPr>
            <w:r w:rsidRPr="00D751CF">
              <w:t>123</w:t>
            </w:r>
          </w:p>
        </w:tc>
        <w:tc>
          <w:tcPr>
            <w:tcW w:w="690"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247</w:t>
            </w:r>
          </w:p>
        </w:tc>
        <w:tc>
          <w:tcPr>
            <w:tcW w:w="1189" w:type="dxa"/>
            <w:gridSpan w:val="2"/>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78</w:t>
            </w:r>
          </w:p>
        </w:tc>
      </w:tr>
      <w:tr w:rsidR="006F0A0D" w:rsidRPr="00D751CF" w:rsidTr="00F07D04">
        <w:trPr>
          <w:trHeight w:val="240"/>
        </w:trPr>
        <w:tc>
          <w:tcPr>
            <w:tcW w:w="2156" w:type="dxa"/>
            <w:shd w:val="clear" w:color="auto" w:fill="auto"/>
          </w:tcPr>
          <w:p w:rsidR="004059E4" w:rsidRPr="00D751CF" w:rsidRDefault="004059E4" w:rsidP="00570F76">
            <w:pPr>
              <w:pStyle w:val="a5"/>
              <w:overflowPunct/>
              <w:ind w:right="0"/>
              <w:jc w:val="left"/>
              <w:rPr>
                <w:lang w:eastAsia="en-GB"/>
              </w:rPr>
            </w:pPr>
            <w:r>
              <w:rPr>
                <w:rFonts w:hint="eastAsia"/>
              </w:rPr>
              <w:t>向</w:t>
            </w:r>
            <w:r w:rsidRPr="00D751CF">
              <w:rPr>
                <w:rFonts w:hint="eastAsia"/>
                <w:lang w:eastAsia="en-GB"/>
              </w:rPr>
              <w:t>自营职业</w:t>
            </w:r>
            <w:r>
              <w:rPr>
                <w:rFonts w:hint="eastAsia"/>
              </w:rPr>
              <w:t>提供</w:t>
            </w:r>
            <w:r w:rsidRPr="00D751CF">
              <w:rPr>
                <w:rFonts w:hint="eastAsia"/>
                <w:lang w:eastAsia="en-GB"/>
              </w:rPr>
              <w:t>津贴</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4,004</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1,580</w:t>
            </w:r>
          </w:p>
        </w:tc>
        <w:tc>
          <w:tcPr>
            <w:tcW w:w="934" w:type="dxa"/>
            <w:shd w:val="clear" w:color="auto" w:fill="auto"/>
            <w:vAlign w:val="bottom"/>
          </w:tcPr>
          <w:p w:rsidR="004059E4" w:rsidRPr="00D751CF" w:rsidRDefault="004059E4" w:rsidP="0097182A">
            <w:pPr>
              <w:pStyle w:val="a5"/>
              <w:overflowPunct/>
              <w:ind w:right="0"/>
              <w:jc w:val="right"/>
            </w:pPr>
            <w:r w:rsidRPr="00D751CF">
              <w:t>2,265</w:t>
            </w:r>
          </w:p>
        </w:tc>
        <w:tc>
          <w:tcPr>
            <w:tcW w:w="934" w:type="dxa"/>
            <w:shd w:val="clear" w:color="auto" w:fill="auto"/>
            <w:vAlign w:val="bottom"/>
          </w:tcPr>
          <w:p w:rsidR="004059E4" w:rsidRPr="00D751CF" w:rsidRDefault="004059E4" w:rsidP="0097182A">
            <w:pPr>
              <w:pStyle w:val="a5"/>
              <w:overflowPunct/>
              <w:ind w:right="0"/>
              <w:jc w:val="right"/>
            </w:pPr>
            <w:r w:rsidRPr="00D751CF">
              <w:t>951</w:t>
            </w:r>
          </w:p>
        </w:tc>
        <w:tc>
          <w:tcPr>
            <w:tcW w:w="934" w:type="dxa"/>
            <w:shd w:val="clear" w:color="auto" w:fill="auto"/>
            <w:vAlign w:val="bottom"/>
          </w:tcPr>
          <w:p w:rsidR="004059E4" w:rsidRPr="00D751CF" w:rsidRDefault="004059E4" w:rsidP="0097182A">
            <w:pPr>
              <w:pStyle w:val="a5"/>
              <w:overflowPunct/>
              <w:ind w:right="0"/>
              <w:jc w:val="right"/>
            </w:pPr>
            <w:r w:rsidRPr="00D751CF">
              <w:t>201</w:t>
            </w:r>
          </w:p>
        </w:tc>
        <w:tc>
          <w:tcPr>
            <w:tcW w:w="934" w:type="dxa"/>
            <w:shd w:val="clear" w:color="auto" w:fill="auto"/>
            <w:vAlign w:val="bottom"/>
          </w:tcPr>
          <w:p w:rsidR="004059E4" w:rsidRPr="00D751CF" w:rsidRDefault="004059E4" w:rsidP="0097182A">
            <w:pPr>
              <w:pStyle w:val="a5"/>
              <w:overflowPunct/>
              <w:ind w:right="0"/>
              <w:jc w:val="right"/>
            </w:pPr>
            <w:r w:rsidRPr="00D751CF">
              <w:t>66</w:t>
            </w:r>
          </w:p>
        </w:tc>
        <w:tc>
          <w:tcPr>
            <w:tcW w:w="690"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40</w:t>
            </w:r>
          </w:p>
        </w:tc>
        <w:tc>
          <w:tcPr>
            <w:tcW w:w="1189" w:type="dxa"/>
            <w:gridSpan w:val="2"/>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14</w:t>
            </w:r>
          </w:p>
        </w:tc>
      </w:tr>
      <w:tr w:rsidR="006F0A0D" w:rsidRPr="00D751CF" w:rsidTr="00F07D04">
        <w:trPr>
          <w:trHeight w:val="240"/>
        </w:trPr>
        <w:tc>
          <w:tcPr>
            <w:tcW w:w="2156" w:type="dxa"/>
            <w:shd w:val="clear" w:color="auto" w:fill="auto"/>
          </w:tcPr>
          <w:p w:rsidR="004059E4" w:rsidRPr="00D751CF" w:rsidRDefault="004059E4" w:rsidP="00570F76">
            <w:pPr>
              <w:pStyle w:val="a5"/>
              <w:overflowPunct/>
              <w:ind w:right="0"/>
              <w:jc w:val="left"/>
            </w:pPr>
            <w:r w:rsidRPr="00D751CF">
              <w:rPr>
                <w:rFonts w:hint="eastAsia"/>
              </w:rPr>
              <w:t>向开设和装备新工作场所的雇主提供津贴</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7,218</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3,452</w:t>
            </w:r>
          </w:p>
        </w:tc>
        <w:tc>
          <w:tcPr>
            <w:tcW w:w="934" w:type="dxa"/>
            <w:shd w:val="clear" w:color="auto" w:fill="auto"/>
            <w:vAlign w:val="bottom"/>
          </w:tcPr>
          <w:p w:rsidR="004059E4" w:rsidRPr="00D751CF" w:rsidRDefault="004059E4" w:rsidP="0097182A">
            <w:pPr>
              <w:pStyle w:val="a5"/>
              <w:overflowPunct/>
              <w:ind w:right="0"/>
              <w:jc w:val="right"/>
            </w:pPr>
            <w:r w:rsidRPr="00D751CF">
              <w:t>5,778</w:t>
            </w:r>
          </w:p>
        </w:tc>
        <w:tc>
          <w:tcPr>
            <w:tcW w:w="934" w:type="dxa"/>
            <w:shd w:val="clear" w:color="auto" w:fill="auto"/>
            <w:vAlign w:val="bottom"/>
          </w:tcPr>
          <w:p w:rsidR="004059E4" w:rsidRPr="00D751CF" w:rsidRDefault="004059E4" w:rsidP="0097182A">
            <w:pPr>
              <w:pStyle w:val="a5"/>
              <w:overflowPunct/>
              <w:ind w:right="0"/>
              <w:jc w:val="right"/>
            </w:pPr>
            <w:r w:rsidRPr="00D751CF">
              <w:t>2,839</w:t>
            </w:r>
          </w:p>
        </w:tc>
        <w:tc>
          <w:tcPr>
            <w:tcW w:w="934" w:type="dxa"/>
            <w:shd w:val="clear" w:color="auto" w:fill="auto"/>
            <w:vAlign w:val="bottom"/>
          </w:tcPr>
          <w:p w:rsidR="004059E4" w:rsidRPr="00D751CF" w:rsidRDefault="004059E4" w:rsidP="0097182A">
            <w:pPr>
              <w:pStyle w:val="a5"/>
              <w:overflowPunct/>
              <w:ind w:right="0"/>
              <w:jc w:val="right"/>
            </w:pPr>
            <w:r w:rsidRPr="00D751CF">
              <w:t>304</w:t>
            </w:r>
          </w:p>
        </w:tc>
        <w:tc>
          <w:tcPr>
            <w:tcW w:w="934" w:type="dxa"/>
            <w:shd w:val="clear" w:color="auto" w:fill="auto"/>
            <w:vAlign w:val="bottom"/>
          </w:tcPr>
          <w:p w:rsidR="004059E4" w:rsidRPr="00D751CF" w:rsidRDefault="004059E4" w:rsidP="0097182A">
            <w:pPr>
              <w:pStyle w:val="a5"/>
              <w:overflowPunct/>
              <w:ind w:right="0"/>
              <w:jc w:val="right"/>
            </w:pPr>
            <w:r w:rsidRPr="00D751CF">
              <w:t>103</w:t>
            </w:r>
          </w:p>
        </w:tc>
        <w:tc>
          <w:tcPr>
            <w:tcW w:w="690"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7</w:t>
            </w:r>
          </w:p>
        </w:tc>
        <w:tc>
          <w:tcPr>
            <w:tcW w:w="1189" w:type="dxa"/>
            <w:gridSpan w:val="2"/>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3</w:t>
            </w:r>
          </w:p>
        </w:tc>
      </w:tr>
      <w:tr w:rsidR="006F0A0D" w:rsidRPr="00D751CF" w:rsidTr="00F07D04">
        <w:trPr>
          <w:trHeight w:val="240"/>
        </w:trPr>
        <w:tc>
          <w:tcPr>
            <w:tcW w:w="2156" w:type="dxa"/>
            <w:shd w:val="clear" w:color="auto" w:fill="auto"/>
          </w:tcPr>
          <w:p w:rsidR="004059E4" w:rsidRPr="00D751CF" w:rsidRDefault="004059E4" w:rsidP="00570F76">
            <w:pPr>
              <w:pStyle w:val="a5"/>
              <w:overflowPunct/>
              <w:ind w:right="0"/>
              <w:jc w:val="left"/>
              <w:rPr>
                <w:lang w:eastAsia="en-GB"/>
              </w:rPr>
            </w:pPr>
            <w:r w:rsidRPr="00D751CF">
              <w:rPr>
                <w:rFonts w:hint="eastAsia"/>
                <w:lang w:eastAsia="en-GB"/>
              </w:rPr>
              <w:t>公共工程</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6,557</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2,683</w:t>
            </w:r>
          </w:p>
        </w:tc>
        <w:tc>
          <w:tcPr>
            <w:tcW w:w="934" w:type="dxa"/>
            <w:shd w:val="clear" w:color="auto" w:fill="auto"/>
            <w:vAlign w:val="bottom"/>
          </w:tcPr>
          <w:p w:rsidR="004059E4" w:rsidRPr="00D751CF" w:rsidRDefault="004059E4" w:rsidP="0097182A">
            <w:pPr>
              <w:pStyle w:val="a5"/>
              <w:overflowPunct/>
              <w:ind w:right="0"/>
              <w:jc w:val="right"/>
            </w:pPr>
            <w:r w:rsidRPr="00D751CF">
              <w:t>6,557</w:t>
            </w:r>
          </w:p>
        </w:tc>
        <w:tc>
          <w:tcPr>
            <w:tcW w:w="934" w:type="dxa"/>
            <w:shd w:val="clear" w:color="auto" w:fill="auto"/>
            <w:vAlign w:val="bottom"/>
          </w:tcPr>
          <w:p w:rsidR="004059E4" w:rsidRPr="00D751CF" w:rsidRDefault="004059E4" w:rsidP="0097182A">
            <w:pPr>
              <w:pStyle w:val="a5"/>
              <w:overflowPunct/>
              <w:ind w:right="0"/>
              <w:jc w:val="right"/>
            </w:pPr>
            <w:r w:rsidRPr="00D751CF">
              <w:t>2,701</w:t>
            </w:r>
          </w:p>
        </w:tc>
        <w:tc>
          <w:tcPr>
            <w:tcW w:w="934" w:type="dxa"/>
            <w:shd w:val="clear" w:color="auto" w:fill="auto"/>
            <w:vAlign w:val="bottom"/>
          </w:tcPr>
          <w:p w:rsidR="004059E4" w:rsidRPr="00D751CF" w:rsidRDefault="004059E4" w:rsidP="0097182A">
            <w:pPr>
              <w:pStyle w:val="a5"/>
              <w:overflowPunct/>
              <w:ind w:right="0"/>
              <w:jc w:val="right"/>
            </w:pPr>
            <w:r w:rsidRPr="00D751CF">
              <w:t>1,418</w:t>
            </w:r>
          </w:p>
        </w:tc>
        <w:tc>
          <w:tcPr>
            <w:tcW w:w="934" w:type="dxa"/>
            <w:shd w:val="clear" w:color="auto" w:fill="auto"/>
            <w:vAlign w:val="bottom"/>
          </w:tcPr>
          <w:p w:rsidR="004059E4" w:rsidRPr="00D751CF" w:rsidRDefault="004059E4" w:rsidP="0097182A">
            <w:pPr>
              <w:pStyle w:val="a5"/>
              <w:overflowPunct/>
              <w:ind w:right="0"/>
              <w:jc w:val="right"/>
            </w:pPr>
            <w:r w:rsidRPr="00D751CF">
              <w:t>761</w:t>
            </w:r>
          </w:p>
        </w:tc>
        <w:tc>
          <w:tcPr>
            <w:tcW w:w="690"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287</w:t>
            </w:r>
          </w:p>
        </w:tc>
        <w:tc>
          <w:tcPr>
            <w:tcW w:w="1189" w:type="dxa"/>
            <w:gridSpan w:val="2"/>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63</w:t>
            </w:r>
          </w:p>
        </w:tc>
      </w:tr>
      <w:tr w:rsidR="006F0A0D" w:rsidRPr="00D751CF" w:rsidTr="00F07D04">
        <w:trPr>
          <w:trHeight w:val="240"/>
        </w:trPr>
        <w:tc>
          <w:tcPr>
            <w:tcW w:w="2156" w:type="dxa"/>
            <w:shd w:val="clear" w:color="auto" w:fill="auto"/>
          </w:tcPr>
          <w:p w:rsidR="004059E4" w:rsidRPr="00D751CF" w:rsidRDefault="004059E4" w:rsidP="00570F76">
            <w:pPr>
              <w:pStyle w:val="a5"/>
              <w:overflowPunct/>
              <w:ind w:right="0"/>
              <w:jc w:val="left"/>
            </w:pPr>
            <w:r w:rsidRPr="00D751CF">
              <w:rPr>
                <w:rFonts w:hint="eastAsia"/>
              </w:rPr>
              <w:t>鼓励雇用残疾人的方案和支助措施</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305</w:t>
            </w:r>
          </w:p>
        </w:tc>
        <w:tc>
          <w:tcPr>
            <w:tcW w:w="934"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934" w:type="dxa"/>
            <w:shd w:val="clear" w:color="auto" w:fill="auto"/>
            <w:vAlign w:val="bottom"/>
          </w:tcPr>
          <w:p w:rsidR="004059E4" w:rsidRPr="00D751CF" w:rsidRDefault="004059E4" w:rsidP="0097182A">
            <w:pPr>
              <w:pStyle w:val="a5"/>
              <w:overflowPunct/>
              <w:ind w:right="0"/>
              <w:jc w:val="right"/>
            </w:pPr>
            <w:r w:rsidRPr="00D751CF">
              <w:t>/</w:t>
            </w:r>
          </w:p>
        </w:tc>
        <w:tc>
          <w:tcPr>
            <w:tcW w:w="934" w:type="dxa"/>
            <w:shd w:val="clear" w:color="auto" w:fill="auto"/>
            <w:vAlign w:val="bottom"/>
          </w:tcPr>
          <w:p w:rsidR="004059E4" w:rsidRPr="00D751CF" w:rsidRDefault="004059E4" w:rsidP="0097182A">
            <w:pPr>
              <w:pStyle w:val="a5"/>
              <w:overflowPunct/>
              <w:ind w:right="0"/>
              <w:jc w:val="right"/>
            </w:pPr>
            <w:r w:rsidRPr="00D751CF">
              <w:t>/</w:t>
            </w:r>
          </w:p>
        </w:tc>
        <w:tc>
          <w:tcPr>
            <w:tcW w:w="934" w:type="dxa"/>
            <w:shd w:val="clear" w:color="auto" w:fill="auto"/>
            <w:vAlign w:val="bottom"/>
          </w:tcPr>
          <w:p w:rsidR="004059E4" w:rsidRPr="00D751CF" w:rsidRDefault="004059E4" w:rsidP="0097182A">
            <w:pPr>
              <w:pStyle w:val="a5"/>
              <w:overflowPunct/>
              <w:ind w:right="0"/>
              <w:jc w:val="right"/>
            </w:pPr>
            <w:r w:rsidRPr="00D751CF">
              <w:t>305</w:t>
            </w:r>
          </w:p>
        </w:tc>
        <w:tc>
          <w:tcPr>
            <w:tcW w:w="934" w:type="dxa"/>
            <w:shd w:val="clear" w:color="auto" w:fill="auto"/>
            <w:vAlign w:val="bottom"/>
          </w:tcPr>
          <w:p w:rsidR="004059E4" w:rsidRPr="00D751CF" w:rsidRDefault="004059E4" w:rsidP="0097182A">
            <w:pPr>
              <w:pStyle w:val="a5"/>
              <w:overflowPunct/>
              <w:ind w:right="0"/>
              <w:jc w:val="right"/>
            </w:pPr>
            <w:r w:rsidRPr="00D751CF">
              <w:t>…</w:t>
            </w:r>
          </w:p>
        </w:tc>
        <w:tc>
          <w:tcPr>
            <w:tcW w:w="690" w:type="dxa"/>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c>
          <w:tcPr>
            <w:tcW w:w="1189" w:type="dxa"/>
            <w:gridSpan w:val="2"/>
            <w:shd w:val="clear" w:color="auto" w:fill="auto"/>
            <w:vAlign w:val="bottom"/>
          </w:tcPr>
          <w:p w:rsidR="004059E4" w:rsidRPr="00D751CF" w:rsidRDefault="004059E4" w:rsidP="0097182A">
            <w:pPr>
              <w:pStyle w:val="a5"/>
              <w:overflowPunct/>
              <w:ind w:right="0"/>
              <w:jc w:val="right"/>
              <w:rPr>
                <w:lang w:eastAsia="en-GB"/>
              </w:rPr>
            </w:pPr>
            <w:r w:rsidRPr="00D751CF">
              <w:rPr>
                <w:lang w:eastAsia="en-GB"/>
              </w:rPr>
              <w:t>/</w:t>
            </w:r>
          </w:p>
        </w:tc>
      </w:tr>
      <w:tr w:rsidR="006F0A0D" w:rsidRPr="00D751CF" w:rsidTr="00F07D04">
        <w:trPr>
          <w:trHeight w:val="240"/>
        </w:trPr>
        <w:tc>
          <w:tcPr>
            <w:tcW w:w="2156" w:type="dxa"/>
            <w:shd w:val="clear" w:color="auto" w:fill="auto"/>
          </w:tcPr>
          <w:p w:rsidR="004059E4" w:rsidRPr="00476014" w:rsidRDefault="004059E4" w:rsidP="00570F76">
            <w:pPr>
              <w:pStyle w:val="a5"/>
              <w:overflowPunct/>
              <w:ind w:right="0"/>
              <w:jc w:val="left"/>
              <w:rPr>
                <w:rFonts w:ascii="SimHei" w:eastAsia="SimHei" w:hAnsi="SimHei" w:hint="eastAsia"/>
                <w:sz w:val="24"/>
                <w:szCs w:val="24"/>
                <w:lang w:eastAsia="en-GB"/>
              </w:rPr>
            </w:pPr>
            <w:r w:rsidRPr="00476014">
              <w:rPr>
                <w:rFonts w:eastAsia="SimHei"/>
              </w:rPr>
              <w:t>共计</w:t>
            </w:r>
          </w:p>
        </w:tc>
        <w:tc>
          <w:tcPr>
            <w:tcW w:w="934" w:type="dxa"/>
            <w:shd w:val="clear" w:color="auto" w:fill="auto"/>
            <w:vAlign w:val="bottom"/>
          </w:tcPr>
          <w:p w:rsidR="004059E4" w:rsidRPr="00373ED8" w:rsidRDefault="00373ED8" w:rsidP="0097182A">
            <w:pPr>
              <w:pStyle w:val="a5"/>
              <w:overflowPunct/>
              <w:ind w:right="0"/>
              <w:jc w:val="right"/>
              <w:rPr>
                <w:lang w:eastAsia="en-GB"/>
              </w:rPr>
            </w:pPr>
            <w:r>
              <w:rPr>
                <w:lang w:eastAsia="en-GB"/>
              </w:rPr>
              <w:t>139</w:t>
            </w:r>
            <w:r>
              <w:rPr>
                <w:rFonts w:hint="eastAsia"/>
              </w:rPr>
              <w:t>,</w:t>
            </w:r>
            <w:r w:rsidRPr="00373ED8">
              <w:rPr>
                <w:lang w:eastAsia="en-GB"/>
              </w:rPr>
              <w:t>972</w:t>
            </w:r>
          </w:p>
        </w:tc>
        <w:tc>
          <w:tcPr>
            <w:tcW w:w="934" w:type="dxa"/>
            <w:shd w:val="clear" w:color="auto" w:fill="auto"/>
            <w:vAlign w:val="bottom"/>
          </w:tcPr>
          <w:p w:rsidR="004059E4" w:rsidRPr="00373ED8" w:rsidRDefault="00373ED8" w:rsidP="0097182A">
            <w:pPr>
              <w:pStyle w:val="a5"/>
              <w:overflowPunct/>
              <w:ind w:right="0"/>
              <w:jc w:val="right"/>
              <w:rPr>
                <w:lang w:eastAsia="en-GB"/>
              </w:rPr>
            </w:pPr>
            <w:r>
              <w:rPr>
                <w:lang w:eastAsia="en-GB"/>
              </w:rPr>
              <w:t>74</w:t>
            </w:r>
            <w:r>
              <w:rPr>
                <w:rFonts w:hint="eastAsia"/>
              </w:rPr>
              <w:t>,</w:t>
            </w:r>
            <w:r w:rsidRPr="00373ED8">
              <w:rPr>
                <w:lang w:eastAsia="en-GB"/>
              </w:rPr>
              <w:t>449</w:t>
            </w:r>
          </w:p>
        </w:tc>
        <w:tc>
          <w:tcPr>
            <w:tcW w:w="934" w:type="dxa"/>
            <w:shd w:val="clear" w:color="auto" w:fill="auto"/>
            <w:vAlign w:val="bottom"/>
          </w:tcPr>
          <w:p w:rsidR="004059E4" w:rsidRPr="00373ED8" w:rsidRDefault="00373ED8" w:rsidP="0097182A">
            <w:pPr>
              <w:pStyle w:val="a5"/>
              <w:overflowPunct/>
              <w:ind w:right="0"/>
              <w:jc w:val="right"/>
            </w:pPr>
            <w:r>
              <w:t>101</w:t>
            </w:r>
            <w:r>
              <w:rPr>
                <w:rFonts w:hint="eastAsia"/>
              </w:rPr>
              <w:t>,</w:t>
            </w:r>
            <w:r w:rsidRPr="00373ED8">
              <w:t>826</w:t>
            </w:r>
          </w:p>
        </w:tc>
        <w:tc>
          <w:tcPr>
            <w:tcW w:w="934" w:type="dxa"/>
            <w:shd w:val="clear" w:color="auto" w:fill="auto"/>
            <w:vAlign w:val="bottom"/>
          </w:tcPr>
          <w:p w:rsidR="004059E4" w:rsidRPr="00373ED8" w:rsidRDefault="00373ED8" w:rsidP="0097182A">
            <w:pPr>
              <w:pStyle w:val="a5"/>
              <w:overflowPunct/>
              <w:ind w:right="0"/>
              <w:jc w:val="right"/>
            </w:pPr>
            <w:r>
              <w:t>55</w:t>
            </w:r>
            <w:r>
              <w:rPr>
                <w:rFonts w:hint="eastAsia"/>
              </w:rPr>
              <w:t>,</w:t>
            </w:r>
            <w:r w:rsidRPr="00373ED8">
              <w:t>261</w:t>
            </w:r>
          </w:p>
        </w:tc>
        <w:tc>
          <w:tcPr>
            <w:tcW w:w="934" w:type="dxa"/>
            <w:shd w:val="clear" w:color="auto" w:fill="auto"/>
            <w:vAlign w:val="bottom"/>
          </w:tcPr>
          <w:p w:rsidR="004059E4" w:rsidRPr="00373ED8" w:rsidRDefault="00373ED8" w:rsidP="0097182A">
            <w:pPr>
              <w:pStyle w:val="a5"/>
              <w:overflowPunct/>
              <w:ind w:right="0"/>
              <w:jc w:val="right"/>
            </w:pPr>
            <w:r>
              <w:t>6</w:t>
            </w:r>
            <w:r>
              <w:rPr>
                <w:rFonts w:hint="eastAsia"/>
              </w:rPr>
              <w:t>,</w:t>
            </w:r>
            <w:r w:rsidRPr="00373ED8">
              <w:t>877</w:t>
            </w:r>
          </w:p>
        </w:tc>
        <w:tc>
          <w:tcPr>
            <w:tcW w:w="934" w:type="dxa"/>
            <w:shd w:val="clear" w:color="auto" w:fill="auto"/>
            <w:vAlign w:val="bottom"/>
          </w:tcPr>
          <w:p w:rsidR="004059E4" w:rsidRPr="00373ED8" w:rsidRDefault="00373ED8" w:rsidP="0097182A">
            <w:pPr>
              <w:pStyle w:val="a5"/>
              <w:overflowPunct/>
              <w:ind w:right="0"/>
              <w:jc w:val="right"/>
              <w:rPr>
                <w:rFonts w:hint="eastAsia"/>
              </w:rPr>
            </w:pPr>
            <w:r>
              <w:t>2</w:t>
            </w:r>
            <w:r>
              <w:rPr>
                <w:rFonts w:hint="eastAsia"/>
              </w:rPr>
              <w:t>,</w:t>
            </w:r>
            <w:r w:rsidRPr="00373ED8">
              <w:t>684</w:t>
            </w:r>
          </w:p>
        </w:tc>
        <w:tc>
          <w:tcPr>
            <w:tcW w:w="690" w:type="dxa"/>
            <w:shd w:val="clear" w:color="auto" w:fill="auto"/>
            <w:vAlign w:val="bottom"/>
          </w:tcPr>
          <w:p w:rsidR="004059E4" w:rsidRPr="00373ED8" w:rsidRDefault="00373ED8" w:rsidP="0097182A">
            <w:pPr>
              <w:pStyle w:val="a5"/>
              <w:overflowPunct/>
              <w:ind w:right="0"/>
              <w:jc w:val="right"/>
            </w:pPr>
            <w:r>
              <w:t>3</w:t>
            </w:r>
            <w:r>
              <w:rPr>
                <w:rFonts w:hint="eastAsia"/>
              </w:rPr>
              <w:t>,</w:t>
            </w:r>
            <w:r w:rsidRPr="00373ED8">
              <w:t>711</w:t>
            </w:r>
          </w:p>
        </w:tc>
        <w:tc>
          <w:tcPr>
            <w:tcW w:w="1189" w:type="dxa"/>
            <w:gridSpan w:val="2"/>
            <w:shd w:val="clear" w:color="auto" w:fill="auto"/>
            <w:vAlign w:val="bottom"/>
          </w:tcPr>
          <w:p w:rsidR="004059E4" w:rsidRPr="00373ED8" w:rsidRDefault="00373ED8" w:rsidP="0097182A">
            <w:pPr>
              <w:pStyle w:val="a5"/>
              <w:overflowPunct/>
              <w:ind w:right="0"/>
              <w:jc w:val="right"/>
              <w:rPr>
                <w:lang w:eastAsia="en-GB"/>
              </w:rPr>
            </w:pPr>
            <w:r>
              <w:rPr>
                <w:lang w:eastAsia="en-GB"/>
              </w:rPr>
              <w:t>1</w:t>
            </w:r>
            <w:r>
              <w:rPr>
                <w:rFonts w:hint="eastAsia"/>
              </w:rPr>
              <w:t>,</w:t>
            </w:r>
            <w:r w:rsidRPr="00373ED8">
              <w:rPr>
                <w:lang w:eastAsia="en-GB"/>
              </w:rPr>
              <w:t>515</w:t>
            </w:r>
          </w:p>
        </w:tc>
      </w:tr>
    </w:tbl>
    <w:p w:rsidR="00BC40DA" w:rsidRPr="00E27BB2" w:rsidRDefault="00BC40DA" w:rsidP="004059E4">
      <w:pPr>
        <w:pStyle w:val="SingleTxtGC"/>
        <w:spacing w:after="0" w:line="200" w:lineRule="exact"/>
      </w:pPr>
    </w:p>
    <w:p w:rsidR="00BC40DA" w:rsidRPr="00E27BB2" w:rsidRDefault="00BC40DA" w:rsidP="004059E4">
      <w:pPr>
        <w:pStyle w:val="SingleTxtGC"/>
      </w:pPr>
      <w:r w:rsidRPr="00E27BB2">
        <w:t>1</w:t>
      </w:r>
      <w:r w:rsidR="00FC5ECC">
        <w:t>2.</w:t>
      </w:r>
      <w:r w:rsidR="004059E4">
        <w:rPr>
          <w:rFonts w:hint="eastAsia"/>
        </w:rPr>
        <w:t xml:space="preserve">  </w:t>
      </w:r>
      <w:r w:rsidRPr="00E27BB2">
        <w:t>除了表中所列的数据外</w:t>
      </w:r>
      <w:r w:rsidR="00FC5ECC">
        <w:t>，</w:t>
      </w:r>
      <w:r w:rsidRPr="00E27BB2">
        <w:t>还必须指出</w:t>
      </w:r>
      <w:r w:rsidR="00FC5ECC">
        <w:t>，</w:t>
      </w:r>
      <w:r w:rsidRPr="00E27BB2">
        <w:t>在</w:t>
      </w:r>
      <w:r w:rsidRPr="00E27BB2">
        <w:t>2011</w:t>
      </w:r>
      <w:r w:rsidRPr="00E27BB2">
        <w:t>年对就业能力进行了评估</w:t>
      </w:r>
      <w:r w:rsidR="00FC5ECC">
        <w:t>，</w:t>
      </w:r>
      <w:r w:rsidRPr="00E27BB2">
        <w:t>并为共计</w:t>
      </w:r>
      <w:r w:rsidRPr="00E27BB2">
        <w:t>1</w:t>
      </w:r>
      <w:r w:rsidR="00FC5ECC">
        <w:t>4,</w:t>
      </w:r>
      <w:r w:rsidRPr="00E27BB2">
        <w:t>722</w:t>
      </w:r>
      <w:r w:rsidRPr="00E27BB2">
        <w:t>名罗姆人制定了个人就业计划</w:t>
      </w:r>
      <w:r w:rsidR="00FC5ECC">
        <w:t>，</w:t>
      </w:r>
      <w:r w:rsidRPr="00E27BB2">
        <w:t>其中有</w:t>
      </w:r>
      <w:r w:rsidR="00FC5ECC">
        <w:t>6,</w:t>
      </w:r>
      <w:r w:rsidRPr="00E27BB2">
        <w:t>486</w:t>
      </w:r>
      <w:r w:rsidRPr="00E27BB2">
        <w:t>人是妇女。此外</w:t>
      </w:r>
      <w:r w:rsidR="00FC5ECC">
        <w:t>，</w:t>
      </w:r>
      <w:r w:rsidRPr="00E27BB2">
        <w:t>在</w:t>
      </w:r>
      <w:r w:rsidR="00FC5ECC">
        <w:t>2,</w:t>
      </w:r>
      <w:r w:rsidRPr="00E27BB2">
        <w:t>760</w:t>
      </w:r>
      <w:r w:rsidRPr="00E27BB2">
        <w:t>名罗姆人中</w:t>
      </w:r>
      <w:r w:rsidR="00FC5ECC">
        <w:t>，</w:t>
      </w:r>
      <w:r w:rsidRPr="00E27BB2">
        <w:t>向表示需要雇人的雇主推荐了</w:t>
      </w:r>
      <w:r w:rsidR="00FC5ECC">
        <w:t>1,</w:t>
      </w:r>
      <w:r w:rsidRPr="00E27BB2">
        <w:t>022</w:t>
      </w:r>
      <w:r w:rsidRPr="00E27BB2">
        <w:t>名妇女</w:t>
      </w:r>
      <w:r w:rsidR="00FC5ECC">
        <w:t>，</w:t>
      </w:r>
      <w:r w:rsidRPr="00E27BB2">
        <w:t>于是有</w:t>
      </w:r>
      <w:r w:rsidR="00FC5ECC">
        <w:t>1,</w:t>
      </w:r>
      <w:r w:rsidRPr="00E27BB2">
        <w:t>935</w:t>
      </w:r>
      <w:r w:rsidRPr="00E27BB2">
        <w:t>名罗姆人得到了雇用</w:t>
      </w:r>
      <w:r w:rsidR="00FC5ECC">
        <w:t>，</w:t>
      </w:r>
      <w:r w:rsidRPr="00E27BB2">
        <w:t>其中</w:t>
      </w:r>
      <w:r w:rsidRPr="00E27BB2">
        <w:t>715</w:t>
      </w:r>
      <w:r w:rsidRPr="00E27BB2">
        <w:t>人是妇女。</w:t>
      </w:r>
    </w:p>
    <w:p w:rsidR="00BC40DA" w:rsidRPr="00E27BB2" w:rsidRDefault="00BC40DA" w:rsidP="004059E4">
      <w:pPr>
        <w:pStyle w:val="SingleTxtGC"/>
      </w:pPr>
      <w:r w:rsidRPr="00E27BB2">
        <w:t>1</w:t>
      </w:r>
      <w:r w:rsidR="00FC5ECC">
        <w:t>3.</w:t>
      </w:r>
      <w:r w:rsidRPr="00E27BB2">
        <w:t xml:space="preserve"> </w:t>
      </w:r>
      <w:r w:rsidR="004059E4">
        <w:rPr>
          <w:rFonts w:hint="eastAsia"/>
        </w:rPr>
        <w:t xml:space="preserve"> </w:t>
      </w:r>
      <w:r w:rsidRPr="00E27BB2">
        <w:t>2010</w:t>
      </w:r>
      <w:r w:rsidRPr="00E27BB2">
        <w:t>年宣布特别公开招标</w:t>
      </w:r>
      <w:r w:rsidR="00FC5ECC">
        <w:t>，</w:t>
      </w:r>
      <w:r w:rsidRPr="00E27BB2">
        <w:t>采取以下措施促使罗姆人就业</w:t>
      </w:r>
      <w:r w:rsidR="00FC5ECC">
        <w:t>：</w:t>
      </w:r>
      <w:r w:rsidRPr="00E27BB2">
        <w:t>向自营职业者发放津贴</w:t>
      </w:r>
      <w:r w:rsidR="00FC5ECC">
        <w:t>，</w:t>
      </w:r>
      <w:r w:rsidR="00087BB0">
        <w:t>并向开设新工作场所和雇用罗</w:t>
      </w:r>
      <w:r w:rsidR="00087BB0">
        <w:rPr>
          <w:rFonts w:hint="eastAsia"/>
        </w:rPr>
        <w:t>姆</w:t>
      </w:r>
      <w:r w:rsidRPr="00E27BB2">
        <w:t>族失业者的雇主提供补助。</w:t>
      </w:r>
    </w:p>
    <w:p w:rsidR="00BC40DA" w:rsidRPr="00E27BB2" w:rsidRDefault="00BC40DA" w:rsidP="00BC40DA">
      <w:pPr>
        <w:pStyle w:val="SingleTxtGC"/>
      </w:pPr>
      <w:r w:rsidRPr="00E27BB2">
        <w:t>1</w:t>
      </w:r>
      <w:r w:rsidR="00FC5ECC">
        <w:t>4.</w:t>
      </w:r>
      <w:r w:rsidR="004059E4">
        <w:rPr>
          <w:rFonts w:hint="eastAsia"/>
        </w:rPr>
        <w:t xml:space="preserve">  </w:t>
      </w:r>
      <w:r w:rsidRPr="00E27BB2">
        <w:t>2011</w:t>
      </w:r>
      <w:r w:rsidRPr="00E27BB2">
        <w:t>年</w:t>
      </w:r>
      <w:r w:rsidR="00FC5ECC">
        <w:t>，</w:t>
      </w:r>
      <w:r w:rsidRPr="00E27BB2">
        <w:t>除了为罗姆人就业宣布特别公开招标而向自营职业者发放津贴和向雇用罗姆人的雇主提供补助外</w:t>
      </w:r>
      <w:r w:rsidR="00FC5ECC">
        <w:t>，</w:t>
      </w:r>
      <w:r w:rsidRPr="00E27BB2">
        <w:t>还宣布特别公开招标</w:t>
      </w:r>
      <w:r w:rsidR="00FC5ECC">
        <w:t>，</w:t>
      </w:r>
      <w:r w:rsidRPr="00E27BB2">
        <w:t>采取以下措施促使残疾人就业</w:t>
      </w:r>
      <w:r w:rsidR="00FC5ECC">
        <w:t>：</w:t>
      </w:r>
      <w:r w:rsidRPr="00E27BB2">
        <w:t>向自营职业者发放津贴</w:t>
      </w:r>
      <w:r w:rsidR="00FC5ECC">
        <w:t>，</w:t>
      </w:r>
      <w:r w:rsidRPr="00E27BB2">
        <w:t>向开设新工作场所并雇用残疾人的雇主提供补贴</w:t>
      </w:r>
      <w:r w:rsidR="00FC5ECC">
        <w:t>，</w:t>
      </w:r>
      <w:r w:rsidRPr="00E27BB2">
        <w:t>向雇用没有工作经验的残疾人的雇主发放工资补贴</w:t>
      </w:r>
      <w:r w:rsidR="00FC5ECC">
        <w:t>；</w:t>
      </w:r>
      <w:r w:rsidRPr="00E27BB2">
        <w:t>补偿在工作场所向残疾人提供专业支助的人的收入</w:t>
      </w:r>
      <w:r w:rsidR="00FC5ECC">
        <w:t>，</w:t>
      </w:r>
      <w:r w:rsidRPr="00E27BB2">
        <w:t>要求偿还为雇用残疾人而改建工作场所而支出的合理费用</w:t>
      </w:r>
      <w:r w:rsidR="00FC5ECC">
        <w:t>，</w:t>
      </w:r>
      <w:r w:rsidRPr="00E27BB2">
        <w:t>安排进行有残疾人参加的公共工程。</w:t>
      </w:r>
      <w:r w:rsidRPr="00E27BB2">
        <w:t>2012</w:t>
      </w:r>
      <w:r w:rsidRPr="00E27BB2">
        <w:t>年也为罗姆人和残疾人就业而宣布了特别公开招标。</w:t>
      </w:r>
    </w:p>
    <w:p w:rsidR="00BC40DA" w:rsidRPr="00E27BB2" w:rsidRDefault="00BC40DA" w:rsidP="00BC40DA">
      <w:pPr>
        <w:pStyle w:val="SingleTxtGC"/>
        <w:rPr>
          <w:rFonts w:hint="eastAsia"/>
        </w:rPr>
      </w:pPr>
      <w:r w:rsidRPr="00E27BB2">
        <w:t>1</w:t>
      </w:r>
      <w:r w:rsidR="00FC5ECC">
        <w:t>5.</w:t>
      </w:r>
      <w:r w:rsidR="004059E4">
        <w:rPr>
          <w:rFonts w:hint="eastAsia"/>
        </w:rPr>
        <w:t xml:space="preserve">  </w:t>
      </w:r>
      <w:r w:rsidRPr="00E27BB2">
        <w:t>罗姆族人</w:t>
      </w:r>
      <w:r w:rsidR="00CF5884">
        <w:rPr>
          <w:rFonts w:hint="eastAsia"/>
        </w:rPr>
        <w:t>：</w:t>
      </w:r>
      <w:r w:rsidRPr="00E27BB2">
        <w:t>按照《</w:t>
      </w:r>
      <w:r w:rsidRPr="00E27BB2">
        <w:t>2011-2020</w:t>
      </w:r>
      <w:r w:rsidRPr="00E27BB2">
        <w:t>年国家就业战略》</w:t>
      </w:r>
      <w:r w:rsidR="004059E4">
        <w:rPr>
          <w:rStyle w:val="FootnoteReference"/>
        </w:rPr>
        <w:footnoteReference w:id="11"/>
      </w:r>
      <w:r w:rsidRPr="00E27BB2">
        <w:t xml:space="preserve"> </w:t>
      </w:r>
      <w:r w:rsidRPr="00E27BB2">
        <w:t>和每年通过的《全国就业问题行动计划》</w:t>
      </w:r>
      <w:r w:rsidR="00FC5ECC">
        <w:t>，</w:t>
      </w:r>
      <w:r w:rsidRPr="00E27BB2">
        <w:t>特定的积极就业政策措施的重点一贯是难以受雇的罗姆人。除了采取优先措施将难以受雇的罗姆人纳入积极的就业政策措施外</w:t>
      </w:r>
      <w:r w:rsidR="00FC5ECC">
        <w:t>，</w:t>
      </w:r>
      <w:r w:rsidRPr="00E27BB2">
        <w:t>还将实施一些特别方案和措施</w:t>
      </w:r>
      <w:r w:rsidR="00FC5ECC">
        <w:t>，</w:t>
      </w:r>
      <w:r w:rsidRPr="00E27BB2">
        <w:t>据以提高就业率</w:t>
      </w:r>
      <w:r w:rsidR="00FC5ECC">
        <w:t>，</w:t>
      </w:r>
      <w:r w:rsidRPr="00E27BB2">
        <w:t>并鼓励雇主雇用罗姆族人。</w:t>
      </w:r>
    </w:p>
    <w:p w:rsidR="00BC40DA" w:rsidRPr="00E27BB2" w:rsidRDefault="00BC40DA" w:rsidP="00BC40DA">
      <w:pPr>
        <w:pStyle w:val="SingleTxtGC"/>
      </w:pPr>
      <w:r w:rsidRPr="00E27BB2">
        <w:t>1</w:t>
      </w:r>
      <w:r w:rsidR="00FC5ECC">
        <w:t>6.</w:t>
      </w:r>
      <w:r w:rsidRPr="00E27BB2">
        <w:t xml:space="preserve"> </w:t>
      </w:r>
      <w:r w:rsidR="00EB3A35">
        <w:rPr>
          <w:rFonts w:hint="eastAsia"/>
        </w:rPr>
        <w:t xml:space="preserve"> </w:t>
      </w:r>
      <w:r w:rsidRPr="00E27BB2">
        <w:t>2010</w:t>
      </w:r>
      <w:r w:rsidRPr="00E27BB2">
        <w:t>年完成了对</w:t>
      </w:r>
      <w:r w:rsidRPr="00E27BB2">
        <w:t>825</w:t>
      </w:r>
      <w:r w:rsidRPr="00E27BB2">
        <w:t>名失业的罗姆族人</w:t>
      </w:r>
      <w:r w:rsidR="00FC5ECC">
        <w:t>(</w:t>
      </w:r>
      <w:r w:rsidRPr="00E27BB2">
        <w:t>其中的</w:t>
      </w:r>
      <w:r w:rsidRPr="00E27BB2">
        <w:t>365</w:t>
      </w:r>
      <w:r w:rsidRPr="00E27BB2">
        <w:t>人即</w:t>
      </w:r>
      <w:r w:rsidRPr="00E27BB2">
        <w:t>4</w:t>
      </w:r>
      <w:r w:rsidR="00FC5ECC">
        <w:t>4.</w:t>
      </w:r>
      <w:r w:rsidRPr="00E27BB2">
        <w:t>24</w:t>
      </w:r>
      <w:r w:rsidR="00FC5ECC">
        <w:t>%</w:t>
      </w:r>
      <w:r w:rsidRPr="00E27BB2">
        <w:t>为妇女</w:t>
      </w:r>
      <w:r w:rsidR="00FC5ECC">
        <w:t>)</w:t>
      </w:r>
      <w:r w:rsidRPr="00E27BB2">
        <w:t>关于提高就业动力和积极性的培训</w:t>
      </w:r>
      <w:r w:rsidR="00FC5ECC">
        <w:t>，</w:t>
      </w:r>
      <w:r w:rsidRPr="00E27BB2">
        <w:t>2011</w:t>
      </w:r>
      <w:r w:rsidRPr="00E27BB2">
        <w:t>年则完成了对</w:t>
      </w:r>
      <w:r w:rsidR="00FC5ECC">
        <w:t>1,</w:t>
      </w:r>
      <w:r w:rsidRPr="00E27BB2">
        <w:t>545</w:t>
      </w:r>
      <w:r w:rsidRPr="00E27BB2">
        <w:t>人</w:t>
      </w:r>
      <w:r w:rsidR="00FC5ECC">
        <w:t>(</w:t>
      </w:r>
      <w:r w:rsidRPr="00E27BB2">
        <w:t>其中</w:t>
      </w:r>
      <w:r w:rsidRPr="00E27BB2">
        <w:t>663</w:t>
      </w:r>
      <w:r w:rsidRPr="00E27BB2">
        <w:t>人即</w:t>
      </w:r>
      <w:r w:rsidRPr="00E27BB2">
        <w:t>4</w:t>
      </w:r>
      <w:r w:rsidR="00FC5ECC">
        <w:t>2.</w:t>
      </w:r>
      <w:r w:rsidRPr="00E27BB2">
        <w:t>91</w:t>
      </w:r>
      <w:r w:rsidR="00FC5ECC">
        <w:t>%</w:t>
      </w:r>
      <w:r w:rsidRPr="00E27BB2">
        <w:t>为妇女</w:t>
      </w:r>
      <w:r w:rsidR="00FC5ECC">
        <w:t>)</w:t>
      </w:r>
      <w:r w:rsidRPr="00E27BB2">
        <w:t>的此种培训。</w:t>
      </w:r>
      <w:r w:rsidRPr="00E27BB2">
        <w:t>2011</w:t>
      </w:r>
      <w:r w:rsidRPr="00E27BB2">
        <w:t>年</w:t>
      </w:r>
      <w:r w:rsidR="00FC5ECC">
        <w:t>，</w:t>
      </w:r>
      <w:r w:rsidRPr="00E27BB2">
        <w:t>接受成人基础实用教育的人中包括了</w:t>
      </w:r>
      <w:r w:rsidRPr="00E27BB2">
        <w:t>441</w:t>
      </w:r>
      <w:r w:rsidRPr="00E27BB2">
        <w:t>名失业的罗姆族人</w:t>
      </w:r>
      <w:r w:rsidR="00FC5ECC">
        <w:t>，</w:t>
      </w:r>
      <w:r w:rsidRPr="00E27BB2">
        <w:t>其中</w:t>
      </w:r>
      <w:r w:rsidRPr="00E27BB2">
        <w:t>244</w:t>
      </w:r>
      <w:r w:rsidRPr="00E27BB2">
        <w:t>人是妇女。</w:t>
      </w:r>
    </w:p>
    <w:p w:rsidR="00BC40DA" w:rsidRPr="00E27BB2" w:rsidRDefault="00BC40DA" w:rsidP="00EB3A35">
      <w:pPr>
        <w:pStyle w:val="SingleTxtGC"/>
      </w:pPr>
      <w:r w:rsidRPr="00E27BB2">
        <w:t>1</w:t>
      </w:r>
      <w:r w:rsidR="00FC5ECC">
        <w:t>7.</w:t>
      </w:r>
      <w:r w:rsidR="00EB3A35">
        <w:rPr>
          <w:rFonts w:hint="eastAsia"/>
        </w:rPr>
        <w:t xml:space="preserve">  </w:t>
      </w:r>
      <w:r w:rsidRPr="00E27BB2">
        <w:t>塞尔维亚已建立并显著改善了一个关于罗姆族失业者的数据库。对</w:t>
      </w:r>
      <w:r w:rsidRPr="00E27BB2">
        <w:t>2010</w:t>
      </w:r>
      <w:r w:rsidRPr="00E27BB2">
        <w:t>年关于罗姆族失业者人数的所有数据以及关于纳入积极的政策措施的人的数据已按性别作了分类。</w:t>
      </w:r>
    </w:p>
    <w:tbl>
      <w:tblPr>
        <w:tblW w:w="7370"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3749"/>
        <w:gridCol w:w="915"/>
        <w:gridCol w:w="867"/>
        <w:gridCol w:w="870"/>
        <w:gridCol w:w="969"/>
      </w:tblGrid>
      <w:tr w:rsidR="00FA680C" w:rsidRPr="00592CCF" w:rsidTr="00FA680C">
        <w:trPr>
          <w:trHeight w:val="240"/>
          <w:tblHeader/>
        </w:trPr>
        <w:tc>
          <w:tcPr>
            <w:tcW w:w="3749" w:type="dxa"/>
            <w:vMerge w:val="restart"/>
            <w:tcBorders>
              <w:top w:val="single" w:sz="4" w:space="0" w:color="auto"/>
            </w:tcBorders>
            <w:shd w:val="clear" w:color="auto" w:fill="auto"/>
            <w:vAlign w:val="bottom"/>
          </w:tcPr>
          <w:p w:rsidR="00FA680C" w:rsidRPr="00CA50E5" w:rsidRDefault="00FA680C" w:rsidP="00FA680C">
            <w:pPr>
              <w:pStyle w:val="a0"/>
              <w:ind w:right="0"/>
              <w:jc w:val="left"/>
            </w:pPr>
            <w:r w:rsidRPr="00CA50E5">
              <w:t>劳力市场</w:t>
            </w:r>
            <w:r w:rsidRPr="00CA50E5">
              <w:rPr>
                <w:rFonts w:hint="eastAsia"/>
              </w:rPr>
              <w:t>中的</w:t>
            </w:r>
            <w:r w:rsidRPr="00CA50E5">
              <w:t>罗姆人</w:t>
            </w:r>
          </w:p>
        </w:tc>
        <w:tc>
          <w:tcPr>
            <w:tcW w:w="1782" w:type="dxa"/>
            <w:gridSpan w:val="2"/>
            <w:tcBorders>
              <w:top w:val="single" w:sz="4" w:space="0" w:color="auto"/>
              <w:bottom w:val="single" w:sz="2" w:space="0" w:color="auto"/>
            </w:tcBorders>
            <w:shd w:val="clear" w:color="auto" w:fill="auto"/>
            <w:vAlign w:val="bottom"/>
          </w:tcPr>
          <w:p w:rsidR="00FA680C" w:rsidRPr="00CA50E5" w:rsidRDefault="00FA680C" w:rsidP="00FA680C">
            <w:pPr>
              <w:pStyle w:val="a0"/>
              <w:ind w:right="0"/>
              <w:jc w:val="right"/>
              <w:rPr>
                <w:rFonts w:hint="eastAsia"/>
              </w:rPr>
            </w:pPr>
            <w:r w:rsidRPr="00CA50E5">
              <w:t>2010</w:t>
            </w:r>
            <w:r w:rsidRPr="00CA50E5">
              <w:rPr>
                <w:rFonts w:hint="eastAsia"/>
              </w:rPr>
              <w:t>年</w:t>
            </w:r>
          </w:p>
        </w:tc>
        <w:tc>
          <w:tcPr>
            <w:tcW w:w="1839" w:type="dxa"/>
            <w:gridSpan w:val="2"/>
            <w:tcBorders>
              <w:top w:val="single" w:sz="4" w:space="0" w:color="auto"/>
              <w:bottom w:val="single" w:sz="2" w:space="0" w:color="auto"/>
            </w:tcBorders>
            <w:shd w:val="clear" w:color="auto" w:fill="auto"/>
            <w:vAlign w:val="bottom"/>
          </w:tcPr>
          <w:p w:rsidR="00FA680C" w:rsidRPr="00CA50E5" w:rsidRDefault="00FA680C" w:rsidP="00FA680C">
            <w:pPr>
              <w:pStyle w:val="a0"/>
              <w:ind w:right="0"/>
              <w:jc w:val="right"/>
              <w:rPr>
                <w:rFonts w:hint="eastAsia"/>
              </w:rPr>
            </w:pPr>
            <w:r w:rsidRPr="00CA50E5">
              <w:t>2011</w:t>
            </w:r>
            <w:r w:rsidRPr="00CA50E5">
              <w:rPr>
                <w:rFonts w:hint="eastAsia"/>
              </w:rPr>
              <w:t>年</w:t>
            </w:r>
          </w:p>
        </w:tc>
      </w:tr>
      <w:tr w:rsidR="00FA680C" w:rsidRPr="00592CCF" w:rsidTr="00FA680C">
        <w:trPr>
          <w:trHeight w:val="240"/>
          <w:tblHeader/>
        </w:trPr>
        <w:tc>
          <w:tcPr>
            <w:tcW w:w="3749" w:type="dxa"/>
            <w:vMerge/>
            <w:tcBorders>
              <w:bottom w:val="single" w:sz="12" w:space="0" w:color="auto"/>
            </w:tcBorders>
            <w:shd w:val="clear" w:color="auto" w:fill="auto"/>
            <w:vAlign w:val="bottom"/>
          </w:tcPr>
          <w:p w:rsidR="00FA680C" w:rsidRPr="00592CCF" w:rsidRDefault="00FA680C" w:rsidP="00FA680C">
            <w:pPr>
              <w:pStyle w:val="a5"/>
              <w:overflowPunct/>
              <w:ind w:right="0"/>
              <w:jc w:val="left"/>
            </w:pPr>
          </w:p>
        </w:tc>
        <w:tc>
          <w:tcPr>
            <w:tcW w:w="915" w:type="dxa"/>
            <w:tcBorders>
              <w:top w:val="single" w:sz="2" w:space="0" w:color="auto"/>
              <w:bottom w:val="single" w:sz="12" w:space="0" w:color="auto"/>
            </w:tcBorders>
            <w:shd w:val="clear" w:color="auto" w:fill="auto"/>
            <w:vAlign w:val="bottom"/>
          </w:tcPr>
          <w:p w:rsidR="00FA680C" w:rsidRPr="00CA50E5" w:rsidRDefault="00FA680C" w:rsidP="00FA680C">
            <w:pPr>
              <w:pStyle w:val="a0"/>
              <w:ind w:right="0"/>
              <w:jc w:val="right"/>
            </w:pPr>
            <w:r w:rsidRPr="00CA50E5">
              <w:t>共计</w:t>
            </w:r>
          </w:p>
        </w:tc>
        <w:tc>
          <w:tcPr>
            <w:tcW w:w="867" w:type="dxa"/>
            <w:tcBorders>
              <w:top w:val="single" w:sz="2" w:space="0" w:color="auto"/>
              <w:bottom w:val="single" w:sz="12" w:space="0" w:color="auto"/>
            </w:tcBorders>
            <w:shd w:val="clear" w:color="auto" w:fill="auto"/>
            <w:vAlign w:val="bottom"/>
          </w:tcPr>
          <w:p w:rsidR="00FA680C" w:rsidRPr="00CA50E5" w:rsidRDefault="00FA680C" w:rsidP="00FA680C">
            <w:pPr>
              <w:pStyle w:val="a0"/>
              <w:ind w:right="0"/>
              <w:jc w:val="right"/>
            </w:pPr>
            <w:r w:rsidRPr="00CA50E5">
              <w:t>妇女</w:t>
            </w:r>
          </w:p>
        </w:tc>
        <w:tc>
          <w:tcPr>
            <w:tcW w:w="870" w:type="dxa"/>
            <w:tcBorders>
              <w:top w:val="single" w:sz="2" w:space="0" w:color="auto"/>
              <w:bottom w:val="single" w:sz="12" w:space="0" w:color="auto"/>
            </w:tcBorders>
            <w:shd w:val="clear" w:color="auto" w:fill="auto"/>
            <w:vAlign w:val="bottom"/>
          </w:tcPr>
          <w:p w:rsidR="00FA680C" w:rsidRPr="00CA50E5" w:rsidRDefault="00FA680C" w:rsidP="00FA680C">
            <w:pPr>
              <w:pStyle w:val="a0"/>
              <w:ind w:right="0"/>
              <w:jc w:val="right"/>
            </w:pPr>
            <w:r w:rsidRPr="00CA50E5">
              <w:t>共计</w:t>
            </w:r>
          </w:p>
        </w:tc>
        <w:tc>
          <w:tcPr>
            <w:tcW w:w="969" w:type="dxa"/>
            <w:tcBorders>
              <w:top w:val="single" w:sz="2" w:space="0" w:color="auto"/>
              <w:bottom w:val="single" w:sz="12" w:space="0" w:color="auto"/>
            </w:tcBorders>
            <w:shd w:val="clear" w:color="auto" w:fill="auto"/>
            <w:vAlign w:val="bottom"/>
          </w:tcPr>
          <w:p w:rsidR="00FA680C" w:rsidRPr="00CA50E5" w:rsidRDefault="00FA680C" w:rsidP="00FA680C">
            <w:pPr>
              <w:pStyle w:val="a0"/>
              <w:ind w:right="0"/>
              <w:jc w:val="right"/>
            </w:pPr>
            <w:r w:rsidRPr="00CA50E5">
              <w:t>妇女</w:t>
            </w:r>
          </w:p>
        </w:tc>
      </w:tr>
      <w:tr w:rsidR="00EB3A35" w:rsidRPr="00592CCF" w:rsidTr="00FA680C">
        <w:trPr>
          <w:trHeight w:val="240"/>
        </w:trPr>
        <w:tc>
          <w:tcPr>
            <w:tcW w:w="3749" w:type="dxa"/>
            <w:tcBorders>
              <w:top w:val="single" w:sz="12" w:space="0" w:color="auto"/>
            </w:tcBorders>
            <w:shd w:val="clear" w:color="auto" w:fill="auto"/>
          </w:tcPr>
          <w:p w:rsidR="00EB3A35" w:rsidRPr="00592CCF" w:rsidRDefault="00EB3A35" w:rsidP="00FA680C">
            <w:pPr>
              <w:pStyle w:val="a5"/>
              <w:overflowPunct/>
              <w:ind w:right="0"/>
              <w:jc w:val="left"/>
            </w:pPr>
            <w:r>
              <w:rPr>
                <w:rFonts w:hint="eastAsia"/>
              </w:rPr>
              <w:t>截至</w:t>
            </w:r>
            <w:r>
              <w:rPr>
                <w:rFonts w:hint="eastAsia"/>
              </w:rPr>
              <w:t>12</w:t>
            </w:r>
            <w:r>
              <w:rPr>
                <w:rFonts w:hint="eastAsia"/>
              </w:rPr>
              <w:t>月</w:t>
            </w:r>
            <w:r w:rsidRPr="00592CCF">
              <w:t>31</w:t>
            </w:r>
            <w:r>
              <w:rPr>
                <w:rFonts w:hint="eastAsia"/>
              </w:rPr>
              <w:t>日在</w:t>
            </w:r>
            <w:r>
              <w:t>国家就业事务局</w:t>
            </w:r>
            <w:r>
              <w:rPr>
                <w:rFonts w:hint="eastAsia"/>
              </w:rPr>
              <w:t>失业登记处登记的</w:t>
            </w:r>
            <w:r w:rsidRPr="004F73BF">
              <w:rPr>
                <w:rFonts w:hint="eastAsia"/>
              </w:rPr>
              <w:t>罗姆族失业者</w:t>
            </w:r>
            <w:r>
              <w:rPr>
                <w:rFonts w:hint="eastAsia"/>
              </w:rPr>
              <w:t>人数</w:t>
            </w:r>
          </w:p>
        </w:tc>
        <w:tc>
          <w:tcPr>
            <w:tcW w:w="915" w:type="dxa"/>
            <w:tcBorders>
              <w:top w:val="single" w:sz="12" w:space="0" w:color="auto"/>
            </w:tcBorders>
            <w:shd w:val="clear" w:color="auto" w:fill="auto"/>
            <w:vAlign w:val="bottom"/>
          </w:tcPr>
          <w:p w:rsidR="00EB3A35" w:rsidRPr="00592CCF" w:rsidRDefault="00EB3A35" w:rsidP="00FA680C">
            <w:pPr>
              <w:pStyle w:val="a5"/>
              <w:overflowPunct/>
              <w:ind w:right="0"/>
              <w:jc w:val="right"/>
            </w:pPr>
            <w:r w:rsidRPr="00592CCF">
              <w:t>15,867</w:t>
            </w:r>
          </w:p>
        </w:tc>
        <w:tc>
          <w:tcPr>
            <w:tcW w:w="867" w:type="dxa"/>
            <w:tcBorders>
              <w:top w:val="single" w:sz="12" w:space="0" w:color="auto"/>
            </w:tcBorders>
            <w:shd w:val="clear" w:color="auto" w:fill="auto"/>
            <w:vAlign w:val="bottom"/>
          </w:tcPr>
          <w:p w:rsidR="00EB3A35" w:rsidRPr="00592CCF" w:rsidRDefault="00EB3A35" w:rsidP="00FA680C">
            <w:pPr>
              <w:pStyle w:val="a5"/>
              <w:overflowPunct/>
              <w:ind w:right="0"/>
              <w:jc w:val="right"/>
            </w:pPr>
            <w:r w:rsidRPr="00592CCF">
              <w:t>7,637</w:t>
            </w:r>
          </w:p>
        </w:tc>
        <w:tc>
          <w:tcPr>
            <w:tcW w:w="870" w:type="dxa"/>
            <w:tcBorders>
              <w:top w:val="single" w:sz="12" w:space="0" w:color="auto"/>
            </w:tcBorders>
            <w:shd w:val="clear" w:color="auto" w:fill="auto"/>
            <w:vAlign w:val="bottom"/>
          </w:tcPr>
          <w:p w:rsidR="00EB3A35" w:rsidRPr="00592CCF" w:rsidRDefault="00EB3A35" w:rsidP="00FA680C">
            <w:pPr>
              <w:pStyle w:val="a5"/>
              <w:overflowPunct/>
              <w:ind w:right="0"/>
              <w:jc w:val="right"/>
            </w:pPr>
            <w:r w:rsidRPr="00592CCF">
              <w:t>19,398</w:t>
            </w:r>
          </w:p>
        </w:tc>
        <w:tc>
          <w:tcPr>
            <w:tcW w:w="969" w:type="dxa"/>
            <w:tcBorders>
              <w:top w:val="single" w:sz="12" w:space="0" w:color="auto"/>
            </w:tcBorders>
            <w:shd w:val="clear" w:color="auto" w:fill="auto"/>
            <w:vAlign w:val="bottom"/>
          </w:tcPr>
          <w:p w:rsidR="00EB3A35" w:rsidRPr="00592CCF" w:rsidRDefault="00EB3A35" w:rsidP="00FA680C">
            <w:pPr>
              <w:pStyle w:val="a5"/>
              <w:overflowPunct/>
              <w:ind w:right="0"/>
              <w:jc w:val="right"/>
            </w:pPr>
            <w:r w:rsidRPr="00592CCF">
              <w:t>9,180</w:t>
            </w:r>
          </w:p>
        </w:tc>
      </w:tr>
    </w:tbl>
    <w:p w:rsidR="00BC40DA" w:rsidRPr="00E27BB2" w:rsidRDefault="00BC40DA" w:rsidP="00EB3A35">
      <w:pPr>
        <w:pStyle w:val="SingleTxtGC"/>
        <w:spacing w:after="0" w:line="240" w:lineRule="exact"/>
      </w:pPr>
    </w:p>
    <w:p w:rsidR="00BC40DA" w:rsidRPr="00E27BB2" w:rsidRDefault="00BC40DA" w:rsidP="00BC40DA">
      <w:pPr>
        <w:pStyle w:val="SingleTxtGC"/>
        <w:rPr>
          <w:rFonts w:hint="eastAsia"/>
        </w:rPr>
      </w:pPr>
      <w:r w:rsidRPr="00E27BB2">
        <w:t>1</w:t>
      </w:r>
      <w:r w:rsidR="00FC5ECC">
        <w:t>8.</w:t>
      </w:r>
      <w:r w:rsidR="00EB3A35">
        <w:rPr>
          <w:rFonts w:hint="eastAsia"/>
        </w:rPr>
        <w:t xml:space="preserve">  </w:t>
      </w:r>
      <w:r w:rsidRPr="00E27BB2">
        <w:t>有关</w:t>
      </w:r>
      <w:r w:rsidRPr="00E27BB2">
        <w:rPr>
          <w:lang w:val="en-GB"/>
        </w:rPr>
        <w:t>在国家就业事务局失业登记处登记的</w:t>
      </w:r>
      <w:r w:rsidRPr="00E27BB2">
        <w:t>罗姆族失业者</w:t>
      </w:r>
      <w:r w:rsidRPr="00E27BB2">
        <w:rPr>
          <w:lang w:val="en-GB"/>
        </w:rPr>
        <w:t>人数</w:t>
      </w:r>
      <w:r w:rsidRPr="00E27BB2">
        <w:t>日增的数据表明</w:t>
      </w:r>
      <w:r w:rsidR="00FC5ECC">
        <w:t>，</w:t>
      </w:r>
      <w:r w:rsidRPr="00E27BB2">
        <w:t>罗姆人对工作和就业的态度发生了积极的变化。显然</w:t>
      </w:r>
      <w:r w:rsidR="00FC5ECC">
        <w:t>，</w:t>
      </w:r>
      <w:r w:rsidRPr="00E27BB2">
        <w:t>促进就业和开展提高对就业的重要性和就业优于接受社会援助的认识的宣传活动已产生了积极成果。</w:t>
      </w:r>
    </w:p>
    <w:tbl>
      <w:tblPr>
        <w:tblW w:w="7370"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3702"/>
        <w:gridCol w:w="896"/>
        <w:gridCol w:w="929"/>
        <w:gridCol w:w="944"/>
        <w:gridCol w:w="899"/>
      </w:tblGrid>
      <w:tr w:rsidR="00FA680C" w:rsidRPr="00592CCF" w:rsidTr="00FA680C">
        <w:trPr>
          <w:trHeight w:val="240"/>
          <w:tblHeader/>
        </w:trPr>
        <w:tc>
          <w:tcPr>
            <w:tcW w:w="3702" w:type="dxa"/>
            <w:vMerge w:val="restart"/>
            <w:tcBorders>
              <w:top w:val="single" w:sz="4" w:space="0" w:color="auto"/>
            </w:tcBorders>
            <w:shd w:val="clear" w:color="auto" w:fill="auto"/>
            <w:vAlign w:val="bottom"/>
          </w:tcPr>
          <w:p w:rsidR="00FA680C" w:rsidRPr="00BD3E81" w:rsidRDefault="00FA680C" w:rsidP="00FA680C">
            <w:pPr>
              <w:pStyle w:val="a0"/>
              <w:ind w:right="0"/>
              <w:jc w:val="left"/>
              <w:rPr>
                <w:rFonts w:hint="eastAsia"/>
              </w:rPr>
            </w:pPr>
            <w:r w:rsidRPr="00BD3E81">
              <w:rPr>
                <w:rFonts w:hint="eastAsia"/>
              </w:rPr>
              <w:t>残疾人</w:t>
            </w:r>
            <w:r w:rsidR="00CF5884">
              <w:rPr>
                <w:rFonts w:ascii="SimSun" w:eastAsia="SimSun" w:hAnsi="SimSun" w:cs="SimSun" w:hint="eastAsia"/>
                <w:spacing w:val="-50"/>
              </w:rPr>
              <w:t>―</w:t>
            </w:r>
            <w:r w:rsidR="00CF5884">
              <w:rPr>
                <w:rFonts w:ascii="SimSun" w:eastAsia="SimSun" w:hAnsi="SimSun" w:cs="SimSun" w:hint="eastAsia"/>
              </w:rPr>
              <w:t>―</w:t>
            </w:r>
            <w:r w:rsidRPr="00BD3E81">
              <w:t>2010</w:t>
            </w:r>
            <w:r w:rsidRPr="00BD3E81">
              <w:t>年</w:t>
            </w:r>
            <w:r w:rsidRPr="00BD3E81">
              <w:rPr>
                <w:rFonts w:hint="eastAsia"/>
              </w:rPr>
              <w:t>5</w:t>
            </w:r>
            <w:r w:rsidRPr="00BD3E81">
              <w:rPr>
                <w:rFonts w:hint="eastAsia"/>
              </w:rPr>
              <w:t>月生效的《残疾人职业康复和就业法》</w:t>
            </w:r>
          </w:p>
        </w:tc>
        <w:tc>
          <w:tcPr>
            <w:tcW w:w="1825" w:type="dxa"/>
            <w:gridSpan w:val="2"/>
            <w:tcBorders>
              <w:top w:val="single" w:sz="4" w:space="0" w:color="auto"/>
              <w:bottom w:val="single" w:sz="2" w:space="0" w:color="auto"/>
            </w:tcBorders>
            <w:shd w:val="clear" w:color="auto" w:fill="auto"/>
            <w:vAlign w:val="bottom"/>
          </w:tcPr>
          <w:p w:rsidR="00FA680C" w:rsidRPr="00BD3E81" w:rsidRDefault="00FA680C" w:rsidP="00FA680C">
            <w:pPr>
              <w:pStyle w:val="a0"/>
              <w:ind w:right="0"/>
              <w:jc w:val="right"/>
              <w:rPr>
                <w:rFonts w:hint="eastAsia"/>
              </w:rPr>
            </w:pPr>
            <w:r w:rsidRPr="00BD3E81">
              <w:t>2010</w:t>
            </w:r>
            <w:r w:rsidRPr="00BD3E81">
              <w:t>年</w:t>
            </w:r>
            <w:r w:rsidRPr="00BD3E81">
              <w:t>12</w:t>
            </w:r>
            <w:r w:rsidRPr="00BD3E81">
              <w:t>月</w:t>
            </w:r>
          </w:p>
        </w:tc>
        <w:tc>
          <w:tcPr>
            <w:tcW w:w="1843" w:type="dxa"/>
            <w:gridSpan w:val="2"/>
            <w:tcBorders>
              <w:top w:val="single" w:sz="4" w:space="0" w:color="auto"/>
              <w:bottom w:val="single" w:sz="2" w:space="0" w:color="auto"/>
            </w:tcBorders>
            <w:shd w:val="clear" w:color="auto" w:fill="auto"/>
            <w:vAlign w:val="bottom"/>
          </w:tcPr>
          <w:p w:rsidR="00FA680C" w:rsidRPr="00BD3E81" w:rsidRDefault="00FA680C" w:rsidP="00FA680C">
            <w:pPr>
              <w:pStyle w:val="a0"/>
              <w:ind w:right="0"/>
              <w:jc w:val="right"/>
              <w:rPr>
                <w:rFonts w:hint="eastAsia"/>
              </w:rPr>
            </w:pPr>
            <w:r w:rsidRPr="00BD3E81">
              <w:t>2011</w:t>
            </w:r>
            <w:r w:rsidRPr="00BD3E81">
              <w:t>年</w:t>
            </w:r>
            <w:r w:rsidRPr="00BD3E81">
              <w:t>12</w:t>
            </w:r>
            <w:r w:rsidRPr="00BD3E81">
              <w:t>月</w:t>
            </w:r>
          </w:p>
        </w:tc>
      </w:tr>
      <w:tr w:rsidR="00FA680C" w:rsidRPr="00592CCF" w:rsidTr="00FA680C">
        <w:trPr>
          <w:trHeight w:val="240"/>
          <w:tblHeader/>
        </w:trPr>
        <w:tc>
          <w:tcPr>
            <w:tcW w:w="3702" w:type="dxa"/>
            <w:vMerge/>
            <w:tcBorders>
              <w:bottom w:val="single" w:sz="12" w:space="0" w:color="auto"/>
            </w:tcBorders>
            <w:shd w:val="clear" w:color="auto" w:fill="auto"/>
            <w:vAlign w:val="bottom"/>
          </w:tcPr>
          <w:p w:rsidR="00FA680C" w:rsidRPr="00592CCF" w:rsidRDefault="00FA680C" w:rsidP="00FA680C">
            <w:pPr>
              <w:pStyle w:val="a5"/>
              <w:overflowPunct/>
              <w:ind w:right="0"/>
              <w:jc w:val="left"/>
            </w:pPr>
          </w:p>
        </w:tc>
        <w:tc>
          <w:tcPr>
            <w:tcW w:w="896" w:type="dxa"/>
            <w:tcBorders>
              <w:top w:val="single" w:sz="2" w:space="0" w:color="auto"/>
              <w:bottom w:val="single" w:sz="12" w:space="0" w:color="auto"/>
            </w:tcBorders>
            <w:shd w:val="clear" w:color="auto" w:fill="auto"/>
            <w:vAlign w:val="bottom"/>
          </w:tcPr>
          <w:p w:rsidR="00FA680C" w:rsidRPr="00592CCF" w:rsidRDefault="00FA680C" w:rsidP="00FA680C">
            <w:pPr>
              <w:pStyle w:val="a0"/>
              <w:ind w:right="0"/>
              <w:jc w:val="right"/>
            </w:pPr>
            <w:r>
              <w:t>共计</w:t>
            </w:r>
          </w:p>
        </w:tc>
        <w:tc>
          <w:tcPr>
            <w:tcW w:w="929" w:type="dxa"/>
            <w:tcBorders>
              <w:top w:val="single" w:sz="2" w:space="0" w:color="auto"/>
              <w:bottom w:val="single" w:sz="12" w:space="0" w:color="auto"/>
            </w:tcBorders>
            <w:shd w:val="clear" w:color="auto" w:fill="auto"/>
            <w:vAlign w:val="bottom"/>
          </w:tcPr>
          <w:p w:rsidR="00FA680C" w:rsidRPr="00592CCF" w:rsidRDefault="00FA680C" w:rsidP="00FA680C">
            <w:pPr>
              <w:pStyle w:val="a0"/>
              <w:ind w:right="0"/>
              <w:jc w:val="right"/>
            </w:pPr>
            <w:r>
              <w:t>妇女</w:t>
            </w:r>
          </w:p>
        </w:tc>
        <w:tc>
          <w:tcPr>
            <w:tcW w:w="944" w:type="dxa"/>
            <w:tcBorders>
              <w:top w:val="single" w:sz="2" w:space="0" w:color="auto"/>
              <w:bottom w:val="single" w:sz="12" w:space="0" w:color="auto"/>
            </w:tcBorders>
            <w:shd w:val="clear" w:color="auto" w:fill="auto"/>
            <w:vAlign w:val="bottom"/>
          </w:tcPr>
          <w:p w:rsidR="00FA680C" w:rsidRPr="00592CCF" w:rsidRDefault="00FA680C" w:rsidP="00FA680C">
            <w:pPr>
              <w:pStyle w:val="a0"/>
              <w:ind w:right="0"/>
              <w:jc w:val="right"/>
            </w:pPr>
            <w:r>
              <w:t>共计</w:t>
            </w:r>
          </w:p>
        </w:tc>
        <w:tc>
          <w:tcPr>
            <w:tcW w:w="899" w:type="dxa"/>
            <w:tcBorders>
              <w:top w:val="single" w:sz="2" w:space="0" w:color="auto"/>
              <w:bottom w:val="single" w:sz="12" w:space="0" w:color="auto"/>
            </w:tcBorders>
            <w:shd w:val="clear" w:color="auto" w:fill="auto"/>
            <w:vAlign w:val="bottom"/>
          </w:tcPr>
          <w:p w:rsidR="00FA680C" w:rsidRPr="00592CCF" w:rsidRDefault="00FA680C" w:rsidP="00FA680C">
            <w:pPr>
              <w:pStyle w:val="a0"/>
              <w:ind w:right="0"/>
              <w:jc w:val="right"/>
            </w:pPr>
            <w:r>
              <w:t>妇女</w:t>
            </w:r>
          </w:p>
        </w:tc>
      </w:tr>
      <w:tr w:rsidR="00EB3A35" w:rsidRPr="00592CCF" w:rsidTr="00FA680C">
        <w:trPr>
          <w:trHeight w:val="240"/>
        </w:trPr>
        <w:tc>
          <w:tcPr>
            <w:tcW w:w="3702" w:type="dxa"/>
            <w:tcBorders>
              <w:top w:val="single" w:sz="12" w:space="0" w:color="auto"/>
            </w:tcBorders>
            <w:shd w:val="clear" w:color="auto" w:fill="auto"/>
          </w:tcPr>
          <w:p w:rsidR="00EB3A35" w:rsidRPr="00592CCF" w:rsidRDefault="00EB3A35" w:rsidP="00FA680C">
            <w:pPr>
              <w:pStyle w:val="a5"/>
              <w:overflowPunct/>
              <w:ind w:right="0"/>
              <w:jc w:val="left"/>
              <w:rPr>
                <w:rFonts w:hint="eastAsia"/>
              </w:rPr>
            </w:pPr>
            <w:r w:rsidRPr="00292FCC">
              <w:rPr>
                <w:rFonts w:hint="eastAsia"/>
              </w:rPr>
              <w:t>在</w:t>
            </w:r>
            <w:r w:rsidRPr="00292FCC">
              <w:t>国家就业事务局</w:t>
            </w:r>
            <w:r w:rsidRPr="00292FCC">
              <w:rPr>
                <w:rFonts w:hint="eastAsia"/>
              </w:rPr>
              <w:t>失业登记处登记的</w:t>
            </w:r>
            <w:r>
              <w:t>失业残疾人</w:t>
            </w:r>
            <w:r>
              <w:rPr>
                <w:rFonts w:hint="eastAsia"/>
              </w:rPr>
              <w:t>人数</w:t>
            </w:r>
          </w:p>
        </w:tc>
        <w:tc>
          <w:tcPr>
            <w:tcW w:w="896" w:type="dxa"/>
            <w:tcBorders>
              <w:top w:val="single" w:sz="12" w:space="0" w:color="auto"/>
            </w:tcBorders>
            <w:shd w:val="clear" w:color="auto" w:fill="auto"/>
            <w:vAlign w:val="bottom"/>
          </w:tcPr>
          <w:p w:rsidR="00EB3A35" w:rsidRPr="00592CCF" w:rsidRDefault="00EB3A35" w:rsidP="00FA680C">
            <w:pPr>
              <w:pStyle w:val="a5"/>
              <w:overflowPunct/>
              <w:ind w:right="0"/>
              <w:jc w:val="right"/>
            </w:pPr>
            <w:r>
              <w:t>20</w:t>
            </w:r>
            <w:r>
              <w:rPr>
                <w:rFonts w:hint="eastAsia"/>
              </w:rPr>
              <w:t>,</w:t>
            </w:r>
            <w:r w:rsidRPr="00592CCF">
              <w:t>402</w:t>
            </w:r>
          </w:p>
        </w:tc>
        <w:tc>
          <w:tcPr>
            <w:tcW w:w="929" w:type="dxa"/>
            <w:tcBorders>
              <w:top w:val="single" w:sz="12" w:space="0" w:color="auto"/>
            </w:tcBorders>
            <w:shd w:val="clear" w:color="auto" w:fill="auto"/>
            <w:vAlign w:val="bottom"/>
          </w:tcPr>
          <w:p w:rsidR="00EB3A35" w:rsidRPr="00592CCF" w:rsidRDefault="00EB3A35" w:rsidP="00FA680C">
            <w:pPr>
              <w:pStyle w:val="a5"/>
              <w:overflowPunct/>
              <w:ind w:right="0"/>
              <w:jc w:val="right"/>
            </w:pPr>
            <w:r>
              <w:t>6</w:t>
            </w:r>
            <w:r>
              <w:rPr>
                <w:rFonts w:hint="eastAsia"/>
              </w:rPr>
              <w:t>,</w:t>
            </w:r>
            <w:r w:rsidRPr="00592CCF">
              <w:t>672</w:t>
            </w:r>
          </w:p>
        </w:tc>
        <w:tc>
          <w:tcPr>
            <w:tcW w:w="944" w:type="dxa"/>
            <w:tcBorders>
              <w:top w:val="single" w:sz="12" w:space="0" w:color="auto"/>
            </w:tcBorders>
            <w:shd w:val="clear" w:color="auto" w:fill="auto"/>
            <w:vAlign w:val="bottom"/>
          </w:tcPr>
          <w:p w:rsidR="00EB3A35" w:rsidRPr="00592CCF" w:rsidRDefault="00EB3A35" w:rsidP="00FA680C">
            <w:pPr>
              <w:pStyle w:val="a5"/>
              <w:overflowPunct/>
              <w:ind w:right="0"/>
              <w:jc w:val="right"/>
            </w:pPr>
            <w:r w:rsidRPr="00592CCF">
              <w:t>18</w:t>
            </w:r>
            <w:r>
              <w:rPr>
                <w:rFonts w:hint="eastAsia"/>
              </w:rPr>
              <w:t>,</w:t>
            </w:r>
            <w:r w:rsidRPr="00592CCF">
              <w:t>555</w:t>
            </w:r>
          </w:p>
        </w:tc>
        <w:tc>
          <w:tcPr>
            <w:tcW w:w="899" w:type="dxa"/>
            <w:tcBorders>
              <w:top w:val="single" w:sz="12" w:space="0" w:color="auto"/>
            </w:tcBorders>
            <w:shd w:val="clear" w:color="auto" w:fill="auto"/>
            <w:vAlign w:val="bottom"/>
          </w:tcPr>
          <w:p w:rsidR="00EB3A35" w:rsidRPr="00592CCF" w:rsidRDefault="00EB3A35" w:rsidP="00FA680C">
            <w:pPr>
              <w:pStyle w:val="a5"/>
              <w:overflowPunct/>
              <w:ind w:right="0"/>
              <w:jc w:val="right"/>
            </w:pPr>
            <w:r w:rsidRPr="00592CCF">
              <w:t>5</w:t>
            </w:r>
            <w:r>
              <w:rPr>
                <w:rFonts w:hint="eastAsia"/>
              </w:rPr>
              <w:t>,</w:t>
            </w:r>
            <w:r w:rsidRPr="00592CCF">
              <w:t>995</w:t>
            </w:r>
          </w:p>
        </w:tc>
      </w:tr>
    </w:tbl>
    <w:p w:rsidR="00BC40DA" w:rsidRPr="00E27BB2" w:rsidRDefault="00BC40DA" w:rsidP="00EB3A35">
      <w:pPr>
        <w:pStyle w:val="SingleTxtGC"/>
        <w:spacing w:after="0" w:line="240" w:lineRule="exact"/>
      </w:pPr>
    </w:p>
    <w:p w:rsidR="00BC40DA" w:rsidRPr="00E27BB2" w:rsidRDefault="00BC40DA" w:rsidP="00EB3A35">
      <w:pPr>
        <w:pStyle w:val="SingleTxtGC"/>
      </w:pPr>
      <w:r w:rsidRPr="00E27BB2">
        <w:t>1</w:t>
      </w:r>
      <w:r w:rsidR="00FC5ECC">
        <w:t>9.</w:t>
      </w:r>
      <w:r w:rsidR="00EB3A35">
        <w:rPr>
          <w:rFonts w:hint="eastAsia"/>
        </w:rPr>
        <w:t xml:space="preserve">  </w:t>
      </w:r>
      <w:r w:rsidRPr="00E27BB2">
        <w:t>由于实施了《残疾人职业康复和就业法》</w:t>
      </w:r>
      <w:r w:rsidR="00EB3A35">
        <w:rPr>
          <w:rStyle w:val="FootnoteReference"/>
        </w:rPr>
        <w:footnoteReference w:id="12"/>
      </w:r>
      <w:r w:rsidRPr="00E27BB2">
        <w:t xml:space="preserve"> </w:t>
      </w:r>
      <w:r w:rsidRPr="00E27BB2">
        <w:t>以及鼓励残疾人就业的特别措施</w:t>
      </w:r>
      <w:r w:rsidR="00FC5ECC">
        <w:t>，</w:t>
      </w:r>
      <w:r w:rsidRPr="00E27BB2">
        <w:rPr>
          <w:lang w:val="en-GB"/>
        </w:rPr>
        <w:t>在国家就业事务局失业登记处登记的失业</w:t>
      </w:r>
      <w:r w:rsidRPr="00E27BB2">
        <w:t>残疾人的人数有所减少。税务局关于</w:t>
      </w:r>
      <w:r w:rsidRPr="00E27BB2">
        <w:t>2010</w:t>
      </w:r>
      <w:r w:rsidRPr="00E27BB2">
        <w:t>年</w:t>
      </w:r>
      <w:r w:rsidRPr="00E27BB2">
        <w:t>6</w:t>
      </w:r>
      <w:r w:rsidRPr="00E27BB2">
        <w:t>月至</w:t>
      </w:r>
      <w:r w:rsidRPr="00E27BB2">
        <w:t>2012</w:t>
      </w:r>
      <w:r w:rsidRPr="00E27BB2">
        <w:t>年</w:t>
      </w:r>
      <w:r w:rsidRPr="00E27BB2">
        <w:t>1</w:t>
      </w:r>
      <w:r w:rsidRPr="00E27BB2">
        <w:t>月期间雇用残疾人的义务执行情况报告表明就业的残疾人为</w:t>
      </w:r>
      <w:r w:rsidRPr="00E27BB2">
        <w:t>1</w:t>
      </w:r>
      <w:r w:rsidR="00FC5ECC">
        <w:t>0,</w:t>
      </w:r>
      <w:r w:rsidRPr="00E27BB2">
        <w:t>666</w:t>
      </w:r>
      <w:r w:rsidRPr="00E27BB2">
        <w:t>人</w:t>
      </w:r>
      <w:r w:rsidR="00FC5ECC">
        <w:t>，</w:t>
      </w:r>
      <w:r w:rsidRPr="00E27BB2">
        <w:t>还表明该局参与了为支付</w:t>
      </w:r>
      <w:r w:rsidR="00FC5ECC">
        <w:t>5,</w:t>
      </w:r>
      <w:r w:rsidRPr="00E27BB2">
        <w:t>672</w:t>
      </w:r>
      <w:r w:rsidRPr="00E27BB2">
        <w:t>名残疾人的工资筹集经费的工作</w:t>
      </w:r>
      <w:r w:rsidR="00FC5ECC">
        <w:t>，</w:t>
      </w:r>
      <w:r w:rsidRPr="00E27BB2">
        <w:t>执行了与公司签订的关于</w:t>
      </w:r>
      <w:r w:rsidRPr="00E27BB2">
        <w:t>140</w:t>
      </w:r>
      <w:r w:rsidRPr="00E27BB2">
        <w:t>名残疾人职业康复的业务和技术合作协议</w:t>
      </w:r>
      <w:r w:rsidR="00FC5ECC">
        <w:t>，</w:t>
      </w:r>
      <w:r w:rsidRPr="00E27BB2">
        <w:t>以及向</w:t>
      </w:r>
      <w:r w:rsidRPr="00E27BB2">
        <w:t>227</w:t>
      </w:r>
      <w:r w:rsidRPr="00E27BB2">
        <w:t>名残疾人支付了对未履行上述任何义务的雇主的罚款。</w:t>
      </w:r>
    </w:p>
    <w:p w:rsidR="00BC40DA" w:rsidRPr="00E27BB2" w:rsidRDefault="00BC40DA" w:rsidP="00EB3A35">
      <w:pPr>
        <w:pStyle w:val="SingleTxtGC"/>
      </w:pPr>
      <w:r w:rsidRPr="00E27BB2">
        <w:t>2</w:t>
      </w:r>
      <w:r w:rsidR="00FC5ECC">
        <w:t>0.</w:t>
      </w:r>
      <w:r w:rsidR="00EB3A35">
        <w:rPr>
          <w:rFonts w:hint="eastAsia"/>
        </w:rPr>
        <w:t xml:space="preserve">  </w:t>
      </w:r>
      <w:r w:rsidRPr="00E27BB2">
        <w:t>2011</w:t>
      </w:r>
      <w:r w:rsidRPr="00E27BB2">
        <w:t>年</w:t>
      </w:r>
      <w:r w:rsidR="00FC5ECC">
        <w:t>，</w:t>
      </w:r>
      <w:r w:rsidRPr="00E27BB2">
        <w:t>有</w:t>
      </w:r>
      <w:r w:rsidR="00FC5ECC">
        <w:t>4,</w:t>
      </w:r>
      <w:r w:rsidRPr="00E27BB2">
        <w:t>370</w:t>
      </w:r>
      <w:r w:rsidRPr="00E27BB2">
        <w:t>名残疾人通过</w:t>
      </w:r>
      <w:r w:rsidRPr="00E27BB2">
        <w:rPr>
          <w:lang w:val="en-GB"/>
        </w:rPr>
        <w:t>国家就业事务局失业登记处得以</w:t>
      </w:r>
      <w:r w:rsidRPr="00E27BB2">
        <w:t>就业</w:t>
      </w:r>
      <w:r w:rsidR="00FC5ECC">
        <w:t>，</w:t>
      </w:r>
      <w:r w:rsidRPr="00E27BB2">
        <w:t>其中</w:t>
      </w:r>
      <w:r w:rsidR="00FC5ECC">
        <w:t>1,</w:t>
      </w:r>
      <w:r w:rsidRPr="00E27BB2">
        <w:t>426</w:t>
      </w:r>
      <w:r w:rsidRPr="00E27BB2">
        <w:t>人是妇女。</w:t>
      </w:r>
    </w:p>
    <w:p w:rsidR="00BC40DA" w:rsidRPr="00E27BB2" w:rsidRDefault="00BC40DA" w:rsidP="00EB3A35">
      <w:pPr>
        <w:pStyle w:val="SingleTxtGC"/>
      </w:pPr>
      <w:r w:rsidRPr="00E27BB2">
        <w:t>2</w:t>
      </w:r>
      <w:r w:rsidR="00FC5ECC">
        <w:t>1.</w:t>
      </w:r>
      <w:r w:rsidR="00EB3A35">
        <w:rPr>
          <w:rFonts w:hint="eastAsia"/>
        </w:rPr>
        <w:t xml:space="preserve">  </w:t>
      </w:r>
      <w:r w:rsidRPr="00E27BB2">
        <w:t>2011</w:t>
      </w:r>
      <w:r w:rsidRPr="00E27BB2">
        <w:t>年</w:t>
      </w:r>
      <w:r w:rsidR="00FC5ECC">
        <w:t>，</w:t>
      </w:r>
      <w:r w:rsidRPr="00E27BB2">
        <w:t>积极的就业政策措施和职业康复活动涉及</w:t>
      </w:r>
      <w:r w:rsidR="00FC5ECC">
        <w:t>6,</w:t>
      </w:r>
      <w:r w:rsidRPr="00E27BB2">
        <w:t>877</w:t>
      </w:r>
      <w:r w:rsidRPr="00E27BB2">
        <w:t>名残疾人</w:t>
      </w:r>
      <w:r w:rsidR="00FC5ECC">
        <w:t>，</w:t>
      </w:r>
      <w:r w:rsidRPr="00E27BB2">
        <w:t>其中</w:t>
      </w:r>
      <w:r w:rsidR="00FC5ECC">
        <w:t>2,</w:t>
      </w:r>
      <w:r w:rsidRPr="00E27BB2">
        <w:t>684</w:t>
      </w:r>
      <w:r w:rsidRPr="00E27BB2">
        <w:t>人是妇女。</w:t>
      </w:r>
    </w:p>
    <w:p w:rsidR="00BC40DA" w:rsidRPr="00E27BB2" w:rsidRDefault="00BC40DA" w:rsidP="00BC40DA">
      <w:pPr>
        <w:pStyle w:val="SingleTxtGC"/>
      </w:pPr>
      <w:r w:rsidRPr="00E27BB2">
        <w:t>2</w:t>
      </w:r>
      <w:r w:rsidR="00FC5ECC">
        <w:t>2.</w:t>
      </w:r>
      <w:r w:rsidRPr="00E27BB2">
        <w:t xml:space="preserve"> </w:t>
      </w:r>
      <w:r w:rsidR="00EB3A35">
        <w:rPr>
          <w:rFonts w:hint="eastAsia"/>
        </w:rPr>
        <w:t xml:space="preserve"> </w:t>
      </w:r>
      <w:r w:rsidRPr="00E27BB2">
        <w:t>2012</w:t>
      </w:r>
      <w:r w:rsidRPr="00E27BB2">
        <w:t>年</w:t>
      </w:r>
      <w:r w:rsidRPr="00E27BB2">
        <w:t>1</w:t>
      </w:r>
      <w:r w:rsidRPr="00E27BB2">
        <w:t>月</w:t>
      </w:r>
      <w:r w:rsidR="00FC5ECC">
        <w:t>，</w:t>
      </w:r>
      <w:r w:rsidRPr="00E27BB2">
        <w:t>两性平等司向符合《男女平等法》所定标准的企业实体发出了行政通告</w:t>
      </w:r>
      <w:r w:rsidR="00FC5ECC">
        <w:t>，</w:t>
      </w:r>
      <w:r w:rsidRPr="00E27BB2">
        <w:t>并提醒它们必须履行以下义务</w:t>
      </w:r>
      <w:r w:rsidR="00FC5ECC">
        <w:t>：</w:t>
      </w:r>
      <w:r w:rsidRPr="00E27BB2">
        <w:t>按照《男女平等法》第</w:t>
      </w:r>
      <w:r w:rsidRPr="00E27BB2">
        <w:t>13</w:t>
      </w:r>
      <w:r w:rsidRPr="00E27BB2">
        <w:t>条的规定</w:t>
      </w:r>
      <w:r w:rsidR="00FC5ECC">
        <w:t>，</w:t>
      </w:r>
      <w:r w:rsidRPr="00E27BB2">
        <w:t>提交消除或减轻不平等性别代表性措施计划和该计划实施情况年度报告。在此之后</w:t>
      </w:r>
      <w:r w:rsidR="00FC5ECC">
        <w:t>，</w:t>
      </w:r>
      <w:r w:rsidRPr="00E27BB2">
        <w:t>两性平等司的数据显示</w:t>
      </w:r>
      <w:r w:rsidR="00FC5ECC">
        <w:t>，</w:t>
      </w:r>
      <w:r w:rsidRPr="00E27BB2">
        <w:t>在总数为</w:t>
      </w:r>
      <w:r w:rsidR="00FC5ECC">
        <w:t>2,</w:t>
      </w:r>
      <w:r w:rsidRPr="00E27BB2">
        <w:t>684</w:t>
      </w:r>
      <w:r w:rsidRPr="00E27BB2">
        <w:t>个企业实体中</w:t>
      </w:r>
      <w:r w:rsidR="00FC5ECC">
        <w:t>，</w:t>
      </w:r>
      <w:r w:rsidRPr="00E27BB2">
        <w:t>约有</w:t>
      </w:r>
      <w:r w:rsidRPr="00E27BB2">
        <w:t>25</w:t>
      </w:r>
      <w:r w:rsidR="00FC5ECC">
        <w:t>%</w:t>
      </w:r>
      <w:r w:rsidRPr="00E27BB2">
        <w:t>在法定期限内履行了提交上述文件的义务。</w:t>
      </w:r>
    </w:p>
    <w:p w:rsidR="00BC40DA" w:rsidRPr="00E27BB2" w:rsidRDefault="00BC40DA" w:rsidP="00BC40DA">
      <w:pPr>
        <w:pStyle w:val="SingleTxtGC"/>
      </w:pPr>
      <w:r w:rsidRPr="00E27BB2">
        <w:t>2</w:t>
      </w:r>
      <w:r w:rsidR="00FC5ECC">
        <w:t>3.</w:t>
      </w:r>
      <w:r w:rsidR="00EB3A35">
        <w:rPr>
          <w:rFonts w:hint="eastAsia"/>
        </w:rPr>
        <w:t xml:space="preserve">  </w:t>
      </w:r>
      <w:r w:rsidRPr="00E27BB2">
        <w:t>2011</w:t>
      </w:r>
      <w:r w:rsidRPr="00E27BB2">
        <w:t>年</w:t>
      </w:r>
      <w:r w:rsidRPr="00E27BB2">
        <w:t>1</w:t>
      </w:r>
      <w:r w:rsidRPr="00E27BB2">
        <w:t>月至</w:t>
      </w:r>
      <w:r w:rsidRPr="00E27BB2">
        <w:t>12</w:t>
      </w:r>
      <w:r w:rsidRPr="00E27BB2">
        <w:t>月期间</w:t>
      </w:r>
      <w:r w:rsidR="00FC5ECC">
        <w:t>，</w:t>
      </w:r>
      <w:r w:rsidRPr="00E27BB2">
        <w:t>通过控制《男女平等法》的执行情况</w:t>
      </w:r>
      <w:r w:rsidR="00FC5ECC">
        <w:t>，</w:t>
      </w:r>
      <w:r w:rsidRPr="00E27BB2">
        <w:t>劳动和社会政策部的</w:t>
      </w:r>
      <w:r w:rsidRPr="00E27BB2">
        <w:rPr>
          <w:lang w:val="en-GB"/>
        </w:rPr>
        <w:t>监察</w:t>
      </w:r>
      <w:r w:rsidRPr="00E27BB2">
        <w:t>当局进行了</w:t>
      </w:r>
      <w:r w:rsidR="00FC5ECC">
        <w:t>3,</w:t>
      </w:r>
      <w:r w:rsidRPr="00E27BB2">
        <w:t>050</w:t>
      </w:r>
      <w:r w:rsidRPr="00E27BB2">
        <w:t>次</w:t>
      </w:r>
      <w:r w:rsidRPr="00E27BB2">
        <w:rPr>
          <w:lang w:val="en-GB"/>
        </w:rPr>
        <w:t>监察</w:t>
      </w:r>
      <w:r w:rsidR="00FC5ECC">
        <w:t>，</w:t>
      </w:r>
      <w:r w:rsidRPr="00E27BB2">
        <w:t>并通过了</w:t>
      </w:r>
      <w:r w:rsidRPr="00E27BB2">
        <w:t>51</w:t>
      </w:r>
      <w:r w:rsidRPr="00E27BB2">
        <w:t>项关于消除不足之处的决定。在监测时确认有</w:t>
      </w:r>
      <w:r w:rsidR="00FC5ECC">
        <w:t>1,</w:t>
      </w:r>
      <w:r w:rsidRPr="00E27BB2">
        <w:t>918</w:t>
      </w:r>
      <w:r w:rsidRPr="00E27BB2">
        <w:t>名男女雇主按照该法第</w:t>
      </w:r>
      <w:r w:rsidRPr="00E27BB2">
        <w:t>12</w:t>
      </w:r>
      <w:r w:rsidRPr="00E27BB2">
        <w:t>条对雇员的性别结构作了记录。在同一期间还发出了关于保护与两性平等相关的就业权的要求。进行了监测后</w:t>
      </w:r>
      <w:r w:rsidR="00FC5ECC">
        <w:t>，</w:t>
      </w:r>
      <w:r w:rsidRPr="00E27BB2">
        <w:t>又通过了另一项关于消除不足之处的决定。在此期间</w:t>
      </w:r>
      <w:r w:rsidR="00FC5ECC">
        <w:t>，</w:t>
      </w:r>
      <w:r w:rsidRPr="00E27BB2">
        <w:t>劳动和社会政策部</w:t>
      </w:r>
      <w:r w:rsidRPr="00E27BB2">
        <w:rPr>
          <w:lang w:val="en-GB"/>
        </w:rPr>
        <w:t>劳动监察司</w:t>
      </w:r>
      <w:r w:rsidRPr="00E27BB2">
        <w:t>没有提出关于根据《男女平等法》提起刑事诉讼的请求。</w:t>
      </w:r>
    </w:p>
    <w:p w:rsidR="00BC40DA" w:rsidRPr="00E27BB2" w:rsidRDefault="00BC40DA" w:rsidP="006D4B3F">
      <w:pPr>
        <w:pStyle w:val="SingleTxtGC"/>
        <w:rPr>
          <w:rFonts w:hint="eastAsia"/>
        </w:rPr>
      </w:pPr>
      <w:r w:rsidRPr="00E27BB2">
        <w:t>2</w:t>
      </w:r>
      <w:r w:rsidR="00FC5ECC">
        <w:t>4.</w:t>
      </w:r>
      <w:r w:rsidR="00EB3A35">
        <w:rPr>
          <w:rFonts w:hint="eastAsia"/>
        </w:rPr>
        <w:t xml:space="preserve">  </w:t>
      </w:r>
      <w:r w:rsidRPr="00E27BB2">
        <w:t>为了使妇女在选举中享有代表性</w:t>
      </w:r>
      <w:r w:rsidR="00FC5ECC">
        <w:t>，</w:t>
      </w:r>
      <w:r w:rsidRPr="00E27BB2">
        <w:t>经</w:t>
      </w:r>
      <w:r w:rsidRPr="00E27BB2">
        <w:t>2011</w:t>
      </w:r>
      <w:r w:rsidRPr="00E27BB2">
        <w:t>年</w:t>
      </w:r>
      <w:r w:rsidRPr="00E27BB2">
        <w:t>5</w:t>
      </w:r>
      <w:r w:rsidRPr="00E27BB2">
        <w:t>月订正的《议员选举法》</w:t>
      </w:r>
      <w:r w:rsidR="00EB3A35">
        <w:rPr>
          <w:rStyle w:val="FootnoteReference"/>
        </w:rPr>
        <w:footnoteReference w:id="13"/>
      </w:r>
      <w:r w:rsidRPr="00E27BB2">
        <w:t xml:space="preserve"> </w:t>
      </w:r>
      <w:r w:rsidRPr="00E27BB2">
        <w:t>规定</w:t>
      </w:r>
      <w:r w:rsidR="00FC5ECC">
        <w:t>，</w:t>
      </w:r>
      <w:r w:rsidRPr="00E27BB2">
        <w:t>作为</w:t>
      </w:r>
      <w:r w:rsidRPr="00E71FEB">
        <w:rPr>
          <w:rFonts w:eastAsia="KaiTi_GB2312"/>
        </w:rPr>
        <w:t>提名程序</w:t>
      </w:r>
      <w:r w:rsidRPr="00E27BB2">
        <w:t>的组成部分</w:t>
      </w:r>
      <w:r w:rsidR="00FC5ECC">
        <w:t>，</w:t>
      </w:r>
      <w:r w:rsidRPr="00E27BB2">
        <w:t>候选人名单必须根据某个性别的代表性较低的情况</w:t>
      </w:r>
      <w:r w:rsidR="00FC5ECC">
        <w:t>，</w:t>
      </w:r>
      <w:r w:rsidRPr="00E27BB2">
        <w:t>在按连续顺序</w:t>
      </w:r>
      <w:r w:rsidR="00FC5ECC">
        <w:t>(</w:t>
      </w:r>
      <w:r w:rsidRPr="00E27BB2">
        <w:t>第一批</w:t>
      </w:r>
      <w:r w:rsidRPr="00E27BB2">
        <w:t>3</w:t>
      </w:r>
      <w:r w:rsidRPr="00E27BB2">
        <w:t>名、第二批</w:t>
      </w:r>
      <w:r w:rsidRPr="00E27BB2">
        <w:t>3</w:t>
      </w:r>
      <w:r w:rsidRPr="00E27BB2">
        <w:t>名等等</w:t>
      </w:r>
      <w:r w:rsidR="00FC5ECC">
        <w:t>)</w:t>
      </w:r>
      <w:r w:rsidRPr="00E27BB2">
        <w:t>列出的每</w:t>
      </w:r>
      <w:r w:rsidRPr="00E27BB2">
        <w:t>3</w:t>
      </w:r>
      <w:r w:rsidRPr="00E27BB2">
        <w:t>名男女候选人中至少列出一名男候选人或女候选人。如果候选人名单不符合上述标准</w:t>
      </w:r>
      <w:r w:rsidR="00FC5ECC">
        <w:t>，</w:t>
      </w:r>
      <w:r w:rsidRPr="00E27BB2">
        <w:t>就将邀请一名经授权的审查者来消除此种缺陷</w:t>
      </w:r>
      <w:r w:rsidR="00FC5ECC">
        <w:t>，</w:t>
      </w:r>
      <w:r w:rsidRPr="00E27BB2">
        <w:t>如果该人做不到这一点</w:t>
      </w:r>
      <w:r w:rsidR="00FC5ECC">
        <w:t>，</w:t>
      </w:r>
      <w:r w:rsidRPr="00E27BB2">
        <w:t>主管当局即塞尔维亚共和国选举委员会将拒绝认可提交的候选人名单。经</w:t>
      </w:r>
      <w:r w:rsidRPr="00E27BB2">
        <w:t>2011</w:t>
      </w:r>
      <w:r w:rsidRPr="00E27BB2">
        <w:t>年</w:t>
      </w:r>
      <w:r w:rsidRPr="00E27BB2">
        <w:t>7</w:t>
      </w:r>
      <w:r w:rsidRPr="00E27BB2">
        <w:t>月订正的《地方选举法》</w:t>
      </w:r>
      <w:r w:rsidR="006D4B3F">
        <w:rPr>
          <w:rStyle w:val="FootnoteReference"/>
        </w:rPr>
        <w:footnoteReference w:id="14"/>
      </w:r>
      <w:r w:rsidRPr="00E27BB2">
        <w:t xml:space="preserve"> </w:t>
      </w:r>
      <w:r w:rsidRPr="00E27BB2">
        <w:t>规定</w:t>
      </w:r>
      <w:r w:rsidR="00FC5ECC">
        <w:t>，</w:t>
      </w:r>
      <w:r w:rsidRPr="00E27BB2">
        <w:t>候选人名单在按连续顺序</w:t>
      </w:r>
      <w:r w:rsidR="00FC5ECC">
        <w:t>(</w:t>
      </w:r>
      <w:r w:rsidRPr="00E27BB2">
        <w:t>第一批</w:t>
      </w:r>
      <w:r w:rsidRPr="00E27BB2">
        <w:t>3</w:t>
      </w:r>
      <w:r w:rsidRPr="00E27BB2">
        <w:t>名、第二批</w:t>
      </w:r>
      <w:r w:rsidRPr="00E27BB2">
        <w:t>3</w:t>
      </w:r>
      <w:r w:rsidRPr="00E27BB2">
        <w:t>名等等</w:t>
      </w:r>
      <w:r w:rsidR="00FC5ECC">
        <w:t>)</w:t>
      </w:r>
      <w:r w:rsidRPr="00E27BB2">
        <w:t>列出的每</w:t>
      </w:r>
      <w:r w:rsidRPr="00E27BB2">
        <w:t>3</w:t>
      </w:r>
      <w:r w:rsidRPr="00E27BB2">
        <w:t>名候选人中</w:t>
      </w:r>
      <w:r w:rsidR="00FC5ECC">
        <w:t>，</w:t>
      </w:r>
      <w:r w:rsidRPr="00E27BB2">
        <w:t>必须至少</w:t>
      </w:r>
      <w:r w:rsidR="00255E15">
        <w:rPr>
          <w:rFonts w:hint="eastAsia"/>
        </w:rPr>
        <w:t>包括一名候选人</w:t>
      </w:r>
      <w:r w:rsidR="00255E15">
        <w:rPr>
          <w:rFonts w:hint="eastAsia"/>
          <w:spacing w:val="-50"/>
        </w:rPr>
        <w:t>―</w:t>
      </w:r>
      <w:r w:rsidR="00255E15">
        <w:rPr>
          <w:rFonts w:hint="eastAsia"/>
        </w:rPr>
        <w:t>―</w:t>
      </w:r>
      <w:r w:rsidRPr="00E27BB2">
        <w:t>该名单中代表性较低</w:t>
      </w:r>
      <w:r w:rsidR="00255E15">
        <w:t>性别的一名成员</w:t>
      </w:r>
      <w:r w:rsidR="00FC5ECC">
        <w:t>(</w:t>
      </w:r>
      <w:r w:rsidRPr="00E27BB2">
        <w:t>第</w:t>
      </w:r>
      <w:r w:rsidRPr="00E27BB2">
        <w:t>20</w:t>
      </w:r>
      <w:r w:rsidRPr="00E27BB2">
        <w:t>条第</w:t>
      </w:r>
      <w:r w:rsidRPr="00E27BB2">
        <w:t>3</w:t>
      </w:r>
      <w:r w:rsidRPr="00E27BB2">
        <w:t>款</w:t>
      </w:r>
      <w:r w:rsidR="00FC5ECC">
        <w:t>)</w:t>
      </w:r>
      <w:r w:rsidRPr="00E27BB2">
        <w:t>。塞尔维亚共和国已首次将此种解决办法用于在</w:t>
      </w:r>
      <w:r w:rsidRPr="00E27BB2">
        <w:t>2012</w:t>
      </w:r>
      <w:r w:rsidRPr="00E27BB2">
        <w:t>年</w:t>
      </w:r>
      <w:r w:rsidRPr="00E27BB2">
        <w:t>5</w:t>
      </w:r>
      <w:r w:rsidRPr="00E27BB2">
        <w:t>月</w:t>
      </w:r>
      <w:r w:rsidRPr="00E27BB2">
        <w:t>6</w:t>
      </w:r>
      <w:r w:rsidRPr="00E27BB2">
        <w:t>日举行的国民议会选举以及省、市、市镇自治单位立法机构的选举中。</w:t>
      </w:r>
    </w:p>
    <w:p w:rsidR="00BC40DA" w:rsidRPr="00E27BB2" w:rsidRDefault="006D4B3F" w:rsidP="006D4B3F">
      <w:pPr>
        <w:pStyle w:val="H1GC"/>
      </w:pPr>
      <w:r>
        <w:rPr>
          <w:rFonts w:hint="eastAsia"/>
        </w:rPr>
        <w:tab/>
      </w:r>
      <w:r>
        <w:rPr>
          <w:rFonts w:hint="eastAsia"/>
        </w:rPr>
        <w:tab/>
      </w:r>
      <w:r w:rsidR="00BC40DA" w:rsidRPr="00E27BB2">
        <w:t>陈旧观念和有害习俗</w:t>
      </w:r>
    </w:p>
    <w:p w:rsidR="00BC40DA" w:rsidRPr="00E27BB2" w:rsidRDefault="006D4B3F" w:rsidP="006D4B3F">
      <w:pPr>
        <w:pStyle w:val="H23GC"/>
      </w:pPr>
      <w:r>
        <w:rPr>
          <w:rFonts w:hint="eastAsia"/>
        </w:rPr>
        <w:tab/>
      </w:r>
      <w:r>
        <w:rPr>
          <w:rFonts w:hint="eastAsia"/>
        </w:rPr>
        <w:tab/>
      </w:r>
      <w:r w:rsidR="00BC40DA" w:rsidRPr="00E27BB2">
        <w:t>对问题清单第</w:t>
      </w:r>
      <w:r w:rsidR="00BC40DA" w:rsidRPr="00E27BB2">
        <w:t>4</w:t>
      </w:r>
      <w:r w:rsidR="00BC40DA" w:rsidRPr="00E27BB2">
        <w:t>段所提问题的答复</w:t>
      </w:r>
    </w:p>
    <w:p w:rsidR="00BC40DA" w:rsidRPr="00E27BB2" w:rsidRDefault="00BC40DA" w:rsidP="006D4B3F">
      <w:pPr>
        <w:pStyle w:val="SingleTxtGC"/>
      </w:pPr>
      <w:r w:rsidRPr="00E27BB2">
        <w:t>2</w:t>
      </w:r>
      <w:r w:rsidR="00FC5ECC">
        <w:t>5.</w:t>
      </w:r>
      <w:r w:rsidR="006D4B3F">
        <w:rPr>
          <w:rFonts w:hint="eastAsia"/>
        </w:rPr>
        <w:t xml:space="preserve">  </w:t>
      </w:r>
      <w:r w:rsidRPr="00E27BB2">
        <w:t>2010</w:t>
      </w:r>
      <w:r w:rsidRPr="00E27BB2">
        <w:t>和</w:t>
      </w:r>
      <w:r w:rsidRPr="00E27BB2">
        <w:t>2011</w:t>
      </w:r>
      <w:r w:rsidRPr="00E27BB2">
        <w:t>年</w:t>
      </w:r>
      <w:r w:rsidR="00FC5ECC">
        <w:t>，</w:t>
      </w:r>
      <w:r w:rsidRPr="00E27BB2">
        <w:t>文化、媒体和信息社会部根据信息和媒体领域的职权范围</w:t>
      </w:r>
      <w:r w:rsidR="00FC5ECC">
        <w:t>，</w:t>
      </w:r>
      <w:r w:rsidRPr="00E27BB2">
        <w:t>继续支持实施大众媒体和制作项目</w:t>
      </w:r>
      <w:r w:rsidR="00FC5ECC">
        <w:t>/</w:t>
      </w:r>
      <w:r w:rsidRPr="00E27BB2">
        <w:t>方案</w:t>
      </w:r>
      <w:r w:rsidR="00FC5ECC">
        <w:t>，</w:t>
      </w:r>
      <w:r w:rsidRPr="00E27BB2">
        <w:t>这些项目</w:t>
      </w:r>
      <w:r w:rsidR="00FC5ECC">
        <w:t>/</w:t>
      </w:r>
      <w:r w:rsidRPr="00E27BB2">
        <w:t>方案的目的是指出妇女在社会中所处的地位以及该领域中一系列范围广泛的问题</w:t>
      </w:r>
      <w:r w:rsidR="00FC5ECC">
        <w:t>，</w:t>
      </w:r>
      <w:r w:rsidRPr="00E27BB2">
        <w:t>例如暴力侵害妇女</w:t>
      </w:r>
      <w:r w:rsidR="00FC5ECC">
        <w:t>，</w:t>
      </w:r>
      <w:r w:rsidRPr="00E27BB2">
        <w:t>在社会生活各个方面存在的歧视行为</w:t>
      </w:r>
      <w:r w:rsidR="00FC5ECC">
        <w:t>，</w:t>
      </w:r>
      <w:r w:rsidRPr="00E27BB2">
        <w:t>对妇女的家庭和社会角色的陈旧观念。</w:t>
      </w:r>
    </w:p>
    <w:p w:rsidR="00BC40DA" w:rsidRPr="00E27BB2" w:rsidRDefault="00BC40DA" w:rsidP="006D4B3F">
      <w:pPr>
        <w:pStyle w:val="SingleTxtGC"/>
        <w:rPr>
          <w:rFonts w:hint="eastAsia"/>
        </w:rPr>
      </w:pPr>
      <w:r w:rsidRPr="00E27BB2">
        <w:t>2</w:t>
      </w:r>
      <w:r w:rsidR="00FC5ECC">
        <w:t>6.</w:t>
      </w:r>
      <w:r w:rsidR="006D4B3F">
        <w:rPr>
          <w:rFonts w:hint="eastAsia"/>
        </w:rPr>
        <w:t xml:space="preserve">  </w:t>
      </w:r>
      <w:r w:rsidRPr="00E27BB2">
        <w:t>文化、媒体和信息社会部致力于通过载有明确的条件和标准的标书为促进公众利益提供经费。关键的标准之一是提供信息</w:t>
      </w:r>
      <w:r w:rsidR="00FC5ECC">
        <w:t>，</w:t>
      </w:r>
      <w:r w:rsidRPr="00E27BB2">
        <w:t>并确保开展工作</w:t>
      </w:r>
      <w:r w:rsidR="00FC5ECC">
        <w:t>，</w:t>
      </w:r>
      <w:r w:rsidRPr="00E27BB2">
        <w:t>以求改善所有社会成员的地位和平等待遇。</w:t>
      </w:r>
    </w:p>
    <w:p w:rsidR="00BC40DA" w:rsidRPr="00E27BB2" w:rsidRDefault="00BC40DA" w:rsidP="006D4B3F">
      <w:pPr>
        <w:pStyle w:val="SingleTxtGC"/>
      </w:pPr>
      <w:r w:rsidRPr="00E27BB2">
        <w:t>2</w:t>
      </w:r>
      <w:r w:rsidR="00FC5ECC">
        <w:t>7.</w:t>
      </w:r>
      <w:r w:rsidR="006D4B3F">
        <w:rPr>
          <w:rFonts w:hint="eastAsia"/>
        </w:rPr>
        <w:t xml:space="preserve">  </w:t>
      </w:r>
      <w:r w:rsidRPr="00E27BB2">
        <w:t>因此</w:t>
      </w:r>
      <w:r w:rsidR="00FC5ECC">
        <w:t>，</w:t>
      </w:r>
      <w:r w:rsidRPr="00E27BB2">
        <w:t>为</w:t>
      </w:r>
      <w:r w:rsidRPr="00E27BB2">
        <w:t>2010</w:t>
      </w:r>
      <w:r w:rsidRPr="00E27BB2">
        <w:t>年公共信息领域各项目</w:t>
      </w:r>
      <w:r w:rsidR="00FC5ECC">
        <w:t>/</w:t>
      </w:r>
      <w:r w:rsidRPr="00E27BB2">
        <w:t>方案共同筹集经费的招标工作提供了</w:t>
      </w:r>
      <w:r w:rsidRPr="00E27BB2">
        <w:t>28</w:t>
      </w:r>
      <w:r w:rsidR="00FC5ECC">
        <w:t>7,</w:t>
      </w:r>
      <w:r w:rsidRPr="00E27BB2">
        <w:t>712</w:t>
      </w:r>
      <w:r w:rsidR="00C16E5B">
        <w:rPr>
          <w:rFonts w:hint="eastAsia"/>
        </w:rPr>
        <w:t>.00</w:t>
      </w:r>
      <w:r w:rsidRPr="00E27BB2">
        <w:t>塞尔维亚第纳尔</w:t>
      </w:r>
      <w:r w:rsidR="00FC5ECC">
        <w:t>，</w:t>
      </w:r>
      <w:r w:rsidRPr="00E27BB2">
        <w:t>用以支助从波扎雷瓦茨</w:t>
      </w:r>
      <w:r w:rsidRPr="00E27BB2">
        <w:t>BOOM</w:t>
      </w:r>
      <w:r w:rsidRPr="006D4B3F">
        <w:rPr>
          <w:vertAlign w:val="superscript"/>
        </w:rPr>
        <w:t xml:space="preserve"> </w:t>
      </w:r>
      <w:r w:rsidRPr="00E27BB2">
        <w:t>93</w:t>
      </w:r>
      <w:r w:rsidRPr="00E27BB2">
        <w:t>广播电台播放相关节目的名为</w:t>
      </w:r>
      <w:r w:rsidR="006D4B3F">
        <w:rPr>
          <w:rFonts w:hint="eastAsia"/>
        </w:rPr>
        <w:t>“</w:t>
      </w:r>
      <w:r w:rsidRPr="00E27BB2">
        <w:t>积极</w:t>
      </w:r>
      <w:r w:rsidR="00DB142B">
        <w:rPr>
          <w:rFonts w:hint="eastAsia"/>
        </w:rPr>
        <w:t>、</w:t>
      </w:r>
      <w:r w:rsidRPr="00E27BB2">
        <w:t>坚强</w:t>
      </w:r>
      <w:r w:rsidR="00DB142B">
        <w:rPr>
          <w:rFonts w:hint="eastAsia"/>
        </w:rPr>
        <w:t>、</w:t>
      </w:r>
      <w:r w:rsidRPr="00E27BB2">
        <w:t>成为你自己</w:t>
      </w:r>
      <w:r w:rsidR="00DB142B">
        <w:rPr>
          <w:rFonts w:hint="eastAsia"/>
          <w:spacing w:val="-50"/>
        </w:rPr>
        <w:t>―</w:t>
      </w:r>
      <w:r w:rsidR="00DB142B">
        <w:rPr>
          <w:rFonts w:hint="eastAsia"/>
        </w:rPr>
        <w:t>―</w:t>
      </w:r>
      <w:r w:rsidRPr="00E27BB2">
        <w:t>妇女可做到这一点</w:t>
      </w:r>
      <w:r w:rsidR="006D4B3F">
        <w:rPr>
          <w:rFonts w:hint="eastAsia"/>
        </w:rPr>
        <w:t>”</w:t>
      </w:r>
      <w:r w:rsidRPr="00E27BB2">
        <w:t>的项目。该电台播放了</w:t>
      </w:r>
      <w:r w:rsidRPr="00E27BB2">
        <w:t>24</w:t>
      </w:r>
      <w:r w:rsidRPr="00E27BB2">
        <w:t>部纪录片和辩论广播节目</w:t>
      </w:r>
      <w:r w:rsidR="00FC5ECC">
        <w:t>，</w:t>
      </w:r>
      <w:r w:rsidRPr="00E27BB2">
        <w:t>使公众了解妇女在我国社会的社会形象和地位</w:t>
      </w:r>
      <w:r w:rsidR="00FC5ECC">
        <w:t>，</w:t>
      </w:r>
      <w:r w:rsidRPr="00E27BB2">
        <w:t>该项目还介绍了成功和尽职的企业妇女</w:t>
      </w:r>
      <w:r w:rsidR="00FC5ECC">
        <w:t>，</w:t>
      </w:r>
      <w:r w:rsidRPr="00E27BB2">
        <w:t>并强调使妇女参与政治生活的重要性</w:t>
      </w:r>
      <w:r w:rsidR="00FC5ECC">
        <w:t>，</w:t>
      </w:r>
      <w:r w:rsidRPr="00E27BB2">
        <w:t>从而有助于肯定妇女作为社会生活的创造者和积极参与者的作用。为科索沃和梅托希亚自治省境内</w:t>
      </w:r>
      <w:r w:rsidRPr="00E27BB2">
        <w:t>2010</w:t>
      </w:r>
      <w:r w:rsidRPr="00E27BB2">
        <w:t>年的电子媒体项目</w:t>
      </w:r>
      <w:r w:rsidR="00FC5ECC">
        <w:t>/</w:t>
      </w:r>
      <w:r w:rsidRPr="00E27BB2">
        <w:t>方案共同筹集经费的招标工作提供了</w:t>
      </w:r>
      <w:r w:rsidRPr="00E27BB2">
        <w:t>42</w:t>
      </w:r>
      <w:r w:rsidR="00FC5ECC">
        <w:t>9,</w:t>
      </w:r>
      <w:r w:rsidRPr="00E27BB2">
        <w:t>000</w:t>
      </w:r>
      <w:r w:rsidR="00935614">
        <w:rPr>
          <w:rFonts w:hint="eastAsia"/>
        </w:rPr>
        <w:t>.00</w:t>
      </w:r>
      <w:r w:rsidRPr="00E27BB2">
        <w:t>塞尔维亚第纳尔</w:t>
      </w:r>
      <w:r w:rsidR="00FC5ECC">
        <w:t>，</w:t>
      </w:r>
      <w:r w:rsidRPr="00E27BB2">
        <w:t>用以支助葛兰卡尼卡</w:t>
      </w:r>
      <w:r w:rsidRPr="00E27BB2">
        <w:t>KM</w:t>
      </w:r>
      <w:r w:rsidRPr="00E27BB2">
        <w:t>广播电台名为</w:t>
      </w:r>
      <w:r w:rsidR="006D4B3F">
        <w:rPr>
          <w:rFonts w:hint="eastAsia"/>
        </w:rPr>
        <w:t>“</w:t>
      </w:r>
      <w:r w:rsidRPr="00E27BB2">
        <w:t>大力宣传妇女和青年权利</w:t>
      </w:r>
      <w:r w:rsidR="006D4B3F">
        <w:rPr>
          <w:rFonts w:hint="eastAsia"/>
        </w:rPr>
        <w:t>”</w:t>
      </w:r>
      <w:r w:rsidRPr="00E27BB2">
        <w:t>的项目。该项目播出了</w:t>
      </w:r>
      <w:r w:rsidRPr="00E27BB2">
        <w:t>26</w:t>
      </w:r>
      <w:r w:rsidRPr="00E27BB2">
        <w:t>个节目</w:t>
      </w:r>
      <w:r w:rsidR="00FC5ECC">
        <w:t>，</w:t>
      </w:r>
      <w:r w:rsidRPr="00E27BB2">
        <w:t>讨论科索沃和梅托希亚自治省境内妇女</w:t>
      </w:r>
      <w:r w:rsidR="00FC5ECC">
        <w:t>(</w:t>
      </w:r>
      <w:r w:rsidRPr="00E27BB2">
        <w:t>和青年</w:t>
      </w:r>
      <w:r w:rsidR="00FC5ECC">
        <w:t>)</w:t>
      </w:r>
      <w:r w:rsidRPr="00E27BB2">
        <w:t>的地位问题</w:t>
      </w:r>
      <w:r w:rsidR="00FC5ECC">
        <w:t>，</w:t>
      </w:r>
      <w:r w:rsidRPr="00E27BB2">
        <w:t>由于该地区普遍流行对妇女地位的传统观点</w:t>
      </w:r>
      <w:r w:rsidR="00FC5ECC">
        <w:t>，</w:t>
      </w:r>
      <w:r w:rsidRPr="00E27BB2">
        <w:t>人们极少也不愿意谈论这一问题。这些节目专门讨论妇女的现有社会地位以及她们行使其就业和经济创业权利的可能性。对这些节目的反应很可观</w:t>
      </w:r>
      <w:r w:rsidR="00FC5ECC">
        <w:t>，</w:t>
      </w:r>
      <w:r w:rsidRPr="00E27BB2">
        <w:t>因为节目采用了互动方式</w:t>
      </w:r>
      <w:r w:rsidR="00FC5ECC">
        <w:t>，</w:t>
      </w:r>
      <w:r w:rsidRPr="00E27BB2">
        <w:t>使听众能积极地参与其制作工作。</w:t>
      </w:r>
    </w:p>
    <w:p w:rsidR="00BC40DA" w:rsidRPr="00E27BB2" w:rsidRDefault="00BC40DA" w:rsidP="00CC509A">
      <w:pPr>
        <w:pStyle w:val="SingleTxtGC"/>
      </w:pPr>
      <w:r w:rsidRPr="00E27BB2">
        <w:t>2</w:t>
      </w:r>
      <w:r w:rsidR="00FC5ECC">
        <w:t>8.</w:t>
      </w:r>
      <w:r w:rsidR="00CC509A">
        <w:rPr>
          <w:rFonts w:hint="eastAsia"/>
        </w:rPr>
        <w:t xml:space="preserve">  </w:t>
      </w:r>
      <w:r w:rsidRPr="00E27BB2">
        <w:t>为</w:t>
      </w:r>
      <w:r w:rsidRPr="00E27BB2">
        <w:t>2011</w:t>
      </w:r>
      <w:r w:rsidRPr="00E27BB2">
        <w:t>年公共信息领域共同筹集经费的招标工作支助了</w:t>
      </w:r>
      <w:r w:rsidRPr="00E27BB2">
        <w:t>4</w:t>
      </w:r>
      <w:r w:rsidRPr="00E27BB2">
        <w:t>个项目</w:t>
      </w:r>
      <w:r w:rsidR="00FC5ECC">
        <w:t>，</w:t>
      </w:r>
      <w:r w:rsidRPr="00E27BB2">
        <w:t>以求应对妇女社会地位以下各方面的问题和予以改善的可能性</w:t>
      </w:r>
      <w:r w:rsidR="00FC5ECC">
        <w:t>：</w:t>
      </w:r>
    </w:p>
    <w:p w:rsidR="00BC40DA" w:rsidRPr="00E27BB2" w:rsidRDefault="00BC40DA" w:rsidP="00CC509A">
      <w:pPr>
        <w:pStyle w:val="SingleTxtGC"/>
        <w:numPr>
          <w:ilvl w:val="0"/>
          <w:numId w:val="47"/>
        </w:numPr>
      </w:pPr>
      <w:r w:rsidRPr="00E27BB2">
        <w:t>设在弗尔巴斯的公营信息公司</w:t>
      </w:r>
      <w:r w:rsidR="00CC509A">
        <w:rPr>
          <w:rFonts w:hint="eastAsia"/>
          <w:lang w:val="en-GB"/>
        </w:rPr>
        <w:t>“</w:t>
      </w:r>
      <w:r w:rsidR="00CC509A">
        <w:rPr>
          <w:lang w:val="en-GB"/>
        </w:rPr>
        <w:t>Vrbas</w:t>
      </w:r>
      <w:r w:rsidR="00CC509A">
        <w:rPr>
          <w:rFonts w:hint="eastAsia"/>
          <w:lang w:val="en-GB"/>
        </w:rPr>
        <w:t>”</w:t>
      </w:r>
      <w:r w:rsidR="00FC5ECC">
        <w:rPr>
          <w:lang w:val="en-GB"/>
        </w:rPr>
        <w:t>(</w:t>
      </w:r>
      <w:r w:rsidRPr="00E27BB2">
        <w:rPr>
          <w:lang w:val="en-GB"/>
        </w:rPr>
        <w:t>Ba</w:t>
      </w:r>
      <w:r w:rsidRPr="00E27BB2">
        <w:rPr>
          <w:rFonts w:eastAsia="MS Mincho"/>
          <w:lang w:val="en-GB"/>
        </w:rPr>
        <w:t>č</w:t>
      </w:r>
      <w:r w:rsidRPr="00E27BB2">
        <w:rPr>
          <w:lang w:val="en-GB"/>
        </w:rPr>
        <w:t>ka</w:t>
      </w:r>
      <w:r w:rsidRPr="00E27BB2">
        <w:rPr>
          <w:lang w:val="en-GB"/>
        </w:rPr>
        <w:t>电视台</w:t>
      </w:r>
      <w:r w:rsidR="00FC5ECC">
        <w:rPr>
          <w:lang w:val="en-GB"/>
        </w:rPr>
        <w:t>)</w:t>
      </w:r>
      <w:r w:rsidRPr="00E27BB2">
        <w:t>名为</w:t>
      </w:r>
      <w:r w:rsidR="00CC509A">
        <w:rPr>
          <w:rFonts w:hint="eastAsia"/>
        </w:rPr>
        <w:t>“</w:t>
      </w:r>
      <w:r w:rsidRPr="00E27BB2">
        <w:t>妇女参与政治活动</w:t>
      </w:r>
      <w:r w:rsidR="00CC509A">
        <w:rPr>
          <w:rFonts w:hint="eastAsia"/>
        </w:rPr>
        <w:t>”</w:t>
      </w:r>
      <w:r w:rsidRPr="00E27BB2">
        <w:t>的项目获得了</w:t>
      </w:r>
      <w:r w:rsidRPr="00E27BB2">
        <w:t>50</w:t>
      </w:r>
      <w:r w:rsidRPr="00E27BB2">
        <w:t>万塞尔维亚第纳尔的赠款。该项目播放了</w:t>
      </w:r>
      <w:r w:rsidRPr="00E27BB2">
        <w:t>13</w:t>
      </w:r>
      <w:r w:rsidRPr="00E27BB2">
        <w:t>个电视节目</w:t>
      </w:r>
      <w:r w:rsidR="00FC5ECC">
        <w:t>，</w:t>
      </w:r>
      <w:r w:rsidRPr="00E27BB2">
        <w:t>每一个节目专题介绍了一名来自不同党派的积极参与政治活动的妇女</w:t>
      </w:r>
      <w:r w:rsidR="00FC5ECC">
        <w:t>，</w:t>
      </w:r>
      <w:r w:rsidRPr="00E27BB2">
        <w:t>从而实现了该项目将妇女纳入地方一级政治生活的目标。根据节目的观众和参与者作出的许多积极反应</w:t>
      </w:r>
      <w:r w:rsidR="00FC5ECC">
        <w:t>，</w:t>
      </w:r>
      <w:r w:rsidRPr="00E27BB2">
        <w:t>该项目被评为成功的项目</w:t>
      </w:r>
      <w:r w:rsidR="00FC5ECC">
        <w:t>，</w:t>
      </w:r>
      <w:r w:rsidRPr="00E27BB2">
        <w:t>从而使文化、媒体和信息社会部对展现肯定妇女作用的一个重要方面和改变她们的社会角色作出了贡献</w:t>
      </w:r>
      <w:r w:rsidR="00FC5ECC">
        <w:t>，</w:t>
      </w:r>
      <w:r w:rsidRPr="00E27BB2">
        <w:t>在地方一级尤为明显</w:t>
      </w:r>
      <w:r w:rsidR="00FC5ECC">
        <w:t>；</w:t>
      </w:r>
    </w:p>
    <w:p w:rsidR="00BC40DA" w:rsidRPr="00E27BB2" w:rsidRDefault="00BC40DA" w:rsidP="00CC509A">
      <w:pPr>
        <w:pStyle w:val="SingleTxtGC"/>
        <w:numPr>
          <w:ilvl w:val="0"/>
          <w:numId w:val="47"/>
        </w:numPr>
      </w:pPr>
      <w:r w:rsidRPr="00E27BB2">
        <w:t>制作设在扎耶查尔的</w:t>
      </w:r>
      <w:r w:rsidR="00CC509A">
        <w:rPr>
          <w:rFonts w:hint="eastAsia"/>
        </w:rPr>
        <w:t>“</w:t>
      </w:r>
      <w:r w:rsidRPr="00E27BB2">
        <w:t>101</w:t>
      </w:r>
      <w:r w:rsidRPr="00E27BB2">
        <w:t>工作室</w:t>
      </w:r>
      <w:r w:rsidR="00CC509A">
        <w:rPr>
          <w:rFonts w:hint="eastAsia"/>
        </w:rPr>
        <w:t>”</w:t>
      </w:r>
      <w:r w:rsidRPr="00E27BB2">
        <w:t>的广播和电视节目的机构获得了</w:t>
      </w:r>
      <w:r w:rsidRPr="00E27BB2">
        <w:t>60</w:t>
      </w:r>
      <w:r w:rsidRPr="00E27BB2">
        <w:t>万塞尔维亚第纳尔的资助</w:t>
      </w:r>
      <w:r w:rsidR="00FC5ECC">
        <w:t>，</w:t>
      </w:r>
      <w:r w:rsidRPr="00E27BB2">
        <w:t>用以支助名为</w:t>
      </w:r>
      <w:r w:rsidR="00CC509A">
        <w:rPr>
          <w:rFonts w:hint="eastAsia"/>
        </w:rPr>
        <w:t>“</w:t>
      </w:r>
      <w:r w:rsidRPr="00E27BB2">
        <w:t>隐藏的日常生活</w:t>
      </w:r>
      <w:r w:rsidR="00713678">
        <w:rPr>
          <w:rFonts w:hint="eastAsia"/>
          <w:spacing w:val="-50"/>
        </w:rPr>
        <w:t>―</w:t>
      </w:r>
      <w:r w:rsidR="00713678">
        <w:rPr>
          <w:rFonts w:hint="eastAsia"/>
        </w:rPr>
        <w:t>―</w:t>
      </w:r>
      <w:r w:rsidRPr="00E27BB2">
        <w:t>暴力侵害妇女</w:t>
      </w:r>
      <w:r w:rsidR="00CC509A">
        <w:rPr>
          <w:rFonts w:hint="eastAsia"/>
        </w:rPr>
        <w:t>”</w:t>
      </w:r>
      <w:r w:rsidRPr="00E27BB2">
        <w:t>的项目。该项目在扎耶查尔的</w:t>
      </w:r>
      <w:r w:rsidR="00626DA5">
        <w:rPr>
          <w:rFonts w:hint="eastAsia"/>
        </w:rPr>
        <w:t>“</w:t>
      </w:r>
      <w:r w:rsidRPr="00E27BB2">
        <w:rPr>
          <w:lang w:val="en-GB"/>
        </w:rPr>
        <w:t>TV Folk Disc</w:t>
      </w:r>
      <w:r w:rsidR="00626DA5">
        <w:rPr>
          <w:rFonts w:hint="eastAsia"/>
          <w:lang w:val="en-GB"/>
        </w:rPr>
        <w:t>”</w:t>
      </w:r>
      <w:r w:rsidRPr="00E27BB2">
        <w:t>电视频道和尼什的</w:t>
      </w:r>
      <w:r w:rsidR="00626DA5">
        <w:rPr>
          <w:rFonts w:hint="eastAsia"/>
          <w:lang w:val="en-GB"/>
        </w:rPr>
        <w:t>“</w:t>
      </w:r>
      <w:r w:rsidR="00626DA5">
        <w:rPr>
          <w:lang w:val="en-GB"/>
        </w:rPr>
        <w:t>TV 5</w:t>
      </w:r>
      <w:r w:rsidR="00626DA5">
        <w:rPr>
          <w:rFonts w:hint="eastAsia"/>
          <w:lang w:val="en-GB"/>
        </w:rPr>
        <w:t>”</w:t>
      </w:r>
      <w:r w:rsidRPr="00E27BB2">
        <w:rPr>
          <w:lang w:val="en-GB"/>
        </w:rPr>
        <w:t>电视频道黄金时段播出</w:t>
      </w:r>
      <w:r w:rsidRPr="00E27BB2">
        <w:t>3</w:t>
      </w:r>
      <w:r w:rsidRPr="00E27BB2">
        <w:t>个半小时的电视节目</w:t>
      </w:r>
      <w:r w:rsidR="00FC5ECC">
        <w:t>，</w:t>
      </w:r>
      <w:r w:rsidRPr="00E27BB2">
        <w:t>以此显示暴力侵害妇女的行为并说明以系统的方式并按照《提高妇女地位和促进两性平等国家战略》</w:t>
      </w:r>
      <w:r w:rsidR="00626DA5">
        <w:rPr>
          <w:rStyle w:val="FootnoteReference"/>
        </w:rPr>
        <w:footnoteReference w:id="15"/>
      </w:r>
      <w:r w:rsidRPr="00E27BB2">
        <w:t xml:space="preserve"> </w:t>
      </w:r>
      <w:r w:rsidRPr="00E27BB2">
        <w:t>的目标应对这一严重社会问题的方法</w:t>
      </w:r>
      <w:r w:rsidR="00FC5ECC">
        <w:t>；</w:t>
      </w:r>
    </w:p>
    <w:p w:rsidR="00BC40DA" w:rsidRPr="00E27BB2" w:rsidRDefault="00BC40DA" w:rsidP="00CC509A">
      <w:pPr>
        <w:pStyle w:val="SingleTxtGC"/>
        <w:numPr>
          <w:ilvl w:val="0"/>
          <w:numId w:val="47"/>
        </w:numPr>
      </w:pPr>
      <w:r w:rsidRPr="00E27BB2">
        <w:t>Asterians</w:t>
      </w:r>
      <w:r w:rsidRPr="00E27BB2">
        <w:t>电信、贸易和服务公司的</w:t>
      </w:r>
      <w:r w:rsidRPr="00E27BB2">
        <w:rPr>
          <w:lang w:val="en-GB"/>
        </w:rPr>
        <w:t xml:space="preserve">Mah </w:t>
      </w:r>
      <w:r w:rsidRPr="00E27BB2">
        <w:rPr>
          <w:rFonts w:eastAsia="MS Mincho"/>
          <w:lang w:val="en-GB"/>
        </w:rPr>
        <w:t>Č</w:t>
      </w:r>
      <w:r w:rsidRPr="00E27BB2">
        <w:rPr>
          <w:lang w:val="en-GB"/>
        </w:rPr>
        <w:t>oka</w:t>
      </w:r>
      <w:r w:rsidRPr="00E27BB2">
        <w:rPr>
          <w:lang w:val="en-GB"/>
        </w:rPr>
        <w:t>广播</w:t>
      </w:r>
      <w:r w:rsidRPr="00E27BB2">
        <w:t>电台获得了</w:t>
      </w:r>
      <w:r w:rsidRPr="00E27BB2">
        <w:t>19</w:t>
      </w:r>
      <w:r w:rsidR="00FC5ECC">
        <w:t>9,</w:t>
      </w:r>
      <w:r w:rsidRPr="00E27BB2">
        <w:t>140</w:t>
      </w:r>
      <w:r w:rsidR="0025384F">
        <w:rPr>
          <w:rFonts w:hint="eastAsia"/>
        </w:rPr>
        <w:t>.00</w:t>
      </w:r>
      <w:r w:rsidRPr="00E27BB2">
        <w:t>塞尔维亚第纳尔的资助</w:t>
      </w:r>
      <w:r w:rsidR="00FC5ECC">
        <w:t>，</w:t>
      </w:r>
      <w:r w:rsidRPr="00E27BB2">
        <w:t>用以支助名为</w:t>
      </w:r>
      <w:r w:rsidR="00740DCA">
        <w:rPr>
          <w:rFonts w:hint="eastAsia"/>
        </w:rPr>
        <w:t>“</w:t>
      </w:r>
      <w:r w:rsidRPr="00E27BB2">
        <w:t>提高公众对妇女权利和不接受基于性别暴力的认识</w:t>
      </w:r>
      <w:r w:rsidR="00740DCA">
        <w:rPr>
          <w:rFonts w:hint="eastAsia"/>
        </w:rPr>
        <w:t>”</w:t>
      </w:r>
      <w:r w:rsidRPr="00E27BB2">
        <w:t>的项目。该项目播放了</w:t>
      </w:r>
      <w:r w:rsidRPr="00E27BB2">
        <w:t>15</w:t>
      </w:r>
      <w:r w:rsidRPr="00E27BB2">
        <w:t>个为时</w:t>
      </w:r>
      <w:r w:rsidRPr="00E27BB2">
        <w:t>45</w:t>
      </w:r>
      <w:r w:rsidRPr="00E27BB2">
        <w:t>分钟的广播节目</w:t>
      </w:r>
      <w:r w:rsidR="00FC5ECC">
        <w:t>，</w:t>
      </w:r>
      <w:r w:rsidRPr="00E27BB2">
        <w:t>以求实现提高妇女地位和提高公众对妇女权利和不接受基于性别暴力的认识的项目目标。这些节目从不同的方面应对了暴力侵害妇女问题</w:t>
      </w:r>
      <w:r w:rsidR="00FC5ECC">
        <w:t>，</w:t>
      </w:r>
      <w:r w:rsidRPr="00E27BB2">
        <w:t>其中之一是文化方面</w:t>
      </w:r>
      <w:r w:rsidR="00FC5ECC">
        <w:t>，</w:t>
      </w:r>
      <w:r w:rsidRPr="00E27BB2">
        <w:t>即对妇女的家庭和社会地位的家长式理解</w:t>
      </w:r>
      <w:r w:rsidR="00FC5ECC">
        <w:t>，</w:t>
      </w:r>
      <w:r w:rsidRPr="00E27BB2">
        <w:t>会影响到恃强凌弱者和受害者是否承认存在暴力行为的问题</w:t>
      </w:r>
      <w:r w:rsidR="00FC5ECC">
        <w:t>；</w:t>
      </w:r>
    </w:p>
    <w:p w:rsidR="00BC40DA" w:rsidRPr="00E27BB2" w:rsidRDefault="00BC40DA" w:rsidP="00CC509A">
      <w:pPr>
        <w:pStyle w:val="SingleTxtGC"/>
        <w:numPr>
          <w:ilvl w:val="0"/>
          <w:numId w:val="47"/>
        </w:numPr>
      </w:pPr>
      <w:r w:rsidRPr="00E27BB2">
        <w:rPr>
          <w:lang w:val="en-GB"/>
        </w:rPr>
        <w:t>Studio Joker</w:t>
      </w:r>
      <w:r w:rsidRPr="00E27BB2">
        <w:t>营销、贸易和服务公司设在查查克的</w:t>
      </w:r>
      <w:r w:rsidRPr="00E27BB2">
        <w:rPr>
          <w:lang w:val="en-GB"/>
        </w:rPr>
        <w:t>Joker</w:t>
      </w:r>
      <w:r w:rsidRPr="00E27BB2">
        <w:rPr>
          <w:lang w:val="en-GB"/>
        </w:rPr>
        <w:t>广播电台</w:t>
      </w:r>
      <w:r w:rsidRPr="00E27BB2">
        <w:t>获得了</w:t>
      </w:r>
      <w:r w:rsidRPr="00E27BB2">
        <w:t>25</w:t>
      </w:r>
      <w:r w:rsidR="00FC5ECC">
        <w:t>4,</w:t>
      </w:r>
      <w:r w:rsidRPr="00E27BB2">
        <w:t>520</w:t>
      </w:r>
      <w:r w:rsidR="006702E6">
        <w:rPr>
          <w:rFonts w:hint="eastAsia"/>
        </w:rPr>
        <w:t>.00</w:t>
      </w:r>
      <w:r w:rsidRPr="00E27BB2">
        <w:t>塞尔维亚第纳尔的资助</w:t>
      </w:r>
      <w:r w:rsidR="00FC5ECC">
        <w:t>，</w:t>
      </w:r>
      <w:r w:rsidRPr="00E27BB2">
        <w:t>用以支助名为</w:t>
      </w:r>
      <w:r w:rsidR="0032126C">
        <w:rPr>
          <w:rFonts w:hint="eastAsia"/>
        </w:rPr>
        <w:t>“</w:t>
      </w:r>
      <w:r w:rsidRPr="00E27BB2">
        <w:t>我们参与</w:t>
      </w:r>
      <w:r w:rsidR="00FC5ECC">
        <w:t>，</w:t>
      </w:r>
      <w:r w:rsidRPr="00E27BB2">
        <w:t>你们也同样参与并消除恐惧心理</w:t>
      </w:r>
      <w:r w:rsidR="0032126C">
        <w:rPr>
          <w:rFonts w:hint="eastAsia"/>
        </w:rPr>
        <w:t>”</w:t>
      </w:r>
      <w:r w:rsidRPr="00E27BB2">
        <w:t>的项目。该项目播放了</w:t>
      </w:r>
      <w:r w:rsidRPr="00E27BB2">
        <w:t>16</w:t>
      </w:r>
      <w:r w:rsidRPr="00E27BB2">
        <w:t>个节目</w:t>
      </w:r>
      <w:r w:rsidR="00FC5ECC">
        <w:t>，</w:t>
      </w:r>
      <w:r w:rsidRPr="00E27BB2">
        <w:t>其主题涉及暴力行为受害妇女的问题和解决此种问题的方法</w:t>
      </w:r>
      <w:r w:rsidR="00FC5ECC">
        <w:t>，</w:t>
      </w:r>
      <w:r w:rsidRPr="00E27BB2">
        <w:t>从而实现了项目的目标</w:t>
      </w:r>
      <w:r w:rsidR="00FC5ECC">
        <w:t>：</w:t>
      </w:r>
      <w:r w:rsidRPr="00E27BB2">
        <w:t>改善提供信息的工作</w:t>
      </w:r>
      <w:r w:rsidR="00FC5ECC">
        <w:t>，</w:t>
      </w:r>
      <w:r w:rsidRPr="00E27BB2">
        <w:t>提高查查克市民对暴力行为受害妇女的地位、保护她们的方法以及社会不容忍暴力行为的态度的认识。</w:t>
      </w:r>
    </w:p>
    <w:p w:rsidR="00BC40DA" w:rsidRPr="00E27BB2" w:rsidRDefault="00BC40DA" w:rsidP="0032126C">
      <w:pPr>
        <w:pStyle w:val="SingleTxtGC"/>
      </w:pPr>
      <w:r w:rsidRPr="00E27BB2">
        <w:t>2</w:t>
      </w:r>
      <w:r w:rsidR="00FC5ECC">
        <w:t>9.</w:t>
      </w:r>
      <w:r w:rsidR="0032126C">
        <w:rPr>
          <w:rFonts w:hint="eastAsia"/>
        </w:rPr>
        <w:t xml:space="preserve">  </w:t>
      </w:r>
      <w:r w:rsidRPr="00E27BB2">
        <w:t>大多数项目涉及的主题是暴力侵害妇女的行为。这一事实表明</w:t>
      </w:r>
      <w:r w:rsidR="00FC5ECC">
        <w:t>，</w:t>
      </w:r>
      <w:r w:rsidRPr="00E27BB2">
        <w:t>目前依然广泛存在着这一问题</w:t>
      </w:r>
      <w:r w:rsidR="00FC5ECC">
        <w:t>，</w:t>
      </w:r>
      <w:r w:rsidRPr="00E27BB2">
        <w:t>而且还表明</w:t>
      </w:r>
      <w:r w:rsidR="00FC5ECC">
        <w:t>，</w:t>
      </w:r>
      <w:r w:rsidRPr="00E27BB2">
        <w:t>文化、媒体和信息社会部正在鼓励媒体在解决这一问题以及在改变对妇女的家庭和社会地位的传统立场方面发挥日益重要的作用。</w:t>
      </w:r>
    </w:p>
    <w:p w:rsidR="00BC40DA" w:rsidRPr="00E27BB2" w:rsidRDefault="00BC40DA" w:rsidP="00BC40DA">
      <w:pPr>
        <w:pStyle w:val="SingleTxtGC"/>
      </w:pPr>
      <w:r w:rsidRPr="00E27BB2">
        <w:t>3</w:t>
      </w:r>
      <w:r w:rsidR="00FC5ECC">
        <w:t>0.</w:t>
      </w:r>
      <w:r w:rsidR="0032126C">
        <w:rPr>
          <w:rFonts w:hint="eastAsia"/>
        </w:rPr>
        <w:t xml:space="preserve">  </w:t>
      </w:r>
      <w:r w:rsidRPr="00E27BB2">
        <w:t>2011</w:t>
      </w:r>
      <w:r w:rsidRPr="00E27BB2">
        <w:t>年</w:t>
      </w:r>
      <w:r w:rsidRPr="00E27BB2">
        <w:t>11</w:t>
      </w:r>
      <w:r w:rsidRPr="00E27BB2">
        <w:t>月和</w:t>
      </w:r>
      <w:r w:rsidRPr="00E27BB2">
        <w:t>12</w:t>
      </w:r>
      <w:r w:rsidRPr="00E27BB2">
        <w:t>月</w:t>
      </w:r>
      <w:r w:rsidR="00FC5ECC">
        <w:t>，</w:t>
      </w:r>
      <w:r w:rsidRPr="00E27BB2">
        <w:t>两性平等司为各公民协会宣布招标</w:t>
      </w:r>
      <w:r w:rsidR="00FC5ECC">
        <w:t>，</w:t>
      </w:r>
      <w:r w:rsidRPr="00E27BB2">
        <w:t>目的是筹集经费支助它们开展以下各项工作</w:t>
      </w:r>
      <w:r w:rsidR="00FC5ECC">
        <w:t>：</w:t>
      </w:r>
      <w:r w:rsidRPr="00E27BB2">
        <w:t>实现两性平等</w:t>
      </w:r>
      <w:r w:rsidR="00FC5ECC">
        <w:t>，</w:t>
      </w:r>
      <w:r w:rsidRPr="00E27BB2">
        <w:t>将两性平等观点纳入教育和</w:t>
      </w:r>
      <w:r w:rsidR="00FC5ECC">
        <w:t>(</w:t>
      </w:r>
      <w:r w:rsidRPr="00E27BB2">
        <w:t>或</w:t>
      </w:r>
      <w:r w:rsidR="00FC5ECC">
        <w:t>)</w:t>
      </w:r>
      <w:r w:rsidRPr="00E27BB2">
        <w:t>按照《提高妇女地位和促进两性平等国家战略》的目标以及《男女平等法》第</w:t>
      </w:r>
      <w:r w:rsidRPr="00E27BB2">
        <w:t>41</w:t>
      </w:r>
      <w:r w:rsidRPr="00E27BB2">
        <w:t>条促进开展注重两性平等的媒体活动</w:t>
      </w:r>
      <w:r w:rsidR="00FC5ECC">
        <w:t>，</w:t>
      </w:r>
      <w:r w:rsidRPr="00E27BB2">
        <w:t>以求消除性别成见和仇恨言论。在收到的</w:t>
      </w:r>
      <w:r w:rsidRPr="00E27BB2">
        <w:t>34</w:t>
      </w:r>
      <w:r w:rsidRPr="00E27BB2">
        <w:t>个项目提案中仅选定了如下</w:t>
      </w:r>
      <w:r w:rsidRPr="00E27BB2">
        <w:t>4</w:t>
      </w:r>
      <w:r w:rsidRPr="00E27BB2">
        <w:t>个项目</w:t>
      </w:r>
      <w:r w:rsidR="00FC5ECC">
        <w:t>：</w:t>
      </w:r>
      <w:r w:rsidR="00FC5ECC">
        <w:t>(</w:t>
      </w:r>
      <w:r w:rsidRPr="00E27BB2">
        <w:t>1</w:t>
      </w:r>
      <w:r w:rsidR="00FC5ECC">
        <w:t>)</w:t>
      </w:r>
      <w:r w:rsidR="0032126C" w:rsidRPr="0032126C">
        <w:rPr>
          <w:rFonts w:hint="eastAsia"/>
          <w:vertAlign w:val="superscript"/>
        </w:rPr>
        <w:t xml:space="preserve"> </w:t>
      </w:r>
      <w:r w:rsidRPr="00E27BB2">
        <w:t>由贝尔格莱德的公民协会</w:t>
      </w:r>
      <w:r w:rsidR="0032126C">
        <w:rPr>
          <w:rFonts w:hint="eastAsia"/>
        </w:rPr>
        <w:t>“</w:t>
      </w:r>
      <w:r w:rsidRPr="00E27BB2">
        <w:t>大</w:t>
      </w:r>
      <w:r w:rsidRPr="005A43BB">
        <w:rPr>
          <w:spacing w:val="-2"/>
        </w:rPr>
        <w:t>多数</w:t>
      </w:r>
      <w:r w:rsidR="0032126C" w:rsidRPr="005A43BB">
        <w:rPr>
          <w:rFonts w:hint="eastAsia"/>
          <w:spacing w:val="-2"/>
        </w:rPr>
        <w:t>”</w:t>
      </w:r>
      <w:r w:rsidRPr="005A43BB">
        <w:rPr>
          <w:spacing w:val="-2"/>
        </w:rPr>
        <w:t>提交的名为</w:t>
      </w:r>
      <w:r w:rsidR="0032126C" w:rsidRPr="005A43BB">
        <w:rPr>
          <w:rFonts w:hint="eastAsia"/>
          <w:spacing w:val="-2"/>
        </w:rPr>
        <w:t>“</w:t>
      </w:r>
      <w:r w:rsidRPr="005A43BB">
        <w:rPr>
          <w:spacing w:val="-2"/>
        </w:rPr>
        <w:t>实现学校两性平等</w:t>
      </w:r>
      <w:r w:rsidR="0032126C" w:rsidRPr="005A43BB">
        <w:rPr>
          <w:rFonts w:hint="eastAsia"/>
          <w:spacing w:val="-2"/>
        </w:rPr>
        <w:t>”</w:t>
      </w:r>
      <w:r w:rsidRPr="005A43BB">
        <w:rPr>
          <w:spacing w:val="-2"/>
        </w:rPr>
        <w:t>的项目</w:t>
      </w:r>
      <w:r w:rsidR="00FC5ECC" w:rsidRPr="005A43BB">
        <w:rPr>
          <w:spacing w:val="-2"/>
        </w:rPr>
        <w:t>(</w:t>
      </w:r>
      <w:r w:rsidRPr="005A43BB">
        <w:rPr>
          <w:spacing w:val="-2"/>
        </w:rPr>
        <w:t>49</w:t>
      </w:r>
      <w:r w:rsidR="00FC5ECC" w:rsidRPr="005A43BB">
        <w:rPr>
          <w:spacing w:val="-2"/>
        </w:rPr>
        <w:t>9,</w:t>
      </w:r>
      <w:r w:rsidRPr="005A43BB">
        <w:rPr>
          <w:spacing w:val="-2"/>
        </w:rPr>
        <w:t>045</w:t>
      </w:r>
      <w:r w:rsidR="00C345C0">
        <w:rPr>
          <w:rFonts w:hint="eastAsia"/>
          <w:spacing w:val="-2"/>
        </w:rPr>
        <w:t>.00</w:t>
      </w:r>
      <w:r w:rsidRPr="005A43BB">
        <w:rPr>
          <w:spacing w:val="-2"/>
        </w:rPr>
        <w:t>塞尔维亚第纳尔</w:t>
      </w:r>
      <w:r w:rsidR="00FC5ECC" w:rsidRPr="005A43BB">
        <w:rPr>
          <w:spacing w:val="-2"/>
        </w:rPr>
        <w:t>)</w:t>
      </w:r>
      <w:r w:rsidR="00FC5ECC" w:rsidRPr="005A43BB">
        <w:rPr>
          <w:spacing w:val="-2"/>
        </w:rPr>
        <w:t>；</w:t>
      </w:r>
      <w:r w:rsidR="00FC5ECC" w:rsidRPr="005A43BB">
        <w:rPr>
          <w:spacing w:val="-2"/>
        </w:rPr>
        <w:t>(</w:t>
      </w:r>
      <w:r w:rsidRPr="005A43BB">
        <w:rPr>
          <w:spacing w:val="-2"/>
        </w:rPr>
        <w:t>2</w:t>
      </w:r>
      <w:r w:rsidR="00FC5ECC" w:rsidRPr="005A43BB">
        <w:rPr>
          <w:spacing w:val="-2"/>
        </w:rPr>
        <w:t>)</w:t>
      </w:r>
      <w:r w:rsidR="0032126C" w:rsidRPr="005A43BB">
        <w:rPr>
          <w:rFonts w:hint="eastAsia"/>
          <w:spacing w:val="-2"/>
          <w:vertAlign w:val="superscript"/>
        </w:rPr>
        <w:t xml:space="preserve"> </w:t>
      </w:r>
      <w:r w:rsidRPr="005A43BB">
        <w:rPr>
          <w:spacing w:val="-2"/>
        </w:rPr>
        <w:t>由</w:t>
      </w:r>
      <w:r w:rsidRPr="00E27BB2">
        <w:t>克鲁舍瓦茨的公民协会</w:t>
      </w:r>
      <w:r w:rsidR="0032126C">
        <w:rPr>
          <w:rFonts w:hint="eastAsia"/>
        </w:rPr>
        <w:t>“</w:t>
      </w:r>
      <w:r w:rsidRPr="00E27BB2">
        <w:rPr>
          <w:iCs/>
          <w:lang w:val="en-GB"/>
        </w:rPr>
        <w:t>Romano Alav</w:t>
      </w:r>
      <w:r w:rsidR="0032126C">
        <w:rPr>
          <w:rFonts w:hint="eastAsia"/>
          <w:iCs/>
          <w:lang w:val="en-GB"/>
        </w:rPr>
        <w:t>”</w:t>
      </w:r>
      <w:r w:rsidRPr="00E27BB2">
        <w:rPr>
          <w:iCs/>
          <w:lang w:val="en-GB"/>
        </w:rPr>
        <w:t>提交的</w:t>
      </w:r>
      <w:r w:rsidRPr="00E27BB2">
        <w:t>名为</w:t>
      </w:r>
      <w:r w:rsidR="0032126C">
        <w:rPr>
          <w:rFonts w:hint="eastAsia"/>
        </w:rPr>
        <w:t>“</w:t>
      </w:r>
      <w:r w:rsidRPr="00E27BB2">
        <w:t>我通往平等的道路</w:t>
      </w:r>
      <w:r w:rsidR="0032126C">
        <w:rPr>
          <w:rFonts w:hint="eastAsia"/>
        </w:rPr>
        <w:t>”</w:t>
      </w:r>
      <w:r w:rsidRPr="00E27BB2">
        <w:t>的项目</w:t>
      </w:r>
      <w:r w:rsidR="00FC5ECC">
        <w:t>(</w:t>
      </w:r>
      <w:r w:rsidRPr="00E27BB2">
        <w:t>49</w:t>
      </w:r>
      <w:r w:rsidR="00FC5ECC">
        <w:t>9,</w:t>
      </w:r>
      <w:r w:rsidRPr="00E27BB2">
        <w:t>252</w:t>
      </w:r>
      <w:r w:rsidR="008E5926">
        <w:rPr>
          <w:rFonts w:hint="eastAsia"/>
        </w:rPr>
        <w:t>.00</w:t>
      </w:r>
      <w:r w:rsidRPr="00E27BB2">
        <w:t>塞尔维亚第纳尔</w:t>
      </w:r>
      <w:r w:rsidR="00FC5ECC">
        <w:t>)</w:t>
      </w:r>
      <w:r w:rsidR="00FC5ECC">
        <w:t>；</w:t>
      </w:r>
      <w:r w:rsidR="00FC5ECC">
        <w:t>(</w:t>
      </w:r>
      <w:r w:rsidRPr="00E27BB2">
        <w:t>3</w:t>
      </w:r>
      <w:r w:rsidR="00FC5ECC">
        <w:t>)</w:t>
      </w:r>
      <w:r w:rsidR="0032126C" w:rsidRPr="0032126C">
        <w:rPr>
          <w:rFonts w:hint="eastAsia"/>
          <w:vertAlign w:val="superscript"/>
        </w:rPr>
        <w:t xml:space="preserve"> </w:t>
      </w:r>
      <w:r w:rsidRPr="00E27BB2">
        <w:t>由克拉古耶瓦茨教育网络协会提交的名为</w:t>
      </w:r>
      <w:r w:rsidR="0032126C">
        <w:rPr>
          <w:rFonts w:hint="eastAsia"/>
        </w:rPr>
        <w:t>“</w:t>
      </w:r>
      <w:r w:rsidRPr="00E27BB2">
        <w:t>我们在两性平等的环境中游玩和生活</w:t>
      </w:r>
      <w:r w:rsidR="0032126C">
        <w:rPr>
          <w:rFonts w:hint="eastAsia"/>
        </w:rPr>
        <w:t>”</w:t>
      </w:r>
      <w:r w:rsidRPr="00E27BB2">
        <w:t>项目</w:t>
      </w:r>
      <w:r w:rsidR="00FC5ECC">
        <w:t>(</w:t>
      </w:r>
      <w:r w:rsidRPr="00E27BB2">
        <w:t>49</w:t>
      </w:r>
      <w:r w:rsidR="00FC5ECC">
        <w:t>8,</w:t>
      </w:r>
      <w:r w:rsidRPr="00E27BB2">
        <w:t>352</w:t>
      </w:r>
      <w:r w:rsidR="008E5926">
        <w:rPr>
          <w:rFonts w:hint="eastAsia"/>
        </w:rPr>
        <w:t>.00</w:t>
      </w:r>
      <w:r w:rsidRPr="00E27BB2">
        <w:t>塞尔维亚第纳尔</w:t>
      </w:r>
      <w:r w:rsidR="00FC5ECC">
        <w:t>)</w:t>
      </w:r>
      <w:r w:rsidRPr="00E27BB2">
        <w:t>和</w:t>
      </w:r>
      <w:r w:rsidR="00FC5ECC">
        <w:t>(</w:t>
      </w:r>
      <w:r w:rsidRPr="00E27BB2">
        <w:t>4</w:t>
      </w:r>
      <w:r w:rsidR="00FC5ECC">
        <w:t>)</w:t>
      </w:r>
      <w:r w:rsidR="0032126C" w:rsidRPr="0032126C">
        <w:rPr>
          <w:rFonts w:hint="eastAsia"/>
          <w:vertAlign w:val="superscript"/>
        </w:rPr>
        <w:t xml:space="preserve"> </w:t>
      </w:r>
      <w:r w:rsidRPr="00E27BB2">
        <w:t>由普里耶波列的妇女论坛提交的名为</w:t>
      </w:r>
      <w:r w:rsidR="0032126C">
        <w:rPr>
          <w:rFonts w:hint="eastAsia"/>
        </w:rPr>
        <w:t>“</w:t>
      </w:r>
      <w:r w:rsidRPr="00E27BB2">
        <w:t>媒体与两性平等</w:t>
      </w:r>
      <w:r w:rsidR="0032126C">
        <w:rPr>
          <w:rFonts w:hint="eastAsia"/>
        </w:rPr>
        <w:t>”</w:t>
      </w:r>
      <w:r w:rsidRPr="00E27BB2">
        <w:t>的项目</w:t>
      </w:r>
      <w:r w:rsidR="00FC5ECC">
        <w:t>(</w:t>
      </w:r>
      <w:r w:rsidRPr="00E27BB2">
        <w:t>42</w:t>
      </w:r>
      <w:r w:rsidR="00FC5ECC">
        <w:t>0,</w:t>
      </w:r>
      <w:r w:rsidRPr="00E27BB2">
        <w:t>000</w:t>
      </w:r>
      <w:r w:rsidR="000E3503">
        <w:rPr>
          <w:rFonts w:hint="eastAsia"/>
        </w:rPr>
        <w:t>.00</w:t>
      </w:r>
      <w:r w:rsidRPr="00E27BB2">
        <w:t>塞尔维亚第纳尔</w:t>
      </w:r>
      <w:r w:rsidR="00FC5ECC">
        <w:t>)</w:t>
      </w:r>
      <w:r w:rsidRPr="00E27BB2">
        <w:t>。这些项目将在</w:t>
      </w:r>
      <w:r w:rsidRPr="00E27BB2">
        <w:t>2012</w:t>
      </w:r>
      <w:r w:rsidRPr="00E27BB2">
        <w:t>年</w:t>
      </w:r>
      <w:r w:rsidRPr="00E27BB2">
        <w:t>1</w:t>
      </w:r>
      <w:r w:rsidRPr="00E27BB2">
        <w:t>至</w:t>
      </w:r>
      <w:r w:rsidRPr="00E27BB2">
        <w:t>6</w:t>
      </w:r>
      <w:r w:rsidRPr="00E27BB2">
        <w:t>月期间实施。新闻协会</w:t>
      </w:r>
      <w:r w:rsidR="0032126C">
        <w:rPr>
          <w:rFonts w:hint="eastAsia"/>
          <w:lang w:val="en-GB"/>
        </w:rPr>
        <w:t>“</w:t>
      </w:r>
      <w:r w:rsidRPr="00E27BB2">
        <w:rPr>
          <w:lang w:val="en-GB"/>
        </w:rPr>
        <w:t>Peš</w:t>
      </w:r>
      <w:r w:rsidRPr="00E27BB2">
        <w:rPr>
          <w:rFonts w:eastAsia="MS Mincho"/>
          <w:lang w:val="en-GB"/>
        </w:rPr>
        <w:t>č</w:t>
      </w:r>
      <w:r w:rsidR="0032126C">
        <w:rPr>
          <w:lang w:val="en-GB"/>
        </w:rPr>
        <w:t>anik</w:t>
      </w:r>
      <w:r w:rsidR="0032126C">
        <w:rPr>
          <w:rFonts w:hint="eastAsia"/>
          <w:lang w:val="en-GB"/>
        </w:rPr>
        <w:t>”</w:t>
      </w:r>
      <w:r w:rsidRPr="00E27BB2">
        <w:t>在与两性平等司直接合作下制定了注重两性平等的报道议定书</w:t>
      </w:r>
      <w:r w:rsidR="00FC5ECC">
        <w:t>，</w:t>
      </w:r>
      <w:r w:rsidRPr="00E27BB2">
        <w:t>并在</w:t>
      </w:r>
      <w:r w:rsidRPr="00E27BB2">
        <w:t>3</w:t>
      </w:r>
      <w:r w:rsidRPr="00E27BB2">
        <w:t>次圆桌会议上向塞尔维亚主要大众媒体的代表予以推广。现已与塞尔维亚广播电台电视台共同设计了</w:t>
      </w:r>
      <w:r w:rsidRPr="00E27BB2">
        <w:t>6</w:t>
      </w:r>
      <w:r w:rsidRPr="00E27BB2">
        <w:t>套系列节目</w:t>
      </w:r>
      <w:r w:rsidR="00FC5ECC">
        <w:t>，</w:t>
      </w:r>
      <w:r w:rsidRPr="00E27BB2">
        <w:t>其中涉及出自《提高妇女地位和促进两性平等国家战略》各项目标的</w:t>
      </w:r>
      <w:r w:rsidRPr="00E27BB2">
        <w:t>6</w:t>
      </w:r>
      <w:r w:rsidRPr="00E27BB2">
        <w:t>个主题。</w:t>
      </w:r>
    </w:p>
    <w:p w:rsidR="00BC40DA" w:rsidRPr="00E27BB2" w:rsidRDefault="00BC40DA" w:rsidP="00044573">
      <w:pPr>
        <w:pStyle w:val="Bullet1GC"/>
      </w:pPr>
      <w:r w:rsidRPr="00E27BB2">
        <w:t>人权和少数群体权利、公共行政和地方自治部人权和少数群体权利司于</w:t>
      </w:r>
      <w:r w:rsidRPr="00E27BB2">
        <w:t>2011</w:t>
      </w:r>
      <w:r w:rsidRPr="00E27BB2">
        <w:t>年</w:t>
      </w:r>
      <w:r w:rsidRPr="00E27BB2">
        <w:t>7</w:t>
      </w:r>
      <w:r w:rsidRPr="00E27BB2">
        <w:t>月宣布为公民协会招标</w:t>
      </w:r>
      <w:r w:rsidR="00FC5ECC">
        <w:t>，</w:t>
      </w:r>
      <w:r w:rsidRPr="00E27BB2">
        <w:t>目的是向它们提供款项用以支助实施下述项目</w:t>
      </w:r>
      <w:r w:rsidR="00FC5ECC">
        <w:t>：</w:t>
      </w:r>
      <w:r w:rsidRPr="00E27BB2">
        <w:t>增进和保护塞尔维亚共和国境内的人权</w:t>
      </w:r>
      <w:r w:rsidR="00FC5ECC">
        <w:t>，</w:t>
      </w:r>
      <w:r w:rsidRPr="00E27BB2">
        <w:t>改善广大社会对弱势公民群体的积极行为和行动。在收到的</w:t>
      </w:r>
      <w:r w:rsidRPr="00E27BB2">
        <w:t>111</w:t>
      </w:r>
      <w:r w:rsidRPr="00E27BB2">
        <w:t>个项目提案中</w:t>
      </w:r>
      <w:r w:rsidR="00FC5ECC">
        <w:t>，</w:t>
      </w:r>
      <w:r w:rsidRPr="00E27BB2">
        <w:t>有</w:t>
      </w:r>
      <w:r w:rsidRPr="00E27BB2">
        <w:t>11</w:t>
      </w:r>
      <w:r w:rsidRPr="00E27BB2">
        <w:t>个公民协会的项目获得了资助</w:t>
      </w:r>
      <w:r w:rsidR="00FC5ECC">
        <w:t>(4,</w:t>
      </w:r>
      <w:r w:rsidRPr="00E27BB2">
        <w:t>96</w:t>
      </w:r>
      <w:r w:rsidR="00FC5ECC">
        <w:t>2,</w:t>
      </w:r>
      <w:r w:rsidRPr="00E27BB2">
        <w:t>747</w:t>
      </w:r>
      <w:r w:rsidR="0037265C">
        <w:rPr>
          <w:rFonts w:hint="eastAsia"/>
        </w:rPr>
        <w:t>.00</w:t>
      </w:r>
      <w:r w:rsidRPr="00E27BB2">
        <w:t>塞尔维亚第纳尔</w:t>
      </w:r>
      <w:r w:rsidR="00FC5ECC">
        <w:t>)</w:t>
      </w:r>
      <w:r w:rsidR="00FC5ECC">
        <w:t>，</w:t>
      </w:r>
      <w:r w:rsidRPr="00E27BB2">
        <w:t>其中一个项目是自治妇女中心的项目</w:t>
      </w:r>
      <w:r w:rsidR="00FC5ECC">
        <w:t>，</w:t>
      </w:r>
      <w:r w:rsidRPr="00E27BB2">
        <w:t>其目的是妇女赋权和教育妇女认识基于性别的暴力行为、以及从事开设求救热线的工作。</w:t>
      </w:r>
    </w:p>
    <w:p w:rsidR="00BC40DA" w:rsidRPr="00E27BB2" w:rsidRDefault="00BC40DA" w:rsidP="00044573">
      <w:pPr>
        <w:pStyle w:val="SingleTxtGC"/>
        <w:rPr>
          <w:rFonts w:hint="eastAsia"/>
        </w:rPr>
      </w:pPr>
      <w:r w:rsidRPr="00E27BB2">
        <w:t>3</w:t>
      </w:r>
      <w:r w:rsidR="00FC5ECC">
        <w:t>1.</w:t>
      </w:r>
      <w:r w:rsidR="00044573">
        <w:rPr>
          <w:rFonts w:hint="eastAsia"/>
        </w:rPr>
        <w:t xml:space="preserve">  </w:t>
      </w:r>
      <w:r w:rsidRPr="00E27BB2">
        <w:t>今年</w:t>
      </w:r>
      <w:r w:rsidR="00FC5ECC">
        <w:t>，</w:t>
      </w:r>
      <w:r w:rsidRPr="00E27BB2">
        <w:t>人权和少数群体权利司出台了一项名为</w:t>
      </w:r>
      <w:r w:rsidR="00044573">
        <w:rPr>
          <w:rFonts w:hint="eastAsia"/>
        </w:rPr>
        <w:t>“</w:t>
      </w:r>
      <w:r w:rsidRPr="00E27BB2">
        <w:t>人权日历</w:t>
      </w:r>
      <w:r w:rsidR="00044573">
        <w:rPr>
          <w:rFonts w:hint="eastAsia"/>
        </w:rPr>
        <w:t>”</w:t>
      </w:r>
      <w:r w:rsidRPr="00E27BB2">
        <w:t>的方案</w:t>
      </w:r>
      <w:r w:rsidR="00FC5ECC">
        <w:t>，</w:t>
      </w:r>
      <w:r w:rsidRPr="00E27BB2">
        <w:t>该方案按照相关的国际假日</w:t>
      </w:r>
      <w:r w:rsidR="00FC5ECC">
        <w:t>，</w:t>
      </w:r>
      <w:r w:rsidRPr="00E27BB2">
        <w:t>每月由民间社会组织举办一系列活动</w:t>
      </w:r>
      <w:r w:rsidR="00FC5ECC">
        <w:t>，</w:t>
      </w:r>
      <w:r w:rsidRPr="00E27BB2">
        <w:t>目的是提高特定群体或少数群体的地位。该日历的构想是</w:t>
      </w:r>
      <w:r w:rsidR="00FC5ECC">
        <w:t>，</w:t>
      </w:r>
      <w:r w:rsidRPr="00E27BB2">
        <w:t>3</w:t>
      </w:r>
      <w:r w:rsidRPr="00E27BB2">
        <w:t>月份应专用于增进妇女权利</w:t>
      </w:r>
      <w:r w:rsidR="00FC5ECC">
        <w:t>，</w:t>
      </w:r>
      <w:r w:rsidRPr="00E27BB2">
        <w:t>因此在</w:t>
      </w:r>
      <w:r w:rsidRPr="00E27BB2">
        <w:t>3</w:t>
      </w:r>
      <w:r w:rsidRPr="00E27BB2">
        <w:t>月份</w:t>
      </w:r>
      <w:r w:rsidR="00FC5ECC">
        <w:t>，</w:t>
      </w:r>
      <w:r w:rsidR="00044573">
        <w:rPr>
          <w:rFonts w:hint="eastAsia"/>
        </w:rPr>
        <w:t>“</w:t>
      </w:r>
      <w:r w:rsidRPr="00E27BB2">
        <w:t>现代技术中心</w:t>
      </w:r>
      <w:r w:rsidR="00044573">
        <w:rPr>
          <w:rFonts w:hint="eastAsia"/>
        </w:rPr>
        <w:t>”</w:t>
      </w:r>
      <w:r w:rsidRPr="00E27BB2">
        <w:t>协会实施了</w:t>
      </w:r>
      <w:r w:rsidR="00044573">
        <w:rPr>
          <w:rFonts w:hint="eastAsia"/>
        </w:rPr>
        <w:t>“</w:t>
      </w:r>
      <w:r w:rsidRPr="00E27BB2">
        <w:t>妇女权利大篷车宣传队</w:t>
      </w:r>
      <w:r w:rsidR="00044573">
        <w:rPr>
          <w:rFonts w:hint="eastAsia"/>
        </w:rPr>
        <w:t>”</w:t>
      </w:r>
      <w:r w:rsidRPr="00E27BB2">
        <w:t>项目</w:t>
      </w:r>
      <w:r w:rsidR="00FC5ECC">
        <w:t>，</w:t>
      </w:r>
      <w:r w:rsidRPr="00E27BB2">
        <w:t>其开展的活动和取得的成果如下</w:t>
      </w:r>
      <w:r w:rsidR="00FC5ECC">
        <w:t>：</w:t>
      </w:r>
      <w:r w:rsidRPr="00E27BB2">
        <w:t>举办了名为</w:t>
      </w:r>
      <w:r w:rsidR="00044573">
        <w:rPr>
          <w:rFonts w:hint="eastAsia"/>
        </w:rPr>
        <w:t>“</w:t>
      </w:r>
      <w:r w:rsidRPr="00E27BB2">
        <w:t>农村妇女</w:t>
      </w:r>
      <w:r w:rsidR="00044573">
        <w:rPr>
          <w:rFonts w:hint="eastAsia"/>
        </w:rPr>
        <w:t>”</w:t>
      </w:r>
      <w:r w:rsidRPr="00E27BB2">
        <w:t>和</w:t>
      </w:r>
      <w:r w:rsidR="00044573">
        <w:rPr>
          <w:rFonts w:hint="eastAsia"/>
        </w:rPr>
        <w:t>“</w:t>
      </w:r>
      <w:r w:rsidRPr="00E27BB2">
        <w:t>妇女体育运动</w:t>
      </w:r>
      <w:r w:rsidR="00044573">
        <w:rPr>
          <w:rFonts w:hint="eastAsia"/>
        </w:rPr>
        <w:t>”</w:t>
      </w:r>
      <w:r w:rsidRPr="00E27BB2">
        <w:t>的联合巡回展览</w:t>
      </w:r>
      <w:r w:rsidR="00FC5ECC">
        <w:t>(</w:t>
      </w:r>
      <w:r w:rsidR="00B41951">
        <w:rPr>
          <w:rFonts w:hint="eastAsia"/>
        </w:rPr>
        <w:t>在</w:t>
      </w:r>
      <w:r w:rsidRPr="00E27BB2">
        <w:t>贝尔格莱德</w:t>
      </w:r>
      <w:r w:rsidR="00B41951">
        <w:rPr>
          <w:rFonts w:hint="eastAsia"/>
        </w:rPr>
        <w:t>，</w:t>
      </w:r>
      <w:r w:rsidRPr="00E27BB2">
        <w:t>国民议会女议长出席了最后一次展览的开幕式</w:t>
      </w:r>
      <w:r w:rsidR="00FC5ECC">
        <w:t>，</w:t>
      </w:r>
      <w:r w:rsidRPr="00E27BB2">
        <w:t>这对该项目的成功和知名度至关重要</w:t>
      </w:r>
      <w:r w:rsidR="00FC5ECC">
        <w:t>)</w:t>
      </w:r>
      <w:r w:rsidR="00FC5ECC">
        <w:t>；</w:t>
      </w:r>
      <w:r w:rsidRPr="00E27BB2">
        <w:t>制作了有用的</w:t>
      </w:r>
      <w:r w:rsidRPr="00E27BB2">
        <w:t>YouTube</w:t>
      </w:r>
      <w:r w:rsidRPr="00E27BB2">
        <w:t>视频片段</w:t>
      </w:r>
      <w:r w:rsidR="00FC5ECC">
        <w:t>，</w:t>
      </w:r>
      <w:r w:rsidRPr="00E27BB2">
        <w:t>这些视频片段可在今后的其他场合使用</w:t>
      </w:r>
      <w:r w:rsidR="00FC5ECC">
        <w:t>；</w:t>
      </w:r>
      <w:r w:rsidRPr="00E27BB2">
        <w:t>制作了与</w:t>
      </w:r>
      <w:r w:rsidRPr="00E27BB2">
        <w:t>3</w:t>
      </w:r>
      <w:r w:rsidRPr="00E27BB2">
        <w:t>月</w:t>
      </w:r>
      <w:r w:rsidRPr="00E27BB2">
        <w:t>8</w:t>
      </w:r>
      <w:r w:rsidRPr="00E27BB2">
        <w:t>日的历史相关的信息图表</w:t>
      </w:r>
      <w:r w:rsidR="00FC5ECC">
        <w:t>；</w:t>
      </w:r>
      <w:r w:rsidRPr="00E27BB2">
        <w:t>开展了一项调查</w:t>
      </w:r>
      <w:r w:rsidR="00FC5ECC">
        <w:t>：</w:t>
      </w:r>
      <w:r w:rsidR="005B1AED">
        <w:rPr>
          <w:rFonts w:hint="eastAsia"/>
        </w:rPr>
        <w:t>“</w:t>
      </w:r>
      <w:r w:rsidRPr="00E27BB2">
        <w:t>如果我是塞尔维亚共和国女总理</w:t>
      </w:r>
      <w:r w:rsidR="00FC5ECC">
        <w:t>，</w:t>
      </w:r>
      <w:r w:rsidRPr="00E27BB2">
        <w:t>我要做的第一件事将是</w:t>
      </w:r>
      <w:r w:rsidR="005B1AED">
        <w:rPr>
          <w:rFonts w:hint="eastAsia"/>
        </w:rPr>
        <w:t>……？”</w:t>
      </w:r>
      <w:r w:rsidR="00FC5ECC">
        <w:t>；</w:t>
      </w:r>
      <w:r w:rsidRPr="00E27BB2">
        <w:t>参与了普尔瓦电视台名为</w:t>
      </w:r>
      <w:r w:rsidR="005B1AED">
        <w:rPr>
          <w:rFonts w:hint="eastAsia"/>
        </w:rPr>
        <w:t>“</w:t>
      </w:r>
      <w:r w:rsidRPr="00E27BB2">
        <w:t>妇女</w:t>
      </w:r>
      <w:r w:rsidR="005B1AED">
        <w:rPr>
          <w:rFonts w:hint="eastAsia"/>
        </w:rPr>
        <w:t>”</w:t>
      </w:r>
      <w:r w:rsidRPr="00E27BB2">
        <w:t>的节目</w:t>
      </w:r>
      <w:r w:rsidR="00FC5ECC">
        <w:t>；</w:t>
      </w:r>
      <w:r w:rsidRPr="00E27BB2">
        <w:t>以及由</w:t>
      </w:r>
      <w:r w:rsidR="005B1AED">
        <w:rPr>
          <w:rFonts w:hint="eastAsia"/>
        </w:rPr>
        <w:t>“</w:t>
      </w:r>
      <w:r w:rsidRPr="00E27BB2">
        <w:t>推特</w:t>
      </w:r>
      <w:r w:rsidR="005B1AED">
        <w:rPr>
          <w:rFonts w:hint="eastAsia"/>
        </w:rPr>
        <w:t>”</w:t>
      </w:r>
      <w:r w:rsidRPr="00E27BB2">
        <w:t>用户聚会举办了互联网社区男女代表非正式会议</w:t>
      </w:r>
      <w:r w:rsidR="00FC5ECC">
        <w:t>(1,</w:t>
      </w:r>
      <w:r w:rsidRPr="00E27BB2">
        <w:t>86</w:t>
      </w:r>
      <w:r w:rsidR="00FC5ECC">
        <w:t>8,</w:t>
      </w:r>
      <w:r w:rsidRPr="00E27BB2">
        <w:t>333</w:t>
      </w:r>
      <w:r w:rsidR="005D549B">
        <w:rPr>
          <w:rFonts w:hint="eastAsia"/>
        </w:rPr>
        <w:t>.91</w:t>
      </w:r>
      <w:r w:rsidRPr="00E27BB2">
        <w:t>塞尔维亚第纳尔</w:t>
      </w:r>
      <w:r w:rsidR="00FC5ECC">
        <w:t>)</w:t>
      </w:r>
      <w:r w:rsidRPr="00E27BB2">
        <w:t>。</w:t>
      </w:r>
    </w:p>
    <w:p w:rsidR="00BC40DA" w:rsidRPr="00E27BB2" w:rsidRDefault="005B1AED" w:rsidP="005B1AED">
      <w:pPr>
        <w:pStyle w:val="H1GC"/>
      </w:pPr>
      <w:r>
        <w:rPr>
          <w:rFonts w:hint="eastAsia"/>
        </w:rPr>
        <w:tab/>
      </w:r>
      <w:r>
        <w:rPr>
          <w:rFonts w:hint="eastAsia"/>
        </w:rPr>
        <w:tab/>
      </w:r>
      <w:r w:rsidR="00BC40DA" w:rsidRPr="00E27BB2">
        <w:t>暴力侵害妇女</w:t>
      </w:r>
    </w:p>
    <w:p w:rsidR="00BC40DA" w:rsidRPr="00E27BB2" w:rsidRDefault="005B1AED" w:rsidP="005B1AED">
      <w:pPr>
        <w:pStyle w:val="H23GC"/>
      </w:pPr>
      <w:r>
        <w:rPr>
          <w:rFonts w:hint="eastAsia"/>
        </w:rPr>
        <w:tab/>
      </w:r>
      <w:r>
        <w:rPr>
          <w:rFonts w:hint="eastAsia"/>
        </w:rPr>
        <w:tab/>
      </w:r>
      <w:r w:rsidR="00BC40DA" w:rsidRPr="00E27BB2">
        <w:t>对问题清单第</w:t>
      </w:r>
      <w:r w:rsidR="00BC40DA" w:rsidRPr="00E27BB2">
        <w:t>5</w:t>
      </w:r>
      <w:r w:rsidR="00BC40DA" w:rsidRPr="00E27BB2">
        <w:t>段所提问题的答复</w:t>
      </w:r>
    </w:p>
    <w:p w:rsidR="00BC40DA" w:rsidRPr="00E27BB2" w:rsidRDefault="00BC40DA" w:rsidP="005B1AED">
      <w:pPr>
        <w:pStyle w:val="SingleTxtGC"/>
      </w:pPr>
      <w:r w:rsidRPr="00E27BB2">
        <w:t>3</w:t>
      </w:r>
      <w:r w:rsidR="00FC5ECC">
        <w:t>2.</w:t>
      </w:r>
      <w:r w:rsidR="005B1AED">
        <w:rPr>
          <w:rFonts w:hint="eastAsia"/>
        </w:rPr>
        <w:t xml:space="preserve">  </w:t>
      </w:r>
      <w:r w:rsidRPr="00E27BB2">
        <w:t>2011</w:t>
      </w:r>
      <w:r w:rsidRPr="00E27BB2">
        <w:t>年</w:t>
      </w:r>
      <w:r w:rsidRPr="00E27BB2">
        <w:t>4</w:t>
      </w:r>
      <w:r w:rsidRPr="00E27BB2">
        <w:t>月通过了《防范和打击在家庭和亲密关系中暴力侵害妇女的国家战略》。该《战略》的目标如下</w:t>
      </w:r>
      <w:r w:rsidR="00FC5ECC">
        <w:t>：</w:t>
      </w:r>
      <w:r w:rsidR="00FC5ECC">
        <w:t>(</w:t>
      </w:r>
      <w:r w:rsidRPr="00E27BB2">
        <w:t>1</w:t>
      </w:r>
      <w:r w:rsidR="00FC5ECC">
        <w:t>)</w:t>
      </w:r>
      <w:r w:rsidR="005B1AED" w:rsidRPr="005B1AED">
        <w:rPr>
          <w:rFonts w:hint="eastAsia"/>
          <w:vertAlign w:val="superscript"/>
        </w:rPr>
        <w:t xml:space="preserve"> </w:t>
      </w:r>
      <w:r w:rsidRPr="00E27BB2">
        <w:t>建立初级、二级和三级防范系统</w:t>
      </w:r>
      <w:r w:rsidR="00FC5ECC">
        <w:t>；</w:t>
      </w:r>
      <w:r w:rsidR="00FC5ECC">
        <w:t>(</w:t>
      </w:r>
      <w:r w:rsidRPr="00E27BB2">
        <w:t>2</w:t>
      </w:r>
      <w:r w:rsidR="00FC5ECC">
        <w:t>)</w:t>
      </w:r>
      <w:r w:rsidR="005B1AED" w:rsidRPr="005B1AED">
        <w:rPr>
          <w:rFonts w:hint="eastAsia"/>
          <w:vertAlign w:val="superscript"/>
        </w:rPr>
        <w:t xml:space="preserve"> </w:t>
      </w:r>
      <w:r w:rsidRPr="00E27BB2">
        <w:t>改善保护妇女免受暴力侵害的立法框架</w:t>
      </w:r>
      <w:r w:rsidR="00FC5ECC">
        <w:t>；</w:t>
      </w:r>
      <w:r w:rsidR="00FC5ECC">
        <w:t>(</w:t>
      </w:r>
      <w:r w:rsidRPr="00E27BB2">
        <w:t>3</w:t>
      </w:r>
      <w:r w:rsidR="00FC5ECC">
        <w:t>)</w:t>
      </w:r>
      <w:r w:rsidR="005B1AED" w:rsidRPr="005B1AED">
        <w:rPr>
          <w:rFonts w:hint="eastAsia"/>
          <w:vertAlign w:val="superscript"/>
        </w:rPr>
        <w:t xml:space="preserve"> </w:t>
      </w:r>
      <w:r w:rsidRPr="00E27BB2">
        <w:t>开展多部门合作并加强机构和专门服务部门的能力</w:t>
      </w:r>
      <w:r w:rsidR="00FC5ECC">
        <w:t>；</w:t>
      </w:r>
      <w:r w:rsidR="00FC5ECC">
        <w:t>(</w:t>
      </w:r>
      <w:r w:rsidRPr="00E27BB2">
        <w:t>4</w:t>
      </w:r>
      <w:r w:rsidR="00FC5ECC">
        <w:t>)</w:t>
      </w:r>
      <w:r w:rsidR="005B1AED" w:rsidRPr="005B1AED">
        <w:rPr>
          <w:rFonts w:hint="eastAsia"/>
          <w:vertAlign w:val="superscript"/>
        </w:rPr>
        <w:t xml:space="preserve"> </w:t>
      </w:r>
      <w:r w:rsidRPr="00E27BB2">
        <w:t>改善保护和支持暴力受害者的措施体系。</w:t>
      </w:r>
    </w:p>
    <w:p w:rsidR="00BC40DA" w:rsidRPr="00E27BB2" w:rsidRDefault="00BC40DA" w:rsidP="00BC40DA">
      <w:pPr>
        <w:pStyle w:val="SingleTxtGC"/>
      </w:pPr>
      <w:r w:rsidRPr="00E27BB2">
        <w:t>3</w:t>
      </w:r>
      <w:r w:rsidR="00FC5ECC">
        <w:t>3.</w:t>
      </w:r>
      <w:r w:rsidR="005B1AED">
        <w:rPr>
          <w:rFonts w:hint="eastAsia"/>
        </w:rPr>
        <w:t xml:space="preserve">  </w:t>
      </w:r>
      <w:r w:rsidRPr="00E27BB2">
        <w:t>按照该项《战略》</w:t>
      </w:r>
      <w:r w:rsidR="00FC5ECC">
        <w:t>，</w:t>
      </w:r>
      <w:r w:rsidRPr="00E27BB2">
        <w:t>塞尔维亚共和国于</w:t>
      </w:r>
      <w:r w:rsidRPr="00E27BB2">
        <w:t>2012</w:t>
      </w:r>
      <w:r w:rsidRPr="00E27BB2">
        <w:t>年</w:t>
      </w:r>
      <w:r w:rsidRPr="00E27BB2">
        <w:t>4</w:t>
      </w:r>
      <w:r w:rsidRPr="00E27BB2">
        <w:t>月</w:t>
      </w:r>
      <w:r w:rsidRPr="00E27BB2">
        <w:t>4</w:t>
      </w:r>
      <w:r w:rsidRPr="00E27BB2">
        <w:t>日签署了欧洲委员会《防止和打击暴力侵害妇女行为和家庭暴力公约》。</w:t>
      </w:r>
    </w:p>
    <w:p w:rsidR="00BC40DA" w:rsidRPr="00E27BB2" w:rsidRDefault="00BC40DA" w:rsidP="00BC40DA">
      <w:pPr>
        <w:pStyle w:val="SingleTxtGC"/>
      </w:pPr>
      <w:r w:rsidRPr="00E27BB2">
        <w:t>3</w:t>
      </w:r>
      <w:r w:rsidR="00FC5ECC">
        <w:t>4.</w:t>
      </w:r>
      <w:r w:rsidR="005B1AED">
        <w:rPr>
          <w:rFonts w:hint="eastAsia"/>
        </w:rPr>
        <w:t xml:space="preserve">  </w:t>
      </w:r>
      <w:r w:rsidRPr="00E27BB2">
        <w:t>在实施</w:t>
      </w:r>
      <w:r w:rsidR="005B1AED">
        <w:rPr>
          <w:rFonts w:hint="eastAsia"/>
        </w:rPr>
        <w:t>“</w:t>
      </w:r>
      <w:r w:rsidRPr="00E27BB2">
        <w:t>打击性暴力和基于性别的暴力</w:t>
      </w:r>
      <w:r w:rsidR="005B1AED">
        <w:rPr>
          <w:rFonts w:hint="eastAsia"/>
        </w:rPr>
        <w:t>”</w:t>
      </w:r>
      <w:r w:rsidRPr="00E27BB2">
        <w:t>的项目方面取得了下述进展</w:t>
      </w:r>
      <w:r w:rsidR="00FC5ECC">
        <w:t>：</w:t>
      </w:r>
    </w:p>
    <w:p w:rsidR="00BC40DA" w:rsidRPr="00E27BB2" w:rsidRDefault="00BC40DA" w:rsidP="005B1AED">
      <w:pPr>
        <w:pStyle w:val="DashGC"/>
      </w:pPr>
      <w:r w:rsidRPr="00E27BB2">
        <w:t>为司法学院、犯罪和警察学院以及政府人力资源管理厅开设了关于两性平等以及性暴力和基于性别的暴力的专门课程。有</w:t>
      </w:r>
      <w:r w:rsidRPr="00E27BB2">
        <w:t>300</w:t>
      </w:r>
      <w:r w:rsidRPr="00E27BB2">
        <w:t>余名男女警务人员受到了培训</w:t>
      </w:r>
      <w:r w:rsidR="00FC5ECC">
        <w:t>(</w:t>
      </w:r>
      <w:r w:rsidRPr="00E27BB2">
        <w:t>在犯罪和警察学院举办了</w:t>
      </w:r>
      <w:r w:rsidRPr="00E27BB2">
        <w:t>15</w:t>
      </w:r>
      <w:r w:rsidRPr="00E27BB2">
        <w:t>次研讨会</w:t>
      </w:r>
      <w:r w:rsidR="00FC5ECC">
        <w:t>)</w:t>
      </w:r>
      <w:r w:rsidR="00FC5ECC">
        <w:t>，</w:t>
      </w:r>
      <w:r w:rsidRPr="00E27BB2">
        <w:t>300</w:t>
      </w:r>
      <w:r w:rsidRPr="00E27BB2">
        <w:t>余名男女法官和检察官受到了培训</w:t>
      </w:r>
      <w:r w:rsidR="00FC5ECC">
        <w:t>(</w:t>
      </w:r>
      <w:r w:rsidRPr="00E27BB2">
        <w:t>在司法学院举办了</w:t>
      </w:r>
      <w:r w:rsidRPr="00E27BB2">
        <w:t>15</w:t>
      </w:r>
      <w:r w:rsidRPr="00E27BB2">
        <w:t>次研讨会</w:t>
      </w:r>
      <w:r w:rsidR="00FC5ECC">
        <w:t>)</w:t>
      </w:r>
      <w:r w:rsidRPr="00E27BB2">
        <w:t>。为政府人力资源管理厅的男女公务员举办了</w:t>
      </w:r>
      <w:r w:rsidRPr="00E27BB2">
        <w:t>3</w:t>
      </w:r>
      <w:r w:rsidRPr="00E27BB2">
        <w:t>次培训。有</w:t>
      </w:r>
      <w:r w:rsidRPr="00E27BB2">
        <w:t>32</w:t>
      </w:r>
      <w:r w:rsidRPr="00E27BB2">
        <w:t>名男女大学生于</w:t>
      </w:r>
      <w:r w:rsidRPr="00E27BB2">
        <w:t>2009</w:t>
      </w:r>
      <w:r w:rsidRPr="00E27BB2">
        <w:t>年</w:t>
      </w:r>
      <w:r w:rsidRPr="00E27BB2">
        <w:t>6</w:t>
      </w:r>
      <w:r w:rsidRPr="00E27BB2">
        <w:t>月至</w:t>
      </w:r>
      <w:r w:rsidRPr="00E27BB2">
        <w:t>2011</w:t>
      </w:r>
      <w:r w:rsidRPr="00E27BB2">
        <w:t>年</w:t>
      </w:r>
      <w:r w:rsidRPr="00E27BB2">
        <w:t>12</w:t>
      </w:r>
      <w:r w:rsidRPr="00E27BB2">
        <w:t>月期间在选定的机构进行了为期</w:t>
      </w:r>
      <w:r w:rsidRPr="00E27BB2">
        <w:t>3</w:t>
      </w:r>
      <w:r w:rsidRPr="00E27BB2">
        <w:t>个月的实习</w:t>
      </w:r>
      <w:r w:rsidR="00FC5ECC">
        <w:t>，</w:t>
      </w:r>
      <w:r w:rsidRPr="00E27BB2">
        <w:t>这些都是处理性暴力和基于性别的暴力问题的机构</w:t>
      </w:r>
      <w:r w:rsidR="00FC5ECC">
        <w:t>(</w:t>
      </w:r>
      <w:r w:rsidRPr="00E27BB2">
        <w:t>两性平等司</w:t>
      </w:r>
      <w:r w:rsidR="00FC5ECC">
        <w:t>，</w:t>
      </w:r>
      <w:r w:rsidRPr="00E27BB2">
        <w:t>共和国社会保护研究所</w:t>
      </w:r>
      <w:r w:rsidR="00FC5ECC">
        <w:t>，</w:t>
      </w:r>
      <w:r w:rsidRPr="00E27BB2">
        <w:t>劳动和社会政策部</w:t>
      </w:r>
      <w:r w:rsidR="00FC5ECC">
        <w:t>，</w:t>
      </w:r>
      <w:r w:rsidRPr="00E27BB2">
        <w:t>劳动、就业和两性平等问题省级秘书处</w:t>
      </w:r>
      <w:r w:rsidR="00FC5ECC">
        <w:t>，</w:t>
      </w:r>
      <w:r w:rsidRPr="00E27BB2">
        <w:rPr>
          <w:lang w:val="en-GB"/>
        </w:rPr>
        <w:t>Pan</w:t>
      </w:r>
      <w:r w:rsidRPr="00E27BB2">
        <w:rPr>
          <w:rFonts w:eastAsia="MS Mincho"/>
          <w:lang w:val="en-GB"/>
        </w:rPr>
        <w:t>č</w:t>
      </w:r>
      <w:r w:rsidRPr="00E27BB2">
        <w:rPr>
          <w:lang w:val="en-GB"/>
        </w:rPr>
        <w:t>evo</w:t>
      </w:r>
      <w:r w:rsidRPr="00E27BB2">
        <w:t>社会工作中心</w:t>
      </w:r>
      <w:r w:rsidR="00FC5ECC">
        <w:t>，</w:t>
      </w:r>
      <w:r w:rsidRPr="00E27BB2">
        <w:t>以及民间社会组织</w:t>
      </w:r>
      <w:r w:rsidR="00FC5ECC">
        <w:t>)</w:t>
      </w:r>
      <w:r w:rsidRPr="00E27BB2">
        <w:t>。</w:t>
      </w:r>
      <w:r w:rsidRPr="00E27BB2">
        <w:t>2012</w:t>
      </w:r>
      <w:r w:rsidRPr="00E27BB2">
        <w:t>年将有</w:t>
      </w:r>
      <w:r w:rsidRPr="00E27BB2">
        <w:t>30</w:t>
      </w:r>
      <w:r w:rsidRPr="00E27BB2">
        <w:t>名男女实习生进行实习。</w:t>
      </w:r>
    </w:p>
    <w:p w:rsidR="00BC40DA" w:rsidRPr="00E27BB2" w:rsidRDefault="00BC40DA" w:rsidP="005B1AED">
      <w:pPr>
        <w:pStyle w:val="DashGC"/>
        <w:rPr>
          <w:lang w:val="en-GB"/>
        </w:rPr>
      </w:pPr>
      <w:r w:rsidRPr="00E27BB2">
        <w:t>提供了</w:t>
      </w:r>
      <w:r w:rsidRPr="00E27BB2">
        <w:t>19</w:t>
      </w:r>
      <w:r w:rsidRPr="00E27BB2">
        <w:t>项助学金</w:t>
      </w:r>
      <w:r w:rsidR="00FC5ECC">
        <w:t>，</w:t>
      </w:r>
      <w:r w:rsidRPr="00E27BB2">
        <w:t>用以支助在地方自治单位</w:t>
      </w:r>
      <w:r w:rsidR="00FC5ECC">
        <w:t>(</w:t>
      </w:r>
      <w:r w:rsidRPr="00E27BB2">
        <w:t>公民协会、妇女团体、法律援助机构等</w:t>
      </w:r>
      <w:r w:rsidR="00FC5ECC">
        <w:t>)</w:t>
      </w:r>
      <w:r w:rsidRPr="00E27BB2">
        <w:t>一级的活动人员</w:t>
      </w:r>
      <w:r w:rsidR="00FC5ECC">
        <w:t>，</w:t>
      </w:r>
      <w:r w:rsidRPr="00E27BB2">
        <w:t>以求加强协调并保障向暴力受害者提供的服务具有连续性。</w:t>
      </w:r>
      <w:r w:rsidRPr="00E27BB2">
        <w:t>2011</w:t>
      </w:r>
      <w:r w:rsidRPr="00E27BB2">
        <w:t>年</w:t>
      </w:r>
      <w:r w:rsidRPr="00E27BB2">
        <w:t>5</w:t>
      </w:r>
      <w:r w:rsidRPr="00E27BB2">
        <w:t>月对欧洲委员会《防止和打击暴力侵害妇女行为和家庭暴力公约》</w:t>
      </w:r>
      <w:r w:rsidRPr="00E27BB2">
        <w:rPr>
          <w:lang w:val="en-GB"/>
        </w:rPr>
        <w:t>提出了一项评论意见。</w:t>
      </w:r>
    </w:p>
    <w:p w:rsidR="00BC40DA" w:rsidRPr="00E27BB2" w:rsidRDefault="00BC40DA" w:rsidP="005B1AED">
      <w:pPr>
        <w:pStyle w:val="DashGC"/>
      </w:pPr>
      <w:r w:rsidRPr="00E27BB2">
        <w:t>编写了关于</w:t>
      </w:r>
      <w:r w:rsidR="005B1AED">
        <w:rPr>
          <w:rFonts w:hint="eastAsia"/>
        </w:rPr>
        <w:t>“</w:t>
      </w:r>
      <w:r w:rsidRPr="00E27BB2">
        <w:t>家庭暴力侵害妇女情况示意图</w:t>
      </w:r>
      <w:r w:rsidR="005B1AED">
        <w:rPr>
          <w:rFonts w:hint="eastAsia"/>
        </w:rPr>
        <w:t>”</w:t>
      </w:r>
      <w:r w:rsidRPr="00E27BB2">
        <w:t>的研究</w:t>
      </w:r>
      <w:r w:rsidR="00FC5ECC">
        <w:t>，</w:t>
      </w:r>
      <w:r w:rsidRPr="00E27BB2">
        <w:t>该研究的依据</w:t>
      </w:r>
      <w:r w:rsidR="00FC5ECC">
        <w:t>，</w:t>
      </w:r>
      <w:r w:rsidRPr="00E27BB2">
        <w:t>是为了提供有关家庭暴力侵害妇女的行为在塞尔维亚中部地区的盛行程度及其基本特点的具有代表性的数据而开展的研究工作。</w:t>
      </w:r>
    </w:p>
    <w:p w:rsidR="00BC40DA" w:rsidRPr="00E27BB2" w:rsidRDefault="00BC40DA" w:rsidP="005B1AED">
      <w:pPr>
        <w:pStyle w:val="DashGC"/>
      </w:pPr>
      <w:r w:rsidRPr="00E27BB2">
        <w:t>组织前往以下地点进行考察旅行</w:t>
      </w:r>
      <w:r w:rsidR="00FC5ECC">
        <w:t>：</w:t>
      </w:r>
      <w:r w:rsidR="00FC5ECC">
        <w:t>(</w:t>
      </w:r>
      <w:r w:rsidRPr="00E27BB2">
        <w:t>1</w:t>
      </w:r>
      <w:r w:rsidR="00FC5ECC">
        <w:t>)</w:t>
      </w:r>
      <w:r w:rsidR="005B1AED" w:rsidRPr="005B1AED">
        <w:rPr>
          <w:rFonts w:hint="eastAsia"/>
          <w:vertAlign w:val="superscript"/>
        </w:rPr>
        <w:t xml:space="preserve"> </w:t>
      </w:r>
      <w:r w:rsidRPr="00E27BB2">
        <w:t>瑞典王国。考察人员为国家男女官员和克拉古耶瓦茨市各机构的代表</w:t>
      </w:r>
      <w:r w:rsidR="00FC5ECC">
        <w:t>，</w:t>
      </w:r>
      <w:r w:rsidRPr="00E27BB2">
        <w:t>因为克拉古耶瓦茨市有一项业已制定的合作议定书</w:t>
      </w:r>
      <w:r w:rsidR="00FC5ECC">
        <w:t>，</w:t>
      </w:r>
      <w:r w:rsidRPr="00E27BB2">
        <w:t>并具有处理家庭暴力相关问题的流动工作队和专业能力</w:t>
      </w:r>
      <w:r w:rsidR="00FC5ECC">
        <w:t>；</w:t>
      </w:r>
      <w:r w:rsidR="00FC5ECC">
        <w:t>(</w:t>
      </w:r>
      <w:r w:rsidRPr="00E27BB2">
        <w:t>2</w:t>
      </w:r>
      <w:r w:rsidR="00FC5ECC">
        <w:t>)</w:t>
      </w:r>
      <w:r w:rsidR="005B1AED" w:rsidRPr="005B1AED">
        <w:rPr>
          <w:rFonts w:hint="eastAsia"/>
          <w:vertAlign w:val="superscript"/>
        </w:rPr>
        <w:t xml:space="preserve"> </w:t>
      </w:r>
      <w:r w:rsidRPr="00E27BB2">
        <w:t>布鲁塞尔、以及参与打击家庭暴力的欧盟机构</w:t>
      </w:r>
      <w:r w:rsidR="00FC5ECC">
        <w:t>；</w:t>
      </w:r>
      <w:r w:rsidR="00FC5ECC">
        <w:t>(</w:t>
      </w:r>
      <w:r w:rsidRPr="00E27BB2">
        <w:t>3</w:t>
      </w:r>
      <w:r w:rsidR="00FC5ECC">
        <w:t>)</w:t>
      </w:r>
      <w:r w:rsidR="005B1AED" w:rsidRPr="005B1AED">
        <w:rPr>
          <w:rFonts w:hint="eastAsia"/>
          <w:vertAlign w:val="superscript"/>
        </w:rPr>
        <w:t xml:space="preserve"> </w:t>
      </w:r>
      <w:r w:rsidRPr="00E27BB2">
        <w:t>意大利参与打击性暴力和基于性别的暴力行为的机构。</w:t>
      </w:r>
    </w:p>
    <w:p w:rsidR="00BC40DA" w:rsidRPr="00E27BB2" w:rsidRDefault="00BC40DA" w:rsidP="005B1AED">
      <w:pPr>
        <w:pStyle w:val="DashGC"/>
      </w:pPr>
      <w:r w:rsidRPr="00E27BB2">
        <w:t>举行了</w:t>
      </w:r>
      <w:r w:rsidRPr="00E27BB2">
        <w:t>3</w:t>
      </w:r>
      <w:r w:rsidRPr="00E27BB2">
        <w:t>次全国会议</w:t>
      </w:r>
      <w:r w:rsidR="00FC5ECC">
        <w:t>(</w:t>
      </w:r>
      <w:r w:rsidRPr="00E27BB2">
        <w:t>一次在</w:t>
      </w:r>
      <w:r w:rsidRPr="00E27BB2">
        <w:t>2010</w:t>
      </w:r>
      <w:r w:rsidRPr="00E27BB2">
        <w:t>年</w:t>
      </w:r>
      <w:r w:rsidR="00FC5ECC">
        <w:t>，</w:t>
      </w:r>
      <w:r w:rsidRPr="00E27BB2">
        <w:t>两次在</w:t>
      </w:r>
      <w:r w:rsidRPr="00E27BB2">
        <w:t>2011</w:t>
      </w:r>
      <w:r w:rsidRPr="00E27BB2">
        <w:t>年</w:t>
      </w:r>
      <w:r w:rsidR="00FC5ECC">
        <w:t>)</w:t>
      </w:r>
      <w:r w:rsidR="00FC5ECC">
        <w:t>，</w:t>
      </w:r>
      <w:r w:rsidRPr="00E27BB2">
        <w:t>与会者为各机构和组织的</w:t>
      </w:r>
      <w:r w:rsidRPr="00E27BB2">
        <w:t>300</w:t>
      </w:r>
      <w:r w:rsidRPr="00E27BB2">
        <w:t>多名男女代表。此外还进行了若干次培训</w:t>
      </w:r>
      <w:r w:rsidR="00FC5ECC">
        <w:t>(</w:t>
      </w:r>
      <w:r w:rsidRPr="00E27BB2">
        <w:t>培训研讨会和讲习班</w:t>
      </w:r>
      <w:r w:rsidR="00FC5ECC">
        <w:t>)</w:t>
      </w:r>
      <w:r w:rsidR="00FC5ECC">
        <w:t>，</w:t>
      </w:r>
      <w:r w:rsidRPr="00E27BB2">
        <w:t>目的是加强相关的国家、省级和地方机构</w:t>
      </w:r>
      <w:r w:rsidR="00FC5ECC">
        <w:t>(</w:t>
      </w:r>
      <w:r w:rsidRPr="00E27BB2">
        <w:t>司法、警察、保健设施、社会工作中心、民间社会组织</w:t>
      </w:r>
      <w:r w:rsidR="00FC5ECC">
        <w:t>)</w:t>
      </w:r>
      <w:r w:rsidRPr="00E27BB2">
        <w:t>的男女代表的能力</w:t>
      </w:r>
      <w:r w:rsidR="00FC5ECC">
        <w:t>，</w:t>
      </w:r>
      <w:r w:rsidRPr="00E27BB2">
        <w:t>共有来自</w:t>
      </w:r>
      <w:r w:rsidRPr="005B1AED">
        <w:rPr>
          <w:spacing w:val="-2"/>
        </w:rPr>
        <w:t>以下</w:t>
      </w:r>
      <w:r w:rsidRPr="005B1AED">
        <w:rPr>
          <w:spacing w:val="-2"/>
        </w:rPr>
        <w:t>23</w:t>
      </w:r>
      <w:r w:rsidRPr="005B1AED">
        <w:rPr>
          <w:spacing w:val="-2"/>
        </w:rPr>
        <w:t>个地区的地方自治单位的</w:t>
      </w:r>
      <w:r w:rsidRPr="005B1AED">
        <w:rPr>
          <w:spacing w:val="-2"/>
        </w:rPr>
        <w:t>550</w:t>
      </w:r>
      <w:r w:rsidRPr="005B1AED">
        <w:rPr>
          <w:spacing w:val="-2"/>
        </w:rPr>
        <w:t>名男女参加了培训</w:t>
      </w:r>
      <w:r w:rsidR="00FC5ECC" w:rsidRPr="005B1AED">
        <w:rPr>
          <w:spacing w:val="-2"/>
        </w:rPr>
        <w:t>：</w:t>
      </w:r>
      <w:r w:rsidRPr="005B1AED">
        <w:rPr>
          <w:spacing w:val="-2"/>
          <w:lang w:val="en-GB"/>
        </w:rPr>
        <w:t>Mladenovac</w:t>
      </w:r>
      <w:r w:rsidR="005B1AED" w:rsidRPr="005B1AED">
        <w:rPr>
          <w:rFonts w:hint="eastAsia"/>
          <w:spacing w:val="-2"/>
          <w:lang w:val="en-GB"/>
        </w:rPr>
        <w:t>、</w:t>
      </w:r>
      <w:r w:rsidRPr="00E27BB2">
        <w:rPr>
          <w:lang w:val="en-GB"/>
        </w:rPr>
        <w:t>Arandjelovac</w:t>
      </w:r>
      <w:r w:rsidRPr="00E27BB2">
        <w:rPr>
          <w:lang w:val="en-GB"/>
        </w:rPr>
        <w:t>、</w:t>
      </w:r>
      <w:r w:rsidRPr="00E27BB2">
        <w:rPr>
          <w:lang w:val="en-GB"/>
        </w:rPr>
        <w:t>Sopot</w:t>
      </w:r>
      <w:r w:rsidRPr="00E27BB2">
        <w:rPr>
          <w:lang w:val="en-GB"/>
        </w:rPr>
        <w:t>、</w:t>
      </w:r>
      <w:r w:rsidRPr="00E27BB2">
        <w:rPr>
          <w:lang w:val="en-GB"/>
        </w:rPr>
        <w:t>Surdulica</w:t>
      </w:r>
      <w:r w:rsidRPr="00E27BB2">
        <w:rPr>
          <w:lang w:val="en-GB"/>
        </w:rPr>
        <w:t>、</w:t>
      </w:r>
      <w:r w:rsidRPr="00E27BB2">
        <w:rPr>
          <w:lang w:val="en-GB"/>
        </w:rPr>
        <w:t>Vladi</w:t>
      </w:r>
      <w:r w:rsidRPr="00E27BB2">
        <w:rPr>
          <w:rFonts w:eastAsia="MS Mincho"/>
          <w:lang w:val="en-GB"/>
        </w:rPr>
        <w:t>č</w:t>
      </w:r>
      <w:r w:rsidRPr="00E27BB2">
        <w:rPr>
          <w:lang w:val="en-GB"/>
        </w:rPr>
        <w:t>in Han</w:t>
      </w:r>
      <w:r w:rsidRPr="00E27BB2">
        <w:rPr>
          <w:lang w:val="en-GB"/>
        </w:rPr>
        <w:t>、</w:t>
      </w:r>
      <w:r w:rsidRPr="00E27BB2">
        <w:rPr>
          <w:lang w:val="en-GB"/>
        </w:rPr>
        <w:t>Smederevo</w:t>
      </w:r>
      <w:r w:rsidRPr="00E27BB2">
        <w:rPr>
          <w:lang w:val="en-GB"/>
        </w:rPr>
        <w:t>、</w:t>
      </w:r>
      <w:r w:rsidRPr="00E27BB2">
        <w:rPr>
          <w:lang w:val="en-GB"/>
        </w:rPr>
        <w:t>Velika Plana</w:t>
      </w:r>
      <w:r w:rsidRPr="00E27BB2">
        <w:rPr>
          <w:lang w:val="en-GB"/>
        </w:rPr>
        <w:t>、</w:t>
      </w:r>
      <w:r w:rsidRPr="00E27BB2">
        <w:rPr>
          <w:lang w:val="en-GB"/>
        </w:rPr>
        <w:t>Svilajnac</w:t>
      </w:r>
      <w:r w:rsidRPr="00E27BB2">
        <w:rPr>
          <w:lang w:val="en-GB"/>
        </w:rPr>
        <w:t>、</w:t>
      </w:r>
      <w:r w:rsidRPr="00E27BB2">
        <w:rPr>
          <w:lang w:val="en-GB"/>
        </w:rPr>
        <w:t>Despotovac</w:t>
      </w:r>
      <w:r w:rsidRPr="00E27BB2">
        <w:rPr>
          <w:lang w:val="en-GB"/>
        </w:rPr>
        <w:t>、</w:t>
      </w:r>
      <w:r w:rsidRPr="00E27BB2">
        <w:rPr>
          <w:lang w:val="en-GB"/>
        </w:rPr>
        <w:t>Bato</w:t>
      </w:r>
      <w:r w:rsidRPr="00E27BB2">
        <w:rPr>
          <w:rFonts w:eastAsia="MS Mincho"/>
          <w:lang w:val="en-GB"/>
        </w:rPr>
        <w:t>č</w:t>
      </w:r>
      <w:r w:rsidRPr="00E27BB2">
        <w:rPr>
          <w:lang w:val="en-GB"/>
        </w:rPr>
        <w:t>ina</w:t>
      </w:r>
      <w:r w:rsidRPr="00E27BB2">
        <w:rPr>
          <w:lang w:val="en-GB"/>
        </w:rPr>
        <w:t>、</w:t>
      </w:r>
      <w:r w:rsidRPr="00E27BB2">
        <w:rPr>
          <w:lang w:val="en-GB"/>
        </w:rPr>
        <w:t>Ljig</w:t>
      </w:r>
      <w:r w:rsidRPr="00E27BB2">
        <w:rPr>
          <w:lang w:val="en-GB"/>
        </w:rPr>
        <w:t>、</w:t>
      </w:r>
      <w:r w:rsidRPr="00E27BB2">
        <w:rPr>
          <w:lang w:val="en-GB"/>
        </w:rPr>
        <w:t>Lajkovac</w:t>
      </w:r>
      <w:r w:rsidRPr="00E27BB2">
        <w:rPr>
          <w:lang w:val="en-GB"/>
        </w:rPr>
        <w:t>、</w:t>
      </w:r>
      <w:r w:rsidRPr="00E27BB2">
        <w:rPr>
          <w:lang w:val="en-GB"/>
        </w:rPr>
        <w:t>Mionica</w:t>
      </w:r>
      <w:r w:rsidRPr="00E27BB2">
        <w:rPr>
          <w:lang w:val="en-GB"/>
        </w:rPr>
        <w:t>、</w:t>
      </w:r>
      <w:r w:rsidRPr="00E27BB2">
        <w:rPr>
          <w:lang w:val="en-GB"/>
        </w:rPr>
        <w:t>Vlasotince</w:t>
      </w:r>
      <w:r w:rsidRPr="00E27BB2">
        <w:rPr>
          <w:lang w:val="en-GB"/>
        </w:rPr>
        <w:t>、</w:t>
      </w:r>
      <w:r w:rsidRPr="00E27BB2">
        <w:rPr>
          <w:lang w:val="en-GB"/>
        </w:rPr>
        <w:t>Gad</w:t>
      </w:r>
      <w:r w:rsidRPr="00E27BB2">
        <w:rPr>
          <w:rFonts w:eastAsia="宋体-方正超大字符集"/>
          <w:lang w:val="en-GB"/>
        </w:rPr>
        <w:t>ž</w:t>
      </w:r>
      <w:r w:rsidRPr="00E27BB2">
        <w:rPr>
          <w:lang w:val="en-GB"/>
        </w:rPr>
        <w:t>in Han</w:t>
      </w:r>
      <w:r w:rsidRPr="00E27BB2">
        <w:rPr>
          <w:lang w:val="en-GB"/>
        </w:rPr>
        <w:t>、</w:t>
      </w:r>
      <w:r w:rsidRPr="00E27BB2">
        <w:rPr>
          <w:lang w:val="en-GB"/>
        </w:rPr>
        <w:t>Novi Pazar</w:t>
      </w:r>
      <w:r w:rsidRPr="00E27BB2">
        <w:rPr>
          <w:lang w:val="en-GB"/>
        </w:rPr>
        <w:t>、</w:t>
      </w:r>
      <w:r w:rsidRPr="00E27BB2">
        <w:rPr>
          <w:lang w:val="en-GB"/>
        </w:rPr>
        <w:t>Raška</w:t>
      </w:r>
      <w:r w:rsidRPr="00E27BB2">
        <w:rPr>
          <w:lang w:val="en-GB"/>
        </w:rPr>
        <w:t>、</w:t>
      </w:r>
      <w:r w:rsidRPr="00E27BB2">
        <w:rPr>
          <w:lang w:val="en-GB"/>
        </w:rPr>
        <w:t>Sjenica</w:t>
      </w:r>
      <w:r w:rsidRPr="00E27BB2">
        <w:rPr>
          <w:lang w:val="en-GB"/>
        </w:rPr>
        <w:t>、</w:t>
      </w:r>
      <w:r w:rsidRPr="00E27BB2">
        <w:rPr>
          <w:lang w:val="en-GB"/>
        </w:rPr>
        <w:t>Niš</w:t>
      </w:r>
      <w:r w:rsidRPr="00E27BB2">
        <w:rPr>
          <w:lang w:val="en-GB"/>
        </w:rPr>
        <w:t>、</w:t>
      </w:r>
      <w:r w:rsidRPr="00E27BB2">
        <w:rPr>
          <w:lang w:val="en-GB"/>
        </w:rPr>
        <w:t>Šabac</w:t>
      </w:r>
      <w:r w:rsidRPr="00E27BB2">
        <w:rPr>
          <w:lang w:val="en-GB"/>
        </w:rPr>
        <w:t>、</w:t>
      </w:r>
      <w:r w:rsidRPr="00E27BB2">
        <w:rPr>
          <w:lang w:val="en-GB"/>
        </w:rPr>
        <w:t>Zaje</w:t>
      </w:r>
      <w:r w:rsidRPr="00E27BB2">
        <w:rPr>
          <w:rFonts w:eastAsia="MS Mincho"/>
          <w:lang w:val="en-GB"/>
        </w:rPr>
        <w:t>č</w:t>
      </w:r>
      <w:r w:rsidRPr="00E27BB2">
        <w:rPr>
          <w:lang w:val="en-GB"/>
        </w:rPr>
        <w:t>ar</w:t>
      </w:r>
      <w:r w:rsidRPr="00E27BB2">
        <w:rPr>
          <w:lang w:val="en-GB"/>
        </w:rPr>
        <w:t>、</w:t>
      </w:r>
      <w:r w:rsidRPr="00E27BB2">
        <w:rPr>
          <w:lang w:val="en-GB"/>
        </w:rPr>
        <w:t>Pirot</w:t>
      </w:r>
      <w:r w:rsidRPr="00E27BB2">
        <w:rPr>
          <w:lang w:val="en-GB"/>
        </w:rPr>
        <w:t>和</w:t>
      </w:r>
      <w:r w:rsidRPr="00E27BB2">
        <w:rPr>
          <w:lang w:val="en-GB"/>
        </w:rPr>
        <w:t>Leskovac</w:t>
      </w:r>
      <w:r w:rsidRPr="00E27BB2">
        <w:t>。</w:t>
      </w:r>
    </w:p>
    <w:p w:rsidR="00BC40DA" w:rsidRPr="00E27BB2" w:rsidRDefault="00FA301B" w:rsidP="005B1AED">
      <w:pPr>
        <w:pStyle w:val="DashGC"/>
      </w:pPr>
      <w:r>
        <w:t>发表了关于制定</w:t>
      </w:r>
      <w:r>
        <w:rPr>
          <w:rFonts w:hint="eastAsia"/>
        </w:rPr>
        <w:t>和</w:t>
      </w:r>
      <w:r>
        <w:t>实施性暴力和性别暴力</w:t>
      </w:r>
      <w:r w:rsidR="00BC40DA" w:rsidRPr="00E27BB2">
        <w:t>施害者改过自新的最佳做法和国际经验的研究报告。在此基础上</w:t>
      </w:r>
      <w:r w:rsidR="00FC5ECC">
        <w:t>，</w:t>
      </w:r>
      <w:r w:rsidR="00BC40DA" w:rsidRPr="00E27BB2">
        <w:t>并根据劳动和社会政策部家庭保健和社会保护司的意见</w:t>
      </w:r>
      <w:r w:rsidR="00FC5ECC">
        <w:t>，</w:t>
      </w:r>
      <w:r w:rsidR="00BC40DA" w:rsidRPr="00E27BB2">
        <w:t>从贝尔格莱德、尼什和克拉古耶瓦茨选择了</w:t>
      </w:r>
      <w:r w:rsidR="00BC40DA" w:rsidRPr="00E27BB2">
        <w:t>3</w:t>
      </w:r>
      <w:r w:rsidR="00BC40DA" w:rsidRPr="00E27BB2">
        <w:t>个社会工作中心。这些中心的专业男女员工将接受有关处理暴力行为男女施害者的培训</w:t>
      </w:r>
      <w:r w:rsidR="00FC5ECC">
        <w:t>，</w:t>
      </w:r>
      <w:r w:rsidR="00BC40DA" w:rsidRPr="00E27BB2">
        <w:t>而且这些中心还将实施处理家庭和亲密关系中暴力行为施害者的试点方案。</w:t>
      </w:r>
      <w:r w:rsidR="00BC40DA" w:rsidRPr="00E27BB2">
        <w:t>2011</w:t>
      </w:r>
      <w:r w:rsidR="00BC40DA" w:rsidRPr="00E27BB2">
        <w:t>年</w:t>
      </w:r>
      <w:r w:rsidR="00BC40DA" w:rsidRPr="00E27BB2">
        <w:t>9</w:t>
      </w:r>
      <w:r w:rsidR="00BC40DA" w:rsidRPr="00E27BB2">
        <w:t>月举行了介绍</w:t>
      </w:r>
      <w:r w:rsidR="00BC40DA" w:rsidRPr="00E27BB2">
        <w:rPr>
          <w:lang w:val="en-GB"/>
        </w:rPr>
        <w:t>处理家庭和亲密关系中暴力行为施害者方案的</w:t>
      </w:r>
      <w:r w:rsidR="00BC40DA" w:rsidRPr="00E27BB2">
        <w:t>会议</w:t>
      </w:r>
      <w:r w:rsidR="00FC5ECC">
        <w:t>(</w:t>
      </w:r>
      <w:r w:rsidR="00BC40DA" w:rsidRPr="00E27BB2">
        <w:t>100</w:t>
      </w:r>
      <w:r w:rsidR="00BC40DA" w:rsidRPr="00E27BB2">
        <w:t>多名男女与会者和学术界的代表都熟悉</w:t>
      </w:r>
      <w:r w:rsidR="00BC40DA" w:rsidRPr="00E27BB2">
        <w:rPr>
          <w:lang w:val="en-GB"/>
        </w:rPr>
        <w:t>处理家庭暴力行为施害者</w:t>
      </w:r>
      <w:r w:rsidR="00BC40DA" w:rsidRPr="00E27BB2">
        <w:t>的基本知识</w:t>
      </w:r>
      <w:r w:rsidR="00FC5ECC">
        <w:t>)</w:t>
      </w:r>
      <w:r w:rsidR="00FC5ECC">
        <w:t>，</w:t>
      </w:r>
      <w:r w:rsidR="00BC40DA" w:rsidRPr="00E27BB2">
        <w:t>此外还为贝尔格莱德、尼什和克拉古耶瓦茨的城市中心雇员举办了为期两天的培训。</w:t>
      </w:r>
      <w:r w:rsidR="00BC40DA" w:rsidRPr="00E27BB2">
        <w:t>2011</w:t>
      </w:r>
      <w:r w:rsidR="00BC40DA" w:rsidRPr="00E27BB2">
        <w:t>年年底</w:t>
      </w:r>
      <w:r w:rsidR="00FC5ECC">
        <w:t>，</w:t>
      </w:r>
      <w:r w:rsidR="00BC40DA" w:rsidRPr="00E27BB2">
        <w:t>又举办了两次关于处理家庭暴力行为男女施害者问题的培训。此外还出版了题为《</w:t>
      </w:r>
      <w:r w:rsidR="00BC40DA" w:rsidRPr="00E27BB2">
        <w:rPr>
          <w:lang w:val="en-GB"/>
        </w:rPr>
        <w:t>家庭和亲密关系中暴力行为的施害者》</w:t>
      </w:r>
      <w:r w:rsidR="00BC40DA" w:rsidRPr="00E27BB2">
        <w:t>的出版物。</w:t>
      </w:r>
    </w:p>
    <w:p w:rsidR="00BC40DA" w:rsidRPr="00E27BB2" w:rsidRDefault="00BC40DA" w:rsidP="005B1AED">
      <w:pPr>
        <w:pStyle w:val="DashGC"/>
      </w:pPr>
      <w:r w:rsidRPr="00E27BB2">
        <w:t>2011</w:t>
      </w:r>
      <w:r w:rsidRPr="00E27BB2">
        <w:t>年</w:t>
      </w:r>
      <w:r w:rsidRPr="00E27BB2">
        <w:t>11</w:t>
      </w:r>
      <w:r w:rsidRPr="00E27BB2">
        <w:t>月</w:t>
      </w:r>
      <w:r w:rsidRPr="00E27BB2">
        <w:t>25</w:t>
      </w:r>
      <w:r w:rsidRPr="00E27BB2">
        <w:t>日是消除暴力侵害妇女国际日。塞尔维亚广播电台电视台在</w:t>
      </w:r>
      <w:r w:rsidR="00065087">
        <w:rPr>
          <w:rFonts w:hint="eastAsia"/>
        </w:rPr>
        <w:t>“</w:t>
      </w:r>
      <w:r w:rsidRPr="00E27BB2">
        <w:t>举报暴力行为</w:t>
      </w:r>
      <w:r w:rsidR="00065087">
        <w:rPr>
          <w:rFonts w:hint="eastAsia"/>
        </w:rPr>
        <w:t>”</w:t>
      </w:r>
      <w:r w:rsidRPr="00E27BB2">
        <w:t>的口号下</w:t>
      </w:r>
      <w:r w:rsidR="00FC5ECC">
        <w:t>，</w:t>
      </w:r>
      <w:r w:rsidRPr="00E27BB2">
        <w:t>开始了一场消除暴力侵害妇女行为的媒体宣传运功。</w:t>
      </w:r>
    </w:p>
    <w:p w:rsidR="00BC40DA" w:rsidRPr="00E27BB2" w:rsidRDefault="009C0134" w:rsidP="009C0134">
      <w:pPr>
        <w:pStyle w:val="H23GC"/>
      </w:pPr>
      <w:r>
        <w:rPr>
          <w:rFonts w:hint="eastAsia"/>
        </w:rPr>
        <w:tab/>
      </w:r>
      <w:r>
        <w:rPr>
          <w:rFonts w:hint="eastAsia"/>
        </w:rPr>
        <w:tab/>
      </w:r>
      <w:r w:rsidR="00BC40DA" w:rsidRPr="00E27BB2">
        <w:t>对问题清单第</w:t>
      </w:r>
      <w:r w:rsidR="00BC40DA" w:rsidRPr="00E27BB2">
        <w:t>6</w:t>
      </w:r>
      <w:r w:rsidR="00BC40DA" w:rsidRPr="00E27BB2">
        <w:t>段所提问题的答复</w:t>
      </w:r>
    </w:p>
    <w:p w:rsidR="00BC40DA" w:rsidRPr="00E27BB2" w:rsidRDefault="00BC40DA" w:rsidP="009C0134">
      <w:pPr>
        <w:pStyle w:val="SingleTxtGC"/>
        <w:rPr>
          <w:rFonts w:hint="eastAsia"/>
        </w:rPr>
      </w:pPr>
      <w:r w:rsidRPr="00E27BB2">
        <w:t>3</w:t>
      </w:r>
      <w:r w:rsidR="00FC5ECC">
        <w:t>5.</w:t>
      </w:r>
      <w:r w:rsidR="009C0134">
        <w:rPr>
          <w:rFonts w:hint="eastAsia"/>
        </w:rPr>
        <w:t xml:space="preserve">  </w:t>
      </w:r>
      <w:r w:rsidRPr="00E27BB2">
        <w:t>在收集和处理数据及记录系统方面</w:t>
      </w:r>
      <w:r w:rsidR="00FC5ECC">
        <w:t>，</w:t>
      </w:r>
      <w:r w:rsidRPr="00E27BB2">
        <w:t>内政部设有专门的工作部门</w:t>
      </w:r>
      <w:r w:rsidR="0030126F">
        <w:rPr>
          <w:rFonts w:hint="eastAsia"/>
          <w:spacing w:val="-50"/>
        </w:rPr>
        <w:t>―</w:t>
      </w:r>
      <w:r w:rsidR="0030126F">
        <w:rPr>
          <w:rFonts w:hint="eastAsia"/>
        </w:rPr>
        <w:t>―</w:t>
      </w:r>
      <w:r w:rsidRPr="00E27BB2">
        <w:t>统计、电信和信息技术署</w:t>
      </w:r>
      <w:r w:rsidR="0030126F">
        <w:rPr>
          <w:rFonts w:hint="eastAsia"/>
        </w:rPr>
        <w:t>部门内</w:t>
      </w:r>
      <w:r w:rsidRPr="00E27BB2">
        <w:t>统计局以及信息技术局</w:t>
      </w:r>
      <w:r w:rsidR="0030126F">
        <w:rPr>
          <w:rFonts w:hint="eastAsia"/>
        </w:rPr>
        <w:t>负责</w:t>
      </w:r>
      <w:r w:rsidRPr="00E27BB2">
        <w:t>。上述几个部门都在其职权范围内收集所有的数据并保留关于犯罪行为的信息记录。上述部门的现有数据库定期得到更新。应该指出</w:t>
      </w:r>
      <w:r w:rsidR="00FC5ECC">
        <w:t>，</w:t>
      </w:r>
      <w:r w:rsidRPr="00E27BB2">
        <w:t>关于刑事罪行的数据被标明为商业秘密</w:t>
      </w:r>
      <w:r w:rsidR="00FC5ECC">
        <w:t>，</w:t>
      </w:r>
      <w:r w:rsidRPr="00E27BB2">
        <w:t>因此只有根据具有合法利益关系的申请方的请求才能予以披露和使用。</w:t>
      </w:r>
      <w:r w:rsidR="009C0134">
        <w:rPr>
          <w:rStyle w:val="FootnoteReference"/>
        </w:rPr>
        <w:footnoteReference w:id="16"/>
      </w:r>
    </w:p>
    <w:p w:rsidR="00BC40DA" w:rsidRPr="00E27BB2" w:rsidRDefault="00BC40DA" w:rsidP="003748F3">
      <w:pPr>
        <w:pStyle w:val="SingleTxtGC"/>
        <w:rPr>
          <w:rFonts w:hint="eastAsia"/>
        </w:rPr>
      </w:pPr>
      <w:r w:rsidRPr="00E27BB2">
        <w:t>3</w:t>
      </w:r>
      <w:r w:rsidR="00FC5ECC">
        <w:t>6.</w:t>
      </w:r>
      <w:r w:rsidR="003748F3">
        <w:rPr>
          <w:rFonts w:hint="eastAsia"/>
        </w:rPr>
        <w:t xml:space="preserve">  </w:t>
      </w:r>
      <w:r w:rsidRPr="00E27BB2">
        <w:t>由于性骚扰不属于《刑法》</w:t>
      </w:r>
      <w:r w:rsidR="003748F3">
        <w:rPr>
          <w:rStyle w:val="FootnoteReference"/>
        </w:rPr>
        <w:footnoteReference w:id="17"/>
      </w:r>
      <w:r w:rsidRPr="00E27BB2">
        <w:t xml:space="preserve"> </w:t>
      </w:r>
      <w:r w:rsidRPr="00E27BB2">
        <w:t>具体规定的罪行</w:t>
      </w:r>
      <w:r w:rsidR="00FC5ECC">
        <w:t>，</w:t>
      </w:r>
      <w:r w:rsidRPr="00E27BB2">
        <w:t>内政部保留与侵犯性自由的罪行相关的刑事罪记录。此种罪行包括强奸</w:t>
      </w:r>
      <w:r w:rsidR="00FC5ECC">
        <w:t>，</w:t>
      </w:r>
      <w:r w:rsidRPr="00E27BB2">
        <w:t>与无助者性交</w:t>
      </w:r>
      <w:r w:rsidR="00FC5ECC">
        <w:t>，</w:t>
      </w:r>
      <w:r w:rsidRPr="00E27BB2">
        <w:t>通过滥用职权进行性交</w:t>
      </w:r>
      <w:r w:rsidR="00FC5ECC">
        <w:t>，</w:t>
      </w:r>
      <w:r w:rsidRPr="00E27BB2">
        <w:t>非法性行为</w:t>
      </w:r>
      <w:r w:rsidR="00FC5ECC">
        <w:t>，</w:t>
      </w:r>
      <w:r w:rsidRPr="00E27BB2">
        <w:t>拉皮条和促成他人进行性交</w:t>
      </w:r>
      <w:r w:rsidR="00FC5ECC">
        <w:t>，</w:t>
      </w:r>
      <w:r w:rsidRPr="00E27BB2">
        <w:t>为卖淫提供中介服务</w:t>
      </w:r>
      <w:r w:rsidR="00FC5ECC">
        <w:t>，</w:t>
      </w:r>
      <w:r w:rsidRPr="00E27BB2">
        <w:t>展示、获得及拥有色情材料并利用未成年人从事色情活动</w:t>
      </w:r>
      <w:r w:rsidR="00FC5ECC">
        <w:t>，</w:t>
      </w:r>
      <w:r w:rsidRPr="00E27BB2">
        <w:t>导致未成年人从事性行为</w:t>
      </w:r>
      <w:r w:rsidR="00FC5ECC">
        <w:t>，</w:t>
      </w:r>
      <w:r w:rsidRPr="00E27BB2">
        <w:t>以及利用计算机网络和其他技术设备进行的通信活动所犯的侵犯未成年人性自由的刑事罪。</w:t>
      </w:r>
    </w:p>
    <w:p w:rsidR="00BC40DA" w:rsidRPr="00E27BB2" w:rsidRDefault="00BC40DA" w:rsidP="00C13E8D">
      <w:pPr>
        <w:pStyle w:val="SingleTxtGC"/>
      </w:pPr>
      <w:r w:rsidRPr="00E27BB2">
        <w:t>3</w:t>
      </w:r>
      <w:r w:rsidR="00FC5ECC">
        <w:t>7.</w:t>
      </w:r>
      <w:r w:rsidR="00C13E8D">
        <w:rPr>
          <w:rFonts w:hint="eastAsia"/>
        </w:rPr>
        <w:t xml:space="preserve">  </w:t>
      </w:r>
      <w:r w:rsidRPr="00E27BB2">
        <w:t>根据司法部关于</w:t>
      </w:r>
      <w:r w:rsidRPr="00583511">
        <w:rPr>
          <w:rFonts w:eastAsia="KaiTi_GB2312"/>
        </w:rPr>
        <w:t>家庭暴力刑事罪</w:t>
      </w:r>
      <w:r w:rsidRPr="00E27BB2">
        <w:t>的数据</w:t>
      </w:r>
      <w:r w:rsidR="00FC5ECC">
        <w:t>，</w:t>
      </w:r>
      <w:r w:rsidRPr="00E27BB2">
        <w:t>2011</w:t>
      </w:r>
      <w:r w:rsidRPr="00E27BB2">
        <w:t>年有</w:t>
      </w:r>
      <w:r w:rsidR="00FC5ECC">
        <w:t>1,</w:t>
      </w:r>
      <w:r w:rsidRPr="00E27BB2">
        <w:t>405</w:t>
      </w:r>
      <w:r w:rsidRPr="00E27BB2">
        <w:t>人被判有罪</w:t>
      </w:r>
      <w:r w:rsidR="00FC5ECC">
        <w:t>，</w:t>
      </w:r>
      <w:r w:rsidRPr="00E27BB2">
        <w:t>其中</w:t>
      </w:r>
      <w:r w:rsidRPr="00E27BB2">
        <w:t>270</w:t>
      </w:r>
      <w:r w:rsidRPr="00E27BB2">
        <w:t>人被判监禁。</w:t>
      </w:r>
      <w:r w:rsidRPr="00E27BB2">
        <w:t>2011</w:t>
      </w:r>
      <w:r w:rsidRPr="00E27BB2">
        <w:t>年另有</w:t>
      </w:r>
      <w:r w:rsidR="00FC5ECC">
        <w:t>1,</w:t>
      </w:r>
      <w:r w:rsidRPr="00E27BB2">
        <w:t>990</w:t>
      </w:r>
      <w:r w:rsidRPr="00E27BB2">
        <w:t>人被判有罪</w:t>
      </w:r>
      <w:r w:rsidR="00FC5ECC">
        <w:t>，</w:t>
      </w:r>
      <w:r w:rsidRPr="00E27BB2">
        <w:t>其中</w:t>
      </w:r>
      <w:r w:rsidRPr="00E27BB2">
        <w:t>516</w:t>
      </w:r>
      <w:r w:rsidRPr="00E27BB2">
        <w:t>人被判监禁。在</w:t>
      </w:r>
      <w:r w:rsidRPr="00D170B0">
        <w:rPr>
          <w:rFonts w:eastAsia="KaiTi_GB2312"/>
        </w:rPr>
        <w:t>强奸罪</w:t>
      </w:r>
      <w:r w:rsidRPr="00E27BB2">
        <w:t>方面</w:t>
      </w:r>
      <w:r w:rsidR="00FC5ECC">
        <w:t>，</w:t>
      </w:r>
      <w:r w:rsidRPr="00E27BB2">
        <w:t>在</w:t>
      </w:r>
      <w:r w:rsidRPr="00E27BB2">
        <w:t>2010</w:t>
      </w:r>
      <w:r w:rsidRPr="00E27BB2">
        <w:t>年收到的</w:t>
      </w:r>
      <w:r w:rsidRPr="00E27BB2">
        <w:t>115</w:t>
      </w:r>
      <w:r w:rsidRPr="00E27BB2">
        <w:t>起案件中</w:t>
      </w:r>
      <w:r w:rsidR="00FC5ECC">
        <w:t>，</w:t>
      </w:r>
      <w:r w:rsidRPr="00E27BB2">
        <w:t>有</w:t>
      </w:r>
      <w:r w:rsidRPr="00E27BB2">
        <w:t>58</w:t>
      </w:r>
      <w:r w:rsidRPr="00E27BB2">
        <w:t>起被判有罪</w:t>
      </w:r>
      <w:r w:rsidR="00FC5ECC">
        <w:t>，</w:t>
      </w:r>
      <w:r w:rsidRPr="00E27BB2">
        <w:t>其中</w:t>
      </w:r>
      <w:r w:rsidRPr="00E27BB2">
        <w:t>52</w:t>
      </w:r>
      <w:r w:rsidRPr="00E27BB2">
        <w:t>人被判监禁</w:t>
      </w:r>
      <w:r w:rsidR="00FC5ECC">
        <w:t>，</w:t>
      </w:r>
      <w:r w:rsidRPr="00E27BB2">
        <w:t>2011</w:t>
      </w:r>
      <w:r w:rsidRPr="00E27BB2">
        <w:t>年还有</w:t>
      </w:r>
      <w:r w:rsidRPr="00E27BB2">
        <w:t>82</w:t>
      </w:r>
      <w:r w:rsidRPr="00E27BB2">
        <w:t>人被判有罪</w:t>
      </w:r>
      <w:r w:rsidR="00FC5ECC">
        <w:t>，</w:t>
      </w:r>
      <w:r w:rsidRPr="00E27BB2">
        <w:t>其中</w:t>
      </w:r>
      <w:r w:rsidRPr="00E27BB2">
        <w:t>81</w:t>
      </w:r>
      <w:r w:rsidRPr="00E27BB2">
        <w:t>人被判监禁。</w:t>
      </w:r>
    </w:p>
    <w:p w:rsidR="00BC40DA" w:rsidRPr="00E27BB2" w:rsidRDefault="00BC40DA" w:rsidP="00BC40DA">
      <w:pPr>
        <w:pStyle w:val="SingleTxtGC"/>
        <w:rPr>
          <w:rFonts w:hint="eastAsia"/>
        </w:rPr>
      </w:pPr>
      <w:r w:rsidRPr="00E27BB2">
        <w:t>3</w:t>
      </w:r>
      <w:r w:rsidR="00FC5ECC">
        <w:t>8.</w:t>
      </w:r>
      <w:r w:rsidR="00C13E8D">
        <w:rPr>
          <w:rFonts w:hint="eastAsia"/>
        </w:rPr>
        <w:t xml:space="preserve">  </w:t>
      </w:r>
      <w:r w:rsidRPr="00E27BB2">
        <w:t>卫生部保护和治疗受暴力侵害妇女特别议定书于</w:t>
      </w:r>
      <w:r w:rsidRPr="00E27BB2">
        <w:t>2010</w:t>
      </w:r>
      <w:r w:rsidRPr="00E27BB2">
        <w:t>年生效。</w:t>
      </w:r>
      <w:r w:rsidRPr="00E27BB2">
        <w:t>2011</w:t>
      </w:r>
      <w:r w:rsidRPr="00E27BB2">
        <w:t>年</w:t>
      </w:r>
      <w:r w:rsidRPr="00E27BB2">
        <w:t>11</w:t>
      </w:r>
      <w:r w:rsidRPr="00E27BB2">
        <w:t>月通过了一项通用议定书</w:t>
      </w:r>
      <w:r w:rsidR="00FC5ECC">
        <w:t>，</w:t>
      </w:r>
      <w:r w:rsidRPr="00E27BB2">
        <w:t>供相关机构、机关和组织在发生在家庭和亲密关系中暴力侵害妇女的情况时采取行动和开展合作之用</w:t>
      </w:r>
      <w:r w:rsidR="00FC5ECC">
        <w:t>，</w:t>
      </w:r>
      <w:r w:rsidRPr="00E27BB2">
        <w:t>该议定书确定了主管劳动和社会政策、司法、内政和卫生事务的各部委间的合作事宜。</w:t>
      </w:r>
      <w:r w:rsidR="00456156">
        <w:rPr>
          <w:rStyle w:val="FootnoteReference"/>
        </w:rPr>
        <w:footnoteReference w:id="18"/>
      </w:r>
    </w:p>
    <w:p w:rsidR="00BC40DA" w:rsidRPr="00E27BB2" w:rsidRDefault="00BC40DA" w:rsidP="00BC40DA">
      <w:pPr>
        <w:pStyle w:val="SingleTxtGC"/>
      </w:pPr>
      <w:r w:rsidRPr="00E27BB2">
        <w:t>3</w:t>
      </w:r>
      <w:r w:rsidR="00FC5ECC">
        <w:t>9.</w:t>
      </w:r>
      <w:r w:rsidR="00456156">
        <w:rPr>
          <w:rFonts w:hint="eastAsia"/>
        </w:rPr>
        <w:t xml:space="preserve">  </w:t>
      </w:r>
      <w:r w:rsidRPr="00E27BB2">
        <w:t>在两性平等司名为</w:t>
      </w:r>
      <w:r w:rsidR="00456156">
        <w:rPr>
          <w:rFonts w:hint="eastAsia"/>
        </w:rPr>
        <w:t>“</w:t>
      </w:r>
      <w:r w:rsidRPr="00E27BB2">
        <w:t>打击性暴力和基于性别的暴力</w:t>
      </w:r>
      <w:r w:rsidR="00456156">
        <w:rPr>
          <w:rFonts w:hint="eastAsia"/>
        </w:rPr>
        <w:t>”</w:t>
      </w:r>
      <w:r w:rsidRPr="00E27BB2">
        <w:t>的项目中编写了一份题为</w:t>
      </w:r>
      <w:r w:rsidR="00456156">
        <w:rPr>
          <w:rFonts w:hint="eastAsia"/>
        </w:rPr>
        <w:t>“</w:t>
      </w:r>
      <w:r w:rsidRPr="00E27BB2">
        <w:t>家庭暴力侵害妇女情况示意图</w:t>
      </w:r>
      <w:r w:rsidR="00456156">
        <w:rPr>
          <w:rFonts w:hint="eastAsia"/>
        </w:rPr>
        <w:t>”</w:t>
      </w:r>
      <w:r w:rsidRPr="00E27BB2">
        <w:t>的研究报告。该研究报告查明的内容</w:t>
      </w:r>
      <w:r w:rsidRPr="0030126F">
        <w:rPr>
          <w:rFonts w:eastAsia="KaiTi_GB2312"/>
        </w:rPr>
        <w:t>主要</w:t>
      </w:r>
      <w:r w:rsidRPr="00E27BB2">
        <w:t>包括</w:t>
      </w:r>
      <w:r w:rsidR="00FC5ECC">
        <w:t>：</w:t>
      </w:r>
    </w:p>
    <w:p w:rsidR="00BC40DA" w:rsidRPr="00E27BB2" w:rsidRDefault="00BC40DA" w:rsidP="00456156">
      <w:pPr>
        <w:pStyle w:val="DashGC"/>
      </w:pPr>
      <w:r w:rsidRPr="00E27BB2">
        <w:t>2010</w:t>
      </w:r>
      <w:r w:rsidRPr="00E27BB2">
        <w:t>年</w:t>
      </w:r>
      <w:r w:rsidR="00FC5ECC">
        <w:t>，</w:t>
      </w:r>
      <w:r w:rsidRPr="00E27BB2">
        <w:t>塞尔维亚共和国</w:t>
      </w:r>
      <w:r w:rsidR="00FC5ECC">
        <w:t>(</w:t>
      </w:r>
      <w:r w:rsidRPr="00E27BB2">
        <w:t>不包括科索沃和梅托希亚以及伏伊伏丁那自治省领土</w:t>
      </w:r>
      <w:r w:rsidR="00FC5ECC">
        <w:t>)</w:t>
      </w:r>
      <w:r w:rsidRPr="00E27BB2">
        <w:t>的家庭暴力侵害妇女行为的实际发生率为</w:t>
      </w:r>
      <w:r w:rsidRPr="00E27BB2">
        <w:t>3</w:t>
      </w:r>
      <w:r w:rsidR="00FC5ECC">
        <w:t>7.</w:t>
      </w:r>
      <w:r w:rsidRPr="00E27BB2">
        <w:t>50</w:t>
      </w:r>
      <w:r w:rsidR="00FC5ECC">
        <w:t>%</w:t>
      </w:r>
      <w:r w:rsidR="00FC5ECC">
        <w:t>，</w:t>
      </w:r>
      <w:r w:rsidRPr="00E27BB2">
        <w:t>总发生率</w:t>
      </w:r>
      <w:r w:rsidR="00FC5ECC">
        <w:t>(</w:t>
      </w:r>
      <w:r w:rsidRPr="00E27BB2">
        <w:t>在整个生命期间的发生率</w:t>
      </w:r>
      <w:r w:rsidR="00FC5ECC">
        <w:t>)</w:t>
      </w:r>
      <w:r w:rsidRPr="00E27BB2">
        <w:t>为</w:t>
      </w:r>
      <w:r w:rsidRPr="00E27BB2">
        <w:t>5</w:t>
      </w:r>
      <w:r w:rsidR="00FC5ECC">
        <w:t>4.</w:t>
      </w:r>
      <w:r w:rsidRPr="00E27BB2">
        <w:t>20</w:t>
      </w:r>
      <w:r w:rsidR="00FC5ECC">
        <w:t>%</w:t>
      </w:r>
      <w:r w:rsidR="00FC5ECC">
        <w:t>；</w:t>
      </w:r>
    </w:p>
    <w:p w:rsidR="00BC40DA" w:rsidRPr="00E27BB2" w:rsidRDefault="00BC40DA" w:rsidP="00456156">
      <w:pPr>
        <w:pStyle w:val="DashGC"/>
      </w:pPr>
      <w:r w:rsidRPr="00E27BB2">
        <w:t>在家庭暴力受害者总人数</w:t>
      </w:r>
      <w:r w:rsidR="00FC5ECC">
        <w:t>(7,</w:t>
      </w:r>
      <w:r w:rsidRPr="00E27BB2">
        <w:t>666</w:t>
      </w:r>
      <w:r w:rsidRPr="00E27BB2">
        <w:t>人</w:t>
      </w:r>
      <w:r w:rsidR="00FC5ECC">
        <w:t>)</w:t>
      </w:r>
      <w:r w:rsidRPr="00E27BB2">
        <w:t>中</w:t>
      </w:r>
      <w:r w:rsidR="00FC5ECC">
        <w:t>，</w:t>
      </w:r>
      <w:r w:rsidR="00FC5ECC">
        <w:t>3,</w:t>
      </w:r>
      <w:r w:rsidRPr="00E27BB2">
        <w:t>112</w:t>
      </w:r>
      <w:r w:rsidRPr="00E27BB2">
        <w:t>人是受虐待儿童</w:t>
      </w:r>
      <w:r w:rsidR="00FC5ECC">
        <w:t>，</w:t>
      </w:r>
      <w:r w:rsidR="00FC5ECC">
        <w:t>3,</w:t>
      </w:r>
      <w:r w:rsidRPr="00E27BB2">
        <w:t>226</w:t>
      </w:r>
      <w:r w:rsidRPr="00E27BB2">
        <w:t>人是成年妇女</w:t>
      </w:r>
      <w:r w:rsidR="00FC5ECC">
        <w:t>，</w:t>
      </w:r>
      <w:r w:rsidRPr="00E27BB2">
        <w:t>这一人数是受害男子</w:t>
      </w:r>
      <w:r w:rsidR="00FC5ECC">
        <w:t>(</w:t>
      </w:r>
      <w:r w:rsidRPr="00E27BB2">
        <w:t>592</w:t>
      </w:r>
      <w:r w:rsidRPr="00E27BB2">
        <w:t>人</w:t>
      </w:r>
      <w:r w:rsidR="00FC5ECC">
        <w:t>)</w:t>
      </w:r>
      <w:r w:rsidRPr="00E27BB2">
        <w:t>的</w:t>
      </w:r>
      <w:r w:rsidR="00FC5ECC">
        <w:t>5.</w:t>
      </w:r>
      <w:r w:rsidRPr="00E27BB2">
        <w:t>5</w:t>
      </w:r>
      <w:r w:rsidRPr="00E27BB2">
        <w:t>倍</w:t>
      </w:r>
      <w:r w:rsidR="00FC5ECC">
        <w:t>；</w:t>
      </w:r>
    </w:p>
    <w:p w:rsidR="00BC40DA" w:rsidRPr="00E27BB2" w:rsidRDefault="00BC40DA" w:rsidP="00456156">
      <w:pPr>
        <w:pStyle w:val="DashGC"/>
      </w:pPr>
      <w:r w:rsidRPr="00E27BB2">
        <w:t>男子往往是家庭暴力侵害妇女行为的施害者</w:t>
      </w:r>
      <w:r w:rsidR="00FC5ECC">
        <w:t>，</w:t>
      </w:r>
      <w:r w:rsidRPr="00E27BB2">
        <w:t>8</w:t>
      </w:r>
      <w:r w:rsidR="00FC5ECC">
        <w:t>9.</w:t>
      </w:r>
      <w:r w:rsidRPr="00E27BB2">
        <w:t>9</w:t>
      </w:r>
      <w:r w:rsidR="003F0733">
        <w:rPr>
          <w:rFonts w:hint="eastAsia"/>
        </w:rPr>
        <w:t>0</w:t>
      </w:r>
      <w:r w:rsidR="00FC5ECC">
        <w:t>%</w:t>
      </w:r>
      <w:r w:rsidRPr="00E27BB2">
        <w:t>的肉体暴力、</w:t>
      </w:r>
      <w:r w:rsidRPr="00E27BB2">
        <w:t>79</w:t>
      </w:r>
      <w:r w:rsidR="00FC5ECC">
        <w:t>%</w:t>
      </w:r>
      <w:r w:rsidRPr="00E27BB2">
        <w:t>的心理暴力和</w:t>
      </w:r>
      <w:r w:rsidRPr="00E27BB2">
        <w:t>8</w:t>
      </w:r>
      <w:r w:rsidR="00FC5ECC">
        <w:t>5.</w:t>
      </w:r>
      <w:r w:rsidRPr="00E27BB2">
        <w:t>3</w:t>
      </w:r>
      <w:r w:rsidR="00AC6BDB">
        <w:rPr>
          <w:rFonts w:hint="eastAsia"/>
        </w:rPr>
        <w:t>0</w:t>
      </w:r>
      <w:r w:rsidR="00FC5ECC">
        <w:t>%</w:t>
      </w:r>
      <w:r w:rsidRPr="00E27BB2">
        <w:t>的经济暴力都是他们所为</w:t>
      </w:r>
      <w:r w:rsidR="00FC5ECC">
        <w:t>；</w:t>
      </w:r>
    </w:p>
    <w:p w:rsidR="00BC40DA" w:rsidRPr="00E27BB2" w:rsidRDefault="00BC40DA" w:rsidP="00456156">
      <w:pPr>
        <w:pStyle w:val="DashGC"/>
      </w:pPr>
      <w:r w:rsidRPr="00E27BB2">
        <w:t>最常见的暴力形式是心理暴力</w:t>
      </w:r>
      <w:r w:rsidR="00FC5ECC">
        <w:t>(</w:t>
      </w:r>
      <w:r w:rsidRPr="00E27BB2">
        <w:t>在</w:t>
      </w:r>
      <w:r w:rsidRPr="00E27BB2">
        <w:t>12</w:t>
      </w:r>
      <w:r w:rsidRPr="00E27BB2">
        <w:t>个月的研究期内为</w:t>
      </w:r>
      <w:r w:rsidRPr="00E27BB2">
        <w:t>3</w:t>
      </w:r>
      <w:r w:rsidR="00FC5ECC">
        <w:t>1.</w:t>
      </w:r>
      <w:r w:rsidRPr="00E27BB2">
        <w:t>8</w:t>
      </w:r>
      <w:r w:rsidR="00D86AAE">
        <w:rPr>
          <w:rFonts w:hint="eastAsia"/>
        </w:rPr>
        <w:t>0</w:t>
      </w:r>
      <w:r w:rsidR="00FC5ECC">
        <w:t>%</w:t>
      </w:r>
      <w:r w:rsidR="00FC5ECC">
        <w:t>，</w:t>
      </w:r>
      <w:r w:rsidRPr="00E27BB2">
        <w:t>在整个生命期间为</w:t>
      </w:r>
      <w:r w:rsidRPr="00E27BB2">
        <w:t>4</w:t>
      </w:r>
      <w:r w:rsidR="00FC5ECC">
        <w:t>8.</w:t>
      </w:r>
      <w:r w:rsidRPr="00E27BB2">
        <w:t>7</w:t>
      </w:r>
      <w:r w:rsidR="00D86AAE">
        <w:rPr>
          <w:rFonts w:hint="eastAsia"/>
        </w:rPr>
        <w:t>0</w:t>
      </w:r>
      <w:r w:rsidR="00FC5ECC">
        <w:t>%)</w:t>
      </w:r>
      <w:r w:rsidR="00FC5ECC">
        <w:t>，</w:t>
      </w:r>
      <w:r w:rsidRPr="00E27BB2">
        <w:t>然后依次为肉体暴力</w:t>
      </w:r>
      <w:r w:rsidR="00FC5ECC">
        <w:t>(</w:t>
      </w:r>
      <w:r w:rsidRPr="00E27BB2">
        <w:t>1</w:t>
      </w:r>
      <w:r w:rsidR="00FC5ECC">
        <w:t>0.</w:t>
      </w:r>
      <w:r w:rsidRPr="00E27BB2">
        <w:t>1</w:t>
      </w:r>
      <w:r w:rsidR="00D86AAE">
        <w:rPr>
          <w:rFonts w:hint="eastAsia"/>
        </w:rPr>
        <w:t>0</w:t>
      </w:r>
      <w:r w:rsidR="00FC5ECC">
        <w:t>%</w:t>
      </w:r>
      <w:r w:rsidRPr="00E27BB2">
        <w:t>和</w:t>
      </w:r>
      <w:r w:rsidRPr="00E27BB2">
        <w:t>2</w:t>
      </w:r>
      <w:r w:rsidR="00FC5ECC">
        <w:t>1.</w:t>
      </w:r>
      <w:r w:rsidRPr="00E27BB2">
        <w:t>6</w:t>
      </w:r>
      <w:r w:rsidR="00D86AAE">
        <w:rPr>
          <w:rFonts w:hint="eastAsia"/>
        </w:rPr>
        <w:t>0</w:t>
      </w:r>
      <w:r w:rsidR="00FC5ECC">
        <w:t>%)</w:t>
      </w:r>
      <w:r w:rsidRPr="00E27BB2">
        <w:t>和经济暴力</w:t>
      </w:r>
      <w:r w:rsidR="00FC5ECC">
        <w:t>(</w:t>
      </w:r>
      <w:r w:rsidRPr="00E27BB2">
        <w:t>1</w:t>
      </w:r>
      <w:r w:rsidR="00FC5ECC">
        <w:t>1.</w:t>
      </w:r>
      <w:r w:rsidRPr="00E27BB2">
        <w:t>4</w:t>
      </w:r>
      <w:r w:rsidR="00D86AAE">
        <w:rPr>
          <w:rFonts w:hint="eastAsia"/>
        </w:rPr>
        <w:t>0</w:t>
      </w:r>
      <w:r w:rsidR="00FC5ECC">
        <w:t>%</w:t>
      </w:r>
      <w:r w:rsidRPr="00E27BB2">
        <w:t>和</w:t>
      </w:r>
      <w:r w:rsidRPr="00E27BB2">
        <w:t>1</w:t>
      </w:r>
      <w:r w:rsidR="00FC5ECC">
        <w:t>5.</w:t>
      </w:r>
      <w:r w:rsidRPr="00E27BB2">
        <w:t>86</w:t>
      </w:r>
      <w:r w:rsidR="00FC5ECC">
        <w:t>%)</w:t>
      </w:r>
      <w:r w:rsidR="00FC5ECC">
        <w:t>，</w:t>
      </w:r>
      <w:r w:rsidRPr="00E27BB2">
        <w:t>性暴力的比例则最小</w:t>
      </w:r>
      <w:r w:rsidR="00FC5ECC">
        <w:t>(1.</w:t>
      </w:r>
      <w:r w:rsidRPr="00E27BB2">
        <w:t>2</w:t>
      </w:r>
      <w:r w:rsidR="00D86AAE">
        <w:rPr>
          <w:rFonts w:hint="eastAsia"/>
        </w:rPr>
        <w:t>0</w:t>
      </w:r>
      <w:r w:rsidR="00FC5ECC">
        <w:t>%</w:t>
      </w:r>
      <w:r w:rsidRPr="00E27BB2">
        <w:t>和</w:t>
      </w:r>
      <w:r w:rsidR="00FC5ECC">
        <w:t>3.</w:t>
      </w:r>
      <w:r w:rsidRPr="00E27BB2">
        <w:t>8</w:t>
      </w:r>
      <w:r w:rsidR="00D86AAE">
        <w:rPr>
          <w:rFonts w:hint="eastAsia"/>
        </w:rPr>
        <w:t>0</w:t>
      </w:r>
      <w:r w:rsidR="00FC5ECC">
        <w:t>%)</w:t>
      </w:r>
      <w:r w:rsidR="00FC5ECC">
        <w:t>；</w:t>
      </w:r>
    </w:p>
    <w:p w:rsidR="00BC40DA" w:rsidRPr="00E27BB2" w:rsidRDefault="00BC40DA" w:rsidP="00456156">
      <w:pPr>
        <w:pStyle w:val="DashGC"/>
      </w:pPr>
      <w:r w:rsidRPr="00E27BB2">
        <w:t>在</w:t>
      </w:r>
      <w:r w:rsidRPr="00E27BB2">
        <w:t>7</w:t>
      </w:r>
      <w:r w:rsidR="00FC5ECC">
        <w:t>4.</w:t>
      </w:r>
      <w:r w:rsidRPr="00E27BB2">
        <w:t>8</w:t>
      </w:r>
      <w:r w:rsidR="00F86473">
        <w:rPr>
          <w:rFonts w:hint="eastAsia"/>
        </w:rPr>
        <w:t>0</w:t>
      </w:r>
      <w:r w:rsidR="00FC5ECC">
        <w:t>%</w:t>
      </w:r>
      <w:r w:rsidRPr="00E27BB2">
        <w:t>的暴力侵害妇女案件中</w:t>
      </w:r>
      <w:r w:rsidR="00FC5ECC">
        <w:t>，</w:t>
      </w:r>
      <w:r w:rsidRPr="00E27BB2">
        <w:t>施害者是现任或前任丈夫或性伙伴</w:t>
      </w:r>
      <w:r w:rsidR="00FC5ECC">
        <w:t>；</w:t>
      </w:r>
    </w:p>
    <w:p w:rsidR="00BC40DA" w:rsidRPr="00E27BB2" w:rsidRDefault="00BC40DA" w:rsidP="00456156">
      <w:pPr>
        <w:pStyle w:val="DashGC"/>
      </w:pPr>
      <w:r w:rsidRPr="00E27BB2">
        <w:t>在</w:t>
      </w:r>
      <w:r w:rsidRPr="00E27BB2">
        <w:t>75</w:t>
      </w:r>
      <w:r w:rsidR="00FC5ECC">
        <w:t>%</w:t>
      </w:r>
      <w:r w:rsidRPr="00E27BB2">
        <w:t>的案件中</w:t>
      </w:r>
      <w:r w:rsidR="00FC5ECC">
        <w:t>，</w:t>
      </w:r>
      <w:r w:rsidRPr="00E27BB2">
        <w:t>肉体和性暴力侵害妇女的发生次数高于</w:t>
      </w:r>
      <w:r w:rsidRPr="00E27BB2">
        <w:t>1</w:t>
      </w:r>
      <w:r w:rsidRPr="00E27BB2">
        <w:t>次</w:t>
      </w:r>
      <w:r w:rsidR="00FC5ECC">
        <w:t>，</w:t>
      </w:r>
      <w:r w:rsidRPr="00E27BB2">
        <w:t>而在</w:t>
      </w:r>
      <w:r w:rsidRPr="00E27BB2">
        <w:t>50</w:t>
      </w:r>
      <w:r w:rsidR="00FC5ECC">
        <w:t>%</w:t>
      </w:r>
      <w:r w:rsidRPr="00E27BB2">
        <w:t>的案件中</w:t>
      </w:r>
      <w:r w:rsidR="00FC5ECC">
        <w:t>，</w:t>
      </w:r>
      <w:r w:rsidRPr="00E27BB2">
        <w:t>此种行为的发生次数高于</w:t>
      </w:r>
      <w:r w:rsidRPr="00E27BB2">
        <w:t>5</w:t>
      </w:r>
      <w:r w:rsidRPr="00E27BB2">
        <w:t>次。</w:t>
      </w:r>
    </w:p>
    <w:p w:rsidR="00BC40DA" w:rsidRPr="00E27BB2" w:rsidRDefault="00456156" w:rsidP="00456156">
      <w:pPr>
        <w:pStyle w:val="H1GC"/>
      </w:pPr>
      <w:r>
        <w:rPr>
          <w:rFonts w:hint="eastAsia"/>
        </w:rPr>
        <w:tab/>
      </w:r>
      <w:r>
        <w:rPr>
          <w:rFonts w:hint="eastAsia"/>
        </w:rPr>
        <w:tab/>
      </w:r>
      <w:r w:rsidR="00BC40DA" w:rsidRPr="00E27BB2">
        <w:t>贩运人口和利用卖淫营利</w:t>
      </w:r>
    </w:p>
    <w:p w:rsidR="00BC40DA" w:rsidRPr="00E27BB2" w:rsidRDefault="00456156" w:rsidP="00456156">
      <w:pPr>
        <w:pStyle w:val="H23GC"/>
      </w:pPr>
      <w:r>
        <w:rPr>
          <w:rFonts w:hint="eastAsia"/>
        </w:rPr>
        <w:tab/>
      </w:r>
      <w:r>
        <w:rPr>
          <w:rFonts w:hint="eastAsia"/>
        </w:rPr>
        <w:tab/>
      </w:r>
      <w:r w:rsidR="00BC40DA" w:rsidRPr="00E27BB2">
        <w:t>对问题清单第</w:t>
      </w:r>
      <w:r w:rsidR="00BC40DA" w:rsidRPr="00E27BB2">
        <w:t>7</w:t>
      </w:r>
      <w:r w:rsidR="00BC40DA" w:rsidRPr="00E27BB2">
        <w:t>段所提问题的答复</w:t>
      </w:r>
    </w:p>
    <w:p w:rsidR="00BC40DA" w:rsidRPr="00E27BB2" w:rsidRDefault="00BC40DA" w:rsidP="00456156">
      <w:pPr>
        <w:pStyle w:val="SingleTxtGC"/>
      </w:pPr>
      <w:r w:rsidRPr="00E27BB2">
        <w:t>4</w:t>
      </w:r>
      <w:r w:rsidR="00FC5ECC">
        <w:t>0.</w:t>
      </w:r>
      <w:r w:rsidR="00456156">
        <w:rPr>
          <w:rFonts w:hint="eastAsia"/>
        </w:rPr>
        <w:t xml:space="preserve">  </w:t>
      </w:r>
      <w:r w:rsidRPr="00E27BB2">
        <w:t>2009</w:t>
      </w:r>
      <w:r w:rsidRPr="00E27BB2">
        <w:t>年</w:t>
      </w:r>
      <w:r w:rsidR="00FC5ECC">
        <w:t>，</w:t>
      </w:r>
      <w:r w:rsidRPr="00E27BB2">
        <w:t>警方人员对</w:t>
      </w:r>
      <w:r w:rsidRPr="00E27BB2">
        <w:t>94</w:t>
      </w:r>
      <w:r w:rsidRPr="00E27BB2">
        <w:t>名违法者提出了</w:t>
      </w:r>
      <w:r w:rsidRPr="00E27BB2">
        <w:t>51</w:t>
      </w:r>
      <w:r w:rsidRPr="00E27BB2">
        <w:t>项贩运人口罪的刑事指控</w:t>
      </w:r>
      <w:r w:rsidR="00FC5ECC">
        <w:t>，</w:t>
      </w:r>
      <w:r w:rsidRPr="00E27BB2">
        <w:t>其中</w:t>
      </w:r>
      <w:r w:rsidRPr="00E27BB2">
        <w:t>91</w:t>
      </w:r>
      <w:r w:rsidRPr="00E27BB2">
        <w:t>名是塞尔维亚公民</w:t>
      </w:r>
      <w:r w:rsidR="00FC5ECC">
        <w:t>，</w:t>
      </w:r>
      <w:r w:rsidRPr="00E27BB2">
        <w:t>2</w:t>
      </w:r>
      <w:r w:rsidRPr="00E27BB2">
        <w:t>名是马其顿公民</w:t>
      </w:r>
      <w:r w:rsidR="00FC5ECC">
        <w:t>，</w:t>
      </w:r>
      <w:r w:rsidRPr="00E27BB2">
        <w:t>1</w:t>
      </w:r>
      <w:r w:rsidRPr="00E27BB2">
        <w:t>名是土耳其公民。这些刑事指控涉及贩运人口活动的</w:t>
      </w:r>
      <w:r w:rsidRPr="00E27BB2">
        <w:t>85</w:t>
      </w:r>
      <w:r w:rsidRPr="00E27BB2">
        <w:t>名受害者</w:t>
      </w:r>
      <w:r w:rsidR="00FC5ECC">
        <w:t>，</w:t>
      </w:r>
      <w:r w:rsidRPr="00E27BB2">
        <w:t>其中</w:t>
      </w:r>
      <w:r w:rsidRPr="00E27BB2">
        <w:t>66</w:t>
      </w:r>
      <w:r w:rsidRPr="00E27BB2">
        <w:t>名是妇女</w:t>
      </w:r>
      <w:r w:rsidR="00FC5ECC">
        <w:t>，</w:t>
      </w:r>
      <w:r w:rsidRPr="00E27BB2">
        <w:t>19</w:t>
      </w:r>
      <w:r w:rsidRPr="00E27BB2">
        <w:t>名是男子。受害者总数中</w:t>
      </w:r>
      <w:r w:rsidR="00FC5ECC">
        <w:t>，</w:t>
      </w:r>
      <w:r w:rsidRPr="00E27BB2">
        <w:t>79</w:t>
      </w:r>
      <w:r w:rsidRPr="00E27BB2">
        <w:t>人是塞尔维亚公民</w:t>
      </w:r>
      <w:r w:rsidR="00FC5ECC">
        <w:t>，</w:t>
      </w:r>
      <w:r w:rsidRPr="00E27BB2">
        <w:t>3</w:t>
      </w:r>
      <w:r w:rsidRPr="00E27BB2">
        <w:t>人是罗马尼亚公民</w:t>
      </w:r>
      <w:r w:rsidR="00FC5ECC">
        <w:t>，</w:t>
      </w:r>
      <w:r w:rsidRPr="00E27BB2">
        <w:t>2</w:t>
      </w:r>
      <w:r w:rsidRPr="00E27BB2">
        <w:t>人是多米尼加共和国公民</w:t>
      </w:r>
      <w:r w:rsidR="00FC5ECC">
        <w:t>，</w:t>
      </w:r>
      <w:r w:rsidRPr="00E27BB2">
        <w:t>1</w:t>
      </w:r>
      <w:r w:rsidRPr="00E27BB2">
        <w:t>人是捷克共和国公民。保护贩运活动受害者协调署在同一时期确认了</w:t>
      </w:r>
      <w:r w:rsidRPr="00E27BB2">
        <w:t>127</w:t>
      </w:r>
      <w:r w:rsidRPr="00E27BB2">
        <w:t>名贩运人口活动受害者</w:t>
      </w:r>
      <w:r w:rsidR="00FC5ECC">
        <w:t>，</w:t>
      </w:r>
      <w:r w:rsidRPr="00E27BB2">
        <w:t>其中</w:t>
      </w:r>
      <w:r w:rsidRPr="00E27BB2">
        <w:t>107</w:t>
      </w:r>
      <w:r w:rsidRPr="00E27BB2">
        <w:t>人是贩运人口活动的真实受害者</w:t>
      </w:r>
      <w:r w:rsidR="00FC5ECC">
        <w:t>，</w:t>
      </w:r>
      <w:r w:rsidRPr="00E27BB2">
        <w:t>20</w:t>
      </w:r>
      <w:r w:rsidRPr="00E27BB2">
        <w:t>人被认为是可能的受害者。</w:t>
      </w:r>
    </w:p>
    <w:p w:rsidR="00BC40DA" w:rsidRPr="00E27BB2" w:rsidRDefault="00BC40DA" w:rsidP="00BC40DA">
      <w:pPr>
        <w:pStyle w:val="SingleTxtGC"/>
        <w:rPr>
          <w:rFonts w:hint="eastAsia"/>
        </w:rPr>
      </w:pPr>
      <w:r w:rsidRPr="00E27BB2">
        <w:t>4</w:t>
      </w:r>
      <w:r w:rsidR="00FC5ECC">
        <w:t>1.</w:t>
      </w:r>
      <w:r w:rsidR="00456156">
        <w:rPr>
          <w:rFonts w:hint="eastAsia"/>
        </w:rPr>
        <w:t xml:space="preserve">  </w:t>
      </w:r>
      <w:r w:rsidRPr="00E27BB2">
        <w:t>2010</w:t>
      </w:r>
      <w:r w:rsidRPr="00E27BB2">
        <w:t>年对</w:t>
      </w:r>
      <w:r w:rsidRPr="00E27BB2">
        <w:t>99</w:t>
      </w:r>
      <w:r w:rsidRPr="00E27BB2">
        <w:t>名违法者提出了</w:t>
      </w:r>
      <w:r w:rsidRPr="00E27BB2">
        <w:t>47</w:t>
      </w:r>
      <w:r w:rsidRPr="00E27BB2">
        <w:t>项刑事指控</w:t>
      </w:r>
      <w:r w:rsidR="00FC5ECC">
        <w:t>(</w:t>
      </w:r>
      <w:r w:rsidRPr="00E27BB2">
        <w:t>其中</w:t>
      </w:r>
      <w:r w:rsidRPr="00E27BB2">
        <w:t>94</w:t>
      </w:r>
      <w:r w:rsidRPr="00E27BB2">
        <w:t>人是塞尔维亚共和国公民</w:t>
      </w:r>
      <w:r w:rsidR="00FC5ECC">
        <w:t>)</w:t>
      </w:r>
      <w:r w:rsidR="00FC5ECC">
        <w:t>，</w:t>
      </w:r>
      <w:r w:rsidRPr="00E27BB2">
        <w:t>这些指控涉及</w:t>
      </w:r>
      <w:r w:rsidRPr="00E27BB2">
        <w:t>76</w:t>
      </w:r>
      <w:r w:rsidRPr="00E27BB2">
        <w:t>名的贩运人口活动受害者</w:t>
      </w:r>
      <w:r w:rsidR="00FC5ECC">
        <w:t>，</w:t>
      </w:r>
      <w:r w:rsidRPr="00E27BB2">
        <w:t>其中</w:t>
      </w:r>
      <w:r w:rsidRPr="00E27BB2">
        <w:t>70</w:t>
      </w:r>
      <w:r w:rsidRPr="00E27BB2">
        <w:t>名是妇女</w:t>
      </w:r>
      <w:r w:rsidR="00FC5ECC">
        <w:t>，</w:t>
      </w:r>
      <w:r w:rsidRPr="00E27BB2">
        <w:t>6</w:t>
      </w:r>
      <w:r w:rsidRPr="00E27BB2">
        <w:t>名是受害男子。受害者总数中</w:t>
      </w:r>
      <w:r w:rsidR="00FC5ECC">
        <w:t>，</w:t>
      </w:r>
      <w:r w:rsidRPr="00E27BB2">
        <w:t>73</w:t>
      </w:r>
      <w:r w:rsidRPr="00E27BB2">
        <w:t>人是塞尔维亚公民</w:t>
      </w:r>
      <w:r w:rsidR="00FC5ECC">
        <w:t>，</w:t>
      </w:r>
      <w:r w:rsidRPr="00E27BB2">
        <w:t>1</w:t>
      </w:r>
      <w:r w:rsidRPr="00E27BB2">
        <w:t>人是摩尔多瓦公民</w:t>
      </w:r>
      <w:r w:rsidR="00FC5ECC">
        <w:t>，</w:t>
      </w:r>
      <w:r w:rsidRPr="00E27BB2">
        <w:t>1</w:t>
      </w:r>
      <w:r w:rsidRPr="00E27BB2">
        <w:t>人是克罗地亚公民</w:t>
      </w:r>
      <w:r w:rsidR="00FC5ECC">
        <w:t>，</w:t>
      </w:r>
      <w:r w:rsidRPr="00E27BB2">
        <w:t>1</w:t>
      </w:r>
      <w:r w:rsidRPr="00E27BB2">
        <w:t>人是马其顿公民。保护贩运活动受害者协调署在同一时期确认了</w:t>
      </w:r>
      <w:r w:rsidRPr="00E27BB2">
        <w:t>89</w:t>
      </w:r>
      <w:r w:rsidRPr="00E27BB2">
        <w:t>名贩运人口活动受害者</w:t>
      </w:r>
      <w:r w:rsidR="00FC5ECC">
        <w:t>，</w:t>
      </w:r>
      <w:r w:rsidRPr="00E27BB2">
        <w:t>其中</w:t>
      </w:r>
      <w:r w:rsidRPr="00E27BB2">
        <w:t>61</w:t>
      </w:r>
      <w:r w:rsidRPr="00E27BB2">
        <w:t>人是贩运人口活动的真实受害者</w:t>
      </w:r>
      <w:r w:rsidR="00FC5ECC">
        <w:t>，</w:t>
      </w:r>
      <w:r w:rsidRPr="00E27BB2">
        <w:t>28</w:t>
      </w:r>
      <w:r w:rsidRPr="00E27BB2">
        <w:t>人被认为是可能的受害者。</w:t>
      </w:r>
    </w:p>
    <w:p w:rsidR="00BC40DA" w:rsidRPr="00E27BB2" w:rsidRDefault="00BC40DA" w:rsidP="00BC40DA">
      <w:pPr>
        <w:pStyle w:val="SingleTxtGC"/>
        <w:rPr>
          <w:rFonts w:hint="eastAsia"/>
        </w:rPr>
      </w:pPr>
      <w:r w:rsidRPr="00E27BB2">
        <w:t>4</w:t>
      </w:r>
      <w:r w:rsidR="00FC5ECC">
        <w:t>2.</w:t>
      </w:r>
      <w:r w:rsidR="00456156">
        <w:rPr>
          <w:rFonts w:hint="eastAsia"/>
        </w:rPr>
        <w:t xml:space="preserve">  </w:t>
      </w:r>
      <w:r w:rsidRPr="00E27BB2">
        <w:t>2011</w:t>
      </w:r>
      <w:r w:rsidRPr="00E27BB2">
        <w:t>年</w:t>
      </w:r>
      <w:r w:rsidR="00FC5ECC">
        <w:t>，</w:t>
      </w:r>
      <w:r w:rsidRPr="00E27BB2">
        <w:t>对</w:t>
      </w:r>
      <w:r w:rsidRPr="00E27BB2">
        <w:t>52</w:t>
      </w:r>
      <w:r w:rsidRPr="00E27BB2">
        <w:t>名违法者提出了</w:t>
      </w:r>
      <w:r w:rsidRPr="00E27BB2">
        <w:t>32</w:t>
      </w:r>
      <w:r w:rsidRPr="00E27BB2">
        <w:t>项刑事指控</w:t>
      </w:r>
      <w:r w:rsidR="00FC5ECC">
        <w:t>，</w:t>
      </w:r>
      <w:r w:rsidRPr="00E27BB2">
        <w:t>其中</w:t>
      </w:r>
      <w:r w:rsidRPr="00E27BB2">
        <w:t>47</w:t>
      </w:r>
      <w:r w:rsidRPr="00E27BB2">
        <w:t>人是塞尔维亚公民</w:t>
      </w:r>
      <w:r w:rsidR="00FC5ECC">
        <w:t>，</w:t>
      </w:r>
      <w:r w:rsidRPr="00E27BB2">
        <w:t>4</w:t>
      </w:r>
      <w:r w:rsidRPr="00E27BB2">
        <w:t>人是黑山公民</w:t>
      </w:r>
      <w:r w:rsidR="00FC5ECC">
        <w:t>，</w:t>
      </w:r>
      <w:r w:rsidRPr="00E27BB2">
        <w:t>1</w:t>
      </w:r>
      <w:r w:rsidRPr="00E27BB2">
        <w:t>人是斯洛伐克公民。刑事指控涉及</w:t>
      </w:r>
      <w:r w:rsidRPr="00E27BB2">
        <w:t>74</w:t>
      </w:r>
      <w:r w:rsidRPr="00E27BB2">
        <w:t>名贩运人口活动受害者</w:t>
      </w:r>
      <w:r w:rsidR="00FC5ECC">
        <w:t>，</w:t>
      </w:r>
      <w:r w:rsidRPr="00E27BB2">
        <w:t>其中</w:t>
      </w:r>
      <w:r w:rsidRPr="00E27BB2">
        <w:t>52</w:t>
      </w:r>
      <w:r w:rsidRPr="00E27BB2">
        <w:t>名是妇女</w:t>
      </w:r>
      <w:r w:rsidR="00FC5ECC">
        <w:t>，</w:t>
      </w:r>
      <w:r w:rsidRPr="00E27BB2">
        <w:t>22</w:t>
      </w:r>
      <w:r w:rsidRPr="00E27BB2">
        <w:t>名是男子。受害者总数中</w:t>
      </w:r>
      <w:r w:rsidR="00FC5ECC">
        <w:t>，</w:t>
      </w:r>
      <w:r w:rsidRPr="00E27BB2">
        <w:t>72</w:t>
      </w:r>
      <w:r w:rsidRPr="00E27BB2">
        <w:t>人是塞尔维亚共和国公民</w:t>
      </w:r>
      <w:r w:rsidR="00FC5ECC">
        <w:t>，</w:t>
      </w:r>
      <w:r w:rsidRPr="00E27BB2">
        <w:t>1</w:t>
      </w:r>
      <w:r w:rsidRPr="00E27BB2">
        <w:t>人是乌克兰公民</w:t>
      </w:r>
      <w:r w:rsidR="00FC5ECC">
        <w:t>，</w:t>
      </w:r>
      <w:r w:rsidRPr="00E27BB2">
        <w:t>1</w:t>
      </w:r>
      <w:r w:rsidRPr="00E27BB2">
        <w:t>人是黑山公民。保护贩运活动受害者协调署在同一时期确认了</w:t>
      </w:r>
      <w:r w:rsidRPr="00E27BB2">
        <w:t>93</w:t>
      </w:r>
      <w:r w:rsidRPr="00E27BB2">
        <w:t>名贩运人口活动受害者</w:t>
      </w:r>
      <w:r w:rsidR="00FC5ECC">
        <w:t>，</w:t>
      </w:r>
      <w:r w:rsidRPr="00E27BB2">
        <w:t>其中</w:t>
      </w:r>
      <w:r w:rsidRPr="00E27BB2">
        <w:t>75</w:t>
      </w:r>
      <w:r w:rsidRPr="00E27BB2">
        <w:t>人是贩运人口活动的真实受害者</w:t>
      </w:r>
      <w:r w:rsidR="00FC5ECC">
        <w:t>，</w:t>
      </w:r>
      <w:r w:rsidRPr="00E27BB2">
        <w:t>18</w:t>
      </w:r>
      <w:r w:rsidRPr="00E27BB2">
        <w:t>人被认为是可能的受害者。</w:t>
      </w:r>
    </w:p>
    <w:p w:rsidR="00BC40DA" w:rsidRPr="00E27BB2" w:rsidRDefault="00BC40DA" w:rsidP="00BC40DA">
      <w:pPr>
        <w:pStyle w:val="SingleTxtGC"/>
        <w:rPr>
          <w:rFonts w:hint="eastAsia"/>
        </w:rPr>
      </w:pPr>
      <w:r w:rsidRPr="00E27BB2">
        <w:t>4</w:t>
      </w:r>
      <w:r w:rsidR="00FC5ECC">
        <w:t>3.</w:t>
      </w:r>
      <w:r w:rsidR="00456156">
        <w:rPr>
          <w:rFonts w:hint="eastAsia"/>
        </w:rPr>
        <w:t xml:space="preserve">  </w:t>
      </w:r>
      <w:r w:rsidRPr="00E27BB2">
        <w:t>目前尚未建立对《塞尔维亚共和国打击贩运人口活动战略》</w:t>
      </w:r>
      <w:r w:rsidR="00456156">
        <w:rPr>
          <w:rStyle w:val="FootnoteReference"/>
        </w:rPr>
        <w:footnoteReference w:id="19"/>
      </w:r>
      <w:r w:rsidRPr="00E27BB2">
        <w:t xml:space="preserve"> </w:t>
      </w:r>
      <w:r w:rsidRPr="00E27BB2">
        <w:t>和《</w:t>
      </w:r>
      <w:r w:rsidRPr="00E27BB2">
        <w:t>2009-2011</w:t>
      </w:r>
      <w:r w:rsidRPr="00E27BB2">
        <w:t>年打击贩运人口活动国家行动计划》</w:t>
      </w:r>
      <w:r w:rsidR="00456156">
        <w:rPr>
          <w:rStyle w:val="FootnoteReference"/>
        </w:rPr>
        <w:footnoteReference w:id="20"/>
      </w:r>
      <w:r w:rsidR="00456156">
        <w:t xml:space="preserve"> </w:t>
      </w:r>
      <w:r w:rsidR="00FC5ECC">
        <w:t>(</w:t>
      </w:r>
      <w:r w:rsidRPr="00E27BB2">
        <w:t>下称《国家行动计划》</w:t>
      </w:r>
      <w:r w:rsidR="00FC5ECC">
        <w:t>)</w:t>
      </w:r>
      <w:r w:rsidRPr="00E27BB2">
        <w:t>的效益进行监测和评估的系统。但在</w:t>
      </w:r>
      <w:r w:rsidRPr="00E27BB2">
        <w:t>2011</w:t>
      </w:r>
      <w:r w:rsidRPr="00E27BB2">
        <w:t>年</w:t>
      </w:r>
      <w:r w:rsidR="00FC5ECC">
        <w:t>，</w:t>
      </w:r>
      <w:r w:rsidRPr="00E27BB2">
        <w:t>独立评价员通过《联合国打击贩运人口联合方案》</w:t>
      </w:r>
      <w:r w:rsidR="00FC5ECC">
        <w:t>(</w:t>
      </w:r>
      <w:r w:rsidR="00456156">
        <w:rPr>
          <w:rFonts w:hint="eastAsia"/>
        </w:rPr>
        <w:t>“</w:t>
      </w:r>
      <w:r w:rsidR="00456156">
        <w:rPr>
          <w:lang w:val="en-GB"/>
        </w:rPr>
        <w:t>UN GIFT Serbia</w:t>
      </w:r>
      <w:r w:rsidR="00456156">
        <w:rPr>
          <w:rFonts w:hint="eastAsia"/>
          <w:lang w:val="en-GB"/>
        </w:rPr>
        <w:t>”</w:t>
      </w:r>
      <w:r w:rsidR="00FC5ECC">
        <w:rPr>
          <w:lang w:val="en-GB"/>
        </w:rPr>
        <w:t>)</w:t>
      </w:r>
      <w:r w:rsidR="00FC5ECC">
        <w:t>(</w:t>
      </w:r>
      <w:r w:rsidRPr="00E27BB2">
        <w:t>下称《联合方案》</w:t>
      </w:r>
      <w:r w:rsidR="00FC5ECC">
        <w:t>)</w:t>
      </w:r>
      <w:r w:rsidRPr="00E27BB2">
        <w:t>对《国家行动计划》和《战略》进行了评估。联合国各机构、难民署、国际移徙组织和禁毒办与政府合作</w:t>
      </w:r>
      <w:r w:rsidR="00FC5ECC">
        <w:t>，</w:t>
      </w:r>
      <w:r w:rsidRPr="00E27BB2">
        <w:t>自</w:t>
      </w:r>
      <w:r w:rsidRPr="00E27BB2">
        <w:t>2010</w:t>
      </w:r>
      <w:r w:rsidRPr="00E27BB2">
        <w:t>年</w:t>
      </w:r>
      <w:r w:rsidRPr="00E27BB2">
        <w:t>6</w:t>
      </w:r>
      <w:r w:rsidRPr="00E27BB2">
        <w:t>月起实施《联合方案》。《联合方案》定于</w:t>
      </w:r>
      <w:r w:rsidRPr="00E27BB2">
        <w:t>2012</w:t>
      </w:r>
      <w:r w:rsidRPr="00E27BB2">
        <w:t>年</w:t>
      </w:r>
      <w:r w:rsidRPr="00E27BB2">
        <w:t>5</w:t>
      </w:r>
      <w:r w:rsidRPr="00E27BB2">
        <w:t>月</w:t>
      </w:r>
      <w:r w:rsidRPr="00E27BB2">
        <w:t>31</w:t>
      </w:r>
      <w:r w:rsidRPr="00E27BB2">
        <w:t>日结束</w:t>
      </w:r>
      <w:r w:rsidR="00FC5ECC">
        <w:t>，</w:t>
      </w:r>
      <w:r w:rsidRPr="00E27BB2">
        <w:t>但捐赠方倡议将《联合方案》延至</w:t>
      </w:r>
      <w:r w:rsidRPr="00E27BB2">
        <w:t>2012</w:t>
      </w:r>
      <w:r w:rsidRPr="00E27BB2">
        <w:t>年</w:t>
      </w:r>
      <w:r w:rsidRPr="00E27BB2">
        <w:t>10</w:t>
      </w:r>
      <w:r w:rsidRPr="00E27BB2">
        <w:t>月结束</w:t>
      </w:r>
      <w:r w:rsidR="00FC5ECC">
        <w:t>，</w:t>
      </w:r>
      <w:r w:rsidRPr="00E27BB2">
        <w:t>但不提供额外经费。《联合方案》捐助方是比利时、</w:t>
      </w:r>
      <w:r w:rsidR="00837D60">
        <w:rPr>
          <w:rFonts w:hint="eastAsia"/>
          <w:lang w:val="en-GB"/>
        </w:rPr>
        <w:t>联合国打击人口贩运全球倡议</w:t>
      </w:r>
      <w:r w:rsidRPr="00E27BB2">
        <w:t>和瑞士政府</w:t>
      </w:r>
      <w:r w:rsidR="00FC5ECC">
        <w:t>，</w:t>
      </w:r>
      <w:r w:rsidRPr="00E27BB2">
        <w:t>内政部在</w:t>
      </w:r>
      <w:r w:rsidR="00456156">
        <w:rPr>
          <w:rFonts w:hint="eastAsia"/>
        </w:rPr>
        <w:t>“</w:t>
      </w:r>
      <w:r w:rsidRPr="00E27BB2">
        <w:t>塞尔维亚宫</w:t>
      </w:r>
      <w:r w:rsidR="00456156">
        <w:rPr>
          <w:rFonts w:hint="eastAsia"/>
        </w:rPr>
        <w:t>”</w:t>
      </w:r>
      <w:r w:rsidRPr="00E27BB2">
        <w:t>提供了办公场所</w:t>
      </w:r>
      <w:r w:rsidR="00FC5ECC">
        <w:t>，</w:t>
      </w:r>
      <w:r w:rsidRPr="00E27BB2">
        <w:t>项目小组将在其中工作</w:t>
      </w:r>
      <w:r w:rsidR="00FC5ECC">
        <w:t>，</w:t>
      </w:r>
      <w:r w:rsidRPr="00E27BB2">
        <w:t>直到完成《联合方案》为止。该项目总值为</w:t>
      </w:r>
      <w:r w:rsidR="00FC5ECC">
        <w:t>1,</w:t>
      </w:r>
      <w:r w:rsidRPr="00E27BB2">
        <w:t>41</w:t>
      </w:r>
      <w:r w:rsidR="00FC5ECC">
        <w:t>0,</w:t>
      </w:r>
      <w:r w:rsidRPr="00E27BB2">
        <w:t>098</w:t>
      </w:r>
      <w:r w:rsidRPr="00E27BB2">
        <w:t>美元。</w:t>
      </w:r>
    </w:p>
    <w:p w:rsidR="00BC40DA" w:rsidRPr="00E27BB2" w:rsidRDefault="00BC40DA" w:rsidP="00BC40DA">
      <w:pPr>
        <w:pStyle w:val="SingleTxtGC"/>
      </w:pPr>
      <w:r w:rsidRPr="00E27BB2">
        <w:t>4</w:t>
      </w:r>
      <w:r w:rsidR="00FC5ECC">
        <w:t>4.</w:t>
      </w:r>
      <w:r w:rsidR="00456156">
        <w:rPr>
          <w:rFonts w:hint="eastAsia"/>
        </w:rPr>
        <w:t xml:space="preserve">  </w:t>
      </w:r>
      <w:r w:rsidRPr="00E27BB2">
        <w:t>根据独立评价员在</w:t>
      </w:r>
      <w:r w:rsidRPr="00E27BB2">
        <w:t>2011</w:t>
      </w:r>
      <w:r w:rsidRPr="00E27BB2">
        <w:t>年所作的评价</w:t>
      </w:r>
      <w:r w:rsidR="00FC5ECC">
        <w:t>，</w:t>
      </w:r>
      <w:r w:rsidRPr="00E27BB2">
        <w:t>《国家行动计划》构想的活动约有</w:t>
      </w:r>
      <w:r w:rsidRPr="00E27BB2">
        <w:t>40</w:t>
      </w:r>
      <w:r w:rsidR="00FC5ECC">
        <w:t>%</w:t>
      </w:r>
      <w:r w:rsidRPr="00E27BB2">
        <w:t>已在实施《联合方案》的第一年得到了执行。考虑到《国家行动计划》是在透明的进程中制定的</w:t>
      </w:r>
      <w:r w:rsidR="00FC5ECC">
        <w:t>，</w:t>
      </w:r>
      <w:r w:rsidRPr="00E27BB2">
        <w:t>相关的国家机构、国际组织和专门化公民团体参与了这一进程</w:t>
      </w:r>
      <w:r w:rsidR="00FC5ECC">
        <w:t>，</w:t>
      </w:r>
      <w:r w:rsidRPr="00E27BB2">
        <w:t>同时考虑到尚未制定新的《国家行动计划》</w:t>
      </w:r>
      <w:r w:rsidR="00FC5ECC">
        <w:t>，</w:t>
      </w:r>
      <w:r w:rsidRPr="00E27BB2">
        <w:t>因此应继续执行现行的</w:t>
      </w:r>
      <w:r w:rsidRPr="00E27BB2">
        <w:t>2009-2011</w:t>
      </w:r>
      <w:r w:rsidRPr="00E27BB2">
        <w:t>年《国家行动计划》</w:t>
      </w:r>
      <w:r w:rsidR="00FC5ECC">
        <w:t>，</w:t>
      </w:r>
      <w:r w:rsidRPr="00E27BB2">
        <w:t>因为它为塞尔维亚的贩运人口问题提供了良好和有系统的解决办法。</w:t>
      </w:r>
    </w:p>
    <w:p w:rsidR="00BC40DA" w:rsidRPr="00E27BB2" w:rsidRDefault="00BC40DA" w:rsidP="00BC40DA">
      <w:pPr>
        <w:pStyle w:val="SingleTxtGC"/>
      </w:pPr>
      <w:r w:rsidRPr="00E27BB2">
        <w:t>4</w:t>
      </w:r>
      <w:r w:rsidR="00FC5ECC">
        <w:t>5.</w:t>
      </w:r>
      <w:r w:rsidR="00456156">
        <w:rPr>
          <w:rFonts w:hint="eastAsia"/>
        </w:rPr>
        <w:t xml:space="preserve">  </w:t>
      </w:r>
      <w:r w:rsidRPr="00E27BB2">
        <w:t>有关《国家行动计划》所定活动的更多数据以及对其实施情况的评价</w:t>
      </w:r>
      <w:r w:rsidR="00FC5ECC">
        <w:t>，</w:t>
      </w:r>
      <w:r w:rsidRPr="00E27BB2">
        <w:t>可查阅《联合方案》网站</w:t>
      </w:r>
      <w:r w:rsidR="00456156">
        <w:rPr>
          <w:rFonts w:hint="eastAsia"/>
        </w:rPr>
        <w:t>“</w:t>
      </w:r>
      <w:r w:rsidRPr="00E27BB2">
        <w:t>学习与研究</w:t>
      </w:r>
      <w:r w:rsidR="00456156">
        <w:rPr>
          <w:rFonts w:hint="eastAsia"/>
        </w:rPr>
        <w:t>”</w:t>
      </w:r>
      <w:r w:rsidRPr="00E27BB2">
        <w:t>部分</w:t>
      </w:r>
      <w:r w:rsidR="00FC5ECC">
        <w:t>，</w:t>
      </w:r>
      <w:r w:rsidRPr="00E27BB2">
        <w:t>其中还载有相关的英文文本</w:t>
      </w:r>
      <w:r w:rsidR="00FC5ECC">
        <w:t>(</w:t>
      </w:r>
      <w:r w:rsidR="00456156" w:rsidRPr="00456156">
        <w:t>http://</w:t>
      </w:r>
      <w:r w:rsidR="00B540F0">
        <w:rPr>
          <w:rFonts w:hint="eastAsia"/>
        </w:rPr>
        <w:t xml:space="preserve"> </w:t>
      </w:r>
      <w:r w:rsidR="00456156" w:rsidRPr="00456156">
        <w:t>www.ungiftserbia.org/?page_id=563</w:t>
      </w:r>
      <w:r w:rsidR="00FC5ECC">
        <w:t>)</w:t>
      </w:r>
      <w:r w:rsidRPr="00E27BB2">
        <w:t>。</w:t>
      </w:r>
    </w:p>
    <w:p w:rsidR="00BC40DA" w:rsidRPr="00E27BB2" w:rsidRDefault="00BC40DA" w:rsidP="00456156">
      <w:pPr>
        <w:pStyle w:val="SingleTxtGC"/>
      </w:pPr>
      <w:r w:rsidRPr="00E27BB2">
        <w:t>4</w:t>
      </w:r>
      <w:r w:rsidR="00FC5ECC">
        <w:t>6.</w:t>
      </w:r>
      <w:r w:rsidR="00456156">
        <w:rPr>
          <w:rFonts w:hint="eastAsia"/>
        </w:rPr>
        <w:t xml:space="preserve">  </w:t>
      </w:r>
      <w:r w:rsidRPr="00E27BB2">
        <w:t>目前正在与联合国难民事务高级专员办事处</w:t>
      </w:r>
      <w:r w:rsidR="00FC5ECC">
        <w:t>(</w:t>
      </w:r>
      <w:r w:rsidRPr="00E27BB2">
        <w:t>难民署</w:t>
      </w:r>
      <w:r w:rsidR="00FC5ECC">
        <w:t>)</w:t>
      </w:r>
      <w:r w:rsidRPr="00E27BB2">
        <w:t>、国际移徙组织</w:t>
      </w:r>
      <w:r w:rsidR="00FC5ECC">
        <w:t>(</w:t>
      </w:r>
      <w:r w:rsidRPr="00E27BB2">
        <w:t>移徙组织</w:t>
      </w:r>
      <w:r w:rsidR="00FC5ECC">
        <w:t>)</w:t>
      </w:r>
      <w:r w:rsidRPr="00E27BB2">
        <w:t>以及联合国毒品和犯罪问题办公室</w:t>
      </w:r>
      <w:r w:rsidR="00FC5ECC">
        <w:t>(</w:t>
      </w:r>
      <w:r w:rsidRPr="00E27BB2">
        <w:t>禁毒办</w:t>
      </w:r>
      <w:r w:rsidR="00FC5ECC">
        <w:t>)</w:t>
      </w:r>
      <w:r w:rsidRPr="00E27BB2">
        <w:t>驻塞尔维亚共和国的代表机构合作并按照《联合国打击人口贩运全球倡议》实施《联合方案》。这是联合国机构在塞尔维亚共和国打击贩运人口领域内采取的第一次联合举措。这一举措是在与所有相关的国家和国际合作伙伴广泛协商后确定的</w:t>
      </w:r>
      <w:r w:rsidR="00FC5ECC">
        <w:t>，</w:t>
      </w:r>
      <w:r w:rsidRPr="00E27BB2">
        <w:t>其目的是发展一种完全基于国家查询机制</w:t>
      </w:r>
      <w:r w:rsidR="00FC5ECC">
        <w:t>(</w:t>
      </w:r>
      <w:r w:rsidRPr="00E27BB2">
        <w:t>下称</w:t>
      </w:r>
      <w:r w:rsidR="00456156">
        <w:rPr>
          <w:rFonts w:hint="eastAsia"/>
        </w:rPr>
        <w:t>“</w:t>
      </w:r>
      <w:r w:rsidRPr="00E27BB2">
        <w:t>查询机制</w:t>
      </w:r>
      <w:r w:rsidR="00456156">
        <w:rPr>
          <w:rFonts w:hint="eastAsia"/>
        </w:rPr>
        <w:t>”</w:t>
      </w:r>
      <w:r w:rsidR="00FC5ECC">
        <w:t>)</w:t>
      </w:r>
      <w:r w:rsidRPr="00E27BB2">
        <w:t>和用户需求的项目</w:t>
      </w:r>
      <w:r w:rsidR="00FC5ECC">
        <w:t>，</w:t>
      </w:r>
      <w:r w:rsidRPr="00E27BB2">
        <w:t>并同时支助国家主管当局履行《巴勒莫公约》</w:t>
      </w:r>
      <w:r w:rsidR="00456156">
        <w:rPr>
          <w:rStyle w:val="FootnoteReference"/>
        </w:rPr>
        <w:footnoteReference w:id="21"/>
      </w:r>
      <w:r w:rsidRPr="00E27BB2">
        <w:t xml:space="preserve"> </w:t>
      </w:r>
      <w:r w:rsidRPr="00E27BB2">
        <w:t>及其附加议定书规定的义务。</w:t>
      </w:r>
    </w:p>
    <w:p w:rsidR="00BC40DA" w:rsidRPr="00E27BB2" w:rsidRDefault="00BC40DA" w:rsidP="009B7FB3">
      <w:pPr>
        <w:pStyle w:val="SingleTxtGC"/>
      </w:pPr>
      <w:r w:rsidRPr="00E27BB2">
        <w:t>4</w:t>
      </w:r>
      <w:r w:rsidR="00FC5ECC">
        <w:t>7.</w:t>
      </w:r>
      <w:r w:rsidR="009B7FB3">
        <w:rPr>
          <w:rFonts w:hint="eastAsia"/>
        </w:rPr>
        <w:t xml:space="preserve">  </w:t>
      </w:r>
      <w:r w:rsidRPr="009B7FB3">
        <w:rPr>
          <w:spacing w:val="-2"/>
        </w:rPr>
        <w:t>《联合方案》的总体目标是按照以下四大目标实施《国家行动计划》</w:t>
      </w:r>
      <w:r w:rsidR="00FC5ECC" w:rsidRPr="009B7FB3">
        <w:rPr>
          <w:spacing w:val="-2"/>
        </w:rPr>
        <w:t>：</w:t>
      </w:r>
      <w:r w:rsidR="00FC5ECC" w:rsidRPr="009B7FB3">
        <w:rPr>
          <w:spacing w:val="-2"/>
        </w:rPr>
        <w:t>(</w:t>
      </w:r>
      <w:r w:rsidRPr="009B7FB3">
        <w:rPr>
          <w:spacing w:val="-2"/>
        </w:rPr>
        <w:t>1</w:t>
      </w:r>
      <w:r w:rsidR="00FC5ECC" w:rsidRPr="009B7FB3">
        <w:rPr>
          <w:spacing w:val="-2"/>
        </w:rPr>
        <w:t>)</w:t>
      </w:r>
      <w:r w:rsidR="009B7FB3" w:rsidRPr="009B7FB3">
        <w:rPr>
          <w:rFonts w:hint="eastAsia"/>
          <w:spacing w:val="-2"/>
          <w:vertAlign w:val="superscript"/>
        </w:rPr>
        <w:t xml:space="preserve"> </w:t>
      </w:r>
      <w:r w:rsidRPr="009B7FB3">
        <w:rPr>
          <w:spacing w:val="-2"/>
        </w:rPr>
        <w:t>加强国家实施《国家行动计划》的能力</w:t>
      </w:r>
      <w:r w:rsidR="00FC5ECC" w:rsidRPr="009B7FB3">
        <w:rPr>
          <w:spacing w:val="-2"/>
        </w:rPr>
        <w:t>，</w:t>
      </w:r>
      <w:r w:rsidRPr="009B7FB3">
        <w:rPr>
          <w:spacing w:val="-2"/>
        </w:rPr>
        <w:t>并改善在网络监测股内的协调工作</w:t>
      </w:r>
      <w:r w:rsidR="00FC5ECC" w:rsidRPr="009B7FB3">
        <w:rPr>
          <w:spacing w:val="-2"/>
        </w:rPr>
        <w:t>；</w:t>
      </w:r>
      <w:r w:rsidR="00FC5ECC" w:rsidRPr="009B7FB3">
        <w:rPr>
          <w:spacing w:val="-2"/>
        </w:rPr>
        <w:t>(</w:t>
      </w:r>
      <w:r w:rsidRPr="009B7FB3">
        <w:rPr>
          <w:spacing w:val="-2"/>
        </w:rPr>
        <w:t>2</w:t>
      </w:r>
      <w:r w:rsidR="00FC5ECC" w:rsidRPr="009B7FB3">
        <w:rPr>
          <w:spacing w:val="-2"/>
        </w:rPr>
        <w:t>)</w:t>
      </w:r>
      <w:r w:rsidR="009B7FB3" w:rsidRPr="009B7FB3">
        <w:rPr>
          <w:rFonts w:hint="eastAsia"/>
          <w:spacing w:val="-2"/>
          <w:vertAlign w:val="superscript"/>
        </w:rPr>
        <w:t xml:space="preserve"> </w:t>
      </w:r>
      <w:r w:rsidRPr="009B7FB3">
        <w:rPr>
          <w:spacing w:val="-2"/>
        </w:rPr>
        <w:t>建</w:t>
      </w:r>
      <w:r w:rsidRPr="00E27BB2">
        <w:t>立一个有系统地预防贩运人口特别是贩运弱势群体人口的可持续框架</w:t>
      </w:r>
      <w:r w:rsidR="00FC5ECC">
        <w:t>；</w:t>
      </w:r>
      <w:r w:rsidR="00FC5ECC">
        <w:t>(</w:t>
      </w:r>
      <w:r w:rsidRPr="00E27BB2">
        <w:t>3</w:t>
      </w:r>
      <w:r w:rsidR="00FC5ECC">
        <w:t>)</w:t>
      </w:r>
      <w:r w:rsidR="009B7FB3" w:rsidRPr="009B7FB3">
        <w:rPr>
          <w:rFonts w:hint="eastAsia"/>
          <w:vertAlign w:val="superscript"/>
        </w:rPr>
        <w:t xml:space="preserve"> </w:t>
      </w:r>
      <w:r w:rsidRPr="00E27BB2">
        <w:t>加强司法和警方的能力</w:t>
      </w:r>
      <w:r w:rsidR="00FC5ECC">
        <w:t>，</w:t>
      </w:r>
      <w:r w:rsidRPr="00E27BB2">
        <w:t>据以改善对贩运人口案件的调查、审理和裁决工作</w:t>
      </w:r>
      <w:r w:rsidR="00FC5ECC">
        <w:t>；</w:t>
      </w:r>
      <w:r w:rsidR="00FC5ECC">
        <w:t>(</w:t>
      </w:r>
      <w:r w:rsidRPr="00E27BB2">
        <w:t>4</w:t>
      </w:r>
      <w:r w:rsidR="00FC5ECC">
        <w:t>)</w:t>
      </w:r>
      <w:r w:rsidR="009B7FB3" w:rsidRPr="009B7FB3">
        <w:rPr>
          <w:rFonts w:hint="eastAsia"/>
          <w:vertAlign w:val="superscript"/>
        </w:rPr>
        <w:t xml:space="preserve"> </w:t>
      </w:r>
      <w:r w:rsidRPr="00E27BB2">
        <w:t>改善保护贩运人口活动可能的和真实的受害儿童和成人</w:t>
      </w:r>
      <w:r w:rsidR="00FC5ECC">
        <w:t>(</w:t>
      </w:r>
      <w:r w:rsidRPr="00E27BB2">
        <w:t>包括在庇护程序中确定的此种受害者</w:t>
      </w:r>
      <w:r w:rsidR="00FC5ECC">
        <w:t>)</w:t>
      </w:r>
      <w:r w:rsidRPr="00E27BB2">
        <w:t>并使之</w:t>
      </w:r>
      <w:r w:rsidR="00FC5ECC">
        <w:t>(</w:t>
      </w:r>
      <w:r w:rsidRPr="00E27BB2">
        <w:t>重新</w:t>
      </w:r>
      <w:r w:rsidR="00FC5ECC">
        <w:t>)</w:t>
      </w:r>
      <w:r w:rsidRPr="00E27BB2">
        <w:t>融入社会的机制。</w:t>
      </w:r>
    </w:p>
    <w:p w:rsidR="00BC40DA" w:rsidRPr="00E27BB2" w:rsidRDefault="00BC40DA" w:rsidP="00BC40DA">
      <w:pPr>
        <w:pStyle w:val="SingleTxtGC"/>
      </w:pPr>
      <w:r w:rsidRPr="00E27BB2">
        <w:t>4</w:t>
      </w:r>
      <w:r w:rsidR="00FC5ECC">
        <w:t>8.</w:t>
      </w:r>
      <w:r w:rsidR="00C87B9D">
        <w:rPr>
          <w:rFonts w:hint="eastAsia"/>
        </w:rPr>
        <w:t xml:space="preserve">  </w:t>
      </w:r>
      <w:r w:rsidRPr="00E27BB2">
        <w:t>该《方案》的每一个目标都应具有相同的活动结构</w:t>
      </w:r>
      <w:r w:rsidR="00FC5ECC">
        <w:t>，</w:t>
      </w:r>
      <w:r w:rsidRPr="00E27BB2">
        <w:t>例如</w:t>
      </w:r>
      <w:r w:rsidR="00FC5ECC">
        <w:t>：</w:t>
      </w:r>
      <w:r w:rsidR="00FC5ECC">
        <w:t>(</w:t>
      </w:r>
      <w:r w:rsidRPr="00E27BB2">
        <w:t>а</w:t>
      </w:r>
      <w:r w:rsidR="00FC5ECC">
        <w:t>)</w:t>
      </w:r>
      <w:r w:rsidR="00C87B9D" w:rsidRPr="00C87B9D">
        <w:rPr>
          <w:rFonts w:hint="eastAsia"/>
          <w:vertAlign w:val="superscript"/>
        </w:rPr>
        <w:t xml:space="preserve"> </w:t>
      </w:r>
      <w:r w:rsidRPr="00E27BB2">
        <w:t>开展调查和</w:t>
      </w:r>
      <w:r w:rsidR="00FC5ECC">
        <w:t>(</w:t>
      </w:r>
      <w:r w:rsidRPr="00E27BB2">
        <w:t>或</w:t>
      </w:r>
      <w:r w:rsidR="00FC5ECC">
        <w:t>)</w:t>
      </w:r>
      <w:r w:rsidRPr="00E27BB2">
        <w:t>制定适当的活动战略并发展各种机制</w:t>
      </w:r>
      <w:r w:rsidR="00FC5ECC">
        <w:t>；</w:t>
      </w:r>
      <w:r w:rsidR="00FC5ECC">
        <w:t>(</w:t>
      </w:r>
      <w:r w:rsidRPr="00E27BB2">
        <w:t>b</w:t>
      </w:r>
      <w:r w:rsidR="00FC5ECC">
        <w:t>)</w:t>
      </w:r>
      <w:r w:rsidR="00C87B9D" w:rsidRPr="00C87B9D">
        <w:rPr>
          <w:rFonts w:hint="eastAsia"/>
          <w:vertAlign w:val="superscript"/>
        </w:rPr>
        <w:t xml:space="preserve"> </w:t>
      </w:r>
      <w:r w:rsidRPr="00E27BB2">
        <w:t>举办培训或讲习班</w:t>
      </w:r>
      <w:r w:rsidR="00FC5ECC">
        <w:t>，</w:t>
      </w:r>
      <w:r w:rsidRPr="00E27BB2">
        <w:t>据以增强打击贩运人口的能力并发展各种工具</w:t>
      </w:r>
      <w:r w:rsidR="00FC5ECC">
        <w:t>/</w:t>
      </w:r>
      <w:r w:rsidRPr="00E27BB2">
        <w:t>手段</w:t>
      </w:r>
      <w:r w:rsidR="00FC5ECC">
        <w:t>；</w:t>
      </w:r>
      <w:r w:rsidR="00FC5ECC">
        <w:t>(</w:t>
      </w:r>
      <w:r w:rsidRPr="00E27BB2">
        <w:t>c</w:t>
      </w:r>
      <w:r w:rsidR="00FC5ECC">
        <w:t>)</w:t>
      </w:r>
      <w:r w:rsidR="00C87B9D" w:rsidRPr="00C87B9D">
        <w:rPr>
          <w:rFonts w:hint="eastAsia"/>
          <w:vertAlign w:val="superscript"/>
        </w:rPr>
        <w:t xml:space="preserve"> </w:t>
      </w:r>
      <w:r w:rsidRPr="00E27BB2">
        <w:t>开展将首次得到落实的活动和</w:t>
      </w:r>
      <w:r w:rsidR="00FC5ECC">
        <w:t>(</w:t>
      </w:r>
      <w:r w:rsidRPr="00E27BB2">
        <w:t>或</w:t>
      </w:r>
      <w:r w:rsidR="00FC5ECC">
        <w:t>)</w:t>
      </w:r>
      <w:r w:rsidRPr="00E27BB2">
        <w:t>支助现行的国家方案</w:t>
      </w:r>
      <w:r w:rsidR="00FC5ECC">
        <w:t>(</w:t>
      </w:r>
      <w:r w:rsidRPr="00E27BB2">
        <w:t>例如予以直接支助</w:t>
      </w:r>
      <w:r w:rsidR="00FC5ECC">
        <w:t>)</w:t>
      </w:r>
      <w:r w:rsidR="00FC5ECC">
        <w:t>；</w:t>
      </w:r>
      <w:r w:rsidR="00FC5ECC">
        <w:t>(</w:t>
      </w:r>
      <w:r w:rsidRPr="00E27BB2">
        <w:t>d</w:t>
      </w:r>
      <w:r w:rsidR="00FC5ECC">
        <w:t>)</w:t>
      </w:r>
      <w:r w:rsidR="00C87B9D" w:rsidRPr="00C87B9D">
        <w:rPr>
          <w:rFonts w:hint="eastAsia"/>
          <w:vertAlign w:val="superscript"/>
        </w:rPr>
        <w:t xml:space="preserve"> </w:t>
      </w:r>
      <w:r w:rsidRPr="00E27BB2">
        <w:t>监督和监测第一年在国家一级开展的活动以及以前开展的活动。</w:t>
      </w:r>
    </w:p>
    <w:p w:rsidR="00BC40DA" w:rsidRPr="00E27BB2" w:rsidRDefault="00BC40DA" w:rsidP="00BC40DA">
      <w:pPr>
        <w:pStyle w:val="SingleTxtGC"/>
      </w:pPr>
      <w:r w:rsidRPr="00E27BB2">
        <w:t>4</w:t>
      </w:r>
      <w:r w:rsidR="00FC5ECC">
        <w:t>9.</w:t>
      </w:r>
      <w:r w:rsidR="00C87B9D">
        <w:rPr>
          <w:rFonts w:hint="eastAsia"/>
        </w:rPr>
        <w:t xml:space="preserve">  </w:t>
      </w:r>
      <w:r w:rsidRPr="00E27BB2">
        <w:t>已开展的最重要的《联合方案》活动如下</w:t>
      </w:r>
      <w:r w:rsidR="00FC5ECC">
        <w:t>：</w:t>
      </w:r>
    </w:p>
    <w:p w:rsidR="00BC40DA" w:rsidRPr="00E27BB2" w:rsidRDefault="00BC40DA" w:rsidP="00C436BE">
      <w:pPr>
        <w:pStyle w:val="DashGC"/>
      </w:pPr>
      <w:r w:rsidRPr="00E27BB2">
        <w:t>进行了两项全国综合研究</w:t>
      </w:r>
      <w:r w:rsidR="00FC5ECC">
        <w:t>，</w:t>
      </w:r>
      <w:r w:rsidRPr="00E27BB2">
        <w:t>其中一项的主题是预防和保护</w:t>
      </w:r>
      <w:r w:rsidR="00FC5ECC">
        <w:t>，</w:t>
      </w:r>
      <w:r w:rsidRPr="00E27BB2">
        <w:t>另一项的主题是刑事司法反应。这两项研究都是在广泛协商的进程中进行的</w:t>
      </w:r>
      <w:r w:rsidR="00FC5ECC">
        <w:t>(</w:t>
      </w:r>
      <w:r w:rsidRPr="00E27BB2">
        <w:t>在关于预防的研究中与参与贩运人口活动的</w:t>
      </w:r>
      <w:r w:rsidRPr="00E27BB2">
        <w:t>70</w:t>
      </w:r>
      <w:r w:rsidRPr="00E27BB2">
        <w:t>人进行了访谈</w:t>
      </w:r>
      <w:r w:rsidR="00FC5ECC">
        <w:t>)</w:t>
      </w:r>
      <w:r w:rsidR="00FC5ECC">
        <w:t>，</w:t>
      </w:r>
      <w:r w:rsidRPr="00E27BB2">
        <w:t>而且都举办了公开听证会和辩论</w:t>
      </w:r>
      <w:r w:rsidR="00FC5ECC">
        <w:t>，</w:t>
      </w:r>
      <w:r w:rsidRPr="00E27BB2">
        <w:t>并向公众提交了研究报告</w:t>
      </w:r>
      <w:r w:rsidR="00FC5ECC">
        <w:t>；</w:t>
      </w:r>
    </w:p>
    <w:p w:rsidR="00BC40DA" w:rsidRPr="00E27BB2" w:rsidRDefault="00BC40DA" w:rsidP="00C436BE">
      <w:pPr>
        <w:pStyle w:val="DashGC"/>
      </w:pPr>
      <w:r w:rsidRPr="00E27BB2">
        <w:t>与司法学院及司法部合作</w:t>
      </w:r>
      <w:r w:rsidR="00FC5ECC">
        <w:t>，</w:t>
      </w:r>
      <w:r w:rsidRPr="00E27BB2">
        <w:t>为法官、检察官和警察制定了第一项正规培训方案</w:t>
      </w:r>
      <w:r w:rsidR="00FC5ECC">
        <w:t>(</w:t>
      </w:r>
      <w:r w:rsidRPr="00E27BB2">
        <w:t>迄今已有在司法和警方部门工作的</w:t>
      </w:r>
      <w:r w:rsidRPr="00E27BB2">
        <w:t>60</w:t>
      </w:r>
      <w:r w:rsidRPr="00E27BB2">
        <w:t>人完成了培训</w:t>
      </w:r>
      <w:r w:rsidR="00FC5ECC">
        <w:t>)</w:t>
      </w:r>
      <w:r w:rsidR="00FC5ECC">
        <w:t>；</w:t>
      </w:r>
    </w:p>
    <w:p w:rsidR="00BC40DA" w:rsidRPr="00E27BB2" w:rsidRDefault="00BC40DA" w:rsidP="00C436BE">
      <w:pPr>
        <w:pStyle w:val="DashGC"/>
      </w:pPr>
      <w:r w:rsidRPr="00E27BB2">
        <w:t>为社会工作者制定了第一项正规培训方案。新的法律规定</w:t>
      </w:r>
      <w:r w:rsidR="00FC5ECC">
        <w:t>，</w:t>
      </w:r>
      <w:r w:rsidRPr="00E27BB2">
        <w:t>社会工作者在识别、查询和保护受害者的工作中应担负相关的责任</w:t>
      </w:r>
      <w:r w:rsidR="00FC5ECC">
        <w:t>(</w:t>
      </w:r>
      <w:r w:rsidRPr="00E27BB2">
        <w:t>迄今已约有</w:t>
      </w:r>
      <w:r w:rsidRPr="00E27BB2">
        <w:t>100</w:t>
      </w:r>
      <w:r w:rsidRPr="00E27BB2">
        <w:t>名社会工作者完成了培训</w:t>
      </w:r>
      <w:r w:rsidR="00FC5ECC">
        <w:t>)</w:t>
      </w:r>
      <w:r w:rsidR="00FC5ECC">
        <w:t>；</w:t>
      </w:r>
    </w:p>
    <w:p w:rsidR="00BC40DA" w:rsidRPr="00E27BB2" w:rsidRDefault="00BC40DA" w:rsidP="00C436BE">
      <w:pPr>
        <w:pStyle w:val="DashGC"/>
      </w:pPr>
      <w:r w:rsidRPr="00E27BB2">
        <w:t>编写了两份关于政府通过的战略文件《塞尔维亚共和国打击贩运人口活动战略》和《</w:t>
      </w:r>
      <w:r w:rsidRPr="00E27BB2">
        <w:t>2009-2011</w:t>
      </w:r>
      <w:r w:rsidRPr="00E27BB2">
        <w:t>年打击贩运人口活动国家行动计划》实施情况的报告。报告表明了以往各项活动的某些长处</w:t>
      </w:r>
      <w:r w:rsidR="00FC5ECC">
        <w:t>，</w:t>
      </w:r>
      <w:r w:rsidRPr="00E27BB2">
        <w:t>但也表明需要对目前的情况进行一次具体审查</w:t>
      </w:r>
      <w:r w:rsidR="00FC5ECC">
        <w:t>；</w:t>
      </w:r>
    </w:p>
    <w:p w:rsidR="00BC40DA" w:rsidRPr="00E27BB2" w:rsidRDefault="00BC40DA" w:rsidP="00C436BE">
      <w:pPr>
        <w:pStyle w:val="DashGC"/>
      </w:pPr>
      <w:r w:rsidRPr="00E27BB2">
        <w:t>进行了一项关于设立保护贩运活动受害者协调署的可行性研究</w:t>
      </w:r>
      <w:r w:rsidR="00FC5ECC">
        <w:t>，</w:t>
      </w:r>
      <w:r w:rsidRPr="00E27BB2">
        <w:t>该研究报告建议设立此种协调署</w:t>
      </w:r>
      <w:r w:rsidR="00FC5ECC">
        <w:t>，</w:t>
      </w:r>
      <w:r w:rsidRPr="00E27BB2">
        <w:t>作为社会保护体系的一个独立机构。现已开始制定规范该协调署运作的若干项法案</w:t>
      </w:r>
      <w:r w:rsidR="00FC5ECC">
        <w:t>；</w:t>
      </w:r>
    </w:p>
    <w:p w:rsidR="00BC40DA" w:rsidRPr="00E27BB2" w:rsidRDefault="00BC40DA" w:rsidP="00C436BE">
      <w:pPr>
        <w:pStyle w:val="DashGC"/>
      </w:pPr>
      <w:r w:rsidRPr="00E27BB2">
        <w:t>目前已在物质和技术装备方面加强了</w:t>
      </w:r>
      <w:r w:rsidRPr="00E27BB2">
        <w:t>6</w:t>
      </w:r>
      <w:r w:rsidRPr="00E27BB2">
        <w:t>个社会工作中心</w:t>
      </w:r>
      <w:r w:rsidR="00FC5ECC">
        <w:t>，</w:t>
      </w:r>
      <w:r w:rsidRPr="00E27BB2">
        <w:t>目的是确保全国各地对贩运人口案件作出区域反应</w:t>
      </w:r>
      <w:r w:rsidR="00FC5ECC">
        <w:t>，</w:t>
      </w:r>
      <w:r w:rsidRPr="00E27BB2">
        <w:t>因为此种反应将分散开展保护贩运活动受害者协调署的工作</w:t>
      </w:r>
      <w:r w:rsidR="00FC5ECC">
        <w:t>；</w:t>
      </w:r>
    </w:p>
    <w:p w:rsidR="00BC40DA" w:rsidRPr="00E27BB2" w:rsidRDefault="00BC40DA" w:rsidP="00C436BE">
      <w:pPr>
        <w:pStyle w:val="DashGC"/>
      </w:pPr>
      <w:r w:rsidRPr="00E27BB2">
        <w:t>为向</w:t>
      </w:r>
      <w:r w:rsidRPr="00E27BB2">
        <w:rPr>
          <w:lang w:val="en-GB"/>
        </w:rPr>
        <w:t>贩运人口活动</w:t>
      </w:r>
      <w:r w:rsidRPr="00E27BB2">
        <w:t>受害者提供紧急照料服务而建立了第一个国家收容所。这是实施《联合方案》的一项直接成果</w:t>
      </w:r>
      <w:r w:rsidR="00FC5ECC">
        <w:t>，</w:t>
      </w:r>
      <w:r w:rsidRPr="00E27BB2">
        <w:t>因为这一构想是在通过《联合方案》确立的合作框架内产生的。同时在司法部倡议下</w:t>
      </w:r>
      <w:r w:rsidR="00FC5ECC">
        <w:t>，</w:t>
      </w:r>
      <w:r w:rsidRPr="00E27BB2">
        <w:t>被没收财产管理司与劳动和社会政策部合作</w:t>
      </w:r>
      <w:r w:rsidR="00FC5ECC">
        <w:t>，</w:t>
      </w:r>
      <w:r w:rsidRPr="00E27BB2">
        <w:t>拨出了一所因有组织金融犯罪而被没收的</w:t>
      </w:r>
      <w:r w:rsidRPr="00E27BB2">
        <w:t>400</w:t>
      </w:r>
      <w:r w:rsidRPr="00E27BB2">
        <w:t>平方米的住房</w:t>
      </w:r>
      <w:r w:rsidR="00FC5ECC">
        <w:t>，</w:t>
      </w:r>
      <w:r w:rsidRPr="00E27BB2">
        <w:t>作为贩运人口活动受害者的收容所</w:t>
      </w:r>
      <w:r w:rsidR="00FC5ECC">
        <w:t>，</w:t>
      </w:r>
      <w:r w:rsidRPr="00E27BB2">
        <w:t>也是保护贩运活动受害者协调署的办公场所</w:t>
      </w:r>
      <w:r w:rsidR="00FC5ECC">
        <w:t>；</w:t>
      </w:r>
    </w:p>
    <w:p w:rsidR="00BC40DA" w:rsidRPr="00E27BB2" w:rsidRDefault="00BC40DA" w:rsidP="00C436BE">
      <w:pPr>
        <w:pStyle w:val="DashGC"/>
      </w:pPr>
      <w:r w:rsidRPr="00E27BB2">
        <w:t>成立了金额为</w:t>
      </w:r>
      <w:r w:rsidRPr="00E27BB2">
        <w:t>8</w:t>
      </w:r>
      <w:r w:rsidRPr="00E27BB2">
        <w:t>万美元的预防基金</w:t>
      </w:r>
      <w:r w:rsidR="00FC5ECC">
        <w:t>，</w:t>
      </w:r>
      <w:r w:rsidRPr="00E27BB2">
        <w:t>并通过公开招标</w:t>
      </w:r>
      <w:r w:rsidR="00FC5ECC">
        <w:t>，</w:t>
      </w:r>
      <w:r w:rsidRPr="00E27BB2">
        <w:t>使各利益攸关方可申请经费。得标的有</w:t>
      </w:r>
      <w:r w:rsidRPr="00E27BB2">
        <w:t>3</w:t>
      </w:r>
      <w:r w:rsidRPr="00E27BB2">
        <w:t>个专门针对以下群体的项目</w:t>
      </w:r>
      <w:r w:rsidR="00FC5ECC">
        <w:t>：</w:t>
      </w:r>
      <w:r w:rsidRPr="00E27BB2">
        <w:t>被安置在集体中心的难民和流离失所者、罗姆人、以及在青少年收容机构的没有父母照顾的儿童。利用基金的款项以论坛剧的形式制作了两个节目</w:t>
      </w:r>
      <w:r w:rsidR="00FC5ECC">
        <w:t>，</w:t>
      </w:r>
      <w:r w:rsidRPr="00E27BB2">
        <w:t>并开展了一次由教学材料和针对儿童的游戏组成的活动。有</w:t>
      </w:r>
      <w:r w:rsidRPr="00E27BB2">
        <w:t>500</w:t>
      </w:r>
      <w:r w:rsidRPr="00E27BB2">
        <w:t>名罗姆人出席观看了专为罗姆人演出的第一个论坛剧节目</w:t>
      </w:r>
      <w:r w:rsidR="00FC5ECC">
        <w:t>，</w:t>
      </w:r>
      <w:r w:rsidRPr="00E27BB2">
        <w:t>由红十字会举办的教学活动将约有</w:t>
      </w:r>
      <w:r w:rsidR="00FC5ECC">
        <w:t>2,</w:t>
      </w:r>
      <w:r w:rsidRPr="00E27BB2">
        <w:t>000</w:t>
      </w:r>
      <w:r w:rsidRPr="00E27BB2">
        <w:t>名青年人参与。罗姆人论坛剧得到了著名的罗姆人</w:t>
      </w:r>
      <w:r w:rsidRPr="00E27BB2">
        <w:t>KAL</w:t>
      </w:r>
      <w:r w:rsidRPr="00E27BB2">
        <w:t>乐队音乐表演的支持</w:t>
      </w:r>
      <w:r w:rsidR="00FC5ECC">
        <w:t>，</w:t>
      </w:r>
      <w:r w:rsidRPr="00E27BB2">
        <w:t>该节目反映了贩运儿童以及利用儿童卖淫和乞讨营利的问题</w:t>
      </w:r>
      <w:r w:rsidR="00FC5ECC">
        <w:t>；</w:t>
      </w:r>
    </w:p>
    <w:p w:rsidR="00BC40DA" w:rsidRPr="00E27BB2" w:rsidRDefault="00BC40DA" w:rsidP="00C436BE">
      <w:pPr>
        <w:pStyle w:val="DashGC"/>
      </w:pPr>
      <w:r w:rsidRPr="00E27BB2">
        <w:t>成立了</w:t>
      </w:r>
      <w:r w:rsidR="004F1DD5">
        <w:rPr>
          <w:rFonts w:hint="eastAsia"/>
        </w:rPr>
        <w:t>“</w:t>
      </w:r>
      <w:r w:rsidRPr="00E27BB2">
        <w:t>直接援助和社会融合基金</w:t>
      </w:r>
      <w:r w:rsidR="004F1DD5">
        <w:rPr>
          <w:rFonts w:hint="eastAsia"/>
        </w:rPr>
        <w:t>”</w:t>
      </w:r>
      <w:r w:rsidRPr="00E27BB2">
        <w:t>。该基金通过公开招标</w:t>
      </w:r>
      <w:r w:rsidR="00FC5ECC">
        <w:t>，</w:t>
      </w:r>
      <w:r w:rsidRPr="00E27BB2">
        <w:t>邀请所有有兴趣和合格的利益攸关方和实体申请参与些活动。总值为</w:t>
      </w:r>
      <w:r w:rsidRPr="00E27BB2">
        <w:t>13</w:t>
      </w:r>
      <w:r w:rsidRPr="00E27BB2">
        <w:t>万美元的该基金增强了迄今已照料了</w:t>
      </w:r>
      <w:r w:rsidRPr="00E27BB2">
        <w:t>60</w:t>
      </w:r>
      <w:r w:rsidRPr="00E27BB2">
        <w:t>名贩运人口受害者的设在诺维萨德、贝尔格莱德和尼什的收容机构提供住宿的能力</w:t>
      </w:r>
      <w:r w:rsidR="00FC5ECC">
        <w:t>，</w:t>
      </w:r>
      <w:r w:rsidRPr="00E27BB2">
        <w:t>据此支持加强政府和非政府部门在保护受害者领域的伙伴关系</w:t>
      </w:r>
      <w:r w:rsidR="00FC5ECC">
        <w:t>；</w:t>
      </w:r>
    </w:p>
    <w:p w:rsidR="00BC40DA" w:rsidRPr="00E27BB2" w:rsidRDefault="00BC40DA" w:rsidP="00C436BE">
      <w:pPr>
        <w:pStyle w:val="DashGC"/>
      </w:pPr>
      <w:r w:rsidRPr="00E27BB2">
        <w:t>已根据《联合方案》并按照难民署的建议</w:t>
      </w:r>
      <w:r w:rsidR="00FC5ECC">
        <w:t>，</w:t>
      </w:r>
      <w:r w:rsidRPr="00E27BB2">
        <w:t>在寻求庇护者接待中心举办了若干次信息会议。这些会议的对象是在这些中心住宿的寻求庇护者</w:t>
      </w:r>
      <w:r w:rsidR="00FC5ECC">
        <w:t>，</w:t>
      </w:r>
      <w:r w:rsidRPr="00E27BB2">
        <w:t>目的是使他们了解有关贩运人口活动的基本情况</w:t>
      </w:r>
      <w:r w:rsidR="00FC5ECC">
        <w:t>，</w:t>
      </w:r>
      <w:r w:rsidRPr="00E27BB2">
        <w:t>以及如何有可能认识到自己是受害者</w:t>
      </w:r>
      <w:r w:rsidR="00FC5ECC">
        <w:t>，</w:t>
      </w:r>
      <w:r w:rsidRPr="00E27BB2">
        <w:t>或至少意识到隐藏在非法移徙活动中的种种危险</w:t>
      </w:r>
      <w:r w:rsidR="00FC5ECC">
        <w:t>；</w:t>
      </w:r>
    </w:p>
    <w:p w:rsidR="00BC40DA" w:rsidRPr="00E27BB2" w:rsidRDefault="00BC40DA" w:rsidP="00C436BE">
      <w:pPr>
        <w:pStyle w:val="DashGC"/>
      </w:pPr>
      <w:r w:rsidRPr="00E27BB2">
        <w:t>在贝尔格莱德、诺维萨德和尼什的</w:t>
      </w:r>
      <w:r w:rsidRPr="00E27BB2">
        <w:t>3</w:t>
      </w:r>
      <w:r w:rsidRPr="00E27BB2">
        <w:t>所大学的法学院设立了打击贩运人口活动的法律咨询所。这些咨询所已拥有</w:t>
      </w:r>
      <w:r w:rsidRPr="00E27BB2">
        <w:t>100</w:t>
      </w:r>
      <w:r w:rsidRPr="00E27BB2">
        <w:t>余名学生、助理教授和教授</w:t>
      </w:r>
      <w:r w:rsidR="00FC5ECC">
        <w:t>，</w:t>
      </w:r>
      <w:r w:rsidRPr="00E27BB2">
        <w:t>他们将在今后确保获得关于贩运人口活动的新的专业知识</w:t>
      </w:r>
      <w:r w:rsidR="00FC5ECC">
        <w:t>，</w:t>
      </w:r>
      <w:r w:rsidRPr="00E27BB2">
        <w:t>并将对这一问题作出更好的法律反应。</w:t>
      </w:r>
    </w:p>
    <w:p w:rsidR="00BC40DA" w:rsidRPr="00E27BB2" w:rsidRDefault="00BC40DA" w:rsidP="00BC40DA">
      <w:pPr>
        <w:pStyle w:val="SingleTxtGC"/>
        <w:rPr>
          <w:rFonts w:hint="eastAsia"/>
        </w:rPr>
      </w:pPr>
      <w:r w:rsidRPr="00E27BB2">
        <w:t>5</w:t>
      </w:r>
      <w:r w:rsidR="00FC5ECC">
        <w:t>0.</w:t>
      </w:r>
      <w:r w:rsidR="00C436BE">
        <w:rPr>
          <w:rFonts w:hint="eastAsia"/>
        </w:rPr>
        <w:t xml:space="preserve">  </w:t>
      </w:r>
      <w:r w:rsidRPr="00E27BB2">
        <w:t>建立了保护和支助贩运人口活动受害者的体系。确认贩运人口活动受害者的身分是保护贩运活动受害者协调署的专有职责</w:t>
      </w:r>
      <w:r w:rsidR="00FC5ECC">
        <w:t>，</w:t>
      </w:r>
      <w:r w:rsidRPr="00E27BB2">
        <w:t>向贩运人口活动受害者提供住房和照料的工作</w:t>
      </w:r>
      <w:r w:rsidR="00FC5ECC">
        <w:t>，</w:t>
      </w:r>
      <w:r w:rsidRPr="00E27BB2">
        <w:t>则是通过该署与社会工作中心、民间社会组织和国际组织协调后开展的。</w:t>
      </w:r>
    </w:p>
    <w:p w:rsidR="00BC40DA" w:rsidRPr="00E27BB2" w:rsidRDefault="00BC40DA" w:rsidP="00BC40DA">
      <w:pPr>
        <w:pStyle w:val="SingleTxtGC"/>
      </w:pPr>
      <w:r w:rsidRPr="00E27BB2">
        <w:t>5</w:t>
      </w:r>
      <w:r w:rsidR="00FC5ECC">
        <w:t>1.</w:t>
      </w:r>
      <w:r w:rsidR="00C436BE">
        <w:rPr>
          <w:rFonts w:hint="eastAsia"/>
        </w:rPr>
        <w:t xml:space="preserve">  </w:t>
      </w:r>
      <w:r w:rsidRPr="00E27BB2">
        <w:t>已经在与相关的公民协会代表的配合和合作下</w:t>
      </w:r>
      <w:r w:rsidR="00FC5ECC">
        <w:t>，</w:t>
      </w:r>
      <w:r w:rsidRPr="00E27BB2">
        <w:t>开展了旨在打击贩运人口行为的所有活动。自</w:t>
      </w:r>
      <w:r w:rsidRPr="00E27BB2">
        <w:t>2002</w:t>
      </w:r>
      <w:r w:rsidRPr="00E27BB2">
        <w:t>年以来直到现今</w:t>
      </w:r>
      <w:r w:rsidR="00FC5ECC">
        <w:t>，</w:t>
      </w:r>
      <w:r w:rsidRPr="00E27BB2">
        <w:t>公共管理当局同专门的公民协会一道开展了众多的活动</w:t>
      </w:r>
      <w:r w:rsidR="00FC5ECC">
        <w:t>，</w:t>
      </w:r>
      <w:r w:rsidRPr="00E27BB2">
        <w:t>目的是防止贩运人口行为</w:t>
      </w:r>
      <w:r w:rsidR="00FC5ECC">
        <w:t>，</w:t>
      </w:r>
      <w:r w:rsidRPr="00E27BB2">
        <w:t>并通过媒体和互联网提高公众认识。现已举办了多次讲习班和研讨会来提高中小学学童的认识</w:t>
      </w:r>
      <w:r w:rsidR="00FC5ECC">
        <w:t>，</w:t>
      </w:r>
      <w:r w:rsidRPr="00E27BB2">
        <w:t>还开展了制止贩运儿童的媒体宣传运动</w:t>
      </w:r>
      <w:r w:rsidR="00FC5ECC">
        <w:t>，</w:t>
      </w:r>
      <w:r w:rsidRPr="00E27BB2">
        <w:t>其中包括播放电视短片和电台插播节目。制作了各种海报和其他宣传材料</w:t>
      </w:r>
      <w:r w:rsidR="00FC5ECC">
        <w:t>，</w:t>
      </w:r>
      <w:r w:rsidRPr="00E27BB2">
        <w:t>并在塞尔维亚共和国各地分发。此外还开展了大量的工作</w:t>
      </w:r>
      <w:r w:rsidR="00FC5ECC">
        <w:t>，</w:t>
      </w:r>
      <w:r w:rsidRPr="00E27BB2">
        <w:t>来提高从事处境危险群体工作的人员的认识。</w:t>
      </w:r>
    </w:p>
    <w:p w:rsidR="00BC40DA" w:rsidRPr="00E27BB2" w:rsidRDefault="00BC40DA" w:rsidP="00C436BE">
      <w:pPr>
        <w:pStyle w:val="SingleTxtGC"/>
      </w:pPr>
      <w:r w:rsidRPr="00E27BB2">
        <w:t>5</w:t>
      </w:r>
      <w:r w:rsidR="00FC5ECC">
        <w:t>2.</w:t>
      </w:r>
      <w:r w:rsidR="00C436BE">
        <w:rPr>
          <w:rFonts w:hint="eastAsia"/>
        </w:rPr>
        <w:t xml:space="preserve">  </w:t>
      </w:r>
      <w:r w:rsidRPr="00E27BB2">
        <w:t>为此</w:t>
      </w:r>
      <w:r w:rsidR="00FC5ECC">
        <w:t>，</w:t>
      </w:r>
      <w:r w:rsidRPr="00E27BB2">
        <w:t>公共管理当局还允许相关的公民协会使用其办公场所和公务人员参与许多讲习班、研讨会、讨论会和类似的会议。而且</w:t>
      </w:r>
      <w:r w:rsidR="00FC5ECC">
        <w:t>，</w:t>
      </w:r>
      <w:r w:rsidRPr="00E27BB2">
        <w:t>犯罪和警察学院还欢迎专门从事打击贩运人口活动的公民协会的代表到该学院参加规定的若干小时的学习。</w:t>
      </w:r>
    </w:p>
    <w:p w:rsidR="00BC40DA" w:rsidRPr="00E27BB2" w:rsidRDefault="00BC40DA" w:rsidP="00BC40DA">
      <w:pPr>
        <w:pStyle w:val="SingleTxtGC"/>
      </w:pPr>
      <w:r w:rsidRPr="00E27BB2">
        <w:t>5</w:t>
      </w:r>
      <w:r w:rsidR="00FC5ECC">
        <w:t>3.</w:t>
      </w:r>
      <w:r w:rsidR="00C436BE">
        <w:rPr>
          <w:rFonts w:hint="eastAsia"/>
        </w:rPr>
        <w:t xml:space="preserve">  </w:t>
      </w:r>
      <w:r w:rsidRPr="00E27BB2">
        <w:t>教育警察的工作持续不断</w:t>
      </w:r>
      <w:r w:rsidR="00FC5ECC">
        <w:t>，</w:t>
      </w:r>
      <w:r w:rsidRPr="00E27BB2">
        <w:t>该项工作是在各种协会和国际组织协同下在塞尔维亚共和国境内开展的</w:t>
      </w:r>
      <w:r w:rsidR="00FC5ECC">
        <w:t>，</w:t>
      </w:r>
      <w:r w:rsidRPr="00E27BB2">
        <w:t>并以此作为区域和国际合作的组成部分。</w:t>
      </w:r>
    </w:p>
    <w:p w:rsidR="00BC40DA" w:rsidRPr="00E27BB2" w:rsidRDefault="00BC40DA" w:rsidP="00C436BE">
      <w:pPr>
        <w:pStyle w:val="SingleTxtGC"/>
      </w:pPr>
      <w:r w:rsidRPr="00E27BB2">
        <w:t>5</w:t>
      </w:r>
      <w:r w:rsidR="00FC5ECC">
        <w:t>4.</w:t>
      </w:r>
      <w:r w:rsidR="00C436BE">
        <w:rPr>
          <w:rFonts w:hint="eastAsia"/>
        </w:rPr>
        <w:t xml:space="preserve">  </w:t>
      </w:r>
      <w:r w:rsidRPr="00E27BB2">
        <w:t>同样重要的是交流贩运人口活动的可能和真实受害者相关的信息的知识</w:t>
      </w:r>
      <w:r w:rsidR="00FC5ECC">
        <w:t>，</w:t>
      </w:r>
      <w:r w:rsidRPr="00E27BB2">
        <w:t>此种信息和知识是公民协会通过其求救热线、或与了解对人员进行剥削的情况的人直接联系而获得的。</w:t>
      </w:r>
    </w:p>
    <w:p w:rsidR="00BC40DA" w:rsidRPr="00E27BB2" w:rsidRDefault="00C436BE" w:rsidP="00C436BE">
      <w:pPr>
        <w:pStyle w:val="H1GC"/>
      </w:pPr>
      <w:r>
        <w:rPr>
          <w:rFonts w:hint="eastAsia"/>
        </w:rPr>
        <w:tab/>
      </w:r>
      <w:r>
        <w:rPr>
          <w:rFonts w:hint="eastAsia"/>
        </w:rPr>
        <w:tab/>
      </w:r>
      <w:r w:rsidR="00BC40DA" w:rsidRPr="00E27BB2">
        <w:t>参与政治和公共生活</w:t>
      </w:r>
    </w:p>
    <w:p w:rsidR="00BC40DA" w:rsidRPr="00E27BB2" w:rsidRDefault="00C436BE" w:rsidP="00C436BE">
      <w:pPr>
        <w:pStyle w:val="H23GC"/>
      </w:pPr>
      <w:r>
        <w:rPr>
          <w:rFonts w:hint="eastAsia"/>
        </w:rPr>
        <w:tab/>
      </w:r>
      <w:r>
        <w:rPr>
          <w:rFonts w:hint="eastAsia"/>
        </w:rPr>
        <w:tab/>
      </w:r>
      <w:r w:rsidR="00BC40DA" w:rsidRPr="00E27BB2">
        <w:t>对问题清单第</w:t>
      </w:r>
      <w:r w:rsidR="00BC40DA" w:rsidRPr="00E27BB2">
        <w:t>8</w:t>
      </w:r>
      <w:r w:rsidR="00BC40DA" w:rsidRPr="00E27BB2">
        <w:t>段所提问题的答复</w:t>
      </w:r>
    </w:p>
    <w:p w:rsidR="00BC40DA" w:rsidRPr="00E27BB2" w:rsidRDefault="00BC40DA" w:rsidP="00C436BE">
      <w:pPr>
        <w:pStyle w:val="SingleTxtGC"/>
      </w:pPr>
      <w:r w:rsidRPr="00E27BB2">
        <w:t>5</w:t>
      </w:r>
      <w:r w:rsidR="00FC5ECC">
        <w:t>5.</w:t>
      </w:r>
      <w:r w:rsidR="00C436BE">
        <w:rPr>
          <w:rFonts w:hint="eastAsia"/>
        </w:rPr>
        <w:t xml:space="preserve">  </w:t>
      </w:r>
      <w:r w:rsidRPr="00E27BB2">
        <w:t>据人力资源管理厅</w:t>
      </w:r>
      <w:r w:rsidR="00C436BE">
        <w:rPr>
          <w:rStyle w:val="FootnoteReference"/>
        </w:rPr>
        <w:footnoteReference w:id="22"/>
      </w:r>
      <w:r w:rsidRPr="00E27BB2">
        <w:t xml:space="preserve"> </w:t>
      </w:r>
      <w:r w:rsidRPr="00E27BB2">
        <w:t>的数据</w:t>
      </w:r>
      <w:r w:rsidR="00FC5ECC">
        <w:t>，</w:t>
      </w:r>
      <w:r w:rsidRPr="00E27BB2">
        <w:t>在助理部长、部委秘书、部委行政当局主任、部委行政当局副主任、特设组织主任、政府办公厅主任、政府办公厅副主任、政府办公厅助理主任以及区级行政首长等职务中</w:t>
      </w:r>
      <w:r w:rsidR="00FC5ECC">
        <w:t>，</w:t>
      </w:r>
      <w:r w:rsidRPr="00E27BB2">
        <w:t>妇女任职者占</w:t>
      </w:r>
      <w:r w:rsidRPr="00E27BB2">
        <w:t>4</w:t>
      </w:r>
      <w:r w:rsidR="00FC5ECC">
        <w:t>1.</w:t>
      </w:r>
      <w:r w:rsidRPr="00E27BB2">
        <w:t>28</w:t>
      </w:r>
      <w:r w:rsidR="00FC5ECC">
        <w:t>%</w:t>
      </w:r>
      <w:r w:rsidRPr="00E27BB2">
        <w:t>。担任州务卿职位的妇女占</w:t>
      </w:r>
      <w:r w:rsidRPr="00E27BB2">
        <w:t>25</w:t>
      </w:r>
      <w:r w:rsidR="00FC5ECC">
        <w:t>%</w:t>
      </w:r>
      <w:r w:rsidRPr="00E27BB2">
        <w:t>。请注意</w:t>
      </w:r>
      <w:r w:rsidR="00FC5ECC">
        <w:t>，</w:t>
      </w:r>
      <w:r w:rsidRPr="00E27BB2">
        <w:t>这些数据不包括内政和信息安全部</w:t>
      </w:r>
      <w:r w:rsidR="00FC5ECC">
        <w:t>，</w:t>
      </w:r>
      <w:r w:rsidRPr="00E27BB2">
        <w:t>而且是今年</w:t>
      </w:r>
      <w:r w:rsidRPr="00E27BB2">
        <w:t>4</w:t>
      </w:r>
      <w:r w:rsidRPr="00E27BB2">
        <w:t>月份的数据。现在尚无关于族裔或少数群体男女成员的数据。</w:t>
      </w:r>
    </w:p>
    <w:p w:rsidR="00BC40DA" w:rsidRPr="00E27BB2" w:rsidRDefault="00C436BE" w:rsidP="00C436BE">
      <w:pPr>
        <w:pStyle w:val="H23GC"/>
      </w:pPr>
      <w:r>
        <w:rPr>
          <w:rFonts w:hint="eastAsia"/>
        </w:rPr>
        <w:tab/>
      </w:r>
      <w:r>
        <w:rPr>
          <w:rFonts w:hint="eastAsia"/>
        </w:rPr>
        <w:tab/>
      </w:r>
      <w:r w:rsidR="00BC40DA" w:rsidRPr="00E27BB2">
        <w:t>对问题清单第</w:t>
      </w:r>
      <w:r w:rsidR="00BC40DA" w:rsidRPr="00E27BB2">
        <w:t>9</w:t>
      </w:r>
      <w:r w:rsidR="00BC40DA" w:rsidRPr="00E27BB2">
        <w:t>段所提问题的答复</w:t>
      </w:r>
    </w:p>
    <w:p w:rsidR="00BC40DA" w:rsidRPr="00E27BB2" w:rsidRDefault="00BC40DA" w:rsidP="00BC40DA">
      <w:pPr>
        <w:pStyle w:val="SingleTxtGC"/>
        <w:rPr>
          <w:rFonts w:hint="eastAsia"/>
        </w:rPr>
      </w:pPr>
      <w:r w:rsidRPr="00E27BB2">
        <w:t>5</w:t>
      </w:r>
      <w:r w:rsidR="00FC5ECC">
        <w:t>6.</w:t>
      </w:r>
      <w:r w:rsidR="00C436BE">
        <w:rPr>
          <w:rFonts w:hint="eastAsia"/>
        </w:rPr>
        <w:t xml:space="preserve">  </w:t>
      </w:r>
      <w:r w:rsidRPr="00E27BB2">
        <w:t>根据两性平等司从国民议会两性平等委员会获得的数据</w:t>
      </w:r>
      <w:r w:rsidR="00FC5ECC">
        <w:t>，</w:t>
      </w:r>
      <w:r w:rsidRPr="00E27BB2">
        <w:t>迄今为止</w:t>
      </w:r>
      <w:r w:rsidR="00FC5ECC">
        <w:t>，</w:t>
      </w:r>
      <w:r w:rsidRPr="00E27BB2">
        <w:t>有些政党已提交了《男女平等法》第</w:t>
      </w:r>
      <w:r w:rsidRPr="00E27BB2">
        <w:t>35</w:t>
      </w:r>
      <w:r w:rsidRPr="00E27BB2">
        <w:t>条规定的措施计划</w:t>
      </w:r>
      <w:r w:rsidR="00FC5ECC">
        <w:t>，</w:t>
      </w:r>
      <w:r w:rsidRPr="00E27BB2">
        <w:t>该条提及应通过一项</w:t>
      </w:r>
      <w:r w:rsidRPr="00E27BB2">
        <w:t>4</w:t>
      </w:r>
      <w:r w:rsidRPr="00E27BB2">
        <w:t>年行动计划</w:t>
      </w:r>
      <w:r w:rsidR="00FC5ECC">
        <w:t>，</w:t>
      </w:r>
      <w:r w:rsidRPr="00E27BB2">
        <w:t>其中载有具体的措施</w:t>
      </w:r>
      <w:r w:rsidR="00FC5ECC">
        <w:t>，</w:t>
      </w:r>
      <w:r w:rsidRPr="00E27BB2">
        <w:t>据以鼓励和促进男女在各党派的机关中以及在国会议员和地方议员的选举中提名候选人时享有平等的代表性。提交此种措施计划的政党有</w:t>
      </w:r>
      <w:r w:rsidR="00FC5ECC">
        <w:t>：</w:t>
      </w:r>
      <w:r w:rsidRPr="00E27BB2">
        <w:t>民主党、退伍军人运动、塞尔维亚民主党、国民党、伏伊伏丁那社会民主联盟、塞尔维亚区域联合党、塞尔维亚养老金领取者联合党、塞尔维亚社会主义党、伏伊伏丁那匈牙利人联盟、罗姆人民主左翼党、以及塞尔维亚激进党。</w:t>
      </w:r>
      <w:r w:rsidRPr="00E27BB2">
        <w:t>2012</w:t>
      </w:r>
      <w:r w:rsidRPr="00E27BB2">
        <w:t>年第一季度</w:t>
      </w:r>
      <w:r w:rsidR="00FC5ECC">
        <w:t>，</w:t>
      </w:r>
      <w:r w:rsidRPr="00E27BB2">
        <w:t>在两性平等司参与下</w:t>
      </w:r>
      <w:r w:rsidR="00FC5ECC">
        <w:t>，</w:t>
      </w:r>
      <w:r w:rsidRPr="00E27BB2">
        <w:t>议会的政党塞尔维亚复兴运动和塞尔维亚社会民主党将其措施计划上传到它们的网站。从塞尔维亚区域联合党的网站上可以看出</w:t>
      </w:r>
      <w:r w:rsidR="00FC5ECC">
        <w:t>，</w:t>
      </w:r>
      <w:r w:rsidRPr="00E27BB2">
        <w:t>该党已通过了该计划文件</w:t>
      </w:r>
      <w:r w:rsidR="00FC5ECC">
        <w:t>，</w:t>
      </w:r>
      <w:r w:rsidRPr="00E27BB2">
        <w:t>并已将它上传到它的网站。</w:t>
      </w:r>
    </w:p>
    <w:p w:rsidR="00BC40DA" w:rsidRPr="00E27BB2" w:rsidRDefault="00BC40DA" w:rsidP="00C436BE">
      <w:pPr>
        <w:pStyle w:val="SingleTxtGC"/>
      </w:pPr>
      <w:r w:rsidRPr="00E27BB2">
        <w:t>5</w:t>
      </w:r>
      <w:r w:rsidR="00FC5ECC">
        <w:t>7.</w:t>
      </w:r>
      <w:r w:rsidR="00C436BE">
        <w:rPr>
          <w:rFonts w:hint="eastAsia"/>
        </w:rPr>
        <w:t xml:space="preserve">  </w:t>
      </w:r>
      <w:r w:rsidRPr="00E27BB2">
        <w:t>《男女平等法》上述该条还规定</w:t>
      </w:r>
      <w:r w:rsidR="00FC5ECC">
        <w:t>，</w:t>
      </w:r>
      <w:r w:rsidRPr="00E27BB2">
        <w:t>工会和专业协会必须制定措施计划</w:t>
      </w:r>
      <w:r w:rsidR="00FC5ECC">
        <w:t>，</w:t>
      </w:r>
      <w:r w:rsidRPr="00E27BB2">
        <w:t>编写有关上段所述措施的报告</w:t>
      </w:r>
      <w:r w:rsidR="00FC5ECC">
        <w:t>，</w:t>
      </w:r>
      <w:r w:rsidRPr="00E27BB2">
        <w:t>并在其正式网站公布这些报告。不过</w:t>
      </w:r>
      <w:r w:rsidR="00FC5ECC">
        <w:t>，</w:t>
      </w:r>
      <w:r w:rsidRPr="00E27BB2">
        <w:t>直到</w:t>
      </w:r>
      <w:r w:rsidRPr="00E27BB2">
        <w:t>2012</w:t>
      </w:r>
      <w:r w:rsidRPr="00E27BB2">
        <w:t>年</w:t>
      </w:r>
      <w:r w:rsidRPr="00E27BB2">
        <w:t>4</w:t>
      </w:r>
      <w:r w:rsidRPr="00E27BB2">
        <w:t>月前</w:t>
      </w:r>
      <w:r w:rsidR="00FC5ECC">
        <w:t>，</w:t>
      </w:r>
      <w:r w:rsidRPr="00E27BB2">
        <w:t>这些组织都没有这样做。因此</w:t>
      </w:r>
      <w:r w:rsidR="00FC5ECC">
        <w:t>，</w:t>
      </w:r>
      <w:r w:rsidRPr="00E27BB2">
        <w:t>劳动和社会政策部两性平等司按照它在监督《男女平等法》实施情况中的职权和作用</w:t>
      </w:r>
      <w:r w:rsidR="00FC5ECC">
        <w:t>，</w:t>
      </w:r>
      <w:r w:rsidRPr="00E27BB2">
        <w:t>于</w:t>
      </w:r>
      <w:r w:rsidRPr="00E27BB2">
        <w:t>2012</w:t>
      </w:r>
      <w:r w:rsidRPr="00E27BB2">
        <w:t>年</w:t>
      </w:r>
      <w:r w:rsidRPr="00E27BB2">
        <w:t>4</w:t>
      </w:r>
      <w:r w:rsidRPr="00E27BB2">
        <w:t>月</w:t>
      </w:r>
      <w:r w:rsidRPr="00E27BB2">
        <w:t>10</w:t>
      </w:r>
      <w:r w:rsidRPr="00E27BB2">
        <w:t>日举办了一次有最具代表性的塞尔维亚独立工会联合会以及工会联盟</w:t>
      </w:r>
      <w:r w:rsidR="00C436BE">
        <w:rPr>
          <w:rFonts w:hint="eastAsia"/>
        </w:rPr>
        <w:t>“</w:t>
      </w:r>
      <w:r w:rsidR="00C436BE">
        <w:t>Nezavisnost</w:t>
      </w:r>
      <w:r w:rsidR="00C436BE">
        <w:rPr>
          <w:rFonts w:hint="eastAsia"/>
        </w:rPr>
        <w:t>”</w:t>
      </w:r>
      <w:r w:rsidRPr="00E27BB2">
        <w:t>的代表参加的会议</w:t>
      </w:r>
      <w:r w:rsidR="00FC5ECC">
        <w:t>，</w:t>
      </w:r>
      <w:r w:rsidRPr="00E27BB2">
        <w:t>并通知他们说</w:t>
      </w:r>
      <w:r w:rsidR="00FC5ECC">
        <w:t>，</w:t>
      </w:r>
      <w:r w:rsidRPr="00E27BB2">
        <w:t>他们可以采用这些文件作为范本</w:t>
      </w:r>
      <w:r w:rsidR="00FC5ECC">
        <w:t>，</w:t>
      </w:r>
      <w:r w:rsidRPr="00E27BB2">
        <w:t>据以制定其消除或减缓性别不平等现象的措施计划</w:t>
      </w:r>
      <w:r w:rsidR="00FC5ECC">
        <w:t>，</w:t>
      </w:r>
      <w:r w:rsidRPr="00E27BB2">
        <w:t>并编写对由劳动和社会政策部两性平等司制定并载于其网站</w:t>
      </w:r>
      <w:r w:rsidRPr="001C141D">
        <w:rPr>
          <w:i/>
        </w:rPr>
        <w:t>www.gen</w:t>
      </w:r>
      <w:r w:rsidRPr="001C141D">
        <w:rPr>
          <w:i/>
        </w:rPr>
        <w:t>e</w:t>
      </w:r>
      <w:r w:rsidRPr="001C141D">
        <w:rPr>
          <w:i/>
        </w:rPr>
        <w:t>rnet.rs</w:t>
      </w:r>
      <w:r w:rsidRPr="00E27BB2">
        <w:t>的消除或减轻不平等性别代表性的措施计划的实施情况报告。</w:t>
      </w:r>
    </w:p>
    <w:p w:rsidR="00BC40DA" w:rsidRPr="00E27BB2" w:rsidRDefault="005F71AD" w:rsidP="005F71AD">
      <w:pPr>
        <w:pStyle w:val="H23GC"/>
      </w:pPr>
      <w:r>
        <w:rPr>
          <w:rFonts w:hint="eastAsia"/>
        </w:rPr>
        <w:tab/>
      </w:r>
      <w:r>
        <w:rPr>
          <w:rFonts w:hint="eastAsia"/>
        </w:rPr>
        <w:tab/>
      </w:r>
      <w:r w:rsidR="00BC40DA" w:rsidRPr="00E27BB2">
        <w:t>对问题清单第</w:t>
      </w:r>
      <w:r w:rsidR="00BC40DA" w:rsidRPr="00E27BB2">
        <w:t>10</w:t>
      </w:r>
      <w:r w:rsidR="00BC40DA" w:rsidRPr="00E27BB2">
        <w:t>段所提问题的答复</w:t>
      </w:r>
    </w:p>
    <w:p w:rsidR="00BC40DA" w:rsidRPr="00E27BB2" w:rsidRDefault="00BC40DA" w:rsidP="005F71AD">
      <w:pPr>
        <w:pStyle w:val="SingleTxtGC"/>
      </w:pPr>
      <w:r w:rsidRPr="00E27BB2">
        <w:t>5</w:t>
      </w:r>
      <w:r w:rsidR="00FC5ECC">
        <w:t>8.</w:t>
      </w:r>
      <w:r w:rsidR="005F71AD">
        <w:rPr>
          <w:rFonts w:hint="eastAsia"/>
        </w:rPr>
        <w:t xml:space="preserve">  </w:t>
      </w:r>
      <w:r w:rsidRPr="00E27BB2">
        <w:t>2010</w:t>
      </w:r>
      <w:r w:rsidRPr="00E27BB2">
        <w:t>年</w:t>
      </w:r>
      <w:r w:rsidRPr="00E27BB2">
        <w:t>6</w:t>
      </w:r>
      <w:r w:rsidRPr="00E27BB2">
        <w:t>月</w:t>
      </w:r>
      <w:r w:rsidR="00FC5ECC">
        <w:t>，</w:t>
      </w:r>
      <w:r w:rsidRPr="00E27BB2">
        <w:t>根据贝尔格莱德政治杰出人才基金提议</w:t>
      </w:r>
      <w:r w:rsidR="00FC5ECC">
        <w:t>，</w:t>
      </w:r>
      <w:r w:rsidRPr="00E27BB2">
        <w:t>政府成立了一个多部门工作组负责编写《塞尔维亚共和国执行主题为</w:t>
      </w:r>
      <w:r w:rsidR="00496C4C">
        <w:rPr>
          <w:rFonts w:hint="eastAsia"/>
        </w:rPr>
        <w:t>“</w:t>
      </w:r>
      <w:r w:rsidRPr="00E27BB2">
        <w:t>妇女与和平及安全</w:t>
      </w:r>
      <w:r w:rsidR="00496C4C">
        <w:rPr>
          <w:rFonts w:hint="eastAsia"/>
        </w:rPr>
        <w:t>”</w:t>
      </w:r>
      <w:r w:rsidRPr="00E27BB2">
        <w:t>的联合国安理会第</w:t>
      </w:r>
      <w:r w:rsidRPr="00E27BB2">
        <w:t>1325</w:t>
      </w:r>
      <w:r w:rsidRPr="00E27BB2">
        <w:t>号决议的国家行动计划》</w:t>
      </w:r>
      <w:r w:rsidR="00FC5ECC">
        <w:t>(</w:t>
      </w:r>
      <w:r w:rsidRPr="00E27BB2">
        <w:t>下称《国家行动计划》</w:t>
      </w:r>
      <w:r w:rsidR="00FC5ECC">
        <w:t>)</w:t>
      </w:r>
      <w:r w:rsidRPr="00E27BB2">
        <w:t>。该工作组由</w:t>
      </w:r>
      <w:r w:rsidRPr="00E27BB2">
        <w:t>11</w:t>
      </w:r>
      <w:r w:rsidRPr="00E27BB2">
        <w:t>个相关部委的代表组成。国防部专业、行政和技术活动工作小组负责发挥协调作用</w:t>
      </w:r>
      <w:r w:rsidR="00FC5ECC">
        <w:t>，</w:t>
      </w:r>
      <w:r w:rsidRPr="00E27BB2">
        <w:t>并向该工作组提供专业、行政和技术支助。</w:t>
      </w:r>
    </w:p>
    <w:p w:rsidR="00BC40DA" w:rsidRPr="00E27BB2" w:rsidRDefault="00BC40DA" w:rsidP="00BC40DA">
      <w:pPr>
        <w:pStyle w:val="SingleTxtGC"/>
      </w:pPr>
      <w:r w:rsidRPr="00E27BB2">
        <w:t>5</w:t>
      </w:r>
      <w:r w:rsidR="00FC5ECC">
        <w:t>9.</w:t>
      </w:r>
      <w:r w:rsidR="00496C4C">
        <w:rPr>
          <w:rFonts w:hint="eastAsia"/>
        </w:rPr>
        <w:t xml:space="preserve">  </w:t>
      </w:r>
      <w:r w:rsidRPr="00E27BB2">
        <w:t>2010</w:t>
      </w:r>
      <w:r w:rsidRPr="00E27BB2">
        <w:t>年</w:t>
      </w:r>
      <w:r w:rsidRPr="00E27BB2">
        <w:t>10</w:t>
      </w:r>
      <w:r w:rsidRPr="00E27BB2">
        <w:t>月</w:t>
      </w:r>
      <w:r w:rsidRPr="00E27BB2">
        <w:t>27</w:t>
      </w:r>
      <w:r w:rsidRPr="00E27BB2">
        <w:t>日至</w:t>
      </w:r>
      <w:r w:rsidRPr="00E27BB2">
        <w:t>11</w:t>
      </w:r>
      <w:r w:rsidRPr="00E27BB2">
        <w:t>月</w:t>
      </w:r>
      <w:r w:rsidRPr="00E27BB2">
        <w:t>16</w:t>
      </w:r>
      <w:r w:rsidRPr="00E27BB2">
        <w:t>日举办了两次圆桌会议</w:t>
      </w:r>
      <w:r w:rsidR="00FC5ECC">
        <w:t>，</w:t>
      </w:r>
      <w:r w:rsidRPr="00E27BB2">
        <w:t>就《国家行动计划》草案进行了公开辩论</w:t>
      </w:r>
      <w:r w:rsidR="00FC5ECC">
        <w:t>：</w:t>
      </w:r>
      <w:r w:rsidRPr="00E27BB2">
        <w:t>一次圆桌会议由贝尔格莱德安全政策中心和贝尔格莱德政治杰出人才基金在国民议会举行</w:t>
      </w:r>
      <w:r w:rsidR="00FC5ECC">
        <w:t>，</w:t>
      </w:r>
      <w:r w:rsidRPr="00E27BB2">
        <w:t>另一次由政府两性平等理事会和</w:t>
      </w:r>
      <w:r w:rsidR="00496C4C">
        <w:rPr>
          <w:rFonts w:hint="eastAsia"/>
        </w:rPr>
        <w:t>“</w:t>
      </w:r>
      <w:r w:rsidRPr="00E27BB2">
        <w:t>民主控制武装部队国际基金会</w:t>
      </w:r>
      <w:r w:rsidR="00496C4C">
        <w:rPr>
          <w:rFonts w:hint="eastAsia"/>
        </w:rPr>
        <w:t>”</w:t>
      </w:r>
      <w:r w:rsidR="00496C4C">
        <w:rPr>
          <w:rStyle w:val="FootnoteReference"/>
        </w:rPr>
        <w:footnoteReference w:id="23"/>
      </w:r>
      <w:r w:rsidRPr="00E27BB2">
        <w:t xml:space="preserve"> </w:t>
      </w:r>
      <w:r w:rsidRPr="00E27BB2">
        <w:t>在塞尔维亚宫举行。《国家行动计划》草案也可在国防部官方网站查阅。除了可在该网站查阅该文件外</w:t>
      </w:r>
      <w:r w:rsidR="00FC5ECC">
        <w:t>，</w:t>
      </w:r>
      <w:r w:rsidRPr="00E27BB2">
        <w:t>任何感兴趣者还可通过电子邮件发表意见。除了媒体经常报道外</w:t>
      </w:r>
      <w:r w:rsidR="00FC5ECC">
        <w:t>，</w:t>
      </w:r>
      <w:r w:rsidRPr="00E27BB2">
        <w:t>还进行了其他一系列的活动</w:t>
      </w:r>
      <w:r w:rsidR="00FC5ECC">
        <w:t>，</w:t>
      </w:r>
      <w:r w:rsidRPr="00E27BB2">
        <w:t>目的是更好地编写和审议《国家行动计划》草案。</w:t>
      </w:r>
    </w:p>
    <w:p w:rsidR="00BC40DA" w:rsidRPr="00E27BB2" w:rsidRDefault="00BC40DA" w:rsidP="00BC40DA">
      <w:pPr>
        <w:pStyle w:val="SingleTxtGC"/>
      </w:pPr>
      <w:r w:rsidRPr="00E27BB2">
        <w:t>6</w:t>
      </w:r>
      <w:r w:rsidR="00FC5ECC">
        <w:t>0.</w:t>
      </w:r>
      <w:r w:rsidRPr="00E27BB2">
        <w:t xml:space="preserve"> </w:t>
      </w:r>
      <w:r w:rsidR="00496C4C">
        <w:rPr>
          <w:rFonts w:hint="eastAsia"/>
        </w:rPr>
        <w:t xml:space="preserve"> </w:t>
      </w:r>
      <w:r w:rsidRPr="00E27BB2">
        <w:t>《国家行动计划》已于</w:t>
      </w:r>
      <w:r w:rsidRPr="00E27BB2">
        <w:t>2010</w:t>
      </w:r>
      <w:r w:rsidRPr="00E27BB2">
        <w:t>年</w:t>
      </w:r>
      <w:r w:rsidRPr="00E27BB2">
        <w:t>12</w:t>
      </w:r>
      <w:r w:rsidRPr="00E27BB2">
        <w:t>月</w:t>
      </w:r>
      <w:r w:rsidRPr="00E27BB2">
        <w:t>30</w:t>
      </w:r>
      <w:r w:rsidRPr="00E27BB2">
        <w:t>日获得通过。为了达到特定的目标</w:t>
      </w:r>
      <w:r w:rsidR="00FC5ECC">
        <w:t>，</w:t>
      </w:r>
      <w:r w:rsidRPr="00E27BB2">
        <w:t>现已为实施具体的活动规定了某些截止期限</w:t>
      </w:r>
      <w:r w:rsidR="00FC5ECC">
        <w:t>，</w:t>
      </w:r>
      <w:r w:rsidRPr="00E27BB2">
        <w:t>但此种截止期不迟于</w:t>
      </w:r>
      <w:r w:rsidRPr="00E27BB2">
        <w:t>2015</w:t>
      </w:r>
      <w:r w:rsidRPr="00E27BB2">
        <w:t>年。</w:t>
      </w:r>
    </w:p>
    <w:p w:rsidR="00BC40DA" w:rsidRPr="00E27BB2" w:rsidRDefault="00BC40DA" w:rsidP="00BC40DA">
      <w:pPr>
        <w:pStyle w:val="SingleTxtGC"/>
      </w:pPr>
      <w:r w:rsidRPr="00E27BB2">
        <w:t>6</w:t>
      </w:r>
      <w:r w:rsidR="00FC5ECC">
        <w:t>1.</w:t>
      </w:r>
      <w:r w:rsidR="00496C4C">
        <w:rPr>
          <w:rFonts w:hint="eastAsia"/>
        </w:rPr>
        <w:t xml:space="preserve">  </w:t>
      </w:r>
      <w:r w:rsidRPr="00E27BB2">
        <w:t>《国家行动计划》明确规定了</w:t>
      </w:r>
      <w:r w:rsidRPr="00E27BB2">
        <w:t>7</w:t>
      </w:r>
      <w:r w:rsidRPr="00E27BB2">
        <w:t>项总体目标</w:t>
      </w:r>
      <w:r w:rsidR="00FC5ECC">
        <w:t>：</w:t>
      </w:r>
      <w:r w:rsidR="00FC5ECC">
        <w:t>(</w:t>
      </w:r>
      <w:r w:rsidRPr="00E27BB2">
        <w:t>1</w:t>
      </w:r>
      <w:r w:rsidR="00FC5ECC">
        <w:t>)</w:t>
      </w:r>
      <w:r w:rsidR="00496C4C" w:rsidRPr="00496C4C">
        <w:rPr>
          <w:rFonts w:hint="eastAsia"/>
          <w:vertAlign w:val="superscript"/>
        </w:rPr>
        <w:t xml:space="preserve"> </w:t>
      </w:r>
      <w:r w:rsidRPr="00E27BB2">
        <w:t>制定和执行据以实施《国家行动计划》的体制机制</w:t>
      </w:r>
      <w:r w:rsidR="00FC5ECC">
        <w:t>；</w:t>
      </w:r>
      <w:r w:rsidR="00FC5ECC">
        <w:t>(</w:t>
      </w:r>
      <w:r w:rsidRPr="00E27BB2">
        <w:t>2</w:t>
      </w:r>
      <w:r w:rsidR="00FC5ECC">
        <w:t>)</w:t>
      </w:r>
      <w:r w:rsidR="00496C4C" w:rsidRPr="00496C4C">
        <w:rPr>
          <w:rFonts w:hint="eastAsia"/>
          <w:vertAlign w:val="superscript"/>
        </w:rPr>
        <w:t xml:space="preserve"> </w:t>
      </w:r>
      <w:r w:rsidRPr="00E27BB2">
        <w:t>增加妇女在安全部门的任职人数</w:t>
      </w:r>
      <w:r w:rsidR="00FC5ECC">
        <w:t>，</w:t>
      </w:r>
      <w:r w:rsidRPr="00E27BB2">
        <w:t>并扩大她们对和平与安全相关问题的影响</w:t>
      </w:r>
      <w:r w:rsidR="00FC5ECC">
        <w:t>；</w:t>
      </w:r>
      <w:r w:rsidR="00FC5ECC">
        <w:t>(</w:t>
      </w:r>
      <w:r w:rsidRPr="00E27BB2">
        <w:t>3</w:t>
      </w:r>
      <w:r w:rsidR="00FC5ECC">
        <w:t>)</w:t>
      </w:r>
      <w:r w:rsidR="00496C4C" w:rsidRPr="00496C4C">
        <w:rPr>
          <w:rFonts w:hint="eastAsia"/>
          <w:vertAlign w:val="superscript"/>
        </w:rPr>
        <w:t xml:space="preserve"> </w:t>
      </w:r>
      <w:r w:rsidRPr="00E27BB2">
        <w:t>提高妇女在国防和安全决策进程中的参与度和影响力</w:t>
      </w:r>
      <w:r w:rsidR="00FC5ECC">
        <w:t>；</w:t>
      </w:r>
      <w:r w:rsidR="00FC5ECC">
        <w:t>(</w:t>
      </w:r>
      <w:r w:rsidRPr="00E27BB2">
        <w:t>4</w:t>
      </w:r>
      <w:r w:rsidR="00FC5ECC">
        <w:t>)</w:t>
      </w:r>
      <w:r w:rsidR="00496C4C" w:rsidRPr="00496C4C">
        <w:rPr>
          <w:rFonts w:hint="eastAsia"/>
          <w:vertAlign w:val="superscript"/>
        </w:rPr>
        <w:t xml:space="preserve"> </w:t>
      </w:r>
      <w:r w:rsidRPr="00E27BB2">
        <w:t>提高妇女在解决冲突和冲突后局势方面的参与度</w:t>
      </w:r>
      <w:r w:rsidR="00FC5ECC">
        <w:t>，</w:t>
      </w:r>
      <w:r w:rsidRPr="00E27BB2">
        <w:t>并使她们更大程度地参与多国业务活动</w:t>
      </w:r>
      <w:r w:rsidR="00FC5ECC">
        <w:t>；</w:t>
      </w:r>
      <w:r w:rsidR="00FC5ECC">
        <w:t>(</w:t>
      </w:r>
      <w:r w:rsidRPr="00E27BB2">
        <w:t>5</w:t>
      </w:r>
      <w:r w:rsidR="00FC5ECC">
        <w:t>)</w:t>
      </w:r>
      <w:r w:rsidR="00496C4C" w:rsidRPr="00496C4C">
        <w:rPr>
          <w:rFonts w:hint="eastAsia"/>
          <w:vertAlign w:val="superscript"/>
        </w:rPr>
        <w:t xml:space="preserve"> </w:t>
      </w:r>
      <w:r w:rsidRPr="00E27BB2">
        <w:t>利用法律保护妇女的文书</w:t>
      </w:r>
      <w:r w:rsidR="00FC5ECC">
        <w:t>；</w:t>
      </w:r>
      <w:r w:rsidR="00FC5ECC">
        <w:t>(</w:t>
      </w:r>
      <w:r w:rsidRPr="00E27BB2">
        <w:t>6</w:t>
      </w:r>
      <w:r w:rsidR="00FC5ECC">
        <w:t>)</w:t>
      </w:r>
      <w:r w:rsidR="00496C4C" w:rsidRPr="00496C4C">
        <w:rPr>
          <w:rFonts w:hint="eastAsia"/>
          <w:vertAlign w:val="superscript"/>
        </w:rPr>
        <w:t xml:space="preserve"> </w:t>
      </w:r>
      <w:r w:rsidRPr="00E27BB2">
        <w:t>对安全部门成员进行教育和培训</w:t>
      </w:r>
      <w:r w:rsidR="00FC5ECC">
        <w:t>，</w:t>
      </w:r>
      <w:r w:rsidRPr="00E27BB2">
        <w:t>使他们了解联合国安全理事会第</w:t>
      </w:r>
      <w:r w:rsidRPr="00E27BB2">
        <w:t>1325</w:t>
      </w:r>
      <w:r w:rsidRPr="00E27BB2">
        <w:t>号决议的精神</w:t>
      </w:r>
      <w:r w:rsidR="00FC5ECC">
        <w:t>；</w:t>
      </w:r>
      <w:r w:rsidR="00FC5ECC">
        <w:t>(</w:t>
      </w:r>
      <w:r w:rsidRPr="00E27BB2">
        <w:t>7</w:t>
      </w:r>
      <w:r w:rsidR="00FC5ECC">
        <w:t>)</w:t>
      </w:r>
      <w:r w:rsidR="00496C4C" w:rsidRPr="00496C4C">
        <w:rPr>
          <w:rFonts w:hint="eastAsia"/>
          <w:vertAlign w:val="superscript"/>
        </w:rPr>
        <w:t xml:space="preserve"> </w:t>
      </w:r>
      <w:r w:rsidRPr="00E27BB2">
        <w:t>为实现《国家行动计划》的目标提供媒体支持。</w:t>
      </w:r>
    </w:p>
    <w:p w:rsidR="00BC40DA" w:rsidRPr="00E27BB2" w:rsidRDefault="00BC40DA" w:rsidP="00BC40DA">
      <w:pPr>
        <w:pStyle w:val="SingleTxtGC"/>
      </w:pPr>
      <w:r w:rsidRPr="00E27BB2">
        <w:t>6</w:t>
      </w:r>
      <w:r w:rsidR="00FC5ECC">
        <w:t>2.</w:t>
      </w:r>
      <w:r w:rsidR="00496C4C">
        <w:rPr>
          <w:rFonts w:hint="eastAsia"/>
        </w:rPr>
        <w:t xml:space="preserve">  </w:t>
      </w:r>
      <w:r w:rsidRPr="00E27BB2">
        <w:t>《国家行动计划》的优先事项如下</w:t>
      </w:r>
      <w:r w:rsidR="00FC5ECC">
        <w:t>：</w:t>
      </w:r>
      <w:r w:rsidRPr="00E27BB2">
        <w:t>向公众广泛宣传《国家行动计划》关于执行联合国安全理事会第</w:t>
      </w:r>
      <w:r w:rsidRPr="00E27BB2">
        <w:t>1325</w:t>
      </w:r>
      <w:r w:rsidRPr="00E27BB2">
        <w:t>号决议</w:t>
      </w:r>
      <w:r w:rsidR="00FC5ECC">
        <w:t>(</w:t>
      </w:r>
      <w:r w:rsidRPr="00E27BB2">
        <w:t>下称</w:t>
      </w:r>
      <w:r w:rsidR="00496C4C">
        <w:rPr>
          <w:rFonts w:hint="eastAsia"/>
        </w:rPr>
        <w:t>“</w:t>
      </w:r>
      <w:r w:rsidRPr="00E27BB2">
        <w:t>第</w:t>
      </w:r>
      <w:r w:rsidRPr="00E27BB2">
        <w:t>1325</w:t>
      </w:r>
      <w:r w:rsidRPr="00E27BB2">
        <w:t>号决议</w:t>
      </w:r>
      <w:r w:rsidR="00496C4C">
        <w:rPr>
          <w:rFonts w:hint="eastAsia"/>
        </w:rPr>
        <w:t>”</w:t>
      </w:r>
      <w:r w:rsidR="00FC5ECC">
        <w:t>)</w:t>
      </w:r>
      <w:r w:rsidRPr="00E27BB2">
        <w:t>的目标</w:t>
      </w:r>
      <w:r w:rsidR="00FC5ECC">
        <w:t>；</w:t>
      </w:r>
      <w:r w:rsidRPr="00E27BB2">
        <w:t>执行政治理事会和多部门协调机构为在塞尔维亚共和国适用第</w:t>
      </w:r>
      <w:r w:rsidRPr="00E27BB2">
        <w:t>1325</w:t>
      </w:r>
      <w:r w:rsidRPr="00E27BB2">
        <w:t>号决议监测《国家行动计划》实施情况而决定开展的活动</w:t>
      </w:r>
      <w:r w:rsidR="00FC5ECC">
        <w:t>；</w:t>
      </w:r>
      <w:r w:rsidRPr="00E27BB2">
        <w:t>在塞尔维亚共和国建立部委级两性平等机制</w:t>
      </w:r>
      <w:r w:rsidR="00FC5ECC">
        <w:t>；</w:t>
      </w:r>
      <w:r w:rsidRPr="00E27BB2">
        <w:t>对参与塞尔维亚共和国体制机制和两性平等机制的人员进行培训</w:t>
      </w:r>
      <w:r w:rsidR="00FC5ECC">
        <w:t>；</w:t>
      </w:r>
      <w:r w:rsidRPr="00E27BB2">
        <w:t>领导开展各项运动</w:t>
      </w:r>
      <w:r w:rsidR="00FC5ECC">
        <w:t>，</w:t>
      </w:r>
      <w:r w:rsidRPr="00E27BB2">
        <w:t>提高妇女在安全部门各级教育和培训活动中的代表性</w:t>
      </w:r>
      <w:r w:rsidR="00FC5ECC">
        <w:t>；</w:t>
      </w:r>
      <w:r w:rsidRPr="00E27BB2">
        <w:t>将两性平等观点纳入安全部门的政策、计划和实践中</w:t>
      </w:r>
      <w:r w:rsidR="00FC5ECC">
        <w:t>；</w:t>
      </w:r>
      <w:r w:rsidRPr="00E27BB2">
        <w:t>提高妇女在参与解决冲突和冲突后局势工作中的代表性并加强对她们的培训</w:t>
      </w:r>
      <w:r w:rsidR="00FC5ECC">
        <w:t>；</w:t>
      </w:r>
      <w:r w:rsidRPr="00E27BB2">
        <w:t>在安全部门的计划和实践中采用两性平等政策</w:t>
      </w:r>
      <w:r w:rsidR="00FC5ECC">
        <w:t>；</w:t>
      </w:r>
      <w:r w:rsidRPr="00E27BB2">
        <w:t>在安全部门的实践中采用对两性平等负责的预算编制</w:t>
      </w:r>
      <w:r w:rsidR="00FC5ECC">
        <w:t>；</w:t>
      </w:r>
      <w:r w:rsidRPr="00E27BB2">
        <w:t>提高妇女在安全部门的代表性</w:t>
      </w:r>
      <w:r w:rsidR="00FC5ECC">
        <w:t>，</w:t>
      </w:r>
      <w:r w:rsidRPr="00E27BB2">
        <w:t>并提高妇女对和平及安全相关问题的影响力</w:t>
      </w:r>
      <w:r w:rsidR="00FC5ECC">
        <w:t>；</w:t>
      </w:r>
      <w:r w:rsidRPr="00E27BB2">
        <w:t>系统和有效地保护妇女和女孩免受一切形式的暴力和歧视之害</w:t>
      </w:r>
      <w:r w:rsidR="00FC5ECC">
        <w:t>；</w:t>
      </w:r>
      <w:r w:rsidRPr="00E27BB2">
        <w:t>在塞尔维亚共和国的实践中落实两性平等政策。</w:t>
      </w:r>
    </w:p>
    <w:p w:rsidR="00BC40DA" w:rsidRPr="00E27BB2" w:rsidRDefault="00BC40DA" w:rsidP="00BC40DA">
      <w:pPr>
        <w:pStyle w:val="SingleTxtGC"/>
      </w:pPr>
      <w:r w:rsidRPr="00E27BB2">
        <w:t>6</w:t>
      </w:r>
      <w:r w:rsidR="00FC5ECC">
        <w:t>3.</w:t>
      </w:r>
      <w:r w:rsidR="00496C4C">
        <w:rPr>
          <w:rFonts w:hint="eastAsia"/>
        </w:rPr>
        <w:t xml:space="preserve">  </w:t>
      </w:r>
      <w:r w:rsidRPr="00E27BB2">
        <w:t>有关的公民协会参加了筹备进程各阶段的工作</w:t>
      </w:r>
      <w:r w:rsidR="00FC5ECC">
        <w:t>，</w:t>
      </w:r>
      <w:r w:rsidRPr="00E27BB2">
        <w:t>贝尔格莱德政治杰出人才基金参加了《国家行动计划》起草工作组的工作。公民协会在公众辩论中对《国家行动计划》草案提出的评论意见得到了考虑</w:t>
      </w:r>
      <w:r w:rsidR="00FC5ECC">
        <w:t>，</w:t>
      </w:r>
      <w:r w:rsidRPr="00E27BB2">
        <w:t>并已成为《国家行动计划》的组成内容。公民协会已被确定为执行《国家行动计划》</w:t>
      </w:r>
      <w:r w:rsidRPr="00E27BB2">
        <w:t>17</w:t>
      </w:r>
      <w:r w:rsidRPr="00E27BB2">
        <w:t>项活动的合作者。</w:t>
      </w:r>
    </w:p>
    <w:p w:rsidR="00BC40DA" w:rsidRPr="00E27BB2" w:rsidRDefault="00BC40DA" w:rsidP="00BC40DA">
      <w:pPr>
        <w:pStyle w:val="SingleTxtGC"/>
      </w:pPr>
      <w:r w:rsidRPr="00E27BB2">
        <w:t>6</w:t>
      </w:r>
      <w:r w:rsidR="00FC5ECC">
        <w:t>4.</w:t>
      </w:r>
      <w:r w:rsidR="00496C4C">
        <w:rPr>
          <w:rFonts w:hint="eastAsia"/>
        </w:rPr>
        <w:t xml:space="preserve">  </w:t>
      </w:r>
      <w:r w:rsidRPr="00E27BB2">
        <w:t>民间社会组织同公共机构和国际组织一起</w:t>
      </w:r>
      <w:r w:rsidR="00FC5ECC">
        <w:t>，</w:t>
      </w:r>
      <w:r w:rsidRPr="00E27BB2">
        <w:t>参加了举办大型会议、小组讨论会、研讨会、讲习班、培训班、会议和其他活动的工作</w:t>
      </w:r>
      <w:r w:rsidR="00FC5ECC">
        <w:t>，</w:t>
      </w:r>
      <w:r w:rsidRPr="00E27BB2">
        <w:t>公共机构的代表应邀出席了民间社会组织举办的所有活动。公共机构也邀请民间社会组织的代表出席它们举办的活动。</w:t>
      </w:r>
    </w:p>
    <w:p w:rsidR="00BC40DA" w:rsidRPr="00E27BB2" w:rsidRDefault="00BC40DA" w:rsidP="00BC40DA">
      <w:pPr>
        <w:pStyle w:val="SingleTxtGC"/>
      </w:pPr>
      <w:r w:rsidRPr="00E27BB2">
        <w:t>6</w:t>
      </w:r>
      <w:r w:rsidR="00FC5ECC">
        <w:t>5.</w:t>
      </w:r>
      <w:r w:rsidR="00496C4C">
        <w:rPr>
          <w:rFonts w:hint="eastAsia"/>
        </w:rPr>
        <w:t xml:space="preserve">  </w:t>
      </w:r>
      <w:r w:rsidRPr="00E27BB2">
        <w:t>相关的公民协会举办了</w:t>
      </w:r>
      <w:r w:rsidRPr="00E27BB2">
        <w:t>3</w:t>
      </w:r>
      <w:r w:rsidRPr="00E27BB2">
        <w:t>次主题为</w:t>
      </w:r>
      <w:r w:rsidR="00496C4C">
        <w:rPr>
          <w:rFonts w:hint="eastAsia"/>
        </w:rPr>
        <w:t>“</w:t>
      </w:r>
      <w:r w:rsidRPr="00E27BB2">
        <w:t>在安全部门改革中采用两性平等观点</w:t>
      </w:r>
      <w:r w:rsidR="00496C4C">
        <w:rPr>
          <w:rFonts w:hint="eastAsia"/>
        </w:rPr>
        <w:t>”</w:t>
      </w:r>
      <w:r w:rsidRPr="00E27BB2">
        <w:t>的研讨会</w:t>
      </w:r>
      <w:r w:rsidR="00FC5ECC">
        <w:t>，</w:t>
      </w:r>
      <w:r w:rsidRPr="00E27BB2">
        <w:t>其时间和地点如下</w:t>
      </w:r>
      <w:r w:rsidR="00FC5ECC">
        <w:t>：</w:t>
      </w:r>
      <w:r w:rsidRPr="00E27BB2">
        <w:t>2010</w:t>
      </w:r>
      <w:r w:rsidRPr="00E27BB2">
        <w:t>年</w:t>
      </w:r>
      <w:r w:rsidRPr="00E27BB2">
        <w:t>12</w:t>
      </w:r>
      <w:r w:rsidRPr="00E27BB2">
        <w:t>月</w:t>
      </w:r>
      <w:r w:rsidRPr="00E27BB2">
        <w:t>14</w:t>
      </w:r>
      <w:r w:rsidRPr="00E27BB2">
        <w:t>至</w:t>
      </w:r>
      <w:r w:rsidRPr="00E27BB2">
        <w:t>16</w:t>
      </w:r>
      <w:r w:rsidRPr="00E27BB2">
        <w:t>日</w:t>
      </w:r>
      <w:r w:rsidR="00FC5ECC">
        <w:t>：</w:t>
      </w:r>
      <w:r w:rsidRPr="00E27BB2">
        <w:t>Ečka</w:t>
      </w:r>
      <w:r w:rsidR="00FC5ECC">
        <w:t>；</w:t>
      </w:r>
      <w:r w:rsidRPr="00E27BB2">
        <w:t>2011</w:t>
      </w:r>
      <w:r w:rsidRPr="00E27BB2">
        <w:t>年</w:t>
      </w:r>
      <w:r w:rsidRPr="00E27BB2">
        <w:t>2</w:t>
      </w:r>
      <w:r w:rsidRPr="00E27BB2">
        <w:t>月</w:t>
      </w:r>
      <w:r w:rsidR="00E06E8D">
        <w:rPr>
          <w:rFonts w:hint="eastAsia"/>
        </w:rPr>
        <w:t>16</w:t>
      </w:r>
      <w:r w:rsidR="00E06E8D">
        <w:rPr>
          <w:rFonts w:hint="eastAsia"/>
        </w:rPr>
        <w:t>至</w:t>
      </w:r>
      <w:r w:rsidRPr="00E27BB2">
        <w:t>18</w:t>
      </w:r>
      <w:r w:rsidRPr="00E27BB2">
        <w:t>日</w:t>
      </w:r>
      <w:r w:rsidR="00FC5ECC">
        <w:t>：</w:t>
      </w:r>
      <w:r w:rsidRPr="00E27BB2">
        <w:t>Kova</w:t>
      </w:r>
      <w:r w:rsidRPr="00E27BB2">
        <w:rPr>
          <w:rFonts w:eastAsia="MS Mincho"/>
        </w:rPr>
        <w:t>č</w:t>
      </w:r>
      <w:r w:rsidRPr="00E27BB2">
        <w:t>ica</w:t>
      </w:r>
      <w:r w:rsidR="00FC5ECC">
        <w:t>；</w:t>
      </w:r>
      <w:r w:rsidRPr="00E27BB2">
        <w:t>2011</w:t>
      </w:r>
      <w:r w:rsidRPr="00E27BB2">
        <w:t>年</w:t>
      </w:r>
      <w:r w:rsidRPr="00E27BB2">
        <w:t>3</w:t>
      </w:r>
      <w:r w:rsidRPr="00E27BB2">
        <w:t>月</w:t>
      </w:r>
      <w:r w:rsidRPr="00E27BB2">
        <w:t>16</w:t>
      </w:r>
      <w:r w:rsidRPr="00E27BB2">
        <w:t>至</w:t>
      </w:r>
      <w:r w:rsidRPr="00E27BB2">
        <w:t>18</w:t>
      </w:r>
      <w:r w:rsidRPr="00E27BB2">
        <w:t>日</w:t>
      </w:r>
      <w:r w:rsidR="00FC5ECC">
        <w:t>：</w:t>
      </w:r>
      <w:r w:rsidRPr="00E27BB2">
        <w:t>尼什。</w:t>
      </w:r>
    </w:p>
    <w:p w:rsidR="00BC40DA" w:rsidRPr="00E27BB2" w:rsidRDefault="00BC40DA" w:rsidP="00BC40DA">
      <w:pPr>
        <w:pStyle w:val="SingleTxtGC"/>
      </w:pPr>
      <w:r w:rsidRPr="00E27BB2">
        <w:t>6</w:t>
      </w:r>
      <w:r w:rsidR="00FC5ECC">
        <w:t>6.</w:t>
      </w:r>
      <w:r w:rsidR="00496C4C">
        <w:rPr>
          <w:rFonts w:hint="eastAsia"/>
        </w:rPr>
        <w:t xml:space="preserve">  </w:t>
      </w:r>
      <w:r w:rsidRPr="00E27BB2">
        <w:t>《国家行动计划》各相关活动涉及参与以下组织举办的活动</w:t>
      </w:r>
      <w:r w:rsidR="00FC5ECC">
        <w:t>(</w:t>
      </w:r>
      <w:r w:rsidRPr="00E27BB2">
        <w:t>或是其本身参加或是与各州代表共同参加</w:t>
      </w:r>
      <w:r w:rsidR="00FC5ECC">
        <w:t>)</w:t>
      </w:r>
      <w:r w:rsidR="00FC5ECC">
        <w:t>：</w:t>
      </w:r>
      <w:r w:rsidRPr="00E27BB2">
        <w:t>贝尔格莱德政治杰出人才基金和贝尔格莱德安全政策中心</w:t>
      </w:r>
      <w:r w:rsidR="00FC5ECC">
        <w:t>，</w:t>
      </w:r>
      <w:r w:rsidRPr="00E27BB2">
        <w:t>以及大西洋理事会、赫尔辛基人权事务委员会、促进法律研究中心、</w:t>
      </w:r>
      <w:r w:rsidR="00496C4C">
        <w:rPr>
          <w:rFonts w:hint="eastAsia"/>
        </w:rPr>
        <w:t>“</w:t>
      </w:r>
      <w:r w:rsidRPr="00E27BB2">
        <w:t>黑衣妇女</w:t>
      </w:r>
      <w:r w:rsidR="00496C4C">
        <w:rPr>
          <w:rFonts w:hint="eastAsia"/>
        </w:rPr>
        <w:t>”</w:t>
      </w:r>
      <w:r w:rsidRPr="00E27BB2">
        <w:t>组织、莱斯科瓦茨妇女促进和平协会、</w:t>
      </w:r>
      <w:r w:rsidR="00496C4C">
        <w:rPr>
          <w:rFonts w:hint="eastAsia"/>
        </w:rPr>
        <w:t>“</w:t>
      </w:r>
      <w:r w:rsidRPr="00E27BB2">
        <w:t>南来妇女</w:t>
      </w:r>
      <w:r w:rsidR="00496C4C">
        <w:rPr>
          <w:rFonts w:hint="eastAsia"/>
        </w:rPr>
        <w:t>”</w:t>
      </w:r>
      <w:r w:rsidRPr="00E27BB2">
        <w:t>组织、</w:t>
      </w:r>
      <w:r w:rsidR="00496C4C">
        <w:rPr>
          <w:rFonts w:hint="eastAsia"/>
        </w:rPr>
        <w:t>“</w:t>
      </w:r>
      <w:r w:rsidRPr="00E27BB2">
        <w:rPr>
          <w:lang w:val="en-GB"/>
        </w:rPr>
        <w:t>Astra</w:t>
      </w:r>
      <w:r w:rsidRPr="00E27BB2">
        <w:t>反贩运人口行动</w:t>
      </w:r>
      <w:r w:rsidR="00496C4C">
        <w:rPr>
          <w:rFonts w:hint="eastAsia"/>
        </w:rPr>
        <w:t>”</w:t>
      </w:r>
      <w:r w:rsidRPr="00E27BB2">
        <w:t>、</w:t>
      </w:r>
      <w:r w:rsidRPr="00E27BB2">
        <w:t>Fraktal</w:t>
      </w:r>
      <w:r w:rsidRPr="00E27BB2">
        <w:t>、自治妇女中心、</w:t>
      </w:r>
      <w:r w:rsidR="00496C4C">
        <w:rPr>
          <w:rFonts w:hint="eastAsia"/>
        </w:rPr>
        <w:t>“</w:t>
      </w:r>
      <w:r w:rsidRPr="00E27BB2">
        <w:t>希望</w:t>
      </w:r>
      <w:r w:rsidR="00496C4C">
        <w:rPr>
          <w:rFonts w:hint="eastAsia"/>
        </w:rPr>
        <w:t>”</w:t>
      </w:r>
      <w:r w:rsidRPr="00E27BB2">
        <w:t>组织、非传统群体组织</w:t>
      </w:r>
      <w:r w:rsidRPr="00E27BB2">
        <w:rPr>
          <w:lang w:val="en-GB"/>
        </w:rPr>
        <w:t>、</w:t>
      </w:r>
      <w:r w:rsidRPr="00E27BB2">
        <w:t>尼什单身母亲协会、波热加妇女行动、尼什</w:t>
      </w:r>
      <w:r w:rsidR="00496C4C">
        <w:rPr>
          <w:rFonts w:hint="eastAsia"/>
        </w:rPr>
        <w:t>“</w:t>
      </w:r>
      <w:r w:rsidRPr="00E27BB2">
        <w:t>妇女发展中心</w:t>
      </w:r>
      <w:r w:rsidR="00496C4C">
        <w:rPr>
          <w:rFonts w:hint="eastAsia"/>
        </w:rPr>
        <w:t>”</w:t>
      </w:r>
      <w:r w:rsidRPr="00E27BB2">
        <w:t>协会、诺维萨德</w:t>
      </w:r>
      <w:r w:rsidR="00496C4C">
        <w:rPr>
          <w:rFonts w:hint="eastAsia"/>
        </w:rPr>
        <w:t>“</w:t>
      </w:r>
      <w:r w:rsidRPr="00E27BB2">
        <w:t>妇女发展中心</w:t>
      </w:r>
      <w:r w:rsidR="00496C4C">
        <w:rPr>
          <w:rFonts w:hint="eastAsia"/>
        </w:rPr>
        <w:t>”</w:t>
      </w:r>
      <w:r w:rsidRPr="00E27BB2">
        <w:t>协会、暴力受害妇女和儿童求救中心、妇女非传统组织</w:t>
      </w:r>
      <w:r w:rsidRPr="00E27BB2">
        <w:rPr>
          <w:lang w:val="en-GB"/>
        </w:rPr>
        <w:t>、</w:t>
      </w:r>
      <w:r w:rsidRPr="00E27BB2">
        <w:t>罗姆妇女和儿童中心、罗姆人协会以及其他组织。</w:t>
      </w:r>
    </w:p>
    <w:p w:rsidR="00BC40DA" w:rsidRPr="00E27BB2" w:rsidRDefault="00BC40DA" w:rsidP="00BC40DA">
      <w:pPr>
        <w:pStyle w:val="SingleTxtGC"/>
      </w:pPr>
      <w:r w:rsidRPr="00E27BB2">
        <w:t>6</w:t>
      </w:r>
      <w:r w:rsidR="00FC5ECC">
        <w:t>7.</w:t>
      </w:r>
      <w:r w:rsidR="00496C4C">
        <w:rPr>
          <w:rFonts w:hint="eastAsia"/>
        </w:rPr>
        <w:t xml:space="preserve">  </w:t>
      </w:r>
      <w:r w:rsidRPr="00E27BB2">
        <w:t>必须指出</w:t>
      </w:r>
      <w:r w:rsidR="00FC5ECC">
        <w:t>，</w:t>
      </w:r>
      <w:r w:rsidRPr="00E27BB2">
        <w:t>开发署、联合国妇女署、以及欧安组织驻塞尔维亚代表团民主化部等国际组织给予了大力支持。为落实《国家行动计划》</w:t>
      </w:r>
      <w:r w:rsidR="00FC5ECC">
        <w:t>，</w:t>
      </w:r>
      <w:r w:rsidRPr="00E27BB2">
        <w:t>国防部与联合国妇女署于</w:t>
      </w:r>
      <w:r w:rsidRPr="00E27BB2">
        <w:t>2011</w:t>
      </w:r>
      <w:r w:rsidRPr="00E27BB2">
        <w:t>年</w:t>
      </w:r>
      <w:r w:rsidRPr="00E27BB2">
        <w:t>9</w:t>
      </w:r>
      <w:r w:rsidRPr="00E27BB2">
        <w:t>月</w:t>
      </w:r>
      <w:r w:rsidRPr="00E27BB2">
        <w:t>16</w:t>
      </w:r>
      <w:r w:rsidRPr="00E27BB2">
        <w:t>日签署了合作备忘录。政治理事会和多部门协调机构连同公民协会、学术界和媒体的代表监测和评价了《国家行动计划》的执行情况。</w:t>
      </w:r>
    </w:p>
    <w:p w:rsidR="00BC40DA" w:rsidRPr="00E27BB2" w:rsidRDefault="00BC40DA" w:rsidP="00BC40DA">
      <w:pPr>
        <w:pStyle w:val="SingleTxtGC"/>
      </w:pPr>
      <w:r w:rsidRPr="00E27BB2">
        <w:t>6</w:t>
      </w:r>
      <w:r w:rsidR="00FC5ECC">
        <w:t>8.</w:t>
      </w:r>
      <w:r w:rsidR="00496C4C">
        <w:rPr>
          <w:rFonts w:hint="eastAsia"/>
        </w:rPr>
        <w:t xml:space="preserve">  </w:t>
      </w:r>
      <w:r w:rsidRPr="00E27BB2">
        <w:t>负责为在塞尔维亚共和国适用第</w:t>
      </w:r>
      <w:r w:rsidRPr="00E27BB2">
        <w:t>1325</w:t>
      </w:r>
      <w:r w:rsidRPr="00E27BB2">
        <w:t>号决议而监督《国家行动计划》实施情况的工作组由相关的公民协会代表组成</w:t>
      </w:r>
      <w:r w:rsidR="00FC5ECC">
        <w:t>，</w:t>
      </w:r>
      <w:r w:rsidRPr="00E27BB2">
        <w:t>其任务是监测和监督负责落实《国家行动计划》的机构运作状况</w:t>
      </w:r>
      <w:r w:rsidR="00FC5ECC">
        <w:t>，</w:t>
      </w:r>
      <w:r w:rsidRPr="00E27BB2">
        <w:t>并在此基础上编写《国家行动计划》实施情况报告提交联合国大会。协同工作组工作的</w:t>
      </w:r>
      <w:r w:rsidR="00173E4D">
        <w:rPr>
          <w:rFonts w:hint="eastAsia"/>
        </w:rPr>
        <w:t>“</w:t>
      </w:r>
      <w:r w:rsidRPr="00E27BB2">
        <w:t>黑衣妇女</w:t>
      </w:r>
      <w:r w:rsidR="00173E4D">
        <w:rPr>
          <w:rFonts w:hint="eastAsia"/>
        </w:rPr>
        <w:t>”</w:t>
      </w:r>
      <w:r w:rsidRPr="00E27BB2">
        <w:t>组织启动了名为《将两性平等观点纳入人的安全方面》的项目</w:t>
      </w:r>
      <w:r w:rsidR="00FC5ECC">
        <w:t>，</w:t>
      </w:r>
      <w:r w:rsidRPr="00E27BB2">
        <w:t>其目的是通过编写第</w:t>
      </w:r>
      <w:r w:rsidRPr="00E27BB2">
        <w:t>1325</w:t>
      </w:r>
      <w:r w:rsidRPr="00E27BB2">
        <w:t>号决议执行情况的报告</w:t>
      </w:r>
      <w:r w:rsidR="00FC5ECC">
        <w:t>，</w:t>
      </w:r>
      <w:r w:rsidRPr="00E27BB2">
        <w:t>衡量实施《国家行动计划》的成功程度并促进其实施工作。</w:t>
      </w:r>
    </w:p>
    <w:p w:rsidR="00BC40DA" w:rsidRPr="00E27BB2" w:rsidRDefault="00BC40DA" w:rsidP="00BC40DA">
      <w:pPr>
        <w:pStyle w:val="SingleTxtGC"/>
      </w:pPr>
      <w:r w:rsidRPr="00E27BB2">
        <w:t>6</w:t>
      </w:r>
      <w:r w:rsidR="00FC5ECC">
        <w:t>9.</w:t>
      </w:r>
      <w:r w:rsidR="00496C4C">
        <w:rPr>
          <w:rFonts w:hint="eastAsia"/>
        </w:rPr>
        <w:t xml:space="preserve">  </w:t>
      </w:r>
      <w:r w:rsidRPr="00E27BB2">
        <w:t>除了塞尔维亚共和国现有的体制性两性平等机制外</w:t>
      </w:r>
      <w:r w:rsidR="00FC5ECC">
        <w:t>，</w:t>
      </w:r>
      <w:r w:rsidRPr="00E27BB2">
        <w:t>政府还在</w:t>
      </w:r>
      <w:r w:rsidRPr="00E27BB2">
        <w:t>2011</w:t>
      </w:r>
      <w:r w:rsidRPr="00E27BB2">
        <w:t>年</w:t>
      </w:r>
      <w:r w:rsidRPr="00E27BB2">
        <w:t>10</w:t>
      </w:r>
      <w:r w:rsidRPr="00E27BB2">
        <w:t>月成立了以下的体制机构</w:t>
      </w:r>
      <w:r w:rsidR="00FC5ECC">
        <w:t>：</w:t>
      </w:r>
      <w:r w:rsidRPr="00E27BB2">
        <w:t>政治理事会和监测《国家行动计划》实施情况的多部门协调机构。这些机构根据主管部委</w:t>
      </w:r>
      <w:r w:rsidR="00FC5ECC">
        <w:t>/</w:t>
      </w:r>
      <w:r w:rsidRPr="00E27BB2">
        <w:t>行政部门</w:t>
      </w:r>
      <w:r w:rsidR="00FC5ECC">
        <w:t>/</w:t>
      </w:r>
      <w:r w:rsidRPr="00E27BB2">
        <w:t>安全部门机构的报告对取得的成果进行评价</w:t>
      </w:r>
      <w:r w:rsidR="00FC5ECC">
        <w:t>，</w:t>
      </w:r>
      <w:r w:rsidRPr="00E27BB2">
        <w:t>并确定下一个期间的优先事项。编写这些报告的是负责分析《国家行动计划》在主管部委</w:t>
      </w:r>
      <w:r w:rsidR="00FC5ECC">
        <w:t>/</w:t>
      </w:r>
      <w:r w:rsidRPr="00E27BB2">
        <w:t>行政部门</w:t>
      </w:r>
      <w:r w:rsidR="00FC5ECC">
        <w:t>/</w:t>
      </w:r>
      <w:r w:rsidRPr="00E27BB2">
        <w:t>安全部门机构的职权框架内实施情况的若干分析工作组。这些工作组的任务是监测、进行年度规划并启动实施《国家行动计划》。</w:t>
      </w:r>
    </w:p>
    <w:p w:rsidR="00BC40DA" w:rsidRPr="00E27BB2" w:rsidRDefault="00BC40DA" w:rsidP="00BC40DA">
      <w:pPr>
        <w:pStyle w:val="SingleTxtGC"/>
      </w:pPr>
      <w:r w:rsidRPr="00E27BB2">
        <w:t>7</w:t>
      </w:r>
      <w:r w:rsidR="00FC5ECC">
        <w:t>0.</w:t>
      </w:r>
      <w:r w:rsidR="00496C4C">
        <w:rPr>
          <w:rFonts w:hint="eastAsia"/>
        </w:rPr>
        <w:t xml:space="preserve">  </w:t>
      </w:r>
      <w:r w:rsidRPr="00E27BB2">
        <w:t>按照构想</w:t>
      </w:r>
      <w:r w:rsidR="00FC5ECC">
        <w:t>，</w:t>
      </w:r>
      <w:r w:rsidRPr="00E27BB2">
        <w:t>国民议会也将设立监督《国家行动计划》实施情况的机构</w:t>
      </w:r>
      <w:r w:rsidR="00FC5ECC">
        <w:t>，</w:t>
      </w:r>
      <w:r w:rsidRPr="00E27BB2">
        <w:t>负责控制和监督执行《国家行动计划》的所有机构和机制的运作</w:t>
      </w:r>
      <w:r w:rsidR="00FC5ECC">
        <w:t>，</w:t>
      </w:r>
      <w:r w:rsidRPr="00E27BB2">
        <w:t>政治理事会和多部门协调机构将向该机构提交半年度及年度报告。该机构将由国民议会各主管委员会、监察员、男女平等问题专员以及其他机构的代表组成。</w:t>
      </w:r>
    </w:p>
    <w:p w:rsidR="00BC40DA" w:rsidRPr="00E27BB2" w:rsidRDefault="00BC40DA" w:rsidP="00BC40DA">
      <w:pPr>
        <w:pStyle w:val="SingleTxtGC"/>
      </w:pPr>
      <w:r w:rsidRPr="00E27BB2">
        <w:t>7</w:t>
      </w:r>
      <w:r w:rsidR="00FC5ECC">
        <w:t>1.</w:t>
      </w:r>
      <w:r w:rsidR="00496C4C">
        <w:rPr>
          <w:rFonts w:hint="eastAsia"/>
        </w:rPr>
        <w:t xml:space="preserve">  </w:t>
      </w:r>
      <w:r w:rsidRPr="00E27BB2">
        <w:t>作为在建立所构想的机构和两性平等机制方面取得成果的组成部分</w:t>
      </w:r>
      <w:r w:rsidR="00FC5ECC">
        <w:t>，</w:t>
      </w:r>
      <w:r w:rsidRPr="00E27BB2">
        <w:t>现已完成了以下各项工作</w:t>
      </w:r>
      <w:r w:rsidR="00FC5ECC">
        <w:t>：</w:t>
      </w:r>
    </w:p>
    <w:p w:rsidR="00BC40DA" w:rsidRPr="00E27BB2" w:rsidRDefault="00BC40DA" w:rsidP="00496C4C">
      <w:pPr>
        <w:pStyle w:val="DashGC"/>
      </w:pPr>
      <w:r w:rsidRPr="00562006">
        <w:t>内政部和海关署任命了</w:t>
      </w:r>
      <w:r w:rsidR="00B7667E">
        <w:rPr>
          <w:rFonts w:hint="eastAsia"/>
        </w:rPr>
        <w:t>“</w:t>
      </w:r>
      <w:r w:rsidRPr="00B7667E">
        <w:t>两性平等问题男女顾问</w:t>
      </w:r>
      <w:r w:rsidR="00B7667E">
        <w:rPr>
          <w:rFonts w:hint="eastAsia"/>
        </w:rPr>
        <w:t>”</w:t>
      </w:r>
      <w:r w:rsidRPr="00E27BB2">
        <w:t>。在人权和少数群体权利、公共行政和地方自治部人权和少数群体权利司</w:t>
      </w:r>
      <w:r w:rsidR="00FC5ECC">
        <w:t>，</w:t>
      </w:r>
      <w:r w:rsidRPr="00E27BB2">
        <w:t>独立的女顾问除了履行其正常职务外</w:t>
      </w:r>
      <w:r w:rsidR="00FC5ECC">
        <w:t>，</w:t>
      </w:r>
      <w:r w:rsidRPr="00E27BB2">
        <w:t>还负责监测有关两性平等和儿童权利的国际条约执行情况。国防部决定由一名女国务秘书从事应该由两性平等问题女顾问开展的活动</w:t>
      </w:r>
      <w:r w:rsidR="00FC5ECC">
        <w:t>，</w:t>
      </w:r>
      <w:r w:rsidRPr="00E27BB2">
        <w:t>直到任命另一人担任该职位时为止。</w:t>
      </w:r>
    </w:p>
    <w:p w:rsidR="00BC40DA" w:rsidRPr="00E27BB2" w:rsidRDefault="00BC40DA" w:rsidP="00496C4C">
      <w:pPr>
        <w:pStyle w:val="DashGC"/>
      </w:pPr>
      <w:r w:rsidRPr="00E27BB2">
        <w:t>安全信息署任命了</w:t>
      </w:r>
      <w:r w:rsidR="00496C4C">
        <w:rPr>
          <w:rFonts w:hint="eastAsia"/>
        </w:rPr>
        <w:t>“</w:t>
      </w:r>
      <w:r w:rsidRPr="00362814">
        <w:rPr>
          <w:rFonts w:eastAsia="KaiTi_GB2312"/>
        </w:rPr>
        <w:t>可信赖者</w:t>
      </w:r>
      <w:r w:rsidR="00496C4C">
        <w:rPr>
          <w:rFonts w:hint="eastAsia"/>
        </w:rPr>
        <w:t>”</w:t>
      </w:r>
      <w:r w:rsidRPr="00E27BB2">
        <w:t>。在内政部</w:t>
      </w:r>
      <w:r w:rsidR="00FC5ECC">
        <w:t>，</w:t>
      </w:r>
      <w:r w:rsidRPr="00E27BB2">
        <w:t>通过</w:t>
      </w:r>
      <w:r w:rsidR="00496C4C">
        <w:rPr>
          <w:rFonts w:hint="eastAsia"/>
        </w:rPr>
        <w:t>“</w:t>
      </w:r>
      <w:r w:rsidRPr="00E27BB2">
        <w:t>同行支助</w:t>
      </w:r>
      <w:r w:rsidR="00496C4C">
        <w:rPr>
          <w:rFonts w:hint="eastAsia"/>
        </w:rPr>
        <w:t>”</w:t>
      </w:r>
      <w:r w:rsidRPr="00E27BB2">
        <w:t>项目任命的人员也从事处理两性平等和歧视领域的具体问题。</w:t>
      </w:r>
    </w:p>
    <w:p w:rsidR="00BC40DA" w:rsidRPr="00E27BB2" w:rsidRDefault="00BC40DA" w:rsidP="00496C4C">
      <w:pPr>
        <w:pStyle w:val="DashGC"/>
      </w:pPr>
      <w:r w:rsidRPr="00E27BB2">
        <w:t>国防部和海关署已设立了监测组负责进行分析、开展年度规划和启动实施《国家行动计划》的分析小组。内政和安全信息部还没有正式设立此种小组</w:t>
      </w:r>
      <w:r w:rsidR="00FC5ECC">
        <w:t>，</w:t>
      </w:r>
      <w:r w:rsidRPr="00E27BB2">
        <w:t>不过已任命若干官员开展此种活动。</w:t>
      </w:r>
    </w:p>
    <w:p w:rsidR="00BC40DA" w:rsidRPr="00E27BB2" w:rsidRDefault="00BC40DA" w:rsidP="00496C4C">
      <w:pPr>
        <w:pStyle w:val="DashGC"/>
      </w:pPr>
      <w:r w:rsidRPr="00E27BB2">
        <w:t>以下机构已建立了</w:t>
      </w:r>
      <w:r w:rsidR="00496C4C">
        <w:rPr>
          <w:rFonts w:hint="eastAsia"/>
        </w:rPr>
        <w:t>“</w:t>
      </w:r>
      <w:r w:rsidRPr="00E27BB2">
        <w:t>按性别和两性分类统计连续管理档案制度</w:t>
      </w:r>
      <w:r w:rsidR="00496C4C">
        <w:rPr>
          <w:rFonts w:hint="eastAsia"/>
        </w:rPr>
        <w:t>”</w:t>
      </w:r>
      <w:r w:rsidR="00FC5ECC">
        <w:t>：</w:t>
      </w:r>
      <w:r w:rsidRPr="00E27BB2">
        <w:t>国防部</w:t>
      </w:r>
      <w:r w:rsidR="00FC5ECC">
        <w:t>，</w:t>
      </w:r>
      <w:r w:rsidRPr="00E27BB2">
        <w:t>内政部</w:t>
      </w:r>
      <w:r w:rsidR="00FC5ECC">
        <w:t>，</w:t>
      </w:r>
      <w:r w:rsidRPr="00E27BB2">
        <w:t>海关署</w:t>
      </w:r>
      <w:r w:rsidR="00FC5ECC">
        <w:t>，</w:t>
      </w:r>
      <w:r w:rsidRPr="00E27BB2">
        <w:t>安全信息署</w:t>
      </w:r>
      <w:r w:rsidR="00FC5ECC">
        <w:t>，</w:t>
      </w:r>
      <w:r w:rsidRPr="00E27BB2">
        <w:t>以及人权和少数群体权利、公共行政和地方自治部人权和少数群体权利司。</w:t>
      </w:r>
    </w:p>
    <w:p w:rsidR="00BC40DA" w:rsidRPr="00E27BB2" w:rsidRDefault="00BC40DA" w:rsidP="00496C4C">
      <w:pPr>
        <w:pStyle w:val="DashGC"/>
      </w:pPr>
      <w:r w:rsidRPr="00E27BB2">
        <w:t>通过了</w:t>
      </w:r>
      <w:r w:rsidR="00496C4C">
        <w:rPr>
          <w:rFonts w:hint="eastAsia"/>
        </w:rPr>
        <w:t>“</w:t>
      </w:r>
      <w:r w:rsidRPr="00E27BB2">
        <w:t>就两性平等领域特定主题培训员工方案</w:t>
      </w:r>
      <w:r w:rsidR="00496C4C">
        <w:rPr>
          <w:rFonts w:hint="eastAsia"/>
        </w:rPr>
        <w:t>”</w:t>
      </w:r>
      <w:r w:rsidR="00FC5ECC">
        <w:t>，</w:t>
      </w:r>
      <w:r w:rsidRPr="00E27BB2">
        <w:t>并将在</w:t>
      </w:r>
      <w:r w:rsidRPr="00E27BB2">
        <w:t>2012</w:t>
      </w:r>
      <w:r w:rsidRPr="00E27BB2">
        <w:t>年予以实施</w:t>
      </w:r>
      <w:r w:rsidR="00FC5ECC">
        <w:t>(</w:t>
      </w:r>
      <w:r w:rsidRPr="00E27BB2">
        <w:t>国防部、内政部、劳动和社会政策部两性平等司</w:t>
      </w:r>
      <w:r w:rsidR="00FC5ECC">
        <w:t>)</w:t>
      </w:r>
      <w:r w:rsidRPr="00E27BB2">
        <w:t>。海关署计划在</w:t>
      </w:r>
      <w:r w:rsidRPr="00E27BB2">
        <w:t>2012</w:t>
      </w:r>
      <w:r w:rsidRPr="00E27BB2">
        <w:t>年与欧安组织合作开展这些活动。</w:t>
      </w:r>
    </w:p>
    <w:p w:rsidR="00BC40DA" w:rsidRPr="00E27BB2" w:rsidRDefault="00BC40DA" w:rsidP="00496C4C">
      <w:pPr>
        <w:pStyle w:val="SingleTxtGC"/>
      </w:pPr>
      <w:r w:rsidRPr="00E27BB2">
        <w:t>7</w:t>
      </w:r>
      <w:r w:rsidR="00FC5ECC">
        <w:t>2.</w:t>
      </w:r>
      <w:r w:rsidR="00496C4C">
        <w:rPr>
          <w:rFonts w:hint="eastAsia"/>
        </w:rPr>
        <w:t xml:space="preserve">  </w:t>
      </w:r>
      <w:r w:rsidRPr="00E27BB2">
        <w:t>2012</w:t>
      </w:r>
      <w:r w:rsidRPr="00E27BB2">
        <w:t>年</w:t>
      </w:r>
      <w:r w:rsidRPr="00E27BB2">
        <w:t>3</w:t>
      </w:r>
      <w:r w:rsidRPr="00E27BB2">
        <w:t>月在贝尔格莱德举行了由教育部、国防部和开发署联合举办的国际会议</w:t>
      </w:r>
      <w:r w:rsidR="00FC5ECC">
        <w:t>，</w:t>
      </w:r>
      <w:r w:rsidRPr="00E27BB2">
        <w:t>以此标志开始实施名为</w:t>
      </w:r>
      <w:r w:rsidR="00496C4C">
        <w:rPr>
          <w:rFonts w:hint="eastAsia"/>
        </w:rPr>
        <w:t>“</w:t>
      </w:r>
      <w:r w:rsidRPr="00E27BB2">
        <w:t>支助将性别平等价值观纳入西巴尔干国家安全部门改革</w:t>
      </w:r>
      <w:r w:rsidR="00496C4C">
        <w:rPr>
          <w:rFonts w:hint="eastAsia"/>
        </w:rPr>
        <w:t>”</w:t>
      </w:r>
      <w:r w:rsidRPr="00E27BB2">
        <w:t>的区域项目</w:t>
      </w:r>
      <w:r w:rsidR="00FC5ECC">
        <w:t>，</w:t>
      </w:r>
      <w:r w:rsidRPr="00E27BB2">
        <w:t>该项目的活动中心是塞尔维亚共和国。</w:t>
      </w:r>
    </w:p>
    <w:p w:rsidR="00BC40DA" w:rsidRPr="00E27BB2" w:rsidRDefault="00496C4C" w:rsidP="00496C4C">
      <w:pPr>
        <w:pStyle w:val="H1GC"/>
      </w:pPr>
      <w:r>
        <w:rPr>
          <w:rFonts w:hint="eastAsia"/>
        </w:rPr>
        <w:tab/>
      </w:r>
      <w:r>
        <w:rPr>
          <w:rFonts w:hint="eastAsia"/>
        </w:rPr>
        <w:tab/>
      </w:r>
      <w:r w:rsidR="00BC40DA" w:rsidRPr="00E27BB2">
        <w:t>教育</w:t>
      </w:r>
    </w:p>
    <w:p w:rsidR="00BC40DA" w:rsidRPr="00E27BB2" w:rsidRDefault="00496C4C" w:rsidP="00496C4C">
      <w:pPr>
        <w:pStyle w:val="H23GC"/>
      </w:pPr>
      <w:r>
        <w:rPr>
          <w:rFonts w:hint="eastAsia"/>
        </w:rPr>
        <w:tab/>
      </w:r>
      <w:r>
        <w:rPr>
          <w:rFonts w:hint="eastAsia"/>
        </w:rPr>
        <w:tab/>
      </w:r>
      <w:r w:rsidR="00BC40DA" w:rsidRPr="00E27BB2">
        <w:t>对问题清单第</w:t>
      </w:r>
      <w:r w:rsidR="00BC40DA" w:rsidRPr="00E27BB2">
        <w:t>11</w:t>
      </w:r>
      <w:r w:rsidR="00BC40DA" w:rsidRPr="00E27BB2">
        <w:t>段所提问题的答复</w:t>
      </w:r>
    </w:p>
    <w:p w:rsidR="00BC40DA" w:rsidRPr="00E27BB2" w:rsidRDefault="00BC40DA" w:rsidP="00496C4C">
      <w:pPr>
        <w:pStyle w:val="SingleTxtGC"/>
      </w:pPr>
      <w:r w:rsidRPr="00E27BB2">
        <w:t>7</w:t>
      </w:r>
      <w:r w:rsidR="00FC5ECC">
        <w:t>3.</w:t>
      </w:r>
      <w:r w:rsidR="00496C4C">
        <w:rPr>
          <w:rFonts w:hint="eastAsia"/>
        </w:rPr>
        <w:t xml:space="preserve">  </w:t>
      </w:r>
      <w:r w:rsidRPr="00E27BB2">
        <w:t>约有</w:t>
      </w:r>
      <w:r w:rsidRPr="00E27BB2">
        <w:t>5</w:t>
      </w:r>
      <w:r w:rsidR="00FC5ECC">
        <w:t>%</w:t>
      </w:r>
      <w:r w:rsidRPr="00E27BB2">
        <w:t>的儿童甚至没有受过小学教育</w:t>
      </w:r>
      <w:r w:rsidR="00FC5ECC">
        <w:t>；</w:t>
      </w:r>
      <w:r w:rsidRPr="00E27BB2">
        <w:t>这在性别方面并无差别</w:t>
      </w:r>
      <w:r w:rsidR="00FC5ECC">
        <w:t>，</w:t>
      </w:r>
      <w:r w:rsidRPr="00E27BB2">
        <w:t>但在涉及弱势群体时肯定有所差异。农村地区辍学率远远高于平均水平</w:t>
      </w:r>
      <w:r w:rsidR="00FC5ECC">
        <w:t>(</w:t>
      </w:r>
      <w:r w:rsidRPr="00E27BB2">
        <w:t>入学率也是如此</w:t>
      </w:r>
      <w:r w:rsidR="00FC5ECC">
        <w:t>)</w:t>
      </w:r>
      <w:r w:rsidR="00FC5ECC">
        <w:t>，</w:t>
      </w:r>
      <w:r w:rsidRPr="00E27BB2">
        <w:t>而且令人震惊的是辍学率每年都在不断提高</w:t>
      </w:r>
      <w:r w:rsidR="00FC5ECC">
        <w:t>：</w:t>
      </w:r>
      <w:r w:rsidRPr="00E27BB2">
        <w:t>农村地区接受教育的儿童的百分比从</w:t>
      </w:r>
      <w:r w:rsidRPr="00E27BB2">
        <w:t>2005</w:t>
      </w:r>
      <w:r w:rsidRPr="00E27BB2">
        <w:t>年的</w:t>
      </w:r>
      <w:r w:rsidRPr="00E27BB2">
        <w:t>8</w:t>
      </w:r>
      <w:r w:rsidR="00FC5ECC">
        <w:t>1.</w:t>
      </w:r>
      <w:r w:rsidRPr="00E27BB2">
        <w:t>15</w:t>
      </w:r>
      <w:r w:rsidR="00FC5ECC">
        <w:t>%</w:t>
      </w:r>
      <w:r w:rsidRPr="00E27BB2">
        <w:t>下降到</w:t>
      </w:r>
      <w:r w:rsidRPr="00E27BB2">
        <w:t>2009</w:t>
      </w:r>
      <w:r w:rsidRPr="00E27BB2">
        <w:t>年的</w:t>
      </w:r>
      <w:r w:rsidRPr="00E27BB2">
        <w:t>7</w:t>
      </w:r>
      <w:r w:rsidR="00FC5ECC">
        <w:t>7.</w:t>
      </w:r>
      <w:r w:rsidRPr="00E27BB2">
        <w:t>4</w:t>
      </w:r>
      <w:r w:rsidR="00FC5ECC">
        <w:t>%</w:t>
      </w:r>
      <w:r w:rsidR="00FC5ECC">
        <w:t>，</w:t>
      </w:r>
      <w:r w:rsidRPr="00E27BB2">
        <w:t>2008</w:t>
      </w:r>
      <w:r w:rsidRPr="00E27BB2">
        <w:t>年在小学就读的儿童人数比</w:t>
      </w:r>
      <w:r w:rsidRPr="00E27BB2">
        <w:t>2005</w:t>
      </w:r>
      <w:r w:rsidRPr="00E27BB2">
        <w:t>年减少了</w:t>
      </w:r>
      <w:r w:rsidR="00FC5ECC">
        <w:t>1.</w:t>
      </w:r>
      <w:r w:rsidRPr="00E27BB2">
        <w:t>8</w:t>
      </w:r>
      <w:r w:rsidR="00FC5ECC">
        <w:t>%</w:t>
      </w:r>
      <w:r w:rsidRPr="00E27BB2">
        <w:t>。</w:t>
      </w:r>
    </w:p>
    <w:p w:rsidR="00BC40DA" w:rsidRPr="00E27BB2" w:rsidRDefault="00BC40DA" w:rsidP="00496C4C">
      <w:pPr>
        <w:pStyle w:val="SingleTxtGC"/>
      </w:pPr>
      <w:r w:rsidRPr="00E27BB2">
        <w:t>7</w:t>
      </w:r>
      <w:r w:rsidR="00FC5ECC">
        <w:t>4.</w:t>
      </w:r>
      <w:r w:rsidR="00496C4C">
        <w:rPr>
          <w:rFonts w:hint="eastAsia"/>
        </w:rPr>
        <w:t xml:space="preserve">  </w:t>
      </w:r>
      <w:r w:rsidRPr="00E27BB2">
        <w:t>在所有的弱势群体中</w:t>
      </w:r>
      <w:r w:rsidR="00FC5ECC">
        <w:t>，</w:t>
      </w:r>
      <w:r w:rsidRPr="00E27BB2">
        <w:t>罗姆族儿童的小学入学率最低。我们没有关于我国境内罗姆人口的确切数据。</w:t>
      </w:r>
      <w:r w:rsidR="00FC5ECC">
        <w:t>(</w:t>
      </w:r>
      <w:r w:rsidRPr="00E27BB2">
        <w:t>对这一数据的说法各不相同</w:t>
      </w:r>
      <w:r w:rsidR="00FC5ECC">
        <w:t>：</w:t>
      </w:r>
      <w:r w:rsidRPr="00E27BB2">
        <w:t>根据人口调查为</w:t>
      </w:r>
      <w:r w:rsidRPr="00E27BB2">
        <w:t>1</w:t>
      </w:r>
      <w:r w:rsidR="00FC5ECC">
        <w:t>0.</w:t>
      </w:r>
      <w:r w:rsidRPr="00E27BB2">
        <w:t>8</w:t>
      </w:r>
      <w:r w:rsidRPr="00E27BB2">
        <w:t>万人</w:t>
      </w:r>
      <w:r w:rsidR="00FC5ECC">
        <w:t>，</w:t>
      </w:r>
      <w:r w:rsidRPr="00E27BB2">
        <w:t>但一些罗姆人组织和世界银行的估计数为</w:t>
      </w:r>
      <w:r w:rsidRPr="00E27BB2">
        <w:t>50</w:t>
      </w:r>
      <w:r w:rsidRPr="00E27BB2">
        <w:t>万人</w:t>
      </w:r>
      <w:r w:rsidR="00FC5ECC">
        <w:t>)</w:t>
      </w:r>
      <w:r w:rsidR="00FC5ECC">
        <w:t>；</w:t>
      </w:r>
      <w:r w:rsidRPr="00E27BB2">
        <w:t>不过估计罗姆族儿童的总数约为</w:t>
      </w:r>
      <w:r w:rsidR="00FC5ECC">
        <w:t>2.</w:t>
      </w:r>
      <w:r w:rsidRPr="00E27BB2">
        <w:t>5</w:t>
      </w:r>
      <w:r w:rsidRPr="00E27BB2">
        <w:t>万人</w:t>
      </w:r>
      <w:r w:rsidR="00FC5ECC">
        <w:t>，</w:t>
      </w:r>
      <w:r w:rsidRPr="00E27BB2">
        <w:t>其中上小学的占</w:t>
      </w:r>
      <w:r w:rsidRPr="00E27BB2">
        <w:t>70</w:t>
      </w:r>
      <w:r w:rsidR="00FC5ECC">
        <w:t>%</w:t>
      </w:r>
      <w:r w:rsidR="006434F3" w:rsidRPr="006434F3">
        <w:rPr>
          <w:rFonts w:hint="eastAsia"/>
          <w:vertAlign w:val="superscript"/>
        </w:rPr>
        <w:t xml:space="preserve"> </w:t>
      </w:r>
      <w:r w:rsidR="00FC5ECC">
        <w:t>(</w:t>
      </w:r>
      <w:r w:rsidRPr="00E27BB2">
        <w:t>《千年发展目标》</w:t>
      </w:r>
      <w:r w:rsidR="00496C4C">
        <w:rPr>
          <w:rStyle w:val="FootnoteReference"/>
        </w:rPr>
        <w:footnoteReference w:id="24"/>
      </w:r>
      <w:r w:rsidR="00FC5ECC">
        <w:t>，</w:t>
      </w:r>
      <w:r w:rsidRPr="00E27BB2">
        <w:t>2009</w:t>
      </w:r>
      <w:r w:rsidRPr="00E27BB2">
        <w:t>年</w:t>
      </w:r>
      <w:r w:rsidR="00FC5ECC">
        <w:t>)</w:t>
      </w:r>
      <w:r w:rsidRPr="00E27BB2">
        <w:t>。</w:t>
      </w:r>
      <w:r w:rsidRPr="00E27BB2">
        <w:t>2002-2007</w:t>
      </w:r>
      <w:r w:rsidRPr="00E27BB2">
        <w:t>年期间</w:t>
      </w:r>
      <w:r w:rsidR="00FC5ECC">
        <w:t>，</w:t>
      </w:r>
      <w:r w:rsidRPr="00E27BB2">
        <w:t>受教育的罗姆族儿童的比例从</w:t>
      </w:r>
      <w:r w:rsidRPr="00E27BB2">
        <w:t>56</w:t>
      </w:r>
      <w:r w:rsidR="00FC5ECC">
        <w:t>%</w:t>
      </w:r>
      <w:r w:rsidRPr="00E27BB2">
        <w:t>提高到</w:t>
      </w:r>
      <w:r w:rsidRPr="00E27BB2">
        <w:t>73</w:t>
      </w:r>
      <w:r w:rsidR="00FC5ECC">
        <w:t>%</w:t>
      </w:r>
      <w:r w:rsidRPr="00E27BB2">
        <w:t>。</w:t>
      </w:r>
      <w:r w:rsidR="00496C4C">
        <w:rPr>
          <w:rStyle w:val="FootnoteReference"/>
        </w:rPr>
        <w:footnoteReference w:id="25"/>
      </w:r>
      <w:r w:rsidRPr="00E27BB2">
        <w:t xml:space="preserve"> </w:t>
      </w:r>
      <w:r w:rsidRPr="00E27BB2">
        <w:t>根据</w:t>
      </w:r>
      <w:r w:rsidRPr="00E27BB2">
        <w:t>2010</w:t>
      </w:r>
      <w:r w:rsidRPr="00E27BB2">
        <w:t>年的《多指标类集调查》</w:t>
      </w:r>
      <w:r w:rsidR="00496C4C">
        <w:rPr>
          <w:rStyle w:val="FootnoteReference"/>
        </w:rPr>
        <w:footnoteReference w:id="26"/>
      </w:r>
      <w:r w:rsidRPr="00E27BB2">
        <w:t>。隔离定居点的罗姆族儿童上小学的人数占总数的</w:t>
      </w:r>
      <w:r w:rsidRPr="00E27BB2">
        <w:t>78</w:t>
      </w:r>
      <w:r w:rsidR="00FC5ECC">
        <w:t>%</w:t>
      </w:r>
      <w:r w:rsidRPr="00E27BB2">
        <w:t>。但关于入读特殊学校的罗姆族儿童的人数从</w:t>
      </w:r>
      <w:r w:rsidRPr="00E27BB2">
        <w:t>8</w:t>
      </w:r>
      <w:r w:rsidR="00FC5ECC">
        <w:t>%</w:t>
      </w:r>
      <w:r w:rsidRPr="00E27BB2">
        <w:t>降至</w:t>
      </w:r>
      <w:r w:rsidRPr="00E27BB2">
        <w:t>6</w:t>
      </w:r>
      <w:r w:rsidR="00FC5ECC">
        <w:t>%</w:t>
      </w:r>
      <w:r w:rsidRPr="00E27BB2">
        <w:t>的数据</w:t>
      </w:r>
      <w:r w:rsidR="00FC5ECC">
        <w:t>(</w:t>
      </w:r>
      <w:r w:rsidRPr="00E27BB2">
        <w:t>《千年发展目标》</w:t>
      </w:r>
      <w:r w:rsidR="00FC5ECC">
        <w:t>，</w:t>
      </w:r>
      <w:r w:rsidRPr="00E27BB2">
        <w:t>2009</w:t>
      </w:r>
      <w:r w:rsidRPr="00E27BB2">
        <w:t>年</w:t>
      </w:r>
      <w:r w:rsidR="00FC5ECC">
        <w:t>)</w:t>
      </w:r>
      <w:r w:rsidRPr="00E27BB2">
        <w:t>表明</w:t>
      </w:r>
      <w:r w:rsidR="00FC5ECC">
        <w:t>，</w:t>
      </w:r>
      <w:r w:rsidRPr="00E27BB2">
        <w:t>读正规学校的罗姆族儿童的人数有所增加。</w:t>
      </w:r>
    </w:p>
    <w:p w:rsidR="00BC40DA" w:rsidRPr="00E27BB2" w:rsidRDefault="00BC40DA" w:rsidP="00BC40DA">
      <w:pPr>
        <w:pStyle w:val="SingleTxtGC"/>
      </w:pPr>
      <w:r w:rsidRPr="00E27BB2">
        <w:t>7</w:t>
      </w:r>
      <w:r w:rsidR="00FC5ECC">
        <w:t>5.</w:t>
      </w:r>
      <w:r w:rsidR="00496C4C">
        <w:rPr>
          <w:rFonts w:hint="eastAsia"/>
        </w:rPr>
        <w:t xml:space="preserve">  </w:t>
      </w:r>
      <w:r w:rsidRPr="00E27BB2">
        <w:t>小学的辍学率很高</w:t>
      </w:r>
      <w:r w:rsidR="00FC5ECC">
        <w:t>，</w:t>
      </w:r>
      <w:r w:rsidRPr="00E27BB2">
        <w:t>但对此没有精确的数据。就全国平均水平而言</w:t>
      </w:r>
      <w:r w:rsidR="00FC5ECC">
        <w:t>，</w:t>
      </w:r>
      <w:r w:rsidRPr="00E27BB2">
        <w:t>此种状况在过去</w:t>
      </w:r>
      <w:r w:rsidRPr="00E27BB2">
        <w:t>5</w:t>
      </w:r>
      <w:r w:rsidRPr="00E27BB2">
        <w:t>年中有所改善</w:t>
      </w:r>
      <w:r w:rsidR="00FC5ECC">
        <w:t>，</w:t>
      </w:r>
      <w:r w:rsidRPr="00E27BB2">
        <w:t>进入</w:t>
      </w:r>
      <w:r w:rsidRPr="00E27BB2">
        <w:t>5</w:t>
      </w:r>
      <w:r w:rsidRPr="00E27BB2">
        <w:t>年级时的辍学率从</w:t>
      </w:r>
      <w:r w:rsidR="00FC5ECC">
        <w:t>1.</w:t>
      </w:r>
      <w:r w:rsidRPr="00E27BB2">
        <w:t>14</w:t>
      </w:r>
      <w:r w:rsidR="00FC5ECC">
        <w:t>%</w:t>
      </w:r>
      <w:r w:rsidRPr="00E27BB2">
        <w:t>降至</w:t>
      </w:r>
      <w:r w:rsidR="00FC5ECC">
        <w:t>0.</w:t>
      </w:r>
      <w:r w:rsidRPr="00E27BB2">
        <w:t>87</w:t>
      </w:r>
      <w:r w:rsidR="00FC5ECC">
        <w:t>%</w:t>
      </w:r>
      <w:r w:rsidRPr="00E27BB2">
        <w:t>。但弱势群体儿童、主要是农村和罗姆族儿童的辍学率却呈日见上升的趋势</w:t>
      </w:r>
      <w:r w:rsidR="00FC5ECC">
        <w:t>，</w:t>
      </w:r>
      <w:r w:rsidRPr="00E27BB2">
        <w:t>在涉及女孩时开始出现差异</w:t>
      </w:r>
      <w:r w:rsidR="00FC5ECC">
        <w:t>(</w:t>
      </w:r>
      <w:r w:rsidRPr="00E27BB2">
        <w:t>进入</w:t>
      </w:r>
      <w:r w:rsidR="00496C4C">
        <w:t>5</w:t>
      </w:r>
      <w:r w:rsidRPr="00E27BB2">
        <w:t>年级时</w:t>
      </w:r>
      <w:r w:rsidR="00FC5ECC">
        <w:t>，</w:t>
      </w:r>
      <w:r w:rsidRPr="00E27BB2">
        <w:t>女孩的辍学率比男孩低</w:t>
      </w:r>
      <w:r w:rsidR="00FC5ECC">
        <w:t>1.</w:t>
      </w:r>
      <w:r w:rsidRPr="00E27BB2">
        <w:t>2</w:t>
      </w:r>
      <w:r w:rsidR="00FC5ECC">
        <w:t>%)</w:t>
      </w:r>
      <w:r w:rsidRPr="00E27BB2">
        <w:t>。</w:t>
      </w:r>
      <w:r w:rsidRPr="00E27BB2">
        <w:t>2005</w:t>
      </w:r>
      <w:r w:rsidRPr="00E27BB2">
        <w:t>年进入小学</w:t>
      </w:r>
      <w:r w:rsidRPr="00E27BB2">
        <w:t>5</w:t>
      </w:r>
      <w:r w:rsidRPr="00E27BB2">
        <w:t>年级的学童在城市和农村分别约为</w:t>
      </w:r>
      <w:r w:rsidRPr="00E27BB2">
        <w:t>95</w:t>
      </w:r>
      <w:r w:rsidR="00FC5ECC">
        <w:t>%</w:t>
      </w:r>
      <w:r w:rsidRPr="00E27BB2">
        <w:t>和</w:t>
      </w:r>
      <w:r w:rsidRPr="00E27BB2">
        <w:t>92</w:t>
      </w:r>
      <w:r w:rsidR="00FC5ECC">
        <w:t>%(</w:t>
      </w:r>
      <w:r w:rsidRPr="00E27BB2">
        <w:t>《千年发展目标》</w:t>
      </w:r>
      <w:r w:rsidR="00FC5ECC">
        <w:t>，</w:t>
      </w:r>
      <w:r w:rsidRPr="00E27BB2">
        <w:t>2006</w:t>
      </w:r>
      <w:r w:rsidRPr="00E27BB2">
        <w:t>年</w:t>
      </w:r>
      <w:r w:rsidR="00FC5ECC">
        <w:t>)</w:t>
      </w:r>
      <w:r w:rsidRPr="00E27BB2">
        <w:t>。</w:t>
      </w:r>
      <w:r w:rsidRPr="00E27BB2">
        <w:t>2008</w:t>
      </w:r>
      <w:r w:rsidRPr="00E27BB2">
        <w:t>年</w:t>
      </w:r>
      <w:r w:rsidR="00FC5ECC">
        <w:t>，</w:t>
      </w:r>
      <w:r w:rsidRPr="00E27BB2">
        <w:t>农村儿童的辍学率为</w:t>
      </w:r>
      <w:r w:rsidRPr="00E27BB2">
        <w:t>1</w:t>
      </w:r>
      <w:r w:rsidR="00FC5ECC">
        <w:t>4.</w:t>
      </w:r>
      <w:r w:rsidRPr="00E27BB2">
        <w:t>25</w:t>
      </w:r>
      <w:r w:rsidR="00FC5ECC">
        <w:t>%</w:t>
      </w:r>
      <w:r w:rsidR="00FC5ECC">
        <w:t>，</w:t>
      </w:r>
      <w:r w:rsidRPr="00E27BB2">
        <w:t>罗姆族儿童则为</w:t>
      </w:r>
      <w:r w:rsidRPr="00E27BB2">
        <w:t>50</w:t>
      </w:r>
      <w:r w:rsidR="00FC5ECC">
        <w:t>%(</w:t>
      </w:r>
      <w:r w:rsidRPr="00E27BB2">
        <w:t>《千年发展目标》</w:t>
      </w:r>
      <w:r w:rsidR="00FC5ECC">
        <w:t>，</w:t>
      </w:r>
      <w:r w:rsidRPr="00E27BB2">
        <w:t>2009</w:t>
      </w:r>
      <w:r w:rsidRPr="00E27BB2">
        <w:t>年</w:t>
      </w:r>
      <w:r w:rsidR="00FC5ECC">
        <w:t>)</w:t>
      </w:r>
      <w:r w:rsidRPr="00E27BB2">
        <w:t>。</w:t>
      </w:r>
    </w:p>
    <w:p w:rsidR="00BC40DA" w:rsidRPr="00E27BB2" w:rsidRDefault="00BC40DA" w:rsidP="00BC40DA">
      <w:pPr>
        <w:pStyle w:val="SingleTxtGC"/>
      </w:pPr>
      <w:r w:rsidRPr="00E27BB2">
        <w:t>7</w:t>
      </w:r>
      <w:r w:rsidR="00FC5ECC">
        <w:t>6.</w:t>
      </w:r>
      <w:r w:rsidR="00496C4C">
        <w:rPr>
          <w:rFonts w:hint="eastAsia"/>
        </w:rPr>
        <w:t xml:space="preserve">  </w:t>
      </w:r>
      <w:r w:rsidRPr="00E27BB2">
        <w:t>读完小学的学生人数的比例为</w:t>
      </w:r>
      <w:r w:rsidRPr="00E27BB2">
        <w:t>9</w:t>
      </w:r>
      <w:r w:rsidR="00FC5ECC">
        <w:t>5.</w:t>
      </w:r>
      <w:r w:rsidRPr="00E27BB2">
        <w:t>2</w:t>
      </w:r>
      <w:r w:rsidR="00FC5ECC">
        <w:t>%</w:t>
      </w:r>
      <w:r w:rsidR="00FC5ECC">
        <w:t>，</w:t>
      </w:r>
      <w:r w:rsidR="00496C4C">
        <w:rPr>
          <w:rStyle w:val="FootnoteReference"/>
        </w:rPr>
        <w:footnoteReference w:id="27"/>
      </w:r>
      <w:r w:rsidRPr="00E27BB2">
        <w:t xml:space="preserve"> </w:t>
      </w:r>
      <w:r w:rsidRPr="00E27BB2">
        <w:t>不过这一比例只表明有多少儿童读完了小学</w:t>
      </w:r>
      <w:r w:rsidRPr="00E27BB2">
        <w:t>8</w:t>
      </w:r>
      <w:r w:rsidRPr="00E27BB2">
        <w:t>年级的课程</w:t>
      </w:r>
      <w:r w:rsidR="00FC5ECC">
        <w:t>，</w:t>
      </w:r>
      <w:r w:rsidRPr="00E27BB2">
        <w:t>而并未表明从注册入学直到小学毕业的儿童的比例</w:t>
      </w:r>
      <w:r w:rsidR="00FC5ECC">
        <w:t>(</w:t>
      </w:r>
      <w:r w:rsidRPr="00E27BB2">
        <w:t>因为学童的总人数未得到监测</w:t>
      </w:r>
      <w:r w:rsidR="00FC5ECC">
        <w:t>)</w:t>
      </w:r>
      <w:r w:rsidRPr="00E27BB2">
        <w:t>。农村地区读完小学的学生人数的比例为</w:t>
      </w:r>
      <w:r w:rsidRPr="00E27BB2">
        <w:t>7</w:t>
      </w:r>
      <w:r w:rsidR="00FC5ECC">
        <w:t>4.</w:t>
      </w:r>
      <w:r w:rsidRPr="00E27BB2">
        <w:t>14</w:t>
      </w:r>
      <w:r w:rsidR="00FC5ECC">
        <w:t>%</w:t>
      </w:r>
      <w:r w:rsidR="00FC5ECC">
        <w:t>，</w:t>
      </w:r>
      <w:r w:rsidRPr="00E27BB2">
        <w:t>并存在男生的此种比例低于女生的倾向。</w:t>
      </w:r>
    </w:p>
    <w:p w:rsidR="00BC40DA" w:rsidRPr="00E27BB2" w:rsidRDefault="00BC40DA" w:rsidP="00BC40DA">
      <w:pPr>
        <w:pStyle w:val="SingleTxtGC"/>
      </w:pPr>
      <w:r w:rsidRPr="00E27BB2">
        <w:t>7</w:t>
      </w:r>
      <w:r w:rsidR="00FC5ECC">
        <w:t>7.</w:t>
      </w:r>
      <w:r w:rsidR="00496C4C">
        <w:rPr>
          <w:rFonts w:hint="eastAsia"/>
        </w:rPr>
        <w:t xml:space="preserve">  </w:t>
      </w:r>
      <w:r w:rsidRPr="00E27BB2">
        <w:t>不上中学即不继续接受教育的儿童的比例近年来约为</w:t>
      </w:r>
      <w:r w:rsidRPr="00E27BB2">
        <w:t>2</w:t>
      </w:r>
      <w:r w:rsidR="00FC5ECC">
        <w:t>%</w:t>
      </w:r>
      <w:r w:rsidRPr="00E27BB2">
        <w:t>。</w:t>
      </w:r>
    </w:p>
    <w:p w:rsidR="00BC40DA" w:rsidRPr="00E27BB2" w:rsidRDefault="00BC40DA" w:rsidP="00BC40DA">
      <w:pPr>
        <w:pStyle w:val="SingleTxtGC"/>
      </w:pPr>
      <w:r w:rsidRPr="00E27BB2">
        <w:t>7</w:t>
      </w:r>
      <w:r w:rsidR="00FC5ECC">
        <w:t>8.</w:t>
      </w:r>
      <w:r w:rsidR="00496C4C">
        <w:rPr>
          <w:rFonts w:hint="eastAsia"/>
        </w:rPr>
        <w:t xml:space="preserve">  </w:t>
      </w:r>
      <w:r w:rsidRPr="00E27BB2">
        <w:t>研究表明</w:t>
      </w:r>
      <w:r w:rsidR="00FC5ECC">
        <w:t>，</w:t>
      </w:r>
      <w:r w:rsidRPr="00E27BB2">
        <w:t>2000</w:t>
      </w:r>
      <w:r w:rsidRPr="00E27BB2">
        <w:t>至</w:t>
      </w:r>
      <w:r w:rsidRPr="00E27BB2">
        <w:t>2004</w:t>
      </w:r>
      <w:r w:rsidRPr="00E27BB2">
        <w:t>年的辍学率从</w:t>
      </w:r>
      <w:r w:rsidRPr="00E27BB2">
        <w:t>43</w:t>
      </w:r>
      <w:r w:rsidR="00FC5ECC">
        <w:t>%</w:t>
      </w:r>
      <w:r w:rsidRPr="00E27BB2">
        <w:t>降至</w:t>
      </w:r>
      <w:r w:rsidRPr="00E27BB2">
        <w:t>24</w:t>
      </w:r>
      <w:r w:rsidR="00FC5ECC">
        <w:t>%(</w:t>
      </w:r>
      <w:r w:rsidRPr="00E27BB2">
        <w:t>这是良好的下降趋势</w:t>
      </w:r>
      <w:r w:rsidR="00FC5ECC">
        <w:t>)</w:t>
      </w:r>
      <w:r w:rsidRPr="00E27BB2">
        <w:t>。</w:t>
      </w:r>
      <w:r w:rsidRPr="00E27BB2">
        <w:t>2003-2008</w:t>
      </w:r>
      <w:r w:rsidRPr="00E27BB2">
        <w:t>年期间</w:t>
      </w:r>
      <w:r w:rsidR="00FC5ECC">
        <w:t>，</w:t>
      </w:r>
      <w:r w:rsidRPr="00E27BB2">
        <w:t>注册入学</w:t>
      </w:r>
      <w:r w:rsidRPr="00E27BB2">
        <w:t>4</w:t>
      </w:r>
      <w:r w:rsidRPr="00E27BB2">
        <w:t>年后毕业生人数的比例从</w:t>
      </w:r>
      <w:r w:rsidRPr="00E27BB2">
        <w:t>28</w:t>
      </w:r>
      <w:r w:rsidR="00FC5ECC">
        <w:t>%</w:t>
      </w:r>
      <w:r w:rsidRPr="00E27BB2">
        <w:t>增至</w:t>
      </w:r>
      <w:r w:rsidRPr="00E27BB2">
        <w:t>53</w:t>
      </w:r>
      <w:r w:rsidR="00FC5ECC">
        <w:t>%</w:t>
      </w:r>
      <w:r w:rsidRPr="00E27BB2">
        <w:t>。</w:t>
      </w:r>
    </w:p>
    <w:p w:rsidR="00BC40DA" w:rsidRPr="00E27BB2" w:rsidRDefault="00BC40DA" w:rsidP="00BC40DA">
      <w:pPr>
        <w:pStyle w:val="SingleTxtGC"/>
      </w:pPr>
      <w:r w:rsidRPr="00E27BB2">
        <w:t>7</w:t>
      </w:r>
      <w:r w:rsidR="00FC5ECC">
        <w:t>9.</w:t>
      </w:r>
      <w:r w:rsidR="00496C4C">
        <w:rPr>
          <w:rFonts w:hint="eastAsia"/>
        </w:rPr>
        <w:t xml:space="preserve">  </w:t>
      </w:r>
      <w:r w:rsidRPr="00E27BB2">
        <w:t>为了使更多的罗姆人接受学前教育</w:t>
      </w:r>
      <w:r w:rsidR="00FC5ECC">
        <w:t>，</w:t>
      </w:r>
      <w:r w:rsidRPr="00E27BB2">
        <w:t>教育和科学部与罗姆少数族裔国家理事会以及市政机构合作</w:t>
      </w:r>
      <w:r w:rsidR="00FC5ECC">
        <w:t>，</w:t>
      </w:r>
      <w:r w:rsidRPr="00E27BB2">
        <w:t>于</w:t>
      </w:r>
      <w:r w:rsidRPr="00E27BB2">
        <w:t>2007</w:t>
      </w:r>
      <w:r w:rsidRPr="00E27BB2">
        <w:t>至</w:t>
      </w:r>
      <w:r w:rsidRPr="00E27BB2">
        <w:t>2008</w:t>
      </w:r>
      <w:r w:rsidRPr="00E27BB2">
        <w:t>年在</w:t>
      </w:r>
      <w:r w:rsidRPr="00E27BB2">
        <w:t>30</w:t>
      </w:r>
      <w:r w:rsidRPr="00E27BB2">
        <w:t>个市镇实施了名为</w:t>
      </w:r>
      <w:r w:rsidR="00AB2B6C">
        <w:rPr>
          <w:rFonts w:hint="eastAsia"/>
        </w:rPr>
        <w:t>“</w:t>
      </w:r>
      <w:r w:rsidRPr="00E27BB2">
        <w:t>扩大罗姆族儿童获得学前教育机会</w:t>
      </w:r>
      <w:r w:rsidR="00AB2B6C">
        <w:rPr>
          <w:rFonts w:hint="eastAsia"/>
        </w:rPr>
        <w:t>”</w:t>
      </w:r>
      <w:r w:rsidRPr="00E27BB2">
        <w:t>的项目。该项目涉及大约</w:t>
      </w:r>
      <w:r w:rsidR="00FC5ECC">
        <w:t>2,</w:t>
      </w:r>
      <w:r w:rsidRPr="00E27BB2">
        <w:t>200</w:t>
      </w:r>
      <w:r w:rsidRPr="00E27BB2">
        <w:t>名儿童。</w:t>
      </w:r>
    </w:p>
    <w:p w:rsidR="00BC40DA" w:rsidRPr="00E27BB2" w:rsidRDefault="00BC40DA" w:rsidP="00BC40DA">
      <w:pPr>
        <w:pStyle w:val="SingleTxtGC"/>
      </w:pPr>
      <w:r w:rsidRPr="00E27BB2">
        <w:t>8</w:t>
      </w:r>
      <w:r w:rsidR="00FC5ECC">
        <w:t>0.</w:t>
      </w:r>
      <w:r w:rsidR="00496C4C">
        <w:rPr>
          <w:rFonts w:hint="eastAsia"/>
        </w:rPr>
        <w:t xml:space="preserve">  </w:t>
      </w:r>
      <w:r w:rsidRPr="00E27BB2">
        <w:t>2007</w:t>
      </w:r>
      <w:r w:rsidR="00FC5ECC">
        <w:t>/</w:t>
      </w:r>
      <w:r w:rsidRPr="00E27BB2">
        <w:t>2008</w:t>
      </w:r>
      <w:r w:rsidRPr="00E27BB2">
        <w:t>学年</w:t>
      </w:r>
      <w:r w:rsidR="00FC5ECC">
        <w:t>，</w:t>
      </w:r>
      <w:r w:rsidRPr="00E27BB2">
        <w:t>伏伊伏丁那自治省为</w:t>
      </w:r>
      <w:r w:rsidRPr="00E27BB2">
        <w:t>6</w:t>
      </w:r>
      <w:r w:rsidRPr="00E27BB2">
        <w:t>个月至</w:t>
      </w:r>
      <w:r w:rsidRPr="00E27BB2">
        <w:t>3</w:t>
      </w:r>
      <w:r w:rsidRPr="00E27BB2">
        <w:t>岁的儿童实施了儿童保育教育方案</w:t>
      </w:r>
      <w:r w:rsidR="00FC5ECC">
        <w:t>，</w:t>
      </w:r>
      <w:r w:rsidRPr="00E27BB2">
        <w:t>并为</w:t>
      </w:r>
      <w:r w:rsidRPr="00E27BB2">
        <w:t>3</w:t>
      </w:r>
      <w:r w:rsidRPr="00E27BB2">
        <w:t>岁以上的</w:t>
      </w:r>
      <w:r w:rsidR="00FC5ECC">
        <w:t>1,</w:t>
      </w:r>
      <w:r w:rsidRPr="00E27BB2">
        <w:t>002</w:t>
      </w:r>
      <w:r w:rsidRPr="00E27BB2">
        <w:t>名儿童实施了以罗姆语进行的学前教育方案</w:t>
      </w:r>
      <w:r w:rsidR="00FC5ECC">
        <w:t>；</w:t>
      </w:r>
      <w:r w:rsidRPr="00E27BB2">
        <w:t>2008</w:t>
      </w:r>
      <w:r w:rsidR="00FC5ECC">
        <w:t>/</w:t>
      </w:r>
      <w:r w:rsidRPr="00E27BB2">
        <w:t>2009</w:t>
      </w:r>
      <w:r w:rsidRPr="00E27BB2">
        <w:t>学年则为</w:t>
      </w:r>
      <w:r w:rsidRPr="00E27BB2">
        <w:t>960</w:t>
      </w:r>
      <w:r w:rsidRPr="00E27BB2">
        <w:t>名儿童实施了此种方案。</w:t>
      </w:r>
    </w:p>
    <w:p w:rsidR="00BC40DA" w:rsidRPr="00E27BB2" w:rsidRDefault="00BC40DA" w:rsidP="00BC40DA">
      <w:pPr>
        <w:pStyle w:val="SingleTxtGC"/>
      </w:pPr>
      <w:r w:rsidRPr="00E27BB2">
        <w:t>8</w:t>
      </w:r>
      <w:r w:rsidR="00FC5ECC">
        <w:t>1.</w:t>
      </w:r>
      <w:r w:rsidR="00496C4C">
        <w:rPr>
          <w:rFonts w:hint="eastAsia"/>
        </w:rPr>
        <w:t xml:space="preserve">  </w:t>
      </w:r>
      <w:r w:rsidRPr="00E27BB2">
        <w:t>《教育体系基本原则法》</w:t>
      </w:r>
      <w:r w:rsidR="00496C4C">
        <w:rPr>
          <w:rStyle w:val="FootnoteReference"/>
        </w:rPr>
        <w:footnoteReference w:id="28"/>
      </w:r>
      <w:r w:rsidRPr="00E27BB2">
        <w:t xml:space="preserve"> </w:t>
      </w:r>
      <w:r w:rsidRPr="00E27BB2">
        <w:t>的通过</w:t>
      </w:r>
      <w:r w:rsidR="00FC5ECC">
        <w:t>，</w:t>
      </w:r>
      <w:r w:rsidRPr="00E27BB2">
        <w:t>为使所有儿童都可不受隔离地接受教育和继续教育提供了前提。强制性免费学前教育方案从</w:t>
      </w:r>
      <w:r w:rsidRPr="00E27BB2">
        <w:t>6</w:t>
      </w:r>
      <w:r w:rsidRPr="00E27BB2">
        <w:t>个月延长到</w:t>
      </w:r>
      <w:r w:rsidRPr="00E27BB2">
        <w:t>9</w:t>
      </w:r>
      <w:r w:rsidRPr="00E27BB2">
        <w:t>个月</w:t>
      </w:r>
      <w:r w:rsidR="00FC5ECC">
        <w:t>；</w:t>
      </w:r>
      <w:r w:rsidRPr="00E27BB2">
        <w:t>为社会弱势儿童入学提供了便利条件</w:t>
      </w:r>
      <w:r w:rsidR="00FC5ECC">
        <w:t>(</w:t>
      </w:r>
      <w:r w:rsidRPr="00E27BB2">
        <w:t>例如可用母语报名入学</w:t>
      </w:r>
      <w:r w:rsidR="00FC5ECC">
        <w:t>)</w:t>
      </w:r>
      <w:r w:rsidR="00FC5ECC">
        <w:t>；</w:t>
      </w:r>
      <w:r w:rsidRPr="00E27BB2">
        <w:t>已对接受全纳教育的机会进行了管控</w:t>
      </w:r>
      <w:r w:rsidR="00FC5ECC">
        <w:t>；</w:t>
      </w:r>
      <w:r w:rsidRPr="00E27BB2">
        <w:t>已设想了为儿童和教员建立落实该法律的支助机制。根据共和国统计局的数据</w:t>
      </w:r>
      <w:r w:rsidR="00FC5ECC">
        <w:t>，</w:t>
      </w:r>
      <w:r w:rsidRPr="00E27BB2">
        <w:t>2008</w:t>
      </w:r>
      <w:r w:rsidR="00FC5ECC">
        <w:t>/</w:t>
      </w:r>
      <w:r w:rsidRPr="00E27BB2">
        <w:t>2009</w:t>
      </w:r>
      <w:r w:rsidRPr="00E27BB2">
        <w:t>学年约有</w:t>
      </w:r>
      <w:r w:rsidR="00FC5ECC">
        <w:t>3,</w:t>
      </w:r>
      <w:r w:rsidRPr="00E27BB2">
        <w:t>000</w:t>
      </w:r>
      <w:r w:rsidRPr="00E27BB2">
        <w:t>名罗姆族儿童纳入了学前预备教育方案。</w:t>
      </w:r>
    </w:p>
    <w:p w:rsidR="00BC40DA" w:rsidRPr="00E27BB2" w:rsidRDefault="00BC40DA" w:rsidP="00BC40DA">
      <w:pPr>
        <w:pStyle w:val="SingleTxtGC"/>
      </w:pPr>
      <w:r w:rsidRPr="00E27BB2">
        <w:t>8</w:t>
      </w:r>
      <w:r w:rsidR="00FC5ECC">
        <w:t>2.</w:t>
      </w:r>
      <w:r w:rsidR="00C75FD6">
        <w:rPr>
          <w:rFonts w:hint="eastAsia"/>
        </w:rPr>
        <w:t xml:space="preserve">  </w:t>
      </w:r>
      <w:r w:rsidRPr="00E27BB2">
        <w:t>2010</w:t>
      </w:r>
      <w:r w:rsidR="00FC5ECC">
        <w:t>/</w:t>
      </w:r>
      <w:r w:rsidRPr="00E27BB2">
        <w:t>2011</w:t>
      </w:r>
      <w:r w:rsidRPr="00E27BB2">
        <w:t>学年的数据显示</w:t>
      </w:r>
      <w:r w:rsidR="00FC5ECC">
        <w:t>，</w:t>
      </w:r>
      <w:r w:rsidRPr="00E27BB2">
        <w:t>在小学一年级就读的儿童中</w:t>
      </w:r>
      <w:r w:rsidR="00FC5ECC">
        <w:t>，</w:t>
      </w:r>
      <w:r w:rsidRPr="00E27BB2">
        <w:t>罗姆族学生有</w:t>
      </w:r>
      <w:r w:rsidR="00FC5ECC">
        <w:t>2,</w:t>
      </w:r>
      <w:r w:rsidRPr="00E27BB2">
        <w:t>136</w:t>
      </w:r>
      <w:r w:rsidRPr="00E27BB2">
        <w:t>人</w:t>
      </w:r>
      <w:r w:rsidR="00FC5ECC">
        <w:t>(7.</w:t>
      </w:r>
      <w:r w:rsidRPr="00E27BB2">
        <w:t>41</w:t>
      </w:r>
      <w:r w:rsidR="00FC5ECC">
        <w:t>%)</w:t>
      </w:r>
      <w:r w:rsidR="00FC5ECC">
        <w:t>，</w:t>
      </w:r>
      <w:r w:rsidRPr="00E27BB2">
        <w:t>比上一学年增加了约</w:t>
      </w:r>
      <w:r w:rsidR="00FC5ECC">
        <w:t>9.</w:t>
      </w:r>
      <w:r w:rsidRPr="00E27BB2">
        <w:t>87</w:t>
      </w:r>
      <w:r w:rsidR="00FC5ECC">
        <w:t>%</w:t>
      </w:r>
      <w:r w:rsidRPr="00E27BB2">
        <w:t>。罗姆人在教育体系中的比例有所提高的原因如下</w:t>
      </w:r>
      <w:r w:rsidR="00FC5ECC">
        <w:t>：</w:t>
      </w:r>
      <w:r w:rsidRPr="00E27BB2">
        <w:t>采用了所谓的</w:t>
      </w:r>
      <w:r w:rsidR="00C75FD6">
        <w:rPr>
          <w:rFonts w:hint="eastAsia"/>
        </w:rPr>
        <w:t>“</w:t>
      </w:r>
      <w:r w:rsidRPr="00E27BB2">
        <w:t>有条件入学</w:t>
      </w:r>
      <w:r w:rsidR="00C75FD6">
        <w:rPr>
          <w:rFonts w:hint="eastAsia"/>
        </w:rPr>
        <w:t>”</w:t>
      </w:r>
      <w:r w:rsidRPr="00E27BB2">
        <w:t>做法</w:t>
      </w:r>
      <w:r w:rsidR="00FC5ECC">
        <w:t>，</w:t>
      </w:r>
      <w:r w:rsidRPr="00E27BB2">
        <w:t>使没有完整文件的儿童得以入学</w:t>
      </w:r>
      <w:r w:rsidR="00FC5ECC">
        <w:t>(</w:t>
      </w:r>
      <w:r w:rsidRPr="00E27BB2">
        <w:t>即没有齐全的个人文件或强制性学前预备学校就学证书的儿童得以入学</w:t>
      </w:r>
      <w:r w:rsidR="00FC5ECC">
        <w:t>)</w:t>
      </w:r>
      <w:r w:rsidR="00FC5ECC">
        <w:t>；</w:t>
      </w:r>
      <w:r w:rsidRPr="00E27BB2">
        <w:t>免费提供教科书</w:t>
      </w:r>
      <w:r w:rsidR="00FC5ECC">
        <w:t>(</w:t>
      </w:r>
      <w:r w:rsidRPr="00E27BB2">
        <w:t>2009</w:t>
      </w:r>
      <w:r w:rsidR="00FC5ECC">
        <w:t>/</w:t>
      </w:r>
      <w:r w:rsidRPr="00E27BB2">
        <w:t>2010</w:t>
      </w:r>
      <w:r w:rsidRPr="00E27BB2">
        <w:t>学年向小学一年级学生免费提供了</w:t>
      </w:r>
      <w:r w:rsidRPr="00E27BB2">
        <w:t>7</w:t>
      </w:r>
      <w:r w:rsidR="00FC5ECC">
        <w:t>4,</w:t>
      </w:r>
      <w:r w:rsidRPr="00E27BB2">
        <w:t>000</w:t>
      </w:r>
      <w:r w:rsidRPr="00E27BB2">
        <w:t>套教科书</w:t>
      </w:r>
      <w:r w:rsidR="00FC5ECC">
        <w:t>，</w:t>
      </w:r>
      <w:r w:rsidRPr="00E27BB2">
        <w:t>2010</w:t>
      </w:r>
      <w:r w:rsidR="00FC5ECC">
        <w:t>/</w:t>
      </w:r>
      <w:r w:rsidRPr="00E27BB2">
        <w:t>2011</w:t>
      </w:r>
      <w:r w:rsidRPr="00E27BB2">
        <w:t>学年向小学一年级学生免费提供了</w:t>
      </w:r>
      <w:r w:rsidRPr="00E27BB2">
        <w:t>7</w:t>
      </w:r>
      <w:r w:rsidR="00FC5ECC">
        <w:t>4,</w:t>
      </w:r>
      <w:r w:rsidRPr="00E27BB2">
        <w:t>319</w:t>
      </w:r>
      <w:r w:rsidRPr="00E27BB2">
        <w:t>套教科书</w:t>
      </w:r>
      <w:r w:rsidR="00FC5ECC">
        <w:t>，</w:t>
      </w:r>
      <w:r w:rsidRPr="00E27BB2">
        <w:t>并向小学二年级学生免费提供了</w:t>
      </w:r>
      <w:r w:rsidRPr="00E27BB2">
        <w:t>7</w:t>
      </w:r>
      <w:r w:rsidR="00FC5ECC">
        <w:t>4,</w:t>
      </w:r>
      <w:r w:rsidRPr="00E27BB2">
        <w:t>305</w:t>
      </w:r>
      <w:r w:rsidRPr="00E27BB2">
        <w:t>套教科书</w:t>
      </w:r>
      <w:r w:rsidR="00FC5ECC">
        <w:t>)</w:t>
      </w:r>
      <w:r w:rsidRPr="00E27BB2">
        <w:t>。</w:t>
      </w:r>
    </w:p>
    <w:p w:rsidR="00BC40DA" w:rsidRPr="00E27BB2" w:rsidRDefault="00BC40DA" w:rsidP="00BC40DA">
      <w:pPr>
        <w:pStyle w:val="SingleTxtGC"/>
      </w:pPr>
      <w:r w:rsidRPr="00E27BB2">
        <w:t>8</w:t>
      </w:r>
      <w:r w:rsidR="00FC5ECC">
        <w:t>3.</w:t>
      </w:r>
      <w:r w:rsidR="00E0531E">
        <w:rPr>
          <w:rFonts w:hint="eastAsia"/>
        </w:rPr>
        <w:t xml:space="preserve">  </w:t>
      </w:r>
      <w:r w:rsidRPr="00E27BB2">
        <w:t>为了提高教育质量和扩大接受教育的机会</w:t>
      </w:r>
      <w:r w:rsidR="00FC5ECC">
        <w:t>，</w:t>
      </w:r>
      <w:r w:rsidRPr="00E27BB2">
        <w:t>教育和科学部正在实施</w:t>
      </w:r>
      <w:r w:rsidR="00E0531E">
        <w:rPr>
          <w:rFonts w:hint="eastAsia"/>
        </w:rPr>
        <w:t>“</w:t>
      </w:r>
      <w:r w:rsidRPr="00E27BB2">
        <w:t>全民教育</w:t>
      </w:r>
      <w:r w:rsidR="00E0531E">
        <w:rPr>
          <w:rFonts w:hint="eastAsia"/>
        </w:rPr>
        <w:t>”</w:t>
      </w:r>
      <w:r w:rsidRPr="00E27BB2">
        <w:t>项目</w:t>
      </w:r>
      <w:r w:rsidR="00FC5ECC">
        <w:t>(</w:t>
      </w:r>
      <w:r w:rsidRPr="00E27BB2">
        <w:t>2008</w:t>
      </w:r>
      <w:r w:rsidRPr="00E27BB2">
        <w:t>年《加入欧盟前援助文书》第一部分</w:t>
      </w:r>
      <w:r w:rsidR="00FC5ECC">
        <w:t>)</w:t>
      </w:r>
      <w:r w:rsidRPr="00E27BB2">
        <w:t>。该项目将在学前班和小学向罗姆人所属的边缘群体儿童提供全纳和优质教育。这项工作将与教学助理人员以及教员合作开展。《教育体系基本原则法》规定</w:t>
      </w:r>
      <w:r w:rsidR="00FC5ECC">
        <w:t>，</w:t>
      </w:r>
      <w:r w:rsidRPr="00E27BB2">
        <w:t>教学助理人员应根据儿童和学生的需要向他们提供协助和额外支持</w:t>
      </w:r>
      <w:r w:rsidR="00FC5ECC">
        <w:t>；</w:t>
      </w:r>
      <w:r w:rsidRPr="00E27BB2">
        <w:t>普通教师、预备学校教师以及专家协理人员应负责加强从事涉及社会弱势群体儿童和学生的工作。该项目第二部分的目的是提高学前教育教师和普通教师的专业水平</w:t>
      </w:r>
      <w:r w:rsidR="00FC5ECC">
        <w:t>，</w:t>
      </w:r>
      <w:r w:rsidRPr="00E27BB2">
        <w:t>因此为他们举办了关于获得包容性职业发展机会的专业培训。除了制定个性化课程外</w:t>
      </w:r>
      <w:r w:rsidR="00FC5ECC">
        <w:t>，</w:t>
      </w:r>
      <w:r w:rsidRPr="00E27BB2">
        <w:t>学前教育教师和普通教师还发展了同教学助理人员合作的模式</w:t>
      </w:r>
      <w:r w:rsidR="00FC5ECC">
        <w:t>，</w:t>
      </w:r>
      <w:r w:rsidRPr="00E27BB2">
        <w:t>以便通过交流经验和知识</w:t>
      </w:r>
      <w:r w:rsidR="00FC5ECC">
        <w:t>，</w:t>
      </w:r>
      <w:r w:rsidRPr="00E27BB2">
        <w:t>制定最有效的职业发展和工作模式。在</w:t>
      </w:r>
      <w:r w:rsidRPr="00E27BB2">
        <w:t>48</w:t>
      </w:r>
      <w:r w:rsidRPr="00E27BB2">
        <w:t>个学前教育机构和</w:t>
      </w:r>
      <w:r w:rsidRPr="00E27BB2">
        <w:t>80</w:t>
      </w:r>
      <w:r w:rsidRPr="00E27BB2">
        <w:t>所小学中</w:t>
      </w:r>
      <w:r w:rsidR="00FC5ECC">
        <w:t>，</w:t>
      </w:r>
      <w:r w:rsidRPr="00E27BB2">
        <w:t>目前有</w:t>
      </w:r>
      <w:r w:rsidRPr="00E27BB2">
        <w:t>180</w:t>
      </w:r>
      <w:r w:rsidRPr="00E27BB2">
        <w:t>名教学助理人员正在按照《教学助理人员培训规则手册》</w:t>
      </w:r>
      <w:r w:rsidR="00E0531E">
        <w:rPr>
          <w:rStyle w:val="FootnoteReference"/>
        </w:rPr>
        <w:footnoteReference w:id="29"/>
      </w:r>
      <w:r w:rsidRPr="00E27BB2">
        <w:t xml:space="preserve"> </w:t>
      </w:r>
      <w:r w:rsidRPr="00E27BB2">
        <w:t>和《公务部门雇员薪金计算及支付系数订正条例》</w:t>
      </w:r>
      <w:r w:rsidR="00E0531E">
        <w:rPr>
          <w:rStyle w:val="FootnoteReference"/>
        </w:rPr>
        <w:footnoteReference w:id="30"/>
      </w:r>
      <w:r w:rsidRPr="00E27BB2">
        <w:t xml:space="preserve"> </w:t>
      </w:r>
      <w:r w:rsidRPr="00E27BB2">
        <w:t>开展工作。现已为他们举办了介绍性培训</w:t>
      </w:r>
      <w:r w:rsidR="00FC5ECC">
        <w:t>，</w:t>
      </w:r>
      <w:r w:rsidRPr="00E27BB2">
        <w:t>并对塞尔维亚共和国各学校、幼儿园和学校行政部门雇用的</w:t>
      </w:r>
      <w:r w:rsidRPr="00E27BB2">
        <w:t>500</w:t>
      </w:r>
      <w:r w:rsidRPr="00E27BB2">
        <w:t>多名教育工作者进行了培训。</w:t>
      </w:r>
    </w:p>
    <w:p w:rsidR="00BC40DA" w:rsidRPr="00E27BB2" w:rsidRDefault="00BC40DA" w:rsidP="00007207">
      <w:pPr>
        <w:pStyle w:val="SingleTxtGC"/>
      </w:pPr>
      <w:r w:rsidRPr="00E27BB2">
        <w:t>8</w:t>
      </w:r>
      <w:r w:rsidR="00FC5ECC">
        <w:t>4.</w:t>
      </w:r>
      <w:r w:rsidR="00007207">
        <w:rPr>
          <w:rFonts w:hint="eastAsia"/>
        </w:rPr>
        <w:t xml:space="preserve">  </w:t>
      </w:r>
      <w:r w:rsidR="00007207">
        <w:rPr>
          <w:rFonts w:hint="eastAsia"/>
        </w:rPr>
        <w:t>“</w:t>
      </w:r>
      <w:r w:rsidRPr="00E27BB2">
        <w:t>第二次机会</w:t>
      </w:r>
      <w:r w:rsidR="00007207">
        <w:rPr>
          <w:rFonts w:hint="eastAsia"/>
        </w:rPr>
        <w:t>”</w:t>
      </w:r>
      <w:r w:rsidRPr="00E27BB2">
        <w:t>项目</w:t>
      </w:r>
      <w:r w:rsidR="00FC5ECC">
        <w:t>(</w:t>
      </w:r>
      <w:r w:rsidRPr="00E27BB2">
        <w:t>2008</w:t>
      </w:r>
      <w:r w:rsidRPr="00E27BB2">
        <w:t>年《加入欧盟前援助文书》第一部分</w:t>
      </w:r>
      <w:r w:rsidR="00FC5ECC">
        <w:t>)</w:t>
      </w:r>
      <w:r w:rsidRPr="00E27BB2">
        <w:t>也影响了对罗姆人教育的发展。它涉及为在取得初步的就业资格和</w:t>
      </w:r>
      <w:r w:rsidR="00FC5ECC">
        <w:t>(</w:t>
      </w:r>
      <w:r w:rsidRPr="00E27BB2">
        <w:t>或</w:t>
      </w:r>
      <w:r w:rsidR="00FC5ECC">
        <w:t>)</w:t>
      </w:r>
      <w:r w:rsidRPr="00E27BB2">
        <w:t>实用识字能力之前就辍学的成年人建立实用的初等教育系统。该项目将为成年人接受小学教育的进程提供有系统的解决办法</w:t>
      </w:r>
      <w:r w:rsidR="00FC5ECC">
        <w:t>，</w:t>
      </w:r>
      <w:r w:rsidRPr="00E27BB2">
        <w:t>为他们提供一次机会</w:t>
      </w:r>
      <w:r w:rsidR="00FC5ECC">
        <w:t>，</w:t>
      </w:r>
      <w:r w:rsidRPr="00E27BB2">
        <w:t>通过关于劳力市场需求的持续培训系统</w:t>
      </w:r>
      <w:r w:rsidR="00FC5ECC">
        <w:t>，</w:t>
      </w:r>
      <w:r w:rsidRPr="00E27BB2">
        <w:t>或是通过适合成年人需求的中学课程</w:t>
      </w:r>
      <w:r w:rsidR="00FC5ECC">
        <w:t>，</w:t>
      </w:r>
      <w:r w:rsidRPr="00E27BB2">
        <w:t>完成他们已经开始的小学教育并继续接受中学教育。现已在塞尔维亚共和国</w:t>
      </w:r>
      <w:r w:rsidRPr="00E27BB2">
        <w:t>80</w:t>
      </w:r>
      <w:r w:rsidRPr="00E27BB2">
        <w:t>所普通小学和成人教育小学开设了成人教育实验课程</w:t>
      </w:r>
      <w:r w:rsidR="00FC5ECC">
        <w:t>，</w:t>
      </w:r>
      <w:r w:rsidRPr="00E27BB2">
        <w:t>并将在</w:t>
      </w:r>
      <w:r w:rsidRPr="00E27BB2">
        <w:t>75</w:t>
      </w:r>
      <w:r w:rsidRPr="00E27BB2">
        <w:t>所中等职业学校实施用于</w:t>
      </w:r>
      <w:r w:rsidRPr="00E27BB2">
        <w:t>30</w:t>
      </w:r>
      <w:r w:rsidRPr="00E27BB2">
        <w:t>项专业培训方案的实验标准</w:t>
      </w:r>
      <w:r w:rsidR="00FC5ECC">
        <w:t>，</w:t>
      </w:r>
      <w:r w:rsidRPr="00E27BB2">
        <w:t>从而将社会融入确认为需要更多的社会合作伙伴予以协调的广泛的社会需求。</w:t>
      </w:r>
    </w:p>
    <w:p w:rsidR="00BC40DA" w:rsidRPr="00E27BB2" w:rsidRDefault="00007207" w:rsidP="00007207">
      <w:pPr>
        <w:pStyle w:val="H23GC"/>
      </w:pPr>
      <w:r>
        <w:rPr>
          <w:rFonts w:hint="eastAsia"/>
        </w:rPr>
        <w:tab/>
      </w:r>
      <w:r>
        <w:rPr>
          <w:rFonts w:hint="eastAsia"/>
        </w:rPr>
        <w:tab/>
      </w:r>
      <w:r w:rsidR="00BC40DA" w:rsidRPr="00E27BB2">
        <w:t>对问题清单第</w:t>
      </w:r>
      <w:r w:rsidR="00BC40DA" w:rsidRPr="00E27BB2">
        <w:t>12</w:t>
      </w:r>
      <w:r w:rsidR="00BC40DA" w:rsidRPr="00E27BB2">
        <w:t>段所提问题的答复</w:t>
      </w:r>
    </w:p>
    <w:p w:rsidR="00BC40DA" w:rsidRPr="00E27BB2" w:rsidRDefault="00BC40DA" w:rsidP="00007207">
      <w:pPr>
        <w:pStyle w:val="SingleTxtGC"/>
      </w:pPr>
      <w:r w:rsidRPr="00E27BB2">
        <w:t>8</w:t>
      </w:r>
      <w:r w:rsidR="00FC5ECC">
        <w:t>5.</w:t>
      </w:r>
      <w:r w:rsidR="00007207">
        <w:rPr>
          <w:rFonts w:hint="eastAsia"/>
        </w:rPr>
        <w:t xml:space="preserve">  </w:t>
      </w:r>
      <w:r w:rsidRPr="00E27BB2">
        <w:t>从</w:t>
      </w:r>
      <w:r w:rsidRPr="00E27BB2">
        <w:t>2010</w:t>
      </w:r>
      <w:r w:rsidR="00FC5ECC">
        <w:t>/</w:t>
      </w:r>
      <w:r w:rsidRPr="00E27BB2">
        <w:t>2011</w:t>
      </w:r>
      <w:r w:rsidRPr="00E27BB2">
        <w:t>学年入学学生人数的数据可以看出</w:t>
      </w:r>
      <w:r w:rsidR="00FC5ECC">
        <w:t>，</w:t>
      </w:r>
      <w:r w:rsidRPr="00E27BB2">
        <w:t>入学的女生多于男生</w:t>
      </w:r>
      <w:r w:rsidR="00FC5ECC">
        <w:t>：</w:t>
      </w:r>
      <w:r w:rsidRPr="00E27BB2">
        <w:t>男生为</w:t>
      </w:r>
      <w:r w:rsidRPr="00E27BB2">
        <w:t>8</w:t>
      </w:r>
      <w:r w:rsidR="00FC5ECC">
        <w:t>0,</w:t>
      </w:r>
      <w:r w:rsidRPr="00E27BB2">
        <w:t>255</w:t>
      </w:r>
      <w:r w:rsidRPr="00E27BB2">
        <w:t>人</w:t>
      </w:r>
      <w:r w:rsidR="00FC5ECC">
        <w:t>，</w:t>
      </w:r>
      <w:r w:rsidRPr="00E27BB2">
        <w:t>女生为</w:t>
      </w:r>
      <w:r w:rsidRPr="00E27BB2">
        <w:t>9</w:t>
      </w:r>
      <w:r w:rsidR="00FC5ECC">
        <w:t>4,</w:t>
      </w:r>
      <w:r w:rsidRPr="00E27BB2">
        <w:t>522</w:t>
      </w:r>
      <w:r w:rsidRPr="00E27BB2">
        <w:t>人</w:t>
      </w:r>
      <w:r w:rsidR="00FC5ECC">
        <w:t>，</w:t>
      </w:r>
      <w:r w:rsidRPr="00E27BB2">
        <w:t>而根据旧的课程</w:t>
      </w:r>
      <w:r w:rsidR="00FC5ECC">
        <w:t>，</w:t>
      </w:r>
      <w:r w:rsidRPr="00E27BB2">
        <w:t>入学的男女学生分别为</w:t>
      </w:r>
      <w:r w:rsidR="00FC5ECC">
        <w:t>9,</w:t>
      </w:r>
      <w:r w:rsidRPr="00E27BB2">
        <w:t>314</w:t>
      </w:r>
      <w:r w:rsidRPr="00E27BB2">
        <w:t>人和</w:t>
      </w:r>
      <w:r w:rsidRPr="00E27BB2">
        <w:t>1</w:t>
      </w:r>
      <w:r w:rsidR="00FC5ECC">
        <w:t>4,</w:t>
      </w:r>
      <w:r w:rsidRPr="00E27BB2">
        <w:t>524</w:t>
      </w:r>
      <w:r w:rsidRPr="00E27BB2">
        <w:t>人</w:t>
      </w:r>
      <w:r w:rsidR="00007207">
        <w:rPr>
          <w:rStyle w:val="FootnoteReference"/>
        </w:rPr>
        <w:footnoteReference w:id="31"/>
      </w:r>
      <w:r w:rsidRPr="00E27BB2">
        <w:t>。更详尽的数据可查阅出版物《塞尔维亚共和国境内的妇女和男子》</w:t>
      </w:r>
      <w:r w:rsidR="00FC5ECC">
        <w:t>，</w:t>
      </w:r>
      <w:r w:rsidRPr="00E27BB2">
        <w:t>该出版物可见于</w:t>
      </w:r>
      <w:r w:rsidR="00BC71BC">
        <w:rPr>
          <w:rFonts w:hint="eastAsia"/>
        </w:rPr>
        <w:t>“</w:t>
      </w:r>
      <w:r w:rsidRPr="00E27BB2">
        <w:t>图表</w:t>
      </w:r>
      <w:r w:rsidR="00BC71BC">
        <w:rPr>
          <w:rFonts w:hint="eastAsia"/>
        </w:rPr>
        <w:t>”</w:t>
      </w:r>
      <w:r w:rsidR="00BC71BC">
        <w:rPr>
          <w:rStyle w:val="FootnoteReference"/>
        </w:rPr>
        <w:footnoteReference w:id="32"/>
      </w:r>
      <w:r w:rsidRPr="00E27BB2">
        <w:t xml:space="preserve"> </w:t>
      </w:r>
      <w:r w:rsidRPr="00E27BB2">
        <w:t>英译本。</w:t>
      </w:r>
    </w:p>
    <w:p w:rsidR="00BC40DA" w:rsidRPr="00E27BB2" w:rsidRDefault="000E3945" w:rsidP="000E3945">
      <w:pPr>
        <w:pStyle w:val="H1GC"/>
      </w:pPr>
      <w:r>
        <w:rPr>
          <w:rFonts w:hint="eastAsia"/>
        </w:rPr>
        <w:tab/>
      </w:r>
      <w:r>
        <w:rPr>
          <w:rFonts w:hint="eastAsia"/>
        </w:rPr>
        <w:tab/>
      </w:r>
      <w:r w:rsidR="00BC40DA" w:rsidRPr="00E27BB2">
        <w:t>就业</w:t>
      </w:r>
    </w:p>
    <w:p w:rsidR="00BC40DA" w:rsidRPr="00E27BB2" w:rsidRDefault="000E3945" w:rsidP="000E3945">
      <w:pPr>
        <w:pStyle w:val="H23GC"/>
      </w:pPr>
      <w:r>
        <w:rPr>
          <w:rFonts w:hint="eastAsia"/>
        </w:rPr>
        <w:tab/>
      </w:r>
      <w:r>
        <w:rPr>
          <w:rFonts w:hint="eastAsia"/>
        </w:rPr>
        <w:tab/>
      </w:r>
      <w:r w:rsidR="00BC40DA" w:rsidRPr="00E27BB2">
        <w:t>对问题清单第</w:t>
      </w:r>
      <w:r w:rsidR="00BC40DA" w:rsidRPr="00E27BB2">
        <w:t>13</w:t>
      </w:r>
      <w:r w:rsidR="00BC40DA" w:rsidRPr="00E27BB2">
        <w:t>段所提问题的答复</w:t>
      </w:r>
    </w:p>
    <w:p w:rsidR="00BC40DA" w:rsidRPr="00E27BB2" w:rsidRDefault="00BC40DA" w:rsidP="000E3945">
      <w:pPr>
        <w:pStyle w:val="SingleTxtGC"/>
      </w:pPr>
      <w:r w:rsidRPr="00E27BB2">
        <w:t>8</w:t>
      </w:r>
      <w:r w:rsidR="00FC5ECC">
        <w:t>6.</w:t>
      </w:r>
      <w:r w:rsidR="000E3945">
        <w:rPr>
          <w:rFonts w:hint="eastAsia"/>
        </w:rPr>
        <w:t xml:space="preserve">  </w:t>
      </w:r>
      <w:r w:rsidRPr="00E27BB2">
        <w:t>关于执行《提高妇女地位和实现两性平等</w:t>
      </w:r>
      <w:r w:rsidRPr="00E27BB2">
        <w:t>2010-2015</w:t>
      </w:r>
      <w:r w:rsidRPr="00E27BB2">
        <w:t>年国家行动计划》</w:t>
      </w:r>
      <w:r w:rsidR="000E3945">
        <w:rPr>
          <w:rStyle w:val="FootnoteReference"/>
        </w:rPr>
        <w:footnoteReference w:id="33"/>
      </w:r>
      <w:r w:rsidRPr="00E27BB2">
        <w:t xml:space="preserve"> </w:t>
      </w:r>
      <w:r w:rsidRPr="00E27BB2">
        <w:t>的《行动计划》项目</w:t>
      </w:r>
      <w:r w:rsidR="00FC5ECC">
        <w:t>2.1.</w:t>
      </w:r>
      <w:r w:rsidRPr="00E27BB2">
        <w:t>6</w:t>
      </w:r>
      <w:r w:rsidRPr="00E27BB2">
        <w:t>设想了</w:t>
      </w:r>
      <w:r w:rsidR="000E3945">
        <w:rPr>
          <w:rFonts w:hint="eastAsia"/>
        </w:rPr>
        <w:t>“</w:t>
      </w:r>
      <w:r w:rsidRPr="00E27BB2">
        <w:t>有助于平衡工作条件和家庭生活的促进就业政策和工作的方案</w:t>
      </w:r>
      <w:r w:rsidR="000E3945">
        <w:rPr>
          <w:rFonts w:hint="eastAsia"/>
        </w:rPr>
        <w:t>”</w:t>
      </w:r>
      <w:r w:rsidR="00FC5ECC">
        <w:t>(</w:t>
      </w:r>
      <w:r w:rsidR="000E3945">
        <w:rPr>
          <w:rFonts w:hint="eastAsia"/>
        </w:rPr>
        <w:t>“</w:t>
      </w:r>
      <w:r w:rsidRPr="00E27BB2">
        <w:t>欧洲平衡事业与家庭关系模式</w:t>
      </w:r>
      <w:r w:rsidR="000E3945">
        <w:rPr>
          <w:rFonts w:hint="eastAsia"/>
        </w:rPr>
        <w:t>”</w:t>
      </w:r>
      <w:r w:rsidR="00FC5ECC">
        <w:t>)</w:t>
      </w:r>
      <w:r w:rsidRPr="00E27BB2">
        <w:t>。该项目计划开展以下各项工作</w:t>
      </w:r>
      <w:r w:rsidR="00FC5ECC">
        <w:t>：</w:t>
      </w:r>
    </w:p>
    <w:p w:rsidR="00BC40DA" w:rsidRPr="00E27BB2" w:rsidRDefault="00BC40DA" w:rsidP="000E3945">
      <w:pPr>
        <w:pStyle w:val="DashGC"/>
      </w:pPr>
      <w:r w:rsidRPr="00E27BB2">
        <w:t>为</w:t>
      </w:r>
      <w:r w:rsidRPr="00E27BB2">
        <w:t>7</w:t>
      </w:r>
      <w:r w:rsidRPr="00E27BB2">
        <w:t>岁以下儿童提供易于利用的日托和延长托儿时间的服务。这些活动由以下机构主管</w:t>
      </w:r>
      <w:r w:rsidR="00FC5ECC">
        <w:t>：</w:t>
      </w:r>
      <w:r w:rsidRPr="00E27BB2">
        <w:t>地方自治单位</w:t>
      </w:r>
      <w:r w:rsidR="00FC5ECC">
        <w:t>，</w:t>
      </w:r>
      <w:r w:rsidRPr="00E27BB2">
        <w:t>以及劳动和社会政策部</w:t>
      </w:r>
      <w:r w:rsidR="000E3945">
        <w:rPr>
          <w:rStyle w:val="FootnoteReference"/>
        </w:rPr>
        <w:footnoteReference w:id="34"/>
      </w:r>
      <w:r w:rsidR="00FC5ECC">
        <w:t>；</w:t>
      </w:r>
    </w:p>
    <w:p w:rsidR="00BC40DA" w:rsidRPr="00E27BB2" w:rsidRDefault="00BC40DA" w:rsidP="000E3945">
      <w:pPr>
        <w:pStyle w:val="DashGC"/>
      </w:pPr>
      <w:r w:rsidRPr="00E27BB2">
        <w:t>改善为</w:t>
      </w:r>
      <w:r w:rsidRPr="00E27BB2">
        <w:t>12</w:t>
      </w:r>
      <w:r w:rsidRPr="00E27BB2">
        <w:t>岁以下儿童提供日托服务的各种形式</w:t>
      </w:r>
      <w:r w:rsidR="00FC5ECC">
        <w:t>，</w:t>
      </w:r>
      <w:r w:rsidRPr="00E27BB2">
        <w:t>鼓励大型企业和私营部门向其员工子女提供此种服务。这些活动由以下机构主管</w:t>
      </w:r>
      <w:r w:rsidR="00FC5ECC">
        <w:t>：</w:t>
      </w:r>
      <w:r w:rsidRPr="00E27BB2">
        <w:t>与私营部门合作的地方自治单位</w:t>
      </w:r>
      <w:r w:rsidR="00FC5ECC">
        <w:t>，</w:t>
      </w:r>
      <w:r w:rsidRPr="00E27BB2">
        <w:t>以及劳动和社会政策部</w:t>
      </w:r>
      <w:r w:rsidR="000E3945">
        <w:rPr>
          <w:rStyle w:val="FootnoteReference"/>
        </w:rPr>
        <w:footnoteReference w:id="35"/>
      </w:r>
      <w:r w:rsidR="00FC5ECC">
        <w:t>；</w:t>
      </w:r>
    </w:p>
    <w:p w:rsidR="00BC40DA" w:rsidRPr="00E27BB2" w:rsidRDefault="00BC40DA" w:rsidP="000E3945">
      <w:pPr>
        <w:pStyle w:val="DashGC"/>
      </w:pPr>
      <w:r w:rsidRPr="00E27BB2">
        <w:t>改善对老年人和慢性病患者的照料。这些活动由以下机构主管</w:t>
      </w:r>
      <w:r w:rsidR="00FC5ECC">
        <w:t>：</w:t>
      </w:r>
      <w:r w:rsidRPr="00E27BB2">
        <w:t>地方自治单位、劳动和社会政策部、以及</w:t>
      </w:r>
      <w:r w:rsidRPr="00E27BB2">
        <w:rPr>
          <w:lang w:val="en-GB"/>
        </w:rPr>
        <w:t>国家就业事务局</w:t>
      </w:r>
      <w:r w:rsidR="000E3945">
        <w:rPr>
          <w:rStyle w:val="FootnoteReference"/>
          <w:lang w:val="en-GB"/>
        </w:rPr>
        <w:footnoteReference w:id="36"/>
      </w:r>
      <w:r w:rsidRPr="00E27BB2">
        <w:rPr>
          <w:lang w:val="en-GB"/>
        </w:rPr>
        <w:t>。</w:t>
      </w:r>
    </w:p>
    <w:p w:rsidR="00BC40DA" w:rsidRPr="00E27BB2" w:rsidRDefault="00C1784A" w:rsidP="00BC40DA">
      <w:pPr>
        <w:pStyle w:val="SingleTxtGC"/>
        <w:rPr>
          <w:rFonts w:hint="eastAsia"/>
        </w:rPr>
      </w:pPr>
      <w:r>
        <w:rPr>
          <w:rFonts w:hint="eastAsia"/>
        </w:rPr>
        <w:tab/>
      </w:r>
      <w:r w:rsidR="00BC40DA" w:rsidRPr="00E27BB2">
        <w:t>关于</w:t>
      </w:r>
      <w:r w:rsidR="00736541">
        <w:rPr>
          <w:rFonts w:hint="eastAsia"/>
        </w:rPr>
        <w:t>“</w:t>
      </w:r>
      <w:r w:rsidR="00BC40DA" w:rsidRPr="00E27BB2">
        <w:t>鼓励男子同妇女一样履行家庭责任、照料儿童、老年人和患病家庭成员的公众宣传活动实施情况</w:t>
      </w:r>
      <w:r w:rsidR="00736541">
        <w:rPr>
          <w:rFonts w:hint="eastAsia"/>
        </w:rPr>
        <w:t>”</w:t>
      </w:r>
      <w:r w:rsidR="000736F3">
        <w:rPr>
          <w:rStyle w:val="FootnoteReference"/>
        </w:rPr>
        <w:footnoteReference w:id="37"/>
      </w:r>
      <w:r w:rsidR="00FC5ECC">
        <w:t>，</w:t>
      </w:r>
      <w:r w:rsidR="00BC40DA" w:rsidRPr="00E27BB2">
        <w:t>两性平等司将提交以下数据</w:t>
      </w:r>
      <w:r w:rsidR="00FC5ECC">
        <w:t>：</w:t>
      </w:r>
    </w:p>
    <w:p w:rsidR="00BC40DA" w:rsidRPr="00E27BB2" w:rsidRDefault="00BC40DA" w:rsidP="00BC40DA">
      <w:pPr>
        <w:pStyle w:val="SingleTxtGC"/>
      </w:pPr>
      <w:r w:rsidRPr="00E27BB2">
        <w:t>8</w:t>
      </w:r>
      <w:r w:rsidR="00FC5ECC">
        <w:t>7.</w:t>
      </w:r>
      <w:r w:rsidR="00425B86">
        <w:rPr>
          <w:rFonts w:hint="eastAsia"/>
        </w:rPr>
        <w:t xml:space="preserve">  </w:t>
      </w:r>
      <w:r w:rsidRPr="00E27BB2">
        <w:t>2011</w:t>
      </w:r>
      <w:r w:rsidRPr="00E27BB2">
        <w:t>年</w:t>
      </w:r>
      <w:r w:rsidR="00FC5ECC">
        <w:t>，</w:t>
      </w:r>
      <w:r w:rsidRPr="00E27BB2">
        <w:t>塞尔维亚共和国首次在庆祝国际妇女节之际</w:t>
      </w:r>
      <w:r w:rsidR="00FC5ECC">
        <w:t>，</w:t>
      </w:r>
      <w:r w:rsidRPr="00E27BB2">
        <w:t>在</w:t>
      </w:r>
      <w:r w:rsidR="00425B86">
        <w:rPr>
          <w:rFonts w:hint="eastAsia"/>
        </w:rPr>
        <w:t>“</w:t>
      </w:r>
      <w:r w:rsidRPr="00E27BB2">
        <w:t>你享有权利</w:t>
      </w:r>
      <w:r w:rsidR="00743B6A">
        <w:rPr>
          <w:rFonts w:hint="eastAsia"/>
          <w:spacing w:val="-50"/>
        </w:rPr>
        <w:t>―</w:t>
      </w:r>
      <w:r w:rsidR="00743B6A">
        <w:rPr>
          <w:rFonts w:hint="eastAsia"/>
        </w:rPr>
        <w:t>―</w:t>
      </w:r>
      <w:r w:rsidRPr="00E27BB2">
        <w:t>男女机会平等</w:t>
      </w:r>
      <w:r w:rsidR="00425B86">
        <w:rPr>
          <w:rFonts w:hint="eastAsia"/>
        </w:rPr>
        <w:t>”</w:t>
      </w:r>
      <w:r w:rsidRPr="00E27BB2">
        <w:t>的口号下</w:t>
      </w:r>
      <w:r w:rsidR="00FC5ECC">
        <w:t>，</w:t>
      </w:r>
      <w:r w:rsidRPr="00E27BB2">
        <w:t>在国家电视台和贝尔格莱德广播电台开展了一场媒体宣传运动</w:t>
      </w:r>
      <w:r w:rsidR="00FC5ECC">
        <w:t>，</w:t>
      </w:r>
      <w:r w:rsidRPr="00E27BB2">
        <w:t>一些区域和地方媒体机构也广播了宣传运动材料。这些活动的目的是广泛提高公众对妇女经济赋权需求的认识</w:t>
      </w:r>
      <w:r w:rsidR="00FC5ECC">
        <w:t>，</w:t>
      </w:r>
      <w:r w:rsidRPr="00E27BB2">
        <w:t>据此推广机会平等政策。例如</w:t>
      </w:r>
      <w:r w:rsidR="00FC5ECC">
        <w:t>，</w:t>
      </w:r>
      <w:r w:rsidRPr="00E27BB2">
        <w:t>制作了</w:t>
      </w:r>
      <w:r w:rsidRPr="00E27BB2">
        <w:t>7</w:t>
      </w:r>
      <w:r w:rsidRPr="00E27BB2">
        <w:t>个视频节目</w:t>
      </w:r>
      <w:r w:rsidR="00FC5ECC">
        <w:t>(</w:t>
      </w:r>
      <w:r w:rsidR="00CF09E6">
        <w:rPr>
          <w:rFonts w:hint="eastAsia"/>
        </w:rPr>
        <w:t>“</w:t>
      </w:r>
      <w:r w:rsidRPr="00E27BB2">
        <w:t>变革</w:t>
      </w:r>
      <w:r w:rsidR="00CF09E6">
        <w:rPr>
          <w:rFonts w:hint="eastAsia"/>
        </w:rPr>
        <w:t>”</w:t>
      </w:r>
      <w:r w:rsidRPr="00E27BB2">
        <w:t>、</w:t>
      </w:r>
      <w:r w:rsidR="00CF09E6">
        <w:rPr>
          <w:rFonts w:hint="eastAsia"/>
        </w:rPr>
        <w:t>“</w:t>
      </w:r>
      <w:r w:rsidRPr="00E27BB2">
        <w:t>专业化</w:t>
      </w:r>
      <w:r w:rsidR="00CF09E6">
        <w:rPr>
          <w:rFonts w:hint="eastAsia"/>
        </w:rPr>
        <w:t>”</w:t>
      </w:r>
      <w:r w:rsidRPr="00E27BB2">
        <w:t>、</w:t>
      </w:r>
      <w:r w:rsidR="00CF09E6">
        <w:rPr>
          <w:rFonts w:hint="eastAsia"/>
        </w:rPr>
        <w:t>“</w:t>
      </w:r>
      <w:r w:rsidRPr="00E27BB2">
        <w:t>手拉手</w:t>
      </w:r>
      <w:r w:rsidR="00CF09E6">
        <w:rPr>
          <w:rFonts w:hint="eastAsia"/>
        </w:rPr>
        <w:t>”</w:t>
      </w:r>
      <w:r w:rsidRPr="00E27BB2">
        <w:t>、</w:t>
      </w:r>
      <w:r w:rsidR="00CF09E6">
        <w:rPr>
          <w:rFonts w:hint="eastAsia"/>
        </w:rPr>
        <w:t>“</w:t>
      </w:r>
      <w:r w:rsidRPr="00E27BB2">
        <w:t>个人的选择</w:t>
      </w:r>
      <w:r w:rsidR="00CF09E6">
        <w:rPr>
          <w:rFonts w:hint="eastAsia"/>
        </w:rPr>
        <w:t>”</w:t>
      </w:r>
      <w:r w:rsidRPr="00E27BB2">
        <w:t>、</w:t>
      </w:r>
      <w:r w:rsidR="00CF09E6">
        <w:rPr>
          <w:rFonts w:hint="eastAsia"/>
        </w:rPr>
        <w:t>“</w:t>
      </w:r>
      <w:r w:rsidRPr="00E27BB2">
        <w:t>失业</w:t>
      </w:r>
      <w:r w:rsidR="00CF09E6">
        <w:rPr>
          <w:rFonts w:hint="eastAsia"/>
        </w:rPr>
        <w:t>”</w:t>
      </w:r>
      <w:r w:rsidRPr="00E27BB2">
        <w:t>、</w:t>
      </w:r>
      <w:r w:rsidR="00CF09E6">
        <w:rPr>
          <w:rFonts w:hint="eastAsia"/>
        </w:rPr>
        <w:t>“</w:t>
      </w:r>
      <w:r w:rsidRPr="00E27BB2">
        <w:t>管理者</w:t>
      </w:r>
      <w:r w:rsidR="00CF09E6">
        <w:rPr>
          <w:rFonts w:hint="eastAsia"/>
        </w:rPr>
        <w:t>”</w:t>
      </w:r>
      <w:r w:rsidRPr="00E27BB2">
        <w:t>和</w:t>
      </w:r>
      <w:r w:rsidR="00CF09E6">
        <w:rPr>
          <w:rFonts w:hint="eastAsia"/>
        </w:rPr>
        <w:t>“</w:t>
      </w:r>
      <w:r w:rsidRPr="00E27BB2">
        <w:t>孤独</w:t>
      </w:r>
      <w:r w:rsidR="00CF09E6">
        <w:rPr>
          <w:rFonts w:hint="eastAsia"/>
        </w:rPr>
        <w:t>”</w:t>
      </w:r>
      <w:r w:rsidR="00FC5ECC">
        <w:t>)</w:t>
      </w:r>
      <w:r w:rsidR="00FC5ECC">
        <w:t>，</w:t>
      </w:r>
      <w:r w:rsidRPr="00E27BB2">
        <w:t>其中突出了涉及在家庭层面的妇女地位和男女分担家务等问题。该次宣传运动后</w:t>
      </w:r>
      <w:r w:rsidR="00FC5ECC">
        <w:t>，</w:t>
      </w:r>
      <w:r w:rsidRPr="00E27BB2">
        <w:t>在塞尔维亚共和国的所有城镇都树起了</w:t>
      </w:r>
      <w:r w:rsidRPr="00E27BB2">
        <w:t>3</w:t>
      </w:r>
      <w:r w:rsidRPr="00E27BB2">
        <w:t>面同一个主题的宣传广告牌。整个活动取得的成果包括新建了劳动和社会政策部两性平等司的一个网站</w:t>
      </w:r>
      <w:r w:rsidR="00FC5ECC">
        <w:t>(</w:t>
      </w:r>
      <w:r w:rsidRPr="00E27BB2">
        <w:t>www.gendernet.rs</w:t>
      </w:r>
      <w:r w:rsidR="00FC5ECC">
        <w:t>)</w:t>
      </w:r>
      <w:r w:rsidR="00FC5ECC">
        <w:t>，</w:t>
      </w:r>
      <w:r w:rsidRPr="00E27BB2">
        <w:t>其中载有该司工作的相关信息以及涉及塞尔维亚共和国两性平等领域的广泛信息。</w:t>
      </w:r>
      <w:r w:rsidRPr="00E27BB2">
        <w:t>2012</w:t>
      </w:r>
      <w:r w:rsidRPr="00E27BB2">
        <w:t>年</w:t>
      </w:r>
      <w:r w:rsidRPr="00E27BB2">
        <w:t>3</w:t>
      </w:r>
      <w:r w:rsidRPr="00E27BB2">
        <w:t>月</w:t>
      </w:r>
      <w:r w:rsidR="00FC5ECC">
        <w:t>，</w:t>
      </w:r>
      <w:r w:rsidRPr="00E27BB2">
        <w:t>在两性平等司与瑞典王国合作执行的</w:t>
      </w:r>
      <w:r w:rsidR="00426E36">
        <w:rPr>
          <w:rFonts w:hint="eastAsia"/>
        </w:rPr>
        <w:t>“</w:t>
      </w:r>
      <w:r w:rsidRPr="00E27BB2">
        <w:t>实施提高妇女地位和实现两性平等国家行动计划优先事项方案</w:t>
      </w:r>
      <w:r w:rsidR="00426E36">
        <w:rPr>
          <w:rFonts w:hint="eastAsia"/>
        </w:rPr>
        <w:t>”</w:t>
      </w:r>
      <w:r w:rsidRPr="00E27BB2">
        <w:t>中宣布进行一次公开竞争</w:t>
      </w:r>
      <w:r w:rsidR="00FC5ECC">
        <w:t>，</w:t>
      </w:r>
      <w:r w:rsidRPr="00E27BB2">
        <w:t>据以开展一次与促进平等分担家长和家庭责任相关的新运动。</w:t>
      </w:r>
    </w:p>
    <w:p w:rsidR="00BC40DA" w:rsidRPr="00E27BB2" w:rsidRDefault="00BC40DA" w:rsidP="00BC40DA">
      <w:pPr>
        <w:pStyle w:val="SingleTxtGC"/>
        <w:rPr>
          <w:rFonts w:hint="eastAsia"/>
        </w:rPr>
      </w:pPr>
      <w:r w:rsidRPr="00E27BB2">
        <w:t>8</w:t>
      </w:r>
      <w:r w:rsidR="00FC5ECC">
        <w:t>8.</w:t>
      </w:r>
      <w:r w:rsidR="00E91BF9">
        <w:rPr>
          <w:rFonts w:hint="eastAsia"/>
        </w:rPr>
        <w:t xml:space="preserve">  </w:t>
      </w:r>
      <w:r w:rsidRPr="00E27BB2">
        <w:t>2011</w:t>
      </w:r>
      <w:r w:rsidRPr="00E27BB2">
        <w:t>年</w:t>
      </w:r>
      <w:r w:rsidRPr="00E27BB2">
        <w:t>2</w:t>
      </w:r>
      <w:r w:rsidRPr="00E27BB2">
        <w:t>月举行了题为</w:t>
      </w:r>
      <w:r w:rsidR="00E91BF9">
        <w:rPr>
          <w:rFonts w:hint="eastAsia"/>
        </w:rPr>
        <w:t>“</w:t>
      </w:r>
      <w:r w:rsidRPr="00E27BB2">
        <w:t>摆脱经济危机</w:t>
      </w:r>
      <w:r w:rsidR="00E91BF9">
        <w:rPr>
          <w:rFonts w:hint="eastAsia"/>
        </w:rPr>
        <w:t>”</w:t>
      </w:r>
      <w:r w:rsidRPr="00E27BB2">
        <w:t>的第</w:t>
      </w:r>
      <w:r w:rsidRPr="00E27BB2">
        <w:t>4</w:t>
      </w:r>
      <w:r w:rsidRPr="00E27BB2">
        <w:t>次区域会议</w:t>
      </w:r>
      <w:r w:rsidR="00FC5ECC">
        <w:t>，</w:t>
      </w:r>
      <w:r w:rsidRPr="00E27BB2">
        <w:t>与会者有前南斯拉夫的马其顿共和国、克罗地亚共和国、波斯尼亚和黑塞哥维那、罗马尼亚、保加利亚共和国、黑山共和国、阿尔巴尼亚共和国等国的国家体制机制的代表</w:t>
      </w:r>
      <w:r w:rsidR="00FC5ECC">
        <w:t>，</w:t>
      </w:r>
      <w:r w:rsidRPr="00E27BB2">
        <w:t>以及瑞典王国、挪威王国和瑞士驻贝尔格莱德大使馆的代表。与会者交流了下列事项的相关经验</w:t>
      </w:r>
      <w:r w:rsidR="00FC5ECC">
        <w:t>：</w:t>
      </w:r>
      <w:r w:rsidRPr="00E27BB2">
        <w:t>父亲休陪产假</w:t>
      </w:r>
      <w:r w:rsidR="00FC5ECC">
        <w:t>，</w:t>
      </w:r>
      <w:r w:rsidRPr="00E27BB2">
        <w:t>传统的分担家务方式</w:t>
      </w:r>
      <w:r w:rsidR="00FC5ECC">
        <w:t>，</w:t>
      </w:r>
      <w:r w:rsidRPr="00E27BB2">
        <w:t>妇女的经济权利</w:t>
      </w:r>
      <w:r w:rsidR="00FC5ECC">
        <w:t>，</w:t>
      </w:r>
      <w:r w:rsidRPr="00E27BB2">
        <w:t>经济危机与人的安全等等。</w:t>
      </w:r>
    </w:p>
    <w:p w:rsidR="00BC40DA" w:rsidRPr="00E27BB2" w:rsidRDefault="00E91BF9" w:rsidP="00E91BF9">
      <w:pPr>
        <w:pStyle w:val="H23GC"/>
      </w:pPr>
      <w:r>
        <w:rPr>
          <w:rFonts w:hint="eastAsia"/>
        </w:rPr>
        <w:tab/>
      </w:r>
      <w:r>
        <w:rPr>
          <w:rFonts w:hint="eastAsia"/>
        </w:rPr>
        <w:tab/>
      </w:r>
      <w:r w:rsidR="00BC40DA" w:rsidRPr="00E27BB2">
        <w:t>对问题清单第</w:t>
      </w:r>
      <w:r w:rsidR="00BC40DA" w:rsidRPr="00E27BB2">
        <w:t>14</w:t>
      </w:r>
      <w:r w:rsidR="00BC40DA" w:rsidRPr="00E27BB2">
        <w:t>段所提问题的答复</w:t>
      </w:r>
    </w:p>
    <w:p w:rsidR="00BC40DA" w:rsidRPr="00E27BB2" w:rsidRDefault="00BC40DA" w:rsidP="00E91BF9">
      <w:pPr>
        <w:pStyle w:val="SingleTxtGC"/>
      </w:pPr>
      <w:r w:rsidRPr="00E27BB2">
        <w:t>8</w:t>
      </w:r>
      <w:r w:rsidR="00FC5ECC">
        <w:t>9.</w:t>
      </w:r>
      <w:r w:rsidR="00E91BF9">
        <w:rPr>
          <w:rFonts w:hint="eastAsia"/>
        </w:rPr>
        <w:t xml:space="preserve">  </w:t>
      </w:r>
      <w:r w:rsidRPr="00E27BB2">
        <w:t>《提高妇女地位和促进两性平等国家战略》和执行该战略的《行动计划》为塞尔维亚共和国在这一领域的发展制定了战略指导方针</w:t>
      </w:r>
      <w:r w:rsidR="00FC5ECC">
        <w:t>，</w:t>
      </w:r>
      <w:r w:rsidRPr="00E27BB2">
        <w:t>其中包括提高妇女的经济地位。该《战略》将以下各个方面置于首要地位</w:t>
      </w:r>
      <w:r w:rsidR="00FC5ECC">
        <w:t>：</w:t>
      </w:r>
      <w:r w:rsidRPr="00E27BB2">
        <w:t>机会平等政策</w:t>
      </w:r>
      <w:r w:rsidR="00FC5ECC">
        <w:t>，</w:t>
      </w:r>
      <w:r w:rsidRPr="00E27BB2">
        <w:t>团结</w:t>
      </w:r>
      <w:r w:rsidR="00FC5ECC">
        <w:t>，</w:t>
      </w:r>
      <w:r w:rsidRPr="00E27BB2">
        <w:t>社会融合和社会正义</w:t>
      </w:r>
      <w:r w:rsidR="00FC5ECC">
        <w:t>，</w:t>
      </w:r>
      <w:r w:rsidRPr="00E27BB2">
        <w:t>并将之视为经济发展和任何其他发展的前提</w:t>
      </w:r>
      <w:r w:rsidR="00FC5ECC">
        <w:t>，</w:t>
      </w:r>
      <w:r w:rsidRPr="00E27BB2">
        <w:t>但如果不充分利用妇女人力资源</w:t>
      </w:r>
      <w:r w:rsidR="00FC5ECC">
        <w:t>，</w:t>
      </w:r>
      <w:r w:rsidRPr="00E27BB2">
        <w:t>就无法达到这些目的。</w:t>
      </w:r>
      <w:r w:rsidRPr="00E27BB2">
        <w:t>2011</w:t>
      </w:r>
      <w:r w:rsidRPr="00E27BB2">
        <w:t>年</w:t>
      </w:r>
      <w:r w:rsidRPr="00E27BB2">
        <w:t>6</w:t>
      </w:r>
      <w:r w:rsidRPr="00E27BB2">
        <w:t>月与公营和私营公司的代表举行了一次会议</w:t>
      </w:r>
      <w:r w:rsidR="00FC5ECC">
        <w:t>，</w:t>
      </w:r>
      <w:r w:rsidRPr="00E27BB2">
        <w:t>目的是使他们更清楚地了解国内外企业实体旨在在其环境中增强两性平等的实践、计划和法律行为。此外还于同月在贝尔格莱德举行了主题为</w:t>
      </w:r>
      <w:r w:rsidR="00394AF7">
        <w:rPr>
          <w:rFonts w:hint="eastAsia"/>
        </w:rPr>
        <w:t>“</w:t>
      </w:r>
      <w:r w:rsidRPr="00E27BB2">
        <w:t>就业与两性平等</w:t>
      </w:r>
      <w:r w:rsidR="00394AF7">
        <w:rPr>
          <w:rFonts w:hint="eastAsia"/>
        </w:rPr>
        <w:t>”</w:t>
      </w:r>
      <w:r w:rsidRPr="00E27BB2">
        <w:t>的全国会议</w:t>
      </w:r>
      <w:r w:rsidR="00FC5ECC">
        <w:t>，</w:t>
      </w:r>
      <w:r w:rsidRPr="00E27BB2">
        <w:t>与会者有</w:t>
      </w:r>
      <w:r w:rsidRPr="00E27BB2">
        <w:t>100</w:t>
      </w:r>
      <w:r w:rsidRPr="00E27BB2">
        <w:t>余名两性平等领域的专家、相关部委的代表、各工作组的协调员、地方自治单位的代表、民间社会组织和国际组织的代表、以及来自该区域的宾客。该会议的结论和有关该领域各项举措的详情可查阅两性平等司载于其网站</w:t>
      </w:r>
      <w:r w:rsidRPr="0060724F">
        <w:rPr>
          <w:i/>
        </w:rPr>
        <w:t>www.gendernet.rs</w:t>
      </w:r>
      <w:r w:rsidRPr="00E27BB2">
        <w:t>的文件。</w:t>
      </w:r>
    </w:p>
    <w:p w:rsidR="00BC40DA" w:rsidRPr="00E27BB2" w:rsidRDefault="00E91BF9" w:rsidP="00E91BF9">
      <w:pPr>
        <w:pStyle w:val="H1GC"/>
      </w:pPr>
      <w:r>
        <w:rPr>
          <w:rFonts w:hint="eastAsia"/>
        </w:rPr>
        <w:tab/>
      </w:r>
      <w:r>
        <w:rPr>
          <w:rFonts w:hint="eastAsia"/>
        </w:rPr>
        <w:tab/>
      </w:r>
      <w:r w:rsidR="00BC40DA" w:rsidRPr="00E27BB2">
        <w:t>卫生</w:t>
      </w:r>
    </w:p>
    <w:p w:rsidR="00BC40DA" w:rsidRPr="00E27BB2" w:rsidRDefault="00E91BF9" w:rsidP="00E91BF9">
      <w:pPr>
        <w:pStyle w:val="H23GC"/>
      </w:pPr>
      <w:r>
        <w:rPr>
          <w:rFonts w:hint="eastAsia"/>
        </w:rPr>
        <w:tab/>
      </w:r>
      <w:r>
        <w:rPr>
          <w:rFonts w:hint="eastAsia"/>
        </w:rPr>
        <w:tab/>
      </w:r>
      <w:r w:rsidR="00BC40DA" w:rsidRPr="00E27BB2">
        <w:t>对问题清单第</w:t>
      </w:r>
      <w:r w:rsidR="00BC40DA" w:rsidRPr="00E27BB2">
        <w:t>15</w:t>
      </w:r>
      <w:r w:rsidR="00BC40DA" w:rsidRPr="00E27BB2">
        <w:t>段所提问题的答复</w:t>
      </w:r>
    </w:p>
    <w:p w:rsidR="00BC40DA" w:rsidRPr="00E27BB2" w:rsidRDefault="00BC40DA" w:rsidP="00BC40DA">
      <w:pPr>
        <w:pStyle w:val="SingleTxtGC"/>
        <w:rPr>
          <w:rFonts w:hint="eastAsia"/>
        </w:rPr>
      </w:pPr>
      <w:r w:rsidRPr="00E27BB2">
        <w:t>9</w:t>
      </w:r>
      <w:r w:rsidR="00FC5ECC">
        <w:t>0.</w:t>
      </w:r>
      <w:r w:rsidR="00E91BF9">
        <w:rPr>
          <w:rFonts w:hint="eastAsia"/>
        </w:rPr>
        <w:t xml:space="preserve">  </w:t>
      </w:r>
      <w:r w:rsidRPr="00E27BB2">
        <w:t>几年来一直在开展一项运动</w:t>
      </w:r>
      <w:r w:rsidR="00FC5ECC">
        <w:t>，</w:t>
      </w:r>
      <w:r w:rsidRPr="00E27BB2">
        <w:t>使保健服务用户进一步了解登记和根据本人的意愿选择医生的众多益处。今年</w:t>
      </w:r>
      <w:r w:rsidRPr="00E27BB2">
        <w:t>6</w:t>
      </w:r>
      <w:r w:rsidRPr="00E27BB2">
        <w:t>月</w:t>
      </w:r>
      <w:r w:rsidRPr="00E27BB2">
        <w:t>1</w:t>
      </w:r>
      <w:r w:rsidRPr="00E27BB2">
        <w:t>日是进行用户登记和选择医生的截止日期。分布在塞尔维亚共和国卫生机构网络中的卫生机构</w:t>
      </w:r>
      <w:r w:rsidR="00FC5ECC">
        <w:t>，</w:t>
      </w:r>
      <w:r w:rsidRPr="00E27BB2">
        <w:t>可在所有三个级别向所有的用户提供保健服务。</w:t>
      </w:r>
    </w:p>
    <w:p w:rsidR="00BC40DA" w:rsidRPr="00E27BB2" w:rsidRDefault="00BC40DA" w:rsidP="00BC40DA">
      <w:pPr>
        <w:pStyle w:val="SingleTxtGC"/>
      </w:pPr>
      <w:r w:rsidRPr="00E27BB2">
        <w:t>9</w:t>
      </w:r>
      <w:r w:rsidR="00FC5ECC">
        <w:t>1.</w:t>
      </w:r>
      <w:r w:rsidR="00E91BF9">
        <w:rPr>
          <w:rFonts w:hint="eastAsia"/>
        </w:rPr>
        <w:t xml:space="preserve">  </w:t>
      </w:r>
      <w:r w:rsidRPr="00E27BB2">
        <w:t>尤其必须强调的是</w:t>
      </w:r>
      <w:r w:rsidR="00FC5ECC">
        <w:t>，</w:t>
      </w:r>
      <w:r w:rsidRPr="00E27BB2">
        <w:t>卫生部为保健工作者通过了一项关于治疗暴力受害妇女的特别议定书。</w:t>
      </w:r>
    </w:p>
    <w:p w:rsidR="00BC40DA" w:rsidRPr="00E27BB2" w:rsidRDefault="00BC40DA" w:rsidP="00BC40DA">
      <w:pPr>
        <w:pStyle w:val="SingleTxtGC"/>
      </w:pPr>
      <w:r w:rsidRPr="00E27BB2">
        <w:t>9</w:t>
      </w:r>
      <w:r w:rsidR="00FC5ECC">
        <w:t>2.</w:t>
      </w:r>
      <w:r w:rsidR="00E91BF9">
        <w:rPr>
          <w:rFonts w:hint="eastAsia"/>
        </w:rPr>
        <w:t xml:space="preserve">  </w:t>
      </w:r>
      <w:r w:rsidRPr="00E27BB2">
        <w:t>现已指定了保健服务调解员</w:t>
      </w:r>
      <w:r w:rsidR="00FC5ECC">
        <w:t>，</w:t>
      </w:r>
      <w:r w:rsidRPr="00E27BB2">
        <w:t>作为初级保健系统的保健工作者与罗姆人群体成员之间的纽带。</w:t>
      </w:r>
    </w:p>
    <w:p w:rsidR="00BC40DA" w:rsidRPr="00E27BB2" w:rsidRDefault="00BC40DA" w:rsidP="00BC40DA">
      <w:pPr>
        <w:pStyle w:val="SingleTxtGC"/>
      </w:pPr>
      <w:r w:rsidRPr="00E27BB2">
        <w:t>9</w:t>
      </w:r>
      <w:r w:rsidR="00FC5ECC">
        <w:t>3.</w:t>
      </w:r>
      <w:r w:rsidR="00E91BF9">
        <w:rPr>
          <w:rFonts w:hint="eastAsia"/>
        </w:rPr>
        <w:t xml:space="preserve">  </w:t>
      </w:r>
      <w:r w:rsidRPr="00E27BB2">
        <w:t>人口健康状况相关数据由塞尔维亚公共卫生研究所和机构网络以及共和国公共卫生学会负责监测。</w:t>
      </w:r>
    </w:p>
    <w:p w:rsidR="00BC40DA" w:rsidRPr="00E27BB2" w:rsidRDefault="00E91BF9" w:rsidP="00E91BF9">
      <w:pPr>
        <w:pStyle w:val="H23GC"/>
      </w:pPr>
      <w:r>
        <w:rPr>
          <w:rFonts w:hint="eastAsia"/>
        </w:rPr>
        <w:tab/>
      </w:r>
      <w:r>
        <w:rPr>
          <w:rFonts w:hint="eastAsia"/>
        </w:rPr>
        <w:tab/>
      </w:r>
      <w:r w:rsidR="00BC40DA" w:rsidRPr="00E27BB2">
        <w:t>对问题清单第</w:t>
      </w:r>
      <w:r w:rsidR="00BC40DA" w:rsidRPr="00E27BB2">
        <w:t>16</w:t>
      </w:r>
      <w:r w:rsidR="00BC40DA" w:rsidRPr="00E27BB2">
        <w:t>段所提问题的答复</w:t>
      </w:r>
    </w:p>
    <w:p w:rsidR="00BC40DA" w:rsidRPr="00E27BB2" w:rsidRDefault="00BC40DA" w:rsidP="00BC40DA">
      <w:pPr>
        <w:pStyle w:val="SingleTxtGC"/>
      </w:pPr>
      <w:r w:rsidRPr="00E27BB2">
        <w:t>9</w:t>
      </w:r>
      <w:r w:rsidR="00FC5ECC">
        <w:t>4.</w:t>
      </w:r>
      <w:r w:rsidR="00E91BF9">
        <w:rPr>
          <w:rFonts w:hint="eastAsia"/>
        </w:rPr>
        <w:t xml:space="preserve">  </w:t>
      </w:r>
      <w:r w:rsidRPr="00E27BB2">
        <w:t>妇科预防检查是纳入强制医疗保险的一套服务。已通过的《预防子宫颈癌国家方案》除了安排邀请、检查、工作人员教育、设备采购和处理统计数据等工作外</w:t>
      </w:r>
      <w:r w:rsidR="00FC5ECC">
        <w:t>，</w:t>
      </w:r>
      <w:r w:rsidRPr="00E27BB2">
        <w:t>还将开展媒体宣传运动</w:t>
      </w:r>
      <w:r w:rsidR="00FC5ECC">
        <w:t>，</w:t>
      </w:r>
      <w:r w:rsidRPr="00E27BB2">
        <w:t>提高对预防检查对于早期发现子宫颈癌的重要性以及对于及时查明疾病后获得治愈的可能性的认识。卫生部与欧洲委员会贝尔格莱德办事处合作</w:t>
      </w:r>
      <w:r w:rsidR="00FC5ECC">
        <w:t>，</w:t>
      </w:r>
      <w:r w:rsidRPr="00E27BB2">
        <w:t>开始实施一项在分配欧盟资金期间设想的试点方案。将按计划进度执行《加入欧盟前援助文书》</w:t>
      </w:r>
      <w:r w:rsidR="00FC5ECC">
        <w:t>，</w:t>
      </w:r>
      <w:r w:rsidRPr="00E27BB2">
        <w:t>直到</w:t>
      </w:r>
      <w:r w:rsidRPr="00E27BB2">
        <w:t>2013</w:t>
      </w:r>
      <w:r w:rsidRPr="00E27BB2">
        <w:t>年</w:t>
      </w:r>
      <w:r w:rsidRPr="00E27BB2">
        <w:t>1</w:t>
      </w:r>
      <w:r w:rsidRPr="00E27BB2">
        <w:t>月为止</w:t>
      </w:r>
      <w:r w:rsidR="00FC5ECC">
        <w:t>，</w:t>
      </w:r>
      <w:r w:rsidRPr="00E27BB2">
        <w:t>因为那时将在国家一级实施《预防子宫颈癌国家方案》。</w:t>
      </w:r>
    </w:p>
    <w:p w:rsidR="00BC40DA" w:rsidRPr="00E91BF9" w:rsidRDefault="00BC40DA" w:rsidP="00BC40DA">
      <w:pPr>
        <w:pStyle w:val="SingleTxtGC"/>
        <w:rPr>
          <w:rFonts w:hint="eastAsia"/>
        </w:rPr>
      </w:pPr>
      <w:r w:rsidRPr="00E27BB2">
        <w:t>9</w:t>
      </w:r>
      <w:r w:rsidR="00FC5ECC">
        <w:t>5.</w:t>
      </w:r>
      <w:r w:rsidR="00E91BF9">
        <w:rPr>
          <w:rFonts w:hint="eastAsia"/>
        </w:rPr>
        <w:t xml:space="preserve">  </w:t>
      </w:r>
      <w:r w:rsidRPr="00E27BB2">
        <w:t>卫生部与生殖健康协会成功地进行了合作</w:t>
      </w:r>
      <w:r w:rsidR="00FC5ECC">
        <w:t>，</w:t>
      </w:r>
      <w:r w:rsidRPr="00E27BB2">
        <w:t>支助了主要注重于维护生殖健康的行动</w:t>
      </w:r>
      <w:r w:rsidR="00FC5ECC">
        <w:t>(</w:t>
      </w:r>
      <w:r w:rsidRPr="00E27BB2">
        <w:t>见</w:t>
      </w:r>
      <w:r w:rsidRPr="00E27BB2">
        <w:t>www.21dan.com</w:t>
      </w:r>
      <w:r w:rsidR="00FC5ECC">
        <w:t>)</w:t>
      </w:r>
      <w:r w:rsidRPr="00E27BB2">
        <w:t>。</w:t>
      </w:r>
    </w:p>
    <w:p w:rsidR="00BC40DA" w:rsidRPr="00E27BB2" w:rsidRDefault="00BC40DA" w:rsidP="00E91BF9">
      <w:pPr>
        <w:pStyle w:val="SingleTxtGC"/>
      </w:pPr>
      <w:r w:rsidRPr="00E27BB2">
        <w:t>9</w:t>
      </w:r>
      <w:r w:rsidR="00FC5ECC">
        <w:t>6.</w:t>
      </w:r>
      <w:r w:rsidR="00E91BF9">
        <w:rPr>
          <w:rFonts w:hint="eastAsia"/>
        </w:rPr>
        <w:t xml:space="preserve">  </w:t>
      </w:r>
      <w:r w:rsidRPr="00E27BB2">
        <w:t>这些主题已纳入小学</w:t>
      </w:r>
      <w:r w:rsidRPr="00E27BB2">
        <w:t>7</w:t>
      </w:r>
      <w:r w:rsidRPr="00E27BB2">
        <w:t>年级必修科目</w:t>
      </w:r>
      <w:r w:rsidRPr="008B641F">
        <w:rPr>
          <w:rFonts w:eastAsia="KaiTi_GB2312"/>
        </w:rPr>
        <w:t>生物学</w:t>
      </w:r>
      <w:r w:rsidRPr="00E27BB2">
        <w:t>的内容。在初等教育中也实施了</w:t>
      </w:r>
      <w:r w:rsidRPr="008B641F">
        <w:rPr>
          <w:rFonts w:eastAsia="KaiTi_GB2312"/>
        </w:rPr>
        <w:t>保健方案</w:t>
      </w:r>
      <w:r w:rsidRPr="00E27BB2">
        <w:t>。该方案包括各种专题</w:t>
      </w:r>
      <w:r w:rsidR="00FC5ECC">
        <w:t>，</w:t>
      </w:r>
      <w:r w:rsidRPr="00E27BB2">
        <w:t>生殖健康是其中之一。该方案在与保健部门合作并在由地方自治单位或儿</w:t>
      </w:r>
      <w:r w:rsidR="000C69CB">
        <w:rPr>
          <w:rFonts w:hint="eastAsia"/>
        </w:rPr>
        <w:t>童</w:t>
      </w:r>
      <w:r w:rsidRPr="00E27BB2">
        <w:t>基金</w:t>
      </w:r>
      <w:r w:rsidR="000C69CB">
        <w:rPr>
          <w:rFonts w:hint="eastAsia"/>
        </w:rPr>
        <w:t>会</w:t>
      </w:r>
      <w:r w:rsidRPr="00E27BB2">
        <w:t>等国际组织启动的特别项目中作为课堂活动的组成部分予以实施。</w:t>
      </w:r>
    </w:p>
    <w:p w:rsidR="00BC40DA" w:rsidRPr="00E27BB2" w:rsidRDefault="00BC40DA" w:rsidP="00BC40DA">
      <w:pPr>
        <w:pStyle w:val="SingleTxtGC"/>
      </w:pPr>
      <w:r w:rsidRPr="00E27BB2">
        <w:t>9</w:t>
      </w:r>
      <w:r w:rsidR="00FC5ECC">
        <w:t>7.</w:t>
      </w:r>
      <w:r w:rsidRPr="00E27BB2">
        <w:t xml:space="preserve"> </w:t>
      </w:r>
      <w:r w:rsidR="00E91BF9">
        <w:rPr>
          <w:rFonts w:hint="eastAsia"/>
        </w:rPr>
        <w:t xml:space="preserve"> </w:t>
      </w:r>
      <w:r w:rsidRPr="00E27BB2">
        <w:t>该方案使学生在选修科目</w:t>
      </w:r>
      <w:r w:rsidR="00E91BF9">
        <w:rPr>
          <w:rFonts w:hint="eastAsia"/>
        </w:rPr>
        <w:t>“</w:t>
      </w:r>
      <w:r w:rsidRPr="00E27BB2">
        <w:t>公民教育</w:t>
      </w:r>
      <w:r w:rsidR="00E91BF9">
        <w:rPr>
          <w:rFonts w:hint="eastAsia"/>
        </w:rPr>
        <w:t>”</w:t>
      </w:r>
      <w:r w:rsidRPr="00E27BB2">
        <w:t>中了解人权问题</w:t>
      </w:r>
      <w:r w:rsidR="00FC5ECC">
        <w:t>，</w:t>
      </w:r>
      <w:r w:rsidRPr="00E27BB2">
        <w:t>并在中学的同一科目以及</w:t>
      </w:r>
      <w:r w:rsidR="00E91BF9">
        <w:rPr>
          <w:rFonts w:hint="eastAsia"/>
        </w:rPr>
        <w:t>“</w:t>
      </w:r>
      <w:r w:rsidRPr="00E27BB2">
        <w:t>社会学</w:t>
      </w:r>
      <w:r w:rsidR="00E91BF9">
        <w:rPr>
          <w:rFonts w:hint="eastAsia"/>
        </w:rPr>
        <w:t>”</w:t>
      </w:r>
      <w:r w:rsidRPr="00E27BB2">
        <w:t>和</w:t>
      </w:r>
      <w:r w:rsidR="00E91BF9">
        <w:rPr>
          <w:rFonts w:hint="eastAsia"/>
        </w:rPr>
        <w:t>“</w:t>
      </w:r>
      <w:r w:rsidRPr="00E27BB2">
        <w:t>宪法与公民权利</w:t>
      </w:r>
      <w:r w:rsidR="00E91BF9">
        <w:rPr>
          <w:rFonts w:hint="eastAsia"/>
        </w:rPr>
        <w:t>”</w:t>
      </w:r>
      <w:r w:rsidRPr="00E27BB2">
        <w:t>的科目中了解人权问题。</w:t>
      </w:r>
    </w:p>
    <w:p w:rsidR="00BC40DA" w:rsidRPr="00E27BB2" w:rsidRDefault="00E91BF9" w:rsidP="00E91BF9">
      <w:pPr>
        <w:pStyle w:val="H1GC"/>
      </w:pPr>
      <w:r>
        <w:rPr>
          <w:rFonts w:hint="eastAsia"/>
        </w:rPr>
        <w:tab/>
      </w:r>
      <w:r>
        <w:rPr>
          <w:rFonts w:hint="eastAsia"/>
        </w:rPr>
        <w:tab/>
      </w:r>
      <w:r w:rsidR="00BC40DA" w:rsidRPr="00E27BB2">
        <w:t>农村妇女</w:t>
      </w:r>
    </w:p>
    <w:p w:rsidR="00BC40DA" w:rsidRPr="00E27BB2" w:rsidRDefault="00E91BF9" w:rsidP="00E91BF9">
      <w:pPr>
        <w:pStyle w:val="H23GC"/>
      </w:pPr>
      <w:r>
        <w:rPr>
          <w:rFonts w:hint="eastAsia"/>
        </w:rPr>
        <w:tab/>
      </w:r>
      <w:r>
        <w:rPr>
          <w:rFonts w:hint="eastAsia"/>
        </w:rPr>
        <w:tab/>
      </w:r>
      <w:r w:rsidR="00BC40DA" w:rsidRPr="00E27BB2">
        <w:t>对问题清单第</w:t>
      </w:r>
      <w:r w:rsidR="00BC40DA" w:rsidRPr="00E27BB2">
        <w:t>17</w:t>
      </w:r>
      <w:r w:rsidR="00BC40DA" w:rsidRPr="00E27BB2">
        <w:t>段所提问题的答复</w:t>
      </w:r>
    </w:p>
    <w:p w:rsidR="00BC40DA" w:rsidRPr="00E27BB2" w:rsidRDefault="00BC40DA" w:rsidP="00BC40DA">
      <w:pPr>
        <w:pStyle w:val="SingleTxtGC"/>
      </w:pPr>
      <w:r w:rsidRPr="00E27BB2">
        <w:t>9</w:t>
      </w:r>
      <w:r w:rsidR="00FC5ECC">
        <w:t>8.</w:t>
      </w:r>
      <w:r w:rsidR="00E91BF9">
        <w:rPr>
          <w:rFonts w:hint="eastAsia"/>
        </w:rPr>
        <w:t xml:space="preserve">  </w:t>
      </w:r>
      <w:r w:rsidRPr="00E27BB2">
        <w:t>农林和水利部依据其职权于</w:t>
      </w:r>
      <w:r w:rsidRPr="00E27BB2">
        <w:t>2009</w:t>
      </w:r>
      <w:r w:rsidRPr="00E27BB2">
        <w:t>年宣布开展一项竞争活动</w:t>
      </w:r>
      <w:r w:rsidR="00FC5ECC">
        <w:t>，</w:t>
      </w:r>
      <w:r w:rsidRPr="00E27BB2">
        <w:t>据以争取刺激经费</w:t>
      </w:r>
      <w:r w:rsidR="00FC5ECC">
        <w:t>，</w:t>
      </w:r>
      <w:r w:rsidRPr="00E27BB2">
        <w:t>通过在</w:t>
      </w:r>
      <w:r w:rsidRPr="00E27BB2">
        <w:t>2009</w:t>
      </w:r>
      <w:r w:rsidRPr="00E27BB2">
        <w:t>年为扩大和加强对农村居民经济活动的投资</w:t>
      </w:r>
      <w:r w:rsidR="00FC5ECC">
        <w:t>，</w:t>
      </w:r>
      <w:r w:rsidRPr="00E27BB2">
        <w:t>支助农村地区的发展。该次竞争活动的目的是鼓励开展以下各项活动</w:t>
      </w:r>
      <w:r w:rsidR="00FC5ECC">
        <w:t>：</w:t>
      </w:r>
      <w:r w:rsidRPr="00E27BB2">
        <w:t>促进发展农村旅游业</w:t>
      </w:r>
      <w:r w:rsidR="00FC5ECC">
        <w:t>，</w:t>
      </w:r>
      <w:r w:rsidRPr="00E27BB2">
        <w:t>扩大妇女就业机会</w:t>
      </w:r>
      <w:r w:rsidR="00FC5ECC">
        <w:t>，</w:t>
      </w:r>
      <w:r w:rsidRPr="00E27BB2">
        <w:t>体现农村地区妇女协会珍视的事项</w:t>
      </w:r>
      <w:r w:rsidR="00FC5ECC">
        <w:t>，</w:t>
      </w:r>
      <w:r w:rsidRPr="00E27BB2">
        <w:t>展示手工艺品和传统工艺品等等。该次活动的效果应该已反映在农村居民主要是农村妇女的失业率有所下降</w:t>
      </w:r>
      <w:r w:rsidR="00FC5ECC">
        <w:t>，</w:t>
      </w:r>
      <w:r w:rsidRPr="00E27BB2">
        <w:t>从而提高了农业生产单位的收入。</w:t>
      </w:r>
    </w:p>
    <w:p w:rsidR="00BC40DA" w:rsidRPr="00E27BB2" w:rsidRDefault="00BC40DA" w:rsidP="00BC40DA">
      <w:pPr>
        <w:pStyle w:val="SingleTxtGC"/>
        <w:rPr>
          <w:rFonts w:hint="eastAsia"/>
        </w:rPr>
      </w:pPr>
      <w:r w:rsidRPr="00E27BB2">
        <w:t>9</w:t>
      </w:r>
      <w:r w:rsidR="00FC5ECC">
        <w:t>9.</w:t>
      </w:r>
      <w:r w:rsidR="00E91BF9">
        <w:rPr>
          <w:rFonts w:hint="eastAsia"/>
        </w:rPr>
        <w:t xml:space="preserve">  </w:t>
      </w:r>
      <w:r w:rsidRPr="00E27BB2">
        <w:t>2010</w:t>
      </w:r>
      <w:r w:rsidRPr="00E27BB2">
        <w:t>年</w:t>
      </w:r>
      <w:r w:rsidR="00FC5ECC">
        <w:t>，</w:t>
      </w:r>
      <w:r w:rsidRPr="00E27BB2">
        <w:t>《关于利用资金支助农村地区发展非农业活动的条例》</w:t>
      </w:r>
      <w:r w:rsidR="00E91BF9">
        <w:rPr>
          <w:rStyle w:val="FootnoteReference"/>
        </w:rPr>
        <w:footnoteReference w:id="38"/>
      </w:r>
      <w:r w:rsidRPr="00E27BB2">
        <w:t xml:space="preserve"> </w:t>
      </w:r>
      <w:r w:rsidRPr="00E27BB2">
        <w:t>规定了</w:t>
      </w:r>
      <w:r w:rsidRPr="00E27BB2">
        <w:t>2010</w:t>
      </w:r>
      <w:r w:rsidRPr="00E27BB2">
        <w:t>年利用资金支助农村地区发展非农业活动的条件和方法。上述《条例》规定</w:t>
      </w:r>
      <w:r w:rsidR="00FC5ECC">
        <w:t>，</w:t>
      </w:r>
      <w:r w:rsidRPr="00E27BB2">
        <w:t>协会有权获得用于实施各种项目的刺激经费</w:t>
      </w:r>
      <w:r w:rsidR="00FC5ECC">
        <w:t>，</w:t>
      </w:r>
      <w:r w:rsidRPr="00E27BB2">
        <w:t>但这些项目应主要用于采购生产材料以及促进农村妇女从事制作下述各种手工艺品的工作</w:t>
      </w:r>
      <w:r w:rsidR="00FC5ECC">
        <w:t>：</w:t>
      </w:r>
      <w:r w:rsidRPr="00E27BB2">
        <w:t>针织品、编织品、钩织品和网眼织品、各种刺绣纺织品、棉线和毛线扎边及饰带、纪念品、民族服饰、带有民族刺绣的物品、体现国家英勇气概的木制品等等。按照特别条例的规定</w:t>
      </w:r>
      <w:r w:rsidR="00FC5ECC">
        <w:t>，</w:t>
      </w:r>
      <w:r w:rsidRPr="00E27BB2">
        <w:t>这些产品都必须获得主管经济部委的认可证书</w:t>
      </w:r>
      <w:r w:rsidR="00FC5ECC">
        <w:t>，</w:t>
      </w:r>
      <w:r w:rsidRPr="00E27BB2">
        <w:t>证明它们都是传统工艺美术品即手工制品</w:t>
      </w:r>
      <w:r w:rsidR="00FC5ECC">
        <w:t>，</w:t>
      </w:r>
      <w:r w:rsidRPr="00E27BB2">
        <w:t>目的是符合传统工艺品生产的市场要求</w:t>
      </w:r>
      <w:r w:rsidR="00FC5ECC">
        <w:t>，</w:t>
      </w:r>
      <w:r w:rsidRPr="00E27BB2">
        <w:t>并必须符合以下各项条件</w:t>
      </w:r>
      <w:r w:rsidR="00FC5ECC">
        <w:t>：</w:t>
      </w:r>
      <w:r w:rsidRPr="00E27BB2">
        <w:t>相关的协会依法进行了注册</w:t>
      </w:r>
      <w:r w:rsidR="00FC5ECC">
        <w:t>；</w:t>
      </w:r>
      <w:r w:rsidRPr="00E27BB2">
        <w:t>成立该协会的目的是维护古老的传统工艺和技能</w:t>
      </w:r>
      <w:r w:rsidR="00FC5ECC">
        <w:t>；</w:t>
      </w:r>
      <w:r w:rsidRPr="00E27BB2">
        <w:t>该协会必须至少有</w:t>
      </w:r>
      <w:r w:rsidRPr="00E27BB2">
        <w:t>5</w:t>
      </w:r>
      <w:r w:rsidRPr="00E27BB2">
        <w:t>名妇女成员为实现其既定目标工作至少长达</w:t>
      </w:r>
      <w:r w:rsidRPr="00E27BB2">
        <w:t>6</w:t>
      </w:r>
      <w:r w:rsidRPr="00E27BB2">
        <w:t>个月的时间。</w:t>
      </w:r>
    </w:p>
    <w:p w:rsidR="00BC40DA" w:rsidRPr="00E27BB2" w:rsidRDefault="00BC40DA" w:rsidP="00BC40DA">
      <w:pPr>
        <w:pStyle w:val="SingleTxtGC"/>
      </w:pPr>
      <w:r w:rsidRPr="00E27BB2">
        <w:t>10</w:t>
      </w:r>
      <w:r w:rsidR="00FC5ECC">
        <w:t>0.</w:t>
      </w:r>
      <w:r w:rsidR="00E91BF9">
        <w:rPr>
          <w:rFonts w:hint="eastAsia"/>
        </w:rPr>
        <w:t xml:space="preserve">  </w:t>
      </w:r>
      <w:r w:rsidRPr="00E27BB2">
        <w:t>该《条例》规定</w:t>
      </w:r>
      <w:r w:rsidR="00FC5ECC">
        <w:t>，</w:t>
      </w:r>
      <w:r w:rsidRPr="00E27BB2">
        <w:t>相关协会的项目将获得经济刺激资金的支助</w:t>
      </w:r>
      <w:r w:rsidR="00FC5ECC">
        <w:t>，</w:t>
      </w:r>
      <w:r w:rsidRPr="00E27BB2">
        <w:t>其中某些项目的此种资助额将为项目价值的</w:t>
      </w:r>
      <w:r w:rsidRPr="00E27BB2">
        <w:t>100</w:t>
      </w:r>
      <w:r w:rsidR="00FC5ECC">
        <w:t>%</w:t>
      </w:r>
      <w:r w:rsidR="00F649AC" w:rsidRPr="00F649AC">
        <w:rPr>
          <w:rFonts w:hint="eastAsia"/>
          <w:vertAlign w:val="superscript"/>
        </w:rPr>
        <w:t xml:space="preserve"> </w:t>
      </w:r>
      <w:r w:rsidR="00FC5ECC">
        <w:t>(</w:t>
      </w:r>
      <w:r w:rsidRPr="00E27BB2">
        <w:t>另一些项目获得的经济刺激资金则为其投资值的</w:t>
      </w:r>
      <w:r w:rsidRPr="00E27BB2">
        <w:t>40</w:t>
      </w:r>
      <w:r w:rsidR="00FC5ECC">
        <w:t>%</w:t>
      </w:r>
      <w:r w:rsidR="00E91BF9">
        <w:rPr>
          <w:rFonts w:hint="eastAsia"/>
        </w:rPr>
        <w:t>-</w:t>
      </w:r>
      <w:r w:rsidRPr="00E27BB2">
        <w:t>50</w:t>
      </w:r>
      <w:r w:rsidR="00FC5ECC">
        <w:t>%</w:t>
      </w:r>
      <w:r w:rsidR="00FC5ECC">
        <w:t>，</w:t>
      </w:r>
      <w:r w:rsidRPr="00E27BB2">
        <w:t>这将取决于相关地区的农业工作条件的艰苦程度</w:t>
      </w:r>
      <w:r w:rsidR="00FC5ECC">
        <w:t>)</w:t>
      </w:r>
      <w:r w:rsidR="00FC5ECC">
        <w:t>，</w:t>
      </w:r>
      <w:r w:rsidRPr="00E27BB2">
        <w:t>该《条例》同时规定</w:t>
      </w:r>
      <w:r w:rsidR="00FC5ECC">
        <w:t>，</w:t>
      </w:r>
      <w:r w:rsidRPr="00E27BB2">
        <w:t>经济刺激资金的最高限额为</w:t>
      </w:r>
      <w:r w:rsidRPr="00E27BB2">
        <w:t>80</w:t>
      </w:r>
      <w:r w:rsidRPr="00E27BB2">
        <w:t>万塞尔维亚第纳尔。</w:t>
      </w:r>
    </w:p>
    <w:p w:rsidR="005E5B5C" w:rsidRDefault="00BC40DA" w:rsidP="00BC40DA">
      <w:pPr>
        <w:pStyle w:val="SingleTxtGC"/>
        <w:rPr>
          <w:rFonts w:hint="eastAsia"/>
        </w:rPr>
      </w:pPr>
      <w:r w:rsidRPr="00E27BB2">
        <w:t>10</w:t>
      </w:r>
      <w:r w:rsidR="00FC5ECC">
        <w:t>1.</w:t>
      </w:r>
      <w:r w:rsidR="0059519A">
        <w:rPr>
          <w:rFonts w:hint="eastAsia"/>
        </w:rPr>
        <w:t xml:space="preserve">  </w:t>
      </w:r>
      <w:r w:rsidRPr="00E27BB2">
        <w:t>在农林和水利部于</w:t>
      </w:r>
      <w:r w:rsidRPr="00E27BB2">
        <w:t>2010</w:t>
      </w:r>
      <w:r w:rsidRPr="00E27BB2">
        <w:t>年宣布进行竞争并实施了该程序后</w:t>
      </w:r>
      <w:r w:rsidR="00FC5ECC">
        <w:t>，</w:t>
      </w:r>
      <w:r w:rsidRPr="00E27BB2">
        <w:t>有</w:t>
      </w:r>
      <w:r w:rsidRPr="00E27BB2">
        <w:t>12</w:t>
      </w:r>
      <w:r w:rsidRPr="00E27BB2">
        <w:t>个协会</w:t>
      </w:r>
      <w:r w:rsidR="002802B3">
        <w:rPr>
          <w:rFonts w:hint="eastAsia"/>
        </w:rPr>
        <w:t>取得了获得经济刺激资金的资格。</w:t>
      </w:r>
    </w:p>
    <w:tbl>
      <w:tblPr>
        <w:tblW w:w="8336" w:type="dxa"/>
        <w:tblInd w:w="1134"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1540"/>
        <w:gridCol w:w="1634"/>
        <w:gridCol w:w="1542"/>
        <w:gridCol w:w="1834"/>
        <w:gridCol w:w="1786"/>
      </w:tblGrid>
      <w:tr w:rsidR="00EC4AE4" w:rsidRPr="000425F1" w:rsidTr="00897B0E">
        <w:trPr>
          <w:trHeight w:val="240"/>
          <w:tblHeader/>
        </w:trPr>
        <w:tc>
          <w:tcPr>
            <w:tcW w:w="1540" w:type="dxa"/>
            <w:tcBorders>
              <w:top w:val="single" w:sz="4" w:space="0" w:color="auto"/>
              <w:bottom w:val="single" w:sz="12" w:space="0" w:color="auto"/>
            </w:tcBorders>
            <w:shd w:val="clear" w:color="auto" w:fill="auto"/>
            <w:vAlign w:val="bottom"/>
          </w:tcPr>
          <w:p w:rsidR="005E5B5C" w:rsidRPr="005E5B5C" w:rsidRDefault="005E5B5C" w:rsidP="005E5B5C">
            <w:pPr>
              <w:pStyle w:val="a0"/>
              <w:ind w:left="113"/>
              <w:rPr>
                <w:rFonts w:hint="eastAsia"/>
              </w:rPr>
            </w:pPr>
            <w:r w:rsidRPr="00FF785B">
              <w:rPr>
                <w:rFonts w:hint="eastAsia"/>
              </w:rPr>
              <w:t>提交</w:t>
            </w:r>
            <w:r>
              <w:rPr>
                <w:rFonts w:hint="eastAsia"/>
              </w:rPr>
              <w:t>了在农村地区从事非农业活动</w:t>
            </w:r>
            <w:r w:rsidRPr="00364DA4">
              <w:rPr>
                <w:rFonts w:hint="eastAsia"/>
              </w:rPr>
              <w:t>申请</w:t>
            </w:r>
            <w:r>
              <w:rPr>
                <w:rFonts w:hint="eastAsia"/>
              </w:rPr>
              <w:t>书的</w:t>
            </w:r>
            <w:r w:rsidRPr="00364DA4">
              <w:rPr>
                <w:rFonts w:hint="eastAsia"/>
              </w:rPr>
              <w:t>注册</w:t>
            </w:r>
            <w:r>
              <w:rPr>
                <w:rFonts w:hint="eastAsia"/>
              </w:rPr>
              <w:t>农业单位</w:t>
            </w:r>
            <w:r w:rsidRPr="005E5B5C">
              <w:rPr>
                <w:vertAlign w:val="superscript"/>
              </w:rPr>
              <w:footnoteReference w:id="39"/>
            </w:r>
            <w:r w:rsidRPr="005E5B5C">
              <w:rPr>
                <w:rFonts w:hint="eastAsia"/>
              </w:rPr>
              <w:t xml:space="preserve"> </w:t>
            </w:r>
            <w:r w:rsidRPr="00707F9D">
              <w:rPr>
                <w:rFonts w:hint="eastAsia"/>
              </w:rPr>
              <w:t>数目</w:t>
            </w:r>
          </w:p>
        </w:tc>
        <w:tc>
          <w:tcPr>
            <w:tcW w:w="1634" w:type="dxa"/>
            <w:tcBorders>
              <w:top w:val="single" w:sz="4" w:space="0" w:color="auto"/>
              <w:bottom w:val="single" w:sz="12" w:space="0" w:color="auto"/>
            </w:tcBorders>
            <w:shd w:val="clear" w:color="auto" w:fill="auto"/>
            <w:vAlign w:val="bottom"/>
          </w:tcPr>
          <w:p w:rsidR="005E5B5C" w:rsidRPr="0008588C" w:rsidRDefault="005E5B5C" w:rsidP="005E5B5C">
            <w:pPr>
              <w:pStyle w:val="a0"/>
              <w:ind w:left="113"/>
            </w:pPr>
            <w:r w:rsidRPr="0008588C">
              <w:rPr>
                <w:rFonts w:hint="eastAsia"/>
              </w:rPr>
              <w:t>在农村地区从事非农业活动的申请书已经获准的</w:t>
            </w:r>
            <w:r w:rsidRPr="0008588C">
              <w:rPr>
                <w:rFonts w:hint="eastAsia"/>
                <w:spacing w:val="-2"/>
              </w:rPr>
              <w:t>注册农业单位数目</w:t>
            </w:r>
          </w:p>
        </w:tc>
        <w:tc>
          <w:tcPr>
            <w:tcW w:w="1542" w:type="dxa"/>
            <w:tcBorders>
              <w:top w:val="single" w:sz="4" w:space="0" w:color="auto"/>
              <w:bottom w:val="single" w:sz="12" w:space="0" w:color="auto"/>
            </w:tcBorders>
            <w:shd w:val="clear" w:color="auto" w:fill="auto"/>
            <w:vAlign w:val="bottom"/>
          </w:tcPr>
          <w:p w:rsidR="005E5B5C" w:rsidRPr="005E5B5C" w:rsidRDefault="005E5B5C" w:rsidP="005E5B5C">
            <w:pPr>
              <w:pStyle w:val="a0"/>
              <w:ind w:left="113"/>
            </w:pPr>
            <w:r>
              <w:rPr>
                <w:rFonts w:hint="eastAsia"/>
              </w:rPr>
              <w:t>提交了在农村地区从事非农业活动</w:t>
            </w:r>
            <w:r w:rsidRPr="00364DA4">
              <w:rPr>
                <w:rFonts w:hint="eastAsia"/>
              </w:rPr>
              <w:t>申请书</w:t>
            </w:r>
            <w:r>
              <w:rPr>
                <w:rFonts w:hint="eastAsia"/>
              </w:rPr>
              <w:t>的其负责人为妇女的</w:t>
            </w:r>
            <w:r w:rsidRPr="00364DA4">
              <w:rPr>
                <w:rFonts w:hint="eastAsia"/>
              </w:rPr>
              <w:t>注册</w:t>
            </w:r>
            <w:r>
              <w:rPr>
                <w:rFonts w:hint="eastAsia"/>
              </w:rPr>
              <w:t>农业单位</w:t>
            </w:r>
            <w:r w:rsidRPr="00364DA4">
              <w:rPr>
                <w:rFonts w:hint="eastAsia"/>
              </w:rPr>
              <w:t>数目</w:t>
            </w:r>
          </w:p>
        </w:tc>
        <w:tc>
          <w:tcPr>
            <w:tcW w:w="1834" w:type="dxa"/>
            <w:tcBorders>
              <w:top w:val="single" w:sz="4" w:space="0" w:color="auto"/>
              <w:bottom w:val="single" w:sz="12" w:space="0" w:color="auto"/>
            </w:tcBorders>
            <w:vAlign w:val="bottom"/>
          </w:tcPr>
          <w:p w:rsidR="005E5B5C" w:rsidRDefault="005E5B5C" w:rsidP="005E5B5C">
            <w:pPr>
              <w:pStyle w:val="a0"/>
              <w:ind w:left="113"/>
              <w:rPr>
                <w:rFonts w:hint="eastAsia"/>
              </w:rPr>
            </w:pPr>
            <w:r>
              <w:rPr>
                <w:rFonts w:hint="eastAsia"/>
              </w:rPr>
              <w:t>在农村地区从事非农业活动</w:t>
            </w:r>
            <w:r w:rsidRPr="00364DA4">
              <w:rPr>
                <w:rFonts w:hint="eastAsia"/>
              </w:rPr>
              <w:t>申请书</w:t>
            </w:r>
            <w:r>
              <w:rPr>
                <w:rFonts w:hint="eastAsia"/>
              </w:rPr>
              <w:t>已经</w:t>
            </w:r>
            <w:r w:rsidRPr="00FB1E63">
              <w:rPr>
                <w:rFonts w:hint="eastAsia"/>
              </w:rPr>
              <w:t>获准</w:t>
            </w:r>
            <w:r>
              <w:rPr>
                <w:rFonts w:hint="eastAsia"/>
              </w:rPr>
              <w:t>的其负责人</w:t>
            </w:r>
            <w:r w:rsidRPr="00897B0E">
              <w:rPr>
                <w:rFonts w:hint="eastAsia"/>
                <w:spacing w:val="-4"/>
              </w:rPr>
              <w:t>为妇女</w:t>
            </w:r>
            <w:r w:rsidR="00897B0E" w:rsidRPr="00897B0E">
              <w:rPr>
                <w:rFonts w:hint="eastAsia"/>
                <w:spacing w:val="-4"/>
                <w:vertAlign w:val="superscript"/>
              </w:rPr>
              <w:t xml:space="preserve"> </w:t>
            </w:r>
            <w:r w:rsidR="00897B0E" w:rsidRPr="00897B0E">
              <w:rPr>
                <w:rFonts w:hint="eastAsia"/>
                <w:spacing w:val="-4"/>
              </w:rPr>
              <w:t>+</w:t>
            </w:r>
            <w:r w:rsidR="00897B0E" w:rsidRPr="00897B0E">
              <w:rPr>
                <w:rFonts w:hint="eastAsia"/>
                <w:spacing w:val="-4"/>
                <w:vertAlign w:val="superscript"/>
              </w:rPr>
              <w:t xml:space="preserve"> </w:t>
            </w:r>
            <w:r w:rsidRPr="00897B0E">
              <w:rPr>
                <w:rFonts w:hint="eastAsia"/>
                <w:spacing w:val="-4"/>
              </w:rPr>
              <w:t>妇女协会的</w:t>
            </w:r>
            <w:r w:rsidRPr="00364DA4">
              <w:rPr>
                <w:rFonts w:hint="eastAsia"/>
              </w:rPr>
              <w:t>注册</w:t>
            </w:r>
            <w:r>
              <w:rPr>
                <w:rFonts w:hint="eastAsia"/>
              </w:rPr>
              <w:t>农业单位</w:t>
            </w:r>
            <w:r w:rsidRPr="00364DA4">
              <w:rPr>
                <w:rFonts w:hint="eastAsia"/>
              </w:rPr>
              <w:t>数目</w:t>
            </w:r>
          </w:p>
        </w:tc>
        <w:tc>
          <w:tcPr>
            <w:tcW w:w="1786" w:type="dxa"/>
            <w:tcBorders>
              <w:top w:val="single" w:sz="4" w:space="0" w:color="auto"/>
              <w:bottom w:val="single" w:sz="12" w:space="0" w:color="auto"/>
            </w:tcBorders>
            <w:shd w:val="clear" w:color="auto" w:fill="auto"/>
            <w:vAlign w:val="bottom"/>
          </w:tcPr>
          <w:p w:rsidR="005E5B5C" w:rsidRPr="005E5B5C" w:rsidRDefault="005E5B5C" w:rsidP="005E5B5C">
            <w:pPr>
              <w:pStyle w:val="a0"/>
              <w:ind w:left="113"/>
            </w:pPr>
            <w:r>
              <w:rPr>
                <w:rFonts w:hint="eastAsia"/>
              </w:rPr>
              <w:t>为在农村地区从事非农业活动获得刺激资金的其负责人</w:t>
            </w:r>
            <w:r w:rsidRPr="00897B0E">
              <w:rPr>
                <w:rFonts w:hint="eastAsia"/>
                <w:spacing w:val="-5"/>
              </w:rPr>
              <w:t>为妇女</w:t>
            </w:r>
            <w:r w:rsidR="00897B0E" w:rsidRPr="00897B0E">
              <w:rPr>
                <w:rFonts w:hint="eastAsia"/>
                <w:spacing w:val="-5"/>
                <w:vertAlign w:val="superscript"/>
              </w:rPr>
              <w:t xml:space="preserve"> </w:t>
            </w:r>
            <w:r w:rsidRPr="00897B0E">
              <w:rPr>
                <w:rFonts w:hint="eastAsia"/>
                <w:spacing w:val="-5"/>
              </w:rPr>
              <w:t>+</w:t>
            </w:r>
            <w:r w:rsidR="00897B0E" w:rsidRPr="00897B0E">
              <w:rPr>
                <w:rFonts w:hint="eastAsia"/>
                <w:spacing w:val="-5"/>
                <w:vertAlign w:val="superscript"/>
              </w:rPr>
              <w:t xml:space="preserve"> </w:t>
            </w:r>
            <w:r w:rsidRPr="00897B0E">
              <w:rPr>
                <w:rFonts w:hint="eastAsia"/>
                <w:spacing w:val="-5"/>
              </w:rPr>
              <w:t>妇女协会的</w:t>
            </w:r>
            <w:r w:rsidRPr="00364DA4">
              <w:rPr>
                <w:rFonts w:hint="eastAsia"/>
              </w:rPr>
              <w:t>注册农业单位</w:t>
            </w:r>
            <w:r w:rsidRPr="00543AD5">
              <w:rPr>
                <w:rFonts w:hint="eastAsia"/>
              </w:rPr>
              <w:t>数目</w:t>
            </w:r>
          </w:p>
        </w:tc>
      </w:tr>
      <w:tr w:rsidR="00EC4AE4" w:rsidRPr="000425F1" w:rsidTr="00897B0E">
        <w:trPr>
          <w:trHeight w:val="240"/>
        </w:trPr>
        <w:tc>
          <w:tcPr>
            <w:tcW w:w="1540" w:type="dxa"/>
            <w:tcBorders>
              <w:top w:val="single" w:sz="12" w:space="0" w:color="auto"/>
            </w:tcBorders>
            <w:shd w:val="clear" w:color="auto" w:fill="auto"/>
          </w:tcPr>
          <w:p w:rsidR="005E5B5C" w:rsidRPr="000425F1" w:rsidRDefault="005E5B5C" w:rsidP="005E5B5C">
            <w:pPr>
              <w:pStyle w:val="a4"/>
              <w:overflowPunct/>
              <w:jc w:val="center"/>
            </w:pPr>
            <w:r w:rsidRPr="005E5B5C">
              <w:t>223</w:t>
            </w:r>
          </w:p>
        </w:tc>
        <w:tc>
          <w:tcPr>
            <w:tcW w:w="1634" w:type="dxa"/>
            <w:tcBorders>
              <w:top w:val="single" w:sz="12" w:space="0" w:color="auto"/>
            </w:tcBorders>
            <w:shd w:val="clear" w:color="auto" w:fill="auto"/>
            <w:vAlign w:val="bottom"/>
          </w:tcPr>
          <w:p w:rsidR="005E5B5C" w:rsidRPr="000425F1" w:rsidRDefault="005E5B5C" w:rsidP="005E5B5C">
            <w:pPr>
              <w:pStyle w:val="a4"/>
              <w:overflowPunct/>
              <w:jc w:val="center"/>
              <w:rPr>
                <w:rFonts w:hint="eastAsia"/>
              </w:rPr>
            </w:pPr>
            <w:r w:rsidRPr="003B51E7">
              <w:t>70</w:t>
            </w:r>
          </w:p>
        </w:tc>
        <w:tc>
          <w:tcPr>
            <w:tcW w:w="1542" w:type="dxa"/>
            <w:tcBorders>
              <w:top w:val="single" w:sz="12" w:space="0" w:color="auto"/>
            </w:tcBorders>
            <w:shd w:val="clear" w:color="auto" w:fill="auto"/>
            <w:vAlign w:val="bottom"/>
          </w:tcPr>
          <w:p w:rsidR="005E5B5C" w:rsidRPr="000425F1" w:rsidRDefault="005E5B5C" w:rsidP="005E5B5C">
            <w:pPr>
              <w:pStyle w:val="a4"/>
              <w:overflowPunct/>
              <w:jc w:val="center"/>
            </w:pPr>
            <w:r w:rsidRPr="003B51E7">
              <w:t>80</w:t>
            </w:r>
          </w:p>
        </w:tc>
        <w:tc>
          <w:tcPr>
            <w:tcW w:w="1834" w:type="dxa"/>
            <w:tcBorders>
              <w:top w:val="single" w:sz="12" w:space="0" w:color="auto"/>
            </w:tcBorders>
          </w:tcPr>
          <w:p w:rsidR="005E5B5C" w:rsidRPr="003B51E7" w:rsidRDefault="005E5B5C" w:rsidP="005E5B5C">
            <w:pPr>
              <w:pStyle w:val="a4"/>
              <w:overflowPunct/>
              <w:jc w:val="center"/>
            </w:pPr>
            <w:r w:rsidRPr="003B51E7">
              <w:t>16 +</w:t>
            </w:r>
            <w:r>
              <w:rPr>
                <w:rFonts w:hint="eastAsia"/>
              </w:rPr>
              <w:t xml:space="preserve"> </w:t>
            </w:r>
            <w:r w:rsidRPr="003B51E7">
              <w:t>12</w:t>
            </w:r>
          </w:p>
        </w:tc>
        <w:tc>
          <w:tcPr>
            <w:tcW w:w="1786" w:type="dxa"/>
            <w:tcBorders>
              <w:top w:val="single" w:sz="12" w:space="0" w:color="auto"/>
            </w:tcBorders>
            <w:shd w:val="clear" w:color="auto" w:fill="auto"/>
            <w:vAlign w:val="bottom"/>
          </w:tcPr>
          <w:p w:rsidR="005E5B5C" w:rsidRPr="000425F1" w:rsidRDefault="005E5B5C" w:rsidP="005E5B5C">
            <w:pPr>
              <w:pStyle w:val="a4"/>
              <w:overflowPunct/>
              <w:jc w:val="center"/>
            </w:pPr>
            <w:r w:rsidRPr="003B51E7">
              <w:t>7 +</w:t>
            </w:r>
            <w:r>
              <w:rPr>
                <w:rFonts w:hint="eastAsia"/>
              </w:rPr>
              <w:t xml:space="preserve"> </w:t>
            </w:r>
            <w:r w:rsidRPr="003B51E7">
              <w:t>12</w:t>
            </w:r>
          </w:p>
        </w:tc>
      </w:tr>
    </w:tbl>
    <w:p w:rsidR="00BC40DA" w:rsidRPr="00E27BB2" w:rsidRDefault="00BC40DA" w:rsidP="0059519A">
      <w:pPr>
        <w:pStyle w:val="SingleTxtGC"/>
        <w:spacing w:after="0" w:line="240" w:lineRule="exact"/>
        <w:rPr>
          <w:rFonts w:hint="eastAsia"/>
        </w:rPr>
      </w:pPr>
    </w:p>
    <w:p w:rsidR="00BC40DA" w:rsidRPr="00E27BB2" w:rsidRDefault="00BC40DA" w:rsidP="0059519A">
      <w:pPr>
        <w:pStyle w:val="SingleTxtGC"/>
      </w:pPr>
      <w:r w:rsidRPr="00E27BB2">
        <w:t>10</w:t>
      </w:r>
      <w:r w:rsidR="00FC5ECC">
        <w:t>2.</w:t>
      </w:r>
      <w:r w:rsidR="0059519A">
        <w:rPr>
          <w:rFonts w:hint="eastAsia"/>
        </w:rPr>
        <w:t xml:space="preserve">  </w:t>
      </w:r>
      <w:r w:rsidRPr="00E27BB2">
        <w:t>上文的表格表明了实施上述《条例》的结果</w:t>
      </w:r>
      <w:r w:rsidR="00FC5ECC">
        <w:t>，</w:t>
      </w:r>
      <w:r w:rsidRPr="00E27BB2">
        <w:t>其中妇女比男子多了</w:t>
      </w:r>
      <w:r w:rsidRPr="00E27BB2">
        <w:t>10</w:t>
      </w:r>
      <w:r w:rsidRPr="00E27BB2">
        <w:t>个</w:t>
      </w:r>
      <w:r w:rsidR="0059519A">
        <w:rPr>
          <w:rFonts w:hint="eastAsia"/>
        </w:rPr>
        <w:t>“</w:t>
      </w:r>
      <w:r w:rsidRPr="00E27BB2">
        <w:t>点</w:t>
      </w:r>
      <w:r w:rsidR="0059519A">
        <w:rPr>
          <w:rFonts w:hint="eastAsia"/>
        </w:rPr>
        <w:t>”</w:t>
      </w:r>
      <w:r w:rsidRPr="00E27BB2">
        <w:t>。</w:t>
      </w:r>
    </w:p>
    <w:p w:rsidR="00BC40DA" w:rsidRPr="00E27BB2" w:rsidRDefault="00BC40DA" w:rsidP="001525F3">
      <w:pPr>
        <w:pStyle w:val="SingleTxtGC"/>
      </w:pPr>
      <w:r w:rsidRPr="00E27BB2">
        <w:t>10</w:t>
      </w:r>
      <w:r w:rsidR="00FC5ECC">
        <w:t>3.</w:t>
      </w:r>
      <w:r w:rsidR="0059519A">
        <w:rPr>
          <w:rFonts w:hint="eastAsia"/>
        </w:rPr>
        <w:t xml:space="preserve">  </w:t>
      </w:r>
      <w:r w:rsidRPr="00E27BB2">
        <w:t>该部在</w:t>
      </w:r>
      <w:r w:rsidRPr="00E27BB2">
        <w:t>2010</w:t>
      </w:r>
      <w:r w:rsidRPr="00E27BB2">
        <w:t>年决定</w:t>
      </w:r>
      <w:r w:rsidR="00FC5ECC">
        <w:t>，</w:t>
      </w:r>
      <w:r w:rsidRPr="00E27BB2">
        <w:t>按照使用刺激资金《条例》规定的条件和方式</w:t>
      </w:r>
      <w:r w:rsidR="00FC5ECC">
        <w:t>，</w:t>
      </w:r>
      <w:r w:rsidRPr="00E27BB2">
        <w:t>通过在</w:t>
      </w:r>
      <w:r w:rsidRPr="00E27BB2">
        <w:t>2010</w:t>
      </w:r>
      <w:r w:rsidRPr="00E27BB2">
        <w:t>年对农业生产单位生产蔬菜和工业作物的投资以及对为畜牧业购买牲畜群进行的投资支助农村发展时</w:t>
      </w:r>
      <w:r w:rsidR="001525F3">
        <w:rPr>
          <w:rStyle w:val="FootnoteReference"/>
        </w:rPr>
        <w:footnoteReference w:id="40"/>
      </w:r>
      <w:r w:rsidR="00FC5ECC">
        <w:t>，</w:t>
      </w:r>
      <w:r w:rsidRPr="00E27BB2">
        <w:t>如果农业生产单位的负责人为妇女</w:t>
      </w:r>
      <w:r w:rsidR="00FC5ECC">
        <w:t>，</w:t>
      </w:r>
      <w:r w:rsidRPr="00E27BB2">
        <w:t>应多分配</w:t>
      </w:r>
      <w:r w:rsidRPr="00E27BB2">
        <w:t>10</w:t>
      </w:r>
      <w:r w:rsidRPr="00E27BB2">
        <w:t>个</w:t>
      </w:r>
      <w:r w:rsidR="001525F3">
        <w:rPr>
          <w:rFonts w:hint="eastAsia"/>
        </w:rPr>
        <w:t>“</w:t>
      </w:r>
      <w:r w:rsidRPr="00E27BB2">
        <w:t>点</w:t>
      </w:r>
      <w:r w:rsidR="001525F3">
        <w:rPr>
          <w:rFonts w:hint="eastAsia"/>
        </w:rPr>
        <w:t>”</w:t>
      </w:r>
      <w:r w:rsidRPr="00E27BB2">
        <w:t>。</w:t>
      </w:r>
    </w:p>
    <w:tbl>
      <w:tblPr>
        <w:tblW w:w="8505" w:type="dxa"/>
        <w:tblInd w:w="1134"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2140"/>
        <w:gridCol w:w="2139"/>
        <w:gridCol w:w="2113"/>
        <w:gridCol w:w="2113"/>
      </w:tblGrid>
      <w:tr w:rsidR="008D6337" w:rsidRPr="000425F1" w:rsidTr="005E5B5C">
        <w:trPr>
          <w:trHeight w:val="240"/>
          <w:tblHeader/>
        </w:trPr>
        <w:tc>
          <w:tcPr>
            <w:tcW w:w="3196" w:type="dxa"/>
            <w:tcBorders>
              <w:top w:val="single" w:sz="4" w:space="0" w:color="auto"/>
              <w:bottom w:val="single" w:sz="12" w:space="0" w:color="auto"/>
            </w:tcBorders>
            <w:shd w:val="clear" w:color="auto" w:fill="auto"/>
            <w:vAlign w:val="bottom"/>
          </w:tcPr>
          <w:p w:rsidR="008D6337" w:rsidRPr="000425F1" w:rsidRDefault="008D6337" w:rsidP="005E5B5C">
            <w:pPr>
              <w:pStyle w:val="a0"/>
              <w:ind w:left="113"/>
              <w:jc w:val="left"/>
              <w:rPr>
                <w:i/>
              </w:rPr>
            </w:pPr>
            <w:r w:rsidRPr="00FF785B">
              <w:rPr>
                <w:rFonts w:hint="eastAsia"/>
              </w:rPr>
              <w:t>提交</w:t>
            </w:r>
            <w:r>
              <w:rPr>
                <w:rFonts w:hint="eastAsia"/>
              </w:rPr>
              <w:t>了提供拖拉机申请书的</w:t>
            </w:r>
            <w:r w:rsidRPr="006E7979">
              <w:t>注册农业单位</w:t>
            </w:r>
            <w:r w:rsidRPr="006E7979">
              <w:rPr>
                <w:rFonts w:hint="eastAsia"/>
              </w:rPr>
              <w:t>数目</w:t>
            </w:r>
          </w:p>
        </w:tc>
        <w:tc>
          <w:tcPr>
            <w:tcW w:w="3196" w:type="dxa"/>
            <w:tcBorders>
              <w:top w:val="single" w:sz="4" w:space="0" w:color="auto"/>
              <w:bottom w:val="single" w:sz="12" w:space="0" w:color="auto"/>
            </w:tcBorders>
            <w:shd w:val="clear" w:color="auto" w:fill="auto"/>
            <w:vAlign w:val="bottom"/>
          </w:tcPr>
          <w:p w:rsidR="008D6337" w:rsidRPr="000425F1" w:rsidRDefault="008D6337" w:rsidP="005E5B5C">
            <w:pPr>
              <w:pStyle w:val="a0"/>
              <w:ind w:left="113"/>
              <w:rPr>
                <w:i/>
              </w:rPr>
            </w:pPr>
            <w:r>
              <w:rPr>
                <w:rFonts w:hint="eastAsia"/>
              </w:rPr>
              <w:t>提供《条例》限额内拖拉机的申请书已经获准的</w:t>
            </w:r>
            <w:r w:rsidRPr="006E7979">
              <w:t>注册农业单位</w:t>
            </w:r>
            <w:r w:rsidRPr="006E7979">
              <w:rPr>
                <w:rFonts w:hint="eastAsia"/>
              </w:rPr>
              <w:t>数目</w:t>
            </w:r>
          </w:p>
        </w:tc>
        <w:tc>
          <w:tcPr>
            <w:tcW w:w="3196" w:type="dxa"/>
            <w:tcBorders>
              <w:top w:val="single" w:sz="4" w:space="0" w:color="auto"/>
              <w:bottom w:val="single" w:sz="12" w:space="0" w:color="auto"/>
            </w:tcBorders>
            <w:shd w:val="clear" w:color="auto" w:fill="auto"/>
            <w:vAlign w:val="bottom"/>
          </w:tcPr>
          <w:p w:rsidR="008D6337" w:rsidRPr="000425F1" w:rsidRDefault="008D6337" w:rsidP="005E5B5C">
            <w:pPr>
              <w:pStyle w:val="a0"/>
              <w:ind w:left="113"/>
              <w:rPr>
                <w:i/>
              </w:rPr>
            </w:pPr>
            <w:r w:rsidRPr="00FF785B">
              <w:rPr>
                <w:rFonts w:hint="eastAsia"/>
              </w:rPr>
              <w:t>提交</w:t>
            </w:r>
            <w:r>
              <w:rPr>
                <w:rFonts w:hint="eastAsia"/>
              </w:rPr>
              <w:t>了此种申请书的其负责人为妇女的</w:t>
            </w:r>
            <w:r w:rsidRPr="006E7979">
              <w:t>注册农业单位</w:t>
            </w:r>
            <w:r w:rsidRPr="006E7979">
              <w:rPr>
                <w:rFonts w:hint="eastAsia"/>
              </w:rPr>
              <w:t>数目</w:t>
            </w:r>
          </w:p>
        </w:tc>
        <w:tc>
          <w:tcPr>
            <w:tcW w:w="3196" w:type="dxa"/>
            <w:tcBorders>
              <w:top w:val="single" w:sz="4" w:space="0" w:color="auto"/>
              <w:bottom w:val="single" w:sz="12" w:space="0" w:color="auto"/>
            </w:tcBorders>
            <w:shd w:val="clear" w:color="auto" w:fill="auto"/>
            <w:vAlign w:val="bottom"/>
          </w:tcPr>
          <w:p w:rsidR="008D6337" w:rsidRPr="000425F1" w:rsidRDefault="008D6337" w:rsidP="005E5B5C">
            <w:pPr>
              <w:pStyle w:val="a0"/>
              <w:ind w:left="113"/>
              <w:rPr>
                <w:i/>
              </w:rPr>
            </w:pPr>
            <w:r>
              <w:rPr>
                <w:rFonts w:hint="eastAsia"/>
              </w:rPr>
              <w:t>此种申请书已经获准的其负责人为妇女的</w:t>
            </w:r>
            <w:r w:rsidRPr="006E7979">
              <w:t>注册农业单位</w:t>
            </w:r>
            <w:r w:rsidRPr="006E7979">
              <w:rPr>
                <w:rFonts w:hint="eastAsia"/>
              </w:rPr>
              <w:t>数目</w:t>
            </w:r>
          </w:p>
        </w:tc>
      </w:tr>
      <w:tr w:rsidR="008D6337" w:rsidRPr="000425F1" w:rsidTr="005E5B5C">
        <w:trPr>
          <w:trHeight w:val="240"/>
        </w:trPr>
        <w:tc>
          <w:tcPr>
            <w:tcW w:w="3196" w:type="dxa"/>
            <w:tcBorders>
              <w:top w:val="single" w:sz="12" w:space="0" w:color="auto"/>
            </w:tcBorders>
            <w:shd w:val="clear" w:color="auto" w:fill="auto"/>
          </w:tcPr>
          <w:p w:rsidR="008D6337" w:rsidRPr="000425F1" w:rsidRDefault="008D6337" w:rsidP="005E5B5C">
            <w:pPr>
              <w:pStyle w:val="a4"/>
              <w:overflowPunct/>
              <w:jc w:val="center"/>
            </w:pPr>
            <w:r w:rsidRPr="000425F1">
              <w:t>1219</w:t>
            </w:r>
          </w:p>
        </w:tc>
        <w:tc>
          <w:tcPr>
            <w:tcW w:w="3196" w:type="dxa"/>
            <w:tcBorders>
              <w:top w:val="single" w:sz="12" w:space="0" w:color="auto"/>
            </w:tcBorders>
            <w:shd w:val="clear" w:color="auto" w:fill="auto"/>
            <w:vAlign w:val="bottom"/>
          </w:tcPr>
          <w:p w:rsidR="008D6337" w:rsidRPr="000425F1" w:rsidRDefault="008D6337" w:rsidP="005E5B5C">
            <w:pPr>
              <w:pStyle w:val="a4"/>
              <w:overflowPunct/>
              <w:jc w:val="center"/>
            </w:pPr>
            <w:r w:rsidRPr="000425F1">
              <w:t>517</w:t>
            </w:r>
          </w:p>
        </w:tc>
        <w:tc>
          <w:tcPr>
            <w:tcW w:w="3196" w:type="dxa"/>
            <w:tcBorders>
              <w:top w:val="single" w:sz="12" w:space="0" w:color="auto"/>
            </w:tcBorders>
            <w:shd w:val="clear" w:color="auto" w:fill="auto"/>
            <w:vAlign w:val="bottom"/>
          </w:tcPr>
          <w:p w:rsidR="008D6337" w:rsidRPr="000425F1" w:rsidRDefault="008D6337" w:rsidP="005E5B5C">
            <w:pPr>
              <w:pStyle w:val="a4"/>
              <w:overflowPunct/>
              <w:jc w:val="center"/>
            </w:pPr>
            <w:r w:rsidRPr="000425F1">
              <w:t>216</w:t>
            </w:r>
          </w:p>
        </w:tc>
        <w:tc>
          <w:tcPr>
            <w:tcW w:w="3196" w:type="dxa"/>
            <w:tcBorders>
              <w:top w:val="single" w:sz="12" w:space="0" w:color="auto"/>
            </w:tcBorders>
            <w:shd w:val="clear" w:color="auto" w:fill="auto"/>
            <w:vAlign w:val="bottom"/>
          </w:tcPr>
          <w:p w:rsidR="008D6337" w:rsidRPr="000425F1" w:rsidRDefault="008D6337" w:rsidP="005E5B5C">
            <w:pPr>
              <w:pStyle w:val="a4"/>
              <w:overflowPunct/>
              <w:jc w:val="center"/>
            </w:pPr>
            <w:r w:rsidRPr="000425F1">
              <w:t>117</w:t>
            </w:r>
          </w:p>
        </w:tc>
      </w:tr>
    </w:tbl>
    <w:p w:rsidR="00BC40DA" w:rsidRPr="00E27BB2" w:rsidRDefault="00BC40DA" w:rsidP="008D6337">
      <w:pPr>
        <w:pStyle w:val="SingleTxtGC"/>
        <w:spacing w:after="0" w:line="240" w:lineRule="exact"/>
        <w:rPr>
          <w:rFonts w:hint="eastAsia"/>
        </w:rPr>
      </w:pPr>
    </w:p>
    <w:p w:rsidR="00BC40DA" w:rsidRDefault="00BC40DA" w:rsidP="00BC40DA">
      <w:pPr>
        <w:pStyle w:val="SingleTxtGC"/>
        <w:rPr>
          <w:rFonts w:hint="eastAsia"/>
        </w:rPr>
      </w:pPr>
      <w:r w:rsidRPr="00E27BB2">
        <w:t>10</w:t>
      </w:r>
      <w:r w:rsidR="00FC5ECC">
        <w:t>4.</w:t>
      </w:r>
      <w:r w:rsidR="008D6337">
        <w:rPr>
          <w:rFonts w:hint="eastAsia"/>
        </w:rPr>
        <w:t xml:space="preserve">  </w:t>
      </w:r>
      <w:r w:rsidRPr="00E27BB2">
        <w:t>按照使用刺激资金《条例》规定的条件和方式</w:t>
      </w:r>
      <w:r w:rsidR="00FC5ECC">
        <w:t>，</w:t>
      </w:r>
      <w:r w:rsidRPr="00E27BB2">
        <w:t>通过在</w:t>
      </w:r>
      <w:r w:rsidRPr="00E27BB2">
        <w:t>2010</w:t>
      </w:r>
      <w:r w:rsidRPr="00E27BB2">
        <w:t>年对农业生产单位生产奶类和肉类的投资支助农村发展时</w:t>
      </w:r>
      <w:r w:rsidR="008D6337">
        <w:rPr>
          <w:rStyle w:val="FootnoteReference"/>
        </w:rPr>
        <w:footnoteReference w:id="41"/>
      </w:r>
      <w:r w:rsidR="00FC5ECC">
        <w:t>，</w:t>
      </w:r>
      <w:r w:rsidRPr="00E27BB2">
        <w:t>应向妇女额外分配</w:t>
      </w:r>
      <w:r w:rsidRPr="00E27BB2">
        <w:t>5</w:t>
      </w:r>
      <w:r w:rsidRPr="00E27BB2">
        <w:t>个</w:t>
      </w:r>
      <w:r w:rsidR="005E55A0">
        <w:rPr>
          <w:rFonts w:hint="eastAsia"/>
        </w:rPr>
        <w:t>“</w:t>
      </w:r>
      <w:r w:rsidRPr="00E27BB2">
        <w:t>点</w:t>
      </w:r>
      <w:r w:rsidR="008D6337">
        <w:rPr>
          <w:rFonts w:hint="eastAsia"/>
        </w:rPr>
        <w:t>”</w:t>
      </w:r>
      <w:r w:rsidRPr="00E27BB2">
        <w:t>。</w:t>
      </w:r>
    </w:p>
    <w:tbl>
      <w:tblPr>
        <w:tblW w:w="8505" w:type="dxa"/>
        <w:tblInd w:w="1134"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1726"/>
        <w:gridCol w:w="1676"/>
        <w:gridCol w:w="1651"/>
        <w:gridCol w:w="1834"/>
        <w:gridCol w:w="1618"/>
      </w:tblGrid>
      <w:tr w:rsidR="00EC4AE4" w:rsidRPr="000425F1" w:rsidTr="00EC4AE4">
        <w:trPr>
          <w:trHeight w:val="240"/>
          <w:tblHeader/>
        </w:trPr>
        <w:tc>
          <w:tcPr>
            <w:tcW w:w="1726" w:type="dxa"/>
            <w:tcBorders>
              <w:top w:val="single" w:sz="4" w:space="0" w:color="auto"/>
              <w:bottom w:val="single" w:sz="12" w:space="0" w:color="auto"/>
            </w:tcBorders>
            <w:shd w:val="clear" w:color="auto" w:fill="auto"/>
            <w:vAlign w:val="bottom"/>
          </w:tcPr>
          <w:p w:rsidR="00EC4AE4" w:rsidRPr="005E5B5C" w:rsidRDefault="00EC4AE4" w:rsidP="00EC4AE4">
            <w:pPr>
              <w:pStyle w:val="a0"/>
              <w:ind w:left="113"/>
              <w:rPr>
                <w:rFonts w:hint="eastAsia"/>
              </w:rPr>
            </w:pPr>
            <w:r w:rsidRPr="00FF785B">
              <w:rPr>
                <w:rFonts w:hint="eastAsia"/>
              </w:rPr>
              <w:t>提交</w:t>
            </w:r>
            <w:r>
              <w:rPr>
                <w:rFonts w:hint="eastAsia"/>
              </w:rPr>
              <w:t>了生产奶类和肉类申请书的</w:t>
            </w:r>
            <w:r w:rsidRPr="006E7979">
              <w:t>注册农业单位</w:t>
            </w:r>
            <w:r w:rsidRPr="006E7979">
              <w:rPr>
                <w:rFonts w:hint="eastAsia"/>
              </w:rPr>
              <w:t>数目</w:t>
            </w:r>
          </w:p>
        </w:tc>
        <w:tc>
          <w:tcPr>
            <w:tcW w:w="1676" w:type="dxa"/>
            <w:tcBorders>
              <w:top w:val="single" w:sz="4" w:space="0" w:color="auto"/>
              <w:bottom w:val="single" w:sz="12" w:space="0" w:color="auto"/>
            </w:tcBorders>
            <w:shd w:val="clear" w:color="auto" w:fill="auto"/>
            <w:vAlign w:val="bottom"/>
          </w:tcPr>
          <w:p w:rsidR="00EC4AE4" w:rsidRPr="005E5B5C" w:rsidRDefault="00EC4AE4" w:rsidP="00EC4AE4">
            <w:pPr>
              <w:pStyle w:val="a0"/>
              <w:ind w:left="113"/>
            </w:pPr>
            <w:r>
              <w:rPr>
                <w:rFonts w:hint="eastAsia"/>
              </w:rPr>
              <w:t>生产奶类和肉类申请书已经获准的</w:t>
            </w:r>
            <w:r w:rsidRPr="006E7979">
              <w:t>注册农业单位</w:t>
            </w:r>
            <w:r w:rsidRPr="006E7979">
              <w:rPr>
                <w:rFonts w:hint="eastAsia"/>
              </w:rPr>
              <w:t>数目</w:t>
            </w:r>
          </w:p>
        </w:tc>
        <w:tc>
          <w:tcPr>
            <w:tcW w:w="1651" w:type="dxa"/>
            <w:tcBorders>
              <w:top w:val="single" w:sz="4" w:space="0" w:color="auto"/>
              <w:bottom w:val="single" w:sz="12" w:space="0" w:color="auto"/>
            </w:tcBorders>
            <w:shd w:val="clear" w:color="auto" w:fill="auto"/>
            <w:vAlign w:val="bottom"/>
          </w:tcPr>
          <w:p w:rsidR="00EC4AE4" w:rsidRPr="00EC4AE4" w:rsidRDefault="00EC4AE4" w:rsidP="00EC4AE4">
            <w:pPr>
              <w:pStyle w:val="a0"/>
              <w:ind w:left="113"/>
            </w:pPr>
            <w:r w:rsidRPr="00EC4AE4">
              <w:rPr>
                <w:rFonts w:hint="eastAsia"/>
              </w:rPr>
              <w:t>提交了此类申请书的其负责人为妇女的</w:t>
            </w:r>
            <w:r w:rsidRPr="00EC4AE4">
              <w:t>注册农业单位</w:t>
            </w:r>
            <w:r w:rsidRPr="00EC4AE4">
              <w:rPr>
                <w:rFonts w:hint="eastAsia"/>
              </w:rPr>
              <w:t>数目</w:t>
            </w:r>
          </w:p>
        </w:tc>
        <w:tc>
          <w:tcPr>
            <w:tcW w:w="1834" w:type="dxa"/>
            <w:tcBorders>
              <w:top w:val="single" w:sz="4" w:space="0" w:color="auto"/>
              <w:bottom w:val="single" w:sz="12" w:space="0" w:color="auto"/>
            </w:tcBorders>
          </w:tcPr>
          <w:p w:rsidR="00EC4AE4" w:rsidRDefault="00EC4AE4" w:rsidP="00EC4AE4">
            <w:pPr>
              <w:pStyle w:val="a0"/>
              <w:ind w:left="113"/>
              <w:rPr>
                <w:rFonts w:hint="eastAsia"/>
              </w:rPr>
            </w:pPr>
            <w:r>
              <w:rPr>
                <w:rFonts w:hint="eastAsia"/>
              </w:rPr>
              <w:t>此类申请书已经获准的其负责人为妇女的</w:t>
            </w:r>
            <w:r w:rsidRPr="006E7979">
              <w:t>注册农业单位</w:t>
            </w:r>
            <w:r w:rsidRPr="006E7979">
              <w:rPr>
                <w:rFonts w:hint="eastAsia"/>
              </w:rPr>
              <w:t>数目</w:t>
            </w:r>
          </w:p>
        </w:tc>
        <w:tc>
          <w:tcPr>
            <w:tcW w:w="1618" w:type="dxa"/>
            <w:tcBorders>
              <w:top w:val="single" w:sz="4" w:space="0" w:color="auto"/>
              <w:bottom w:val="single" w:sz="12" w:space="0" w:color="auto"/>
            </w:tcBorders>
            <w:shd w:val="clear" w:color="auto" w:fill="auto"/>
            <w:vAlign w:val="bottom"/>
          </w:tcPr>
          <w:p w:rsidR="00EC4AE4" w:rsidRPr="005E5B5C" w:rsidRDefault="00EC4AE4" w:rsidP="00EC4AE4">
            <w:pPr>
              <w:pStyle w:val="a0"/>
              <w:ind w:left="113"/>
            </w:pPr>
            <w:r>
              <w:rPr>
                <w:rFonts w:hint="eastAsia"/>
              </w:rPr>
              <w:t>获得刺激资金的其负责人为妇女的</w:t>
            </w:r>
            <w:r w:rsidRPr="00364DA4">
              <w:rPr>
                <w:rFonts w:hint="eastAsia"/>
              </w:rPr>
              <w:t>注册农业单位</w:t>
            </w:r>
            <w:r w:rsidRPr="00543AD5">
              <w:rPr>
                <w:rFonts w:hint="eastAsia"/>
              </w:rPr>
              <w:t>数目</w:t>
            </w:r>
          </w:p>
        </w:tc>
      </w:tr>
      <w:tr w:rsidR="00EC4AE4" w:rsidRPr="000425F1" w:rsidTr="00EC4AE4">
        <w:trPr>
          <w:trHeight w:val="240"/>
        </w:trPr>
        <w:tc>
          <w:tcPr>
            <w:tcW w:w="1726" w:type="dxa"/>
            <w:tcBorders>
              <w:top w:val="single" w:sz="12" w:space="0" w:color="auto"/>
            </w:tcBorders>
            <w:shd w:val="clear" w:color="auto" w:fill="auto"/>
          </w:tcPr>
          <w:p w:rsidR="00EC4AE4" w:rsidRPr="000425F1" w:rsidRDefault="00EC4AE4" w:rsidP="00EC4AE4">
            <w:pPr>
              <w:pStyle w:val="a4"/>
              <w:overflowPunct/>
              <w:jc w:val="center"/>
              <w:rPr>
                <w:rFonts w:hint="eastAsia"/>
              </w:rPr>
            </w:pPr>
            <w:r w:rsidRPr="0026163E">
              <w:t>74</w:t>
            </w:r>
          </w:p>
        </w:tc>
        <w:tc>
          <w:tcPr>
            <w:tcW w:w="1676" w:type="dxa"/>
            <w:tcBorders>
              <w:top w:val="single" w:sz="12" w:space="0" w:color="auto"/>
            </w:tcBorders>
            <w:shd w:val="clear" w:color="auto" w:fill="auto"/>
            <w:vAlign w:val="bottom"/>
          </w:tcPr>
          <w:p w:rsidR="00EC4AE4" w:rsidRPr="000425F1" w:rsidRDefault="00EC4AE4" w:rsidP="00EC4AE4">
            <w:pPr>
              <w:pStyle w:val="a4"/>
              <w:overflowPunct/>
              <w:jc w:val="center"/>
              <w:rPr>
                <w:rFonts w:hint="eastAsia"/>
              </w:rPr>
            </w:pPr>
            <w:r w:rsidRPr="0026163E">
              <w:t>36</w:t>
            </w:r>
          </w:p>
        </w:tc>
        <w:tc>
          <w:tcPr>
            <w:tcW w:w="1651" w:type="dxa"/>
            <w:tcBorders>
              <w:top w:val="single" w:sz="12" w:space="0" w:color="auto"/>
            </w:tcBorders>
            <w:shd w:val="clear" w:color="auto" w:fill="auto"/>
            <w:vAlign w:val="bottom"/>
          </w:tcPr>
          <w:p w:rsidR="00EC4AE4" w:rsidRPr="000425F1" w:rsidRDefault="00EC4AE4" w:rsidP="00EC4AE4">
            <w:pPr>
              <w:pStyle w:val="a4"/>
              <w:overflowPunct/>
              <w:jc w:val="center"/>
              <w:rPr>
                <w:rFonts w:hint="eastAsia"/>
              </w:rPr>
            </w:pPr>
            <w:r w:rsidRPr="0026163E">
              <w:t>14</w:t>
            </w:r>
          </w:p>
        </w:tc>
        <w:tc>
          <w:tcPr>
            <w:tcW w:w="1834" w:type="dxa"/>
            <w:tcBorders>
              <w:top w:val="single" w:sz="12" w:space="0" w:color="auto"/>
            </w:tcBorders>
          </w:tcPr>
          <w:p w:rsidR="00EC4AE4" w:rsidRPr="003B51E7" w:rsidRDefault="00EC4AE4" w:rsidP="00EC4AE4">
            <w:pPr>
              <w:pStyle w:val="a4"/>
              <w:overflowPunct/>
              <w:jc w:val="center"/>
            </w:pPr>
            <w:r w:rsidRPr="0026163E">
              <w:t>4</w:t>
            </w:r>
          </w:p>
        </w:tc>
        <w:tc>
          <w:tcPr>
            <w:tcW w:w="1618" w:type="dxa"/>
            <w:tcBorders>
              <w:top w:val="single" w:sz="12" w:space="0" w:color="auto"/>
            </w:tcBorders>
            <w:shd w:val="clear" w:color="auto" w:fill="auto"/>
            <w:vAlign w:val="bottom"/>
          </w:tcPr>
          <w:p w:rsidR="00EC4AE4" w:rsidRPr="000425F1" w:rsidRDefault="00EC4AE4" w:rsidP="00EC4AE4">
            <w:pPr>
              <w:pStyle w:val="a4"/>
              <w:overflowPunct/>
              <w:jc w:val="center"/>
            </w:pPr>
            <w:r w:rsidRPr="0026163E">
              <w:t>3</w:t>
            </w:r>
          </w:p>
        </w:tc>
      </w:tr>
    </w:tbl>
    <w:p w:rsidR="00BC40DA" w:rsidRPr="00E27BB2" w:rsidRDefault="00BC40DA" w:rsidP="008D6337">
      <w:pPr>
        <w:pStyle w:val="SingleTxtGC"/>
        <w:spacing w:after="0" w:line="240" w:lineRule="exact"/>
      </w:pPr>
    </w:p>
    <w:p w:rsidR="00BC40DA" w:rsidRPr="00E27BB2" w:rsidRDefault="00BC40DA" w:rsidP="008D6337">
      <w:pPr>
        <w:pStyle w:val="SingleTxtGC"/>
      </w:pPr>
      <w:r w:rsidRPr="00E27BB2">
        <w:t>10</w:t>
      </w:r>
      <w:r w:rsidR="00FC5ECC">
        <w:t>5.</w:t>
      </w:r>
      <w:r w:rsidR="008D6337">
        <w:rPr>
          <w:rFonts w:hint="eastAsia"/>
        </w:rPr>
        <w:t xml:space="preserve">  </w:t>
      </w:r>
      <w:r w:rsidRPr="00E27BB2">
        <w:t>我们要指出</w:t>
      </w:r>
      <w:r w:rsidR="00FC5ECC">
        <w:t>，</w:t>
      </w:r>
      <w:r w:rsidRPr="00E27BB2">
        <w:t>塞尔维亚共和国有</w:t>
      </w:r>
      <w:r w:rsidRPr="00E27BB2">
        <w:t>45</w:t>
      </w:r>
      <w:r w:rsidR="00FC5ECC">
        <w:t>5,</w:t>
      </w:r>
      <w:r w:rsidRPr="00E27BB2">
        <w:t>363</w:t>
      </w:r>
      <w:r w:rsidRPr="00E27BB2">
        <w:t>个农业生产单位</w:t>
      </w:r>
      <w:r w:rsidR="00FC5ECC">
        <w:t>，</w:t>
      </w:r>
      <w:r w:rsidRPr="00E27BB2">
        <w:t>妇女是其中</w:t>
      </w:r>
      <w:r w:rsidRPr="00E27BB2">
        <w:t>12</w:t>
      </w:r>
      <w:r w:rsidR="00FC5ECC">
        <w:t>9,</w:t>
      </w:r>
      <w:r w:rsidRPr="00E27BB2">
        <w:t>602</w:t>
      </w:r>
      <w:r w:rsidRPr="00E27BB2">
        <w:t>个农业生产单位的负责人。从基本上说</w:t>
      </w:r>
      <w:r w:rsidR="00FC5ECC">
        <w:t>，</w:t>
      </w:r>
      <w:r w:rsidRPr="00E27BB2">
        <w:t>注册与两性平等并不相关</w:t>
      </w:r>
      <w:r w:rsidR="00FC5ECC">
        <w:t>，</w:t>
      </w:r>
      <w:r w:rsidRPr="00E27BB2">
        <w:t>因为任何农业生产单位都可自行选择由妇女或男子担任其负责人。</w:t>
      </w:r>
    </w:p>
    <w:p w:rsidR="00BC40DA" w:rsidRPr="00E27BB2" w:rsidRDefault="00BC40DA" w:rsidP="00BC40DA">
      <w:pPr>
        <w:pStyle w:val="SingleTxtGC"/>
        <w:rPr>
          <w:rFonts w:hint="eastAsia"/>
        </w:rPr>
      </w:pPr>
      <w:r w:rsidRPr="00E27BB2">
        <w:t>10</w:t>
      </w:r>
      <w:r w:rsidR="00FC5ECC">
        <w:t>6.</w:t>
      </w:r>
      <w:r w:rsidR="008D6337">
        <w:rPr>
          <w:rFonts w:hint="eastAsia"/>
        </w:rPr>
        <w:t xml:space="preserve">  </w:t>
      </w:r>
      <w:r w:rsidRPr="00E27BB2">
        <w:t>按照《</w:t>
      </w:r>
      <w:r w:rsidR="00F73AD9">
        <w:t>2011</w:t>
      </w:r>
      <w:r w:rsidR="00F73AD9">
        <w:rPr>
          <w:rFonts w:hint="eastAsia"/>
        </w:rPr>
        <w:t>-</w:t>
      </w:r>
      <w:r w:rsidRPr="00E27BB2">
        <w:t>2020</w:t>
      </w:r>
      <w:r w:rsidRPr="00E27BB2">
        <w:t>年国家就业战略》</w:t>
      </w:r>
      <w:r w:rsidR="00FC5ECC">
        <w:t>，</w:t>
      </w:r>
      <w:r w:rsidRPr="00E27BB2">
        <w:t>用于教育程度较低的人的培训方案应成为</w:t>
      </w:r>
      <w:r w:rsidRPr="00E27BB2">
        <w:rPr>
          <w:lang w:val="en-GB"/>
        </w:rPr>
        <w:t>国家就业事务局方案</w:t>
      </w:r>
      <w:r w:rsidRPr="00E27BB2">
        <w:t>的优先事项</w:t>
      </w:r>
      <w:r w:rsidR="00FC5ECC">
        <w:t>，</w:t>
      </w:r>
      <w:r w:rsidRPr="00E27BB2">
        <w:t>向自营职业以及建立农业生产单位和合作社提供补助金也是其优先事项。此外</w:t>
      </w:r>
      <w:r w:rsidR="00FC5ECC">
        <w:t>，</w:t>
      </w:r>
      <w:r w:rsidRPr="00E27BB2">
        <w:t>目前还正在计划通过建立国家就业事务局附属企业之外的流动就业单位</w:t>
      </w:r>
      <w:r w:rsidR="00FC5ECC">
        <w:t>，</w:t>
      </w:r>
      <w:r w:rsidRPr="00E27BB2">
        <w:t>向农村地区失业者尤其是失业青年提供服务以及综合服务</w:t>
      </w:r>
      <w:r w:rsidR="00FC5ECC">
        <w:t>(</w:t>
      </w:r>
      <w:r w:rsidR="008D6337">
        <w:rPr>
          <w:rFonts w:hint="eastAsia"/>
        </w:rPr>
        <w:t>“</w:t>
      </w:r>
      <w:r w:rsidRPr="00E27BB2">
        <w:t>大篷车就业</w:t>
      </w:r>
      <w:r w:rsidR="008D6337">
        <w:rPr>
          <w:rFonts w:hint="eastAsia"/>
        </w:rPr>
        <w:t>”</w:t>
      </w:r>
      <w:r w:rsidRPr="00E27BB2">
        <w:t>服务</w:t>
      </w:r>
      <w:r w:rsidR="00FC5ECC">
        <w:t>)</w:t>
      </w:r>
      <w:r w:rsidRPr="00E27BB2">
        <w:t>。</w:t>
      </w:r>
    </w:p>
    <w:p w:rsidR="00BC40DA" w:rsidRPr="00E27BB2" w:rsidRDefault="00BC40DA" w:rsidP="00BC40DA">
      <w:pPr>
        <w:pStyle w:val="SingleTxtGC"/>
      </w:pPr>
      <w:r w:rsidRPr="00E27BB2">
        <w:t>10</w:t>
      </w:r>
      <w:r w:rsidR="00FC5ECC">
        <w:t>7.</w:t>
      </w:r>
      <w:r w:rsidR="008D6337">
        <w:rPr>
          <w:rFonts w:hint="eastAsia"/>
        </w:rPr>
        <w:t xml:space="preserve">  </w:t>
      </w:r>
      <w:r w:rsidRPr="00E27BB2">
        <w:t>《就业和失业保险法》规定</w:t>
      </w:r>
      <w:r w:rsidR="00FC5ECC">
        <w:t>，</w:t>
      </w:r>
      <w:r w:rsidRPr="00E27BB2">
        <w:t>根据地方就业行动计划为某些方案或积极的就业政策措施提供一半以上必要经费的地方自治单位</w:t>
      </w:r>
      <w:r w:rsidR="00FC5ECC">
        <w:t>，</w:t>
      </w:r>
      <w:r w:rsidRPr="00E27BB2">
        <w:t>可为此种方案或措施申请资助。在共同资助地方就业行动计划的方案或措施方面</w:t>
      </w:r>
      <w:r w:rsidR="00FC5ECC">
        <w:t>，</w:t>
      </w:r>
      <w:r w:rsidRPr="00E27BB2">
        <w:t>不发达的地方自治单位尤其是受灾地区享有优先权。</w:t>
      </w:r>
    </w:p>
    <w:p w:rsidR="00BC40DA" w:rsidRPr="00E27BB2" w:rsidRDefault="00BC40DA" w:rsidP="0088002E">
      <w:pPr>
        <w:pStyle w:val="SingleTxtGC"/>
      </w:pPr>
      <w:r w:rsidRPr="00E27BB2">
        <w:t>10</w:t>
      </w:r>
      <w:r w:rsidR="00FC5ECC">
        <w:t>8.</w:t>
      </w:r>
      <w:r w:rsidR="008D6337">
        <w:rPr>
          <w:rFonts w:hint="eastAsia"/>
        </w:rPr>
        <w:t xml:space="preserve">  </w:t>
      </w:r>
      <w:r w:rsidRPr="00E27BB2">
        <w:t>为了使区域发展协调一致</w:t>
      </w:r>
      <w:r w:rsidR="00FC5ECC">
        <w:t>，</w:t>
      </w:r>
      <w:r w:rsidRPr="00E27BB2">
        <w:t>优先给予补助金的是位于受灾地区或最不发达市镇的雇主、以及雇用属于难以受雇者类别的人员和弱势群体成员的雇主。向设立新空缺职位的雇主提供补助金的金额</w:t>
      </w:r>
      <w:r w:rsidR="00FC5ECC">
        <w:t>，</w:t>
      </w:r>
      <w:r w:rsidRPr="00E27BB2">
        <w:t>取决于他们雇用的人员所在的地方自治单位的发展水平以及此种雇员的人数。</w:t>
      </w:r>
    </w:p>
    <w:p w:rsidR="00BC40DA" w:rsidRPr="00E27BB2" w:rsidRDefault="00BC40DA" w:rsidP="00BC40DA">
      <w:pPr>
        <w:pStyle w:val="SingleTxtGC"/>
      </w:pPr>
      <w:r w:rsidRPr="00E27BB2">
        <w:t>10</w:t>
      </w:r>
      <w:r w:rsidR="00FC5ECC">
        <w:t>9.</w:t>
      </w:r>
      <w:r w:rsidR="0088002E">
        <w:rPr>
          <w:rFonts w:hint="eastAsia"/>
        </w:rPr>
        <w:t xml:space="preserve">  </w:t>
      </w:r>
      <w:r w:rsidRPr="00E27BB2">
        <w:t>2006</w:t>
      </w:r>
      <w:r w:rsidRPr="00E27BB2">
        <w:t>年以来已实施了若干项公共工程项目</w:t>
      </w:r>
      <w:r w:rsidR="00FC5ECC">
        <w:t>；</w:t>
      </w:r>
      <w:r w:rsidRPr="00E27BB2">
        <w:t>不发达地区在这方面享有优先权。</w:t>
      </w:r>
      <w:r w:rsidRPr="00E27BB2">
        <w:t>2011</w:t>
      </w:r>
      <w:r w:rsidRPr="00E27BB2">
        <w:t>年</w:t>
      </w:r>
      <w:r w:rsidR="00FC5ECC">
        <w:t>，</w:t>
      </w:r>
      <w:r w:rsidRPr="00E27BB2">
        <w:t>农村地区也实施了若干项公共工程项目。</w:t>
      </w:r>
    </w:p>
    <w:p w:rsidR="00BC40DA" w:rsidRPr="00E27BB2" w:rsidRDefault="00BC40DA" w:rsidP="00BC40DA">
      <w:pPr>
        <w:pStyle w:val="SingleTxtGC"/>
        <w:rPr>
          <w:rFonts w:hint="eastAsia"/>
        </w:rPr>
      </w:pPr>
      <w:r w:rsidRPr="00E27BB2">
        <w:t>11</w:t>
      </w:r>
      <w:r w:rsidR="00FC5ECC">
        <w:t>0.</w:t>
      </w:r>
      <w:r w:rsidR="0088002E">
        <w:rPr>
          <w:rFonts w:hint="eastAsia"/>
        </w:rPr>
        <w:t xml:space="preserve">  </w:t>
      </w:r>
      <w:r w:rsidRPr="00E27BB2">
        <w:t>经济和地区发展部还开展了下列活动</w:t>
      </w:r>
      <w:r w:rsidR="00FC5ECC">
        <w:t>：</w:t>
      </w:r>
      <w:r w:rsidRPr="00E27BB2">
        <w:t>鼓励发展社会服务</w:t>
      </w:r>
      <w:r w:rsidR="00FC5ECC">
        <w:t>，</w:t>
      </w:r>
      <w:r w:rsidRPr="00E27BB2">
        <w:t>并促进妇女在这些服务部门就业</w:t>
      </w:r>
      <w:r w:rsidR="00FC5ECC">
        <w:t>；</w:t>
      </w:r>
      <w:r w:rsidRPr="00E27BB2">
        <w:t>发展地方古老手工艺业</w:t>
      </w:r>
      <w:r w:rsidR="00FC5ECC">
        <w:t>，</w:t>
      </w:r>
      <w:r w:rsidRPr="00E27BB2">
        <w:t>使农村地区妇女可在其中就业</w:t>
      </w:r>
      <w:r w:rsidR="00FC5ECC">
        <w:t>(</w:t>
      </w:r>
      <w:r w:rsidRPr="00E27BB2">
        <w:t>2010</w:t>
      </w:r>
      <w:r w:rsidRPr="00E27BB2">
        <w:t>年</w:t>
      </w:r>
      <w:r w:rsidR="00FC5ECC">
        <w:t>，</w:t>
      </w:r>
      <w:r w:rsidRPr="00E27BB2">
        <w:t>国家就业事务局培训了</w:t>
      </w:r>
      <w:r w:rsidRPr="00E27BB2">
        <w:t>165</w:t>
      </w:r>
      <w:r w:rsidRPr="00E27BB2">
        <w:t>人从事被视为艺术品和手工艺品的制作工作</w:t>
      </w:r>
      <w:r w:rsidR="00FC5ECC">
        <w:t>)</w:t>
      </w:r>
      <w:r w:rsidR="00FC5ECC">
        <w:t>；</w:t>
      </w:r>
      <w:r w:rsidRPr="00E27BB2">
        <w:t>鼓励建立妇女合作社</w:t>
      </w:r>
      <w:r w:rsidR="00FC5ECC">
        <w:t>，</w:t>
      </w:r>
      <w:r w:rsidRPr="00E27BB2">
        <w:t>目的是提高妇女进行创业和从事自营职业的经济潜力</w:t>
      </w:r>
      <w:r w:rsidR="00FC5ECC">
        <w:t>；</w:t>
      </w:r>
      <w:r w:rsidRPr="00E27BB2">
        <w:t>发展农村旅游业</w:t>
      </w:r>
      <w:r w:rsidR="00FC5ECC">
        <w:t>；</w:t>
      </w:r>
      <w:r w:rsidRPr="00E27BB2">
        <w:t>向女企业家发放贷款</w:t>
      </w:r>
      <w:r w:rsidR="0088002E">
        <w:rPr>
          <w:rFonts w:hint="eastAsia"/>
          <w:spacing w:val="-50"/>
        </w:rPr>
        <w:t>―</w:t>
      </w:r>
      <w:r w:rsidR="0088002E">
        <w:rPr>
          <w:rFonts w:hint="eastAsia"/>
        </w:rPr>
        <w:t>―</w:t>
      </w:r>
      <w:r w:rsidRPr="00E27BB2">
        <w:t>塞尔维亚共和国发展基金在其</w:t>
      </w:r>
      <w:r w:rsidRPr="00E27BB2">
        <w:t>2012</w:t>
      </w:r>
      <w:r w:rsidRPr="00E27BB2">
        <w:t>年工作方案中设想了向女企业家发放特别贷款。</w:t>
      </w:r>
    </w:p>
    <w:p w:rsidR="00BC40DA" w:rsidRPr="00E27BB2" w:rsidRDefault="00BC40DA" w:rsidP="002A13CC">
      <w:pPr>
        <w:pStyle w:val="SingleTxtGC"/>
      </w:pPr>
      <w:r w:rsidRPr="00E27BB2">
        <w:t>11</w:t>
      </w:r>
      <w:r w:rsidR="00FC5ECC">
        <w:t>1.</w:t>
      </w:r>
      <w:r w:rsidR="002A13CC">
        <w:rPr>
          <w:rFonts w:hint="eastAsia"/>
        </w:rPr>
        <w:t xml:space="preserve">  </w:t>
      </w:r>
      <w:r w:rsidRPr="00E27BB2">
        <w:t>在过去一年期间</w:t>
      </w:r>
      <w:r w:rsidR="00FC5ECC">
        <w:t>，</w:t>
      </w:r>
      <w:r w:rsidRPr="00E27BB2">
        <w:t>两性平等司在宣布为促进妇女从事农村旅游业开展竞争活动后</w:t>
      </w:r>
      <w:r w:rsidR="00FC5ECC">
        <w:t>，</w:t>
      </w:r>
      <w:r w:rsidRPr="00E27BB2">
        <w:t>向每个具体项目发放了</w:t>
      </w:r>
      <w:r w:rsidR="00FC5ECC">
        <w:t>1.</w:t>
      </w:r>
      <w:r w:rsidRPr="00E27BB2">
        <w:t>5</w:t>
      </w:r>
      <w:r w:rsidRPr="00E27BB2">
        <w:t>万欧元赠款。此外还在</w:t>
      </w:r>
      <w:r w:rsidRPr="00E27BB2">
        <w:t>5</w:t>
      </w:r>
      <w:r w:rsidRPr="00E27BB2">
        <w:t>个地方自治单位建立了配有计算机的电子俱乐部</w:t>
      </w:r>
      <w:r w:rsidR="00FC5ECC">
        <w:t>，</w:t>
      </w:r>
      <w:r w:rsidRPr="00E27BB2">
        <w:t>并举办了使用信息和通信技术以及现代企业的培训。此外</w:t>
      </w:r>
      <w:r w:rsidR="00FC5ECC">
        <w:t>，</w:t>
      </w:r>
      <w:r w:rsidRPr="00E27BB2">
        <w:t>两性平等司还通过向非政府组织</w:t>
      </w:r>
      <w:r w:rsidR="002A13CC">
        <w:rPr>
          <w:rFonts w:hint="eastAsia"/>
        </w:rPr>
        <w:t>“</w:t>
      </w:r>
      <w:r w:rsidR="002A13CC">
        <w:t>DamaD</w:t>
      </w:r>
      <w:r w:rsidR="002A13CC">
        <w:rPr>
          <w:rFonts w:hint="eastAsia"/>
        </w:rPr>
        <w:t>”</w:t>
      </w:r>
      <w:r w:rsidRPr="00E27BB2">
        <w:t>拨款</w:t>
      </w:r>
      <w:r w:rsidR="00FC5ECC">
        <w:t>，</w:t>
      </w:r>
      <w:r w:rsidRPr="00E27BB2">
        <w:t>向农村单身母亲分配了</w:t>
      </w:r>
      <w:r w:rsidRPr="00E27BB2">
        <w:t>10</w:t>
      </w:r>
      <w:r w:rsidRPr="00E27BB2">
        <w:t>座温室。</w:t>
      </w:r>
    </w:p>
    <w:p w:rsidR="00BC40DA" w:rsidRPr="00E27BB2" w:rsidRDefault="002A13CC" w:rsidP="002A13CC">
      <w:pPr>
        <w:pStyle w:val="H1GC"/>
      </w:pPr>
      <w:r>
        <w:rPr>
          <w:rFonts w:hint="eastAsia"/>
        </w:rPr>
        <w:tab/>
      </w:r>
      <w:r>
        <w:rPr>
          <w:rFonts w:hint="eastAsia"/>
        </w:rPr>
        <w:tab/>
      </w:r>
      <w:r w:rsidR="00BC40DA" w:rsidRPr="00E27BB2">
        <w:t>弱势妇女群体</w:t>
      </w:r>
    </w:p>
    <w:p w:rsidR="00BC40DA" w:rsidRPr="00E27BB2" w:rsidRDefault="002A13CC" w:rsidP="002A13CC">
      <w:pPr>
        <w:pStyle w:val="H23GC"/>
      </w:pPr>
      <w:r>
        <w:rPr>
          <w:rFonts w:hint="eastAsia"/>
        </w:rPr>
        <w:tab/>
      </w:r>
      <w:r>
        <w:rPr>
          <w:rFonts w:hint="eastAsia"/>
        </w:rPr>
        <w:tab/>
      </w:r>
      <w:r w:rsidR="00BC40DA" w:rsidRPr="00E27BB2">
        <w:t>对问题清单第</w:t>
      </w:r>
      <w:r w:rsidR="00BC40DA" w:rsidRPr="00E27BB2">
        <w:t>18</w:t>
      </w:r>
      <w:r w:rsidR="00BC40DA" w:rsidRPr="00E27BB2">
        <w:t>段所提问题的答复</w:t>
      </w:r>
    </w:p>
    <w:p w:rsidR="00BC40DA" w:rsidRPr="00E27BB2" w:rsidRDefault="00BC40DA" w:rsidP="002A13CC">
      <w:pPr>
        <w:pStyle w:val="SingleTxtGC"/>
      </w:pPr>
      <w:r w:rsidRPr="00E27BB2">
        <w:t>11</w:t>
      </w:r>
      <w:r w:rsidR="00FC5ECC">
        <w:t>2.</w:t>
      </w:r>
      <w:r w:rsidR="002A13CC">
        <w:rPr>
          <w:rFonts w:hint="eastAsia"/>
        </w:rPr>
        <w:t xml:space="preserve">  </w:t>
      </w:r>
      <w:r w:rsidRPr="002A13CC">
        <w:rPr>
          <w:spacing w:val="-6"/>
        </w:rPr>
        <w:t>2011</w:t>
      </w:r>
      <w:r w:rsidRPr="002A13CC">
        <w:rPr>
          <w:spacing w:val="-6"/>
        </w:rPr>
        <w:t>年通过了</w:t>
      </w:r>
      <w:r w:rsidRPr="002A13CC">
        <w:rPr>
          <w:spacing w:val="-4"/>
        </w:rPr>
        <w:t>《解决难民和境内流离失所者问题</w:t>
      </w:r>
      <w:r w:rsidRPr="002A13CC">
        <w:rPr>
          <w:spacing w:val="-4"/>
        </w:rPr>
        <w:t>2011-2014</w:t>
      </w:r>
      <w:r w:rsidRPr="002A13CC">
        <w:rPr>
          <w:spacing w:val="-4"/>
        </w:rPr>
        <w:t>年国家战略》</w:t>
      </w:r>
      <w:r w:rsidR="002A13CC" w:rsidRPr="002A13CC">
        <w:rPr>
          <w:rStyle w:val="FootnoteReference"/>
          <w:spacing w:val="-6"/>
        </w:rPr>
        <w:footnoteReference w:id="42"/>
      </w:r>
      <w:r w:rsidRPr="002A13CC">
        <w:rPr>
          <w:spacing w:val="-6"/>
        </w:rPr>
        <w:t>。</w:t>
      </w:r>
      <w:r w:rsidRPr="00E27BB2">
        <w:t>其中特别强调了包括妇女的弱势群体的问题。</w:t>
      </w:r>
    </w:p>
    <w:p w:rsidR="00BC40DA" w:rsidRPr="002A13CC" w:rsidRDefault="00BC40DA" w:rsidP="00BC40DA">
      <w:pPr>
        <w:pStyle w:val="SingleTxtGC"/>
        <w:rPr>
          <w:rFonts w:hint="eastAsia"/>
        </w:rPr>
      </w:pPr>
      <w:r w:rsidRPr="00E27BB2">
        <w:t>11</w:t>
      </w:r>
      <w:r w:rsidR="00FC5ECC">
        <w:t>3.</w:t>
      </w:r>
      <w:r w:rsidR="002A13CC">
        <w:rPr>
          <w:rFonts w:hint="eastAsia"/>
        </w:rPr>
        <w:t xml:space="preserve">  </w:t>
      </w:r>
      <w:r w:rsidRPr="00E27BB2">
        <w:t>由于铭记着实施该《战略》的目标和措施</w:t>
      </w:r>
      <w:r w:rsidR="00FC5ECC">
        <w:t>，</w:t>
      </w:r>
      <w:r w:rsidRPr="00E27BB2">
        <w:t>现已通过一些住房和经济赋权项目优先考虑到妇女的问题</w:t>
      </w:r>
      <w:r w:rsidR="00FC5ECC">
        <w:t>，</w:t>
      </w:r>
      <w:r w:rsidRPr="00E27BB2">
        <w:t>这些项目涉及作为户主的妇女、单身母亲家庭的妇女、家庭暴</w:t>
      </w:r>
      <w:r w:rsidR="000C69CB">
        <w:rPr>
          <w:rFonts w:hint="eastAsia"/>
        </w:rPr>
        <w:t>力</w:t>
      </w:r>
      <w:r w:rsidRPr="00E27BB2">
        <w:t>受害妇女和贩运人口活动受害妇女。</w:t>
      </w:r>
    </w:p>
    <w:p w:rsidR="00BC40DA" w:rsidRPr="00E27BB2" w:rsidRDefault="00BC40DA" w:rsidP="00BC40DA">
      <w:pPr>
        <w:pStyle w:val="SingleTxtGC"/>
      </w:pPr>
      <w:r w:rsidRPr="00E27BB2">
        <w:t>11</w:t>
      </w:r>
      <w:r w:rsidR="00FC5ECC">
        <w:t>4.</w:t>
      </w:r>
      <w:r w:rsidR="002A13CC">
        <w:rPr>
          <w:rFonts w:hint="eastAsia"/>
        </w:rPr>
        <w:t xml:space="preserve">  </w:t>
      </w:r>
      <w:r w:rsidRPr="00E27BB2">
        <w:t>难民事务委员会没有专设的妇女问题数据库。妇女问题数据是通过某些项目予以记录的</w:t>
      </w:r>
      <w:r w:rsidR="00FC5ECC">
        <w:t>，</w:t>
      </w:r>
      <w:r w:rsidRPr="00E27BB2">
        <w:t>这些都是难民事务委员会与地方自治单位和捐助方以及所有其他的受惠者合作实施的项目</w:t>
      </w:r>
      <w:r w:rsidR="00FC5ECC">
        <w:t>，</w:t>
      </w:r>
      <w:r w:rsidRPr="00E27BB2">
        <w:t>但这些项目可使妇女能以享有优先权的最弱势群体的身分参与解决妇女问题的进程。</w:t>
      </w:r>
    </w:p>
    <w:p w:rsidR="00BC40DA" w:rsidRPr="00E27BB2" w:rsidRDefault="00BC40DA" w:rsidP="00BC40DA">
      <w:pPr>
        <w:pStyle w:val="SingleTxtGC"/>
      </w:pPr>
      <w:r w:rsidRPr="00E27BB2">
        <w:t>11</w:t>
      </w:r>
      <w:r w:rsidR="00FC5ECC">
        <w:t>5.</w:t>
      </w:r>
      <w:r w:rsidR="002A13CC">
        <w:rPr>
          <w:rFonts w:hint="eastAsia"/>
        </w:rPr>
        <w:t xml:space="preserve">  </w:t>
      </w:r>
      <w:r w:rsidRPr="00E27BB2">
        <w:t>难民事务委员会将通过国家和区域住房项目、并通过按照欧洲共同体与塞尔维亚共和国之间关于重新接纳未经许可居住在国外者的协议实施的提高难民、境内流离失所者和回归者经济能力的项目</w:t>
      </w:r>
      <w:r w:rsidR="002A13CC">
        <w:rPr>
          <w:rStyle w:val="FootnoteReference"/>
        </w:rPr>
        <w:footnoteReference w:id="43"/>
      </w:r>
      <w:r w:rsidR="00FC5ECC">
        <w:t>，</w:t>
      </w:r>
      <w:r w:rsidRPr="00E27BB2">
        <w:t>力争在今后推动解决上述最弱势群体即妇女的问题</w:t>
      </w:r>
      <w:r w:rsidR="00FC5ECC">
        <w:t>，</w:t>
      </w:r>
      <w:r w:rsidRPr="00E27BB2">
        <w:t>以有助于提高她们的社会地位并增强她们的作用。</w:t>
      </w:r>
    </w:p>
    <w:p w:rsidR="00BC40DA" w:rsidRPr="00E27BB2" w:rsidRDefault="002A13CC" w:rsidP="002A13CC">
      <w:pPr>
        <w:pStyle w:val="H1GC"/>
      </w:pPr>
      <w:r>
        <w:rPr>
          <w:rFonts w:hint="eastAsia"/>
        </w:rPr>
        <w:tab/>
      </w:r>
      <w:r>
        <w:rPr>
          <w:rFonts w:hint="eastAsia"/>
        </w:rPr>
        <w:tab/>
      </w:r>
      <w:r w:rsidR="00BC40DA" w:rsidRPr="00E27BB2">
        <w:t>婚姻和家庭关系</w:t>
      </w:r>
    </w:p>
    <w:p w:rsidR="00BC40DA" w:rsidRPr="00E27BB2" w:rsidRDefault="002A13CC" w:rsidP="002A13CC">
      <w:pPr>
        <w:pStyle w:val="H23GC"/>
      </w:pPr>
      <w:r>
        <w:rPr>
          <w:rFonts w:hint="eastAsia"/>
        </w:rPr>
        <w:tab/>
      </w:r>
      <w:r>
        <w:rPr>
          <w:rFonts w:hint="eastAsia"/>
        </w:rPr>
        <w:tab/>
      </w:r>
      <w:r w:rsidR="00BC40DA" w:rsidRPr="00E27BB2">
        <w:t>对问题清单第</w:t>
      </w:r>
      <w:r w:rsidR="00BC40DA" w:rsidRPr="00E27BB2">
        <w:t>19</w:t>
      </w:r>
      <w:r w:rsidR="00BC40DA" w:rsidRPr="00E27BB2">
        <w:t>段所提问题的答复</w:t>
      </w:r>
    </w:p>
    <w:p w:rsidR="00BC40DA" w:rsidRPr="00E27BB2" w:rsidRDefault="00BC40DA" w:rsidP="002A13CC">
      <w:pPr>
        <w:pStyle w:val="SingleTxtGC"/>
      </w:pPr>
      <w:r w:rsidRPr="00E27BB2">
        <w:t>11</w:t>
      </w:r>
      <w:r w:rsidR="00FC5ECC">
        <w:t>6.</w:t>
      </w:r>
      <w:r w:rsidR="002A13CC">
        <w:rPr>
          <w:rFonts w:hint="eastAsia"/>
        </w:rPr>
        <w:t xml:space="preserve">  </w:t>
      </w:r>
      <w:r w:rsidRPr="00E27BB2">
        <w:t>《家庭法》</w:t>
      </w:r>
      <w:r w:rsidR="002A13CC">
        <w:rPr>
          <w:rStyle w:val="FootnoteReference"/>
        </w:rPr>
        <w:footnoteReference w:id="44"/>
      </w:r>
      <w:r w:rsidRPr="00E27BB2">
        <w:t xml:space="preserve"> </w:t>
      </w:r>
      <w:r w:rsidRPr="00E27BB2">
        <w:t>第</w:t>
      </w:r>
      <w:r w:rsidRPr="00E27BB2">
        <w:t>23</w:t>
      </w:r>
      <w:r w:rsidRPr="00E27BB2">
        <w:t>条规定</w:t>
      </w:r>
      <w:r w:rsidR="00FC5ECC">
        <w:t>，</w:t>
      </w:r>
      <w:r w:rsidRPr="00E27BB2">
        <w:t>未满</w:t>
      </w:r>
      <w:r w:rsidRPr="00E27BB2">
        <w:t>18</w:t>
      </w:r>
      <w:r w:rsidRPr="00E27BB2">
        <w:t>岁者不得结婚</w:t>
      </w:r>
      <w:r w:rsidR="00FC5ECC">
        <w:t>，</w:t>
      </w:r>
      <w:r w:rsidRPr="00E27BB2">
        <w:t>但法院可依据正当理由</w:t>
      </w:r>
      <w:r w:rsidR="00FC5ECC">
        <w:t>，</w:t>
      </w:r>
      <w:r w:rsidRPr="00E27BB2">
        <w:t>准许年满</w:t>
      </w:r>
      <w:r w:rsidRPr="00E27BB2">
        <w:t>16</w:t>
      </w:r>
      <w:r w:rsidRPr="00E27BB2">
        <w:t>岁且已达到为履行婚姻权利和义务所必须具有的身心成熟程度的未成年人结婚。此外</w:t>
      </w:r>
      <w:r w:rsidR="00FC5ECC">
        <w:t>，</w:t>
      </w:r>
      <w:r w:rsidRPr="00E27BB2">
        <w:t>《家庭法》第</w:t>
      </w:r>
      <w:r w:rsidRPr="00E27BB2">
        <w:t>37</w:t>
      </w:r>
      <w:r w:rsidRPr="00E27BB2">
        <w:t>条还规定</w:t>
      </w:r>
      <w:r w:rsidR="00FC5ECC">
        <w:t>，</w:t>
      </w:r>
      <w:r w:rsidRPr="00E27BB2">
        <w:t>如果未成年人未经法院许可结婚</w:t>
      </w:r>
      <w:r w:rsidR="00FC5ECC">
        <w:t>，</w:t>
      </w:r>
      <w:r w:rsidRPr="00E27BB2">
        <w:t>应宣布该婚姻无效。社会工作中心应向法院提交有关未成年人身心成熟状况的专家意见。</w:t>
      </w:r>
    </w:p>
    <w:p w:rsidR="00BC40DA" w:rsidRPr="00E27BB2" w:rsidRDefault="00BC40DA" w:rsidP="00BC40DA">
      <w:pPr>
        <w:pStyle w:val="SingleTxtGC"/>
      </w:pPr>
      <w:r w:rsidRPr="00E27BB2">
        <w:t>11</w:t>
      </w:r>
      <w:r w:rsidR="00FC5ECC">
        <w:t>7.</w:t>
      </w:r>
      <w:r w:rsidR="00B764DC">
        <w:rPr>
          <w:rFonts w:hint="eastAsia"/>
        </w:rPr>
        <w:t xml:space="preserve">  </w:t>
      </w:r>
      <w:r w:rsidRPr="00E27BB2">
        <w:t>《刑法》关于</w:t>
      </w:r>
      <w:r w:rsidR="00B764DC">
        <w:rPr>
          <w:rFonts w:hint="eastAsia"/>
        </w:rPr>
        <w:t>“</w:t>
      </w:r>
      <w:r w:rsidRPr="00E27BB2">
        <w:t>婚姻和家庭</w:t>
      </w:r>
      <w:r w:rsidR="00B764DC">
        <w:rPr>
          <w:rFonts w:hint="eastAsia"/>
        </w:rPr>
        <w:t>”</w:t>
      </w:r>
      <w:r w:rsidRPr="00E27BB2">
        <w:t>的章节规定</w:t>
      </w:r>
      <w:r w:rsidR="00FC5ECC">
        <w:t>，</w:t>
      </w:r>
      <w:r w:rsidRPr="00E27BB2">
        <w:t>任何人如果在结婚时向对方隐瞒会致使婚姻无效的事实</w:t>
      </w:r>
      <w:r w:rsidR="00FC5ECC">
        <w:t>，</w:t>
      </w:r>
      <w:r w:rsidRPr="00E27BB2">
        <w:t>或在此种事实方面欺骗对方</w:t>
      </w:r>
      <w:r w:rsidR="00FC5ECC">
        <w:t>，</w:t>
      </w:r>
      <w:r w:rsidRPr="00E27BB2">
        <w:t>或继续就这一事实进行欺骗</w:t>
      </w:r>
      <w:r w:rsidR="00FC5ECC">
        <w:t>，</w:t>
      </w:r>
      <w:r w:rsidRPr="00E27BB2">
        <w:t>此人将被处监禁</w:t>
      </w:r>
      <w:r w:rsidRPr="00E27BB2">
        <w:t>3</w:t>
      </w:r>
      <w:r w:rsidRPr="00E27BB2">
        <w:t>个月至</w:t>
      </w:r>
      <w:r w:rsidRPr="00E27BB2">
        <w:t>3</w:t>
      </w:r>
      <w:r w:rsidRPr="00E27BB2">
        <w:t>年</w:t>
      </w:r>
      <w:r w:rsidR="00FC5ECC">
        <w:t>(</w:t>
      </w:r>
      <w:r w:rsidRPr="00E27BB2">
        <w:t>第</w:t>
      </w:r>
      <w:r w:rsidRPr="00E27BB2">
        <w:t>188</w:t>
      </w:r>
      <w:r w:rsidRPr="00E27BB2">
        <w:t>条</w:t>
      </w:r>
      <w:r w:rsidR="00FC5ECC">
        <w:t>)</w:t>
      </w:r>
      <w:r w:rsidRPr="00E27BB2">
        <w:t>。有权批准结婚的官员</w:t>
      </w:r>
      <w:r w:rsidR="00FC5ECC">
        <w:t>，</w:t>
      </w:r>
      <w:r w:rsidRPr="00E27BB2">
        <w:t>如果在履行公务时明知故犯地准许依法被禁或无效的婚姻</w:t>
      </w:r>
      <w:r w:rsidR="00FC5ECC">
        <w:t>，</w:t>
      </w:r>
      <w:r w:rsidRPr="00E27BB2">
        <w:t>将被判监禁</w:t>
      </w:r>
      <w:r w:rsidRPr="00E27BB2">
        <w:t>3</w:t>
      </w:r>
      <w:r w:rsidRPr="00E27BB2">
        <w:t>个月至</w:t>
      </w:r>
      <w:r w:rsidRPr="00E27BB2">
        <w:t>3</w:t>
      </w:r>
      <w:r w:rsidRPr="00E27BB2">
        <w:t>年</w:t>
      </w:r>
      <w:r w:rsidR="00FC5ECC">
        <w:t>(</w:t>
      </w:r>
      <w:r w:rsidRPr="00E27BB2">
        <w:t>第</w:t>
      </w:r>
      <w:r w:rsidRPr="00E27BB2">
        <w:t>189</w:t>
      </w:r>
      <w:r w:rsidRPr="00E27BB2">
        <w:t>条</w:t>
      </w:r>
      <w:r w:rsidR="00FC5ECC">
        <w:t>)</w:t>
      </w:r>
      <w:r w:rsidRPr="00E27BB2">
        <w:t>。与未成年人同居的成年人将被判</w:t>
      </w:r>
      <w:r w:rsidRPr="00E27BB2">
        <w:t>3</w:t>
      </w:r>
      <w:r w:rsidRPr="00E27BB2">
        <w:t>年以下监禁。本条第</w:t>
      </w:r>
      <w:r w:rsidRPr="00E27BB2">
        <w:t>1</w:t>
      </w:r>
      <w:r w:rsidRPr="00E27BB2">
        <w:t>款规定的刑罚也可施加于促成或引诱未成年人与其他人同居的父母、养父、养母或监护人。如果本条第</w:t>
      </w:r>
      <w:r w:rsidRPr="00E27BB2">
        <w:t>2</w:t>
      </w:r>
      <w:r w:rsidRPr="00E27BB2">
        <w:t>款所指的罪行是旨在营利</w:t>
      </w:r>
      <w:r w:rsidR="00FC5ECC">
        <w:t>，</w:t>
      </w:r>
      <w:r w:rsidRPr="00E27BB2">
        <w:t>违法者将被判监禁</w:t>
      </w:r>
      <w:r w:rsidRPr="00E27BB2">
        <w:t>6</w:t>
      </w:r>
      <w:r w:rsidRPr="00E27BB2">
        <w:t>个月至</w:t>
      </w:r>
      <w:r w:rsidRPr="00E27BB2">
        <w:t>5</w:t>
      </w:r>
      <w:r w:rsidRPr="00E27BB2">
        <w:t>年。如果缔结了婚姻</w:t>
      </w:r>
      <w:r w:rsidR="00FC5ECC">
        <w:t>，</w:t>
      </w:r>
      <w:r w:rsidRPr="00E27BB2">
        <w:t>将不予起诉</w:t>
      </w:r>
      <w:r w:rsidR="00FC5ECC">
        <w:t>，</w:t>
      </w:r>
      <w:r w:rsidRPr="00E27BB2">
        <w:t>如果提出了起诉</w:t>
      </w:r>
      <w:r w:rsidR="00FC5ECC">
        <w:t>，</w:t>
      </w:r>
      <w:r w:rsidRPr="00E27BB2">
        <w:t>该婚姻应告终止</w:t>
      </w:r>
      <w:r w:rsidR="00FC5ECC">
        <w:t>(</w:t>
      </w:r>
      <w:r w:rsidRPr="00E27BB2">
        <w:t>第</w:t>
      </w:r>
      <w:r w:rsidRPr="00E27BB2">
        <w:t>190</w:t>
      </w:r>
      <w:r w:rsidRPr="00E27BB2">
        <w:t>条</w:t>
      </w:r>
      <w:r w:rsidR="00FC5ECC">
        <w:t>)</w:t>
      </w:r>
      <w:r w:rsidRPr="00E27BB2">
        <w:t>。</w:t>
      </w:r>
    </w:p>
    <w:p w:rsidR="00BC40DA" w:rsidRPr="00E27BB2" w:rsidRDefault="00BC40DA" w:rsidP="00BC40DA">
      <w:pPr>
        <w:pStyle w:val="SingleTxtGC"/>
      </w:pPr>
      <w:r w:rsidRPr="00E27BB2">
        <w:t>11</w:t>
      </w:r>
      <w:r w:rsidR="00FC5ECC">
        <w:t>8.</w:t>
      </w:r>
      <w:r w:rsidR="00C82BCD">
        <w:rPr>
          <w:rFonts w:hint="eastAsia"/>
        </w:rPr>
        <w:t xml:space="preserve">  </w:t>
      </w:r>
      <w:r w:rsidRPr="00E27BB2">
        <w:t>改善罗姆人的教育已纳入教育和科学部工作方案</w:t>
      </w:r>
      <w:r w:rsidR="00FC5ECC">
        <w:t>，</w:t>
      </w:r>
      <w:r w:rsidRPr="00E27BB2">
        <w:t>该部已独立或与其他机构合作</w:t>
      </w:r>
      <w:r w:rsidR="00FC5ECC">
        <w:t>，</w:t>
      </w:r>
      <w:r w:rsidRPr="00E27BB2">
        <w:t>实施了在教育体系中保护和改善罗姆少数族群和其他弱势群体的以下某些措施</w:t>
      </w:r>
      <w:r w:rsidR="00FC5ECC">
        <w:t>：</w:t>
      </w:r>
    </w:p>
    <w:p w:rsidR="00BC40DA" w:rsidRPr="00E27BB2" w:rsidRDefault="00BC40DA" w:rsidP="00C82BCD">
      <w:pPr>
        <w:pStyle w:val="DashGC"/>
      </w:pPr>
      <w:r w:rsidRPr="00E27BB2">
        <w:t>根据罗姆族群的教育需求以及教育和科学部《罗姆人社会融合十年行动计划》</w:t>
      </w:r>
      <w:r w:rsidR="00FC5ECC">
        <w:t>(</w:t>
      </w:r>
      <w:r w:rsidRPr="00E27BB2">
        <w:t>2005-2015</w:t>
      </w:r>
      <w:r w:rsidRPr="00E27BB2">
        <w:t>年</w:t>
      </w:r>
      <w:r w:rsidR="00FC5ECC">
        <w:t>)</w:t>
      </w:r>
      <w:r w:rsidRPr="00E27BB2">
        <w:t>的目标</w:t>
      </w:r>
      <w:r w:rsidR="00FC5ECC">
        <w:t>，</w:t>
      </w:r>
      <w:r w:rsidRPr="00E27BB2">
        <w:t>修订并实施《关于改善塞尔维亚境内罗姆人教育的单项行动计划》</w:t>
      </w:r>
      <w:r w:rsidR="00C82BCD">
        <w:rPr>
          <w:rStyle w:val="FootnoteReference"/>
        </w:rPr>
        <w:footnoteReference w:id="45"/>
      </w:r>
      <w:r w:rsidR="00FC5ECC">
        <w:t>；</w:t>
      </w:r>
    </w:p>
    <w:p w:rsidR="00BC40DA" w:rsidRPr="00E27BB2" w:rsidRDefault="00BC40DA" w:rsidP="00C82BCD">
      <w:pPr>
        <w:pStyle w:val="DashGC"/>
      </w:pPr>
      <w:r w:rsidRPr="00E27BB2">
        <w:t>持续开展活动</w:t>
      </w:r>
      <w:r w:rsidR="00FC5ECC">
        <w:t>，</w:t>
      </w:r>
      <w:r w:rsidRPr="00E27BB2">
        <w:t>在小学和学前教育机构中配备从事罗姆人学生工作的教学助理人员</w:t>
      </w:r>
      <w:r w:rsidR="00FC5ECC">
        <w:t>；</w:t>
      </w:r>
    </w:p>
    <w:p w:rsidR="00BC40DA" w:rsidRPr="00E27BB2" w:rsidRDefault="00BC40DA" w:rsidP="00C82BCD">
      <w:pPr>
        <w:pStyle w:val="DashGC"/>
      </w:pPr>
      <w:r w:rsidRPr="00E27BB2">
        <w:t>使教育和科学部的专家从事接纳回归者的工作</w:t>
      </w:r>
      <w:r w:rsidR="00FC5ECC">
        <w:t>，</w:t>
      </w:r>
      <w:r w:rsidRPr="00E27BB2">
        <w:t>并提供用于实施干预措施的捐助资金。与负责设立少数民族国家理事会的各事务委员会开展合作</w:t>
      </w:r>
      <w:r w:rsidR="00FC5ECC">
        <w:t>，</w:t>
      </w:r>
      <w:r w:rsidRPr="00E27BB2">
        <w:t>并通过罗姆人地方代表的协调</w:t>
      </w:r>
      <w:r w:rsidR="00FC5ECC">
        <w:t>，</w:t>
      </w:r>
      <w:r w:rsidRPr="00E27BB2">
        <w:t>使教育和科学部的方案活动与地方自治单位的方案活动相互联系</w:t>
      </w:r>
      <w:r w:rsidR="00FC5ECC">
        <w:t>；</w:t>
      </w:r>
    </w:p>
    <w:p w:rsidR="00BC40DA" w:rsidRPr="00E27BB2" w:rsidRDefault="00BC40DA" w:rsidP="00C82BCD">
      <w:pPr>
        <w:pStyle w:val="DashGC"/>
      </w:pPr>
      <w:r w:rsidRPr="00E27BB2">
        <w:t>实施为期</w:t>
      </w:r>
      <w:r w:rsidRPr="00E27BB2">
        <w:t>9</w:t>
      </w:r>
      <w:r w:rsidRPr="00E27BB2">
        <w:t>个月而不是</w:t>
      </w:r>
      <w:r w:rsidRPr="00E27BB2">
        <w:t>6</w:t>
      </w:r>
      <w:r w:rsidRPr="00E27BB2">
        <w:t>个月的向所有儿童提供义务免费学前预备教育的方案</w:t>
      </w:r>
      <w:r w:rsidR="00FC5ECC">
        <w:t>，</w:t>
      </w:r>
      <w:r w:rsidRPr="00E27BB2">
        <w:t>并在初等教育的第一周期开设新的课程</w:t>
      </w:r>
      <w:r w:rsidR="00FC5ECC">
        <w:t>；</w:t>
      </w:r>
      <w:r w:rsidRPr="00E27BB2">
        <w:t>制定《关于确定实施个性化教育计划的权利、权利的适用范围和评价的详尽指示规则手册》</w:t>
      </w:r>
      <w:r w:rsidR="00C82BCD">
        <w:rPr>
          <w:rStyle w:val="FootnoteReference"/>
        </w:rPr>
        <w:footnoteReference w:id="46"/>
      </w:r>
      <w:r w:rsidR="00FC5ECC">
        <w:t>；</w:t>
      </w:r>
    </w:p>
    <w:p w:rsidR="00BC40DA" w:rsidRPr="00E27BB2" w:rsidRDefault="00BC40DA" w:rsidP="00C82BCD">
      <w:pPr>
        <w:pStyle w:val="DashGC"/>
      </w:pPr>
      <w:r w:rsidRPr="00E27BB2">
        <w:t>实施关于专业教育改革的项目</w:t>
      </w:r>
      <w:r w:rsidR="00FC5ECC">
        <w:t>：</w:t>
      </w:r>
      <w:r w:rsidR="00FC5ECC">
        <w:t>(</w:t>
      </w:r>
      <w:r w:rsidRPr="00E27BB2">
        <w:t>1</w:t>
      </w:r>
      <w:r w:rsidR="00FC5ECC">
        <w:t>)</w:t>
      </w:r>
      <w:r w:rsidR="00B501EB" w:rsidRPr="00B501EB">
        <w:rPr>
          <w:rFonts w:hint="eastAsia"/>
          <w:vertAlign w:val="superscript"/>
        </w:rPr>
        <w:t xml:space="preserve"> </w:t>
      </w:r>
      <w:r w:rsidRPr="00E27BB2">
        <w:t>与欧洲重建机构合作制定的《共同体援助重建、发展和稳定方案》</w:t>
      </w:r>
      <w:r w:rsidR="00B501EB">
        <w:rPr>
          <w:rStyle w:val="FootnoteReference"/>
        </w:rPr>
        <w:footnoteReference w:id="47"/>
      </w:r>
      <w:r w:rsidR="00FC5ECC">
        <w:t>；</w:t>
      </w:r>
      <w:r w:rsidR="00FC5ECC">
        <w:t>(</w:t>
      </w:r>
      <w:r w:rsidRPr="00E27BB2">
        <w:t>2</w:t>
      </w:r>
      <w:r w:rsidR="00FC5ECC">
        <w:t>)</w:t>
      </w:r>
      <w:r w:rsidR="00B501EB" w:rsidRPr="00B501EB">
        <w:rPr>
          <w:rFonts w:hint="eastAsia"/>
          <w:vertAlign w:val="superscript"/>
        </w:rPr>
        <w:t xml:space="preserve"> </w:t>
      </w:r>
      <w:r w:rsidRPr="00E27BB2">
        <w:t>与德国技术合作组织合作制定的塞尔维亚</w:t>
      </w:r>
      <w:r w:rsidR="00B501EB">
        <w:rPr>
          <w:rFonts w:hint="eastAsia"/>
        </w:rPr>
        <w:t>“</w:t>
      </w:r>
      <w:r w:rsidRPr="00E27BB2">
        <w:t>职业教育与培训</w:t>
      </w:r>
      <w:r w:rsidR="00B501EB">
        <w:rPr>
          <w:rFonts w:hint="eastAsia"/>
        </w:rPr>
        <w:t>”</w:t>
      </w:r>
      <w:r w:rsidRPr="00E27BB2">
        <w:t>项目</w:t>
      </w:r>
      <w:r w:rsidR="00B501EB">
        <w:rPr>
          <w:rStyle w:val="FootnoteReference"/>
        </w:rPr>
        <w:footnoteReference w:id="48"/>
      </w:r>
      <w:r w:rsidR="00FC5ECC">
        <w:t>；</w:t>
      </w:r>
      <w:r w:rsidR="00FC5ECC">
        <w:t>(</w:t>
      </w:r>
      <w:r w:rsidRPr="00E27BB2">
        <w:t>3</w:t>
      </w:r>
      <w:r w:rsidR="00FC5ECC">
        <w:t>)</w:t>
      </w:r>
      <w:r w:rsidR="00B501EB" w:rsidRPr="00B501EB">
        <w:rPr>
          <w:rFonts w:hint="eastAsia"/>
          <w:vertAlign w:val="superscript"/>
        </w:rPr>
        <w:t xml:space="preserve"> </w:t>
      </w:r>
      <w:r w:rsidRPr="00E27BB2">
        <w:t>与</w:t>
      </w:r>
      <w:r w:rsidR="00B501EB">
        <w:rPr>
          <w:rFonts w:hint="eastAsia"/>
        </w:rPr>
        <w:t>“</w:t>
      </w:r>
      <w:r w:rsidRPr="00E27BB2">
        <w:t>文化联系</w:t>
      </w:r>
      <w:r w:rsidR="00B501EB">
        <w:rPr>
          <w:rFonts w:hint="eastAsia"/>
        </w:rPr>
        <w:t>”</w:t>
      </w:r>
      <w:r w:rsidRPr="00E27BB2">
        <w:t>组织合作制定的</w:t>
      </w:r>
      <w:r w:rsidR="00B501EB">
        <w:rPr>
          <w:rFonts w:hint="eastAsia"/>
        </w:rPr>
        <w:t>“</w:t>
      </w:r>
      <w:r w:rsidR="00B501EB">
        <w:t>ECO-NET</w:t>
      </w:r>
      <w:r w:rsidR="00B501EB">
        <w:rPr>
          <w:rFonts w:hint="eastAsia"/>
        </w:rPr>
        <w:t>”</w:t>
      </w:r>
      <w:r w:rsidRPr="00E27BB2">
        <w:t>项目</w:t>
      </w:r>
      <w:r w:rsidR="00FC5ECC">
        <w:t>；</w:t>
      </w:r>
    </w:p>
    <w:p w:rsidR="00BC40DA" w:rsidRPr="00E27BB2" w:rsidRDefault="00BC40DA" w:rsidP="00C82BCD">
      <w:pPr>
        <w:pStyle w:val="DashGC"/>
      </w:pPr>
      <w:r w:rsidRPr="00E27BB2">
        <w:t>与欧安组织及</w:t>
      </w:r>
      <w:r w:rsidRPr="00E27BB2">
        <w:t>Georg Eckert</w:t>
      </w:r>
      <w:r w:rsidRPr="00E27BB2">
        <w:t>研究所合作编写了《族裔情况指南》</w:t>
      </w:r>
      <w:r w:rsidR="00FC5ECC">
        <w:t>，</w:t>
      </w:r>
      <w:r w:rsidRPr="00E27BB2">
        <w:t>其中描述了少数民族的风俗、宗教、传统和节日</w:t>
      </w:r>
      <w:r w:rsidR="00FC5ECC">
        <w:t>(</w:t>
      </w:r>
      <w:r w:rsidRPr="00E27BB2">
        <w:t>参与该《指南》编写工作的专家助理人员有全国少数民族理事会的代表</w:t>
      </w:r>
      <w:r w:rsidR="00FC5ECC">
        <w:t>)</w:t>
      </w:r>
      <w:r w:rsidRPr="00E27BB2">
        <w:t>。</w:t>
      </w:r>
    </w:p>
    <w:p w:rsidR="00BC40DA" w:rsidRPr="00E27BB2" w:rsidRDefault="00BC40DA" w:rsidP="00BC40DA">
      <w:pPr>
        <w:pStyle w:val="SingleTxtGC"/>
      </w:pPr>
      <w:r w:rsidRPr="00E27BB2">
        <w:t>11</w:t>
      </w:r>
      <w:r w:rsidR="00FC5ECC">
        <w:t>9.</w:t>
      </w:r>
      <w:r w:rsidR="00B501EB">
        <w:rPr>
          <w:rFonts w:hint="eastAsia"/>
        </w:rPr>
        <w:t xml:space="preserve">  </w:t>
      </w:r>
      <w:r w:rsidRPr="00E27BB2">
        <w:t>卫生部力图通过卫生事务调解人的活动</w:t>
      </w:r>
      <w:r w:rsidR="00FC5ECC">
        <w:t>，</w:t>
      </w:r>
      <w:r w:rsidR="00C753E4">
        <w:t>提高公众对早婚和少女怀孕</w:t>
      </w:r>
      <w:r w:rsidRPr="00E27BB2">
        <w:t>有害影响</w:t>
      </w:r>
      <w:r w:rsidR="00C753E4">
        <w:rPr>
          <w:rFonts w:hint="eastAsia"/>
        </w:rPr>
        <w:t>的意识</w:t>
      </w:r>
      <w:r w:rsidRPr="00E27BB2">
        <w:t>。</w:t>
      </w:r>
    </w:p>
    <w:p w:rsidR="00BC40DA" w:rsidRPr="00E27BB2" w:rsidRDefault="00B501EB" w:rsidP="00B501EB">
      <w:pPr>
        <w:pStyle w:val="H1GC"/>
      </w:pPr>
      <w:r>
        <w:rPr>
          <w:rFonts w:hint="eastAsia"/>
        </w:rPr>
        <w:tab/>
      </w:r>
      <w:r>
        <w:rPr>
          <w:rFonts w:hint="eastAsia"/>
        </w:rPr>
        <w:tab/>
      </w:r>
      <w:r w:rsidR="00BC40DA" w:rsidRPr="00E27BB2">
        <w:t>对《公约》第</w:t>
      </w:r>
      <w:r w:rsidR="00BC40DA" w:rsidRPr="00E27BB2">
        <w:t>20</w:t>
      </w:r>
      <w:r w:rsidR="00BC40DA" w:rsidRPr="00E27BB2">
        <w:t>条第</w:t>
      </w:r>
      <w:r w:rsidR="00BC40DA" w:rsidRPr="00E27BB2">
        <w:t>1</w:t>
      </w:r>
      <w:r w:rsidR="00BC40DA" w:rsidRPr="00E27BB2">
        <w:t>款的修正</w:t>
      </w:r>
    </w:p>
    <w:p w:rsidR="00BC40DA" w:rsidRPr="00E27BB2" w:rsidRDefault="00B501EB" w:rsidP="00B501EB">
      <w:pPr>
        <w:pStyle w:val="H23GC"/>
      </w:pPr>
      <w:r>
        <w:rPr>
          <w:rFonts w:hint="eastAsia"/>
        </w:rPr>
        <w:tab/>
      </w:r>
      <w:r>
        <w:rPr>
          <w:rFonts w:hint="eastAsia"/>
        </w:rPr>
        <w:tab/>
      </w:r>
      <w:r w:rsidR="00BC40DA" w:rsidRPr="00E27BB2">
        <w:t>对问题清单第</w:t>
      </w:r>
      <w:r w:rsidR="00BC40DA" w:rsidRPr="00E27BB2">
        <w:t>20</w:t>
      </w:r>
      <w:r w:rsidR="00BC40DA" w:rsidRPr="00E27BB2">
        <w:t>段所提问题的答复</w:t>
      </w:r>
    </w:p>
    <w:p w:rsidR="00BC40DA" w:rsidRDefault="00BC40DA" w:rsidP="00BC40DA">
      <w:pPr>
        <w:pStyle w:val="SingleTxtGC"/>
        <w:rPr>
          <w:rFonts w:hint="eastAsia"/>
        </w:rPr>
      </w:pPr>
      <w:r w:rsidRPr="00E27BB2">
        <w:t>12</w:t>
      </w:r>
      <w:r w:rsidR="00FC5ECC">
        <w:t>0.</w:t>
      </w:r>
      <w:r w:rsidR="00B501EB">
        <w:rPr>
          <w:rFonts w:hint="eastAsia"/>
        </w:rPr>
        <w:t xml:space="preserve">  </w:t>
      </w:r>
      <w:r w:rsidRPr="00E27BB2">
        <w:t>外交部于</w:t>
      </w:r>
      <w:r w:rsidRPr="00E27BB2">
        <w:t>2012</w:t>
      </w:r>
      <w:r w:rsidRPr="00E27BB2">
        <w:t>年</w:t>
      </w:r>
      <w:r w:rsidRPr="00E27BB2">
        <w:t>4</w:t>
      </w:r>
      <w:r w:rsidRPr="00E27BB2">
        <w:t>月提交了关于认可《消除对妇女一切形式歧视公约》修正案的法律草案审查报告</w:t>
      </w:r>
      <w:r w:rsidR="00FC5ECC">
        <w:t>，</w:t>
      </w:r>
      <w:r w:rsidRPr="00E27BB2">
        <w:t>并预计在提交关于《消除对妇女一切形式歧视公约》执行情况的第二和第三次定期报告时</w:t>
      </w:r>
      <w:r w:rsidR="00FC5ECC">
        <w:t>，</w:t>
      </w:r>
      <w:r w:rsidRPr="00E27BB2">
        <w:t>接受《公约》第</w:t>
      </w:r>
      <w:r w:rsidRPr="00E27BB2">
        <w:t>20</w:t>
      </w:r>
      <w:r w:rsidRPr="00E27BB2">
        <w:t>条第</w:t>
      </w:r>
      <w:r w:rsidRPr="00E27BB2">
        <w:t>1</w:t>
      </w:r>
      <w:r w:rsidRPr="00E27BB2">
        <w:t>款修正案的工作将处于最后阶段。</w:t>
      </w:r>
    </w:p>
    <w:p w:rsidR="00B501EB" w:rsidRPr="002D6A9C" w:rsidRDefault="00B501E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501EB"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6F" w:rsidRPr="008845C5" w:rsidRDefault="006D2F6F"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D2F6F" w:rsidRPr="008845C5" w:rsidRDefault="006D2F6F"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6F" w:rsidRPr="008B57B1" w:rsidRDefault="006D2F6F"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A03B80">
      <w:rPr>
        <w:rStyle w:val="PageNumber"/>
        <w:noProof/>
      </w:rPr>
      <w:t>2</w:t>
    </w:r>
    <w:r>
      <w:rPr>
        <w:rStyle w:val="PageNumber"/>
      </w:rPr>
      <w:fldChar w:fldCharType="end"/>
    </w:r>
    <w:r>
      <w:rPr>
        <w:rStyle w:val="PageNumber"/>
        <w:rFonts w:eastAsia="SimSun" w:hint="eastAsia"/>
        <w:lang w:eastAsia="zh-CN"/>
      </w:rPr>
      <w:tab/>
    </w:r>
    <w:r w:rsidRPr="008B57B1">
      <w:rPr>
        <w:rFonts w:eastAsia="SimSun"/>
        <w:lang w:eastAsia="zh-CN"/>
      </w:rPr>
      <w:t>GE.12-44577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6F" w:rsidRDefault="006D2F6F">
    <w:pPr>
      <w:pStyle w:val="Footer"/>
      <w:tabs>
        <w:tab w:val="right" w:pos="9639"/>
      </w:tabs>
    </w:pPr>
    <w:r w:rsidRPr="008B57B1">
      <w:rPr>
        <w:rFonts w:eastAsia="SimSun"/>
        <w:lang w:eastAsia="zh-CN"/>
      </w:rPr>
      <w:t>GE.12-44577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03B8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6F" w:rsidRPr="005C5B87" w:rsidRDefault="006D2F6F"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44577</w:t>
    </w:r>
    <w:r w:rsidRPr="00EE277A">
      <w:rPr>
        <w:rFonts w:eastAsia="SimSun"/>
        <w:sz w:val="20"/>
        <w:lang w:eastAsia="zh-CN"/>
      </w:rPr>
      <w:t xml:space="preserve"> (C)</w:t>
    </w:r>
    <w:r>
      <w:rPr>
        <w:rFonts w:eastAsia="SimSun"/>
        <w:sz w:val="20"/>
        <w:lang w:eastAsia="zh-CN"/>
      </w:rPr>
      <w:tab/>
    </w:r>
    <w:r>
      <w:rPr>
        <w:rFonts w:eastAsia="SimSun" w:hint="eastAsia"/>
        <w:sz w:val="20"/>
        <w:lang w:eastAsia="zh-CN"/>
      </w:rPr>
      <w:t>030912</w:t>
    </w:r>
    <w:r>
      <w:rPr>
        <w:rFonts w:eastAsia="SimSun"/>
        <w:sz w:val="20"/>
        <w:lang w:eastAsia="zh-CN"/>
      </w:rPr>
      <w:tab/>
    </w:r>
    <w:r>
      <w:rPr>
        <w:rFonts w:eastAsia="SimSun" w:hint="eastAsia"/>
        <w:sz w:val="20"/>
        <w:lang w:eastAsia="zh-CN"/>
      </w:rPr>
      <w:t>100912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6F" w:rsidRPr="00363561" w:rsidRDefault="006D2F6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D2F6F" w:rsidRPr="00363561" w:rsidRDefault="006D2F6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6D2F6F" w:rsidRPr="00A93E8D" w:rsidRDefault="006D2F6F">
      <w:pPr>
        <w:pStyle w:val="FootnoteText"/>
      </w:pPr>
      <w:r>
        <w:rPr>
          <w:rFonts w:hint="eastAsia"/>
        </w:rPr>
        <w:tab/>
      </w:r>
      <w:r w:rsidRPr="00A93E8D">
        <w:rPr>
          <w:rStyle w:val="FootnoteReference"/>
          <w:vertAlign w:val="baseline"/>
        </w:rPr>
        <w:t>*</w:t>
      </w:r>
      <w:r>
        <w:rPr>
          <w:rFonts w:hint="eastAsia"/>
        </w:rPr>
        <w:tab/>
      </w:r>
      <w:r w:rsidRPr="00A93E8D">
        <w:rPr>
          <w:rFonts w:hint="eastAsia"/>
        </w:rPr>
        <w:t>迟交。</w:t>
      </w:r>
    </w:p>
  </w:footnote>
  <w:footnote w:id="2">
    <w:p w:rsidR="006D2F6F" w:rsidRPr="00A93E8D" w:rsidRDefault="006D2F6F">
      <w:pPr>
        <w:pStyle w:val="FootnoteText"/>
      </w:pPr>
      <w:r>
        <w:rPr>
          <w:rFonts w:hint="eastAsia"/>
        </w:rPr>
        <w:tab/>
      </w:r>
      <w:r w:rsidRPr="00A93E8D">
        <w:rPr>
          <w:rStyle w:val="FootnoteReference"/>
          <w:vertAlign w:val="baseline"/>
        </w:rPr>
        <w:t>**</w:t>
      </w:r>
      <w:r>
        <w:rPr>
          <w:rFonts w:hint="eastAsia"/>
        </w:rPr>
        <w:tab/>
      </w:r>
      <w:r w:rsidRPr="00A93E8D">
        <w:rPr>
          <w:rFonts w:hint="eastAsia"/>
        </w:rPr>
        <w:t>按照已通知各缔约国的报告处理办法，本文件在送交联合国翻译部门前未经正式编辑。</w:t>
      </w:r>
    </w:p>
  </w:footnote>
  <w:footnote w:id="3">
    <w:p w:rsidR="006D2F6F" w:rsidRPr="00A93E8D" w:rsidRDefault="006D2F6F">
      <w:pPr>
        <w:pStyle w:val="FootnoteText"/>
      </w:pPr>
      <w:r>
        <w:rPr>
          <w:rFonts w:hint="eastAsia"/>
        </w:rPr>
        <w:tab/>
      </w:r>
      <w:r w:rsidRPr="00A93E8D">
        <w:rPr>
          <w:rStyle w:val="FootnoteReference"/>
          <w:vertAlign w:val="baseline"/>
        </w:rPr>
        <w:t>***</w:t>
      </w:r>
      <w:r w:rsidRPr="00A93E8D">
        <w:rPr>
          <w:rFonts w:hint="eastAsia"/>
        </w:rPr>
        <w:tab/>
      </w:r>
      <w:r w:rsidRPr="00A93E8D">
        <w:rPr>
          <w:rFonts w:hint="eastAsia"/>
        </w:rPr>
        <w:t>附件可在秘书处查阅。</w:t>
      </w:r>
    </w:p>
  </w:footnote>
  <w:footnote w:id="4">
    <w:p w:rsidR="006D2F6F" w:rsidRPr="00BC15D1" w:rsidRDefault="006D2F6F">
      <w:pPr>
        <w:pStyle w:val="FootnoteText"/>
      </w:pPr>
      <w:r>
        <w:tab/>
      </w:r>
      <w:r>
        <w:rPr>
          <w:rStyle w:val="FootnoteReference"/>
        </w:rPr>
        <w:footnoteRef/>
      </w:r>
      <w:r>
        <w:tab/>
      </w:r>
      <w:r w:rsidRPr="00BC15D1">
        <w:rPr>
          <w:rFonts w:hint="eastAsia"/>
        </w:rPr>
        <w:t>监察员的建议，</w:t>
      </w:r>
      <w:r w:rsidRPr="00BC15D1">
        <w:rPr>
          <w:rFonts w:hint="eastAsia"/>
        </w:rPr>
        <w:t>2011</w:t>
      </w:r>
      <w:r w:rsidRPr="00BC15D1">
        <w:rPr>
          <w:rFonts w:hint="eastAsia"/>
        </w:rPr>
        <w:t>年</w:t>
      </w:r>
      <w:r w:rsidRPr="00BC15D1">
        <w:rPr>
          <w:rFonts w:hint="eastAsia"/>
        </w:rPr>
        <w:t>6</w:t>
      </w:r>
      <w:r w:rsidRPr="00BC15D1">
        <w:rPr>
          <w:rFonts w:hint="eastAsia"/>
        </w:rPr>
        <w:t>月</w:t>
      </w:r>
      <w:r w:rsidRPr="00BC15D1">
        <w:rPr>
          <w:rFonts w:hint="eastAsia"/>
        </w:rPr>
        <w:t>6</w:t>
      </w:r>
      <w:r w:rsidRPr="00BC15D1">
        <w:rPr>
          <w:rFonts w:hint="eastAsia"/>
        </w:rPr>
        <w:t>日，第</w:t>
      </w:r>
      <w:r>
        <w:rPr>
          <w:rFonts w:hint="eastAsia"/>
        </w:rPr>
        <w:t>17-</w:t>
      </w:r>
      <w:r w:rsidRPr="00BC15D1">
        <w:rPr>
          <w:rFonts w:hint="eastAsia"/>
        </w:rPr>
        <w:t>2599/10</w:t>
      </w:r>
      <w:r w:rsidRPr="00BC15D1">
        <w:rPr>
          <w:rFonts w:hint="eastAsia"/>
        </w:rPr>
        <w:t>号。</w:t>
      </w:r>
    </w:p>
  </w:footnote>
  <w:footnote w:id="5">
    <w:p w:rsidR="006D2F6F" w:rsidRPr="001D2DAC" w:rsidRDefault="006D2F6F">
      <w:pPr>
        <w:pStyle w:val="FootnoteText"/>
      </w:pPr>
      <w:r>
        <w:tab/>
      </w:r>
      <w:r>
        <w:rPr>
          <w:rStyle w:val="FootnoteReference"/>
        </w:rPr>
        <w:footnoteRef/>
      </w:r>
      <w:r>
        <w:tab/>
      </w:r>
      <w:r w:rsidRPr="001D2DAC">
        <w:rPr>
          <w:rFonts w:hint="eastAsia"/>
        </w:rPr>
        <w:t>《塞尔维亚共和国政府公报》，第</w:t>
      </w:r>
      <w:r w:rsidRPr="001D2DAC">
        <w:rPr>
          <w:rFonts w:hint="eastAsia"/>
        </w:rPr>
        <w:t>89/10</w:t>
      </w:r>
      <w:r w:rsidRPr="001D2DAC">
        <w:rPr>
          <w:rFonts w:hint="eastAsia"/>
        </w:rPr>
        <w:t>号。</w:t>
      </w:r>
    </w:p>
  </w:footnote>
  <w:footnote w:id="6">
    <w:p w:rsidR="006D2F6F" w:rsidRPr="00612189" w:rsidRDefault="006D2F6F">
      <w:pPr>
        <w:pStyle w:val="FootnoteText"/>
      </w:pPr>
      <w:r>
        <w:tab/>
      </w:r>
      <w:r>
        <w:rPr>
          <w:rStyle w:val="FootnoteReference"/>
        </w:rPr>
        <w:footnoteRef/>
      </w:r>
      <w:r>
        <w:tab/>
      </w:r>
      <w:r w:rsidRPr="00612189">
        <w:rPr>
          <w:rFonts w:hint="eastAsia"/>
        </w:rPr>
        <w:t>《塞尔维亚共和国政府公报》，第</w:t>
      </w:r>
      <w:r w:rsidRPr="00612189">
        <w:rPr>
          <w:rFonts w:hint="eastAsia"/>
        </w:rPr>
        <w:t>98/10</w:t>
      </w:r>
      <w:r w:rsidRPr="00612189">
        <w:rPr>
          <w:rFonts w:hint="eastAsia"/>
        </w:rPr>
        <w:t>号。</w:t>
      </w:r>
    </w:p>
  </w:footnote>
  <w:footnote w:id="7">
    <w:p w:rsidR="006D2F6F" w:rsidRPr="00715C00" w:rsidRDefault="006D2F6F">
      <w:pPr>
        <w:pStyle w:val="FootnoteText"/>
      </w:pPr>
      <w:r>
        <w:tab/>
      </w:r>
      <w:r>
        <w:rPr>
          <w:rStyle w:val="FootnoteReference"/>
        </w:rPr>
        <w:footnoteRef/>
      </w:r>
      <w:r>
        <w:tab/>
      </w:r>
      <w:r w:rsidRPr="00715C00">
        <w:rPr>
          <w:rFonts w:hint="eastAsia"/>
        </w:rPr>
        <w:t>《塞尔维亚共和国政府公报》，第</w:t>
      </w:r>
      <w:r w:rsidRPr="00715C00">
        <w:rPr>
          <w:rFonts w:hint="eastAsia"/>
        </w:rPr>
        <w:t>67/10</w:t>
      </w:r>
      <w:r w:rsidRPr="00715C00">
        <w:rPr>
          <w:rFonts w:hint="eastAsia"/>
        </w:rPr>
        <w:t>号。</w:t>
      </w:r>
    </w:p>
  </w:footnote>
  <w:footnote w:id="8">
    <w:p w:rsidR="006D2F6F" w:rsidRPr="00715C00" w:rsidRDefault="006D2F6F">
      <w:pPr>
        <w:pStyle w:val="FootnoteText"/>
      </w:pPr>
      <w:r>
        <w:tab/>
      </w:r>
      <w:r>
        <w:rPr>
          <w:rStyle w:val="FootnoteReference"/>
        </w:rPr>
        <w:footnoteRef/>
      </w:r>
      <w:r>
        <w:tab/>
      </w:r>
      <w:r w:rsidRPr="00715C00">
        <w:rPr>
          <w:rFonts w:hint="eastAsia"/>
        </w:rPr>
        <w:t>《塞尔维亚共和国政府公报》，第</w:t>
      </w:r>
      <w:r w:rsidRPr="00715C00">
        <w:rPr>
          <w:rFonts w:hint="eastAsia"/>
        </w:rPr>
        <w:t>102/10</w:t>
      </w:r>
      <w:r w:rsidRPr="00715C00">
        <w:rPr>
          <w:rFonts w:hint="eastAsia"/>
        </w:rPr>
        <w:t>号。</w:t>
      </w:r>
    </w:p>
  </w:footnote>
  <w:footnote w:id="9">
    <w:p w:rsidR="006D2F6F" w:rsidRPr="00DE572D" w:rsidRDefault="006D2F6F">
      <w:pPr>
        <w:pStyle w:val="FootnoteText"/>
      </w:pPr>
      <w:r>
        <w:tab/>
      </w:r>
      <w:r>
        <w:rPr>
          <w:rStyle w:val="FootnoteReference"/>
        </w:rPr>
        <w:footnoteRef/>
      </w:r>
      <w:r>
        <w:tab/>
      </w:r>
      <w:r w:rsidRPr="00DE572D">
        <w:rPr>
          <w:rFonts w:hint="eastAsia"/>
        </w:rPr>
        <w:t>《塞尔维亚共和国政府公报》，第</w:t>
      </w:r>
      <w:r w:rsidRPr="00DE572D">
        <w:rPr>
          <w:rFonts w:hint="eastAsia"/>
        </w:rPr>
        <w:t>27/11</w:t>
      </w:r>
      <w:r w:rsidRPr="00DE572D">
        <w:rPr>
          <w:rFonts w:hint="eastAsia"/>
        </w:rPr>
        <w:t>号。</w:t>
      </w:r>
    </w:p>
  </w:footnote>
  <w:footnote w:id="10">
    <w:p w:rsidR="006D2F6F" w:rsidRPr="0030728A" w:rsidRDefault="006D2F6F">
      <w:pPr>
        <w:pStyle w:val="FootnoteText"/>
      </w:pPr>
      <w:r>
        <w:tab/>
      </w:r>
      <w:r>
        <w:rPr>
          <w:rStyle w:val="FootnoteReference"/>
        </w:rPr>
        <w:footnoteRef/>
      </w:r>
      <w:r>
        <w:tab/>
      </w:r>
      <w:r w:rsidRPr="0030728A">
        <w:rPr>
          <w:rFonts w:hint="eastAsia"/>
        </w:rPr>
        <w:t>《塞尔维亚共和国政府公报》，第</w:t>
      </w:r>
      <w:r w:rsidRPr="0030728A">
        <w:rPr>
          <w:rFonts w:hint="eastAsia"/>
        </w:rPr>
        <w:t>104/09</w:t>
      </w:r>
      <w:r w:rsidRPr="0030728A">
        <w:rPr>
          <w:rFonts w:hint="eastAsia"/>
        </w:rPr>
        <w:t>号。</w:t>
      </w:r>
    </w:p>
  </w:footnote>
  <w:footnote w:id="11">
    <w:p w:rsidR="006D2F6F" w:rsidRPr="004059E4" w:rsidRDefault="006D2F6F">
      <w:pPr>
        <w:pStyle w:val="FootnoteText"/>
      </w:pPr>
      <w:r>
        <w:tab/>
      </w:r>
      <w:r>
        <w:rPr>
          <w:rStyle w:val="FootnoteReference"/>
        </w:rPr>
        <w:footnoteRef/>
      </w:r>
      <w:r>
        <w:tab/>
      </w:r>
      <w:r w:rsidRPr="004059E4">
        <w:rPr>
          <w:rFonts w:hint="eastAsia"/>
        </w:rPr>
        <w:t>《塞尔维亚共和国政府公报》，第</w:t>
      </w:r>
      <w:r w:rsidRPr="004059E4">
        <w:rPr>
          <w:rFonts w:hint="eastAsia"/>
        </w:rPr>
        <w:t>37/11</w:t>
      </w:r>
      <w:r w:rsidRPr="004059E4">
        <w:rPr>
          <w:rFonts w:hint="eastAsia"/>
        </w:rPr>
        <w:t>号。</w:t>
      </w:r>
    </w:p>
  </w:footnote>
  <w:footnote w:id="12">
    <w:p w:rsidR="006D2F6F" w:rsidRPr="00EB3A35" w:rsidRDefault="006D2F6F">
      <w:pPr>
        <w:pStyle w:val="FootnoteText"/>
      </w:pPr>
      <w:r>
        <w:tab/>
      </w:r>
      <w:r>
        <w:rPr>
          <w:rStyle w:val="FootnoteReference"/>
        </w:rPr>
        <w:footnoteRef/>
      </w:r>
      <w:r>
        <w:tab/>
      </w:r>
      <w:r w:rsidRPr="00EB3A35">
        <w:rPr>
          <w:rFonts w:hint="eastAsia"/>
        </w:rPr>
        <w:t>《塞尔维亚共和国政府公报》，第</w:t>
      </w:r>
      <w:r w:rsidRPr="00EB3A35">
        <w:rPr>
          <w:rFonts w:hint="eastAsia"/>
        </w:rPr>
        <w:t>36/09</w:t>
      </w:r>
      <w:r w:rsidRPr="00EB3A35">
        <w:rPr>
          <w:rFonts w:hint="eastAsia"/>
        </w:rPr>
        <w:t>号。</w:t>
      </w:r>
    </w:p>
  </w:footnote>
  <w:footnote w:id="13">
    <w:p w:rsidR="006D2F6F" w:rsidRPr="00EB3A35" w:rsidRDefault="006D2F6F">
      <w:pPr>
        <w:pStyle w:val="FootnoteText"/>
      </w:pPr>
      <w:r>
        <w:tab/>
      </w:r>
      <w:r>
        <w:rPr>
          <w:rStyle w:val="FootnoteReference"/>
        </w:rPr>
        <w:footnoteRef/>
      </w:r>
      <w:r>
        <w:tab/>
      </w:r>
      <w:r w:rsidRPr="00EB3A35">
        <w:rPr>
          <w:rFonts w:hint="eastAsia"/>
        </w:rPr>
        <w:t>《塞尔维亚共和国政府公报》，第</w:t>
      </w:r>
      <w:r w:rsidRPr="00EB3A35">
        <w:rPr>
          <w:rFonts w:hint="eastAsia"/>
        </w:rPr>
        <w:t>35/00</w:t>
      </w:r>
      <w:r w:rsidRPr="00EB3A35">
        <w:rPr>
          <w:rFonts w:hint="eastAsia"/>
        </w:rPr>
        <w:t>号；第</w:t>
      </w:r>
      <w:r w:rsidRPr="00EB3A35">
        <w:rPr>
          <w:rFonts w:hint="eastAsia"/>
        </w:rPr>
        <w:t>62/02</w:t>
      </w:r>
      <w:r w:rsidRPr="00EB3A35">
        <w:rPr>
          <w:rFonts w:hint="eastAsia"/>
        </w:rPr>
        <w:t>号；经</w:t>
      </w:r>
      <w:r w:rsidRPr="00EB3A35">
        <w:rPr>
          <w:rFonts w:hint="eastAsia"/>
        </w:rPr>
        <w:t>CCRS</w:t>
      </w:r>
      <w:r w:rsidRPr="00EB3A35">
        <w:rPr>
          <w:rFonts w:hint="eastAsia"/>
        </w:rPr>
        <w:t>的决定订正的第</w:t>
      </w:r>
      <w:r w:rsidRPr="00EB3A35">
        <w:rPr>
          <w:rFonts w:hint="eastAsia"/>
        </w:rPr>
        <w:t>57/03</w:t>
      </w:r>
      <w:r w:rsidRPr="00EB3A35">
        <w:rPr>
          <w:rFonts w:hint="eastAsia"/>
        </w:rPr>
        <w:t>号；经其他法律订正的第</w:t>
      </w:r>
      <w:r w:rsidRPr="00EB3A35">
        <w:rPr>
          <w:rFonts w:hint="eastAsia"/>
        </w:rPr>
        <w:t>72/03</w:t>
      </w:r>
      <w:r w:rsidRPr="00EB3A35">
        <w:rPr>
          <w:rFonts w:hint="eastAsia"/>
        </w:rPr>
        <w:t>号；经其他法律订正的第</w:t>
      </w:r>
      <w:r w:rsidRPr="00EB3A35">
        <w:rPr>
          <w:rFonts w:hint="eastAsia"/>
        </w:rPr>
        <w:t>75/03</w:t>
      </w:r>
      <w:r w:rsidRPr="00EB3A35">
        <w:rPr>
          <w:rFonts w:hint="eastAsia"/>
        </w:rPr>
        <w:t>号；第</w:t>
      </w:r>
      <w:r w:rsidRPr="00EB3A35">
        <w:rPr>
          <w:rFonts w:hint="eastAsia"/>
        </w:rPr>
        <w:t>18/04</w:t>
      </w:r>
      <w:r w:rsidRPr="00EB3A35">
        <w:rPr>
          <w:rFonts w:hint="eastAsia"/>
        </w:rPr>
        <w:t>号</w:t>
      </w:r>
      <w:r>
        <w:rPr>
          <w:rFonts w:hint="eastAsia"/>
        </w:rPr>
        <w:t>；</w:t>
      </w:r>
      <w:r w:rsidRPr="00EB3A35">
        <w:rPr>
          <w:rFonts w:hint="eastAsia"/>
        </w:rPr>
        <w:t>经其他法律订正的第</w:t>
      </w:r>
      <w:r>
        <w:rPr>
          <w:rFonts w:hint="eastAsia"/>
        </w:rPr>
        <w:t>85/05</w:t>
      </w:r>
      <w:r w:rsidRPr="00EB3A35">
        <w:rPr>
          <w:rFonts w:hint="eastAsia"/>
        </w:rPr>
        <w:t>号；经其他法律订正的第</w:t>
      </w:r>
      <w:r>
        <w:rPr>
          <w:rFonts w:hint="eastAsia"/>
        </w:rPr>
        <w:t>101/05</w:t>
      </w:r>
      <w:r w:rsidRPr="00EB3A35">
        <w:rPr>
          <w:rFonts w:hint="eastAsia"/>
        </w:rPr>
        <w:t>号；第</w:t>
      </w:r>
      <w:r w:rsidRPr="00EB3A35">
        <w:rPr>
          <w:rFonts w:hint="eastAsia"/>
        </w:rPr>
        <w:t>104/09</w:t>
      </w:r>
      <w:r w:rsidRPr="00EB3A35">
        <w:rPr>
          <w:rFonts w:hint="eastAsia"/>
        </w:rPr>
        <w:t>号；第</w:t>
      </w:r>
      <w:r w:rsidRPr="00EB3A35">
        <w:rPr>
          <w:rFonts w:hint="eastAsia"/>
        </w:rPr>
        <w:t>28/11</w:t>
      </w:r>
      <w:r w:rsidRPr="00EB3A35">
        <w:rPr>
          <w:rFonts w:hint="eastAsia"/>
        </w:rPr>
        <w:t>号以及第</w:t>
      </w:r>
      <w:r w:rsidRPr="00EB3A35">
        <w:rPr>
          <w:rFonts w:hint="eastAsia"/>
        </w:rPr>
        <w:t>36/11</w:t>
      </w:r>
      <w:r w:rsidRPr="00EB3A35">
        <w:rPr>
          <w:rFonts w:hint="eastAsia"/>
        </w:rPr>
        <w:t>号。</w:t>
      </w:r>
    </w:p>
  </w:footnote>
  <w:footnote w:id="14">
    <w:p w:rsidR="006D2F6F" w:rsidRPr="006D4B3F" w:rsidRDefault="006D2F6F">
      <w:pPr>
        <w:pStyle w:val="FootnoteText"/>
      </w:pPr>
      <w:r>
        <w:tab/>
      </w:r>
      <w:r>
        <w:rPr>
          <w:rStyle w:val="FootnoteReference"/>
        </w:rPr>
        <w:footnoteRef/>
      </w:r>
      <w:r>
        <w:tab/>
      </w:r>
      <w:r w:rsidRPr="006D4B3F">
        <w:rPr>
          <w:rFonts w:hint="eastAsia"/>
        </w:rPr>
        <w:t>《塞尔维亚共和国政府公报》，第</w:t>
      </w:r>
      <w:r w:rsidRPr="006D4B3F">
        <w:rPr>
          <w:rFonts w:hint="eastAsia"/>
        </w:rPr>
        <w:t>129/07</w:t>
      </w:r>
      <w:r w:rsidRPr="006D4B3F">
        <w:rPr>
          <w:rFonts w:hint="eastAsia"/>
        </w:rPr>
        <w:t>号；经</w:t>
      </w:r>
      <w:r w:rsidRPr="006D4B3F">
        <w:rPr>
          <w:rFonts w:hint="eastAsia"/>
        </w:rPr>
        <w:t>CCRS</w:t>
      </w:r>
      <w:r w:rsidRPr="006D4B3F">
        <w:rPr>
          <w:rFonts w:hint="eastAsia"/>
        </w:rPr>
        <w:t>的决定订正的第</w:t>
      </w:r>
      <w:r w:rsidRPr="006D4B3F">
        <w:rPr>
          <w:rFonts w:hint="eastAsia"/>
        </w:rPr>
        <w:t>34/10</w:t>
      </w:r>
      <w:r w:rsidRPr="006D4B3F">
        <w:rPr>
          <w:rFonts w:hint="eastAsia"/>
        </w:rPr>
        <w:t>号；以及第</w:t>
      </w:r>
      <w:r w:rsidRPr="006D4B3F">
        <w:rPr>
          <w:rFonts w:hint="eastAsia"/>
        </w:rPr>
        <w:t>54/11</w:t>
      </w:r>
      <w:r w:rsidRPr="006D4B3F">
        <w:rPr>
          <w:rFonts w:hint="eastAsia"/>
        </w:rPr>
        <w:t>号。</w:t>
      </w:r>
    </w:p>
  </w:footnote>
  <w:footnote w:id="15">
    <w:p w:rsidR="006D2F6F" w:rsidRPr="00626DA5" w:rsidRDefault="006D2F6F">
      <w:pPr>
        <w:pStyle w:val="FootnoteText"/>
      </w:pPr>
      <w:r>
        <w:tab/>
      </w:r>
      <w:r>
        <w:rPr>
          <w:rStyle w:val="FootnoteReference"/>
        </w:rPr>
        <w:footnoteRef/>
      </w:r>
      <w:r>
        <w:tab/>
      </w:r>
      <w:r w:rsidRPr="00626DA5">
        <w:rPr>
          <w:rFonts w:hint="eastAsia"/>
        </w:rPr>
        <w:t>《塞尔维亚共和国政府公报》，第</w:t>
      </w:r>
      <w:r w:rsidRPr="00626DA5">
        <w:rPr>
          <w:rFonts w:hint="eastAsia"/>
        </w:rPr>
        <w:t>15/09</w:t>
      </w:r>
      <w:r w:rsidRPr="00626DA5">
        <w:rPr>
          <w:rFonts w:hint="eastAsia"/>
        </w:rPr>
        <w:t>号。</w:t>
      </w:r>
    </w:p>
  </w:footnote>
  <w:footnote w:id="16">
    <w:p w:rsidR="006D2F6F" w:rsidRPr="009C0134" w:rsidRDefault="006D2F6F">
      <w:pPr>
        <w:pStyle w:val="FootnoteText"/>
      </w:pPr>
      <w:r>
        <w:tab/>
      </w:r>
      <w:r>
        <w:rPr>
          <w:rStyle w:val="FootnoteReference"/>
        </w:rPr>
        <w:footnoteRef/>
      </w:r>
      <w:r>
        <w:tab/>
      </w:r>
      <w:r w:rsidRPr="009C0134">
        <w:rPr>
          <w:rFonts w:hint="eastAsia"/>
        </w:rPr>
        <w:t>《警察法》第</w:t>
      </w:r>
      <w:r w:rsidRPr="009C0134">
        <w:rPr>
          <w:rFonts w:hint="eastAsia"/>
        </w:rPr>
        <w:t>75-82</w:t>
      </w:r>
      <w:r w:rsidRPr="009C0134">
        <w:rPr>
          <w:rFonts w:hint="eastAsia"/>
        </w:rPr>
        <w:t>条</w:t>
      </w:r>
      <w:r w:rsidRPr="009C0134">
        <w:rPr>
          <w:rFonts w:hint="eastAsia"/>
        </w:rPr>
        <w:t>(</w:t>
      </w:r>
      <w:r w:rsidRPr="009C0134">
        <w:rPr>
          <w:rFonts w:hint="eastAsia"/>
        </w:rPr>
        <w:t>《塞尔维亚共和国政府公报》，第</w:t>
      </w:r>
      <w:r w:rsidRPr="009C0134">
        <w:rPr>
          <w:rFonts w:hint="eastAsia"/>
        </w:rPr>
        <w:t>101/05</w:t>
      </w:r>
      <w:r w:rsidRPr="009C0134">
        <w:rPr>
          <w:rFonts w:hint="eastAsia"/>
        </w:rPr>
        <w:t>号；经</w:t>
      </w:r>
      <w:r w:rsidRPr="009C0134">
        <w:rPr>
          <w:rFonts w:hint="eastAsia"/>
        </w:rPr>
        <w:t>CCRS</w:t>
      </w:r>
      <w:r w:rsidRPr="009C0134">
        <w:rPr>
          <w:rFonts w:hint="eastAsia"/>
        </w:rPr>
        <w:t>的决定订正的第</w:t>
      </w:r>
      <w:r>
        <w:rPr>
          <w:rFonts w:hint="eastAsia"/>
        </w:rPr>
        <w:t>68/06</w:t>
      </w:r>
      <w:r w:rsidRPr="009C0134">
        <w:rPr>
          <w:rFonts w:hint="eastAsia"/>
        </w:rPr>
        <w:t>号；以及第</w:t>
      </w:r>
      <w:r w:rsidRPr="009C0134">
        <w:rPr>
          <w:rFonts w:hint="eastAsia"/>
        </w:rPr>
        <w:t>92/11</w:t>
      </w:r>
      <w:r w:rsidRPr="009C0134">
        <w:rPr>
          <w:rFonts w:hint="eastAsia"/>
        </w:rPr>
        <w:t>号</w:t>
      </w:r>
      <w:r>
        <w:rPr>
          <w:rFonts w:hint="eastAsia"/>
        </w:rPr>
        <w:t>)</w:t>
      </w:r>
      <w:r w:rsidRPr="009C0134">
        <w:rPr>
          <w:rFonts w:hint="eastAsia"/>
        </w:rPr>
        <w:t>。</w:t>
      </w:r>
    </w:p>
  </w:footnote>
  <w:footnote w:id="17">
    <w:p w:rsidR="006D2F6F" w:rsidRPr="003748F3" w:rsidRDefault="006D2F6F">
      <w:pPr>
        <w:pStyle w:val="FootnoteText"/>
      </w:pPr>
      <w:r>
        <w:tab/>
      </w:r>
      <w:r>
        <w:rPr>
          <w:rStyle w:val="FootnoteReference"/>
        </w:rPr>
        <w:footnoteRef/>
      </w:r>
      <w:r>
        <w:tab/>
      </w:r>
      <w:r w:rsidRPr="003748F3">
        <w:rPr>
          <w:rFonts w:hint="eastAsia"/>
        </w:rPr>
        <w:t>《塞尔维亚共和国政府公报》，第</w:t>
      </w:r>
      <w:r w:rsidRPr="003748F3">
        <w:rPr>
          <w:rFonts w:hint="eastAsia"/>
        </w:rPr>
        <w:t>85/05</w:t>
      </w:r>
      <w:r w:rsidRPr="003748F3">
        <w:rPr>
          <w:rFonts w:hint="eastAsia"/>
        </w:rPr>
        <w:t>、</w:t>
      </w:r>
      <w:r w:rsidRPr="003748F3">
        <w:rPr>
          <w:rFonts w:hint="eastAsia"/>
        </w:rPr>
        <w:t>88/05</w:t>
      </w:r>
      <w:r w:rsidRPr="003748F3">
        <w:rPr>
          <w:rFonts w:hint="eastAsia"/>
        </w:rPr>
        <w:t>、</w:t>
      </w:r>
      <w:r w:rsidRPr="003748F3">
        <w:rPr>
          <w:rFonts w:hint="eastAsia"/>
        </w:rPr>
        <w:t>107/05</w:t>
      </w:r>
      <w:r w:rsidRPr="003748F3">
        <w:rPr>
          <w:rFonts w:hint="eastAsia"/>
        </w:rPr>
        <w:t>、</w:t>
      </w:r>
      <w:r>
        <w:rPr>
          <w:rFonts w:hint="eastAsia"/>
        </w:rPr>
        <w:t>72/09</w:t>
      </w:r>
      <w:r w:rsidRPr="003748F3">
        <w:rPr>
          <w:rFonts w:hint="eastAsia"/>
        </w:rPr>
        <w:t>和</w:t>
      </w:r>
      <w:r w:rsidRPr="003748F3">
        <w:rPr>
          <w:rFonts w:hint="eastAsia"/>
        </w:rPr>
        <w:t>111/09</w:t>
      </w:r>
      <w:r w:rsidRPr="003748F3">
        <w:rPr>
          <w:rFonts w:hint="eastAsia"/>
        </w:rPr>
        <w:t>号。</w:t>
      </w:r>
    </w:p>
  </w:footnote>
  <w:footnote w:id="18">
    <w:p w:rsidR="006D2F6F" w:rsidRPr="00456156" w:rsidRDefault="006D2F6F">
      <w:pPr>
        <w:pStyle w:val="FootnoteText"/>
      </w:pPr>
      <w:r>
        <w:tab/>
      </w:r>
      <w:r>
        <w:rPr>
          <w:rStyle w:val="FootnoteReference"/>
        </w:rPr>
        <w:footnoteRef/>
      </w:r>
      <w:r>
        <w:tab/>
      </w:r>
      <w:r w:rsidRPr="00456156">
        <w:rPr>
          <w:rFonts w:hint="eastAsia"/>
        </w:rPr>
        <w:t>可在两性平等司网站</w:t>
      </w:r>
      <w:r w:rsidRPr="00FE36AF">
        <w:rPr>
          <w:rFonts w:hint="eastAsia"/>
          <w:i/>
        </w:rPr>
        <w:t>www.gendernet.rs</w:t>
      </w:r>
      <w:r w:rsidRPr="00456156">
        <w:rPr>
          <w:rFonts w:hint="eastAsia"/>
        </w:rPr>
        <w:t>查阅这些文件。</w:t>
      </w:r>
    </w:p>
  </w:footnote>
  <w:footnote w:id="19">
    <w:p w:rsidR="006D2F6F" w:rsidRPr="00456156" w:rsidRDefault="006D2F6F">
      <w:pPr>
        <w:pStyle w:val="FootnoteText"/>
      </w:pPr>
      <w:r>
        <w:tab/>
      </w:r>
      <w:r>
        <w:rPr>
          <w:rStyle w:val="FootnoteReference"/>
        </w:rPr>
        <w:footnoteRef/>
      </w:r>
      <w:r>
        <w:tab/>
      </w:r>
      <w:r w:rsidRPr="00456156">
        <w:rPr>
          <w:rFonts w:hint="eastAsia"/>
        </w:rPr>
        <w:t>《塞尔维亚共和国政府公报》，第</w:t>
      </w:r>
      <w:r w:rsidRPr="00456156">
        <w:rPr>
          <w:rFonts w:hint="eastAsia"/>
        </w:rPr>
        <w:t>111/06</w:t>
      </w:r>
      <w:r w:rsidRPr="00456156">
        <w:rPr>
          <w:rFonts w:hint="eastAsia"/>
        </w:rPr>
        <w:t>号。</w:t>
      </w:r>
    </w:p>
  </w:footnote>
  <w:footnote w:id="20">
    <w:p w:rsidR="006D2F6F" w:rsidRPr="00456156" w:rsidRDefault="006D2F6F">
      <w:pPr>
        <w:pStyle w:val="FootnoteText"/>
      </w:pPr>
      <w:r>
        <w:tab/>
      </w:r>
      <w:r>
        <w:rPr>
          <w:rStyle w:val="FootnoteReference"/>
        </w:rPr>
        <w:footnoteRef/>
      </w:r>
      <w:r>
        <w:tab/>
      </w:r>
      <w:r w:rsidRPr="00456156">
        <w:rPr>
          <w:rFonts w:hint="eastAsia"/>
        </w:rPr>
        <w:t>《塞尔维亚共和国政府公报》，第</w:t>
      </w:r>
      <w:r w:rsidRPr="00456156">
        <w:rPr>
          <w:rFonts w:hint="eastAsia"/>
        </w:rPr>
        <w:t>35/09</w:t>
      </w:r>
      <w:r w:rsidRPr="00456156">
        <w:rPr>
          <w:rFonts w:hint="eastAsia"/>
        </w:rPr>
        <w:t>号。</w:t>
      </w:r>
    </w:p>
  </w:footnote>
  <w:footnote w:id="21">
    <w:p w:rsidR="006D2F6F" w:rsidRPr="00456156" w:rsidRDefault="006D2F6F">
      <w:pPr>
        <w:pStyle w:val="FootnoteText"/>
      </w:pPr>
      <w:r>
        <w:tab/>
      </w:r>
      <w:r>
        <w:rPr>
          <w:rStyle w:val="FootnoteReference"/>
        </w:rPr>
        <w:footnoteRef/>
      </w:r>
      <w:r>
        <w:tab/>
      </w:r>
      <w:r w:rsidRPr="00456156">
        <w:rPr>
          <w:rFonts w:hint="eastAsia"/>
        </w:rPr>
        <w:t>《联合国打击跨国有组织犯罪公约》</w:t>
      </w:r>
      <w:r w:rsidRPr="00456156">
        <w:rPr>
          <w:rFonts w:hint="eastAsia"/>
        </w:rPr>
        <w:t>(</w:t>
      </w:r>
      <w:r>
        <w:rPr>
          <w:rFonts w:hint="eastAsia"/>
        </w:rPr>
        <w:t>《南斯拉夫政府公报》</w:t>
      </w:r>
      <w:r>
        <w:rPr>
          <w:rFonts w:hint="eastAsia"/>
          <w:spacing w:val="-50"/>
        </w:rPr>
        <w:t>―</w:t>
      </w:r>
      <w:r>
        <w:rPr>
          <w:rFonts w:hint="eastAsia"/>
        </w:rPr>
        <w:t>―</w:t>
      </w:r>
      <w:r w:rsidRPr="00456156">
        <w:rPr>
          <w:rFonts w:hint="eastAsia"/>
        </w:rPr>
        <w:t>国际条约第</w:t>
      </w:r>
      <w:r w:rsidRPr="00456156">
        <w:rPr>
          <w:rFonts w:hint="eastAsia"/>
        </w:rPr>
        <w:t>6/01</w:t>
      </w:r>
      <w:r w:rsidRPr="00456156">
        <w:rPr>
          <w:rFonts w:hint="eastAsia"/>
        </w:rPr>
        <w:t>号</w:t>
      </w:r>
      <w:r>
        <w:rPr>
          <w:rFonts w:hint="eastAsia"/>
        </w:rPr>
        <w:t>)</w:t>
      </w:r>
      <w:r w:rsidRPr="00456156">
        <w:rPr>
          <w:rFonts w:hint="eastAsia"/>
        </w:rPr>
        <w:t>。</w:t>
      </w:r>
    </w:p>
  </w:footnote>
  <w:footnote w:id="22">
    <w:p w:rsidR="006D2F6F" w:rsidRPr="00C436BE" w:rsidRDefault="006D2F6F">
      <w:pPr>
        <w:pStyle w:val="FootnoteText"/>
      </w:pPr>
      <w:r>
        <w:tab/>
      </w:r>
      <w:r>
        <w:rPr>
          <w:rStyle w:val="FootnoteReference"/>
        </w:rPr>
        <w:footnoteRef/>
      </w:r>
      <w:r>
        <w:tab/>
      </w:r>
      <w:r w:rsidRPr="00C436BE">
        <w:rPr>
          <w:rFonts w:hint="eastAsia"/>
        </w:rPr>
        <w:t>负责开展与各部委、专门机构、政府办公室以及各行政区专业事务处人事管理相关技术活动的政府办公厅，《关于成立人力资源管理厅的条例》</w:t>
      </w:r>
      <w:r w:rsidRPr="00C436BE">
        <w:rPr>
          <w:rFonts w:hint="eastAsia"/>
        </w:rPr>
        <w:t>(</w:t>
      </w:r>
      <w:r w:rsidRPr="00C436BE">
        <w:rPr>
          <w:rFonts w:hint="eastAsia"/>
        </w:rPr>
        <w:t>《塞尔维亚共和国政府公报》，第</w:t>
      </w:r>
      <w:r w:rsidRPr="00C436BE">
        <w:rPr>
          <w:rFonts w:hint="eastAsia"/>
        </w:rPr>
        <w:t>106/05</w:t>
      </w:r>
      <w:r w:rsidRPr="00C436BE">
        <w:rPr>
          <w:rFonts w:hint="eastAsia"/>
        </w:rPr>
        <w:t>和第</w:t>
      </w:r>
      <w:r w:rsidRPr="00C436BE">
        <w:rPr>
          <w:rFonts w:hint="eastAsia"/>
        </w:rPr>
        <w:t>109/09</w:t>
      </w:r>
      <w:r w:rsidRPr="00C436BE">
        <w:rPr>
          <w:rFonts w:hint="eastAsia"/>
        </w:rPr>
        <w:t>号。</w:t>
      </w:r>
      <w:r w:rsidRPr="00C436BE">
        <w:rPr>
          <w:rFonts w:hint="eastAsia"/>
        </w:rPr>
        <w:t>)</w:t>
      </w:r>
    </w:p>
  </w:footnote>
  <w:footnote w:id="23">
    <w:p w:rsidR="006D2F6F" w:rsidRPr="00496C4C" w:rsidRDefault="006D2F6F">
      <w:pPr>
        <w:pStyle w:val="FootnoteText"/>
      </w:pPr>
      <w:r>
        <w:tab/>
      </w:r>
      <w:r>
        <w:rPr>
          <w:rStyle w:val="FootnoteReference"/>
        </w:rPr>
        <w:footnoteRef/>
      </w:r>
      <w:r>
        <w:tab/>
      </w:r>
      <w:r w:rsidRPr="00496C4C">
        <w:rPr>
          <w:rFonts w:hint="eastAsia"/>
        </w:rPr>
        <w:t>于</w:t>
      </w:r>
      <w:r w:rsidRPr="00496C4C">
        <w:rPr>
          <w:rFonts w:hint="eastAsia"/>
        </w:rPr>
        <w:t>2000</w:t>
      </w:r>
      <w:r w:rsidRPr="00496C4C">
        <w:rPr>
          <w:rFonts w:hint="eastAsia"/>
        </w:rPr>
        <w:t>年为民主控制武装部队设立的国际基金会，其目的是通过改革安全部门促进管理工作，从而加强安全部门。</w:t>
      </w:r>
    </w:p>
  </w:footnote>
  <w:footnote w:id="24">
    <w:p w:rsidR="006D2F6F" w:rsidRPr="00496C4C" w:rsidRDefault="006D2F6F">
      <w:pPr>
        <w:pStyle w:val="FootnoteText"/>
      </w:pPr>
      <w:r>
        <w:tab/>
      </w:r>
      <w:r>
        <w:rPr>
          <w:rStyle w:val="FootnoteReference"/>
        </w:rPr>
        <w:footnoteRef/>
      </w:r>
      <w:r>
        <w:tab/>
      </w:r>
      <w:r w:rsidRPr="00496C4C">
        <w:rPr>
          <w:rFonts w:hint="eastAsia"/>
        </w:rPr>
        <w:t>英文简称</w:t>
      </w:r>
      <w:r w:rsidRPr="00496C4C">
        <w:rPr>
          <w:rFonts w:hint="eastAsia"/>
        </w:rPr>
        <w:t>MDG</w:t>
      </w:r>
      <w:r w:rsidRPr="00496C4C">
        <w:rPr>
          <w:rFonts w:hint="eastAsia"/>
        </w:rPr>
        <w:t>。</w:t>
      </w:r>
    </w:p>
  </w:footnote>
  <w:footnote w:id="25">
    <w:p w:rsidR="006D2F6F" w:rsidRPr="00496C4C" w:rsidRDefault="006D2F6F">
      <w:pPr>
        <w:pStyle w:val="FootnoteText"/>
      </w:pPr>
      <w:r>
        <w:tab/>
      </w:r>
      <w:r>
        <w:rPr>
          <w:rStyle w:val="FootnoteReference"/>
        </w:rPr>
        <w:footnoteRef/>
      </w:r>
      <w:r>
        <w:tab/>
      </w:r>
      <w:r w:rsidRPr="00496C4C">
        <w:rPr>
          <w:rFonts w:hint="eastAsia"/>
        </w:rPr>
        <w:t>《生活水平调查》，</w:t>
      </w:r>
      <w:r w:rsidRPr="00496C4C">
        <w:rPr>
          <w:rFonts w:hint="eastAsia"/>
        </w:rPr>
        <w:t>2007</w:t>
      </w:r>
      <w:r w:rsidRPr="00496C4C">
        <w:rPr>
          <w:rFonts w:hint="eastAsia"/>
        </w:rPr>
        <w:t>年。</w:t>
      </w:r>
    </w:p>
  </w:footnote>
  <w:footnote w:id="26">
    <w:p w:rsidR="006D2F6F" w:rsidRPr="00496C4C" w:rsidRDefault="006D2F6F">
      <w:pPr>
        <w:pStyle w:val="FootnoteText"/>
      </w:pPr>
      <w:r>
        <w:tab/>
      </w:r>
      <w:r>
        <w:rPr>
          <w:rStyle w:val="FootnoteReference"/>
        </w:rPr>
        <w:footnoteRef/>
      </w:r>
      <w:r>
        <w:tab/>
      </w:r>
      <w:r w:rsidRPr="00496C4C">
        <w:rPr>
          <w:rFonts w:hint="eastAsia"/>
        </w:rPr>
        <w:t>英文简称</w:t>
      </w:r>
      <w:r w:rsidRPr="00496C4C">
        <w:rPr>
          <w:rFonts w:hint="eastAsia"/>
        </w:rPr>
        <w:t>MICS</w:t>
      </w:r>
      <w:r w:rsidRPr="00496C4C">
        <w:rPr>
          <w:rFonts w:hint="eastAsia"/>
        </w:rPr>
        <w:t>。</w:t>
      </w:r>
    </w:p>
  </w:footnote>
  <w:footnote w:id="27">
    <w:p w:rsidR="006D2F6F" w:rsidRPr="00496C4C" w:rsidRDefault="006D2F6F">
      <w:pPr>
        <w:pStyle w:val="FootnoteText"/>
      </w:pPr>
      <w:r>
        <w:tab/>
      </w:r>
      <w:r>
        <w:rPr>
          <w:rStyle w:val="FootnoteReference"/>
        </w:rPr>
        <w:footnoteRef/>
      </w:r>
      <w:r>
        <w:tab/>
      </w:r>
      <w:r w:rsidRPr="00496C4C">
        <w:rPr>
          <w:rFonts w:hint="eastAsia"/>
        </w:rPr>
        <w:t>共和国统计局数据，</w:t>
      </w:r>
      <w:r w:rsidRPr="00496C4C">
        <w:rPr>
          <w:rFonts w:hint="eastAsia"/>
        </w:rPr>
        <w:t>2009</w:t>
      </w:r>
      <w:r w:rsidRPr="00496C4C">
        <w:rPr>
          <w:rFonts w:hint="eastAsia"/>
        </w:rPr>
        <w:t>年。</w:t>
      </w:r>
    </w:p>
  </w:footnote>
  <w:footnote w:id="28">
    <w:p w:rsidR="006D2F6F" w:rsidRPr="00496C4C" w:rsidRDefault="006D2F6F">
      <w:pPr>
        <w:pStyle w:val="FootnoteText"/>
      </w:pPr>
      <w:r>
        <w:tab/>
      </w:r>
      <w:r>
        <w:rPr>
          <w:rStyle w:val="FootnoteReference"/>
        </w:rPr>
        <w:footnoteRef/>
      </w:r>
      <w:r>
        <w:tab/>
      </w:r>
      <w:r w:rsidRPr="00496C4C">
        <w:rPr>
          <w:rFonts w:hint="eastAsia"/>
        </w:rPr>
        <w:t>《塞尔维亚共和国政府公报》，第</w:t>
      </w:r>
      <w:r w:rsidRPr="00496C4C">
        <w:rPr>
          <w:rFonts w:hint="eastAsia"/>
        </w:rPr>
        <w:t>72/0</w:t>
      </w:r>
      <w:r>
        <w:rPr>
          <w:rFonts w:hint="eastAsia"/>
        </w:rPr>
        <w:t>9</w:t>
      </w:r>
      <w:r w:rsidRPr="00496C4C">
        <w:rPr>
          <w:rFonts w:hint="eastAsia"/>
        </w:rPr>
        <w:t>和</w:t>
      </w:r>
      <w:r w:rsidRPr="00496C4C">
        <w:rPr>
          <w:rFonts w:hint="eastAsia"/>
        </w:rPr>
        <w:t>52/11</w:t>
      </w:r>
      <w:r w:rsidRPr="00496C4C">
        <w:rPr>
          <w:rFonts w:hint="eastAsia"/>
        </w:rPr>
        <w:t>号。</w:t>
      </w:r>
    </w:p>
  </w:footnote>
  <w:footnote w:id="29">
    <w:p w:rsidR="006D2F6F" w:rsidRPr="00E0531E" w:rsidRDefault="006D2F6F">
      <w:pPr>
        <w:pStyle w:val="FootnoteText"/>
      </w:pPr>
      <w:r>
        <w:tab/>
      </w:r>
      <w:r>
        <w:rPr>
          <w:rStyle w:val="FootnoteReference"/>
        </w:rPr>
        <w:footnoteRef/>
      </w:r>
      <w:r>
        <w:tab/>
      </w:r>
      <w:r w:rsidRPr="00E0531E">
        <w:rPr>
          <w:rFonts w:hint="eastAsia"/>
        </w:rPr>
        <w:t>《塞尔维亚共和国教育公报》，第</w:t>
      </w:r>
      <w:r w:rsidRPr="00E0531E">
        <w:rPr>
          <w:rFonts w:hint="eastAsia"/>
        </w:rPr>
        <w:t>11/2010</w:t>
      </w:r>
      <w:r w:rsidRPr="00E0531E">
        <w:rPr>
          <w:rFonts w:hint="eastAsia"/>
        </w:rPr>
        <w:t>号。</w:t>
      </w:r>
    </w:p>
  </w:footnote>
  <w:footnote w:id="30">
    <w:p w:rsidR="006D2F6F" w:rsidRPr="00E0531E" w:rsidRDefault="006D2F6F">
      <w:pPr>
        <w:pStyle w:val="FootnoteText"/>
      </w:pPr>
      <w:r>
        <w:tab/>
      </w:r>
      <w:r>
        <w:rPr>
          <w:rStyle w:val="FootnoteReference"/>
        </w:rPr>
        <w:footnoteRef/>
      </w:r>
      <w:r>
        <w:tab/>
      </w:r>
      <w:r w:rsidRPr="00E0531E">
        <w:rPr>
          <w:rFonts w:hint="eastAsia"/>
        </w:rPr>
        <w:t>《塞尔维亚共和国政府公报》，第</w:t>
      </w:r>
      <w:r w:rsidRPr="00E0531E">
        <w:rPr>
          <w:rFonts w:hint="eastAsia"/>
        </w:rPr>
        <w:t>20/2011</w:t>
      </w:r>
      <w:r w:rsidRPr="00E0531E">
        <w:rPr>
          <w:rFonts w:hint="eastAsia"/>
        </w:rPr>
        <w:t>号。</w:t>
      </w:r>
    </w:p>
  </w:footnote>
  <w:footnote w:id="31">
    <w:p w:rsidR="006D2F6F" w:rsidRPr="00007207" w:rsidRDefault="006D2F6F">
      <w:pPr>
        <w:pStyle w:val="FootnoteText"/>
      </w:pPr>
      <w:r>
        <w:tab/>
      </w:r>
      <w:r>
        <w:rPr>
          <w:rStyle w:val="FootnoteReference"/>
        </w:rPr>
        <w:footnoteRef/>
      </w:r>
      <w:r>
        <w:tab/>
      </w:r>
      <w:r w:rsidRPr="00007207">
        <w:rPr>
          <w:rFonts w:hint="eastAsia"/>
        </w:rPr>
        <w:t>共和国统计局。</w:t>
      </w:r>
    </w:p>
  </w:footnote>
  <w:footnote w:id="32">
    <w:p w:rsidR="006D2F6F" w:rsidRPr="00BC71BC" w:rsidRDefault="006D2F6F">
      <w:pPr>
        <w:pStyle w:val="FootnoteText"/>
      </w:pPr>
      <w:r>
        <w:tab/>
      </w:r>
      <w:r>
        <w:rPr>
          <w:rStyle w:val="FootnoteReference"/>
        </w:rPr>
        <w:footnoteRef/>
      </w:r>
      <w:r>
        <w:tab/>
      </w:r>
      <w:r w:rsidRPr="00BC71BC">
        <w:rPr>
          <w:rFonts w:hint="eastAsia"/>
        </w:rPr>
        <w:t>共和国统计局，</w:t>
      </w:r>
      <w:r w:rsidRPr="00BC71BC">
        <w:rPr>
          <w:rFonts w:hint="eastAsia"/>
        </w:rPr>
        <w:t>2011</w:t>
      </w:r>
      <w:r w:rsidRPr="00BC71BC">
        <w:rPr>
          <w:rFonts w:hint="eastAsia"/>
        </w:rPr>
        <w:t>年，第</w:t>
      </w:r>
      <w:r>
        <w:rPr>
          <w:rFonts w:hint="eastAsia"/>
        </w:rPr>
        <w:t>38-</w:t>
      </w:r>
      <w:r w:rsidRPr="00BC71BC">
        <w:rPr>
          <w:rFonts w:hint="eastAsia"/>
        </w:rPr>
        <w:t>40</w:t>
      </w:r>
      <w:r w:rsidRPr="00BC71BC">
        <w:rPr>
          <w:rFonts w:hint="eastAsia"/>
        </w:rPr>
        <w:t>页。</w:t>
      </w:r>
    </w:p>
  </w:footnote>
  <w:footnote w:id="33">
    <w:p w:rsidR="006D2F6F" w:rsidRPr="000E3945" w:rsidRDefault="006D2F6F">
      <w:pPr>
        <w:pStyle w:val="FootnoteText"/>
      </w:pPr>
      <w:r>
        <w:tab/>
      </w:r>
      <w:r>
        <w:rPr>
          <w:rStyle w:val="FootnoteReference"/>
        </w:rPr>
        <w:footnoteRef/>
      </w:r>
      <w:r>
        <w:tab/>
      </w:r>
      <w:r w:rsidRPr="000E3945">
        <w:rPr>
          <w:rFonts w:hint="eastAsia"/>
        </w:rPr>
        <w:t>《塞尔维亚共和国政府公报》，第</w:t>
      </w:r>
      <w:r w:rsidRPr="000E3945">
        <w:rPr>
          <w:rFonts w:hint="eastAsia"/>
        </w:rPr>
        <w:t>67/10</w:t>
      </w:r>
      <w:r w:rsidRPr="000E3945">
        <w:rPr>
          <w:rFonts w:hint="eastAsia"/>
        </w:rPr>
        <w:t>号。</w:t>
      </w:r>
    </w:p>
  </w:footnote>
  <w:footnote w:id="34">
    <w:p w:rsidR="006D2F6F" w:rsidRPr="000E3945" w:rsidRDefault="006D2F6F">
      <w:pPr>
        <w:pStyle w:val="FootnoteText"/>
      </w:pPr>
      <w:r>
        <w:tab/>
      </w:r>
      <w:r>
        <w:rPr>
          <w:rStyle w:val="FootnoteReference"/>
        </w:rPr>
        <w:footnoteRef/>
      </w:r>
      <w:r>
        <w:tab/>
      </w:r>
      <w:r w:rsidRPr="000E3945">
        <w:rPr>
          <w:rFonts w:hint="eastAsia"/>
        </w:rPr>
        <w:t>分项</w:t>
      </w:r>
      <w:r w:rsidRPr="000E3945">
        <w:rPr>
          <w:rFonts w:hint="eastAsia"/>
        </w:rPr>
        <w:t>2.1.6.2</w:t>
      </w:r>
      <w:r w:rsidRPr="000E3945">
        <w:rPr>
          <w:rFonts w:hint="eastAsia"/>
        </w:rPr>
        <w:t>。</w:t>
      </w:r>
    </w:p>
  </w:footnote>
  <w:footnote w:id="35">
    <w:p w:rsidR="006D2F6F" w:rsidRPr="000E3945" w:rsidRDefault="006D2F6F">
      <w:pPr>
        <w:pStyle w:val="FootnoteText"/>
      </w:pPr>
      <w:r>
        <w:tab/>
      </w:r>
      <w:r>
        <w:rPr>
          <w:rStyle w:val="FootnoteReference"/>
        </w:rPr>
        <w:footnoteRef/>
      </w:r>
      <w:r>
        <w:tab/>
      </w:r>
      <w:r w:rsidRPr="000E3945">
        <w:rPr>
          <w:rFonts w:hint="eastAsia"/>
        </w:rPr>
        <w:t>分项</w:t>
      </w:r>
      <w:r w:rsidRPr="000E3945">
        <w:rPr>
          <w:rFonts w:hint="eastAsia"/>
        </w:rPr>
        <w:t>2.1.6.3</w:t>
      </w:r>
      <w:r w:rsidRPr="000E3945">
        <w:rPr>
          <w:rFonts w:hint="eastAsia"/>
        </w:rPr>
        <w:t>。</w:t>
      </w:r>
    </w:p>
  </w:footnote>
  <w:footnote w:id="36">
    <w:p w:rsidR="006D2F6F" w:rsidRPr="000E3945" w:rsidRDefault="006D2F6F">
      <w:pPr>
        <w:pStyle w:val="FootnoteText"/>
      </w:pPr>
      <w:r>
        <w:tab/>
      </w:r>
      <w:r>
        <w:rPr>
          <w:rStyle w:val="FootnoteReference"/>
        </w:rPr>
        <w:footnoteRef/>
      </w:r>
      <w:r>
        <w:tab/>
      </w:r>
      <w:r w:rsidRPr="000E3945">
        <w:rPr>
          <w:rFonts w:hint="eastAsia"/>
        </w:rPr>
        <w:t>分项</w:t>
      </w:r>
      <w:r w:rsidRPr="000E3945">
        <w:rPr>
          <w:rFonts w:hint="eastAsia"/>
        </w:rPr>
        <w:t>2.1.6.4</w:t>
      </w:r>
      <w:r w:rsidRPr="000E3945">
        <w:rPr>
          <w:rFonts w:hint="eastAsia"/>
        </w:rPr>
        <w:t>。</w:t>
      </w:r>
    </w:p>
  </w:footnote>
  <w:footnote w:id="37">
    <w:p w:rsidR="006D2F6F" w:rsidRPr="000736F3" w:rsidRDefault="006D2F6F">
      <w:pPr>
        <w:pStyle w:val="FootnoteText"/>
      </w:pPr>
      <w:r>
        <w:tab/>
      </w:r>
      <w:r>
        <w:rPr>
          <w:rStyle w:val="FootnoteReference"/>
        </w:rPr>
        <w:footnoteRef/>
      </w:r>
      <w:r>
        <w:tab/>
      </w:r>
      <w:r w:rsidRPr="000736F3">
        <w:rPr>
          <w:rFonts w:hint="eastAsia"/>
        </w:rPr>
        <w:t>分项</w:t>
      </w:r>
      <w:r w:rsidRPr="000736F3">
        <w:rPr>
          <w:rFonts w:hint="eastAsia"/>
        </w:rPr>
        <w:t>2.1.6.5</w:t>
      </w:r>
      <w:r w:rsidRPr="000736F3">
        <w:rPr>
          <w:rFonts w:hint="eastAsia"/>
        </w:rPr>
        <w:t>。</w:t>
      </w:r>
    </w:p>
  </w:footnote>
  <w:footnote w:id="38">
    <w:p w:rsidR="006D2F6F" w:rsidRPr="00E91BF9" w:rsidRDefault="006D2F6F">
      <w:pPr>
        <w:pStyle w:val="FootnoteText"/>
      </w:pPr>
      <w:r>
        <w:tab/>
      </w:r>
      <w:r>
        <w:rPr>
          <w:rStyle w:val="FootnoteReference"/>
        </w:rPr>
        <w:footnoteRef/>
      </w:r>
      <w:r>
        <w:tab/>
      </w:r>
      <w:r w:rsidRPr="00E91BF9">
        <w:rPr>
          <w:rFonts w:hint="eastAsia"/>
        </w:rPr>
        <w:t>《塞尔维亚共和国政府公报》，第</w:t>
      </w:r>
      <w:r w:rsidRPr="00E91BF9">
        <w:rPr>
          <w:rFonts w:hint="eastAsia"/>
        </w:rPr>
        <w:t>17/10</w:t>
      </w:r>
      <w:r w:rsidRPr="00E91BF9">
        <w:rPr>
          <w:rFonts w:hint="eastAsia"/>
        </w:rPr>
        <w:t>号。</w:t>
      </w:r>
    </w:p>
  </w:footnote>
  <w:footnote w:id="39">
    <w:p w:rsidR="006D2F6F" w:rsidRPr="005E16C2" w:rsidRDefault="006D2F6F" w:rsidP="005E5B5C">
      <w:pPr>
        <w:pStyle w:val="FootnoteText"/>
      </w:pPr>
      <w:r>
        <w:tab/>
      </w:r>
      <w:r>
        <w:rPr>
          <w:rStyle w:val="FootnoteReference"/>
        </w:rPr>
        <w:footnoteRef/>
      </w:r>
      <w:r>
        <w:tab/>
      </w:r>
      <w:r w:rsidRPr="005E16C2">
        <w:rPr>
          <w:rFonts w:hint="eastAsia"/>
        </w:rPr>
        <w:t>英文简称</w:t>
      </w:r>
      <w:r w:rsidRPr="005E16C2">
        <w:rPr>
          <w:rFonts w:hint="eastAsia"/>
        </w:rPr>
        <w:t>RAH</w:t>
      </w:r>
      <w:r w:rsidRPr="005E16C2">
        <w:rPr>
          <w:rFonts w:hint="eastAsia"/>
        </w:rPr>
        <w:t>。</w:t>
      </w:r>
    </w:p>
  </w:footnote>
  <w:footnote w:id="40">
    <w:p w:rsidR="006D2F6F" w:rsidRPr="001525F3" w:rsidRDefault="006D2F6F">
      <w:pPr>
        <w:pStyle w:val="FootnoteText"/>
      </w:pPr>
      <w:r>
        <w:tab/>
      </w:r>
      <w:r>
        <w:rPr>
          <w:rStyle w:val="FootnoteReference"/>
        </w:rPr>
        <w:footnoteRef/>
      </w:r>
      <w:r>
        <w:tab/>
      </w:r>
      <w:r w:rsidRPr="001525F3">
        <w:rPr>
          <w:rFonts w:hint="eastAsia"/>
        </w:rPr>
        <w:t>《塞尔维亚共和国政府公报》，第</w:t>
      </w:r>
      <w:r w:rsidRPr="001525F3">
        <w:rPr>
          <w:rFonts w:hint="eastAsia"/>
        </w:rPr>
        <w:t>15/10</w:t>
      </w:r>
      <w:r w:rsidRPr="001525F3">
        <w:rPr>
          <w:rFonts w:hint="eastAsia"/>
        </w:rPr>
        <w:t>号。</w:t>
      </w:r>
    </w:p>
  </w:footnote>
  <w:footnote w:id="41">
    <w:p w:rsidR="006D2F6F" w:rsidRPr="008D6337" w:rsidRDefault="006D2F6F">
      <w:pPr>
        <w:pStyle w:val="FootnoteText"/>
      </w:pPr>
      <w:r>
        <w:tab/>
      </w:r>
      <w:r>
        <w:rPr>
          <w:rStyle w:val="FootnoteReference"/>
        </w:rPr>
        <w:footnoteRef/>
      </w:r>
      <w:r>
        <w:tab/>
      </w:r>
      <w:r w:rsidRPr="008D6337">
        <w:rPr>
          <w:rFonts w:hint="eastAsia"/>
        </w:rPr>
        <w:t>《塞尔维亚共和国政府公报》，第</w:t>
      </w:r>
      <w:r w:rsidRPr="008D6337">
        <w:rPr>
          <w:rFonts w:hint="eastAsia"/>
        </w:rPr>
        <w:t>15/2010</w:t>
      </w:r>
      <w:r w:rsidRPr="008D6337">
        <w:rPr>
          <w:rFonts w:hint="eastAsia"/>
        </w:rPr>
        <w:t>、</w:t>
      </w:r>
      <w:r w:rsidRPr="008D6337">
        <w:rPr>
          <w:rFonts w:hint="eastAsia"/>
        </w:rPr>
        <w:t>33/2010</w:t>
      </w:r>
      <w:r w:rsidRPr="008D6337">
        <w:rPr>
          <w:rFonts w:hint="eastAsia"/>
        </w:rPr>
        <w:t>和</w:t>
      </w:r>
      <w:r w:rsidRPr="008D6337">
        <w:rPr>
          <w:rFonts w:hint="eastAsia"/>
        </w:rPr>
        <w:t>59/2010</w:t>
      </w:r>
      <w:r w:rsidRPr="008D6337">
        <w:rPr>
          <w:rFonts w:hint="eastAsia"/>
        </w:rPr>
        <w:t>号。</w:t>
      </w:r>
    </w:p>
  </w:footnote>
  <w:footnote w:id="42">
    <w:p w:rsidR="006D2F6F" w:rsidRPr="002A13CC" w:rsidRDefault="006D2F6F">
      <w:pPr>
        <w:pStyle w:val="FootnoteText"/>
      </w:pPr>
      <w:r>
        <w:tab/>
      </w:r>
      <w:r>
        <w:rPr>
          <w:rStyle w:val="FootnoteReference"/>
        </w:rPr>
        <w:footnoteRef/>
      </w:r>
      <w:r>
        <w:tab/>
      </w:r>
      <w:r w:rsidRPr="002A13CC">
        <w:rPr>
          <w:rFonts w:hint="eastAsia"/>
        </w:rPr>
        <w:t>《塞尔维亚共和国政府公报》，第</w:t>
      </w:r>
      <w:r w:rsidRPr="002A13CC">
        <w:rPr>
          <w:rFonts w:hint="eastAsia"/>
        </w:rPr>
        <w:t>17/11</w:t>
      </w:r>
      <w:r w:rsidRPr="002A13CC">
        <w:rPr>
          <w:rFonts w:hint="eastAsia"/>
        </w:rPr>
        <w:t>号。</w:t>
      </w:r>
    </w:p>
  </w:footnote>
  <w:footnote w:id="43">
    <w:p w:rsidR="006D2F6F" w:rsidRPr="002A13CC" w:rsidRDefault="006D2F6F">
      <w:pPr>
        <w:pStyle w:val="FootnoteText"/>
      </w:pPr>
      <w:r>
        <w:tab/>
      </w:r>
      <w:r>
        <w:rPr>
          <w:rStyle w:val="FootnoteReference"/>
        </w:rPr>
        <w:footnoteRef/>
      </w:r>
      <w:r>
        <w:tab/>
      </w:r>
      <w:r w:rsidRPr="002A13CC">
        <w:rPr>
          <w:rFonts w:hint="eastAsia"/>
        </w:rPr>
        <w:t>《塞尔维亚共和国政府公报》，第</w:t>
      </w:r>
      <w:r w:rsidRPr="002A13CC">
        <w:rPr>
          <w:rFonts w:hint="eastAsia"/>
        </w:rPr>
        <w:t>103/07</w:t>
      </w:r>
      <w:r w:rsidRPr="002A13CC">
        <w:rPr>
          <w:rFonts w:hint="eastAsia"/>
        </w:rPr>
        <w:t>号。</w:t>
      </w:r>
    </w:p>
  </w:footnote>
  <w:footnote w:id="44">
    <w:p w:rsidR="006D2F6F" w:rsidRPr="002A13CC" w:rsidRDefault="006D2F6F">
      <w:pPr>
        <w:pStyle w:val="FootnoteText"/>
      </w:pPr>
      <w:r>
        <w:tab/>
      </w:r>
      <w:r>
        <w:rPr>
          <w:rStyle w:val="FootnoteReference"/>
        </w:rPr>
        <w:footnoteRef/>
      </w:r>
      <w:r>
        <w:tab/>
      </w:r>
      <w:r w:rsidRPr="002A13CC">
        <w:rPr>
          <w:rFonts w:hint="eastAsia"/>
        </w:rPr>
        <w:t>《塞尔维亚共和国政府公报》，第</w:t>
      </w:r>
      <w:r w:rsidRPr="002A13CC">
        <w:rPr>
          <w:rFonts w:hint="eastAsia"/>
        </w:rPr>
        <w:t>18/05</w:t>
      </w:r>
      <w:r w:rsidRPr="002A13CC">
        <w:rPr>
          <w:rFonts w:hint="eastAsia"/>
        </w:rPr>
        <w:t>和</w:t>
      </w:r>
      <w:r w:rsidRPr="002A13CC">
        <w:rPr>
          <w:rFonts w:hint="eastAsia"/>
        </w:rPr>
        <w:t>72/2011</w:t>
      </w:r>
      <w:r w:rsidRPr="002A13CC">
        <w:rPr>
          <w:rFonts w:hint="eastAsia"/>
        </w:rPr>
        <w:t>号。</w:t>
      </w:r>
    </w:p>
  </w:footnote>
  <w:footnote w:id="45">
    <w:p w:rsidR="006D2F6F" w:rsidRPr="00C82BCD" w:rsidRDefault="006D2F6F">
      <w:pPr>
        <w:pStyle w:val="FootnoteText"/>
      </w:pPr>
      <w:r>
        <w:tab/>
      </w:r>
      <w:r>
        <w:rPr>
          <w:rStyle w:val="FootnoteReference"/>
        </w:rPr>
        <w:footnoteRef/>
      </w:r>
      <w:r>
        <w:tab/>
      </w:r>
      <w:r w:rsidRPr="00C82BCD">
        <w:rPr>
          <w:rFonts w:hint="eastAsia"/>
        </w:rPr>
        <w:t>www.mpn.gov.rs</w:t>
      </w:r>
      <w:r w:rsidRPr="00C82BCD">
        <w:rPr>
          <w:rFonts w:hint="eastAsia"/>
        </w:rPr>
        <w:t>。</w:t>
      </w:r>
    </w:p>
  </w:footnote>
  <w:footnote w:id="46">
    <w:p w:rsidR="006D2F6F" w:rsidRPr="00C82BCD" w:rsidRDefault="006D2F6F">
      <w:pPr>
        <w:pStyle w:val="FootnoteText"/>
      </w:pPr>
      <w:r>
        <w:tab/>
      </w:r>
      <w:r>
        <w:rPr>
          <w:rStyle w:val="FootnoteReference"/>
        </w:rPr>
        <w:footnoteRef/>
      </w:r>
      <w:r>
        <w:tab/>
      </w:r>
      <w:r w:rsidRPr="00C82BCD">
        <w:rPr>
          <w:rFonts w:hint="eastAsia"/>
        </w:rPr>
        <w:t>《塞尔维亚共和国政府公报》，第</w:t>
      </w:r>
      <w:r w:rsidRPr="00C82BCD">
        <w:rPr>
          <w:rFonts w:hint="eastAsia"/>
        </w:rPr>
        <w:t>76/10</w:t>
      </w:r>
      <w:r w:rsidRPr="00C82BCD">
        <w:rPr>
          <w:rFonts w:hint="eastAsia"/>
        </w:rPr>
        <w:t>号。</w:t>
      </w:r>
    </w:p>
  </w:footnote>
  <w:footnote w:id="47">
    <w:p w:rsidR="006D2F6F" w:rsidRPr="00B501EB" w:rsidRDefault="006D2F6F">
      <w:pPr>
        <w:pStyle w:val="FootnoteText"/>
      </w:pPr>
      <w:r>
        <w:tab/>
      </w:r>
      <w:r>
        <w:rPr>
          <w:rStyle w:val="FootnoteReference"/>
        </w:rPr>
        <w:footnoteRef/>
      </w:r>
      <w:r>
        <w:tab/>
      </w:r>
      <w:r>
        <w:rPr>
          <w:rFonts w:hint="eastAsia"/>
        </w:rPr>
        <w:t>英文简称“</w:t>
      </w:r>
      <w:r w:rsidRPr="00B501EB">
        <w:rPr>
          <w:rFonts w:hint="eastAsia"/>
        </w:rPr>
        <w:t>CARDS</w:t>
      </w:r>
      <w:r w:rsidRPr="00B501EB">
        <w:rPr>
          <w:rFonts w:hint="eastAsia"/>
        </w:rPr>
        <w:t>”。</w:t>
      </w:r>
    </w:p>
  </w:footnote>
  <w:footnote w:id="48">
    <w:p w:rsidR="006D2F6F" w:rsidRPr="00B501EB" w:rsidRDefault="006D2F6F">
      <w:pPr>
        <w:pStyle w:val="FootnoteText"/>
      </w:pPr>
      <w:r>
        <w:tab/>
      </w:r>
      <w:r>
        <w:rPr>
          <w:rStyle w:val="FootnoteReference"/>
        </w:rPr>
        <w:footnoteRef/>
      </w:r>
      <w:r>
        <w:tab/>
      </w:r>
      <w:r w:rsidRPr="00B501EB">
        <w:rPr>
          <w:rFonts w:hint="eastAsia"/>
        </w:rPr>
        <w:t>包括《职业教育和培训改革方案》。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6F" w:rsidRPr="008B57B1" w:rsidRDefault="006D2F6F">
    <w:pPr>
      <w:pStyle w:val="Header"/>
    </w:pPr>
    <w:r w:rsidRPr="008B57B1">
      <w:t>CEDAW/C/SRB/Q/2-3/Add.1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6F" w:rsidRPr="008B57B1" w:rsidRDefault="006D2F6F" w:rsidP="00DA36A7">
    <w:pPr>
      <w:pStyle w:val="Header"/>
      <w:jc w:val="right"/>
      <w:rPr>
        <w:rFonts w:hint="eastAsia"/>
        <w:lang w:eastAsia="zh-CN"/>
      </w:rPr>
    </w:pPr>
    <w:r w:rsidRPr="008B57B1">
      <w:rPr>
        <w:lang w:eastAsia="zh-CN"/>
      </w:rPr>
      <w:t>CEDAW/C/SRB/Q/2-3/Add.1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723D8C"/>
    <w:multiLevelType w:val="hybridMultilevel"/>
    <w:tmpl w:val="7E54D254"/>
    <w:lvl w:ilvl="0" w:tplc="4274BFD2">
      <w:start w:val="46"/>
      <w:numFmt w:val="bullet"/>
      <w:lvlText w:val="-"/>
      <w:lvlJc w:val="left"/>
      <w:pPr>
        <w:ind w:left="1008" w:hanging="360"/>
      </w:pPr>
      <w:rPr>
        <w:rFonts w:ascii="SimHei" w:eastAsia="SimHei" w:hAnsi="SimHei" w:cs="Times New Roman" w:hint="eastAsia"/>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007C488A"/>
    <w:multiLevelType w:val="hybridMultilevel"/>
    <w:tmpl w:val="34DA04F0"/>
    <w:lvl w:ilvl="0" w:tplc="1202150E">
      <w:start w:val="1"/>
      <w:numFmt w:val="chineseCountingThousand"/>
      <w:lvlRestart w:val="0"/>
      <w:lvlText w:val="(%1)"/>
      <w:lvlJc w:val="left"/>
      <w:pPr>
        <w:tabs>
          <w:tab w:val="num" w:pos="2426"/>
        </w:tabs>
        <w:ind w:left="2211" w:hanging="64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FooterChar"/>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C0E0D88"/>
    <w:multiLevelType w:val="hybridMultilevel"/>
    <w:tmpl w:val="8D3E13B0"/>
    <w:lvl w:ilvl="0" w:tplc="CDB2B396">
      <w:start w:val="1"/>
      <w:numFmt w:val="decimal"/>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5DB815F8"/>
    <w:multiLevelType w:val="hybridMultilevel"/>
    <w:tmpl w:val="7FA69292"/>
    <w:lvl w:ilvl="0" w:tplc="5D2CE46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23">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671861DB"/>
    <w:multiLevelType w:val="hybridMultilevel"/>
    <w:tmpl w:val="A9B633D4"/>
    <w:lvl w:ilvl="0" w:tplc="34446D32">
      <w:start w:val="1"/>
      <w:numFmt w:val="bullet"/>
      <w:pStyle w:val="PageNumb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03628F4"/>
    <w:multiLevelType w:val="hybridMultilevel"/>
    <w:tmpl w:val="9A182B58"/>
    <w:lvl w:ilvl="0" w:tplc="17E4E5A0">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1533F7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8">
    <w:nsid w:val="78E11CB9"/>
    <w:multiLevelType w:val="hybridMultilevel"/>
    <w:tmpl w:val="435A4060"/>
    <w:lvl w:ilvl="0" w:tplc="F51A814E">
      <w:start w:val="1"/>
      <w:numFmt w:val="chineseCountingThousand"/>
      <w:lvlRestart w:val="0"/>
      <w:lvlText w:val="(%1)"/>
      <w:lvlJc w:val="right"/>
      <w:pPr>
        <w:tabs>
          <w:tab w:val="num" w:pos="1996"/>
        </w:tabs>
        <w:ind w:left="1996" w:hanging="21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7"/>
  </w:num>
  <w:num w:numId="13">
    <w:abstractNumId w:val="14"/>
  </w:num>
  <w:num w:numId="14">
    <w:abstractNumId w:val="13"/>
  </w:num>
  <w:num w:numId="15">
    <w:abstractNumId w:val="15"/>
  </w:num>
  <w:num w:numId="16">
    <w:abstractNumId w:val="24"/>
  </w:num>
  <w:num w:numId="17">
    <w:abstractNumId w:val="13"/>
  </w:num>
  <w:num w:numId="18">
    <w:abstractNumId w:val="24"/>
  </w:num>
  <w:num w:numId="19">
    <w:abstractNumId w:val="15"/>
  </w:num>
  <w:num w:numId="20">
    <w:abstractNumId w:val="15"/>
  </w:num>
  <w:num w:numId="21">
    <w:abstractNumId w:val="21"/>
  </w:num>
  <w:num w:numId="22">
    <w:abstractNumId w:val="19"/>
  </w:num>
  <w:num w:numId="23">
    <w:abstractNumId w:val="17"/>
  </w:num>
  <w:num w:numId="24">
    <w:abstractNumId w:val="20"/>
  </w:num>
  <w:num w:numId="25">
    <w:abstractNumId w:val="12"/>
  </w:num>
  <w:num w:numId="26">
    <w:abstractNumId w:val="18"/>
  </w:num>
  <w:num w:numId="27">
    <w:abstractNumId w:val="29"/>
  </w:num>
  <w:num w:numId="28">
    <w:abstractNumId w:val="20"/>
  </w:num>
  <w:num w:numId="29">
    <w:abstractNumId w:val="12"/>
  </w:num>
  <w:num w:numId="30">
    <w:abstractNumId w:val="18"/>
  </w:num>
  <w:num w:numId="31">
    <w:abstractNumId w:val="29"/>
  </w:num>
  <w:num w:numId="32">
    <w:abstractNumId w:val="21"/>
  </w:num>
  <w:num w:numId="33">
    <w:abstractNumId w:val="19"/>
  </w:num>
  <w:num w:numId="34">
    <w:abstractNumId w:val="17"/>
  </w:num>
  <w:num w:numId="35">
    <w:abstractNumId w:val="20"/>
  </w:num>
  <w:num w:numId="36">
    <w:abstractNumId w:val="12"/>
  </w:num>
  <w:num w:numId="37">
    <w:abstractNumId w:val="18"/>
  </w:num>
  <w:num w:numId="38">
    <w:abstractNumId w:val="29"/>
  </w:num>
  <w:num w:numId="39">
    <w:abstractNumId w:val="13"/>
  </w:num>
  <w:num w:numId="40">
    <w:abstractNumId w:val="24"/>
  </w:num>
  <w:num w:numId="41">
    <w:abstractNumId w:val="15"/>
  </w:num>
  <w:num w:numId="42">
    <w:abstractNumId w:val="26"/>
  </w:num>
  <w:num w:numId="43">
    <w:abstractNumId w:val="25"/>
  </w:num>
  <w:num w:numId="44">
    <w:abstractNumId w:val="28"/>
  </w:num>
  <w:num w:numId="45">
    <w:abstractNumId w:val="11"/>
  </w:num>
  <w:num w:numId="46">
    <w:abstractNumId w:val="10"/>
  </w:num>
  <w:num w:numId="47">
    <w:abstractNumId w:val="16"/>
  </w:num>
  <w:num w:numId="48">
    <w:abstractNumId w:val="22"/>
  </w:num>
  <w:num w:numId="49">
    <w:abstractNumId w:val="15"/>
  </w:num>
  <w:num w:numId="5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370"/>
    <w:rsid w:val="00000345"/>
    <w:rsid w:val="00007207"/>
    <w:rsid w:val="000112F3"/>
    <w:rsid w:val="000233C7"/>
    <w:rsid w:val="000250D3"/>
    <w:rsid w:val="00025728"/>
    <w:rsid w:val="000277CB"/>
    <w:rsid w:val="00031CD1"/>
    <w:rsid w:val="00044573"/>
    <w:rsid w:val="0004600F"/>
    <w:rsid w:val="00065087"/>
    <w:rsid w:val="000736F3"/>
    <w:rsid w:val="0008588C"/>
    <w:rsid w:val="00085957"/>
    <w:rsid w:val="00087BB0"/>
    <w:rsid w:val="000B40D6"/>
    <w:rsid w:val="000B5AAE"/>
    <w:rsid w:val="000C69CB"/>
    <w:rsid w:val="000E3503"/>
    <w:rsid w:val="000E3945"/>
    <w:rsid w:val="0012768D"/>
    <w:rsid w:val="0013097B"/>
    <w:rsid w:val="001429E9"/>
    <w:rsid w:val="001525F3"/>
    <w:rsid w:val="001539A6"/>
    <w:rsid w:val="00173E4D"/>
    <w:rsid w:val="00194AF0"/>
    <w:rsid w:val="001972F7"/>
    <w:rsid w:val="001974C5"/>
    <w:rsid w:val="001B5B95"/>
    <w:rsid w:val="001C141D"/>
    <w:rsid w:val="001D2DAC"/>
    <w:rsid w:val="001D5EC5"/>
    <w:rsid w:val="001E53DE"/>
    <w:rsid w:val="00222676"/>
    <w:rsid w:val="00227B1E"/>
    <w:rsid w:val="0023553E"/>
    <w:rsid w:val="00252D02"/>
    <w:rsid w:val="0025384F"/>
    <w:rsid w:val="00255E15"/>
    <w:rsid w:val="0026742F"/>
    <w:rsid w:val="00274284"/>
    <w:rsid w:val="002802B3"/>
    <w:rsid w:val="002A0A29"/>
    <w:rsid w:val="002A13CC"/>
    <w:rsid w:val="002C6169"/>
    <w:rsid w:val="002F35BE"/>
    <w:rsid w:val="0030126F"/>
    <w:rsid w:val="0030728A"/>
    <w:rsid w:val="0032126C"/>
    <w:rsid w:val="00343E38"/>
    <w:rsid w:val="00356866"/>
    <w:rsid w:val="00360A5A"/>
    <w:rsid w:val="00362814"/>
    <w:rsid w:val="00363561"/>
    <w:rsid w:val="0036589D"/>
    <w:rsid w:val="0037265C"/>
    <w:rsid w:val="00373ED8"/>
    <w:rsid w:val="003748F3"/>
    <w:rsid w:val="003916A2"/>
    <w:rsid w:val="00394AF7"/>
    <w:rsid w:val="003A6EC0"/>
    <w:rsid w:val="003B48FC"/>
    <w:rsid w:val="003C59D1"/>
    <w:rsid w:val="003D0921"/>
    <w:rsid w:val="003D0CAD"/>
    <w:rsid w:val="003E1FA3"/>
    <w:rsid w:val="003F0150"/>
    <w:rsid w:val="003F0733"/>
    <w:rsid w:val="003F5799"/>
    <w:rsid w:val="0040530D"/>
    <w:rsid w:val="004059E4"/>
    <w:rsid w:val="00412287"/>
    <w:rsid w:val="00423832"/>
    <w:rsid w:val="00425B86"/>
    <w:rsid w:val="00426E36"/>
    <w:rsid w:val="004455D3"/>
    <w:rsid w:val="00456156"/>
    <w:rsid w:val="00467613"/>
    <w:rsid w:val="00476014"/>
    <w:rsid w:val="004838FD"/>
    <w:rsid w:val="00485C1C"/>
    <w:rsid w:val="00493C2C"/>
    <w:rsid w:val="00496C4C"/>
    <w:rsid w:val="004B1387"/>
    <w:rsid w:val="004C0370"/>
    <w:rsid w:val="004C0A1A"/>
    <w:rsid w:val="004E28BC"/>
    <w:rsid w:val="004E626A"/>
    <w:rsid w:val="004F1DD5"/>
    <w:rsid w:val="0050613B"/>
    <w:rsid w:val="005069C1"/>
    <w:rsid w:val="00545D76"/>
    <w:rsid w:val="00547708"/>
    <w:rsid w:val="00562006"/>
    <w:rsid w:val="00570754"/>
    <w:rsid w:val="00570F76"/>
    <w:rsid w:val="00583511"/>
    <w:rsid w:val="0059519A"/>
    <w:rsid w:val="005A43BB"/>
    <w:rsid w:val="005B1AED"/>
    <w:rsid w:val="005C5B87"/>
    <w:rsid w:val="005D25AD"/>
    <w:rsid w:val="005D33EE"/>
    <w:rsid w:val="005D549B"/>
    <w:rsid w:val="005E16C2"/>
    <w:rsid w:val="005E28F8"/>
    <w:rsid w:val="005E47D2"/>
    <w:rsid w:val="005E55A0"/>
    <w:rsid w:val="005E5B5C"/>
    <w:rsid w:val="005E6EDE"/>
    <w:rsid w:val="005F71AD"/>
    <w:rsid w:val="0060388D"/>
    <w:rsid w:val="006063DD"/>
    <w:rsid w:val="0060724F"/>
    <w:rsid w:val="00612189"/>
    <w:rsid w:val="006156DF"/>
    <w:rsid w:val="00626829"/>
    <w:rsid w:val="00626DA5"/>
    <w:rsid w:val="00636379"/>
    <w:rsid w:val="006434F3"/>
    <w:rsid w:val="006465BF"/>
    <w:rsid w:val="00646D55"/>
    <w:rsid w:val="0065153A"/>
    <w:rsid w:val="00652623"/>
    <w:rsid w:val="006653E5"/>
    <w:rsid w:val="006702E6"/>
    <w:rsid w:val="00685D90"/>
    <w:rsid w:val="006A59A2"/>
    <w:rsid w:val="006C22D9"/>
    <w:rsid w:val="006D2443"/>
    <w:rsid w:val="006D2F6F"/>
    <w:rsid w:val="006D4B3F"/>
    <w:rsid w:val="006F0A0D"/>
    <w:rsid w:val="006F20AD"/>
    <w:rsid w:val="0070512B"/>
    <w:rsid w:val="00713678"/>
    <w:rsid w:val="00715335"/>
    <w:rsid w:val="00715C00"/>
    <w:rsid w:val="00720CB2"/>
    <w:rsid w:val="00736541"/>
    <w:rsid w:val="00740DCA"/>
    <w:rsid w:val="00743B6A"/>
    <w:rsid w:val="007500A3"/>
    <w:rsid w:val="007863D0"/>
    <w:rsid w:val="00787E80"/>
    <w:rsid w:val="007A778A"/>
    <w:rsid w:val="007F20C6"/>
    <w:rsid w:val="007F3504"/>
    <w:rsid w:val="007F6102"/>
    <w:rsid w:val="007F7187"/>
    <w:rsid w:val="008025E2"/>
    <w:rsid w:val="0081277D"/>
    <w:rsid w:val="008233D3"/>
    <w:rsid w:val="008354CE"/>
    <w:rsid w:val="00837D60"/>
    <w:rsid w:val="00840A66"/>
    <w:rsid w:val="00852592"/>
    <w:rsid w:val="00872452"/>
    <w:rsid w:val="008747DC"/>
    <w:rsid w:val="0088002E"/>
    <w:rsid w:val="00883451"/>
    <w:rsid w:val="008845C5"/>
    <w:rsid w:val="00897B0E"/>
    <w:rsid w:val="008B2611"/>
    <w:rsid w:val="008B57B1"/>
    <w:rsid w:val="008B641F"/>
    <w:rsid w:val="008C4EAB"/>
    <w:rsid w:val="008D6337"/>
    <w:rsid w:val="008E5926"/>
    <w:rsid w:val="008F6993"/>
    <w:rsid w:val="00900D54"/>
    <w:rsid w:val="00906793"/>
    <w:rsid w:val="00914C9E"/>
    <w:rsid w:val="00916876"/>
    <w:rsid w:val="00935614"/>
    <w:rsid w:val="009451ED"/>
    <w:rsid w:val="00960FB2"/>
    <w:rsid w:val="00961300"/>
    <w:rsid w:val="00966CAE"/>
    <w:rsid w:val="0097182A"/>
    <w:rsid w:val="00981BBE"/>
    <w:rsid w:val="0098424F"/>
    <w:rsid w:val="0098441C"/>
    <w:rsid w:val="009A05E0"/>
    <w:rsid w:val="009A2799"/>
    <w:rsid w:val="009B7FB3"/>
    <w:rsid w:val="009C0134"/>
    <w:rsid w:val="009C1A5F"/>
    <w:rsid w:val="009C3590"/>
    <w:rsid w:val="009D1A81"/>
    <w:rsid w:val="009D6897"/>
    <w:rsid w:val="00A03B80"/>
    <w:rsid w:val="00A075AA"/>
    <w:rsid w:val="00A30335"/>
    <w:rsid w:val="00A64FC3"/>
    <w:rsid w:val="00A75592"/>
    <w:rsid w:val="00A93E8D"/>
    <w:rsid w:val="00AA3046"/>
    <w:rsid w:val="00AB16A6"/>
    <w:rsid w:val="00AB2B6C"/>
    <w:rsid w:val="00AC6BDB"/>
    <w:rsid w:val="00AD29BB"/>
    <w:rsid w:val="00AF0610"/>
    <w:rsid w:val="00AF7C1B"/>
    <w:rsid w:val="00B10A59"/>
    <w:rsid w:val="00B11CC6"/>
    <w:rsid w:val="00B12816"/>
    <w:rsid w:val="00B41951"/>
    <w:rsid w:val="00B501EB"/>
    <w:rsid w:val="00B540F0"/>
    <w:rsid w:val="00B55660"/>
    <w:rsid w:val="00B764DC"/>
    <w:rsid w:val="00B7667E"/>
    <w:rsid w:val="00B847C6"/>
    <w:rsid w:val="00B973F8"/>
    <w:rsid w:val="00BB6145"/>
    <w:rsid w:val="00BB776E"/>
    <w:rsid w:val="00BC15D1"/>
    <w:rsid w:val="00BC40DA"/>
    <w:rsid w:val="00BC71BC"/>
    <w:rsid w:val="00BD4C4E"/>
    <w:rsid w:val="00BE1220"/>
    <w:rsid w:val="00BF3DDF"/>
    <w:rsid w:val="00BF691A"/>
    <w:rsid w:val="00BF6CF0"/>
    <w:rsid w:val="00C13E8D"/>
    <w:rsid w:val="00C16E5B"/>
    <w:rsid w:val="00C1784A"/>
    <w:rsid w:val="00C345C0"/>
    <w:rsid w:val="00C436BE"/>
    <w:rsid w:val="00C47CB8"/>
    <w:rsid w:val="00C753E4"/>
    <w:rsid w:val="00C75FD6"/>
    <w:rsid w:val="00C82BCD"/>
    <w:rsid w:val="00C82E94"/>
    <w:rsid w:val="00C87B9D"/>
    <w:rsid w:val="00CA5F0A"/>
    <w:rsid w:val="00CC509A"/>
    <w:rsid w:val="00CC5FAA"/>
    <w:rsid w:val="00CF09E6"/>
    <w:rsid w:val="00CF5884"/>
    <w:rsid w:val="00D1178E"/>
    <w:rsid w:val="00D1410A"/>
    <w:rsid w:val="00D143C0"/>
    <w:rsid w:val="00D170B0"/>
    <w:rsid w:val="00D20A07"/>
    <w:rsid w:val="00D25318"/>
    <w:rsid w:val="00D34BB7"/>
    <w:rsid w:val="00D531C4"/>
    <w:rsid w:val="00D56F18"/>
    <w:rsid w:val="00D86AAE"/>
    <w:rsid w:val="00DA0322"/>
    <w:rsid w:val="00DA2AF5"/>
    <w:rsid w:val="00DA36A7"/>
    <w:rsid w:val="00DB142B"/>
    <w:rsid w:val="00DC4381"/>
    <w:rsid w:val="00DC7E51"/>
    <w:rsid w:val="00DE572D"/>
    <w:rsid w:val="00E00500"/>
    <w:rsid w:val="00E0531E"/>
    <w:rsid w:val="00E06285"/>
    <w:rsid w:val="00E06E8D"/>
    <w:rsid w:val="00E0787A"/>
    <w:rsid w:val="00E11B2D"/>
    <w:rsid w:val="00E15098"/>
    <w:rsid w:val="00E71FEB"/>
    <w:rsid w:val="00E72514"/>
    <w:rsid w:val="00E74521"/>
    <w:rsid w:val="00E76A86"/>
    <w:rsid w:val="00E91BF9"/>
    <w:rsid w:val="00E9425B"/>
    <w:rsid w:val="00EB3A35"/>
    <w:rsid w:val="00EC4AE4"/>
    <w:rsid w:val="00ED539D"/>
    <w:rsid w:val="00EE16D3"/>
    <w:rsid w:val="00F0027D"/>
    <w:rsid w:val="00F03C40"/>
    <w:rsid w:val="00F07D04"/>
    <w:rsid w:val="00F11C42"/>
    <w:rsid w:val="00F22521"/>
    <w:rsid w:val="00F33E38"/>
    <w:rsid w:val="00F55CFA"/>
    <w:rsid w:val="00F649AC"/>
    <w:rsid w:val="00F65065"/>
    <w:rsid w:val="00F72EDD"/>
    <w:rsid w:val="00F7367C"/>
    <w:rsid w:val="00F73AD9"/>
    <w:rsid w:val="00F86473"/>
    <w:rsid w:val="00F936CA"/>
    <w:rsid w:val="00FA301B"/>
    <w:rsid w:val="00FA680C"/>
    <w:rsid w:val="00FA7E25"/>
    <w:rsid w:val="00FC4442"/>
    <w:rsid w:val="00FC5ECC"/>
    <w:rsid w:val="00FC741A"/>
    <w:rsid w:val="00FE0142"/>
    <w:rsid w:val="00FE2B7C"/>
    <w:rsid w:val="00FE36AF"/>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aliases w:val="5_G,Texto nota pie IIRSA,F1,Texto,nota,pie,Ref.,al,single space,FOOTNOTES,fn, Car, Char,Car Char,ft,Footnote Text Char Char Char,Footnote Text Char Char,ft Char Char Char,ft Char Char,footnote text,Footnote Text Char1,ft Char,Fußnote,Genev"/>
    <w:basedOn w:val="Normal"/>
    <w:link w:val="FootnoteTextChar"/>
    <w:rsid w:val="00412287"/>
    <w:pPr>
      <w:keepLines/>
      <w:tabs>
        <w:tab w:val="clear" w:pos="431"/>
        <w:tab w:val="right" w:pos="1021"/>
      </w:tabs>
      <w:spacing w:after="120" w:line="240" w:lineRule="exact"/>
      <w:ind w:left="1134" w:right="1134" w:hanging="1134"/>
    </w:pPr>
    <w:rPr>
      <w:sz w:val="18"/>
    </w:rPr>
  </w:style>
  <w:style w:type="character" w:customStyle="1" w:styleId="FootnoteTextChar">
    <w:name w:val="Footnote Text Char"/>
    <w:aliases w:val="5_G Char,Texto nota pie IIRSA Char,F1 Char,Texto Char,nota Char,pie Char,Ref. Char,al Char,single space Char,FOOTNOTES Char,fn Char, Car Char, Char Char,Car Char Char,ft Char1,Footnote Text Char Char Char Char,ft Char Char Char Char"/>
    <w:link w:val="FootnoteText"/>
    <w:rsid w:val="00BC40DA"/>
    <w:rPr>
      <w:rFonts w:eastAsia="SimSun"/>
      <w:snapToGrid w:val="0"/>
      <w:sz w:val="18"/>
      <w:lang w:val="en-US" w:eastAsia="zh-CN" w:bidi="ar-SA"/>
    </w:rPr>
  </w:style>
  <w:style w:type="character" w:styleId="FootnoteReference">
    <w:name w:val="footnote reference"/>
    <w:aliases w:val="4_G,Footnote text,ftref,BVI fnr,16 Point,Superscript 6 Point,Footnote,Footnote symbol,Footnote Referne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link w:val="FooterChar"/>
    <w:rsid w:val="0012768D"/>
    <w:pPr>
      <w:spacing w:line="240" w:lineRule="auto"/>
    </w:pPr>
    <w:rPr>
      <w:rFonts w:eastAsia="Times New Roman"/>
      <w:sz w:val="16"/>
      <w:lang w:val="en-GB" w:eastAsia="en-US"/>
    </w:rPr>
  </w:style>
  <w:style w:type="character" w:customStyle="1" w:styleId="FooterChar">
    <w:name w:val="Footer Char"/>
    <w:link w:val="Footer"/>
    <w:rsid w:val="00BC40DA"/>
    <w:rPr>
      <w:snapToGrid w:val="0"/>
      <w:sz w:val="16"/>
      <w:lang w:val="en-GB" w:eastAsia="en-US" w:bidi="ar-SA"/>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link w:val="HeaderChar"/>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character" w:customStyle="1" w:styleId="HeaderChar">
    <w:name w:val="Header Char"/>
    <w:link w:val="Header"/>
    <w:rsid w:val="00BC40DA"/>
    <w:rPr>
      <w:rFonts w:eastAsia="SimSun"/>
      <w:b/>
      <w:snapToGrid w:val="0"/>
      <w:sz w:val="18"/>
      <w:lang w:val="en-GB" w:eastAsia="en-US" w:bidi="ar-SA"/>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12768D"/>
    <w:pPr>
      <w:keepNext/>
      <w:keepLines/>
      <w:tabs>
        <w:tab w:val="clear" w:pos="431"/>
        <w:tab w:val="right" w:pos="851"/>
      </w:tabs>
      <w:spacing w:before="240" w:after="120"/>
      <w:ind w:left="1134" w:right="1134" w:hanging="1134"/>
      <w:outlineLvl w:val="3"/>
    </w:pPr>
    <w:rPr>
      <w:rFonts w:eastAsia="SimHei"/>
      <w:sz w:val="22"/>
    </w:rPr>
  </w:style>
  <w:style w:type="character" w:customStyle="1" w:styleId="H23GCChar">
    <w:name w:val="_ H_2/3_GC Char"/>
    <w:link w:val="H23GC"/>
    <w:rsid w:val="00BC40DA"/>
    <w:rPr>
      <w:rFonts w:eastAsia="SimHei"/>
      <w:snapToGrid w:val="0"/>
      <w:sz w:val="22"/>
      <w:lang w:val="en-US" w:eastAsia="zh-CN" w:bidi="ar-SA"/>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BC40DA"/>
    <w:rPr>
      <w:i/>
      <w:iCs/>
    </w:rPr>
  </w:style>
  <w:style w:type="character" w:customStyle="1" w:styleId="atn">
    <w:name w:val="atn"/>
    <w:rsid w:val="00BC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28</Pages>
  <Words>4214</Words>
  <Characters>24023</Characters>
  <Application>Microsoft Office Word</Application>
  <DocSecurity>4</DocSecurity>
  <Lines>200</Lines>
  <Paragraphs>56</Paragraphs>
  <ScaleCrop>false</ScaleCrop>
  <Company>CSD</Company>
  <LinksUpToDate>false</LinksUpToDate>
  <CharactersWithSpaces>28181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TANG </dc:creator>
  <cp:keywords/>
  <dc:description/>
  <cp:lastModifiedBy>Admieng</cp:lastModifiedBy>
  <cp:revision>2</cp:revision>
  <cp:lastPrinted>2012-09-05T15:55:00Z</cp:lastPrinted>
  <dcterms:created xsi:type="dcterms:W3CDTF">2012-09-10T09:01:00Z</dcterms:created>
  <dcterms:modified xsi:type="dcterms:W3CDTF">2012-09-10T09:01:00Z</dcterms:modified>
</cp:coreProperties>
</file>