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седьмая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556-м заседании,</w:t>
      </w:r>
    </w:p>
    <w:p w:rsidR="00000000" w:rsidRDefault="00000000">
      <w:r>
        <w:t>состоявшемся в Центральных учреждениях, Нью-Йорк, в четверг, 6 июня 2002 года, в 15 ч. 00 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440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 Абака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представляемых государствами-участниками в 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</w:pPr>
      <w:r>
        <w:tab/>
      </w:r>
      <w:r>
        <w:rPr>
          <w:i/>
        </w:rPr>
        <w:t xml:space="preserve">Объединенные четвертый и пятый периодические доклады Украины </w:t>
      </w:r>
      <w:r>
        <w:t>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</w:pPr>
    </w:p>
    <w:p w:rsidR="00000000" w:rsidRDefault="00000000">
      <w:pPr>
        <w:pStyle w:val="SingleTxt"/>
        <w:spacing w:after="0" w:line="240" w:lineRule="auto"/>
        <w:ind w:left="1742" w:hanging="475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 ч. 10 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представляемых государствами-участниками в соответствии </w:t>
      </w:r>
      <w:r>
        <w:br/>
        <w:t xml:space="preserve">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Объединенные четвертый и пятый периодические доклады Украины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 (CEDAW/C/UKR/4–5; CEDAW/PSWG/2002/II/CRP.1/Add.4 и CRP.2/Add.3)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г-жа Довже</w:t>
      </w:r>
      <w:r>
        <w:rPr>
          <w:i/>
        </w:rPr>
        <w:t>н</w:t>
      </w:r>
      <w:r>
        <w:rPr>
          <w:i/>
        </w:rPr>
        <w:t>ко и г</w:t>
      </w:r>
      <w:r>
        <w:rPr>
          <w:i/>
        </w:rPr>
        <w:noBreakHyphen/>
        <w:t>жа Пасичник (Украина) занимают место за ст</w:t>
      </w:r>
      <w:r>
        <w:rPr>
          <w:i/>
        </w:rPr>
        <w:t>о</w:t>
      </w:r>
      <w:r>
        <w:rPr>
          <w:i/>
        </w:rPr>
        <w:t>лом Комитета</w:t>
      </w:r>
      <w:r>
        <w:t>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Г-жа Довженко</w:t>
      </w:r>
      <w:r>
        <w:t xml:space="preserve"> (Украина), отвечая на вопрос, заданный по статье 6 Конвенции, говорит, что с</w:t>
      </w:r>
      <w:r>
        <w:t>о</w:t>
      </w:r>
      <w:r>
        <w:t>гласно статье 303 нового Уголовного кодекса У</w:t>
      </w:r>
      <w:r>
        <w:t>к</w:t>
      </w:r>
      <w:r>
        <w:t>раины лица, получающие доход от проституции других лиц, подлежат штрафу или лишению своб</w:t>
      </w:r>
      <w:r>
        <w:t>о</w:t>
      </w:r>
      <w:r>
        <w:t>ды сроком от одного до трех лет. Она согласна с тем, что ставшие объектом торговли женщины я</w:t>
      </w:r>
      <w:r>
        <w:t>в</w:t>
      </w:r>
      <w:r>
        <w:t>ляются жертвами не только сексуальной эксплуат</w:t>
      </w:r>
      <w:r>
        <w:t>а</w:t>
      </w:r>
      <w:r>
        <w:t>ции, но и экономического закабаления, как это пр</w:t>
      </w:r>
      <w:r>
        <w:t>и</w:t>
      </w:r>
      <w:r>
        <w:t>знается в статье 149 Уг</w:t>
      </w:r>
      <w:r>
        <w:t>о</w:t>
      </w:r>
      <w:r>
        <w:t>ловного кодекса.</w:t>
      </w:r>
    </w:p>
    <w:p w:rsidR="00000000" w:rsidRDefault="00000000">
      <w:pPr>
        <w:pStyle w:val="DualTxt"/>
      </w:pPr>
      <w:r>
        <w:t>3.</w:t>
      </w:r>
      <w:r>
        <w:tab/>
        <w:t>Отвечая на вопросы, заданные по статьям 7, 8 и 9 Конвенции, она указывает, что за последнее д</w:t>
      </w:r>
      <w:r>
        <w:t>е</w:t>
      </w:r>
      <w:r>
        <w:t>сятилетие женщины стали более активно участв</w:t>
      </w:r>
      <w:r>
        <w:t>о</w:t>
      </w:r>
      <w:r>
        <w:t>вать в работе общественных организаций. В то же время они пришли к пониманию того, что не могут добиться изменений в обществе без участия также и в политической жизни страны. Ряд женских орган</w:t>
      </w:r>
      <w:r>
        <w:t>и</w:t>
      </w:r>
      <w:r>
        <w:t>заций выступают за включение женщин в списки кандидатов на выборах, в том числе на основе оф</w:t>
      </w:r>
      <w:r>
        <w:t>и</w:t>
      </w:r>
      <w:r>
        <w:t>циальной договоренности с политическими парти</w:t>
      </w:r>
      <w:r>
        <w:t>я</w:t>
      </w:r>
      <w:r>
        <w:t>ми, в результате чего представительство женщин в местных органах управления значительно возросло, хотя абсолютное большинство женщин в законод</w:t>
      </w:r>
      <w:r>
        <w:t>а</w:t>
      </w:r>
      <w:r>
        <w:t>тельных и исполнительных органах, и особенно на руководящих должностях, по-прежнему остается низким. Были предприняты усилия по решению этой проблемы на основе введения временных сп</w:t>
      </w:r>
      <w:r>
        <w:t>е</w:t>
      </w:r>
      <w:r>
        <w:t>циальных мер. К сожалению, на своей третьей се</w:t>
      </w:r>
      <w:r>
        <w:t>с</w:t>
      </w:r>
      <w:r>
        <w:t>сии Верховная Рада Украины отклонила предлож</w:t>
      </w:r>
      <w:r>
        <w:t>е</w:t>
      </w:r>
      <w:r>
        <w:t>ние о 30</w:t>
      </w:r>
      <w:r>
        <w:noBreakHyphen/>
        <w:t>процентной квоте женщин в публично и</w:t>
      </w:r>
      <w:r>
        <w:t>з</w:t>
      </w:r>
      <w:r>
        <w:t>бираемых органах. Однако положение о квотах на выборах было включено в законопроект о равных возможностях женщин и мужчин, который будет вскоре представлен вновь избранной Верховной Р</w:t>
      </w:r>
      <w:r>
        <w:t>а</w:t>
      </w:r>
      <w:r>
        <w:t>де. Подчеркивая, что недостаточная представле</w:t>
      </w:r>
      <w:r>
        <w:t>н</w:t>
      </w:r>
      <w:r>
        <w:t>ность женщин в политической жизни является о</w:t>
      </w:r>
      <w:r>
        <w:t>д</w:t>
      </w:r>
      <w:r>
        <w:t>ним из препятствий на пути улучшения их полож</w:t>
      </w:r>
      <w:r>
        <w:t>е</w:t>
      </w:r>
      <w:r>
        <w:t>ния в других сферах, она призывает Комитет рек</w:t>
      </w:r>
      <w:r>
        <w:t>о</w:t>
      </w:r>
      <w:r>
        <w:t>мендовать ее правительству принять квоты или др</w:t>
      </w:r>
      <w:r>
        <w:t>у</w:t>
      </w:r>
      <w:r>
        <w:t>гие меры по исправлению положения.</w:t>
      </w:r>
    </w:p>
    <w:p w:rsidR="00000000" w:rsidRDefault="00000000">
      <w:pPr>
        <w:pStyle w:val="DualTxt"/>
      </w:pPr>
      <w:r>
        <w:t>4.</w:t>
      </w:r>
      <w:r>
        <w:tab/>
        <w:t>Право граждан Украины на свободу собраний гарантируется статьей 36 Конституции и не подл</w:t>
      </w:r>
      <w:r>
        <w:t>е</w:t>
      </w:r>
      <w:r>
        <w:t>жит никакому ограничению, за исключением случ</w:t>
      </w:r>
      <w:r>
        <w:t>а</w:t>
      </w:r>
      <w:r>
        <w:t>ев, определенных законом в интересах обеспечения национальной безопасности и общественного п</w:t>
      </w:r>
      <w:r>
        <w:t>о</w:t>
      </w:r>
      <w:r>
        <w:t>рядка или защиты прав и свобод других лиц. Иначе говоря, министерство юстиции не зарегистрирует никакую общественную организацию, устав кот</w:t>
      </w:r>
      <w:r>
        <w:t>о</w:t>
      </w:r>
      <w:r>
        <w:t>рой основан на принципах расизма, антисемитизма или национализма или предусматривает создание полувое</w:t>
      </w:r>
      <w:r>
        <w:t>н</w:t>
      </w:r>
      <w:r>
        <w:t>ных формирований.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Статьи 10–14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Г-жа Корти</w:t>
      </w:r>
      <w:r>
        <w:t xml:space="preserve"> выражает удивление, что мин</w:t>
      </w:r>
      <w:r>
        <w:t>и</w:t>
      </w:r>
      <w:r>
        <w:t>стерство здравоохранения не участвовало полн</w:t>
      </w:r>
      <w:r>
        <w:t>о</w:t>
      </w:r>
      <w:r>
        <w:t>стью в подготовке доклада, и сокрушается по пов</w:t>
      </w:r>
      <w:r>
        <w:t>о</w:t>
      </w:r>
      <w:r>
        <w:t>ду плачевных условий охраны здоровья на Украине, особенно высоких показателей материнской и де</w:t>
      </w:r>
      <w:r>
        <w:t>т</w:t>
      </w:r>
      <w:r>
        <w:t>ской смертности и повсеместного распространения недоедания. Она хотела бы получить информацию об условиях содержания в больницах Украины и наличии медицинских препаратов, особенно для нуждающихся женщин. Число абортов остается у</w:t>
      </w:r>
      <w:r>
        <w:t>г</w:t>
      </w:r>
      <w:r>
        <w:t>рожающе высоким; действительно, аборт фактич</w:t>
      </w:r>
      <w:r>
        <w:t>е</w:t>
      </w:r>
      <w:r>
        <w:t>ски является единственным средством контраце</w:t>
      </w:r>
      <w:r>
        <w:t>п</w:t>
      </w:r>
      <w:r>
        <w:t>ции. Сокращение бюджета здравоохранения прот</w:t>
      </w:r>
      <w:r>
        <w:t>и</w:t>
      </w:r>
      <w:r>
        <w:t>воречит не только Конвенции о ликвидации ди</w:t>
      </w:r>
      <w:r>
        <w:t>с</w:t>
      </w:r>
      <w:r>
        <w:t>криминации в отношении женщин, но и всем др</w:t>
      </w:r>
      <w:r>
        <w:t>у</w:t>
      </w:r>
      <w:r>
        <w:t>гим международным документам о правах человека. Делегация должна рассказать о проблеме алког</w:t>
      </w:r>
      <w:r>
        <w:t>о</w:t>
      </w:r>
      <w:r>
        <w:t>лизма на Украине, любых мерах, принимаемых для борьбы с распространением пандемии ВИЧ/СПИДа, и последних мерах по сокращению уровня ради</w:t>
      </w:r>
      <w:r>
        <w:t>а</w:t>
      </w:r>
      <w:r>
        <w:t>ции в результате чернобыльской кат</w:t>
      </w:r>
      <w:r>
        <w:t>а</w:t>
      </w:r>
      <w:r>
        <w:t>строфы.</w:t>
      </w:r>
    </w:p>
    <w:p w:rsidR="00000000" w:rsidRDefault="00000000">
      <w:pPr>
        <w:pStyle w:val="DualTxt"/>
      </w:pPr>
      <w:r>
        <w:t>6.</w:t>
      </w:r>
      <w:r>
        <w:tab/>
        <w:t>Хотя делегация рассказала о направленности следующего плана действий Украины в интересах женщин, она не дала никаких указаний в отнош</w:t>
      </w:r>
      <w:r>
        <w:t>е</w:t>
      </w:r>
      <w:r>
        <w:t>нии методов его осуществления. Вызывает удивл</w:t>
      </w:r>
      <w:r>
        <w:t>е</w:t>
      </w:r>
      <w:r>
        <w:t>ние тот факт, что не было упомянуто о пожилых женщинах, которые, как и молодые, испытывают особые потребности, особенно с точки зрения зд</w:t>
      </w:r>
      <w:r>
        <w:t>о</w:t>
      </w:r>
      <w:r>
        <w:t>ровья. Она спрашивает, действует ли система соц</w:t>
      </w:r>
      <w:r>
        <w:t>и</w:t>
      </w:r>
      <w:r>
        <w:t>ального страхования, предоставляющая услуги п</w:t>
      </w:r>
      <w:r>
        <w:t>о</w:t>
      </w:r>
      <w:r>
        <w:t>жилым женщинам, и могут ли они прожить на свои пенсии или небольшой доход.</w:t>
      </w:r>
    </w:p>
    <w:p w:rsidR="00000000" w:rsidRDefault="00000000">
      <w:pPr>
        <w:pStyle w:val="DualTxt"/>
      </w:pPr>
      <w:r>
        <w:t>7.</w:t>
      </w:r>
      <w:r>
        <w:tab/>
        <w:t>Она высказывает обеспокоенность по поводу отсутствия специального медицинского персонала на Украине. В докладе не упоминается об обслед</w:t>
      </w:r>
      <w:r>
        <w:t>о</w:t>
      </w:r>
      <w:r>
        <w:t>ваниях для выявления случаев рака или заболев</w:t>
      </w:r>
      <w:r>
        <w:t>а</w:t>
      </w:r>
      <w:r>
        <w:t>ний, которым особенно подвержены женщины. Она хотела бы также получить информацию об адеква</w:t>
      </w:r>
      <w:r>
        <w:t>т</w:t>
      </w:r>
      <w:r>
        <w:t>ности медицинских структур в сельских районах. Она надеется, что в будущем государство-участник будет уделять больше внимания здоровью женщин и будет руководствоваться не только статьей 12 Ко</w:t>
      </w:r>
      <w:r>
        <w:t>н</w:t>
      </w:r>
      <w:r>
        <w:t>венции, но и общим замечанием № 24 Комитета об охр</w:t>
      </w:r>
      <w:r>
        <w:t>а</w:t>
      </w:r>
      <w:r>
        <w:t>не здоровья.</w:t>
      </w: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Председатель</w:t>
      </w:r>
      <w:r>
        <w:t xml:space="preserve"> подтверждает обеспокоенность г</w:t>
      </w:r>
      <w:r>
        <w:noBreakHyphen/>
        <w:t>жи Корти по поводу статьи 12, особенно большого числа абортов на Украине. Представляется, что, вместо того чтобы пытаться предупреждать нежел</w:t>
      </w:r>
      <w:r>
        <w:t>а</w:t>
      </w:r>
      <w:r>
        <w:t>тельную беременность, государство вмешивается с целью исправления своих ошибок лишь после свершения самого факта. Часто хирургическое вмешательство оказывает негативное влияние на здоровье женщин как с физической (особенно когда они хотят завести детей на более позднем этапе), так и с психологической точки зрения и является одной из форм дискриминации, поскольку мужчины не подвергаются аналогичному обращению, связа</w:t>
      </w:r>
      <w:r>
        <w:t>н</w:t>
      </w:r>
      <w:r>
        <w:t>ному с их репродуктивной функцией. Она спраш</w:t>
      </w:r>
      <w:r>
        <w:t>и</w:t>
      </w:r>
      <w:r>
        <w:t>вает, совершают ли аборты большинство женщин в молодом или среднем возрасте. Высокая стоимость абортов в больницах заставляет бедных женщин д</w:t>
      </w:r>
      <w:r>
        <w:t>е</w:t>
      </w:r>
      <w:r>
        <w:t>лать аборты подпольно, что угрожает их здоровью. Она решительно рекомендует провести кампанию повышения осведомленности в целях исправления широко бытующего представления о планировании семьи. Более того, контрацепция должна быть до</w:t>
      </w:r>
      <w:r>
        <w:t>с</w:t>
      </w:r>
      <w:r>
        <w:t>тупной и социально приемлемой.</w:t>
      </w:r>
    </w:p>
    <w:p w:rsidR="00000000" w:rsidRDefault="00000000">
      <w:pPr>
        <w:pStyle w:val="DualTxt"/>
      </w:pPr>
      <w:r>
        <w:t>9.</w:t>
      </w:r>
      <w:r>
        <w:tab/>
      </w:r>
      <w:r>
        <w:rPr>
          <w:b/>
        </w:rPr>
        <w:t>Г-жа Фень</w:t>
      </w:r>
      <w:r>
        <w:t xml:space="preserve"> Куи спрашивает, является ли во</w:t>
      </w:r>
      <w:r>
        <w:t>з</w:t>
      </w:r>
      <w:r>
        <w:t>раст выхода женщин на пенсию, указанный в Законе о пенсионном обеспечении, обязательным или до</w:t>
      </w:r>
      <w:r>
        <w:t>б</w:t>
      </w:r>
      <w:r>
        <w:t>ровольным, и применимы ли эти положения ко всем профессиям, в том числе медикам и преподават</w:t>
      </w:r>
      <w:r>
        <w:t>е</w:t>
      </w:r>
      <w:r>
        <w:t>лям, а также профессорам университетов, или же лишь к некоторым категориям работающих же</w:t>
      </w:r>
      <w:r>
        <w:t>н</w:t>
      </w:r>
      <w:r>
        <w:t>щин. Она хотела бы также знать, является ли сумма вознаграждения при досрочном выходе на пенсию больше суммы обычной пенсии, а также о влиянии досрочного выхода на пенсию на карьеру женщин, которая и так укорачивается в результате выполн</w:t>
      </w:r>
      <w:r>
        <w:t>е</w:t>
      </w:r>
      <w:r>
        <w:t>ния семейных обязанностей. Некоторые из полож</w:t>
      </w:r>
      <w:r>
        <w:t>е</w:t>
      </w:r>
      <w:r>
        <w:t>ний о досрочном выходе на пенсию, по</w:t>
      </w:r>
      <w:r>
        <w:noBreakHyphen/>
        <w:t>видимому, противоречат конституции Украины, которая гара</w:t>
      </w:r>
      <w:r>
        <w:t>н</w:t>
      </w:r>
      <w:r>
        <w:t>тирует равенство между мужчинами и женщинами и равенство в отношении возраста. Она интересуется, намереваются ли власти Украины изменить этот З</w:t>
      </w:r>
      <w:r>
        <w:t>а</w:t>
      </w:r>
      <w:r>
        <w:t>кон.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жа Ахмад</w:t>
      </w:r>
      <w:r>
        <w:t xml:space="preserve"> говорит, что она разделяет обе</w:t>
      </w:r>
      <w:r>
        <w:t>с</w:t>
      </w:r>
      <w:r>
        <w:t>покоенность Председателя по поводу большого к</w:t>
      </w:r>
      <w:r>
        <w:t>о</w:t>
      </w:r>
      <w:r>
        <w:t>личества абортов на Украине. Поскольку знач</w:t>
      </w:r>
      <w:r>
        <w:t>и</w:t>
      </w:r>
      <w:r>
        <w:t>тельное число женщин живет в сельской местности, было бы полезно знать результаты аграрных р</w:t>
      </w:r>
      <w:r>
        <w:t>е</w:t>
      </w:r>
      <w:r>
        <w:t>форм, упомянутых в докладе по статье 14, особенно с точки зрения условий здравоохран</w:t>
      </w:r>
      <w:r>
        <w:t>е</w:t>
      </w:r>
      <w:r>
        <w:t>ния.</w:t>
      </w:r>
    </w:p>
    <w:p w:rsidR="00000000" w:rsidRDefault="00000000">
      <w:pPr>
        <w:pStyle w:val="DualTxt"/>
      </w:pPr>
      <w:r>
        <w:t>11.</w:t>
      </w:r>
      <w:r>
        <w:tab/>
      </w:r>
      <w:r>
        <w:rPr>
          <w:b/>
        </w:rPr>
        <w:t>Г</w:t>
      </w:r>
      <w:r>
        <w:rPr>
          <w:b/>
        </w:rPr>
        <w:noBreakHyphen/>
        <w:t>жа Гаспар</w:t>
      </w:r>
      <w:r>
        <w:t xml:space="preserve"> с сожалением отмечает недост</w:t>
      </w:r>
      <w:r>
        <w:t>а</w:t>
      </w:r>
      <w:r>
        <w:t>ток статистических данных об образовании же</w:t>
      </w:r>
      <w:r>
        <w:t>н</w:t>
      </w:r>
      <w:r>
        <w:t>щин, в том числе отсутствие сведений с разбивкой по сферам изучения и данных о количестве же</w:t>
      </w:r>
      <w:r>
        <w:t>н</w:t>
      </w:r>
      <w:r>
        <w:t>щин-преподавателей в средней школе и университ</w:t>
      </w:r>
      <w:r>
        <w:t>е</w:t>
      </w:r>
      <w:r>
        <w:t>тах. Она спрашивает, имеют ли девочки в сельских и городских районах равный доступ к университе</w:t>
      </w:r>
      <w:r>
        <w:t>т</w:t>
      </w:r>
      <w:r>
        <w:t>скому образованию и является ли уровень образ</w:t>
      </w:r>
      <w:r>
        <w:t>о</w:t>
      </w:r>
      <w:r>
        <w:t>вания девочек одинаковым во всех этнических группах. Было бы полезно узнать долю мальчиков и девочек, поступающих в высшие учебные завед</w:t>
      </w:r>
      <w:r>
        <w:t>е</w:t>
      </w:r>
      <w:r>
        <w:t>ния. Это позволит определить, направляются ли д</w:t>
      </w:r>
      <w:r>
        <w:t>е</w:t>
      </w:r>
      <w:r>
        <w:t>вочки на менее оплачиваемую работу, что является одной из общих причин дискриминации в отнош</w:t>
      </w:r>
      <w:r>
        <w:t>е</w:t>
      </w:r>
      <w:r>
        <w:t>нии женщин на рынке труда. Несмотря на количес</w:t>
      </w:r>
      <w:r>
        <w:t>т</w:t>
      </w:r>
      <w:r>
        <w:t>во женщин, имеющих университетское образов</w:t>
      </w:r>
      <w:r>
        <w:t>а</w:t>
      </w:r>
      <w:r>
        <w:t>ние, мужчины по</w:t>
      </w:r>
      <w:r>
        <w:noBreakHyphen/>
        <w:t>прежнему доминируют в области высшего образования и на руководящих должностях в системе его управления. Предлагают ли универс</w:t>
      </w:r>
      <w:r>
        <w:t>и</w:t>
      </w:r>
      <w:r>
        <w:t>теты программы обучения для женщин?</w:t>
      </w:r>
    </w:p>
    <w:p w:rsidR="00000000" w:rsidRDefault="00000000">
      <w:pPr>
        <w:pStyle w:val="DualTxt"/>
      </w:pPr>
      <w:r>
        <w:t>12.</w:t>
      </w:r>
      <w:r>
        <w:tab/>
        <w:t>Она также обеспокоена более ранним выходом на пенсию женщин, особенно ввиду демографич</w:t>
      </w:r>
      <w:r>
        <w:t>е</w:t>
      </w:r>
      <w:r>
        <w:t>ской ситуации в Автономной Республике Крым, в которой женщины составляют большинство насел</w:t>
      </w:r>
      <w:r>
        <w:t>е</w:t>
      </w:r>
      <w:r>
        <w:t>ния; если женщины не имеют возможности выжить на свою пенсию, это может повлиять на общее эк</w:t>
      </w:r>
      <w:r>
        <w:t>о</w:t>
      </w:r>
      <w:r>
        <w:t>номическое положение Крыма. Она разделяет обе</w:t>
      </w:r>
      <w:r>
        <w:t>с</w:t>
      </w:r>
      <w:r>
        <w:t>покоенность других членов Комитета по поводу и</w:t>
      </w:r>
      <w:r>
        <w:t>с</w:t>
      </w:r>
      <w:r>
        <w:t>пользования абортов в качестве средства планир</w:t>
      </w:r>
      <w:r>
        <w:t>о</w:t>
      </w:r>
      <w:r>
        <w:t>вания семьи.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</w:t>
      </w:r>
      <w:r>
        <w:rPr>
          <w:b/>
        </w:rPr>
        <w:noBreakHyphen/>
        <w:t>жа Капалата</w:t>
      </w:r>
      <w:r>
        <w:t xml:space="preserve"> говорит, что, хотя ответы г</w:t>
      </w:r>
      <w:r>
        <w:t>о</w:t>
      </w:r>
      <w:r>
        <w:t>сударства-участника на перечень вопросов по ст</w:t>
      </w:r>
      <w:r>
        <w:t>а</w:t>
      </w:r>
      <w:r>
        <w:t>тье 12 заслуживают похвалы, они не проливают света на проблему передачи ВИЧ/СПИДа от матери ребенку. Она надеется, что делегация откровенно расскажет о наличии этой проблемы на Украине и в случае таковой укажет на программы, направле</w:t>
      </w:r>
      <w:r>
        <w:t>н</w:t>
      </w:r>
      <w:r>
        <w:t>ные на ее решение.</w:t>
      </w:r>
    </w:p>
    <w:p w:rsidR="00000000" w:rsidRDefault="00000000">
      <w:pPr>
        <w:pStyle w:val="DualTxt"/>
      </w:pPr>
      <w:r>
        <w:t>14.</w:t>
      </w:r>
      <w:r>
        <w:tab/>
        <w:t>Она разделяет обеспокоенность г</w:t>
      </w:r>
      <w:r>
        <w:noBreakHyphen/>
        <w:t>жи Корти по поводу положения пожилых женщин, которые п</w:t>
      </w:r>
      <w:r>
        <w:t>е</w:t>
      </w:r>
      <w:r>
        <w:t>режили своих супругов, и выражает надежду, что в следующий периодический доклад в контексте р</w:t>
      </w:r>
      <w:r>
        <w:t>е</w:t>
      </w:r>
      <w:r>
        <w:t>зультатов Мадридской конференции по проблемам старения будет включена более подробная инфо</w:t>
      </w:r>
      <w:r>
        <w:t>р</w:t>
      </w:r>
      <w:r>
        <w:t>мация о политике и программах, разработанных в интересах пожилых женщин.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</w:t>
      </w:r>
      <w:r>
        <w:rPr>
          <w:b/>
        </w:rPr>
        <w:noBreakHyphen/>
        <w:t>жа Ливингстон Рэдей</w:t>
      </w:r>
      <w:r>
        <w:t xml:space="preserve"> говорит, что возр</w:t>
      </w:r>
      <w:r>
        <w:t>а</w:t>
      </w:r>
      <w:r>
        <w:t>жения государства-участника с Комитетом по пов</w:t>
      </w:r>
      <w:r>
        <w:t>о</w:t>
      </w:r>
      <w:r>
        <w:t>ду защиты работающих женщин, вероятно, основ</w:t>
      </w:r>
      <w:r>
        <w:t>а</w:t>
      </w:r>
      <w:r>
        <w:t>ны на неправильном понимании. Защита береме</w:t>
      </w:r>
      <w:r>
        <w:t>н</w:t>
      </w:r>
      <w:r>
        <w:t>ных и кормящих матерей должна быть построена таким образом, чтобы можно было избежать люб</w:t>
      </w:r>
      <w:r>
        <w:t>ы</w:t>
      </w:r>
      <w:r>
        <w:t>ми путями создания для них неблагоприятных у</w:t>
      </w:r>
      <w:r>
        <w:t>с</w:t>
      </w:r>
      <w:r>
        <w:t>ловий. Например, если 140 дней отпуска по бер</w:t>
      </w:r>
      <w:r>
        <w:t>е</w:t>
      </w:r>
      <w:r>
        <w:t>менности оплачиваются работодателями, а не н</w:t>
      </w:r>
      <w:r>
        <w:t>а</w:t>
      </w:r>
      <w:r>
        <w:t>циональной системой страхования, то увеличение трудовых издержек будет сдерживать работодателей от приема на работу женщин детородного возраста. Она пр</w:t>
      </w:r>
      <w:r>
        <w:t>и</w:t>
      </w:r>
      <w:r>
        <w:t>ветствует инициативы государства-участника, направленные на то, чтобы уход за дет</w:t>
      </w:r>
      <w:r>
        <w:t>ь</w:t>
      </w:r>
      <w:r>
        <w:t>ми и их воспитание было правом и обязанностью родителей.</w:t>
      </w:r>
    </w:p>
    <w:p w:rsidR="00000000" w:rsidRDefault="00000000">
      <w:pPr>
        <w:pStyle w:val="DualTxt"/>
      </w:pPr>
      <w:r>
        <w:t>16.</w:t>
      </w:r>
      <w:r>
        <w:tab/>
        <w:t>Представляется, что правительство не полн</w:t>
      </w:r>
      <w:r>
        <w:t>о</w:t>
      </w:r>
      <w:r>
        <w:t>стью осознает необходимость защиты беременных женщин не только от увольнения с работы, но и с</w:t>
      </w:r>
      <w:r>
        <w:t>о</w:t>
      </w:r>
      <w:r>
        <w:t>хранения за ними права на одинаковые условия труда, одинаковую профессиональную подготовку, расширение возможностей и равную оплату за труд равной ценности. Например, в докладе говорится, что женщины не пользуются возможностями пов</w:t>
      </w:r>
      <w:r>
        <w:t>ы</w:t>
      </w:r>
      <w:r>
        <w:t>шения своей квалификации, однако в нем не уп</w:t>
      </w:r>
      <w:r>
        <w:t>о</w:t>
      </w:r>
      <w:r>
        <w:t>минается при этом о каких-либо компромиссных мерах оказания помощи матерям, особенно одино</w:t>
      </w:r>
      <w:r>
        <w:t>ч</w:t>
      </w:r>
      <w:r>
        <w:t>кам, в деле посещения уче</w:t>
      </w:r>
      <w:r>
        <w:t>б</w:t>
      </w:r>
      <w:r>
        <w:t>ных курсов.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>жа Сайга</w:t>
      </w:r>
      <w:r>
        <w:t xml:space="preserve"> разделяет тревогу Председателя по поводу абортов на Украине. Отмечая, что в н</w:t>
      </w:r>
      <w:r>
        <w:t>ы</w:t>
      </w:r>
      <w:r>
        <w:t>нешнем экономическом положении женщины гот</w:t>
      </w:r>
      <w:r>
        <w:t>о</w:t>
      </w:r>
      <w:r>
        <w:t>вы выполнять практически любую работу, даже н</w:t>
      </w:r>
      <w:r>
        <w:t>е</w:t>
      </w:r>
      <w:r>
        <w:t>безопасную для них, она спрашивает, предоставляет ли правительство низкопроцентные займы или су</w:t>
      </w:r>
      <w:r>
        <w:t>б</w:t>
      </w:r>
      <w:r>
        <w:t>сидии работодателям в целях улучшения рабочих условий. Она присоединяется ко всем замечаниям других членов К</w:t>
      </w:r>
      <w:r>
        <w:t>о</w:t>
      </w:r>
      <w:r>
        <w:t>митета.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>жа Акар</w:t>
      </w:r>
      <w:r>
        <w:t xml:space="preserve"> интересуется, проводилось ли к</w:t>
      </w:r>
      <w:r>
        <w:t>а</w:t>
      </w:r>
      <w:r>
        <w:t>кое-либо исследование о последствиях «защиты» женщин от работы в некоторых секторах, особенно с учетом того, что они составляют большинство безработного населения и зарабатывают меньше, чем мужчины. Она хотела бы получить пояснение в отношении следующего предложения на стран</w:t>
      </w:r>
      <w:r>
        <w:t>и</w:t>
      </w:r>
      <w:r>
        <w:t>це 21 ответов на перечень вопросов: «Категорич</w:t>
      </w:r>
      <w:r>
        <w:t>е</w:t>
      </w:r>
      <w:r>
        <w:t>ски запрещается принимать женщин на освобо</w:t>
      </w:r>
      <w:r>
        <w:t>ж</w:t>
      </w:r>
      <w:r>
        <w:t>денные должности» (CEDAW/PSWG/2002/II/CRP.2/ Add.3). Она интересуется, включают ли национал</w:t>
      </w:r>
      <w:r>
        <w:t>ь</w:t>
      </w:r>
      <w:r>
        <w:t>ные данные о безработице тех, кто не ищет активно работы, например домохозяек, и хотела бы пол</w:t>
      </w:r>
      <w:r>
        <w:t>у</w:t>
      </w:r>
      <w:r>
        <w:t>чить информацию как о доле домохозяек на Укра</w:t>
      </w:r>
      <w:r>
        <w:t>и</w:t>
      </w:r>
      <w:r>
        <w:t>не, так и о тенденциях, каса</w:t>
      </w:r>
      <w:r>
        <w:t>ю</w:t>
      </w:r>
      <w:r>
        <w:t>щихся их.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>жа Довженко</w:t>
      </w:r>
      <w:r>
        <w:t xml:space="preserve"> (Украина) говорит, что в б</w:t>
      </w:r>
      <w:r>
        <w:t>у</w:t>
      </w:r>
      <w:r>
        <w:t>дущих докладах будет более подробно освещена с</w:t>
      </w:r>
      <w:r>
        <w:t>и</w:t>
      </w:r>
      <w:r>
        <w:t>туация с охраной здоровья женщин на Украине, к</w:t>
      </w:r>
      <w:r>
        <w:t>о</w:t>
      </w:r>
      <w:r>
        <w:t>торая вызывает глубокую обеспокоенность у ее правительства. В последние пять лет оно приняло ряд мер по сокращению материнской и младенч</w:t>
      </w:r>
      <w:r>
        <w:t>е</w:t>
      </w:r>
      <w:r>
        <w:t>ской смертности; во всех региональных центрах были созданы отделения для новорожденных и профилактические медицинские и диагностические центры для женщин, планирующих беременность, а также организованы специально оборудованные о</w:t>
      </w:r>
      <w:r>
        <w:t>т</w:t>
      </w:r>
      <w:r>
        <w:t>деления в педиатрических больницах для детей, р</w:t>
      </w:r>
      <w:r>
        <w:t>о</w:t>
      </w:r>
      <w:r>
        <w:t>дившихся с медицинскими пороками. По закону б</w:t>
      </w:r>
      <w:r>
        <w:t>е</w:t>
      </w:r>
      <w:r>
        <w:t>ременные матери имеют право на бесплатное мед</w:t>
      </w:r>
      <w:r>
        <w:t>и</w:t>
      </w:r>
      <w:r>
        <w:t>цинское обслуживание и медикаменты, отпуска</w:t>
      </w:r>
      <w:r>
        <w:t>е</w:t>
      </w:r>
      <w:r>
        <w:t>мые по рецептам. Кроме того, женщины — жертвы аварии на Чернобыльской атомной электростанции, которые хотят завести семью, получают витами</w:t>
      </w:r>
      <w:r>
        <w:t>н</w:t>
      </w:r>
      <w:r>
        <w:t>ные добавки, продовольственную помощь и другую помощь с целью улучшения общего состояния св</w:t>
      </w:r>
      <w:r>
        <w:t>о</w:t>
      </w:r>
      <w:r>
        <w:t>его здор</w:t>
      </w:r>
      <w:r>
        <w:t>о</w:t>
      </w:r>
      <w:r>
        <w:t>вья.</w:t>
      </w:r>
    </w:p>
    <w:p w:rsidR="00000000" w:rsidRDefault="00000000">
      <w:pPr>
        <w:pStyle w:val="DualTxt"/>
      </w:pPr>
      <w:r>
        <w:t>20.</w:t>
      </w:r>
      <w:r>
        <w:tab/>
        <w:t>Хотя государственные расходы на здравоохр</w:t>
      </w:r>
      <w:r>
        <w:t>а</w:t>
      </w:r>
      <w:r>
        <w:t>нение увеличились в последние три года, они по</w:t>
      </w:r>
      <w:r>
        <w:noBreakHyphen/>
        <w:t>прежнему остаются слишком низкими. Конечно же, объем расходов зависит от состояния эконом</w:t>
      </w:r>
      <w:r>
        <w:t>и</w:t>
      </w:r>
      <w:r>
        <w:t>ки. Поэтому она с удовлетворением отмечает, что в 1999 году экономическое положение стало стабил</w:t>
      </w:r>
      <w:r>
        <w:t>и</w:t>
      </w:r>
      <w:r>
        <w:t>зироваться и что в 2000 и 2001 годах был зафикс</w:t>
      </w:r>
      <w:r>
        <w:t>и</w:t>
      </w:r>
      <w:r>
        <w:t>рован существенный рост. Создание системы мед</w:t>
      </w:r>
      <w:r>
        <w:t>и</w:t>
      </w:r>
      <w:r>
        <w:t>цинского страхования является одним из приорит</w:t>
      </w:r>
      <w:r>
        <w:t>е</w:t>
      </w:r>
      <w:r>
        <w:t>тов ее правительства, которое намерено предст</w:t>
      </w:r>
      <w:r>
        <w:t>а</w:t>
      </w:r>
      <w:r>
        <w:t>вить вновь избранному парламенту законопроект о медицинском и социальном страх</w:t>
      </w:r>
      <w:r>
        <w:t>о</w:t>
      </w:r>
      <w:r>
        <w:t>вании.</w:t>
      </w:r>
    </w:p>
    <w:p w:rsidR="00000000" w:rsidRDefault="00000000">
      <w:pPr>
        <w:pStyle w:val="DualTxt"/>
      </w:pPr>
      <w:r>
        <w:t>21.</w:t>
      </w:r>
      <w:r>
        <w:tab/>
        <w:t>К сожалению, за последний год увеличились темпы распространения ВИЧ; 25 процентов инф</w:t>
      </w:r>
      <w:r>
        <w:t>и</w:t>
      </w:r>
      <w:r>
        <w:t>цированных составляют женщины. В этой связи ее правительство наращивает усилия по борьбе с ра</w:t>
      </w:r>
      <w:r>
        <w:t>с</w:t>
      </w:r>
      <w:r>
        <w:t>пространением ВИЧ/СПИДа. Оно приняло ряд мер по просвещению населения об этом заболевании, в частности была создана конфиденциальная «линия доверия», укомплектованная социологами, психол</w:t>
      </w:r>
      <w:r>
        <w:t>о</w:t>
      </w:r>
      <w:r>
        <w:t>гами и врачами. Правительство также предприн</w:t>
      </w:r>
      <w:r>
        <w:t>и</w:t>
      </w:r>
      <w:r>
        <w:t>мает шаги по профилактике распространения т</w:t>
      </w:r>
      <w:r>
        <w:t>у</w:t>
      </w:r>
      <w:r>
        <w:t>беркул</w:t>
      </w:r>
      <w:r>
        <w:t>е</w:t>
      </w:r>
      <w:r>
        <w:t>за.</w:t>
      </w:r>
    </w:p>
    <w:p w:rsidR="00000000" w:rsidRDefault="00000000">
      <w:pPr>
        <w:pStyle w:val="DualTxt"/>
      </w:pPr>
      <w:r>
        <w:t>22.</w:t>
      </w:r>
      <w:r>
        <w:tab/>
        <w:t>Примерно одна треть населения Украины ж</w:t>
      </w:r>
      <w:r>
        <w:t>и</w:t>
      </w:r>
      <w:r>
        <w:t>вет в сельских районах. Они получают медици</w:t>
      </w:r>
      <w:r>
        <w:t>н</w:t>
      </w:r>
      <w:r>
        <w:t>скую помощь в амбулаторных больницах. Из</w:t>
      </w:r>
      <w:r>
        <w:noBreakHyphen/>
        <w:t>за бюджетных трудностей уровень оказываемой п</w:t>
      </w:r>
      <w:r>
        <w:t>о</w:t>
      </w:r>
      <w:r>
        <w:t>мощи является далеко не удовлетворительным, при этом отмечается отсутствие специализации. В н</w:t>
      </w:r>
      <w:r>
        <w:t>а</w:t>
      </w:r>
      <w:r>
        <w:t>стоящее время министерство здравоохранения пр</w:t>
      </w:r>
      <w:r>
        <w:t>и</w:t>
      </w:r>
      <w:r>
        <w:t>нимает меры по решению этих проблем в сотрудн</w:t>
      </w:r>
      <w:r>
        <w:t>и</w:t>
      </w:r>
      <w:r>
        <w:t>честве с местными сов</w:t>
      </w:r>
      <w:r>
        <w:t>е</w:t>
      </w:r>
      <w:r>
        <w:t>тами.</w:t>
      </w:r>
    </w:p>
    <w:p w:rsidR="00000000" w:rsidRDefault="00000000">
      <w:pPr>
        <w:pStyle w:val="DualTxt"/>
      </w:pPr>
      <w:r>
        <w:t>23.</w:t>
      </w:r>
      <w:r>
        <w:tab/>
        <w:t>Авария на Чернобыльской атомной электр</w:t>
      </w:r>
      <w:r>
        <w:t>о</w:t>
      </w:r>
      <w:r>
        <w:t>станции имела опустошительные последствия для здоровья почти 3 миллионов взрослых людей и 1 260 000 детей. За последний год коэффициент смертности среди детей-жертв чернобыльской ав</w:t>
      </w:r>
      <w:r>
        <w:t>а</w:t>
      </w:r>
      <w:r>
        <w:t>рии удвоился, а заболеваемость раком увеличилась фактически в 3,5 раза. Ее правительство приняло ряд мер по устранению последствий этой аварии, включая создание министерства по чрезвычайным ситуациям и по делам защиты населения от после</w:t>
      </w:r>
      <w:r>
        <w:t>д</w:t>
      </w:r>
      <w:r>
        <w:t>ствий чернобыльской катастрофы, а парламент принял закон «Об оказании помощи жертвам че</w:t>
      </w:r>
      <w:r>
        <w:t>р</w:t>
      </w:r>
      <w:r>
        <w:t>нобыл</w:t>
      </w:r>
      <w:r>
        <w:t>ь</w:t>
      </w:r>
      <w:r>
        <w:t>ской аварии».</w:t>
      </w:r>
    </w:p>
    <w:p w:rsidR="00000000" w:rsidRDefault="00000000">
      <w:pPr>
        <w:pStyle w:val="DualTxt"/>
      </w:pPr>
      <w:r>
        <w:t>24.</w:t>
      </w:r>
      <w:r>
        <w:tab/>
        <w:t>Хотя показатель абортов остается недопустимо высоким, нельзя более заявлять, что аборт рассма</w:t>
      </w:r>
      <w:r>
        <w:t>т</w:t>
      </w:r>
      <w:r>
        <w:t>ривается на Украине в качестве единственного м</w:t>
      </w:r>
      <w:r>
        <w:t>е</w:t>
      </w:r>
      <w:r>
        <w:t>тода планирования семьи. Количество абортов в год уменьшилось более чем с 1 миллиона в начале 90</w:t>
      </w:r>
      <w:r>
        <w:noBreakHyphen/>
        <w:t>х годов до 434 000 в 2000 году; это обусловлено постоянными усилиями ее правительства, которое стремилось не только просвещать женщин о ко</w:t>
      </w:r>
      <w:r>
        <w:t>н</w:t>
      </w:r>
      <w:r>
        <w:t>тролировании рождаемости, но и расширило доступ к контрацептивным средствам. В настоящее время показатель использования контрацептивных средств составляет 74 процента для женщин в городских районах и 67 процентов — в сельских. По данным за 2000 год, 346 000 женщин в возрасте от 20 до 34 лет сделали аборты, а также 77 000 женщин в возрасте 35 лет и старше, 10 000 женщин в возрасте 15</w:t>
      </w:r>
      <w:r>
        <w:noBreakHyphen/>
        <w:t>19 лет и 190 человек в возрасте 14 лет и младше.</w:t>
      </w:r>
    </w:p>
    <w:p w:rsidR="00000000" w:rsidRDefault="00000000">
      <w:pPr>
        <w:pStyle w:val="DualTxt"/>
      </w:pPr>
      <w:r>
        <w:t>25.</w:t>
      </w:r>
      <w:r>
        <w:tab/>
        <w:t>В Законе о пенсионных пособиях просто ук</w:t>
      </w:r>
      <w:r>
        <w:t>а</w:t>
      </w:r>
      <w:r>
        <w:t>зывается квалификационный возраст на право п</w:t>
      </w:r>
      <w:r>
        <w:t>о</w:t>
      </w:r>
      <w:r>
        <w:t>лучения пенсии; от женщин не требуют выхода на пенсию в возрасте 55 лет. Ее правительство подг</w:t>
      </w:r>
      <w:r>
        <w:t>о</w:t>
      </w:r>
      <w:r>
        <w:t>товило новый законопроект о пенсионных пособ</w:t>
      </w:r>
      <w:r>
        <w:t>и</w:t>
      </w:r>
      <w:r>
        <w:t>ях, который предусматривает трехстороннюю пе</w:t>
      </w:r>
      <w:r>
        <w:t>н</w:t>
      </w:r>
      <w:r>
        <w:t>сионную систему, включающую государственные, профе</w:t>
      </w:r>
      <w:r>
        <w:t>с</w:t>
      </w:r>
      <w:r>
        <w:t>сиональные и частные пенсии.</w:t>
      </w:r>
    </w:p>
    <w:p w:rsidR="00000000" w:rsidRDefault="00000000">
      <w:pPr>
        <w:pStyle w:val="DualTxt"/>
      </w:pPr>
      <w:r>
        <w:t>26.</w:t>
      </w:r>
      <w:r>
        <w:tab/>
        <w:t>Свыше 50 процентов учащихся в системе высшего образования составляют девушки. Во</w:t>
      </w:r>
      <w:r>
        <w:t>з</w:t>
      </w:r>
      <w:r>
        <w:t>можности женщин на административном уровне о</w:t>
      </w:r>
      <w:r>
        <w:t>г</w:t>
      </w:r>
      <w:r>
        <w:t>раничены, поскольку многие из них получили сре</w:t>
      </w:r>
      <w:r>
        <w:t>д</w:t>
      </w:r>
      <w:r>
        <w:t>нее образование. Был издан президентский указ с целью оказания дополнительной поддержки в пр</w:t>
      </w:r>
      <w:r>
        <w:t>е</w:t>
      </w:r>
      <w:r>
        <w:t>доставлении детям возможности получить высшее образование. Примерно 80 процентов женщин им</w:t>
      </w:r>
      <w:r>
        <w:t>е</w:t>
      </w:r>
      <w:r>
        <w:t>ют дипломы средней школы и/или высших учебных заведений; в колледжах и университетах работает много женщин-преподавателей, однако очень н</w:t>
      </w:r>
      <w:r>
        <w:t>е</w:t>
      </w:r>
      <w:r>
        <w:t>многие из них занимают должности деканов и ре</w:t>
      </w:r>
      <w:r>
        <w:t>к</w:t>
      </w:r>
      <w:r>
        <w:t>торов.</w:t>
      </w:r>
    </w:p>
    <w:p w:rsidR="00000000" w:rsidRDefault="00000000">
      <w:pPr>
        <w:pStyle w:val="DualTxt"/>
      </w:pPr>
      <w:r>
        <w:t>27.</w:t>
      </w:r>
      <w:r>
        <w:tab/>
        <w:t>По</w:t>
      </w:r>
      <w:r>
        <w:noBreakHyphen/>
        <w:t>прежнему отмечаются случаи передачи ВИЧ от матери к ребенку, несмотря на массовые усилия государства по профилактике этой инфе</w:t>
      </w:r>
      <w:r>
        <w:t>к</w:t>
      </w:r>
      <w:r>
        <w:t>ции. В 1991 году был принят закон в целях оказания помощи в профилактике ВИЧ на основе государс</w:t>
      </w:r>
      <w:r>
        <w:t>т</w:t>
      </w:r>
      <w:r>
        <w:t>венной поддержки и помощи инфицированным л</w:t>
      </w:r>
      <w:r>
        <w:t>ю</w:t>
      </w:r>
      <w:r>
        <w:t>дям, включая детей. Предпринимаются все усилия для просвещения общественности по вопросам предупреждения этого явления. Профилактические программы также нацелены на наркоманов, п</w:t>
      </w:r>
      <w:r>
        <w:t>о</w:t>
      </w:r>
      <w:r>
        <w:t>скольку большинство случаев передачи ВИЧ связ</w:t>
      </w:r>
      <w:r>
        <w:t>а</w:t>
      </w:r>
      <w:r>
        <w:t>но с использованием наркоманами одних и тех же игл.</w:t>
      </w:r>
    </w:p>
    <w:p w:rsidR="00000000" w:rsidRDefault="00000000">
      <w:pPr>
        <w:pStyle w:val="DualTxt"/>
      </w:pPr>
      <w:r>
        <w:t>28.</w:t>
      </w:r>
      <w:r>
        <w:tab/>
        <w:t>Отпуск по беременности предоставляется как до, так и после рождения и оплачивается либо раб</w:t>
      </w:r>
      <w:r>
        <w:t>о</w:t>
      </w:r>
      <w:r>
        <w:t>тодателями, либо страховыми системами. Был пр</w:t>
      </w:r>
      <w:r>
        <w:t>и</w:t>
      </w:r>
      <w:r>
        <w:t>нят новый закон, который требует от всех работод</w:t>
      </w:r>
      <w:r>
        <w:t>а</w:t>
      </w:r>
      <w:r>
        <w:t>телей вносить средства в страховые планы своих работников. По вопросу о дискриминации при приеме на работу она отмечает, что закон о труде предусматривает административное и уголовное наказание работодателей, которые увольняют бер</w:t>
      </w:r>
      <w:r>
        <w:t>е</w:t>
      </w:r>
      <w:r>
        <w:t>менных женщин, матерей, имеющих детей в возра</w:t>
      </w:r>
      <w:r>
        <w:t>с</w:t>
      </w:r>
      <w:r>
        <w:t>те до шести лет, матерей-одиночек, имеющих детей в возрасте до 14 лет, и матерей, имеющих детей-инвалидов. Женщины зачастую не располагают временем для получения соответствующей профе</w:t>
      </w:r>
      <w:r>
        <w:t>с</w:t>
      </w:r>
      <w:r>
        <w:t>сиональной подготовки в целях совершенствования своих навыков, поскольку они выполняют дополн</w:t>
      </w:r>
      <w:r>
        <w:t>и</w:t>
      </w:r>
      <w:r>
        <w:t>тельную рабочую нагрузку в качестве матерей. Для решения этой проблемы женщинам предлагаются гибкие графики работы, работа неполный рабочий день, работа на дому, курсы заочного обучения и другие альтернативные варианты.</w:t>
      </w:r>
    </w:p>
    <w:p w:rsidR="00000000" w:rsidRDefault="00000000">
      <w:pPr>
        <w:pStyle w:val="DualTxt"/>
      </w:pPr>
      <w:r>
        <w:t>29.</w:t>
      </w:r>
      <w:r>
        <w:tab/>
        <w:t>Что касается условий труда, ограничений на работу женщин и безработицы, то она указывает, что экономика Украины претерпевает существе</w:t>
      </w:r>
      <w:r>
        <w:t>н</w:t>
      </w:r>
      <w:r>
        <w:t>ную перестройку на пути перехода от администр</w:t>
      </w:r>
      <w:r>
        <w:t>а</w:t>
      </w:r>
      <w:r>
        <w:t>тивной к рыночной системе. В рамках процесса приватизации государство заключило договоры с новыми владельцами предприятий, требуя от них инвестировать средства в процесс улучшения усл</w:t>
      </w:r>
      <w:r>
        <w:t>о</w:t>
      </w:r>
      <w:r>
        <w:t>вий труда и устанавливая санкции за несоблюдение этого. В министерстве труда и социальной политики имеется департамент, который рассматривает в</w:t>
      </w:r>
      <w:r>
        <w:t>о</w:t>
      </w:r>
      <w:r>
        <w:t>просы охраны труда и устанавливает наказание для работодателей, не улучшающих условия работы. Перечень ограничений на труд женщин подвергае</w:t>
      </w:r>
      <w:r>
        <w:t>т</w:t>
      </w:r>
      <w:r>
        <w:t>ся периодическому пересмотру с учетом степени улучшения условий труда в конкретных отраслях производства. Женщинам не разрешается работать на исключительно вредных производствах или в у</w:t>
      </w:r>
      <w:r>
        <w:t>с</w:t>
      </w:r>
      <w:r>
        <w:t>ловиях, которые могут быть опасными для их зд</w:t>
      </w:r>
      <w:r>
        <w:t>о</w:t>
      </w:r>
      <w:r>
        <w:t>ровья или лишить их возможности иметь детей. По мере улучшения условий перечень будет пересма</w:t>
      </w:r>
      <w:r>
        <w:t>т</w:t>
      </w:r>
      <w:r>
        <w:t>риваться, и женщинам будет предоставлена во</w:t>
      </w:r>
      <w:r>
        <w:t>з</w:t>
      </w:r>
      <w:r>
        <w:t>можность, если они захотят, выполнять любой вид работы. Никаких исследований об отношении же</w:t>
      </w:r>
      <w:r>
        <w:t>н</w:t>
      </w:r>
      <w:r>
        <w:t>щин к таким мерам защиты не проводилось, однако результаты исследований о положении женщин и молодежи, проводимых в настоящее время Госуда</w:t>
      </w:r>
      <w:r>
        <w:t>р</w:t>
      </w:r>
      <w:r>
        <w:t>ственным институтом по проблемам семьи и мол</w:t>
      </w:r>
      <w:r>
        <w:t>о</w:t>
      </w:r>
      <w:r>
        <w:t>дежи, будут учтены в будущих пр</w:t>
      </w:r>
      <w:r>
        <w:t>о</w:t>
      </w:r>
      <w:r>
        <w:t>граммах.</w:t>
      </w:r>
    </w:p>
    <w:p w:rsidR="00000000" w:rsidRDefault="00000000">
      <w:pPr>
        <w:pStyle w:val="DualTxt"/>
      </w:pPr>
      <w:r>
        <w:t>30.</w:t>
      </w:r>
      <w:r>
        <w:tab/>
        <w:t>Она не поняла вопроса об освобождаемых должностях, поэтому не может дать на него ответ. По вопросу о безработице она указывает, что в ра</w:t>
      </w:r>
      <w:r>
        <w:t>з</w:t>
      </w:r>
      <w:r>
        <w:t>личных сферах и регионах действуют государс</w:t>
      </w:r>
      <w:r>
        <w:t>т</w:t>
      </w:r>
      <w:r>
        <w:t>венные центры по трудоустройству, главная цель которых заключается в регистрации безработных лиц и оказании им помощи в совершенствовании своих профессиональных навыков и поиске работы. Примерно 90 процентов женщин либо имеют раб</w:t>
      </w:r>
      <w:r>
        <w:t>о</w:t>
      </w:r>
      <w:r>
        <w:t>ту, либо учатся, в результате чего насчитывается не очень много домохозяек, занимающихся этим по</w:t>
      </w:r>
      <w:r>
        <w:t>л</w:t>
      </w:r>
      <w:r>
        <w:t>ный рабочий день. Если женщина сталкивается с проблемой в плане поиска работы, она может обр</w:t>
      </w:r>
      <w:r>
        <w:t>а</w:t>
      </w:r>
      <w:r>
        <w:t>титься за помощью в центр по тр</w:t>
      </w:r>
      <w:r>
        <w:t>у</w:t>
      </w:r>
      <w:r>
        <w:t>доустройству.</w:t>
      </w:r>
    </w:p>
    <w:p w:rsidR="00000000" w:rsidRDefault="00000000">
      <w:pPr>
        <w:pStyle w:val="DualTxt"/>
      </w:pPr>
      <w:r>
        <w:t>31.</w:t>
      </w:r>
      <w:r>
        <w:tab/>
        <w:t>Что касается положения пожилых и сельских женщин, то она отмечает, что среди бедноты много пожилых женщин, многие из которых живут в од</w:t>
      </w:r>
      <w:r>
        <w:t>и</w:t>
      </w:r>
      <w:r>
        <w:t>ночестве. Это отчасти объясняется различиями в продолжительности жизни между мужчинами и женщинами, а отчасти тем фактом, что в советский период многие женщины, жившие в деревнях, раб</w:t>
      </w:r>
      <w:r>
        <w:t>о</w:t>
      </w:r>
      <w:r>
        <w:t>тали недостаточно или не слишком долго, чтобы иметь право на получение пенсии. Однако госуда</w:t>
      </w:r>
      <w:r>
        <w:t>р</w:t>
      </w:r>
      <w:r>
        <w:t>ство предоставляет каждому минимальную пенсию. Министерство труда и социальной политики начало недавно осуществлять ряд социальных программ в интересах пожилых людей — как мужчин, так и женщин, — в рамках которых оно оказывает фина</w:t>
      </w:r>
      <w:r>
        <w:t>н</w:t>
      </w:r>
      <w:r>
        <w:t>совую, психологическую и другие виды помощи по всей стране. Пожилые и вышедшие на пенсию женщины и мужчины имеют равные права на пол</w:t>
      </w:r>
      <w:r>
        <w:t>у</w:t>
      </w:r>
      <w:r>
        <w:t>чение пенсий. Государство сумело ликвидировать свою задолженность перед пенсионерами и в п</w:t>
      </w:r>
      <w:r>
        <w:t>о</w:t>
      </w:r>
      <w:r>
        <w:t>следние два года повысило пенсии на 15 процентов. Можно надеяться, что новая Верховная Рада примет закон о пенсиях, который позволит мужчинам и женщинам заблаговременно планировать свой в</w:t>
      </w:r>
      <w:r>
        <w:t>ы</w:t>
      </w:r>
      <w:r>
        <w:t>ход на пе</w:t>
      </w:r>
      <w:r>
        <w:t>н</w:t>
      </w:r>
      <w:r>
        <w:t>сию.</w:t>
      </w:r>
    </w:p>
    <w:p w:rsidR="00000000" w:rsidRDefault="00000000">
      <w:pPr>
        <w:pStyle w:val="DualTxt"/>
      </w:pPr>
      <w:r>
        <w:t>32.</w:t>
      </w:r>
      <w:r>
        <w:tab/>
        <w:t>Что касается сельских женщин, то она говорит, что аграрная реформа, проведенная в 2001 году, б</w:t>
      </w:r>
      <w:r>
        <w:t>ы</w:t>
      </w:r>
      <w:r>
        <w:t>ла привязана к завершению экономической рефо</w:t>
      </w:r>
      <w:r>
        <w:t>р</w:t>
      </w:r>
      <w:r>
        <w:t>мы в деревнях. Все бывшие колхозы стали сельск</w:t>
      </w:r>
      <w:r>
        <w:t>о</w:t>
      </w:r>
      <w:r>
        <w:t>хозяйственными предприятиями. Земля была под</w:t>
      </w:r>
      <w:r>
        <w:t>е</w:t>
      </w:r>
      <w:r>
        <w:t>лена между людьми, живущими в деревнях. К 2001 году страна уже произвела рекордный урожай свыше 14 млн. тонн зерна; в настоящее время цель заключается в производстве 1 тонны зерна на жит</w:t>
      </w:r>
      <w:r>
        <w:t>е</w:t>
      </w:r>
      <w:r>
        <w:t>ля и увеличении также объема производства других продовольственных продуктов. Благодаря эконом</w:t>
      </w:r>
      <w:r>
        <w:t>и</w:t>
      </w:r>
      <w:r>
        <w:t>ческой реформе в аграрном секторе и перерабат</w:t>
      </w:r>
      <w:r>
        <w:t>ы</w:t>
      </w:r>
      <w:r>
        <w:t>вающих отраслях промышленности, в настоящее время Украина импортирует лишь 4 процента пр</w:t>
      </w:r>
      <w:r>
        <w:t>о</w:t>
      </w:r>
      <w:r>
        <w:t>довольственных продуктов, потребляемых в стране. Много предстоит сделать для производства проду</w:t>
      </w:r>
      <w:r>
        <w:t>к</w:t>
      </w:r>
      <w:r>
        <w:t>тов питания для детей. К сожалению, экономич</w:t>
      </w:r>
      <w:r>
        <w:t>е</w:t>
      </w:r>
      <w:r>
        <w:t>ские реформы в сельских районах не привели к с</w:t>
      </w:r>
      <w:r>
        <w:t>о</w:t>
      </w:r>
      <w:r>
        <w:t>циальным реформам; однако президент недавно подписал указ, обеспечивающий проведение соц</w:t>
      </w:r>
      <w:r>
        <w:t>и</w:t>
      </w:r>
      <w:r>
        <w:t>альных реформ в сельских районах. В рамках эк</w:t>
      </w:r>
      <w:r>
        <w:t>о</w:t>
      </w:r>
      <w:r>
        <w:t>номической реформы женщины-фермеры создали Союз сельских женщин Украины. Женщины также образовали ассоциацию преподавателей и ученых в аграрной сфере. Были образованы информационные центры, которые оказывают помощь в обучении женщин методам обработки земли и создании пре</w:t>
      </w:r>
      <w:r>
        <w:t>д</w:t>
      </w:r>
      <w:r>
        <w:t>приятий в деревнях и сельских районах. С пом</w:t>
      </w:r>
      <w:r>
        <w:t>о</w:t>
      </w:r>
      <w:r>
        <w:t>щью Государственного комитета по делам семьи и молодежи и различных международных организ</w:t>
      </w:r>
      <w:r>
        <w:t>а</w:t>
      </w:r>
      <w:r>
        <w:t>ций женщины на селе создают кредитные союзы, которые позволяют им объединять финансовые средства и создавать небольшие предприятия. Тем не менее положение сельских женщин еще оставл</w:t>
      </w:r>
      <w:r>
        <w:t>я</w:t>
      </w:r>
      <w:r>
        <w:t>ет желать лучшего. Ее управление взаимодействует с министерством аграрной политики по ряду пр</w:t>
      </w:r>
      <w:r>
        <w:t>о</w:t>
      </w:r>
      <w:r>
        <w:t>грамм, разработанных в целях улучшения полож</w:t>
      </w:r>
      <w:r>
        <w:t>е</w:t>
      </w:r>
      <w:r>
        <w:t>ния женщин на селе.</w:t>
      </w:r>
    </w:p>
    <w:p w:rsidR="00000000" w:rsidRDefault="00000000">
      <w:pPr>
        <w:pStyle w:val="DualTxt"/>
      </w:pPr>
      <w:r>
        <w:t>33.</w:t>
      </w:r>
      <w:r>
        <w:tab/>
        <w:t>Алкоголизм и курение распространены среди женщин в меньшей степени, чем среди мужчин, х</w:t>
      </w:r>
      <w:r>
        <w:t>о</w:t>
      </w:r>
      <w:r>
        <w:t>тя последние исследования показали, что молодые женщины и девушки начинают курить. Алкоголизм на Украине не является угрозой для здоровья или репродуктивной функции женщин. Тем не менее необходимо уделять больше внимания программам проф</w:t>
      </w:r>
      <w:r>
        <w:t>и</w:t>
      </w:r>
      <w:r>
        <w:t>лактики.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 16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Г</w:t>
      </w:r>
      <w:r>
        <w:rPr>
          <w:b/>
        </w:rPr>
        <w:noBreakHyphen/>
        <w:t>жа Капалата</w:t>
      </w:r>
      <w:r>
        <w:t xml:space="preserve"> просит представителя Укра</w:t>
      </w:r>
      <w:r>
        <w:t>и</w:t>
      </w:r>
      <w:r>
        <w:t>ны пояснить ранее упомянутую ею ссылку на пр</w:t>
      </w:r>
      <w:r>
        <w:t>о</w:t>
      </w:r>
      <w:r>
        <w:t>цедуру и условия заключения контрактных согл</w:t>
      </w:r>
      <w:r>
        <w:t>а</w:t>
      </w:r>
      <w:r>
        <w:t>шений. В качестве положительного момента она отмечает заявление на стр. 8 доклада Украины (CEDAW/C/UKR/4–5), касающееся того, что «ос</w:t>
      </w:r>
      <w:r>
        <w:t>у</w:t>
      </w:r>
      <w:r>
        <w:t>ществление этих прав женщинами гарантируется предоставлением им равных возможностей наряду с мужчинами…». Важно подчеркнуть, что права женщин не должны относиться к теоретической сфере, а должны осуществляться на практике.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>жа Кваку</w:t>
      </w:r>
      <w:r>
        <w:t xml:space="preserve"> интересуется, применяется ли также Кодекс о браке и семье Украины в отношении этнических, лингвистических и религиозных мен</w:t>
      </w:r>
      <w:r>
        <w:t>ь</w:t>
      </w:r>
      <w:r>
        <w:t>шинств в стране. Действуют ли какие-либо другие кодексы в отношении этнических меньшинств, и если да, то насколько трудно они поддаются испо</w:t>
      </w:r>
      <w:r>
        <w:t>л</w:t>
      </w:r>
      <w:r>
        <w:t>нению?</w:t>
      </w:r>
    </w:p>
    <w:p w:rsidR="00000000" w:rsidRDefault="00000000">
      <w:pPr>
        <w:pStyle w:val="DualTxt"/>
      </w:pPr>
      <w:r>
        <w:t>36.</w:t>
      </w:r>
      <w:r>
        <w:tab/>
      </w:r>
      <w:r>
        <w:rPr>
          <w:b/>
        </w:rPr>
        <w:t>Г</w:t>
      </w:r>
      <w:r>
        <w:rPr>
          <w:b/>
        </w:rPr>
        <w:noBreakHyphen/>
        <w:t>жа Акар</w:t>
      </w:r>
      <w:r>
        <w:t>, ссылаясь на статью 16 Конвенции, с воодушевлением отмечает, что изнасилование супруги супругом является преступлением, подл</w:t>
      </w:r>
      <w:r>
        <w:t>е</w:t>
      </w:r>
      <w:r>
        <w:t>жащим на Украине наказанию. Были ли доведены до сведения судов какие-либо случаи о фактическом изнасиловании супруги супругом? Каково воздейс</w:t>
      </w:r>
      <w:r>
        <w:t>т</w:t>
      </w:r>
      <w:r>
        <w:t>вие работы нового суда по делам семьи на имущ</w:t>
      </w:r>
      <w:r>
        <w:t>е</w:t>
      </w:r>
      <w:r>
        <w:t>ственные права супругов во время брака и после его расторжения, особенно в случаях, когда замужние женщины занимаются частным бизнесом? Проявл</w:t>
      </w:r>
      <w:r>
        <w:t>я</w:t>
      </w:r>
      <w:r>
        <w:t>ется ли дискриминация в отношении женщин, и е</w:t>
      </w:r>
      <w:r>
        <w:t>с</w:t>
      </w:r>
      <w:r>
        <w:t>ли да, то какие рассматриваются меры для улучш</w:t>
      </w:r>
      <w:r>
        <w:t>е</w:t>
      </w:r>
      <w:r>
        <w:t>ния пол</w:t>
      </w:r>
      <w:r>
        <w:t>о</w:t>
      </w:r>
      <w:r>
        <w:t>жения?</w:t>
      </w: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>жа Рэдей</w:t>
      </w:r>
      <w:r>
        <w:t xml:space="preserve"> просит пояснить вопрос о запр</w:t>
      </w:r>
      <w:r>
        <w:t>е</w:t>
      </w:r>
      <w:r>
        <w:t>щении торговли женщинами. Относится ли запр</w:t>
      </w:r>
      <w:r>
        <w:t>е</w:t>
      </w:r>
      <w:r>
        <w:t>щение к торговле внутри страны или только к то</w:t>
      </w:r>
      <w:r>
        <w:t>р</w:t>
      </w:r>
      <w:r>
        <w:t>говле, которая осуществляется в рамках междун</w:t>
      </w:r>
      <w:r>
        <w:t>а</w:t>
      </w:r>
      <w:r>
        <w:t>родных границ? Следует поблагодарить Украину за решение этой проблемы, несмотря на экономич</w:t>
      </w:r>
      <w:r>
        <w:t>е</w:t>
      </w:r>
      <w:r>
        <w:t>ские трудности и трудное положение, с которым сталкивается страна в области здр</w:t>
      </w:r>
      <w:r>
        <w:t>а</w:t>
      </w:r>
      <w:r>
        <w:t>воохранения.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жа Ахмад</w:t>
      </w:r>
      <w:r>
        <w:t xml:space="preserve"> отмечает, что НПО попросили представить замечания лишь после завершения р</w:t>
      </w:r>
      <w:r>
        <w:t>а</w:t>
      </w:r>
      <w:r>
        <w:t>боты над докладом. Было бы предпочтительно пр</w:t>
      </w:r>
      <w:r>
        <w:t>и</w:t>
      </w:r>
      <w:r>
        <w:t>влекать их к участию в этом процессе с самого н</w:t>
      </w:r>
      <w:r>
        <w:t>а</w:t>
      </w:r>
      <w:r>
        <w:t>чала.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>жа Довженко</w:t>
      </w:r>
      <w:r>
        <w:t xml:space="preserve"> отвечает, что статья 7 Кодекса о браке и семье обеспечивает равные права и об</w:t>
      </w:r>
      <w:r>
        <w:t>я</w:t>
      </w:r>
      <w:r>
        <w:t>занности, а также равную защиту по закону для мужчин и женщин без каких-либо ограничений на основе расы, цвета кожи, пола, политической, рел</w:t>
      </w:r>
      <w:r>
        <w:t>и</w:t>
      </w:r>
      <w:r>
        <w:t>гиозной, этнической или социальной принадлежн</w:t>
      </w:r>
      <w:r>
        <w:t>о</w:t>
      </w:r>
      <w:r>
        <w:t>сти, материального положения, места жительства или языка. Семейный кодекс также предусматрив</w:t>
      </w:r>
      <w:r>
        <w:t>а</w:t>
      </w:r>
      <w:r>
        <w:t>ет заключение мужчинами и женщинами при всту</w:t>
      </w:r>
      <w:r>
        <w:t>п</w:t>
      </w:r>
      <w:r>
        <w:t>лении в брак добрачных соглашений, однако и</w:t>
      </w:r>
      <w:r>
        <w:t>с</w:t>
      </w:r>
      <w:r>
        <w:t>пользование таких соглашений не является повс</w:t>
      </w:r>
      <w:r>
        <w:t>е</w:t>
      </w:r>
      <w:r>
        <w:t>местным.</w:t>
      </w:r>
    </w:p>
    <w:p w:rsidR="00000000" w:rsidRDefault="00000000">
      <w:pPr>
        <w:pStyle w:val="DualTxt"/>
      </w:pPr>
      <w:r>
        <w:t>40.</w:t>
      </w:r>
      <w:r>
        <w:tab/>
        <w:t>Касаясь защиты имущественных прав женщин, она говорит, что по статье 52 как жена, так и муж имеют равные права на физическое и интеллект</w:t>
      </w:r>
      <w:r>
        <w:t>у</w:t>
      </w:r>
      <w:r>
        <w:t>альное развитие, образование, самовыражение, р</w:t>
      </w:r>
      <w:r>
        <w:t>а</w:t>
      </w:r>
      <w:r>
        <w:t>боту и отдых. Женщина, вступающая в брак, ост</w:t>
      </w:r>
      <w:r>
        <w:t>а</w:t>
      </w:r>
      <w:r>
        <w:t>ется независимой во всех вопросах, касающихся ее образования и работы. Статья 57 гарантирует ра</w:t>
      </w:r>
      <w:r>
        <w:t>в</w:t>
      </w:r>
      <w:r>
        <w:t>ные права для мужчин и женщин в отношении имущества, приобретенного совместно во время брака. Она не располагает статистическими данн</w:t>
      </w:r>
      <w:r>
        <w:t>ы</w:t>
      </w:r>
      <w:r>
        <w:t>ми о случаях наказания за изнасилование супруги супругом, однако она может заверить членов в том, что такие случаи находились на рассмотрении с</w:t>
      </w:r>
      <w:r>
        <w:t>у</w:t>
      </w:r>
      <w:r>
        <w:t>дов. Торговля женщинами и детьми является уг</w:t>
      </w:r>
      <w:r>
        <w:t>о</w:t>
      </w:r>
      <w:r>
        <w:t>ловно наказуемым преступлением, независимо от того, происходит она на Украине или за ее границ</w:t>
      </w:r>
      <w:r>
        <w:t>а</w:t>
      </w:r>
      <w:r>
        <w:t>ми.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Заседание закрывается в 17 ч. 05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NO&gt;&gt;N0241530R&lt;&lt;ODS JOB NO&gt;&gt;</w:t>
      </w:r>
    </w:p>
    <w:p w:rsidR="00000000" w:rsidRDefault="00000000">
      <w:pPr>
        <w:pStyle w:val="CommentText"/>
      </w:pPr>
      <w:r>
        <w:t>&lt;&lt;ODS DOC SYMBOL1&gt;&gt;CEDAW/C/SR.556&lt;&lt;ODS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02-41530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*0241530*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CEDAW/C/SR.556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CEDAW/C/SR.556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/C/SR.556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28 January 2004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6/01/2004 7:05: PM"/>
    <w:docVar w:name="DocCategory" w:val="SROthers"/>
    <w:docVar w:name="DocType" w:val="Final"/>
    <w:docVar w:name="JobNo" w:val="0241530R"/>
    <w:docVar w:name="OandT" w:val=" "/>
    <w:docVar w:name="Symbol1" w:val="CEDAW/C/SR.556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3803</Words>
  <Characters>21678</Characters>
  <Application>Microsoft Office Word</Application>
  <DocSecurity>4</DocSecurity>
  <Lines>180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26622</CharactersWithSpaces>
  <SharedDoc>false</SharedDoc>
  <HLinks>
    <vt:vector size="6" baseType="variant">
      <vt:variant>
        <vt:i4>4522087</vt:i4>
      </vt:variant>
      <vt:variant>
        <vt:i4>53840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7</cp:revision>
  <cp:lastPrinted>2004-01-27T10:37:00Z</cp:lastPrinted>
  <dcterms:created xsi:type="dcterms:W3CDTF">2004-01-27T10:24:00Z</dcterms:created>
  <dcterms:modified xsi:type="dcterms:W3CDTF">2004-01-27T12:03:00Z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0241530</vt:lpwstr>
  </property>
  <property fmtid="{D5CDD505-2E9C-101B-9397-08002B2CF9AE}" pid="3" name="Symbol1">
    <vt:lpwstr>CEDAW/C/SR.556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Mitrofanova</vt:lpwstr>
  </property>
</Properties>
</file>