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00D" w:rsidRDefault="001D000D" w:rsidP="001D000D">
      <w:pPr>
        <w:spacing w:line="60" w:lineRule="exact"/>
        <w:rPr>
          <w:sz w:val="6"/>
        </w:rPr>
        <w:sectPr w:rsidR="001D000D" w:rsidSect="001D000D">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r>
        <w:rPr>
          <w:rStyle w:val="CommentReference"/>
        </w:rPr>
        <w:commentReference w:id="0"/>
      </w:r>
    </w:p>
    <w:p w:rsidR="001D000D" w:rsidRDefault="001D000D" w:rsidP="001D000D">
      <w:pPr>
        <w:spacing w:line="60" w:lineRule="exact"/>
        <w:rPr>
          <w:sz w:val="6"/>
        </w:rPr>
      </w:pPr>
    </w:p>
    <w:p w:rsidR="00931A74" w:rsidRDefault="00931A74" w:rsidP="00931A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Lines="60" w:after="144"/>
        <w:ind w:left="1267" w:right="1260" w:hanging="1267"/>
        <w:rPr>
          <w:rFonts w:hint="eastAsia"/>
        </w:rPr>
      </w:pPr>
      <w:r>
        <w:rPr>
          <w:rFonts w:hint="eastAsia"/>
        </w:rPr>
        <w:t>消除对妇女歧视委员会</w:t>
      </w:r>
    </w:p>
    <w:p w:rsidR="00931A74" w:rsidRPr="009344AF" w:rsidRDefault="00931A74" w:rsidP="00931A74">
      <w:pPr>
        <w:pStyle w:val="SingleTxt"/>
        <w:spacing w:afterLines="60" w:after="144"/>
        <w:ind w:left="0"/>
        <w:rPr>
          <w:rFonts w:ascii="SimHei" w:eastAsia="SimHei" w:hint="eastAsia"/>
          <w:color w:val="FF0000"/>
        </w:rPr>
      </w:pPr>
      <w:r w:rsidRPr="009344AF">
        <w:rPr>
          <w:rFonts w:ascii="SimHei" w:eastAsia="SimHei" w:hint="eastAsia"/>
          <w:color w:val="FF0000"/>
        </w:rPr>
        <w:t>第四十一届会议</w:t>
      </w:r>
    </w:p>
    <w:p w:rsidR="00931A74" w:rsidRDefault="00931A74" w:rsidP="00931A74">
      <w:pPr>
        <w:pStyle w:val="SingleTxt"/>
        <w:spacing w:after="60"/>
        <w:ind w:left="0"/>
        <w:rPr>
          <w:rFonts w:hint="eastAsia"/>
        </w:rPr>
      </w:pPr>
      <w:r>
        <w:rPr>
          <w:rFonts w:hint="eastAsia"/>
        </w:rPr>
        <w:t>2008年6月30日至7月18日</w:t>
      </w:r>
    </w:p>
    <w:p w:rsidR="00931A74" w:rsidRPr="00931A74" w:rsidRDefault="00931A74" w:rsidP="00931A74">
      <w:pPr>
        <w:pStyle w:val="SingleTxt"/>
        <w:spacing w:after="0" w:line="120" w:lineRule="exact"/>
        <w:ind w:right="0"/>
        <w:rPr>
          <w:rFonts w:hint="eastAsia"/>
          <w:sz w:val="10"/>
        </w:rPr>
      </w:pPr>
    </w:p>
    <w:p w:rsidR="00931A74" w:rsidRPr="00931A74" w:rsidRDefault="00931A74" w:rsidP="00931A74">
      <w:pPr>
        <w:pStyle w:val="SingleTxt"/>
        <w:spacing w:after="0" w:line="120" w:lineRule="exact"/>
        <w:ind w:right="0"/>
        <w:rPr>
          <w:rFonts w:hint="eastAsia"/>
          <w:sz w:val="10"/>
        </w:rPr>
      </w:pPr>
    </w:p>
    <w:p w:rsidR="00931A74" w:rsidRPr="00931A74" w:rsidRDefault="00931A74" w:rsidP="00931A74">
      <w:pPr>
        <w:pStyle w:val="SingleTxt"/>
        <w:spacing w:after="0" w:line="120" w:lineRule="exact"/>
        <w:ind w:right="0"/>
        <w:rPr>
          <w:rFonts w:hint="eastAsia"/>
          <w:sz w:val="10"/>
        </w:rPr>
      </w:pPr>
    </w:p>
    <w:p w:rsidR="00931A74" w:rsidRDefault="00931A74" w:rsidP="00931A74">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rFonts w:hint="eastAsia"/>
        </w:rPr>
        <w:tab/>
      </w:r>
      <w:r>
        <w:rPr>
          <w:rFonts w:hint="eastAsia"/>
        </w:rPr>
        <w:tab/>
        <w:t>消除对妇女歧视委员会的结论意见草稿：斯洛伐克</w:t>
      </w:r>
    </w:p>
    <w:p w:rsidR="00931A74" w:rsidRPr="00931A74" w:rsidRDefault="00931A74" w:rsidP="00931A74">
      <w:pPr>
        <w:pStyle w:val="SingleTxt"/>
        <w:spacing w:after="0" w:line="120" w:lineRule="exact"/>
        <w:ind w:right="0"/>
        <w:rPr>
          <w:rFonts w:hint="eastAsia"/>
          <w:sz w:val="10"/>
        </w:rPr>
      </w:pPr>
    </w:p>
    <w:p w:rsidR="00931A74" w:rsidRPr="00931A74" w:rsidRDefault="00931A74" w:rsidP="00931A74">
      <w:pPr>
        <w:pStyle w:val="SingleTxt"/>
        <w:spacing w:after="0" w:line="120" w:lineRule="exact"/>
        <w:ind w:right="0"/>
        <w:rPr>
          <w:rFonts w:hint="eastAsia"/>
          <w:sz w:val="10"/>
        </w:rPr>
      </w:pPr>
    </w:p>
    <w:p w:rsidR="00931A74" w:rsidRDefault="00931A74" w:rsidP="00931A74">
      <w:pPr>
        <w:pStyle w:val="SingleTxt"/>
        <w:rPr>
          <w:rFonts w:hint="eastAsia"/>
        </w:rPr>
      </w:pPr>
      <w:r>
        <w:rPr>
          <w:rFonts w:hint="eastAsia"/>
        </w:rPr>
        <w:t>1.</w:t>
      </w:r>
      <w:r>
        <w:rPr>
          <w:rFonts w:hint="eastAsia"/>
        </w:rPr>
        <w:tab/>
        <w:t>2008年7月14日，委员会第846次和第847次会议审议了斯洛伐克第二次、第三次和第四次合并定期报告（CEDAW/C/SVK/4）（见CEDAW/C/SR.846和847）。委员会的议题和问题清单载于CEDAW/C/SVK/Q/4，斯洛伐克的答复载于CEDAW/</w:t>
      </w:r>
      <w:r>
        <w:br/>
      </w:r>
      <w:r>
        <w:rPr>
          <w:rFonts w:hint="eastAsia"/>
        </w:rPr>
        <w:t>C/SVK/Q/4/Add.1。</w:t>
      </w:r>
    </w:p>
    <w:p w:rsidR="00931A74" w:rsidRDefault="00931A74" w:rsidP="00931A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导言</w:t>
      </w:r>
    </w:p>
    <w:p w:rsidR="00931A74" w:rsidRPr="00931A74" w:rsidRDefault="00931A74" w:rsidP="00931A74">
      <w:pPr>
        <w:pStyle w:val="SingleTxt"/>
        <w:spacing w:after="0" w:line="120" w:lineRule="exact"/>
        <w:ind w:right="0"/>
        <w:rPr>
          <w:rFonts w:hint="eastAsia"/>
          <w:sz w:val="10"/>
        </w:rPr>
      </w:pPr>
    </w:p>
    <w:p w:rsidR="00931A74" w:rsidRDefault="00931A74" w:rsidP="00931A74">
      <w:pPr>
        <w:pStyle w:val="SingleTxt"/>
        <w:rPr>
          <w:rFonts w:hint="eastAsia"/>
        </w:rPr>
      </w:pPr>
      <w:r>
        <w:rPr>
          <w:rFonts w:hint="eastAsia"/>
        </w:rPr>
        <w:t>2</w:t>
      </w:r>
      <w:r>
        <w:t>.</w:t>
      </w:r>
      <w:r>
        <w:rPr>
          <w:rFonts w:hint="eastAsia"/>
        </w:rPr>
        <w:tab/>
        <w:t>委员会赞赏缔约国遵循委员会定期报告编写导则提交第二次、第三次和第四次合并定期报告，但对报告提交时间推迟了十年表示遗憾。委员会还赞赏缔约国对会前工作组提出的议题和问题清单的书面答复以及对委员会提出的问题的口头陈述和答复。</w:t>
      </w:r>
    </w:p>
    <w:p w:rsidR="00931A74" w:rsidRDefault="00931A74" w:rsidP="00931A74">
      <w:pPr>
        <w:pStyle w:val="SingleTxt"/>
        <w:rPr>
          <w:rFonts w:hint="eastAsia"/>
        </w:rPr>
      </w:pPr>
      <w:r>
        <w:rPr>
          <w:rFonts w:hint="eastAsia"/>
        </w:rPr>
        <w:t>3</w:t>
      </w:r>
      <w:r>
        <w:t>.</w:t>
      </w:r>
      <w:r>
        <w:rPr>
          <w:rFonts w:hint="eastAsia"/>
        </w:rPr>
        <w:tab/>
        <w:t>委员会赞赏缔约国派遣外交部国务秘书率领的代表团出席会议，成员包括政府各部委和部门的代表。委员会对代表团与委员会成员之间进行坦诚而富有建设性的对话表示赞赏。</w:t>
      </w:r>
    </w:p>
    <w:p w:rsidR="00931A74" w:rsidRDefault="00931A74" w:rsidP="00931A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积极方面</w:t>
      </w:r>
    </w:p>
    <w:p w:rsidR="00931A74" w:rsidRPr="00931A74" w:rsidRDefault="00931A74" w:rsidP="00931A74">
      <w:pPr>
        <w:pStyle w:val="SingleTxt"/>
        <w:spacing w:after="0" w:line="120" w:lineRule="exact"/>
        <w:ind w:right="0"/>
        <w:rPr>
          <w:rFonts w:hint="eastAsia"/>
          <w:sz w:val="10"/>
        </w:rPr>
      </w:pPr>
    </w:p>
    <w:p w:rsidR="00931A74" w:rsidRDefault="00931A74" w:rsidP="00931A74">
      <w:pPr>
        <w:pStyle w:val="SingleTxt"/>
        <w:rPr>
          <w:rFonts w:hint="eastAsia"/>
        </w:rPr>
      </w:pPr>
      <w:r>
        <w:rPr>
          <w:rFonts w:hint="eastAsia"/>
        </w:rPr>
        <w:t>4.</w:t>
      </w:r>
      <w:r>
        <w:rPr>
          <w:rFonts w:hint="eastAsia"/>
        </w:rPr>
        <w:tab/>
        <w:t>委员会欢迎缔约国在2000年11月批准《公约》的《任择议定书》，并鼓励缔约国如代表团在建设性对话中所宣称，尽快接受对关于委员会会议时间的《公约》第20条第1款的修正。</w:t>
      </w:r>
    </w:p>
    <w:p w:rsidR="00931A74" w:rsidRDefault="00931A74" w:rsidP="00931A74">
      <w:pPr>
        <w:pStyle w:val="SingleTxt"/>
        <w:rPr>
          <w:rFonts w:hint="eastAsia"/>
        </w:rPr>
      </w:pPr>
      <w:r>
        <w:rPr>
          <w:rFonts w:hint="eastAsia"/>
        </w:rPr>
        <w:t>5.</w:t>
      </w:r>
      <w:r>
        <w:rPr>
          <w:rFonts w:hint="eastAsia"/>
        </w:rPr>
        <w:tab/>
        <w:t>委员会欢迎缔约国为消除对妇女歧视所采取的法律措施，包括：</w:t>
      </w:r>
    </w:p>
    <w:p w:rsidR="00931A74" w:rsidRDefault="00931A74" w:rsidP="00931A74">
      <w:pPr>
        <w:pStyle w:val="SingleTxt"/>
        <w:rPr>
          <w:rFonts w:hint="eastAsia"/>
        </w:rPr>
      </w:pPr>
      <w:r>
        <w:tab/>
        <w:t>(</w:t>
      </w:r>
      <w:r>
        <w:rPr>
          <w:rFonts w:hint="eastAsia"/>
        </w:rPr>
        <w:t>a)</w:t>
      </w:r>
      <w:r>
        <w:tab/>
      </w:r>
      <w:r>
        <w:rPr>
          <w:rFonts w:hint="eastAsia"/>
        </w:rPr>
        <w:t>2004年颁布《关于特定领域平等待遇和防止歧视的反歧视法》及其后的各项修正案；</w:t>
      </w:r>
    </w:p>
    <w:p w:rsidR="00931A74" w:rsidRDefault="00931A74" w:rsidP="00931A74">
      <w:pPr>
        <w:pStyle w:val="SingleTxt"/>
        <w:rPr>
          <w:rFonts w:hint="eastAsia"/>
        </w:rPr>
      </w:pPr>
      <w:r>
        <w:tab/>
        <w:t>(</w:t>
      </w:r>
      <w:r>
        <w:rPr>
          <w:rFonts w:hint="eastAsia"/>
        </w:rPr>
        <w:t>b)</w:t>
      </w:r>
      <w:r>
        <w:tab/>
      </w:r>
      <w:r>
        <w:rPr>
          <w:rFonts w:hint="eastAsia"/>
        </w:rPr>
        <w:t>1999至2002年对《刑法》、《刑事诉讼法》和其他立法的修正案，这些修正案将暴力侵害妇女行为，尤其是家庭暴力定为犯罪，并对暴力行为的实施者实行限制令；以及</w:t>
      </w:r>
    </w:p>
    <w:p w:rsidR="00931A74" w:rsidRDefault="00931A74" w:rsidP="00931A74">
      <w:pPr>
        <w:pStyle w:val="SingleTxt"/>
        <w:rPr>
          <w:rFonts w:hint="eastAsia"/>
        </w:rPr>
      </w:pPr>
      <w:r>
        <w:tab/>
        <w:t>(</w:t>
      </w:r>
      <w:r>
        <w:rPr>
          <w:rFonts w:hint="eastAsia"/>
        </w:rPr>
        <w:t>c)</w:t>
      </w:r>
      <w:r>
        <w:tab/>
      </w:r>
      <w:r>
        <w:rPr>
          <w:rFonts w:hint="eastAsia"/>
        </w:rPr>
        <w:t>《劳动法》及其2003年的修订案中促进兼顾男女家庭和工作责任的规定。</w:t>
      </w:r>
    </w:p>
    <w:p w:rsidR="00931A74" w:rsidRDefault="00931A74" w:rsidP="00931A74">
      <w:pPr>
        <w:pStyle w:val="SingleTxt"/>
      </w:pPr>
      <w:r>
        <w:rPr>
          <w:rFonts w:hint="eastAsia"/>
        </w:rPr>
        <w:t>6.</w:t>
      </w:r>
      <w:r>
        <w:rPr>
          <w:rFonts w:hint="eastAsia"/>
        </w:rPr>
        <w:tab/>
        <w:t>委员会欢迎在2008年1月成立了两性平等政府理事会，这是一个目的为实</w:t>
      </w:r>
      <w:r w:rsidRPr="004C4711">
        <w:rPr>
          <w:rFonts w:hint="eastAsia"/>
          <w:spacing w:val="2"/>
        </w:rPr>
        <w:t>施男女平等原则的政府咨询、协调和专家机构。委员会还欢迎在2004年通过《预防并消除对暴力侵害妇女行为及家庭暴力的国家战略》和2006年通过《打击贩运人口国家行动计划》。委员会还赞赏地注意到在包括《消除贫困和社会排斥国家行动计划》以及《就业国家行动计划》在内的其他战略计划中列入了性别问题。</w:t>
      </w:r>
    </w:p>
    <w:p w:rsidR="00931A74" w:rsidRDefault="00931A74" w:rsidP="00931A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主要关切领域和建议</w:t>
      </w:r>
    </w:p>
    <w:p w:rsidR="00931A74" w:rsidRPr="00931A74" w:rsidRDefault="00931A74" w:rsidP="00931A74">
      <w:pPr>
        <w:pStyle w:val="SingleTxt"/>
        <w:spacing w:after="0" w:line="120" w:lineRule="exact"/>
        <w:ind w:right="0"/>
        <w:rPr>
          <w:rFonts w:hint="eastAsia"/>
          <w:sz w:val="10"/>
        </w:rPr>
      </w:pPr>
    </w:p>
    <w:p w:rsidR="00931A74" w:rsidRPr="009D7EE1" w:rsidRDefault="00931A74" w:rsidP="00931A74">
      <w:pPr>
        <w:pStyle w:val="SingleTxt"/>
        <w:rPr>
          <w:rFonts w:ascii="SimHei" w:eastAsia="SimHei" w:hint="eastAsia"/>
          <w:color w:val="FF0000"/>
        </w:rPr>
      </w:pPr>
      <w:r>
        <w:rPr>
          <w:rFonts w:hint="eastAsia"/>
        </w:rPr>
        <w:t>7.</w:t>
      </w:r>
      <w:r>
        <w:rPr>
          <w:rFonts w:hint="eastAsia"/>
        </w:rPr>
        <w:tab/>
      </w:r>
      <w:r w:rsidRPr="009D7EE1">
        <w:rPr>
          <w:rFonts w:ascii="SimHei" w:eastAsia="SimHei" w:hint="eastAsia"/>
          <w:color w:val="FF0000"/>
        </w:rPr>
        <w:t>委员会提请注意，缔约国有义务系统地、持续地执行《公约》各项规定，同时认为，从现在到提交下一次定期报告期间，缔约国必须优先注意本结论意见提出的各项关切和建议。因此，委员会吁请缔约国将执行活动的重点放在这些领域上，并在下一次定期报告中汇报所采取的行动和取得的成果。委员会还吁请缔约国将本结论意见发交各相关部委、议会和司法机构，以确保这些意见得到充分执行。</w:t>
      </w:r>
    </w:p>
    <w:p w:rsidR="00931A74" w:rsidRDefault="00931A74" w:rsidP="00931A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反歧视立法的有限范围</w:t>
      </w:r>
    </w:p>
    <w:p w:rsidR="00931A74" w:rsidRPr="00931A74" w:rsidRDefault="00931A74" w:rsidP="00931A74">
      <w:pPr>
        <w:pStyle w:val="SingleTxt"/>
        <w:spacing w:after="0" w:line="120" w:lineRule="exact"/>
        <w:ind w:right="0"/>
        <w:rPr>
          <w:rFonts w:hint="eastAsia"/>
          <w:sz w:val="10"/>
        </w:rPr>
      </w:pPr>
    </w:p>
    <w:p w:rsidR="00931A74" w:rsidRDefault="00931A74" w:rsidP="00931A74">
      <w:pPr>
        <w:pStyle w:val="SingleTxt"/>
        <w:rPr>
          <w:rFonts w:hint="eastAsia"/>
        </w:rPr>
      </w:pPr>
      <w:r>
        <w:rPr>
          <w:rFonts w:hint="eastAsia"/>
        </w:rPr>
        <w:t>8.</w:t>
      </w:r>
      <w:r>
        <w:rPr>
          <w:rFonts w:hint="eastAsia"/>
        </w:rPr>
        <w:tab/>
        <w:t>委员会注意到缔约国为实现男女平等所采取的措施，同时关注现行法律在消除包括性别在内的各种原因歧视方面的有限范围，现行法律目的仅为实现个人的平等待遇，而没有全面体现《公约》中表达的实质性平等的原则。</w:t>
      </w:r>
    </w:p>
    <w:p w:rsidR="00931A74" w:rsidRPr="009D7EE1" w:rsidRDefault="00931A74" w:rsidP="00931A74">
      <w:pPr>
        <w:pStyle w:val="SingleTxt"/>
        <w:rPr>
          <w:rFonts w:ascii="SimHei" w:eastAsia="SimHei" w:hint="eastAsia"/>
          <w:color w:val="FF0000"/>
        </w:rPr>
      </w:pPr>
      <w:r>
        <w:rPr>
          <w:rFonts w:hint="eastAsia"/>
        </w:rPr>
        <w:t>9.</w:t>
      </w:r>
      <w:r>
        <w:rPr>
          <w:rFonts w:hint="eastAsia"/>
        </w:rPr>
        <w:tab/>
      </w:r>
      <w:r w:rsidRPr="009D7EE1">
        <w:rPr>
          <w:rFonts w:ascii="SimHei" w:eastAsia="SimHei" w:hint="eastAsia"/>
          <w:color w:val="FF0000"/>
        </w:rPr>
        <w:t>委员会请缔约国在努力实现两性平等和提高妇女地位时以《公约》的全面范畴为依据。委员会鼓励缔约国在所有相关法律和所有部门和各级政府的所有计划和政策中体现《公约》的规定。</w:t>
      </w:r>
    </w:p>
    <w:p w:rsidR="00931A74" w:rsidRDefault="00931A74" w:rsidP="00931A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提高认识和培训</w:t>
      </w:r>
    </w:p>
    <w:p w:rsidR="00931A74" w:rsidRPr="00931A74" w:rsidRDefault="00931A74" w:rsidP="00931A74">
      <w:pPr>
        <w:pStyle w:val="SingleTxt"/>
        <w:spacing w:after="0" w:line="120" w:lineRule="exact"/>
        <w:ind w:right="0"/>
        <w:rPr>
          <w:rFonts w:hint="eastAsia"/>
          <w:sz w:val="10"/>
        </w:rPr>
      </w:pPr>
    </w:p>
    <w:p w:rsidR="00931A74" w:rsidRDefault="00931A74" w:rsidP="00931A74">
      <w:pPr>
        <w:pStyle w:val="SingleTxt"/>
        <w:rPr>
          <w:rFonts w:hint="eastAsia"/>
        </w:rPr>
      </w:pPr>
      <w:r>
        <w:rPr>
          <w:rFonts w:hint="eastAsia"/>
        </w:rPr>
        <w:t>10.</w:t>
      </w:r>
      <w:r>
        <w:rPr>
          <w:rFonts w:hint="eastAsia"/>
        </w:rPr>
        <w:tab/>
        <w:t>委员会欢迎通过新的第90 /2001 Coll号宪法令，该法令规定缔约国批准的国际人权文书可以在国家法庭上直接援引。但委员会关注包括法律专业人士在内的公众对于《公约》各项规定及其《任择议定书》规定的可用程序认识有限。委员会还关注，尽管法律规定了妇女诉诸司法的权利，妇女在实践中实现这种权利以及将歧视案件提交法庭的能力受到一些因素的阻碍，如关于其权利的信息有限、缺乏实现这些权利的协助、法律费用和缔约国鼓励妇女选择调解而非法律行为的明显倾向。</w:t>
      </w:r>
    </w:p>
    <w:p w:rsidR="004C4711" w:rsidRPr="00F9500B" w:rsidRDefault="004C4711" w:rsidP="004C4711">
      <w:pPr>
        <w:pStyle w:val="SingleTxt"/>
        <w:rPr>
          <w:rFonts w:ascii="SimHei" w:eastAsia="SimHei" w:hint="eastAsia"/>
          <w:color w:val="FF0000"/>
        </w:rPr>
      </w:pPr>
      <w:r>
        <w:rPr>
          <w:rFonts w:hint="eastAsia"/>
        </w:rPr>
        <w:t>11.</w:t>
      </w:r>
      <w:r w:rsidRPr="00F9500B">
        <w:rPr>
          <w:rFonts w:ascii="SimHei" w:eastAsia="SimHei" w:hint="eastAsia"/>
          <w:color w:val="FF0000"/>
        </w:rPr>
        <w:tab/>
        <w:t>委员会建议推行关于《公约》、《任择议定书》和妇女权利的教育方案，特别针对所有法律专业人员，包括法官、律师、检察官、执法人员以及广大公众。委员会请缔约国消除妇女在诉诸司法时可能遇到的障碍。委员会还促请缔约国采取特别措施，包括普及法律知识，以提高妇女对自身权利的认识，以便行使这些权利，并鼓励妇女在有正当理由时，选择采取法律行动而不是调解。</w:t>
      </w:r>
    </w:p>
    <w:p w:rsidR="004C4711" w:rsidRPr="00F9500B" w:rsidRDefault="004C4711" w:rsidP="004C47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Pr="00F9500B">
        <w:rPr>
          <w:rFonts w:hint="eastAsia"/>
        </w:rPr>
        <w:t>暂行特别措施</w:t>
      </w:r>
    </w:p>
    <w:p w:rsidR="004C4711" w:rsidRPr="004C4711" w:rsidRDefault="004C4711" w:rsidP="004C4711">
      <w:pPr>
        <w:pStyle w:val="SingleTxt"/>
        <w:spacing w:after="0" w:line="120" w:lineRule="exact"/>
        <w:rPr>
          <w:rFonts w:hint="eastAsia"/>
          <w:sz w:val="10"/>
        </w:rPr>
      </w:pPr>
    </w:p>
    <w:p w:rsidR="004C4711" w:rsidRDefault="004C4711" w:rsidP="004C4711">
      <w:pPr>
        <w:pStyle w:val="SingleTxt"/>
        <w:rPr>
          <w:rFonts w:hint="eastAsia"/>
        </w:rPr>
      </w:pPr>
      <w:r>
        <w:rPr>
          <w:rFonts w:hint="eastAsia"/>
        </w:rPr>
        <w:t>12.</w:t>
      </w:r>
      <w:r>
        <w:rPr>
          <w:rFonts w:hint="eastAsia"/>
        </w:rPr>
        <w:tab/>
        <w:t>委员会欢迎代表团说明在缔约国执行暂行特别措施没有法律障碍，但感到关切的是对《公约》第4条第1款的范围和目的缺乏理解，而这应是采取这些措施的基础。</w:t>
      </w:r>
    </w:p>
    <w:p w:rsidR="004C4711" w:rsidRPr="00F9500B" w:rsidRDefault="004C4711" w:rsidP="004C4711">
      <w:pPr>
        <w:pStyle w:val="SingleTxt"/>
        <w:rPr>
          <w:rFonts w:ascii="SimHei" w:eastAsia="SimHei" w:hint="eastAsia"/>
          <w:color w:val="FF0000"/>
        </w:rPr>
      </w:pPr>
      <w:r>
        <w:rPr>
          <w:rFonts w:hint="eastAsia"/>
        </w:rPr>
        <w:t>13.</w:t>
      </w:r>
      <w:r>
        <w:rPr>
          <w:rFonts w:hint="eastAsia"/>
        </w:rPr>
        <w:tab/>
      </w:r>
      <w:r w:rsidRPr="00F9500B">
        <w:rPr>
          <w:rFonts w:ascii="SimHei" w:eastAsia="SimHei" w:hint="eastAsia"/>
          <w:color w:val="FF0000"/>
        </w:rPr>
        <w:t>委员会建议缔约国根据《公约》第4条第1款和委员会第25号一般性建议，采用暂行特别措施，作为在认为必要的各领域、特别是最高决策层争取加速实现男女实质性平等的必要战略的一部分。委员会还建议缔约国政府使各政党和广大公众都对这些措施的重要性有敏感认识。</w:t>
      </w:r>
    </w:p>
    <w:p w:rsidR="004C4711" w:rsidRDefault="004C4711" w:rsidP="004C47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Pr="00F9500B">
        <w:rPr>
          <w:rFonts w:hint="eastAsia"/>
        </w:rPr>
        <w:t>提高妇女地位的国家机构</w:t>
      </w:r>
    </w:p>
    <w:p w:rsidR="004C4711" w:rsidRPr="004C4711" w:rsidRDefault="004C4711" w:rsidP="004C4711">
      <w:pPr>
        <w:pStyle w:val="SingleTxt"/>
        <w:spacing w:after="0" w:line="120" w:lineRule="exact"/>
        <w:rPr>
          <w:rFonts w:hint="eastAsia"/>
          <w:sz w:val="10"/>
        </w:rPr>
      </w:pPr>
    </w:p>
    <w:p w:rsidR="004C4711" w:rsidRDefault="004C4711" w:rsidP="004C4711">
      <w:pPr>
        <w:pStyle w:val="SingleTxt"/>
        <w:rPr>
          <w:rFonts w:hint="eastAsia"/>
        </w:rPr>
      </w:pPr>
      <w:r>
        <w:rPr>
          <w:rFonts w:hint="eastAsia"/>
        </w:rPr>
        <w:t>14.</w:t>
      </w:r>
      <w:r>
        <w:rPr>
          <w:rFonts w:hint="eastAsia"/>
        </w:rPr>
        <w:tab/>
        <w:t>委员会欢迎缔约国做出努力，通过建立“两性平等政府委员会”，加强协调在政府层面上的性别平等主流化，但仍感关切的是提高妇女地位的国家机构各个部分缺乏明确的任务规定和责任，而且近年来反复改组，可能导致两性平等政策缺乏连续性。委员会还感到关切的是，缔约国的国家机构能力有限，无法充分确保协调在所有领域所有层面的性别平等主流化。</w:t>
      </w:r>
    </w:p>
    <w:p w:rsidR="004C4711" w:rsidRPr="00F9500B" w:rsidRDefault="004C4711" w:rsidP="004C4711">
      <w:pPr>
        <w:pStyle w:val="SingleTxt"/>
        <w:rPr>
          <w:rFonts w:ascii="SimHei" w:eastAsia="SimHei" w:hint="eastAsia"/>
          <w:color w:val="FF0000"/>
        </w:rPr>
      </w:pPr>
      <w:r>
        <w:rPr>
          <w:rFonts w:hint="eastAsia"/>
        </w:rPr>
        <w:t>15.</w:t>
      </w:r>
      <w:r>
        <w:rPr>
          <w:rFonts w:hint="eastAsia"/>
        </w:rPr>
        <w:tab/>
      </w:r>
      <w:r w:rsidRPr="00F9500B">
        <w:rPr>
          <w:rFonts w:ascii="SimHei" w:eastAsia="SimHei" w:hint="eastAsia"/>
          <w:color w:val="FF0000"/>
        </w:rPr>
        <w:t>委员会建议缔约国进一步强化提高妇女地位国家机构，清晰界定各部分的任务和责任，并加强它们之间的协调。委员会吁请缔约国确保国家机构有足够的决策权和人力财力资源，以有效推进各级别的妇女权利。委员会还促请缔约国确保国家机构制定政策和方案，旨在人权框架内全面有效实现两性平等。</w:t>
      </w:r>
    </w:p>
    <w:p w:rsidR="004C4711" w:rsidRDefault="004C4711" w:rsidP="004C47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Pr="00F9500B">
        <w:rPr>
          <w:rFonts w:hint="eastAsia"/>
        </w:rPr>
        <w:t>国家行动计划</w:t>
      </w:r>
    </w:p>
    <w:p w:rsidR="004C4711" w:rsidRPr="004C4711" w:rsidRDefault="004C4711" w:rsidP="004C4711">
      <w:pPr>
        <w:pStyle w:val="SingleTxt"/>
        <w:spacing w:after="0" w:line="120" w:lineRule="exact"/>
        <w:rPr>
          <w:rFonts w:hint="eastAsia"/>
          <w:sz w:val="10"/>
        </w:rPr>
      </w:pPr>
    </w:p>
    <w:p w:rsidR="004C4711" w:rsidRDefault="004C4711" w:rsidP="004C4711">
      <w:pPr>
        <w:pStyle w:val="SingleTxt"/>
        <w:rPr>
          <w:rFonts w:hint="eastAsia"/>
        </w:rPr>
      </w:pPr>
      <w:r>
        <w:rPr>
          <w:rFonts w:hint="eastAsia"/>
        </w:rPr>
        <w:t>16.</w:t>
      </w:r>
      <w:r>
        <w:rPr>
          <w:rFonts w:hint="eastAsia"/>
        </w:rPr>
        <w:tab/>
        <w:t>委员会注意到在家庭政策和性别政策司的监测下实施了各种促进男女平等的方案，但感到关切的是，目前没有一个确定了优先事项且以对2007年到期的上一个“妇女国家行动计划”的评价为基础的两性平等国家行动计划。</w:t>
      </w:r>
    </w:p>
    <w:p w:rsidR="004C4711" w:rsidRPr="00F9500B" w:rsidRDefault="004C4711" w:rsidP="004C4711">
      <w:pPr>
        <w:pStyle w:val="SingleTxt"/>
        <w:rPr>
          <w:rFonts w:ascii="SimHei" w:eastAsia="SimHei" w:hint="eastAsia"/>
          <w:color w:val="FF0000"/>
        </w:rPr>
      </w:pPr>
      <w:r>
        <w:rPr>
          <w:rFonts w:hint="eastAsia"/>
        </w:rPr>
        <w:t>17.</w:t>
      </w:r>
      <w:r>
        <w:rPr>
          <w:rFonts w:hint="eastAsia"/>
        </w:rPr>
        <w:tab/>
      </w:r>
      <w:r w:rsidRPr="00F9500B">
        <w:rPr>
          <w:rFonts w:ascii="SimHei" w:eastAsia="SimHei" w:hint="eastAsia"/>
          <w:color w:val="FF0000"/>
        </w:rPr>
        <w:t>委员会鼓励缔约国在各政府部门的参与下，与相关非政府组织协商，加速制定和通过新的“2009</w:t>
      </w:r>
      <w:r w:rsidRPr="0045481B">
        <w:rPr>
          <w:rFonts w:ascii="SimHei" w:eastAsia="SimHei"/>
          <w:color w:val="FF0000"/>
        </w:rPr>
        <w:t>-</w:t>
      </w:r>
      <w:r w:rsidRPr="00F9500B">
        <w:rPr>
          <w:rFonts w:ascii="SimHei" w:eastAsia="SimHei" w:hint="eastAsia"/>
          <w:color w:val="FF0000"/>
        </w:rPr>
        <w:t>2013两性平等国家战略”。委员会还吁请缔约国确保新的国家战略综合全面，对各个治理部门的责任做出具体规定。</w:t>
      </w:r>
    </w:p>
    <w:p w:rsidR="004C4711" w:rsidRDefault="004C4711" w:rsidP="004C47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Pr="00F9500B">
        <w:rPr>
          <w:rFonts w:hint="eastAsia"/>
        </w:rPr>
        <w:t>文化做法和教育</w:t>
      </w:r>
    </w:p>
    <w:p w:rsidR="004C4711" w:rsidRPr="004C4711" w:rsidRDefault="004C4711" w:rsidP="004C4711">
      <w:pPr>
        <w:pStyle w:val="SingleTxt"/>
        <w:spacing w:after="0" w:line="120" w:lineRule="exact"/>
        <w:rPr>
          <w:rFonts w:hint="eastAsia"/>
          <w:sz w:val="10"/>
        </w:rPr>
      </w:pPr>
    </w:p>
    <w:p w:rsidR="004C4711" w:rsidRDefault="004C4711" w:rsidP="004C4711">
      <w:pPr>
        <w:pStyle w:val="SingleTxt"/>
        <w:rPr>
          <w:rFonts w:hint="eastAsia"/>
        </w:rPr>
      </w:pPr>
      <w:r>
        <w:rPr>
          <w:rFonts w:hint="eastAsia"/>
        </w:rPr>
        <w:t>18.</w:t>
      </w:r>
      <w:r>
        <w:rPr>
          <w:rFonts w:hint="eastAsia"/>
        </w:rPr>
        <w:tab/>
        <w:t>委员会欢迎缔约国为消除劳动市场的性别隔离所采取的措施，包括在平等机会方面开展培训项目，但感到关切的是，关于妇女和男子在家庭和整个社会，包括在劳动市场、卫生保健部门、学术界和政界等受传统观念强烈制约的特定领域里所承担的角色和任务，长期存在传统定型观念。委员会还对学校教科书中持续普遍存在性别定型观念表示关切，这是造成男孩和女孩传统学业选择的根本原因。委员会还感到关切的是，在学校无法获得充分的性教育，这似乎不能满足女孩和男孩的需求，也不能帮助缔约国履行在这方面的责任。</w:t>
      </w:r>
    </w:p>
    <w:p w:rsidR="004C4711" w:rsidRPr="00F9500B" w:rsidRDefault="004C4711" w:rsidP="004C4711">
      <w:pPr>
        <w:pStyle w:val="SingleTxt"/>
        <w:rPr>
          <w:rFonts w:ascii="SimHei" w:eastAsia="SimHei" w:hint="eastAsia"/>
          <w:color w:val="FF0000"/>
        </w:rPr>
      </w:pPr>
      <w:r>
        <w:rPr>
          <w:rFonts w:hint="eastAsia"/>
        </w:rPr>
        <w:t>19.</w:t>
      </w:r>
      <w:r>
        <w:rPr>
          <w:rFonts w:hint="eastAsia"/>
        </w:rPr>
        <w:tab/>
      </w:r>
      <w:r w:rsidRPr="00F9500B">
        <w:rPr>
          <w:rFonts w:ascii="SimHei" w:eastAsia="SimHei" w:hint="eastAsia"/>
          <w:color w:val="FF0000"/>
        </w:rPr>
        <w:t>委员会促请缔约国按照《公约》第5条的要求，在教育体系中设计和执行综合方案，并鼓励大众媒体推进在男女两性的角色和责任方面的文化变革。委员会建议缔约国制定政策并执行方案，以确保消除在家庭、劳动市场、卫生保健部门、学术界、政界和整个社会的传统性别角色定型观念。委员会还吁请缔约国完成对学校教科书的审查，以取消性别定型观念，倡导对男女的家庭和社会角色的平等观点。委员会还建议缔约国确保在学校广泛开展同时针对女孩和男孩的性教育。</w:t>
      </w:r>
    </w:p>
    <w:p w:rsidR="004C4711" w:rsidRDefault="004C4711" w:rsidP="004C47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Pr="00F9500B">
        <w:rPr>
          <w:rFonts w:hint="eastAsia"/>
        </w:rPr>
        <w:t>暴力侵害妇女行为和贩运</w:t>
      </w:r>
    </w:p>
    <w:p w:rsidR="004C4711" w:rsidRPr="004C4711" w:rsidRDefault="004C4711" w:rsidP="004C4711">
      <w:pPr>
        <w:pStyle w:val="SingleTxt"/>
        <w:spacing w:after="0" w:line="120" w:lineRule="exact"/>
        <w:rPr>
          <w:rFonts w:hint="eastAsia"/>
          <w:sz w:val="10"/>
        </w:rPr>
      </w:pPr>
    </w:p>
    <w:p w:rsidR="004C4711" w:rsidRDefault="004C4711" w:rsidP="004C4711">
      <w:pPr>
        <w:pStyle w:val="SingleTxt"/>
        <w:rPr>
          <w:rFonts w:hint="eastAsia"/>
        </w:rPr>
      </w:pPr>
      <w:r>
        <w:rPr>
          <w:rFonts w:hint="eastAsia"/>
        </w:rPr>
        <w:t>20.</w:t>
      </w:r>
      <w:r>
        <w:rPr>
          <w:rFonts w:hint="eastAsia"/>
        </w:rPr>
        <w:tab/>
        <w:t>委员会承认缔约国为消除暴力侵害妇女行为采取了法律和其它措施，但感到关切的是，当前关于反暴力的立法对打击一切形式的暴力侵害妇女行为可能还不够全面和具体。委员会还感到关切的是，暴力侵害妇女和女孩行为的发生率很高，包括因家庭暴力导致的杀人。委员会还关切地注意到，缔约国的报告没有说明给女性暴力受害者提供的支助以及为打击暴力侵害妇女行为的方案分配充足财政资源。委员会还关切的是，没有针对不同人群，包括男性、女性和弱势社群的预防方案和运动，特别考虑到若干人口群体不承认存在暴力侵害妇女的现象。委员会对在家中体罚是合法的且构成暴力侵害儿童、包括女童的一种形式这一事实表示担忧。委员会还注意到，尽管缔约国通过了立法，规定贩运妇女是犯罪行为，并制订了行动计划和机制来制止这一现象，但报告没有全面说明在缔约国被贩运妇女和女孩的处境。</w:t>
      </w:r>
    </w:p>
    <w:p w:rsidR="00D42DC0" w:rsidRPr="00DE0DE1" w:rsidRDefault="00D42DC0" w:rsidP="00D42DC0">
      <w:pPr>
        <w:pStyle w:val="SingleTxt"/>
        <w:rPr>
          <w:rFonts w:ascii="SimHei" w:eastAsia="SimHei" w:hint="eastAsia"/>
          <w:color w:val="FF0000"/>
        </w:rPr>
      </w:pPr>
      <w:r w:rsidRPr="00D42DC0">
        <w:rPr>
          <w:rFonts w:hint="eastAsia"/>
        </w:rPr>
        <w:t>21</w:t>
      </w:r>
      <w:r w:rsidRPr="00DE0DE1">
        <w:rPr>
          <w:rFonts w:ascii="SimHei" w:eastAsia="SimHei" w:hint="eastAsia"/>
          <w:color w:val="FF0000"/>
        </w:rPr>
        <w:t>.</w:t>
      </w:r>
      <w:r w:rsidRPr="00DE0DE1">
        <w:rPr>
          <w:rFonts w:ascii="SimHei" w:eastAsia="SimHei" w:hint="eastAsia"/>
          <w:color w:val="FF0000"/>
        </w:rPr>
        <w:tab/>
        <w:t>委员会敦促缔约国优先采取全面和综合的措施，处理家庭和社会中的一切形式暴力侵害妇女行为。委员会吁请缔约国以符合要求的严肃态度和速度，确保起诉和惩处此类暴力行为，确保暴力行为的受害妇女获得直接的补救手段和保护措施。委员会请缔约国确保禁止暴力侵害妇女行为的立法不仅要具体、全面，而且应涵盖所有形式的暴力行为，且符合委员会第19号一般性建议的规定。委员会还建议缔约国采取措施，为暴力行为的受害妇女提供足够数量和满足适当标准的收容所，并确保公职人员（特别是执法官员、司法人员、医疗服务提供者和社会工作人员）对一切形式的暴力侵害妇女行为有充分敏感的认识。委员会请缔约国采取提高认识的措施，通过媒体和公众教育计划（包括零容忍运动），使此类暴力行为成为社会上和道德上不可接受的行径，并就家庭暴力导致凶杀案的根本原因进行一项专门研究。委员会还建议缔约国在其立法中纳入禁止在家庭中体罚儿童的条款。委员会请缔约国在下一次定期报告中提供详细资料，说明斯洛伐克被贩运妇女和女孩的状况及已采取措施的成果。</w:t>
      </w:r>
    </w:p>
    <w:p w:rsidR="00D42DC0" w:rsidRPr="00D42DC0" w:rsidRDefault="00D42DC0" w:rsidP="00D42D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D42DC0" w:rsidRPr="00DE0DE1" w:rsidRDefault="00D42DC0" w:rsidP="00D42D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Pr="00DE0DE1">
        <w:rPr>
          <w:rFonts w:hint="eastAsia"/>
        </w:rPr>
        <w:t>罗姆妇女</w:t>
      </w:r>
    </w:p>
    <w:p w:rsidR="00D42DC0" w:rsidRPr="00D42DC0" w:rsidRDefault="00D42DC0" w:rsidP="00D42DC0">
      <w:pPr>
        <w:pStyle w:val="SingleTxt"/>
        <w:spacing w:after="0" w:line="120" w:lineRule="exact"/>
        <w:rPr>
          <w:rFonts w:hint="eastAsia"/>
          <w:sz w:val="10"/>
        </w:rPr>
      </w:pPr>
    </w:p>
    <w:p w:rsidR="00D42DC0" w:rsidRDefault="00D42DC0" w:rsidP="00D42DC0">
      <w:pPr>
        <w:pStyle w:val="SingleTxt"/>
        <w:spacing w:line="340" w:lineRule="exact"/>
        <w:rPr>
          <w:rFonts w:hint="eastAsia"/>
        </w:rPr>
      </w:pPr>
      <w:r>
        <w:rPr>
          <w:rFonts w:hint="eastAsia"/>
        </w:rPr>
        <w:t>22.</w:t>
      </w:r>
      <w:r>
        <w:rPr>
          <w:rFonts w:hint="eastAsia"/>
        </w:rPr>
        <w:tab/>
        <w:t>委员会认可缔约国根据《罗姆人融入社会十年（2005年至2015年）》所采取的措施，但罗姆妇女和女童仍然处于弱势和被边缘化的状态（尤其是在健康、教育、就业和参与公共生活等方面），仍然是多重歧视的受害者，委员会对此表示关切。</w:t>
      </w:r>
    </w:p>
    <w:p w:rsidR="00D42DC0" w:rsidRPr="00DE0DE1" w:rsidRDefault="00D42DC0" w:rsidP="00D42DC0">
      <w:pPr>
        <w:pStyle w:val="SingleTxt"/>
        <w:spacing w:line="340" w:lineRule="exact"/>
        <w:rPr>
          <w:rFonts w:ascii="SimHei" w:eastAsia="SimHei" w:hint="eastAsia"/>
          <w:color w:val="FF0000"/>
        </w:rPr>
      </w:pPr>
      <w:r w:rsidRPr="00DE0DE1">
        <w:rPr>
          <w:rFonts w:ascii="SimHei" w:eastAsia="SimHei" w:hint="eastAsia"/>
          <w:color w:val="FF0000"/>
        </w:rPr>
        <w:t>23.</w:t>
      </w:r>
      <w:r w:rsidRPr="00DE0DE1">
        <w:rPr>
          <w:rFonts w:ascii="SimHei" w:eastAsia="SimHei" w:hint="eastAsia"/>
          <w:color w:val="FF0000"/>
        </w:rPr>
        <w:tab/>
        <w:t>委员会敦促缔约国根据《公约》第4条第1款及委员会第25号一般性建议，采取包括暂行特别措施在内的有效措施，消除多种形式的歧视罗姆妇女和女孩的行为，促进对她们人权的尊重。委员会还吁请缔约国通过加强在罗姆人、不歧视和性别平等问题、尤其是在卫生、教育、就业和参与公共生活等领域开展工作的所有机构之间的相互协调，加速促成罗姆妇女享有事实上的平等。委员会敦促缔约国采取有针对性的措施，在具体时间表规定的期限内消除所有领域内对罗姆妇女的歧视，监测这些措施的实施情况以及包括《罗姆人融入社会十年（2005年至2015年）》在内的既定目标的实现情况，并在必要时采取改正行动。委员会敦促缔约国采取具体步骤，改变多数人对罗姆人的传统观念，包括特别针对明显持有此类态度的社会阶层，开展提高认识方案和宣传方案。委员会吁请缔约国在下一次定期报告中全面说明罗姆妇女和女孩的状况，其中包括按性别分类的、有关她们受教育的机会和教育成就、获得就业机会和医疗保健服务以及参与公共生活和决策的数据。</w:t>
      </w:r>
    </w:p>
    <w:p w:rsidR="00D42DC0" w:rsidRPr="00DE0DE1" w:rsidRDefault="00D42DC0" w:rsidP="00D42D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Pr="00DE0DE1">
        <w:rPr>
          <w:rFonts w:hint="eastAsia"/>
        </w:rPr>
        <w:t>妇女参与政治和公共生活</w:t>
      </w:r>
    </w:p>
    <w:p w:rsidR="00D42DC0" w:rsidRPr="00D42DC0" w:rsidRDefault="00D42DC0" w:rsidP="00D42DC0">
      <w:pPr>
        <w:pStyle w:val="SingleTxt"/>
        <w:spacing w:after="0" w:line="120" w:lineRule="exact"/>
        <w:rPr>
          <w:rFonts w:hint="eastAsia"/>
          <w:sz w:val="10"/>
        </w:rPr>
      </w:pPr>
    </w:p>
    <w:p w:rsidR="00D42DC0" w:rsidRDefault="00D42DC0" w:rsidP="00D42DC0">
      <w:pPr>
        <w:pStyle w:val="SingleTxt"/>
        <w:spacing w:line="328" w:lineRule="exact"/>
        <w:rPr>
          <w:rFonts w:hint="eastAsia"/>
        </w:rPr>
      </w:pPr>
      <w:r>
        <w:rPr>
          <w:rFonts w:hint="eastAsia"/>
        </w:rPr>
        <w:t>24.</w:t>
      </w:r>
      <w:r>
        <w:rPr>
          <w:rFonts w:hint="eastAsia"/>
        </w:rPr>
        <w:tab/>
        <w:t>委员会对于缔约国提交的报告中缺乏妇女参与各个层次和部门的政治和公共生活方面的资料表示关切。报告中提供的可查数据表明，女性在决策和政治机构以及公共生活中（包括在学术界）的代表性不足，对此，委员会亦表示关注。此外，委员会对代表团所提供的理由，即妇女在政治和决策机构的任职人数很少是由于参与政治的社会需求不足表示关注，这似乎表明缔约国对于男女平等参与所有各级决策的重要性以及国家有责任促进和支持这一参与缺乏了解。</w:t>
      </w:r>
    </w:p>
    <w:p w:rsidR="00D42DC0" w:rsidRPr="00DE0DE1" w:rsidRDefault="00D42DC0" w:rsidP="00D42DC0">
      <w:pPr>
        <w:pStyle w:val="SingleTxt"/>
        <w:spacing w:line="328" w:lineRule="exact"/>
        <w:rPr>
          <w:rFonts w:ascii="SimHei" w:eastAsia="SimHei" w:hint="eastAsia"/>
          <w:color w:val="FF0000"/>
        </w:rPr>
      </w:pPr>
      <w:r w:rsidRPr="00DE0DE1">
        <w:rPr>
          <w:rFonts w:ascii="SimHei" w:eastAsia="SimHei" w:hint="eastAsia"/>
          <w:color w:val="FF0000"/>
        </w:rPr>
        <w:t>25.</w:t>
      </w:r>
      <w:r w:rsidRPr="00DE0DE1">
        <w:rPr>
          <w:rFonts w:ascii="SimHei" w:eastAsia="SimHei" w:hint="eastAsia"/>
          <w:color w:val="FF0000"/>
        </w:rPr>
        <w:tab/>
        <w:t>委员会鼓励缔约国根据《公约》第4条第1款及委员会第25号一般性建议，持续采取包括暂行特别措施在内的各种措施，并确立具体的目标和时间表，以加速提升妇女在政治和公共生活各领域各层次的民选和委任机构的代表性，并监测她们的成就。委员会还建议努力增加妇女在公共行政部门任命的决策岗位上的任职人数。这些措施应包括设立有时限的指标、开展提高认识运动、为政治党派提供财政激励、为妇女候选人和担任公职的女性当选者开发有针对性的培训和辅导方案等。委员会敦促缔约国在下一次定期报告中仔细监测已采取措施的成效和已取得的成果。</w:t>
      </w:r>
    </w:p>
    <w:p w:rsidR="00D42DC0" w:rsidRDefault="00D42DC0" w:rsidP="00D42DC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Pr="00DE0DE1">
        <w:rPr>
          <w:rFonts w:hint="eastAsia"/>
        </w:rPr>
        <w:t>就业</w:t>
      </w:r>
    </w:p>
    <w:p w:rsidR="00D42DC0" w:rsidRPr="00D42DC0" w:rsidRDefault="00D42DC0" w:rsidP="00D42DC0">
      <w:pPr>
        <w:pStyle w:val="SingleTxt"/>
        <w:spacing w:after="0" w:line="120" w:lineRule="exact"/>
        <w:rPr>
          <w:rFonts w:hint="eastAsia"/>
          <w:sz w:val="10"/>
        </w:rPr>
      </w:pPr>
    </w:p>
    <w:p w:rsidR="00D42DC0" w:rsidRDefault="00D42DC0" w:rsidP="00D42DC0">
      <w:pPr>
        <w:pStyle w:val="SingleTxt"/>
        <w:rPr>
          <w:rFonts w:hint="eastAsia"/>
        </w:rPr>
      </w:pPr>
      <w:r>
        <w:rPr>
          <w:rFonts w:hint="eastAsia"/>
        </w:rPr>
        <w:t>26.</w:t>
      </w:r>
      <w:r>
        <w:rPr>
          <w:rFonts w:hint="eastAsia"/>
        </w:rPr>
        <w:tab/>
        <w:t>委员会赞赏地注意到缔约国的《劳动法》及其2003年修正案的规定禁止基于性别、婚姻和家庭状况的直接和间接歧视，但委员会仍对妇女在就业方面的弱势地位表示关切。委员会尤其关注劳动力市场高度隔离、男女薪酬之间差距巨大以及女性在兼顾工作与家庭生活方面所面临的困难。造成这些问题的根源，是有关女性的家庭和社会角色的根深蒂固的定型观念。</w:t>
      </w:r>
    </w:p>
    <w:p w:rsidR="00D42DC0" w:rsidRPr="00DE0DE1" w:rsidRDefault="00D42DC0" w:rsidP="00D42DC0">
      <w:pPr>
        <w:pStyle w:val="SingleTxt"/>
        <w:rPr>
          <w:rFonts w:ascii="SimHei" w:eastAsia="SimHei" w:hint="eastAsia"/>
          <w:color w:val="FF0000"/>
        </w:rPr>
      </w:pPr>
      <w:r w:rsidRPr="00DE0DE1">
        <w:rPr>
          <w:rFonts w:ascii="SimHei" w:eastAsia="SimHei" w:hint="eastAsia"/>
          <w:color w:val="FF0000"/>
        </w:rPr>
        <w:t>27.</w:t>
      </w:r>
      <w:r w:rsidRPr="00DE0DE1">
        <w:rPr>
          <w:rFonts w:ascii="SimHei" w:eastAsia="SimHei" w:hint="eastAsia"/>
          <w:color w:val="FF0000"/>
        </w:rPr>
        <w:tab/>
        <w:t>委员会建议缔约国加强努力，通过颁布同值工作同等报酬的立法，以及在公共和私营部门以女性为主的部门实施与工资增长挂钩的职务评价计划，消除横向和纵向的职业隔离，采取措施缩小和消除男女之间的薪酬差距，进一步方便女性兼顾家庭和职业责任，并使男性充分敏感地认识到平等承担家庭任务和责任的意义。</w:t>
      </w:r>
    </w:p>
    <w:p w:rsidR="00426373" w:rsidRPr="00990A59" w:rsidRDefault="00426373" w:rsidP="004263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Pr="00990A59">
        <w:rPr>
          <w:rFonts w:hint="eastAsia"/>
        </w:rPr>
        <w:t>卫生</w:t>
      </w:r>
    </w:p>
    <w:p w:rsidR="00426373" w:rsidRPr="00426373" w:rsidRDefault="00426373" w:rsidP="00426373">
      <w:pPr>
        <w:pStyle w:val="SingleTxt"/>
        <w:spacing w:after="0" w:line="120" w:lineRule="exact"/>
        <w:rPr>
          <w:rFonts w:hint="eastAsia"/>
          <w:sz w:val="10"/>
        </w:rPr>
      </w:pPr>
    </w:p>
    <w:p w:rsidR="00426373" w:rsidRDefault="00426373" w:rsidP="00426373">
      <w:pPr>
        <w:pStyle w:val="SingleTxt"/>
        <w:rPr>
          <w:rFonts w:hint="eastAsia"/>
        </w:rPr>
      </w:pPr>
      <w:r>
        <w:rPr>
          <w:rFonts w:hint="eastAsia"/>
        </w:rPr>
        <w:t>28.</w:t>
      </w:r>
      <w:r>
        <w:rPr>
          <w:rFonts w:hint="eastAsia"/>
        </w:rPr>
        <w:tab/>
        <w:t>委员会注意到缔约国为促进妇女获得包括生殖健康在内的医疗保健所采取的措施，但感到深切关注的是，关于卫生专业人员在性健康和生殖健康方面出于良心拒绝堕胎的做法没有充分的规定。委员会还关注堕胎率仍然很高，这是妇女缺乏信息和获得计划生育机会的后果。委员会还感到关切的是，由于相关服务费用高昂，弱势社区的妇女很难获得医疗保健。此外，委员会还关切对妇女的健康缺乏涵盖整个生命周期的全面方法。</w:t>
      </w:r>
    </w:p>
    <w:p w:rsidR="00426373" w:rsidRDefault="00426373" w:rsidP="00426373">
      <w:pPr>
        <w:pStyle w:val="SingleTxt"/>
        <w:rPr>
          <w:rFonts w:hint="eastAsia"/>
        </w:rPr>
      </w:pPr>
      <w:r>
        <w:rPr>
          <w:rFonts w:hint="eastAsia"/>
        </w:rPr>
        <w:t>29.</w:t>
      </w:r>
      <w:r w:rsidRPr="00990A59">
        <w:rPr>
          <w:rFonts w:ascii="SimHei" w:eastAsia="SimHei" w:hint="eastAsia"/>
          <w:color w:val="FF0000"/>
        </w:rPr>
        <w:tab/>
        <w:t>委员会建议缔约国充分监管卫生专业人员出于良心拒绝堕胎的做法，以确保妇女获得健康和生殖健康的机会不会受到限制。委员会呼吁缔约国注意其第24号一般性建议，该建议中指出，缔约国拒绝为妇女合法地提供的某些生殖保健服务是歧视行为。例如，如果保健服务的提供者以良心为由拒绝提供某些服务，则应采取措施确保将妇女转介给其他服务提供者。委员会敦促缔约国增加妇女和少女获得负担得起的保健服务的机会，包括生殖保健，并增加妇女和男子获得信息和负担得起的计划生育手段的机会。它又呼吁缔约国加强努力，开展针对妇女和男子的提高认识运动，使其认识到计划生育和妇女保健和生殖权利相关方面的重要性。委员会还建议缔约国政府对妇女的健康采取涵盖整个生命周期的全面方法</w:t>
      </w:r>
      <w:r>
        <w:rPr>
          <w:rFonts w:hint="eastAsia"/>
        </w:rPr>
        <w:t>。</w:t>
      </w:r>
    </w:p>
    <w:p w:rsidR="00426373" w:rsidRDefault="00426373" w:rsidP="00426373">
      <w:pPr>
        <w:pStyle w:val="SingleTxt"/>
        <w:rPr>
          <w:rFonts w:hint="eastAsia"/>
        </w:rPr>
      </w:pPr>
      <w:r>
        <w:rPr>
          <w:rFonts w:hint="eastAsia"/>
        </w:rPr>
        <w:t>30.</w:t>
      </w:r>
      <w:r>
        <w:rPr>
          <w:rFonts w:hint="eastAsia"/>
        </w:rPr>
        <w:tab/>
        <w:t>委员会确认代表团对指称的强迫罗姆妇女绝育所作的解释，并注意到最近通过的关于绝育的立法，但委员会仍然关注收到关于罗姆妇女报告未经事先知情同意被实施绝育的信息。</w:t>
      </w:r>
    </w:p>
    <w:p w:rsidR="00426373" w:rsidRDefault="00426373" w:rsidP="00426373">
      <w:pPr>
        <w:pStyle w:val="SingleTxt"/>
        <w:rPr>
          <w:rFonts w:hint="eastAsia"/>
        </w:rPr>
      </w:pPr>
      <w:r>
        <w:rPr>
          <w:rFonts w:hint="eastAsia"/>
        </w:rPr>
        <w:t>31.</w:t>
      </w:r>
      <w:r>
        <w:rPr>
          <w:rFonts w:hint="eastAsia"/>
        </w:rPr>
        <w:tab/>
      </w:r>
      <w:r w:rsidRPr="00990A59">
        <w:rPr>
          <w:rFonts w:ascii="SimHei" w:eastAsia="SimHei" w:hint="eastAsia"/>
          <w:color w:val="FF0000"/>
        </w:rPr>
        <w:t>委员会回顾其关于第4/2004号来文（Szijjarto诉匈牙利）的意见，建议缔约国监测实施绝育手术的公营及私营医疗中心，包括医院和诊所，以确保在任何绝育手术实施之前病人给予充分的知情同意，同时制订适当的制裁措施，以备出现违反规定的情况。委员会还呼吁缔约国采取进一步措施，确保《公约》的相关规定和委员会有关妇女生殖健康和生殖权利的第19号和第24号一般性建议的有关段落广为人知，并得到公共和私人健康中心，包括医院和诊所的所有相关人员的遵守。委员会还建议该缔约国采取一切必要措施，确保罗姆妇女关于强迫绝育的投诉得到应有的承认，并确保这种做法的受害者得到有效补救</w:t>
      </w:r>
      <w:r>
        <w:rPr>
          <w:rFonts w:hint="eastAsia"/>
        </w:rPr>
        <w:t>。</w:t>
      </w:r>
    </w:p>
    <w:p w:rsidR="00426373" w:rsidRPr="00990A59" w:rsidRDefault="00426373" w:rsidP="004263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Pr="00990A59">
        <w:rPr>
          <w:rFonts w:hint="eastAsia"/>
        </w:rPr>
        <w:t>家庭关系</w:t>
      </w:r>
    </w:p>
    <w:p w:rsidR="00426373" w:rsidRPr="00426373" w:rsidRDefault="00426373" w:rsidP="00426373">
      <w:pPr>
        <w:pStyle w:val="SingleTxt"/>
        <w:spacing w:after="0" w:line="120" w:lineRule="exact"/>
        <w:rPr>
          <w:rFonts w:hint="eastAsia"/>
          <w:sz w:val="10"/>
        </w:rPr>
      </w:pPr>
    </w:p>
    <w:p w:rsidR="00426373" w:rsidRDefault="00426373" w:rsidP="00426373">
      <w:pPr>
        <w:pStyle w:val="SingleTxt"/>
        <w:rPr>
          <w:rFonts w:hint="eastAsia"/>
        </w:rPr>
      </w:pPr>
      <w:r>
        <w:rPr>
          <w:rFonts w:hint="eastAsia"/>
        </w:rPr>
        <w:t>32.</w:t>
      </w:r>
      <w:r>
        <w:rPr>
          <w:rFonts w:hint="eastAsia"/>
        </w:rPr>
        <w:tab/>
        <w:t>委员会关注的是，由于离婚律上升，缔约国里单身母亲的人数显著增加。委员会感到遗憾的是，缔约国的报告中缺少关于离婚对妇女，尤其是对单身母亲可能产生的负面经济和社会后果的资料，也缺少关于非传统家庭中妇女的状况的资料。委员会还关注目前的立法框架没有充分规定离婚后婚姻财产的平等分配。</w:t>
      </w:r>
    </w:p>
    <w:p w:rsidR="00426373" w:rsidRDefault="00426373" w:rsidP="00426373">
      <w:pPr>
        <w:pStyle w:val="SingleTxt"/>
        <w:rPr>
          <w:rFonts w:hint="eastAsia"/>
        </w:rPr>
      </w:pPr>
      <w:r>
        <w:rPr>
          <w:rFonts w:hint="eastAsia"/>
        </w:rPr>
        <w:t>33.</w:t>
      </w:r>
      <w:r>
        <w:rPr>
          <w:rFonts w:hint="eastAsia"/>
        </w:rPr>
        <w:tab/>
      </w:r>
      <w:r w:rsidRPr="00990A59">
        <w:rPr>
          <w:rFonts w:ascii="SimHei" w:eastAsia="SimHei" w:hint="eastAsia"/>
          <w:color w:val="FF0000"/>
        </w:rPr>
        <w:t>委员会建议缔约国在其下一次的定期报告中提供详细资料，说明离婚对妇女，尤其是对单身母亲可能产生的负面经济和社会后果，并呼吁缔约国采取立法措施，确保夫妇双方公平分享配偶一方或双方在婚姻期间获取的所有财产。委员会还请缔约国在其下一次的定期报告中列入信息，说明非传统家庭中妇女的状况</w:t>
      </w:r>
      <w:r>
        <w:rPr>
          <w:rFonts w:hint="eastAsia"/>
        </w:rPr>
        <w:t>。</w:t>
      </w:r>
    </w:p>
    <w:p w:rsidR="00426373" w:rsidRPr="00990A59" w:rsidRDefault="00426373" w:rsidP="004263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Pr="00990A59">
        <w:rPr>
          <w:rFonts w:hint="eastAsia"/>
        </w:rPr>
        <w:t>非政府组织</w:t>
      </w:r>
    </w:p>
    <w:p w:rsidR="00426373" w:rsidRPr="00426373" w:rsidRDefault="00426373" w:rsidP="00426373">
      <w:pPr>
        <w:pStyle w:val="SingleTxt"/>
        <w:spacing w:after="0" w:line="120" w:lineRule="exact"/>
        <w:rPr>
          <w:rFonts w:hint="eastAsia"/>
          <w:sz w:val="10"/>
        </w:rPr>
      </w:pPr>
    </w:p>
    <w:p w:rsidR="00426373" w:rsidRDefault="00426373" w:rsidP="00426373">
      <w:pPr>
        <w:pStyle w:val="SingleTxt"/>
        <w:rPr>
          <w:rFonts w:hint="eastAsia"/>
        </w:rPr>
      </w:pPr>
      <w:r>
        <w:rPr>
          <w:rFonts w:hint="eastAsia"/>
        </w:rPr>
        <w:t>34.</w:t>
      </w:r>
      <w:r>
        <w:rPr>
          <w:rFonts w:hint="eastAsia"/>
        </w:rPr>
        <w:tab/>
        <w:t>委员会关切地注意到，缔约国与妇女非政府组织之间没有充分的合作和沟通，这在建设性对话期间变得很明显。</w:t>
      </w:r>
    </w:p>
    <w:p w:rsidR="00426373" w:rsidRDefault="00426373" w:rsidP="00426373">
      <w:pPr>
        <w:pStyle w:val="SingleTxt"/>
        <w:rPr>
          <w:rFonts w:hint="eastAsia"/>
        </w:rPr>
      </w:pPr>
      <w:r>
        <w:rPr>
          <w:rFonts w:hint="eastAsia"/>
        </w:rPr>
        <w:t>35.</w:t>
      </w:r>
      <w:r>
        <w:rPr>
          <w:rFonts w:hint="eastAsia"/>
        </w:rPr>
        <w:tab/>
      </w:r>
      <w:r w:rsidRPr="00990A59">
        <w:rPr>
          <w:rFonts w:ascii="SimHei" w:eastAsia="SimHei" w:hint="eastAsia"/>
          <w:color w:val="FF0000"/>
        </w:rPr>
        <w:t>委员会建议缔约国加强与妇女非政府组织的合作，特别是使它们更多地参与旨在实现男女平等的政策、方案和战略的制定、执行、监测及随后的评价工作</w:t>
      </w:r>
      <w:r>
        <w:rPr>
          <w:rFonts w:hint="eastAsia"/>
        </w:rPr>
        <w:t>。</w:t>
      </w:r>
    </w:p>
    <w:p w:rsidR="00426373" w:rsidRDefault="00426373" w:rsidP="00426373">
      <w:pPr>
        <w:pStyle w:val="SingleTxt"/>
        <w:rPr>
          <w:rFonts w:hint="eastAsia"/>
        </w:rPr>
      </w:pPr>
      <w:r>
        <w:rPr>
          <w:rFonts w:hint="eastAsia"/>
        </w:rPr>
        <w:t>36.</w:t>
      </w:r>
      <w:r>
        <w:rPr>
          <w:rFonts w:hint="eastAsia"/>
        </w:rPr>
        <w:tab/>
      </w:r>
      <w:r w:rsidRPr="00990A59">
        <w:rPr>
          <w:rFonts w:ascii="SimHei" w:eastAsia="SimHei" w:hint="eastAsia"/>
          <w:color w:val="FF0000"/>
        </w:rPr>
        <w:t>委员会重申，政府对全面执行《公约》规定的缔约国义务负有首要责任，尤其要为此承担问责责任。委员会强调《公约》对政府各部门都具有约束力，并请缔约国鼓励其国家议会酌情根据其程序，采取与执行这些结论意见和《公约》规定的下一个报告过程有关必要步骤</w:t>
      </w:r>
      <w:r>
        <w:rPr>
          <w:rFonts w:hint="eastAsia"/>
        </w:rPr>
        <w:t>。</w:t>
      </w:r>
    </w:p>
    <w:p w:rsidR="00426373" w:rsidRDefault="00426373" w:rsidP="00426373">
      <w:pPr>
        <w:pStyle w:val="SingleTxt"/>
        <w:rPr>
          <w:rFonts w:hint="eastAsia"/>
        </w:rPr>
      </w:pPr>
      <w:r>
        <w:rPr>
          <w:rFonts w:hint="eastAsia"/>
        </w:rPr>
        <w:t>37.</w:t>
      </w:r>
      <w:r>
        <w:rPr>
          <w:rFonts w:hint="eastAsia"/>
        </w:rPr>
        <w:tab/>
      </w:r>
      <w:r w:rsidRPr="00990A59">
        <w:rPr>
          <w:rFonts w:ascii="SimHei" w:eastAsia="SimHei" w:hint="eastAsia"/>
          <w:color w:val="FF0000"/>
        </w:rPr>
        <w:t>委员会促请缔约国在履行《公约》义务时，继续利用加强《公约》各项规定的《北京宣言和行动纲要》，并请缔约国在下一次定期报告中提供有关资料</w:t>
      </w:r>
      <w:r>
        <w:rPr>
          <w:rFonts w:hint="eastAsia"/>
        </w:rPr>
        <w:t>。</w:t>
      </w:r>
    </w:p>
    <w:p w:rsidR="00426373" w:rsidRDefault="00426373" w:rsidP="00426373">
      <w:pPr>
        <w:pStyle w:val="SingleTxt"/>
        <w:rPr>
          <w:rFonts w:hint="eastAsia"/>
        </w:rPr>
      </w:pPr>
      <w:r>
        <w:rPr>
          <w:rFonts w:hint="eastAsia"/>
        </w:rPr>
        <w:t>38.</w:t>
      </w:r>
      <w:r>
        <w:rPr>
          <w:rFonts w:hint="eastAsia"/>
        </w:rPr>
        <w:tab/>
      </w:r>
      <w:r w:rsidRPr="00990A59">
        <w:rPr>
          <w:rFonts w:ascii="SimHei" w:eastAsia="SimHei" w:hint="eastAsia"/>
          <w:color w:val="FF0000"/>
        </w:rPr>
        <w:t>委员会强调，充分和有效地执行《公约》对实现千年发展目标不可或缺。委员会要求在实现千年发展目标的一切工作中纳入性别观点，明确体现《公约》各项规定，并请缔约国在下一次定期报告中提供有关资料</w:t>
      </w:r>
      <w:r>
        <w:rPr>
          <w:rFonts w:hint="eastAsia"/>
        </w:rPr>
        <w:t>。</w:t>
      </w:r>
    </w:p>
    <w:p w:rsidR="00426373" w:rsidRDefault="00426373" w:rsidP="00426373">
      <w:pPr>
        <w:pStyle w:val="SingleTxt"/>
        <w:rPr>
          <w:rFonts w:hint="eastAsia"/>
        </w:rPr>
      </w:pPr>
      <w:r>
        <w:rPr>
          <w:rFonts w:hint="eastAsia"/>
        </w:rPr>
        <w:t>39.</w:t>
      </w:r>
      <w:r>
        <w:rPr>
          <w:rFonts w:hint="eastAsia"/>
        </w:rPr>
        <w:tab/>
      </w:r>
      <w:r w:rsidRPr="00990A59">
        <w:rPr>
          <w:rFonts w:ascii="SimHei" w:eastAsia="SimHei" w:hint="eastAsia"/>
          <w:color w:val="FF0000"/>
        </w:rPr>
        <w:t>委员会指出，各国参加九项主要国际人权文书，</w:t>
      </w:r>
      <w:r w:rsidRPr="00426373">
        <w:rPr>
          <w:rStyle w:val="FootnoteReference"/>
          <w:rFonts w:ascii="SimHei" w:eastAsia="SimHei"/>
          <w:color w:val="FF0000"/>
        </w:rPr>
        <w:footnoteReference w:id="1"/>
      </w:r>
      <w:r w:rsidRPr="00990A59">
        <w:rPr>
          <w:rFonts w:ascii="SimHei" w:eastAsia="SimHei" w:hint="eastAsia"/>
          <w:color w:val="FF0000"/>
        </w:rPr>
        <w:t xml:space="preserve"> 有助于促进妇女在生活的各个方面享受人权和基本自由。因此，委员会鼓励斯洛伐克政府考虑批准它尚未成为缔约国的条约，即《保护所有移徙工人及其家庭成员权利国际公约》、《保护所有人免遭强迫失踪国际公约》和《残疾人权利公约》</w:t>
      </w:r>
      <w:r>
        <w:rPr>
          <w:rFonts w:hint="eastAsia"/>
        </w:rPr>
        <w:t>。</w:t>
      </w:r>
    </w:p>
    <w:p w:rsidR="00426373" w:rsidRDefault="00426373" w:rsidP="00426373">
      <w:pPr>
        <w:pStyle w:val="SingleTxt"/>
        <w:rPr>
          <w:rFonts w:hint="eastAsia"/>
        </w:rPr>
      </w:pPr>
      <w:r>
        <w:rPr>
          <w:rFonts w:hint="eastAsia"/>
        </w:rPr>
        <w:t>40.</w:t>
      </w:r>
      <w:r>
        <w:rPr>
          <w:rFonts w:hint="eastAsia"/>
        </w:rPr>
        <w:tab/>
      </w:r>
      <w:r w:rsidRPr="00990A59">
        <w:rPr>
          <w:rFonts w:ascii="SimHei" w:eastAsia="SimHei" w:hint="eastAsia"/>
          <w:color w:val="FF0000"/>
        </w:rPr>
        <w:t>委员会请斯洛伐克在国内广为传播本结论意见，使人民，包括政府官员、政界人士、议员以及妇女组织和人权组织，了解为确保妇女在法律上和事实上的平等而采取的步骤以及在这方面应进一步采取的步骤。委员会请缔约国加强广泛宣传《公约》及其任择议定书、委员会各项一般性建议、《北京宣言和行动纲要》以及题为“2000年妇女：二十一世纪两性平等、发展与和平”的大会第二十三届特别会议成果，特别是向妇女组织和人权组织开展宣传</w:t>
      </w:r>
      <w:r>
        <w:rPr>
          <w:rFonts w:hint="eastAsia"/>
        </w:rPr>
        <w:t>。</w:t>
      </w:r>
    </w:p>
    <w:p w:rsidR="00426373" w:rsidRPr="00990A59" w:rsidRDefault="00426373" w:rsidP="004263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Pr="00990A59">
        <w:rPr>
          <w:rFonts w:hint="eastAsia"/>
        </w:rPr>
        <w:t>结论性意见的后续行动</w:t>
      </w:r>
    </w:p>
    <w:p w:rsidR="00426373" w:rsidRPr="00426373" w:rsidRDefault="00426373" w:rsidP="00426373">
      <w:pPr>
        <w:pStyle w:val="SingleTxt"/>
        <w:spacing w:after="0" w:line="120" w:lineRule="exact"/>
        <w:rPr>
          <w:rFonts w:hint="eastAsia"/>
          <w:sz w:val="10"/>
        </w:rPr>
      </w:pPr>
    </w:p>
    <w:p w:rsidR="00426373" w:rsidRDefault="00426373" w:rsidP="00426373">
      <w:pPr>
        <w:pStyle w:val="SingleTxt"/>
        <w:rPr>
          <w:rFonts w:hint="eastAsia"/>
        </w:rPr>
      </w:pPr>
      <w:r>
        <w:rPr>
          <w:rFonts w:hint="eastAsia"/>
        </w:rPr>
        <w:t>41.</w:t>
      </w:r>
      <w:r>
        <w:rPr>
          <w:rFonts w:hint="eastAsia"/>
        </w:rPr>
        <w:tab/>
      </w:r>
      <w:r w:rsidRPr="00990A59">
        <w:rPr>
          <w:rFonts w:ascii="SimHei" w:eastAsia="SimHei" w:hint="eastAsia"/>
          <w:color w:val="FF0000"/>
        </w:rPr>
        <w:t>委员会请缔约国在[两]年内提供书面资料，说明为落实上文第[31]段所载建议而采取的步骤。委员会还请缔约国考虑在必要和适当时为执行上述建议寻求技术合作和援助，包括咨询服务</w:t>
      </w:r>
      <w:r>
        <w:rPr>
          <w:rFonts w:hint="eastAsia"/>
        </w:rPr>
        <w:t>。</w:t>
      </w:r>
    </w:p>
    <w:p w:rsidR="00426373" w:rsidRPr="00990A59" w:rsidRDefault="00426373" w:rsidP="004263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Pr="00990A59">
        <w:rPr>
          <w:rFonts w:hint="eastAsia"/>
        </w:rPr>
        <w:t>下一次定期报告的日期</w:t>
      </w:r>
    </w:p>
    <w:p w:rsidR="00426373" w:rsidRPr="00426373" w:rsidRDefault="00426373" w:rsidP="00426373">
      <w:pPr>
        <w:pStyle w:val="SingleTxt"/>
        <w:spacing w:after="0" w:line="120" w:lineRule="exact"/>
        <w:rPr>
          <w:rFonts w:hint="eastAsia"/>
          <w:sz w:val="10"/>
        </w:rPr>
      </w:pPr>
    </w:p>
    <w:p w:rsidR="00426373" w:rsidRDefault="00426373" w:rsidP="00426373">
      <w:pPr>
        <w:pStyle w:val="SingleTxt"/>
        <w:rPr>
          <w:rFonts w:hint="eastAsia"/>
        </w:rPr>
      </w:pPr>
      <w:r>
        <w:rPr>
          <w:rFonts w:hint="eastAsia"/>
        </w:rPr>
        <w:t>42.</w:t>
      </w:r>
      <w:r>
        <w:rPr>
          <w:rFonts w:hint="eastAsia"/>
        </w:rPr>
        <w:tab/>
      </w:r>
      <w:r w:rsidRPr="00990A59">
        <w:rPr>
          <w:rFonts w:ascii="SimHei" w:eastAsia="SimHei" w:hint="eastAsia"/>
          <w:color w:val="FF0000"/>
        </w:rPr>
        <w:t>委员会请缔约国在根据《公约》第18条提交的下一次定期报告中答复本结论意见所提出的各项关切。委员会请缔约国于2014年6月提交一份合并报告，综合应于2010年6月提交的第五次定期报告和应于2014年6月提交的第六次定期报告</w:t>
      </w:r>
      <w:r>
        <w:rPr>
          <w:rFonts w:hint="eastAsia"/>
        </w:rPr>
        <w:t>。</w:t>
      </w:r>
    </w:p>
    <w:p w:rsidR="00426373" w:rsidRPr="00990A59" w:rsidRDefault="00426373" w:rsidP="00426373">
      <w:pPr>
        <w:pStyle w:val="SingleTxt"/>
        <w:spacing w:after="0" w:line="240" w:lineRule="auto"/>
        <w:rPr>
          <w:rFonts w:hint="eastAsia"/>
          <w:sz w:val="20"/>
        </w:rPr>
      </w:pPr>
      <w:r>
        <w:rPr>
          <w:rFonts w:hint="eastAsia"/>
          <w:noProof/>
          <w:sz w:val="20"/>
        </w:rPr>
        <w:pict>
          <v:line id="_x0000_s1026" style="position:absolute;left:0;text-align:left;z-index:1;mso-position-horizontal:center" from="0,30pt" to="1in,30pt" strokeweight=".25pt"/>
        </w:pict>
      </w:r>
    </w:p>
    <w:p w:rsidR="00D42DC0" w:rsidRDefault="00D42DC0" w:rsidP="00D42DC0">
      <w:pPr>
        <w:pStyle w:val="SingleTxt"/>
        <w:rPr>
          <w:rFonts w:hint="eastAsia"/>
        </w:rPr>
      </w:pPr>
    </w:p>
    <w:p w:rsidR="00EA31C3" w:rsidRPr="001D000D" w:rsidRDefault="00EA31C3" w:rsidP="001D000D">
      <w:pPr>
        <w:pStyle w:val="SingleTxt"/>
      </w:pPr>
    </w:p>
    <w:sectPr w:rsidR="00EA31C3" w:rsidRPr="001D000D" w:rsidSect="001D000D">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7-18T15:33:00Z" w:initials="Start">
    <w:p w:rsidR="00A0150F" w:rsidRDefault="00A0150F">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NO&gt;&gt;N0842772C&lt;&lt;ODS JOB NO&gt;&gt;</w:t>
      </w:r>
    </w:p>
    <w:p w:rsidR="00A0150F" w:rsidRDefault="00A0150F">
      <w:pPr>
        <w:pStyle w:val="CommentText"/>
      </w:pPr>
      <w:r>
        <w:t>&lt;&lt;ODS DOC SYMBOL1&gt;&gt;CEDAW/C/SVK/CO/4&lt;&lt;ODS DOC SYMBOL1&gt;&gt;</w:t>
      </w:r>
    </w:p>
    <w:p w:rsidR="00A0150F" w:rsidRDefault="00A0150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3B0" w:rsidRDefault="00C213B0" w:rsidP="001D000D">
      <w:r>
        <w:separator/>
      </w:r>
    </w:p>
  </w:endnote>
  <w:endnote w:type="continuationSeparator" w:id="0">
    <w:p w:rsidR="00C213B0" w:rsidRDefault="00C213B0" w:rsidP="001D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0150F" w:rsidTr="001D000D">
      <w:tblPrEx>
        <w:tblCellMar>
          <w:top w:w="0" w:type="dxa"/>
          <w:bottom w:w="0" w:type="dxa"/>
        </w:tblCellMar>
      </w:tblPrEx>
      <w:tc>
        <w:tcPr>
          <w:tcW w:w="5033" w:type="dxa"/>
          <w:shd w:val="clear" w:color="auto" w:fill="auto"/>
        </w:tcPr>
        <w:p w:rsidR="00A0150F" w:rsidRPr="001D000D" w:rsidRDefault="00A0150F" w:rsidP="001D000D">
          <w:pPr>
            <w:pStyle w:val="Footer"/>
            <w:jc w:val="right"/>
            <w:rPr>
              <w:b w:val="0"/>
              <w:w w:val="103"/>
              <w:sz w:val="14"/>
            </w:rPr>
          </w:pPr>
          <w:r>
            <w:rPr>
              <w:b w:val="0"/>
              <w:w w:val="103"/>
              <w:sz w:val="14"/>
            </w:rPr>
            <w:t>08-42772 (C)</w:t>
          </w:r>
        </w:p>
      </w:tc>
      <w:tc>
        <w:tcPr>
          <w:tcW w:w="5033" w:type="dxa"/>
          <w:shd w:val="clear" w:color="auto" w:fill="auto"/>
        </w:tcPr>
        <w:p w:rsidR="00A0150F" w:rsidRPr="001D000D" w:rsidRDefault="00A0150F" w:rsidP="001D000D">
          <w:pPr>
            <w:pStyle w:val="Footer"/>
            <w:jc w:val="left"/>
            <w:rPr>
              <w:w w:val="103"/>
              <w:sz w:val="17"/>
            </w:rPr>
          </w:pPr>
          <w:r>
            <w:rPr>
              <w:w w:val="103"/>
              <w:sz w:val="17"/>
            </w:rPr>
            <w:fldChar w:fldCharType="begin"/>
          </w:r>
          <w:r>
            <w:rPr>
              <w:w w:val="103"/>
              <w:sz w:val="17"/>
            </w:rPr>
            <w:instrText xml:space="preserve"> PAGE  \* MERGEFORMAT </w:instrText>
          </w:r>
          <w:r>
            <w:rPr>
              <w:w w:val="103"/>
              <w:sz w:val="17"/>
            </w:rPr>
            <w:fldChar w:fldCharType="separate"/>
          </w:r>
          <w:r>
            <w:rPr>
              <w:w w:val="103"/>
              <w:sz w:val="17"/>
            </w:rPr>
            <w:t>8</w:t>
          </w:r>
          <w:r>
            <w:rPr>
              <w:w w:val="103"/>
              <w:sz w:val="17"/>
            </w:rPr>
            <w:fldChar w:fldCharType="end"/>
          </w:r>
        </w:p>
      </w:tc>
    </w:tr>
  </w:tbl>
  <w:p w:rsidR="00A0150F" w:rsidRPr="001D000D" w:rsidRDefault="00A0150F" w:rsidP="001D00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0150F" w:rsidTr="001D000D">
      <w:tblPrEx>
        <w:tblCellMar>
          <w:top w:w="0" w:type="dxa"/>
          <w:bottom w:w="0" w:type="dxa"/>
        </w:tblCellMar>
      </w:tblPrEx>
      <w:tc>
        <w:tcPr>
          <w:tcW w:w="5033" w:type="dxa"/>
          <w:shd w:val="clear" w:color="auto" w:fill="auto"/>
        </w:tcPr>
        <w:p w:rsidR="00A0150F" w:rsidRPr="001D000D" w:rsidRDefault="00A0150F" w:rsidP="001D000D">
          <w:pPr>
            <w:pStyle w:val="Footer"/>
            <w:jc w:val="right"/>
          </w:pPr>
          <w:r>
            <w:fldChar w:fldCharType="begin"/>
          </w:r>
          <w:r>
            <w:instrText xml:space="preserve"> PAGE  \* MERGEFORMAT </w:instrText>
          </w:r>
          <w:r>
            <w:fldChar w:fldCharType="separate"/>
          </w:r>
          <w:r>
            <w:t>1</w:t>
          </w:r>
          <w:r>
            <w:fldChar w:fldCharType="end"/>
          </w:r>
        </w:p>
      </w:tc>
      <w:tc>
        <w:tcPr>
          <w:tcW w:w="5033" w:type="dxa"/>
          <w:shd w:val="clear" w:color="auto" w:fill="auto"/>
        </w:tcPr>
        <w:p w:rsidR="00A0150F" w:rsidRPr="001D000D" w:rsidRDefault="00A0150F" w:rsidP="001D000D">
          <w:pPr>
            <w:pStyle w:val="Footer"/>
            <w:jc w:val="left"/>
            <w:rPr>
              <w:b w:val="0"/>
              <w:w w:val="103"/>
              <w:sz w:val="14"/>
            </w:rPr>
          </w:pPr>
          <w:r>
            <w:rPr>
              <w:b w:val="0"/>
              <w:w w:val="103"/>
              <w:sz w:val="14"/>
            </w:rPr>
            <w:t>08-42772 (C)</w:t>
          </w:r>
        </w:p>
      </w:tc>
    </w:tr>
  </w:tbl>
  <w:p w:rsidR="00A0150F" w:rsidRPr="001D000D" w:rsidRDefault="00A0150F" w:rsidP="001D00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50F" w:rsidRDefault="00A0150F" w:rsidP="001D000D">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Pr>
        <w:b w:val="0"/>
        <w:sz w:val="21"/>
      </w:rPr>
      <w:t>08-42772 (C)</w:t>
    </w:r>
    <w:r>
      <w:rPr>
        <w:b w:val="0"/>
        <w:sz w:val="21"/>
      </w:rPr>
      <w:fldChar w:fldCharType="end"/>
    </w:r>
    <w:r>
      <w:rPr>
        <w:b w:val="0"/>
        <w:sz w:val="21"/>
      </w:rPr>
      <w:t xml:space="preserve">    180708    180708</w:t>
    </w:r>
  </w:p>
  <w:p w:rsidR="00A0150F" w:rsidRPr="001D000D" w:rsidRDefault="00A0150F" w:rsidP="001D000D">
    <w:pPr>
      <w:spacing w:before="80" w:line="210" w:lineRule="exact"/>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Pr>
        <w:rFonts w:ascii="Barcode 3 of 9 by request" w:hAnsi="Barcode 3 of 9 by request"/>
        <w:sz w:val="24"/>
      </w:rPr>
      <w:t>*0842772*</w:t>
    </w:r>
    <w:r>
      <w:rPr>
        <w:rFonts w:ascii="Barcode 3 of 9 by request" w:hAnsi="Barcode 3 of 9 by request"/>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3B0" w:rsidRPr="00426373" w:rsidRDefault="00C213B0" w:rsidP="00426373">
      <w:pPr>
        <w:pStyle w:val="Footer"/>
        <w:spacing w:after="80"/>
        <w:ind w:left="792"/>
        <w:rPr>
          <w:sz w:val="16"/>
        </w:rPr>
      </w:pPr>
      <w:r w:rsidRPr="00426373">
        <w:rPr>
          <w:sz w:val="16"/>
        </w:rPr>
        <w:t>__________________</w:t>
      </w:r>
    </w:p>
  </w:footnote>
  <w:footnote w:type="continuationSeparator" w:id="0">
    <w:p w:rsidR="00C213B0" w:rsidRPr="00426373" w:rsidRDefault="00C213B0" w:rsidP="00426373">
      <w:pPr>
        <w:pStyle w:val="Footer"/>
        <w:spacing w:after="80"/>
        <w:ind w:left="792"/>
        <w:rPr>
          <w:sz w:val="16"/>
        </w:rPr>
      </w:pPr>
      <w:r w:rsidRPr="00426373">
        <w:rPr>
          <w:sz w:val="16"/>
        </w:rPr>
        <w:t>__________________</w:t>
      </w:r>
    </w:p>
  </w:footnote>
  <w:footnote w:id="1">
    <w:p w:rsidR="00A0150F" w:rsidRPr="00990A59" w:rsidRDefault="00A0150F" w:rsidP="00426373">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990A59">
        <w:rPr>
          <w:rFonts w:hint="eastAsia"/>
        </w:rPr>
        <w:t>《经济、社会、文化权利国际公约》、《公民及政治权利国际公约》、《消除一切形式种族歧视国际公约》、《消除对妇女一切形式歧视公约》、《禁止酷刑和其他残忍、不人道或有辱人格的待遇或处罚公约》、《儿童权利公约》、《保护所有移徙工人及其家庭成员权利国际公约》、《残疾人权利公约》和《保护所有人免遭强迫失踪国际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A0150F" w:rsidTr="001D000D">
      <w:tblPrEx>
        <w:tblCellMar>
          <w:top w:w="0" w:type="dxa"/>
          <w:bottom w:w="0" w:type="dxa"/>
        </w:tblCellMar>
      </w:tblPrEx>
      <w:trPr>
        <w:trHeight w:hRule="exact" w:val="864"/>
      </w:trPr>
      <w:tc>
        <w:tcPr>
          <w:tcW w:w="4838" w:type="dxa"/>
          <w:shd w:val="clear" w:color="auto" w:fill="auto"/>
          <w:vAlign w:val="bottom"/>
        </w:tcPr>
        <w:p w:rsidR="00A0150F" w:rsidRPr="001D000D" w:rsidRDefault="00A0150F" w:rsidP="001D000D">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CEDAW/C/SVK/CO/4</w:t>
          </w:r>
          <w:r>
            <w:rPr>
              <w:b/>
              <w:sz w:val="17"/>
            </w:rPr>
            <w:fldChar w:fldCharType="end"/>
          </w:r>
        </w:p>
      </w:tc>
      <w:tc>
        <w:tcPr>
          <w:tcW w:w="5033" w:type="dxa"/>
          <w:shd w:val="clear" w:color="auto" w:fill="auto"/>
          <w:vAlign w:val="bottom"/>
        </w:tcPr>
        <w:p w:rsidR="00A0150F" w:rsidRDefault="00A0150F" w:rsidP="001D000D">
          <w:pPr>
            <w:pStyle w:val="Header"/>
          </w:pPr>
        </w:p>
      </w:tc>
    </w:tr>
  </w:tbl>
  <w:p w:rsidR="00A0150F" w:rsidRPr="001D000D" w:rsidRDefault="00A0150F" w:rsidP="001D00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A0150F" w:rsidTr="001D000D">
      <w:tblPrEx>
        <w:tblCellMar>
          <w:top w:w="0" w:type="dxa"/>
          <w:bottom w:w="0" w:type="dxa"/>
        </w:tblCellMar>
      </w:tblPrEx>
      <w:trPr>
        <w:trHeight w:hRule="exact" w:val="864"/>
      </w:trPr>
      <w:tc>
        <w:tcPr>
          <w:tcW w:w="4838" w:type="dxa"/>
          <w:shd w:val="clear" w:color="auto" w:fill="auto"/>
          <w:vAlign w:val="bottom"/>
        </w:tcPr>
        <w:p w:rsidR="00A0150F" w:rsidRDefault="00A0150F" w:rsidP="001D000D">
          <w:pPr>
            <w:pStyle w:val="Header"/>
          </w:pPr>
        </w:p>
      </w:tc>
      <w:tc>
        <w:tcPr>
          <w:tcW w:w="5033" w:type="dxa"/>
          <w:shd w:val="clear" w:color="auto" w:fill="auto"/>
          <w:vAlign w:val="bottom"/>
        </w:tcPr>
        <w:p w:rsidR="00A0150F" w:rsidRPr="001D000D" w:rsidRDefault="00A0150F" w:rsidP="001D000D">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CEDAW/C/SVK/CO/4</w:t>
          </w:r>
          <w:r>
            <w:rPr>
              <w:b/>
              <w:sz w:val="17"/>
            </w:rPr>
            <w:fldChar w:fldCharType="end"/>
          </w:r>
        </w:p>
      </w:tc>
    </w:tr>
  </w:tbl>
  <w:p w:rsidR="00A0150F" w:rsidRPr="001D000D" w:rsidRDefault="00A0150F" w:rsidP="001D00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A0150F" w:rsidTr="001D000D">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A0150F" w:rsidRDefault="00A0150F" w:rsidP="001D000D">
          <w:pPr>
            <w:pStyle w:val="Header"/>
            <w:spacing w:after="120"/>
          </w:pPr>
        </w:p>
      </w:tc>
      <w:tc>
        <w:tcPr>
          <w:tcW w:w="1872" w:type="dxa"/>
          <w:tcBorders>
            <w:bottom w:val="single" w:sz="4" w:space="0" w:color="auto"/>
          </w:tcBorders>
          <w:shd w:val="clear" w:color="auto" w:fill="auto"/>
          <w:vAlign w:val="bottom"/>
        </w:tcPr>
        <w:p w:rsidR="00A0150F" w:rsidRPr="001D000D" w:rsidRDefault="00A0150F" w:rsidP="001D000D">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A0150F" w:rsidRDefault="00A0150F" w:rsidP="001D000D">
          <w:pPr>
            <w:pStyle w:val="Header"/>
            <w:spacing w:after="120"/>
          </w:pPr>
        </w:p>
      </w:tc>
      <w:tc>
        <w:tcPr>
          <w:tcW w:w="6523" w:type="dxa"/>
          <w:gridSpan w:val="3"/>
          <w:tcBorders>
            <w:bottom w:val="single" w:sz="4" w:space="0" w:color="auto"/>
          </w:tcBorders>
          <w:shd w:val="clear" w:color="auto" w:fill="auto"/>
          <w:vAlign w:val="bottom"/>
        </w:tcPr>
        <w:p w:rsidR="00A0150F" w:rsidRPr="001D000D" w:rsidRDefault="00A0150F" w:rsidP="001D000D">
          <w:pPr>
            <w:spacing w:after="80" w:line="240" w:lineRule="auto"/>
            <w:jc w:val="right"/>
            <w:rPr>
              <w:rFonts w:ascii="Times New Roman"/>
              <w:position w:val="-4"/>
            </w:rPr>
          </w:pPr>
          <w:r>
            <w:rPr>
              <w:rFonts w:ascii="Times New Roman"/>
              <w:position w:val="-4"/>
              <w:sz w:val="40"/>
            </w:rPr>
            <w:t>CEDAW</w:t>
          </w:r>
          <w:r>
            <w:rPr>
              <w:rFonts w:ascii="Times New Roman"/>
              <w:position w:val="-4"/>
            </w:rPr>
            <w:t>/C/SVK/CO/4</w:t>
          </w:r>
        </w:p>
      </w:tc>
    </w:tr>
    <w:tr w:rsidR="00A0150F" w:rsidRPr="001D000D" w:rsidTr="001D000D">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A0150F" w:rsidRDefault="00A0150F" w:rsidP="001D000D">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0150F" w:rsidRPr="001D000D" w:rsidRDefault="00A0150F" w:rsidP="001D000D">
          <w:pPr>
            <w:pStyle w:val="Header"/>
            <w:spacing w:before="109"/>
            <w:ind w:left="-72"/>
          </w:pPr>
        </w:p>
      </w:tc>
      <w:tc>
        <w:tcPr>
          <w:tcW w:w="5227" w:type="dxa"/>
          <w:gridSpan w:val="3"/>
          <w:tcBorders>
            <w:top w:val="single" w:sz="4" w:space="0" w:color="auto"/>
            <w:bottom w:val="single" w:sz="12" w:space="0" w:color="auto"/>
          </w:tcBorders>
          <w:shd w:val="clear" w:color="auto" w:fill="auto"/>
        </w:tcPr>
        <w:p w:rsidR="00A0150F" w:rsidRPr="001D000D" w:rsidRDefault="00A0150F" w:rsidP="001D000D">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A0150F" w:rsidRPr="001D000D" w:rsidRDefault="00A0150F" w:rsidP="001D000D">
          <w:pPr>
            <w:pStyle w:val="Header"/>
            <w:spacing w:before="109"/>
          </w:pPr>
        </w:p>
      </w:tc>
      <w:tc>
        <w:tcPr>
          <w:tcW w:w="3180" w:type="dxa"/>
          <w:gridSpan w:val="2"/>
          <w:tcBorders>
            <w:top w:val="single" w:sz="4" w:space="0" w:color="auto"/>
            <w:bottom w:val="single" w:sz="12" w:space="0" w:color="auto"/>
          </w:tcBorders>
          <w:shd w:val="clear" w:color="auto" w:fill="auto"/>
        </w:tcPr>
        <w:p w:rsidR="00A0150F" w:rsidRDefault="00A0150F" w:rsidP="001D000D">
          <w:pPr>
            <w:spacing w:before="240" w:line="240" w:lineRule="exact"/>
            <w:rPr>
              <w:rFonts w:ascii="Times New Roman"/>
            </w:rPr>
          </w:pPr>
          <w:r>
            <w:rPr>
              <w:rFonts w:ascii="Times New Roman"/>
            </w:rPr>
            <w:t>Distr.: General</w:t>
          </w:r>
        </w:p>
        <w:p w:rsidR="00A0150F" w:rsidRDefault="00A0150F" w:rsidP="001D000D">
          <w:pPr>
            <w:spacing w:line="240" w:lineRule="exact"/>
            <w:rPr>
              <w:rFonts w:ascii="Times New Roman"/>
            </w:rPr>
          </w:pPr>
          <w:r>
            <w:rPr>
              <w:rFonts w:ascii="Times New Roman"/>
            </w:rPr>
            <w:t>17 July 2008</w:t>
          </w:r>
        </w:p>
        <w:p w:rsidR="00A0150F" w:rsidRDefault="00A0150F" w:rsidP="001D000D">
          <w:pPr>
            <w:spacing w:line="240" w:lineRule="exact"/>
            <w:rPr>
              <w:rFonts w:ascii="Times New Roman"/>
            </w:rPr>
          </w:pPr>
          <w:r>
            <w:rPr>
              <w:rFonts w:ascii="Times New Roman"/>
            </w:rPr>
            <w:t>Chinese</w:t>
          </w:r>
        </w:p>
        <w:p w:rsidR="00A0150F" w:rsidRPr="001D000D" w:rsidRDefault="00A0150F" w:rsidP="001D000D">
          <w:pPr>
            <w:spacing w:line="240" w:lineRule="exact"/>
            <w:rPr>
              <w:rFonts w:ascii="Times New Roman"/>
            </w:rPr>
          </w:pPr>
          <w:r>
            <w:rPr>
              <w:rFonts w:ascii="Times New Roman"/>
            </w:rPr>
            <w:t>Original: English</w:t>
          </w:r>
        </w:p>
      </w:tc>
    </w:tr>
  </w:tbl>
  <w:p w:rsidR="00A0150F" w:rsidRPr="001D000D" w:rsidRDefault="00A0150F" w:rsidP="001D000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42772*"/>
    <w:docVar w:name="CreationDt" w:val="18/07/2008 15:24:49"/>
    <w:docVar w:name="DocCategory" w:val="Doc"/>
    <w:docVar w:name="DocType" w:val="Final"/>
    <w:docVar w:name="FooterJN" w:val="08-42772"/>
    <w:docVar w:name="jobn" w:val="08-42772 (C)"/>
    <w:docVar w:name="jobnDT" w:val="08-42772 (C)   180708"/>
    <w:docVar w:name="jobnDTDT" w:val="08-42772 (C)   180708   180708"/>
    <w:docVar w:name="JobNo" w:val="0842772C"/>
    <w:docVar w:name="OandT" w:val="zxs"/>
    <w:docVar w:name="sss1" w:val="CEDAW/C/SVK/CO/4"/>
    <w:docVar w:name="sss2" w:val="-"/>
    <w:docVar w:name="Symbol1" w:val="CEDAW/C/SVK/CO/4"/>
    <w:docVar w:name="Symbol2" w:val="-"/>
  </w:docVars>
  <w:rsids>
    <w:rsidRoot w:val="00CC43A3"/>
    <w:rsid w:val="000125BC"/>
    <w:rsid w:val="00021A2B"/>
    <w:rsid w:val="00037B39"/>
    <w:rsid w:val="00044CA4"/>
    <w:rsid w:val="00045EFE"/>
    <w:rsid w:val="0007337D"/>
    <w:rsid w:val="000758DF"/>
    <w:rsid w:val="00076EB8"/>
    <w:rsid w:val="00095C67"/>
    <w:rsid w:val="000A31F9"/>
    <w:rsid w:val="000C1786"/>
    <w:rsid w:val="000E240F"/>
    <w:rsid w:val="000E49A4"/>
    <w:rsid w:val="000F1058"/>
    <w:rsid w:val="001113F8"/>
    <w:rsid w:val="001212F9"/>
    <w:rsid w:val="00121328"/>
    <w:rsid w:val="0012708E"/>
    <w:rsid w:val="00141322"/>
    <w:rsid w:val="0015066B"/>
    <w:rsid w:val="00150D3A"/>
    <w:rsid w:val="00153D29"/>
    <w:rsid w:val="00161E69"/>
    <w:rsid w:val="00161F54"/>
    <w:rsid w:val="00170FBE"/>
    <w:rsid w:val="0017506F"/>
    <w:rsid w:val="001B2814"/>
    <w:rsid w:val="001B4F95"/>
    <w:rsid w:val="001C3F7F"/>
    <w:rsid w:val="001C5166"/>
    <w:rsid w:val="001D000D"/>
    <w:rsid w:val="001D0354"/>
    <w:rsid w:val="001E20EC"/>
    <w:rsid w:val="001E4442"/>
    <w:rsid w:val="001E5A51"/>
    <w:rsid w:val="001F03A7"/>
    <w:rsid w:val="00207135"/>
    <w:rsid w:val="00231575"/>
    <w:rsid w:val="00247382"/>
    <w:rsid w:val="00252E35"/>
    <w:rsid w:val="00254858"/>
    <w:rsid w:val="00257053"/>
    <w:rsid w:val="00266257"/>
    <w:rsid w:val="00271BE6"/>
    <w:rsid w:val="0027454D"/>
    <w:rsid w:val="00280671"/>
    <w:rsid w:val="002814F9"/>
    <w:rsid w:val="00282D17"/>
    <w:rsid w:val="002A4AEF"/>
    <w:rsid w:val="002B305F"/>
    <w:rsid w:val="002B564F"/>
    <w:rsid w:val="002B5F5D"/>
    <w:rsid w:val="002C2254"/>
    <w:rsid w:val="002C3BC9"/>
    <w:rsid w:val="002C54DB"/>
    <w:rsid w:val="002D039F"/>
    <w:rsid w:val="002D0694"/>
    <w:rsid w:val="002D29E4"/>
    <w:rsid w:val="002D5503"/>
    <w:rsid w:val="002E66D5"/>
    <w:rsid w:val="002F41E2"/>
    <w:rsid w:val="00320C99"/>
    <w:rsid w:val="003274A9"/>
    <w:rsid w:val="00331221"/>
    <w:rsid w:val="003649EE"/>
    <w:rsid w:val="00371BC6"/>
    <w:rsid w:val="00373A15"/>
    <w:rsid w:val="00394A02"/>
    <w:rsid w:val="003C7B20"/>
    <w:rsid w:val="003E4565"/>
    <w:rsid w:val="003E748F"/>
    <w:rsid w:val="003E7612"/>
    <w:rsid w:val="00414423"/>
    <w:rsid w:val="00426373"/>
    <w:rsid w:val="004411AD"/>
    <w:rsid w:val="004424EF"/>
    <w:rsid w:val="00453BB0"/>
    <w:rsid w:val="00460162"/>
    <w:rsid w:val="004620A8"/>
    <w:rsid w:val="00487444"/>
    <w:rsid w:val="004A06D1"/>
    <w:rsid w:val="004A11FC"/>
    <w:rsid w:val="004C0224"/>
    <w:rsid w:val="004C3255"/>
    <w:rsid w:val="004C4711"/>
    <w:rsid w:val="004D07E1"/>
    <w:rsid w:val="004D1C19"/>
    <w:rsid w:val="004F29B8"/>
    <w:rsid w:val="0050413E"/>
    <w:rsid w:val="00515657"/>
    <w:rsid w:val="00521275"/>
    <w:rsid w:val="0052216F"/>
    <w:rsid w:val="005232CA"/>
    <w:rsid w:val="00523636"/>
    <w:rsid w:val="005335B9"/>
    <w:rsid w:val="00536CCE"/>
    <w:rsid w:val="005541E4"/>
    <w:rsid w:val="0058302A"/>
    <w:rsid w:val="005840E7"/>
    <w:rsid w:val="005B7338"/>
    <w:rsid w:val="005C02AB"/>
    <w:rsid w:val="005D0F04"/>
    <w:rsid w:val="005F12F0"/>
    <w:rsid w:val="005F3273"/>
    <w:rsid w:val="005F34A3"/>
    <w:rsid w:val="00610CF2"/>
    <w:rsid w:val="006328DE"/>
    <w:rsid w:val="006479F1"/>
    <w:rsid w:val="00650BEE"/>
    <w:rsid w:val="006520FA"/>
    <w:rsid w:val="0065377D"/>
    <w:rsid w:val="00666F57"/>
    <w:rsid w:val="006740A7"/>
    <w:rsid w:val="00691524"/>
    <w:rsid w:val="006A654B"/>
    <w:rsid w:val="006E2924"/>
    <w:rsid w:val="006E7A26"/>
    <w:rsid w:val="006F2B3D"/>
    <w:rsid w:val="007319E0"/>
    <w:rsid w:val="00737B00"/>
    <w:rsid w:val="0075155C"/>
    <w:rsid w:val="00753A05"/>
    <w:rsid w:val="00757193"/>
    <w:rsid w:val="00761190"/>
    <w:rsid w:val="00776537"/>
    <w:rsid w:val="00783A25"/>
    <w:rsid w:val="007877F4"/>
    <w:rsid w:val="007E1B5E"/>
    <w:rsid w:val="007E6253"/>
    <w:rsid w:val="007F2278"/>
    <w:rsid w:val="00805783"/>
    <w:rsid w:val="00806F57"/>
    <w:rsid w:val="00806F90"/>
    <w:rsid w:val="00824C19"/>
    <w:rsid w:val="008251B3"/>
    <w:rsid w:val="00826250"/>
    <w:rsid w:val="00827385"/>
    <w:rsid w:val="008378D1"/>
    <w:rsid w:val="00846462"/>
    <w:rsid w:val="0086691F"/>
    <w:rsid w:val="00883DB0"/>
    <w:rsid w:val="00884C8F"/>
    <w:rsid w:val="00896D38"/>
    <w:rsid w:val="008C3296"/>
    <w:rsid w:val="008E2D03"/>
    <w:rsid w:val="008F2BB5"/>
    <w:rsid w:val="008F425D"/>
    <w:rsid w:val="008F5472"/>
    <w:rsid w:val="008F5D0F"/>
    <w:rsid w:val="009122E0"/>
    <w:rsid w:val="00913351"/>
    <w:rsid w:val="00931A74"/>
    <w:rsid w:val="0096193C"/>
    <w:rsid w:val="009769E1"/>
    <w:rsid w:val="00977E0D"/>
    <w:rsid w:val="00986C04"/>
    <w:rsid w:val="009A2F76"/>
    <w:rsid w:val="009D2AC2"/>
    <w:rsid w:val="009E1774"/>
    <w:rsid w:val="009E2668"/>
    <w:rsid w:val="009E40A3"/>
    <w:rsid w:val="009E5C8C"/>
    <w:rsid w:val="009F10B1"/>
    <w:rsid w:val="009F47E3"/>
    <w:rsid w:val="009F6938"/>
    <w:rsid w:val="00A0150F"/>
    <w:rsid w:val="00A0537D"/>
    <w:rsid w:val="00A069AD"/>
    <w:rsid w:val="00A17A85"/>
    <w:rsid w:val="00A20856"/>
    <w:rsid w:val="00A24399"/>
    <w:rsid w:val="00A24CA5"/>
    <w:rsid w:val="00A33D6D"/>
    <w:rsid w:val="00A37345"/>
    <w:rsid w:val="00A5206D"/>
    <w:rsid w:val="00A72E47"/>
    <w:rsid w:val="00A95404"/>
    <w:rsid w:val="00A968C5"/>
    <w:rsid w:val="00AA3C28"/>
    <w:rsid w:val="00AA759D"/>
    <w:rsid w:val="00AB2786"/>
    <w:rsid w:val="00AD4308"/>
    <w:rsid w:val="00AF2A33"/>
    <w:rsid w:val="00B309DD"/>
    <w:rsid w:val="00B36621"/>
    <w:rsid w:val="00B36D64"/>
    <w:rsid w:val="00B41B48"/>
    <w:rsid w:val="00B56194"/>
    <w:rsid w:val="00B61A34"/>
    <w:rsid w:val="00B64E8E"/>
    <w:rsid w:val="00B65E8B"/>
    <w:rsid w:val="00B8025A"/>
    <w:rsid w:val="00B827B1"/>
    <w:rsid w:val="00BB23A4"/>
    <w:rsid w:val="00BC2276"/>
    <w:rsid w:val="00BD2150"/>
    <w:rsid w:val="00BE1CC3"/>
    <w:rsid w:val="00BE365A"/>
    <w:rsid w:val="00BE47C4"/>
    <w:rsid w:val="00C052A2"/>
    <w:rsid w:val="00C06A4A"/>
    <w:rsid w:val="00C1391A"/>
    <w:rsid w:val="00C14CE6"/>
    <w:rsid w:val="00C15218"/>
    <w:rsid w:val="00C213B0"/>
    <w:rsid w:val="00C2725D"/>
    <w:rsid w:val="00C42033"/>
    <w:rsid w:val="00C464DD"/>
    <w:rsid w:val="00C76854"/>
    <w:rsid w:val="00CB2B1E"/>
    <w:rsid w:val="00CC3E8B"/>
    <w:rsid w:val="00CC43A3"/>
    <w:rsid w:val="00CC4E84"/>
    <w:rsid w:val="00CD5641"/>
    <w:rsid w:val="00CE64AC"/>
    <w:rsid w:val="00CF7718"/>
    <w:rsid w:val="00D177F1"/>
    <w:rsid w:val="00D323B5"/>
    <w:rsid w:val="00D42ACC"/>
    <w:rsid w:val="00D42DC0"/>
    <w:rsid w:val="00D51DC5"/>
    <w:rsid w:val="00D676D7"/>
    <w:rsid w:val="00D71517"/>
    <w:rsid w:val="00D7168D"/>
    <w:rsid w:val="00D874E1"/>
    <w:rsid w:val="00D9586D"/>
    <w:rsid w:val="00DB0932"/>
    <w:rsid w:val="00DC2506"/>
    <w:rsid w:val="00DC49FA"/>
    <w:rsid w:val="00DD3D6B"/>
    <w:rsid w:val="00DD4467"/>
    <w:rsid w:val="00DD61C8"/>
    <w:rsid w:val="00DD772B"/>
    <w:rsid w:val="00E050BA"/>
    <w:rsid w:val="00E25442"/>
    <w:rsid w:val="00E25A1F"/>
    <w:rsid w:val="00E37EEB"/>
    <w:rsid w:val="00E710FB"/>
    <w:rsid w:val="00E806D9"/>
    <w:rsid w:val="00E82CA2"/>
    <w:rsid w:val="00E94E5A"/>
    <w:rsid w:val="00E95594"/>
    <w:rsid w:val="00EA31C3"/>
    <w:rsid w:val="00EB33AC"/>
    <w:rsid w:val="00EC6F21"/>
    <w:rsid w:val="00EE0913"/>
    <w:rsid w:val="00F01440"/>
    <w:rsid w:val="00F13305"/>
    <w:rsid w:val="00F40463"/>
    <w:rsid w:val="00F50336"/>
    <w:rsid w:val="00F62E3F"/>
    <w:rsid w:val="00F67F90"/>
    <w:rsid w:val="00F77B3E"/>
    <w:rsid w:val="00F833CB"/>
    <w:rsid w:val="00F87754"/>
    <w:rsid w:val="00F90A4B"/>
    <w:rsid w:val="00F90C56"/>
    <w:rsid w:val="00FC1CE4"/>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1E5A51"/>
    <w:pPr>
      <w:keepNext/>
      <w:keepLines/>
      <w:suppressAutoHyphens/>
      <w:outlineLvl w:val="0"/>
    </w:pPr>
    <w:rPr>
      <w:rFonts w:ascii="SimHei" w:eastAsia="SimHei"/>
      <w:color w:val="FF0000"/>
      <w:sz w:val="24"/>
    </w:rPr>
  </w:style>
  <w:style w:type="paragraph" w:customStyle="1" w:styleId="HCh">
    <w:name w:val="_ H _Ch"/>
    <w:basedOn w:val="H1"/>
    <w:next w:val="Normal"/>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Pages>
  <Words>3582</Words>
  <Characters>3691</Characters>
  <Application>Microsoft Office Word</Application>
  <DocSecurity>4</DocSecurity>
  <Lines>141</Lines>
  <Paragraphs>68</Paragraphs>
  <ScaleCrop>false</ScaleCrop>
  <Company>United Nations</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Xiusheng.Zhang</dc:creator>
  <cp:keywords/>
  <dc:description/>
  <cp:lastModifiedBy>Xiusheng.Zhang</cp:lastModifiedBy>
  <cp:revision>15</cp:revision>
  <cp:lastPrinted>2008-07-18T14:33:00Z</cp:lastPrinted>
  <dcterms:created xsi:type="dcterms:W3CDTF">2008-07-18T14:22:00Z</dcterms:created>
  <dcterms:modified xsi:type="dcterms:W3CDTF">2008-07-18T14:41:00Z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0842772</vt:lpwstr>
  </property>
  <property fmtid="{D5CDD505-2E9C-101B-9397-08002B2CF9AE}" pid="3" name="Symbol1">
    <vt:lpwstr>CEDAW/C/SVK/CO/4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8</vt:lpwstr>
  </property>
  <property fmtid="{D5CDD505-2E9C-101B-9397-08002B2CF9AE}" pid="8" name="Operator">
    <vt:lpwstr>zxs</vt:lpwstr>
  </property>
</Properties>
</file>