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30° período de sesiones</w:t>
      </w:r>
    </w:p>
    <w:p w:rsidR="00000000" w:rsidRDefault="00000000">
      <w:pPr>
        <w:spacing w:line="240" w:lineRule="auto"/>
        <w:rPr>
          <w:sz w:val="12"/>
        </w:rPr>
      </w:pPr>
    </w:p>
    <w:p w:rsidR="00000000" w:rsidRDefault="00000000">
      <w:pPr>
        <w:pStyle w:val="H23"/>
      </w:pPr>
      <w:r>
        <w:t>Acta resumida de la 642ª sesión</w:t>
      </w:r>
    </w:p>
    <w:p w:rsidR="00000000" w:rsidRDefault="00000000">
      <w:r>
        <w:t>Celebrada en la Sede, Nueva York, el 22 de enero de 2004,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Açar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rPr>
          <w:i/>
        </w:rPr>
      </w:pPr>
      <w:r>
        <w:tab/>
      </w:r>
      <w:r>
        <w:rPr>
          <w:i/>
        </w:rPr>
        <w:t xml:space="preserve">Informes periódicos inicial y segundo combinados de Kuwait </w:t>
      </w:r>
      <w:r>
        <w:t>(</w:t>
      </w:r>
      <w:r>
        <w:rPr>
          <w:i/>
        </w:rPr>
        <w:t>co</w:t>
      </w:r>
      <w:r>
        <w:rPr>
          <w:i/>
        </w:rPr>
        <w:t>n</w:t>
      </w:r>
      <w:r>
        <w:rPr>
          <w:i/>
        </w:rPr>
        <w:t>tinuación</w:t>
      </w:r>
      <w:r>
        <w:t>)</w:t>
      </w:r>
    </w:p>
    <w:p w:rsidR="00000000" w:rsidRDefault="00000000">
      <w:pPr>
        <w:pStyle w:val="SingleTxt"/>
      </w:pPr>
    </w:p>
    <w:p w:rsidR="00000000" w:rsidRDefault="00000000">
      <w:pPr>
        <w:pStyle w:val="SingleTxt"/>
        <w:spacing w:after="0" w:line="240" w:lineRule="auto"/>
        <w:rPr>
          <w:sz w:val="2"/>
        </w:rPr>
      </w:pPr>
      <w:r>
        <w:br w:type="page"/>
      </w:r>
    </w:p>
    <w:p w:rsidR="00000000" w:rsidRDefault="00000000">
      <w:pPr>
        <w:pStyle w:val="SingleTxt"/>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15.20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ab/>
        <w:t xml:space="preserve">Informes periódicos inicial y segundo combinados de Kuwait </w:t>
      </w:r>
      <w:r>
        <w:rPr>
          <w:i w:val="0"/>
        </w:rPr>
        <w:t>(CEDAW/C/KWT/1-2) (</w:t>
      </w:r>
      <w:r>
        <w:t>continuación</w:t>
      </w:r>
      <w:r>
        <w:rPr>
          <w:i w:val="0"/>
        </w:rPr>
        <w:t>)</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s>
      </w:pPr>
      <w:r>
        <w:rPr>
          <w:i/>
        </w:rPr>
        <w:t>Por invitación de la Presidenta, los miembros de la delegación de Kuwait toman asiento a la mesa del Comité</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Nazar </w:t>
      </w:r>
      <w:r>
        <w:t>(Kuwait), en respuesta a una pr</w:t>
      </w:r>
      <w:r>
        <w:t>e</w:t>
      </w:r>
      <w:r>
        <w:t>gunta acerca de la publicación y difusión de la Co</w:t>
      </w:r>
      <w:r>
        <w:t>n</w:t>
      </w:r>
      <w:r>
        <w:t>vención, dice que la adhesión de Kuwait a la Conve</w:t>
      </w:r>
      <w:r>
        <w:t>n</w:t>
      </w:r>
      <w:r>
        <w:t>ción se publicó en la Gaceta Oficial con arreglo al D</w:t>
      </w:r>
      <w:r>
        <w:t>e</w:t>
      </w:r>
      <w:r>
        <w:t>creto No. 24 de 17 de enero de 1994, y que la Gaceta se distribuye ampliamente a las instituciones gubern</w:t>
      </w:r>
      <w:r>
        <w:t>a</w:t>
      </w:r>
      <w:r>
        <w:t>mentales y a las bibliotecas para beneficio del público en general.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reserva de Kuwait al apartado a) del artículo 7, referente al derecho a votar y a ser elegible, se basa en el hecho de que, por el momento, en Kuwait ese d</w:t>
      </w:r>
      <w:r>
        <w:t>e</w:t>
      </w:r>
      <w:r>
        <w:t>recho se limita a los hombres kuwaitíes, en virtud de la Ley No. 35 de 1962, en su forma enmendada. El G</w:t>
      </w:r>
      <w:r>
        <w:t>o</w:t>
      </w:r>
      <w:r>
        <w:t>bierno se propone retirar su reserva al apartado a) del artículo 7 tan pronto haya adoptado nuevas disposici</w:t>
      </w:r>
      <w:r>
        <w:t>o</w:t>
      </w:r>
      <w:r>
        <w:t>nes legislativas por las que se otorgue ese derecho a las mujeres. De igual modo, la reserva al artículo 9 de la Convención se relaciona con el párrafo 2 del mismo, y su motivo es que esta disposición contraviene la Ley No. 15 de 1959, en su forma enmendada, que rige la adquisición de la nacionalidad. Los hijos de mujeres kuwaitíes casadas con ciudadanos extranjeros adqui</w:t>
      </w:r>
      <w:r>
        <w:t>e</w:t>
      </w:r>
      <w:r>
        <w:t>ren la nacionalidad kuwaití sólo en circunstancias e</w:t>
      </w:r>
      <w:r>
        <w:t>s</w:t>
      </w:r>
      <w:r>
        <w:t>peciales.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relación con la reserva al apartado f) del art</w:t>
      </w:r>
      <w:r>
        <w:t>í</w:t>
      </w:r>
      <w:r>
        <w:t>culo 16, dice que en Kuwait la tutela se rige por el d</w:t>
      </w:r>
      <w:r>
        <w:t>e</w:t>
      </w:r>
      <w:r>
        <w:t xml:space="preserve">recho civil y la legislación que prescribe los derechos de las personas dimanantes de la </w:t>
      </w:r>
      <w:r>
        <w:rPr>
          <w:i/>
        </w:rPr>
        <w:t>sharía</w:t>
      </w:r>
      <w:r>
        <w:t xml:space="preserve"> islámica, que no permiten el sistema de adopción previsto en el art</w:t>
      </w:r>
      <w:r>
        <w:t>í</w:t>
      </w:r>
      <w:r>
        <w:t>culo 16 de la Co</w:t>
      </w:r>
      <w:r>
        <w:t>n</w:t>
      </w:r>
      <w:r>
        <w:t>vención.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cuanto a la solicitud del Comité al efecto de que Kuwait retire sus reservas, señala que con arreglo al derecho internacional de los tratados los Estados e</w:t>
      </w:r>
      <w:r>
        <w:t>s</w:t>
      </w:r>
      <w:r>
        <w:t>tán facultados para formular reservas cuando se adhi</w:t>
      </w:r>
      <w:r>
        <w:t>e</w:t>
      </w:r>
      <w:r>
        <w:t>ren a instrumentos internacionales, a menos que esos instrumentos contengan disposiciones en contrario. La oradora describe brevemente el proceso mediante el cual los tratados se incorporan al derecho interno, lu</w:t>
      </w:r>
      <w:r>
        <w:t>e</w:t>
      </w:r>
      <w:r>
        <w:t>go de su aprobación por decreto y su publicación en la G</w:t>
      </w:r>
      <w:r>
        <w:t>a</w:t>
      </w:r>
      <w:r>
        <w:t>ceta Oficial.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Según datos del Ministerio de Educación, un total de 19 504 niñas y mujeres no kuwaitíes están matric</w:t>
      </w:r>
      <w:r>
        <w:t>u</w:t>
      </w:r>
      <w:r>
        <w:t>ladas en el sistema educacional, desde los jardines de infantes hasta los niveles superiores de la enseñanza secundaria. Con referencia a la protección que otorga la Constitución a los no kuwaitíes, da seguridades al Comité de que el artículo 29 de la Constitución de K</w:t>
      </w:r>
      <w:r>
        <w:t>u</w:t>
      </w:r>
      <w:r>
        <w:t>wait garantiza la igualdad con respecto a la dignidad humana ante la ley sin distinción de sexo, origen, idioma o rel</w:t>
      </w:r>
      <w:r>
        <w:t>i</w:t>
      </w:r>
      <w:r>
        <w:t>gión.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Atendiendo a preguntas sobre los recursos de d</w:t>
      </w:r>
      <w:r>
        <w:t>e</w:t>
      </w:r>
      <w:r>
        <w:t>sagravio de que disponen las mujeres, dice que el C</w:t>
      </w:r>
      <w:r>
        <w:t>ó</w:t>
      </w:r>
      <w:r>
        <w:t>digo Penal caracteriza todos los ataques sexuales y la incitación a la prostitución y al libertinaje como delitos penales y prevé sanciones para ellos. En lo que atañe a la reacción del público y los medios de información a la negativa del consejo nacional a otorgar derechos p</w:t>
      </w:r>
      <w:r>
        <w:t>o</w:t>
      </w:r>
      <w:r>
        <w:t>líticos a las mujeres, dice que esta cuestión sigue en estudio y que se presentará información adicional sobre el pa</w:t>
      </w:r>
      <w:r>
        <w:t>r</w:t>
      </w:r>
      <w:r>
        <w:t>ticular.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lo que se ha planteado acerca de la ausencia de una referencia explícita a las mujeres en la Constitución, dice que la Constitución de Kuwait g</w:t>
      </w:r>
      <w:r>
        <w:t>a</w:t>
      </w:r>
      <w:r>
        <w:t>rantiza iguales derechos a hombres y mujeres mediante el uso de un vocablo árabe que equivale a “ciudadano” o “ciudadana”. La Constitución contiene disposiciones generales; en las leyes pertinentes hay disposiciones más detalladas. En lo tocante a la mujer y la vida fam</w:t>
      </w:r>
      <w:r>
        <w:t>i</w:t>
      </w:r>
      <w:r>
        <w:t>liar, subraya que el artículo 9 de la Constitución asigna máxima importancia a la cohesión de la unidad familiar como base de la sociedad, y que por consiguiente la l</w:t>
      </w:r>
      <w:r>
        <w:t>e</w:t>
      </w:r>
      <w:r>
        <w:t>gislación nacional procura fortalecer esa disposición constitucional por medio de la protección de las m</w:t>
      </w:r>
      <w:r>
        <w:t>a</w:t>
      </w:r>
      <w:r>
        <w:t>dres y los niños.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Código Penal prevé la pena capital, y ésta pu</w:t>
      </w:r>
      <w:r>
        <w:t>e</w:t>
      </w:r>
      <w:r>
        <w:t>de invocarse tanto para hombres como para mujeres. No obstante, el artículo 59 del Código permite que esa pena se conmute en prisión perpetua en el caso de una mujer embarazada o que ha dado a luz a un niño vivo.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spacing w:val="2"/>
        </w:rPr>
      </w:pPr>
      <w:r>
        <w:rPr>
          <w:spacing w:val="2"/>
        </w:rPr>
        <w:t>Pasando a las preocupaciones que se han expres</w:t>
      </w:r>
      <w:r>
        <w:rPr>
          <w:spacing w:val="2"/>
        </w:rPr>
        <w:t>a</w:t>
      </w:r>
      <w:r>
        <w:rPr>
          <w:spacing w:val="2"/>
        </w:rPr>
        <w:t>do respecto de la medida en que hay conciencia de las disposiciones del artículo 6 de la Convención, dice que la prostitución en todas sus manifestaciones se considera una actividad prohibida. Cita los artículos 200 a 204 del Código Penal, que imponen penas por la realización de actividades que promuevan la prostitución, por la pe</w:t>
      </w:r>
      <w:r>
        <w:rPr>
          <w:spacing w:val="2"/>
        </w:rPr>
        <w:t>r</w:t>
      </w:r>
      <w:r>
        <w:rPr>
          <w:spacing w:val="2"/>
        </w:rPr>
        <w:t>cepción de ingresos derivados de la prostitución y por la distribución de materiales porn</w:t>
      </w:r>
      <w:r>
        <w:rPr>
          <w:spacing w:val="2"/>
        </w:rPr>
        <w:t>o</w:t>
      </w:r>
      <w:r>
        <w:rPr>
          <w:spacing w:val="2"/>
        </w:rPr>
        <w:t>gráficos.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Nazar </w:t>
      </w:r>
      <w:r>
        <w:t>indica a continuación que el der</w:t>
      </w:r>
      <w:r>
        <w:t>e</w:t>
      </w:r>
      <w:r>
        <w:t>cho kuwaití no contiene disposiciones específicas que rijan los crímenes de honra. Sin embargo, varios art</w:t>
      </w:r>
      <w:r>
        <w:t>í</w:t>
      </w:r>
      <w:r>
        <w:t>culos del Código Penal No. 16 de 1960, en su forma enmendada, tratan de la cuestión de los crímenes c</w:t>
      </w:r>
      <w:r>
        <w:t>o</w:t>
      </w:r>
      <w:r>
        <w:t>metidos</w:t>
      </w:r>
      <w:r>
        <w:rPr>
          <w:spacing w:val="2"/>
        </w:rPr>
        <w:t xml:space="preserve"> con el pretexto de proteger la reputación de una persona. Por ejemplo, el artículo 153 dispone que un hombre que dé muerte a su esposa, hija, madre o herm</w:t>
      </w:r>
      <w:r>
        <w:rPr>
          <w:spacing w:val="2"/>
        </w:rPr>
        <w:t>a</w:t>
      </w:r>
      <w:r>
        <w:rPr>
          <w:spacing w:val="2"/>
        </w:rPr>
        <w:t>na por razón de haberla sorprendido en delito flagrante con un hombre que no es su marido será pasible de una pena de hasta tres años de prisión o una multa de hasta 3.000 rupias</w:t>
      </w:r>
      <w:r>
        <w:t>, o ambas. En el artículo 195 se dispone que toda persona casada que tenga relaciones sexuales consensuales con una persona que no sea su cónyuge será pasible de una pena de hasta cinco años de prisión o una multa de hasta 5.000 rupias. Señala también que la esposa del presunto adúltero puede poner término a la acción judicial en un caso de adult</w:t>
      </w:r>
      <w:r>
        <w:t>e</w:t>
      </w:r>
      <w:r>
        <w:t>rio.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lo que hace a medidas adicionales para prev</w:t>
      </w:r>
      <w:r>
        <w:t>e</w:t>
      </w:r>
      <w:r>
        <w:t>nir la violencia contra las mujeres, la oradora informa al Comité que las disposiciones del Código Penal No. 16 de 1960 (en su forma enmendada) son las únicas medidas vigentes en la materia.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Refiriéndose a las cuestiones planteadas en rel</w:t>
      </w:r>
      <w:r>
        <w:t>a</w:t>
      </w:r>
      <w:r>
        <w:t>ción con el artículo 7 de la Convención, dice que unas 416.000 mujeres kuwaitíes y 240.000 mujeres no k</w:t>
      </w:r>
      <w:r>
        <w:t>u</w:t>
      </w:r>
      <w:r>
        <w:t>waitíes se desempeñan en la administración pública. Las leyes que rigen el cuerpo diplomático y consular no impiden que las mujeres ocupen cargos en este se</w:t>
      </w:r>
      <w:r>
        <w:t>c</w:t>
      </w:r>
      <w:r>
        <w:t>tor y, en consecuencia, hay varias mujeres que dese</w:t>
      </w:r>
      <w:r>
        <w:t>m</w:t>
      </w:r>
      <w:r>
        <w:t>peñan funciones en embajadas kuwaitíes en diversos puntos del mu</w:t>
      </w:r>
      <w:r>
        <w:t>n</w:t>
      </w:r>
      <w:r>
        <w:t>do.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 existencia de partidos políticos en Kuwait, dice que el artículo 43 de la Constitución consagra el derecho de asociación, pero que está proh</w:t>
      </w:r>
      <w:r>
        <w:t>i</w:t>
      </w:r>
      <w:r>
        <w:t>bido forzar a una persona a afiliarse a una asociación o a un sindicato. Por lo tanto, puesto que la Constitución ni alienta ni prohíbe la formación de partidos políticos, éstos podrían establecerse si fuese necesario.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Si bien hay varias mujeres que se desempeñan como abogadas en Kuwait, al presente no hay mujeres en la judicatura. Empero, esta situación podría cambiar en el futuro.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Pasando a la participación de las mujeres en la fuerza policial, dice que el Decreto No. 221/2001 di</w:t>
      </w:r>
      <w:r>
        <w:t>s</w:t>
      </w:r>
      <w:r>
        <w:t>puso el establecimiento dentro del Ministerio del Int</w:t>
      </w:r>
      <w:r>
        <w:t>e</w:t>
      </w:r>
      <w:r>
        <w:t>rior de un cuerpo compuesto enteramente de mujeres, que tienen la clasificación de funcionarias de la fuerza policial. En cuanto a las fuerzas armadas, el artículo 6 del Decreto Ministerial No. 13 de 1998 dispone que t</w:t>
      </w:r>
      <w:r>
        <w:t>o</w:t>
      </w:r>
      <w:r>
        <w:t>do ciudadano kuwaití o no kuwaití que se enrola v</w:t>
      </w:r>
      <w:r>
        <w:t>o</w:t>
      </w:r>
      <w:r>
        <w:t>luntariamente puede prestar servicio en las fuerzas a</w:t>
      </w:r>
      <w:r>
        <w:t>r</w:t>
      </w:r>
      <w:r>
        <w:t>madas de Kuwait, pero el artículo 18 del mismo D</w:t>
      </w:r>
      <w:r>
        <w:t>e</w:t>
      </w:r>
      <w:r>
        <w:t>creto dispone que las mujeres no pueden enrolarse v</w:t>
      </w:r>
      <w:r>
        <w:t>o</w:t>
      </w:r>
      <w:r>
        <w:t>luntariamente, a menos que dicha prohibición del ali</w:t>
      </w:r>
      <w:r>
        <w:t>s</w:t>
      </w:r>
      <w:r>
        <w:t>tamiento femenino sea incompatible con la marcha del progreso. Sin embargo, en virtud del Decreto Minist</w:t>
      </w:r>
      <w:r>
        <w:t>e</w:t>
      </w:r>
      <w:r>
        <w:t>rial No. 48 de 1998, se permitió que varias mujeres se empleasen en las fuerzas armadas para realizar tareas compatibles con su condición femenina, a saber, lab</w:t>
      </w:r>
      <w:r>
        <w:t>o</w:t>
      </w:r>
      <w:r>
        <w:t>res administrativas. En razón de la falta de disposici</w:t>
      </w:r>
      <w:r>
        <w:t>o</w:t>
      </w:r>
      <w:r>
        <w:t>nes relativas, entre otras cosas, a la licencia de mate</w:t>
      </w:r>
      <w:r>
        <w:t>r</w:t>
      </w:r>
      <w:r>
        <w:t>nidad en los reglamentos que rigen el empleo en las fuerzas armadas, el reclutamiento de mujeres se su</w:t>
      </w:r>
      <w:r>
        <w:t>s</w:t>
      </w:r>
      <w:r>
        <w:t>pendió, y se halla actualmente en estudio una solicitud de la Comisión Militar al efecto de que se enmiende la Ley de 1967 sobre las Fuerzas Armadas con objeto de rectificar la s</w:t>
      </w:r>
      <w:r>
        <w:t>i</w:t>
      </w:r>
      <w:r>
        <w:t>tuación.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lo que se refiere a la participación de las m</w:t>
      </w:r>
      <w:r>
        <w:t>u</w:t>
      </w:r>
      <w:r>
        <w:t>jeres en el trabajo informal, en 2002 aproximadamente 50.000 mujeres se desempeñaban en empleos inform</w:t>
      </w:r>
      <w:r>
        <w:t>a</w:t>
      </w:r>
      <w:r>
        <w:t>les en el sector privado, en comparación con unas 106.000 en el sector público. En el informe se menci</w:t>
      </w:r>
      <w:r>
        <w:t>o</w:t>
      </w:r>
      <w:r>
        <w:t>nan varias instituciones en que, conforme al Decreto Ministerial No. 58 de 1985, se permite a las mujeres trabajar de noche, entre ellas las farmacias y los hot</w:t>
      </w:r>
      <w:r>
        <w:t>e</w:t>
      </w:r>
      <w:r>
        <w:t xml:space="preserve">les. El </w:t>
      </w:r>
      <w:r>
        <w:rPr>
          <w:spacing w:val="2"/>
        </w:rPr>
        <w:t>carácter de esos sectores hace necesaria la pr</w:t>
      </w:r>
      <w:r>
        <w:rPr>
          <w:spacing w:val="2"/>
        </w:rPr>
        <w:t>e</w:t>
      </w:r>
      <w:r>
        <w:rPr>
          <w:spacing w:val="2"/>
        </w:rPr>
        <w:t>sencia de empleadas, puesto que los clientes son de a</w:t>
      </w:r>
      <w:r>
        <w:rPr>
          <w:spacing w:val="2"/>
        </w:rPr>
        <w:t>m</w:t>
      </w:r>
      <w:r>
        <w:rPr>
          <w:spacing w:val="2"/>
        </w:rPr>
        <w:t>bos géneros. Se obliga a los empleadores a proporcionar transporte para las mujeres que trabajan de n</w:t>
      </w:r>
      <w:r>
        <w:rPr>
          <w:spacing w:val="2"/>
        </w:rPr>
        <w:t>o</w:t>
      </w:r>
      <w:r>
        <w:rPr>
          <w:spacing w:val="2"/>
        </w:rPr>
        <w:t>che.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respuesta a una pregunta acerca de la brecha salarial entre los hombres y las mujeres, la oradora s</w:t>
      </w:r>
      <w:r>
        <w:t>e</w:t>
      </w:r>
      <w:r>
        <w:t>ñala que, en virtud del artículo 27 de la Ley No. 38 de 1964 sobre el empleo en el sector privado, las mujeres y los hombres tienen derecho a igual remuneración por trabajo de igual valor.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las preguntas formuladas en rel</w:t>
      </w:r>
      <w:r>
        <w:t>a</w:t>
      </w:r>
      <w:r>
        <w:t>ción con el artículo 9 de la Convención, dice que la Ley No. 15 de 1959 sobre la nacionalidad, en su forma enmendada, rige el derecho de todos los ciudadanos kuwaitíes a la nacionalidad. La adquisición y retención de la nacionalidad kuwaití dependen de la renuncia a toda otra nacionalidad y de la condición de que no se haya cometido ninguno de los delitos mencionados en el artículo 13 de la Ley.</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Al-Turkait</w:t>
      </w:r>
      <w:r>
        <w:t xml:space="preserve"> (Kuwait) dice que una mujer kuwaití no tiene derecho a transmitir su nacionalidad a un hijo, a menos que se desconozca la nacionalidad del padre del niño. Por otra parte, a las mujeres que hayan renunciado previamente a su nacionalidad kuwaití les es posible readquirirla. La Ley sobre la nacionalidad prevé el otorgamiento de la nacionalidad sobre la base de vínculos sanguíneos en lugar de condiciones de r</w:t>
      </w:r>
      <w:r>
        <w:t>e</w:t>
      </w:r>
      <w:r>
        <w:t>sidencia. Por consiguiente, los ciudadanos extranjeros sólo pueden adquirir la nacionalidad kuwaití a través del matrimonio con nacionales de Kuwait. La oradora está en condiciones de confirmar que hay muchos n</w:t>
      </w:r>
      <w:r>
        <w:t>a</w:t>
      </w:r>
      <w:r>
        <w:t>cionales kuwaitíes con cónyuges extranjeros, pero no puede presentar estadísticas precisas. En Kuwait, las mujeres casadas no necesitan la autorización del mar</w:t>
      </w:r>
      <w:r>
        <w:t>i</w:t>
      </w:r>
      <w:r>
        <w:t>do para trabajar, entablar una demanda ante un tribunal o administrar sus propios bienes. Las mujeres solteras también pueden hacer lo mismo libremente.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Pasando al tema de la educación, dice que las disposiciones de la Ley sobre la educación obligatoria no se aplican a los ciudadanos no kuwaitíes en razón de las dificultades lingüísticas. No obstante, el Estado provee educación gratuita a todos los empleados no kuwaitíes del Gobierno y existen diversas escuelas pr</w:t>
      </w:r>
      <w:r>
        <w:t>i</w:t>
      </w:r>
      <w:r>
        <w:t>vadas que atienden a las necesidades de las minorías culturales.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referencia al cuadro 2 que figura en la página 55 del informe, correspondiente al cuerpo docente en el año lectivo 1996/97, indica que allí se presentan cifras por género y por facultad. En la versión en español, los encabezamientos “Primera clase” y “Segunda clase” deben decir “Primer semestre” y “Segundo semestre”. Reconoce que la mayoría de los integrantes del cuerpo docente universitario son hombres, pero advierte que las cifras correspondientes al año lectivo 2003-2004 revelan que, de un total de 23.522 profesores escolares, alrededor de 19.000 son mujeres. En los textos escol</w:t>
      </w:r>
      <w:r>
        <w:t>a</w:t>
      </w:r>
      <w:r>
        <w:t>res se exhibe una imagen muy positiva de las mujeres kuwaitíes: se las presenta con los mismos derechos y obligaciones que los hombres y se les atribuye una función valiosa en la sociedad.</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cuanto a la separación de los géneros, dice que el Ministerio de Educación está alentando a las mujeres a desempeñarse como maestras en la enseña</w:t>
      </w:r>
      <w:r>
        <w:t>n</w:t>
      </w:r>
      <w:r>
        <w:t>za primaria, donde educarán a varones. Con respecto a los estudiantes kuwaitíes que cursan estudios en el e</w:t>
      </w:r>
      <w:r>
        <w:t>x</w:t>
      </w:r>
      <w:r>
        <w:t>terior, cita</w:t>
      </w:r>
      <w:r>
        <w:rPr>
          <w:spacing w:val="2"/>
        </w:rPr>
        <w:t xml:space="preserve"> el ejemplo de los Estados Unidos, donde e</w:t>
      </w:r>
      <w:r>
        <w:rPr>
          <w:spacing w:val="2"/>
        </w:rPr>
        <w:t>s</w:t>
      </w:r>
      <w:r>
        <w:rPr>
          <w:spacing w:val="2"/>
        </w:rPr>
        <w:t>tudian 1.102 hombres y 352 mujeres kuwaitíes. En el campo del deporte, las mujeres tienen derecho a partic</w:t>
      </w:r>
      <w:r>
        <w:rPr>
          <w:spacing w:val="2"/>
        </w:rPr>
        <w:t>i</w:t>
      </w:r>
      <w:r>
        <w:rPr>
          <w:spacing w:val="2"/>
        </w:rPr>
        <w:t>par y a formar sus propios clubes y equipos, y Kuwait ha enviado equipos mixtos a competencias internaci</w:t>
      </w:r>
      <w:r>
        <w:rPr>
          <w:spacing w:val="2"/>
        </w:rPr>
        <w:t>o</w:t>
      </w:r>
      <w:r>
        <w:rPr>
          <w:spacing w:val="2"/>
        </w:rPr>
        <w:t>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Pasando al tema de la salud, la oradora señala que varios artículos de la Constitución garantizan la igua</w:t>
      </w:r>
      <w:r>
        <w:t>l</w:t>
      </w:r>
      <w:r>
        <w:t>dad en la atención médica de todos los ciudadanos, e incluso de los residentes y trabajadores extranjeros. El Gobierno tiene una obligación constitucional al efecto de asegurar la salud pública y la prevención y el trat</w:t>
      </w:r>
      <w:r>
        <w:t>a</w:t>
      </w:r>
      <w:r>
        <w:t>miento de las enfermedades; todos los residentes tienen acceso a los servicios médicos. Las mujeres tienen d</w:t>
      </w:r>
      <w:r>
        <w:t>e</w:t>
      </w:r>
      <w:r>
        <w:t>recho a atención especializada para estados relacion</w:t>
      </w:r>
      <w:r>
        <w:t>a</w:t>
      </w:r>
      <w:r>
        <w:t>dos con su género, como el embarazo, y también se dispone de atención especializada para los niños. En respuesta a una solicitud de que se suministren datos estadísticos relativos a afecciones específicas, dice que a la fecha 1.134 mujeres, incluyendo ciudadanas k</w:t>
      </w:r>
      <w:r>
        <w:t>u</w:t>
      </w:r>
      <w:r>
        <w:t>waitíes y extranjeras, padecen enfermedades contagi</w:t>
      </w:r>
      <w:r>
        <w:t>o</w:t>
      </w:r>
      <w:r>
        <w:t>sas, 12 mujeres sufren de VIH/SIDA, y no hay casos de mutilación genital fem</w:t>
      </w:r>
      <w:r>
        <w:t>e</w:t>
      </w:r>
      <w:r>
        <w:t>nina.</w:t>
      </w:r>
    </w:p>
    <w:p w:rsidR="00000000" w:rsidRDefault="00000000">
      <w:pPr>
        <w:pStyle w:val="DualTxt"/>
        <w:numPr>
          <w:ilvl w:val="0"/>
          <w:numId w:val="1"/>
        </w:numPr>
        <w:tabs>
          <w:tab w:val="clear" w:pos="960"/>
          <w:tab w:val="left" w:pos="475"/>
          <w:tab w:val="left" w:pos="965"/>
        </w:tabs>
      </w:pPr>
      <w:r>
        <w:t>Con respecto al matrimonio y el divorcio, dice que las muchachas deben tener por lo menos 15 años de edad y los muchachos 17 para contraer matrimonio. Si la muchacha no ha alcanzado aún la edad mínima para contraer matrimonio, puede casarse con la autor</w:t>
      </w:r>
      <w:r>
        <w:t>i</w:t>
      </w:r>
      <w:r>
        <w:t>zación del padre. La violencia contra la mujer dentro de la familia está condenada por el Corán, y de hecho penalizada en la legislación. Con arreglo al derecho islámico, hay un período de espera de dos años para el divorcio, a fin de que las partes tengan oportunidad de reconciliarse y de asegurar que la mujer no se halle embarazada. También se impone un período de espera, por ejemplo, cuando un hombre desea contraer matr</w:t>
      </w:r>
      <w:r>
        <w:t>i</w:t>
      </w:r>
      <w:r>
        <w:t>monio con una hermana de su mujer. De conformidad con el Código Civil, cualquiera de los cónyuges puede pedir el divorcio si no le es posible seguir cohabitando o si una de las partes tiene un defecto grave; en estos casos, el divorcio se concede si hay consentimiento mutuo. La mujer también tiene derecho a pedir la d</w:t>
      </w:r>
      <w:r>
        <w:t>i</w:t>
      </w:r>
      <w:r>
        <w:t>solución del matrimonio si el hombre no provee ad</w:t>
      </w:r>
      <w:r>
        <w:t>e</w:t>
      </w:r>
      <w:r>
        <w:t>cuadamente para la familia.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Schöpp-Schilling </w:t>
      </w:r>
      <w:r>
        <w:t>dice que, con arreglo a las directrices del Comité, en el próximo informe se deberá incluir una evaluación del efecto que surten</w:t>
      </w:r>
      <w:r>
        <w:rPr>
          <w:spacing w:val="2"/>
        </w:rPr>
        <w:t xml:space="preserve"> en la situación de las mujeres las reservas del Estado parte, relativas, por ejemplo, a la nacionalidad de los hijos, en </w:t>
      </w:r>
      <w:r>
        <w:t>particular si se tiene presente la numerosa población extranjera de Kuwait. La Ley sobre la nacionalidad es compleja y cabría someterla a un examen, lo que deb</w:t>
      </w:r>
      <w:r>
        <w:t>e</w:t>
      </w:r>
      <w:r>
        <w:t>ría llevar al retiro de la reserva del Estado parte al p</w:t>
      </w:r>
      <w:r>
        <w:t>á</w:t>
      </w:r>
      <w:r>
        <w:t>rrafo 2 del artículo 9 de la Convención. Asimismo, el Gobierno debe persistir en sus esfuerzos jurídicos por otorgar a las mujeres el derecho a votar y ser elegidas para cargos públicos y retirar su reserva al apartado a) del artículo 7 de la Co</w:t>
      </w:r>
      <w:r>
        <w:t>n</w:t>
      </w:r>
      <w:r>
        <w:t>vención.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Šimonović </w:t>
      </w:r>
      <w:r>
        <w:t>vuelve a preguntar quién pr</w:t>
      </w:r>
      <w:r>
        <w:t>e</w:t>
      </w:r>
      <w:r>
        <w:t>paró el informe del Estado parte, qué procedimiento se siguió en la preparación y si intervinieron en él organ</w:t>
      </w:r>
      <w:r>
        <w:t>i</w:t>
      </w:r>
      <w:r>
        <w:t>zaciones no gubernamentales y otras entidades inter</w:t>
      </w:r>
      <w:r>
        <w:t>e</w:t>
      </w:r>
      <w:r>
        <w:t>sadas. Si la Convención, una vez incorporada al der</w:t>
      </w:r>
      <w:r>
        <w:t>e</w:t>
      </w:r>
      <w:r>
        <w:t>cho interno, tiene la misma categoría que la Constit</w:t>
      </w:r>
      <w:r>
        <w:t>u</w:t>
      </w:r>
      <w:r>
        <w:t>ción, se pregunta qué sucede si hay discrepancias entre las disposiciones de la Convención y las de la Const</w:t>
      </w:r>
      <w:r>
        <w:t>i</w:t>
      </w:r>
      <w:r>
        <w:t>tución. La reserva del Estado parte al apartado a) del artículo 7 y la denegación del derecho de las mujeres a votar y a ocupar cargos públicos parecen violar las g</w:t>
      </w:r>
      <w:r>
        <w:t>a</w:t>
      </w:r>
      <w:r>
        <w:t>rantías constitucionales de igualdad de derechos para hombres y mujeres. Desea saber si el Gobierno ha co</w:t>
      </w:r>
      <w:r>
        <w:t>n</w:t>
      </w:r>
      <w:r>
        <w:t>siderado la posibilidad de solicitar que la Corte Con</w:t>
      </w:r>
      <w:r>
        <w:t>s</w:t>
      </w:r>
      <w:r>
        <w:t>titucional examine esa situación.</w:t>
      </w:r>
    </w:p>
    <w:p w:rsidR="00000000" w:rsidRDefault="00000000">
      <w:pPr>
        <w:pStyle w:val="DualTxt"/>
        <w:numPr>
          <w:ilvl w:val="0"/>
          <w:numId w:val="1"/>
        </w:numPr>
        <w:tabs>
          <w:tab w:val="clear" w:pos="960"/>
          <w:tab w:val="left" w:pos="475"/>
          <w:tab w:val="left" w:pos="965"/>
        </w:tabs>
      </w:pPr>
      <w:r>
        <w:rPr>
          <w:b/>
        </w:rPr>
        <w:t xml:space="preserve">La Sra. Morvai </w:t>
      </w:r>
      <w:r>
        <w:t>pregunta qué seguimiento se d</w:t>
      </w:r>
      <w:r>
        <w:t>a</w:t>
      </w:r>
      <w:r>
        <w:t>rá al informe y al diálogo de la delegación con el C</w:t>
      </w:r>
      <w:r>
        <w:t>o</w:t>
      </w:r>
      <w:r>
        <w:t>mité. Este diálogo debería ayudar a convencer al Pa</w:t>
      </w:r>
      <w:r>
        <w:t>r</w:t>
      </w:r>
      <w:r>
        <w:t>lamento de Kuwait de la necesidad de otorgar el der</w:t>
      </w:r>
      <w:r>
        <w:t>e</w:t>
      </w:r>
      <w:r>
        <w:t>cho a voto a las mujeres, de manera que el país pueda beneficiarse del talento, el nivel educacional y el án</w:t>
      </w:r>
      <w:r>
        <w:t>i</w:t>
      </w:r>
      <w:r>
        <w:t>mo de las mujeres kuwaitíes. Expresa la esperanza de que la próxima delegación del Estado parte incluya a mujeres pa</w:t>
      </w:r>
      <w:r>
        <w:t>r</w:t>
      </w:r>
      <w:r>
        <w:t>lamentarias.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Belmihoub-Zerdani</w:t>
      </w:r>
      <w:r>
        <w:t>, observando que la Constitución reconoce la igualdad de las mujeres y los hombres en cuanto a la facultad para ocupar cargos p</w:t>
      </w:r>
      <w:r>
        <w:t>ú</w:t>
      </w:r>
      <w:r>
        <w:t>blicos, y que las mujeres tienen derecho a formar as</w:t>
      </w:r>
      <w:r>
        <w:t>o</w:t>
      </w:r>
      <w:r>
        <w:t>ciaciones de beneficio público, pregunta por qué las mujeres no han formado partidos políticos. Subraya que las mujeres kuwaitíes deben gozar del derecho a votar, a ser candidatas para cargos públicos y a formar partidos políticos.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Nazar </w:t>
      </w:r>
      <w:r>
        <w:t>(Kuwait) dice que en la prepar</w:t>
      </w:r>
      <w:r>
        <w:t>a</w:t>
      </w:r>
      <w:r>
        <w:t>ción del informe de su delegación intervinieron órg</w:t>
      </w:r>
      <w:r>
        <w:t>a</w:t>
      </w:r>
      <w:r>
        <w:t>nos gubernamentales, incluyendo varios ministerios, y también organizaciones no gubernamentales. Con re</w:t>
      </w:r>
      <w:r>
        <w:t>s</w:t>
      </w:r>
      <w:r>
        <w:t>pecto a las solicitudes de que se suministren inform</w:t>
      </w:r>
      <w:r>
        <w:t>a</w:t>
      </w:r>
      <w:r>
        <w:t>ción y estadísticas adicionales, anuncia que la oficina de su delegación en Nueva York transmitirá al Comité t</w:t>
      </w:r>
      <w:r>
        <w:t>o</w:t>
      </w:r>
      <w:r>
        <w:t>dos los datos detallados de que se disponga.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 xml:space="preserve">La Constitución de Kuwait no es incompatible con la Convención, pero cada sociedad tiene su propia cultura y sus propios valores y tradiciones. Kuwait está intentando aplicar la Convención sin crear conflictos con el derecho de la </w:t>
      </w:r>
      <w:r>
        <w:rPr>
          <w:i/>
        </w:rPr>
        <w:t>sharía</w:t>
      </w:r>
      <w:r>
        <w:t>. Se preparará un informe en que se comparen la Constitución y la Convención con objeto de demostrar que no hay conflicto entre las di</w:t>
      </w:r>
      <w:r>
        <w:t>s</w:t>
      </w:r>
      <w:r>
        <w:t>posiciones de ambos in</w:t>
      </w:r>
      <w:r>
        <w:t>s</w:t>
      </w:r>
      <w:r>
        <w:t>trumentos.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oradora confirma que la Constitución otorga derechos políticos iguales a los hombres y las mujeres, y el Gobierno ha adoptado iniciativas a este respecto, pero aún no han dado fruto. Señala que existen num</w:t>
      </w:r>
      <w:r>
        <w:t>e</w:t>
      </w:r>
      <w:r>
        <w:t>rosas asociaciones de beneficio público, incluso as</w:t>
      </w:r>
      <w:r>
        <w:t>o</w:t>
      </w:r>
      <w:r>
        <w:t>ciaciones de mujeres. Al presente, no hay ningún part</w:t>
      </w:r>
      <w:r>
        <w:t>i</w:t>
      </w:r>
      <w:r>
        <w:t>do político de mujeres, pero sería posible que se fo</w:t>
      </w:r>
      <w:r>
        <w:t>r</w:t>
      </w:r>
      <w:r>
        <w:t>mase tal partido siempre que el Gobierno estimase que sus estatutos se atienen a la legislación pertinente. Está segura de que el Parlamento de Kuwait ha de proseguir sus esfuerzos por fortalecer la función de las mujeres y garantizarles derechos políticos plenos, y que las muj</w:t>
      </w:r>
      <w:r>
        <w:t>e</w:t>
      </w:r>
      <w:r>
        <w:t>res kuwaitíes seguirán incrementando su represent</w:t>
      </w:r>
      <w:r>
        <w:t>a</w:t>
      </w:r>
      <w:r>
        <w:t>ción al nivel nacional e internacional. También tiene la esperanza de que la próxima delegación incluya a m</w:t>
      </w:r>
      <w:r>
        <w:t>u</w:t>
      </w:r>
      <w:r>
        <w:t>jeres miembros del Parl</w:t>
      </w:r>
      <w:r>
        <w:t>a</w:t>
      </w:r>
      <w:r>
        <w:t>mento.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Presidenta </w:t>
      </w:r>
      <w:r>
        <w:t>dice que el Comité aguarda con interés que Kuwait dé pruebas concretas de una auté</w:t>
      </w:r>
      <w:r>
        <w:t>n</w:t>
      </w:r>
      <w:r>
        <w:t>tica voluntad política en el sentido de aplicar caba</w:t>
      </w:r>
      <w:r>
        <w:t>l</w:t>
      </w:r>
      <w:r>
        <w:t>mente la Convención y eliminar en el hecho y en el d</w:t>
      </w:r>
      <w:r>
        <w:t>e</w:t>
      </w:r>
      <w:r>
        <w:t>recho la discriminación contra las mujeres. Tras señalar el amplio alcance que tienen los artículos 2 y 5 de la Convención, dice que, además de la adopción de med</w:t>
      </w:r>
      <w:r>
        <w:t>i</w:t>
      </w:r>
      <w:r>
        <w:t>das legislativas, deben desplegarse todos los esfuerzos posibles por integrar los principios de la Convención a la actividad nacional, e insta a que se desarrolle una campaña de sensibilización pública para educar a la s</w:t>
      </w:r>
      <w:r>
        <w:t>o</w:t>
      </w:r>
      <w:r>
        <w:t>ciedad civil, a los funcionarios de la administración pública, a los legisladores y a la judicatura respecto del tema de los derechos de la mujer. Las iniciativas que ya se hallan en marcha, incluidas las que apuntan al oto</w:t>
      </w:r>
      <w:r>
        <w:t>r</w:t>
      </w:r>
      <w:r>
        <w:t>gamiento del derecho a voto a las mujeres, deben fo</w:t>
      </w:r>
      <w:r>
        <w:t>r</w:t>
      </w:r>
      <w:r>
        <w:t>talecerse en cooperación con la sociedad civil y las o</w:t>
      </w:r>
      <w:r>
        <w:t>r</w:t>
      </w:r>
      <w:r>
        <w:t>ganizaciones no gubernamentales. En este sentido, e</w:t>
      </w:r>
      <w:r>
        <w:t>s</w:t>
      </w:r>
      <w:r>
        <w:t>pera que el próximo informe</w:t>
      </w:r>
      <w:r>
        <w:rPr>
          <w:spacing w:val="2"/>
        </w:rPr>
        <w:t xml:space="preserve"> se prepare en estrecha consulta con la sociedad civil. En el próximo informe deben incluirse también datos estadísticos completos, desagregados por género, de la situación de las mujeres en Kuwait, tanto las ciudadanas como las no ciudad</w:t>
      </w:r>
      <w:r>
        <w:rPr>
          <w:spacing w:val="2"/>
        </w:rPr>
        <w:t>a</w:t>
      </w:r>
      <w:r>
        <w:rPr>
          <w:spacing w:val="2"/>
        </w:rPr>
        <w:t>nas.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bookmarkStart w:id="1" w:name="TmpSave"/>
      <w:bookmarkEnd w:id="1"/>
      <w:r>
        <w:t>Si bien reconoce el derecho soberano de los Est</w:t>
      </w:r>
      <w:r>
        <w:t>a</w:t>
      </w:r>
      <w:r>
        <w:t>dos a formular reservas a los instrumentos internaci</w:t>
      </w:r>
      <w:r>
        <w:t>o</w:t>
      </w:r>
      <w:r>
        <w:t>nales, dice que los Estados normalmente ratifican d</w:t>
      </w:r>
      <w:r>
        <w:t>i</w:t>
      </w:r>
      <w:r>
        <w:t>chos instrumentos con miras a aplicar ulteriormente t</w:t>
      </w:r>
      <w:r>
        <w:t>o</w:t>
      </w:r>
      <w:r>
        <w:t>das sus disposiciones. Por lo tanto, exhorta al Estado parte a considerar el retiro de su reserva al apartado a) del artículo 7, a enmendar en consecuencia la ley rel</w:t>
      </w:r>
      <w:r>
        <w:t>a</w:t>
      </w:r>
      <w:r>
        <w:t>tiva al derecho de las mujeres a votar y ocupar cargos públicos, y a retirar igualmente sus reservas al párrafo 2 del artículo 9 y al apartado f) del artículo 16 de la Convención. También insta al Estado parte a ratificar el Protocolo Facultativo de la Convención y la enmienda al párrafo 1 del artículo 20.</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Las recomendaciones concretas del Comité fig</w:t>
      </w:r>
      <w:r>
        <w:t>u</w:t>
      </w:r>
      <w:r>
        <w:t>rarán en sus observaciones finales, que se remitirán a la delegación. La Presidenta espera que esas observaci</w:t>
      </w:r>
      <w:r>
        <w:t>o</w:t>
      </w:r>
      <w:r>
        <w:t>nes sean objeto de amplia difusión y que sirvan de base para los esfuerzos del Estado parte por aplicar la Co</w:t>
      </w:r>
      <w:r>
        <w:t>n</w:t>
      </w:r>
      <w:r>
        <w:t>vención. Agradece a la delegación el constructivo di</w:t>
      </w:r>
      <w:r>
        <w:t>á</w:t>
      </w:r>
      <w:r>
        <w:t>logo con el Comité y espera con interés el examen en 2007 de los informes periódicos tercero y cuarto co</w:t>
      </w:r>
      <w:r>
        <w:t>m</w:t>
      </w:r>
      <w:r>
        <w:t>binados de Kuwait.</w:t>
      </w:r>
    </w:p>
    <w:p w:rsidR="00000000" w:rsidRDefault="00000000">
      <w:pPr>
        <w:pStyle w:val="DualTxt"/>
        <w:rPr>
          <w:i/>
        </w:rPr>
      </w:pPr>
      <w:r>
        <w:rPr>
          <w:i/>
        </w:rPr>
        <w:t>Se levanta la sesión a las 17.15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NO&gt;&gt;N0421637S&lt;&lt;ODS JOB NO&gt;&gt;</w:t>
      </w:r>
    </w:p>
    <w:p w:rsidR="00000000" w:rsidRDefault="00000000">
      <w:pPr>
        <w:pStyle w:val="CommentText"/>
      </w:pPr>
      <w:r>
        <w:t>&lt;&lt;ODS DOC SYMBOL1&gt;&gt;CEDAW/C/SR.642&lt;&lt;ODS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0421637s.doc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0421637s.doc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04-21637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*0421637*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CEDAW/C/SR.642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CEDAW/C/SR.642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/C/SR.642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febrero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F8F"/>
    <w:multiLevelType w:val="singleLevel"/>
    <w:tmpl w:val="766C78EE"/>
    <w:lvl w:ilvl="0">
      <w:start w:val="1"/>
      <w:numFmt w:val="decimal"/>
      <w:lvlText w:val="%1."/>
      <w:lvlJc w:val="left"/>
      <w:pPr>
        <w:tabs>
          <w:tab w:val="num" w:pos="480"/>
        </w:tabs>
        <w:ind w:left="480" w:hanging="480"/>
      </w:pPr>
      <w:rPr>
        <w:rFonts w:hint="default"/>
      </w:rPr>
    </w:lvl>
  </w:abstractNum>
  <w:abstractNum w:abstractNumId="1">
    <w:nsid w:val="789F3936"/>
    <w:multiLevelType w:val="singleLevel"/>
    <w:tmpl w:val="EE2CA29E"/>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4/2005 19:19:52"/>
    <w:docVar w:name="DocCategory" w:val="SROthers"/>
    <w:docVar w:name="DocType" w:val="Final"/>
    <w:docVar w:name="JobNo" w:val="0421637S"/>
    <w:docVar w:name="OandT" w:val="Claudia"/>
    <w:docVar w:name="Symbol1" w:val="CEDAW/C/SR.64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3059</Words>
  <Characters>17440</Characters>
  <Application>Microsoft Office Word</Application>
  <DocSecurity>4</DocSecurity>
  <Lines>145</Lines>
  <Paragraphs>34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TRAFASA</Company>
  <LinksUpToDate>false</LinksUpToDate>
  <CharactersWithSpaces>21417</CharactersWithSpaces>
  <SharedDoc>false</SharedDoc>
  <HLinks>
    <vt:vector size="6" baseType="variant">
      <vt:variant>
        <vt:i4>8257630</vt:i4>
      </vt:variant>
      <vt:variant>
        <vt:i4>22634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Malreuri</dc:creator>
  <cp:keywords/>
  <cp:lastModifiedBy>Di Lanzo, Martha</cp:lastModifiedBy>
  <cp:revision>10</cp:revision>
  <cp:lastPrinted>2005-06-08T10:24:00Z</cp:lastPrinted>
  <dcterms:created xsi:type="dcterms:W3CDTF">2005-06-08T10:23:00Z</dcterms:created>
  <dcterms:modified xsi:type="dcterms:W3CDTF">2005-06-08T12:25:00Z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0421637</vt:lpwstr>
  </property>
  <property fmtid="{D5CDD505-2E9C-101B-9397-08002B2CF9AE}" pid="3" name="Symbol1">
    <vt:lpwstr>CEDAW/C/SR.642</vt:lpwstr>
  </property>
  <property fmtid="{D5CDD505-2E9C-101B-9397-08002B2CF9AE}" pid="4" name="Symbol2">
    <vt:lpwstr/>
  </property>
  <property fmtid="{D5CDD505-2E9C-101B-9397-08002B2CF9AE}" pid="5" name="Translator">
    <vt:lpwstr/>
  </property>
  <property fmtid="{D5CDD505-2E9C-101B-9397-08002B2CF9AE}" pid="6" name="Operator">
    <vt:lpwstr>Claudia</vt:lpwstr>
  </property>
  <property fmtid="{D5CDD505-2E9C-101B-9397-08002B2CF9AE}" pid="7" name="DraftPages">
    <vt:lpwstr> </vt:lpwstr>
  </property>
  <property fmtid="{D5CDD505-2E9C-101B-9397-08002B2CF9AE}" pid="8" name="Comment">
    <vt:lpwstr/>
  </property>
</Properties>
</file>