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64A7882D" w14:textId="77777777" w:rsidTr="00B456A0">
        <w:trPr>
          <w:trHeight w:hRule="exact" w:val="810"/>
        </w:trPr>
        <w:tc>
          <w:tcPr>
            <w:tcW w:w="1266" w:type="dxa"/>
            <w:tcBorders>
              <w:top w:val="nil"/>
              <w:bottom w:val="single" w:sz="4" w:space="0" w:color="auto"/>
            </w:tcBorders>
            <w:shd w:val="clear" w:color="auto" w:fill="auto"/>
          </w:tcPr>
          <w:p w14:paraId="65D5EBC1" w14:textId="77777777" w:rsidR="00712059" w:rsidRPr="00CA35DF" w:rsidRDefault="00712059" w:rsidP="00DF2F51">
            <w:pPr>
              <w:kinsoku w:val="0"/>
              <w:overflowPunct w:val="0"/>
              <w:autoSpaceDE w:val="0"/>
              <w:autoSpaceDN w:val="0"/>
              <w:adjustRightInd w:val="0"/>
              <w:snapToGrid w:val="0"/>
              <w:spacing w:after="80" w:line="480" w:lineRule="exact"/>
              <w:rPr>
                <w:szCs w:val="40"/>
              </w:rPr>
            </w:pPr>
          </w:p>
        </w:tc>
        <w:tc>
          <w:tcPr>
            <w:tcW w:w="4767" w:type="dxa"/>
            <w:tcBorders>
              <w:top w:val="nil"/>
              <w:bottom w:val="single" w:sz="4" w:space="0" w:color="auto"/>
            </w:tcBorders>
            <w:shd w:val="clear" w:color="auto" w:fill="auto"/>
            <w:vAlign w:val="bottom"/>
          </w:tcPr>
          <w:p w14:paraId="5AC23596"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678E999A" w14:textId="706C31EA" w:rsidR="006B3E27" w:rsidRPr="00096657" w:rsidRDefault="00096657" w:rsidP="00096657">
            <w:pPr>
              <w:bidi w:val="0"/>
              <w:rPr>
                <w:szCs w:val="20"/>
              </w:rPr>
            </w:pPr>
            <w:r w:rsidRPr="00375AD5">
              <w:rPr>
                <w:sz w:val="40"/>
                <w:szCs w:val="20"/>
              </w:rPr>
              <w:t>CAT</w:t>
            </w:r>
            <w:r w:rsidRPr="00375AD5">
              <w:rPr>
                <w:szCs w:val="20"/>
              </w:rPr>
              <w:t>/C/SRB/CO/</w:t>
            </w:r>
            <w:r w:rsidRPr="0027756C">
              <w:rPr>
                <w:szCs w:val="20"/>
              </w:rPr>
              <w:t>3</w:t>
            </w:r>
          </w:p>
        </w:tc>
      </w:tr>
      <w:tr w:rsidR="006B3E27" w:rsidRPr="00CA35DF" w14:paraId="2591865D" w14:textId="77777777" w:rsidTr="00B456A0">
        <w:trPr>
          <w:trHeight w:hRule="exact" w:val="2835"/>
        </w:trPr>
        <w:tc>
          <w:tcPr>
            <w:tcW w:w="1266" w:type="dxa"/>
            <w:tcBorders>
              <w:top w:val="nil"/>
              <w:bottom w:val="single" w:sz="12" w:space="0" w:color="auto"/>
            </w:tcBorders>
            <w:shd w:val="clear" w:color="auto" w:fill="auto"/>
          </w:tcPr>
          <w:p w14:paraId="0A202162" w14:textId="77777777" w:rsidR="006B3E27" w:rsidRPr="00CA35DF" w:rsidRDefault="00261289" w:rsidP="00CA35DF">
            <w:pPr>
              <w:jc w:val="center"/>
              <w:rPr>
                <w:rtl/>
              </w:rPr>
            </w:pPr>
            <w:r w:rsidRPr="00CA35DF">
              <w:rPr>
                <w:noProof/>
                <w:rtl/>
              </w:rPr>
              <w:drawing>
                <wp:inline distT="0" distB="0" distL="0" distR="0" wp14:anchorId="56B528FF" wp14:editId="7EF2915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0DAD69D2" w14:textId="77777777" w:rsidR="00A67AF5" w:rsidRPr="0027756C" w:rsidRDefault="00817373" w:rsidP="00D3653E">
            <w:pPr>
              <w:spacing w:before="120" w:after="40" w:line="580" w:lineRule="exact"/>
              <w:ind w:left="57"/>
              <w:rPr>
                <w:b/>
                <w:bCs/>
                <w:sz w:val="42"/>
                <w:szCs w:val="42"/>
              </w:rPr>
            </w:pPr>
            <w:r w:rsidRPr="0027756C">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5C795BD3" w14:textId="77777777" w:rsidR="006B3E27" w:rsidRDefault="00096657" w:rsidP="00EE56C3">
            <w:pPr>
              <w:bidi w:val="0"/>
              <w:spacing w:before="240"/>
              <w:rPr>
                <w:szCs w:val="20"/>
              </w:rPr>
            </w:pPr>
            <w:r>
              <w:rPr>
                <w:szCs w:val="20"/>
              </w:rPr>
              <w:t>Distr.: General</w:t>
            </w:r>
          </w:p>
          <w:p w14:paraId="435E9FC5" w14:textId="35E474D5" w:rsidR="00096657" w:rsidRDefault="00C06882" w:rsidP="00096657">
            <w:pPr>
              <w:bidi w:val="0"/>
              <w:spacing w:line="240" w:lineRule="exact"/>
              <w:jc w:val="left"/>
              <w:rPr>
                <w:szCs w:val="20"/>
              </w:rPr>
            </w:pPr>
            <w:r w:rsidRPr="0027756C">
              <w:rPr>
                <w:szCs w:val="20"/>
              </w:rPr>
              <w:t>20</w:t>
            </w:r>
            <w:r>
              <w:rPr>
                <w:szCs w:val="20"/>
              </w:rPr>
              <w:t xml:space="preserve"> December </w:t>
            </w:r>
            <w:r w:rsidR="00096657" w:rsidRPr="0027756C">
              <w:rPr>
                <w:szCs w:val="20"/>
              </w:rPr>
              <w:t>2021</w:t>
            </w:r>
          </w:p>
          <w:p w14:paraId="710D3A40" w14:textId="77777777" w:rsidR="00096657" w:rsidRDefault="00096657" w:rsidP="00096657">
            <w:pPr>
              <w:bidi w:val="0"/>
              <w:spacing w:line="240" w:lineRule="exact"/>
              <w:jc w:val="left"/>
              <w:rPr>
                <w:szCs w:val="20"/>
              </w:rPr>
            </w:pPr>
            <w:r>
              <w:rPr>
                <w:szCs w:val="20"/>
              </w:rPr>
              <w:t>Arabic</w:t>
            </w:r>
          </w:p>
          <w:p w14:paraId="50C16020" w14:textId="17BB5271" w:rsidR="00096657" w:rsidRPr="00096657" w:rsidRDefault="00096657" w:rsidP="00096657">
            <w:pPr>
              <w:bidi w:val="0"/>
              <w:spacing w:line="240" w:lineRule="exact"/>
              <w:jc w:val="left"/>
              <w:rPr>
                <w:szCs w:val="20"/>
              </w:rPr>
            </w:pPr>
            <w:r>
              <w:rPr>
                <w:szCs w:val="20"/>
              </w:rPr>
              <w:t>Original: English</w:t>
            </w:r>
          </w:p>
        </w:tc>
      </w:tr>
    </w:tbl>
    <w:p w14:paraId="2B480404" w14:textId="33C5B430" w:rsidR="00C06882" w:rsidRPr="0027756C" w:rsidRDefault="00C06882" w:rsidP="00C06882">
      <w:pPr>
        <w:pStyle w:val="SingleTxtGA"/>
        <w:spacing w:before="120" w:after="0"/>
        <w:ind w:left="0" w:right="284"/>
        <w:jc w:val="left"/>
        <w:rPr>
          <w:b/>
          <w:bCs/>
          <w:sz w:val="26"/>
          <w:szCs w:val="26"/>
          <w:lang w:val="ar-SA" w:eastAsia="zh-TW" w:bidi="en-GB"/>
        </w:rPr>
      </w:pPr>
      <w:r w:rsidRPr="0027756C">
        <w:rPr>
          <w:b/>
          <w:bCs/>
          <w:sz w:val="26"/>
          <w:szCs w:val="26"/>
          <w:rtl/>
        </w:rPr>
        <w:t>لجنة مناهضة التعذيب</w:t>
      </w:r>
    </w:p>
    <w:p w14:paraId="04CEE606" w14:textId="5A0234E2" w:rsidR="00C06882" w:rsidRPr="0027756C" w:rsidRDefault="00C06882" w:rsidP="00C06882">
      <w:pPr>
        <w:pStyle w:val="HChGA"/>
        <w:rPr>
          <w:sz w:val="34"/>
          <w:szCs w:val="34"/>
          <w:lang w:val="en-US" w:eastAsia="zh-TW" w:bidi="en-GB"/>
        </w:rPr>
      </w:pPr>
      <w:r w:rsidRPr="0027756C">
        <w:rPr>
          <w:rtl/>
        </w:rPr>
        <w:tab/>
      </w:r>
      <w:r w:rsidRPr="0027756C">
        <w:rPr>
          <w:rtl/>
        </w:rPr>
        <w:tab/>
        <w:t>الملاحظات الختامية بشأن التقرير الدوري الثالث لصربيا</w:t>
      </w:r>
      <w:r w:rsidRPr="0027756C">
        <w:rPr>
          <w:rStyle w:val="FootnoteReference"/>
          <w:sz w:val="26"/>
          <w:szCs w:val="26"/>
          <w:vertAlign w:val="baseline"/>
          <w:rtl/>
          <w:lang w:val="en-US" w:eastAsia="zh-TW"/>
        </w:rPr>
        <w:footnoteReference w:customMarkFollows="1" w:id="1"/>
        <w:t>*</w:t>
      </w:r>
    </w:p>
    <w:p w14:paraId="105B1C1F" w14:textId="56FDB93B" w:rsidR="00C06882" w:rsidRPr="0027756C" w:rsidRDefault="00C06882" w:rsidP="00C06882">
      <w:pPr>
        <w:pStyle w:val="SingleTxtGA"/>
        <w:rPr>
          <w:rFonts w:eastAsiaTheme="minorEastAsia"/>
          <w:b/>
          <w:lang w:eastAsia="zh-TW" w:bidi="en-GB"/>
        </w:rPr>
      </w:pPr>
      <w:r w:rsidRPr="0027756C">
        <w:rPr>
          <w:rFonts w:eastAsiaTheme="minorEastAsia"/>
          <w:b/>
          <w:rtl/>
        </w:rPr>
        <w:t>1-</w:t>
      </w:r>
      <w:r w:rsidRPr="0027756C">
        <w:rPr>
          <w:rFonts w:eastAsiaTheme="minorEastAsia"/>
          <w:b/>
          <w:rtl/>
        </w:rPr>
        <w:tab/>
        <w:t>نظرت لجنة مناهضة التعذيب في التقرير الدوري الثالث لصربيا</w:t>
      </w:r>
      <w:r w:rsidR="00623A13" w:rsidRPr="0027756C">
        <w:rPr>
          <w:rStyle w:val="FootnoteReference"/>
          <w:rFonts w:eastAsiaTheme="minorEastAsia"/>
          <w:b/>
          <w:szCs w:val="22"/>
          <w:rtl/>
        </w:rPr>
        <w:t>(</w:t>
      </w:r>
      <w:r w:rsidR="00623A13" w:rsidRPr="00510493">
        <w:rPr>
          <w:rStyle w:val="FootnoteReference"/>
          <w:rFonts w:eastAsiaTheme="minorEastAsia"/>
          <w:bCs/>
          <w:szCs w:val="22"/>
          <w:lang w:val="en-US"/>
        </w:rPr>
        <w:footnoteReference w:id="2"/>
      </w:r>
      <w:r w:rsidR="00623A13" w:rsidRPr="0027756C">
        <w:rPr>
          <w:rStyle w:val="FootnoteReference"/>
          <w:rFonts w:eastAsiaTheme="minorEastAsia"/>
          <w:b/>
          <w:szCs w:val="22"/>
          <w:rtl/>
        </w:rPr>
        <w:t>)</w:t>
      </w:r>
      <w:r w:rsidRPr="0027756C">
        <w:rPr>
          <w:rFonts w:eastAsiaTheme="minorEastAsia"/>
          <w:b/>
          <w:rtl/>
        </w:rPr>
        <w:t xml:space="preserve"> في جلستيها 1862 و1865</w:t>
      </w:r>
      <w:r w:rsidR="00623A13" w:rsidRPr="0027756C">
        <w:rPr>
          <w:rStyle w:val="FootnoteReference"/>
          <w:rFonts w:eastAsiaTheme="minorEastAsia"/>
          <w:b/>
          <w:szCs w:val="22"/>
          <w:rtl/>
        </w:rPr>
        <w:t>(</w:t>
      </w:r>
      <w:r w:rsidR="00623A13" w:rsidRPr="00510493">
        <w:rPr>
          <w:rStyle w:val="FootnoteReference"/>
          <w:rFonts w:eastAsiaTheme="minorEastAsia"/>
          <w:bCs/>
          <w:szCs w:val="22"/>
          <w:lang w:val="en-US"/>
        </w:rPr>
        <w:footnoteReference w:id="3"/>
      </w:r>
      <w:r w:rsidR="00623A13" w:rsidRPr="0027756C">
        <w:rPr>
          <w:rStyle w:val="FootnoteReference"/>
          <w:rFonts w:eastAsiaTheme="minorEastAsia"/>
          <w:b/>
          <w:szCs w:val="22"/>
          <w:rtl/>
        </w:rPr>
        <w:t>)</w:t>
      </w:r>
      <w:r w:rsidRPr="0027756C">
        <w:rPr>
          <w:rFonts w:eastAsiaTheme="minorEastAsia"/>
          <w:b/>
          <w:rtl/>
        </w:rPr>
        <w:t>، المعقودتين في 23 و24 تشرين الثاني/نوفمبر 2021، واعتمدت في جلستها 1874، المعقودة في 1 كانون الأول/ديسمبر 2021، هذه الملاحظات الختامية.</w:t>
      </w:r>
    </w:p>
    <w:p w14:paraId="12527D9F" w14:textId="77777777" w:rsidR="00C06882" w:rsidRPr="0027756C" w:rsidRDefault="00C06882" w:rsidP="00C06882">
      <w:pPr>
        <w:pStyle w:val="H1GA"/>
        <w:rPr>
          <w:lang w:eastAsia="zh-TW" w:bidi="en-GB"/>
        </w:rPr>
      </w:pPr>
      <w:r w:rsidRPr="0027756C">
        <w:rPr>
          <w:rtl/>
        </w:rPr>
        <w:tab/>
        <w:t>ألف-</w:t>
      </w:r>
      <w:r w:rsidRPr="0027756C">
        <w:rPr>
          <w:rtl/>
        </w:rPr>
        <w:tab/>
        <w:t>مقدمة</w:t>
      </w:r>
    </w:p>
    <w:p w14:paraId="01AA049F" w14:textId="19D9E8EA" w:rsidR="00C06882" w:rsidRPr="00C06882" w:rsidRDefault="00C06882" w:rsidP="00C06882">
      <w:pPr>
        <w:pStyle w:val="SingleTxtGA"/>
        <w:rPr>
          <w:rFonts w:eastAsiaTheme="minorEastAsia"/>
          <w:lang w:val="en-US" w:eastAsia="zh-TW" w:bidi="en-GB"/>
        </w:rPr>
      </w:pPr>
      <w:r w:rsidRPr="0027756C">
        <w:rPr>
          <w:rFonts w:eastAsiaTheme="minorEastAsia"/>
          <w:rtl/>
        </w:rPr>
        <w:t>2</w:t>
      </w:r>
      <w:r w:rsidRPr="00C06882">
        <w:rPr>
          <w:rFonts w:eastAsiaTheme="minorEastAsia"/>
          <w:rtl/>
        </w:rPr>
        <w:t>-</w:t>
      </w:r>
      <w:r w:rsidRPr="00C06882">
        <w:rPr>
          <w:rFonts w:eastAsiaTheme="minorEastAsia"/>
          <w:rtl/>
        </w:rPr>
        <w:tab/>
        <w:t>تعرب اللجنة عن تقديرها الدولةَ الطرف لقبولها الإجراء المبسَّط لتقديم التقارير وتقديم تقريرها الدوري في إطا</w:t>
      </w:r>
      <w:r w:rsidR="000B2128">
        <w:rPr>
          <w:rFonts w:eastAsiaTheme="minorEastAsia" w:hint="cs"/>
          <w:rtl/>
        </w:rPr>
        <w:t>ر</w:t>
      </w:r>
      <w:r w:rsidRPr="00C06882">
        <w:rPr>
          <w:rFonts w:eastAsiaTheme="minorEastAsia"/>
          <w:rtl/>
        </w:rPr>
        <w:t>ه، لأن ذلك يوثّق التعاون بين الدولة الطرف واللجنة ويركز على دراسة التقرير والحوار مع</w:t>
      </w:r>
      <w:r w:rsidR="00223495">
        <w:rPr>
          <w:rFonts w:eastAsiaTheme="minorEastAsia" w:hint="cs"/>
          <w:rtl/>
        </w:rPr>
        <w:t> </w:t>
      </w:r>
      <w:r w:rsidRPr="00C06882">
        <w:rPr>
          <w:rFonts w:eastAsiaTheme="minorEastAsia"/>
          <w:rtl/>
        </w:rPr>
        <w:t>الوفد.</w:t>
      </w:r>
    </w:p>
    <w:p w14:paraId="728002A7" w14:textId="02B2595C" w:rsidR="00C06882" w:rsidRPr="00510493" w:rsidRDefault="00C06882" w:rsidP="00C06882">
      <w:pPr>
        <w:pStyle w:val="SingleTxtGA"/>
        <w:rPr>
          <w:rFonts w:eastAsiaTheme="minorEastAsia"/>
          <w:lang w:val="en-US" w:eastAsia="zh-TW" w:bidi="en-GB"/>
        </w:rPr>
      </w:pPr>
      <w:r w:rsidRPr="0027756C">
        <w:rPr>
          <w:rFonts w:eastAsiaTheme="minorEastAsia"/>
          <w:rtl/>
        </w:rPr>
        <w:t>3</w:t>
      </w:r>
      <w:r w:rsidRPr="00C06882">
        <w:rPr>
          <w:rFonts w:eastAsiaTheme="minorEastAsia"/>
          <w:rtl/>
        </w:rPr>
        <w:t>-</w:t>
      </w:r>
      <w:r w:rsidRPr="00C06882">
        <w:rPr>
          <w:rFonts w:eastAsiaTheme="minorEastAsia"/>
          <w:rtl/>
        </w:rPr>
        <w:tab/>
        <w:t>وتقدّر اللجنة الحوار الصريح والبنّاء مع وفد الدولة الطرف والمعلومات والتوضيحات الإضافية التي قدمها الو</w:t>
      </w:r>
      <w:r w:rsidR="0019098C">
        <w:rPr>
          <w:rFonts w:eastAsiaTheme="minorEastAsia" w:hint="cs"/>
          <w:rtl/>
        </w:rPr>
        <w:t>فد</w:t>
      </w:r>
      <w:r w:rsidRPr="00C06882">
        <w:rPr>
          <w:rFonts w:eastAsiaTheme="minorEastAsia"/>
          <w:rtl/>
        </w:rPr>
        <w:t>.</w:t>
      </w:r>
    </w:p>
    <w:p w14:paraId="33F2B808" w14:textId="2C125E43" w:rsidR="00C06882" w:rsidRPr="00C06882" w:rsidRDefault="00C06882" w:rsidP="00C06882">
      <w:pPr>
        <w:pStyle w:val="SingleTxtGA"/>
        <w:rPr>
          <w:rFonts w:eastAsiaTheme="minorEastAsia"/>
          <w:lang w:eastAsia="zh-TW" w:bidi="en-GB"/>
        </w:rPr>
      </w:pPr>
      <w:r w:rsidRPr="0027756C">
        <w:rPr>
          <w:rFonts w:eastAsiaTheme="minorEastAsia"/>
          <w:rtl/>
        </w:rPr>
        <w:t>4</w:t>
      </w:r>
      <w:r w:rsidRPr="00C06882">
        <w:rPr>
          <w:rFonts w:eastAsiaTheme="minorEastAsia"/>
          <w:rtl/>
        </w:rPr>
        <w:t>-</w:t>
      </w:r>
      <w:r w:rsidRPr="00C06882">
        <w:rPr>
          <w:rFonts w:eastAsiaTheme="minorEastAsia"/>
          <w:rtl/>
        </w:rPr>
        <w:tab/>
        <w:t>وتذكّر ال</w:t>
      </w:r>
      <w:r w:rsidR="007A7031">
        <w:rPr>
          <w:rFonts w:eastAsiaTheme="minorEastAsia" w:hint="cs"/>
          <w:rtl/>
        </w:rPr>
        <w:t>ل</w:t>
      </w:r>
      <w:r w:rsidRPr="00C06882">
        <w:rPr>
          <w:rFonts w:eastAsiaTheme="minorEastAsia"/>
          <w:rtl/>
        </w:rPr>
        <w:t>جنة بملاحظاتها الختامية السابقة</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4"/>
      </w:r>
      <w:r w:rsidR="00623A13" w:rsidRPr="0027756C">
        <w:rPr>
          <w:rStyle w:val="FootnoteReference"/>
          <w:rFonts w:eastAsiaTheme="minorEastAsia"/>
          <w:szCs w:val="22"/>
          <w:rtl/>
        </w:rPr>
        <w:t>)</w:t>
      </w:r>
      <w:r w:rsidRPr="00C06882">
        <w:rPr>
          <w:rFonts w:eastAsiaTheme="minorEastAsia"/>
          <w:rtl/>
        </w:rPr>
        <w:t xml:space="preserve"> بخصوص إعلان الدولة الطرف أنها غير قادرة على رصد تطبيق الاتفاقية في كوسوفو نظراً إلى أن السلطة المدنية هناك تمارسها بعثة الأمم المتحدة للإدارة المؤقتة في كوسوفو عملاً بقرار مجلس الأمن </w:t>
      </w:r>
      <w:r w:rsidRPr="0027756C">
        <w:rPr>
          <w:rFonts w:eastAsiaTheme="minorEastAsia"/>
          <w:rtl/>
        </w:rPr>
        <w:t>1244</w:t>
      </w:r>
      <w:r w:rsidRPr="00C06882">
        <w:rPr>
          <w:rFonts w:eastAsiaTheme="minorEastAsia"/>
          <w:rtl/>
        </w:rPr>
        <w:t>(</w:t>
      </w:r>
      <w:r w:rsidRPr="0027756C">
        <w:rPr>
          <w:rFonts w:eastAsiaTheme="minorEastAsia"/>
          <w:rtl/>
        </w:rPr>
        <w:t>1999</w:t>
      </w:r>
      <w:r w:rsidRPr="00C06882">
        <w:rPr>
          <w:rFonts w:eastAsiaTheme="minorEastAsia"/>
          <w:rtl/>
        </w:rPr>
        <w:t>).</w:t>
      </w:r>
    </w:p>
    <w:p w14:paraId="018AD790" w14:textId="77777777" w:rsidR="00C06882" w:rsidRPr="00C06882" w:rsidRDefault="00C06882" w:rsidP="00623A13">
      <w:pPr>
        <w:pStyle w:val="H1GA"/>
        <w:rPr>
          <w:lang w:eastAsia="zh-TW" w:bidi="en-GB"/>
        </w:rPr>
      </w:pPr>
      <w:r w:rsidRPr="00C06882">
        <w:rPr>
          <w:rtl/>
        </w:rPr>
        <w:tab/>
        <w:t>باء-</w:t>
      </w:r>
      <w:r w:rsidRPr="00C06882">
        <w:rPr>
          <w:rtl/>
        </w:rPr>
        <w:tab/>
        <w:t>الجوانب الإيجابية</w:t>
      </w:r>
    </w:p>
    <w:p w14:paraId="467C5BD2" w14:textId="59804DD0" w:rsidR="00C06882" w:rsidRPr="00C06882" w:rsidRDefault="00C06882" w:rsidP="00C06882">
      <w:pPr>
        <w:pStyle w:val="SingleTxtGA"/>
        <w:rPr>
          <w:rFonts w:eastAsiaTheme="minorEastAsia"/>
          <w:lang w:eastAsia="zh-TW" w:bidi="en-GB"/>
        </w:rPr>
      </w:pPr>
      <w:r w:rsidRPr="0027756C">
        <w:rPr>
          <w:rFonts w:eastAsiaTheme="minorEastAsia"/>
          <w:rtl/>
        </w:rPr>
        <w:t>5</w:t>
      </w:r>
      <w:r w:rsidRPr="00C06882">
        <w:rPr>
          <w:rFonts w:eastAsiaTheme="minorEastAsia"/>
          <w:rtl/>
        </w:rPr>
        <w:t>-</w:t>
      </w:r>
      <w:r w:rsidRPr="00C06882">
        <w:rPr>
          <w:rFonts w:eastAsiaTheme="minorEastAsia"/>
          <w:rtl/>
        </w:rPr>
        <w:tab/>
        <w:t>ترحب اللجنة بالتدابير التشريعية والإدارية والمؤسسية التالية التي اتخذتها الدولة الطرف في مجالا</w:t>
      </w:r>
      <w:r w:rsidR="00040C23">
        <w:rPr>
          <w:rFonts w:eastAsiaTheme="minorEastAsia" w:hint="cs"/>
          <w:rtl/>
        </w:rPr>
        <w:t>ت</w:t>
      </w:r>
      <w:r w:rsidRPr="00C06882">
        <w:rPr>
          <w:rFonts w:eastAsiaTheme="minorEastAsia"/>
          <w:rtl/>
        </w:rPr>
        <w:t xml:space="preserve"> ذات صلة بالاتفاقية:</w:t>
      </w:r>
    </w:p>
    <w:p w14:paraId="2BDB5D16" w14:textId="203FFEEA" w:rsidR="00C06882" w:rsidRPr="00623A13" w:rsidRDefault="00623A13" w:rsidP="00623A13">
      <w:pPr>
        <w:pStyle w:val="SingleTxtGA"/>
        <w:rPr>
          <w:rFonts w:eastAsiaTheme="minorEastAsia"/>
          <w:lang w:val="en-US" w:eastAsia="zh-TW" w:bidi="en-GB"/>
        </w:rPr>
      </w:pPr>
      <w:r>
        <w:rPr>
          <w:rFonts w:eastAsiaTheme="minorEastAsia"/>
          <w:rtl/>
        </w:rPr>
        <w:tab/>
      </w:r>
      <w:r w:rsidR="00C06882" w:rsidRPr="00C06882">
        <w:rPr>
          <w:rFonts w:eastAsiaTheme="minorEastAsia"/>
          <w:rtl/>
        </w:rPr>
        <w:t>(أ)</w:t>
      </w:r>
      <w:r w:rsidR="00C06882" w:rsidRPr="00C06882">
        <w:rPr>
          <w:rFonts w:eastAsiaTheme="minorEastAsia"/>
          <w:rtl/>
        </w:rPr>
        <w:tab/>
        <w:t xml:space="preserve">الاستراتيجية الوطنية لمقاضاة مرتكبي جرائم الحرب، </w:t>
      </w:r>
      <w:r w:rsidR="00C06882" w:rsidRPr="0027756C">
        <w:rPr>
          <w:rFonts w:eastAsiaTheme="minorEastAsia"/>
          <w:rtl/>
        </w:rPr>
        <w:t>2021</w:t>
      </w:r>
      <w:r w:rsidR="00C06882" w:rsidRPr="00C06882">
        <w:rPr>
          <w:rFonts w:eastAsiaTheme="minorEastAsia"/>
          <w:rtl/>
        </w:rPr>
        <w:t>-</w:t>
      </w:r>
      <w:r w:rsidR="00C06882" w:rsidRPr="0027756C">
        <w:rPr>
          <w:rFonts w:eastAsiaTheme="minorEastAsia"/>
          <w:rtl/>
        </w:rPr>
        <w:t>2026</w:t>
      </w:r>
      <w:r w:rsidR="00C06882" w:rsidRPr="00C06882">
        <w:rPr>
          <w:rFonts w:eastAsiaTheme="minorEastAsia"/>
          <w:rtl/>
        </w:rPr>
        <w:t xml:space="preserve">، التي اعتمدت في تشرين الأول/أكتوبر </w:t>
      </w:r>
      <w:r w:rsidR="00C06882" w:rsidRPr="0027756C">
        <w:rPr>
          <w:rFonts w:eastAsiaTheme="minorEastAsia"/>
          <w:rtl/>
        </w:rPr>
        <w:t>2021</w:t>
      </w:r>
      <w:r w:rsidR="00C06882" w:rsidRPr="00C06882">
        <w:rPr>
          <w:rFonts w:eastAsiaTheme="minorEastAsia"/>
          <w:rtl/>
        </w:rPr>
        <w:t>؛</w:t>
      </w:r>
    </w:p>
    <w:p w14:paraId="198ED31C" w14:textId="52230B75" w:rsidR="00C06882" w:rsidRPr="00C06882" w:rsidRDefault="00623A13" w:rsidP="00C06882">
      <w:pPr>
        <w:pStyle w:val="SingleTxtGA"/>
        <w:rPr>
          <w:rFonts w:eastAsiaTheme="minorEastAsia"/>
          <w:lang w:val="ar-SA" w:eastAsia="zh-TW" w:bidi="en-GB"/>
        </w:rPr>
      </w:pPr>
      <w:r w:rsidRPr="00623A13">
        <w:rPr>
          <w:rFonts w:eastAsiaTheme="minorEastAsia"/>
          <w:spacing w:val="-4"/>
          <w:rtl/>
        </w:rPr>
        <w:lastRenderedPageBreak/>
        <w:tab/>
      </w:r>
      <w:r w:rsidR="00C06882" w:rsidRPr="00623A13">
        <w:rPr>
          <w:rFonts w:eastAsiaTheme="minorEastAsia"/>
          <w:spacing w:val="-4"/>
          <w:rtl/>
        </w:rPr>
        <w:t>(ب)</w:t>
      </w:r>
      <w:r w:rsidR="00C06882" w:rsidRPr="00623A13">
        <w:rPr>
          <w:rFonts w:eastAsiaTheme="minorEastAsia"/>
          <w:spacing w:val="-4"/>
          <w:rtl/>
        </w:rPr>
        <w:tab/>
        <w:t xml:space="preserve">استراتيجية منع العنف </w:t>
      </w:r>
      <w:proofErr w:type="spellStart"/>
      <w:r w:rsidR="00C06882" w:rsidRPr="00623A13">
        <w:rPr>
          <w:rFonts w:eastAsiaTheme="minorEastAsia"/>
          <w:spacing w:val="-4"/>
          <w:rtl/>
        </w:rPr>
        <w:t>الجنساني</w:t>
      </w:r>
      <w:proofErr w:type="spellEnd"/>
      <w:r w:rsidR="00C06882" w:rsidRPr="00623A13">
        <w:rPr>
          <w:rFonts w:eastAsiaTheme="minorEastAsia"/>
          <w:spacing w:val="-4"/>
          <w:rtl/>
        </w:rPr>
        <w:t xml:space="preserve"> ضد المرأة والعنف العائلي ومكافحتهما، </w:t>
      </w:r>
      <w:r w:rsidR="00C06882" w:rsidRPr="0027756C">
        <w:rPr>
          <w:rFonts w:eastAsiaTheme="minorEastAsia"/>
          <w:spacing w:val="-4"/>
          <w:rtl/>
        </w:rPr>
        <w:t>2021</w:t>
      </w:r>
      <w:r w:rsidR="00C06882" w:rsidRPr="00623A13">
        <w:rPr>
          <w:rFonts w:eastAsiaTheme="minorEastAsia"/>
          <w:spacing w:val="-4"/>
          <w:rtl/>
        </w:rPr>
        <w:t>-</w:t>
      </w:r>
      <w:r w:rsidR="00C06882" w:rsidRPr="0027756C">
        <w:rPr>
          <w:rFonts w:eastAsiaTheme="minorEastAsia"/>
          <w:spacing w:val="-4"/>
          <w:rtl/>
        </w:rPr>
        <w:t>2025</w:t>
      </w:r>
      <w:r w:rsidR="00C06882" w:rsidRPr="00623A13">
        <w:rPr>
          <w:rFonts w:eastAsiaTheme="minorEastAsia"/>
          <w:spacing w:val="-4"/>
          <w:rtl/>
        </w:rPr>
        <w:t>،</w:t>
      </w:r>
      <w:r w:rsidR="00C06882" w:rsidRPr="00C06882">
        <w:rPr>
          <w:rFonts w:eastAsiaTheme="minorEastAsia"/>
          <w:rtl/>
        </w:rPr>
        <w:t xml:space="preserve"> التي اعتمدت في نيسان/أبريل </w:t>
      </w:r>
      <w:r w:rsidR="00C06882" w:rsidRPr="0027756C">
        <w:rPr>
          <w:rFonts w:eastAsiaTheme="minorEastAsia"/>
          <w:rtl/>
        </w:rPr>
        <w:t>2021</w:t>
      </w:r>
      <w:r w:rsidR="00C06882" w:rsidRPr="00C06882">
        <w:rPr>
          <w:rFonts w:eastAsiaTheme="minorEastAsia"/>
          <w:rtl/>
        </w:rPr>
        <w:t>؛</w:t>
      </w:r>
    </w:p>
    <w:p w14:paraId="1745A2E7" w14:textId="0CE9A7B1" w:rsidR="00C06882" w:rsidRPr="00C06882" w:rsidRDefault="00623A13" w:rsidP="00C06882">
      <w:pPr>
        <w:pStyle w:val="SingleTxtGA"/>
        <w:rPr>
          <w:rFonts w:eastAsiaTheme="minorEastAsia"/>
          <w:lang w:eastAsia="zh-TW" w:bidi="en-GB"/>
        </w:rPr>
      </w:pPr>
      <w:r>
        <w:rPr>
          <w:rFonts w:eastAsiaTheme="minorEastAsia"/>
          <w:rtl/>
        </w:rPr>
        <w:tab/>
      </w:r>
      <w:r w:rsidR="00C06882" w:rsidRPr="00C06882">
        <w:rPr>
          <w:rFonts w:eastAsiaTheme="minorEastAsia"/>
          <w:rtl/>
        </w:rPr>
        <w:t>(ج)</w:t>
      </w:r>
      <w:r w:rsidR="00C06882" w:rsidRPr="00C06882">
        <w:rPr>
          <w:rFonts w:eastAsiaTheme="minorEastAsia"/>
          <w:rtl/>
        </w:rPr>
        <w:tab/>
        <w:t xml:space="preserve">استراتيجية تحسين وضع الأشخاص ذوي الإعاقة، </w:t>
      </w:r>
      <w:r w:rsidR="00C06882" w:rsidRPr="0027756C">
        <w:rPr>
          <w:rFonts w:eastAsiaTheme="minorEastAsia"/>
          <w:rtl/>
        </w:rPr>
        <w:t>2020</w:t>
      </w:r>
      <w:r w:rsidR="00C06882" w:rsidRPr="00C06882">
        <w:rPr>
          <w:rFonts w:eastAsiaTheme="minorEastAsia"/>
          <w:rtl/>
        </w:rPr>
        <w:t>-</w:t>
      </w:r>
      <w:r w:rsidR="00C06882" w:rsidRPr="0027756C">
        <w:rPr>
          <w:rFonts w:eastAsiaTheme="minorEastAsia"/>
          <w:rtl/>
        </w:rPr>
        <w:t>2024</w:t>
      </w:r>
      <w:r w:rsidR="00C06882" w:rsidRPr="00C06882">
        <w:rPr>
          <w:rFonts w:eastAsiaTheme="minorEastAsia"/>
          <w:rtl/>
        </w:rPr>
        <w:t xml:space="preserve">، التي اعتمدت في آذار/مارس </w:t>
      </w:r>
      <w:r w:rsidR="00C06882" w:rsidRPr="0027756C">
        <w:rPr>
          <w:rFonts w:eastAsiaTheme="minorEastAsia"/>
          <w:rtl/>
        </w:rPr>
        <w:t>2020</w:t>
      </w:r>
      <w:r w:rsidR="00C06882" w:rsidRPr="00C06882">
        <w:rPr>
          <w:rFonts w:eastAsiaTheme="minorEastAsia"/>
          <w:rtl/>
        </w:rPr>
        <w:t>؛</w:t>
      </w:r>
    </w:p>
    <w:p w14:paraId="65874791" w14:textId="7AD2FA0E" w:rsidR="00C06882" w:rsidRPr="00C06882" w:rsidRDefault="00623A13" w:rsidP="00C06882">
      <w:pPr>
        <w:pStyle w:val="SingleTxtGA"/>
        <w:rPr>
          <w:rFonts w:eastAsiaTheme="minorEastAsia"/>
          <w:lang w:eastAsia="zh-TW" w:bidi="en-GB"/>
        </w:rPr>
      </w:pPr>
      <w:r>
        <w:rPr>
          <w:rFonts w:eastAsiaTheme="minorEastAsia"/>
          <w:rtl/>
        </w:rPr>
        <w:tab/>
      </w:r>
      <w:r w:rsidR="00C06882" w:rsidRPr="00C06882">
        <w:rPr>
          <w:rFonts w:eastAsiaTheme="minorEastAsia"/>
          <w:rtl/>
        </w:rPr>
        <w:t>(د)</w:t>
      </w:r>
      <w:r w:rsidR="00C06882" w:rsidRPr="00C06882">
        <w:rPr>
          <w:rFonts w:eastAsiaTheme="minorEastAsia"/>
          <w:rtl/>
        </w:rPr>
        <w:tab/>
        <w:t xml:space="preserve">الاستراتيجية الوطنية لإعمال حقوق ضحايا الجريمة والشهود عليها، </w:t>
      </w:r>
      <w:r w:rsidR="00C06882" w:rsidRPr="0027756C">
        <w:rPr>
          <w:rFonts w:eastAsiaTheme="minorEastAsia"/>
          <w:rtl/>
        </w:rPr>
        <w:t>2020</w:t>
      </w:r>
      <w:r w:rsidR="00C06882" w:rsidRPr="00C06882">
        <w:rPr>
          <w:rFonts w:eastAsiaTheme="minorEastAsia"/>
          <w:rtl/>
        </w:rPr>
        <w:t>-</w:t>
      </w:r>
      <w:r w:rsidR="00C06882" w:rsidRPr="0027756C">
        <w:rPr>
          <w:rFonts w:eastAsiaTheme="minorEastAsia"/>
          <w:rtl/>
        </w:rPr>
        <w:t>2025</w:t>
      </w:r>
      <w:r w:rsidR="00C06882" w:rsidRPr="00C06882">
        <w:rPr>
          <w:rFonts w:eastAsiaTheme="minorEastAsia"/>
          <w:rtl/>
        </w:rPr>
        <w:t xml:space="preserve">، التي اعتمدت في عام </w:t>
      </w:r>
      <w:r w:rsidR="00C06882" w:rsidRPr="0027756C">
        <w:rPr>
          <w:rFonts w:eastAsiaTheme="minorEastAsia"/>
          <w:rtl/>
        </w:rPr>
        <w:t>2020</w:t>
      </w:r>
      <w:r w:rsidR="00C06882" w:rsidRPr="00C06882">
        <w:rPr>
          <w:rFonts w:eastAsiaTheme="minorEastAsia"/>
          <w:rtl/>
        </w:rPr>
        <w:t>؛</w:t>
      </w:r>
    </w:p>
    <w:p w14:paraId="11D162BD" w14:textId="0ACFD33D" w:rsidR="00C06882" w:rsidRPr="00C06882" w:rsidRDefault="00623A13" w:rsidP="00C06882">
      <w:pPr>
        <w:pStyle w:val="SingleTxtGA"/>
        <w:rPr>
          <w:rFonts w:eastAsiaTheme="minorEastAsia"/>
          <w:lang w:eastAsia="zh-TW" w:bidi="en-GB"/>
        </w:rPr>
      </w:pPr>
      <w:r>
        <w:rPr>
          <w:rFonts w:eastAsiaTheme="minorEastAsia"/>
          <w:rtl/>
        </w:rPr>
        <w:tab/>
      </w:r>
      <w:r w:rsidR="00C06882" w:rsidRPr="00C06882">
        <w:rPr>
          <w:rFonts w:eastAsiaTheme="minorEastAsia"/>
          <w:rtl/>
        </w:rPr>
        <w:t>(هـ)</w:t>
      </w:r>
      <w:r w:rsidR="00C06882" w:rsidRPr="00C06882">
        <w:rPr>
          <w:rFonts w:eastAsiaTheme="minorEastAsia"/>
          <w:rtl/>
        </w:rPr>
        <w:tab/>
        <w:t xml:space="preserve">تعديل المادة </w:t>
      </w:r>
      <w:r w:rsidR="00C06882" w:rsidRPr="0027756C">
        <w:rPr>
          <w:rFonts w:eastAsiaTheme="minorEastAsia"/>
          <w:rtl/>
        </w:rPr>
        <w:t>137</w:t>
      </w:r>
      <w:r w:rsidR="00C06882" w:rsidRPr="00C06882">
        <w:rPr>
          <w:rFonts w:eastAsiaTheme="minorEastAsia"/>
          <w:rtl/>
        </w:rPr>
        <w:t>(</w:t>
      </w:r>
      <w:r w:rsidR="00C06882" w:rsidRPr="0027756C">
        <w:rPr>
          <w:rFonts w:eastAsiaTheme="minorEastAsia"/>
          <w:rtl/>
        </w:rPr>
        <w:t>3</w:t>
      </w:r>
      <w:r w:rsidR="00C06882" w:rsidRPr="00C06882">
        <w:rPr>
          <w:rFonts w:eastAsiaTheme="minorEastAsia"/>
          <w:rtl/>
        </w:rPr>
        <w:t xml:space="preserve">) من القانون الجنائي لزيادة العقوبة على سوء المعاملة والتعذيب، الذي دخل حيز التنفيذ في كانون الأول/ديسمبر </w:t>
      </w:r>
      <w:r w:rsidR="00C06882" w:rsidRPr="0027756C">
        <w:rPr>
          <w:rFonts w:eastAsiaTheme="minorEastAsia"/>
          <w:rtl/>
        </w:rPr>
        <w:t>2019</w:t>
      </w:r>
      <w:r w:rsidR="00C06882" w:rsidRPr="00C06882">
        <w:rPr>
          <w:rFonts w:eastAsiaTheme="minorEastAsia"/>
          <w:rtl/>
        </w:rPr>
        <w:t>؛</w:t>
      </w:r>
    </w:p>
    <w:p w14:paraId="28C5B711" w14:textId="61E79137" w:rsidR="00C06882" w:rsidRPr="00C06882" w:rsidRDefault="00623A13" w:rsidP="00C06882">
      <w:pPr>
        <w:pStyle w:val="SingleTxtGA"/>
        <w:rPr>
          <w:rFonts w:eastAsiaTheme="minorEastAsia"/>
          <w:lang w:eastAsia="zh-TW" w:bidi="en-GB"/>
        </w:rPr>
      </w:pPr>
      <w:r>
        <w:rPr>
          <w:rFonts w:eastAsiaTheme="minorEastAsia"/>
          <w:rtl/>
        </w:rPr>
        <w:tab/>
      </w:r>
      <w:r w:rsidR="00C06882" w:rsidRPr="00C06882">
        <w:rPr>
          <w:rFonts w:eastAsiaTheme="minorEastAsia"/>
          <w:rtl/>
        </w:rPr>
        <w:t>(و)</w:t>
      </w:r>
      <w:r w:rsidR="00C06882" w:rsidRPr="00C06882">
        <w:rPr>
          <w:rFonts w:eastAsiaTheme="minorEastAsia"/>
          <w:rtl/>
        </w:rPr>
        <w:tab/>
        <w:t xml:space="preserve">قانون المعونة القضائية المجانية رقم </w:t>
      </w:r>
      <w:r w:rsidR="00C06882" w:rsidRPr="0027756C">
        <w:rPr>
          <w:rFonts w:eastAsiaTheme="minorEastAsia"/>
          <w:rtl/>
        </w:rPr>
        <w:t>87</w:t>
      </w:r>
      <w:r w:rsidR="00C06882" w:rsidRPr="00C06882">
        <w:rPr>
          <w:rFonts w:eastAsiaTheme="minorEastAsia"/>
          <w:rtl/>
        </w:rPr>
        <w:t>/</w:t>
      </w:r>
      <w:r w:rsidR="00C06882" w:rsidRPr="0027756C">
        <w:rPr>
          <w:rFonts w:eastAsiaTheme="minorEastAsia"/>
          <w:rtl/>
        </w:rPr>
        <w:t>2018</w:t>
      </w:r>
      <w:r w:rsidR="00C06882" w:rsidRPr="00C06882">
        <w:rPr>
          <w:rFonts w:eastAsiaTheme="minorEastAsia"/>
          <w:rtl/>
        </w:rPr>
        <w:t xml:space="preserve">، الذي دخل حيز التنفيذ في تشرين الأول/أكتوبر </w:t>
      </w:r>
      <w:r w:rsidR="00C06882" w:rsidRPr="0027756C">
        <w:rPr>
          <w:rFonts w:eastAsiaTheme="minorEastAsia"/>
          <w:rtl/>
        </w:rPr>
        <w:t>2019</w:t>
      </w:r>
      <w:r w:rsidR="00C06882" w:rsidRPr="00C06882">
        <w:rPr>
          <w:rFonts w:eastAsiaTheme="minorEastAsia"/>
          <w:rtl/>
        </w:rPr>
        <w:t>؛</w:t>
      </w:r>
    </w:p>
    <w:p w14:paraId="440CC8D0" w14:textId="0BBAE4D1" w:rsidR="00C06882" w:rsidRPr="00623A13" w:rsidRDefault="00623A13" w:rsidP="00C06882">
      <w:pPr>
        <w:pStyle w:val="SingleTxtGA"/>
        <w:rPr>
          <w:rFonts w:eastAsiaTheme="minorEastAsia"/>
          <w:spacing w:val="4"/>
          <w:lang w:val="en-US" w:eastAsia="zh-TW" w:bidi="en-GB"/>
        </w:rPr>
      </w:pPr>
      <w:r w:rsidRPr="00623A13">
        <w:rPr>
          <w:rFonts w:eastAsiaTheme="minorEastAsia"/>
          <w:spacing w:val="4"/>
          <w:rtl/>
        </w:rPr>
        <w:tab/>
      </w:r>
      <w:r w:rsidR="00C06882" w:rsidRPr="00623A13">
        <w:rPr>
          <w:rFonts w:eastAsiaTheme="minorEastAsia"/>
          <w:spacing w:val="4"/>
          <w:rtl/>
        </w:rPr>
        <w:t>(ز)</w:t>
      </w:r>
      <w:r w:rsidR="00C06882" w:rsidRPr="00623A13">
        <w:rPr>
          <w:rFonts w:eastAsiaTheme="minorEastAsia"/>
          <w:spacing w:val="4"/>
          <w:rtl/>
        </w:rPr>
        <w:tab/>
        <w:t xml:space="preserve">قانون اللجوء والحماية المؤقتة رقم </w:t>
      </w:r>
      <w:r w:rsidR="00C06882" w:rsidRPr="0027756C">
        <w:rPr>
          <w:rFonts w:eastAsiaTheme="minorEastAsia"/>
          <w:spacing w:val="4"/>
          <w:rtl/>
        </w:rPr>
        <w:t>24</w:t>
      </w:r>
      <w:r w:rsidR="00C06882" w:rsidRPr="00623A13">
        <w:rPr>
          <w:rFonts w:eastAsiaTheme="minorEastAsia"/>
          <w:spacing w:val="4"/>
          <w:rtl/>
        </w:rPr>
        <w:t>/</w:t>
      </w:r>
      <w:r w:rsidR="00C06882" w:rsidRPr="0027756C">
        <w:rPr>
          <w:rFonts w:eastAsiaTheme="minorEastAsia"/>
          <w:spacing w:val="4"/>
          <w:rtl/>
        </w:rPr>
        <w:t>2018</w:t>
      </w:r>
      <w:r w:rsidR="00C06882" w:rsidRPr="00623A13">
        <w:rPr>
          <w:rFonts w:eastAsiaTheme="minorEastAsia"/>
          <w:spacing w:val="4"/>
          <w:rtl/>
        </w:rPr>
        <w:t xml:space="preserve">، الذي دخل حيز التنفيذ في آذار/مارس </w:t>
      </w:r>
      <w:r w:rsidR="00C06882" w:rsidRPr="0027756C">
        <w:rPr>
          <w:rFonts w:eastAsiaTheme="minorEastAsia"/>
          <w:spacing w:val="4"/>
          <w:rtl/>
        </w:rPr>
        <w:t>2018</w:t>
      </w:r>
      <w:r w:rsidR="00C06882" w:rsidRPr="00623A13">
        <w:rPr>
          <w:rFonts w:eastAsiaTheme="minorEastAsia"/>
          <w:spacing w:val="4"/>
          <w:rtl/>
        </w:rPr>
        <w:t>؛</w:t>
      </w:r>
    </w:p>
    <w:p w14:paraId="3980B1E6" w14:textId="1BE8E6BE" w:rsidR="00C06882" w:rsidRPr="00623A13" w:rsidRDefault="00623A13" w:rsidP="00C06882">
      <w:pPr>
        <w:pStyle w:val="SingleTxtGA"/>
        <w:rPr>
          <w:rFonts w:eastAsiaTheme="minorEastAsia"/>
          <w:spacing w:val="6"/>
          <w:lang w:val="en-US" w:eastAsia="zh-TW" w:bidi="en-GB"/>
        </w:rPr>
      </w:pPr>
      <w:r w:rsidRPr="00623A13">
        <w:rPr>
          <w:rFonts w:eastAsiaTheme="minorEastAsia"/>
          <w:spacing w:val="6"/>
          <w:rtl/>
        </w:rPr>
        <w:tab/>
      </w:r>
      <w:r w:rsidR="00C06882" w:rsidRPr="00623A13">
        <w:rPr>
          <w:rFonts w:eastAsiaTheme="minorEastAsia"/>
          <w:spacing w:val="6"/>
          <w:rtl/>
        </w:rPr>
        <w:t>(ح)</w:t>
      </w:r>
      <w:r w:rsidR="00C06882" w:rsidRPr="00623A13">
        <w:rPr>
          <w:rFonts w:eastAsiaTheme="minorEastAsia"/>
          <w:spacing w:val="6"/>
          <w:rtl/>
        </w:rPr>
        <w:tab/>
        <w:t xml:space="preserve">قانون منع العنف العائلي رقم </w:t>
      </w:r>
      <w:r w:rsidR="00C06882" w:rsidRPr="0027756C">
        <w:rPr>
          <w:rFonts w:eastAsiaTheme="minorEastAsia"/>
          <w:spacing w:val="6"/>
          <w:rtl/>
        </w:rPr>
        <w:t>94</w:t>
      </w:r>
      <w:r w:rsidR="00C06882" w:rsidRPr="00623A13">
        <w:rPr>
          <w:rFonts w:eastAsiaTheme="minorEastAsia"/>
          <w:spacing w:val="6"/>
          <w:rtl/>
        </w:rPr>
        <w:t>/</w:t>
      </w:r>
      <w:r w:rsidR="00C06882" w:rsidRPr="0027756C">
        <w:rPr>
          <w:rFonts w:eastAsiaTheme="minorEastAsia"/>
          <w:spacing w:val="6"/>
          <w:rtl/>
        </w:rPr>
        <w:t>2016</w:t>
      </w:r>
      <w:r w:rsidR="00C06882" w:rsidRPr="00623A13">
        <w:rPr>
          <w:rFonts w:eastAsiaTheme="minorEastAsia"/>
          <w:spacing w:val="6"/>
          <w:rtl/>
        </w:rPr>
        <w:t xml:space="preserve">، الذي دخل حيز التنفيذ في حزيران/يونيه </w:t>
      </w:r>
      <w:r w:rsidR="00C06882" w:rsidRPr="0027756C">
        <w:rPr>
          <w:rFonts w:eastAsiaTheme="minorEastAsia"/>
          <w:spacing w:val="6"/>
          <w:rtl/>
        </w:rPr>
        <w:t>2017</w:t>
      </w:r>
      <w:r w:rsidR="00C06882" w:rsidRPr="00623A13">
        <w:rPr>
          <w:rFonts w:eastAsiaTheme="minorEastAsia"/>
          <w:spacing w:val="6"/>
          <w:rtl/>
        </w:rPr>
        <w:t>؛</w:t>
      </w:r>
    </w:p>
    <w:p w14:paraId="19359255" w14:textId="5517BC4B" w:rsidR="00C06882" w:rsidRPr="00C06882" w:rsidRDefault="00623A13" w:rsidP="00C06882">
      <w:pPr>
        <w:pStyle w:val="SingleTxtGA"/>
        <w:rPr>
          <w:rFonts w:eastAsiaTheme="minorEastAsia"/>
          <w:lang w:val="ar-SA" w:eastAsia="zh-TW" w:bidi="en-GB"/>
        </w:rPr>
      </w:pPr>
      <w:r>
        <w:rPr>
          <w:rFonts w:eastAsiaTheme="minorEastAsia"/>
          <w:rtl/>
        </w:rPr>
        <w:tab/>
      </w:r>
      <w:r w:rsidR="00C06882" w:rsidRPr="00C06882">
        <w:rPr>
          <w:rFonts w:eastAsiaTheme="minorEastAsia"/>
          <w:rtl/>
        </w:rPr>
        <w:t>(ط)</w:t>
      </w:r>
      <w:r w:rsidR="00C06882" w:rsidRPr="00C06882">
        <w:rPr>
          <w:rFonts w:eastAsiaTheme="minorEastAsia"/>
          <w:rtl/>
        </w:rPr>
        <w:tab/>
        <w:t>استراتيجية الحد من الاكتظاظ في المؤسسات لتنفيذ العقوبات الجنائية حتى عام</w:t>
      </w:r>
      <w:r>
        <w:rPr>
          <w:rFonts w:eastAsiaTheme="minorEastAsia" w:hint="cs"/>
          <w:rtl/>
        </w:rPr>
        <w:t> </w:t>
      </w:r>
      <w:r w:rsidR="00C06882" w:rsidRPr="0027756C">
        <w:rPr>
          <w:rFonts w:eastAsiaTheme="minorEastAsia"/>
          <w:rtl/>
        </w:rPr>
        <w:t>2020</w:t>
      </w:r>
      <w:r w:rsidR="00C06882" w:rsidRPr="00C06882">
        <w:rPr>
          <w:rFonts w:eastAsiaTheme="minorEastAsia"/>
          <w:rtl/>
        </w:rPr>
        <w:t xml:space="preserve">، رقم </w:t>
      </w:r>
      <w:r w:rsidR="00C06882" w:rsidRPr="0027756C">
        <w:rPr>
          <w:rFonts w:eastAsiaTheme="minorEastAsia"/>
          <w:rtl/>
        </w:rPr>
        <w:t>43</w:t>
      </w:r>
      <w:r w:rsidR="00C06882" w:rsidRPr="00C06882">
        <w:rPr>
          <w:rFonts w:eastAsiaTheme="minorEastAsia"/>
          <w:rtl/>
        </w:rPr>
        <w:t>/</w:t>
      </w:r>
      <w:r w:rsidR="00C06882" w:rsidRPr="0027756C">
        <w:rPr>
          <w:rFonts w:eastAsiaTheme="minorEastAsia"/>
          <w:rtl/>
        </w:rPr>
        <w:t>2017</w:t>
      </w:r>
      <w:r w:rsidR="00C06882" w:rsidRPr="00C06882">
        <w:rPr>
          <w:rFonts w:eastAsiaTheme="minorEastAsia"/>
          <w:rtl/>
        </w:rPr>
        <w:t xml:space="preserve">، التي اعتمدت في أيار/مايو </w:t>
      </w:r>
      <w:r w:rsidR="00C06882" w:rsidRPr="0027756C">
        <w:rPr>
          <w:rFonts w:eastAsiaTheme="minorEastAsia"/>
          <w:rtl/>
        </w:rPr>
        <w:t>2017</w:t>
      </w:r>
      <w:r w:rsidR="00C06882" w:rsidRPr="00C06882">
        <w:rPr>
          <w:rFonts w:eastAsiaTheme="minorEastAsia"/>
          <w:rtl/>
        </w:rPr>
        <w:t>.</w:t>
      </w:r>
    </w:p>
    <w:p w14:paraId="373B8F30" w14:textId="77777777" w:rsidR="00C06882" w:rsidRPr="00C06882" w:rsidRDefault="00C06882" w:rsidP="00623A13">
      <w:pPr>
        <w:pStyle w:val="H1GA"/>
        <w:rPr>
          <w:lang w:val="ar-SA" w:eastAsia="zh-TW" w:bidi="en-GB"/>
        </w:rPr>
      </w:pPr>
      <w:r w:rsidRPr="00C06882">
        <w:rPr>
          <w:rtl/>
        </w:rPr>
        <w:tab/>
        <w:t>جيم-</w:t>
      </w:r>
      <w:r w:rsidRPr="00C06882">
        <w:rPr>
          <w:rtl/>
        </w:rPr>
        <w:tab/>
        <w:t>دواعي القلق الرئيسية والتوصيات</w:t>
      </w:r>
    </w:p>
    <w:p w14:paraId="02F0E2C8" w14:textId="77777777" w:rsidR="00C06882" w:rsidRPr="00C06882" w:rsidRDefault="00C06882" w:rsidP="00623A13">
      <w:pPr>
        <w:pStyle w:val="H23GA"/>
        <w:rPr>
          <w:lang w:val="ar-SA" w:eastAsia="zh-TW" w:bidi="en-GB"/>
        </w:rPr>
      </w:pPr>
      <w:r w:rsidRPr="00C06882">
        <w:rPr>
          <w:rtl/>
        </w:rPr>
        <w:tab/>
      </w:r>
      <w:r w:rsidRPr="00C06882">
        <w:rPr>
          <w:rtl/>
        </w:rPr>
        <w:tab/>
        <w:t>مسائل المتابعة المعلَّقة منذ الجولة السابقة لتقديم التقارير</w:t>
      </w:r>
    </w:p>
    <w:p w14:paraId="6E38CAED" w14:textId="218B5378" w:rsidR="00C06882" w:rsidRPr="00C06882" w:rsidRDefault="00C06882" w:rsidP="00C06882">
      <w:pPr>
        <w:pStyle w:val="SingleTxtGA"/>
        <w:rPr>
          <w:rFonts w:eastAsiaTheme="minorEastAsia"/>
          <w:lang w:eastAsia="zh-TW" w:bidi="en-GB"/>
        </w:rPr>
      </w:pPr>
      <w:r w:rsidRPr="0027756C">
        <w:rPr>
          <w:rFonts w:eastAsiaTheme="minorEastAsia"/>
          <w:rtl/>
        </w:rPr>
        <w:t>6</w:t>
      </w:r>
      <w:r w:rsidRPr="00C06882">
        <w:rPr>
          <w:rFonts w:eastAsiaTheme="minorEastAsia"/>
          <w:rtl/>
        </w:rPr>
        <w:t>-</w:t>
      </w:r>
      <w:r w:rsidRPr="00C06882">
        <w:rPr>
          <w:rFonts w:eastAsiaTheme="minorEastAsia"/>
          <w:rtl/>
        </w:rPr>
        <w:tab/>
        <w:t>طلبت اللجنة في ملاحظاتها الختامية السابقة</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5"/>
      </w:r>
      <w:r w:rsidR="00623A13" w:rsidRPr="0027756C">
        <w:rPr>
          <w:rStyle w:val="FootnoteReference"/>
          <w:rFonts w:eastAsiaTheme="minorEastAsia"/>
          <w:szCs w:val="22"/>
          <w:rtl/>
        </w:rPr>
        <w:t>)</w:t>
      </w:r>
      <w:r w:rsidRPr="00C06882">
        <w:rPr>
          <w:rFonts w:eastAsiaTheme="minorEastAsia"/>
          <w:rtl/>
        </w:rPr>
        <w:t xml:space="preserve"> إلى الدولة الطرف أن تقدم معلومات عن تنفيذها توصيات اللجنة بشأن اتخاذ تدابير كي تضمن عملياً إجراء فحص طبي مستقل للمحتجزين منذ بدء سلب حريتهم</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6"/>
      </w:r>
      <w:r w:rsidR="00623A13" w:rsidRPr="0027756C">
        <w:rPr>
          <w:rStyle w:val="FootnoteReference"/>
          <w:rFonts w:eastAsiaTheme="minorEastAsia"/>
          <w:szCs w:val="22"/>
          <w:rtl/>
        </w:rPr>
        <w:t>)</w:t>
      </w:r>
      <w:r w:rsidRPr="00C06882">
        <w:rPr>
          <w:rFonts w:eastAsiaTheme="minorEastAsia"/>
          <w:rtl/>
        </w:rPr>
        <w:t xml:space="preserve">، وبشأن الإدانة العلنية للتهديدات الموجهة إلى المدافعين عن حقوق الإنسان، والصحفيين، </w:t>
      </w:r>
      <w:proofErr w:type="spellStart"/>
      <w:r w:rsidRPr="00C06882">
        <w:rPr>
          <w:rFonts w:eastAsiaTheme="minorEastAsia"/>
          <w:rtl/>
        </w:rPr>
        <w:t>والمثليات</w:t>
      </w:r>
      <w:proofErr w:type="spellEnd"/>
      <w:r w:rsidRPr="00C06882">
        <w:rPr>
          <w:rFonts w:eastAsiaTheme="minorEastAsia"/>
          <w:rtl/>
        </w:rPr>
        <w:t xml:space="preserve"> والمثليين ومزدوجي الميل الجنسي ومغايري الهوية الجنسانية، وأفراد طوائف </w:t>
      </w:r>
      <w:proofErr w:type="spellStart"/>
      <w:r w:rsidRPr="00C06882">
        <w:rPr>
          <w:rFonts w:eastAsiaTheme="minorEastAsia"/>
          <w:rtl/>
        </w:rPr>
        <w:t>الروما</w:t>
      </w:r>
      <w:proofErr w:type="spellEnd"/>
      <w:r w:rsidRPr="00C06882">
        <w:rPr>
          <w:rFonts w:eastAsiaTheme="minorEastAsia"/>
          <w:rtl/>
        </w:rPr>
        <w:t>، والاعتداءات عليهم والتحقيق فيها</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7"/>
      </w:r>
      <w:r w:rsidR="00623A13" w:rsidRPr="0027756C">
        <w:rPr>
          <w:rStyle w:val="FootnoteReference"/>
          <w:rFonts w:eastAsiaTheme="minorEastAsia"/>
          <w:szCs w:val="22"/>
          <w:rtl/>
        </w:rPr>
        <w:t>)</w:t>
      </w:r>
      <w:r w:rsidRPr="00C06882">
        <w:rPr>
          <w:rFonts w:eastAsiaTheme="minorEastAsia"/>
          <w:rtl/>
        </w:rPr>
        <w:t xml:space="preserve">. وتُعرب اللجنة عن تقديرها ردَّ الدولة الطرف على تلك المسائل وكذلك معلومات المتابعة الموضوعية المقدمة في </w:t>
      </w:r>
      <w:r w:rsidRPr="0027756C">
        <w:rPr>
          <w:rFonts w:eastAsiaTheme="minorEastAsia"/>
          <w:rtl/>
        </w:rPr>
        <w:t>2</w:t>
      </w:r>
      <w:r w:rsidRPr="00C06882">
        <w:rPr>
          <w:rFonts w:eastAsiaTheme="minorEastAsia"/>
          <w:rtl/>
        </w:rPr>
        <w:t xml:space="preserve"> آب/أغسطس </w:t>
      </w:r>
      <w:r w:rsidRPr="0027756C">
        <w:rPr>
          <w:rFonts w:eastAsiaTheme="minorEastAsia"/>
          <w:rtl/>
        </w:rPr>
        <w:t>2016</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8"/>
      </w:r>
      <w:r w:rsidR="00623A13" w:rsidRPr="0027756C">
        <w:rPr>
          <w:rStyle w:val="FootnoteReference"/>
          <w:rFonts w:eastAsiaTheme="minorEastAsia"/>
          <w:szCs w:val="22"/>
          <w:rtl/>
        </w:rPr>
        <w:t>)</w:t>
      </w:r>
      <w:r w:rsidRPr="00C06882">
        <w:rPr>
          <w:rFonts w:eastAsiaTheme="minorEastAsia"/>
          <w:rtl/>
        </w:rPr>
        <w:t xml:space="preserve"> وفي تقريرها الدوري الثالث. وترى أن التوصيات المذكورة آنفاً لم تنفذ إلا جزئياً (انظر(ي) الفقرتين </w:t>
      </w:r>
      <w:r w:rsidRPr="0027756C">
        <w:rPr>
          <w:rFonts w:eastAsiaTheme="minorEastAsia"/>
          <w:rtl/>
        </w:rPr>
        <w:t>14</w:t>
      </w:r>
      <w:r w:rsidRPr="00C06882">
        <w:rPr>
          <w:rFonts w:eastAsiaTheme="minorEastAsia"/>
          <w:rtl/>
        </w:rPr>
        <w:t>(ج) و</w:t>
      </w:r>
      <w:r w:rsidRPr="0027756C">
        <w:rPr>
          <w:rFonts w:eastAsiaTheme="minorEastAsia"/>
          <w:rtl/>
        </w:rPr>
        <w:t>42</w:t>
      </w:r>
      <w:r w:rsidRPr="00C06882">
        <w:rPr>
          <w:rFonts w:eastAsiaTheme="minorEastAsia"/>
          <w:rtl/>
        </w:rPr>
        <w:t xml:space="preserve"> أدناه).</w:t>
      </w:r>
    </w:p>
    <w:p w14:paraId="13CDCFC0" w14:textId="77777777" w:rsidR="00C06882" w:rsidRPr="00C06882" w:rsidRDefault="00C06882" w:rsidP="00623A13">
      <w:pPr>
        <w:pStyle w:val="H23GA"/>
        <w:rPr>
          <w:lang w:val="en-US" w:eastAsia="zh-TW" w:bidi="en-GB"/>
        </w:rPr>
      </w:pPr>
      <w:r w:rsidRPr="00C06882">
        <w:rPr>
          <w:rtl/>
        </w:rPr>
        <w:tab/>
      </w:r>
      <w:r w:rsidRPr="00C06882">
        <w:rPr>
          <w:rtl/>
        </w:rPr>
        <w:tab/>
        <w:t>تعريف التعذيب</w:t>
      </w:r>
    </w:p>
    <w:p w14:paraId="59A7C7A6" w14:textId="58BF3E21" w:rsidR="00C06882" w:rsidRPr="00C06882" w:rsidRDefault="00C06882" w:rsidP="00C06882">
      <w:pPr>
        <w:pStyle w:val="SingleTxtGA"/>
        <w:rPr>
          <w:rFonts w:eastAsiaTheme="minorEastAsia"/>
          <w:lang w:eastAsia="zh-TW" w:bidi="en-GB"/>
        </w:rPr>
      </w:pPr>
      <w:r w:rsidRPr="0027756C">
        <w:rPr>
          <w:rFonts w:eastAsiaTheme="minorEastAsia"/>
          <w:rtl/>
        </w:rPr>
        <w:t>7</w:t>
      </w:r>
      <w:r w:rsidRPr="00C06882">
        <w:rPr>
          <w:rFonts w:eastAsiaTheme="minorEastAsia"/>
          <w:rtl/>
        </w:rPr>
        <w:t>-</w:t>
      </w:r>
      <w:r w:rsidRPr="00C06882">
        <w:rPr>
          <w:rFonts w:eastAsiaTheme="minorEastAsia"/>
          <w:rtl/>
        </w:rPr>
        <w:tab/>
        <w:t xml:space="preserve">ترحب اللجنة بتعديل القانون الجنائي في عام </w:t>
      </w:r>
      <w:r w:rsidRPr="0027756C">
        <w:rPr>
          <w:rFonts w:eastAsiaTheme="minorEastAsia"/>
          <w:rtl/>
        </w:rPr>
        <w:t>2019</w:t>
      </w:r>
      <w:r w:rsidRPr="00C06882">
        <w:rPr>
          <w:rFonts w:eastAsiaTheme="minorEastAsia"/>
          <w:rtl/>
        </w:rPr>
        <w:t xml:space="preserve"> لضمان المعاقبة على أفعال التعذيب التي يقترفها الموظفون العموميون بعقوبات أشد صرامة. وتقرّ بأن المادة </w:t>
      </w:r>
      <w:r w:rsidRPr="0027756C">
        <w:rPr>
          <w:rFonts w:eastAsiaTheme="minorEastAsia"/>
          <w:rtl/>
        </w:rPr>
        <w:t>25</w:t>
      </w:r>
      <w:r w:rsidRPr="00C06882">
        <w:rPr>
          <w:rFonts w:eastAsiaTheme="minorEastAsia"/>
          <w:rtl/>
        </w:rPr>
        <w:t xml:space="preserve"> من دستور صربيا تحظر التعذيب أو المعاملة أو العقوبة اللاإنسانية أو المهينة، وبأن المادة </w:t>
      </w:r>
      <w:r w:rsidRPr="0027756C">
        <w:rPr>
          <w:rFonts w:eastAsiaTheme="minorEastAsia"/>
          <w:rtl/>
        </w:rPr>
        <w:t>16</w:t>
      </w:r>
      <w:r w:rsidRPr="00C06882">
        <w:rPr>
          <w:rFonts w:eastAsiaTheme="minorEastAsia"/>
          <w:rtl/>
        </w:rPr>
        <w:t xml:space="preserve"> منه تمكن من تطبيق قواعد القانون الدولي </w:t>
      </w:r>
      <w:r w:rsidRPr="00C06882">
        <w:rPr>
          <w:rFonts w:eastAsiaTheme="minorEastAsia"/>
          <w:rtl/>
        </w:rPr>
        <w:lastRenderedPageBreak/>
        <w:t xml:space="preserve">المقبولة عموماً والمعاهدات الدولية المصدّق عليها تطبيقاً مباشراً. بيد أن اللجنة تشعر بالقلق لكون تعريف التعذيب في القانون الجنائي لا يتماشى مع المادة </w:t>
      </w:r>
      <w:r w:rsidRPr="0027756C">
        <w:rPr>
          <w:rFonts w:eastAsiaTheme="minorEastAsia"/>
          <w:rtl/>
        </w:rPr>
        <w:t>1</w:t>
      </w:r>
      <w:r w:rsidRPr="00C06882">
        <w:rPr>
          <w:rFonts w:eastAsiaTheme="minorEastAsia"/>
          <w:rtl/>
        </w:rPr>
        <w:t xml:space="preserve"> من الاتفاقية، ولأنه لا يعاقَب على أفعال التعذيب أو</w:t>
      </w:r>
      <w:r w:rsidR="003F7CC4">
        <w:rPr>
          <w:rFonts w:eastAsiaTheme="minorEastAsia" w:hint="cs"/>
          <w:rtl/>
        </w:rPr>
        <w:t> </w:t>
      </w:r>
      <w:r w:rsidRPr="00C06882">
        <w:rPr>
          <w:rFonts w:eastAsiaTheme="minorEastAsia"/>
          <w:rtl/>
        </w:rPr>
        <w:t xml:space="preserve">سوء المعاملة بعقوبات تتناسب مع طبيعتها الخطيرة، ولأن التقادم بخصوص جريمة التعذيب لا يزال سارياً (المادتان </w:t>
      </w:r>
      <w:r w:rsidRPr="0027756C">
        <w:rPr>
          <w:rFonts w:eastAsiaTheme="minorEastAsia"/>
          <w:rtl/>
        </w:rPr>
        <w:t>1</w:t>
      </w:r>
      <w:r w:rsidRPr="00C06882">
        <w:rPr>
          <w:rFonts w:eastAsiaTheme="minorEastAsia"/>
          <w:rtl/>
        </w:rPr>
        <w:t xml:space="preserve"> و</w:t>
      </w:r>
      <w:r w:rsidRPr="0027756C">
        <w:rPr>
          <w:rFonts w:eastAsiaTheme="minorEastAsia"/>
          <w:rtl/>
        </w:rPr>
        <w:t>4</w:t>
      </w:r>
      <w:r w:rsidRPr="00C06882">
        <w:rPr>
          <w:rFonts w:eastAsiaTheme="minorEastAsia"/>
          <w:rtl/>
        </w:rPr>
        <w:t>).</w:t>
      </w:r>
    </w:p>
    <w:p w14:paraId="14A30F69" w14:textId="33B562E7" w:rsidR="00C06882" w:rsidRPr="0027756C" w:rsidRDefault="00C06882" w:rsidP="00C06882">
      <w:pPr>
        <w:pStyle w:val="SingleTxtGA"/>
        <w:rPr>
          <w:rFonts w:eastAsiaTheme="minorEastAsia"/>
          <w:bCs/>
          <w:lang w:eastAsia="zh-TW" w:bidi="en-GB"/>
        </w:rPr>
      </w:pPr>
      <w:r w:rsidRPr="0027756C">
        <w:rPr>
          <w:rFonts w:eastAsiaTheme="minorEastAsia"/>
          <w:rtl/>
        </w:rPr>
        <w:t>8</w:t>
      </w:r>
      <w:r w:rsidRPr="00C06882">
        <w:rPr>
          <w:rFonts w:eastAsiaTheme="minorEastAsia"/>
          <w:rtl/>
        </w:rPr>
        <w:t>-</w:t>
      </w:r>
      <w:r w:rsidRPr="00C06882">
        <w:rPr>
          <w:rFonts w:eastAsiaTheme="minorEastAsia"/>
          <w:rtl/>
        </w:rPr>
        <w:tab/>
      </w:r>
      <w:r w:rsidRPr="0027756C">
        <w:rPr>
          <w:rFonts w:eastAsiaTheme="minorEastAsia"/>
          <w:bCs/>
          <w:rtl/>
        </w:rPr>
        <w:t>تذكّر اللجنة بملاحظاتها الختامية السابقة</w:t>
      </w:r>
      <w:r w:rsidR="00623A13" w:rsidRPr="0027756C">
        <w:rPr>
          <w:rStyle w:val="FootnoteReference"/>
          <w:rFonts w:eastAsiaTheme="minorEastAsia"/>
          <w:b/>
          <w:szCs w:val="22"/>
          <w:rtl/>
        </w:rPr>
        <w:t>(</w:t>
      </w:r>
      <w:r w:rsidR="00623A13" w:rsidRPr="00943940">
        <w:rPr>
          <w:rStyle w:val="FootnoteReference"/>
          <w:rFonts w:eastAsiaTheme="minorEastAsia"/>
          <w:bCs/>
          <w:szCs w:val="22"/>
          <w:lang w:val="en-US"/>
        </w:rPr>
        <w:footnoteReference w:id="9"/>
      </w:r>
      <w:r w:rsidR="00623A13" w:rsidRPr="0027756C">
        <w:rPr>
          <w:rStyle w:val="FootnoteReference"/>
          <w:rFonts w:eastAsiaTheme="minorEastAsia"/>
          <w:b/>
          <w:szCs w:val="22"/>
          <w:rtl/>
        </w:rPr>
        <w:t>)</w:t>
      </w:r>
      <w:r w:rsidRPr="0027756C">
        <w:rPr>
          <w:rFonts w:eastAsiaTheme="minorEastAsia"/>
          <w:bCs/>
          <w:rtl/>
        </w:rPr>
        <w:t xml:space="preserve"> وتطلب إلى الدولة الطرف، على سبيل الأولوية، التعجيل بصياغة تعديلات على المادتين 136 و137 من القانون الجنائي واعتمادها بغية إدماج جميع العناصر الواردة في المادة 1 من الاتفاقية في التعريف القانوني للتعذيب وضمان ملاءمة العقوبات المفروضة على التعذيب لخطورة الجريمة، على النحو المبيّن في المادة 4(2) من الاتفاقية.</w:t>
      </w:r>
      <w:r w:rsidRPr="00623A13">
        <w:rPr>
          <w:rFonts w:eastAsiaTheme="minorEastAsia"/>
          <w:bCs/>
          <w:rtl/>
        </w:rPr>
        <w:t xml:space="preserve"> </w:t>
      </w:r>
      <w:r w:rsidRPr="0027756C">
        <w:rPr>
          <w:rFonts w:eastAsiaTheme="minorEastAsia"/>
          <w:bCs/>
          <w:rtl/>
        </w:rPr>
        <w:t>وينبغي أن تضمن الدولة الطرف أيضا عدم سريان أي تقادم على جريمة التعذيب لمنع أي إمكانية للإفلات من العقاب في إطار التحقيق في أفعال</w:t>
      </w:r>
      <w:r w:rsidR="00623A13" w:rsidRPr="0027756C">
        <w:rPr>
          <w:rFonts w:eastAsiaTheme="minorEastAsia"/>
          <w:bCs/>
          <w:rtl/>
        </w:rPr>
        <w:t xml:space="preserve"> </w:t>
      </w:r>
      <w:r w:rsidRPr="0027756C">
        <w:rPr>
          <w:rFonts w:eastAsiaTheme="minorEastAsia"/>
          <w:bCs/>
          <w:rtl/>
        </w:rPr>
        <w:t>التعذيب ومقاضاة الجناة ومعاقبتهم.</w:t>
      </w:r>
    </w:p>
    <w:p w14:paraId="4E92FC65" w14:textId="77777777" w:rsidR="00C06882" w:rsidRPr="00C06882" w:rsidRDefault="00C06882" w:rsidP="00623A13">
      <w:pPr>
        <w:pStyle w:val="H23GA"/>
        <w:rPr>
          <w:lang w:val="ar-SA" w:eastAsia="zh-TW" w:bidi="en-GB"/>
        </w:rPr>
      </w:pPr>
      <w:r w:rsidRPr="00C06882">
        <w:rPr>
          <w:rtl/>
        </w:rPr>
        <w:tab/>
      </w:r>
      <w:r w:rsidRPr="00C06882">
        <w:rPr>
          <w:rtl/>
        </w:rPr>
        <w:tab/>
        <w:t>الاتفاقية مصدراً قانونياً في المحاكم الوطنية</w:t>
      </w:r>
    </w:p>
    <w:p w14:paraId="77E992F1" w14:textId="77777777" w:rsidR="00C06882" w:rsidRPr="00C06882" w:rsidRDefault="00C06882" w:rsidP="00C06882">
      <w:pPr>
        <w:pStyle w:val="SingleTxtGA"/>
        <w:rPr>
          <w:rFonts w:eastAsiaTheme="minorEastAsia"/>
          <w:lang w:eastAsia="zh-TW" w:bidi="en-GB"/>
        </w:rPr>
      </w:pPr>
      <w:r w:rsidRPr="0027756C">
        <w:rPr>
          <w:rFonts w:eastAsiaTheme="minorEastAsia"/>
          <w:rtl/>
        </w:rPr>
        <w:t>9</w:t>
      </w:r>
      <w:r w:rsidRPr="00C06882">
        <w:rPr>
          <w:rFonts w:eastAsiaTheme="minorEastAsia"/>
          <w:rtl/>
        </w:rPr>
        <w:t>-</w:t>
      </w:r>
      <w:r w:rsidRPr="00C06882">
        <w:rPr>
          <w:rFonts w:eastAsiaTheme="minorEastAsia"/>
          <w:rtl/>
        </w:rPr>
        <w:tab/>
        <w:t xml:space="preserve">تلاحظ اللجنة أن المادة </w:t>
      </w:r>
      <w:r w:rsidRPr="0027756C">
        <w:rPr>
          <w:rFonts w:eastAsiaTheme="minorEastAsia"/>
          <w:rtl/>
        </w:rPr>
        <w:t>167</w:t>
      </w:r>
      <w:r w:rsidRPr="00C06882">
        <w:rPr>
          <w:rFonts w:eastAsiaTheme="minorEastAsia"/>
          <w:rtl/>
        </w:rPr>
        <w:t>(</w:t>
      </w:r>
      <w:r w:rsidRPr="0027756C">
        <w:rPr>
          <w:rFonts w:eastAsiaTheme="minorEastAsia"/>
          <w:rtl/>
        </w:rPr>
        <w:t>1</w:t>
      </w:r>
      <w:r w:rsidRPr="00C06882">
        <w:rPr>
          <w:rFonts w:eastAsiaTheme="minorEastAsia"/>
          <w:rtl/>
        </w:rPr>
        <w:t>) و(</w:t>
      </w:r>
      <w:r w:rsidRPr="0027756C">
        <w:rPr>
          <w:rFonts w:eastAsiaTheme="minorEastAsia"/>
          <w:rtl/>
        </w:rPr>
        <w:t>2</w:t>
      </w:r>
      <w:r w:rsidRPr="00C06882">
        <w:rPr>
          <w:rFonts w:eastAsiaTheme="minorEastAsia"/>
          <w:rtl/>
        </w:rPr>
        <w:t xml:space="preserve">) من الدستور تنص على أن المحكمة الدستورية مخوّلة البتّ في مدى امتثال المعاهدات الدولية المصدق عليها الدستورَ. وتلاحظ بقلق أيضاً ندرة الحالات التي احتُج فيها بالاتفاقية وطُبقت أحكامها مباشرة أمام المحاكم الوطنية (المادتان </w:t>
      </w:r>
      <w:r w:rsidRPr="0027756C">
        <w:rPr>
          <w:rFonts w:eastAsiaTheme="minorEastAsia"/>
          <w:rtl/>
        </w:rPr>
        <w:t>2</w:t>
      </w:r>
      <w:r w:rsidRPr="00C06882">
        <w:rPr>
          <w:rFonts w:eastAsiaTheme="minorEastAsia"/>
          <w:rtl/>
        </w:rPr>
        <w:t xml:space="preserve"> و</w:t>
      </w:r>
      <w:r w:rsidRPr="0027756C">
        <w:rPr>
          <w:rFonts w:eastAsiaTheme="minorEastAsia"/>
          <w:rtl/>
        </w:rPr>
        <w:t>10</w:t>
      </w:r>
      <w:r w:rsidRPr="00C06882">
        <w:rPr>
          <w:rFonts w:eastAsiaTheme="minorEastAsia"/>
          <w:rtl/>
        </w:rPr>
        <w:t>).</w:t>
      </w:r>
    </w:p>
    <w:p w14:paraId="56B7291A" w14:textId="77777777" w:rsidR="00C06882" w:rsidRPr="0027756C" w:rsidRDefault="00C06882" w:rsidP="00C06882">
      <w:pPr>
        <w:pStyle w:val="SingleTxtGA"/>
        <w:rPr>
          <w:rFonts w:eastAsiaTheme="minorEastAsia"/>
          <w:bCs/>
          <w:lang w:val="ar-SA" w:eastAsia="zh-TW" w:bidi="en-GB"/>
        </w:rPr>
      </w:pPr>
      <w:r w:rsidRPr="0027756C">
        <w:rPr>
          <w:rFonts w:eastAsiaTheme="minorEastAsia"/>
          <w:rtl/>
        </w:rPr>
        <w:t>10</w:t>
      </w:r>
      <w:r w:rsidRPr="00C06882">
        <w:rPr>
          <w:rFonts w:eastAsiaTheme="minorEastAsia"/>
          <w:rtl/>
        </w:rPr>
        <w:t>-</w:t>
      </w:r>
      <w:r w:rsidRPr="00C06882">
        <w:rPr>
          <w:rFonts w:eastAsiaTheme="minorEastAsia"/>
          <w:rtl/>
        </w:rPr>
        <w:tab/>
      </w:r>
      <w:r w:rsidRPr="0027756C">
        <w:rPr>
          <w:rFonts w:eastAsiaTheme="minorEastAsia"/>
          <w:bCs/>
          <w:rtl/>
        </w:rPr>
        <w:t>ينبغي أن تكفل الدولة الطرف ما يلي:</w:t>
      </w:r>
    </w:p>
    <w:p w14:paraId="4BB0A688"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(أ)</w:t>
      </w:r>
      <w:r w:rsidRPr="00C06882">
        <w:rPr>
          <w:rFonts w:eastAsiaTheme="minorEastAsia"/>
          <w:rtl/>
        </w:rPr>
        <w:tab/>
      </w:r>
      <w:r w:rsidRPr="0027756C">
        <w:rPr>
          <w:rFonts w:eastAsiaTheme="minorEastAsia"/>
          <w:bCs/>
          <w:rtl/>
        </w:rPr>
        <w:t>التطبيق الكامل والمباشر لأحكام الاتفاقية في المحاكم الوطنية بحيث يمكن الاحتجاج بها أمامها، وتوضيح أسبقية الصكوك الدولية لحقوق الإنسان التي الدولةُ طرفٌ فيها على التشريعات الوطنية إن ناقَض أحدهما الآخر.</w:t>
      </w:r>
    </w:p>
    <w:p w14:paraId="52F19250"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(ب)</w:t>
      </w:r>
      <w:r w:rsidRPr="00C06882">
        <w:rPr>
          <w:rFonts w:eastAsiaTheme="minorEastAsia"/>
          <w:rtl/>
        </w:rPr>
        <w:tab/>
      </w:r>
      <w:r w:rsidRPr="0027756C">
        <w:rPr>
          <w:rFonts w:eastAsiaTheme="minorEastAsia"/>
          <w:bCs/>
          <w:rtl/>
        </w:rPr>
        <w:t>تلقّي الموظفين العموميين، بمن فيهم القضاة والمدعون العامون والمحامون، تدريباً يغطي أحكام الاتفاقية من أجل التأكيد على الحقوق التي تنص عليها تلك الأحكام وضمان مراعاتها وتطبيقها مباشرةً أمام المحاكم الوطنية.</w:t>
      </w:r>
    </w:p>
    <w:p w14:paraId="1886D7EA" w14:textId="77777777" w:rsidR="00C06882" w:rsidRPr="00C06882" w:rsidRDefault="00C06882" w:rsidP="00623A13">
      <w:pPr>
        <w:pStyle w:val="H23GA"/>
        <w:rPr>
          <w:lang w:val="ar-SA" w:eastAsia="zh-TW" w:bidi="en-GB"/>
        </w:rPr>
      </w:pPr>
      <w:r w:rsidRPr="00C06882">
        <w:rPr>
          <w:rtl/>
        </w:rPr>
        <w:tab/>
      </w:r>
      <w:r w:rsidRPr="00C06882">
        <w:rPr>
          <w:rtl/>
        </w:rPr>
        <w:tab/>
        <w:t xml:space="preserve">المؤسسة الوطنية لحقوق الإنسان </w:t>
      </w:r>
    </w:p>
    <w:p w14:paraId="0815DF1D" w14:textId="1A0E4CAB" w:rsidR="00C06882" w:rsidRPr="00C06882" w:rsidRDefault="00C06882" w:rsidP="00C06882">
      <w:pPr>
        <w:pStyle w:val="SingleTxtGA"/>
        <w:rPr>
          <w:rFonts w:eastAsiaTheme="minorEastAsia"/>
          <w:lang w:val="ar-SA" w:eastAsia="zh-TW" w:bidi="en-GB"/>
        </w:rPr>
      </w:pPr>
      <w:r w:rsidRPr="0027756C">
        <w:rPr>
          <w:rFonts w:eastAsiaTheme="minorEastAsia"/>
          <w:rtl/>
        </w:rPr>
        <w:t>11</w:t>
      </w:r>
      <w:r w:rsidRPr="00C06882">
        <w:rPr>
          <w:rFonts w:eastAsiaTheme="minorEastAsia"/>
          <w:rtl/>
        </w:rPr>
        <w:t>-</w:t>
      </w:r>
      <w:r w:rsidRPr="00C06882">
        <w:rPr>
          <w:rFonts w:eastAsiaTheme="minorEastAsia"/>
          <w:rtl/>
        </w:rPr>
        <w:tab/>
        <w:t>يساور اللجنة القلق إزاء التقارير التي تتحدث عن تعريض استقلالية هيئة حماية المواطنين وفعاليتها وبروزها للخطر. ويساورها القلق أيضاً من الانخفاض الملحوظ في عدد الزيارات التي تجريها الآلية الوقائية الوطنية، ولا سيما داخل وحدات الاحتجاز التابعة للشرطة وخلال فترة القيود المتصلة بجائحة مرض فيروس كورونا (كوفيد-</w:t>
      </w:r>
      <w:r w:rsidRPr="0027756C">
        <w:rPr>
          <w:rFonts w:eastAsiaTheme="minorEastAsia"/>
          <w:rtl/>
        </w:rPr>
        <w:t>19</w:t>
      </w:r>
      <w:r w:rsidRPr="00C06882">
        <w:rPr>
          <w:rFonts w:eastAsiaTheme="minorEastAsia"/>
          <w:rtl/>
        </w:rPr>
        <w:t>)، وتأخر نشر نتائجها وتوصياتها</w:t>
      </w:r>
      <w:r w:rsidR="00623A13">
        <w:rPr>
          <w:rFonts w:eastAsiaTheme="minorEastAsia"/>
          <w:rtl/>
        </w:rPr>
        <w:t xml:space="preserve">، </w:t>
      </w:r>
      <w:r w:rsidRPr="00C06882">
        <w:rPr>
          <w:rFonts w:eastAsiaTheme="minorEastAsia"/>
          <w:rtl/>
        </w:rPr>
        <w:t xml:space="preserve">وانعدام ثقة منظمات المجتمع المدني الملاحَظ فيها مع أنها كانت تتعاون معها فيما مضى (المادة </w:t>
      </w:r>
      <w:r w:rsidRPr="0027756C">
        <w:rPr>
          <w:rFonts w:eastAsiaTheme="minorEastAsia"/>
          <w:rtl/>
        </w:rPr>
        <w:t>2</w:t>
      </w:r>
      <w:r w:rsidRPr="00C06882">
        <w:rPr>
          <w:rFonts w:eastAsiaTheme="minorEastAsia"/>
          <w:rtl/>
        </w:rPr>
        <w:t>).</w:t>
      </w:r>
    </w:p>
    <w:p w14:paraId="4A1D0A5D" w14:textId="4691D378" w:rsidR="00C06882" w:rsidRPr="00623A13" w:rsidRDefault="00C06882" w:rsidP="00C06882">
      <w:pPr>
        <w:pStyle w:val="SingleTxtGA"/>
        <w:rPr>
          <w:rFonts w:eastAsiaTheme="minorEastAsia"/>
          <w:bCs/>
          <w:lang w:val="ar-SA" w:eastAsia="zh-TW" w:bidi="en-GB"/>
        </w:rPr>
      </w:pPr>
      <w:r w:rsidRPr="0027756C">
        <w:rPr>
          <w:rFonts w:eastAsiaTheme="minorEastAsia"/>
          <w:rtl/>
        </w:rPr>
        <w:t>12</w:t>
      </w:r>
      <w:r w:rsidRPr="00C06882">
        <w:rPr>
          <w:rFonts w:eastAsiaTheme="minorEastAsia"/>
          <w:rtl/>
        </w:rPr>
        <w:t>-</w:t>
      </w:r>
      <w:r w:rsidRPr="00C06882">
        <w:rPr>
          <w:rFonts w:eastAsiaTheme="minorEastAsia"/>
          <w:rtl/>
        </w:rPr>
        <w:tab/>
      </w:r>
      <w:r w:rsidRPr="0027756C">
        <w:rPr>
          <w:rFonts w:eastAsiaTheme="minorEastAsia"/>
          <w:bCs/>
          <w:rtl/>
        </w:rPr>
        <w:t>ينبغي أن تتخذ الدولة الطرف تدابير لتدعيم استقلالية هيئة حماية المواطنين، بما في ذلك استقلال موظفيها المسؤولين عن تيسير عمل الآلية الوقائية الوطنية واستقلاليتها التنفيذية، خاصة فيما يتعلق بإجراء زيارات مستقلة ومنتظمة ومفاجئة إلى جميع أماكن سلب الحرية، بما فيها مؤسسات الأشخاص ذوي الإعاقات النفسية</w:t>
      </w:r>
      <w:r w:rsidR="005963F9" w:rsidRPr="0027756C">
        <w:rPr>
          <w:rFonts w:eastAsiaTheme="minorEastAsia" w:hint="cs"/>
          <w:bCs/>
          <w:rtl/>
        </w:rPr>
        <w:t xml:space="preserve"> </w:t>
      </w:r>
      <w:r w:rsidRPr="0027756C">
        <w:rPr>
          <w:rFonts w:eastAsiaTheme="minorEastAsia"/>
          <w:bCs/>
          <w:rtl/>
        </w:rPr>
        <w:t>-</w:t>
      </w:r>
      <w:r w:rsidR="005963F9" w:rsidRPr="0027756C">
        <w:rPr>
          <w:rFonts w:eastAsiaTheme="minorEastAsia" w:hint="cs"/>
          <w:bCs/>
          <w:rtl/>
        </w:rPr>
        <w:t xml:space="preserve"> </w:t>
      </w:r>
      <w:r w:rsidRPr="0027756C">
        <w:rPr>
          <w:rFonts w:eastAsiaTheme="minorEastAsia"/>
          <w:bCs/>
          <w:rtl/>
        </w:rPr>
        <w:t>الاجتماعية ودور الرعاية الاجتماعية، بالتعاون مع ممثلي منظمات المجتمع المدني.</w:t>
      </w:r>
      <w:r w:rsidRPr="00623A13">
        <w:rPr>
          <w:rFonts w:eastAsiaTheme="minorEastAsia"/>
          <w:bCs/>
          <w:rtl/>
        </w:rPr>
        <w:t xml:space="preserve"> </w:t>
      </w:r>
      <w:r w:rsidRPr="0027756C">
        <w:rPr>
          <w:rFonts w:eastAsiaTheme="minorEastAsia"/>
          <w:bCs/>
          <w:rtl/>
        </w:rPr>
        <w:t>ويجب أن تكون الآلية الوقائية الوطنية قادرة على الوصول مادياً إلى جميع أماكن سلب الحرية، مع التقيّد بالاحتياطات التي تفرضها جائحة كوفيد-19، من أجل ممارسة ولايتها الوقائية بفعالية.</w:t>
      </w:r>
      <w:r w:rsidRPr="00623A13">
        <w:rPr>
          <w:rFonts w:eastAsiaTheme="minorEastAsia"/>
          <w:bCs/>
          <w:rtl/>
        </w:rPr>
        <w:t xml:space="preserve"> </w:t>
      </w:r>
      <w:r w:rsidRPr="0027756C">
        <w:rPr>
          <w:rFonts w:eastAsiaTheme="minorEastAsia"/>
          <w:bCs/>
          <w:rtl/>
        </w:rPr>
        <w:t xml:space="preserve">وينبغي أن تكفل الدولة الطرف تقديم الآلية الوقائية الوطنية تقارير علنية عن النتائج </w:t>
      </w:r>
      <w:r w:rsidRPr="0027756C">
        <w:rPr>
          <w:rFonts w:eastAsiaTheme="minorEastAsia"/>
          <w:bCs/>
          <w:rtl/>
        </w:rPr>
        <w:lastRenderedPageBreak/>
        <w:t>التي تتوصل إليها، دون تأخير، وتنبيه السلطات إلى ظروف الاحتجاز المتردية أو السلوك السلبي الذي يبلغ حد التعذيب أو سوء المعاملة.</w:t>
      </w:r>
      <w:r w:rsidRPr="00623A13">
        <w:rPr>
          <w:rFonts w:eastAsiaTheme="minorEastAsia"/>
          <w:bCs/>
          <w:rtl/>
        </w:rPr>
        <w:t xml:space="preserve"> </w:t>
      </w:r>
    </w:p>
    <w:p w14:paraId="57237FC7" w14:textId="77777777" w:rsidR="00C06882" w:rsidRPr="00C06882" w:rsidRDefault="00C06882" w:rsidP="00623A13">
      <w:pPr>
        <w:pStyle w:val="H23GA"/>
        <w:rPr>
          <w:lang w:eastAsia="zh-TW" w:bidi="en-GB"/>
        </w:rPr>
      </w:pPr>
      <w:r w:rsidRPr="00C06882">
        <w:rPr>
          <w:rtl/>
        </w:rPr>
        <w:tab/>
      </w:r>
      <w:r w:rsidRPr="00C06882">
        <w:rPr>
          <w:rtl/>
        </w:rPr>
        <w:tab/>
        <w:t>الضمانات القانونية الأساسية</w:t>
      </w:r>
    </w:p>
    <w:p w14:paraId="07E9E803" w14:textId="276BB5EF" w:rsidR="00C06882" w:rsidRPr="00C06882" w:rsidRDefault="00C06882" w:rsidP="00C06882">
      <w:pPr>
        <w:pStyle w:val="SingleTxtGA"/>
        <w:rPr>
          <w:rFonts w:eastAsiaTheme="minorEastAsia"/>
          <w:lang w:eastAsia="zh-TW" w:bidi="en-GB"/>
        </w:rPr>
      </w:pPr>
      <w:r w:rsidRPr="0027756C">
        <w:rPr>
          <w:rFonts w:eastAsiaTheme="minorEastAsia"/>
          <w:rtl/>
        </w:rPr>
        <w:t>13</w:t>
      </w:r>
      <w:r w:rsidRPr="00C06882">
        <w:rPr>
          <w:rFonts w:eastAsiaTheme="minorEastAsia"/>
          <w:rtl/>
        </w:rPr>
        <w:t>-</w:t>
      </w:r>
      <w:r w:rsidRPr="00C06882">
        <w:rPr>
          <w:rFonts w:eastAsiaTheme="minorEastAsia"/>
          <w:rtl/>
        </w:rPr>
        <w:tab/>
        <w:t>يساور اللجنة القلق لكون الإطار القانوني الذي يكفل الضمانات القانونية للمحتجزين لا ينفذ بفاعلية في الممارسة العملية، بما في ذلك الحالات التي لا يتلقى فيها الأفراد إخطاراً بحقوقهم في المراحل الأولى من الاحتجاز، وعدم كفاية الخدمات التي يقدمها المحامون الذين تعيّنهم المحكمة، ووجود عناصر من الشرطة أثناء الفحوص الطبية، وعدم توثيق المهنيين الطبيين الإصابات وغيرها من آثار التعذيب وسوء المعاملة تماشياً مع</w:t>
      </w:r>
      <w:r w:rsidR="00623A13">
        <w:rPr>
          <w:rFonts w:eastAsiaTheme="minorEastAsia"/>
          <w:rtl/>
        </w:rPr>
        <w:t xml:space="preserve"> </w:t>
      </w:r>
      <w:r w:rsidRPr="00C06882">
        <w:rPr>
          <w:rFonts w:eastAsiaTheme="minorEastAsia"/>
          <w:rtl/>
        </w:rPr>
        <w:t xml:space="preserve">المعايير الدولية، وإهمال إحالة التقارير الطبية إلى المدعي العام والسلطات القضائية المعنية (المواد </w:t>
      </w:r>
      <w:r w:rsidRPr="0027756C">
        <w:rPr>
          <w:rFonts w:eastAsiaTheme="minorEastAsia"/>
          <w:rtl/>
        </w:rPr>
        <w:t>2</w:t>
      </w:r>
      <w:r w:rsidRPr="00C06882">
        <w:rPr>
          <w:rFonts w:eastAsiaTheme="minorEastAsia"/>
          <w:rtl/>
        </w:rPr>
        <w:t xml:space="preserve"> و</w:t>
      </w:r>
      <w:r w:rsidRPr="0027756C">
        <w:rPr>
          <w:rFonts w:eastAsiaTheme="minorEastAsia"/>
          <w:rtl/>
        </w:rPr>
        <w:t>11</w:t>
      </w:r>
      <w:r w:rsidRPr="00C06882">
        <w:rPr>
          <w:rFonts w:eastAsiaTheme="minorEastAsia"/>
          <w:rtl/>
        </w:rPr>
        <w:t xml:space="preserve"> و</w:t>
      </w:r>
      <w:r w:rsidRPr="0027756C">
        <w:rPr>
          <w:rFonts w:eastAsiaTheme="minorEastAsia"/>
          <w:rtl/>
        </w:rPr>
        <w:t>12</w:t>
      </w:r>
      <w:r w:rsidRPr="00C06882">
        <w:rPr>
          <w:rFonts w:eastAsiaTheme="minorEastAsia"/>
          <w:rtl/>
        </w:rPr>
        <w:t>).</w:t>
      </w:r>
    </w:p>
    <w:p w14:paraId="33767217" w14:textId="66C9E9B5" w:rsidR="00C06882" w:rsidRPr="0027756C" w:rsidRDefault="00C06882" w:rsidP="00C06882">
      <w:pPr>
        <w:pStyle w:val="SingleTxtGA"/>
        <w:rPr>
          <w:rFonts w:eastAsiaTheme="minorEastAsia"/>
          <w:bCs/>
          <w:lang w:val="ar-SA" w:eastAsia="zh-TW" w:bidi="en-GB"/>
        </w:rPr>
      </w:pPr>
      <w:r w:rsidRPr="0027756C">
        <w:rPr>
          <w:rFonts w:eastAsiaTheme="minorEastAsia"/>
          <w:rtl/>
        </w:rPr>
        <w:t>14</w:t>
      </w:r>
      <w:r w:rsidRPr="00C06882">
        <w:rPr>
          <w:rFonts w:eastAsiaTheme="minorEastAsia"/>
          <w:rtl/>
        </w:rPr>
        <w:t>-</w:t>
      </w:r>
      <w:r w:rsidRPr="00C06882">
        <w:rPr>
          <w:rFonts w:eastAsiaTheme="minorEastAsia"/>
          <w:rtl/>
        </w:rPr>
        <w:tab/>
      </w:r>
      <w:r w:rsidRPr="0027756C">
        <w:rPr>
          <w:rFonts w:eastAsiaTheme="minorEastAsia"/>
          <w:bCs/>
          <w:rtl/>
        </w:rPr>
        <w:t>تحث اللجنة الدولة الطرف، وهي تشير إلى توصياتها السابقة</w:t>
      </w:r>
      <w:r w:rsidR="00623A13" w:rsidRPr="0027756C">
        <w:rPr>
          <w:rStyle w:val="FootnoteReference"/>
          <w:rFonts w:eastAsiaTheme="minorEastAsia"/>
          <w:b/>
          <w:szCs w:val="22"/>
          <w:rtl/>
        </w:rPr>
        <w:t>(</w:t>
      </w:r>
      <w:r w:rsidR="00623A13" w:rsidRPr="00943940">
        <w:rPr>
          <w:rStyle w:val="FootnoteReference"/>
          <w:rFonts w:eastAsiaTheme="minorEastAsia"/>
          <w:bCs/>
          <w:szCs w:val="22"/>
          <w:lang w:val="en-US"/>
        </w:rPr>
        <w:footnoteReference w:id="10"/>
      </w:r>
      <w:r w:rsidR="00623A13" w:rsidRPr="0027756C">
        <w:rPr>
          <w:rStyle w:val="FootnoteReference"/>
          <w:rFonts w:eastAsiaTheme="minorEastAsia"/>
          <w:b/>
          <w:szCs w:val="22"/>
          <w:rtl/>
        </w:rPr>
        <w:t>)</w:t>
      </w:r>
      <w:r w:rsidRPr="0027756C">
        <w:rPr>
          <w:rFonts w:eastAsiaTheme="minorEastAsia"/>
          <w:bCs/>
          <w:rtl/>
        </w:rPr>
        <w:t>، على أن تكفل جميع</w:t>
      </w:r>
      <w:r w:rsidR="00623A13" w:rsidRPr="0027756C">
        <w:rPr>
          <w:rFonts w:eastAsiaTheme="minorEastAsia" w:hint="cs"/>
          <w:bCs/>
          <w:rtl/>
        </w:rPr>
        <w:t> </w:t>
      </w:r>
      <w:r w:rsidRPr="0027756C">
        <w:rPr>
          <w:rFonts w:eastAsiaTheme="minorEastAsia"/>
          <w:bCs/>
          <w:rtl/>
        </w:rPr>
        <w:t>الضمانات القانونية الأساسية للحماية من التعذيب في الممارسة العملية، وليس في القانون فقط، لجميع المحتجزين منذ بداية سلبهم حريتهم، وفقاً للمعايير الدولية، بما في ذلك حق المحتجزين فيما</w:t>
      </w:r>
      <w:r w:rsidR="00623A13" w:rsidRPr="0027756C">
        <w:rPr>
          <w:rFonts w:eastAsiaTheme="minorEastAsia" w:hint="cs"/>
          <w:bCs/>
          <w:rtl/>
        </w:rPr>
        <w:t> </w:t>
      </w:r>
      <w:r w:rsidRPr="0027756C">
        <w:rPr>
          <w:rFonts w:eastAsiaTheme="minorEastAsia"/>
          <w:bCs/>
          <w:rtl/>
        </w:rPr>
        <w:t>يلي:</w:t>
      </w:r>
    </w:p>
    <w:p w14:paraId="62039C44" w14:textId="77777777" w:rsidR="00C06882" w:rsidRPr="0027756C" w:rsidRDefault="00C06882" w:rsidP="00C06882">
      <w:pPr>
        <w:pStyle w:val="SingleTxtGA"/>
        <w:rPr>
          <w:rFonts w:eastAsiaTheme="minorEastAsia"/>
          <w:bCs/>
          <w:lang w:val="en-US" w:eastAsia="zh-TW" w:bidi="en-GB"/>
        </w:rPr>
      </w:pPr>
      <w:r w:rsidRPr="00C06882">
        <w:rPr>
          <w:rFonts w:eastAsiaTheme="minorEastAsia"/>
          <w:rtl/>
        </w:rPr>
        <w:tab/>
        <w:t>(أ)</w:t>
      </w:r>
      <w:r w:rsidRPr="00C06882">
        <w:rPr>
          <w:rFonts w:eastAsiaTheme="minorEastAsia"/>
          <w:rtl/>
        </w:rPr>
        <w:tab/>
      </w:r>
      <w:r w:rsidRPr="0027756C">
        <w:rPr>
          <w:rFonts w:eastAsiaTheme="minorEastAsia"/>
          <w:bCs/>
          <w:rtl/>
        </w:rPr>
        <w:t xml:space="preserve">أن يبلَّغوا فوراً بحقوقَهم بلغة يفهمونها </w:t>
      </w:r>
      <w:proofErr w:type="spellStart"/>
      <w:r w:rsidRPr="0027756C">
        <w:rPr>
          <w:rFonts w:eastAsiaTheme="minorEastAsia"/>
          <w:bCs/>
          <w:rtl/>
        </w:rPr>
        <w:t>شفاهةً</w:t>
      </w:r>
      <w:proofErr w:type="spellEnd"/>
      <w:r w:rsidRPr="0027756C">
        <w:rPr>
          <w:rFonts w:eastAsiaTheme="minorEastAsia"/>
          <w:bCs/>
          <w:rtl/>
        </w:rPr>
        <w:t xml:space="preserve"> وكتابةً بسبل منها تزويدهم برسالة الحقوق المكتوبة؛</w:t>
      </w:r>
      <w:r w:rsidRPr="00623A13">
        <w:rPr>
          <w:rFonts w:eastAsiaTheme="minorEastAsia"/>
          <w:bCs/>
          <w:rtl/>
        </w:rPr>
        <w:t xml:space="preserve"> </w:t>
      </w:r>
      <w:r w:rsidRPr="0027756C">
        <w:rPr>
          <w:rFonts w:eastAsiaTheme="minorEastAsia"/>
          <w:bCs/>
          <w:rtl/>
        </w:rPr>
        <w:t>وأن تُقدَّم إليهم أسباب اعتقالهم والتهم الموجهة إليهم؛</w:t>
      </w:r>
      <w:r w:rsidRPr="00623A13">
        <w:rPr>
          <w:rFonts w:eastAsiaTheme="minorEastAsia"/>
          <w:bCs/>
          <w:rtl/>
        </w:rPr>
        <w:t xml:space="preserve"> </w:t>
      </w:r>
      <w:r w:rsidRPr="0027756C">
        <w:rPr>
          <w:rFonts w:eastAsiaTheme="minorEastAsia"/>
          <w:bCs/>
          <w:rtl/>
        </w:rPr>
        <w:t>وأن يوقعوا ورقة تؤكد فهمهم المعلومات المقدمة إليهم؛</w:t>
      </w:r>
      <w:r w:rsidRPr="00623A13">
        <w:rPr>
          <w:rFonts w:eastAsiaTheme="minorEastAsia"/>
          <w:bCs/>
          <w:rtl/>
        </w:rPr>
        <w:t xml:space="preserve"> </w:t>
      </w:r>
      <w:r w:rsidRPr="0027756C">
        <w:rPr>
          <w:rFonts w:eastAsiaTheme="minorEastAsia"/>
          <w:bCs/>
          <w:rtl/>
        </w:rPr>
        <w:t>وأن يبلغوا أفراد أسرهم أو أي شخص آخر من اختيارهم أنهم احتجزوا؛</w:t>
      </w:r>
    </w:p>
    <w:p w14:paraId="3F8EDA95" w14:textId="07005E4E" w:rsidR="00C06882" w:rsidRPr="0027756C" w:rsidRDefault="00C06882" w:rsidP="00C06882">
      <w:pPr>
        <w:pStyle w:val="SingleTxtGA"/>
        <w:rPr>
          <w:rFonts w:eastAsiaTheme="minorEastAsia"/>
          <w:bCs/>
          <w:lang w:val="ar-SA" w:eastAsia="zh-TW" w:bidi="en-GB"/>
        </w:rPr>
      </w:pPr>
      <w:r w:rsidRPr="00C06882">
        <w:rPr>
          <w:rFonts w:eastAsiaTheme="minorEastAsia"/>
          <w:rtl/>
        </w:rPr>
        <w:tab/>
        <w:t>(ب)</w:t>
      </w:r>
      <w:r w:rsidRPr="00C06882">
        <w:rPr>
          <w:rFonts w:eastAsiaTheme="minorEastAsia"/>
          <w:rtl/>
        </w:rPr>
        <w:tab/>
      </w:r>
      <w:r w:rsidRPr="0027756C">
        <w:rPr>
          <w:rFonts w:eastAsiaTheme="minorEastAsia"/>
          <w:bCs/>
          <w:rtl/>
        </w:rPr>
        <w:t>توكيل محام(</w:t>
      </w:r>
      <w:proofErr w:type="spellStart"/>
      <w:r w:rsidRPr="0027756C">
        <w:rPr>
          <w:rFonts w:eastAsiaTheme="minorEastAsia"/>
          <w:bCs/>
          <w:rtl/>
        </w:rPr>
        <w:t>ية</w:t>
      </w:r>
      <w:proofErr w:type="spellEnd"/>
      <w:r w:rsidRPr="0027756C">
        <w:rPr>
          <w:rFonts w:eastAsiaTheme="minorEastAsia"/>
          <w:bCs/>
          <w:rtl/>
        </w:rPr>
        <w:t>) مختص(ة) ومستقل(ة)، من خلال تدعيم نظام المعونة القضائية</w:t>
      </w:r>
      <w:r w:rsidR="00623A13" w:rsidRPr="0027756C">
        <w:rPr>
          <w:rFonts w:eastAsiaTheme="minorEastAsia" w:hint="cs"/>
          <w:bCs/>
          <w:rtl/>
        </w:rPr>
        <w:t> </w:t>
      </w:r>
      <w:r w:rsidRPr="0027756C">
        <w:rPr>
          <w:rFonts w:eastAsiaTheme="minorEastAsia"/>
          <w:bCs/>
          <w:rtl/>
        </w:rPr>
        <w:t>المجانية؛</w:t>
      </w:r>
      <w:r w:rsidRPr="00623A13">
        <w:rPr>
          <w:rFonts w:eastAsiaTheme="minorEastAsia"/>
          <w:bCs/>
          <w:rtl/>
        </w:rPr>
        <w:t xml:space="preserve"> </w:t>
      </w:r>
    </w:p>
    <w:p w14:paraId="666465F6"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(ج)</w:t>
      </w:r>
      <w:r w:rsidRPr="00C06882">
        <w:rPr>
          <w:rFonts w:eastAsiaTheme="minorEastAsia"/>
          <w:rtl/>
        </w:rPr>
        <w:tab/>
      </w:r>
      <w:r w:rsidRPr="0027756C">
        <w:rPr>
          <w:rFonts w:eastAsiaTheme="minorEastAsia"/>
          <w:bCs/>
          <w:rtl/>
        </w:rPr>
        <w:t>طلب فحص طبي على يد طبيب(ة) مستقل(ة) والحصول عليه منذ بداية فترة سلب حريتهم؛</w:t>
      </w:r>
      <w:r w:rsidRPr="00623A13">
        <w:rPr>
          <w:rFonts w:eastAsiaTheme="minorEastAsia"/>
          <w:bCs/>
          <w:rtl/>
        </w:rPr>
        <w:t xml:space="preserve"> </w:t>
      </w:r>
      <w:r w:rsidRPr="0027756C">
        <w:rPr>
          <w:rFonts w:eastAsiaTheme="minorEastAsia"/>
          <w:bCs/>
          <w:rtl/>
        </w:rPr>
        <w:t>وإجراء هذه الفحوص الطبية بعيداً عن مسمع أفراد الشرطة وموظفي السجون ومرآهم، ما لم تطلب الطبيبة أو الطبيب المعني خلاف ذلك صراحة؛</w:t>
      </w:r>
      <w:r w:rsidRPr="00623A13">
        <w:rPr>
          <w:rFonts w:eastAsiaTheme="minorEastAsia"/>
          <w:bCs/>
          <w:rtl/>
        </w:rPr>
        <w:t xml:space="preserve"> </w:t>
      </w:r>
      <w:r w:rsidRPr="0027756C">
        <w:rPr>
          <w:rFonts w:eastAsiaTheme="minorEastAsia"/>
          <w:bCs/>
          <w:rtl/>
        </w:rPr>
        <w:t>وعرض السجل الطبي فوراً على مدع(</w:t>
      </w:r>
      <w:proofErr w:type="spellStart"/>
      <w:r w:rsidRPr="0027756C">
        <w:rPr>
          <w:rFonts w:eastAsiaTheme="minorEastAsia"/>
          <w:bCs/>
          <w:rtl/>
        </w:rPr>
        <w:t>ية</w:t>
      </w:r>
      <w:proofErr w:type="spellEnd"/>
      <w:r w:rsidRPr="0027756C">
        <w:rPr>
          <w:rFonts w:eastAsiaTheme="minorEastAsia"/>
          <w:bCs/>
          <w:rtl/>
        </w:rPr>
        <w:t>) عام(ة) متى أشارت النتائج أو الادعاءات إلى حدوث تعذيب أو سوء معاملة؛</w:t>
      </w:r>
      <w:r w:rsidRPr="00623A13">
        <w:rPr>
          <w:rFonts w:eastAsiaTheme="minorEastAsia"/>
          <w:bCs/>
          <w:rtl/>
        </w:rPr>
        <w:t xml:space="preserve"> </w:t>
      </w:r>
      <w:r w:rsidRPr="0027756C">
        <w:rPr>
          <w:rFonts w:eastAsiaTheme="minorEastAsia"/>
          <w:bCs/>
          <w:rtl/>
        </w:rPr>
        <w:t>وعدم تعرّض العاملين في مجال الرعاية الصحية لأي شكل من أشكال الضغط المفرط أو الانتقام عند أدائهم واجبهم؛</w:t>
      </w:r>
    </w:p>
    <w:p w14:paraId="34A8746C" w14:textId="4531C22A" w:rsidR="00C06882" w:rsidRPr="0027756C" w:rsidRDefault="00C06882" w:rsidP="00C06882">
      <w:pPr>
        <w:pStyle w:val="SingleTxtGA"/>
        <w:rPr>
          <w:rFonts w:eastAsiaTheme="minorEastAsia"/>
          <w:bCs/>
          <w:lang w:eastAsia="zh-TW" w:bidi="en-GB"/>
        </w:rPr>
      </w:pPr>
      <w:r w:rsidRPr="00C06882">
        <w:rPr>
          <w:rFonts w:eastAsiaTheme="minorEastAsia"/>
          <w:rtl/>
        </w:rPr>
        <w:tab/>
        <w:t>(د)</w:t>
      </w:r>
      <w:r w:rsidRPr="00C06882">
        <w:rPr>
          <w:rFonts w:eastAsiaTheme="minorEastAsia"/>
          <w:rtl/>
        </w:rPr>
        <w:tab/>
      </w:r>
      <w:r w:rsidRPr="0027756C">
        <w:rPr>
          <w:rFonts w:eastAsiaTheme="minorEastAsia"/>
          <w:bCs/>
          <w:rtl/>
        </w:rPr>
        <w:t>حق المحتجزين في أن تدوّن على الدوام المعلومات المتعلقة باحتجازهم في سجل في مكان الاحتجاز وفي سجل مركزي خاص بمن سُلبت حريتهم يتاح لمحاميهم وأفراد أسرهم كي يطلعوا عليه، وفقاً لمجموعة المباد</w:t>
      </w:r>
      <w:r w:rsidR="005963F9" w:rsidRPr="0027756C">
        <w:rPr>
          <w:rFonts w:eastAsiaTheme="minorEastAsia" w:hint="cs"/>
          <w:bCs/>
          <w:rtl/>
        </w:rPr>
        <w:t>ئ</w:t>
      </w:r>
      <w:r w:rsidRPr="0027756C">
        <w:rPr>
          <w:rFonts w:eastAsiaTheme="minorEastAsia"/>
          <w:bCs/>
          <w:rtl/>
        </w:rPr>
        <w:t xml:space="preserve"> المتعلقة بحماية جميع الأشخاص الذين يتعرضون لأي شكل من أشكال الاحتجاز أو السجن.</w:t>
      </w:r>
      <w:r w:rsidRPr="00623A13">
        <w:rPr>
          <w:rFonts w:eastAsiaTheme="minorEastAsia"/>
          <w:bCs/>
          <w:rtl/>
        </w:rPr>
        <w:t xml:space="preserve"> </w:t>
      </w:r>
    </w:p>
    <w:p w14:paraId="3D8715D9" w14:textId="77777777" w:rsidR="00C06882" w:rsidRPr="00C06882" w:rsidRDefault="00C06882" w:rsidP="00623A13">
      <w:pPr>
        <w:pStyle w:val="H23GA"/>
        <w:rPr>
          <w:lang w:val="ar-SA" w:eastAsia="zh-TW" w:bidi="en-GB"/>
        </w:rPr>
      </w:pPr>
      <w:r w:rsidRPr="00C06882">
        <w:rPr>
          <w:rtl/>
        </w:rPr>
        <w:tab/>
      </w:r>
      <w:r w:rsidRPr="00C06882">
        <w:rPr>
          <w:rtl/>
        </w:rPr>
        <w:tab/>
        <w:t>ظروف الاحتجاز</w:t>
      </w:r>
    </w:p>
    <w:p w14:paraId="025DEBAB" w14:textId="77777777" w:rsidR="00C06882" w:rsidRPr="00C06882" w:rsidRDefault="00C06882" w:rsidP="00C06882">
      <w:pPr>
        <w:pStyle w:val="SingleTxtGA"/>
        <w:rPr>
          <w:rFonts w:eastAsiaTheme="minorEastAsia"/>
          <w:lang w:val="ar-SA" w:eastAsia="zh-TW" w:bidi="en-GB"/>
        </w:rPr>
      </w:pPr>
      <w:r w:rsidRPr="0027756C">
        <w:rPr>
          <w:rFonts w:eastAsiaTheme="minorEastAsia"/>
          <w:rtl/>
        </w:rPr>
        <w:t>15</w:t>
      </w:r>
      <w:r w:rsidRPr="00C06882">
        <w:rPr>
          <w:rFonts w:eastAsiaTheme="minorEastAsia"/>
          <w:rtl/>
        </w:rPr>
        <w:t>-</w:t>
      </w:r>
      <w:r w:rsidRPr="00C06882">
        <w:rPr>
          <w:rFonts w:eastAsiaTheme="minorEastAsia"/>
          <w:rtl/>
        </w:rPr>
        <w:tab/>
        <w:t xml:space="preserve">ترحب اللجنة بالخطوات الكبيرة التي خَطَتها صربيا للحد من الاكتظاظ، بطرق منها تجديد قدرات بنية الاحتجاز التحتية القائمة وتعزيزها واستخدام التدابير غير </w:t>
      </w:r>
      <w:proofErr w:type="spellStart"/>
      <w:r w:rsidRPr="00C06882">
        <w:rPr>
          <w:rFonts w:eastAsiaTheme="minorEastAsia"/>
          <w:rtl/>
        </w:rPr>
        <w:t>الاحتجازية</w:t>
      </w:r>
      <w:proofErr w:type="spellEnd"/>
      <w:r w:rsidRPr="00C06882">
        <w:rPr>
          <w:rFonts w:eastAsiaTheme="minorEastAsia"/>
          <w:rtl/>
        </w:rPr>
        <w:t xml:space="preserve">. بيد أنها لا تزال تشعر بالقلق بسبب استمرار الاكتظاظ في مرافق الاحتجاز قبل المحاكمة وفي السجون في جميع أنحاء البلد. وتشعر اللجنة بالقلق أيضاً من نقص موظفي السجون وما يترتب على ذلك من عجز عن منع العنف والتعامل مع السجناء الضعفاء في هذا السياق (المواد </w:t>
      </w:r>
      <w:r w:rsidRPr="0027756C">
        <w:rPr>
          <w:rFonts w:eastAsiaTheme="minorEastAsia"/>
          <w:rtl/>
        </w:rPr>
        <w:t>2</w:t>
      </w:r>
      <w:r w:rsidRPr="00C06882">
        <w:rPr>
          <w:rFonts w:eastAsiaTheme="minorEastAsia"/>
          <w:rtl/>
        </w:rPr>
        <w:t xml:space="preserve"> و</w:t>
      </w:r>
      <w:r w:rsidRPr="0027756C">
        <w:rPr>
          <w:rFonts w:eastAsiaTheme="minorEastAsia"/>
          <w:rtl/>
        </w:rPr>
        <w:t>11</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6826BDAF" w14:textId="77777777" w:rsidR="00C06882" w:rsidRPr="0027756C" w:rsidRDefault="00C06882" w:rsidP="00C06882">
      <w:pPr>
        <w:pStyle w:val="SingleTxtGA"/>
        <w:rPr>
          <w:rFonts w:eastAsiaTheme="minorEastAsia"/>
          <w:bCs/>
          <w:lang w:val="ar-SA" w:eastAsia="zh-TW" w:bidi="en-GB"/>
        </w:rPr>
      </w:pPr>
      <w:r w:rsidRPr="0027756C">
        <w:rPr>
          <w:rFonts w:eastAsiaTheme="minorEastAsia"/>
          <w:rtl/>
        </w:rPr>
        <w:lastRenderedPageBreak/>
        <w:t>16</w:t>
      </w:r>
      <w:r w:rsidRPr="00C06882">
        <w:rPr>
          <w:rFonts w:eastAsiaTheme="minorEastAsia"/>
          <w:rtl/>
        </w:rPr>
        <w:t>-</w:t>
      </w:r>
      <w:r w:rsidRPr="00C06882">
        <w:rPr>
          <w:rFonts w:eastAsiaTheme="minorEastAsia"/>
          <w:rtl/>
        </w:rPr>
        <w:tab/>
      </w:r>
      <w:r w:rsidRPr="0027756C">
        <w:rPr>
          <w:rFonts w:eastAsiaTheme="minorEastAsia"/>
          <w:bCs/>
          <w:rtl/>
        </w:rPr>
        <w:t>توصي اللجنة الدولة الطرف بما يلي:</w:t>
      </w:r>
    </w:p>
    <w:p w14:paraId="3147D61E"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(أ)</w:t>
      </w:r>
      <w:r w:rsidRPr="00C06882">
        <w:rPr>
          <w:rFonts w:eastAsiaTheme="minorEastAsia"/>
          <w:rtl/>
        </w:rPr>
        <w:tab/>
      </w:r>
      <w:r w:rsidRPr="0027756C">
        <w:rPr>
          <w:rFonts w:eastAsiaTheme="minorEastAsia"/>
          <w:bCs/>
          <w:rtl/>
        </w:rPr>
        <w:t xml:space="preserve">مراعاة الدروس المستفادة من جائحة كوفيد-19 وتكثيف جهودها للحد كثيراً من اكتظاظ السجون عن طريق محاولة إنقاص تدفق السجناء، واللجوء أكثر إلى التدابير غير </w:t>
      </w:r>
      <w:proofErr w:type="spellStart"/>
      <w:r w:rsidRPr="0027756C">
        <w:rPr>
          <w:rFonts w:eastAsiaTheme="minorEastAsia"/>
          <w:bCs/>
          <w:rtl/>
        </w:rPr>
        <w:t>الاحتجازية</w:t>
      </w:r>
      <w:proofErr w:type="spellEnd"/>
      <w:r w:rsidRPr="0027756C">
        <w:rPr>
          <w:rFonts w:eastAsiaTheme="minorEastAsia"/>
          <w:bCs/>
          <w:rtl/>
        </w:rPr>
        <w:t xml:space="preserve">، مثل الإفراج المشروط أو الإفراج المبكر، وفقاً لقواعد الأمم المتحدة الدنيا النموذجية للتدابير غير </w:t>
      </w:r>
      <w:proofErr w:type="spellStart"/>
      <w:r w:rsidRPr="0027756C">
        <w:rPr>
          <w:rFonts w:eastAsiaTheme="minorEastAsia"/>
          <w:bCs/>
          <w:rtl/>
        </w:rPr>
        <w:t>الاحتجازية</w:t>
      </w:r>
      <w:proofErr w:type="spellEnd"/>
      <w:r w:rsidRPr="0027756C">
        <w:rPr>
          <w:rFonts w:eastAsiaTheme="minorEastAsia"/>
          <w:bCs/>
          <w:rtl/>
        </w:rPr>
        <w:t xml:space="preserve"> (قواعد طوكيو)، وقواعد الأمم المتحدة لمعاملة السجينات والتدابير غير </w:t>
      </w:r>
      <w:proofErr w:type="spellStart"/>
      <w:r w:rsidRPr="0027756C">
        <w:rPr>
          <w:rFonts w:eastAsiaTheme="minorEastAsia"/>
          <w:bCs/>
          <w:rtl/>
        </w:rPr>
        <w:t>الاحتجازية</w:t>
      </w:r>
      <w:proofErr w:type="spellEnd"/>
      <w:r w:rsidRPr="0027756C">
        <w:rPr>
          <w:rFonts w:eastAsiaTheme="minorEastAsia"/>
          <w:bCs/>
          <w:rtl/>
        </w:rPr>
        <w:t xml:space="preserve"> للمجرمات (قواعد بانكوك)؛</w:t>
      </w:r>
    </w:p>
    <w:p w14:paraId="2BEE0AD3"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(ب)</w:t>
      </w:r>
      <w:r w:rsidRPr="00C06882">
        <w:rPr>
          <w:rFonts w:eastAsiaTheme="minorEastAsia"/>
          <w:rtl/>
        </w:rPr>
        <w:tab/>
      </w:r>
      <w:r w:rsidRPr="0027756C">
        <w:rPr>
          <w:rFonts w:eastAsiaTheme="minorEastAsia"/>
          <w:bCs/>
          <w:rtl/>
        </w:rPr>
        <w:t>مواصلة تجديد جميع أماكن الاحتجاز التي تحتاج إلى إصلاح بغية تحسين بنيتها التحتية وظروفها المادية وجعل ظروف السجن متماشية مع قواعد الأمم المتحدة النموذجية الدنيا لمعاملة السجناء (قواعد نيلسون مانديلا) والقواعد الأوروبية للسجون التي اعتمدها مجلس أوروبا؛</w:t>
      </w:r>
    </w:p>
    <w:p w14:paraId="662216E5" w14:textId="77777777" w:rsidR="00C06882" w:rsidRPr="0027756C" w:rsidRDefault="00C06882" w:rsidP="00C06882">
      <w:pPr>
        <w:pStyle w:val="SingleTxtGA"/>
        <w:rPr>
          <w:rFonts w:eastAsiaTheme="minorEastAsia"/>
          <w:bCs/>
        </w:rPr>
      </w:pPr>
      <w:r w:rsidRPr="00C06882">
        <w:rPr>
          <w:rFonts w:eastAsiaTheme="minorEastAsia"/>
          <w:rtl/>
        </w:rPr>
        <w:tab/>
        <w:t>(ج)</w:t>
      </w:r>
      <w:r w:rsidRPr="00C06882">
        <w:rPr>
          <w:rFonts w:eastAsiaTheme="minorEastAsia"/>
          <w:rtl/>
        </w:rPr>
        <w:tab/>
      </w:r>
      <w:r w:rsidRPr="0027756C">
        <w:rPr>
          <w:rFonts w:eastAsiaTheme="minorEastAsia"/>
          <w:bCs/>
          <w:rtl/>
        </w:rPr>
        <w:t>زيادة الأجور وتحسين ظروف العمل ورفع عدد موظفي السجون، وتدريب هؤلاء الموظفين على التعامل مع السجناء، وتدعيم رصد العنفِ بين السجناء والسجناءِ الضعفاء وغيرِهم من السجناء المعرضين للخطر والتعامل مع ذلك كله.</w:t>
      </w:r>
    </w:p>
    <w:p w14:paraId="44D52BA7" w14:textId="77777777" w:rsidR="00C06882" w:rsidRPr="00C06882" w:rsidRDefault="00C06882" w:rsidP="00623A13">
      <w:pPr>
        <w:pStyle w:val="H23GA"/>
        <w:rPr>
          <w:lang w:val="ar-SA" w:eastAsia="zh-TW" w:bidi="en-GB"/>
        </w:rPr>
      </w:pPr>
      <w:r w:rsidRPr="00C06882">
        <w:rPr>
          <w:rtl/>
        </w:rPr>
        <w:tab/>
      </w:r>
      <w:r w:rsidRPr="00C06882">
        <w:rPr>
          <w:rtl/>
        </w:rPr>
        <w:tab/>
        <w:t xml:space="preserve">الرعاية الصحية في السجون </w:t>
      </w:r>
    </w:p>
    <w:p w14:paraId="40F8850D" w14:textId="77777777" w:rsidR="00C06882" w:rsidRPr="00C06882" w:rsidRDefault="00C06882" w:rsidP="00C06882">
      <w:pPr>
        <w:pStyle w:val="SingleTxtGA"/>
        <w:rPr>
          <w:rFonts w:eastAsiaTheme="minorEastAsia"/>
          <w:lang w:eastAsia="zh-TW" w:bidi="en-GB"/>
        </w:rPr>
      </w:pPr>
      <w:r w:rsidRPr="0027756C">
        <w:rPr>
          <w:rFonts w:eastAsiaTheme="minorEastAsia"/>
          <w:rtl/>
        </w:rPr>
        <w:t>17</w:t>
      </w:r>
      <w:r w:rsidRPr="00C06882">
        <w:rPr>
          <w:rFonts w:eastAsiaTheme="minorEastAsia"/>
          <w:rtl/>
        </w:rPr>
        <w:t>-</w:t>
      </w:r>
      <w:r w:rsidRPr="00C06882">
        <w:rPr>
          <w:rFonts w:eastAsiaTheme="minorEastAsia"/>
          <w:rtl/>
        </w:rPr>
        <w:tab/>
        <w:t xml:space="preserve">ترحب اللجنة بالإجراءات المتخذة لتدريب الموظفين الطبيين وإعادة بناء الوحدات الطبية داخل السجون وتجديدها. غير أنها تشعر بالقلق بشأن التقارير التي تشير إلى أن خدمات الرعاية الصحية في السجون غير مناسبة، سِيَما فيما يخص توفير العلاج النفساني، وتلاحظ أن الفحوص الطبية للمحتجزين الوافدين حديثاً، بما في ذلك تسجيل إصاباتهم وتحليلها، سريعة وأنه لا توجد ممارسة منظمة لتقديم التقارير إلى السلطات القضائية (المادتان </w:t>
      </w:r>
      <w:r w:rsidRPr="0027756C">
        <w:rPr>
          <w:rFonts w:eastAsiaTheme="minorEastAsia"/>
          <w:rtl/>
        </w:rPr>
        <w:t>12</w:t>
      </w:r>
      <w:r w:rsidRPr="00C06882">
        <w:rPr>
          <w:rFonts w:eastAsiaTheme="minorEastAsia"/>
          <w:rtl/>
        </w:rPr>
        <w:t xml:space="preserve"> و</w:t>
      </w:r>
      <w:r w:rsidRPr="0027756C">
        <w:rPr>
          <w:rFonts w:eastAsiaTheme="minorEastAsia"/>
          <w:rtl/>
        </w:rPr>
        <w:t>13</w:t>
      </w:r>
      <w:r w:rsidRPr="00C06882">
        <w:rPr>
          <w:rFonts w:eastAsiaTheme="minorEastAsia"/>
          <w:rtl/>
        </w:rPr>
        <w:t>).</w:t>
      </w:r>
    </w:p>
    <w:p w14:paraId="19152655" w14:textId="77777777" w:rsidR="00C06882" w:rsidRPr="0027756C" w:rsidRDefault="00C06882" w:rsidP="00C06882">
      <w:pPr>
        <w:pStyle w:val="SingleTxtGA"/>
        <w:rPr>
          <w:rFonts w:eastAsiaTheme="minorEastAsia"/>
          <w:bCs/>
        </w:rPr>
      </w:pPr>
      <w:r w:rsidRPr="0027756C">
        <w:rPr>
          <w:rFonts w:eastAsiaTheme="minorEastAsia"/>
          <w:rtl/>
        </w:rPr>
        <w:t>18</w:t>
      </w:r>
      <w:r w:rsidRPr="00C06882">
        <w:rPr>
          <w:rFonts w:eastAsiaTheme="minorEastAsia"/>
          <w:rtl/>
        </w:rPr>
        <w:t>-</w:t>
      </w:r>
      <w:r w:rsidRPr="00C06882">
        <w:rPr>
          <w:rFonts w:eastAsiaTheme="minorEastAsia"/>
          <w:rtl/>
        </w:rPr>
        <w:tab/>
      </w:r>
      <w:r w:rsidRPr="0027756C">
        <w:rPr>
          <w:rFonts w:eastAsiaTheme="minorEastAsia"/>
          <w:bCs/>
          <w:rtl/>
        </w:rPr>
        <w:t>ينبغي للدولة الطرف تحسين نوعية الخدمات الصحية المقدمة إلى السجناء؛ وإجراء فحص طبي سريع لهم عند دخولهم مرافق الاحتجاز وبعد نقلهم، وذلك من أجل جملة أمور منها الكشف عن الأمراض المعدية ومنع انتشارها، بما فيها كوفيد-19؛ وتوظيف أطباء أكثر تأهيلا، بمن فيهم أطباء نفسانيون؛ والاحتفاظ المناسب بالملفات والسجلات الطبية، بما فيها تلك المستخدمة في تسجيل الإصابات؛ والتأكد من إرسال التقارير الطبية عن الإصابات التي تشير إلى سوء المعاملة دون تأخير إلى الآلية المستقلة المسؤولة عن إجراء فحص شامل والتحقيق في ذلك.</w:t>
      </w:r>
    </w:p>
    <w:p w14:paraId="5B6C3FDA" w14:textId="77777777" w:rsidR="00C06882" w:rsidRPr="00C06882" w:rsidRDefault="00C06882" w:rsidP="00623A13">
      <w:pPr>
        <w:pStyle w:val="H23GA"/>
        <w:rPr>
          <w:lang w:val="ar-SA" w:eastAsia="zh-TW" w:bidi="en-GB"/>
        </w:rPr>
      </w:pPr>
      <w:r w:rsidRPr="00C06882">
        <w:rPr>
          <w:rtl/>
        </w:rPr>
        <w:tab/>
      </w:r>
      <w:r w:rsidRPr="00C06882">
        <w:rPr>
          <w:rtl/>
        </w:rPr>
        <w:tab/>
        <w:t>الإفلات من العقاب على أفعال التعذيب وإساءة المعاملة</w:t>
      </w:r>
    </w:p>
    <w:p w14:paraId="62DA7824" w14:textId="380B8CE3" w:rsidR="00C06882" w:rsidRPr="00C06882" w:rsidRDefault="00C06882" w:rsidP="00C06882">
      <w:pPr>
        <w:pStyle w:val="SingleTxtGA"/>
        <w:rPr>
          <w:rFonts w:eastAsiaTheme="minorEastAsia"/>
          <w:lang w:eastAsia="zh-TW" w:bidi="en-GB"/>
        </w:rPr>
      </w:pPr>
      <w:r w:rsidRPr="0027756C">
        <w:rPr>
          <w:rFonts w:eastAsiaTheme="minorEastAsia"/>
          <w:rtl/>
        </w:rPr>
        <w:t>19</w:t>
      </w:r>
      <w:r w:rsidRPr="00C06882">
        <w:rPr>
          <w:rFonts w:eastAsiaTheme="minorEastAsia"/>
          <w:rtl/>
        </w:rPr>
        <w:t>-</w:t>
      </w:r>
      <w:r w:rsidRPr="00C06882">
        <w:rPr>
          <w:rFonts w:eastAsiaTheme="minorEastAsia"/>
          <w:rtl/>
        </w:rPr>
        <w:tab/>
        <w:t>يساور اللجنة القلق إزاء عدم بذل جهود كافية للتحقيق في الغالبية العظمى من الدعاوى بصفة المدعي بالحق المدني المرفوعة على عناصر الشرطة وموظفي السجون وغيرهم من الموظفين الحكوميين. وإذ تشير اللجنة إلى قلة عدد الشكاوى المبلغ عنها والمبتوت فيها المتعلقة بأفعال</w:t>
      </w:r>
      <w:r w:rsidR="00623A13">
        <w:rPr>
          <w:rFonts w:eastAsiaTheme="minorEastAsia"/>
          <w:rtl/>
        </w:rPr>
        <w:t xml:space="preserve"> </w:t>
      </w:r>
      <w:r w:rsidRPr="00C06882">
        <w:rPr>
          <w:rFonts w:eastAsiaTheme="minorEastAsia"/>
          <w:rtl/>
        </w:rPr>
        <w:t xml:space="preserve">التعذيب وغيره من أشكال سوء المعاملة، فإنها تشعر بقلق بالغ إزاء الانخفاض غير المتناسب في نسبة أحكام الإدانة مقارنة بأحكام البراءة وحالات ردّ الدعاوى. وتشير أيضاً إلى أنه كلما صدرت عقوبات على موظفين عموميين، كانت إلى حد بعيد غير كافية وغير متناسبة مع خطورة فعل التعذيب (المادتان </w:t>
      </w:r>
      <w:r w:rsidRPr="0027756C">
        <w:rPr>
          <w:rFonts w:eastAsiaTheme="minorEastAsia"/>
          <w:rtl/>
        </w:rPr>
        <w:t>12</w:t>
      </w:r>
      <w:r w:rsidRPr="00C06882">
        <w:rPr>
          <w:rFonts w:eastAsiaTheme="minorEastAsia"/>
          <w:rtl/>
        </w:rPr>
        <w:t xml:space="preserve"> و</w:t>
      </w:r>
      <w:r w:rsidRPr="0027756C">
        <w:rPr>
          <w:rFonts w:eastAsiaTheme="minorEastAsia"/>
          <w:rtl/>
        </w:rPr>
        <w:t>13</w:t>
      </w:r>
      <w:r w:rsidRPr="00C06882">
        <w:rPr>
          <w:rFonts w:eastAsiaTheme="minorEastAsia"/>
          <w:rtl/>
        </w:rPr>
        <w:t>).</w:t>
      </w:r>
    </w:p>
    <w:p w14:paraId="723FF722" w14:textId="77777777" w:rsidR="00C06882" w:rsidRPr="0027756C" w:rsidRDefault="00C06882" w:rsidP="00C06882">
      <w:pPr>
        <w:pStyle w:val="SingleTxtGA"/>
        <w:rPr>
          <w:rFonts w:eastAsiaTheme="minorEastAsia"/>
          <w:bCs/>
        </w:rPr>
      </w:pPr>
      <w:r w:rsidRPr="0027756C">
        <w:rPr>
          <w:rFonts w:eastAsiaTheme="minorEastAsia"/>
          <w:rtl/>
        </w:rPr>
        <w:t>20</w:t>
      </w:r>
      <w:r w:rsidRPr="00C06882">
        <w:rPr>
          <w:rFonts w:eastAsiaTheme="minorEastAsia"/>
          <w:rtl/>
        </w:rPr>
        <w:t>-</w:t>
      </w:r>
      <w:r w:rsidRPr="00C06882">
        <w:rPr>
          <w:rFonts w:eastAsiaTheme="minorEastAsia"/>
          <w:rtl/>
        </w:rPr>
        <w:tab/>
      </w:r>
      <w:r w:rsidRPr="0027756C">
        <w:rPr>
          <w:rFonts w:eastAsiaTheme="minorEastAsia"/>
          <w:bCs/>
          <w:rtl/>
        </w:rPr>
        <w:t>ينبغي أن تفعل الدولة الطرف ما يلي:</w:t>
      </w:r>
    </w:p>
    <w:p w14:paraId="1AF8CF6F" w14:textId="77777777" w:rsidR="00C06882" w:rsidRPr="0027756C" w:rsidRDefault="00C06882" w:rsidP="00C06882">
      <w:pPr>
        <w:pStyle w:val="SingleTxtGA"/>
        <w:rPr>
          <w:rFonts w:eastAsiaTheme="minorEastAsia"/>
          <w:bCs/>
        </w:rPr>
      </w:pPr>
      <w:r w:rsidRPr="00C06882">
        <w:rPr>
          <w:rFonts w:eastAsiaTheme="minorEastAsia"/>
          <w:rtl/>
        </w:rPr>
        <w:tab/>
        <w:t>(أ)</w:t>
      </w:r>
      <w:r w:rsidRPr="00C06882">
        <w:rPr>
          <w:rFonts w:eastAsiaTheme="minorEastAsia"/>
          <w:rtl/>
        </w:rPr>
        <w:tab/>
      </w:r>
      <w:r w:rsidRPr="0027756C">
        <w:rPr>
          <w:rFonts w:eastAsiaTheme="minorEastAsia"/>
          <w:bCs/>
          <w:rtl/>
        </w:rPr>
        <w:t>ضمان تحقيق هيئة مستقلة فوراً وبنزاهة في جميع شكاوى التعذيب وسوء المعاملة وعدم وجود أي علاقة مؤسسية أو هرمية بين محققي هذه الهيئة والمشتبه في ارتكابهم هذه الأفعال؛</w:t>
      </w:r>
    </w:p>
    <w:p w14:paraId="563AA75F" w14:textId="77777777" w:rsidR="00C06882" w:rsidRPr="0027756C" w:rsidRDefault="00C06882" w:rsidP="00C06882">
      <w:pPr>
        <w:pStyle w:val="SingleTxtGA"/>
        <w:rPr>
          <w:rFonts w:eastAsiaTheme="minorEastAsia"/>
          <w:bCs/>
        </w:rPr>
      </w:pPr>
      <w:r w:rsidRPr="00C06882">
        <w:rPr>
          <w:rFonts w:eastAsiaTheme="minorEastAsia"/>
          <w:rtl/>
        </w:rPr>
        <w:lastRenderedPageBreak/>
        <w:tab/>
        <w:t>(ب)</w:t>
      </w:r>
      <w:r w:rsidRPr="00C06882">
        <w:rPr>
          <w:rFonts w:eastAsiaTheme="minorEastAsia"/>
          <w:rtl/>
        </w:rPr>
        <w:tab/>
      </w:r>
      <w:r w:rsidRPr="0027756C">
        <w:rPr>
          <w:rFonts w:eastAsiaTheme="minorEastAsia"/>
          <w:bCs/>
          <w:rtl/>
        </w:rPr>
        <w:t>ضمان فتح السلطات تحقيقات كلما توفرت أسباب وجيهة تحمل على اعتقاد ارتكاب فعل من أفعال التعذيب أو سوء المعاملة؛</w:t>
      </w:r>
    </w:p>
    <w:p w14:paraId="2333BD62" w14:textId="24A98F04" w:rsidR="00C06882" w:rsidRPr="0027756C" w:rsidRDefault="00C06882" w:rsidP="00C06882">
      <w:pPr>
        <w:pStyle w:val="SingleTxtGA"/>
        <w:rPr>
          <w:rFonts w:eastAsiaTheme="minorEastAsia"/>
          <w:bCs/>
        </w:rPr>
      </w:pPr>
      <w:r w:rsidRPr="00C06882">
        <w:rPr>
          <w:rFonts w:eastAsiaTheme="minorEastAsia"/>
          <w:rtl/>
        </w:rPr>
        <w:tab/>
        <w:t>(ج)</w:t>
      </w:r>
      <w:r w:rsidRPr="00C06882">
        <w:rPr>
          <w:rFonts w:eastAsiaTheme="minorEastAsia"/>
          <w:rtl/>
        </w:rPr>
        <w:tab/>
      </w:r>
      <w:r w:rsidRPr="0027756C">
        <w:rPr>
          <w:rFonts w:eastAsiaTheme="minorEastAsia"/>
          <w:bCs/>
          <w:rtl/>
        </w:rPr>
        <w:t>الحرص، في حالات ادعاء التعذيب أو سوء المعاملة، على توقيف المشتبه فيهم عن العمل فوراً طوال مدة التحقيق، لا سيما إن وُجد احتمال أن يكرروا الفعل المدّعى اقترافه أو ينتقموا من الضحايا المزعومين أو يعرقلوا التحقيق؛</w:t>
      </w:r>
    </w:p>
    <w:p w14:paraId="12F51239" w14:textId="77777777" w:rsidR="00C06882" w:rsidRPr="0027756C" w:rsidRDefault="00C06882" w:rsidP="00C06882">
      <w:pPr>
        <w:pStyle w:val="SingleTxtGA"/>
        <w:rPr>
          <w:rFonts w:eastAsiaTheme="minorEastAsia"/>
          <w:bCs/>
        </w:rPr>
      </w:pPr>
      <w:r w:rsidRPr="00C06882">
        <w:rPr>
          <w:rFonts w:eastAsiaTheme="minorEastAsia"/>
          <w:rtl/>
        </w:rPr>
        <w:tab/>
        <w:t>(د)</w:t>
      </w:r>
      <w:r w:rsidRPr="00C06882">
        <w:rPr>
          <w:rFonts w:eastAsiaTheme="minorEastAsia"/>
          <w:rtl/>
        </w:rPr>
        <w:tab/>
      </w:r>
      <w:r w:rsidRPr="0027756C">
        <w:rPr>
          <w:rFonts w:eastAsiaTheme="minorEastAsia"/>
          <w:bCs/>
          <w:rtl/>
        </w:rPr>
        <w:t>ضمان معاقبة من يرتكب جريمة التعذيب ومن يحاول ارتكابها بعقوبات تتناسب وطبيعتها الخطيرة، على النحو المبين في المادة 4(2) من الاتفاقية؛</w:t>
      </w:r>
    </w:p>
    <w:p w14:paraId="5EC8E255" w14:textId="73524033" w:rsidR="00C06882" w:rsidRPr="0027756C" w:rsidRDefault="00C06882" w:rsidP="00C06882">
      <w:pPr>
        <w:pStyle w:val="SingleTxtGA"/>
        <w:rPr>
          <w:rFonts w:eastAsiaTheme="minorEastAsia"/>
          <w:bCs/>
        </w:rPr>
      </w:pPr>
      <w:r w:rsidRPr="00C06882">
        <w:rPr>
          <w:rFonts w:eastAsiaTheme="minorEastAsia"/>
          <w:rtl/>
        </w:rPr>
        <w:tab/>
        <w:t>(هـ)</w:t>
      </w:r>
      <w:r w:rsidRPr="00C06882">
        <w:rPr>
          <w:rFonts w:eastAsiaTheme="minorEastAsia"/>
          <w:rtl/>
        </w:rPr>
        <w:tab/>
      </w:r>
      <w:r w:rsidRPr="0027756C">
        <w:rPr>
          <w:rFonts w:eastAsiaTheme="minorEastAsia"/>
          <w:bCs/>
          <w:rtl/>
        </w:rPr>
        <w:t>تجميع معلومات إحصائية مصنفة شاملة تتصل بجميع الشكاوى والتقارير الواردة عن التعذيب أو سوء المعاملة ونشرها، بما في ذلك معلومات عما إن كانت هذه الشكاوى أفضت إلى</w:t>
      </w:r>
      <w:r w:rsidR="00623A13" w:rsidRPr="0027756C">
        <w:rPr>
          <w:rFonts w:eastAsiaTheme="minorEastAsia" w:hint="cs"/>
          <w:bCs/>
          <w:rtl/>
        </w:rPr>
        <w:t> </w:t>
      </w:r>
      <w:r w:rsidRPr="0027756C">
        <w:rPr>
          <w:rFonts w:eastAsiaTheme="minorEastAsia"/>
          <w:bCs/>
          <w:rtl/>
        </w:rPr>
        <w:t>تحقيقات؛ وإن كان الأمر كذلك، فما هي السلطة التي تولت هذه التحقيقات، وما إن كانت التحقيقات أدت إلى فرض تدابير تأديبية أو إلى ملاحقات قضائية، وما إن كانت الأضرار التي لحقت بالضحايا قد جُبرت.</w:t>
      </w:r>
    </w:p>
    <w:p w14:paraId="5B9FB79C" w14:textId="02767E11" w:rsidR="00C06882" w:rsidRPr="0027756C" w:rsidRDefault="00623A13" w:rsidP="00623A13">
      <w:pPr>
        <w:pStyle w:val="H23GA"/>
        <w:rPr>
          <w:lang w:eastAsia="zh-TW" w:bidi="en-GB"/>
        </w:rPr>
      </w:pPr>
      <w:r w:rsidRPr="0027756C">
        <w:rPr>
          <w:rtl/>
        </w:rPr>
        <w:tab/>
      </w:r>
      <w:r w:rsidRPr="0027756C">
        <w:rPr>
          <w:rtl/>
        </w:rPr>
        <w:tab/>
      </w:r>
      <w:r w:rsidR="00C06882" w:rsidRPr="0027756C">
        <w:rPr>
          <w:rtl/>
        </w:rPr>
        <w:t>إدراج حكم السجن المؤبد في القانون الجنائي</w:t>
      </w:r>
    </w:p>
    <w:p w14:paraId="1953C89F" w14:textId="77777777" w:rsidR="00C06882" w:rsidRPr="00C06882" w:rsidRDefault="00C06882" w:rsidP="00C06882">
      <w:pPr>
        <w:pStyle w:val="SingleTxtGA"/>
        <w:rPr>
          <w:rFonts w:eastAsiaTheme="minorEastAsia"/>
          <w:lang w:val="ar-SA" w:eastAsia="zh-TW" w:bidi="en-GB"/>
        </w:rPr>
      </w:pPr>
      <w:r w:rsidRPr="0027756C">
        <w:rPr>
          <w:rFonts w:eastAsiaTheme="minorEastAsia"/>
          <w:rtl/>
        </w:rPr>
        <w:t>21</w:t>
      </w:r>
      <w:r w:rsidRPr="00C06882">
        <w:rPr>
          <w:rFonts w:eastAsiaTheme="minorEastAsia"/>
          <w:rtl/>
        </w:rPr>
        <w:t>-</w:t>
      </w:r>
      <w:r w:rsidRPr="00C06882">
        <w:rPr>
          <w:rFonts w:eastAsiaTheme="minorEastAsia"/>
          <w:rtl/>
        </w:rPr>
        <w:tab/>
        <w:t xml:space="preserve">يساور اللجنة القلق بشأن التعديلات التي أدخلت على القانون الجنائي في عام </w:t>
      </w:r>
      <w:r w:rsidRPr="0027756C">
        <w:rPr>
          <w:rFonts w:eastAsiaTheme="minorEastAsia"/>
          <w:rtl/>
        </w:rPr>
        <w:t>2019</w:t>
      </w:r>
      <w:r w:rsidRPr="00C06882">
        <w:rPr>
          <w:rFonts w:eastAsiaTheme="minorEastAsia"/>
          <w:rtl/>
        </w:rPr>
        <w:t xml:space="preserve"> والتي تنص على عقوبة السجن المؤبد على جرائم عدة، واستبعاد الإفراج المشروط عن أربعة منها، الأمر الذي يلغي احتمال الإفراج عن السجين(ة) وإمكانية إعادة النظر في الحكم، وهو ما يبلغ حد الألم أو المعاناة النفسية، الأمر الذي يتعارض مع أحكام الاتفاقية (المادتان </w:t>
      </w:r>
      <w:r w:rsidRPr="0027756C">
        <w:rPr>
          <w:rFonts w:eastAsiaTheme="minorEastAsia"/>
          <w:rtl/>
        </w:rPr>
        <w:t>2</w:t>
      </w:r>
      <w:r w:rsidRPr="00C06882">
        <w:rPr>
          <w:rFonts w:eastAsiaTheme="minorEastAsia"/>
          <w:rtl/>
        </w:rPr>
        <w:t xml:space="preserve"> و</w:t>
      </w:r>
      <w:r w:rsidRPr="0027756C">
        <w:rPr>
          <w:rFonts w:eastAsiaTheme="minorEastAsia"/>
          <w:rtl/>
        </w:rPr>
        <w:t>4</w:t>
      </w:r>
      <w:r w:rsidRPr="00C06882">
        <w:rPr>
          <w:rFonts w:eastAsiaTheme="minorEastAsia"/>
          <w:rtl/>
        </w:rPr>
        <w:t>).</w:t>
      </w:r>
    </w:p>
    <w:p w14:paraId="3E443349" w14:textId="77777777" w:rsidR="00C06882" w:rsidRPr="0027756C" w:rsidRDefault="00C06882" w:rsidP="00C06882">
      <w:pPr>
        <w:pStyle w:val="SingleTxtGA"/>
        <w:rPr>
          <w:rFonts w:eastAsiaTheme="minorEastAsia"/>
          <w:bCs/>
          <w:lang w:eastAsia="zh-TW" w:bidi="en-GB"/>
        </w:rPr>
      </w:pPr>
      <w:r w:rsidRPr="0027756C">
        <w:rPr>
          <w:rFonts w:eastAsiaTheme="minorEastAsia"/>
          <w:rtl/>
        </w:rPr>
        <w:t>22</w:t>
      </w:r>
      <w:r w:rsidRPr="00C06882">
        <w:rPr>
          <w:rFonts w:eastAsiaTheme="minorEastAsia"/>
          <w:rtl/>
        </w:rPr>
        <w:t>-</w:t>
      </w:r>
      <w:r w:rsidRPr="00C06882">
        <w:rPr>
          <w:rFonts w:eastAsiaTheme="minorEastAsia"/>
          <w:rtl/>
        </w:rPr>
        <w:tab/>
      </w:r>
      <w:r w:rsidRPr="0027756C">
        <w:rPr>
          <w:rFonts w:eastAsiaTheme="minorEastAsia"/>
          <w:bCs/>
          <w:rtl/>
        </w:rPr>
        <w:t>ينبغي أن تعيد الدولة الطرف النظر في تطبيق عقوبة السجن المؤبد دون إفراج مشروط وأن تكفل للمدانين الذين يقضون هذه الأحكام حالياً الحق في مراجعة قضائية لعقوباتهم وأن يكونوا مؤهلين للإفراج المشروط.</w:t>
      </w:r>
    </w:p>
    <w:p w14:paraId="597041D9" w14:textId="77777777" w:rsidR="00C06882" w:rsidRPr="00C06882" w:rsidRDefault="00C06882" w:rsidP="00623A13">
      <w:pPr>
        <w:pStyle w:val="H23GA"/>
        <w:rPr>
          <w:lang w:val="ar-SA" w:eastAsia="zh-TW" w:bidi="en-GB"/>
        </w:rPr>
      </w:pPr>
      <w:r w:rsidRPr="00C06882">
        <w:rPr>
          <w:rtl/>
        </w:rPr>
        <w:tab/>
      </w:r>
      <w:r w:rsidRPr="00C06882">
        <w:rPr>
          <w:rtl/>
        </w:rPr>
        <w:tab/>
        <w:t>قضاء الأحداث</w:t>
      </w:r>
    </w:p>
    <w:p w14:paraId="429B02DD" w14:textId="77777777" w:rsidR="00C06882" w:rsidRPr="00C06882" w:rsidRDefault="00C06882" w:rsidP="00C06882">
      <w:pPr>
        <w:pStyle w:val="SingleTxtGA"/>
        <w:rPr>
          <w:rFonts w:eastAsiaTheme="minorEastAsia"/>
          <w:lang w:eastAsia="zh-TW" w:bidi="en-GB"/>
        </w:rPr>
      </w:pPr>
      <w:r w:rsidRPr="0027756C">
        <w:rPr>
          <w:rFonts w:eastAsiaTheme="minorEastAsia"/>
          <w:rtl/>
        </w:rPr>
        <w:t>23</w:t>
      </w:r>
      <w:r w:rsidRPr="00C06882">
        <w:rPr>
          <w:rFonts w:eastAsiaTheme="minorEastAsia"/>
          <w:rtl/>
        </w:rPr>
        <w:t>-</w:t>
      </w:r>
      <w:r w:rsidRPr="00C06882">
        <w:rPr>
          <w:rFonts w:eastAsiaTheme="minorEastAsia"/>
          <w:rtl/>
        </w:rPr>
        <w:tab/>
        <w:t xml:space="preserve">يساور اللجنة القلق إزاء برامج إعادة التأهيل التعليمي المحدودة المتاحة لمن سُلبت حريتهم من الأطفال في مؤسسات الإصلاح والتأهيل والتقارير المتعلقة بسوء معاملتهم، بما في ذلك العقوبة التأديبية (المادتان </w:t>
      </w:r>
      <w:r w:rsidRPr="0027756C">
        <w:rPr>
          <w:rFonts w:eastAsiaTheme="minorEastAsia"/>
          <w:rtl/>
        </w:rPr>
        <w:t>11</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4FC9BABE" w14:textId="77777777" w:rsidR="00C06882" w:rsidRPr="0027756C" w:rsidRDefault="00C06882" w:rsidP="00C06882">
      <w:pPr>
        <w:pStyle w:val="SingleTxtGA"/>
        <w:rPr>
          <w:rFonts w:eastAsiaTheme="minorEastAsia"/>
          <w:bCs/>
        </w:rPr>
      </w:pPr>
      <w:r w:rsidRPr="0027756C">
        <w:rPr>
          <w:rFonts w:eastAsiaTheme="minorEastAsia"/>
          <w:rtl/>
        </w:rPr>
        <w:t>24</w:t>
      </w:r>
      <w:r w:rsidRPr="00C06882">
        <w:rPr>
          <w:rFonts w:eastAsiaTheme="minorEastAsia"/>
          <w:rtl/>
        </w:rPr>
        <w:t>-</w:t>
      </w:r>
      <w:r w:rsidRPr="00C06882">
        <w:rPr>
          <w:rFonts w:eastAsiaTheme="minorEastAsia"/>
          <w:rtl/>
        </w:rPr>
        <w:tab/>
      </w:r>
      <w:r w:rsidRPr="0027756C">
        <w:rPr>
          <w:rFonts w:eastAsiaTheme="minorEastAsia"/>
          <w:bCs/>
          <w:rtl/>
        </w:rPr>
        <w:t>ينبغي أن تفعل الدولة الطرف ما يلي:</w:t>
      </w:r>
    </w:p>
    <w:p w14:paraId="090DD86E" w14:textId="080A9A11" w:rsidR="00C06882" w:rsidRPr="0027756C" w:rsidRDefault="00C06882" w:rsidP="00C06882">
      <w:pPr>
        <w:pStyle w:val="SingleTxtGA"/>
        <w:rPr>
          <w:rFonts w:eastAsiaTheme="minorEastAsia"/>
          <w:bCs/>
        </w:rPr>
      </w:pPr>
      <w:r w:rsidRPr="00C06882">
        <w:rPr>
          <w:rFonts w:eastAsiaTheme="minorEastAsia"/>
          <w:rtl/>
        </w:rPr>
        <w:tab/>
        <w:t>(أ)</w:t>
      </w:r>
      <w:r w:rsidRPr="00C06882">
        <w:rPr>
          <w:rFonts w:eastAsiaTheme="minorEastAsia"/>
          <w:rtl/>
        </w:rPr>
        <w:tab/>
      </w:r>
      <w:r w:rsidRPr="0027756C">
        <w:rPr>
          <w:rFonts w:eastAsiaTheme="minorEastAsia"/>
          <w:bCs/>
          <w:rtl/>
        </w:rPr>
        <w:t xml:space="preserve">النظر في إنشاء نظام لقضاء الأحداث يكون فعالاً ومتخصصاً ويؤدي عمله جيداً ويمتثل المعاييرَ الدولية، بما فيها قواعد الأمم المتحدة النموذجية الدنيا لإدارة شؤون قضاء الأحداث (قواعد بكين)، ومبادئ الأمم المتحدة التوجيهية لمنع جنوح الأحداث (مبادئ الرياض التوجيهية)؛ </w:t>
      </w:r>
    </w:p>
    <w:p w14:paraId="7334996C" w14:textId="77777777" w:rsidR="00C06882" w:rsidRPr="0027756C" w:rsidRDefault="00C06882" w:rsidP="00C06882">
      <w:pPr>
        <w:pStyle w:val="SingleTxtGA"/>
        <w:rPr>
          <w:rFonts w:eastAsiaTheme="minorEastAsia"/>
          <w:bCs/>
        </w:rPr>
      </w:pPr>
      <w:r w:rsidRPr="00C06882">
        <w:rPr>
          <w:rFonts w:eastAsiaTheme="minorEastAsia"/>
          <w:rtl/>
        </w:rPr>
        <w:tab/>
        <w:t>(ب)</w:t>
      </w:r>
      <w:r w:rsidRPr="00C06882">
        <w:rPr>
          <w:rFonts w:eastAsiaTheme="minorEastAsia"/>
          <w:rtl/>
        </w:rPr>
        <w:tab/>
      </w:r>
      <w:r w:rsidRPr="0027756C">
        <w:rPr>
          <w:rFonts w:eastAsiaTheme="minorEastAsia"/>
          <w:bCs/>
          <w:rtl/>
        </w:rPr>
        <w:t>اتخاذ تدابير فعالة لمنع أي موظف عمومي من إساءة معاملة الأطفال، بسبل منها التحقيق في هذه الأفعال وضمان اتخاذ التدابير التأديبية أو العقابية المناسبة؛</w:t>
      </w:r>
    </w:p>
    <w:p w14:paraId="43EEBD8B" w14:textId="34C46E6C" w:rsidR="00C06882" w:rsidRPr="0027756C" w:rsidRDefault="00C06882" w:rsidP="00C06882">
      <w:pPr>
        <w:pStyle w:val="SingleTxtGA"/>
        <w:rPr>
          <w:rFonts w:eastAsiaTheme="minorEastAsia"/>
          <w:bCs/>
        </w:rPr>
      </w:pPr>
      <w:r w:rsidRPr="00C06882">
        <w:rPr>
          <w:rFonts w:eastAsiaTheme="minorEastAsia"/>
          <w:rtl/>
        </w:rPr>
        <w:tab/>
        <w:t>(ج)</w:t>
      </w:r>
      <w:r w:rsidRPr="00C06882">
        <w:rPr>
          <w:rFonts w:eastAsiaTheme="minorEastAsia"/>
          <w:rtl/>
        </w:rPr>
        <w:tab/>
      </w:r>
      <w:r w:rsidRPr="0027756C">
        <w:rPr>
          <w:rFonts w:eastAsiaTheme="minorEastAsia"/>
          <w:bCs/>
          <w:rtl/>
        </w:rPr>
        <w:t>تعزيز برامج التعليم وإعادة التأهيل القائمة ووضع أخرى تهدف إلى الحد من العودة إلى الإجرام لدى الأحداث وتشجيع السلوك الإيجابي الاجتماعي، وتوفير أنشطة ترفيهية ملائمة تفضي إلى الاندماج الاجتماعي للأطفال الذين سُلبت حريتهم، ومعالجة مشكلة نقص الموظفين المؤهلين المدربين تدريباً خاص</w:t>
      </w:r>
      <w:r w:rsidR="003F7CC4" w:rsidRPr="0027756C">
        <w:rPr>
          <w:rFonts w:eastAsiaTheme="minorEastAsia"/>
          <w:bCs/>
          <w:rtl/>
        </w:rPr>
        <w:t xml:space="preserve">اً </w:t>
      </w:r>
      <w:r w:rsidRPr="0027756C">
        <w:rPr>
          <w:rFonts w:eastAsiaTheme="minorEastAsia"/>
          <w:bCs/>
          <w:rtl/>
        </w:rPr>
        <w:t xml:space="preserve">للعمل مع الأحداث. </w:t>
      </w:r>
    </w:p>
    <w:p w14:paraId="38EA5A55" w14:textId="77777777" w:rsidR="00C06882" w:rsidRPr="00C06882" w:rsidRDefault="00C06882" w:rsidP="00623A13">
      <w:pPr>
        <w:pStyle w:val="H23GA"/>
        <w:rPr>
          <w:lang w:val="ar-SA" w:eastAsia="zh-TW" w:bidi="en-GB"/>
        </w:rPr>
      </w:pPr>
      <w:r w:rsidRPr="00C06882">
        <w:rPr>
          <w:rtl/>
        </w:rPr>
        <w:lastRenderedPageBreak/>
        <w:tab/>
      </w:r>
      <w:r w:rsidRPr="00C06882">
        <w:rPr>
          <w:rtl/>
        </w:rPr>
        <w:tab/>
        <w:t xml:space="preserve">معاملة الأشخاص المودعين مؤسسات الرعاية الاجتماعية ومؤسسات الطب النفسي </w:t>
      </w:r>
    </w:p>
    <w:p w14:paraId="11984ABF" w14:textId="168F8822" w:rsidR="00C06882" w:rsidRPr="00C06882" w:rsidRDefault="00C06882" w:rsidP="00C06882">
      <w:pPr>
        <w:pStyle w:val="SingleTxtGA"/>
        <w:rPr>
          <w:rFonts w:eastAsiaTheme="minorEastAsia"/>
          <w:lang w:eastAsia="zh-TW" w:bidi="en-GB"/>
        </w:rPr>
      </w:pPr>
      <w:r w:rsidRPr="0027756C">
        <w:rPr>
          <w:rFonts w:eastAsiaTheme="minorEastAsia"/>
          <w:rtl/>
        </w:rPr>
        <w:t>25</w:t>
      </w:r>
      <w:r w:rsidRPr="00C06882">
        <w:rPr>
          <w:rFonts w:eastAsiaTheme="minorEastAsia"/>
          <w:rtl/>
        </w:rPr>
        <w:t>-</w:t>
      </w:r>
      <w:r w:rsidRPr="00C06882">
        <w:rPr>
          <w:rFonts w:eastAsiaTheme="minorEastAsia"/>
          <w:rtl/>
        </w:rPr>
        <w:tab/>
        <w:t>تأسف اللجنة لعدم إحراز الدولة الطرف تقدماً في تبديد شواغل اللجنة السابقة</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11"/>
      </w:r>
      <w:r w:rsidR="00623A13" w:rsidRPr="0027756C">
        <w:rPr>
          <w:rStyle w:val="FootnoteReference"/>
          <w:rFonts w:eastAsiaTheme="minorEastAsia"/>
          <w:szCs w:val="22"/>
          <w:rtl/>
        </w:rPr>
        <w:t>)</w:t>
      </w:r>
      <w:r w:rsidRPr="00C06882">
        <w:rPr>
          <w:rFonts w:eastAsiaTheme="minorEastAsia"/>
          <w:rtl/>
        </w:rPr>
        <w:t xml:space="preserve"> إزاء حبس ذوي الإعاقات العقلية والنفسية-الاجتماعية غير الطوعي في مؤسسات الطب النفسي، وإنهاء إيداعهم مؤسسات الرعاية، واستمرار استخدام القيود. ويساور اللجنة قلق خاص إزاء أوضاع النساء ذوات الإعاقة في مؤسسات الرعاية اللواتي يتعرضن لعنف شديد دون اتخاذ أي تدابير لتوقّيه أو الحماية منه. ويساورها القلق أيضاً من سوء الأحوال المعيشية وعدم كفاية فرص الحصول على الرعاية الصحية والتعليم وإعادة التأهيل التي يعانيها الأطفال ذوو الإعاقة في مؤسسات الرعاية الذين يتعرضون لمعاملة قاسية ولا إنسانية ومهينة دون جبر الأضرار المترتبة عليها (المواد </w:t>
      </w:r>
      <w:r w:rsidRPr="0027756C">
        <w:rPr>
          <w:rFonts w:eastAsiaTheme="minorEastAsia"/>
          <w:rtl/>
        </w:rPr>
        <w:t>2</w:t>
      </w:r>
      <w:r w:rsidRPr="00C06882">
        <w:rPr>
          <w:rFonts w:eastAsiaTheme="minorEastAsia"/>
          <w:rtl/>
        </w:rPr>
        <w:t xml:space="preserve"> و</w:t>
      </w:r>
      <w:r w:rsidRPr="0027756C">
        <w:rPr>
          <w:rFonts w:eastAsiaTheme="minorEastAsia"/>
          <w:rtl/>
        </w:rPr>
        <w:t>11</w:t>
      </w:r>
      <w:r w:rsidRPr="00C06882">
        <w:rPr>
          <w:rFonts w:eastAsiaTheme="minorEastAsia"/>
          <w:rtl/>
        </w:rPr>
        <w:t xml:space="preserve"> و</w:t>
      </w:r>
      <w:r w:rsidRPr="0027756C">
        <w:rPr>
          <w:rFonts w:eastAsiaTheme="minorEastAsia"/>
          <w:rtl/>
        </w:rPr>
        <w:t>13</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1A782907" w14:textId="406BC8D0" w:rsidR="00C06882" w:rsidRPr="0027756C" w:rsidRDefault="00C06882" w:rsidP="00C06882">
      <w:pPr>
        <w:pStyle w:val="SingleTxtGA"/>
        <w:rPr>
          <w:rFonts w:eastAsiaTheme="minorEastAsia"/>
          <w:bCs/>
        </w:rPr>
      </w:pPr>
      <w:r w:rsidRPr="0027756C">
        <w:rPr>
          <w:rFonts w:eastAsiaTheme="minorEastAsia"/>
          <w:rtl/>
        </w:rPr>
        <w:t>26</w:t>
      </w:r>
      <w:r w:rsidRPr="00C06882">
        <w:rPr>
          <w:rFonts w:eastAsiaTheme="minorEastAsia"/>
          <w:rtl/>
        </w:rPr>
        <w:t>-</w:t>
      </w:r>
      <w:r w:rsidRPr="00C06882">
        <w:rPr>
          <w:rFonts w:eastAsiaTheme="minorEastAsia"/>
          <w:rtl/>
        </w:rPr>
        <w:tab/>
      </w:r>
      <w:r w:rsidRPr="0027756C">
        <w:rPr>
          <w:rFonts w:eastAsiaTheme="minorEastAsia"/>
          <w:bCs/>
          <w:rtl/>
        </w:rPr>
        <w:t>توصي اللجنة الدولة الطرف بما يلي، مذكّرةً بتوصياتها السابقة</w:t>
      </w:r>
      <w:r w:rsidR="00623A13" w:rsidRPr="0027756C">
        <w:rPr>
          <w:vertAlign w:val="superscript"/>
          <w:rtl/>
        </w:rPr>
        <w:t>(</w:t>
      </w:r>
      <w:r w:rsidR="00623A13" w:rsidRPr="00DA4793">
        <w:rPr>
          <w:vertAlign w:val="superscript"/>
          <w:lang w:val="en-US"/>
        </w:rPr>
        <w:footnoteReference w:id="12"/>
      </w:r>
      <w:r w:rsidR="00623A13" w:rsidRPr="0027756C">
        <w:rPr>
          <w:vertAlign w:val="superscript"/>
          <w:rtl/>
        </w:rPr>
        <w:t>)</w:t>
      </w:r>
      <w:r w:rsidRPr="0027756C">
        <w:rPr>
          <w:rFonts w:eastAsiaTheme="minorEastAsia"/>
          <w:bCs/>
          <w:rtl/>
        </w:rPr>
        <w:t>:</w:t>
      </w:r>
    </w:p>
    <w:p w14:paraId="0ECAA865" w14:textId="268594E9" w:rsidR="00C06882" w:rsidRPr="0027756C" w:rsidRDefault="00C06882" w:rsidP="00C06882">
      <w:pPr>
        <w:pStyle w:val="SingleTxtGA"/>
        <w:rPr>
          <w:rFonts w:eastAsiaTheme="minorEastAsia"/>
          <w:bCs/>
        </w:rPr>
      </w:pPr>
      <w:r w:rsidRPr="00C06882">
        <w:rPr>
          <w:rFonts w:eastAsiaTheme="minorEastAsia"/>
          <w:rtl/>
        </w:rPr>
        <w:tab/>
        <w:t>(أ)</w:t>
      </w:r>
      <w:r w:rsidRPr="00C06882">
        <w:rPr>
          <w:rFonts w:eastAsiaTheme="minorEastAsia"/>
          <w:rtl/>
        </w:rPr>
        <w:tab/>
      </w:r>
      <w:r w:rsidRPr="0027756C">
        <w:rPr>
          <w:rFonts w:eastAsiaTheme="minorEastAsia"/>
          <w:bCs/>
          <w:rtl/>
        </w:rPr>
        <w:t>التأكد من أن التشريعات الوطنية توفر ضمانات قانونية فعالة لجميع الأشخاص ذوي الإعاقات العقلية والنفسية</w:t>
      </w:r>
      <w:r w:rsidR="003F7CC4" w:rsidRPr="0027756C">
        <w:rPr>
          <w:rFonts w:eastAsiaTheme="minorEastAsia" w:hint="cs"/>
          <w:bCs/>
          <w:rtl/>
        </w:rPr>
        <w:t xml:space="preserve"> </w:t>
      </w:r>
      <w:r w:rsidRPr="0027756C">
        <w:rPr>
          <w:rFonts w:eastAsiaTheme="minorEastAsia"/>
          <w:bCs/>
          <w:rtl/>
        </w:rPr>
        <w:t>-</w:t>
      </w:r>
      <w:r w:rsidR="003F7CC4" w:rsidRPr="0027756C">
        <w:rPr>
          <w:rFonts w:eastAsiaTheme="minorEastAsia" w:hint="cs"/>
          <w:bCs/>
          <w:rtl/>
        </w:rPr>
        <w:t xml:space="preserve"> </w:t>
      </w:r>
      <w:r w:rsidRPr="0027756C">
        <w:rPr>
          <w:rFonts w:eastAsiaTheme="minorEastAsia"/>
          <w:bCs/>
          <w:rtl/>
        </w:rPr>
        <w:t>الاجتماعية فيما يخص الإيداع في المستشفيات غير الطوعي، بما في ذلك آلية للشكوى والمراجعة القضائية الفعالة، وكذلك العلاج النفساني والطبي غير الطوعي في مؤسسات الطب النفسي، بما في ذلك ما يخص التنظيم الصارم لاستخدام المثبطات الكيميائية وتقييد</w:t>
      </w:r>
      <w:r w:rsidR="003F7CC4" w:rsidRPr="0027756C">
        <w:rPr>
          <w:rFonts w:eastAsiaTheme="minorEastAsia" w:hint="cs"/>
          <w:bCs/>
          <w:rtl/>
        </w:rPr>
        <w:t> </w:t>
      </w:r>
      <w:r w:rsidRPr="0027756C">
        <w:rPr>
          <w:rFonts w:eastAsiaTheme="minorEastAsia"/>
          <w:bCs/>
          <w:rtl/>
        </w:rPr>
        <w:t>الحركة؛</w:t>
      </w:r>
    </w:p>
    <w:p w14:paraId="0FAADCAC" w14:textId="2BA92B0B" w:rsidR="00C06882" w:rsidRPr="0027756C" w:rsidRDefault="00C06882" w:rsidP="00C06882">
      <w:pPr>
        <w:pStyle w:val="SingleTxtGA"/>
        <w:rPr>
          <w:rFonts w:eastAsiaTheme="minorEastAsia"/>
          <w:bCs/>
        </w:rPr>
      </w:pPr>
      <w:r w:rsidRPr="00C06882">
        <w:rPr>
          <w:rFonts w:eastAsiaTheme="minorEastAsia"/>
          <w:rtl/>
        </w:rPr>
        <w:tab/>
        <w:t>(ب</w:t>
      </w:r>
      <w:r w:rsidRPr="0027756C">
        <w:rPr>
          <w:rFonts w:eastAsiaTheme="minorEastAsia"/>
          <w:b/>
          <w:rtl/>
        </w:rPr>
        <w:t>)</w:t>
      </w:r>
      <w:r w:rsidR="00623A13" w:rsidRPr="0027756C">
        <w:rPr>
          <w:rFonts w:eastAsiaTheme="minorEastAsia"/>
          <w:bCs/>
          <w:rtl/>
        </w:rPr>
        <w:tab/>
      </w:r>
      <w:r w:rsidRPr="0027756C">
        <w:rPr>
          <w:rFonts w:eastAsiaTheme="minorEastAsia"/>
          <w:bCs/>
          <w:rtl/>
        </w:rPr>
        <w:t>ضمان توفير القدرات</w:t>
      </w:r>
      <w:r w:rsidR="001C6DB3" w:rsidRPr="0027756C">
        <w:rPr>
          <w:rFonts w:eastAsiaTheme="minorEastAsia" w:hint="cs"/>
          <w:bCs/>
          <w:rtl/>
        </w:rPr>
        <w:t xml:space="preserve"> </w:t>
      </w:r>
      <w:r w:rsidRPr="0027756C">
        <w:rPr>
          <w:rFonts w:eastAsiaTheme="minorEastAsia"/>
          <w:bCs/>
          <w:rtl/>
        </w:rPr>
        <w:t>للآلية الوقائية الوطنية على إجراء زيارات منتظمة ومفاجئة إلى مؤسسات الرعاية النفسية وغيرها من مؤسسات الرعاية الاجتماعية دون أي قيود؛</w:t>
      </w:r>
    </w:p>
    <w:p w14:paraId="28E06BE2" w14:textId="07897DBD" w:rsidR="00C06882" w:rsidRPr="0027756C" w:rsidRDefault="00C06882" w:rsidP="00C06882">
      <w:pPr>
        <w:pStyle w:val="SingleTxtGA"/>
        <w:rPr>
          <w:rFonts w:eastAsiaTheme="minorEastAsia"/>
          <w:bCs/>
        </w:rPr>
      </w:pPr>
      <w:r w:rsidRPr="00C06882">
        <w:rPr>
          <w:rFonts w:eastAsiaTheme="minorEastAsia"/>
          <w:rtl/>
        </w:rPr>
        <w:tab/>
        <w:t>(ج)</w:t>
      </w:r>
      <w:r w:rsidRPr="00C06882">
        <w:rPr>
          <w:rFonts w:eastAsiaTheme="minorEastAsia"/>
          <w:rtl/>
        </w:rPr>
        <w:tab/>
      </w:r>
      <w:r w:rsidRPr="0027756C">
        <w:rPr>
          <w:rFonts w:eastAsiaTheme="minorEastAsia"/>
          <w:bCs/>
          <w:rtl/>
        </w:rPr>
        <w:t>التحقيق في جميع الشكاوى المتعلقة بإساءة معاملة ذوي الإعاقات العقلية والنفسية</w:t>
      </w:r>
      <w:r w:rsidR="005963F9" w:rsidRPr="0027756C">
        <w:rPr>
          <w:rFonts w:eastAsiaTheme="minorEastAsia" w:hint="eastAsia"/>
          <w:bCs/>
          <w:rtl/>
        </w:rPr>
        <w:t> </w:t>
      </w:r>
      <w:r w:rsidRPr="0027756C">
        <w:rPr>
          <w:rFonts w:eastAsiaTheme="minorEastAsia"/>
          <w:bCs/>
          <w:rtl/>
        </w:rPr>
        <w:t>-</w:t>
      </w:r>
      <w:r w:rsidR="005963F9" w:rsidRPr="0027756C">
        <w:rPr>
          <w:rFonts w:eastAsiaTheme="minorEastAsia" w:hint="cs"/>
          <w:bCs/>
          <w:rtl/>
        </w:rPr>
        <w:t xml:space="preserve"> </w:t>
      </w:r>
      <w:r w:rsidRPr="0027756C">
        <w:rPr>
          <w:rFonts w:eastAsiaTheme="minorEastAsia"/>
          <w:bCs/>
          <w:rtl/>
        </w:rPr>
        <w:t>الاجتماعية، بمن فيهم الأطفال والأشخاص المودَعون مؤسسات للطب النفسي، بصورة فعالة وفورية ونزيهة وتقديم الجناة إلى العدالة وجبر أضرار الضحايا؛</w:t>
      </w:r>
    </w:p>
    <w:p w14:paraId="449775D3" w14:textId="77777777" w:rsidR="00C06882" w:rsidRPr="0027756C" w:rsidRDefault="00C06882" w:rsidP="00C06882">
      <w:pPr>
        <w:pStyle w:val="SingleTxtGA"/>
        <w:rPr>
          <w:rFonts w:eastAsiaTheme="minorEastAsia"/>
          <w:bCs/>
        </w:rPr>
      </w:pPr>
      <w:r w:rsidRPr="00C06882">
        <w:rPr>
          <w:rFonts w:eastAsiaTheme="minorEastAsia"/>
          <w:rtl/>
        </w:rPr>
        <w:tab/>
        <w:t>(د)</w:t>
      </w:r>
      <w:r w:rsidRPr="00C06882">
        <w:rPr>
          <w:rFonts w:eastAsiaTheme="minorEastAsia"/>
          <w:rtl/>
        </w:rPr>
        <w:tab/>
      </w:r>
      <w:r w:rsidRPr="0027756C">
        <w:rPr>
          <w:rFonts w:eastAsiaTheme="minorEastAsia"/>
          <w:bCs/>
          <w:rtl/>
        </w:rPr>
        <w:t>ضمان كفاية خدمات الصحة العقلية في المجتمعات المحلية وتمويلها كما يجب.</w:t>
      </w:r>
    </w:p>
    <w:p w14:paraId="018FE664" w14:textId="77777777" w:rsidR="00C06882" w:rsidRPr="00C06882" w:rsidRDefault="00C06882" w:rsidP="00623A13">
      <w:pPr>
        <w:pStyle w:val="H23GA"/>
        <w:rPr>
          <w:lang w:eastAsia="zh-TW" w:bidi="en-GB"/>
        </w:rPr>
      </w:pPr>
      <w:r w:rsidRPr="00C06882">
        <w:rPr>
          <w:rtl/>
        </w:rPr>
        <w:tab/>
      </w:r>
      <w:r w:rsidRPr="00C06882">
        <w:rPr>
          <w:rtl/>
        </w:rPr>
        <w:tab/>
        <w:t xml:space="preserve">التعاون القضائي الدولي </w:t>
      </w:r>
    </w:p>
    <w:p w14:paraId="0886296D" w14:textId="77777777" w:rsidR="00C06882" w:rsidRPr="00C06882" w:rsidRDefault="00C06882" w:rsidP="00C06882">
      <w:pPr>
        <w:pStyle w:val="SingleTxtGA"/>
        <w:rPr>
          <w:rFonts w:eastAsiaTheme="minorEastAsia"/>
          <w:lang w:val="ar-SA" w:eastAsia="zh-TW" w:bidi="en-GB"/>
        </w:rPr>
      </w:pPr>
      <w:r w:rsidRPr="0027756C">
        <w:rPr>
          <w:rFonts w:eastAsiaTheme="minorEastAsia"/>
          <w:rtl/>
        </w:rPr>
        <w:t>27</w:t>
      </w:r>
      <w:r w:rsidRPr="00C06882">
        <w:rPr>
          <w:rFonts w:eastAsiaTheme="minorEastAsia"/>
          <w:rtl/>
        </w:rPr>
        <w:t>-</w:t>
      </w:r>
      <w:r w:rsidRPr="00C06882">
        <w:rPr>
          <w:rFonts w:eastAsiaTheme="minorEastAsia"/>
          <w:rtl/>
        </w:rPr>
        <w:tab/>
        <w:t xml:space="preserve">يساور اللجنة القلق لكون الدولة الطرف ترفض تسليم المشتبه في ارتكابهم جرائم تعذيب، وهي بطيئة في التحقيق في هذه الادعاءات، ومقاضاة الجناة. وتلاحظ عدم اتخاذ الدولة الطرف إجراء لامتثال أمرِ التسليم الصادر عن الآلية الدولية لتصريف الأعمال المتبقية للمحكمتين الجنائيتين في قضية </w:t>
      </w:r>
      <w:proofErr w:type="spellStart"/>
      <w:r w:rsidRPr="00C06882">
        <w:rPr>
          <w:rFonts w:eastAsiaTheme="minorEastAsia"/>
          <w:rtl/>
        </w:rPr>
        <w:t>بيتار</w:t>
      </w:r>
      <w:proofErr w:type="spellEnd"/>
      <w:r w:rsidRPr="00C06882">
        <w:rPr>
          <w:rFonts w:eastAsiaTheme="minorEastAsia"/>
          <w:rtl/>
        </w:rPr>
        <w:t xml:space="preserve"> </w:t>
      </w:r>
      <w:proofErr w:type="spellStart"/>
      <w:r w:rsidRPr="00C06882">
        <w:rPr>
          <w:rFonts w:eastAsiaTheme="minorEastAsia"/>
          <w:rtl/>
        </w:rPr>
        <w:t>يويتش</w:t>
      </w:r>
      <w:proofErr w:type="spellEnd"/>
      <w:r w:rsidRPr="00C06882">
        <w:rPr>
          <w:rFonts w:eastAsiaTheme="minorEastAsia"/>
          <w:rtl/>
        </w:rPr>
        <w:t xml:space="preserve"> </w:t>
      </w:r>
      <w:proofErr w:type="spellStart"/>
      <w:r w:rsidRPr="00C06882">
        <w:rPr>
          <w:rFonts w:eastAsiaTheme="minorEastAsia"/>
          <w:rtl/>
        </w:rPr>
        <w:t>وفيريكا</w:t>
      </w:r>
      <w:proofErr w:type="spellEnd"/>
      <w:r w:rsidRPr="00C06882">
        <w:rPr>
          <w:rFonts w:eastAsiaTheme="minorEastAsia"/>
          <w:rtl/>
        </w:rPr>
        <w:t xml:space="preserve"> </w:t>
      </w:r>
      <w:proofErr w:type="spellStart"/>
      <w:r w:rsidRPr="00C06882">
        <w:rPr>
          <w:rFonts w:eastAsiaTheme="minorEastAsia"/>
          <w:rtl/>
        </w:rPr>
        <w:t>راديتا</w:t>
      </w:r>
      <w:proofErr w:type="spellEnd"/>
      <w:r w:rsidRPr="00C06882">
        <w:rPr>
          <w:rFonts w:eastAsiaTheme="minorEastAsia"/>
          <w:rtl/>
        </w:rPr>
        <w:t xml:space="preserve">، الأمر الذي يؤثر سلباً في تعاونها مع الآلية (المواد </w:t>
      </w:r>
      <w:r w:rsidRPr="0027756C">
        <w:rPr>
          <w:rFonts w:eastAsiaTheme="minorEastAsia"/>
          <w:rtl/>
        </w:rPr>
        <w:t>5</w:t>
      </w:r>
      <w:r w:rsidRPr="00C06882">
        <w:rPr>
          <w:rFonts w:eastAsiaTheme="minorEastAsia"/>
          <w:rtl/>
        </w:rPr>
        <w:t xml:space="preserve"> و</w:t>
      </w:r>
      <w:r w:rsidRPr="0027756C">
        <w:rPr>
          <w:rFonts w:eastAsiaTheme="minorEastAsia"/>
          <w:rtl/>
        </w:rPr>
        <w:t>7</w:t>
      </w:r>
      <w:r w:rsidRPr="00C06882">
        <w:rPr>
          <w:rFonts w:eastAsiaTheme="minorEastAsia"/>
          <w:rtl/>
        </w:rPr>
        <w:t xml:space="preserve"> و</w:t>
      </w:r>
      <w:r w:rsidRPr="0027756C">
        <w:rPr>
          <w:rFonts w:eastAsiaTheme="minorEastAsia"/>
          <w:rtl/>
        </w:rPr>
        <w:t>8</w:t>
      </w:r>
      <w:r w:rsidRPr="00C06882">
        <w:rPr>
          <w:rFonts w:eastAsiaTheme="minorEastAsia"/>
          <w:rtl/>
        </w:rPr>
        <w:t>).</w:t>
      </w:r>
    </w:p>
    <w:p w14:paraId="1DEFFCB0" w14:textId="2EE3A2F7" w:rsidR="00C06882" w:rsidRPr="001C6DB3" w:rsidRDefault="00C06882" w:rsidP="00C06882">
      <w:pPr>
        <w:pStyle w:val="SingleTxtGA"/>
        <w:rPr>
          <w:rFonts w:eastAsiaTheme="minorEastAsia"/>
          <w:bCs/>
          <w:lang w:eastAsia="zh-TW" w:bidi="en-GB"/>
        </w:rPr>
      </w:pPr>
      <w:r w:rsidRPr="0027756C">
        <w:rPr>
          <w:rFonts w:eastAsiaTheme="minorEastAsia"/>
          <w:rtl/>
        </w:rPr>
        <w:t>28</w:t>
      </w:r>
      <w:r w:rsidRPr="00C06882">
        <w:rPr>
          <w:rFonts w:eastAsiaTheme="minorEastAsia"/>
          <w:rtl/>
        </w:rPr>
        <w:t>-</w:t>
      </w:r>
      <w:r w:rsidRPr="00C06882">
        <w:rPr>
          <w:rFonts w:eastAsiaTheme="minorEastAsia"/>
          <w:rtl/>
        </w:rPr>
        <w:tab/>
      </w:r>
      <w:r w:rsidRPr="0027756C">
        <w:rPr>
          <w:rFonts w:eastAsiaTheme="minorEastAsia"/>
          <w:bCs/>
          <w:rtl/>
        </w:rPr>
        <w:t>ينبغي أن تكفل الدولة الطرف تقديم جميع المشتبه في</w:t>
      </w:r>
      <w:r w:rsidR="00623A13" w:rsidRPr="0027756C">
        <w:rPr>
          <w:rFonts w:eastAsiaTheme="minorEastAsia"/>
          <w:bCs/>
          <w:rtl/>
        </w:rPr>
        <w:t xml:space="preserve"> </w:t>
      </w:r>
      <w:r w:rsidRPr="0027756C">
        <w:rPr>
          <w:rFonts w:eastAsiaTheme="minorEastAsia"/>
          <w:bCs/>
          <w:rtl/>
        </w:rPr>
        <w:t>تورطهم في جرائم حرب وجرائم ضد الإنسانية أو في ارتكابهم هذه الجرائم إلى العدالة، بمن فيهم كبار مسؤولي الشرطة، والأفراد العسكريون، والمسؤولون السياسيون.</w:t>
      </w:r>
      <w:r w:rsidRPr="001C6DB3">
        <w:rPr>
          <w:rFonts w:eastAsiaTheme="minorEastAsia"/>
          <w:bCs/>
          <w:rtl/>
        </w:rPr>
        <w:t xml:space="preserve"> </w:t>
      </w:r>
      <w:r w:rsidRPr="0027756C">
        <w:rPr>
          <w:rFonts w:eastAsiaTheme="minorEastAsia"/>
          <w:bCs/>
          <w:rtl/>
        </w:rPr>
        <w:t>وينبغي أيضاً إما أن تسلّم المتهمين بارتكاب</w:t>
      </w:r>
      <w:r w:rsidR="00623A13" w:rsidRPr="0027756C">
        <w:rPr>
          <w:rFonts w:eastAsiaTheme="minorEastAsia"/>
          <w:bCs/>
          <w:rtl/>
        </w:rPr>
        <w:t xml:space="preserve"> </w:t>
      </w:r>
      <w:r w:rsidRPr="0027756C">
        <w:rPr>
          <w:rFonts w:eastAsiaTheme="minorEastAsia"/>
          <w:bCs/>
          <w:rtl/>
        </w:rPr>
        <w:t>جريمة التعذيب وسوء المعاملة إلى دولة لها ولاية قضائية على هذه الجريمة أو إلى محكمة جنائية دولية، وفقاً لالتزاماتها الدولية، أو تقاضيهم، امتثالاً لأحكام الاتفاقية.</w:t>
      </w:r>
    </w:p>
    <w:p w14:paraId="1ABDB2DC" w14:textId="77777777" w:rsidR="00C06882" w:rsidRPr="00C06882" w:rsidRDefault="00C06882" w:rsidP="00623A13">
      <w:pPr>
        <w:pStyle w:val="H23GA"/>
        <w:rPr>
          <w:lang w:eastAsia="zh-TW" w:bidi="en-GB"/>
        </w:rPr>
      </w:pPr>
      <w:r w:rsidRPr="00C06882">
        <w:rPr>
          <w:rtl/>
        </w:rPr>
        <w:lastRenderedPageBreak/>
        <w:tab/>
      </w:r>
      <w:r w:rsidRPr="00C06882">
        <w:rPr>
          <w:rtl/>
        </w:rPr>
        <w:tab/>
        <w:t>الجبر والتعويض</w:t>
      </w:r>
    </w:p>
    <w:p w14:paraId="7A83659E" w14:textId="2ECEFF41" w:rsidR="00C06882" w:rsidRPr="00C06882" w:rsidRDefault="00C06882" w:rsidP="00C06882">
      <w:pPr>
        <w:pStyle w:val="SingleTxtGA"/>
        <w:rPr>
          <w:rFonts w:eastAsiaTheme="minorEastAsia"/>
          <w:lang w:val="ar-SA" w:eastAsia="zh-TW" w:bidi="en-GB"/>
        </w:rPr>
      </w:pPr>
      <w:r w:rsidRPr="0027756C">
        <w:rPr>
          <w:rFonts w:eastAsiaTheme="minorEastAsia"/>
          <w:rtl/>
        </w:rPr>
        <w:t>29</w:t>
      </w:r>
      <w:r w:rsidRPr="00C06882">
        <w:rPr>
          <w:rFonts w:eastAsiaTheme="minorEastAsia"/>
          <w:rtl/>
        </w:rPr>
        <w:t>-</w:t>
      </w:r>
      <w:r w:rsidRPr="00C06882">
        <w:rPr>
          <w:rFonts w:eastAsiaTheme="minorEastAsia"/>
          <w:rtl/>
        </w:rPr>
        <w:tab/>
        <w:t>ترحب اللجنة بإنشاء أفرقة عاملة لتحسين توزيع التعويضات على ضحايا الجرائم الخطيرة ولصون حقوق ضحايا الجرائم والشهود عليها، لكنها تأسف لعدم تقديم تفاصيل إليها عن نتائج هذه المبادرات. وتأسف أيض</w:t>
      </w:r>
      <w:r w:rsidR="003F7CC4">
        <w:rPr>
          <w:rFonts w:eastAsiaTheme="minorEastAsia"/>
          <w:rtl/>
        </w:rPr>
        <w:t xml:space="preserve">اً </w:t>
      </w:r>
      <w:r w:rsidRPr="00C06882">
        <w:rPr>
          <w:rFonts w:eastAsiaTheme="minorEastAsia"/>
          <w:rtl/>
        </w:rPr>
        <w:t>لكون الدولة الطرف لم تذكر ما إن كان أعيد تأهيل ضحايا التعذيب طبي</w:t>
      </w:r>
      <w:r w:rsidR="003F7CC4">
        <w:rPr>
          <w:rFonts w:eastAsiaTheme="minorEastAsia"/>
          <w:rtl/>
        </w:rPr>
        <w:t xml:space="preserve">اً </w:t>
      </w:r>
      <w:r w:rsidRPr="00C06882">
        <w:rPr>
          <w:rFonts w:eastAsiaTheme="minorEastAsia"/>
          <w:rtl/>
        </w:rPr>
        <w:t>أو</w:t>
      </w:r>
      <w:r w:rsidR="003F7CC4">
        <w:rPr>
          <w:rFonts w:eastAsiaTheme="minorEastAsia" w:hint="cs"/>
          <w:rtl/>
        </w:rPr>
        <w:t> </w:t>
      </w:r>
      <w:r w:rsidRPr="00C06882">
        <w:rPr>
          <w:rFonts w:eastAsiaTheme="minorEastAsia"/>
          <w:rtl/>
        </w:rPr>
        <w:t>نفسياً</w:t>
      </w:r>
      <w:r w:rsidR="003F7CC4">
        <w:rPr>
          <w:rFonts w:eastAsiaTheme="minorEastAsia" w:hint="cs"/>
          <w:rtl/>
        </w:rPr>
        <w:t xml:space="preserve"> </w:t>
      </w:r>
      <w:r w:rsidRPr="00C06882">
        <w:rPr>
          <w:rFonts w:eastAsiaTheme="minorEastAsia"/>
          <w:rtl/>
        </w:rPr>
        <w:t>-</w:t>
      </w:r>
      <w:r w:rsidR="003F7CC4">
        <w:rPr>
          <w:rFonts w:eastAsiaTheme="minorEastAsia" w:hint="cs"/>
          <w:rtl/>
        </w:rPr>
        <w:t xml:space="preserve"> </w:t>
      </w:r>
      <w:r w:rsidRPr="00C06882">
        <w:rPr>
          <w:rFonts w:eastAsiaTheme="minorEastAsia"/>
          <w:rtl/>
        </w:rPr>
        <w:t xml:space="preserve">اجتماعياً. ويساورها القلق لكون الدولة الطرف لم تقدم تفاصيل عن جبر ضحايا من أدانتهم المحكمة الدولية الجنائية ليوغوسلافيا السابقة أو الآلية الدولية لتصريف الأعمال المتبقية للمحكمتين الجنائيتين وتعويضهم (المادتان </w:t>
      </w:r>
      <w:r w:rsidRPr="0027756C">
        <w:rPr>
          <w:rFonts w:eastAsiaTheme="minorEastAsia"/>
          <w:rtl/>
        </w:rPr>
        <w:t>2</w:t>
      </w:r>
      <w:r w:rsidRPr="00C06882">
        <w:rPr>
          <w:rFonts w:eastAsiaTheme="minorEastAsia"/>
          <w:rtl/>
        </w:rPr>
        <w:t xml:space="preserve"> و</w:t>
      </w:r>
      <w:r w:rsidRPr="0027756C">
        <w:rPr>
          <w:rFonts w:eastAsiaTheme="minorEastAsia"/>
          <w:rtl/>
        </w:rPr>
        <w:t>14</w:t>
      </w:r>
      <w:r w:rsidRPr="00C06882">
        <w:rPr>
          <w:rFonts w:eastAsiaTheme="minorEastAsia"/>
          <w:rtl/>
        </w:rPr>
        <w:t>).</w:t>
      </w:r>
    </w:p>
    <w:p w14:paraId="1DDE4FBB" w14:textId="56F09A9C" w:rsidR="00C06882" w:rsidRPr="001C6DB3" w:rsidRDefault="00C06882" w:rsidP="00C06882">
      <w:pPr>
        <w:pStyle w:val="SingleTxtGA"/>
        <w:rPr>
          <w:rFonts w:eastAsiaTheme="minorEastAsia"/>
          <w:bCs/>
          <w:lang w:eastAsia="zh-TW" w:bidi="en-GB"/>
        </w:rPr>
      </w:pPr>
      <w:r w:rsidRPr="0027756C">
        <w:rPr>
          <w:rFonts w:eastAsiaTheme="minorEastAsia"/>
          <w:rtl/>
        </w:rPr>
        <w:t>30</w:t>
      </w:r>
      <w:r w:rsidRPr="00C06882">
        <w:rPr>
          <w:rFonts w:eastAsiaTheme="minorEastAsia"/>
          <w:rtl/>
        </w:rPr>
        <w:t>-</w:t>
      </w:r>
      <w:r w:rsidRPr="00C06882">
        <w:rPr>
          <w:rFonts w:eastAsiaTheme="minorEastAsia"/>
          <w:rtl/>
        </w:rPr>
        <w:tab/>
      </w:r>
      <w:r w:rsidRPr="0027756C">
        <w:rPr>
          <w:rFonts w:eastAsiaTheme="minorEastAsia"/>
          <w:bCs/>
          <w:rtl/>
        </w:rPr>
        <w:t>إذ تذكّر اللجنة بتعليقها العام رقم 3(2012) بشأن تنفيذ المادة 14، تحث الدولة الطرف على اتخاذ جميع التدابير اللازمة لتمكين ضحايا التعذيب وسوء المعاملة المرتكبَين داخل الدولة الطرف أو</w:t>
      </w:r>
      <w:r w:rsidR="003F7CC4" w:rsidRPr="0027756C">
        <w:rPr>
          <w:rFonts w:eastAsiaTheme="minorEastAsia" w:hint="cs"/>
          <w:bCs/>
          <w:rtl/>
        </w:rPr>
        <w:t> </w:t>
      </w:r>
      <w:r w:rsidRPr="0027756C">
        <w:rPr>
          <w:rFonts w:eastAsiaTheme="minorEastAsia"/>
          <w:bCs/>
          <w:rtl/>
        </w:rPr>
        <w:t>خارجها من الحصول على جبر كامل وفعال بوسائل منها إعادة التأهيل والرعاية المعدّة خصيصاً لتلبية احتياجاتهم.</w:t>
      </w:r>
      <w:r w:rsidRPr="001C6DB3">
        <w:rPr>
          <w:rFonts w:eastAsiaTheme="minorEastAsia"/>
          <w:bCs/>
          <w:rtl/>
        </w:rPr>
        <w:t xml:space="preserve"> </w:t>
      </w:r>
      <w:r w:rsidRPr="0027756C">
        <w:rPr>
          <w:rFonts w:eastAsiaTheme="minorEastAsia"/>
          <w:bCs/>
          <w:rtl/>
        </w:rPr>
        <w:t>وينبغي أن تجمع الدولة الطرف معلومات عن تدابير الجبر والتعويض، بما في ذلك وسائل إعادة التأهيل، بأمرٍ من المحاكم أو هيئات الدولة الأخرى والممنوحة بالفعل لضحايا التعذيب أو</w:t>
      </w:r>
      <w:r w:rsidR="003F7CC4" w:rsidRPr="0027756C">
        <w:rPr>
          <w:rFonts w:eastAsiaTheme="minorEastAsia" w:hint="cs"/>
          <w:bCs/>
          <w:rtl/>
        </w:rPr>
        <w:t> </w:t>
      </w:r>
      <w:r w:rsidRPr="0027756C">
        <w:rPr>
          <w:rFonts w:eastAsiaTheme="minorEastAsia"/>
          <w:bCs/>
          <w:rtl/>
        </w:rPr>
        <w:t>سوء المعاملة وإمداد اللجنة بها.</w:t>
      </w:r>
    </w:p>
    <w:p w14:paraId="74A57566" w14:textId="77777777" w:rsidR="00C06882" w:rsidRPr="00C06882" w:rsidRDefault="00C06882" w:rsidP="00623A13">
      <w:pPr>
        <w:pStyle w:val="H23GA"/>
        <w:rPr>
          <w:lang w:val="ar-SA" w:eastAsia="zh-TW" w:bidi="en-GB"/>
        </w:rPr>
      </w:pPr>
      <w:r w:rsidRPr="00C06882">
        <w:rPr>
          <w:rtl/>
        </w:rPr>
        <w:tab/>
      </w:r>
      <w:r w:rsidRPr="00C06882">
        <w:rPr>
          <w:rtl/>
        </w:rPr>
        <w:tab/>
        <w:t>حالات الإبعاد القسري والضمانات الدبلوماسية</w:t>
      </w:r>
    </w:p>
    <w:p w14:paraId="0A95BA4D" w14:textId="604E4B0B" w:rsidR="00C06882" w:rsidRPr="00C06882" w:rsidRDefault="00C06882" w:rsidP="00C06882">
      <w:pPr>
        <w:pStyle w:val="SingleTxtGA"/>
        <w:rPr>
          <w:rFonts w:eastAsiaTheme="minorEastAsia"/>
          <w:lang w:eastAsia="zh-TW" w:bidi="en-GB"/>
        </w:rPr>
      </w:pPr>
      <w:r w:rsidRPr="0027756C">
        <w:rPr>
          <w:rFonts w:eastAsiaTheme="minorEastAsia"/>
          <w:rtl/>
        </w:rPr>
        <w:t>31</w:t>
      </w:r>
      <w:r w:rsidRPr="00C06882">
        <w:rPr>
          <w:rFonts w:eastAsiaTheme="minorEastAsia"/>
          <w:rtl/>
        </w:rPr>
        <w:t>-</w:t>
      </w:r>
      <w:r w:rsidRPr="00C06882">
        <w:rPr>
          <w:rFonts w:eastAsiaTheme="minorEastAsia"/>
          <w:rtl/>
        </w:rPr>
        <w:tab/>
        <w:t xml:space="preserve">تذكّر اللجنة بقرارها الصادر في عام </w:t>
      </w:r>
      <w:r w:rsidRPr="0027756C">
        <w:rPr>
          <w:rFonts w:eastAsiaTheme="minorEastAsia"/>
          <w:rtl/>
        </w:rPr>
        <w:t>2019</w:t>
      </w:r>
      <w:r w:rsidRPr="00C06882">
        <w:rPr>
          <w:rFonts w:eastAsiaTheme="minorEastAsia"/>
          <w:rtl/>
        </w:rPr>
        <w:t xml:space="preserve"> بشأن بلاغ فردي قدمه جودت </w:t>
      </w:r>
      <w:proofErr w:type="spellStart"/>
      <w:r w:rsidRPr="00C06882">
        <w:rPr>
          <w:rFonts w:eastAsiaTheme="minorEastAsia"/>
          <w:rtl/>
        </w:rPr>
        <w:t>أياز</w:t>
      </w:r>
      <w:proofErr w:type="spellEnd"/>
      <w:r w:rsidRPr="00C06882">
        <w:rPr>
          <w:rFonts w:eastAsiaTheme="minorEastAsia"/>
          <w:rtl/>
        </w:rPr>
        <w:t xml:space="preserve"> خلصت فيه إلى أن صربيا انتهكت المادتين </w:t>
      </w:r>
      <w:r w:rsidRPr="0027756C">
        <w:rPr>
          <w:rFonts w:eastAsiaTheme="minorEastAsia"/>
          <w:rtl/>
        </w:rPr>
        <w:t>3</w:t>
      </w:r>
      <w:r w:rsidRPr="00C06882">
        <w:rPr>
          <w:rFonts w:eastAsiaTheme="minorEastAsia"/>
          <w:rtl/>
        </w:rPr>
        <w:t xml:space="preserve"> و</w:t>
      </w:r>
      <w:r w:rsidRPr="0027756C">
        <w:rPr>
          <w:rFonts w:eastAsiaTheme="minorEastAsia"/>
          <w:rtl/>
        </w:rPr>
        <w:t>22</w:t>
      </w:r>
      <w:r w:rsidRPr="00C06882">
        <w:rPr>
          <w:rFonts w:eastAsiaTheme="minorEastAsia"/>
          <w:rtl/>
        </w:rPr>
        <w:t xml:space="preserve"> من الاتفاقية عندما سُلم السيد </w:t>
      </w:r>
      <w:proofErr w:type="spellStart"/>
      <w:r w:rsidRPr="00C06882">
        <w:rPr>
          <w:rFonts w:eastAsiaTheme="minorEastAsia"/>
          <w:rtl/>
        </w:rPr>
        <w:t>أياز</w:t>
      </w:r>
      <w:proofErr w:type="spellEnd"/>
      <w:r w:rsidRPr="00C06882">
        <w:rPr>
          <w:rFonts w:eastAsiaTheme="minorEastAsia"/>
          <w:rtl/>
        </w:rPr>
        <w:t xml:space="preserve"> إلى تركيا دون وجه حق</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13"/>
      </w:r>
      <w:r w:rsidR="00623A13" w:rsidRPr="0027756C">
        <w:rPr>
          <w:rStyle w:val="FootnoteReference"/>
          <w:rFonts w:eastAsiaTheme="minorEastAsia"/>
          <w:szCs w:val="22"/>
          <w:rtl/>
        </w:rPr>
        <w:t>)</w:t>
      </w:r>
      <w:r w:rsidRPr="00C06882">
        <w:rPr>
          <w:rFonts w:eastAsiaTheme="minorEastAsia"/>
          <w:rtl/>
        </w:rPr>
        <w:t xml:space="preserve">. وتأسف لعدم إحراز الدولة الطرف تقدماً في إجراء رصد حالة صاحب الشكوى بعد الطرد رصداً شاملاً وتوفير الجبر له (المواد </w:t>
      </w:r>
      <w:r w:rsidRPr="0027756C">
        <w:rPr>
          <w:rFonts w:eastAsiaTheme="minorEastAsia"/>
          <w:rtl/>
        </w:rPr>
        <w:t>2</w:t>
      </w:r>
      <w:r w:rsidRPr="00C06882">
        <w:rPr>
          <w:rFonts w:eastAsiaTheme="minorEastAsia"/>
          <w:rtl/>
        </w:rPr>
        <w:t xml:space="preserve"> و</w:t>
      </w:r>
      <w:r w:rsidRPr="0027756C">
        <w:rPr>
          <w:rFonts w:eastAsiaTheme="minorEastAsia"/>
          <w:rtl/>
        </w:rPr>
        <w:t>3</w:t>
      </w:r>
      <w:r w:rsidRPr="00C06882">
        <w:rPr>
          <w:rFonts w:eastAsiaTheme="minorEastAsia"/>
          <w:rtl/>
        </w:rPr>
        <w:t xml:space="preserve"> و</w:t>
      </w:r>
      <w:r w:rsidRPr="0027756C">
        <w:rPr>
          <w:rFonts w:eastAsiaTheme="minorEastAsia"/>
          <w:rtl/>
        </w:rPr>
        <w:t>12</w:t>
      </w:r>
      <w:r w:rsidRPr="00C06882">
        <w:rPr>
          <w:rFonts w:eastAsiaTheme="minorEastAsia"/>
          <w:rtl/>
        </w:rPr>
        <w:t xml:space="preserve"> و</w:t>
      </w:r>
      <w:r w:rsidRPr="0027756C">
        <w:rPr>
          <w:rFonts w:eastAsiaTheme="minorEastAsia"/>
          <w:rtl/>
        </w:rPr>
        <w:t>13</w:t>
      </w:r>
      <w:r w:rsidRPr="00C06882">
        <w:rPr>
          <w:rFonts w:eastAsiaTheme="minorEastAsia"/>
          <w:rtl/>
        </w:rPr>
        <w:t>).</w:t>
      </w:r>
    </w:p>
    <w:p w14:paraId="2D18D359" w14:textId="1C3D7D6F" w:rsidR="00C06882" w:rsidRPr="001C6DB3" w:rsidRDefault="00C06882" w:rsidP="00C06882">
      <w:pPr>
        <w:pStyle w:val="SingleTxtGA"/>
        <w:rPr>
          <w:rFonts w:eastAsiaTheme="minorEastAsia"/>
          <w:bCs/>
          <w:lang w:val="ar-SA" w:eastAsia="zh-TW" w:bidi="en-GB"/>
        </w:rPr>
      </w:pPr>
      <w:r w:rsidRPr="0027756C">
        <w:rPr>
          <w:rFonts w:eastAsiaTheme="minorEastAsia"/>
          <w:rtl/>
        </w:rPr>
        <w:t>32</w:t>
      </w:r>
      <w:r w:rsidRPr="00C06882">
        <w:rPr>
          <w:rFonts w:eastAsiaTheme="minorEastAsia"/>
          <w:rtl/>
        </w:rPr>
        <w:t>-</w:t>
      </w:r>
      <w:r w:rsidRPr="00C06882">
        <w:rPr>
          <w:rFonts w:eastAsiaTheme="minorEastAsia"/>
          <w:rtl/>
        </w:rPr>
        <w:tab/>
      </w:r>
      <w:r w:rsidRPr="0027756C">
        <w:rPr>
          <w:rFonts w:eastAsiaTheme="minorEastAsia"/>
          <w:bCs/>
          <w:rtl/>
        </w:rPr>
        <w:t>ينبغي أن تنشئ الدولة الطرف آلية للرصد الموضوعي والنزيه والموثوق به لحالة</w:t>
      </w:r>
      <w:r w:rsidR="00623A13" w:rsidRPr="0027756C">
        <w:rPr>
          <w:rFonts w:eastAsiaTheme="minorEastAsia"/>
          <w:bCs/>
          <w:rtl/>
        </w:rPr>
        <w:t xml:space="preserve"> </w:t>
      </w:r>
      <w:r w:rsidRPr="0027756C">
        <w:rPr>
          <w:rFonts w:eastAsiaTheme="minorEastAsia"/>
          <w:bCs/>
          <w:rtl/>
        </w:rPr>
        <w:t xml:space="preserve">السيد </w:t>
      </w:r>
      <w:proofErr w:type="spellStart"/>
      <w:r w:rsidRPr="0027756C">
        <w:rPr>
          <w:rFonts w:eastAsiaTheme="minorEastAsia"/>
          <w:bCs/>
          <w:rtl/>
        </w:rPr>
        <w:t>أياز</w:t>
      </w:r>
      <w:proofErr w:type="spellEnd"/>
      <w:r w:rsidRPr="0027756C">
        <w:rPr>
          <w:rFonts w:eastAsiaTheme="minorEastAsia"/>
          <w:bCs/>
          <w:rtl/>
        </w:rPr>
        <w:t xml:space="preserve"> بعد طرده وأن تقدم مزيداً من الجبر لصاحب الشكوى، بما في ذلك التعويض الكافي عن الضرر غير المالي الناجم عن إلحاق الأذى البدني والعقلي به، وأن تزود اللجنة بمعلومات عن الإصلاحات المؤسسية والقانونية التي أجريت لتجنب تسليمٍ غير مشروع مماثل.</w:t>
      </w:r>
    </w:p>
    <w:p w14:paraId="2C70B9BA" w14:textId="77777777" w:rsidR="00C06882" w:rsidRPr="00C06882" w:rsidRDefault="00C06882" w:rsidP="00623A13">
      <w:pPr>
        <w:pStyle w:val="H23GA"/>
        <w:rPr>
          <w:lang w:val="ar-SA" w:eastAsia="zh-TW" w:bidi="en-GB"/>
        </w:rPr>
      </w:pPr>
      <w:r w:rsidRPr="00C06882">
        <w:rPr>
          <w:rtl/>
        </w:rPr>
        <w:tab/>
      </w:r>
      <w:r w:rsidRPr="00C06882">
        <w:rPr>
          <w:rtl/>
        </w:rPr>
        <w:tab/>
        <w:t>نظام اللجوء وعدم الإعادة القسرية</w:t>
      </w:r>
    </w:p>
    <w:p w14:paraId="7B91D77A" w14:textId="581C0691" w:rsidR="00C06882" w:rsidRPr="00375AD5" w:rsidRDefault="00C06882" w:rsidP="00C06882">
      <w:pPr>
        <w:pStyle w:val="SingleTxtGA"/>
        <w:rPr>
          <w:rFonts w:eastAsiaTheme="minorEastAsia"/>
          <w:lang w:val="en-US" w:eastAsia="zh-TW" w:bidi="en-GB"/>
        </w:rPr>
      </w:pPr>
      <w:r w:rsidRPr="0027756C">
        <w:rPr>
          <w:rFonts w:eastAsiaTheme="minorEastAsia"/>
          <w:rtl/>
        </w:rPr>
        <w:t>33</w:t>
      </w:r>
      <w:r w:rsidRPr="00C06882">
        <w:rPr>
          <w:rFonts w:eastAsiaTheme="minorEastAsia"/>
          <w:rtl/>
        </w:rPr>
        <w:t>-</w:t>
      </w:r>
      <w:r w:rsidRPr="00C06882">
        <w:rPr>
          <w:rFonts w:eastAsiaTheme="minorEastAsia"/>
          <w:rtl/>
        </w:rPr>
        <w:tab/>
        <w:t xml:space="preserve">ترحب اللجنة باعتماد قانون اللجوء والحماية المؤقتة في عام </w:t>
      </w:r>
      <w:r w:rsidRPr="0027756C">
        <w:rPr>
          <w:rFonts w:eastAsiaTheme="minorEastAsia"/>
          <w:rtl/>
        </w:rPr>
        <w:t>2018</w:t>
      </w:r>
      <w:r w:rsidRPr="00C06882">
        <w:rPr>
          <w:rFonts w:eastAsiaTheme="minorEastAsia"/>
          <w:rtl/>
        </w:rPr>
        <w:t>، بيد أنها تشعر بالقلق لكون ملتمسي اللجوء يمنعون عملياً من إجراءات منح اللجوء وتحديد هويتهم في مرحلة مبكرة بسبب عدم كفاية الضمانات الإجرائية لتقييم الادعاءات ومنح الحماية الدولية، لا سيما في منطقة العبور بمطار نيكولا تسلا الدولي في بلغراد وعند نقاط الدخول الحدودية. ويشمل ذلك عدم وجود آلية فرز تراعي الحماية في إطار عملية تحديد وضع اللاجئ، وعدم كفاية عدد الموظفين المدربين تدريباً جيداً، بما في ذلك داخل شرطة الحدود ومكتب اللجوء، لضمان اتخاذ قرارات عادلة وفعالة تماشياً مع المعايير الدولية ذات الصلة (المواد</w:t>
      </w:r>
      <w:r w:rsidR="001C6DB3">
        <w:rPr>
          <w:rFonts w:eastAsiaTheme="minorEastAsia" w:hint="cs"/>
          <w:rtl/>
        </w:rPr>
        <w:t> </w:t>
      </w:r>
      <w:r w:rsidRPr="0027756C">
        <w:rPr>
          <w:rFonts w:eastAsiaTheme="minorEastAsia"/>
          <w:rtl/>
        </w:rPr>
        <w:t>2</w:t>
      </w:r>
      <w:r w:rsidRPr="00C06882">
        <w:rPr>
          <w:rFonts w:eastAsiaTheme="minorEastAsia"/>
          <w:rtl/>
        </w:rPr>
        <w:t xml:space="preserve"> و</w:t>
      </w:r>
      <w:r w:rsidRPr="0027756C">
        <w:rPr>
          <w:rFonts w:eastAsiaTheme="minorEastAsia"/>
          <w:rtl/>
        </w:rPr>
        <w:t>3</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25046B64" w14:textId="7847EC59" w:rsidR="00C06882" w:rsidRPr="0027756C" w:rsidRDefault="00C06882" w:rsidP="00C06882">
      <w:pPr>
        <w:pStyle w:val="SingleTxtGA"/>
        <w:rPr>
          <w:rFonts w:eastAsiaTheme="minorEastAsia"/>
          <w:bCs/>
          <w:lang w:val="ar-SA" w:eastAsia="zh-TW" w:bidi="en-GB"/>
        </w:rPr>
      </w:pPr>
      <w:r w:rsidRPr="0027756C">
        <w:rPr>
          <w:rFonts w:eastAsiaTheme="minorEastAsia"/>
          <w:rtl/>
        </w:rPr>
        <w:t>34</w:t>
      </w:r>
      <w:r w:rsidRPr="00C06882">
        <w:rPr>
          <w:rFonts w:eastAsiaTheme="minorEastAsia"/>
          <w:rtl/>
        </w:rPr>
        <w:t>-</w:t>
      </w:r>
      <w:r w:rsidRPr="00C06882">
        <w:rPr>
          <w:rFonts w:eastAsiaTheme="minorEastAsia"/>
          <w:rtl/>
        </w:rPr>
        <w:tab/>
      </w:r>
      <w:r w:rsidRPr="0027756C">
        <w:rPr>
          <w:rFonts w:eastAsiaTheme="minorEastAsia"/>
          <w:bCs/>
          <w:rtl/>
        </w:rPr>
        <w:t>توصي اللجنة الدولة الطرف أيضاً بما يلي، مذكّرةً بتوصياتها السابقة</w:t>
      </w:r>
      <w:r w:rsidR="00623A13" w:rsidRPr="00943940">
        <w:rPr>
          <w:rStyle w:val="FootnoteReference"/>
          <w:rFonts w:eastAsiaTheme="minorEastAsia"/>
          <w:b/>
          <w:szCs w:val="22"/>
          <w:rtl/>
        </w:rPr>
        <w:t>(</w:t>
      </w:r>
      <w:r w:rsidR="00623A13" w:rsidRPr="00943940">
        <w:rPr>
          <w:rStyle w:val="FootnoteReference"/>
          <w:rFonts w:eastAsiaTheme="minorEastAsia"/>
          <w:bCs/>
          <w:szCs w:val="22"/>
          <w:lang w:val="en-US"/>
        </w:rPr>
        <w:footnoteReference w:id="14"/>
      </w:r>
      <w:r w:rsidR="00623A13" w:rsidRPr="00943940">
        <w:rPr>
          <w:rStyle w:val="FootnoteReference"/>
          <w:rFonts w:eastAsiaTheme="minorEastAsia"/>
          <w:b/>
          <w:szCs w:val="22"/>
          <w:rtl/>
        </w:rPr>
        <w:t>)</w:t>
      </w:r>
      <w:r w:rsidRPr="0027756C">
        <w:rPr>
          <w:rFonts w:eastAsiaTheme="minorEastAsia"/>
          <w:bCs/>
          <w:rtl/>
        </w:rPr>
        <w:t>:</w:t>
      </w:r>
      <w:r w:rsidRPr="001C6DB3">
        <w:rPr>
          <w:rFonts w:eastAsiaTheme="minorEastAsia"/>
          <w:bCs/>
          <w:rtl/>
        </w:rPr>
        <w:t xml:space="preserve"> </w:t>
      </w:r>
    </w:p>
    <w:p w14:paraId="3598AFC6" w14:textId="77777777" w:rsidR="00C06882" w:rsidRPr="0027756C" w:rsidRDefault="00C06882" w:rsidP="00C06882">
      <w:pPr>
        <w:pStyle w:val="SingleTxtGA"/>
        <w:rPr>
          <w:rFonts w:eastAsiaTheme="minorEastAsia"/>
          <w:bCs/>
          <w:lang w:val="ar-SA" w:eastAsia="zh-TW" w:bidi="en-GB"/>
        </w:rPr>
      </w:pPr>
      <w:r w:rsidRPr="00C06882">
        <w:rPr>
          <w:rFonts w:eastAsiaTheme="minorEastAsia"/>
          <w:rtl/>
        </w:rPr>
        <w:tab/>
        <w:t>(أ)</w:t>
      </w:r>
      <w:r w:rsidRPr="00C06882">
        <w:rPr>
          <w:rFonts w:eastAsiaTheme="minorEastAsia"/>
          <w:rtl/>
        </w:rPr>
        <w:tab/>
      </w:r>
      <w:r w:rsidRPr="0027756C">
        <w:rPr>
          <w:rFonts w:eastAsiaTheme="minorEastAsia"/>
          <w:bCs/>
          <w:rtl/>
        </w:rPr>
        <w:t>تأمين البنية المدنية لمكتب اللجوء ووضعه خارج مديرية شرطة الحدود؛</w:t>
      </w:r>
      <w:r w:rsidRPr="001C6DB3">
        <w:rPr>
          <w:rFonts w:eastAsiaTheme="minorEastAsia"/>
          <w:bCs/>
          <w:rtl/>
        </w:rPr>
        <w:t xml:space="preserve"> </w:t>
      </w:r>
    </w:p>
    <w:p w14:paraId="3D9C0D9B" w14:textId="1210B51E" w:rsidR="00C06882" w:rsidRPr="0027756C" w:rsidRDefault="00C06882" w:rsidP="00C06882">
      <w:pPr>
        <w:pStyle w:val="SingleTxtGA"/>
        <w:rPr>
          <w:rFonts w:eastAsiaTheme="minorEastAsia"/>
          <w:bCs/>
          <w:lang w:val="ar-SA" w:eastAsia="zh-TW" w:bidi="en-GB"/>
        </w:rPr>
      </w:pPr>
      <w:r w:rsidRPr="00C06882">
        <w:rPr>
          <w:rFonts w:eastAsiaTheme="minorEastAsia"/>
          <w:rtl/>
        </w:rPr>
        <w:lastRenderedPageBreak/>
        <w:tab/>
        <w:t>(ب)</w:t>
      </w:r>
      <w:r w:rsidRPr="00C06882">
        <w:rPr>
          <w:rFonts w:eastAsiaTheme="minorEastAsia"/>
          <w:rtl/>
        </w:rPr>
        <w:tab/>
      </w:r>
      <w:r w:rsidRPr="0027756C">
        <w:rPr>
          <w:rFonts w:eastAsiaTheme="minorEastAsia"/>
          <w:bCs/>
          <w:rtl/>
        </w:rPr>
        <w:t>السماح بإجراء مراجعة قضائية مستقلة وعادلة وفعالة لقرارات اللجوء السلبية من</w:t>
      </w:r>
      <w:r w:rsidR="001C6DB3" w:rsidRPr="0027756C">
        <w:rPr>
          <w:rFonts w:eastAsiaTheme="minorEastAsia" w:hint="cs"/>
          <w:bCs/>
          <w:rtl/>
        </w:rPr>
        <w:t> </w:t>
      </w:r>
      <w:r w:rsidRPr="0027756C">
        <w:rPr>
          <w:rFonts w:eastAsiaTheme="minorEastAsia"/>
          <w:bCs/>
          <w:rtl/>
        </w:rPr>
        <w:t>خلال تعديل قانون اللجوء والحماية المؤقتة لإدخال المراجعة القضائية في الدرجة الثانية من المحكمة الإدارية؛</w:t>
      </w:r>
    </w:p>
    <w:p w14:paraId="26C2C282" w14:textId="77777777" w:rsidR="00C06882" w:rsidRPr="0027756C" w:rsidRDefault="00C06882" w:rsidP="00C06882">
      <w:pPr>
        <w:pStyle w:val="SingleTxtGA"/>
        <w:rPr>
          <w:rFonts w:eastAsiaTheme="minorEastAsia"/>
          <w:bCs/>
          <w:lang w:eastAsia="zh-TW" w:bidi="en-GB"/>
        </w:rPr>
      </w:pPr>
      <w:r w:rsidRPr="00C06882">
        <w:rPr>
          <w:rFonts w:eastAsiaTheme="minorEastAsia"/>
          <w:rtl/>
        </w:rPr>
        <w:tab/>
        <w:t>(ج)</w:t>
      </w:r>
      <w:r w:rsidRPr="00C06882">
        <w:rPr>
          <w:rFonts w:eastAsiaTheme="minorEastAsia"/>
          <w:rtl/>
        </w:rPr>
        <w:tab/>
      </w:r>
      <w:r w:rsidRPr="0027756C">
        <w:rPr>
          <w:rFonts w:eastAsiaTheme="minorEastAsia"/>
          <w:bCs/>
          <w:rtl/>
        </w:rPr>
        <w:t>توفير التدريب بشأن القانون الدولي للاجئين والقانون الدولي لحقوق الإنسان، وتحديداً بشأن مبدأ عدم الإعادة القسرية، لموظفي الهجرة، وكذلك ضمان أن تشتمل جميع الوثائق الداخلية وطرق التشغيل الموحدة على ضمانات كافية تحول دون الإعادة القسرية؛</w:t>
      </w:r>
    </w:p>
    <w:p w14:paraId="18ACCED8" w14:textId="7D6F67DF" w:rsidR="00C06882" w:rsidRPr="0027756C" w:rsidRDefault="00C06882" w:rsidP="00C06882">
      <w:pPr>
        <w:pStyle w:val="SingleTxtGA"/>
        <w:rPr>
          <w:rFonts w:eastAsiaTheme="minorEastAsia"/>
          <w:bCs/>
        </w:rPr>
      </w:pPr>
      <w:r w:rsidRPr="00C06882">
        <w:rPr>
          <w:rFonts w:eastAsiaTheme="minorEastAsia"/>
          <w:rtl/>
        </w:rPr>
        <w:tab/>
        <w:t>(د)</w:t>
      </w:r>
      <w:r w:rsidRPr="00C06882">
        <w:rPr>
          <w:rFonts w:eastAsiaTheme="minorEastAsia"/>
          <w:rtl/>
        </w:rPr>
        <w:tab/>
      </w:r>
      <w:r w:rsidRPr="0027756C">
        <w:rPr>
          <w:rFonts w:eastAsiaTheme="minorEastAsia"/>
          <w:bCs/>
          <w:rtl/>
        </w:rPr>
        <w:t>ضمان الوصول إلى الإقليم والحماية الكافية والفعالة من الإعادة القسرية في مطار نيكولا تسلا الدولي من خلال التأكد من أن المحتجزين في منطقة العبور بالمطار يتلقون معلومات عن حقهم في التماس اللجوء، بما في ذلك النفاذ الفعلي إلى إجراءات منح اللجوء، على الفور وبلغة</w:t>
      </w:r>
      <w:r w:rsidR="001C6DB3" w:rsidRPr="0027756C">
        <w:rPr>
          <w:rFonts w:eastAsiaTheme="minorEastAsia" w:hint="cs"/>
          <w:bCs/>
          <w:rtl/>
        </w:rPr>
        <w:t> </w:t>
      </w:r>
      <w:r w:rsidRPr="0027756C">
        <w:rPr>
          <w:rFonts w:eastAsiaTheme="minorEastAsia"/>
          <w:bCs/>
          <w:rtl/>
        </w:rPr>
        <w:t>يفهمونها؛</w:t>
      </w:r>
    </w:p>
    <w:p w14:paraId="3887F13D" w14:textId="77777777" w:rsidR="00C06882" w:rsidRPr="0027756C" w:rsidRDefault="00C06882" w:rsidP="00C06882">
      <w:pPr>
        <w:pStyle w:val="SingleTxtGA"/>
        <w:rPr>
          <w:rFonts w:eastAsiaTheme="minorEastAsia"/>
          <w:bCs/>
        </w:rPr>
      </w:pPr>
      <w:r w:rsidRPr="00C06882">
        <w:rPr>
          <w:rFonts w:eastAsiaTheme="minorEastAsia"/>
          <w:rtl/>
        </w:rPr>
        <w:tab/>
        <w:t>(هـ)</w:t>
      </w:r>
      <w:r w:rsidRPr="0027756C">
        <w:rPr>
          <w:rFonts w:eastAsiaTheme="minorEastAsia"/>
          <w:bCs/>
          <w:rtl/>
        </w:rPr>
        <w:tab/>
        <w:t xml:space="preserve">استحداث آلية لرصد الحدود تضم ممثلين عن كيانات مستقلة، مثل المنظمات الدولية والمجتمع المدني، من ذوي الخبرة في القانون الدولي للاجئين والقانون الدولي لحقوق الإنسان، لضمان تصرّف سلطات الحدود وفقاً لمبدأ عدم الإعادة القسرية وحظر الطرد الجماعي، وكذلك بغرض جمع بيانات دقيقة؛ </w:t>
      </w:r>
    </w:p>
    <w:p w14:paraId="523E708C" w14:textId="77777777" w:rsidR="00C06882" w:rsidRPr="0027756C" w:rsidRDefault="00C06882" w:rsidP="00C06882">
      <w:pPr>
        <w:pStyle w:val="SingleTxtGA"/>
        <w:rPr>
          <w:rFonts w:eastAsiaTheme="minorEastAsia"/>
          <w:bCs/>
        </w:rPr>
      </w:pPr>
      <w:r w:rsidRPr="00C06882">
        <w:rPr>
          <w:rFonts w:eastAsiaTheme="minorEastAsia"/>
          <w:rtl/>
        </w:rPr>
        <w:tab/>
        <w:t>(و)</w:t>
      </w:r>
      <w:r w:rsidRPr="00C06882">
        <w:rPr>
          <w:rFonts w:eastAsiaTheme="minorEastAsia"/>
          <w:rtl/>
        </w:rPr>
        <w:tab/>
      </w:r>
      <w:r w:rsidRPr="0027756C">
        <w:rPr>
          <w:rFonts w:eastAsiaTheme="minorEastAsia"/>
          <w:bCs/>
          <w:rtl/>
        </w:rPr>
        <w:t>ضمان إمداد ملتمسي اللجوء والمهاجرين المحتجزين بالرعاية الطبية والعناية بالصحة العقلية المناسبتين، بما في ذلك الفحص الطبي عند وصولهم والتقييمات الروتينية، وتسجيل أي مؤشرات تدعم ادعاءاتهم أنهم تعرضوا للتعذيب أو سوء المعاملة، وتزويدهم بخدمات الدعم.</w:t>
      </w:r>
    </w:p>
    <w:p w14:paraId="40709E53" w14:textId="77777777" w:rsidR="00C06882" w:rsidRPr="00C06882" w:rsidRDefault="00C06882" w:rsidP="00623A13">
      <w:pPr>
        <w:pStyle w:val="H23GA"/>
        <w:rPr>
          <w:lang w:eastAsia="zh-TW" w:bidi="en-GB"/>
        </w:rPr>
      </w:pPr>
      <w:r w:rsidRPr="00C06882">
        <w:rPr>
          <w:rtl/>
        </w:rPr>
        <w:tab/>
      </w:r>
      <w:r w:rsidRPr="00C06882">
        <w:rPr>
          <w:rtl/>
        </w:rPr>
        <w:tab/>
        <w:t>التدريب</w:t>
      </w:r>
    </w:p>
    <w:p w14:paraId="3B76AC78" w14:textId="77777777" w:rsidR="00C06882" w:rsidRPr="00C06882" w:rsidRDefault="00C06882" w:rsidP="00C06882">
      <w:pPr>
        <w:pStyle w:val="SingleTxtGA"/>
        <w:rPr>
          <w:rFonts w:eastAsiaTheme="minorEastAsia"/>
          <w:lang w:val="ar-SA" w:eastAsia="zh-TW" w:bidi="en-GB"/>
        </w:rPr>
      </w:pPr>
      <w:r w:rsidRPr="0027756C">
        <w:rPr>
          <w:rFonts w:eastAsiaTheme="minorEastAsia"/>
          <w:rtl/>
        </w:rPr>
        <w:t>35</w:t>
      </w:r>
      <w:r w:rsidRPr="00C06882">
        <w:rPr>
          <w:rFonts w:eastAsiaTheme="minorEastAsia"/>
          <w:rtl/>
        </w:rPr>
        <w:t>-</w:t>
      </w:r>
      <w:r w:rsidRPr="00C06882">
        <w:rPr>
          <w:rFonts w:eastAsiaTheme="minorEastAsia"/>
          <w:rtl/>
        </w:rPr>
        <w:tab/>
        <w:t>ترحب اللجنة بوحدات التدريب على الاتفاقية التي عرضت على أفراد الشرطة والأمن وموظفي الهجرة، غير أنها لم تتلق معلومات عما إن كان هذا التدريب يقدم إلى الأفراد العسكريين، بما في ذلك لعمليات الانتشار الدولية، وما إن كان قد كُيف حسب ظروف كوفيد-</w:t>
      </w:r>
      <w:r w:rsidRPr="0027756C">
        <w:rPr>
          <w:rFonts w:eastAsiaTheme="minorEastAsia"/>
          <w:rtl/>
        </w:rPr>
        <w:t>19</w:t>
      </w:r>
      <w:r w:rsidRPr="00C06882">
        <w:rPr>
          <w:rFonts w:eastAsiaTheme="minorEastAsia"/>
          <w:rtl/>
        </w:rPr>
        <w:t xml:space="preserve"> (المادة </w:t>
      </w:r>
      <w:r w:rsidRPr="0027756C">
        <w:rPr>
          <w:rFonts w:eastAsiaTheme="minorEastAsia"/>
          <w:rtl/>
        </w:rPr>
        <w:t>10</w:t>
      </w:r>
      <w:r w:rsidRPr="00C06882">
        <w:rPr>
          <w:rFonts w:eastAsiaTheme="minorEastAsia"/>
          <w:rtl/>
        </w:rPr>
        <w:t>).</w:t>
      </w:r>
    </w:p>
    <w:p w14:paraId="52C35B06" w14:textId="35F0D325" w:rsidR="00C06882" w:rsidRPr="001C6DB3" w:rsidRDefault="00C06882" w:rsidP="00C06882">
      <w:pPr>
        <w:pStyle w:val="SingleTxtGA"/>
        <w:rPr>
          <w:rFonts w:eastAsiaTheme="minorEastAsia"/>
          <w:bCs/>
          <w:lang w:eastAsia="zh-TW" w:bidi="en-GB"/>
        </w:rPr>
      </w:pPr>
      <w:r w:rsidRPr="0027756C">
        <w:rPr>
          <w:rFonts w:eastAsiaTheme="minorEastAsia"/>
          <w:rtl/>
        </w:rPr>
        <w:t>36</w:t>
      </w:r>
      <w:r w:rsidRPr="00C06882">
        <w:rPr>
          <w:rFonts w:eastAsiaTheme="minorEastAsia"/>
          <w:rtl/>
        </w:rPr>
        <w:t>-</w:t>
      </w:r>
      <w:r w:rsidRPr="00C06882">
        <w:rPr>
          <w:rFonts w:eastAsiaTheme="minorEastAsia"/>
          <w:rtl/>
        </w:rPr>
        <w:tab/>
      </w:r>
      <w:r w:rsidRPr="0027756C">
        <w:rPr>
          <w:rFonts w:eastAsiaTheme="minorEastAsia"/>
          <w:bCs/>
          <w:rtl/>
        </w:rPr>
        <w:t xml:space="preserve">ينبغي أن توفر الدولة الطرف التدريب الإلزامي على أحكام الاتفاقية لجميع موظفي إنفاذ القانون وغيرهم من الموظفين العموميين الذين هم على صلة بمن سُلبت حريتهم والمهاجرين وملتمسي اللجوء، بما في ذلك الحظر المطلق للتعذيب وسوء المعاملة وللعقوبات التي </w:t>
      </w:r>
      <w:proofErr w:type="spellStart"/>
      <w:r w:rsidRPr="0027756C">
        <w:rPr>
          <w:rFonts w:eastAsiaTheme="minorEastAsia"/>
          <w:bCs/>
          <w:rtl/>
        </w:rPr>
        <w:t>سيواجهونها</w:t>
      </w:r>
      <w:proofErr w:type="spellEnd"/>
      <w:r w:rsidRPr="0027756C">
        <w:rPr>
          <w:rFonts w:eastAsiaTheme="minorEastAsia"/>
          <w:bCs/>
          <w:rtl/>
        </w:rPr>
        <w:t xml:space="preserve"> إن لم يفوا بالتزاماتهم في هذا الصدد، مع الحرص على أن يكون هذا التدريب مكيفاً مع حالات الطوارئ.</w:t>
      </w:r>
      <w:r w:rsidRPr="001C6DB3">
        <w:rPr>
          <w:rFonts w:eastAsiaTheme="minorEastAsia"/>
          <w:bCs/>
          <w:rtl/>
        </w:rPr>
        <w:t xml:space="preserve"> </w:t>
      </w:r>
      <w:r w:rsidRPr="0027756C">
        <w:rPr>
          <w:rFonts w:eastAsiaTheme="minorEastAsia"/>
          <w:bCs/>
          <w:rtl/>
        </w:rPr>
        <w:t>وينبغي أيضاً التأكد باستمرار من أن جميع الموظفين المعنيين، بمن فيهم الموظفون الطبيون، مدرَّبون تدريباً خاصاً على كشف حالات التعذيب وسوء المعاملة، وفقاً لدليل التقصي والتوثيق الفعالين للتعذيب وغيره من ضروب المعاملة أو العقوبة القاسية أو اللاإنسانية أو المهينة (بروتوكول اسطنبول).</w:t>
      </w:r>
    </w:p>
    <w:p w14:paraId="2B87D072" w14:textId="77777777" w:rsidR="00C06882" w:rsidRPr="00C06882" w:rsidRDefault="00C06882" w:rsidP="00623A13">
      <w:pPr>
        <w:pStyle w:val="H23GA"/>
        <w:rPr>
          <w:lang w:val="ar-SA" w:eastAsia="zh-TW" w:bidi="en-GB"/>
        </w:rPr>
      </w:pPr>
      <w:r w:rsidRPr="00C06882">
        <w:rPr>
          <w:rtl/>
        </w:rPr>
        <w:tab/>
      </w:r>
      <w:r w:rsidRPr="00C06882">
        <w:rPr>
          <w:rtl/>
        </w:rPr>
        <w:tab/>
        <w:t xml:space="preserve">مكافحة الإرهاب </w:t>
      </w:r>
    </w:p>
    <w:p w14:paraId="14546209" w14:textId="77777777" w:rsidR="00C06882" w:rsidRPr="00C06882" w:rsidRDefault="00C06882" w:rsidP="00C06882">
      <w:pPr>
        <w:pStyle w:val="SingleTxtGA"/>
        <w:rPr>
          <w:rFonts w:eastAsiaTheme="minorEastAsia"/>
          <w:lang w:eastAsia="zh-TW" w:bidi="en-GB"/>
        </w:rPr>
      </w:pPr>
      <w:r w:rsidRPr="0027756C">
        <w:rPr>
          <w:rFonts w:eastAsiaTheme="minorEastAsia"/>
          <w:rtl/>
        </w:rPr>
        <w:t>37</w:t>
      </w:r>
      <w:r w:rsidRPr="00C06882">
        <w:rPr>
          <w:rFonts w:eastAsiaTheme="minorEastAsia"/>
          <w:rtl/>
        </w:rPr>
        <w:t>-</w:t>
      </w:r>
      <w:r w:rsidRPr="00C06882">
        <w:rPr>
          <w:rFonts w:eastAsiaTheme="minorEastAsia"/>
          <w:rtl/>
        </w:rPr>
        <w:tab/>
        <w:t xml:space="preserve">تأسف اللجنة لعدم إمداد الدولة الطرف إياها بمعلومات عن المدانين بموجب تشريعات مكافحة الإرهاب، والضمانات القانونية، وسبل الانتصاف المتاحة للخاضعين لتدابير مكافحة الإرهاب في القانون وفي الممارسة العملية، وما إن كانت هناك شكاوى من عدم مراعاة المعايير الدولية في هذا الصدد، ونتيجة هذه الشكاوى (المواد </w:t>
      </w:r>
      <w:r w:rsidRPr="0027756C">
        <w:rPr>
          <w:rFonts w:eastAsiaTheme="minorEastAsia"/>
          <w:rtl/>
        </w:rPr>
        <w:t>2</w:t>
      </w:r>
      <w:r w:rsidRPr="00C06882">
        <w:rPr>
          <w:rFonts w:eastAsiaTheme="minorEastAsia"/>
          <w:rtl/>
        </w:rPr>
        <w:t xml:space="preserve"> و</w:t>
      </w:r>
      <w:r w:rsidRPr="0027756C">
        <w:rPr>
          <w:rFonts w:eastAsiaTheme="minorEastAsia"/>
          <w:rtl/>
        </w:rPr>
        <w:t>11</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3FE85A13" w14:textId="77777777" w:rsidR="005963F9" w:rsidRPr="0027756C" w:rsidRDefault="005963F9">
      <w:pPr>
        <w:bidi w:val="0"/>
        <w:spacing w:line="240" w:lineRule="auto"/>
        <w:jc w:val="left"/>
        <w:rPr>
          <w:rFonts w:eastAsiaTheme="minorEastAsia"/>
          <w:sz w:val="22"/>
          <w:rtl/>
          <w:lang w:val="en-GB"/>
        </w:rPr>
      </w:pPr>
      <w:r w:rsidRPr="0027756C">
        <w:rPr>
          <w:rFonts w:eastAsiaTheme="minorEastAsia"/>
        </w:rPr>
        <w:br w:type="page"/>
      </w:r>
    </w:p>
    <w:p w14:paraId="0441A4BA" w14:textId="40A97488" w:rsidR="00C06882" w:rsidRPr="0027756C" w:rsidRDefault="00C06882" w:rsidP="00C06882">
      <w:pPr>
        <w:pStyle w:val="SingleTxtGA"/>
        <w:rPr>
          <w:rFonts w:eastAsiaTheme="minorEastAsia"/>
          <w:bCs/>
          <w:lang w:val="ar-SA" w:eastAsia="zh-TW" w:bidi="en-GB"/>
        </w:rPr>
      </w:pPr>
      <w:r w:rsidRPr="0027756C">
        <w:rPr>
          <w:rFonts w:eastAsiaTheme="minorEastAsia"/>
          <w:rtl/>
        </w:rPr>
        <w:lastRenderedPageBreak/>
        <w:t>38</w:t>
      </w:r>
      <w:r w:rsidRPr="00C06882">
        <w:rPr>
          <w:rFonts w:eastAsiaTheme="minorEastAsia"/>
          <w:rtl/>
        </w:rPr>
        <w:t>-</w:t>
      </w:r>
      <w:r w:rsidRPr="00C06882">
        <w:rPr>
          <w:rFonts w:eastAsiaTheme="minorEastAsia"/>
          <w:rtl/>
        </w:rPr>
        <w:tab/>
      </w:r>
      <w:r w:rsidRPr="0027756C">
        <w:rPr>
          <w:rFonts w:eastAsiaTheme="minorEastAsia"/>
          <w:bCs/>
          <w:rtl/>
        </w:rPr>
        <w:t>ينبغي أن تكفل الدولة الطرف ما يلي:</w:t>
      </w:r>
    </w:p>
    <w:p w14:paraId="6559228C" w14:textId="77777777" w:rsidR="00C06882" w:rsidRPr="0027756C" w:rsidRDefault="00C06882" w:rsidP="00C06882">
      <w:pPr>
        <w:pStyle w:val="SingleTxtGA"/>
        <w:rPr>
          <w:rFonts w:eastAsiaTheme="minorEastAsia"/>
          <w:bCs/>
        </w:rPr>
      </w:pPr>
      <w:r w:rsidRPr="00C06882">
        <w:rPr>
          <w:rFonts w:eastAsiaTheme="minorEastAsia"/>
          <w:rtl/>
        </w:rPr>
        <w:tab/>
        <w:t>(أ)</w:t>
      </w:r>
      <w:r w:rsidRPr="00C06882">
        <w:rPr>
          <w:rFonts w:eastAsiaTheme="minorEastAsia"/>
          <w:rtl/>
        </w:rPr>
        <w:tab/>
      </w:r>
      <w:r w:rsidRPr="0027756C">
        <w:rPr>
          <w:rFonts w:eastAsiaTheme="minorEastAsia"/>
          <w:bCs/>
          <w:rtl/>
        </w:rPr>
        <w:t>العمل على أن تكون التدابير المتخذة لمكافحة الإرهاب متوافقة مع الاتفاقية وضرورية تماماً في ضوء الأوضاع ومقتضيات مبدأ التناسب؛</w:t>
      </w:r>
    </w:p>
    <w:p w14:paraId="278F50CB" w14:textId="77777777" w:rsidR="00C06882" w:rsidRPr="0027756C" w:rsidRDefault="00C06882" w:rsidP="00C06882">
      <w:pPr>
        <w:pStyle w:val="SingleTxtGA"/>
        <w:rPr>
          <w:rFonts w:eastAsiaTheme="minorEastAsia"/>
          <w:bCs/>
        </w:rPr>
      </w:pPr>
      <w:r w:rsidRPr="00C06882">
        <w:rPr>
          <w:rFonts w:eastAsiaTheme="minorEastAsia"/>
          <w:rtl/>
        </w:rPr>
        <w:tab/>
        <w:t>(ب)</w:t>
      </w:r>
      <w:r w:rsidRPr="00C06882">
        <w:rPr>
          <w:rFonts w:eastAsiaTheme="minorEastAsia"/>
          <w:rtl/>
        </w:rPr>
        <w:tab/>
      </w:r>
      <w:r w:rsidRPr="0027756C">
        <w:rPr>
          <w:rFonts w:eastAsiaTheme="minorEastAsia"/>
          <w:bCs/>
          <w:rtl/>
        </w:rPr>
        <w:t>التحقيق الفوري والنزيه والفعال في جميع ادعاءات تعذيب المتهمين بالمشاركة في أعمال إرهابية وبسوء معاملتهم ومقاضاة الجناة ومعاقبتهم كما يجب؛</w:t>
      </w:r>
    </w:p>
    <w:p w14:paraId="401B3FDB" w14:textId="77777777" w:rsidR="00C06882" w:rsidRPr="0027756C" w:rsidRDefault="00C06882" w:rsidP="00C06882">
      <w:pPr>
        <w:pStyle w:val="SingleTxtGA"/>
        <w:rPr>
          <w:rFonts w:eastAsiaTheme="minorEastAsia"/>
          <w:bCs/>
        </w:rPr>
      </w:pPr>
      <w:r w:rsidRPr="00C06882">
        <w:rPr>
          <w:rFonts w:eastAsiaTheme="minorEastAsia"/>
          <w:rtl/>
        </w:rPr>
        <w:tab/>
        <w:t>(ج)</w:t>
      </w:r>
      <w:r w:rsidRPr="00C06882">
        <w:rPr>
          <w:rFonts w:eastAsiaTheme="minorEastAsia"/>
          <w:rtl/>
        </w:rPr>
        <w:tab/>
      </w:r>
      <w:r w:rsidRPr="0027756C">
        <w:rPr>
          <w:rFonts w:eastAsiaTheme="minorEastAsia"/>
          <w:bCs/>
          <w:rtl/>
        </w:rPr>
        <w:t>تزويد اللجنة بالمعلومات المطلوبة عن المدانين في إطار تشريعات مكافحة الإرهاب؛</w:t>
      </w:r>
    </w:p>
    <w:p w14:paraId="706D92AA" w14:textId="77777777" w:rsidR="00C06882" w:rsidRPr="0027756C" w:rsidRDefault="00C06882" w:rsidP="00C06882">
      <w:pPr>
        <w:pStyle w:val="SingleTxtGA"/>
        <w:rPr>
          <w:rFonts w:eastAsiaTheme="minorEastAsia"/>
          <w:bCs/>
        </w:rPr>
      </w:pPr>
      <w:r w:rsidRPr="00C06882">
        <w:rPr>
          <w:rFonts w:eastAsiaTheme="minorEastAsia"/>
          <w:rtl/>
        </w:rPr>
        <w:tab/>
        <w:t>(د)</w:t>
      </w:r>
      <w:r w:rsidRPr="00C06882">
        <w:rPr>
          <w:rFonts w:eastAsiaTheme="minorEastAsia"/>
          <w:rtl/>
        </w:rPr>
        <w:tab/>
      </w:r>
      <w:r w:rsidRPr="0027756C">
        <w:rPr>
          <w:rFonts w:eastAsiaTheme="minorEastAsia"/>
          <w:bCs/>
          <w:rtl/>
        </w:rPr>
        <w:t>إدراج ركيزة حقوق الإنسان الواردة في استراتيجية الأمم المتحدة العالمية لمكافحة الإرهاب في برامج التدريب في مجال مكافحة الإرهاب وتقييم تأثير هذه البرامج.</w:t>
      </w:r>
    </w:p>
    <w:p w14:paraId="36A0895B" w14:textId="77777777" w:rsidR="00C06882" w:rsidRPr="00C06882" w:rsidRDefault="00C06882" w:rsidP="00623A13">
      <w:pPr>
        <w:pStyle w:val="H23GA"/>
        <w:rPr>
          <w:lang w:val="en-US" w:eastAsia="zh-TW" w:bidi="en-GB"/>
        </w:rPr>
      </w:pPr>
      <w:r w:rsidRPr="00C06882">
        <w:rPr>
          <w:rtl/>
        </w:rPr>
        <w:tab/>
      </w:r>
      <w:r w:rsidRPr="00C06882">
        <w:rPr>
          <w:rtl/>
        </w:rPr>
        <w:tab/>
        <w:t>استقلال السلطة القضائية</w:t>
      </w:r>
    </w:p>
    <w:p w14:paraId="47C23CCD" w14:textId="7169F6F6" w:rsidR="00C06882" w:rsidRPr="0050221C" w:rsidRDefault="00C06882" w:rsidP="00C06882">
      <w:pPr>
        <w:pStyle w:val="SingleTxtGA"/>
        <w:rPr>
          <w:rFonts w:eastAsiaTheme="minorEastAsia"/>
          <w:lang w:val="en-US" w:eastAsia="zh-TW" w:bidi="en-GB"/>
        </w:rPr>
      </w:pPr>
      <w:r w:rsidRPr="0027756C">
        <w:rPr>
          <w:rFonts w:eastAsiaTheme="minorEastAsia"/>
          <w:rtl/>
        </w:rPr>
        <w:t>39</w:t>
      </w:r>
      <w:r w:rsidRPr="00C06882">
        <w:rPr>
          <w:rFonts w:eastAsiaTheme="minorEastAsia"/>
          <w:rtl/>
        </w:rPr>
        <w:t>-</w:t>
      </w:r>
      <w:r w:rsidRPr="00C06882">
        <w:rPr>
          <w:rFonts w:eastAsiaTheme="minorEastAsia"/>
          <w:rtl/>
        </w:rPr>
        <w:tab/>
        <w:t>تأسف اللجنة لاستمرار قلقها السابق</w:t>
      </w:r>
      <w:r w:rsidR="00623A13" w:rsidRPr="0027756C">
        <w:rPr>
          <w:rStyle w:val="FootnoteReference"/>
          <w:rFonts w:eastAsiaTheme="minorEastAsia"/>
          <w:szCs w:val="22"/>
          <w:rtl/>
        </w:rPr>
        <w:t>(</w:t>
      </w:r>
      <w:r w:rsidR="00623A13" w:rsidRPr="00DA4793">
        <w:rPr>
          <w:rStyle w:val="FootnoteReference"/>
          <w:rFonts w:eastAsiaTheme="minorEastAsia"/>
          <w:szCs w:val="22"/>
          <w:lang w:val="en-US"/>
        </w:rPr>
        <w:footnoteReference w:id="15"/>
      </w:r>
      <w:r w:rsidR="00623A13" w:rsidRPr="0027756C">
        <w:rPr>
          <w:rStyle w:val="FootnoteReference"/>
          <w:rFonts w:eastAsiaTheme="minorEastAsia"/>
          <w:szCs w:val="22"/>
          <w:rtl/>
        </w:rPr>
        <w:t>)</w:t>
      </w:r>
      <w:r w:rsidRPr="00C06882">
        <w:rPr>
          <w:rFonts w:eastAsiaTheme="minorEastAsia"/>
          <w:rtl/>
        </w:rPr>
        <w:t xml:space="preserve"> بشأن التأثير السياسي في التعيينات القضائية (المادتان</w:t>
      </w:r>
      <w:r w:rsidR="001C6DB3">
        <w:rPr>
          <w:rFonts w:eastAsiaTheme="minorEastAsia" w:hint="cs"/>
          <w:rtl/>
        </w:rPr>
        <w:t> </w:t>
      </w:r>
      <w:r w:rsidRPr="0027756C">
        <w:rPr>
          <w:rFonts w:eastAsiaTheme="minorEastAsia"/>
          <w:rtl/>
        </w:rPr>
        <w:t>2</w:t>
      </w:r>
      <w:r w:rsidRPr="00C06882">
        <w:rPr>
          <w:rFonts w:eastAsiaTheme="minorEastAsia"/>
          <w:rtl/>
        </w:rPr>
        <w:t xml:space="preserve"> و</w:t>
      </w:r>
      <w:r w:rsidRPr="0027756C">
        <w:rPr>
          <w:rFonts w:eastAsiaTheme="minorEastAsia"/>
          <w:rtl/>
        </w:rPr>
        <w:t>12</w:t>
      </w:r>
      <w:r w:rsidRPr="00C06882">
        <w:rPr>
          <w:rFonts w:eastAsiaTheme="minorEastAsia"/>
          <w:rtl/>
        </w:rPr>
        <w:t>).</w:t>
      </w:r>
    </w:p>
    <w:p w14:paraId="01A36F06" w14:textId="1E0A0381" w:rsidR="00C06882" w:rsidRPr="0027756C" w:rsidRDefault="00C06882" w:rsidP="00C06882">
      <w:pPr>
        <w:pStyle w:val="SingleTxtGA"/>
        <w:rPr>
          <w:rFonts w:eastAsiaTheme="minorEastAsia"/>
          <w:bCs/>
        </w:rPr>
      </w:pPr>
      <w:r w:rsidRPr="0027756C">
        <w:rPr>
          <w:rFonts w:eastAsiaTheme="minorEastAsia"/>
          <w:rtl/>
        </w:rPr>
        <w:t>40</w:t>
      </w:r>
      <w:r w:rsidRPr="00C06882">
        <w:rPr>
          <w:rFonts w:eastAsiaTheme="minorEastAsia"/>
          <w:rtl/>
        </w:rPr>
        <w:t>-</w:t>
      </w:r>
      <w:r w:rsidRPr="00C06882">
        <w:rPr>
          <w:rFonts w:eastAsiaTheme="minorEastAsia"/>
          <w:rtl/>
        </w:rPr>
        <w:tab/>
      </w:r>
      <w:r w:rsidRPr="0027756C">
        <w:rPr>
          <w:rFonts w:eastAsiaTheme="minorEastAsia"/>
          <w:bCs/>
          <w:rtl/>
        </w:rPr>
        <w:t>ينبغي أن تكفل الدولة الطرف استقلال القضاء التام ونزاهته وفعاليته، بطرق منها التأكد من أن تعيين القضاة يوافق المعايير الدولية ذات الصلة، بما فيها المبادئ الأساسية بشأن استقلال السلطة</w:t>
      </w:r>
      <w:r w:rsidR="001C6DB3" w:rsidRPr="0027756C">
        <w:rPr>
          <w:rFonts w:eastAsiaTheme="minorEastAsia" w:hint="cs"/>
          <w:bCs/>
          <w:rtl/>
        </w:rPr>
        <w:t> </w:t>
      </w:r>
      <w:r w:rsidRPr="0027756C">
        <w:rPr>
          <w:rFonts w:eastAsiaTheme="minorEastAsia"/>
          <w:bCs/>
          <w:rtl/>
        </w:rPr>
        <w:t>القضائية.</w:t>
      </w:r>
    </w:p>
    <w:p w14:paraId="75E6F7E4" w14:textId="77777777" w:rsidR="00C06882" w:rsidRPr="00C06882" w:rsidRDefault="00C06882" w:rsidP="001C6DB3">
      <w:pPr>
        <w:pStyle w:val="H23GA"/>
        <w:rPr>
          <w:lang w:val="ar-SA" w:eastAsia="zh-TW" w:bidi="en-GB"/>
        </w:rPr>
      </w:pPr>
      <w:r w:rsidRPr="00C06882">
        <w:rPr>
          <w:rtl/>
        </w:rPr>
        <w:tab/>
      </w:r>
      <w:r w:rsidRPr="00C06882">
        <w:rPr>
          <w:rtl/>
        </w:rPr>
        <w:tab/>
        <w:t>الاعتداءات على الصحفيين والمدافعين عن حقوق الإنسان</w:t>
      </w:r>
    </w:p>
    <w:p w14:paraId="38C0E74E" w14:textId="77777777" w:rsidR="00C06882" w:rsidRPr="00C06882" w:rsidRDefault="00C06882" w:rsidP="00C06882">
      <w:pPr>
        <w:pStyle w:val="SingleTxtGA"/>
        <w:rPr>
          <w:rFonts w:eastAsiaTheme="minorEastAsia"/>
          <w:lang w:val="ar-SA" w:eastAsia="zh-TW" w:bidi="en-GB"/>
        </w:rPr>
      </w:pPr>
      <w:r w:rsidRPr="0027756C">
        <w:rPr>
          <w:rFonts w:eastAsiaTheme="minorEastAsia"/>
          <w:rtl/>
        </w:rPr>
        <w:t>41</w:t>
      </w:r>
      <w:r w:rsidRPr="00C06882">
        <w:rPr>
          <w:rFonts w:eastAsiaTheme="minorEastAsia"/>
          <w:rtl/>
        </w:rPr>
        <w:t>-</w:t>
      </w:r>
      <w:r w:rsidRPr="00C06882">
        <w:rPr>
          <w:rFonts w:eastAsiaTheme="minorEastAsia"/>
          <w:rtl/>
        </w:rPr>
        <w:tab/>
        <w:t xml:space="preserve">يساور اللجنة بالغ القلق من التقارير الكثيرة المتوافقة عما يتعرض له الصحفيون والمدافعون عن حقوق الإنسان، الذين يسعون إلى ممارسة حقهم في حرية تكوين الجمعيات أو التعبير في الدولة الطرف، من اعتداءات متكررة ومضايقات وتخويف واعتقال واحتجاز تعسفيين (المواد </w:t>
      </w:r>
      <w:r w:rsidRPr="0027756C">
        <w:rPr>
          <w:rFonts w:eastAsiaTheme="minorEastAsia"/>
          <w:rtl/>
        </w:rPr>
        <w:t>2</w:t>
      </w:r>
      <w:r w:rsidRPr="00C06882">
        <w:rPr>
          <w:rFonts w:eastAsiaTheme="minorEastAsia"/>
          <w:rtl/>
        </w:rPr>
        <w:t xml:space="preserve"> و</w:t>
      </w:r>
      <w:r w:rsidRPr="0027756C">
        <w:rPr>
          <w:rFonts w:eastAsiaTheme="minorEastAsia"/>
          <w:rtl/>
        </w:rPr>
        <w:t>12</w:t>
      </w:r>
      <w:r w:rsidRPr="00C06882">
        <w:rPr>
          <w:rFonts w:eastAsiaTheme="minorEastAsia"/>
          <w:rtl/>
        </w:rPr>
        <w:t xml:space="preserve"> و</w:t>
      </w:r>
      <w:r w:rsidRPr="0027756C">
        <w:rPr>
          <w:rFonts w:eastAsiaTheme="minorEastAsia"/>
          <w:rtl/>
        </w:rPr>
        <w:t>13</w:t>
      </w:r>
      <w:r w:rsidRPr="00C06882">
        <w:rPr>
          <w:rFonts w:eastAsiaTheme="minorEastAsia"/>
          <w:rtl/>
        </w:rPr>
        <w:t xml:space="preserve"> و</w:t>
      </w:r>
      <w:r w:rsidRPr="0027756C">
        <w:rPr>
          <w:rFonts w:eastAsiaTheme="minorEastAsia"/>
          <w:rtl/>
        </w:rPr>
        <w:t>16</w:t>
      </w:r>
      <w:r w:rsidRPr="00C06882">
        <w:rPr>
          <w:rFonts w:eastAsiaTheme="minorEastAsia"/>
          <w:rtl/>
        </w:rPr>
        <w:t>).</w:t>
      </w:r>
    </w:p>
    <w:p w14:paraId="5B767BEB" w14:textId="20C16D29" w:rsidR="00C06882" w:rsidRPr="001C6DB3" w:rsidRDefault="00C06882" w:rsidP="00C06882">
      <w:pPr>
        <w:pStyle w:val="SingleTxtGA"/>
        <w:rPr>
          <w:rFonts w:eastAsiaTheme="minorEastAsia"/>
          <w:bCs/>
          <w:lang w:val="ar-SA" w:eastAsia="zh-TW" w:bidi="en-GB"/>
        </w:rPr>
      </w:pPr>
      <w:r w:rsidRPr="0027756C">
        <w:rPr>
          <w:rFonts w:eastAsiaTheme="minorEastAsia"/>
          <w:rtl/>
        </w:rPr>
        <w:t>42</w:t>
      </w:r>
      <w:r w:rsidRPr="00C06882">
        <w:rPr>
          <w:rFonts w:eastAsiaTheme="minorEastAsia"/>
          <w:rtl/>
        </w:rPr>
        <w:t>-</w:t>
      </w:r>
      <w:r w:rsidRPr="00C06882">
        <w:rPr>
          <w:rFonts w:eastAsiaTheme="minorEastAsia"/>
          <w:rtl/>
        </w:rPr>
        <w:tab/>
      </w:r>
      <w:r w:rsidRPr="0027756C">
        <w:rPr>
          <w:rFonts w:eastAsiaTheme="minorEastAsia"/>
          <w:bCs/>
          <w:rtl/>
        </w:rPr>
        <w:t>تحث اللجنة الدولة الطرف، وهي تشير إلى توصياتها السابقة</w:t>
      </w:r>
      <w:r w:rsidR="00623A13" w:rsidRPr="0027756C">
        <w:rPr>
          <w:rStyle w:val="FootnoteReference"/>
          <w:rFonts w:eastAsiaTheme="minorEastAsia"/>
          <w:b/>
          <w:szCs w:val="22"/>
          <w:rtl/>
        </w:rPr>
        <w:t>(</w:t>
      </w:r>
      <w:r w:rsidR="00623A13" w:rsidRPr="00943940">
        <w:rPr>
          <w:rStyle w:val="FootnoteReference"/>
          <w:rFonts w:eastAsiaTheme="minorEastAsia"/>
          <w:bCs/>
          <w:szCs w:val="22"/>
          <w:lang w:val="en-US"/>
        </w:rPr>
        <w:footnoteReference w:id="16"/>
      </w:r>
      <w:r w:rsidR="00623A13" w:rsidRPr="0027756C">
        <w:rPr>
          <w:rStyle w:val="FootnoteReference"/>
          <w:rFonts w:eastAsiaTheme="minorEastAsia"/>
          <w:b/>
          <w:szCs w:val="22"/>
          <w:rtl/>
        </w:rPr>
        <w:t>)</w:t>
      </w:r>
      <w:r w:rsidRPr="0027756C">
        <w:rPr>
          <w:rFonts w:eastAsiaTheme="minorEastAsia"/>
          <w:bCs/>
          <w:rtl/>
        </w:rPr>
        <w:t>، على اعتماد وتنفيذ سياسة عامة لحماية الصحفيين والمدافعين عن حقوق الإنسان تكون نتيجة عملية تشاركية، ودراسة أسباب العنف غير المسبوق تجاه هاتين الفئتين بمزيد من التعمق، قصد تمكين الصحفيين والمدافعين عن</w:t>
      </w:r>
      <w:r w:rsidR="001C6DB3" w:rsidRPr="0027756C">
        <w:rPr>
          <w:rFonts w:eastAsiaTheme="minorEastAsia" w:hint="cs"/>
          <w:bCs/>
          <w:rtl/>
        </w:rPr>
        <w:t> </w:t>
      </w:r>
      <w:r w:rsidRPr="0027756C">
        <w:rPr>
          <w:rFonts w:eastAsiaTheme="minorEastAsia"/>
          <w:bCs/>
          <w:rtl/>
        </w:rPr>
        <w:t>حقوق الإنسان من الاضطلاع بعملهم وأنشطتهم بحرية في الدولة الطرف دون خوف من الانتقام</w:t>
      </w:r>
      <w:r w:rsidR="001C6DB3" w:rsidRPr="0027756C">
        <w:rPr>
          <w:rFonts w:eastAsiaTheme="minorEastAsia" w:hint="cs"/>
          <w:bCs/>
          <w:rtl/>
        </w:rPr>
        <w:t> </w:t>
      </w:r>
      <w:r w:rsidRPr="0027756C">
        <w:rPr>
          <w:rFonts w:eastAsiaTheme="minorEastAsia"/>
          <w:bCs/>
          <w:rtl/>
        </w:rPr>
        <w:t>أو الاعتداء.</w:t>
      </w:r>
    </w:p>
    <w:p w14:paraId="6B7CC561" w14:textId="77777777" w:rsidR="00C06882" w:rsidRPr="00C06882" w:rsidRDefault="00C06882" w:rsidP="00623A13">
      <w:pPr>
        <w:pStyle w:val="H23GA"/>
        <w:rPr>
          <w:lang w:eastAsia="zh-TW" w:bidi="en-GB"/>
        </w:rPr>
      </w:pPr>
      <w:r w:rsidRPr="00C06882">
        <w:rPr>
          <w:rtl/>
        </w:rPr>
        <w:tab/>
      </w:r>
      <w:r w:rsidRPr="00C06882">
        <w:rPr>
          <w:rtl/>
        </w:rPr>
        <w:tab/>
        <w:t xml:space="preserve">العنف </w:t>
      </w:r>
      <w:proofErr w:type="spellStart"/>
      <w:r w:rsidRPr="00C06882">
        <w:rPr>
          <w:rtl/>
        </w:rPr>
        <w:t>الجنساني</w:t>
      </w:r>
      <w:proofErr w:type="spellEnd"/>
      <w:r w:rsidRPr="00C06882">
        <w:rPr>
          <w:rtl/>
        </w:rPr>
        <w:t xml:space="preserve"> والعنف العائلي </w:t>
      </w:r>
    </w:p>
    <w:p w14:paraId="2CAD005E" w14:textId="77777777" w:rsidR="00C06882" w:rsidRPr="00C06882" w:rsidRDefault="00C06882" w:rsidP="00C06882">
      <w:pPr>
        <w:pStyle w:val="SingleTxtGA"/>
        <w:rPr>
          <w:rFonts w:eastAsiaTheme="minorEastAsia"/>
          <w:lang w:eastAsia="zh-TW" w:bidi="en-GB"/>
        </w:rPr>
      </w:pPr>
      <w:r w:rsidRPr="0027756C">
        <w:rPr>
          <w:rFonts w:eastAsiaTheme="minorEastAsia"/>
          <w:rtl/>
        </w:rPr>
        <w:t>43</w:t>
      </w:r>
      <w:r w:rsidRPr="00C06882">
        <w:rPr>
          <w:rFonts w:eastAsiaTheme="minorEastAsia"/>
          <w:rtl/>
        </w:rPr>
        <w:t>-</w:t>
      </w:r>
      <w:r w:rsidRPr="00C06882">
        <w:rPr>
          <w:rFonts w:eastAsiaTheme="minorEastAsia"/>
          <w:rtl/>
        </w:rPr>
        <w:tab/>
        <w:t xml:space="preserve">تسلّم اللجنة بجهود الدولة الطرف الرامية إلى تدوين حقوق المرأة وتجريم العنف </w:t>
      </w:r>
      <w:proofErr w:type="spellStart"/>
      <w:r w:rsidRPr="00C06882">
        <w:rPr>
          <w:rFonts w:eastAsiaTheme="minorEastAsia"/>
          <w:rtl/>
        </w:rPr>
        <w:t>الجنساني</w:t>
      </w:r>
      <w:proofErr w:type="spellEnd"/>
      <w:r w:rsidRPr="00C06882">
        <w:rPr>
          <w:rFonts w:eastAsiaTheme="minorEastAsia"/>
          <w:rtl/>
        </w:rPr>
        <w:t xml:space="preserve"> في قانونها الجنائي. غير أنها تشعر بالقلق إزاء قلّة توجيه الاتهامات إلى المتهمين باقتراف العنف العائلي وكون غالبية الضحايا لا يستفيدون من خطط الحماية الفردية رغم الأحكام القانونية المتعلقة بتدابير الطوارئ (المواد </w:t>
      </w:r>
      <w:r w:rsidRPr="0027756C">
        <w:rPr>
          <w:rFonts w:eastAsiaTheme="minorEastAsia"/>
          <w:rtl/>
        </w:rPr>
        <w:t>2</w:t>
      </w:r>
      <w:r w:rsidRPr="00C06882">
        <w:rPr>
          <w:rFonts w:eastAsiaTheme="minorEastAsia"/>
          <w:rtl/>
        </w:rPr>
        <w:t xml:space="preserve"> و</w:t>
      </w:r>
      <w:r w:rsidRPr="0027756C">
        <w:rPr>
          <w:rFonts w:eastAsiaTheme="minorEastAsia"/>
          <w:rtl/>
        </w:rPr>
        <w:t>12</w:t>
      </w:r>
      <w:r w:rsidRPr="00C06882">
        <w:rPr>
          <w:rFonts w:eastAsiaTheme="minorEastAsia"/>
          <w:rtl/>
        </w:rPr>
        <w:t xml:space="preserve"> و</w:t>
      </w:r>
      <w:r w:rsidRPr="0027756C">
        <w:rPr>
          <w:rFonts w:eastAsiaTheme="minorEastAsia"/>
          <w:rtl/>
        </w:rPr>
        <w:t>13</w:t>
      </w:r>
      <w:r w:rsidRPr="00C06882">
        <w:rPr>
          <w:rFonts w:eastAsiaTheme="minorEastAsia"/>
          <w:rtl/>
        </w:rPr>
        <w:t xml:space="preserve"> و</w:t>
      </w:r>
      <w:r w:rsidRPr="0027756C">
        <w:rPr>
          <w:rFonts w:eastAsiaTheme="minorEastAsia"/>
          <w:rtl/>
        </w:rPr>
        <w:t>14</w:t>
      </w:r>
      <w:r w:rsidRPr="00C06882">
        <w:rPr>
          <w:rFonts w:eastAsiaTheme="minorEastAsia"/>
          <w:rtl/>
        </w:rPr>
        <w:t xml:space="preserve"> و</w:t>
      </w:r>
      <w:r w:rsidRPr="0027756C">
        <w:rPr>
          <w:rFonts w:eastAsiaTheme="minorEastAsia"/>
          <w:rtl/>
        </w:rPr>
        <w:t>16</w:t>
      </w:r>
      <w:r w:rsidRPr="00C06882">
        <w:rPr>
          <w:rFonts w:eastAsiaTheme="minorEastAsia"/>
          <w:rtl/>
        </w:rPr>
        <w:t xml:space="preserve">). وتشعر بالقلق أيضاً إزاء العدد المحدود من الملاجئ المتاحة لضحايا العنف العائلي في جميع أنحاء الدولة الطرف. </w:t>
      </w:r>
    </w:p>
    <w:p w14:paraId="03F3DFCF" w14:textId="279F2681" w:rsidR="00C06882" w:rsidRPr="0027756C" w:rsidRDefault="00C06882" w:rsidP="00C06882">
      <w:pPr>
        <w:pStyle w:val="SingleTxtGA"/>
        <w:rPr>
          <w:rFonts w:eastAsiaTheme="minorEastAsia"/>
          <w:bCs/>
          <w:lang w:eastAsia="zh-TW" w:bidi="en-GB"/>
        </w:rPr>
      </w:pPr>
      <w:r w:rsidRPr="0027756C">
        <w:rPr>
          <w:rFonts w:eastAsiaTheme="minorEastAsia"/>
          <w:rtl/>
        </w:rPr>
        <w:lastRenderedPageBreak/>
        <w:t>44</w:t>
      </w:r>
      <w:r w:rsidRPr="00C06882">
        <w:rPr>
          <w:rFonts w:eastAsiaTheme="minorEastAsia"/>
          <w:rtl/>
        </w:rPr>
        <w:t>-</w:t>
      </w:r>
      <w:r w:rsidRPr="00C06882">
        <w:rPr>
          <w:rFonts w:eastAsiaTheme="minorEastAsia"/>
          <w:rtl/>
        </w:rPr>
        <w:tab/>
      </w:r>
      <w:r w:rsidRPr="0027756C">
        <w:rPr>
          <w:rFonts w:eastAsiaTheme="minorEastAsia"/>
          <w:bCs/>
          <w:rtl/>
        </w:rPr>
        <w:t>تذكّر اللجنة بتوصياتها السابقة</w:t>
      </w:r>
      <w:r w:rsidR="00623A13" w:rsidRPr="0027756C">
        <w:rPr>
          <w:rStyle w:val="FootnoteReference"/>
          <w:rFonts w:eastAsiaTheme="minorEastAsia"/>
          <w:b/>
          <w:szCs w:val="22"/>
          <w:rtl/>
        </w:rPr>
        <w:t>(</w:t>
      </w:r>
      <w:r w:rsidR="00623A13" w:rsidRPr="00943940">
        <w:rPr>
          <w:rStyle w:val="FootnoteReference"/>
          <w:rFonts w:eastAsiaTheme="minorEastAsia"/>
          <w:bCs/>
          <w:szCs w:val="22"/>
          <w:lang w:val="en-US"/>
        </w:rPr>
        <w:footnoteReference w:id="17"/>
      </w:r>
      <w:r w:rsidR="00623A13" w:rsidRPr="0027756C">
        <w:rPr>
          <w:rStyle w:val="FootnoteReference"/>
          <w:rFonts w:eastAsiaTheme="minorEastAsia"/>
          <w:b/>
          <w:szCs w:val="22"/>
          <w:rtl/>
        </w:rPr>
        <w:t>)</w:t>
      </w:r>
      <w:r w:rsidRPr="0027756C">
        <w:rPr>
          <w:rFonts w:eastAsiaTheme="minorEastAsia"/>
          <w:bCs/>
          <w:rtl/>
        </w:rPr>
        <w:t xml:space="preserve"> وتحث أيضاً الدولة الطرف على أن تكفل إجراء تحقيقات سريعة وشاملة في جميع حالات العنف العائلي والعنف </w:t>
      </w:r>
      <w:proofErr w:type="spellStart"/>
      <w:r w:rsidRPr="0027756C">
        <w:rPr>
          <w:rFonts w:eastAsiaTheme="minorEastAsia"/>
          <w:bCs/>
          <w:rtl/>
        </w:rPr>
        <w:t>الجنساني</w:t>
      </w:r>
      <w:proofErr w:type="spellEnd"/>
      <w:r w:rsidRPr="0027756C">
        <w:rPr>
          <w:rFonts w:eastAsiaTheme="minorEastAsia"/>
          <w:bCs/>
          <w:rtl/>
        </w:rPr>
        <w:t>، ومقاضاة الجناة المزعومين، وإنزال العقوبات المناسبة بهم، إن أدينوا، وجبر الضحايا، بطرق منها منحهم تعويضاً كافياً وإعادة تأهيلهم.</w:t>
      </w:r>
      <w:r w:rsidRPr="001C6DB3">
        <w:rPr>
          <w:rFonts w:eastAsiaTheme="minorEastAsia"/>
          <w:bCs/>
          <w:rtl/>
        </w:rPr>
        <w:t xml:space="preserve"> </w:t>
      </w:r>
      <w:r w:rsidRPr="0027756C">
        <w:rPr>
          <w:rFonts w:eastAsiaTheme="minorEastAsia"/>
          <w:bCs/>
          <w:rtl/>
        </w:rPr>
        <w:t>وتحثها أيضاً على أن تكفل منع العنف، بوسائل منها إزالة العوائق القانونية التي تعترض سبيل النساء ضحايا العنف العائلي بحيث يتسنى لهن فوراً أن</w:t>
      </w:r>
      <w:r w:rsidR="00623A13" w:rsidRPr="0027756C">
        <w:rPr>
          <w:rFonts w:eastAsiaTheme="minorEastAsia"/>
          <w:bCs/>
          <w:rtl/>
        </w:rPr>
        <w:t xml:space="preserve"> </w:t>
      </w:r>
      <w:r w:rsidRPr="0027756C">
        <w:rPr>
          <w:rFonts w:eastAsiaTheme="minorEastAsia"/>
          <w:bCs/>
          <w:rtl/>
        </w:rPr>
        <w:t xml:space="preserve">يطلبن </w:t>
      </w:r>
      <w:proofErr w:type="spellStart"/>
      <w:r w:rsidRPr="0027756C">
        <w:rPr>
          <w:rFonts w:eastAsiaTheme="minorEastAsia"/>
          <w:bCs/>
          <w:rtl/>
        </w:rPr>
        <w:t>إلىالسلطات</w:t>
      </w:r>
      <w:proofErr w:type="spellEnd"/>
      <w:r w:rsidRPr="0027756C">
        <w:rPr>
          <w:rFonts w:eastAsiaTheme="minorEastAsia"/>
          <w:bCs/>
          <w:rtl/>
        </w:rPr>
        <w:t xml:space="preserve"> اتخاذ تدابير حماية، بما فيها إصدار أوامر تقييدية والفصل القانوني.</w:t>
      </w:r>
      <w:r w:rsidRPr="001C6DB3">
        <w:rPr>
          <w:rFonts w:eastAsiaTheme="minorEastAsia"/>
          <w:bCs/>
          <w:rtl/>
        </w:rPr>
        <w:t xml:space="preserve"> </w:t>
      </w:r>
      <w:r w:rsidRPr="0027756C">
        <w:rPr>
          <w:rFonts w:eastAsiaTheme="minorEastAsia"/>
          <w:bCs/>
          <w:rtl/>
        </w:rPr>
        <w:t>وتوصي اللجنة الدولة الطرف بزيادة عدد الملاجئ المتخصصة في البلد وضمان</w:t>
      </w:r>
      <w:r w:rsidRPr="0027756C">
        <w:rPr>
          <w:rFonts w:eastAsiaTheme="minorEastAsia"/>
          <w:b/>
          <w:rtl/>
        </w:rPr>
        <w:t xml:space="preserve"> </w:t>
      </w:r>
      <w:r w:rsidRPr="0027756C">
        <w:rPr>
          <w:rFonts w:eastAsiaTheme="minorEastAsia"/>
          <w:bCs/>
          <w:rtl/>
        </w:rPr>
        <w:t xml:space="preserve">تمكّن الناجيات والناجين من العنف </w:t>
      </w:r>
      <w:proofErr w:type="spellStart"/>
      <w:r w:rsidRPr="0027756C">
        <w:rPr>
          <w:rFonts w:eastAsiaTheme="minorEastAsia"/>
          <w:bCs/>
          <w:rtl/>
        </w:rPr>
        <w:t>الجنساني</w:t>
      </w:r>
      <w:proofErr w:type="spellEnd"/>
      <w:r w:rsidRPr="0027756C">
        <w:rPr>
          <w:rFonts w:eastAsiaTheme="minorEastAsia"/>
          <w:bCs/>
          <w:rtl/>
        </w:rPr>
        <w:t xml:space="preserve"> من الوصول إليها والحصول على الرعاية الطبية اللازمة والمساندة النفسية والمساعدة القضائية التي يحتاجون إليها.</w:t>
      </w:r>
    </w:p>
    <w:p w14:paraId="3DDDAA84" w14:textId="77777777" w:rsidR="00C06882" w:rsidRPr="00C06882" w:rsidRDefault="00C06882" w:rsidP="00623A13">
      <w:pPr>
        <w:pStyle w:val="H23GA"/>
        <w:rPr>
          <w:lang w:val="ar-SA" w:eastAsia="zh-TW" w:bidi="en-GB"/>
        </w:rPr>
      </w:pPr>
      <w:r w:rsidRPr="00C06882">
        <w:rPr>
          <w:rtl/>
        </w:rPr>
        <w:tab/>
      </w:r>
      <w:r w:rsidRPr="00C06882">
        <w:rPr>
          <w:rtl/>
        </w:rPr>
        <w:tab/>
        <w:t>إجراءات المتابعة</w:t>
      </w:r>
    </w:p>
    <w:p w14:paraId="7BE36B22" w14:textId="2E39FEE5" w:rsidR="00C06882" w:rsidRPr="001C6DB3" w:rsidRDefault="00C06882" w:rsidP="00C06882">
      <w:pPr>
        <w:pStyle w:val="SingleTxtGA"/>
        <w:rPr>
          <w:rFonts w:eastAsiaTheme="minorEastAsia"/>
          <w:bCs/>
          <w:lang w:eastAsia="zh-TW" w:bidi="en-GB"/>
        </w:rPr>
      </w:pPr>
      <w:r w:rsidRPr="0027756C">
        <w:rPr>
          <w:rFonts w:eastAsiaTheme="minorEastAsia"/>
          <w:rtl/>
        </w:rPr>
        <w:t>45</w:t>
      </w:r>
      <w:r w:rsidRPr="00C06882">
        <w:rPr>
          <w:rFonts w:eastAsiaTheme="minorEastAsia"/>
          <w:rtl/>
        </w:rPr>
        <w:t>-</w:t>
      </w:r>
      <w:r w:rsidRPr="00C06882">
        <w:rPr>
          <w:rFonts w:eastAsiaTheme="minorEastAsia"/>
          <w:rtl/>
        </w:rPr>
        <w:tab/>
      </w:r>
      <w:r w:rsidRPr="0027756C">
        <w:rPr>
          <w:rFonts w:eastAsiaTheme="minorEastAsia"/>
          <w:bCs/>
          <w:rtl/>
        </w:rPr>
        <w:t>تطلب اللجنة إلى الدولة الطرف أن تقدم، بحلول 30 كانون الأول/ديسمبر 2022، معلومات عن متابعتها توصيات اللجنة بشأن تعريف التعذيب، والمؤسسة الوطنية لحقوق الإنسان، والإفلات من العقاب على أفعال</w:t>
      </w:r>
      <w:r w:rsidR="00623A13" w:rsidRPr="0027756C">
        <w:rPr>
          <w:rFonts w:eastAsiaTheme="minorEastAsia"/>
          <w:bCs/>
          <w:rtl/>
        </w:rPr>
        <w:t xml:space="preserve"> </w:t>
      </w:r>
      <w:r w:rsidRPr="0027756C">
        <w:rPr>
          <w:rFonts w:eastAsiaTheme="minorEastAsia"/>
          <w:bCs/>
          <w:rtl/>
        </w:rPr>
        <w:t>التعذيب وإساءة المعاملة (انظر(ي) الفقرات 8 و12 و20(أ) أعلاه).</w:t>
      </w:r>
      <w:r w:rsidRPr="001C6DB3">
        <w:rPr>
          <w:rFonts w:eastAsiaTheme="minorEastAsia"/>
          <w:bCs/>
          <w:rtl/>
        </w:rPr>
        <w:t xml:space="preserve"> </w:t>
      </w:r>
      <w:r w:rsidRPr="0027756C">
        <w:rPr>
          <w:rFonts w:eastAsiaTheme="minorEastAsia"/>
          <w:bCs/>
          <w:rtl/>
        </w:rPr>
        <w:t>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14:paraId="5E91E7BE" w14:textId="77777777" w:rsidR="00C06882" w:rsidRPr="00C06882" w:rsidRDefault="00C06882" w:rsidP="00623A13">
      <w:pPr>
        <w:pStyle w:val="H23GA"/>
        <w:rPr>
          <w:lang w:eastAsia="zh-TW" w:bidi="en-GB"/>
        </w:rPr>
      </w:pPr>
      <w:r w:rsidRPr="00C06882">
        <w:rPr>
          <w:rtl/>
        </w:rPr>
        <w:tab/>
      </w:r>
      <w:r w:rsidRPr="00C06882">
        <w:rPr>
          <w:rtl/>
        </w:rPr>
        <w:tab/>
        <w:t>مسائل أخرى</w:t>
      </w:r>
    </w:p>
    <w:p w14:paraId="1E744F8C" w14:textId="0B982C06" w:rsidR="00C06882" w:rsidRPr="001C6DB3" w:rsidRDefault="00C06882" w:rsidP="00C06882">
      <w:pPr>
        <w:pStyle w:val="SingleTxtGA"/>
        <w:rPr>
          <w:rFonts w:eastAsiaTheme="minorEastAsia"/>
          <w:bCs/>
          <w:lang w:eastAsia="zh-TW" w:bidi="en-GB"/>
        </w:rPr>
      </w:pPr>
      <w:r w:rsidRPr="0027756C">
        <w:rPr>
          <w:rFonts w:eastAsiaTheme="minorEastAsia"/>
          <w:rtl/>
        </w:rPr>
        <w:t>46</w:t>
      </w:r>
      <w:r w:rsidRPr="00C06882">
        <w:rPr>
          <w:rFonts w:eastAsiaTheme="minorEastAsia"/>
          <w:rtl/>
        </w:rPr>
        <w:t>-</w:t>
      </w:r>
      <w:r w:rsidRPr="00C06882">
        <w:rPr>
          <w:rFonts w:eastAsiaTheme="minorEastAsia"/>
          <w:rtl/>
        </w:rPr>
        <w:tab/>
      </w:r>
      <w:r w:rsidRPr="0027756C">
        <w:rPr>
          <w:rFonts w:eastAsiaTheme="minorEastAsia"/>
          <w:bCs/>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بأنشطةَ النشر التي اضطلعت بها.</w:t>
      </w:r>
    </w:p>
    <w:p w14:paraId="6F1C7A6F" w14:textId="77777777" w:rsidR="00C06882" w:rsidRPr="0027756C" w:rsidRDefault="00C06882" w:rsidP="00C06882">
      <w:pPr>
        <w:pStyle w:val="SingleTxtGA"/>
        <w:rPr>
          <w:rFonts w:eastAsiaTheme="minorEastAsia"/>
          <w:bCs/>
          <w:lang w:eastAsia="zh-TW" w:bidi="en-GB"/>
        </w:rPr>
      </w:pPr>
      <w:r w:rsidRPr="0027756C">
        <w:rPr>
          <w:rFonts w:eastAsiaTheme="minorEastAsia"/>
          <w:rtl/>
        </w:rPr>
        <w:t>47</w:t>
      </w:r>
      <w:r w:rsidRPr="00C06882">
        <w:rPr>
          <w:rFonts w:eastAsiaTheme="minorEastAsia"/>
          <w:rtl/>
        </w:rPr>
        <w:t>-</w:t>
      </w:r>
      <w:r w:rsidRPr="00C06882">
        <w:rPr>
          <w:rFonts w:eastAsiaTheme="minorEastAsia"/>
          <w:rtl/>
        </w:rPr>
        <w:tab/>
      </w:r>
      <w:r w:rsidRPr="0027756C">
        <w:rPr>
          <w:rFonts w:eastAsiaTheme="minorEastAsia"/>
          <w:bCs/>
          <w:rtl/>
        </w:rPr>
        <w:t>وتطلب اللجنة إلى الدولة الطرف أن تقدّم تقريرها الدوري المقبل، الذي سيكون تقريرها الرابع، بحلول 30 كانون الأول/ديسمبر 2025.</w:t>
      </w:r>
      <w:r w:rsidRPr="001C6DB3">
        <w:rPr>
          <w:rFonts w:eastAsiaTheme="minorEastAsia"/>
          <w:bCs/>
          <w:rtl/>
        </w:rPr>
        <w:t xml:space="preserve"> </w:t>
      </w:r>
      <w:r w:rsidRPr="0027756C">
        <w:rPr>
          <w:rFonts w:eastAsiaTheme="minorEastAsia"/>
          <w:bCs/>
          <w:rtl/>
        </w:rPr>
        <w:t>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w:t>
      </w:r>
      <w:r w:rsidRPr="001C6DB3">
        <w:rPr>
          <w:rFonts w:eastAsiaTheme="minorEastAsia"/>
          <w:bCs/>
          <w:rtl/>
        </w:rPr>
        <w:t xml:space="preserve"> </w:t>
      </w:r>
      <w:r w:rsidRPr="0027756C">
        <w:rPr>
          <w:rFonts w:eastAsiaTheme="minorEastAsia"/>
          <w:bCs/>
          <w:rtl/>
        </w:rPr>
        <w:t>وستشكل ردود الدولة الطرف على قائمة المسائل هذه تقريرها الدوري الرابع بموجب المادة 19 من الاتفاقية.</w:t>
      </w:r>
    </w:p>
    <w:p w14:paraId="1220D234" w14:textId="102CD1D0" w:rsidR="00623A13" w:rsidRPr="00623A13" w:rsidRDefault="00623A13" w:rsidP="00623A13">
      <w:pPr>
        <w:pStyle w:val="SingleTxtGA"/>
        <w:jc w:val="center"/>
        <w:rPr>
          <w:u w:val="single"/>
          <w:rtl/>
        </w:rPr>
      </w:pPr>
      <w:r>
        <w:rPr>
          <w:u w:val="single"/>
          <w:rtl/>
        </w:rPr>
        <w:tab/>
      </w:r>
      <w:r>
        <w:rPr>
          <w:u w:val="single"/>
          <w:rtl/>
        </w:rPr>
        <w:tab/>
      </w:r>
      <w:r>
        <w:rPr>
          <w:u w:val="single"/>
          <w:rtl/>
        </w:rPr>
        <w:tab/>
      </w:r>
    </w:p>
    <w:sectPr w:rsidR="00623A13" w:rsidRPr="00623A13" w:rsidSect="0009665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2320B" w14:textId="77777777" w:rsidR="00623A13" w:rsidRPr="002901D9" w:rsidRDefault="00623A13" w:rsidP="00874514">
      <w:pPr>
        <w:spacing w:after="60" w:line="240" w:lineRule="auto"/>
        <w:ind w:left="57"/>
        <w:rPr>
          <w:i/>
          <w:iCs/>
        </w:rPr>
      </w:pPr>
      <w:r>
        <w:rPr>
          <w:rFonts w:hint="cs"/>
          <w:i/>
          <w:iCs/>
          <w:rtl/>
        </w:rPr>
        <w:t>الحواشي</w:t>
      </w:r>
    </w:p>
  </w:endnote>
  <w:endnote w:type="continuationSeparator" w:id="0">
    <w:p w14:paraId="58EBE4EC" w14:textId="77777777" w:rsidR="00623A13" w:rsidRDefault="00623A1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2017" w14:textId="2F7E8FAF" w:rsidR="00623A13" w:rsidRPr="00DF2F51" w:rsidRDefault="00623A13" w:rsidP="00DF2F51">
    <w:pPr>
      <w:pStyle w:val="Footer"/>
      <w:tabs>
        <w:tab w:val="right" w:pos="9638"/>
      </w:tabs>
      <w:rPr>
        <w:b/>
        <w:sz w:val="18"/>
        <w:lang w:val="en-US"/>
      </w:rPr>
    </w:pPr>
    <w:r>
      <w:rPr>
        <w:lang w:val="en-US"/>
      </w:rPr>
      <w:t>GE.21-19329A</w:t>
    </w:r>
    <w:r>
      <w:rPr>
        <w:lang w:val="en-US"/>
      </w:rPr>
      <w:tab/>
    </w:r>
    <w:r w:rsidRPr="00DF2F51">
      <w:rPr>
        <w:b/>
        <w:sz w:val="18"/>
        <w:lang w:val="en-US"/>
      </w:rPr>
      <w:fldChar w:fldCharType="begin"/>
    </w:r>
    <w:r w:rsidRPr="00DF2F51">
      <w:rPr>
        <w:b/>
        <w:sz w:val="18"/>
        <w:lang w:val="en-US"/>
      </w:rPr>
      <w:instrText xml:space="preserve"> PAGE  \* MERGEFORMAT </w:instrText>
    </w:r>
    <w:r w:rsidRPr="00DF2F51">
      <w:rPr>
        <w:b/>
        <w:sz w:val="18"/>
        <w:lang w:val="en-US"/>
      </w:rPr>
      <w:fldChar w:fldCharType="separate"/>
    </w:r>
    <w:r w:rsidRPr="00DF2F51">
      <w:rPr>
        <w:b/>
        <w:noProof/>
        <w:sz w:val="18"/>
        <w:lang w:val="en-US"/>
      </w:rPr>
      <w:t>2</w:t>
    </w:r>
    <w:r w:rsidRPr="00DF2F5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1220" w14:textId="375CBDFD" w:rsidR="00623A13" w:rsidRPr="00DF2F51" w:rsidRDefault="00623A13" w:rsidP="00DF2F5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GE.21-19329A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A5CA" w14:textId="6582142F" w:rsidR="00623A13" w:rsidRPr="00DF2F51" w:rsidRDefault="00623A13" w:rsidP="00DF2F51">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C9C5E92" wp14:editId="22C925F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21-19329A (A)</w:t>
    </w:r>
    <w:r>
      <w:rPr>
        <w:noProof/>
        <w:sz w:val="20"/>
        <w:lang w:val="en-US"/>
      </w:rPr>
      <w:drawing>
        <wp:anchor distT="0" distB="0" distL="114300" distR="114300" simplePos="0" relativeHeight="251659264" behindDoc="0" locked="0" layoutInCell="1" allowOverlap="1" wp14:anchorId="7803B13B" wp14:editId="58068F4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3E47" w14:textId="77777777" w:rsidR="00623A13" w:rsidRPr="00C111C6" w:rsidRDefault="00623A13"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348A298" w14:textId="77777777" w:rsidR="00623A13" w:rsidRDefault="00623A13" w:rsidP="00656392">
      <w:pPr>
        <w:spacing w:line="240" w:lineRule="auto"/>
      </w:pPr>
      <w:r>
        <w:continuationSeparator/>
      </w:r>
    </w:p>
  </w:footnote>
  <w:footnote w:id="1">
    <w:p w14:paraId="6BEE2D37" w14:textId="0AA246AC" w:rsidR="00623A13" w:rsidRPr="00623A13" w:rsidRDefault="00623A13" w:rsidP="00C06882">
      <w:pPr>
        <w:pStyle w:val="FootnoteText1"/>
        <w:rPr>
          <w:rFonts w:eastAsiaTheme="minorEastAsia"/>
          <w:rtl/>
        </w:rPr>
      </w:pPr>
      <w:r w:rsidRPr="00623A13">
        <w:rPr>
          <w:rFonts w:eastAsiaTheme="minorEastAsia"/>
          <w:sz w:val="22"/>
          <w:szCs w:val="22"/>
          <w:rtl/>
        </w:rPr>
        <w:t>*</w:t>
      </w:r>
      <w:r w:rsidRPr="00623A13">
        <w:rPr>
          <w:rFonts w:eastAsiaTheme="minorEastAsia"/>
          <w:rtl/>
        </w:rPr>
        <w:tab/>
        <w:t>اعتمدتها اللجنة في دورتها الثانية والسبعين (</w:t>
      </w:r>
      <w:r w:rsidRPr="0027756C">
        <w:rPr>
          <w:rFonts w:eastAsiaTheme="minorEastAsia"/>
          <w:rtl/>
        </w:rPr>
        <w:t>8</w:t>
      </w:r>
      <w:r w:rsidRPr="00623A13">
        <w:rPr>
          <w:rFonts w:eastAsiaTheme="minorEastAsia"/>
          <w:rtl/>
        </w:rPr>
        <w:t xml:space="preserve"> تشرين الثاني/نوفمبر - </w:t>
      </w:r>
      <w:r w:rsidRPr="0027756C">
        <w:rPr>
          <w:rFonts w:eastAsiaTheme="minorEastAsia"/>
          <w:rtl/>
        </w:rPr>
        <w:t>3</w:t>
      </w:r>
      <w:r w:rsidRPr="00623A13">
        <w:rPr>
          <w:rFonts w:eastAsiaTheme="minorEastAsia"/>
          <w:rtl/>
        </w:rPr>
        <w:t xml:space="preserve"> كانون الأول/ديسمبر </w:t>
      </w:r>
      <w:r w:rsidRPr="0027756C">
        <w:rPr>
          <w:rFonts w:eastAsiaTheme="minorEastAsia"/>
          <w:rtl/>
        </w:rPr>
        <w:t>2021</w:t>
      </w:r>
      <w:r w:rsidRPr="00623A13">
        <w:rPr>
          <w:rFonts w:eastAsiaTheme="minorEastAsia"/>
          <w:rtl/>
        </w:rPr>
        <w:t>).</w:t>
      </w:r>
    </w:p>
  </w:footnote>
  <w:footnote w:id="2">
    <w:p w14:paraId="2706C619" w14:textId="1638770B" w:rsidR="00623A13" w:rsidRPr="00623A13" w:rsidRDefault="00623A13" w:rsidP="00C06882">
      <w:pPr>
        <w:pStyle w:val="FootnoteText1"/>
        <w:textDirection w:val="tbRlV"/>
        <w:rPr>
          <w:rFonts w:eastAsiaTheme="minorEastAsia"/>
          <w:lang w:eastAsia="zh-TW" w:bidi="en-GB"/>
        </w:rPr>
      </w:pPr>
      <w:r w:rsidRPr="0027756C">
        <w:rPr>
          <w:rStyle w:val="FootnoteReference"/>
          <w:rFonts w:eastAsiaTheme="minorEastAsia"/>
          <w:vertAlign w:val="baseline"/>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r>
      <w:hyperlink r:id="rId1" w:history="1">
        <w:r w:rsidRPr="00375AD5">
          <w:rPr>
            <w:rStyle w:val="Hyperlink"/>
            <w:rFonts w:eastAsiaTheme="minorEastAsia"/>
          </w:rPr>
          <w:t>CAT/C/SRB/</w:t>
        </w:r>
        <w:r w:rsidRPr="0027756C">
          <w:rPr>
            <w:rStyle w:val="Hyperlink"/>
            <w:rFonts w:eastAsiaTheme="minorEastAsia"/>
          </w:rPr>
          <w:t>3</w:t>
        </w:r>
      </w:hyperlink>
      <w:r w:rsidRPr="00623A13">
        <w:rPr>
          <w:rFonts w:eastAsiaTheme="minorEastAsia"/>
          <w:rtl/>
        </w:rPr>
        <w:t>.</w:t>
      </w:r>
    </w:p>
  </w:footnote>
  <w:footnote w:id="3">
    <w:p w14:paraId="5EB7EF1D" w14:textId="4CC76DD1" w:rsidR="00623A13" w:rsidRPr="00375AD5" w:rsidRDefault="00623A13" w:rsidP="00C06882">
      <w:pPr>
        <w:pStyle w:val="FootnoteText1"/>
        <w:textDirection w:val="tbRlV"/>
        <w:rPr>
          <w:rFonts w:eastAsiaTheme="minorEastAsia"/>
          <w:lang w:eastAsia="zh-TW" w:bidi="en-GB"/>
        </w:rPr>
      </w:pPr>
      <w:r w:rsidRPr="0027756C">
        <w:rPr>
          <w:rStyle w:val="FootnoteReference"/>
          <w:rFonts w:eastAsiaTheme="minorEastAsia"/>
          <w:vertAlign w:val="baseline"/>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انظر(ي) </w:t>
      </w:r>
      <w:hyperlink r:id="rId2" w:history="1">
        <w:r w:rsidRPr="00375AD5">
          <w:rPr>
            <w:rStyle w:val="Hyperlink"/>
            <w:rFonts w:eastAsiaTheme="minorEastAsia"/>
          </w:rPr>
          <w:t>CAT/C/SR.</w:t>
        </w:r>
        <w:r w:rsidRPr="0027756C">
          <w:rPr>
            <w:rStyle w:val="Hyperlink"/>
            <w:rFonts w:eastAsiaTheme="minorEastAsia"/>
          </w:rPr>
          <w:t>1862</w:t>
        </w:r>
      </w:hyperlink>
      <w:r w:rsidRPr="00623A13">
        <w:rPr>
          <w:rFonts w:eastAsiaTheme="minorEastAsia"/>
          <w:rtl/>
        </w:rPr>
        <w:t xml:space="preserve"> و</w:t>
      </w:r>
      <w:hyperlink r:id="rId3" w:history="1">
        <w:bookmarkStart w:id="0" w:name="_Hlk92186029"/>
        <w:r w:rsidR="0027756C" w:rsidRPr="00EB01EA">
          <w:rPr>
            <w:rStyle w:val="Hyperlink"/>
          </w:rPr>
          <w:t>CAT/C/SR.</w:t>
        </w:r>
        <w:r w:rsidR="0027756C" w:rsidRPr="00DA4793">
          <w:rPr>
            <w:rStyle w:val="Hyperlink"/>
          </w:rPr>
          <w:t>1865</w:t>
        </w:r>
        <w:bookmarkEnd w:id="0"/>
      </w:hyperlink>
      <w:r w:rsidR="00F10F83">
        <w:rPr>
          <w:rStyle w:val="Hyperlink"/>
          <w:rFonts w:hint="cs"/>
          <w:rtl/>
        </w:rPr>
        <w:t>.</w:t>
      </w:r>
    </w:p>
  </w:footnote>
  <w:footnote w:id="4">
    <w:p w14:paraId="19B0F100" w14:textId="56A4A999" w:rsidR="00623A13" w:rsidRPr="00623A13" w:rsidRDefault="00623A13" w:rsidP="00C06882">
      <w:pPr>
        <w:pStyle w:val="FootnoteText1"/>
        <w:textDirection w:val="tbRlV"/>
        <w:rPr>
          <w:rFonts w:eastAsiaTheme="minorEastAsia"/>
          <w:lang w:val="ar-SA" w:eastAsia="zh-TW" w:bidi="en-GB"/>
        </w:rPr>
      </w:pPr>
      <w:r w:rsidRPr="0027756C">
        <w:rPr>
          <w:rStyle w:val="FootnoteReference"/>
          <w:rFonts w:eastAsiaTheme="minorEastAsia"/>
          <w:vertAlign w:val="baseline"/>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r>
      <w:hyperlink r:id="rId4" w:history="1">
        <w:r w:rsidRPr="00375AD5">
          <w:rPr>
            <w:rStyle w:val="Hyperlink"/>
            <w:rFonts w:eastAsiaTheme="minorEastAsia"/>
          </w:rPr>
          <w:t>CAT/C/SRB/CO/</w:t>
        </w:r>
        <w:r w:rsidRPr="0027756C">
          <w:rPr>
            <w:rStyle w:val="Hyperlink"/>
            <w:rFonts w:eastAsiaTheme="minorEastAsia"/>
          </w:rPr>
          <w:t>2</w:t>
        </w:r>
        <w:r w:rsidRPr="00375AD5">
          <w:rPr>
            <w:rStyle w:val="Hyperlink"/>
            <w:rFonts w:eastAsiaTheme="minorEastAsia"/>
            <w:rtl/>
          </w:rPr>
          <w:t>،</w:t>
        </w:r>
      </w:hyperlink>
      <w:r w:rsidRPr="00623A13">
        <w:rPr>
          <w:rFonts w:eastAsiaTheme="minorEastAsia"/>
          <w:rtl/>
        </w:rPr>
        <w:t xml:space="preserve"> الفقرة </w:t>
      </w:r>
      <w:r w:rsidRPr="0027756C">
        <w:rPr>
          <w:rFonts w:eastAsiaTheme="minorEastAsia"/>
          <w:rtl/>
        </w:rPr>
        <w:t>4</w:t>
      </w:r>
      <w:r w:rsidRPr="00623A13">
        <w:rPr>
          <w:rFonts w:eastAsiaTheme="minorEastAsia"/>
          <w:rtl/>
        </w:rPr>
        <w:t>.</w:t>
      </w:r>
    </w:p>
  </w:footnote>
  <w:footnote w:id="5">
    <w:p w14:paraId="45ACC8FB" w14:textId="427940FD" w:rsidR="00623A13" w:rsidRPr="00623A13"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23</w:t>
      </w:r>
      <w:r w:rsidRPr="00623A13">
        <w:rPr>
          <w:rFonts w:eastAsiaTheme="minorEastAsia"/>
          <w:rtl/>
        </w:rPr>
        <w:t>.</w:t>
      </w:r>
    </w:p>
  </w:footnote>
  <w:footnote w:id="6">
    <w:p w14:paraId="6D41B1F4" w14:textId="7D1C161B"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9</w:t>
      </w:r>
      <w:r w:rsidRPr="00623A13">
        <w:rPr>
          <w:rFonts w:eastAsiaTheme="minorEastAsia"/>
          <w:rtl/>
        </w:rPr>
        <w:t>(أ).</w:t>
      </w:r>
    </w:p>
  </w:footnote>
  <w:footnote w:id="7">
    <w:p w14:paraId="23BAF134" w14:textId="5821348B"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19</w:t>
      </w:r>
      <w:r w:rsidRPr="00623A13">
        <w:rPr>
          <w:rFonts w:eastAsiaTheme="minorEastAsia"/>
          <w:rtl/>
        </w:rPr>
        <w:t>.</w:t>
      </w:r>
    </w:p>
  </w:footnote>
  <w:footnote w:id="8">
    <w:p w14:paraId="790DE893" w14:textId="214B5FA1" w:rsidR="00623A13" w:rsidRPr="00623A13"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r>
      <w:hyperlink r:id="rId5" w:history="1">
        <w:r w:rsidRPr="00375AD5">
          <w:rPr>
            <w:rStyle w:val="Hyperlink"/>
            <w:rFonts w:eastAsiaTheme="minorEastAsia"/>
          </w:rPr>
          <w:t>CAT/C/SRB/CO/</w:t>
        </w:r>
        <w:r w:rsidRPr="0027756C">
          <w:rPr>
            <w:rStyle w:val="Hyperlink"/>
            <w:rFonts w:eastAsiaTheme="minorEastAsia"/>
          </w:rPr>
          <w:t>2</w:t>
        </w:r>
        <w:r w:rsidRPr="00375AD5">
          <w:rPr>
            <w:rStyle w:val="Hyperlink"/>
            <w:rFonts w:eastAsiaTheme="minorEastAsia"/>
          </w:rPr>
          <w:t>/Add.</w:t>
        </w:r>
        <w:r w:rsidRPr="0027756C">
          <w:rPr>
            <w:rStyle w:val="Hyperlink"/>
            <w:rFonts w:eastAsiaTheme="minorEastAsia"/>
          </w:rPr>
          <w:t>1</w:t>
        </w:r>
      </w:hyperlink>
      <w:r w:rsidRPr="00623A13">
        <w:rPr>
          <w:rFonts w:eastAsiaTheme="minorEastAsia"/>
          <w:rtl/>
        </w:rPr>
        <w:t>.</w:t>
      </w:r>
    </w:p>
  </w:footnote>
  <w:footnote w:id="9">
    <w:p w14:paraId="1AEECFB0" w14:textId="6249300E"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r>
      <w:hyperlink r:id="rId6" w:history="1">
        <w:r w:rsidRPr="00375AD5">
          <w:rPr>
            <w:rStyle w:val="Hyperlink"/>
            <w:rFonts w:eastAsiaTheme="minorEastAsia"/>
          </w:rPr>
          <w:t>CAT/C/SRB/CO/</w:t>
        </w:r>
        <w:r w:rsidRPr="0027756C">
          <w:rPr>
            <w:rStyle w:val="Hyperlink"/>
            <w:rFonts w:eastAsiaTheme="minorEastAsia"/>
          </w:rPr>
          <w:t>2</w:t>
        </w:r>
        <w:r w:rsidRPr="00375AD5">
          <w:rPr>
            <w:rStyle w:val="Hyperlink"/>
            <w:rFonts w:eastAsiaTheme="minorEastAsia"/>
            <w:rtl/>
          </w:rPr>
          <w:t>،</w:t>
        </w:r>
      </w:hyperlink>
      <w:r w:rsidRPr="00623A13">
        <w:rPr>
          <w:rFonts w:eastAsiaTheme="minorEastAsia"/>
          <w:rtl/>
        </w:rPr>
        <w:t xml:space="preserve"> الفقرة </w:t>
      </w:r>
      <w:r w:rsidRPr="0027756C">
        <w:rPr>
          <w:rFonts w:eastAsiaTheme="minorEastAsia"/>
          <w:rtl/>
        </w:rPr>
        <w:t>8</w:t>
      </w:r>
      <w:r w:rsidRPr="00623A13">
        <w:rPr>
          <w:rFonts w:eastAsiaTheme="minorEastAsia"/>
          <w:rtl/>
        </w:rPr>
        <w:t>.</w:t>
      </w:r>
    </w:p>
  </w:footnote>
  <w:footnote w:id="10">
    <w:p w14:paraId="70A5F98F" w14:textId="3E64DB23" w:rsidR="00623A13" w:rsidRPr="00623A13"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9</w:t>
      </w:r>
      <w:r w:rsidRPr="00623A13">
        <w:rPr>
          <w:rFonts w:eastAsiaTheme="minorEastAsia"/>
          <w:rtl/>
        </w:rPr>
        <w:t>.</w:t>
      </w:r>
    </w:p>
  </w:footnote>
  <w:footnote w:id="11">
    <w:p w14:paraId="1B66375A" w14:textId="75A880D6" w:rsidR="00623A13" w:rsidRPr="00623A13"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18</w:t>
      </w:r>
      <w:r w:rsidRPr="00623A13">
        <w:rPr>
          <w:rFonts w:eastAsiaTheme="minorEastAsia"/>
          <w:rtl/>
        </w:rPr>
        <w:t>.</w:t>
      </w:r>
    </w:p>
  </w:footnote>
  <w:footnote w:id="12">
    <w:p w14:paraId="25BE6CF7" w14:textId="7153348F"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المرجع نفسه</w:t>
      </w:r>
    </w:p>
  </w:footnote>
  <w:footnote w:id="13">
    <w:p w14:paraId="36A1CEF2" w14:textId="4696418A"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انظر(ي) </w:t>
      </w:r>
      <w:hyperlink r:id="rId7" w:history="1">
        <w:r w:rsidRPr="00375AD5">
          <w:rPr>
            <w:rStyle w:val="Hyperlink"/>
            <w:rFonts w:eastAsiaTheme="minorEastAsia"/>
          </w:rPr>
          <w:t>CAT/C/</w:t>
        </w:r>
        <w:r w:rsidRPr="0027756C">
          <w:rPr>
            <w:rStyle w:val="Hyperlink"/>
            <w:rFonts w:eastAsiaTheme="minorEastAsia"/>
          </w:rPr>
          <w:t>67</w:t>
        </w:r>
        <w:r w:rsidRPr="00375AD5">
          <w:rPr>
            <w:rStyle w:val="Hyperlink"/>
            <w:rFonts w:eastAsiaTheme="minorEastAsia"/>
          </w:rPr>
          <w:t>/D/</w:t>
        </w:r>
        <w:r w:rsidRPr="0027756C">
          <w:rPr>
            <w:rStyle w:val="Hyperlink"/>
            <w:rFonts w:eastAsiaTheme="minorEastAsia"/>
          </w:rPr>
          <w:t>857</w:t>
        </w:r>
        <w:r w:rsidRPr="00375AD5">
          <w:rPr>
            <w:rStyle w:val="Hyperlink"/>
            <w:rFonts w:eastAsiaTheme="minorEastAsia"/>
          </w:rPr>
          <w:t>/</w:t>
        </w:r>
        <w:r w:rsidRPr="0027756C">
          <w:rPr>
            <w:rStyle w:val="Hyperlink"/>
            <w:rFonts w:eastAsiaTheme="minorEastAsia"/>
          </w:rPr>
          <w:t>2017</w:t>
        </w:r>
      </w:hyperlink>
      <w:r w:rsidRPr="00623A13">
        <w:rPr>
          <w:rFonts w:eastAsiaTheme="minorEastAsia"/>
          <w:rtl/>
        </w:rPr>
        <w:t>.</w:t>
      </w:r>
    </w:p>
  </w:footnote>
  <w:footnote w:id="14">
    <w:p w14:paraId="7A43196D" w14:textId="1E29F926" w:rsidR="00623A13" w:rsidRPr="00623A13" w:rsidRDefault="00623A13" w:rsidP="00C06882">
      <w:pPr>
        <w:pStyle w:val="FootnoteText1"/>
        <w:textDirection w:val="tbRlV"/>
        <w:rPr>
          <w:rFonts w:eastAsiaTheme="minorEastAsia"/>
          <w:lang w:val="ar-SA"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r>
      <w:hyperlink r:id="rId8" w:history="1">
        <w:r w:rsidRPr="00375AD5">
          <w:rPr>
            <w:rStyle w:val="Hyperlink"/>
            <w:rFonts w:eastAsiaTheme="minorEastAsia"/>
          </w:rPr>
          <w:t>CAT/C/SRB/CO/</w:t>
        </w:r>
        <w:r w:rsidRPr="0027756C">
          <w:rPr>
            <w:rStyle w:val="Hyperlink"/>
            <w:rFonts w:eastAsiaTheme="minorEastAsia"/>
          </w:rPr>
          <w:t>2</w:t>
        </w:r>
        <w:r w:rsidRPr="00375AD5">
          <w:rPr>
            <w:rStyle w:val="Hyperlink"/>
            <w:rFonts w:eastAsiaTheme="minorEastAsia"/>
            <w:rtl/>
          </w:rPr>
          <w:t>،</w:t>
        </w:r>
      </w:hyperlink>
      <w:r w:rsidRPr="00623A13">
        <w:rPr>
          <w:rFonts w:eastAsiaTheme="minorEastAsia"/>
          <w:rtl/>
        </w:rPr>
        <w:t xml:space="preserve"> الفقرتان </w:t>
      </w:r>
      <w:r w:rsidRPr="0027756C">
        <w:rPr>
          <w:rFonts w:eastAsiaTheme="minorEastAsia"/>
          <w:rtl/>
        </w:rPr>
        <w:t>14</w:t>
      </w:r>
      <w:r w:rsidRPr="00623A13">
        <w:rPr>
          <w:rFonts w:eastAsiaTheme="minorEastAsia"/>
          <w:rtl/>
        </w:rPr>
        <w:t xml:space="preserve"> و</w:t>
      </w:r>
      <w:r w:rsidRPr="0027756C">
        <w:rPr>
          <w:rFonts w:eastAsiaTheme="minorEastAsia"/>
          <w:rtl/>
        </w:rPr>
        <w:t>15</w:t>
      </w:r>
      <w:r w:rsidRPr="00623A13">
        <w:rPr>
          <w:rFonts w:eastAsiaTheme="minorEastAsia"/>
          <w:rtl/>
        </w:rPr>
        <w:t>.</w:t>
      </w:r>
    </w:p>
  </w:footnote>
  <w:footnote w:id="15">
    <w:p w14:paraId="7EF9B317" w14:textId="2EE67E8E" w:rsidR="00623A13" w:rsidRPr="00623A13"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22</w:t>
      </w:r>
      <w:r w:rsidRPr="00623A13">
        <w:rPr>
          <w:rFonts w:eastAsiaTheme="minorEastAsia"/>
          <w:rtl/>
        </w:rPr>
        <w:t>.</w:t>
      </w:r>
    </w:p>
  </w:footnote>
  <w:footnote w:id="16">
    <w:p w14:paraId="21BBB0DA" w14:textId="07681246" w:rsidR="00623A13" w:rsidRPr="0050221C" w:rsidRDefault="00623A13" w:rsidP="00C06882">
      <w:pPr>
        <w:pStyle w:val="FootnoteText1"/>
        <w:textDirection w:val="tbRlV"/>
        <w:rPr>
          <w:rFonts w:eastAsiaTheme="minorEastAsia"/>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 xml:space="preserve"> </w:t>
      </w:r>
      <w:r w:rsidRPr="00623A13">
        <w:rPr>
          <w:rFonts w:eastAsiaTheme="minorEastAsia"/>
          <w:rtl/>
        </w:rPr>
        <w:tab/>
        <w:t xml:space="preserve">المرجع نفسه، الفقرة </w:t>
      </w:r>
      <w:r w:rsidRPr="0027756C">
        <w:rPr>
          <w:rFonts w:eastAsiaTheme="minorEastAsia"/>
          <w:rtl/>
        </w:rPr>
        <w:t>19</w:t>
      </w:r>
      <w:r w:rsidRPr="00623A13">
        <w:rPr>
          <w:rFonts w:eastAsiaTheme="minorEastAsia"/>
          <w:rtl/>
        </w:rPr>
        <w:t>.</w:t>
      </w:r>
    </w:p>
  </w:footnote>
  <w:footnote w:id="17">
    <w:p w14:paraId="53A93BE6" w14:textId="77AAE8BA" w:rsidR="00623A13" w:rsidRPr="00690E1F" w:rsidRDefault="00623A13" w:rsidP="00C06882">
      <w:pPr>
        <w:pStyle w:val="FootnoteText1"/>
        <w:textDirection w:val="tbRlV"/>
        <w:rPr>
          <w:rFonts w:eastAsiaTheme="minorEastAsia"/>
          <w:szCs w:val="20"/>
          <w:lang w:eastAsia="zh-TW" w:bidi="en-GB"/>
        </w:rPr>
      </w:pPr>
      <w:r w:rsidRPr="00623A13">
        <w:rPr>
          <w:rFonts w:eastAsiaTheme="minorEastAsia"/>
          <w:rtl/>
        </w:rPr>
        <w:t>(</w:t>
      </w:r>
      <w:r w:rsidRPr="00DA4793">
        <w:rPr>
          <w:rStyle w:val="FootnoteReference"/>
          <w:rFonts w:eastAsiaTheme="minorEastAsia"/>
          <w:vertAlign w:val="baseline"/>
        </w:rPr>
        <w:footnoteRef/>
      </w:r>
      <w:r w:rsidRPr="0027756C">
        <w:rPr>
          <w:rStyle w:val="FootnoteReference"/>
          <w:rFonts w:eastAsiaTheme="minorEastAsia"/>
          <w:vertAlign w:val="baseline"/>
          <w:rtl/>
        </w:rPr>
        <w:t>)</w:t>
      </w:r>
      <w:r w:rsidRPr="00623A13">
        <w:rPr>
          <w:rFonts w:eastAsiaTheme="minorEastAsia"/>
          <w:rtl/>
        </w:rPr>
        <w:tab/>
        <w:t xml:space="preserve">المرجع نفسه، الفقرة </w:t>
      </w:r>
      <w:r w:rsidRPr="0027756C">
        <w:rPr>
          <w:rFonts w:eastAsiaTheme="minorEastAsia"/>
          <w:rtl/>
        </w:rPr>
        <w:t>16</w:t>
      </w:r>
      <w:r w:rsidRPr="00623A13">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90EA" w14:textId="63C2D999" w:rsidR="00623A13" w:rsidRPr="00DF2F51" w:rsidRDefault="00623A13" w:rsidP="00DF2F5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CAT/C/SRB/CO/3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F3B0" w14:textId="40306934" w:rsidR="00623A13" w:rsidRPr="00DF2F51" w:rsidRDefault="00623A13" w:rsidP="00DF2F5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CAT/C/SRB/CO/3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B6CC" w14:textId="77777777" w:rsidR="00623A13" w:rsidRDefault="00623A13"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8"/>
    <w:rsid w:val="000076D5"/>
    <w:rsid w:val="00040C23"/>
    <w:rsid w:val="00043663"/>
    <w:rsid w:val="000456F3"/>
    <w:rsid w:val="000505CF"/>
    <w:rsid w:val="00096657"/>
    <w:rsid w:val="000A2113"/>
    <w:rsid w:val="000B2128"/>
    <w:rsid w:val="000D701C"/>
    <w:rsid w:val="000E11D4"/>
    <w:rsid w:val="000E2A71"/>
    <w:rsid w:val="000F71D2"/>
    <w:rsid w:val="00143C39"/>
    <w:rsid w:val="00160263"/>
    <w:rsid w:val="00166BD2"/>
    <w:rsid w:val="00167825"/>
    <w:rsid w:val="00170EB3"/>
    <w:rsid w:val="00181F96"/>
    <w:rsid w:val="0019098C"/>
    <w:rsid w:val="001A1371"/>
    <w:rsid w:val="001B346A"/>
    <w:rsid w:val="001C6DB3"/>
    <w:rsid w:val="001D6F7B"/>
    <w:rsid w:val="001E1CAD"/>
    <w:rsid w:val="001E290D"/>
    <w:rsid w:val="00210DD4"/>
    <w:rsid w:val="002144FA"/>
    <w:rsid w:val="00223495"/>
    <w:rsid w:val="0023469A"/>
    <w:rsid w:val="00243C8A"/>
    <w:rsid w:val="00261289"/>
    <w:rsid w:val="00266034"/>
    <w:rsid w:val="0026755E"/>
    <w:rsid w:val="00267A0E"/>
    <w:rsid w:val="0027756C"/>
    <w:rsid w:val="002901D9"/>
    <w:rsid w:val="002976C2"/>
    <w:rsid w:val="00323EC8"/>
    <w:rsid w:val="003260FF"/>
    <w:rsid w:val="00343D95"/>
    <w:rsid w:val="00362E33"/>
    <w:rsid w:val="00374341"/>
    <w:rsid w:val="00375AD5"/>
    <w:rsid w:val="00384DA7"/>
    <w:rsid w:val="003D1062"/>
    <w:rsid w:val="003F7CC4"/>
    <w:rsid w:val="00420D7B"/>
    <w:rsid w:val="00450B21"/>
    <w:rsid w:val="00453B63"/>
    <w:rsid w:val="00455780"/>
    <w:rsid w:val="00462F28"/>
    <w:rsid w:val="00472BE8"/>
    <w:rsid w:val="004811D5"/>
    <w:rsid w:val="004956DC"/>
    <w:rsid w:val="004B0A1C"/>
    <w:rsid w:val="004D2177"/>
    <w:rsid w:val="004D298E"/>
    <w:rsid w:val="0050189E"/>
    <w:rsid w:val="0050221C"/>
    <w:rsid w:val="00510493"/>
    <w:rsid w:val="00531DEA"/>
    <w:rsid w:val="0054472E"/>
    <w:rsid w:val="005662A9"/>
    <w:rsid w:val="00575E9A"/>
    <w:rsid w:val="005827D4"/>
    <w:rsid w:val="00590034"/>
    <w:rsid w:val="0059622A"/>
    <w:rsid w:val="005963F9"/>
    <w:rsid w:val="00597614"/>
    <w:rsid w:val="005A3015"/>
    <w:rsid w:val="005C5878"/>
    <w:rsid w:val="005C7CEA"/>
    <w:rsid w:val="005D3C0B"/>
    <w:rsid w:val="005E23DF"/>
    <w:rsid w:val="005E5217"/>
    <w:rsid w:val="005F0FA4"/>
    <w:rsid w:val="005F30EE"/>
    <w:rsid w:val="0060473A"/>
    <w:rsid w:val="00623A13"/>
    <w:rsid w:val="00656392"/>
    <w:rsid w:val="006646E9"/>
    <w:rsid w:val="0068781D"/>
    <w:rsid w:val="00690E1F"/>
    <w:rsid w:val="006959B0"/>
    <w:rsid w:val="006B2A7F"/>
    <w:rsid w:val="006B3E27"/>
    <w:rsid w:val="006B6507"/>
    <w:rsid w:val="006C104C"/>
    <w:rsid w:val="006D05CB"/>
    <w:rsid w:val="00706DFD"/>
    <w:rsid w:val="00712059"/>
    <w:rsid w:val="00733704"/>
    <w:rsid w:val="0074737D"/>
    <w:rsid w:val="00761849"/>
    <w:rsid w:val="0078071A"/>
    <w:rsid w:val="007A3847"/>
    <w:rsid w:val="007A7031"/>
    <w:rsid w:val="007D56C1"/>
    <w:rsid w:val="00817373"/>
    <w:rsid w:val="00842328"/>
    <w:rsid w:val="00852A9A"/>
    <w:rsid w:val="00860491"/>
    <w:rsid w:val="00874514"/>
    <w:rsid w:val="00893A8A"/>
    <w:rsid w:val="00897AA1"/>
    <w:rsid w:val="008C0B37"/>
    <w:rsid w:val="008F49E1"/>
    <w:rsid w:val="0090370F"/>
    <w:rsid w:val="00906A57"/>
    <w:rsid w:val="009269D2"/>
    <w:rsid w:val="00942135"/>
    <w:rsid w:val="00943940"/>
    <w:rsid w:val="009453CF"/>
    <w:rsid w:val="009521B0"/>
    <w:rsid w:val="00972676"/>
    <w:rsid w:val="00981C12"/>
    <w:rsid w:val="009A7E9F"/>
    <w:rsid w:val="009E4397"/>
    <w:rsid w:val="009E5018"/>
    <w:rsid w:val="009F09F5"/>
    <w:rsid w:val="00A12B37"/>
    <w:rsid w:val="00A34EA8"/>
    <w:rsid w:val="00A44D86"/>
    <w:rsid w:val="00A46E22"/>
    <w:rsid w:val="00A67AF5"/>
    <w:rsid w:val="00A94CA3"/>
    <w:rsid w:val="00AB2C0B"/>
    <w:rsid w:val="00AB6758"/>
    <w:rsid w:val="00B07715"/>
    <w:rsid w:val="00B13763"/>
    <w:rsid w:val="00B456A0"/>
    <w:rsid w:val="00B477A4"/>
    <w:rsid w:val="00B54045"/>
    <w:rsid w:val="00B82677"/>
    <w:rsid w:val="00BA39D4"/>
    <w:rsid w:val="00BD0805"/>
    <w:rsid w:val="00C06882"/>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A4793"/>
    <w:rsid w:val="00DB712F"/>
    <w:rsid w:val="00DC1D29"/>
    <w:rsid w:val="00DD13C3"/>
    <w:rsid w:val="00DD596E"/>
    <w:rsid w:val="00DD621E"/>
    <w:rsid w:val="00DF0575"/>
    <w:rsid w:val="00DF2F51"/>
    <w:rsid w:val="00E2697F"/>
    <w:rsid w:val="00E64B72"/>
    <w:rsid w:val="00E70E04"/>
    <w:rsid w:val="00E76499"/>
    <w:rsid w:val="00EA3EE5"/>
    <w:rsid w:val="00EC05A7"/>
    <w:rsid w:val="00EC4B6B"/>
    <w:rsid w:val="00EE56C3"/>
    <w:rsid w:val="00EF1EE5"/>
    <w:rsid w:val="00F10F83"/>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983D65"/>
  <w15:docId w15:val="{1E0AC232-A3EB-4C59-B860-E004D567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qFormat/>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SRB/CO/2&#1548;" TargetMode="External"/><Relationship Id="rId3" Type="http://schemas.openxmlformats.org/officeDocument/2006/relationships/hyperlink" Target="http://undocs.org/en/CAT/C/SR.1865" TargetMode="External"/><Relationship Id="rId7" Type="http://schemas.openxmlformats.org/officeDocument/2006/relationships/hyperlink" Target="http://undocs.org/ar/CAT/C/67/D/857/2017" TargetMode="External"/><Relationship Id="rId2" Type="http://schemas.openxmlformats.org/officeDocument/2006/relationships/hyperlink" Target="http://undocs.org/ar/CAT/C/SR.1862" TargetMode="External"/><Relationship Id="rId1" Type="http://schemas.openxmlformats.org/officeDocument/2006/relationships/hyperlink" Target="http://undocs.org/ar/CAT/C/SRB/3" TargetMode="External"/><Relationship Id="rId6" Type="http://schemas.openxmlformats.org/officeDocument/2006/relationships/hyperlink" Target="http://undocs.org/ar/CAT/C/SRB/CO/2&#1548;" TargetMode="External"/><Relationship Id="rId5" Type="http://schemas.openxmlformats.org/officeDocument/2006/relationships/hyperlink" Target="http://undocs.org/ar/CAT/C/SRB/CO/2/Add.1" TargetMode="External"/><Relationship Id="rId4" Type="http://schemas.openxmlformats.org/officeDocument/2006/relationships/hyperlink" Target="http://undocs.org/ar/CAT/C/SRB/CO/2&#1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CAT/C/SRB/CO/3</vt:lpstr>
    </vt:vector>
  </TitlesOfParts>
  <Company>DCM</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CAT/C/SRB/CO/3</dc:title>
  <dc:subject>GE.2119329A(A)</dc:subject>
  <dc:creator>Muntaha BUHNAM - JFA</dc:creator>
  <cp:keywords>GE.2138124(A)</cp:keywords>
  <dc:description>Distr.: General
20 December 2021
Arabic
Original: English</dc:description>
  <cp:lastModifiedBy>Jamal Alkahlout</cp:lastModifiedBy>
  <cp:revision>2</cp:revision>
  <cp:lastPrinted>2016-06-21T10:29:00Z</cp:lastPrinted>
  <dcterms:created xsi:type="dcterms:W3CDTF">2022-01-04T11:10:00Z</dcterms:created>
  <dcterms:modified xsi:type="dcterms:W3CDTF">2022-01-04T11:10:00Z</dcterms:modified>
  <cp:category>Final</cp:category>
</cp:coreProperties>
</file>