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AEED2D1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B323F" w14:textId="77777777" w:rsidR="002D5AAC" w:rsidRDefault="002D5AAC" w:rsidP="00C047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C387F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449402" w14:textId="77777777" w:rsidR="002D5AAC" w:rsidRDefault="00C04796" w:rsidP="00C04796">
            <w:pPr>
              <w:jc w:val="right"/>
            </w:pPr>
            <w:r w:rsidRPr="00C04796">
              <w:rPr>
                <w:sz w:val="40"/>
              </w:rPr>
              <w:t>CRPD</w:t>
            </w:r>
            <w:r>
              <w:t>/C/GRC/CO/1</w:t>
            </w:r>
          </w:p>
        </w:tc>
      </w:tr>
      <w:tr w:rsidR="002D5AAC" w:rsidRPr="00010FFB" w14:paraId="090309AE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1A5759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9035E9" wp14:editId="7870F3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95A662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01CC828" w14:textId="77777777" w:rsidR="002D5AAC" w:rsidRDefault="00C04796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37761B" w14:textId="77777777" w:rsidR="00C04796" w:rsidRDefault="00C04796" w:rsidP="00C047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October 2019</w:t>
            </w:r>
          </w:p>
          <w:p w14:paraId="09BABFE8" w14:textId="77777777" w:rsidR="00C04796" w:rsidRDefault="00C04796" w:rsidP="00C047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60CF71" w14:textId="77777777" w:rsidR="00C04796" w:rsidRPr="008934D2" w:rsidRDefault="00C04796" w:rsidP="00C047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9713B4" w14:textId="77777777" w:rsidR="00C04796" w:rsidRPr="00C04796" w:rsidRDefault="00C04796" w:rsidP="00C04796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C04796">
        <w:rPr>
          <w:b/>
          <w:sz w:val="24"/>
          <w:szCs w:val="24"/>
        </w:rPr>
        <w:t>Комитет по правам инвалидов</w:t>
      </w:r>
    </w:p>
    <w:p w14:paraId="42DBC2C6" w14:textId="77777777" w:rsidR="00C04796" w:rsidRDefault="00C04796" w:rsidP="00C04796">
      <w:pPr>
        <w:pStyle w:val="HChG"/>
      </w:pPr>
      <w:r>
        <w:tab/>
      </w:r>
      <w:r>
        <w:tab/>
        <w:t>Заключительные замечания по первоначальному докладу Греции</w:t>
      </w:r>
      <w:r w:rsidR="005C41B3" w:rsidRPr="005C41B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3CBEC5E" w14:textId="77777777" w:rsidR="00C04796" w:rsidRDefault="00C04796" w:rsidP="00C04796">
      <w:pPr>
        <w:pStyle w:val="HChG"/>
      </w:pPr>
      <w:r>
        <w:tab/>
        <w:t>I.</w:t>
      </w:r>
      <w:r>
        <w:tab/>
        <w:t>Введение</w:t>
      </w:r>
    </w:p>
    <w:p w14:paraId="41377BBC" w14:textId="77777777" w:rsidR="00C04796" w:rsidRDefault="00C04796" w:rsidP="00C04796">
      <w:pPr>
        <w:pStyle w:val="SingleTxtG"/>
      </w:pPr>
      <w:r>
        <w:t>1.</w:t>
      </w:r>
      <w:r>
        <w:tab/>
        <w:t xml:space="preserve">Комитет рассмотрел первоначальный доклад Греции (CRPD/C/GRC/1 и Corr.1) на своих 487-м и 488-м заседаниях (см. CRPD/C/SR.487 и 488), состоявшихся 3 </w:t>
      </w:r>
      <w:r>
        <w:br/>
        <w:t>и 4 сентября 2019 года.</w:t>
      </w:r>
      <w:r w:rsidR="00DD3E9A">
        <w:t xml:space="preserve"> </w:t>
      </w:r>
      <w:r w:rsidR="00795AA8">
        <w:t xml:space="preserve">На своем </w:t>
      </w:r>
      <w:r w:rsidR="00274DA0">
        <w:t xml:space="preserve">506-м заседании 18 сентября 2019 года он принял настоящие заключительные замечания. </w:t>
      </w:r>
    </w:p>
    <w:p w14:paraId="0892ADDF" w14:textId="77777777" w:rsidR="00C04796" w:rsidRDefault="00C04796" w:rsidP="00C04796">
      <w:pPr>
        <w:pStyle w:val="SingleTxtG"/>
      </w:pPr>
      <w:r>
        <w:t>2.</w:t>
      </w:r>
      <w:r>
        <w:tab/>
        <w:t>Комитет приветствует первоначальный доклад Греции, который был подготовлен в соответствии с руководящими принципами Комитета, касающимися представления докладов, и благодарит государство-участник за его письменные ответы (CRPD/C/GRC/Q/1/Add.1) на перечень вопросов, подготовленный Комитетом (CRPD/C/GRC/Q/1).</w:t>
      </w:r>
      <w:r w:rsidR="00DD3E9A">
        <w:t xml:space="preserve"> </w:t>
      </w:r>
    </w:p>
    <w:p w14:paraId="7E24FDEE" w14:textId="77777777" w:rsidR="00C04796" w:rsidRDefault="00C04796" w:rsidP="00C04796">
      <w:pPr>
        <w:pStyle w:val="SingleTxtG"/>
      </w:pPr>
      <w:r>
        <w:t xml:space="preserve">3. </w:t>
      </w:r>
      <w:r>
        <w:tab/>
        <w:t>Комитет высоко оценивает конструктивный диалог, состоявшийся в ходе рассмотрения доклада, и выражает</w:t>
      </w:r>
      <w:r w:rsidR="00DD3E9A">
        <w:t xml:space="preserve"> </w:t>
      </w:r>
      <w:r>
        <w:t>государству-участнику признательность за присутствие компетентной делегации высокого уровня и искренние усилия, направленные на то, чтобы дать исчерпывающие ответы на сложные вопросы.</w:t>
      </w:r>
      <w:r w:rsidR="00DD3E9A">
        <w:t xml:space="preserve"> </w:t>
      </w:r>
    </w:p>
    <w:p w14:paraId="6C2E7CF5" w14:textId="77777777" w:rsidR="00C04796" w:rsidRDefault="00C04796" w:rsidP="00C04796">
      <w:pPr>
        <w:pStyle w:val="HChG"/>
      </w:pPr>
      <w:r>
        <w:tab/>
        <w:t>II.</w:t>
      </w:r>
      <w:r>
        <w:tab/>
        <w:t>Позитивные аспекты</w:t>
      </w:r>
    </w:p>
    <w:p w14:paraId="4E7CB99D" w14:textId="77777777" w:rsidR="00C04796" w:rsidRDefault="00C04796" w:rsidP="00C04796">
      <w:pPr>
        <w:pStyle w:val="SingleTxtG"/>
      </w:pPr>
      <w:r>
        <w:t xml:space="preserve">4. </w:t>
      </w:r>
      <w:r>
        <w:tab/>
        <w:t>Комитет с удовлетворением отмечает повышенное внимание государства-участника к осуществлению Конвенции в последнее время, его усилия к введению в действие стандартов Конвенции при помощи масштабных законодательных реформ с созданием новой законодательной базы и механизмов в сложных условиях и при значительной нехватке ресурсов.</w:t>
      </w:r>
      <w:r w:rsidR="00DD3E9A">
        <w:t xml:space="preserve"> </w:t>
      </w:r>
      <w:r>
        <w:t>Он высоко оценивает меры государства-участника по обеспечению доступности общественного транспорта в Афинах и других крупных городах и сохранению номинального уровня пособий по инвалидности в период экономического и финансового кризиса.</w:t>
      </w:r>
      <w:r w:rsidR="00DD3E9A">
        <w:t xml:space="preserve"> </w:t>
      </w:r>
    </w:p>
    <w:p w14:paraId="21E9AA8E" w14:textId="77777777" w:rsidR="00C04796" w:rsidRDefault="00C04796" w:rsidP="00C04796">
      <w:pPr>
        <w:pStyle w:val="HChG"/>
      </w:pPr>
      <w:r>
        <w:tab/>
        <w:t>III.</w:t>
      </w:r>
      <w:r>
        <w:tab/>
        <w:t xml:space="preserve">Основные вопросы, вызывающие озабоченность, </w:t>
      </w:r>
      <w:r>
        <w:br/>
        <w:t>и рекомендации</w:t>
      </w:r>
    </w:p>
    <w:p w14:paraId="1C40E05B" w14:textId="77777777" w:rsidR="00C04796" w:rsidRDefault="00C04796" w:rsidP="00C04796">
      <w:pPr>
        <w:pStyle w:val="H1G"/>
      </w:pPr>
      <w:r>
        <w:tab/>
        <w:t>A.</w:t>
      </w:r>
      <w:r>
        <w:tab/>
        <w:t xml:space="preserve">Общие принципы и обязательства (статьи 1–4) </w:t>
      </w:r>
    </w:p>
    <w:p w14:paraId="7FEBC391" w14:textId="77777777" w:rsidR="00C04796" w:rsidRDefault="00C04796" w:rsidP="00C04796">
      <w:pPr>
        <w:pStyle w:val="SingleTxtG"/>
      </w:pPr>
      <w:r>
        <w:t>5.</w:t>
      </w:r>
      <w:r>
        <w:tab/>
        <w:t xml:space="preserve">Комитет обеспокоен тем, что в законодательстве государства-участника не применяется согласованный правозащитный подход к инвалидности и что </w:t>
      </w:r>
      <w:r>
        <w:lastRenderedPageBreak/>
        <w:t xml:space="preserve">существующая законодательная база, в частности механизм оценки инвалидности, </w:t>
      </w:r>
      <w:r w:rsidR="005B0090">
        <w:br/>
      </w:r>
      <w:r>
        <w:t>по-прежнему включает в себя элементы, связанные с медицинской моделью инвалидности, и содержит правовые акты с формулировками, унизительными по отношению к инвалидам. Он также обеспокоен отсутствием согласованной долгосрочной стратегии для эффективного осуществления Конвенции.</w:t>
      </w:r>
      <w:r w:rsidR="00DD3E9A">
        <w:t xml:space="preserve"> </w:t>
      </w:r>
    </w:p>
    <w:p w14:paraId="12BAA0F1" w14:textId="77777777" w:rsidR="00C04796" w:rsidRPr="00FA64D6" w:rsidRDefault="00C04796" w:rsidP="00C04796">
      <w:pPr>
        <w:pStyle w:val="SingleTxtG"/>
        <w:rPr>
          <w:b/>
        </w:rPr>
      </w:pPr>
      <w:r>
        <w:t>6.</w:t>
      </w:r>
      <w:r>
        <w:tab/>
      </w:r>
      <w:r w:rsidRPr="00FA64D6">
        <w:rPr>
          <w:b/>
        </w:rPr>
        <w:t>Комитет рекомендует государству-участнику в тесной консультации с</w:t>
      </w:r>
      <w:r w:rsidR="00792688">
        <w:rPr>
          <w:b/>
          <w:lang w:val="en-US"/>
        </w:rPr>
        <w:t> </w:t>
      </w:r>
      <w:r w:rsidRPr="00FA64D6">
        <w:rPr>
          <w:b/>
        </w:rPr>
        <w:t>организациями инвалидов и при их активном участии:</w:t>
      </w:r>
      <w:r w:rsidR="00DD3E9A">
        <w:rPr>
          <w:b/>
        </w:rPr>
        <w:t xml:space="preserve"> </w:t>
      </w:r>
    </w:p>
    <w:p w14:paraId="1CBCFC6B" w14:textId="77777777" w:rsidR="00C04796" w:rsidRPr="00FA64D6" w:rsidRDefault="00371DA5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согласовать свою правовую и административную базу в области инвалидности, включая механизм оценки инвалидности, путем полной интеграции правозащитной модели инвалидности в свои законы, нормативные акты и практику на всех уровнях руководства и на всех своих территориях в соответствии с Конвенцией;</w:t>
      </w:r>
      <w:r w:rsidR="00DD3E9A">
        <w:rPr>
          <w:b/>
        </w:rPr>
        <w:t xml:space="preserve"> </w:t>
      </w:r>
    </w:p>
    <w:p w14:paraId="192C578F" w14:textId="77777777" w:rsidR="00C04796" w:rsidRPr="00FA64D6" w:rsidRDefault="00371DA5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="00C04796" w:rsidRPr="00FA64D6">
        <w:rPr>
          <w:b/>
        </w:rPr>
        <w:tab/>
        <w:t>разработать</w:t>
      </w:r>
      <w:r w:rsidR="00DD3E9A">
        <w:rPr>
          <w:b/>
        </w:rPr>
        <w:t xml:space="preserve"> </w:t>
      </w:r>
      <w:r w:rsidR="00C04796" w:rsidRPr="00FA64D6">
        <w:rPr>
          <w:b/>
        </w:rPr>
        <w:t>всеобъемлющую, последовательную и долгосрочную национальную стратегию и план действий по осуществлению Конвенции с</w:t>
      </w:r>
      <w:r w:rsidR="00792688">
        <w:rPr>
          <w:b/>
          <w:lang w:val="en-US"/>
        </w:rPr>
        <w:t> </w:t>
      </w:r>
      <w:r w:rsidR="00C04796" w:rsidRPr="00FA64D6">
        <w:rPr>
          <w:b/>
        </w:rPr>
        <w:t>четкими сроками, сравнительными критериями и бюджетными ассигнованиями;</w:t>
      </w:r>
      <w:r w:rsidR="00DD3E9A">
        <w:rPr>
          <w:b/>
        </w:rPr>
        <w:t xml:space="preserve"> </w:t>
      </w:r>
    </w:p>
    <w:p w14:paraId="5527D5C0" w14:textId="77777777" w:rsidR="00C04796" w:rsidRPr="00FA64D6" w:rsidRDefault="00371DA5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c)</w:t>
      </w:r>
      <w:r w:rsidR="00C04796" w:rsidRPr="00FA64D6">
        <w:rPr>
          <w:b/>
        </w:rPr>
        <w:tab/>
        <w:t>исключить из своего законодательства</w:t>
      </w:r>
      <w:r w:rsidR="00DD3E9A">
        <w:rPr>
          <w:b/>
        </w:rPr>
        <w:t xml:space="preserve"> </w:t>
      </w:r>
      <w:r w:rsidR="00C04796" w:rsidRPr="00FA64D6">
        <w:rPr>
          <w:b/>
        </w:rPr>
        <w:t xml:space="preserve">формулировки, унизительные по отношению к инвалидам. </w:t>
      </w:r>
    </w:p>
    <w:p w14:paraId="7440078E" w14:textId="77777777" w:rsidR="00C04796" w:rsidRDefault="00371DA5" w:rsidP="00371DA5">
      <w:pPr>
        <w:pStyle w:val="H1G"/>
      </w:pPr>
      <w:r>
        <w:tab/>
      </w:r>
      <w:r w:rsidR="00C04796">
        <w:t>B.</w:t>
      </w:r>
      <w:r w:rsidR="00C04796">
        <w:tab/>
        <w:t>Конкретные права (статьи 5–30)</w:t>
      </w:r>
    </w:p>
    <w:p w14:paraId="576EC680" w14:textId="77777777" w:rsidR="00C04796" w:rsidRDefault="00C04796" w:rsidP="00FA64D6">
      <w:pPr>
        <w:pStyle w:val="H23G"/>
      </w:pPr>
      <w:r>
        <w:tab/>
      </w:r>
      <w:r>
        <w:tab/>
        <w:t xml:space="preserve">Равенство и недискриминация (статья 5) </w:t>
      </w:r>
    </w:p>
    <w:p w14:paraId="4FC1F657" w14:textId="77777777" w:rsidR="00C04796" w:rsidRDefault="00C04796" w:rsidP="00C04796">
      <w:pPr>
        <w:pStyle w:val="SingleTxtG"/>
      </w:pPr>
      <w:r>
        <w:t>7.</w:t>
      </w:r>
      <w:r>
        <w:tab/>
        <w:t>Комитет обеспокоен:</w:t>
      </w:r>
    </w:p>
    <w:p w14:paraId="5F143947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 w:rsidR="00C04796">
        <w:tab/>
        <w:t>отсутствием всеобъемлющей законодательной базы, которая гарантировала бы равное обращение и защиту от дискриминации, в частности обеспечение конкретных мер и индивидуализированной поддержки, а также защиту от практики отказов в разумном приспособлении, особенно в таких ключевых секторах, как образование, социальная защита и предоставление товаров и услуг;</w:t>
      </w:r>
      <w:r w:rsidR="00DD3E9A">
        <w:t xml:space="preserve"> </w:t>
      </w:r>
    </w:p>
    <w:p w14:paraId="25E6322F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 w:rsidR="00C04796">
        <w:tab/>
        <w:t>неэффективным осуществлением существующих стандартов равенства и недискриминации, в частности отсутствием действий по обеспечению конкретных мер и индивидуализированной</w:t>
      </w:r>
      <w:r w:rsidR="00DD3E9A">
        <w:t xml:space="preserve"> </w:t>
      </w:r>
      <w:r w:rsidR="00C04796">
        <w:t>поддержки, особенно в том, что касается образования детей-инвалидов и защиты инвалидов из числа беженцев, просителей убежища и мигрантов;</w:t>
      </w:r>
    </w:p>
    <w:p w14:paraId="0B20034E" w14:textId="77777777" w:rsidR="00C04796" w:rsidRDefault="00FA64D6" w:rsidP="00C04796">
      <w:pPr>
        <w:pStyle w:val="SingleTxtG"/>
      </w:pPr>
      <w:r>
        <w:tab/>
      </w:r>
      <w:r w:rsidR="00C04796">
        <w:tab/>
        <w:t>c)</w:t>
      </w:r>
      <w:r w:rsidR="00C04796">
        <w:tab/>
        <w:t>задержкой с принятием на основе Закона № 4488/2017 (статья 74) вторичного законодательства, расширяющего защиту от дискриминации по признаку инвалидности в сферах образования и предоставления товаров и услуг.</w:t>
      </w:r>
      <w:r w:rsidR="00DD3E9A">
        <w:t xml:space="preserve"> </w:t>
      </w:r>
    </w:p>
    <w:p w14:paraId="662B6CB9" w14:textId="77777777" w:rsidR="00C04796" w:rsidRPr="00FA64D6" w:rsidRDefault="00C04796" w:rsidP="00C04796">
      <w:pPr>
        <w:pStyle w:val="SingleTxtG"/>
        <w:rPr>
          <w:b/>
        </w:rPr>
      </w:pPr>
      <w:r>
        <w:t>8.</w:t>
      </w:r>
      <w:r>
        <w:tab/>
      </w:r>
      <w:r w:rsidRPr="00FA64D6">
        <w:rPr>
          <w:b/>
        </w:rPr>
        <w:t>Ссылаясь на свое замечание общего порядка № 6 (2018</w:t>
      </w:r>
      <w:r w:rsidR="002E28E6">
        <w:rPr>
          <w:b/>
        </w:rPr>
        <w:t xml:space="preserve"> год</w:t>
      </w:r>
      <w:r w:rsidRPr="00FA64D6">
        <w:rPr>
          <w:b/>
        </w:rPr>
        <w:t xml:space="preserve">) о равенстве и недискриминации, Комитет рекомендует государству-участнику: </w:t>
      </w:r>
    </w:p>
    <w:p w14:paraId="2AF6E78D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принять законодательные меры для гарантирования защиты от дискриминации по признаку инвалидности, в частности для обеспечения конкретных мер, индивидуализированной поддержки и защиты от практики</w:t>
      </w:r>
      <w:r w:rsidR="00DD3E9A">
        <w:rPr>
          <w:b/>
        </w:rPr>
        <w:t xml:space="preserve"> </w:t>
      </w:r>
      <w:r w:rsidR="00C04796" w:rsidRPr="00FA64D6">
        <w:rPr>
          <w:b/>
        </w:rPr>
        <w:t>отказов в разумном приспособлении во всех сферах жизни, в соответствии с Конвенцией;</w:t>
      </w:r>
      <w:r w:rsidR="00DD3E9A">
        <w:rPr>
          <w:b/>
        </w:rPr>
        <w:t xml:space="preserve"> </w:t>
      </w:r>
    </w:p>
    <w:p w14:paraId="5D1DC6BD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="00C04796" w:rsidRPr="00FA64D6">
        <w:rPr>
          <w:b/>
        </w:rPr>
        <w:tab/>
        <w:t>улучшать осуществление стандартов в связи с конкретными мерами и индивидуализированной</w:t>
      </w:r>
      <w:r w:rsidR="00DD3E9A">
        <w:rPr>
          <w:b/>
        </w:rPr>
        <w:t xml:space="preserve"> </w:t>
      </w:r>
      <w:r w:rsidR="00C04796" w:rsidRPr="00FA64D6">
        <w:rPr>
          <w:b/>
        </w:rPr>
        <w:t xml:space="preserve">поддержкой в государственном и частном секторах, особенно в школах, а также в отношении инвалидов из числа беженцев, просителей убежища и мигрантов; </w:t>
      </w:r>
    </w:p>
    <w:p w14:paraId="5A5E3B8B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c)</w:t>
      </w:r>
      <w:r w:rsidR="00C04796" w:rsidRPr="00FA64D6">
        <w:rPr>
          <w:b/>
        </w:rPr>
        <w:tab/>
        <w:t xml:space="preserve">принять вторичное законодательство, предусмотренное статьей 74 Закона № 4488/2017, с тем чтобы гарантировать равное обращение и запретить дискриминацию инвалидов в сферах образования и предоставления товаров и услуг; </w:t>
      </w:r>
    </w:p>
    <w:p w14:paraId="6C1F1923" w14:textId="77777777" w:rsidR="00C04796" w:rsidRDefault="00C04796" w:rsidP="00C04796">
      <w:pPr>
        <w:pStyle w:val="SingleTxtG"/>
      </w:pPr>
      <w:r w:rsidRPr="00FA64D6">
        <w:rPr>
          <w:b/>
        </w:rPr>
        <w:lastRenderedPageBreak/>
        <w:tab/>
      </w:r>
      <w:r w:rsidR="00FA64D6" w:rsidRPr="00FA64D6">
        <w:rPr>
          <w:b/>
        </w:rPr>
        <w:tab/>
      </w:r>
      <w:r w:rsidRPr="00FA64D6">
        <w:rPr>
          <w:b/>
        </w:rPr>
        <w:t>d)</w:t>
      </w:r>
      <w:r w:rsidRPr="00FA64D6">
        <w:rPr>
          <w:b/>
        </w:rPr>
        <w:tab/>
        <w:t>принимать во внимание статью 5 Конвенции при выполнении задач</w:t>
      </w:r>
      <w:r w:rsidR="00792688">
        <w:rPr>
          <w:b/>
          <w:lang w:val="en-US"/>
        </w:rPr>
        <w:t> </w:t>
      </w:r>
      <w:r w:rsidRPr="00FA64D6">
        <w:rPr>
          <w:b/>
        </w:rPr>
        <w:t>10.2 и 10.3 Целей в области устойчивого развития.</w:t>
      </w:r>
      <w:r w:rsidR="00DD3E9A">
        <w:t xml:space="preserve"> </w:t>
      </w:r>
    </w:p>
    <w:p w14:paraId="00144529" w14:textId="77777777" w:rsidR="00C04796" w:rsidRDefault="00C04796" w:rsidP="00FA64D6">
      <w:pPr>
        <w:pStyle w:val="H23G"/>
      </w:pPr>
      <w:r>
        <w:tab/>
      </w:r>
      <w:r>
        <w:tab/>
        <w:t>Женщины-инвалиды (статья 6)</w:t>
      </w:r>
    </w:p>
    <w:p w14:paraId="24ADE9AC" w14:textId="77777777" w:rsidR="00C04796" w:rsidRDefault="00C04796" w:rsidP="00C04796">
      <w:pPr>
        <w:pStyle w:val="SingleTxtG"/>
      </w:pPr>
      <w:r>
        <w:t>9.</w:t>
      </w:r>
      <w:r>
        <w:tab/>
        <w:t>Комитет обеспокоен:</w:t>
      </w:r>
    </w:p>
    <w:p w14:paraId="3EEA32AB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>
        <w:tab/>
      </w:r>
      <w:r w:rsidR="00C04796">
        <w:t>отсутствием всеобъемлющей политики и стратегии в области гендерного равенства и специального законодательства, предусматривающего конкретные меры и сроки для решения проблемы множественной и перекрестной дискриминации, с которой сталкиваются женщины и девочки-инвалиды, в том числе женщины и девочки-инвалиды</w:t>
      </w:r>
      <w:r w:rsidR="00DD3E9A">
        <w:t xml:space="preserve"> </w:t>
      </w:r>
      <w:r w:rsidR="00C04796">
        <w:t>из числа рома;</w:t>
      </w:r>
    </w:p>
    <w:p w14:paraId="39A6A0AA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>
        <w:tab/>
      </w:r>
      <w:r w:rsidR="00C04796">
        <w:t>отсутствием информации об осуществлении Национального плана действий по обеспечению гендерного равенства на 2016</w:t>
      </w:r>
      <w:r w:rsidR="002E28E6">
        <w:t>–</w:t>
      </w:r>
      <w:r w:rsidR="00C04796">
        <w:t>2020 годы и результатах, достигнутых в отношении женщин и девочек-инвалидов, а также о мерах, принятых для поощрения участия женщин-инвалидов во всех процессах принятия решений.</w:t>
      </w:r>
    </w:p>
    <w:p w14:paraId="486E6BBB" w14:textId="77777777" w:rsidR="00C04796" w:rsidRPr="00FA64D6" w:rsidRDefault="00C04796" w:rsidP="00C04796">
      <w:pPr>
        <w:pStyle w:val="SingleTxtG"/>
        <w:rPr>
          <w:b/>
        </w:rPr>
      </w:pPr>
      <w:r>
        <w:t>10.</w:t>
      </w:r>
      <w:r>
        <w:tab/>
      </w:r>
      <w:r w:rsidRPr="00FA64D6">
        <w:rPr>
          <w:b/>
        </w:rPr>
        <w:t>Ссылаясь на свое замечание общего порядка № 3 (2016 год) о женщинах и девочках-инвалидах и учитывая задачи 5.1, 5.2 и 5.5 Целей в области устойчивого развития, Комитет рекомендует государству-участнику:</w:t>
      </w:r>
      <w:r w:rsidR="00DD3E9A">
        <w:rPr>
          <w:b/>
        </w:rPr>
        <w:t xml:space="preserve"> </w:t>
      </w:r>
    </w:p>
    <w:p w14:paraId="4F27B3D5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принять эффективную политику и стратегию, предусматривающие необходимые механизмы для обеспечения в полном объеме защиты женщин и девочек-инвалидов от дискриминации и гарантий осуществления их прав в соответствии с Конвенцией;</w:t>
      </w:r>
    </w:p>
    <w:p w14:paraId="412AD67C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Pr="00FA64D6">
        <w:rPr>
          <w:b/>
        </w:rPr>
        <w:tab/>
      </w:r>
      <w:r w:rsidR="00C04796" w:rsidRPr="00FA64D6">
        <w:rPr>
          <w:b/>
        </w:rPr>
        <w:t xml:space="preserve">учитывать аспект инвалидности во всех направлениях политики и программах по обеспечению гендерного равенства во всех сферах жизни и поощрять эффективное участие женщин-инвалидов во всех процессах принятия решений; </w:t>
      </w:r>
    </w:p>
    <w:p w14:paraId="2373204D" w14:textId="256DC80F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c)</w:t>
      </w:r>
      <w:r w:rsidR="00C04796" w:rsidRPr="00FA64D6">
        <w:rPr>
          <w:b/>
        </w:rPr>
        <w:tab/>
        <w:t>принять эффективные меры по предупреждению и пресечению множественной и перекрестной дискриминации и гендерного насилия в отношении женщин и девочек-инвалидов, в том числе женщин и девочек-инвалидов из числа рома.</w:t>
      </w:r>
    </w:p>
    <w:p w14:paraId="12AAE7DE" w14:textId="77777777" w:rsidR="00C04796" w:rsidRDefault="00FA64D6" w:rsidP="00FA64D6">
      <w:pPr>
        <w:pStyle w:val="H23G"/>
      </w:pPr>
      <w:r>
        <w:tab/>
      </w:r>
      <w:r>
        <w:tab/>
      </w:r>
      <w:r w:rsidR="00C04796">
        <w:t xml:space="preserve">Дети-инвалиды (статья 7) </w:t>
      </w:r>
    </w:p>
    <w:p w14:paraId="418DE479" w14:textId="77777777" w:rsidR="00C04796" w:rsidRDefault="00C04796" w:rsidP="00C04796">
      <w:pPr>
        <w:pStyle w:val="SingleTxtG"/>
      </w:pPr>
      <w:r>
        <w:t>11.</w:t>
      </w:r>
      <w:r>
        <w:tab/>
        <w:t xml:space="preserve">Комитет обеспокоен: </w:t>
      </w:r>
    </w:p>
    <w:p w14:paraId="7B82D1F7" w14:textId="77777777" w:rsidR="00C04796" w:rsidRDefault="00C04796" w:rsidP="00C04796">
      <w:pPr>
        <w:pStyle w:val="SingleTxtG"/>
      </w:pPr>
      <w:r>
        <w:tab/>
      </w:r>
      <w:r w:rsidR="00FA64D6">
        <w:tab/>
      </w:r>
      <w:r>
        <w:t xml:space="preserve">a) </w:t>
      </w:r>
      <w:r>
        <w:tab/>
        <w:t>затяжным характером процесса деинституционализации</w:t>
      </w:r>
      <w:r w:rsidR="00DD3E9A">
        <w:t xml:space="preserve"> </w:t>
      </w:r>
      <w:r>
        <w:t>детей-инвалидов;</w:t>
      </w:r>
    </w:p>
    <w:p w14:paraId="64BDF307" w14:textId="77777777" w:rsidR="00C04796" w:rsidRDefault="00C04796" w:rsidP="00C04796">
      <w:pPr>
        <w:pStyle w:val="SingleTxtG"/>
      </w:pPr>
      <w:r>
        <w:tab/>
      </w:r>
      <w:r w:rsidR="00FA64D6">
        <w:tab/>
      </w:r>
      <w:r>
        <w:t xml:space="preserve">b) </w:t>
      </w:r>
      <w:r>
        <w:tab/>
        <w:t>скудностью имеющейся информации о доступных механизмах и конкретных мерах, принятых для того, чтобы обеспечить осуществление детьми-инвалидами своего права быть заслушанными и учет их мнений по всем затрагивающим их вопросам.</w:t>
      </w:r>
    </w:p>
    <w:p w14:paraId="66214EF3" w14:textId="77777777" w:rsidR="00C04796" w:rsidRPr="00FA64D6" w:rsidRDefault="00C04796" w:rsidP="00C04796">
      <w:pPr>
        <w:pStyle w:val="SingleTxtG"/>
        <w:rPr>
          <w:b/>
        </w:rPr>
      </w:pPr>
      <w:r>
        <w:t>12.</w:t>
      </w:r>
      <w:r>
        <w:tab/>
      </w:r>
      <w:r w:rsidRPr="00FA64D6">
        <w:rPr>
          <w:b/>
        </w:rPr>
        <w:t xml:space="preserve">Комитет рекомендует государству-участнику уделять первоочередное внимание наилучшему обеспечению интересов ребенка и: </w:t>
      </w:r>
    </w:p>
    <w:p w14:paraId="26DEA056" w14:textId="77777777" w:rsidR="00FA64D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обеспечить скорейшую деинституционализацию детей-инвалидов и принять эффективные меры для гарантированного соблюдения их права на уход со стороны их родителей, расширенной семьи, безопасной патронатной или приемной семьи;</w:t>
      </w:r>
      <w:r w:rsidR="00C04796" w:rsidRPr="00FA64D6">
        <w:rPr>
          <w:b/>
        </w:rPr>
        <w:tab/>
        <w:t>предоставлять детям-инвалидам качественные услуги по раннему вмешательству, а также другие услуги медицинского и образовательного характера, в равной степени доступные во всех городских и сельских районах c достаточными ресурсами и разработанные в тесной консультации с детьми-инвалидами и их родителями и при их активном участии через свои представительские организации;</w:t>
      </w:r>
    </w:p>
    <w:p w14:paraId="45B9D7D6" w14:textId="77777777" w:rsidR="00C04796" w:rsidRDefault="00FA64D6" w:rsidP="00C04796">
      <w:pPr>
        <w:pStyle w:val="SingleTxtG"/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Pr="00FA64D6">
        <w:rPr>
          <w:b/>
        </w:rPr>
        <w:tab/>
      </w:r>
      <w:r w:rsidR="00C04796" w:rsidRPr="00FA64D6">
        <w:rPr>
          <w:b/>
        </w:rPr>
        <w:t>разработать всеобъемлющую стратегию и доступные услуги для полного и эффективного участия детей-инвалидов во всех процессах принятия решений, затрагивающих их жизнь, гарантируя им право на учет их мнений по всем затрагивающим их вопросам.</w:t>
      </w:r>
      <w:r w:rsidR="00C04796">
        <w:tab/>
      </w:r>
    </w:p>
    <w:p w14:paraId="059A095C" w14:textId="77777777" w:rsidR="00C04796" w:rsidRDefault="00FA64D6" w:rsidP="00FA64D6">
      <w:pPr>
        <w:pStyle w:val="H23G"/>
      </w:pPr>
      <w:r>
        <w:lastRenderedPageBreak/>
        <w:tab/>
      </w:r>
      <w:r>
        <w:tab/>
      </w:r>
      <w:r w:rsidR="00C04796">
        <w:t>Доступность (статья 9)</w:t>
      </w:r>
    </w:p>
    <w:p w14:paraId="0165AF05" w14:textId="77777777" w:rsidR="00C04796" w:rsidRDefault="00C04796" w:rsidP="00C04796">
      <w:pPr>
        <w:pStyle w:val="SingleTxtG"/>
      </w:pPr>
      <w:r>
        <w:t>13.</w:t>
      </w:r>
      <w:r>
        <w:tab/>
        <w:t>Комитет обеспокоен:</w:t>
      </w:r>
    </w:p>
    <w:p w14:paraId="34F806D1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a) </w:t>
      </w:r>
      <w:r w:rsidR="00C04796">
        <w:tab/>
        <w:t xml:space="preserve">медленным прогрессом в осуществлении существующей правовой базы по вопросам доступности, в частности задержкой с принятием соответствующих подзаконных актов, в том числе предусмотренных в законах № 4030/2011 </w:t>
      </w:r>
      <w:r w:rsidR="00792688">
        <w:br/>
      </w:r>
      <w:r w:rsidR="00C04796">
        <w:t>и № 4067/2012 в связи с проведением</w:t>
      </w:r>
      <w:r w:rsidR="00DD3E9A">
        <w:t xml:space="preserve"> </w:t>
      </w:r>
      <w:r w:rsidR="00C04796">
        <w:t>исследования по вопросам доступности для целей выдачи разрешений на строительство и адаптации существующих зданий. Он</w:t>
      </w:r>
      <w:r w:rsidR="00792688">
        <w:rPr>
          <w:lang w:val="en-US"/>
        </w:rPr>
        <w:t> </w:t>
      </w:r>
      <w:r w:rsidR="00C04796">
        <w:t>также обеспокоен задержкой с созданием необходимых механизмов осуществления, в частности комитетов по обеспечению доступности, предусмотренных в Законе № 4495/2017;</w:t>
      </w:r>
    </w:p>
    <w:p w14:paraId="2A2A5C04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b) </w:t>
      </w:r>
      <w:r w:rsidR="00C04796">
        <w:tab/>
        <w:t xml:space="preserve"> отсутствием национальной стратегии по осуществлению стандартов, регулирующих доступность застроенной среды, товаров и услуг, в частности в области транспорта, медийных и информационно-коммуникационных услуг как в государственном, так и в частном секторах.</w:t>
      </w:r>
      <w:r w:rsidR="00DD3E9A">
        <w:t xml:space="preserve"> </w:t>
      </w:r>
    </w:p>
    <w:p w14:paraId="3618CD7F" w14:textId="77777777" w:rsidR="00C04796" w:rsidRPr="00FA64D6" w:rsidRDefault="00C04796" w:rsidP="00C04796">
      <w:pPr>
        <w:pStyle w:val="SingleTxtG"/>
        <w:rPr>
          <w:b/>
        </w:rPr>
      </w:pPr>
      <w:r>
        <w:t>14.</w:t>
      </w:r>
      <w:r>
        <w:tab/>
      </w:r>
      <w:r w:rsidRPr="00FA64D6">
        <w:rPr>
          <w:b/>
        </w:rPr>
        <w:t>Комитет рекомендует государству-участнику в свете своего замечания общего порядка № 2 (2014 год) о доступности и с учетом целей 9 и 11 устойчивого развития,</w:t>
      </w:r>
      <w:r w:rsidR="00DD3E9A">
        <w:rPr>
          <w:b/>
        </w:rPr>
        <w:t xml:space="preserve"> </w:t>
      </w:r>
      <w:r w:rsidRPr="00FA64D6">
        <w:rPr>
          <w:b/>
        </w:rPr>
        <w:t>и в особенности задач 11.2 и 11.7:</w:t>
      </w:r>
      <w:r w:rsidR="00DD3E9A">
        <w:rPr>
          <w:b/>
        </w:rPr>
        <w:t xml:space="preserve"> </w:t>
      </w:r>
    </w:p>
    <w:p w14:paraId="709060A1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принять необходимые правовые и другие меры, и в частности утвердить соответствующие нормативные акты и всеобъемлющий национальный план действий и долгосрочную стратегию по обеспечению доступности с достаточными бюджетными ассигнованиями, конкретными крайними сроками и эффективным механизмом мониторинга, в тесной консультации с инвалидами и при их активном участии через свои представительские организации;</w:t>
      </w:r>
      <w:r w:rsidR="00DD3E9A">
        <w:rPr>
          <w:b/>
        </w:rPr>
        <w:t xml:space="preserve"> </w:t>
      </w:r>
    </w:p>
    <w:p w14:paraId="6DD800C3" w14:textId="77777777" w:rsidR="00C04796" w:rsidRDefault="00FA64D6" w:rsidP="00C04796">
      <w:pPr>
        <w:pStyle w:val="SingleTxtG"/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="00C04796" w:rsidRPr="00FA64D6">
        <w:rPr>
          <w:b/>
        </w:rPr>
        <w:tab/>
        <w:t>принять необходимые меры для гарантирования доступности застроенной среды, товаров и услуг, особенно транспортной системы в городских и сельских районах, общественных и социальных средств массовой информации, а также обеспечить подготовку поставщиков услуг, инженеров, архитекторов и специалистов в области городского планирования по вопросам доступности, с которыми сталкиваются инвалиды</w:t>
      </w:r>
      <w:r w:rsidR="00C04796" w:rsidRPr="00010FFB">
        <w:rPr>
          <w:b/>
        </w:rPr>
        <w:t>.</w:t>
      </w:r>
      <w:r w:rsidR="00DD3E9A">
        <w:t xml:space="preserve"> </w:t>
      </w:r>
    </w:p>
    <w:p w14:paraId="12A237D9" w14:textId="77777777" w:rsidR="00C04796" w:rsidRDefault="00C04796" w:rsidP="00FA64D6">
      <w:pPr>
        <w:pStyle w:val="H23G"/>
      </w:pPr>
      <w:r>
        <w:tab/>
      </w:r>
      <w:r>
        <w:tab/>
        <w:t>Ситуации риска и чрезвычайные гуманитарные ситуации (статья 11)</w:t>
      </w:r>
    </w:p>
    <w:p w14:paraId="74452ECF" w14:textId="77777777" w:rsidR="00C04796" w:rsidRDefault="00C04796" w:rsidP="00C04796">
      <w:pPr>
        <w:pStyle w:val="SingleTxtG"/>
      </w:pPr>
      <w:r>
        <w:t>15.</w:t>
      </w:r>
      <w:r>
        <w:tab/>
        <w:t>Комитет испытывает обеспокоенность по поводу:</w:t>
      </w:r>
    </w:p>
    <w:p w14:paraId="1D21B722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 w:rsidR="00C04796">
        <w:tab/>
        <w:t>отсутствия стандартов, регулирующих административную поддержку и услуги, предоставляемые инвалидам в общих ситуациях риска и в рамках процессов, связанных с приемом беженцев и предоставлением убежища, а также по поводу соответствия нынешней практики управления рисками Сендайской рамочной программе по снижению риска бедствий на 2015</w:t>
      </w:r>
      <w:r w:rsidR="00792688" w:rsidRPr="00010FFB">
        <w:t>–</w:t>
      </w:r>
      <w:r w:rsidR="00C04796">
        <w:t>2030 годы;</w:t>
      </w:r>
      <w:r w:rsidR="00DD3E9A">
        <w:t xml:space="preserve"> </w:t>
      </w:r>
    </w:p>
    <w:p w14:paraId="317B579D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 w:rsidR="00C04796">
        <w:tab/>
        <w:t>недостаточности мер, принимаемых для выявления прибывающих в государство-участник просителей убежища-инвалидов, беженцев-инвалидов и инвалидов, находящихся в ситуациях, аналогичных ситуации беженцев, в целях</w:t>
      </w:r>
      <w:r w:rsidR="00DD3E9A">
        <w:t xml:space="preserve"> </w:t>
      </w:r>
      <w:r w:rsidR="00C04796">
        <w:t>обеспечения им доступа к медицинскому обслуживанию, надлежащему крову, основным удобствам, безопасности и защите, а также для</w:t>
      </w:r>
      <w:r w:rsidR="00DD3E9A">
        <w:t xml:space="preserve"> </w:t>
      </w:r>
      <w:r w:rsidR="00C04796">
        <w:t>обеспечения конкретных мер и индивидуализированной поддержки, например личной помощи, особенно женщинам и детям-инвалидам.</w:t>
      </w:r>
      <w:r w:rsidR="00DD3E9A">
        <w:t xml:space="preserve"> </w:t>
      </w:r>
    </w:p>
    <w:p w14:paraId="63DCE7B7" w14:textId="77777777" w:rsidR="00C04796" w:rsidRPr="00FA64D6" w:rsidRDefault="00C04796" w:rsidP="00C04796">
      <w:pPr>
        <w:pStyle w:val="SingleTxtG"/>
        <w:rPr>
          <w:b/>
        </w:rPr>
      </w:pPr>
      <w:r>
        <w:t>16.</w:t>
      </w:r>
      <w:r>
        <w:tab/>
      </w:r>
      <w:r w:rsidRPr="00FA64D6">
        <w:rPr>
          <w:b/>
        </w:rPr>
        <w:t>Комитет рекомендует государству-участнику:</w:t>
      </w:r>
    </w:p>
    <w:p w14:paraId="2CB254D6" w14:textId="77777777" w:rsidR="00C04796" w:rsidRDefault="00FA64D6" w:rsidP="00C04796">
      <w:pPr>
        <w:pStyle w:val="SingleTxtG"/>
      </w:pPr>
      <w:r w:rsidRPr="00FA64D6">
        <w:rPr>
          <w:b/>
        </w:rPr>
        <w:tab/>
      </w:r>
      <w:r w:rsidR="00C04796" w:rsidRPr="00FA64D6">
        <w:rPr>
          <w:b/>
        </w:rPr>
        <w:tab/>
        <w:t xml:space="preserve">a) </w:t>
      </w:r>
      <w:r w:rsidR="00C04796" w:rsidRPr="00FA64D6">
        <w:rPr>
          <w:b/>
        </w:rPr>
        <w:tab/>
        <w:t>принять эффективные процедуры предоставления убежища и статуса беженца и разработать всеобъемлющую стратегию и протоколы для общих чрезвычайных ситуаций риска в соответствии с Сендайской рамочной программой по снижению риска бедствий на 2015</w:t>
      </w:r>
      <w:r w:rsidR="00792688" w:rsidRPr="00010FFB">
        <w:rPr>
          <w:b/>
        </w:rPr>
        <w:t>–</w:t>
      </w:r>
      <w:r w:rsidR="00C04796" w:rsidRPr="00FA64D6">
        <w:rPr>
          <w:b/>
        </w:rPr>
        <w:t>2030 годы. Он также рекомендует государству-участнику обеспечить доступность пунктов приема и предоставлять необходимые медицинские услуги в соответствии с замечанием общего порядка № 2 Комитета в тесной консультации с инвалидами и при их активном участии через свои представительские организации</w:t>
      </w:r>
      <w:r w:rsidR="00C04796" w:rsidRPr="00010FFB">
        <w:rPr>
          <w:b/>
        </w:rPr>
        <w:t>;</w:t>
      </w:r>
      <w:r w:rsidR="00DD3E9A">
        <w:t xml:space="preserve"> </w:t>
      </w:r>
    </w:p>
    <w:p w14:paraId="506D6B29" w14:textId="77777777" w:rsidR="00C04796" w:rsidRPr="00FA64D6" w:rsidRDefault="00FA64D6" w:rsidP="00C04796">
      <w:pPr>
        <w:pStyle w:val="SingleTxtG"/>
        <w:rPr>
          <w:b/>
        </w:rPr>
      </w:pPr>
      <w:r>
        <w:lastRenderedPageBreak/>
        <w:tab/>
      </w:r>
      <w:r w:rsidR="00C04796">
        <w:tab/>
      </w:r>
      <w:r w:rsidR="00C04796" w:rsidRPr="00FA64D6">
        <w:rPr>
          <w:b/>
        </w:rPr>
        <w:t>b)</w:t>
      </w:r>
      <w:r w:rsidR="00C04796" w:rsidRPr="00FA64D6">
        <w:rPr>
          <w:b/>
        </w:rPr>
        <w:tab/>
        <w:t xml:space="preserve">незамедлительно обеспечивать проведение систематической оценки уязвимости инвалидов, особенно детей-инвалидов, которые являются беженцами, просителями убежища и лицами в ситуациях, аналогичных ситуации беженцев, по их прибытии в государство-участник подготовленным персоналом на основе правозащитной модели инвалидности и конкретных руководящих принципов </w:t>
      </w:r>
      <w:r w:rsidRPr="00FA64D6">
        <w:rPr>
          <w:b/>
        </w:rPr>
        <w:tab/>
      </w:r>
      <w:r w:rsidR="00C04796" w:rsidRPr="00FA64D6">
        <w:rPr>
          <w:b/>
        </w:rPr>
        <w:t>выявления инвалидов;</w:t>
      </w:r>
    </w:p>
    <w:p w14:paraId="10B4E06F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 xml:space="preserve">c) </w:t>
      </w:r>
      <w:r w:rsidR="00C04796" w:rsidRPr="00FA64D6">
        <w:rPr>
          <w:b/>
        </w:rPr>
        <w:tab/>
        <w:t>обеспечить, чтобы инвалиды, особенно дети-инвалиды, которые являются беженцами, просителями убежища и лицами в ситуациях, аналогичных ситуации беженцев, имели доступ к социальной защите, ассистивным технологиям, информации и адекватным услугам, прежде всего к безопасному крову, санитарии и медицинскому обслуживанию, благодаря, в частности, предоставлению им индивидуализированной поддержки; незамедлительно гарантировать, чтобы условия в приемных центрах обеспечивали уважение достоинства инвалидов, особенно детей, которые являются беженцами, просителями убежища или лицами в ситуациях, аналогичных ситуации беженцев; а также предусмотреть их регулярный перевод в континентальную</w:t>
      </w:r>
      <w:r w:rsidR="00DD3E9A">
        <w:rPr>
          <w:b/>
        </w:rPr>
        <w:t xml:space="preserve"> </w:t>
      </w:r>
      <w:r w:rsidR="00C04796" w:rsidRPr="00FA64D6">
        <w:rPr>
          <w:b/>
        </w:rPr>
        <w:t>часть страны.</w:t>
      </w:r>
    </w:p>
    <w:p w14:paraId="0612C251" w14:textId="77777777" w:rsidR="00C04796" w:rsidRDefault="00C04796" w:rsidP="00FA64D6">
      <w:pPr>
        <w:pStyle w:val="H23G"/>
      </w:pPr>
      <w:r>
        <w:tab/>
      </w:r>
      <w:r>
        <w:tab/>
        <w:t>Признание равенства перед законом (статья 12)</w:t>
      </w:r>
    </w:p>
    <w:p w14:paraId="18B5558D" w14:textId="77777777" w:rsidR="00C04796" w:rsidRDefault="00C04796" w:rsidP="00C04796">
      <w:pPr>
        <w:pStyle w:val="SingleTxtG"/>
      </w:pPr>
      <w:r>
        <w:t>17.</w:t>
      </w:r>
      <w:r>
        <w:tab/>
        <w:t>Комитет обеспокоен отсутствием мер, которые были бы направлены на упразднение практики отказов в правоспособности или ее ограничения, а также на обеспечение доступности для инвалидов мер по их поддержке в процессе принятия решений. Его также беспокоят практические препятствия, с которыми сталкиваются инвалиды при осуществлении своей правоспособности и которые, в частности, обусловлены отсутствием конкретных руководящих принципов и нехваткой должностных лиц и поставщиков услуг, прошедших подготовку по вопросам оказания необходимой поддержки инвалидам в процессе принятия решений</w:t>
      </w:r>
      <w:r w:rsidR="00792688" w:rsidRPr="00010FFB">
        <w:t>.</w:t>
      </w:r>
      <w:r>
        <w:t xml:space="preserve"> </w:t>
      </w:r>
    </w:p>
    <w:p w14:paraId="7F9FB791" w14:textId="77777777" w:rsidR="00C04796" w:rsidRPr="00FA64D6" w:rsidRDefault="00C04796" w:rsidP="00C04796">
      <w:pPr>
        <w:pStyle w:val="SingleTxtG"/>
        <w:rPr>
          <w:b/>
        </w:rPr>
      </w:pPr>
      <w:r>
        <w:t>18.</w:t>
      </w:r>
      <w:r>
        <w:tab/>
      </w:r>
      <w:r w:rsidRPr="00FA64D6">
        <w:rPr>
          <w:b/>
        </w:rPr>
        <w:t>Ссылаясь на свое замечание общего порядка № 1 (2014 год) о равенстве перед законом, Комитет рекомендует государству-участнику привести свое законодательство в соответствие с Конвенцией, заменив субститутивный порядок принятия решений, включая механизмы судебной поддержки, суппортивным режимом их принятия, уважающим самостоятельность, волю и предпочтения личности. Он также рекомендует государству-участнику принять все другие надлежащие меры для гарантирования доступа инвалидов к поддержке, необходимой для обеспечения их права на равенство перед законом и осуществления их правоспособности, включая подготовку должностных лиц и поставщиков услуг во всех секторах.</w:t>
      </w:r>
    </w:p>
    <w:p w14:paraId="2D524278" w14:textId="77777777" w:rsidR="00C04796" w:rsidRDefault="00C04796" w:rsidP="00FA64D6">
      <w:pPr>
        <w:pStyle w:val="H23G"/>
      </w:pPr>
      <w:r>
        <w:tab/>
      </w:r>
      <w:r>
        <w:tab/>
        <w:t xml:space="preserve">Доступ к правосудию (статья 13) </w:t>
      </w:r>
    </w:p>
    <w:p w14:paraId="47CCB4C2" w14:textId="77777777" w:rsidR="00C04796" w:rsidRDefault="00C04796" w:rsidP="00C04796">
      <w:pPr>
        <w:pStyle w:val="SingleTxtG"/>
      </w:pPr>
      <w:r>
        <w:t>19.</w:t>
      </w:r>
      <w:r>
        <w:tab/>
        <w:t>Комитет обеспокоен тем, что:</w:t>
      </w:r>
    </w:p>
    <w:p w14:paraId="133F550A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 w:rsidR="00C04796">
        <w:tab/>
        <w:t>здания судов не являются полностью доступными для инвалидов и что доступные юридические услуги и правовая информаци</w:t>
      </w:r>
      <w:r w:rsidR="002E28E6">
        <w:t>я</w:t>
      </w:r>
      <w:r w:rsidR="00C04796">
        <w:t xml:space="preserve"> имеются в недостаточном объеме, в частности в форматах Брайля и Easy Read и на языке жестов;</w:t>
      </w:r>
      <w:r w:rsidR="00DD3E9A">
        <w:t xml:space="preserve"> </w:t>
      </w:r>
    </w:p>
    <w:p w14:paraId="7FAE1CF2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 w:rsidR="00C04796">
        <w:tab/>
        <w:t>процедурные приспособления не в полной мере обеспечиваются на всех стадиях гражданского, уголовного и административного производства, что особенно касается обеспечения письменного и устного перевода для лиц с нарушениями слуха и речи.</w:t>
      </w:r>
      <w:r w:rsidR="00DD3E9A">
        <w:t xml:space="preserve"> </w:t>
      </w:r>
    </w:p>
    <w:p w14:paraId="55997895" w14:textId="77777777" w:rsidR="00C04796" w:rsidRPr="00FA64D6" w:rsidRDefault="00C04796" w:rsidP="00C04796">
      <w:pPr>
        <w:pStyle w:val="SingleTxtG"/>
        <w:rPr>
          <w:b/>
        </w:rPr>
      </w:pPr>
      <w:r>
        <w:t>20.</w:t>
      </w:r>
      <w:r>
        <w:tab/>
      </w:r>
      <w:r w:rsidRPr="00FA64D6">
        <w:rPr>
          <w:b/>
        </w:rPr>
        <w:t xml:space="preserve">Комитет рекомендует государству-участнику обеспечить эффективный доступ к правосудию без какой-либо дискриминации с помощью эффективного механизма мониторинга. Он также рекомендует государству-участнику обеспечить эффективный доступ к юридическим услугам и юридической помощи, бесплатным ассистивным технологиям и качественному письменному и устному переводу на язык жестов и в формате Брайля и других альтернативных форматах за счет их бесплатного предоставления на всех стадиях гражданского, уголовного и административного производства. Он далее рекомендует государству-участнику продолжать обеспечивать надлежащую подготовку по </w:t>
      </w:r>
      <w:r w:rsidRPr="00FA64D6">
        <w:rPr>
          <w:b/>
        </w:rPr>
        <w:lastRenderedPageBreak/>
        <w:t>вопросам прав инвалидов для судей, адвокатов и сотрудников правоохранительных органов, постепенно наращивая свои усилия в этой области, и принимать во внимание статью 13 Конвенции при осуществлении задачи 16.3 Целей в области устойчивого развития.</w:t>
      </w:r>
    </w:p>
    <w:p w14:paraId="7BB3D1F4" w14:textId="77777777" w:rsidR="00C04796" w:rsidRDefault="00C04796" w:rsidP="00FA64D6">
      <w:pPr>
        <w:pStyle w:val="H23G"/>
      </w:pPr>
      <w:r>
        <w:tab/>
      </w:r>
      <w:r>
        <w:tab/>
        <w:t>Свобода и личная неприкосновенность (статья 14)</w:t>
      </w:r>
    </w:p>
    <w:p w14:paraId="3C8A7813" w14:textId="77777777" w:rsidR="00C04796" w:rsidRDefault="00C04796" w:rsidP="00C04796">
      <w:pPr>
        <w:pStyle w:val="SingleTxtG"/>
      </w:pPr>
      <w:r>
        <w:t>21.</w:t>
      </w:r>
      <w:r>
        <w:tab/>
        <w:t xml:space="preserve">Комитет обеспокоен существованием дискриминационных правовых положений, в частности в Законе 2071/1992, и практики принудительной госпитализации и лишения свободы лиц с психосоциальными или умственными расстройствами, на которую было обращено особое внимание в докладе Омбудсмена Греции за июль 2019 года, а также применением к лицам с такими расстройствами принудительных методов, например механических средств усмирения. </w:t>
      </w:r>
    </w:p>
    <w:p w14:paraId="272D4340" w14:textId="77777777" w:rsidR="00C04796" w:rsidRDefault="00C04796" w:rsidP="00C04796">
      <w:pPr>
        <w:pStyle w:val="SingleTxtG"/>
      </w:pPr>
      <w:r>
        <w:t>22.</w:t>
      </w:r>
      <w:r>
        <w:tab/>
      </w:r>
      <w:r w:rsidRPr="00FA64D6">
        <w:rPr>
          <w:b/>
        </w:rPr>
        <w:t>В соответствии со своими руководящими принципами, касающимися права инвалидов на свободу и безопасность (А/72/55, приложение I), Комитет настоятельно призывает государство-участник отменить все законы, допускающие принудительное лишение свободы на основании инвалидности, прекратить применение принудительного лечения, средств ограничения и принудительных методов и предоставлять инвалидам, лишенным свободы на основании инвалидности, эффективные средства правовой защиты.</w:t>
      </w:r>
      <w:r>
        <w:t xml:space="preserve"> </w:t>
      </w:r>
    </w:p>
    <w:p w14:paraId="0E79B9A2" w14:textId="77777777" w:rsidR="00C04796" w:rsidRDefault="00C04796" w:rsidP="00C04796">
      <w:pPr>
        <w:pStyle w:val="SingleTxtG"/>
      </w:pPr>
      <w:r>
        <w:t>23.</w:t>
      </w:r>
      <w:r>
        <w:tab/>
      </w:r>
      <w:r w:rsidRPr="00FA64D6">
        <w:rPr>
          <w:b/>
        </w:rPr>
        <w:t xml:space="preserve">Кроме того, Комитет рекомендует государству-участнику руководствоваться своими обязательствами по статье 14 Конвенции и, соответственно, выступить против принятия проекта дополнительного протокола к Конвенции о защите прав и достоинства человека в связи с применением достижений биологии и медицины, озаглавленного </w:t>
      </w:r>
      <w:r w:rsidR="00792688">
        <w:rPr>
          <w:b/>
        </w:rPr>
        <w:t>«</w:t>
      </w:r>
      <w:r w:rsidRPr="00FA64D6">
        <w:rPr>
          <w:b/>
        </w:rPr>
        <w:t>Защита прав и достоинства лиц с психическими расстройствами в связи с принудительным помещением в специализированные учреждения и принудительным лечением</w:t>
      </w:r>
      <w:r w:rsidR="00792688">
        <w:rPr>
          <w:b/>
        </w:rPr>
        <w:t>»</w:t>
      </w:r>
      <w:r w:rsidRPr="00FA64D6">
        <w:rPr>
          <w:b/>
        </w:rPr>
        <w:t>, в его нынешнем виде.</w:t>
      </w:r>
      <w:r w:rsidR="00DD3E9A">
        <w:t xml:space="preserve"> </w:t>
      </w:r>
    </w:p>
    <w:p w14:paraId="6ED324FC" w14:textId="77777777" w:rsidR="00C04796" w:rsidRDefault="00C04796" w:rsidP="00FA64D6">
      <w:pPr>
        <w:pStyle w:val="H23G"/>
      </w:pPr>
      <w:r>
        <w:tab/>
      </w:r>
      <w:r>
        <w:tab/>
        <w:t>Свобода от пыток и жестоких, бесчеловечных или унижающих достоинство видов обращения и наказания (статья 15)</w:t>
      </w:r>
    </w:p>
    <w:p w14:paraId="353ECD09" w14:textId="77777777" w:rsidR="00C04796" w:rsidRDefault="00C04796" w:rsidP="00C04796">
      <w:pPr>
        <w:pStyle w:val="SingleTxtG"/>
      </w:pPr>
      <w:r>
        <w:t>24.</w:t>
      </w:r>
      <w:r>
        <w:tab/>
        <w:t>Комитет обеспокоен:</w:t>
      </w:r>
    </w:p>
    <w:p w14:paraId="454CA4EA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a) </w:t>
      </w:r>
      <w:r w:rsidR="00C04796">
        <w:tab/>
        <w:t>перенаселенностью психиатрических учреждений и случаями незарегистрированного травматизма инвалидов в этих учреждениях, а также отсутствием информации о правовых гарантиях и механизмах мониторинга в отношении ухода за инвалидами и их лечения в учреждениях любого типа;</w:t>
      </w:r>
      <w:r w:rsidR="00DD3E9A">
        <w:t xml:space="preserve"> </w:t>
      </w:r>
    </w:p>
    <w:p w14:paraId="285F8C43" w14:textId="77777777" w:rsidR="00C04796" w:rsidRDefault="00C04796" w:rsidP="00C04796">
      <w:pPr>
        <w:pStyle w:val="SingleTxtG"/>
      </w:pPr>
      <w:r>
        <w:tab/>
      </w:r>
      <w:r w:rsidR="00FA64D6">
        <w:tab/>
      </w:r>
      <w:r>
        <w:t xml:space="preserve">b) </w:t>
      </w:r>
      <w:r>
        <w:tab/>
        <w:t>отсутствием основ для обеспечения необходимых конкретных мер и индивидуализированной поддержки заключенным-инвалидам и задержанным инвалидам в целях удовлетворения их повседневных потребностей в условиях, обеспечивающих уважение их достоинства;</w:t>
      </w:r>
      <w:r w:rsidR="00DD3E9A">
        <w:t xml:space="preserve"> </w:t>
      </w:r>
    </w:p>
    <w:p w14:paraId="7494A55A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c) </w:t>
      </w:r>
      <w:r w:rsidR="00C04796">
        <w:tab/>
        <w:t>условиями приема и содержания под стражей инвалидов, являющихся беженцами, просителями убежища или лицами в ситуациях, аналогичных ситуации беженцев (см. также CAT/C/GRC/CO/7, пункты 20</w:t>
      </w:r>
      <w:r w:rsidR="00792688">
        <w:t>–</w:t>
      </w:r>
      <w:r w:rsidR="00C04796">
        <w:t>21), в том числе условиями содержания под стражей в ожидании высылки в страну происхождения в соответствии с Законом № 3907/2011.</w:t>
      </w:r>
      <w:r w:rsidR="00DD3E9A">
        <w:t xml:space="preserve"> </w:t>
      </w:r>
    </w:p>
    <w:p w14:paraId="059864AF" w14:textId="77777777" w:rsidR="00C04796" w:rsidRDefault="00C04796" w:rsidP="00C04796">
      <w:pPr>
        <w:pStyle w:val="SingleTxtG"/>
      </w:pPr>
      <w:r>
        <w:t>25.</w:t>
      </w:r>
      <w:r>
        <w:tab/>
      </w:r>
      <w:r w:rsidRPr="00FA64D6">
        <w:rPr>
          <w:b/>
        </w:rPr>
        <w:t>Комитет рекомендует государству-участнику принять эффективные меры для обеспечения того, чтобы условия жизни инвалидов в учреждениях и местах содержания любого рода, включая центры приема и содержания под стражей для беженцев, просителей убежища и лиц в ситуациях, аналогичных ситуации беженцев, обеспечивали уважение достоинства инвалидов и соблюдение положений статьи 15 Конвенции. Он также рекомендует государству-участнику обеспечивать конкретные меры и</w:t>
      </w:r>
      <w:r w:rsidR="00DD3E9A">
        <w:rPr>
          <w:b/>
        </w:rPr>
        <w:t xml:space="preserve"> </w:t>
      </w:r>
      <w:r w:rsidRPr="00FA64D6">
        <w:rPr>
          <w:b/>
        </w:rPr>
        <w:t>индивидуализированную поддержку заключенным-инвалидам и задержанным инвалидам для</w:t>
      </w:r>
      <w:r w:rsidR="00DD3E9A">
        <w:rPr>
          <w:b/>
        </w:rPr>
        <w:t xml:space="preserve"> </w:t>
      </w:r>
      <w:r w:rsidRPr="00FA64D6">
        <w:rPr>
          <w:b/>
        </w:rPr>
        <w:t xml:space="preserve">удовлетворения их повседневных потребностей. Он далее рекомендует государству-участнику укреплять и реализовывать гарантии неприменения жестокого обращения и механизмы контроля за жестоким обращением в учреждениях и местах </w:t>
      </w:r>
      <w:r w:rsidRPr="00FA64D6">
        <w:rPr>
          <w:b/>
        </w:rPr>
        <w:lastRenderedPageBreak/>
        <w:t>содержания инвалидов, обеспечивая, в частности, чтобы случаи получения травматизма инвалидов в таких учреждениях и местах систематически регистрировались и доводились до сведения компетентных контрольных органов.</w:t>
      </w:r>
      <w:r>
        <w:t xml:space="preserve"> </w:t>
      </w:r>
    </w:p>
    <w:p w14:paraId="425B5222" w14:textId="77777777" w:rsidR="00C04796" w:rsidRDefault="00C04796" w:rsidP="00FA64D6">
      <w:pPr>
        <w:pStyle w:val="H23G"/>
      </w:pPr>
      <w:r>
        <w:tab/>
      </w:r>
      <w:r>
        <w:tab/>
        <w:t>Свобода от эксплуатации, насилия и надругательства (статья 16)</w:t>
      </w:r>
    </w:p>
    <w:p w14:paraId="446AC3E9" w14:textId="77777777" w:rsidR="00C04796" w:rsidRDefault="00C04796" w:rsidP="00C04796">
      <w:pPr>
        <w:pStyle w:val="SingleTxtG"/>
      </w:pPr>
      <w:r>
        <w:t>26.</w:t>
      </w:r>
      <w:r>
        <w:tab/>
        <w:t>Комитет обеспокоен недостаточностью мер по выявлению, предупреждению и пресечению домашнего насилия в отношении</w:t>
      </w:r>
      <w:r w:rsidR="00DD3E9A">
        <w:t xml:space="preserve"> </w:t>
      </w:r>
      <w:r>
        <w:t xml:space="preserve">инвалидов, особенно женщин и детей-инвалидов, и их сексуальной эксплуатации. </w:t>
      </w:r>
    </w:p>
    <w:p w14:paraId="4EEA8827" w14:textId="77777777" w:rsidR="00C04796" w:rsidRPr="00FA64D6" w:rsidRDefault="00C04796" w:rsidP="00C04796">
      <w:pPr>
        <w:pStyle w:val="SingleTxtG"/>
        <w:rPr>
          <w:b/>
        </w:rPr>
      </w:pPr>
      <w:r>
        <w:t>27.</w:t>
      </w:r>
      <w:r>
        <w:tab/>
      </w:r>
      <w:r w:rsidRPr="00FA64D6">
        <w:rPr>
          <w:b/>
        </w:rPr>
        <w:t>Комитет рекомендует государству-участнику внедрить эффективную систему предупреждения насилия, особенно домашнего насилия и сексуальной эксплуатации, в отношении инвалидов, прежде всего женщин и детей-инвалидов. Он также рекомендует государству-участнику обеспечить специальную подготовку сотрудников правоохранительных органов, медицинского персонала и социальных работников по методам выявления и пресечения насилия в отношении инвалидов и их сексуальной эксплуатации. Комитет далее рекомендует государству-участнику разработать план действий по осуществлению Конвенции Совета Европы о предотвращении насилия в отношении женщин и домашнего насилия и борьбе с ними, уделив особое внимание женщинам и детям-инвалидам.</w:t>
      </w:r>
      <w:r w:rsidR="00DD3E9A">
        <w:rPr>
          <w:b/>
        </w:rPr>
        <w:t xml:space="preserve"> </w:t>
      </w:r>
    </w:p>
    <w:p w14:paraId="16761716" w14:textId="77777777" w:rsidR="00C04796" w:rsidRDefault="00C04796" w:rsidP="00FA64D6">
      <w:pPr>
        <w:pStyle w:val="H23G"/>
      </w:pPr>
      <w:r>
        <w:tab/>
      </w:r>
      <w:r>
        <w:tab/>
        <w:t>Самостоятельный образ</w:t>
      </w:r>
      <w:r w:rsidR="00DD3E9A">
        <w:t xml:space="preserve"> </w:t>
      </w:r>
      <w:r>
        <w:t xml:space="preserve">жизни и вовлеченность в местное сообщество </w:t>
      </w:r>
      <w:r w:rsidR="00FA64D6">
        <w:br/>
      </w:r>
      <w:r>
        <w:t>(статья 19)</w:t>
      </w:r>
    </w:p>
    <w:p w14:paraId="4B607571" w14:textId="77777777" w:rsidR="00C04796" w:rsidRDefault="00C04796" w:rsidP="00C04796">
      <w:pPr>
        <w:pStyle w:val="SingleTxtG"/>
      </w:pPr>
      <w:r>
        <w:t>28.</w:t>
      </w:r>
      <w:r>
        <w:tab/>
        <w:t>Комитет обеспокоен:</w:t>
      </w:r>
    </w:p>
    <w:p w14:paraId="4E8650B5" w14:textId="77777777" w:rsidR="00C04796" w:rsidRDefault="00C04796" w:rsidP="00C04796">
      <w:pPr>
        <w:pStyle w:val="SingleTxtG"/>
      </w:pPr>
      <w:r>
        <w:tab/>
      </w:r>
      <w:r w:rsidR="00FA64D6">
        <w:tab/>
      </w:r>
      <w:r>
        <w:t>a)</w:t>
      </w:r>
      <w:r w:rsidR="00FA64D6">
        <w:tab/>
      </w:r>
      <w:r>
        <w:t>отсутствием подлежащей представлению Комитету информации об услугах по оказанию поддержки на дому, по месту жительства и в рамках общин, включая персональную помощь, а также об эффективных мерах по деинституционализации инвалидов, в том числе для целей поддержки независимого проживания и интеграции в жизнь сообщества, в частности по схеме поддерживаемого проживания. Он также обеспокоен отсутствием дезагрегированных данных о числе инвалидов, особенно детей-инвалидов, все еще проживающих в учреждениях;</w:t>
      </w:r>
    </w:p>
    <w:p w14:paraId="11D315BC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 w:rsidR="00C04796">
        <w:tab/>
        <w:t>отсутствием информации о правовых, административных и финансовых мерах по обеспечению равного права инвалидов на выбор места жительства, а также о том, где и с кем они проживают</w:t>
      </w:r>
      <w:r w:rsidR="002E28E6">
        <w:t>.</w:t>
      </w:r>
    </w:p>
    <w:p w14:paraId="69F588F0" w14:textId="77777777" w:rsidR="00C04796" w:rsidRPr="00FA64D6" w:rsidRDefault="00C04796" w:rsidP="00C04796">
      <w:pPr>
        <w:pStyle w:val="SingleTxtG"/>
        <w:rPr>
          <w:b/>
        </w:rPr>
      </w:pPr>
      <w:r>
        <w:t>29.</w:t>
      </w:r>
      <w:r>
        <w:tab/>
      </w:r>
      <w:r w:rsidRPr="00FA64D6">
        <w:rPr>
          <w:b/>
        </w:rPr>
        <w:t>Комитет рекомендует государству-участнику в соответствии со своим замечанием общего порядка № 5 (2017 год) о самостоятельном образе жизни и вовлеченности в местное сообщество:</w:t>
      </w:r>
    </w:p>
    <w:p w14:paraId="0B934F82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Pr="00FA64D6">
        <w:rPr>
          <w:b/>
        </w:rPr>
        <w:tab/>
      </w:r>
      <w:r w:rsidR="00C04796" w:rsidRPr="00FA64D6">
        <w:rPr>
          <w:b/>
        </w:rPr>
        <w:t>принять всеобъемлющую национальную стратегию, предусматривающую принятие в четко установленные сроки соответствующих мер и выделение достаточных средств на проведение эффективной деинституционализации на всех уровнях;</w:t>
      </w:r>
    </w:p>
    <w:p w14:paraId="2D5DEC6B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b)</w:t>
      </w:r>
      <w:r w:rsidR="00C04796" w:rsidRPr="00FA64D6">
        <w:rPr>
          <w:b/>
        </w:rPr>
        <w:tab/>
        <w:t>гарантировать активное вовлечение инвалидов через их представительские организации в разработку стратегий и схем ведения самостоятельного образа жизни, которые обеспечивали бы доступность услуг на базе общин, особенно на местном уровне.</w:t>
      </w:r>
      <w:r w:rsidR="00DD3E9A">
        <w:rPr>
          <w:b/>
        </w:rPr>
        <w:t xml:space="preserve"> </w:t>
      </w:r>
    </w:p>
    <w:p w14:paraId="07439593" w14:textId="77777777" w:rsidR="00C04796" w:rsidRDefault="00C04796" w:rsidP="00FA64D6">
      <w:pPr>
        <w:pStyle w:val="H23G"/>
      </w:pPr>
      <w:r>
        <w:tab/>
      </w:r>
      <w:r>
        <w:tab/>
        <w:t>Индивидуальная мобильность (статья 20)</w:t>
      </w:r>
    </w:p>
    <w:p w14:paraId="46CDCD91" w14:textId="77777777" w:rsidR="00C04796" w:rsidRDefault="00C04796" w:rsidP="00C04796">
      <w:pPr>
        <w:pStyle w:val="SingleTxtG"/>
      </w:pPr>
      <w:r>
        <w:t>30.</w:t>
      </w:r>
      <w:r>
        <w:tab/>
        <w:t>Комитет обеспокоен отсутствием транспарентной системы предоставления транспортных льгот и обеспечения мобильности инвалидов без какой-либо дискриминации. Он особенно обеспокоен ограниченным и затрудненным доступом к парковочным стоянкам и сообщениями о случаях отказов в освобождении транспортных средств инвалидов от</w:t>
      </w:r>
      <w:r w:rsidR="00DD3E9A">
        <w:t xml:space="preserve"> </w:t>
      </w:r>
      <w:r>
        <w:t>сборов и налогов, одной из причин которых является требование об удостоверении пожизненной инвалидности в соответствии с действующим вторичным законодательством.</w:t>
      </w:r>
      <w:r w:rsidR="00DD3E9A">
        <w:t xml:space="preserve"> </w:t>
      </w:r>
    </w:p>
    <w:p w14:paraId="6054111C" w14:textId="77777777" w:rsidR="00C04796" w:rsidRDefault="00C04796" w:rsidP="00C04796">
      <w:pPr>
        <w:pStyle w:val="SingleTxtG"/>
      </w:pPr>
      <w:r>
        <w:lastRenderedPageBreak/>
        <w:t>31.</w:t>
      </w:r>
      <w:r>
        <w:tab/>
      </w:r>
      <w:r w:rsidRPr="00FA64D6">
        <w:rPr>
          <w:b/>
        </w:rPr>
        <w:t>Комитет рекомендует государству-участнику принять эффективные меры по совершенствованию системы поддержки индивидуальной мобильности, обеспечивая ее транспарентность и равный доступ всех инвалидов к пособиям и средствам, облегчающим их личную мобильность. Он также рекомендует</w:t>
      </w:r>
      <w:r w:rsidR="00DD3E9A">
        <w:rPr>
          <w:b/>
        </w:rPr>
        <w:t xml:space="preserve"> </w:t>
      </w:r>
      <w:r w:rsidRPr="00FA64D6">
        <w:rPr>
          <w:b/>
        </w:rPr>
        <w:t>государству-участнику обеспечить специальное обучение по вопросам мобильности для инвалидов и работающего с ними специализированного персонала.</w:t>
      </w:r>
      <w:r>
        <w:t xml:space="preserve"> </w:t>
      </w:r>
    </w:p>
    <w:p w14:paraId="14214C6C" w14:textId="77777777" w:rsidR="00C04796" w:rsidRDefault="00C04796" w:rsidP="00FA64D6">
      <w:pPr>
        <w:pStyle w:val="H23G"/>
      </w:pPr>
      <w:r>
        <w:tab/>
      </w:r>
      <w:r>
        <w:tab/>
        <w:t xml:space="preserve">Свобода выражения мнения и убеждений и доступ к информации (статья 21) </w:t>
      </w:r>
    </w:p>
    <w:p w14:paraId="5C7D7844" w14:textId="77777777" w:rsidR="00C04796" w:rsidRDefault="00C04796" w:rsidP="00C04796">
      <w:pPr>
        <w:pStyle w:val="SingleTxtG"/>
      </w:pPr>
      <w:r>
        <w:t>32.</w:t>
      </w:r>
      <w:r>
        <w:tab/>
        <w:t>Комитет обеспокоен:</w:t>
      </w:r>
    </w:p>
    <w:p w14:paraId="547BA8E9" w14:textId="77777777" w:rsidR="00C04796" w:rsidRDefault="00FA64D6" w:rsidP="00C04796">
      <w:pPr>
        <w:pStyle w:val="SingleTxtG"/>
      </w:pPr>
      <w:r>
        <w:tab/>
      </w:r>
      <w:r w:rsidR="00C04796">
        <w:tab/>
        <w:t>а)</w:t>
      </w:r>
      <w:r w:rsidR="00C04796">
        <w:tab/>
        <w:t>препятствиями, с которыми сталкиваются инвалиды при получении доступа к информации, особенно в государственном секторе, в частности из-за отсутствия документов в доступных форматах и отсутствия сурдоперевода;</w:t>
      </w:r>
      <w:r w:rsidR="00DD3E9A">
        <w:t xml:space="preserve"> </w:t>
      </w:r>
    </w:p>
    <w:p w14:paraId="270BD52D" w14:textId="77777777" w:rsidR="00C04796" w:rsidRDefault="00C04796" w:rsidP="00C04796">
      <w:pPr>
        <w:pStyle w:val="SingleTxtG"/>
      </w:pPr>
      <w:r>
        <w:tab/>
      </w:r>
      <w:r w:rsidR="00FA64D6">
        <w:tab/>
      </w:r>
      <w:r>
        <w:t>b)</w:t>
      </w:r>
      <w:r>
        <w:tab/>
        <w:t>недостаточностью информации о национальных планах действий или долгосрочных стратегиях по улучшению доступа инвалидов к информации, в частности аудиовизуальным медийным услугам и Интернету, в том числе и посредством обеспечения сурдоперевода и субтитрирования и составления</w:t>
      </w:r>
      <w:r w:rsidR="00DD3E9A">
        <w:t xml:space="preserve"> </w:t>
      </w:r>
      <w:r>
        <w:t xml:space="preserve">документации в форматах Брайля и Easy Read. </w:t>
      </w:r>
    </w:p>
    <w:p w14:paraId="0BFDF3B8" w14:textId="77777777" w:rsidR="00C04796" w:rsidRPr="00FA64D6" w:rsidRDefault="00C04796" w:rsidP="00C04796">
      <w:pPr>
        <w:pStyle w:val="SingleTxtG"/>
        <w:rPr>
          <w:b/>
        </w:rPr>
      </w:pPr>
      <w:r>
        <w:t>33.</w:t>
      </w:r>
      <w:r>
        <w:tab/>
      </w:r>
      <w:r w:rsidRPr="00FA64D6">
        <w:rPr>
          <w:b/>
        </w:rPr>
        <w:t>Комитет рекомендует государству-участнику обеспечить, чтобы поставщики услуг населению, в особенности государственные вещательные компании, телекоммуникационные операторы и публичные библиотеки, начали постепенно предоставлять инвалидам информацию в доступных форматах, например с использованием языка жестов, форматов Брайля и Easy Read и субтитрирования, на основе разработанного и контролируемого плана действий. Он также рекомендует государству-участнику принять эффективные меры для облегчения использования языка жестов, форматов Easy Read и шрифта Брайля при активном участии соответствующих организаций инвалидов.</w:t>
      </w:r>
      <w:r w:rsidR="00DD3E9A">
        <w:rPr>
          <w:b/>
        </w:rPr>
        <w:t xml:space="preserve"> </w:t>
      </w:r>
    </w:p>
    <w:p w14:paraId="287BA18D" w14:textId="77777777" w:rsidR="00C04796" w:rsidRDefault="00C04796" w:rsidP="00FA64D6">
      <w:pPr>
        <w:pStyle w:val="H23G"/>
      </w:pPr>
      <w:r>
        <w:tab/>
      </w:r>
      <w:r>
        <w:tab/>
        <w:t>Образование (статья 24)</w:t>
      </w:r>
    </w:p>
    <w:p w14:paraId="29F1718B" w14:textId="77777777" w:rsidR="00C04796" w:rsidRDefault="00C04796" w:rsidP="00C04796">
      <w:pPr>
        <w:pStyle w:val="SingleTxtG"/>
      </w:pPr>
      <w:r>
        <w:t>34.</w:t>
      </w:r>
      <w:r>
        <w:tab/>
        <w:t>Комитет обеспокоен тем, что:</w:t>
      </w:r>
    </w:p>
    <w:p w14:paraId="2E9DBABD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 w:rsidR="00C04796">
        <w:tab/>
        <w:t>не существует четкого всеобъемлющего законодательства или стратегии по инклюзивному образованию и отсутствуют финансовые ассигнования на него, в особенности в отношении пожизненного обучения;</w:t>
      </w:r>
    </w:p>
    <w:p w14:paraId="7411A4F2" w14:textId="77777777" w:rsidR="00C04796" w:rsidRDefault="00FA64D6" w:rsidP="00C04796">
      <w:pPr>
        <w:pStyle w:val="SingleTxtG"/>
      </w:pPr>
      <w:r>
        <w:tab/>
      </w:r>
      <w:r w:rsidR="00C04796">
        <w:tab/>
        <w:t>b)</w:t>
      </w:r>
      <w:r>
        <w:tab/>
      </w:r>
      <w:r w:rsidR="00C04796">
        <w:t>школы и университеты не располагают доступными и инклюзивными средой, зданиями, учебными материалами, услугами, оборудованием, информационно-коммуникационными технологиями, а также не оказывают индивидуализированной поддержки учащимся-инвалидам;</w:t>
      </w:r>
      <w:r w:rsidR="00DD3E9A">
        <w:t xml:space="preserve"> </w:t>
      </w:r>
    </w:p>
    <w:p w14:paraId="63F1D245" w14:textId="77777777" w:rsidR="00C04796" w:rsidRDefault="00FA64D6" w:rsidP="00C04796">
      <w:pPr>
        <w:pStyle w:val="SingleTxtG"/>
      </w:pPr>
      <w:r>
        <w:tab/>
      </w:r>
      <w:r w:rsidR="00C04796">
        <w:tab/>
        <w:t>c)</w:t>
      </w:r>
      <w:r>
        <w:tab/>
      </w:r>
      <w:r w:rsidR="00C04796">
        <w:t>серьезно ограничен доступ к образованию детей-инвалидов из числа рома, а также детей-инвалидов, относящихся к категориям беженцев, просителей убежища и мигрантов;</w:t>
      </w:r>
      <w:r w:rsidR="00DD3E9A">
        <w:t xml:space="preserve"> </w:t>
      </w:r>
    </w:p>
    <w:p w14:paraId="4F1C92BB" w14:textId="77777777" w:rsidR="00C04796" w:rsidRDefault="00FA64D6" w:rsidP="00C04796">
      <w:pPr>
        <w:pStyle w:val="SingleTxtG"/>
      </w:pPr>
      <w:r>
        <w:tab/>
      </w:r>
      <w:r w:rsidR="00C04796">
        <w:tab/>
        <w:t>d)</w:t>
      </w:r>
      <w:r w:rsidR="00C04796">
        <w:tab/>
        <w:t>отсутствуют достаточные данные об объеме государственных ресурсов, выделяемых на инклюзивное образование в общеобразовательных школах и высших учебных заведениях, о регламентированных прозрачных</w:t>
      </w:r>
      <w:r w:rsidR="00DD3E9A">
        <w:t xml:space="preserve"> </w:t>
      </w:r>
      <w:r w:rsidR="00C04796">
        <w:t>протоколах, касающихся индивидуальных планов обучения, и о соответствующих технологиях и формах коммуникации, призванных обеспечить доступность образования для учащихся-инвалидов на всех его уровнях.</w:t>
      </w:r>
      <w:r w:rsidR="00DD3E9A">
        <w:t xml:space="preserve"> </w:t>
      </w:r>
    </w:p>
    <w:p w14:paraId="1635FED5" w14:textId="77777777" w:rsidR="00C04796" w:rsidRPr="00FA64D6" w:rsidRDefault="00C04796" w:rsidP="00C04796">
      <w:pPr>
        <w:pStyle w:val="SingleTxtG"/>
        <w:rPr>
          <w:b/>
        </w:rPr>
      </w:pPr>
      <w:r>
        <w:t>35.</w:t>
      </w:r>
      <w:r>
        <w:tab/>
      </w:r>
      <w:r w:rsidRPr="00FA64D6">
        <w:rPr>
          <w:b/>
        </w:rPr>
        <w:t xml:space="preserve">Ссылаясь на свое замечание общего порядка № 4 (2016 год) о праве на инклюзивное образование и принимая во внимание </w:t>
      </w:r>
      <w:r w:rsidR="002E28E6" w:rsidRPr="00FA64D6">
        <w:rPr>
          <w:b/>
        </w:rPr>
        <w:t xml:space="preserve">Цель </w:t>
      </w:r>
      <w:r w:rsidRPr="00FA64D6">
        <w:rPr>
          <w:b/>
        </w:rPr>
        <w:t>4 устойчивого развития, особенно задачи 4.5 и 4.а, Комитет рекомендует государству-участнику активизировать свои усилия по обеспечению гарантий инклюзивного образования, и в частности к тому, чтобы оно:</w:t>
      </w:r>
      <w:r w:rsidR="00DD3E9A">
        <w:rPr>
          <w:b/>
        </w:rPr>
        <w:t xml:space="preserve"> </w:t>
      </w:r>
    </w:p>
    <w:p w14:paraId="307DDE43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>a)</w:t>
      </w:r>
      <w:r w:rsidR="00C04796" w:rsidRPr="00FA64D6">
        <w:rPr>
          <w:b/>
        </w:rPr>
        <w:tab/>
        <w:t>приняло и осуществляло последовательную стратегию в области инклюзивного образования в рамках общей системы образования;</w:t>
      </w:r>
      <w:r w:rsidR="00DD3E9A">
        <w:rPr>
          <w:b/>
        </w:rPr>
        <w:t xml:space="preserve"> </w:t>
      </w:r>
    </w:p>
    <w:p w14:paraId="67C4829C" w14:textId="77777777" w:rsidR="00C04796" w:rsidRPr="00FA64D6" w:rsidRDefault="00C04796" w:rsidP="00C04796">
      <w:pPr>
        <w:pStyle w:val="SingleTxtG"/>
        <w:rPr>
          <w:b/>
        </w:rPr>
      </w:pPr>
      <w:r w:rsidRPr="00FA64D6">
        <w:rPr>
          <w:b/>
        </w:rPr>
        <w:lastRenderedPageBreak/>
        <w:tab/>
      </w:r>
      <w:r w:rsidR="00FA64D6" w:rsidRPr="00FA64D6">
        <w:rPr>
          <w:b/>
        </w:rPr>
        <w:tab/>
      </w:r>
      <w:r w:rsidRPr="00FA64D6">
        <w:rPr>
          <w:b/>
        </w:rPr>
        <w:t>b)</w:t>
      </w:r>
      <w:r w:rsidRPr="00FA64D6">
        <w:rPr>
          <w:b/>
        </w:rPr>
        <w:tab/>
        <w:t>гарантировать доступность школьной и университетской среды в соответствии с Конвенцией путем содействия распространению универсального дизайна, обеспечения конкретных мер и индивидуализированной поддержки, например с помощью доступных и адаптированных материалов, инклюзивных учебных планов,</w:t>
      </w:r>
      <w:r w:rsidR="00DD3E9A">
        <w:rPr>
          <w:b/>
        </w:rPr>
        <w:t xml:space="preserve"> </w:t>
      </w:r>
      <w:r w:rsidRPr="00FA64D6">
        <w:rPr>
          <w:b/>
        </w:rPr>
        <w:t>инклюзивных информационно-коммуникационных технологий для учащихся и студентов из числа инвалидов, а также цифровой педагогики;</w:t>
      </w:r>
      <w:r w:rsidR="00DD3E9A">
        <w:rPr>
          <w:b/>
        </w:rPr>
        <w:t xml:space="preserve"> </w:t>
      </w:r>
    </w:p>
    <w:p w14:paraId="78D38571" w14:textId="77777777" w:rsidR="00C04796" w:rsidRPr="00FA64D6" w:rsidRDefault="00FA64D6" w:rsidP="00C04796">
      <w:pPr>
        <w:pStyle w:val="SingleTxtG"/>
        <w:rPr>
          <w:b/>
        </w:rPr>
      </w:pPr>
      <w:r>
        <w:rPr>
          <w:b/>
        </w:rPr>
        <w:tab/>
      </w:r>
      <w:r w:rsidR="00C04796" w:rsidRPr="00FA64D6">
        <w:rPr>
          <w:b/>
        </w:rPr>
        <w:tab/>
        <w:t>c)</w:t>
      </w:r>
      <w:r w:rsidR="00C04796" w:rsidRPr="00FA64D6">
        <w:rPr>
          <w:b/>
        </w:rPr>
        <w:tab/>
        <w:t>незамедлительно обеспечить доступ к формальному образованию всем детям-инвалидам, относящимся к беженцам, просителям убежища и мигрантам,</w:t>
      </w:r>
      <w:r w:rsidR="00DD3E9A">
        <w:rPr>
          <w:b/>
        </w:rPr>
        <w:t xml:space="preserve"> </w:t>
      </w:r>
      <w:r w:rsidR="00C04796" w:rsidRPr="00FA64D6">
        <w:rPr>
          <w:b/>
        </w:rPr>
        <w:t>а также детям-инвалидам из числа рома;</w:t>
      </w:r>
      <w:r w:rsidR="00DD3E9A">
        <w:rPr>
          <w:b/>
        </w:rPr>
        <w:t xml:space="preserve"> </w:t>
      </w:r>
    </w:p>
    <w:p w14:paraId="65B33A08" w14:textId="77777777" w:rsidR="00C04796" w:rsidRPr="00FA64D6" w:rsidRDefault="00FA64D6" w:rsidP="00C04796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="00C04796" w:rsidRPr="00FA64D6">
        <w:rPr>
          <w:b/>
        </w:rPr>
        <w:t>d)</w:t>
      </w:r>
      <w:r w:rsidR="00C04796" w:rsidRPr="00FA64D6">
        <w:rPr>
          <w:b/>
        </w:rPr>
        <w:tab/>
        <w:t>выделять в достаточном объеме реальные</w:t>
      </w:r>
      <w:r w:rsidR="00DD3E9A">
        <w:rPr>
          <w:b/>
        </w:rPr>
        <w:t xml:space="preserve"> </w:t>
      </w:r>
      <w:r w:rsidR="00C04796" w:rsidRPr="00FA64D6">
        <w:rPr>
          <w:b/>
        </w:rPr>
        <w:t>финансовые и материальные ресурсы, а также адекватно обученный и регулярно проходящий подготовку персонал, включая инвалидов, с тем чтобы эффективным образом гарантировать инклюзивное образование;</w:t>
      </w:r>
      <w:r w:rsidR="00DD3E9A">
        <w:rPr>
          <w:b/>
        </w:rPr>
        <w:t xml:space="preserve"> </w:t>
      </w:r>
    </w:p>
    <w:p w14:paraId="27C63A05" w14:textId="77777777" w:rsidR="00C04796" w:rsidRPr="00FA64D6" w:rsidRDefault="00FA64D6" w:rsidP="00C04796">
      <w:pPr>
        <w:pStyle w:val="SingleTxtG"/>
        <w:rPr>
          <w:b/>
        </w:rPr>
      </w:pPr>
      <w:r>
        <w:rPr>
          <w:b/>
        </w:rPr>
        <w:tab/>
      </w:r>
      <w:r w:rsidR="00C04796" w:rsidRPr="00FA64D6">
        <w:rPr>
          <w:b/>
        </w:rPr>
        <w:tab/>
        <w:t>e)</w:t>
      </w:r>
      <w:r w:rsidR="00C04796" w:rsidRPr="00FA64D6">
        <w:rPr>
          <w:b/>
        </w:rPr>
        <w:tab/>
        <w:t>включить подготовку по инклюзивному образованию в учебные планы высших учебных заведений по специальности «Преподаватель курсов подготовки», а также в программы повышения квалификации действующего состава преподавателей, предусмотрев для них достаточный бюджет.</w:t>
      </w:r>
      <w:r w:rsidR="00DD3E9A">
        <w:rPr>
          <w:b/>
        </w:rPr>
        <w:t xml:space="preserve"> </w:t>
      </w:r>
    </w:p>
    <w:p w14:paraId="7AACA7FB" w14:textId="77777777" w:rsidR="00C04796" w:rsidRDefault="00C04796" w:rsidP="00FA64D6">
      <w:pPr>
        <w:pStyle w:val="H23G"/>
      </w:pPr>
      <w:r>
        <w:tab/>
      </w:r>
      <w:r>
        <w:tab/>
        <w:t>Здоровье (статья 25)</w:t>
      </w:r>
    </w:p>
    <w:p w14:paraId="4CB5440A" w14:textId="77777777" w:rsidR="00C04796" w:rsidRDefault="00C04796" w:rsidP="00C04796">
      <w:pPr>
        <w:pStyle w:val="SingleTxtG"/>
      </w:pPr>
      <w:r>
        <w:t>36.</w:t>
      </w:r>
      <w:r>
        <w:tab/>
        <w:t xml:space="preserve">Комитет обеспокоен: </w:t>
      </w:r>
    </w:p>
    <w:p w14:paraId="61001736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a) </w:t>
      </w:r>
      <w:r w:rsidR="00C04796">
        <w:tab/>
        <w:t>недостаточным доступом инвалидов к медицинским учреждениям и медицинскому оборудованию;</w:t>
      </w:r>
      <w:r w:rsidR="00DD3E9A">
        <w:t xml:space="preserve"> </w:t>
      </w:r>
    </w:p>
    <w:p w14:paraId="5B875BD1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b) </w:t>
      </w:r>
      <w:r w:rsidR="00C04796">
        <w:tab/>
        <w:t>недостаточностью мер, принимаемых для эффективного гарантирования инвалидам, особенно пожилым, а также женщинам и девочкам-инвалидам, доступа к комплексным медицинским услугам (см. также доклад Комиссара по правам человека Совета Европы Дуни Миятович по итогам ее визита в Грецию 25</w:t>
      </w:r>
      <w:r w:rsidR="00792688">
        <w:t>–</w:t>
      </w:r>
      <w:r w:rsidR="00C04796">
        <w:t xml:space="preserve">29 июня 2018 года, пункт 117), включая услуги в области сексуального и репродуктивного здоровья, наравне с другими лицами. </w:t>
      </w:r>
    </w:p>
    <w:p w14:paraId="72DA3BA9" w14:textId="77777777" w:rsidR="00C04796" w:rsidRPr="00FA64D6" w:rsidRDefault="00C04796" w:rsidP="00C04796">
      <w:pPr>
        <w:pStyle w:val="SingleTxtG"/>
        <w:rPr>
          <w:b/>
        </w:rPr>
      </w:pPr>
      <w:r>
        <w:t>37.</w:t>
      </w:r>
      <w:r>
        <w:tab/>
      </w:r>
      <w:r w:rsidRPr="00FA64D6">
        <w:rPr>
          <w:b/>
        </w:rPr>
        <w:t xml:space="preserve">Комитет рекомендует государству-участнику с учетом задач 3.7 и 3.8 Целей в области устойчивого развития: </w:t>
      </w:r>
    </w:p>
    <w:p w14:paraId="392FC153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 xml:space="preserve">а) </w:t>
      </w:r>
      <w:r w:rsidR="00C04796" w:rsidRPr="00FA64D6">
        <w:rPr>
          <w:b/>
        </w:rPr>
        <w:tab/>
        <w:t>разработать стабильную, непрерывную, долгосрочную стратегию, предусматривающую эффективные и согласованные меры по обеспечению</w:t>
      </w:r>
      <w:r w:rsidR="00DD3E9A">
        <w:rPr>
          <w:b/>
        </w:rPr>
        <w:t xml:space="preserve"> </w:t>
      </w:r>
      <w:r w:rsidR="00C04796" w:rsidRPr="00FA64D6">
        <w:rPr>
          <w:b/>
        </w:rPr>
        <w:t xml:space="preserve">инвалидам гарантий доступа к медицинскому обслуживанию; </w:t>
      </w:r>
    </w:p>
    <w:p w14:paraId="78185B99" w14:textId="77777777" w:rsidR="00C04796" w:rsidRPr="00FA64D6" w:rsidRDefault="00FA64D6" w:rsidP="00C04796">
      <w:pPr>
        <w:pStyle w:val="SingleTxtG"/>
        <w:rPr>
          <w:b/>
        </w:rPr>
      </w:pPr>
      <w:r w:rsidRPr="00FA64D6">
        <w:rPr>
          <w:b/>
        </w:rPr>
        <w:tab/>
      </w:r>
      <w:r w:rsidR="00C04796" w:rsidRPr="00FA64D6">
        <w:rPr>
          <w:b/>
        </w:rPr>
        <w:tab/>
        <w:t xml:space="preserve">b) </w:t>
      </w:r>
      <w:r w:rsidR="00C04796" w:rsidRPr="00FA64D6">
        <w:rPr>
          <w:b/>
        </w:rPr>
        <w:tab/>
        <w:t>эффективно контролировать осуществление поставщиками медицинских услуг деятельности по их</w:t>
      </w:r>
      <w:r w:rsidR="00DD3E9A">
        <w:rPr>
          <w:b/>
        </w:rPr>
        <w:t xml:space="preserve"> </w:t>
      </w:r>
      <w:r w:rsidR="00C04796" w:rsidRPr="00FA64D6">
        <w:rPr>
          <w:b/>
        </w:rPr>
        <w:t>предоставлению инвалидам наравне с другими лицами.</w:t>
      </w:r>
      <w:r w:rsidR="00DD3E9A">
        <w:rPr>
          <w:b/>
        </w:rPr>
        <w:t xml:space="preserve"> </w:t>
      </w:r>
      <w:r w:rsidR="00C04796" w:rsidRPr="00FA64D6">
        <w:rPr>
          <w:b/>
        </w:rPr>
        <w:t>Комитет также рекомендует государству-участнику сделать доступными медицинские учреждения, оборудование и инструменты, прежде всего для обеспечения доступа женщин и девочек-инвалидов к услугам в области сексуального и репродуктивного здоровья в городских и сельских районах.</w:t>
      </w:r>
      <w:r w:rsidR="00DD3E9A">
        <w:rPr>
          <w:b/>
        </w:rPr>
        <w:t xml:space="preserve"> </w:t>
      </w:r>
    </w:p>
    <w:p w14:paraId="597F039A" w14:textId="77777777" w:rsidR="00C04796" w:rsidRDefault="00C04796" w:rsidP="00FA64D6">
      <w:pPr>
        <w:pStyle w:val="H23G"/>
      </w:pPr>
      <w:r>
        <w:tab/>
      </w:r>
      <w:r>
        <w:tab/>
        <w:t xml:space="preserve">Труд и занятость (статья 27) </w:t>
      </w:r>
    </w:p>
    <w:p w14:paraId="78BA1112" w14:textId="77777777" w:rsidR="00C04796" w:rsidRDefault="00C04796" w:rsidP="00C04796">
      <w:pPr>
        <w:pStyle w:val="SingleTxtG"/>
      </w:pPr>
      <w:r>
        <w:t>38.</w:t>
      </w:r>
      <w:r>
        <w:tab/>
        <w:t>Комитет обеспокоен:</w:t>
      </w:r>
    </w:p>
    <w:p w14:paraId="152DCF7C" w14:textId="77777777" w:rsidR="00C04796" w:rsidRDefault="00FA64D6" w:rsidP="00C04796">
      <w:pPr>
        <w:pStyle w:val="SingleTxtG"/>
      </w:pPr>
      <w:r>
        <w:tab/>
      </w:r>
      <w:r w:rsidR="00C04796">
        <w:tab/>
        <w:t>a)</w:t>
      </w:r>
      <w:r w:rsidR="00C04796">
        <w:tab/>
        <w:t xml:space="preserve">высоким уровнем безработицы среди инвалидов и недостаточными усилиями по обеспечению их интеграции в открытый рынок труда, особенно в случае женщин-инвалидов; </w:t>
      </w:r>
    </w:p>
    <w:p w14:paraId="197D89E9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b) </w:t>
      </w:r>
      <w:r w:rsidR="00C04796">
        <w:tab/>
        <w:t>отсутствием эффективных мер по совершенствованию и облегчению процесса обеспечения конкретных мер и индивидуализированной поддержки на рабочем месте, а также более эффективных и доступных услуг для инвалидов, ищущих работу.</w:t>
      </w:r>
      <w:r w:rsidR="00DD3E9A">
        <w:t xml:space="preserve"> </w:t>
      </w:r>
    </w:p>
    <w:p w14:paraId="00207C86" w14:textId="77777777" w:rsidR="00C04796" w:rsidRDefault="00C04796" w:rsidP="00C04796">
      <w:pPr>
        <w:pStyle w:val="SingleTxtG"/>
      </w:pPr>
      <w:r>
        <w:t>39.</w:t>
      </w:r>
      <w:r>
        <w:tab/>
      </w:r>
      <w:r w:rsidRPr="00FA64D6">
        <w:rPr>
          <w:b/>
        </w:rPr>
        <w:t xml:space="preserve">Комитет рекомендует государству-участнику принять эффективные меры для обеспечения интеграции инвалидов, особенно женщин-инвалидов, в открытый рынок труда с целью выполнения задачи 8.5 Целей в области устойчивого развития. Он также рекомендует государству-участнику </w:t>
      </w:r>
      <w:r w:rsidRPr="00FA64D6">
        <w:rPr>
          <w:b/>
        </w:rPr>
        <w:lastRenderedPageBreak/>
        <w:t>гарантировать обеспечение конкретных мер и индивидуализированной поддержки на рабочем месте; пропагандировать среди работодателей право инвалидов на трудоустройство наравне с другими лицами; и в первоочередном порядке учитывать аспект инвалидности во всех направлениях политики, мерах и программах в области занятости, в частности при разработке политики Греческой организации по вопросам занятости рабочей силы.</w:t>
      </w:r>
      <w:r w:rsidR="00DD3E9A">
        <w:t xml:space="preserve"> </w:t>
      </w:r>
    </w:p>
    <w:p w14:paraId="7955E217" w14:textId="77777777" w:rsidR="00C04796" w:rsidRDefault="00C04796" w:rsidP="00FA64D6">
      <w:pPr>
        <w:pStyle w:val="H23G"/>
      </w:pPr>
      <w:r>
        <w:tab/>
      </w:r>
      <w:r>
        <w:tab/>
        <w:t>Достаточный жизненный уровень и социальная защита (статья 28)</w:t>
      </w:r>
    </w:p>
    <w:p w14:paraId="6ECF7C26" w14:textId="77777777" w:rsidR="00C04796" w:rsidRDefault="00C04796" w:rsidP="00C04796">
      <w:pPr>
        <w:pStyle w:val="SingleTxtG"/>
      </w:pPr>
      <w:r>
        <w:t>40.</w:t>
      </w:r>
      <w:r>
        <w:tab/>
        <w:t>Комитет обеспокоен тем, что на права инвалидов по статье 28 Конвенции, в частности, негативно влияют:</w:t>
      </w:r>
      <w:r w:rsidR="00DD3E9A">
        <w:t xml:space="preserve"> </w:t>
      </w:r>
    </w:p>
    <w:p w14:paraId="28DAA655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а) </w:t>
      </w:r>
      <w:r w:rsidR="00C04796">
        <w:tab/>
        <w:t>изменения в страховом законодательстве и системе удостоверения инвалидности;</w:t>
      </w:r>
      <w:r w:rsidR="00DD3E9A">
        <w:t xml:space="preserve"> </w:t>
      </w:r>
    </w:p>
    <w:p w14:paraId="672BCD57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b) </w:t>
      </w:r>
      <w:r w:rsidR="00C04796">
        <w:tab/>
        <w:t>несогласованность внутреннего законодательства в вопросе исключения социальных пособий по инвалидности из налогооблагаемого дохода, а также их недостаточная защита от ареста;</w:t>
      </w:r>
      <w:r w:rsidR="00DD3E9A">
        <w:t xml:space="preserve"> </w:t>
      </w:r>
    </w:p>
    <w:p w14:paraId="167160DE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c) </w:t>
      </w:r>
      <w:r w:rsidR="00C04796">
        <w:tab/>
        <w:t>сообщения о случаях неравного обращения при выделении социальных пособий инвалидам.</w:t>
      </w:r>
      <w:r w:rsidR="00DD3E9A">
        <w:t xml:space="preserve"> </w:t>
      </w:r>
    </w:p>
    <w:p w14:paraId="169DEB75" w14:textId="77777777" w:rsidR="00C04796" w:rsidRDefault="00C04796" w:rsidP="00C04796">
      <w:pPr>
        <w:pStyle w:val="SingleTxtG"/>
      </w:pPr>
      <w:r>
        <w:t>41.</w:t>
      </w:r>
      <w:r>
        <w:tab/>
      </w:r>
      <w:r w:rsidRPr="00FA64D6">
        <w:rPr>
          <w:b/>
        </w:rPr>
        <w:t>Комитет рекомендует государству-участнику пересмотреть соответствующие правовые положения и практику в области социальных пособий, льгот, пенсий и налоговых освобождений для инвалидов, согласовав существующие правила и отменив дискриминационные правила и практику, в том числе в системе удостоверения инвалидности. Комитет также рекомендует государству-участнику обеспечить эффективное осуществление существующей рамочной концепции социальной защиты и постепенно разрабатывать дальнейшие меры по обеспечению достаточного уровня жизни для инвалидов.</w:t>
      </w:r>
      <w:r w:rsidR="00DD3E9A">
        <w:t xml:space="preserve"> </w:t>
      </w:r>
    </w:p>
    <w:p w14:paraId="435EB3EE" w14:textId="77777777" w:rsidR="00C04796" w:rsidRDefault="00C04796" w:rsidP="00FA64D6">
      <w:pPr>
        <w:pStyle w:val="H23G"/>
      </w:pPr>
      <w:r>
        <w:tab/>
      </w:r>
      <w:r>
        <w:tab/>
        <w:t>Участие в политической и общественной жизни (статья 29)</w:t>
      </w:r>
    </w:p>
    <w:p w14:paraId="232995CB" w14:textId="77777777" w:rsidR="00C04796" w:rsidRDefault="00C04796" w:rsidP="00C04796">
      <w:pPr>
        <w:pStyle w:val="SingleTxtG"/>
      </w:pPr>
      <w:r>
        <w:t>42.</w:t>
      </w:r>
      <w:r>
        <w:tab/>
        <w:t>Комитет обеспокоен тем, что лица с умственными или психосоциальными расстройствами, при условии поддержки этого судом, лишаются права голоса. Он</w:t>
      </w:r>
      <w:r w:rsidR="00792688">
        <w:t> </w:t>
      </w:r>
      <w:r>
        <w:t>также обеспокоен недоступностью процедур, средств и материалов голосования.</w:t>
      </w:r>
      <w:r w:rsidR="00DD3E9A">
        <w:t xml:space="preserve"> </w:t>
      </w:r>
    </w:p>
    <w:p w14:paraId="0D64488B" w14:textId="77777777" w:rsidR="00C04796" w:rsidRDefault="00C04796" w:rsidP="00C04796">
      <w:pPr>
        <w:pStyle w:val="SingleTxtG"/>
      </w:pPr>
      <w:r>
        <w:t>43.</w:t>
      </w:r>
      <w:r>
        <w:tab/>
      </w:r>
      <w:r w:rsidRPr="00FA64D6">
        <w:rPr>
          <w:b/>
        </w:rPr>
        <w:t>Комитет рекомендует государству-участнику пересмотреть соответствующую систему голосования, включая законы, правила процедуры и механизмы поддержки, для обеспечения того, чтобы инвалиды могли эффективно и в полном объеме участвовать в политической и общественной жизни и осуществлять свое право голоса, в частности путем гарантирования беспрепятственного физического доступа к голосованию и обеспечения тайны голосования и доступности других материалов для голосования и информации в доступных форматах в соответствии с замечанием общего порядка № 2 (2014 год) о доступности.</w:t>
      </w:r>
      <w:r w:rsidR="00DD3E9A">
        <w:t xml:space="preserve"> </w:t>
      </w:r>
    </w:p>
    <w:p w14:paraId="5B3FAE06" w14:textId="77777777" w:rsidR="00C04796" w:rsidRDefault="00C04796" w:rsidP="00FA64D6">
      <w:pPr>
        <w:pStyle w:val="H23G"/>
      </w:pPr>
      <w:r>
        <w:tab/>
      </w:r>
      <w:r>
        <w:tab/>
        <w:t>Участие в культурной жизни, проведении досуга и отдыха и занятии спортом (статья 30)</w:t>
      </w:r>
    </w:p>
    <w:p w14:paraId="3503F87E" w14:textId="77777777" w:rsidR="00C04796" w:rsidRDefault="00C04796" w:rsidP="00C04796">
      <w:pPr>
        <w:pStyle w:val="SingleTxtG"/>
      </w:pPr>
      <w:r>
        <w:t>44.</w:t>
      </w:r>
      <w:r>
        <w:tab/>
        <w:t>Комитет обеспокоен тем, что инвалиды сталкиваются с препятствиями при участии в культурной жизни, отдыхе, досуге и спорте наравне с другими в силу, в частности, ограниченного доступа к культурным материалам и мероприятиям в доступных форматах, культурным представлениям и услугам, спортивным мероприятиям, памятникам и объектам, имеющим национальное культурное значение.</w:t>
      </w:r>
      <w:r w:rsidR="00DD3E9A">
        <w:t xml:space="preserve"> </w:t>
      </w:r>
    </w:p>
    <w:p w14:paraId="7460CB38" w14:textId="77777777" w:rsidR="00C04796" w:rsidRPr="00FA64D6" w:rsidRDefault="00C04796" w:rsidP="00C04796">
      <w:pPr>
        <w:pStyle w:val="SingleTxtG"/>
        <w:rPr>
          <w:b/>
        </w:rPr>
      </w:pPr>
      <w:r>
        <w:t xml:space="preserve">45. </w:t>
      </w:r>
      <w:r w:rsidR="00FA64D6">
        <w:tab/>
      </w:r>
      <w:r w:rsidRPr="00FA64D6">
        <w:rPr>
          <w:b/>
        </w:rPr>
        <w:t>Комитет рекомендует государству-участнику предпринять все необходимые шаги по обеспечению и поощрению инклюзивности и доступности объектов для отдыха, досуга и спортивных мероприятий, гарантируя равный доступ и обеспечивая участие инвалидов, особенно детей-инвалидов. Он</w:t>
      </w:r>
      <w:r w:rsidR="00792688">
        <w:rPr>
          <w:b/>
        </w:rPr>
        <w:t> </w:t>
      </w:r>
      <w:r w:rsidRPr="00FA64D6">
        <w:rPr>
          <w:b/>
        </w:rPr>
        <w:t xml:space="preserve">призывает государство-участник принять все надлежащие меры для обеспечения эффективного осуществления на национальном уровне соответствующих актов законодательства Европейского союза, введенных в действие после ратификации Марракешского договора об облегчении доступа к </w:t>
      </w:r>
      <w:r w:rsidRPr="00FA64D6">
        <w:rPr>
          <w:b/>
        </w:rPr>
        <w:lastRenderedPageBreak/>
        <w:t>опубликованным произведениям для слепых, слабовидящих и других лиц с ограниченной способностью воспринимать печатную информацию.</w:t>
      </w:r>
      <w:r w:rsidR="00DD3E9A">
        <w:rPr>
          <w:b/>
        </w:rPr>
        <w:t xml:space="preserve"> </w:t>
      </w:r>
    </w:p>
    <w:p w14:paraId="40610E31" w14:textId="77777777" w:rsidR="00C04796" w:rsidRDefault="00FA64D6" w:rsidP="00FA64D6">
      <w:pPr>
        <w:pStyle w:val="H1G"/>
      </w:pPr>
      <w:r>
        <w:tab/>
      </w:r>
      <w:r w:rsidR="00C04796">
        <w:t>C.</w:t>
      </w:r>
      <w:r w:rsidR="00C04796">
        <w:tab/>
        <w:t>Конкретные обязательства (статьи 31–33)</w:t>
      </w:r>
    </w:p>
    <w:p w14:paraId="666A4889" w14:textId="77777777" w:rsidR="00C04796" w:rsidRDefault="00C04796" w:rsidP="00FA64D6">
      <w:pPr>
        <w:pStyle w:val="H23G"/>
      </w:pPr>
      <w:r>
        <w:tab/>
      </w:r>
      <w:r>
        <w:tab/>
        <w:t>Статистика и сбор данных (статья 31)</w:t>
      </w:r>
    </w:p>
    <w:p w14:paraId="166DAEB3" w14:textId="77777777" w:rsidR="00C04796" w:rsidRDefault="00C04796" w:rsidP="00C04796">
      <w:pPr>
        <w:pStyle w:val="SingleTxtG"/>
      </w:pPr>
      <w:r>
        <w:t>46.</w:t>
      </w:r>
      <w:r>
        <w:tab/>
        <w:t>Комитет обеспокоен тем, что практика сбора данных об инвалидах в государстве-участнике, например обследование в области здравоохранения 2019 года и практика ведения национального реестра бенефициаров социального обеспечения и социальных пособий, основывается главным образом на медицинской модели инвалидности и носит раздробленный, неполный и несистематический характер, не вполне адекватный для того, чтобы можно было понять положение инвалидов с целью разработки эффективной государственной политики. Комитет обеспокоен и тем, что государство-участник не приняло методологию Вашингтонской группы по</w:t>
      </w:r>
      <w:r w:rsidR="00DD3E9A">
        <w:t xml:space="preserve"> </w:t>
      </w:r>
      <w:r>
        <w:t>подготовке краткого набора вопросов по инвалидности.</w:t>
      </w:r>
      <w:r w:rsidR="00DD3E9A">
        <w:t xml:space="preserve"> </w:t>
      </w:r>
    </w:p>
    <w:p w14:paraId="08D3D755" w14:textId="77777777" w:rsidR="00C04796" w:rsidRPr="00FA64D6" w:rsidRDefault="00C04796" w:rsidP="00C04796">
      <w:pPr>
        <w:pStyle w:val="SingleTxtG"/>
        <w:rPr>
          <w:b/>
        </w:rPr>
      </w:pPr>
      <w:r>
        <w:t>47.</w:t>
      </w:r>
      <w:r>
        <w:tab/>
      </w:r>
      <w:r w:rsidRPr="00FA64D6">
        <w:rPr>
          <w:b/>
        </w:rPr>
        <w:t>Принимая во внимание задачу 17.18 Целей в области устойчивого развития, Комитет рекомендует государству-участнику разработать всеобъемлющую систему сбора и представления данных в соответствии с Конвенцией. Комитет также рекомендует государству-участнику систематически собирать, анализировать и распространять данные об инвалидах в разбивке по полу, возрасту, этнической принадлежности, виду инвалидности, социально-экономическому положению, занятости и месту жительства, а также о препятствиях, с которыми сталкиваются инвалиды в обществе, опираясь на методологию Вашингтонской группы по подготовке краткого набора вопросов об инвалидности.</w:t>
      </w:r>
      <w:r w:rsidR="00DD3E9A">
        <w:rPr>
          <w:b/>
        </w:rPr>
        <w:t xml:space="preserve"> </w:t>
      </w:r>
    </w:p>
    <w:p w14:paraId="41F8843D" w14:textId="77777777" w:rsidR="00C04796" w:rsidRDefault="00C04796" w:rsidP="00FA64D6">
      <w:pPr>
        <w:pStyle w:val="H23G"/>
      </w:pPr>
      <w:r>
        <w:tab/>
      </w:r>
      <w:r>
        <w:tab/>
        <w:t>Осуществление и мониторинг на национальном уровне (статья 33)</w:t>
      </w:r>
    </w:p>
    <w:p w14:paraId="75F5E003" w14:textId="77777777" w:rsidR="00C04796" w:rsidRDefault="00C04796" w:rsidP="00C04796">
      <w:pPr>
        <w:pStyle w:val="SingleTxtG"/>
      </w:pPr>
      <w:r>
        <w:t>48.</w:t>
      </w:r>
      <w:r>
        <w:tab/>
        <w:t xml:space="preserve">Комитет обеспокоен: </w:t>
      </w:r>
    </w:p>
    <w:p w14:paraId="749FDAB5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a) </w:t>
      </w:r>
      <w:r w:rsidR="00C04796">
        <w:tab/>
        <w:t>отсутствием информации об эффективном функционировании национальной системы осуществления и мониторинга, созданной в соответствии со статьей 33 Конвенции;</w:t>
      </w:r>
      <w:r w:rsidR="00DD3E9A">
        <w:t xml:space="preserve"> </w:t>
      </w:r>
    </w:p>
    <w:p w14:paraId="33964944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b) </w:t>
      </w:r>
      <w:r w:rsidR="00C04796">
        <w:tab/>
        <w:t>недостаточным уровнем вовлеченности инвалидов и их представительских организаций в процесс мониторинга;</w:t>
      </w:r>
      <w:r w:rsidR="00DD3E9A">
        <w:t xml:space="preserve"> </w:t>
      </w:r>
    </w:p>
    <w:p w14:paraId="278584C1" w14:textId="77777777" w:rsidR="00C04796" w:rsidRDefault="00FA64D6" w:rsidP="00C04796">
      <w:pPr>
        <w:pStyle w:val="SingleTxtG"/>
      </w:pPr>
      <w:r>
        <w:tab/>
      </w:r>
      <w:r w:rsidR="00C04796">
        <w:tab/>
        <w:t xml:space="preserve">c) </w:t>
      </w:r>
      <w:r w:rsidR="00C04796">
        <w:tab/>
        <w:t xml:space="preserve"> отсутствием транспарентной и адекватной финансовой поддержки организаций инвалидов, в частности отсутствием поддержки их участия в этапе работы, предваряющем обзор по государству-участнику, например в представлении альтернативных докладов.</w:t>
      </w:r>
      <w:r w:rsidR="00DD3E9A">
        <w:t xml:space="preserve"> </w:t>
      </w:r>
    </w:p>
    <w:p w14:paraId="4842ABCA" w14:textId="77777777" w:rsidR="00C04796" w:rsidRPr="00FA64D6" w:rsidRDefault="00C04796" w:rsidP="00C04796">
      <w:pPr>
        <w:pStyle w:val="SingleTxtG"/>
        <w:rPr>
          <w:b/>
        </w:rPr>
      </w:pPr>
      <w:r>
        <w:t>49.</w:t>
      </w:r>
      <w:r>
        <w:tab/>
      </w:r>
      <w:r w:rsidRPr="00FA64D6">
        <w:rPr>
          <w:b/>
        </w:rPr>
        <w:t>В соответствии с Конвенцией и руководящими принципами в отношении независимых структур мониторинга и их участия в работе Комитета (CRPD/C/1/Rev.1, приложение) Комитет рекомендует государству-участнику укрепить свою национальную систему мониторинга и осуществления, обеспечить ее эффективное функционирование и оперативную совместимость участвующих компетентных структур на основе транспарентных процедур и при полном участии организаций инвалидов. Он призывает государство-участник назначить</w:t>
      </w:r>
      <w:r w:rsidR="00DD3E9A">
        <w:rPr>
          <w:b/>
        </w:rPr>
        <w:t xml:space="preserve"> </w:t>
      </w:r>
      <w:r w:rsidRPr="00FA64D6">
        <w:rPr>
          <w:b/>
        </w:rPr>
        <w:t>одним из участников независимой структуры мониторинга в соответствии со статьей 33 Конвенции Национальную комиссию по правам человека Греции. В свете своего замечания общего порядка № 7 (2018 год) об участии инвалидов, включая детей-инвалидов, через свои представительские организации в осуществлении и мониторинге Конвенции Комитет также рекомендует государству-участнику обеспечить предоставление организациям инвалидов соответствующих ресурсов, включая поддержку, оказываемую посредством независимого и самоуправляемого финансирования, для целей их участия в независимых структурах мониторинга, на которые возложена задача мониторинга осуществления Конвенции.</w:t>
      </w:r>
      <w:r w:rsidR="00DD3E9A">
        <w:rPr>
          <w:b/>
        </w:rPr>
        <w:t xml:space="preserve"> </w:t>
      </w:r>
    </w:p>
    <w:p w14:paraId="40C54FC1" w14:textId="77777777" w:rsidR="00C04796" w:rsidRDefault="00FA64D6" w:rsidP="00FA64D6">
      <w:pPr>
        <w:pStyle w:val="HChG"/>
      </w:pPr>
      <w:r>
        <w:lastRenderedPageBreak/>
        <w:tab/>
      </w:r>
      <w:r w:rsidR="00C04796">
        <w:t>IV.</w:t>
      </w:r>
      <w:r w:rsidR="00C04796">
        <w:tab/>
        <w:t xml:space="preserve">Последующие действия </w:t>
      </w:r>
    </w:p>
    <w:p w14:paraId="6C91841D" w14:textId="77777777" w:rsidR="00C04796" w:rsidRDefault="00C04796" w:rsidP="00FA64D6">
      <w:pPr>
        <w:pStyle w:val="H23G"/>
      </w:pPr>
      <w:r>
        <w:tab/>
      </w:r>
      <w:r>
        <w:tab/>
        <w:t>Распространение информации</w:t>
      </w:r>
    </w:p>
    <w:p w14:paraId="2586470B" w14:textId="77777777" w:rsidR="00C04796" w:rsidRPr="00FA64D6" w:rsidRDefault="00C04796" w:rsidP="00C04796">
      <w:pPr>
        <w:pStyle w:val="SingleTxtG"/>
        <w:rPr>
          <w:b/>
        </w:rPr>
      </w:pPr>
      <w:r>
        <w:t>50.</w:t>
      </w:r>
      <w:r>
        <w:tab/>
      </w:r>
      <w:r w:rsidRPr="00FA64D6">
        <w:rPr>
          <w:b/>
        </w:rPr>
        <w:t>Комитет подчеркивает важность всех рекомендаций, содержащихся в настоящих заключительных замечаниях.</w:t>
      </w:r>
      <w:r w:rsidR="00DD3E9A">
        <w:rPr>
          <w:b/>
        </w:rPr>
        <w:t xml:space="preserve"> </w:t>
      </w:r>
      <w:r w:rsidRPr="00FA64D6">
        <w:rPr>
          <w:b/>
        </w:rPr>
        <w:t xml:space="preserve">Что касается неотложных мер, которые необходимо принять, то Комитет хотел бы обратить внимание государства-участника на рекомендации в подпунктах b) и с) пункта 16 об оценке уязвимости и условий в пунктах приема для инвалидов, являющихся беженцами, просителями убежища и лицами в ситуациях, аналогичных ситуации беженцев; подпункте c) пункта 35 об обеспечении доступа всех детей-инвалидов из числа беженцев, просителей убежища, мигрантов и рома к формальному образованию; и пункте 22 о принудительном лишении свободы на основании инвалидности. </w:t>
      </w:r>
    </w:p>
    <w:p w14:paraId="2B604A3D" w14:textId="77777777" w:rsidR="00C04796" w:rsidRDefault="00C04796" w:rsidP="00C04796">
      <w:pPr>
        <w:pStyle w:val="SingleTxtG"/>
      </w:pPr>
      <w:r>
        <w:t>51.</w:t>
      </w:r>
      <w:r w:rsidR="00DD3E9A">
        <w:t xml:space="preserve"> </w:t>
      </w:r>
      <w:r w:rsidR="00FA64D6">
        <w:tab/>
      </w:r>
      <w:r w:rsidRPr="00FA64D6">
        <w:rPr>
          <w:b/>
        </w:rPr>
        <w:t>Комитет просит государство-участник выполнить рекомендации, содержащиеся в настоящих заключительных замечаниях. 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министерств, работникам судебных органов и членам соответствующих профессиональных групп, например специалистам в области образования, медицины и права, а также местным органам власти, структурам частного сектора и средствам массовой информации, используя для этого современные стратегии социальной коммуникации.</w:t>
      </w:r>
      <w:r w:rsidR="00DD3E9A">
        <w:t xml:space="preserve"> </w:t>
      </w:r>
    </w:p>
    <w:p w14:paraId="280CC673" w14:textId="77777777" w:rsidR="00C04796" w:rsidRPr="00FA64D6" w:rsidRDefault="00C04796" w:rsidP="00C04796">
      <w:pPr>
        <w:pStyle w:val="SingleTxtG"/>
        <w:rPr>
          <w:b/>
        </w:rPr>
      </w:pPr>
      <w:r>
        <w:t>52.</w:t>
      </w:r>
      <w:r>
        <w:tab/>
      </w:r>
      <w:r w:rsidRPr="00FA64D6">
        <w:rPr>
          <w:b/>
        </w:rPr>
        <w:t>Комитет настоятельно призывает государство-участник привлечь к подготовке своего периодического доклада организации гражданского общества, в частности организации инвалидов.</w:t>
      </w:r>
      <w:r w:rsidR="00DD3E9A">
        <w:rPr>
          <w:b/>
        </w:rPr>
        <w:t xml:space="preserve"> </w:t>
      </w:r>
    </w:p>
    <w:p w14:paraId="0D25FDC6" w14:textId="77777777" w:rsidR="00C04796" w:rsidRPr="00FA64D6" w:rsidRDefault="00C04796" w:rsidP="00C04796">
      <w:pPr>
        <w:pStyle w:val="SingleTxtG"/>
        <w:rPr>
          <w:b/>
        </w:rPr>
      </w:pPr>
      <w:r>
        <w:t>53.</w:t>
      </w:r>
      <w:r>
        <w:tab/>
      </w:r>
      <w:r w:rsidRPr="00FA64D6">
        <w:rPr>
          <w:b/>
        </w:rPr>
        <w:t>Комитет просит государство-участник широко распространить настоящие заключительные замечания, в том числе среди неправительственных организаций и организаций инвалидов, а также среди самих инвалидов и членов их семей на национальных языках и языках меньшинств, включая язык жестов, и в доступных форматах и разместить их на правительственном веб</w:t>
      </w:r>
      <w:r w:rsidR="002E28E6">
        <w:rPr>
          <w:b/>
        </w:rPr>
        <w:t>-</w:t>
      </w:r>
      <w:r w:rsidRPr="00FA64D6">
        <w:rPr>
          <w:b/>
        </w:rPr>
        <w:t>сайте по правам человека.</w:t>
      </w:r>
      <w:r w:rsidR="00DD3E9A">
        <w:rPr>
          <w:b/>
        </w:rPr>
        <w:t xml:space="preserve"> </w:t>
      </w:r>
    </w:p>
    <w:p w14:paraId="05856029" w14:textId="77777777" w:rsidR="00C04796" w:rsidRDefault="00C04796" w:rsidP="00FA64D6">
      <w:pPr>
        <w:pStyle w:val="H23G"/>
      </w:pPr>
      <w:r>
        <w:tab/>
      </w:r>
      <w:r>
        <w:tab/>
        <w:t>Следующий периодический доклад</w:t>
      </w:r>
    </w:p>
    <w:p w14:paraId="68C6C674" w14:textId="77777777" w:rsidR="00C04796" w:rsidRPr="00FA64D6" w:rsidRDefault="00C04796" w:rsidP="00C04796">
      <w:pPr>
        <w:pStyle w:val="SingleTxtG"/>
        <w:rPr>
          <w:b/>
        </w:rPr>
      </w:pPr>
      <w:r>
        <w:t>54.</w:t>
      </w:r>
      <w:r>
        <w:tab/>
      </w:r>
      <w:r w:rsidRPr="00FA64D6">
        <w:rPr>
          <w:b/>
        </w:rPr>
        <w:t>Комитет просит государство-участник представить свои объединенные второй, третий и четвертый периодические доклады к 31 июня 2026 года и включить в них информацию о выполнении рекомендаций, вынесенных в настоящих заключительных замечаниях.</w:t>
      </w:r>
      <w:r w:rsidR="00DD3E9A">
        <w:rPr>
          <w:b/>
        </w:rPr>
        <w:t xml:space="preserve"> </w:t>
      </w:r>
      <w:r w:rsidRPr="00FA64D6">
        <w:rPr>
          <w:b/>
        </w:rPr>
        <w:t>Комитет также просит государство-участник рассмотреть возможность представления вышеупомянутых докладов в соответствии с упрощенной процедурой представления докладов Комитета, согласно которой Комитет не менее чем за год до установленной даты представления доклада государства-участника готовит для него перечень вопросов. Ответы государства-участника на такой перечень вопросов представляют</w:t>
      </w:r>
      <w:r w:rsidR="00DD3E9A">
        <w:rPr>
          <w:b/>
        </w:rPr>
        <w:t xml:space="preserve"> </w:t>
      </w:r>
      <w:r w:rsidRPr="00FA64D6">
        <w:rPr>
          <w:b/>
        </w:rPr>
        <w:t>собой</w:t>
      </w:r>
      <w:r w:rsidR="00DD3E9A">
        <w:rPr>
          <w:b/>
        </w:rPr>
        <w:t xml:space="preserve"> </w:t>
      </w:r>
      <w:r w:rsidRPr="00FA64D6">
        <w:rPr>
          <w:b/>
        </w:rPr>
        <w:t>его доклад.</w:t>
      </w:r>
    </w:p>
    <w:p w14:paraId="2CB84DDF" w14:textId="77777777" w:rsidR="00381C24" w:rsidRPr="00FA64D6" w:rsidRDefault="00FA64D6" w:rsidP="00FA64D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A64D6" w:rsidSect="00C047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8A17" w14:textId="77777777" w:rsidR="00AF5DBC" w:rsidRPr="00A312BC" w:rsidRDefault="00AF5DBC" w:rsidP="00A312BC"/>
  </w:endnote>
  <w:endnote w:type="continuationSeparator" w:id="0">
    <w:p w14:paraId="49B41850" w14:textId="77777777" w:rsidR="00AF5DBC" w:rsidRPr="00A312BC" w:rsidRDefault="00AF5D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F040" w14:textId="77777777" w:rsidR="00C04796" w:rsidRPr="00C04796" w:rsidRDefault="00C04796">
    <w:pPr>
      <w:pStyle w:val="a8"/>
    </w:pPr>
    <w:r w:rsidRPr="00C04796">
      <w:rPr>
        <w:b/>
        <w:sz w:val="18"/>
      </w:rPr>
      <w:fldChar w:fldCharType="begin"/>
    </w:r>
    <w:r w:rsidRPr="00C04796">
      <w:rPr>
        <w:b/>
        <w:sz w:val="18"/>
      </w:rPr>
      <w:instrText xml:space="preserve"> PAGE  \* MERGEFORMAT </w:instrText>
    </w:r>
    <w:r w:rsidRPr="00C04796">
      <w:rPr>
        <w:b/>
        <w:sz w:val="18"/>
      </w:rPr>
      <w:fldChar w:fldCharType="separate"/>
    </w:r>
    <w:r w:rsidRPr="00C04796">
      <w:rPr>
        <w:b/>
        <w:noProof/>
        <w:sz w:val="18"/>
      </w:rPr>
      <w:t>2</w:t>
    </w:r>
    <w:r w:rsidRPr="00C04796">
      <w:rPr>
        <w:b/>
        <w:sz w:val="18"/>
      </w:rPr>
      <w:fldChar w:fldCharType="end"/>
    </w:r>
    <w:r>
      <w:rPr>
        <w:b/>
        <w:sz w:val="18"/>
      </w:rPr>
      <w:tab/>
    </w:r>
    <w:r>
      <w:t>GE.19-18603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545B" w14:textId="77777777" w:rsidR="00C04796" w:rsidRPr="00C04796" w:rsidRDefault="00C04796" w:rsidP="00C04796">
    <w:pPr>
      <w:pStyle w:val="a8"/>
      <w:tabs>
        <w:tab w:val="clear" w:pos="9639"/>
        <w:tab w:val="right" w:pos="9638"/>
      </w:tabs>
      <w:rPr>
        <w:b/>
        <w:sz w:val="18"/>
      </w:rPr>
    </w:pPr>
    <w:r>
      <w:t>GE.19-18603</w:t>
    </w:r>
    <w:r>
      <w:tab/>
    </w:r>
    <w:r w:rsidRPr="00C04796">
      <w:rPr>
        <w:b/>
        <w:sz w:val="18"/>
      </w:rPr>
      <w:fldChar w:fldCharType="begin"/>
    </w:r>
    <w:r w:rsidRPr="00C04796">
      <w:rPr>
        <w:b/>
        <w:sz w:val="18"/>
      </w:rPr>
      <w:instrText xml:space="preserve"> PAGE  \* MERGEFORMAT </w:instrText>
    </w:r>
    <w:r w:rsidRPr="00C04796">
      <w:rPr>
        <w:b/>
        <w:sz w:val="18"/>
      </w:rPr>
      <w:fldChar w:fldCharType="separate"/>
    </w:r>
    <w:r w:rsidRPr="00C04796">
      <w:rPr>
        <w:b/>
        <w:noProof/>
        <w:sz w:val="18"/>
      </w:rPr>
      <w:t>3</w:t>
    </w:r>
    <w:r w:rsidRPr="00C047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2919" w14:textId="77777777" w:rsidR="00042B72" w:rsidRPr="00C04796" w:rsidRDefault="00C04796" w:rsidP="00C0479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833BA8" wp14:editId="22943E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19-18603  (R)</w:t>
    </w:r>
    <w:r>
      <w:rPr>
        <w:lang w:val="en-US"/>
      </w:rPr>
      <w:t xml:space="preserve">  261219  261219</w:t>
    </w:r>
    <w:r>
      <w:br/>
    </w:r>
    <w:r w:rsidRPr="00C04796">
      <w:rPr>
        <w:rFonts w:ascii="C39T30Lfz" w:hAnsi="C39T30Lfz"/>
        <w:kern w:val="14"/>
        <w:sz w:val="56"/>
      </w:rPr>
      <w:t></w:t>
    </w:r>
    <w:r w:rsidRPr="00C04796">
      <w:rPr>
        <w:rFonts w:ascii="C39T30Lfz" w:hAnsi="C39T30Lfz"/>
        <w:kern w:val="14"/>
        <w:sz w:val="56"/>
      </w:rPr>
      <w:t></w:t>
    </w:r>
    <w:r w:rsidRPr="00C04796">
      <w:rPr>
        <w:rFonts w:ascii="C39T30Lfz" w:hAnsi="C39T30Lfz"/>
        <w:kern w:val="14"/>
        <w:sz w:val="56"/>
      </w:rPr>
      <w:t></w:t>
    </w:r>
    <w:r w:rsidRPr="00C04796">
      <w:rPr>
        <w:rFonts w:ascii="C39T30Lfz" w:hAnsi="C39T30Lfz"/>
        <w:kern w:val="14"/>
        <w:sz w:val="56"/>
      </w:rPr>
      <w:t></w:t>
    </w:r>
    <w:r w:rsidRPr="00C04796">
      <w:rPr>
        <w:rFonts w:ascii="C39T30Lfz" w:hAnsi="C39T30Lfz"/>
        <w:kern w:val="14"/>
        <w:sz w:val="56"/>
      </w:rPr>
      <w:t></w:t>
    </w:r>
    <w:r w:rsidRPr="00C04796">
      <w:rPr>
        <w:rFonts w:ascii="C39T30Lfz" w:hAnsi="C39T30Lfz"/>
        <w:kern w:val="14"/>
        <w:sz w:val="56"/>
      </w:rPr>
      <w:t></w:t>
    </w:r>
    <w:r w:rsidRPr="00C04796">
      <w:rPr>
        <w:rFonts w:ascii="C39T30Lfz" w:hAnsi="C39T30Lfz"/>
        <w:kern w:val="14"/>
        <w:sz w:val="56"/>
      </w:rPr>
      <w:t></w:t>
    </w:r>
    <w:r w:rsidRPr="00C04796">
      <w:rPr>
        <w:rFonts w:ascii="C39T30Lfz" w:hAnsi="C39T30Lfz"/>
        <w:kern w:val="14"/>
        <w:sz w:val="56"/>
      </w:rPr>
      <w:t></w:t>
    </w:r>
    <w:r w:rsidRPr="00C0479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19BEDD" wp14:editId="14BBE7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GRC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RC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7F9D" w14:textId="77777777" w:rsidR="00AF5DBC" w:rsidRPr="001075E9" w:rsidRDefault="00AF5D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9FE75F" w14:textId="77777777" w:rsidR="00AF5DBC" w:rsidRDefault="00AF5D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A14AE0" w14:textId="77777777" w:rsidR="005C41B3" w:rsidRPr="00010FFB" w:rsidRDefault="005C41B3">
      <w:pPr>
        <w:pStyle w:val="ad"/>
        <w:rPr>
          <w:sz w:val="20"/>
        </w:rPr>
      </w:pPr>
      <w:r>
        <w:tab/>
      </w:r>
      <w:r w:rsidRPr="005C41B3">
        <w:rPr>
          <w:rStyle w:val="aa"/>
          <w:sz w:val="20"/>
          <w:vertAlign w:val="baseline"/>
        </w:rPr>
        <w:t>*</w:t>
      </w:r>
      <w:r w:rsidRPr="005C41B3">
        <w:rPr>
          <w:rStyle w:val="aa"/>
          <w:vertAlign w:val="baseline"/>
        </w:rPr>
        <w:tab/>
      </w:r>
      <w:r w:rsidR="00862856" w:rsidRPr="00862856">
        <w:t>Приняты Комитетом на его двадцать второй сессии (26 августа – 20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79B1" w14:textId="4B1DDC0B" w:rsidR="00C04796" w:rsidRPr="00C04796" w:rsidRDefault="006023A9">
    <w:pPr>
      <w:pStyle w:val="a5"/>
    </w:pPr>
    <w:fldSimple w:instr=" TITLE  \* MERGEFORMAT ">
      <w:r w:rsidR="004C0FD4">
        <w:t>CRPD/C/GRC/CO/1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50C5" w14:textId="409BBD3E" w:rsidR="00C04796" w:rsidRPr="00C04796" w:rsidRDefault="006023A9" w:rsidP="00C04796">
    <w:pPr>
      <w:pStyle w:val="a5"/>
      <w:jc w:val="right"/>
    </w:pPr>
    <w:fldSimple w:instr=" TITLE  \* MERGEFORMAT ">
      <w:r w:rsidR="004C0FD4">
        <w:t>CRPD/C/GRC/CO/1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BC"/>
    <w:rsid w:val="00010FFB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74DA0"/>
    <w:rsid w:val="002846B3"/>
    <w:rsid w:val="002A2EFC"/>
    <w:rsid w:val="002B74B1"/>
    <w:rsid w:val="002C0E18"/>
    <w:rsid w:val="002D06E3"/>
    <w:rsid w:val="002D5AAC"/>
    <w:rsid w:val="002E28E6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71DA5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C0FD4"/>
    <w:rsid w:val="004D7775"/>
    <w:rsid w:val="0050108D"/>
    <w:rsid w:val="00513081"/>
    <w:rsid w:val="00517901"/>
    <w:rsid w:val="00526683"/>
    <w:rsid w:val="005709E0"/>
    <w:rsid w:val="00572E19"/>
    <w:rsid w:val="005961C8"/>
    <w:rsid w:val="005966F1"/>
    <w:rsid w:val="005B0090"/>
    <w:rsid w:val="005C41B3"/>
    <w:rsid w:val="005D7914"/>
    <w:rsid w:val="005E2B41"/>
    <w:rsid w:val="005F0B42"/>
    <w:rsid w:val="006023A9"/>
    <w:rsid w:val="00681A10"/>
    <w:rsid w:val="006A1ED8"/>
    <w:rsid w:val="006B5625"/>
    <w:rsid w:val="006C2031"/>
    <w:rsid w:val="006D461A"/>
    <w:rsid w:val="006F35EE"/>
    <w:rsid w:val="007021FF"/>
    <w:rsid w:val="00712895"/>
    <w:rsid w:val="00744498"/>
    <w:rsid w:val="00757357"/>
    <w:rsid w:val="00792688"/>
    <w:rsid w:val="00795AA8"/>
    <w:rsid w:val="007C3F50"/>
    <w:rsid w:val="00806737"/>
    <w:rsid w:val="00825F8D"/>
    <w:rsid w:val="00833758"/>
    <w:rsid w:val="00834B71"/>
    <w:rsid w:val="00862856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AF5DBC"/>
    <w:rsid w:val="00B10CC7"/>
    <w:rsid w:val="00B36DF7"/>
    <w:rsid w:val="00B539E7"/>
    <w:rsid w:val="00B62458"/>
    <w:rsid w:val="00B739FE"/>
    <w:rsid w:val="00BC18B2"/>
    <w:rsid w:val="00BD33EE"/>
    <w:rsid w:val="00C04796"/>
    <w:rsid w:val="00C106D6"/>
    <w:rsid w:val="00C45AF0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3E9A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E2338"/>
    <w:rsid w:val="00EF1360"/>
    <w:rsid w:val="00EF3220"/>
    <w:rsid w:val="00F43903"/>
    <w:rsid w:val="00F94155"/>
    <w:rsid w:val="00F9783F"/>
    <w:rsid w:val="00FA64D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63007"/>
  <w15:docId w15:val="{FB167D2B-2D5B-4C7C-A822-F5B7703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8B09-55E2-43D6-BA5F-84B22344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12</Pages>
  <Words>4465</Words>
  <Characters>32284</Characters>
  <Application>Microsoft Office Word</Application>
  <DocSecurity>0</DocSecurity>
  <Lines>599</Lines>
  <Paragraphs>153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CRPD/C/GRC/CO/1</vt:lpstr>
      <vt:lpstr>A/</vt:lpstr>
      <vt:lpstr>A/</vt:lpstr>
    </vt:vector>
  </TitlesOfParts>
  <Company>DCM</Company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CRPD/C/GRC/CO/1</dc:title>
  <dc:subject/>
  <dc:creator>Assistant</dc:creator>
  <cp:keywords/>
  <cp:lastModifiedBy>Ioulia Goussarova</cp:lastModifiedBy>
  <cp:revision>3</cp:revision>
  <cp:lastPrinted>2019-12-26T13:38:00Z</cp:lastPrinted>
  <dcterms:created xsi:type="dcterms:W3CDTF">2019-12-26T13:38:00Z</dcterms:created>
  <dcterms:modified xsi:type="dcterms:W3CDTF">2019-12-26T13:38:00Z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