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62956CD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860A1B" w14:textId="77777777" w:rsidR="002D5AAC" w:rsidRDefault="002D5AAC" w:rsidP="000341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C3EAC36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B617DF1" w14:textId="6645B4E3" w:rsidR="002D5AAC" w:rsidRDefault="000341F9" w:rsidP="000341F9">
            <w:pPr>
              <w:jc w:val="right"/>
            </w:pPr>
            <w:r w:rsidRPr="000341F9">
              <w:rPr>
                <w:sz w:val="40"/>
              </w:rPr>
              <w:t>CMW</w:t>
            </w:r>
            <w:r>
              <w:t>/C/RWA/CO/2</w:t>
            </w:r>
          </w:p>
        </w:tc>
      </w:tr>
      <w:tr w:rsidR="002D5AAC" w:rsidRPr="005911E3" w14:paraId="3BF88D1C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F3BE8E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C29E3E" wp14:editId="6E3D7B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E21D63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B00A9A" w14:textId="77777777" w:rsidR="002D5AAC" w:rsidRPr="00502D2F" w:rsidRDefault="000341F9" w:rsidP="007A2AE0">
            <w:pPr>
              <w:spacing w:before="240"/>
              <w:rPr>
                <w:lang w:val="en-US"/>
              </w:rPr>
            </w:pPr>
            <w:r w:rsidRPr="00502D2F">
              <w:rPr>
                <w:lang w:val="en-US"/>
              </w:rPr>
              <w:t>Distr.: General</w:t>
            </w:r>
          </w:p>
          <w:p w14:paraId="0A4432C6" w14:textId="77777777" w:rsidR="000341F9" w:rsidRPr="00502D2F" w:rsidRDefault="000341F9" w:rsidP="000341F9">
            <w:pPr>
              <w:spacing w:line="240" w:lineRule="exact"/>
              <w:rPr>
                <w:lang w:val="en-US"/>
              </w:rPr>
            </w:pPr>
            <w:r w:rsidRPr="00502D2F">
              <w:rPr>
                <w:lang w:val="en-US"/>
              </w:rPr>
              <w:t>21 October 2021</w:t>
            </w:r>
          </w:p>
          <w:p w14:paraId="753EB675" w14:textId="77777777" w:rsidR="000341F9" w:rsidRPr="00502D2F" w:rsidRDefault="000341F9" w:rsidP="000341F9">
            <w:pPr>
              <w:spacing w:line="240" w:lineRule="exact"/>
              <w:rPr>
                <w:lang w:val="en-US"/>
              </w:rPr>
            </w:pPr>
            <w:r w:rsidRPr="00502D2F">
              <w:rPr>
                <w:lang w:val="en-US"/>
              </w:rPr>
              <w:t>Russian</w:t>
            </w:r>
          </w:p>
          <w:p w14:paraId="648E2399" w14:textId="228E798E" w:rsidR="000341F9" w:rsidRPr="00502D2F" w:rsidRDefault="000341F9" w:rsidP="000341F9">
            <w:pPr>
              <w:spacing w:line="240" w:lineRule="exact"/>
              <w:rPr>
                <w:lang w:val="en-US"/>
              </w:rPr>
            </w:pPr>
            <w:r w:rsidRPr="00502D2F">
              <w:rPr>
                <w:lang w:val="en-US"/>
              </w:rPr>
              <w:t>Original: English</w:t>
            </w:r>
          </w:p>
        </w:tc>
      </w:tr>
    </w:tbl>
    <w:p w14:paraId="494A2D8F" w14:textId="31EAF989" w:rsidR="000341F9" w:rsidRPr="000341F9" w:rsidRDefault="000341F9" w:rsidP="000341F9">
      <w:pPr>
        <w:spacing w:before="120"/>
        <w:rPr>
          <w:sz w:val="24"/>
          <w:szCs w:val="24"/>
        </w:rPr>
      </w:pPr>
      <w:r w:rsidRPr="000341F9">
        <w:rPr>
          <w:b/>
          <w:bCs/>
          <w:sz w:val="24"/>
          <w:szCs w:val="24"/>
        </w:rPr>
        <w:t xml:space="preserve">Комитет по защите прав всех </w:t>
      </w:r>
      <w:r>
        <w:rPr>
          <w:b/>
          <w:bCs/>
          <w:sz w:val="24"/>
          <w:szCs w:val="24"/>
        </w:rPr>
        <w:br/>
      </w:r>
      <w:r w:rsidRPr="000341F9">
        <w:rPr>
          <w:b/>
          <w:bCs/>
          <w:sz w:val="24"/>
          <w:szCs w:val="24"/>
        </w:rPr>
        <w:t>трудящихся-мигрантов и членов их семей</w:t>
      </w:r>
    </w:p>
    <w:p w14:paraId="322EB54F" w14:textId="77777777" w:rsidR="000341F9" w:rsidRPr="00433C92" w:rsidRDefault="000341F9" w:rsidP="000341F9">
      <w:pPr>
        <w:pStyle w:val="HChG"/>
      </w:pPr>
      <w:r w:rsidRPr="00433C92">
        <w:tab/>
      </w:r>
      <w:r w:rsidRPr="00433C92">
        <w:tab/>
        <w:t>Заключительные замечания по второму периодическому докладу Руанды</w:t>
      </w:r>
      <w:r w:rsidRPr="005911E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4EE6B9E" w14:textId="244F5671" w:rsidR="000341F9" w:rsidRPr="00433C92" w:rsidRDefault="000341F9" w:rsidP="000341F9">
      <w:pPr>
        <w:pStyle w:val="SingleTxtG"/>
      </w:pPr>
      <w:r w:rsidRPr="00433C92">
        <w:t>1.</w:t>
      </w:r>
      <w:r>
        <w:tab/>
      </w:r>
      <w:r w:rsidRPr="00433C92">
        <w:t>Комитет рассмотрел второй периодический доклад Руанды</w:t>
      </w:r>
      <w:r w:rsidRPr="000341F9">
        <w:rPr>
          <w:rStyle w:val="aa"/>
          <w:bCs/>
        </w:rPr>
        <w:footnoteReference w:id="2"/>
      </w:r>
      <w:r w:rsidRPr="00433C92">
        <w:t xml:space="preserve"> на своих 454-м и 455-м заседаниях</w:t>
      </w:r>
      <w:r w:rsidRPr="000341F9">
        <w:rPr>
          <w:rStyle w:val="aa"/>
          <w:bCs/>
        </w:rPr>
        <w:footnoteReference w:id="3"/>
      </w:r>
      <w:r w:rsidRPr="00433C92">
        <w:t xml:space="preserve">, состоявшихся 27 и 28 сентября 2021 года. На своем </w:t>
      </w:r>
      <w:r>
        <w:br/>
      </w:r>
      <w:r w:rsidRPr="00433C92">
        <w:t>472-м заседании, состоявшемся 8 октября 2021 года, он принял настоящие заключительные замечания.</w:t>
      </w:r>
    </w:p>
    <w:p w14:paraId="09A37706" w14:textId="77777777" w:rsidR="000341F9" w:rsidRPr="00433C92" w:rsidRDefault="000341F9" w:rsidP="000341F9">
      <w:pPr>
        <w:pStyle w:val="H1G"/>
      </w:pPr>
      <w:r w:rsidRPr="00433C92">
        <w:tab/>
        <w:t>A.</w:t>
      </w:r>
      <w:r w:rsidRPr="00433C92">
        <w:tab/>
        <w:t>Введение</w:t>
      </w:r>
    </w:p>
    <w:p w14:paraId="5F19E6DD" w14:textId="525EF570" w:rsidR="000341F9" w:rsidRPr="00433C92" w:rsidRDefault="000341F9" w:rsidP="000341F9">
      <w:pPr>
        <w:pStyle w:val="SingleTxtG"/>
      </w:pPr>
      <w:r w:rsidRPr="00433C92">
        <w:t>2.</w:t>
      </w:r>
      <w:r w:rsidRPr="00433C92">
        <w:tab/>
        <w:t>Комитет приветствует представление второго периодического доклада государства-участника, который был подготовлен в ответ на перечень вопросов</w:t>
      </w:r>
      <w:r>
        <w:t xml:space="preserve">, препровождаемых </w:t>
      </w:r>
      <w:r w:rsidRPr="00433C92">
        <w:t>до представления доклада</w:t>
      </w:r>
      <w:r w:rsidRPr="000341F9">
        <w:rPr>
          <w:rStyle w:val="aa"/>
          <w:bCs/>
        </w:rPr>
        <w:footnoteReference w:id="4"/>
      </w:r>
      <w:r w:rsidRPr="00433C92">
        <w:t>. Он также приветствует дополнительную информацию, предоставленную в ходе диалога делегацией, которую возглавляла Мари-Шанталь Рваказина.</w:t>
      </w:r>
    </w:p>
    <w:p w14:paraId="7FBA8346" w14:textId="54EA5E57" w:rsidR="000341F9" w:rsidRPr="00433C92" w:rsidRDefault="000341F9" w:rsidP="000341F9">
      <w:pPr>
        <w:pStyle w:val="SingleTxtG"/>
      </w:pPr>
      <w:r w:rsidRPr="00433C92">
        <w:t>3.</w:t>
      </w:r>
      <w:r w:rsidRPr="00433C92">
        <w:tab/>
        <w:t>Комитет высоко оценивает диалог, состоявшийся с делегацией высокого уровня как в Женеве, так и в Кигали; информацию, предоставленную представителями государства-участника; и преобладавший в ходе совещаний конструктивный подход, который позволил совместно проанализировать и осмыслить обсуждавшиеся вопросы. Комитет также с признательностью отмечает усилия, предпринятые для представления ответов и дополнительной информации в течение 24 часов после диалога.</w:t>
      </w:r>
    </w:p>
    <w:p w14:paraId="314B1036" w14:textId="77777777" w:rsidR="000341F9" w:rsidRPr="00433C92" w:rsidRDefault="000341F9" w:rsidP="000341F9">
      <w:pPr>
        <w:pStyle w:val="SingleTxtG"/>
      </w:pPr>
      <w:r w:rsidRPr="00433C92">
        <w:t>4.</w:t>
      </w:r>
      <w:r w:rsidRPr="00433C92">
        <w:tab/>
        <w:t>Комитет признает, что Руанда как страна происхождения трудящихся-мигрантов добилась прогресса в защите прав своих граждан, работающих за рубежом. В то же время он отмечает, что как страна происхождения, транзита и назначения государство-участник сталкивается с рядом проблем в том, что касается защиты прав трудящихся-мигрантов и членов их семей.</w:t>
      </w:r>
    </w:p>
    <w:p w14:paraId="27B9C428" w14:textId="77777777" w:rsidR="000341F9" w:rsidRPr="00433C92" w:rsidRDefault="000341F9" w:rsidP="00187058">
      <w:pPr>
        <w:pStyle w:val="H1G"/>
      </w:pPr>
      <w:r w:rsidRPr="00433C92">
        <w:tab/>
        <w:t>B.</w:t>
      </w:r>
      <w:r w:rsidRPr="00433C92">
        <w:tab/>
        <w:t>Позитивные аспекты</w:t>
      </w:r>
    </w:p>
    <w:p w14:paraId="1CA6F286" w14:textId="77777777" w:rsidR="000341F9" w:rsidRPr="00433C92" w:rsidRDefault="000341F9" w:rsidP="000341F9">
      <w:pPr>
        <w:pStyle w:val="SingleTxtG"/>
      </w:pPr>
      <w:r w:rsidRPr="00433C92">
        <w:t>5.</w:t>
      </w:r>
      <w:r w:rsidRPr="00433C92">
        <w:tab/>
        <w:t>Комитет с удовлетворением отмечает ратификацию договоров или присоединение к договорам, которые перечисляются ниже:</w:t>
      </w:r>
    </w:p>
    <w:p w14:paraId="4BB2B6CD" w14:textId="2E43B196" w:rsidR="000341F9" w:rsidRPr="00433C92" w:rsidRDefault="00187058" w:rsidP="000341F9">
      <w:pPr>
        <w:pStyle w:val="SingleTxtG"/>
      </w:pPr>
      <w:r>
        <w:tab/>
      </w:r>
      <w:r w:rsidR="000341F9" w:rsidRPr="00433C92">
        <w:t>a)</w:t>
      </w:r>
      <w:r w:rsidR="000341F9" w:rsidRPr="00433C92">
        <w:tab/>
        <w:t xml:space="preserve">Конвенция о частных агентствах занятости 1997 года (№ 181) Международной организации труда (МОТ) </w:t>
      </w:r>
      <w:r>
        <w:t>—</w:t>
      </w:r>
      <w:r w:rsidR="000341F9" w:rsidRPr="00433C92">
        <w:t xml:space="preserve"> в июне 2018 года;</w:t>
      </w:r>
    </w:p>
    <w:p w14:paraId="221BB230" w14:textId="58870625" w:rsidR="000341F9" w:rsidRPr="00433C92" w:rsidRDefault="00187058" w:rsidP="000341F9">
      <w:pPr>
        <w:pStyle w:val="SingleTxtG"/>
      </w:pPr>
      <w:r>
        <w:lastRenderedPageBreak/>
        <w:tab/>
      </w:r>
      <w:r w:rsidR="000341F9" w:rsidRPr="00433C92">
        <w:t>b)</w:t>
      </w:r>
      <w:r w:rsidR="000341F9" w:rsidRPr="00433C92"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</w:t>
      </w:r>
      <w:r>
        <w:t> —</w:t>
      </w:r>
      <w:r w:rsidR="000341F9" w:rsidRPr="00433C92">
        <w:t xml:space="preserve"> 30 июня 2015 года.</w:t>
      </w:r>
    </w:p>
    <w:p w14:paraId="6F4D62F3" w14:textId="4F03AF4E" w:rsidR="000341F9" w:rsidRPr="00433C92" w:rsidRDefault="000341F9" w:rsidP="00187058">
      <w:pPr>
        <w:pStyle w:val="SingleTxtG"/>
      </w:pPr>
      <w:r w:rsidRPr="00433C92">
        <w:t xml:space="preserve">6. </w:t>
      </w:r>
      <w:r w:rsidRPr="00433C92">
        <w:tab/>
        <w:t>Комитет приветствует принятие следующих законодательных мер:</w:t>
      </w:r>
    </w:p>
    <w:p w14:paraId="06DA023C" w14:textId="674CBB90" w:rsidR="000341F9" w:rsidRPr="00433C92" w:rsidRDefault="00187058" w:rsidP="000341F9">
      <w:pPr>
        <w:pStyle w:val="SingleTxtG"/>
      </w:pPr>
      <w:r>
        <w:tab/>
      </w:r>
      <w:r w:rsidR="000341F9" w:rsidRPr="00433C92">
        <w:t>a)</w:t>
      </w:r>
      <w:r w:rsidR="000341F9" w:rsidRPr="00433C92">
        <w:tab/>
        <w:t xml:space="preserve">принятие Закона № 71/2018 о защите детей </w:t>
      </w:r>
      <w:r w:rsidR="00F23DFD">
        <w:t>—</w:t>
      </w:r>
      <w:r w:rsidR="000341F9" w:rsidRPr="00433C92">
        <w:t xml:space="preserve"> в августе 2018 года;</w:t>
      </w:r>
    </w:p>
    <w:p w14:paraId="7494784F" w14:textId="63D831BF" w:rsidR="000341F9" w:rsidRPr="00433C92" w:rsidRDefault="00187058" w:rsidP="000341F9">
      <w:pPr>
        <w:pStyle w:val="SingleTxtG"/>
      </w:pPr>
      <w:r>
        <w:tab/>
      </w:r>
      <w:r w:rsidR="000341F9" w:rsidRPr="00433C92">
        <w:t>b)</w:t>
      </w:r>
      <w:r w:rsidR="000341F9" w:rsidRPr="00433C92">
        <w:tab/>
        <w:t xml:space="preserve">принятие </w:t>
      </w:r>
      <w:r w:rsidR="000341F9">
        <w:t>З</w:t>
      </w:r>
      <w:r w:rsidR="000341F9" w:rsidRPr="00433C92">
        <w:t xml:space="preserve">акона № 57/2018 об иммиграции и эмиграции в Руанде </w:t>
      </w:r>
      <w:r w:rsidR="00F23DFD">
        <w:t>—</w:t>
      </w:r>
      <w:r w:rsidR="000341F9" w:rsidRPr="00433C92">
        <w:t xml:space="preserve"> 13</w:t>
      </w:r>
      <w:r w:rsidR="00F23DFD">
        <w:t> </w:t>
      </w:r>
      <w:r w:rsidR="000341F9" w:rsidRPr="00433C92">
        <w:t xml:space="preserve">августа 2018 года и министерского приказа № 06/01, касающегося трудящихся-мигрантов, </w:t>
      </w:r>
      <w:r w:rsidR="00F23DFD">
        <w:t>—</w:t>
      </w:r>
      <w:r w:rsidR="000341F9" w:rsidRPr="00433C92">
        <w:t xml:space="preserve"> в мае 2019 года;</w:t>
      </w:r>
    </w:p>
    <w:p w14:paraId="7ED85798" w14:textId="36717268" w:rsidR="000341F9" w:rsidRPr="00433C92" w:rsidRDefault="00187058" w:rsidP="000341F9">
      <w:pPr>
        <w:pStyle w:val="SingleTxtG"/>
      </w:pPr>
      <w:r>
        <w:tab/>
      </w:r>
      <w:r w:rsidR="000341F9" w:rsidRPr="00433C92">
        <w:t>c)</w:t>
      </w:r>
      <w:r w:rsidR="000341F9" w:rsidRPr="00433C92">
        <w:tab/>
        <w:t xml:space="preserve">принятие Закона № 51/2018 о предупреждении и пресечении торговли людьми и эксплуатации других лиц и наказании за них </w:t>
      </w:r>
      <w:r w:rsidR="00F23DFD">
        <w:t>—</w:t>
      </w:r>
      <w:r w:rsidR="000341F9" w:rsidRPr="00433C92">
        <w:t xml:space="preserve"> в августе 2018 года;</w:t>
      </w:r>
    </w:p>
    <w:p w14:paraId="4CA56DCF" w14:textId="6E755B17" w:rsidR="000341F9" w:rsidRPr="00433C92" w:rsidRDefault="00187058" w:rsidP="000341F9">
      <w:pPr>
        <w:pStyle w:val="SingleTxtG"/>
      </w:pPr>
      <w:r>
        <w:tab/>
      </w:r>
      <w:r w:rsidR="000341F9" w:rsidRPr="00433C92">
        <w:t>d)</w:t>
      </w:r>
      <w:r w:rsidR="000341F9" w:rsidRPr="00433C92">
        <w:tab/>
        <w:t xml:space="preserve">принятие Закона № 66/2018, который регулирует работу на территории государства, в особенности применительно к вопросу о трудящихся-мигрантах </w:t>
      </w:r>
      <w:r w:rsidR="00F23DFD">
        <w:t>—</w:t>
      </w:r>
      <w:r w:rsidR="000341F9" w:rsidRPr="00433C92">
        <w:t xml:space="preserve"> в</w:t>
      </w:r>
      <w:r w:rsidR="005911E3">
        <w:rPr>
          <w:lang w:val="en-US"/>
        </w:rPr>
        <w:t> </w:t>
      </w:r>
      <w:r w:rsidR="000341F9" w:rsidRPr="00433C92">
        <w:t>августе 2018 года;</w:t>
      </w:r>
    </w:p>
    <w:p w14:paraId="01728754" w14:textId="58926B19" w:rsidR="000341F9" w:rsidRPr="00433C92" w:rsidRDefault="00187058" w:rsidP="000341F9">
      <w:pPr>
        <w:pStyle w:val="SingleTxtG"/>
      </w:pPr>
      <w:r>
        <w:tab/>
      </w:r>
      <w:r w:rsidR="000341F9" w:rsidRPr="00433C92">
        <w:t>e)</w:t>
      </w:r>
      <w:r w:rsidR="000341F9" w:rsidRPr="00433C92">
        <w:tab/>
        <w:t>принятие Закона № 68/2018</w:t>
      </w:r>
      <w:r w:rsidR="000341F9">
        <w:t xml:space="preserve"> об</w:t>
      </w:r>
      <w:r w:rsidR="000341F9" w:rsidRPr="00433C92">
        <w:t xml:space="preserve"> определ</w:t>
      </w:r>
      <w:r w:rsidR="000341F9">
        <w:t>ении</w:t>
      </w:r>
      <w:r w:rsidR="000341F9" w:rsidRPr="00433C92">
        <w:t xml:space="preserve"> правонарушени</w:t>
      </w:r>
      <w:r w:rsidR="000341F9">
        <w:t>й</w:t>
      </w:r>
      <w:r w:rsidR="000341F9" w:rsidRPr="00433C92">
        <w:t xml:space="preserve"> и наказани</w:t>
      </w:r>
      <w:r w:rsidR="000341F9">
        <w:t>й</w:t>
      </w:r>
      <w:r w:rsidR="000341F9" w:rsidRPr="00433C92">
        <w:t xml:space="preserve">, которым запрещается дискриминация согласно статье 163 </w:t>
      </w:r>
      <w:r w:rsidR="00F23DFD">
        <w:t>—</w:t>
      </w:r>
      <w:r w:rsidR="000341F9" w:rsidRPr="00433C92">
        <w:t xml:space="preserve"> в августе 2018</w:t>
      </w:r>
      <w:r w:rsidR="00F23DFD">
        <w:t> </w:t>
      </w:r>
      <w:r w:rsidR="000341F9" w:rsidRPr="00433C92">
        <w:t>года;</w:t>
      </w:r>
    </w:p>
    <w:p w14:paraId="21BE4EED" w14:textId="0BD442A9" w:rsidR="000341F9" w:rsidRPr="00433C92" w:rsidRDefault="00187058" w:rsidP="000341F9">
      <w:pPr>
        <w:pStyle w:val="SingleTxtG"/>
      </w:pPr>
      <w:r>
        <w:tab/>
      </w:r>
      <w:r w:rsidR="000341F9" w:rsidRPr="00433C92">
        <w:t>f)</w:t>
      </w:r>
      <w:r w:rsidR="000341F9" w:rsidRPr="00433C92">
        <w:tab/>
        <w:t xml:space="preserve">принятие Закона № 19/2013, регулирующего деятельность Национальной комиссии по правам человека, </w:t>
      </w:r>
      <w:r w:rsidR="00F23DFD">
        <w:t>—</w:t>
      </w:r>
      <w:r w:rsidR="000341F9" w:rsidRPr="00433C92">
        <w:t xml:space="preserve"> в марте 2013 года и Закона № 61/2018, которым вносятся изменения в Закон № 19/2013 и определяются задачи, организационная структура и порядок функционирования Национальной комиссии по правам человека, а также расширяются полномочия этой комиссии по ведению работы в качестве национального превентивного механизма, предусмотренного Факультативным протоколом к Конвенции против пыток и других жестоких, бесчеловечных или унижающих достоинство видов обращения и наказания, </w:t>
      </w:r>
      <w:r w:rsidR="00F23DFD">
        <w:t>—</w:t>
      </w:r>
      <w:r w:rsidR="000341F9" w:rsidRPr="00433C92">
        <w:t xml:space="preserve"> в августе 2018 года.</w:t>
      </w:r>
    </w:p>
    <w:p w14:paraId="1CE6906D" w14:textId="690E06B6" w:rsidR="000341F9" w:rsidRPr="00433C92" w:rsidRDefault="000341F9" w:rsidP="000341F9">
      <w:pPr>
        <w:pStyle w:val="SingleTxtG"/>
      </w:pPr>
      <w:r w:rsidRPr="00433C92">
        <w:t>7.</w:t>
      </w:r>
      <w:r w:rsidRPr="00433C92">
        <w:tab/>
        <w:t>Комитет также приветствует принятие в 2020 году национальной политики трудовой мобильности с целью создания имплементационных систем для обеспечения социальной защиты и безопасности руандийских трудящихся-мигрантов в формальном секторе за рубежом. Комитет также приветствует установленную государством-участником надлежащую практику регистрации детей, родившихся в государстве-участнике, независимо от статуса их родителей.</w:t>
      </w:r>
    </w:p>
    <w:p w14:paraId="543F58A9" w14:textId="77777777" w:rsidR="000341F9" w:rsidRPr="00433C92" w:rsidRDefault="000341F9" w:rsidP="000341F9">
      <w:pPr>
        <w:pStyle w:val="SingleTxtG"/>
      </w:pPr>
      <w:r w:rsidRPr="00433C92">
        <w:t>8.</w:t>
      </w:r>
      <w:r w:rsidRPr="00433C92">
        <w:tab/>
        <w:t>Комитет признает усилия Руанды по достижению гендерного равенства, включая обращение с женщинами-мигрантами.</w:t>
      </w:r>
    </w:p>
    <w:p w14:paraId="1D39304A" w14:textId="7057F6A8" w:rsidR="000341F9" w:rsidRPr="00433C92" w:rsidRDefault="000341F9" w:rsidP="00F23DFD">
      <w:pPr>
        <w:pStyle w:val="H1G"/>
      </w:pPr>
      <w:r w:rsidRPr="00433C92">
        <w:tab/>
        <w:t>C.</w:t>
      </w:r>
      <w:r w:rsidRPr="00433C92">
        <w:tab/>
        <w:t>Основные вопросы, вызывающие обеспокоенность, и</w:t>
      </w:r>
      <w:r w:rsidR="00F23DFD">
        <w:t> </w:t>
      </w:r>
      <w:r w:rsidRPr="00433C92">
        <w:t>рекомендации</w:t>
      </w:r>
    </w:p>
    <w:p w14:paraId="35FE3D6E" w14:textId="38B6F49A" w:rsidR="000341F9" w:rsidRPr="00433C92" w:rsidRDefault="000341F9" w:rsidP="00F23DFD">
      <w:pPr>
        <w:pStyle w:val="H23G"/>
      </w:pPr>
      <w:r w:rsidRPr="00433C92">
        <w:tab/>
        <w:t>1.</w:t>
      </w:r>
      <w:r w:rsidRPr="00433C92">
        <w:tab/>
        <w:t>Общие меры по осуществлению (ст</w:t>
      </w:r>
      <w:r w:rsidR="00F23DFD">
        <w:t>.</w:t>
      </w:r>
      <w:r w:rsidRPr="00433C92">
        <w:t xml:space="preserve"> 73 и 84)</w:t>
      </w:r>
    </w:p>
    <w:p w14:paraId="758787CA" w14:textId="77777777" w:rsidR="000341F9" w:rsidRPr="00433C92" w:rsidRDefault="000341F9" w:rsidP="00F23DFD">
      <w:pPr>
        <w:pStyle w:val="H23G"/>
      </w:pPr>
      <w:r w:rsidRPr="00433C92">
        <w:tab/>
      </w:r>
      <w:r w:rsidRPr="00433C92">
        <w:tab/>
        <w:t>Нынешний контекст</w:t>
      </w:r>
    </w:p>
    <w:p w14:paraId="6B7140A0" w14:textId="588BB418" w:rsidR="000341F9" w:rsidRPr="00433C92" w:rsidRDefault="000341F9" w:rsidP="000341F9">
      <w:pPr>
        <w:pStyle w:val="SingleTxtG"/>
        <w:rPr>
          <w:b/>
          <w:bCs/>
        </w:rPr>
      </w:pPr>
      <w:r w:rsidRPr="00F23DFD">
        <w:t>9.</w:t>
      </w:r>
      <w:r w:rsidR="00F23DFD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 защищать права мигрантов и членов их семей, в частности их право на здоровье, и смягчать негативные последствия пандемии коронавирусной болезни (</w:t>
      </w:r>
      <w:r w:rsidR="009A2587" w:rsidRPr="006F0272">
        <w:rPr>
          <w:b/>
        </w:rPr>
        <w:t>COVID</w:t>
      </w:r>
      <w:r w:rsidRPr="00433C92">
        <w:rPr>
          <w:b/>
          <w:bCs/>
        </w:rPr>
        <w:t xml:space="preserve">-19) в свете совместного руководства по вопросу о воздействии пандемии </w:t>
      </w:r>
      <w:r w:rsidR="009A2587" w:rsidRPr="006F0272">
        <w:rPr>
          <w:b/>
        </w:rPr>
        <w:t>COVID</w:t>
      </w:r>
      <w:r w:rsidRPr="00433C92">
        <w:rPr>
          <w:b/>
          <w:bCs/>
        </w:rPr>
        <w:t xml:space="preserve">-19 на права человека мигрантов, выпущенного Комитетом и Специальным докладчиком по правам человека мигрантов. В частности, Комитет рекомендует государству-участнику гарантировать равный доступ к вакцинации против </w:t>
      </w:r>
      <w:r w:rsidR="009A2587" w:rsidRPr="006F0272">
        <w:rPr>
          <w:b/>
        </w:rPr>
        <w:t>COVID</w:t>
      </w:r>
      <w:r w:rsidRPr="00433C92">
        <w:rPr>
          <w:b/>
          <w:bCs/>
        </w:rPr>
        <w:t>-19 всем мигрантам и членам их семей, независимо от их гражданства, миграционного статуса или других запрещенных оснований дискриминации в соответствии с рекомендациями настоящего Комитета и других региональных механизмов по правам человека, изложенными в вышеупомянутом совместном руководстве.</w:t>
      </w:r>
    </w:p>
    <w:p w14:paraId="72C917DC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lastRenderedPageBreak/>
        <w:tab/>
      </w:r>
      <w:r w:rsidRPr="00433C92">
        <w:rPr>
          <w:bCs/>
        </w:rPr>
        <w:tab/>
        <w:t>Законодательство и применение</w:t>
      </w:r>
    </w:p>
    <w:p w14:paraId="27A535C1" w14:textId="77B87C53" w:rsidR="000341F9" w:rsidRPr="00433C92" w:rsidRDefault="000341F9" w:rsidP="000341F9">
      <w:pPr>
        <w:pStyle w:val="SingleTxtG"/>
      </w:pPr>
      <w:r w:rsidRPr="00F23DFD">
        <w:rPr>
          <w:spacing w:val="-2"/>
        </w:rPr>
        <w:t xml:space="preserve">10. </w:t>
      </w:r>
      <w:r w:rsidRPr="00F23DFD">
        <w:rPr>
          <w:spacing w:val="-2"/>
        </w:rPr>
        <w:tab/>
        <w:t>Комитет принимает к сведению принятие 13 августа 2018 года Закона № 57/2018</w:t>
      </w:r>
      <w:r w:rsidRPr="00433C92">
        <w:t xml:space="preserve"> об иммиграции и эмиграции в Руанде. Он отмечает, что трудящиеся-мигранты и члены их семей, в том числе с неурегулированным статусом, имеют право подавать жалобы на нарушения своих прав, а также имеют доступ к судам и Национальной комиссии по правам человека. Однако Комитет обеспокоен тем, что отсутствие дел и/или судебных разбирательств, которые были бы возбуждены по инициативе трудящихся-мигрантов или членов их семей, в том числе с неурегулированным статусом, в связи с нарушениями их прав по Конвенции, возможно, отражает </w:t>
      </w:r>
      <w:r>
        <w:t xml:space="preserve">их </w:t>
      </w:r>
      <w:r w:rsidRPr="00433C92">
        <w:t>неосведомленность о средствах правовой защиты или сложность процедур, имеющихся в их распоряжении. Комитет далее обеспокоен тем, что государство-участник вышло из Протокола к Африканской хартии прав человека и народов, касающегося учреждения Африканского суда по правам человека и народов.</w:t>
      </w:r>
    </w:p>
    <w:p w14:paraId="080BF712" w14:textId="61A9983D" w:rsidR="000341F9" w:rsidRPr="00433C92" w:rsidRDefault="000341F9" w:rsidP="000341F9">
      <w:pPr>
        <w:pStyle w:val="SingleTxtG"/>
        <w:rPr>
          <w:b/>
          <w:bCs/>
        </w:rPr>
      </w:pPr>
      <w:r w:rsidRPr="009577E6">
        <w:t>11.</w:t>
      </w:r>
      <w:r w:rsidRPr="00433C92">
        <w:rPr>
          <w:b/>
          <w:bCs/>
        </w:rPr>
        <w:tab/>
        <w:t>Комитет рекомендует государству-участнику принять меры по информированию трудящихся-мигрантов и членов их семей о средствах правовой защиты, доступных для них в случае нарушения их прав по Конвенции. Он также предлагает государству-участнику представить в своем следующем докладе информацию о применении Конвенции и замечаний общего порядка Комитета национальными судами и/или Национальной комиссией по правам человека. Он далее призывает государство-участник пересмотреть свою позицию и предпринять шаги для присоединения к Протоколу к Африканской хартии прав человека и народов, касающемуся учреждения Африканского суда по правам человека и народов.</w:t>
      </w:r>
    </w:p>
    <w:p w14:paraId="4E122BBB" w14:textId="3C662110" w:rsidR="000341F9" w:rsidRPr="00433C92" w:rsidRDefault="000341F9" w:rsidP="000341F9">
      <w:pPr>
        <w:pStyle w:val="SingleTxtG"/>
      </w:pPr>
      <w:r w:rsidRPr="009577E6">
        <w:t>12.</w:t>
      </w:r>
      <w:r w:rsidR="009577E6">
        <w:tab/>
      </w:r>
      <w:r w:rsidRPr="00433C92">
        <w:t>Комитет принимает к сведению положение, согласно которому для того, чтобы быть заслушанным судом, иностранцы должны внести гарантийный взнос, который предусмотрен в статье 87 Закона № 21/2012 от 14 июня 2012 года</w:t>
      </w:r>
      <w:r>
        <w:t xml:space="preserve"> о</w:t>
      </w:r>
      <w:r w:rsidRPr="00433C92">
        <w:t xml:space="preserve"> гражданско</w:t>
      </w:r>
      <w:r>
        <w:t>м</w:t>
      </w:r>
      <w:r w:rsidRPr="00433C92">
        <w:t>, торгово</w:t>
      </w:r>
      <w:r>
        <w:t>м</w:t>
      </w:r>
      <w:r w:rsidRPr="00433C92">
        <w:t>, трудово</w:t>
      </w:r>
      <w:r>
        <w:t>м</w:t>
      </w:r>
      <w:r w:rsidRPr="00433C92">
        <w:t xml:space="preserve"> и административно</w:t>
      </w:r>
      <w:r>
        <w:t>м</w:t>
      </w:r>
      <w:r w:rsidRPr="00433C92">
        <w:t xml:space="preserve"> судопроизводств</w:t>
      </w:r>
      <w:r>
        <w:t>е</w:t>
      </w:r>
      <w:r w:rsidRPr="00433C92">
        <w:t xml:space="preserve"> и сохранен в статье 91 Закона № 22/2018 от 29 апреля 2018 года.</w:t>
      </w:r>
    </w:p>
    <w:p w14:paraId="2A2475A2" w14:textId="26822E3A" w:rsidR="000341F9" w:rsidRPr="00433C92" w:rsidRDefault="000341F9" w:rsidP="000341F9">
      <w:pPr>
        <w:pStyle w:val="SingleTxtG"/>
        <w:rPr>
          <w:b/>
          <w:bCs/>
        </w:rPr>
      </w:pPr>
      <w:r w:rsidRPr="009577E6">
        <w:t>13.</w:t>
      </w:r>
      <w:r w:rsidR="009577E6">
        <w:tab/>
      </w:r>
      <w:r w:rsidRPr="00433C92">
        <w:rPr>
          <w:b/>
          <w:bCs/>
        </w:rPr>
        <w:t>Комитет также рекомендует Руанде отменить требование о внесении гарантийного взноса иностранцами, не являющимися гражданами государств Восточной Африки.</w:t>
      </w:r>
    </w:p>
    <w:p w14:paraId="53C19361" w14:textId="77777777" w:rsidR="000341F9" w:rsidRPr="00433C92" w:rsidRDefault="000341F9" w:rsidP="009577E6">
      <w:pPr>
        <w:pStyle w:val="H23G"/>
      </w:pPr>
      <w:r w:rsidRPr="00433C92">
        <w:tab/>
      </w:r>
      <w:r w:rsidRPr="00433C92">
        <w:tab/>
        <w:t>Статьи 76–77</w:t>
      </w:r>
    </w:p>
    <w:p w14:paraId="443FCDAD" w14:textId="4C7A7589" w:rsidR="000341F9" w:rsidRPr="009577E6" w:rsidRDefault="000341F9" w:rsidP="000341F9">
      <w:pPr>
        <w:pStyle w:val="SingleTxtG"/>
      </w:pPr>
      <w:r w:rsidRPr="009577E6">
        <w:t>14.</w:t>
      </w:r>
      <w:r w:rsidR="009577E6">
        <w:tab/>
      </w:r>
      <w:r w:rsidRPr="009577E6">
        <w:t>Комитет отмечает, что государство-участник пока не сделало предусмотренных статьями 76 и 77 Конвенции заявлений о признании компетенции Комитета получать сообщения от государств-участников и частных лиц.</w:t>
      </w:r>
    </w:p>
    <w:p w14:paraId="5EC22CBA" w14:textId="777D68DB" w:rsidR="000341F9" w:rsidRPr="00433C92" w:rsidRDefault="000341F9" w:rsidP="000341F9">
      <w:pPr>
        <w:pStyle w:val="SingleTxtG"/>
        <w:rPr>
          <w:b/>
          <w:bCs/>
        </w:rPr>
      </w:pPr>
      <w:r w:rsidRPr="009577E6">
        <w:t>15.</w:t>
      </w:r>
      <w:r w:rsidR="009577E6">
        <w:tab/>
      </w:r>
      <w:r w:rsidRPr="00433C92">
        <w:rPr>
          <w:b/>
          <w:bCs/>
        </w:rPr>
        <w:t>Комитет повторяет свою предыдущую рекомендацию</w:t>
      </w:r>
      <w:r w:rsidRPr="000341F9">
        <w:rPr>
          <w:rStyle w:val="aa"/>
          <w:bCs/>
        </w:rPr>
        <w:footnoteReference w:id="5"/>
      </w:r>
      <w:r w:rsidRPr="00433C92">
        <w:rPr>
          <w:b/>
          <w:bCs/>
        </w:rPr>
        <w:t xml:space="preserve"> и призывает государство-участник сделать заявления, предусмотренные статьями 76 и 77 Конвенции.</w:t>
      </w:r>
    </w:p>
    <w:p w14:paraId="5A3AD554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Ратификация соответствующих договоров</w:t>
      </w:r>
    </w:p>
    <w:p w14:paraId="1E16D7BA" w14:textId="24FEE48A" w:rsidR="000341F9" w:rsidRPr="00433C92" w:rsidRDefault="000341F9" w:rsidP="000341F9">
      <w:pPr>
        <w:pStyle w:val="SingleTxtG"/>
        <w:rPr>
          <w:b/>
          <w:bCs/>
        </w:rPr>
      </w:pPr>
      <w:r w:rsidRPr="009577E6">
        <w:t>16.</w:t>
      </w:r>
      <w:r w:rsidR="009577E6">
        <w:tab/>
      </w:r>
      <w:r w:rsidRPr="00433C92">
        <w:rPr>
          <w:b/>
          <w:bCs/>
        </w:rPr>
        <w:t>Комитет рекомендует государству-участнику как можно скорее ратифицировать (пересмотренную) Конвенцию МОТ о трудящихся-мигрантах 1949 года (№ 97), Конвенцию МОТ о трудящихся-мигрантах (дополнительные положения) 1975 года (№ 143) и Конвенцию МОТ о домашних работниках 2011</w:t>
      </w:r>
      <w:r w:rsidR="009577E6">
        <w:rPr>
          <w:b/>
          <w:bCs/>
          <w:lang w:val="en-US"/>
        </w:rPr>
        <w:t> </w:t>
      </w:r>
      <w:r w:rsidRPr="00433C92">
        <w:rPr>
          <w:b/>
          <w:bCs/>
        </w:rPr>
        <w:t>года (№ 189).</w:t>
      </w:r>
    </w:p>
    <w:p w14:paraId="6D5EB6BC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Политика и стратегия</w:t>
      </w:r>
    </w:p>
    <w:p w14:paraId="65954507" w14:textId="04503DD3" w:rsidR="000341F9" w:rsidRPr="00433C92" w:rsidRDefault="000341F9" w:rsidP="000341F9">
      <w:pPr>
        <w:pStyle w:val="SingleTxtG"/>
      </w:pPr>
      <w:r w:rsidRPr="009577E6">
        <w:t>17.</w:t>
      </w:r>
      <w:r w:rsidR="009577E6">
        <w:tab/>
      </w:r>
      <w:r w:rsidRPr="00433C92">
        <w:t xml:space="preserve">Комитет отмечает создание Генерального директората по вопросам иммиграции и эмиграции, который ведает всеми вопросами, связанными с миграцией. Он далее отмечает принятие в 2020 году национальной политики трудовой мобильности, которая направлена на реализацию и защиту прав человека и трудовых прав руандийских трудящихся-мигрантов. Однако Комитет обеспокоен тем, что эта </w:t>
      </w:r>
      <w:r w:rsidRPr="00433C92">
        <w:lastRenderedPageBreak/>
        <w:t>политика касается только граждан Руанды, работающих в формальном секторе, не</w:t>
      </w:r>
      <w:r w:rsidR="009577E6">
        <w:rPr>
          <w:lang w:val="en-US"/>
        </w:rPr>
        <w:t> </w:t>
      </w:r>
      <w:r w:rsidRPr="00433C92">
        <w:t>распространяясь на неформальный сектор, и не охватывает иностранных работников в Руанде.</w:t>
      </w:r>
    </w:p>
    <w:p w14:paraId="2A860BC4" w14:textId="30C259C6" w:rsidR="000341F9" w:rsidRPr="00433C92" w:rsidRDefault="000341F9" w:rsidP="000341F9">
      <w:pPr>
        <w:pStyle w:val="SingleTxtG"/>
        <w:rPr>
          <w:b/>
          <w:bCs/>
        </w:rPr>
      </w:pPr>
      <w:r w:rsidRPr="009577E6">
        <w:t>18.</w:t>
      </w:r>
      <w:r w:rsidR="009577E6">
        <w:tab/>
      </w:r>
      <w:r w:rsidRPr="00433C92">
        <w:rPr>
          <w:b/>
          <w:bCs/>
        </w:rPr>
        <w:t>Комитет рекомендует государству-участнику охватить в своей национальной политике трудовой мобильности вопрос о защите граждан Руанды, работающих в неформальном секторе, а также иммигрантов в Руанде и принять меры, направленные на защиту их прав человека.</w:t>
      </w:r>
    </w:p>
    <w:p w14:paraId="737E1918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Независимый мониторинг</w:t>
      </w:r>
    </w:p>
    <w:p w14:paraId="4795A514" w14:textId="0A8219E0" w:rsidR="000341F9" w:rsidRPr="00433C92" w:rsidRDefault="000341F9" w:rsidP="000341F9">
      <w:pPr>
        <w:pStyle w:val="SingleTxtG"/>
      </w:pPr>
      <w:r w:rsidRPr="009577E6">
        <w:t>19.</w:t>
      </w:r>
      <w:r w:rsidRPr="009577E6">
        <w:tab/>
      </w:r>
      <w:r w:rsidRPr="00433C92">
        <w:t>Комитет отмечает принятие 25 марта 2013 года Закона № 19/2013, определяющего задачи, организационную структуру и порядок функционирования Национальной комиссии по правам человека, который 24 августа 2018 года был изменен Законом № 61/2018. Он с удовлетворением отмечает статью 6 (4) Закона №</w:t>
      </w:r>
      <w:r w:rsidR="009577E6">
        <w:t> </w:t>
      </w:r>
      <w:r w:rsidRPr="00433C92">
        <w:t>19/2013, в которой говорится, что на Комиссию возложена особая миссия по защите трудящихся-мигрантов и членов их семей, а также отмечает усилия, предпринятые для обеспечения прозрачности и партисипативного характера процесса отбора и назначения членов Комиссии. Однако Комитет обеспокоен тем, что закон не обеспечивает независимого и объективного характера процедуры отстранения от должности, и тем, что Комиссия не располагает достаточными ресурсами для эффективного выполнения своего мандата по защите прав трудящихся-мигрантов и членов их семей.</w:t>
      </w:r>
    </w:p>
    <w:p w14:paraId="52EAD7BE" w14:textId="4FD3ADA8" w:rsidR="000341F9" w:rsidRPr="00433C92" w:rsidRDefault="000341F9" w:rsidP="000341F9">
      <w:pPr>
        <w:pStyle w:val="SingleTxtG"/>
        <w:rPr>
          <w:b/>
          <w:bCs/>
        </w:rPr>
      </w:pPr>
      <w:r w:rsidRPr="009577E6">
        <w:t>20.</w:t>
      </w:r>
      <w:r w:rsidR="009577E6">
        <w:tab/>
      </w:r>
      <w:r w:rsidRPr="00433C92">
        <w:rPr>
          <w:b/>
          <w:bCs/>
        </w:rPr>
        <w:t>Комитет рекомендует государству-участнику внести изменения в закон, определяющий задачи, организационную структуру и порядок функционирования Национальной комиссии по правам человека, с тем чтобы обеспечить независимый и объективный характер процедуры отстранения от должности, и предоставить Комиссии достаточные людские, технические и финансовые ресурсы для того, чтобы она могла поощрять и защищать права трудящихся-мигрантов и членов их семей в соответствии с Конвенцией.</w:t>
      </w:r>
    </w:p>
    <w:p w14:paraId="166367F2" w14:textId="77777777" w:rsidR="000341F9" w:rsidRPr="00433C92" w:rsidRDefault="000341F9" w:rsidP="009577E6">
      <w:pPr>
        <w:pStyle w:val="H23G"/>
      </w:pPr>
      <w:r w:rsidRPr="00433C92">
        <w:tab/>
      </w:r>
      <w:r w:rsidRPr="00433C92">
        <w:tab/>
        <w:t>Подготовка по вопросам, касающимся Конвенции, и распространение информации о ней</w:t>
      </w:r>
    </w:p>
    <w:p w14:paraId="7E97732C" w14:textId="77777777" w:rsidR="000341F9" w:rsidRPr="00433C92" w:rsidRDefault="000341F9" w:rsidP="000341F9">
      <w:pPr>
        <w:pStyle w:val="SingleTxtG"/>
      </w:pPr>
      <w:r w:rsidRPr="009577E6">
        <w:t>21.</w:t>
      </w:r>
      <w:r w:rsidRPr="00433C92">
        <w:rPr>
          <w:b/>
          <w:bCs/>
        </w:rPr>
        <w:tab/>
      </w:r>
      <w:r w:rsidRPr="00433C92">
        <w:t>Комитет отмечает предпринятые государством-участником усилия по подготовке кадров и повышению осведомленности о правах человека, о которых шла речь в его докладе</w:t>
      </w:r>
      <w:r w:rsidRPr="009577E6">
        <w:rPr>
          <w:sz w:val="18"/>
          <w:vertAlign w:val="superscript"/>
        </w:rPr>
        <w:footnoteReference w:id="6"/>
      </w:r>
      <w:r w:rsidRPr="00433C92">
        <w:t xml:space="preserve"> и в ходе диалога в связи с подготовкой судей. Вместе с тем он обеспокоен отсутствием программ подготовки непосредственно по Конвенции и закрепленным в ней правам для заинтересованных лиц, в том числе сотрудников судебных и правоохранительных органов.</w:t>
      </w:r>
    </w:p>
    <w:p w14:paraId="132A4B09" w14:textId="5377632F" w:rsidR="000341F9" w:rsidRPr="00D13940" w:rsidRDefault="000341F9" w:rsidP="000341F9">
      <w:pPr>
        <w:pStyle w:val="SingleTxtG"/>
        <w:rPr>
          <w:b/>
          <w:bCs/>
        </w:rPr>
      </w:pPr>
      <w:r w:rsidRPr="009577E6">
        <w:t>22.</w:t>
      </w:r>
      <w:r w:rsidRPr="00D13940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государству-участнику:</w:t>
      </w:r>
    </w:p>
    <w:p w14:paraId="588D490C" w14:textId="2624F47E" w:rsidR="000341F9" w:rsidRPr="00433C92" w:rsidRDefault="009577E6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разработать программы обучения и подготовки по предусмотренным в Конвенции правам трудящихся-мигрантов и членов их семей, в том числе по гендерной проблематике и правам детей, и обеспечить, чтобы такие программы стали доступны для всех должностных лиц и других лиц, работающих в области миграции, в частности для сотрудников правоохранительных органов и пограничных служб, судей, прокуроров, консульских работников, должностных лиц национального, регионального и местного уровня, социальных работников и представителей организаций гражданского общества;</w:t>
      </w:r>
    </w:p>
    <w:p w14:paraId="3F3834B7" w14:textId="545919C0" w:rsidR="000341F9" w:rsidRPr="00433C92" w:rsidRDefault="009577E6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усилить свою работу с организациями гражданского общества и средствами массовой информации в целях распространения информации о Конвенции и ее пропаганды на всей территории государства-участника</w:t>
      </w:r>
      <w:r>
        <w:rPr>
          <w:b/>
          <w:bCs/>
        </w:rPr>
        <w:t>.</w:t>
      </w:r>
    </w:p>
    <w:p w14:paraId="6A4B24C6" w14:textId="77777777" w:rsidR="000341F9" w:rsidRPr="00433C92" w:rsidRDefault="000341F9" w:rsidP="009577E6">
      <w:pPr>
        <w:pStyle w:val="H23G"/>
      </w:pPr>
      <w:r w:rsidRPr="00433C92">
        <w:lastRenderedPageBreak/>
        <w:tab/>
      </w:r>
      <w:r w:rsidRPr="00433C92">
        <w:tab/>
        <w:t>Участие гражданского общества</w:t>
      </w:r>
    </w:p>
    <w:p w14:paraId="5FCEA708" w14:textId="77777777" w:rsidR="000341F9" w:rsidRPr="009577E6" w:rsidRDefault="000341F9" w:rsidP="000341F9">
      <w:pPr>
        <w:pStyle w:val="SingleTxtG"/>
      </w:pPr>
      <w:r w:rsidRPr="009577E6">
        <w:t>23.</w:t>
      </w:r>
      <w:r w:rsidRPr="009577E6">
        <w:tab/>
        <w:t>Комитет обеспокоен ограниченным участием гражданского общества в осуществлении Конвенции.</w:t>
      </w:r>
    </w:p>
    <w:p w14:paraId="15EAB55A" w14:textId="77777777" w:rsidR="000341F9" w:rsidRPr="00433C92" w:rsidRDefault="000341F9" w:rsidP="000341F9">
      <w:pPr>
        <w:pStyle w:val="SingleTxtG"/>
        <w:rPr>
          <w:b/>
          <w:bCs/>
        </w:rPr>
      </w:pPr>
      <w:r w:rsidRPr="009577E6">
        <w:t>24.</w:t>
      </w:r>
      <w:r w:rsidRPr="00433C92">
        <w:rPr>
          <w:b/>
          <w:bCs/>
        </w:rPr>
        <w:tab/>
        <w:t>Комитет рекомендует государству-участнику:</w:t>
      </w:r>
    </w:p>
    <w:p w14:paraId="683BF032" w14:textId="46610268" w:rsidR="000341F9" w:rsidRPr="00433C92" w:rsidRDefault="009577E6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предоставить организациям гражданского общества, работающим с трудящимися-мигрантами и членами их семей, необходимые средства для эффективного участия в осуществлении Конвенции и в последующей деятельности по выполнению рекомендаций, содержащихся в настоящих заключительных замечаниях;</w:t>
      </w:r>
    </w:p>
    <w:p w14:paraId="5E7A9856" w14:textId="12A625E0" w:rsidR="000341F9" w:rsidRPr="00433C92" w:rsidRDefault="009577E6" w:rsidP="000341F9">
      <w:pPr>
        <w:pStyle w:val="SingleTxtG"/>
        <w:jc w:val="left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укреплять диалог с организациями гражданского общества.</w:t>
      </w:r>
    </w:p>
    <w:p w14:paraId="203303D8" w14:textId="2CDA2FE2" w:rsidR="000341F9" w:rsidRPr="00433C92" w:rsidRDefault="000341F9" w:rsidP="009577E6">
      <w:pPr>
        <w:pStyle w:val="H23G"/>
      </w:pPr>
      <w:r w:rsidRPr="00433C92">
        <w:tab/>
        <w:t>2.</w:t>
      </w:r>
      <w:r w:rsidRPr="00433C92">
        <w:tab/>
        <w:t>Общие принципы (ст</w:t>
      </w:r>
      <w:r w:rsidR="009577E6">
        <w:t>.</w:t>
      </w:r>
      <w:r w:rsidRPr="00433C92">
        <w:t xml:space="preserve"> 7 и 83)</w:t>
      </w:r>
    </w:p>
    <w:p w14:paraId="60273ED2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Недискриминация</w:t>
      </w:r>
    </w:p>
    <w:p w14:paraId="5CA1F7D2" w14:textId="77777777" w:rsidR="000341F9" w:rsidRPr="00433C92" w:rsidRDefault="000341F9" w:rsidP="000341F9">
      <w:pPr>
        <w:pStyle w:val="SingleTxtG"/>
      </w:pPr>
      <w:r w:rsidRPr="009577E6">
        <w:t>25.</w:t>
      </w:r>
      <w:r w:rsidRPr="00433C92">
        <w:rPr>
          <w:b/>
          <w:bCs/>
        </w:rPr>
        <w:tab/>
      </w:r>
      <w:r w:rsidRPr="00433C92">
        <w:t>Комитет отмечает общий конституционный запрет на дискриминацию, а также принимает к сведению Закон № 68/2018 об определении правонарушений и наказаний, который устанавливает наказания за дискриминацию, и Закон № 66/2018, регулирующий трудовые отношения в Руанде, который запрещает дискриминацию на рабочем месте. Однако Комитет считает достойным сожаления факт отсутствия информации о реальной практике и примерах, которые позволили бы оценить реализацию права на недискриминацию в соответствии с Конвенцией в отношении трудящихся-мигрантов,</w:t>
      </w:r>
      <w:r>
        <w:t xml:space="preserve"> причем</w:t>
      </w:r>
      <w:r w:rsidRPr="00433C92">
        <w:t xml:space="preserve"> как имеющих документы, так и не имеющих их.</w:t>
      </w:r>
    </w:p>
    <w:p w14:paraId="4CAD24F4" w14:textId="77777777" w:rsidR="000341F9" w:rsidRPr="00433C92" w:rsidRDefault="000341F9" w:rsidP="000341F9">
      <w:pPr>
        <w:pStyle w:val="SingleTxtG"/>
        <w:rPr>
          <w:b/>
          <w:bCs/>
        </w:rPr>
      </w:pPr>
      <w:r w:rsidRPr="009577E6">
        <w:t>26.</w:t>
      </w:r>
      <w:r w:rsidRPr="00433C92">
        <w:rPr>
          <w:b/>
          <w:bCs/>
        </w:rPr>
        <w:tab/>
        <w:t>Комитет рекомендует государству-участнику принять все необходимые меры для обеспечения того, чтобы все трудящиеся-мигранты и члены их семей на его территории или под его юрисдикцией,</w:t>
      </w:r>
      <w:r>
        <w:rPr>
          <w:b/>
          <w:bCs/>
        </w:rPr>
        <w:t xml:space="preserve"> причем</w:t>
      </w:r>
      <w:r w:rsidRPr="00433C92">
        <w:rPr>
          <w:b/>
          <w:bCs/>
        </w:rPr>
        <w:t xml:space="preserve"> как имеющие документы, так и не имеющие их, пользовались правами, признанными в Конвенции, без какой бы то ни было дискриминации в соответствии со статьями 1 (1) и 7.</w:t>
      </w:r>
    </w:p>
    <w:p w14:paraId="296F9389" w14:textId="73ACE7BE" w:rsidR="000341F9" w:rsidRPr="00433C92" w:rsidRDefault="000341F9" w:rsidP="009577E6">
      <w:pPr>
        <w:pStyle w:val="H23G"/>
      </w:pPr>
      <w:r w:rsidRPr="00433C92">
        <w:tab/>
        <w:t>3.</w:t>
      </w:r>
      <w:r w:rsidRPr="00433C92">
        <w:tab/>
        <w:t>Права человека всех трудящихся-мигрантов и членов их семей (ст</w:t>
      </w:r>
      <w:r w:rsidR="009577E6">
        <w:t>.</w:t>
      </w:r>
      <w:r w:rsidRPr="00433C92">
        <w:t xml:space="preserve"> 8−35)</w:t>
      </w:r>
    </w:p>
    <w:p w14:paraId="387BC204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Надлежащая правовая процедура, задержание и равенство перед судом</w:t>
      </w:r>
    </w:p>
    <w:p w14:paraId="7ECEE5B9" w14:textId="2972CFF6" w:rsidR="000341F9" w:rsidRPr="00433C92" w:rsidRDefault="000341F9" w:rsidP="000341F9">
      <w:pPr>
        <w:pStyle w:val="SingleTxtG"/>
      </w:pPr>
      <w:r w:rsidRPr="00433C92">
        <w:t>27.</w:t>
      </w:r>
      <w:r w:rsidRPr="00433C92">
        <w:tab/>
        <w:t>Комитет отмечает, что Законом № 57/2018 был отменен Закон № 04/2011. Он</w:t>
      </w:r>
      <w:r w:rsidR="009577E6">
        <w:t> </w:t>
      </w:r>
      <w:r w:rsidRPr="00433C92">
        <w:t>также при</w:t>
      </w:r>
      <w:r w:rsidR="00597018">
        <w:t>нима</w:t>
      </w:r>
      <w:r w:rsidRPr="00433C92">
        <w:t>ет к сведению заверения государства-участника в том, что содержание под стражей мигрантов за нарушения иммиграционного законодательства используется только в качестве крайней меры в специальных учреждениях и что Национальная комиссия по правам человека осуществляет мониторинг и может без предупреждения посещать места содержания под стражей, где могут находиться трудящиеся-мигранты. При этом, однако, Комитет выражает обеспокоенность по поводу:</w:t>
      </w:r>
    </w:p>
    <w:p w14:paraId="624FD4FA" w14:textId="57B667AA" w:rsidR="000341F9" w:rsidRPr="00433C92" w:rsidRDefault="00597018" w:rsidP="000341F9">
      <w:pPr>
        <w:pStyle w:val="SingleTxtG"/>
      </w:pPr>
      <w:r>
        <w:tab/>
      </w:r>
      <w:r w:rsidR="000341F9" w:rsidRPr="00433C92">
        <w:t>a)</w:t>
      </w:r>
      <w:r>
        <w:tab/>
      </w:r>
      <w:r w:rsidR="000341F9" w:rsidRPr="00433C92">
        <w:t>министерского приказа № 06/01 от 29 мая 2019 года, касающегося иммиграции и эмиграции, в котором зафиксированы составы административных проступков и санкции за несоблюдение положений вышеуказанного</w:t>
      </w:r>
      <w:r w:rsidR="000341F9">
        <w:t xml:space="preserve"> акта</w:t>
      </w:r>
      <w:r w:rsidR="000341F9" w:rsidRPr="00433C92">
        <w:t xml:space="preserve"> законодательства, установлены штрафы за задержку с подачей заявления на визу или вид на жительство в размере от 50 000 до 1 миллиона руандийских франков за просрочку от 6 дней до более чем 9 месяцев, а также предусмотрена возможность высылки нарушителя;</w:t>
      </w:r>
    </w:p>
    <w:p w14:paraId="2BAA74E1" w14:textId="0BB3BEAD" w:rsidR="000341F9" w:rsidRPr="00433C92" w:rsidRDefault="00597018" w:rsidP="000341F9">
      <w:pPr>
        <w:pStyle w:val="SingleTxtG"/>
      </w:pPr>
      <w:r>
        <w:tab/>
      </w:r>
      <w:r w:rsidR="000341F9" w:rsidRPr="00433C92">
        <w:t>b)</w:t>
      </w:r>
      <w:r w:rsidR="000341F9" w:rsidRPr="00433C92">
        <w:tab/>
        <w:t>пункта a) статьи 44 Закона № 57/2018, котор</w:t>
      </w:r>
      <w:r w:rsidR="000341F9">
        <w:t>ый</w:t>
      </w:r>
      <w:r w:rsidR="000341F9" w:rsidRPr="00433C92">
        <w:t xml:space="preserve"> содержит положение, касающееся любого </w:t>
      </w:r>
      <w:r w:rsidR="000341F9">
        <w:t>помогающего иностранцу лица в</w:t>
      </w:r>
      <w:r w:rsidR="000341F9" w:rsidRPr="00433C92">
        <w:t xml:space="preserve"> случае, если </w:t>
      </w:r>
      <w:r w:rsidR="000341F9">
        <w:t>это лицо</w:t>
      </w:r>
      <w:r w:rsidR="000341F9" w:rsidRPr="00433C92">
        <w:t xml:space="preserve"> знает или должно знать, что </w:t>
      </w:r>
      <w:r w:rsidR="000341F9">
        <w:t>данный</w:t>
      </w:r>
      <w:r w:rsidR="000341F9" w:rsidRPr="00433C92">
        <w:t xml:space="preserve"> иностранец является иммигрантом с неурегулированным статусом в Руанде, </w:t>
      </w:r>
      <w:r w:rsidR="000341F9">
        <w:t>а также имеет</w:t>
      </w:r>
      <w:r w:rsidR="000341F9" w:rsidRPr="00433C92">
        <w:t xml:space="preserve"> слишком инклюзивную сферу охвата;</w:t>
      </w:r>
    </w:p>
    <w:p w14:paraId="4552B175" w14:textId="09A6A521" w:rsidR="000341F9" w:rsidRPr="00433C92" w:rsidRDefault="00597018" w:rsidP="000341F9">
      <w:pPr>
        <w:pStyle w:val="SingleTxtG"/>
      </w:pPr>
      <w:r>
        <w:tab/>
      </w:r>
      <w:r w:rsidR="000341F9" w:rsidRPr="00433C92">
        <w:t>c)</w:t>
      </w:r>
      <w:r w:rsidR="000341F9" w:rsidRPr="00433C92">
        <w:tab/>
        <w:t>отсутствия статистических данных о случаях применения к трудящимся-мигрантам и членам их семей административного задержания на основаниях, связанных с нелегальной миграцией;</w:t>
      </w:r>
    </w:p>
    <w:p w14:paraId="106EA78E" w14:textId="591991E4" w:rsidR="000341F9" w:rsidRPr="00433C92" w:rsidRDefault="00597018" w:rsidP="000341F9">
      <w:pPr>
        <w:pStyle w:val="SingleTxtG"/>
      </w:pPr>
      <w:r>
        <w:lastRenderedPageBreak/>
        <w:tab/>
      </w:r>
      <w:r w:rsidR="000341F9" w:rsidRPr="00433C92">
        <w:t>d)</w:t>
      </w:r>
      <w:r w:rsidR="000341F9" w:rsidRPr="00433C92">
        <w:tab/>
        <w:t>продолжающейся дискуссии по поводу заключения меморандума о взаимопонимании между Руандой и Данией относительно сотрудничества по вопросам убежища и миграции, котор</w:t>
      </w:r>
      <w:r w:rsidR="000341F9">
        <w:t>ый</w:t>
      </w:r>
      <w:r w:rsidR="000341F9" w:rsidRPr="00433C92">
        <w:t xml:space="preserve"> может нанести ущерб правам просителей убежища и мигрантов.</w:t>
      </w:r>
    </w:p>
    <w:p w14:paraId="001EA218" w14:textId="601293C0" w:rsidR="000341F9" w:rsidRPr="00D13940" w:rsidRDefault="000341F9" w:rsidP="000341F9">
      <w:pPr>
        <w:pStyle w:val="SingleTxtG"/>
        <w:rPr>
          <w:b/>
          <w:bCs/>
        </w:rPr>
      </w:pPr>
      <w:r w:rsidRPr="00597018">
        <w:t>28.</w:t>
      </w:r>
      <w:r w:rsidRPr="00D13940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государству-участнику:</w:t>
      </w:r>
    </w:p>
    <w:p w14:paraId="323D2C57" w14:textId="43BB0A56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обеспечить, чтобы урегулирование статуса было доступной и недорогой процедурой для всех трудящихся-мигрантов и членов их семей с неурегулированн</w:t>
      </w:r>
      <w:r w:rsidR="000341F9">
        <w:rPr>
          <w:b/>
          <w:bCs/>
        </w:rPr>
        <w:t>ы</w:t>
      </w:r>
      <w:r w:rsidR="000341F9" w:rsidRPr="00433C92">
        <w:rPr>
          <w:b/>
          <w:bCs/>
        </w:rPr>
        <w:t>м статусом и чтобы из-за штрафов, взимаемых в качестве наказания за правонарушения, связанные с миграцией (например, за просрочку визы), не блокировался доступ к механизмам урегулирования статуса;</w:t>
      </w:r>
    </w:p>
    <w:p w14:paraId="6FDAD33B" w14:textId="79885A0F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обеспечить исключение пункта a) статьи 44 Закона № 57/2018 для предотвращения систематического применения санкций за проявления солидарности с трудящимися-мигрантами в Руанде;</w:t>
      </w:r>
    </w:p>
    <w:p w14:paraId="38E66D8E" w14:textId="7EF3E2F6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включить в свой следующий периодический доклад подробные данные о численности трудящихся-мигрантов, к которым в настоящее время применяются административные задержания за нарушение иммиграционного законодательства, в разбивке по возрасту, полу, гражданству и/или происхождению, а также о месте, средней продолжительности и условиях их содержания;</w:t>
      </w:r>
    </w:p>
    <w:p w14:paraId="7B05A272" w14:textId="6D56FEC3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d)</w:t>
      </w:r>
      <w:r w:rsidR="000341F9" w:rsidRPr="00433C92">
        <w:rPr>
          <w:b/>
          <w:bCs/>
        </w:rPr>
        <w:tab/>
        <w:t>обеспечить, чтобы принятые с другими государствами-участниками двусторонние соглашения о сотрудничестве по вопросам убежища и миграции охраняли права и гарантии, предусмотренные в Конвенции, и чтобы такие соглашения способствовали добровольному возвращению трудящихся-мигрантов в страны их происхождения и запрещали их принудительное возвращение.</w:t>
      </w:r>
    </w:p>
    <w:p w14:paraId="2235E2A8" w14:textId="77777777" w:rsidR="000341F9" w:rsidRPr="00433C92" w:rsidRDefault="000341F9" w:rsidP="00597018">
      <w:pPr>
        <w:pStyle w:val="H23G"/>
      </w:pPr>
      <w:r w:rsidRPr="00433C92">
        <w:tab/>
      </w:r>
      <w:r w:rsidRPr="00433C92">
        <w:tab/>
        <w:t>Вознаграждение и условия труда</w:t>
      </w:r>
    </w:p>
    <w:p w14:paraId="08450899" w14:textId="7C309DD5" w:rsidR="000341F9" w:rsidRPr="00433C92" w:rsidRDefault="000341F9" w:rsidP="000341F9">
      <w:pPr>
        <w:pStyle w:val="SingleTxtG"/>
      </w:pPr>
      <w:r w:rsidRPr="00433C92">
        <w:t>29.</w:t>
      </w:r>
      <w:r w:rsidR="00597018">
        <w:tab/>
      </w:r>
      <w:r w:rsidRPr="00433C92">
        <w:t>Комитет принимает к сведению Закон № 66/2018 о регулировании трудовых отношений, который обеспечивает защиту трудящихся-мигрантов в соответствии с принципом равной оплаты за труд равной ценности и регламентирует труд работников как формального, так и неформального сектора, включая домашних работников. Комитет отмечает, что обязанности и полномочия трудовых инспекторов распространяются также на неформальный сектор</w:t>
      </w:r>
      <w:r w:rsidR="00597018">
        <w:t>,</w:t>
      </w:r>
      <w:r w:rsidRPr="00433C92">
        <w:t xml:space="preserve"> и в частности на домашний труд. Он также отмечает, что этот закон запрещает детям заниматься различными видами работ, включая работу в подземных шахтах; что он предусматривает уголовную ответственность и наказание работодателя, который заставляет ребенка заниматься любой из запрещенных форм труда; что министерский приказ, которым работа по дому будет включена в число запрещенных видов труда для ребенка, находится в процессе принятия; и что национальная политика в области детского труда направлена на его предотвращение и искоренение. Комитет также принимает к сведению создание комитетов по ликвидации и предотвращению детского труда на уровне районов, ячеек и деревень в целях выявления случаев детского труда и сообщения о них компетентным органам. Вместе с тем Комитет обеспокоен:</w:t>
      </w:r>
    </w:p>
    <w:p w14:paraId="5B678695" w14:textId="3EA89131" w:rsidR="000341F9" w:rsidRPr="00433C92" w:rsidRDefault="00597018" w:rsidP="000341F9">
      <w:pPr>
        <w:pStyle w:val="SingleTxtG"/>
      </w:pPr>
      <w:r>
        <w:tab/>
      </w:r>
      <w:r w:rsidR="000341F9" w:rsidRPr="00433C92">
        <w:t>a)</w:t>
      </w:r>
      <w:r w:rsidR="000341F9" w:rsidRPr="00433C92">
        <w:tab/>
        <w:t xml:space="preserve">отсутствием информации о мониторинге принципа равной оплаты за труд равной ценности и его </w:t>
      </w:r>
      <w:r w:rsidR="000341F9">
        <w:t xml:space="preserve">практической </w:t>
      </w:r>
      <w:r w:rsidR="000341F9" w:rsidRPr="00433C92">
        <w:t>реализации, особенно в случае трудящихся-мигрантов</w:t>
      </w:r>
      <w:r w:rsidR="000341F9">
        <w:t>, причем</w:t>
      </w:r>
      <w:r w:rsidR="000341F9" w:rsidRPr="00433C92">
        <w:t xml:space="preserve"> как с урегулированным, так и </w:t>
      </w:r>
      <w:r w:rsidR="000341F9">
        <w:t xml:space="preserve">с </w:t>
      </w:r>
      <w:r w:rsidR="000341F9" w:rsidRPr="00433C92">
        <w:t>неурегулированным статусом, а</w:t>
      </w:r>
      <w:r>
        <w:t> </w:t>
      </w:r>
      <w:r w:rsidR="000341F9" w:rsidRPr="00433C92">
        <w:t>также отсутствием данных о реальных случаях несоблюдения вышеупомянутого принципа;</w:t>
      </w:r>
    </w:p>
    <w:p w14:paraId="2DA2FA64" w14:textId="63D6DE90" w:rsidR="000341F9" w:rsidRPr="00433C92" w:rsidRDefault="00597018" w:rsidP="000341F9">
      <w:pPr>
        <w:pStyle w:val="SingleTxtG"/>
      </w:pPr>
      <w:r>
        <w:tab/>
      </w:r>
      <w:r w:rsidR="000341F9" w:rsidRPr="00433C92">
        <w:t>b)</w:t>
      </w:r>
      <w:r w:rsidR="000341F9" w:rsidRPr="00433C92">
        <w:tab/>
        <w:t>отсутствием закона, который запрещал бы детский труд, включая использование труда детей-мигрантов и подростков на опасных работах, а также отсутствием информации об уголовном преследовании и наказании тех, кто эксплуатирует детский труд;</w:t>
      </w:r>
    </w:p>
    <w:p w14:paraId="606C9642" w14:textId="552F6499" w:rsidR="000341F9" w:rsidRPr="00433C92" w:rsidRDefault="00597018" w:rsidP="000341F9">
      <w:pPr>
        <w:pStyle w:val="SingleTxtG"/>
      </w:pPr>
      <w:r>
        <w:tab/>
      </w:r>
      <w:r w:rsidR="000341F9" w:rsidRPr="00433C92">
        <w:t>c)</w:t>
      </w:r>
      <w:r w:rsidR="000341F9" w:rsidRPr="00433C92">
        <w:tab/>
        <w:t>отсутствием информации о мерах, принимаемых для предотвращения эксплуатации девочек, занятых домашним трудом, в частности девочек-мигрантов, и</w:t>
      </w:r>
      <w:r>
        <w:t> </w:t>
      </w:r>
      <w:r w:rsidR="000341F9" w:rsidRPr="00433C92">
        <w:t>для борьбы с ней;</w:t>
      </w:r>
    </w:p>
    <w:p w14:paraId="40CD4A34" w14:textId="16333739" w:rsidR="000341F9" w:rsidRPr="00433C92" w:rsidRDefault="00597018" w:rsidP="000341F9">
      <w:pPr>
        <w:pStyle w:val="SingleTxtG"/>
      </w:pPr>
      <w:r>
        <w:lastRenderedPageBreak/>
        <w:tab/>
      </w:r>
      <w:r w:rsidR="000341F9" w:rsidRPr="00433C92">
        <w:t>d)</w:t>
      </w:r>
      <w:r w:rsidR="000341F9" w:rsidRPr="00433C92">
        <w:tab/>
        <w:t>широким распространением явления неформальной занятости в частном секторе домашнего труда и неосведомленностью трудящихся-мигрантов, работающих в этом секторе, о своих правах и обязанностях.</w:t>
      </w:r>
    </w:p>
    <w:p w14:paraId="1EA479C5" w14:textId="45DA3FED" w:rsidR="000341F9" w:rsidRPr="00D13940" w:rsidRDefault="000341F9" w:rsidP="000341F9">
      <w:pPr>
        <w:pStyle w:val="SingleTxtG"/>
        <w:rPr>
          <w:b/>
          <w:bCs/>
        </w:rPr>
      </w:pPr>
      <w:r w:rsidRPr="00597018">
        <w:t>30.</w:t>
      </w:r>
      <w:r w:rsidRPr="00D13940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государству-участнику:</w:t>
      </w:r>
    </w:p>
    <w:p w14:paraId="26E03BFB" w14:textId="60D3461B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обеспечить, чтобы обращение с трудящимися-мигрантами в вопросах оплаты труда было не менее благоприятным, чем обращение с гражданами страны, и чтобы в соответствии с задачей 8.8 Целей в области устойчивого развития строгое соблюдение тако</w:t>
      </w:r>
      <w:r w:rsidR="000341F9">
        <w:rPr>
          <w:b/>
          <w:bCs/>
        </w:rPr>
        <w:t>й нормы</w:t>
      </w:r>
      <w:r w:rsidR="000341F9" w:rsidRPr="00433C92">
        <w:rPr>
          <w:b/>
          <w:bCs/>
        </w:rPr>
        <w:t xml:space="preserve"> обращения обеспечивалось путем проведения регулярных и внезапных трудовых инспекций в секторах, в которых заняты трудящиеся-мигранты, вне зависимости от того, формальный это сектор или неформальный;</w:t>
      </w:r>
    </w:p>
    <w:p w14:paraId="0369D59E" w14:textId="24355FF0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удвоить свои усилия по ликвидации детского труда, в частности в неформальном секторе экономики, обеспечив возбуждение</w:t>
      </w:r>
      <w:r w:rsidR="000341F9">
        <w:rPr>
          <w:b/>
          <w:bCs/>
        </w:rPr>
        <w:t xml:space="preserve"> дел</w:t>
      </w:r>
      <w:r w:rsidR="000341F9" w:rsidRPr="00433C92">
        <w:rPr>
          <w:b/>
          <w:bCs/>
        </w:rPr>
        <w:t xml:space="preserve"> против лиц, занимающихся экономической эксплуатацией детей, и предоставление полного возмещения пострадавшим детям;</w:t>
      </w:r>
    </w:p>
    <w:p w14:paraId="0E34C22D" w14:textId="2EAE43C5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укрепить службы трудовой инспекции в целях эффективного мониторинга условий домашнего труда, а также для приема, расследования и рассмотрения жалоб на предполагаемые нарушения в этой области;</w:t>
      </w:r>
    </w:p>
    <w:p w14:paraId="1909FF88" w14:textId="7C648689" w:rsidR="000341F9" w:rsidRPr="00433C92" w:rsidRDefault="00597018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d)</w:t>
      </w:r>
      <w:r w:rsidR="000341F9" w:rsidRPr="00433C92">
        <w:rPr>
          <w:b/>
          <w:bCs/>
        </w:rPr>
        <w:tab/>
        <w:t xml:space="preserve">обеспечить, чтобы у домашних работников-мигрантов имелись в наличии </w:t>
      </w:r>
      <w:r>
        <w:rPr>
          <w:b/>
          <w:bCs/>
        </w:rPr>
        <w:t>—</w:t>
      </w:r>
      <w:r w:rsidR="000341F9" w:rsidRPr="00433C92">
        <w:rPr>
          <w:b/>
          <w:bCs/>
        </w:rPr>
        <w:t xml:space="preserve"> в свободно заключенных, справедливых и полностью согласованных контрактах </w:t>
      </w:r>
      <w:r>
        <w:rPr>
          <w:b/>
          <w:bCs/>
        </w:rPr>
        <w:t>—</w:t>
      </w:r>
      <w:r w:rsidR="000341F9" w:rsidRPr="00433C92">
        <w:rPr>
          <w:b/>
          <w:bCs/>
        </w:rPr>
        <w:t xml:space="preserve"> четко сформулированные письменные условия найма, определяющие их конкретные обязанности, часы работы, вознаграждение, дни отдыха и другие условия труда, наряду с информацией о доступе к механизмам подачи жалоб и другим ресурсам, доступным мигрантам в соответствии с Конвенцией.</w:t>
      </w:r>
    </w:p>
    <w:p w14:paraId="2F9CCD50" w14:textId="77777777" w:rsidR="000341F9" w:rsidRPr="00433C92" w:rsidRDefault="000341F9" w:rsidP="00597018">
      <w:pPr>
        <w:pStyle w:val="H23G"/>
      </w:pPr>
      <w:r w:rsidRPr="00433C92">
        <w:tab/>
      </w:r>
      <w:r w:rsidRPr="00433C92">
        <w:tab/>
        <w:t>Социальное обеспечение</w:t>
      </w:r>
    </w:p>
    <w:p w14:paraId="2D7D45CA" w14:textId="49AA8135" w:rsidR="000341F9" w:rsidRPr="00597018" w:rsidRDefault="000341F9" w:rsidP="000341F9">
      <w:pPr>
        <w:pStyle w:val="SingleTxtG"/>
      </w:pPr>
      <w:r w:rsidRPr="00597018">
        <w:t>31.</w:t>
      </w:r>
      <w:r w:rsidR="00597018">
        <w:tab/>
      </w:r>
      <w:r w:rsidRPr="00597018">
        <w:t>Комитет отмечает, что государство-участник обеспечивает наличие системы социального обеспечения с помощью Закона о регулировании труда в Руанде (2018), который обязывает работодателей регистрировать работника в органе социального обеспечения и вносить за него взносы, независимо от того, является ли он гражданином страны или трудящимся-мигрантом. Он также принимает к сведению факт принятия общей конвенции по социальному обеспечению с Бурунди и Демократической Республикой Конго, сфера применения которой, однако, не распространяется на семейные пособия и пособия по материнству и то, что в настоящее время ведутся дискуссии о принятии соглашения по социальному обеспечению для Восточноафриканского сообщества.</w:t>
      </w:r>
    </w:p>
    <w:p w14:paraId="39EB140D" w14:textId="7F638C4F" w:rsidR="000341F9" w:rsidRPr="00433C92" w:rsidRDefault="000341F9" w:rsidP="000341F9">
      <w:pPr>
        <w:pStyle w:val="SingleTxtG"/>
        <w:rPr>
          <w:b/>
          <w:bCs/>
        </w:rPr>
      </w:pPr>
      <w:r w:rsidRPr="00597018">
        <w:t>32.</w:t>
      </w:r>
      <w:r w:rsidRPr="00433C92">
        <w:rPr>
          <w:b/>
          <w:bCs/>
        </w:rPr>
        <w:tab/>
        <w:t>Комитет повторяет в адрес государства-участника свою предыдущую рекомендацию о том, чтобы оно обеспечило заключение двусторонних или многосторонних соглашений о социальном обеспечении, с тем чтобы гарантировать социальную защиту трудящихся-мигрантов, включая семейные пособия и пособия по материнству, а также переводимость пособий по социальному страхованию.</w:t>
      </w:r>
    </w:p>
    <w:p w14:paraId="0A6CFD02" w14:textId="77777777" w:rsidR="000341F9" w:rsidRPr="00433C92" w:rsidRDefault="000341F9" w:rsidP="00597018">
      <w:pPr>
        <w:pStyle w:val="H23G"/>
      </w:pPr>
      <w:r w:rsidRPr="00433C92">
        <w:tab/>
      </w:r>
      <w:r w:rsidRPr="00433C92">
        <w:tab/>
        <w:t>Перевод заработанных денежных средств, сбережений и имущества</w:t>
      </w:r>
    </w:p>
    <w:p w14:paraId="1232F7BE" w14:textId="290AB095" w:rsidR="000341F9" w:rsidRPr="00433C92" w:rsidRDefault="000341F9" w:rsidP="000341F9">
      <w:pPr>
        <w:pStyle w:val="SingleTxtG"/>
      </w:pPr>
      <w:r w:rsidRPr="00597018">
        <w:t>33.</w:t>
      </w:r>
      <w:r w:rsidRPr="00597018">
        <w:tab/>
      </w:r>
      <w:r w:rsidRPr="00433C92">
        <w:t>Комитет отмечает, что Закон № 05/2015, регулирующий организацию пенсионных схем, охватывает всех работников, деятельность которых регламентируется Законом о регулировании труда в Руанде, независимо от их гражданства. Принимая далее к сведению, что государство-участник ратифицировало Конвенцию МОТ о сохранении за мигрантами пенсионных прав 1935 года (№ 48) и что с Бурунди и Демократической Республикой Конго были подписаны взаимные соглашения о возможности перевода пенсионных пособий, Комитет с обеспокоенностью отмечает, что в Законе, регулирующем организацию пенсионных схем, говорится, что пенсионные пособия выплачиваются только в Руанде и не подлежат переводу за границу, если бенефициар больше не проживает в стране.</w:t>
      </w:r>
    </w:p>
    <w:p w14:paraId="4856E879" w14:textId="1A24FD9A" w:rsidR="000341F9" w:rsidRPr="00433C92" w:rsidRDefault="000341F9" w:rsidP="000341F9">
      <w:pPr>
        <w:pStyle w:val="SingleTxtG"/>
        <w:rPr>
          <w:b/>
          <w:bCs/>
        </w:rPr>
      </w:pPr>
      <w:r w:rsidRPr="00597018">
        <w:lastRenderedPageBreak/>
        <w:t>34.</w:t>
      </w:r>
      <w:r w:rsidRPr="00433C92">
        <w:rPr>
          <w:b/>
          <w:bCs/>
        </w:rPr>
        <w:tab/>
        <w:t>Комитет рекомендует государству-участнику обеспечить, чтобы мигранты, вносившие взносы в систему социального обеспечения, могли вывозить свои пенсионные средства, независимо от страны вывоза, и облегчить перевод заработков, сбережений и имущества трудящихся-мигрантов.</w:t>
      </w:r>
    </w:p>
    <w:p w14:paraId="4921497E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Медицинское обслуживание</w:t>
      </w:r>
    </w:p>
    <w:p w14:paraId="1D0D30F4" w14:textId="75A54FFE" w:rsidR="000341F9" w:rsidRPr="00433C92" w:rsidRDefault="000341F9" w:rsidP="000341F9">
      <w:pPr>
        <w:pStyle w:val="SingleTxtG"/>
      </w:pPr>
      <w:r w:rsidRPr="00C15A1E">
        <w:t>35.</w:t>
      </w:r>
      <w:r w:rsidRPr="00C15A1E">
        <w:tab/>
      </w:r>
      <w:r w:rsidRPr="00433C92">
        <w:t>Комитет отмечает, что Закон № 48/2015, регулирующий организацию и функционирование систем медицинского страхования и управление ими, который был принят 23 ноября 2015 года и который предусматривает, что к любому работодателю, будь то государственн</w:t>
      </w:r>
      <w:r>
        <w:t>ый</w:t>
      </w:r>
      <w:r w:rsidRPr="00433C92">
        <w:t xml:space="preserve"> или частн</w:t>
      </w:r>
      <w:r>
        <w:t>ый</w:t>
      </w:r>
      <w:r w:rsidRPr="00433C92">
        <w:t xml:space="preserve">, должно предъявляться требование об участии в уплате взносов на медицинское страхование для своих работников. Однако он обеспокоен отсутствием информации о конкретных программах по обеспечению гарантий доступа к неотложному медицинскому обслуживанию </w:t>
      </w:r>
      <w:r>
        <w:t xml:space="preserve">для </w:t>
      </w:r>
      <w:r w:rsidRPr="00433C92">
        <w:t>трудящихся-мигрантов и членов их семей с неурегулированным статусом на территории государства-участника.</w:t>
      </w:r>
    </w:p>
    <w:p w14:paraId="1E1BD3BD" w14:textId="68C01861" w:rsidR="000341F9" w:rsidRPr="00433C92" w:rsidRDefault="000341F9" w:rsidP="000341F9">
      <w:pPr>
        <w:pStyle w:val="SingleTxtG"/>
        <w:rPr>
          <w:b/>
          <w:bCs/>
        </w:rPr>
      </w:pPr>
      <w:r w:rsidRPr="00C15A1E">
        <w:t>36.</w:t>
      </w:r>
      <w:r w:rsidR="00C15A1E">
        <w:tab/>
      </w:r>
      <w:r w:rsidRPr="00433C92">
        <w:rPr>
          <w:b/>
          <w:bCs/>
        </w:rPr>
        <w:t>Комитет рекомендует государству-участнику принять необходимые меры для обеспечения того, чтобы все трудящиеся-мигранты и члены их семей, независимо от их миграционного статуса, могли по закону и на практике пользоваться доступом к неотложной медицинской помощи и базовым услугам здравоохранения на основе принципа равного обращения наравне с гражданами государства-участника.</w:t>
      </w:r>
    </w:p>
    <w:p w14:paraId="2C96BDFF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Регистрация рождений и гражданство</w:t>
      </w:r>
    </w:p>
    <w:p w14:paraId="2E03AC4A" w14:textId="2C743AC6" w:rsidR="000341F9" w:rsidRPr="00433C92" w:rsidRDefault="000341F9" w:rsidP="000341F9">
      <w:pPr>
        <w:pStyle w:val="SingleTxtG"/>
        <w:rPr>
          <w:b/>
          <w:bCs/>
        </w:rPr>
      </w:pPr>
      <w:r w:rsidRPr="00C15A1E">
        <w:t>37.</w:t>
      </w:r>
      <w:r w:rsidRPr="00433C92">
        <w:rPr>
          <w:b/>
          <w:bCs/>
        </w:rPr>
        <w:tab/>
      </w:r>
      <w:r w:rsidRPr="00433C92">
        <w:t xml:space="preserve">Комитет с удовлетворением отмечает, что дети, родившиеся в государстве-участнике, регистрируются независимо от статуса их родителей и впоследствии получают свидетельства о рождении и что Национальное агентство по идентификации в настоящее время создает базу данных для регистрации всех руандийцев, родившихся и зарегистрированных за рубежом. Комитет, однако, сожалеет об отсутствии конкретной информации о мерах, принятых для обеспечения прав на руандийское гражданство детей трудящихся-мигрантов, родившихся за рубежом, а также </w:t>
      </w:r>
      <w:r>
        <w:t xml:space="preserve">сведений </w:t>
      </w:r>
      <w:r w:rsidRPr="00433C92">
        <w:t xml:space="preserve">о </w:t>
      </w:r>
      <w:r>
        <w:t xml:space="preserve">мерах по </w:t>
      </w:r>
      <w:r w:rsidRPr="00433C92">
        <w:t>предотвращени</w:t>
      </w:r>
      <w:r>
        <w:t>ю</w:t>
      </w:r>
      <w:r w:rsidRPr="00433C92">
        <w:t xml:space="preserve"> безгражданства. Комитет далее отмечает отсутствие четкой процедуры определения безгражданства трудящихся-мигрантов, как это рекомендовано Конвенцией о статусе апатридов.</w:t>
      </w:r>
    </w:p>
    <w:p w14:paraId="5DF565C1" w14:textId="77777777" w:rsidR="000341F9" w:rsidRPr="00D13940" w:rsidRDefault="000341F9" w:rsidP="000341F9">
      <w:pPr>
        <w:pStyle w:val="SingleTxtG"/>
        <w:rPr>
          <w:b/>
          <w:bCs/>
        </w:rPr>
      </w:pPr>
      <w:r w:rsidRPr="00C15A1E">
        <w:t>38.</w:t>
      </w:r>
      <w:r w:rsidRPr="00D13940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государству-участнику:</w:t>
      </w:r>
    </w:p>
    <w:p w14:paraId="2A4D72E8" w14:textId="43408B54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обеспечить, чтобы все дети руандийских трудящихся-мигрантов, рождающиеся за рубежом, регистрировались при рождении и получали документы, удостоверяющие их личность, в консульских службах и чтобы регистрация рождений осуществлялась</w:t>
      </w:r>
      <w:r w:rsidR="000341F9">
        <w:rPr>
          <w:b/>
          <w:bCs/>
        </w:rPr>
        <w:t xml:space="preserve"> в</w:t>
      </w:r>
      <w:r w:rsidR="000341F9" w:rsidRPr="00433C92">
        <w:rPr>
          <w:b/>
          <w:bCs/>
        </w:rPr>
        <w:t xml:space="preserve"> льготн</w:t>
      </w:r>
      <w:r w:rsidR="000341F9">
        <w:rPr>
          <w:b/>
          <w:bCs/>
        </w:rPr>
        <w:t>ом</w:t>
      </w:r>
      <w:r w:rsidR="000341F9" w:rsidRPr="00433C92">
        <w:rPr>
          <w:b/>
          <w:bCs/>
        </w:rPr>
        <w:t xml:space="preserve"> </w:t>
      </w:r>
      <w:r w:rsidR="000341F9">
        <w:rPr>
          <w:b/>
          <w:bCs/>
        </w:rPr>
        <w:t>порядке</w:t>
      </w:r>
      <w:r w:rsidR="000341F9" w:rsidRPr="00433C92">
        <w:rPr>
          <w:b/>
          <w:bCs/>
        </w:rPr>
        <w:t>, бесплатно, повсеместно и при любых обстоятельствах, как это предусмотрено задачей 16.9 Целей в области устойчивого развития;</w:t>
      </w:r>
    </w:p>
    <w:p w14:paraId="783E074B" w14:textId="1E2DE8C4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повысить уровень информированности трудящихся-мигрантов и членов их семей, особенно с неурегулированным статусом, о важности регистрации рождений;</w:t>
      </w:r>
    </w:p>
    <w:p w14:paraId="7EAAC05A" w14:textId="62476A1D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установить четкие процедуры определения безгражданства и облегчить доступ к гражданству, учитывая важнейшую роль гражданства в обращении со всеми людьми, особенно с трудящимися-мигрантами.</w:t>
      </w:r>
    </w:p>
    <w:p w14:paraId="77A2437D" w14:textId="77777777" w:rsidR="000341F9" w:rsidRPr="00433C92" w:rsidRDefault="000341F9" w:rsidP="00C15A1E">
      <w:pPr>
        <w:pStyle w:val="H23G"/>
      </w:pPr>
      <w:r w:rsidRPr="00433C92">
        <w:tab/>
      </w:r>
      <w:r w:rsidRPr="00433C92">
        <w:tab/>
        <w:t>Право быть информированным и распространение информации</w:t>
      </w:r>
    </w:p>
    <w:p w14:paraId="270409EC" w14:textId="77777777" w:rsidR="000341F9" w:rsidRPr="00C15A1E" w:rsidRDefault="000341F9" w:rsidP="000341F9">
      <w:pPr>
        <w:pStyle w:val="SingleTxtG"/>
      </w:pPr>
      <w:r w:rsidRPr="00C15A1E">
        <w:t>39.</w:t>
      </w:r>
      <w:r w:rsidRPr="00C15A1E">
        <w:tab/>
        <w:t>Комитет отмечает наличие единого информационного центра для мигрантов, функционирующего под эгидой Генерального директората по вопросам иммиграции и эмиграции. Вместе с тем Комитет обеспокоен отсутствием мер по активному распространению среди трудящихся-мигрантов, устраивающихся на работу в государстве-участнике, информации об их правах по Конвенции, доступе к правосудию и имеющихся механизмах подачи жалоб.</w:t>
      </w:r>
    </w:p>
    <w:p w14:paraId="60FD71C8" w14:textId="77777777" w:rsidR="000341F9" w:rsidRPr="00D13940" w:rsidRDefault="000341F9" w:rsidP="00C15A1E">
      <w:pPr>
        <w:pStyle w:val="SingleTxtG"/>
        <w:keepNext/>
        <w:keepLines/>
        <w:rPr>
          <w:b/>
          <w:bCs/>
        </w:rPr>
      </w:pPr>
      <w:r w:rsidRPr="00C15A1E">
        <w:lastRenderedPageBreak/>
        <w:t>40.</w:t>
      </w:r>
      <w:r w:rsidRPr="00D13940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государству-участнику:</w:t>
      </w:r>
    </w:p>
    <w:p w14:paraId="7602F7B2" w14:textId="5296468F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принять меры по активному распространению среди трудящихся-мигрантов, устраивающихся на работу в государстве-участнике, информации об их правах по Конвенции, доступе к правосудию и имеющихся механизмах подачи жалоб;</w:t>
      </w:r>
    </w:p>
    <w:p w14:paraId="6AE55309" w14:textId="6A1DB6D6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разработать целевые информационно-просветительские программы, в том числе в консультации с соответствующими неправительственными организациями, трудящимися-мигрантами и их семьями, а также признанными и надежными агентствами по трудоустройству.</w:t>
      </w:r>
    </w:p>
    <w:p w14:paraId="7AAF6558" w14:textId="10FC163F" w:rsidR="000341F9" w:rsidRPr="00433C92" w:rsidRDefault="000341F9" w:rsidP="000341F9">
      <w:pPr>
        <w:pStyle w:val="SingleTxtG"/>
      </w:pPr>
      <w:r w:rsidRPr="00433C92">
        <w:t>41.</w:t>
      </w:r>
      <w:r w:rsidR="00C15A1E">
        <w:tab/>
      </w:r>
      <w:r w:rsidRPr="00433C92">
        <w:t>Комитет обеспокоен тем, что трудящиеся женщины-мигранты и жены или партнеры трудящихся-мигрантов недостаточно информированы о различных способах получения помощи и защиты, а также об имеющихся механизмах подачи жалоб, особенно в случаях насилия.</w:t>
      </w:r>
    </w:p>
    <w:p w14:paraId="35CFE285" w14:textId="1A71FB63" w:rsidR="000341F9" w:rsidRPr="00433C92" w:rsidRDefault="000341F9" w:rsidP="000341F9">
      <w:pPr>
        <w:pStyle w:val="SingleTxtG"/>
        <w:rPr>
          <w:b/>
          <w:bCs/>
        </w:rPr>
      </w:pPr>
      <w:r w:rsidRPr="00C15A1E">
        <w:t>42.</w:t>
      </w:r>
      <w:r w:rsidR="00C15A1E">
        <w:tab/>
      </w:r>
      <w:r w:rsidRPr="00433C92">
        <w:rPr>
          <w:b/>
          <w:bCs/>
        </w:rPr>
        <w:t>В соответствии с рекомендациями по учету прав человека женщин Глобального договора о безопасной, упорядоченной и легальной миграции Комитет рекомендует государству-участнику:</w:t>
      </w:r>
    </w:p>
    <w:p w14:paraId="0331E468" w14:textId="21C5C5C8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обеспечить наличие, доступность и простоту понимания информации о правах женщин в состоянии миграции и охват в ней права на свободу передвижения, экономических, социальных и культурных прав, гражданских и политических прав, трудовых прав и свободы от причинения вреда, а также сведений об имеющихся средствах правовой защиты, доступе к правосудию и механизмах подачи жалоб в случае нарушений. Информация должна давать четкое представление о рисках и реальных условиях функционирования регулярных и нерегулярных каналов миграции;</w:t>
      </w:r>
    </w:p>
    <w:p w14:paraId="2C142653" w14:textId="03365C12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обеспечить, чтобы женщинам-мигрантам и женам или партнерам трудящихся-мигрантов предоставлялась контактная информация консульств, служб уголовного правосудия и организаций женщин-мигрантов и чтобы они знали о своем праве обращаться в эти службы за помощью и защитой, не</w:t>
      </w:r>
      <w:r w:rsidR="00502D2F">
        <w:rPr>
          <w:b/>
          <w:bCs/>
        </w:rPr>
        <w:t> </w:t>
      </w:r>
      <w:r w:rsidR="000341F9" w:rsidRPr="00433C92">
        <w:rPr>
          <w:b/>
          <w:bCs/>
        </w:rPr>
        <w:t xml:space="preserve">становясь </w:t>
      </w:r>
      <w:r w:rsidR="000341F9">
        <w:rPr>
          <w:b/>
          <w:bCs/>
        </w:rPr>
        <w:t xml:space="preserve">при этом </w:t>
      </w:r>
      <w:r w:rsidR="000341F9" w:rsidRPr="00433C92">
        <w:rPr>
          <w:b/>
          <w:bCs/>
        </w:rPr>
        <w:t>объектом порицаний или</w:t>
      </w:r>
      <w:r w:rsidR="000341F9">
        <w:rPr>
          <w:b/>
          <w:bCs/>
        </w:rPr>
        <w:t xml:space="preserve"> мишенью для</w:t>
      </w:r>
      <w:r w:rsidR="000341F9" w:rsidRPr="00433C92">
        <w:rPr>
          <w:b/>
          <w:bCs/>
        </w:rPr>
        <w:t xml:space="preserve"> высылки;</w:t>
      </w:r>
    </w:p>
    <w:p w14:paraId="1C0F0F01" w14:textId="51826B22" w:rsidR="000341F9" w:rsidRPr="00433C92" w:rsidRDefault="00C15A1E" w:rsidP="000341F9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обеспечить предоставление индивидуальных документов, удостоверяющих личность, всем женщинам и девочкам-мигрантам, а также женам или партнерам трудящихся-мигрантов с конкретной целью обеспечить доступ к услугам, необходимым для защиты и обеспечения гарантий их прав.</w:t>
      </w:r>
    </w:p>
    <w:p w14:paraId="08BF6379" w14:textId="77777777" w:rsidR="000341F9" w:rsidRPr="00433C92" w:rsidRDefault="000341F9" w:rsidP="00C15A1E">
      <w:pPr>
        <w:pStyle w:val="H23G"/>
      </w:pPr>
      <w:r w:rsidRPr="00433C92">
        <w:tab/>
      </w:r>
      <w:r w:rsidRPr="00433C92">
        <w:tab/>
        <w:t>Пограничный контроль и транзитные мигранты</w:t>
      </w:r>
    </w:p>
    <w:p w14:paraId="3157BEB9" w14:textId="112076C7" w:rsidR="000341F9" w:rsidRPr="00433C92" w:rsidRDefault="000341F9" w:rsidP="000341F9">
      <w:pPr>
        <w:pStyle w:val="SingleTxtG"/>
        <w:rPr>
          <w:b/>
          <w:bCs/>
        </w:rPr>
      </w:pPr>
      <w:r w:rsidRPr="00433C92">
        <w:t>43.</w:t>
      </w:r>
      <w:r w:rsidR="00C15A1E">
        <w:tab/>
      </w:r>
      <w:r w:rsidRPr="00433C92">
        <w:t>Комитет с озабоченностью отмечает, что в лагерях для транзитных лиц в 2021</w:t>
      </w:r>
      <w:r w:rsidR="00C15A1E">
        <w:t> </w:t>
      </w:r>
      <w:r w:rsidRPr="00433C92">
        <w:t>году был ограничен доступ с продовольствием.</w:t>
      </w:r>
      <w:r w:rsidRPr="00433C92">
        <w:rPr>
          <w:color w:val="333333"/>
          <w:shd w:val="clear" w:color="auto" w:fill="E9F7FE"/>
        </w:rPr>
        <w:t xml:space="preserve"> </w:t>
      </w:r>
    </w:p>
    <w:p w14:paraId="0E3C87AB" w14:textId="6A9BA879" w:rsidR="000341F9" w:rsidRPr="00433C92" w:rsidRDefault="000341F9" w:rsidP="000341F9">
      <w:pPr>
        <w:pStyle w:val="SingleTxtG"/>
        <w:rPr>
          <w:b/>
          <w:bCs/>
        </w:rPr>
      </w:pPr>
      <w:r w:rsidRPr="00C15A1E">
        <w:t>44.</w:t>
      </w:r>
      <w:r w:rsidR="00C15A1E">
        <w:rPr>
          <w:b/>
          <w:bCs/>
        </w:rPr>
        <w:tab/>
      </w:r>
      <w:r w:rsidRPr="00433C92">
        <w:rPr>
          <w:b/>
          <w:bCs/>
        </w:rPr>
        <w:t>Комитет рекомендует государству-участнику обеспечить соблюдение прав человека транзитных мигрантов, в том числе</w:t>
      </w:r>
      <w:r>
        <w:rPr>
          <w:b/>
          <w:bCs/>
        </w:rPr>
        <w:t xml:space="preserve"> прав</w:t>
      </w:r>
      <w:r w:rsidRPr="00433C92">
        <w:rPr>
          <w:b/>
          <w:bCs/>
        </w:rPr>
        <w:t xml:space="preserve"> на доступ к надлежащим базовым услугам, таким как услуги питания, медицинского обслуживания и гигиены.</w:t>
      </w:r>
    </w:p>
    <w:p w14:paraId="432D5109" w14:textId="62C4F3F2" w:rsidR="000341F9" w:rsidRPr="00433C92" w:rsidRDefault="00C15A1E" w:rsidP="00C15A1E">
      <w:pPr>
        <w:pStyle w:val="H23G"/>
      </w:pPr>
      <w:r>
        <w:tab/>
      </w:r>
      <w:r w:rsidR="000341F9" w:rsidRPr="00433C92">
        <w:t>4.</w:t>
      </w:r>
      <w:r w:rsidR="000341F9" w:rsidRPr="00433C92">
        <w:tab/>
      </w:r>
      <w:r w:rsidR="000341F9" w:rsidRPr="00433C92">
        <w:tab/>
        <w:t>Другие права трудящихся-мигрантов и членов их семей, имеющих документы или урегулированный статус (ст</w:t>
      </w:r>
      <w:r>
        <w:t>.</w:t>
      </w:r>
      <w:r w:rsidR="000341F9" w:rsidRPr="00433C92">
        <w:t xml:space="preserve"> 36–56)</w:t>
      </w:r>
    </w:p>
    <w:p w14:paraId="3C8A9CAA" w14:textId="77777777" w:rsidR="000341F9" w:rsidRPr="00433C92" w:rsidRDefault="000341F9" w:rsidP="000341F9">
      <w:pPr>
        <w:pStyle w:val="H23G"/>
        <w:rPr>
          <w:bCs/>
        </w:rPr>
      </w:pPr>
      <w:r w:rsidRPr="00433C92">
        <w:rPr>
          <w:bCs/>
        </w:rPr>
        <w:tab/>
      </w:r>
      <w:r w:rsidRPr="00433C92">
        <w:rPr>
          <w:bCs/>
        </w:rPr>
        <w:tab/>
        <w:t>Право на создание профсоюзов</w:t>
      </w:r>
    </w:p>
    <w:p w14:paraId="671DE7E3" w14:textId="356762B2" w:rsidR="000341F9" w:rsidRPr="00433C92" w:rsidRDefault="000341F9" w:rsidP="00187058">
      <w:pPr>
        <w:pStyle w:val="SingleTxtG"/>
        <w:rPr>
          <w:b/>
          <w:bCs/>
        </w:rPr>
      </w:pPr>
      <w:r w:rsidRPr="00433C92">
        <w:t>45.</w:t>
      </w:r>
      <w:r w:rsidR="00C15A1E">
        <w:tab/>
      </w:r>
      <w:r w:rsidRPr="00433C92">
        <w:t xml:space="preserve">Комитет отмечает, что трудящиеся-мигранты имеют право на создание профсоюзов в соответствии со статьей 83 Закона </w:t>
      </w:r>
      <w:r w:rsidR="00C15A1E">
        <w:t xml:space="preserve">№ </w:t>
      </w:r>
      <w:r w:rsidRPr="00433C92">
        <w:t>66/2018, регулирующего трудовые отношения. Вместе с тем он выражает сожаление в связи с отсутствием информации о том, как на практике</w:t>
      </w:r>
      <w:r>
        <w:t xml:space="preserve"> пользуются</w:t>
      </w:r>
      <w:r w:rsidRPr="00433C92">
        <w:t xml:space="preserve"> эт</w:t>
      </w:r>
      <w:r>
        <w:t>им</w:t>
      </w:r>
      <w:r w:rsidRPr="00433C92">
        <w:t xml:space="preserve"> право</w:t>
      </w:r>
      <w:r>
        <w:t>м</w:t>
      </w:r>
      <w:r w:rsidRPr="00433C92">
        <w:t xml:space="preserve"> иностранны</w:t>
      </w:r>
      <w:r>
        <w:t>е</w:t>
      </w:r>
      <w:r w:rsidRPr="00433C92">
        <w:t xml:space="preserve"> трудящи</w:t>
      </w:r>
      <w:r>
        <w:t>е</w:t>
      </w:r>
      <w:r w:rsidRPr="00433C92">
        <w:t>ся-мигрант</w:t>
      </w:r>
      <w:r>
        <w:t>ы</w:t>
      </w:r>
      <w:r w:rsidRPr="00433C92">
        <w:t xml:space="preserve"> и член</w:t>
      </w:r>
      <w:r>
        <w:t>ы</w:t>
      </w:r>
      <w:r w:rsidRPr="00433C92">
        <w:t xml:space="preserve"> их семей в государстве-участнике </w:t>
      </w:r>
      <w:r>
        <w:t>для продвижения</w:t>
      </w:r>
      <w:r w:rsidRPr="00433C92">
        <w:t xml:space="preserve"> и защиты </w:t>
      </w:r>
      <w:r>
        <w:t xml:space="preserve">других своих </w:t>
      </w:r>
      <w:r w:rsidRPr="00433C92">
        <w:t>прав и их экономических, социальных, культурных и иных интересов.</w:t>
      </w:r>
      <w:r w:rsidRPr="00433C92">
        <w:rPr>
          <w:color w:val="333333"/>
          <w:shd w:val="clear" w:color="auto" w:fill="E9F7FE"/>
        </w:rPr>
        <w:t xml:space="preserve"> </w:t>
      </w:r>
    </w:p>
    <w:p w14:paraId="0155D2D3" w14:textId="33EEBD2B" w:rsidR="000341F9" w:rsidRPr="00433C92" w:rsidRDefault="000341F9" w:rsidP="00187058">
      <w:pPr>
        <w:pStyle w:val="SingleTxtG"/>
        <w:rPr>
          <w:b/>
          <w:bCs/>
        </w:rPr>
      </w:pPr>
      <w:r w:rsidRPr="00C15A1E">
        <w:t>46.</w:t>
      </w:r>
      <w:r w:rsidR="00C15A1E">
        <w:rPr>
          <w:b/>
          <w:bCs/>
        </w:rPr>
        <w:tab/>
      </w:r>
      <w:r w:rsidRPr="00433C92">
        <w:rPr>
          <w:b/>
          <w:bCs/>
        </w:rPr>
        <w:t xml:space="preserve">Комитет рекомендует государству-участнику принять эффективные меры для обеспечения возможности </w:t>
      </w:r>
      <w:r>
        <w:rPr>
          <w:b/>
          <w:bCs/>
        </w:rPr>
        <w:t xml:space="preserve">полноценного </w:t>
      </w:r>
      <w:r w:rsidRPr="00433C92">
        <w:rPr>
          <w:b/>
          <w:bCs/>
        </w:rPr>
        <w:t>осуществления трудящимися-</w:t>
      </w:r>
      <w:r w:rsidRPr="00433C92">
        <w:rPr>
          <w:b/>
          <w:bCs/>
        </w:rPr>
        <w:lastRenderedPageBreak/>
        <w:t>мигрантами и членами их семей своего права на создание ассоциаций и профсоюзов и</w:t>
      </w:r>
      <w:r>
        <w:rPr>
          <w:b/>
          <w:bCs/>
        </w:rPr>
        <w:t xml:space="preserve"> на</w:t>
      </w:r>
      <w:r w:rsidRPr="00433C92">
        <w:rPr>
          <w:b/>
          <w:bCs/>
        </w:rPr>
        <w:t xml:space="preserve"> участие в них </w:t>
      </w:r>
      <w:r>
        <w:rPr>
          <w:b/>
          <w:bCs/>
        </w:rPr>
        <w:t>для продвижения</w:t>
      </w:r>
      <w:r w:rsidRPr="00433C92">
        <w:rPr>
          <w:b/>
          <w:bCs/>
        </w:rPr>
        <w:t xml:space="preserve"> и защиты </w:t>
      </w:r>
      <w:r>
        <w:rPr>
          <w:b/>
          <w:bCs/>
        </w:rPr>
        <w:t>других своих</w:t>
      </w:r>
      <w:r w:rsidRPr="00433C92">
        <w:rPr>
          <w:b/>
          <w:bCs/>
        </w:rPr>
        <w:t xml:space="preserve"> прав и их экономических, социальных, культурных и иных интересов в соответствии со статьей 40 Конвенции и Конвенцией МОТ о свободе ассоциации и защите права на организацию 1948 года (№ 87).</w:t>
      </w:r>
    </w:p>
    <w:p w14:paraId="54859695" w14:textId="77777777" w:rsidR="000341F9" w:rsidRPr="00433C92" w:rsidRDefault="000341F9" w:rsidP="00C15A1E">
      <w:pPr>
        <w:pStyle w:val="H23G"/>
      </w:pPr>
      <w:bookmarkStart w:id="0" w:name="_Toc520197806"/>
      <w:r w:rsidRPr="00433C92">
        <w:tab/>
      </w:r>
      <w:r w:rsidRPr="00433C92">
        <w:tab/>
        <w:t>Равное обращение в условиях безработицы</w:t>
      </w:r>
    </w:p>
    <w:p w14:paraId="23EEB93C" w14:textId="57390BCD" w:rsidR="000341F9" w:rsidRPr="00433C92" w:rsidRDefault="000341F9" w:rsidP="00187058">
      <w:pPr>
        <w:pStyle w:val="SingleTxtG"/>
        <w:rPr>
          <w:b/>
          <w:bCs/>
        </w:rPr>
      </w:pPr>
      <w:r w:rsidRPr="00433C92">
        <w:t>47.</w:t>
      </w:r>
      <w:r w:rsidR="00C15A1E">
        <w:tab/>
      </w:r>
      <w:r w:rsidRPr="00433C92">
        <w:t xml:space="preserve">Комитет отмечает, что Закон </w:t>
      </w:r>
      <w:r w:rsidR="00C15A1E">
        <w:t>№</w:t>
      </w:r>
      <w:r w:rsidRPr="00433C92">
        <w:t xml:space="preserve"> 66/2018, регулирующий трудовые отношения, защищает трудящихся-мигрантов от незаконного прекращения трудовых отношений и обеспечивает им доступ к программам общественных работ, проводимых в целях борьбы с безработицей, наравне с гражданами страны. Однако он сожалеет об отсутствии конкретной информации о доступе трудящихся-мигрантов к пособиям по безработице и к альтернативной работе по найму в случае потери работы или прекращения другого вознаграждаемого вида деятельности.</w:t>
      </w:r>
      <w:bookmarkEnd w:id="0"/>
      <w:r w:rsidRPr="00433C92">
        <w:rPr>
          <w:color w:val="333333"/>
          <w:shd w:val="clear" w:color="auto" w:fill="E9F7FE"/>
        </w:rPr>
        <w:t xml:space="preserve">  </w:t>
      </w:r>
    </w:p>
    <w:p w14:paraId="1844EF57" w14:textId="432D7172" w:rsidR="000341F9" w:rsidRPr="00433C92" w:rsidRDefault="000341F9" w:rsidP="00187058">
      <w:pPr>
        <w:pStyle w:val="SingleTxtG"/>
        <w:rPr>
          <w:b/>
          <w:bCs/>
        </w:rPr>
      </w:pPr>
      <w:r w:rsidRPr="00C15A1E">
        <w:t>48.</w:t>
      </w:r>
      <w:r w:rsidR="00C15A1E">
        <w:tab/>
      </w:r>
      <w:r w:rsidRPr="00433C92">
        <w:rPr>
          <w:b/>
          <w:bCs/>
        </w:rPr>
        <w:t>Комитет рекомендует государству-участнику представить в своем следующем периодическом докладе конкретную информацию о доступе трудящихся-мигрантов к пособиям по безработице и к альтернативной занятости.</w:t>
      </w:r>
    </w:p>
    <w:p w14:paraId="279EAD74" w14:textId="6D96C384" w:rsidR="000341F9" w:rsidRPr="00433C92" w:rsidRDefault="000341F9" w:rsidP="00C15A1E">
      <w:pPr>
        <w:pStyle w:val="H23G"/>
      </w:pPr>
      <w:r w:rsidRPr="00433C92">
        <w:tab/>
        <w:t>5.</w:t>
      </w:r>
      <w:r w:rsidRPr="00433C92">
        <w:tab/>
        <w:t xml:space="preserve">Содействие созданию нормальных, справедливых, гуманных и законных условий в </w:t>
      </w:r>
      <w:r>
        <w:t>связи с</w:t>
      </w:r>
      <w:r w:rsidRPr="00433C92">
        <w:t xml:space="preserve"> международной миграци</w:t>
      </w:r>
      <w:r>
        <w:t>ей</w:t>
      </w:r>
      <w:r w:rsidRPr="00433C92">
        <w:t xml:space="preserve"> трудящихся и членов их семей (ст</w:t>
      </w:r>
      <w:r w:rsidR="00C62FAC">
        <w:t>. </w:t>
      </w:r>
      <w:r w:rsidRPr="00433C92">
        <w:t>64–71)</w:t>
      </w:r>
    </w:p>
    <w:p w14:paraId="46305381" w14:textId="77777777" w:rsidR="000341F9" w:rsidRPr="00433C92" w:rsidRDefault="000341F9" w:rsidP="00C62FAC">
      <w:pPr>
        <w:pStyle w:val="H23G"/>
      </w:pPr>
      <w:r w:rsidRPr="00433C92">
        <w:tab/>
      </w:r>
      <w:r w:rsidRPr="00433C92">
        <w:tab/>
        <w:t>Консульская помощь</w:t>
      </w:r>
    </w:p>
    <w:p w14:paraId="4700437F" w14:textId="26781BF1" w:rsidR="000341F9" w:rsidRPr="00433C92" w:rsidRDefault="000341F9" w:rsidP="00187058">
      <w:pPr>
        <w:pStyle w:val="SingleTxtG"/>
      </w:pPr>
      <w:r w:rsidRPr="00433C92">
        <w:t>49.</w:t>
      </w:r>
      <w:r w:rsidR="00C62FAC">
        <w:tab/>
      </w:r>
      <w:r w:rsidRPr="00433C92">
        <w:t>Комитет отмечает, что руандийцы, проживающие за рубежом, получают помощь в рамках Общей программы содействия диаспоре и что в Министерстве иностранных дел и международного сотрудничества есть подразделение, которое ежедневно обслуживает членов руандийской общины за рубежом. Вместе с тем он сожалеет об отсутствии информации об учебно-просветительских программах, посвященных положениям Конвенции.</w:t>
      </w:r>
    </w:p>
    <w:p w14:paraId="702A2B7C" w14:textId="44CBE783" w:rsidR="000341F9" w:rsidRPr="00433C92" w:rsidRDefault="000341F9" w:rsidP="00187058">
      <w:pPr>
        <w:pStyle w:val="SingleTxtG"/>
        <w:rPr>
          <w:b/>
          <w:bCs/>
        </w:rPr>
      </w:pPr>
      <w:r w:rsidRPr="00C62FAC">
        <w:t>50.</w:t>
      </w:r>
      <w:r w:rsidR="00C62FAC">
        <w:tab/>
      </w:r>
      <w:r w:rsidRPr="00433C92">
        <w:rPr>
          <w:b/>
          <w:bCs/>
        </w:rPr>
        <w:t>Комитет рекомендует государству-участнику продолжать расширять возможности своих консульств и посольств по предоставлению консультаций, помощи и защиты руандийским трудящимся-мигрантам и их семьям, проживающим за рубежом, а также разработать программы обучения и подготовки по положениям Конвенции специально для руандийских трудящихся-мигрантов, намеревающихся эмигрировать.</w:t>
      </w:r>
    </w:p>
    <w:p w14:paraId="1CD337C6" w14:textId="77777777" w:rsidR="000341F9" w:rsidRPr="00433C92" w:rsidRDefault="000341F9" w:rsidP="00C62FAC">
      <w:pPr>
        <w:pStyle w:val="H23G"/>
      </w:pPr>
      <w:r w:rsidRPr="00433C92">
        <w:tab/>
      </w:r>
      <w:r w:rsidRPr="00433C92">
        <w:tab/>
        <w:t>Возвращение и реинтеграция</w:t>
      </w:r>
    </w:p>
    <w:p w14:paraId="6E0F66FE" w14:textId="2C375982" w:rsidR="000341F9" w:rsidRPr="00433C92" w:rsidRDefault="000341F9" w:rsidP="00187058">
      <w:pPr>
        <w:pStyle w:val="SingleTxtG"/>
      </w:pPr>
      <w:r w:rsidRPr="00433C92">
        <w:t>51.</w:t>
      </w:r>
      <w:r w:rsidR="00C62FAC">
        <w:tab/>
      </w:r>
      <w:r w:rsidRPr="00433C92">
        <w:t>Комитет обеспокоен отсутствием законодательных или нормативных положений для регулирования порядка возвращения из-за пределов страны граждан Руанды, которые не отвечают критериям, изложенным в статье 4 Закона № 57/2018 об иммиграции и эмиграции в Руанде и статье 7 министерского приказа № 06/01, касающегося иммиграции и эмиграции, а именно требованию о наличии у них действительного проездного документа или другого доказательства руандийского гражданства.</w:t>
      </w:r>
    </w:p>
    <w:p w14:paraId="5FEF03BA" w14:textId="3C73CCE9" w:rsidR="000341F9" w:rsidRPr="00433C92" w:rsidRDefault="000341F9" w:rsidP="00187058">
      <w:pPr>
        <w:pStyle w:val="SingleTxtG"/>
        <w:rPr>
          <w:b/>
          <w:bCs/>
        </w:rPr>
      </w:pPr>
      <w:r w:rsidRPr="00C62FAC">
        <w:t>52.</w:t>
      </w:r>
      <w:r w:rsidRPr="00433C92">
        <w:rPr>
          <w:b/>
          <w:bCs/>
        </w:rPr>
        <w:tab/>
        <w:t>Комитет вновь рекомендует государству-участнику регулировать и облегчать возвращение в государство-участник руандийских трудящихся-мигрантов, которые не отвечают критериям, изложенным в статье 4 Закона №</w:t>
      </w:r>
      <w:r w:rsidR="00C62FAC">
        <w:rPr>
          <w:b/>
          <w:bCs/>
        </w:rPr>
        <w:t> </w:t>
      </w:r>
      <w:r w:rsidRPr="00433C92">
        <w:rPr>
          <w:b/>
          <w:bCs/>
        </w:rPr>
        <w:t>57/2018, а именно требованию о наличии у них действительного проездного документа или другого доказательства руандийского гражданства, и продолжать разрабатывать меры по облегчению добровольного возвращения руандийцев, проживающих за рубежом, и членов их семей, а также их долгосрочной экономической, социальной и культурной реинтеграции в государстве-участнике.</w:t>
      </w:r>
    </w:p>
    <w:p w14:paraId="6F6ECE4F" w14:textId="77777777" w:rsidR="000341F9" w:rsidRPr="00433C92" w:rsidRDefault="000341F9" w:rsidP="00C62FAC">
      <w:pPr>
        <w:pStyle w:val="H23G"/>
      </w:pPr>
      <w:r w:rsidRPr="00433C92">
        <w:lastRenderedPageBreak/>
        <w:tab/>
      </w:r>
      <w:r w:rsidRPr="00433C92">
        <w:tab/>
        <w:t>Торговля людьми</w:t>
      </w:r>
    </w:p>
    <w:p w14:paraId="08EDA171" w14:textId="5A181AAD" w:rsidR="000341F9" w:rsidRPr="00433C92" w:rsidRDefault="000341F9" w:rsidP="00187058">
      <w:pPr>
        <w:pStyle w:val="SingleTxtG"/>
      </w:pPr>
      <w:r w:rsidRPr="00433C92">
        <w:t>53.</w:t>
      </w:r>
      <w:r w:rsidR="00C62FAC">
        <w:tab/>
      </w:r>
      <w:r w:rsidRPr="00433C92">
        <w:t>Комитет приветствует принятие Закона № 51/2018, в котором предусматривается защита жертв торговли людьми и оказание им помощи; торговля людьми признается уголовным преступлением; и подробно характеризуются тюремные сроки и штрафы для нарушителей закона. Он также отмечает усилия государства-участника по борьбе с торговлей людьми, выразившиеся в увеличении доли обвинительных приговоров виновным с 12,5</w:t>
      </w:r>
      <w:r w:rsidR="00C62FAC">
        <w:t xml:space="preserve"> процента</w:t>
      </w:r>
      <w:r w:rsidRPr="00433C92">
        <w:t xml:space="preserve"> в 2016 году до 53,3</w:t>
      </w:r>
      <w:r w:rsidR="00C62FAC">
        <w:t> процента</w:t>
      </w:r>
      <w:r w:rsidRPr="00433C92">
        <w:t xml:space="preserve"> в 2018 году. Вместе с тем Комитет обеспокоен:</w:t>
      </w:r>
    </w:p>
    <w:p w14:paraId="1F571F87" w14:textId="69C4493E" w:rsidR="000341F9" w:rsidRPr="00433C92" w:rsidRDefault="00C62FAC" w:rsidP="00187058">
      <w:pPr>
        <w:pStyle w:val="SingleTxtG"/>
      </w:pPr>
      <w:r>
        <w:tab/>
      </w:r>
      <w:r w:rsidR="000341F9" w:rsidRPr="00433C92">
        <w:t>a)</w:t>
      </w:r>
      <w:r w:rsidR="000341F9" w:rsidRPr="00433C92">
        <w:tab/>
        <w:t xml:space="preserve">ограниченными знаниями о торговле людьми, в том числе среди местных лидеров, учителей, молодежи, членов приграничного сообщества, беженцев, партнеров по </w:t>
      </w:r>
      <w:r w:rsidR="000341F9">
        <w:t>имплементационной работе</w:t>
      </w:r>
      <w:r w:rsidR="000341F9" w:rsidRPr="00433C92">
        <w:t xml:space="preserve"> в лагерях беженцев и членов сообщества в целом;</w:t>
      </w:r>
    </w:p>
    <w:p w14:paraId="6C614FB6" w14:textId="2A3ACD08" w:rsidR="000341F9" w:rsidRPr="00433C92" w:rsidRDefault="00C62FAC" w:rsidP="00187058">
      <w:pPr>
        <w:pStyle w:val="SingleTxtG"/>
      </w:pPr>
      <w:r>
        <w:tab/>
      </w:r>
      <w:r w:rsidR="000341F9" w:rsidRPr="00433C92">
        <w:t>b)</w:t>
      </w:r>
      <w:r w:rsidR="000341F9" w:rsidRPr="00433C92">
        <w:tab/>
      </w:r>
      <w:r w:rsidR="000341F9">
        <w:t xml:space="preserve">наличием </w:t>
      </w:r>
      <w:r w:rsidR="000341F9" w:rsidRPr="00433C92">
        <w:t>сложност</w:t>
      </w:r>
      <w:r w:rsidR="000341F9">
        <w:t>ей со</w:t>
      </w:r>
      <w:r w:rsidR="000341F9" w:rsidRPr="00433C92">
        <w:t xml:space="preserve"> сбор</w:t>
      </w:r>
      <w:r w:rsidR="000341F9">
        <w:t>ом</w:t>
      </w:r>
      <w:r w:rsidR="000341F9" w:rsidRPr="00433C92">
        <w:t xml:space="preserve"> доказательств как одной из основных причин низкой доли осужденных за преступление торговли людьми по сравнению с другими преступлениями;</w:t>
      </w:r>
    </w:p>
    <w:p w14:paraId="6C3BF8DE" w14:textId="2CD868E6" w:rsidR="000341F9" w:rsidRPr="00433C92" w:rsidRDefault="00C62FAC" w:rsidP="00187058">
      <w:pPr>
        <w:pStyle w:val="SingleTxtG"/>
      </w:pPr>
      <w:r>
        <w:tab/>
      </w:r>
      <w:r w:rsidR="000341F9" w:rsidRPr="00433C92">
        <w:t>c)</w:t>
      </w:r>
      <w:r w:rsidR="000341F9" w:rsidRPr="00433C92">
        <w:tab/>
        <w:t>отсутствием специально</w:t>
      </w:r>
      <w:r w:rsidR="000341F9">
        <w:t>й справочной системы ориентации</w:t>
      </w:r>
      <w:r w:rsidR="000341F9" w:rsidRPr="00433C92">
        <w:t xml:space="preserve"> пострадавших в связи с торговлей людьми;</w:t>
      </w:r>
    </w:p>
    <w:p w14:paraId="53C75150" w14:textId="053D13DA" w:rsidR="000341F9" w:rsidRPr="00433C92" w:rsidRDefault="00C62FAC" w:rsidP="00187058">
      <w:pPr>
        <w:pStyle w:val="SingleTxtG"/>
      </w:pPr>
      <w:r>
        <w:tab/>
      </w:r>
      <w:r w:rsidR="000341F9" w:rsidRPr="00433C92">
        <w:t>d)</w:t>
      </w:r>
      <w:r w:rsidR="000341F9" w:rsidRPr="00433C92">
        <w:tab/>
        <w:t>ограниченным участием гражданского общества и частного сектора в действующем механизме борьбы с торговлей людьми, например в технической рабочей группе по борьбе с торговлей людьми при Министерстве юстиции;</w:t>
      </w:r>
    </w:p>
    <w:p w14:paraId="7F3692BE" w14:textId="5776D443" w:rsidR="000341F9" w:rsidRPr="00433C92" w:rsidRDefault="00C62FAC" w:rsidP="00187058">
      <w:pPr>
        <w:pStyle w:val="SingleTxtG"/>
      </w:pPr>
      <w:r>
        <w:tab/>
      </w:r>
      <w:r w:rsidR="000341F9" w:rsidRPr="00433C92">
        <w:t>e)</w:t>
      </w:r>
      <w:r w:rsidR="000341F9" w:rsidRPr="00433C92">
        <w:tab/>
        <w:t>скудностью количественных данных, касающихся торговли людьми.</w:t>
      </w:r>
    </w:p>
    <w:p w14:paraId="6BA88685" w14:textId="77777777" w:rsidR="000341F9" w:rsidRPr="00433C92" w:rsidRDefault="000341F9" w:rsidP="00187058">
      <w:pPr>
        <w:pStyle w:val="SingleTxtG"/>
        <w:rPr>
          <w:b/>
          <w:bCs/>
        </w:rPr>
      </w:pPr>
      <w:r w:rsidRPr="00433C92">
        <w:rPr>
          <w:bCs/>
        </w:rPr>
        <w:t>54.</w:t>
      </w:r>
      <w:r w:rsidRPr="00433C92">
        <w:rPr>
          <w:bCs/>
        </w:rPr>
        <w:tab/>
      </w:r>
      <w:r w:rsidRPr="00433C92">
        <w:rPr>
          <w:b/>
          <w:bCs/>
        </w:rPr>
        <w:t>В соответствии с замечанием общего порядка № 2 (2013) и рекомендованными принципами и руководящими положениями по вопросу о правах человека и торговле людьми, подготовленными Управлением Верховного комиссара Организации Объединенных Наций по правам человека, Комитет рекомендует государству-участнику:</w:t>
      </w:r>
    </w:p>
    <w:p w14:paraId="3B3D9421" w14:textId="690F6BD9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разработать и осуществить в целях предотвращения торговли трудовыми мигрантами комплексные информационно-просветительские программы для местных лидеров, учителей средних школ, беженцев, партнеров по имплементационной работе в лагерях беженцев, приграничных сообществ и членов сообщества в целом;</w:t>
      </w:r>
    </w:p>
    <w:p w14:paraId="44687A8C" w14:textId="0FA94C6F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создать совместную группу в составе прокуроров и следователей Главного директората по вопросам иммиграции и эмиграции, Следственного бюро Руанды и Национальной государственной прокуратуры для проведения совместной работы в ходе расследований по делам о торговле людьми;</w:t>
      </w:r>
    </w:p>
    <w:p w14:paraId="77322E6A" w14:textId="6CE607AD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создать всеобъемлющий канал направления дел о торговле людьми с охватом лагерей беженцев и транзитных центров;</w:t>
      </w:r>
    </w:p>
    <w:p w14:paraId="5B2B8561" w14:textId="4FC17161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d)</w:t>
      </w:r>
      <w:r w:rsidR="000341F9" w:rsidRPr="00433C92">
        <w:rPr>
          <w:b/>
          <w:bCs/>
        </w:rPr>
        <w:tab/>
        <w:t>утвердить целостный подход к усилиям по противодействию борьбе с торговлей людьми, который также предусматривает вовлечение в них гражданского общества и частного сектора;</w:t>
      </w:r>
    </w:p>
    <w:p w14:paraId="2FA8B13B" w14:textId="4B27880E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e)</w:t>
      </w:r>
      <w:r w:rsidR="000341F9" w:rsidRPr="00433C92">
        <w:rPr>
          <w:b/>
          <w:bCs/>
        </w:rPr>
        <w:tab/>
        <w:t>создать управление для координации усилий по борьбе с преступлениями торговли людьми на всей территории государства-участника и разработать информационную систему управления данными о торговле людьми.</w:t>
      </w:r>
    </w:p>
    <w:p w14:paraId="75A3F9D9" w14:textId="77777777" w:rsidR="000341F9" w:rsidRPr="00433C92" w:rsidRDefault="000341F9" w:rsidP="00C62FAC">
      <w:pPr>
        <w:pStyle w:val="H23G"/>
      </w:pPr>
      <w:r w:rsidRPr="00433C92">
        <w:tab/>
      </w:r>
      <w:r w:rsidRPr="00433C92">
        <w:tab/>
      </w:r>
      <w:r w:rsidRPr="00433C92">
        <w:tab/>
        <w:t>Меры по решению проблем трудящихся-мигрантов с неурегулированным статусом</w:t>
      </w:r>
    </w:p>
    <w:p w14:paraId="2EB4FCBC" w14:textId="77777777" w:rsidR="000341F9" w:rsidRPr="00433C92" w:rsidRDefault="000341F9" w:rsidP="00187058">
      <w:pPr>
        <w:pStyle w:val="SingleTxtG"/>
      </w:pPr>
      <w:r w:rsidRPr="00433C92">
        <w:t>55.</w:t>
      </w:r>
      <w:r w:rsidRPr="00433C92">
        <w:tab/>
        <w:t>Комитет обеспокоен отсутствием информации о механизмах урегулирования статуса и данных о мигрантах с неурегулированным статусом, включая тех, кто про</w:t>
      </w:r>
      <w:r>
        <w:t>ходил</w:t>
      </w:r>
      <w:r w:rsidRPr="00433C92">
        <w:t xml:space="preserve"> через такие механизмы. Он также обеспокоен установлением уголовной ответственности за помощь мигрантам с неурегулированным статусом.</w:t>
      </w:r>
    </w:p>
    <w:p w14:paraId="7050785C" w14:textId="77777777" w:rsidR="000341F9" w:rsidRPr="00433C92" w:rsidRDefault="000341F9" w:rsidP="00C62FAC">
      <w:pPr>
        <w:pStyle w:val="SingleTxtG"/>
        <w:keepNext/>
        <w:keepLines/>
        <w:rPr>
          <w:b/>
          <w:bCs/>
        </w:rPr>
      </w:pPr>
      <w:r w:rsidRPr="00187058">
        <w:lastRenderedPageBreak/>
        <w:t>56</w:t>
      </w:r>
      <w:r w:rsidRPr="00433C92">
        <w:rPr>
          <w:bCs/>
        </w:rPr>
        <w:t>.</w:t>
      </w:r>
      <w:r w:rsidRPr="00433C92">
        <w:rPr>
          <w:bCs/>
        </w:rPr>
        <w:tab/>
      </w:r>
      <w:r w:rsidRPr="00433C92">
        <w:rPr>
          <w:b/>
          <w:bCs/>
        </w:rPr>
        <w:t>Комитет рекомендует государству-участнику предоставить:</w:t>
      </w:r>
    </w:p>
    <w:p w14:paraId="5A2646E0" w14:textId="28990995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a)</w:t>
      </w:r>
      <w:r w:rsidR="000341F9" w:rsidRPr="00433C92">
        <w:rPr>
          <w:b/>
          <w:bCs/>
        </w:rPr>
        <w:tab/>
        <w:t>информацию о процедурах урегулирования положения трудящихся-мигрантов с неурегулированным статусом;</w:t>
      </w:r>
    </w:p>
    <w:p w14:paraId="0979D71F" w14:textId="12116BA1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b)</w:t>
      </w:r>
      <w:r w:rsidR="000341F9" w:rsidRPr="00433C92">
        <w:rPr>
          <w:b/>
          <w:bCs/>
        </w:rPr>
        <w:tab/>
        <w:t>данные о мигрантах с неурегулированным статусом, в том числе тех, кто про</w:t>
      </w:r>
      <w:r w:rsidR="000341F9">
        <w:rPr>
          <w:b/>
          <w:bCs/>
        </w:rPr>
        <w:t>ходил</w:t>
      </w:r>
      <w:r w:rsidR="000341F9" w:rsidRPr="00433C92">
        <w:rPr>
          <w:b/>
          <w:bCs/>
        </w:rPr>
        <w:t xml:space="preserve"> через механизмы урегулирования статуса;</w:t>
      </w:r>
    </w:p>
    <w:p w14:paraId="223E6847" w14:textId="415AB271" w:rsidR="000341F9" w:rsidRPr="00433C92" w:rsidRDefault="00C62FAC" w:rsidP="00187058">
      <w:pPr>
        <w:pStyle w:val="SingleTxtG"/>
        <w:rPr>
          <w:b/>
          <w:bCs/>
        </w:rPr>
      </w:pPr>
      <w:r>
        <w:rPr>
          <w:b/>
          <w:bCs/>
        </w:rPr>
        <w:tab/>
      </w:r>
      <w:r w:rsidR="000341F9" w:rsidRPr="00433C92">
        <w:rPr>
          <w:b/>
          <w:bCs/>
        </w:rPr>
        <w:t>c)</w:t>
      </w:r>
      <w:r w:rsidR="000341F9" w:rsidRPr="00433C92">
        <w:rPr>
          <w:b/>
          <w:bCs/>
        </w:rPr>
        <w:tab/>
        <w:t>данные об уголовных делах, возбужденных в отношении лиц, оказывавших помощь мигрантам с неурегулированным статусом.</w:t>
      </w:r>
    </w:p>
    <w:p w14:paraId="4F331F1E" w14:textId="77777777" w:rsidR="000341F9" w:rsidRPr="00433C92" w:rsidRDefault="000341F9" w:rsidP="00C62FAC">
      <w:pPr>
        <w:pStyle w:val="H23G"/>
      </w:pPr>
      <w:r w:rsidRPr="00433C92">
        <w:tab/>
        <w:t>6.</w:t>
      </w:r>
      <w:r w:rsidRPr="00433C92">
        <w:tab/>
        <w:t>Распространение информации и последующая деятельность</w:t>
      </w:r>
    </w:p>
    <w:p w14:paraId="773DABFE" w14:textId="77777777" w:rsidR="000341F9" w:rsidRPr="00433C92" w:rsidRDefault="000341F9" w:rsidP="00C62FAC">
      <w:pPr>
        <w:pStyle w:val="H23G"/>
      </w:pPr>
      <w:r w:rsidRPr="00433C92">
        <w:tab/>
      </w:r>
      <w:r w:rsidRPr="00433C92">
        <w:tab/>
        <w:t>Распространение информации</w:t>
      </w:r>
    </w:p>
    <w:p w14:paraId="13FC3745" w14:textId="77777777" w:rsidR="000341F9" w:rsidRPr="00433C92" w:rsidRDefault="000341F9" w:rsidP="00187058">
      <w:pPr>
        <w:pStyle w:val="SingleTxtG"/>
        <w:rPr>
          <w:b/>
          <w:bCs/>
        </w:rPr>
      </w:pPr>
      <w:r w:rsidRPr="00433C92">
        <w:rPr>
          <w:bCs/>
        </w:rPr>
        <w:t>57.</w:t>
      </w:r>
      <w:r w:rsidRPr="00433C92">
        <w:rPr>
          <w:bCs/>
        </w:rPr>
        <w:tab/>
      </w:r>
      <w:r w:rsidRPr="00433C92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среди соответствующих государственных учреждений, в том числе среди правительственных министерств, законодательных органов, судебных органов и соответствующих местных органов власти, а также неправительственных организаций и других членов гражданского общества.</w:t>
      </w:r>
    </w:p>
    <w:p w14:paraId="4DE11F9E" w14:textId="71878692" w:rsidR="000341F9" w:rsidRPr="00433C92" w:rsidRDefault="000341F9" w:rsidP="00187058">
      <w:pPr>
        <w:pStyle w:val="SingleTxtG"/>
        <w:rPr>
          <w:b/>
          <w:bCs/>
        </w:rPr>
      </w:pPr>
      <w:r w:rsidRPr="00433C92">
        <w:rPr>
          <w:bCs/>
        </w:rPr>
        <w:t>58.</w:t>
      </w:r>
      <w:r w:rsidRPr="00433C92">
        <w:rPr>
          <w:bCs/>
        </w:rPr>
        <w:tab/>
      </w:r>
      <w:r w:rsidRPr="00433C92">
        <w:rPr>
          <w:b/>
          <w:bCs/>
        </w:rPr>
        <w:t xml:space="preserve">Комитет рекомендует, чтобы подход к осуществлению Конвенции, в частности к действиям по выполнению настоящих заключительных замечаний, реализовывался совместно с организациями гражданского общества и чтобы предложения этих организаций по конкретным проблемам миграции в Руанде изучались с учетом глубокого понимания ими реальности повседневной жизни мигрантов. В этой связи Комитет рекомендует государству-участнику создать механизм для мониторинга и последующих действий в связи с выполнением рекомендаций договорных органов по правам человека, в частности рекомендаций Комитета, в координации с компетентными органами и гражданским обществом, а для регулярной оценки их осуществления </w:t>
      </w:r>
      <w:r w:rsidR="00C62FAC">
        <w:rPr>
          <w:b/>
          <w:bCs/>
        </w:rPr>
        <w:t>—</w:t>
      </w:r>
      <w:r w:rsidRPr="00433C92">
        <w:rPr>
          <w:b/>
          <w:bCs/>
        </w:rPr>
        <w:t xml:space="preserve"> при поддержке со стороны учреждений Организации Объединенных Наций и Национального института по правам человека.</w:t>
      </w:r>
    </w:p>
    <w:p w14:paraId="5086CA29" w14:textId="77777777" w:rsidR="000341F9" w:rsidRPr="00433C92" w:rsidRDefault="000341F9" w:rsidP="00C62FAC">
      <w:pPr>
        <w:pStyle w:val="H23G"/>
      </w:pPr>
      <w:r w:rsidRPr="00433C92">
        <w:tab/>
      </w:r>
      <w:r w:rsidRPr="00433C92">
        <w:tab/>
        <w:t>Последующие меры в связи с заключительными замечаниями</w:t>
      </w:r>
    </w:p>
    <w:p w14:paraId="5E0677F6" w14:textId="2F808C83" w:rsidR="000341F9" w:rsidRPr="00433C92" w:rsidRDefault="000341F9" w:rsidP="00187058">
      <w:pPr>
        <w:pStyle w:val="SingleTxtG"/>
        <w:rPr>
          <w:b/>
          <w:bCs/>
        </w:rPr>
      </w:pPr>
      <w:r w:rsidRPr="00433C92">
        <w:rPr>
          <w:bCs/>
        </w:rPr>
        <w:t>59.</w:t>
      </w:r>
      <w:r w:rsidRPr="00433C92">
        <w:rPr>
          <w:bCs/>
        </w:rPr>
        <w:tab/>
      </w:r>
      <w:r w:rsidRPr="00433C92">
        <w:rPr>
          <w:b/>
          <w:bCs/>
        </w:rPr>
        <w:t>Комитет просит государство-участник представить в течение двух лет (т</w:t>
      </w:r>
      <w:r w:rsidR="00C62FAC">
        <w:rPr>
          <w:b/>
          <w:bCs/>
        </w:rPr>
        <w:t>. </w:t>
      </w:r>
      <w:r w:rsidRPr="00433C92">
        <w:rPr>
          <w:b/>
          <w:bCs/>
        </w:rPr>
        <w:t>е</w:t>
      </w:r>
      <w:r w:rsidR="00C62FAC">
        <w:rPr>
          <w:b/>
          <w:bCs/>
        </w:rPr>
        <w:t>. </w:t>
      </w:r>
      <w:r w:rsidRPr="00433C92">
        <w:rPr>
          <w:b/>
          <w:bCs/>
        </w:rPr>
        <w:t>к 1 ноября 2023 года) письменную информацию о выполнении рекомендаций, содержащихся в пунктах 11 (информация о Конвенции), 13</w:t>
      </w:r>
      <w:r w:rsidR="00C62FAC">
        <w:rPr>
          <w:b/>
          <w:bCs/>
        </w:rPr>
        <w:t> </w:t>
      </w:r>
      <w:r w:rsidRPr="00433C92">
        <w:rPr>
          <w:b/>
          <w:bCs/>
        </w:rPr>
        <w:t>(гарантийный сбор), 28 b) (применение санкций за проявления солидарности) и 54 d) (целостный подход к борьбе с торговлей людьми).</w:t>
      </w:r>
    </w:p>
    <w:p w14:paraId="3934F5E1" w14:textId="77777777" w:rsidR="000341F9" w:rsidRPr="00D13940" w:rsidRDefault="000341F9" w:rsidP="00C62FAC">
      <w:pPr>
        <w:pStyle w:val="H23G"/>
      </w:pPr>
      <w:r w:rsidRPr="00433C92">
        <w:tab/>
      </w:r>
      <w:r w:rsidRPr="00433C92">
        <w:tab/>
        <w:t>Следующий периодический доклад</w:t>
      </w:r>
    </w:p>
    <w:p w14:paraId="5D9811FC" w14:textId="719B5BEC" w:rsidR="00381C24" w:rsidRDefault="000341F9" w:rsidP="000341F9">
      <w:pPr>
        <w:pStyle w:val="SingleTxtG"/>
      </w:pPr>
      <w:r w:rsidRPr="00433C92">
        <w:rPr>
          <w:bCs/>
        </w:rPr>
        <w:t>60.</w:t>
      </w:r>
      <w:r w:rsidRPr="00433C92">
        <w:rPr>
          <w:bCs/>
        </w:rPr>
        <w:tab/>
      </w:r>
      <w:r w:rsidRPr="00433C92">
        <w:rPr>
          <w:b/>
          <w:bCs/>
        </w:rPr>
        <w:t>Комитет просит государство-участник представить свой третий периодический доклад к 1 ноября 2026 года. Для этого государство-участник, возможно, пожелает использовать упрощенную процедуру представления докладов. Комитет обращает внимание государства-участника на свои согласованные руководящие принципы подготовки документов по конкретным договорам</w:t>
      </w:r>
      <w:r w:rsidRPr="000341F9">
        <w:rPr>
          <w:rStyle w:val="aa"/>
          <w:bCs/>
        </w:rPr>
        <w:footnoteReference w:id="7"/>
      </w:r>
      <w:r w:rsidRPr="00433C92">
        <w:rPr>
          <w:b/>
          <w:bCs/>
        </w:rPr>
        <w:t>.</w:t>
      </w:r>
    </w:p>
    <w:p w14:paraId="4D25406D" w14:textId="76DE5950" w:rsidR="000341F9" w:rsidRPr="000341F9" w:rsidRDefault="000341F9" w:rsidP="000341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41F9" w:rsidRPr="000341F9" w:rsidSect="000341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A6ED" w14:textId="77777777" w:rsidR="00993715" w:rsidRPr="00A312BC" w:rsidRDefault="00993715" w:rsidP="00A312BC"/>
  </w:endnote>
  <w:endnote w:type="continuationSeparator" w:id="0">
    <w:p w14:paraId="6566113E" w14:textId="77777777" w:rsidR="00993715" w:rsidRPr="00A312BC" w:rsidRDefault="009937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670" w14:textId="41E87980" w:rsidR="000341F9" w:rsidRPr="000341F9" w:rsidRDefault="000341F9">
    <w:pPr>
      <w:pStyle w:val="a8"/>
    </w:pPr>
    <w:r w:rsidRPr="000341F9">
      <w:rPr>
        <w:b/>
        <w:sz w:val="18"/>
      </w:rPr>
      <w:fldChar w:fldCharType="begin"/>
    </w:r>
    <w:r w:rsidRPr="000341F9">
      <w:rPr>
        <w:b/>
        <w:sz w:val="18"/>
      </w:rPr>
      <w:instrText xml:space="preserve"> PAGE  \* MERGEFORMAT </w:instrText>
    </w:r>
    <w:r w:rsidRPr="000341F9">
      <w:rPr>
        <w:b/>
        <w:sz w:val="18"/>
      </w:rPr>
      <w:fldChar w:fldCharType="separate"/>
    </w:r>
    <w:r w:rsidRPr="000341F9">
      <w:rPr>
        <w:b/>
        <w:noProof/>
        <w:sz w:val="18"/>
      </w:rPr>
      <w:t>2</w:t>
    </w:r>
    <w:r w:rsidRPr="000341F9">
      <w:rPr>
        <w:b/>
        <w:sz w:val="18"/>
      </w:rPr>
      <w:fldChar w:fldCharType="end"/>
    </w:r>
    <w:r>
      <w:rPr>
        <w:b/>
        <w:sz w:val="18"/>
      </w:rPr>
      <w:tab/>
    </w:r>
    <w:r>
      <w:t>GE.21-15261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01E0" w14:textId="1D933408" w:rsidR="000341F9" w:rsidRPr="000341F9" w:rsidRDefault="000341F9" w:rsidP="000341F9">
    <w:pPr>
      <w:pStyle w:val="a8"/>
      <w:tabs>
        <w:tab w:val="clear" w:pos="9639"/>
        <w:tab w:val="right" w:pos="9638"/>
      </w:tabs>
      <w:rPr>
        <w:b/>
        <w:sz w:val="18"/>
      </w:rPr>
    </w:pPr>
    <w:r>
      <w:t>GE.21-15261</w:t>
    </w:r>
    <w:r>
      <w:tab/>
    </w:r>
    <w:r w:rsidRPr="000341F9">
      <w:rPr>
        <w:b/>
        <w:sz w:val="18"/>
      </w:rPr>
      <w:fldChar w:fldCharType="begin"/>
    </w:r>
    <w:r w:rsidRPr="000341F9">
      <w:rPr>
        <w:b/>
        <w:sz w:val="18"/>
      </w:rPr>
      <w:instrText xml:space="preserve"> PAGE  \* MERGEFORMAT </w:instrText>
    </w:r>
    <w:r w:rsidRPr="000341F9">
      <w:rPr>
        <w:b/>
        <w:sz w:val="18"/>
      </w:rPr>
      <w:fldChar w:fldCharType="separate"/>
    </w:r>
    <w:r w:rsidRPr="000341F9">
      <w:rPr>
        <w:b/>
        <w:noProof/>
        <w:sz w:val="18"/>
      </w:rPr>
      <w:t>3</w:t>
    </w:r>
    <w:r w:rsidRPr="000341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4EB2" w14:textId="5D2DA4D3" w:rsidR="00042B72" w:rsidRPr="000341F9" w:rsidRDefault="000341F9" w:rsidP="000341F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E1E79D" wp14:editId="56BF63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21-15261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537B9B" wp14:editId="5DA1EE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5D3">
      <w:t xml:space="preserve">  081221  131221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DD31" w14:textId="77777777" w:rsidR="00993715" w:rsidRPr="001075E9" w:rsidRDefault="009937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D11EEF" w14:textId="77777777" w:rsidR="00993715" w:rsidRDefault="009937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3D1E21" w14:textId="16DC0716" w:rsidR="000341F9" w:rsidRPr="00433C92" w:rsidRDefault="000341F9" w:rsidP="000341F9">
      <w:pPr>
        <w:pStyle w:val="ad"/>
        <w:rPr>
          <w:szCs w:val="18"/>
        </w:rPr>
      </w:pPr>
      <w:r>
        <w:tab/>
      </w:r>
      <w:r w:rsidRPr="00187058">
        <w:rPr>
          <w:sz w:val="20"/>
        </w:rPr>
        <w:t>*</w:t>
      </w:r>
      <w:r w:rsidRPr="00433C92">
        <w:rPr>
          <w:szCs w:val="18"/>
        </w:rPr>
        <w:tab/>
        <w:t>Принят</w:t>
      </w:r>
      <w:r w:rsidR="005911E3">
        <w:rPr>
          <w:szCs w:val="18"/>
        </w:rPr>
        <w:t>ы</w:t>
      </w:r>
      <w:r w:rsidRPr="00433C92">
        <w:rPr>
          <w:szCs w:val="18"/>
        </w:rPr>
        <w:t xml:space="preserve"> Комитетом на его тридцать третьей сессии (27 сентября </w:t>
      </w:r>
      <w:r w:rsidR="00187058">
        <w:rPr>
          <w:szCs w:val="18"/>
        </w:rPr>
        <w:t>—</w:t>
      </w:r>
      <w:r w:rsidRPr="00433C92">
        <w:rPr>
          <w:szCs w:val="18"/>
        </w:rPr>
        <w:t xml:space="preserve"> 8 октября 2021 года).</w:t>
      </w:r>
    </w:p>
  </w:footnote>
  <w:footnote w:id="2">
    <w:p w14:paraId="10B9B893" w14:textId="77777777" w:rsidR="000341F9" w:rsidRPr="00433C92" w:rsidRDefault="000341F9" w:rsidP="000341F9">
      <w:pPr>
        <w:pStyle w:val="ad"/>
        <w:rPr>
          <w:szCs w:val="18"/>
          <w:lang w:val="de-DE"/>
        </w:rPr>
      </w:pPr>
      <w:r w:rsidRPr="00433C92">
        <w:rPr>
          <w:szCs w:val="18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>CMW/C/RWA/2.</w:t>
      </w:r>
    </w:p>
  </w:footnote>
  <w:footnote w:id="3">
    <w:p w14:paraId="3FEA980C" w14:textId="77777777" w:rsidR="000341F9" w:rsidRPr="00433C92" w:rsidRDefault="000341F9" w:rsidP="000341F9">
      <w:pPr>
        <w:pStyle w:val="ad"/>
        <w:rPr>
          <w:szCs w:val="18"/>
          <w:lang w:val="de-DE"/>
        </w:rPr>
      </w:pPr>
      <w:r w:rsidRPr="00433C92">
        <w:rPr>
          <w:szCs w:val="18"/>
          <w:lang w:val="de-DE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 xml:space="preserve">CMW/C/SR.454 </w:t>
      </w:r>
      <w:r w:rsidRPr="00433C92">
        <w:rPr>
          <w:szCs w:val="18"/>
        </w:rPr>
        <w:t>и</w:t>
      </w:r>
      <w:r w:rsidRPr="00433C92">
        <w:rPr>
          <w:szCs w:val="18"/>
          <w:lang w:val="de-DE"/>
        </w:rPr>
        <w:t xml:space="preserve"> CMW/C/SR.455.</w:t>
      </w:r>
    </w:p>
  </w:footnote>
  <w:footnote w:id="4">
    <w:p w14:paraId="25D7EA7D" w14:textId="77777777" w:rsidR="000341F9" w:rsidRPr="00433C92" w:rsidRDefault="000341F9" w:rsidP="000341F9">
      <w:pPr>
        <w:pStyle w:val="ad"/>
        <w:rPr>
          <w:szCs w:val="18"/>
          <w:lang w:val="de-DE"/>
        </w:rPr>
      </w:pPr>
      <w:r w:rsidRPr="00433C92">
        <w:rPr>
          <w:szCs w:val="18"/>
          <w:lang w:val="de-DE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>CMW/C/RWA/QPR/2.</w:t>
      </w:r>
    </w:p>
  </w:footnote>
  <w:footnote w:id="5">
    <w:p w14:paraId="674B86FD" w14:textId="591FAD5F" w:rsidR="000341F9" w:rsidRPr="00433C92" w:rsidRDefault="000341F9" w:rsidP="000341F9">
      <w:pPr>
        <w:pStyle w:val="ad"/>
        <w:rPr>
          <w:szCs w:val="18"/>
          <w:lang w:val="de-DE"/>
        </w:rPr>
      </w:pPr>
      <w:r w:rsidRPr="00433C92">
        <w:rPr>
          <w:szCs w:val="18"/>
          <w:lang w:val="de-DE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 xml:space="preserve">CMW/C/RWA/CO/1, </w:t>
      </w:r>
      <w:r w:rsidR="009577E6">
        <w:rPr>
          <w:szCs w:val="18"/>
        </w:rPr>
        <w:t>п</w:t>
      </w:r>
      <w:r w:rsidR="009577E6" w:rsidRPr="009577E6">
        <w:rPr>
          <w:szCs w:val="18"/>
          <w:lang w:val="en-US"/>
        </w:rPr>
        <w:t>.</w:t>
      </w:r>
      <w:r w:rsidRPr="00433C92">
        <w:rPr>
          <w:szCs w:val="18"/>
          <w:lang w:val="de-DE"/>
        </w:rPr>
        <w:t xml:space="preserve"> 8.</w:t>
      </w:r>
    </w:p>
  </w:footnote>
  <w:footnote w:id="6">
    <w:p w14:paraId="57867FFC" w14:textId="63AB86D8" w:rsidR="000341F9" w:rsidRPr="00433C92" w:rsidRDefault="000341F9" w:rsidP="000341F9">
      <w:pPr>
        <w:pStyle w:val="ad"/>
        <w:rPr>
          <w:szCs w:val="18"/>
          <w:lang w:val="de-DE"/>
        </w:rPr>
      </w:pPr>
      <w:r w:rsidRPr="00433C92">
        <w:rPr>
          <w:szCs w:val="18"/>
          <w:lang w:val="de-DE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 xml:space="preserve">CMW/C/RWA/2, </w:t>
      </w:r>
      <w:r w:rsidR="009577E6">
        <w:rPr>
          <w:szCs w:val="18"/>
        </w:rPr>
        <w:t>пп</w:t>
      </w:r>
      <w:r w:rsidR="009577E6" w:rsidRPr="00502D2F">
        <w:rPr>
          <w:szCs w:val="18"/>
          <w:lang w:val="en-US"/>
        </w:rPr>
        <w:t>.</w:t>
      </w:r>
      <w:r w:rsidRPr="00433C92">
        <w:rPr>
          <w:szCs w:val="18"/>
          <w:lang w:val="de-DE"/>
        </w:rPr>
        <w:t xml:space="preserve"> 6</w:t>
      </w:r>
      <w:r w:rsidR="009577E6" w:rsidRPr="00502D2F">
        <w:rPr>
          <w:szCs w:val="18"/>
          <w:lang w:val="en-US"/>
        </w:rPr>
        <w:t>–</w:t>
      </w:r>
      <w:r w:rsidRPr="00433C92">
        <w:rPr>
          <w:szCs w:val="18"/>
          <w:lang w:val="de-DE"/>
        </w:rPr>
        <w:t>11.</w:t>
      </w:r>
    </w:p>
  </w:footnote>
  <w:footnote w:id="7">
    <w:p w14:paraId="5DE8CBD9" w14:textId="77777777" w:rsidR="000341F9" w:rsidRPr="00433C92" w:rsidRDefault="000341F9" w:rsidP="000341F9">
      <w:pPr>
        <w:pStyle w:val="ad"/>
        <w:rPr>
          <w:szCs w:val="18"/>
          <w:lang w:val="de-DE"/>
          <w:specVanish/>
        </w:rPr>
      </w:pPr>
      <w:r w:rsidRPr="00433C92">
        <w:rPr>
          <w:szCs w:val="18"/>
          <w:lang w:val="de-DE"/>
        </w:rPr>
        <w:tab/>
      </w:r>
      <w:r w:rsidRPr="000341F9">
        <w:rPr>
          <w:rStyle w:val="aa"/>
          <w:szCs w:val="18"/>
        </w:rPr>
        <w:footnoteRef/>
      </w:r>
      <w:r w:rsidRPr="00433C92">
        <w:rPr>
          <w:szCs w:val="18"/>
          <w:lang w:val="de-DE"/>
        </w:rPr>
        <w:tab/>
        <w:t>HRI/GEN.2/Rev.6.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2534" w14:textId="2F8CC8C6" w:rsidR="000341F9" w:rsidRPr="000341F9" w:rsidRDefault="003447D1">
    <w:pPr>
      <w:pStyle w:val="a5"/>
    </w:pPr>
    <w:fldSimple w:instr=" TITLE  \* MERGEFORMAT ">
      <w:r w:rsidR="0009771A">
        <w:t>CMW/C/RWA/CO/2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F0CE" w14:textId="453E3F3D" w:rsidR="000341F9" w:rsidRPr="000341F9" w:rsidRDefault="003447D1" w:rsidP="000341F9">
    <w:pPr>
      <w:pStyle w:val="a5"/>
      <w:jc w:val="right"/>
    </w:pPr>
    <w:fldSimple w:instr=" TITLE  \* MERGEFORMAT ">
      <w:r w:rsidR="0009771A">
        <w:t>CMW/C/RWA/CO/2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15"/>
    <w:rsid w:val="00033EE1"/>
    <w:rsid w:val="000341F9"/>
    <w:rsid w:val="00042B72"/>
    <w:rsid w:val="000558BD"/>
    <w:rsid w:val="0009771A"/>
    <w:rsid w:val="000B57E7"/>
    <w:rsid w:val="000B6373"/>
    <w:rsid w:val="000F09DF"/>
    <w:rsid w:val="000F61B2"/>
    <w:rsid w:val="001075E9"/>
    <w:rsid w:val="00180183"/>
    <w:rsid w:val="0018024D"/>
    <w:rsid w:val="0018649F"/>
    <w:rsid w:val="00187058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81"/>
    <w:rsid w:val="00317339"/>
    <w:rsid w:val="00322004"/>
    <w:rsid w:val="003402C2"/>
    <w:rsid w:val="003414A1"/>
    <w:rsid w:val="003447D1"/>
    <w:rsid w:val="00381C24"/>
    <w:rsid w:val="003958D0"/>
    <w:rsid w:val="003B00E5"/>
    <w:rsid w:val="00407B78"/>
    <w:rsid w:val="004102E9"/>
    <w:rsid w:val="00424203"/>
    <w:rsid w:val="00452493"/>
    <w:rsid w:val="00453318"/>
    <w:rsid w:val="00454E07"/>
    <w:rsid w:val="00472C5C"/>
    <w:rsid w:val="004B3A26"/>
    <w:rsid w:val="0050108D"/>
    <w:rsid w:val="00502D2F"/>
    <w:rsid w:val="00513081"/>
    <w:rsid w:val="00517901"/>
    <w:rsid w:val="00525FA7"/>
    <w:rsid w:val="00526683"/>
    <w:rsid w:val="005709E0"/>
    <w:rsid w:val="00572E19"/>
    <w:rsid w:val="005911E3"/>
    <w:rsid w:val="005961C8"/>
    <w:rsid w:val="005966F1"/>
    <w:rsid w:val="00597018"/>
    <w:rsid w:val="005D7914"/>
    <w:rsid w:val="005E2B41"/>
    <w:rsid w:val="005F0B42"/>
    <w:rsid w:val="00636A7C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34ACB"/>
    <w:rsid w:val="00757357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3403D"/>
    <w:rsid w:val="00951972"/>
    <w:rsid w:val="00953A1C"/>
    <w:rsid w:val="009577E6"/>
    <w:rsid w:val="009608F3"/>
    <w:rsid w:val="0098262B"/>
    <w:rsid w:val="00993715"/>
    <w:rsid w:val="009A24AC"/>
    <w:rsid w:val="009A2587"/>
    <w:rsid w:val="009D78CB"/>
    <w:rsid w:val="00A14DA8"/>
    <w:rsid w:val="00A312BC"/>
    <w:rsid w:val="00A543C6"/>
    <w:rsid w:val="00A605D3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AA6"/>
    <w:rsid w:val="00C106D6"/>
    <w:rsid w:val="00C15A1E"/>
    <w:rsid w:val="00C60F0C"/>
    <w:rsid w:val="00C62FAC"/>
    <w:rsid w:val="00C805C9"/>
    <w:rsid w:val="00C92939"/>
    <w:rsid w:val="00CA1679"/>
    <w:rsid w:val="00CB151C"/>
    <w:rsid w:val="00CE5A1A"/>
    <w:rsid w:val="00CF55F6"/>
    <w:rsid w:val="00D33D63"/>
    <w:rsid w:val="00D40EFD"/>
    <w:rsid w:val="00D90028"/>
    <w:rsid w:val="00D90138"/>
    <w:rsid w:val="00DA7285"/>
    <w:rsid w:val="00DD78D1"/>
    <w:rsid w:val="00DE32CD"/>
    <w:rsid w:val="00DF71B9"/>
    <w:rsid w:val="00E73F76"/>
    <w:rsid w:val="00EA2C9F"/>
    <w:rsid w:val="00EA420E"/>
    <w:rsid w:val="00EA5E41"/>
    <w:rsid w:val="00ED0BDA"/>
    <w:rsid w:val="00EE7AC6"/>
    <w:rsid w:val="00EF1360"/>
    <w:rsid w:val="00EF3220"/>
    <w:rsid w:val="00F23DFD"/>
    <w:rsid w:val="00F43903"/>
    <w:rsid w:val="00F93FFB"/>
    <w:rsid w:val="00F94155"/>
    <w:rsid w:val="00F9783F"/>
    <w:rsid w:val="00FC26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EE054"/>
  <w15:docId w15:val="{A1B87C94-A82A-49C2-B9AF-7F5FA4B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C684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12</Pages>
  <Words>4596</Words>
  <Characters>31752</Characters>
  <Application>Microsoft Office Word</Application>
  <DocSecurity>0</DocSecurity>
  <Lines>586</Lines>
  <Paragraphs>153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CMW/C/RWA/CO/2</vt:lpstr>
      <vt:lpstr>A/</vt:lpstr>
      <vt:lpstr>A/</vt:lpstr>
      <vt:lpstr>A/</vt:lpstr>
    </vt:vector>
  </TitlesOfParts>
  <Company>DCM</Company>
  <LinksUpToDate>false</LinksUpToDate>
  <CharactersWithSpaces>36327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CMW/C/RWA/CO/2</dc:title>
  <dc:subject/>
  <dc:creator>Marina KOROTKOVA</dc:creator>
  <cp:keywords/>
  <cp:lastModifiedBy>Ioulia Goussarova</cp:lastModifiedBy>
  <cp:revision>3</cp:revision>
  <cp:lastPrinted>2021-12-13T10:23:00Z</cp:lastPrinted>
  <dcterms:created xsi:type="dcterms:W3CDTF">2021-12-13T10:23:00Z</dcterms:created>
  <dcterms:modified xsi:type="dcterms:W3CDTF">2021-12-13T10:23:00Z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