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28"/>
        <w:gridCol w:w="4352"/>
        <w:gridCol w:w="3191"/>
      </w:tblGrid>
      <w:tr w:rsidR="00C21549" w:rsidTr="00B03AE8">
        <w:tc>
          <w:tcPr>
            <w:tcW w:w="2028" w:type="dxa"/>
            <w:tcBorders>
              <w:bottom w:val="single" w:sz="2" w:space="0" w:color="auto"/>
            </w:tcBorders>
          </w:tcPr>
          <w:p w:rsidR="00C21549" w:rsidRPr="00B80537" w:rsidRDefault="00C21549" w:rsidP="00B03AE8">
            <w:pPr>
              <w:tabs>
                <w:tab w:val="left" w:pos="567"/>
                <w:tab w:val="left" w:pos="1134"/>
              </w:tabs>
              <w:jc w:val="both"/>
              <w:rPr>
                <w:rFonts w:ascii="Arial Black" w:hAnsi="Arial Black"/>
                <w:sz w:val="36"/>
                <w:szCs w:val="36"/>
              </w:rPr>
            </w:pPr>
            <w:r w:rsidRPr="00B80537">
              <w:rPr>
                <w:rFonts w:ascii="Arial Black" w:hAnsi="Arial Black"/>
                <w:sz w:val="36"/>
                <w:szCs w:val="36"/>
              </w:rPr>
              <w:t xml:space="preserve">United </w:t>
            </w:r>
          </w:p>
          <w:p w:rsidR="00C21549" w:rsidRDefault="00C21549" w:rsidP="00B03AE8">
            <w:pPr>
              <w:jc w:val="both"/>
            </w:pPr>
            <w:r w:rsidRPr="00B80537">
              <w:rPr>
                <w:rFonts w:ascii="Arial Black" w:hAnsi="Arial Black"/>
                <w:sz w:val="36"/>
                <w:szCs w:val="36"/>
              </w:rPr>
              <w:t>Nations</w:t>
            </w:r>
          </w:p>
        </w:tc>
        <w:tc>
          <w:tcPr>
            <w:tcW w:w="4352" w:type="dxa"/>
            <w:tcBorders>
              <w:bottom w:val="single" w:sz="2" w:space="0" w:color="auto"/>
            </w:tcBorders>
          </w:tcPr>
          <w:p w:rsidR="00C21549" w:rsidRDefault="00C21549" w:rsidP="00B03AE8">
            <w:pPr>
              <w:jc w:val="both"/>
            </w:pPr>
          </w:p>
        </w:tc>
        <w:tc>
          <w:tcPr>
            <w:tcW w:w="3191" w:type="dxa"/>
            <w:tcBorders>
              <w:bottom w:val="single" w:sz="2" w:space="0" w:color="auto"/>
            </w:tcBorders>
          </w:tcPr>
          <w:p w:rsidR="00C21549" w:rsidRDefault="00C21549" w:rsidP="00B03AE8">
            <w:pPr>
              <w:jc w:val="right"/>
            </w:pPr>
            <w:r w:rsidRPr="00B80537">
              <w:rPr>
                <w:rFonts w:ascii="Arial Black" w:hAnsi="Arial Black"/>
                <w:sz w:val="72"/>
                <w:szCs w:val="72"/>
              </w:rPr>
              <w:t>CCPR</w:t>
            </w:r>
          </w:p>
        </w:tc>
      </w:tr>
      <w:tr w:rsidR="00C21549" w:rsidTr="00B03AE8">
        <w:tc>
          <w:tcPr>
            <w:tcW w:w="2028" w:type="dxa"/>
            <w:tcBorders>
              <w:top w:val="single" w:sz="2" w:space="0" w:color="auto"/>
              <w:bottom w:val="single" w:sz="24" w:space="0" w:color="auto"/>
            </w:tcBorders>
          </w:tcPr>
          <w:p w:rsidR="00C21549" w:rsidRDefault="00C21549" w:rsidP="00B03AE8">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5pt;margin-top:20.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2889446" r:id="rId8"/>
              </w:pict>
            </w:r>
          </w:p>
          <w:p w:rsidR="00C21549" w:rsidRDefault="00C21549" w:rsidP="00B03AE8">
            <w:pPr>
              <w:jc w:val="both"/>
            </w:pPr>
          </w:p>
        </w:tc>
        <w:tc>
          <w:tcPr>
            <w:tcW w:w="4352" w:type="dxa"/>
            <w:tcBorders>
              <w:top w:val="single" w:sz="2" w:space="0" w:color="auto"/>
              <w:bottom w:val="single" w:sz="24" w:space="0" w:color="auto"/>
            </w:tcBorders>
          </w:tcPr>
          <w:p w:rsidR="00C21549" w:rsidRDefault="00C21549" w:rsidP="00B03AE8">
            <w:pPr>
              <w:tabs>
                <w:tab w:val="left" w:pos="567"/>
                <w:tab w:val="left" w:pos="1134"/>
              </w:tabs>
              <w:jc w:val="both"/>
              <w:rPr>
                <w:rFonts w:ascii="Arial" w:hAnsi="Arial" w:cs="Arial"/>
                <w:b/>
                <w:sz w:val="32"/>
                <w:szCs w:val="32"/>
              </w:rPr>
            </w:pPr>
          </w:p>
          <w:p w:rsidR="00C21549" w:rsidRPr="00B80537" w:rsidRDefault="00C21549" w:rsidP="00B03AE8">
            <w:pPr>
              <w:tabs>
                <w:tab w:val="left" w:pos="567"/>
                <w:tab w:val="left" w:pos="1134"/>
              </w:tabs>
              <w:jc w:val="both"/>
              <w:rPr>
                <w:rFonts w:ascii="Arial" w:hAnsi="Arial" w:cs="Arial"/>
                <w:b/>
                <w:sz w:val="32"/>
                <w:szCs w:val="32"/>
              </w:rPr>
            </w:pPr>
            <w:r w:rsidRPr="00B80537">
              <w:rPr>
                <w:rFonts w:ascii="Arial" w:hAnsi="Arial" w:cs="Arial"/>
                <w:b/>
                <w:sz w:val="32"/>
                <w:szCs w:val="32"/>
              </w:rPr>
              <w:t>International covenant</w:t>
            </w:r>
          </w:p>
          <w:p w:rsidR="00C21549" w:rsidRPr="00B80537" w:rsidRDefault="00C21549" w:rsidP="00B03AE8">
            <w:pPr>
              <w:tabs>
                <w:tab w:val="left" w:pos="567"/>
                <w:tab w:val="left" w:pos="1134"/>
              </w:tabs>
              <w:jc w:val="both"/>
              <w:rPr>
                <w:rFonts w:ascii="Arial" w:hAnsi="Arial" w:cs="Arial"/>
                <w:b/>
                <w:sz w:val="32"/>
                <w:szCs w:val="32"/>
              </w:rPr>
            </w:pPr>
            <w:r w:rsidRPr="00B80537">
              <w:rPr>
                <w:rFonts w:ascii="Arial" w:hAnsi="Arial" w:cs="Arial"/>
                <w:b/>
                <w:sz w:val="32"/>
                <w:szCs w:val="32"/>
              </w:rPr>
              <w:t xml:space="preserve">on civil and </w:t>
            </w:r>
          </w:p>
          <w:p w:rsidR="00C21549" w:rsidRDefault="00C21549" w:rsidP="00B03AE8">
            <w:pPr>
              <w:jc w:val="both"/>
            </w:pPr>
            <w:r w:rsidRPr="00B80537">
              <w:rPr>
                <w:rFonts w:ascii="Arial" w:hAnsi="Arial" w:cs="Arial"/>
                <w:b/>
                <w:sz w:val="32"/>
                <w:szCs w:val="32"/>
              </w:rPr>
              <w:t>political rights</w:t>
            </w:r>
          </w:p>
        </w:tc>
        <w:tc>
          <w:tcPr>
            <w:tcW w:w="3191" w:type="dxa"/>
            <w:tcBorders>
              <w:top w:val="single" w:sz="2" w:space="0" w:color="auto"/>
              <w:bottom w:val="single" w:sz="24" w:space="0" w:color="auto"/>
            </w:tcBorders>
          </w:tcPr>
          <w:p w:rsidR="00C21549" w:rsidRDefault="00C21549" w:rsidP="00B03AE8">
            <w:pPr>
              <w:jc w:val="both"/>
            </w:pPr>
          </w:p>
          <w:p w:rsidR="00C21549" w:rsidRPr="008A3575" w:rsidRDefault="00C21549" w:rsidP="00C21549">
            <w:pPr>
              <w:jc w:val="both"/>
            </w:pPr>
            <w:r w:rsidRPr="008A3575">
              <w:t>Distr.</w:t>
            </w:r>
          </w:p>
          <w:p w:rsidR="00C21549" w:rsidRPr="008A3575" w:rsidRDefault="00C21549" w:rsidP="00C21549">
            <w:pPr>
              <w:jc w:val="both"/>
            </w:pPr>
            <w:fldSimple w:instr=" FILLIN &quot;Distr.&quot; \* MERGEFORMAT ">
              <w:r w:rsidRPr="008A3575">
                <w:t>RESTRICTED</w:t>
              </w:r>
            </w:fldSimple>
            <w:r w:rsidRPr="008A3575">
              <w:rPr>
                <w:rStyle w:val="FootnoteReference"/>
              </w:rPr>
              <w:footnoteReference w:customMarkFollows="1" w:id="1"/>
              <w:t>*</w:t>
            </w:r>
          </w:p>
          <w:p w:rsidR="00C21549" w:rsidRPr="008A3575" w:rsidRDefault="00C21549" w:rsidP="00C21549">
            <w:pPr>
              <w:jc w:val="both"/>
            </w:pPr>
          </w:p>
          <w:p w:rsidR="00C21549" w:rsidRDefault="00C21549" w:rsidP="00C21549">
            <w:pPr>
              <w:jc w:val="both"/>
            </w:pPr>
            <w:r w:rsidRPr="008A3575">
              <w:t>CCPR/C</w:t>
            </w:r>
            <w:r>
              <w:t>/96/D/1614/2007</w:t>
            </w:r>
          </w:p>
          <w:p w:rsidR="00C21549" w:rsidRPr="008A3575" w:rsidRDefault="006870C5" w:rsidP="00C21549">
            <w:pPr>
              <w:jc w:val="both"/>
            </w:pPr>
            <w:r>
              <w:t>7 September</w:t>
            </w:r>
            <w:r w:rsidR="00C21549">
              <w:t xml:space="preserve"> 2009</w:t>
            </w:r>
          </w:p>
          <w:p w:rsidR="00C21549" w:rsidRPr="008A3575" w:rsidRDefault="00C21549" w:rsidP="00C21549">
            <w:pPr>
              <w:jc w:val="both"/>
            </w:pPr>
          </w:p>
          <w:p w:rsidR="00C21549" w:rsidRDefault="00C21549" w:rsidP="00C21549">
            <w:pPr>
              <w:jc w:val="both"/>
            </w:pPr>
            <w:r w:rsidRPr="008A3575">
              <w:t xml:space="preserve">Original: </w:t>
            </w:r>
            <w:fldSimple w:instr=" FILLIN &quot;Orig. Lang.&quot; \* MERGEFORMAT ">
              <w:r w:rsidRPr="008A3575">
                <w:t>ENGLISH</w:t>
              </w:r>
            </w:fldSimple>
          </w:p>
          <w:p w:rsidR="00C21549" w:rsidRDefault="00C21549" w:rsidP="00C21549">
            <w:pPr>
              <w:tabs>
                <w:tab w:val="left" w:pos="567"/>
                <w:tab w:val="left" w:pos="1134"/>
              </w:tabs>
            </w:pPr>
          </w:p>
        </w:tc>
      </w:tr>
    </w:tbl>
    <w:p w:rsidR="003E0F16" w:rsidRPr="008A3575" w:rsidRDefault="003E0F16" w:rsidP="00C21549">
      <w:pPr>
        <w:jc w:val="both"/>
        <w:rPr>
          <w:bCs/>
        </w:rPr>
      </w:pPr>
      <w:r w:rsidRPr="008A3575">
        <w:rPr>
          <w:bCs/>
        </w:rPr>
        <w:t>HUMAN RIGHTS COMMITTEE</w:t>
      </w:r>
    </w:p>
    <w:p w:rsidR="003E0F16" w:rsidRPr="008A3575" w:rsidRDefault="003E0F16" w:rsidP="00C21549">
      <w:pPr>
        <w:jc w:val="both"/>
        <w:rPr>
          <w:bCs/>
        </w:rPr>
      </w:pPr>
      <w:r w:rsidRPr="008A3575">
        <w:rPr>
          <w:bCs/>
        </w:rPr>
        <w:t>Ninety-</w:t>
      </w:r>
      <w:r w:rsidR="00D03842">
        <w:rPr>
          <w:bCs/>
        </w:rPr>
        <w:t>sixth</w:t>
      </w:r>
      <w:r w:rsidRPr="008A3575">
        <w:rPr>
          <w:bCs/>
        </w:rPr>
        <w:t xml:space="preserve"> session</w:t>
      </w:r>
    </w:p>
    <w:p w:rsidR="003E0F16" w:rsidRPr="008A3575" w:rsidRDefault="0066240F" w:rsidP="00C21549">
      <w:pPr>
        <w:spacing w:after="840"/>
        <w:jc w:val="both"/>
        <w:rPr>
          <w:bCs/>
        </w:rPr>
      </w:pPr>
      <w:r>
        <w:rPr>
          <w:bCs/>
        </w:rPr>
        <w:t xml:space="preserve">13 to 31 </w:t>
      </w:r>
      <w:r w:rsidR="00D03842">
        <w:rPr>
          <w:bCs/>
        </w:rPr>
        <w:t>July</w:t>
      </w:r>
      <w:r w:rsidR="003E0F16">
        <w:rPr>
          <w:bCs/>
        </w:rPr>
        <w:t xml:space="preserve"> </w:t>
      </w:r>
      <w:r w:rsidR="003E0F16" w:rsidRPr="008A3575">
        <w:rPr>
          <w:bCs/>
        </w:rPr>
        <w:t>200</w:t>
      </w:r>
      <w:r w:rsidR="00BE68C1">
        <w:rPr>
          <w:bCs/>
        </w:rPr>
        <w:t>9</w:t>
      </w:r>
    </w:p>
    <w:p w:rsidR="003E0F16" w:rsidRPr="008A3575" w:rsidRDefault="00C21549" w:rsidP="00C21549">
      <w:pPr>
        <w:pStyle w:val="Heading1"/>
        <w:tabs>
          <w:tab w:val="left" w:pos="567"/>
          <w:tab w:val="left" w:pos="1134"/>
        </w:tabs>
        <w:spacing w:before="0" w:after="840"/>
        <w:jc w:val="center"/>
        <w:rPr>
          <w:rFonts w:ascii="Times New Roman" w:hAnsi="Times New Roman" w:cs="Times New Roman"/>
          <w:iCs/>
          <w:sz w:val="24"/>
          <w:szCs w:val="24"/>
          <w:lang w:val="en-GB"/>
        </w:rPr>
      </w:pPr>
      <w:r>
        <w:rPr>
          <w:rFonts w:ascii="Times New Roman" w:hAnsi="Times New Roman" w:cs="Times New Roman"/>
          <w:iCs/>
          <w:sz w:val="24"/>
          <w:szCs w:val="24"/>
          <w:lang w:val="en-GB"/>
        </w:rPr>
        <w:t>DECISION</w:t>
      </w:r>
    </w:p>
    <w:p w:rsidR="002C7BF4" w:rsidRDefault="002C7BF4" w:rsidP="0066240F">
      <w:pPr>
        <w:spacing w:after="840"/>
        <w:jc w:val="center"/>
        <w:rPr>
          <w:b/>
          <w:bCs/>
        </w:rPr>
      </w:pPr>
      <w:r w:rsidRPr="008E31FD">
        <w:rPr>
          <w:b/>
          <w:bCs/>
        </w:rPr>
        <w:t xml:space="preserve">Communication No. </w:t>
      </w:r>
      <w:r w:rsidR="00D03842">
        <w:rPr>
          <w:b/>
          <w:bCs/>
        </w:rPr>
        <w:t>1614/2007</w:t>
      </w:r>
    </w:p>
    <w:p w:rsidR="002C7BF4" w:rsidRDefault="002C7BF4" w:rsidP="0066240F">
      <w:pPr>
        <w:autoSpaceDE w:val="0"/>
        <w:autoSpaceDN w:val="0"/>
        <w:adjustRightInd w:val="0"/>
        <w:spacing w:after="240"/>
        <w:ind w:left="4536" w:hanging="3402"/>
        <w:jc w:val="both"/>
        <w:rPr>
          <w:color w:val="000000"/>
        </w:rPr>
      </w:pPr>
      <w:r>
        <w:rPr>
          <w:color w:val="000000"/>
          <w:u w:val="single"/>
        </w:rPr>
        <w:t>Submitted by</w:t>
      </w:r>
      <w:r>
        <w:rPr>
          <w:color w:val="000000"/>
        </w:rPr>
        <w:t xml:space="preserve">: </w:t>
      </w:r>
      <w:r>
        <w:rPr>
          <w:color w:val="000000"/>
        </w:rPr>
        <w:tab/>
      </w:r>
      <w:r w:rsidR="00D03842">
        <w:rPr>
          <w:color w:val="000000"/>
        </w:rPr>
        <w:t xml:space="preserve">Ms. Dagmar Dvorak </w:t>
      </w:r>
      <w:r w:rsidR="005E1F44">
        <w:rPr>
          <w:color w:val="000000"/>
        </w:rPr>
        <w:t>(</w:t>
      </w:r>
      <w:r w:rsidR="0066240F">
        <w:rPr>
          <w:color w:val="000000"/>
        </w:rPr>
        <w:t xml:space="preserve">not </w:t>
      </w:r>
      <w:r w:rsidR="005E1F44">
        <w:rPr>
          <w:color w:val="000000"/>
        </w:rPr>
        <w:t>represented</w:t>
      </w:r>
      <w:r w:rsidR="0066240F">
        <w:rPr>
          <w:color w:val="000000"/>
        </w:rPr>
        <w:t xml:space="preserve"> by counsel</w:t>
      </w:r>
      <w:r w:rsidR="005E1F44">
        <w:rPr>
          <w:color w:val="000000"/>
        </w:rPr>
        <w:t>)</w:t>
      </w:r>
    </w:p>
    <w:p w:rsidR="002C7BF4" w:rsidRDefault="002C7BF4" w:rsidP="0066240F">
      <w:pPr>
        <w:autoSpaceDE w:val="0"/>
        <w:autoSpaceDN w:val="0"/>
        <w:adjustRightInd w:val="0"/>
        <w:spacing w:after="240"/>
        <w:ind w:left="4536" w:hanging="3402"/>
        <w:jc w:val="both"/>
        <w:rPr>
          <w:color w:val="000000"/>
        </w:rPr>
      </w:pPr>
      <w:r>
        <w:rPr>
          <w:color w:val="000000"/>
          <w:u w:val="single"/>
        </w:rPr>
        <w:t>Alleged victim</w:t>
      </w:r>
      <w:r>
        <w:rPr>
          <w:color w:val="000000"/>
        </w:rPr>
        <w:t xml:space="preserve">: </w:t>
      </w:r>
      <w:r>
        <w:rPr>
          <w:color w:val="000000"/>
        </w:rPr>
        <w:tab/>
        <w:t>The author</w:t>
      </w:r>
    </w:p>
    <w:p w:rsidR="002C7BF4" w:rsidRDefault="002C7BF4" w:rsidP="0066240F">
      <w:pPr>
        <w:autoSpaceDE w:val="0"/>
        <w:autoSpaceDN w:val="0"/>
        <w:adjustRightInd w:val="0"/>
        <w:spacing w:after="240"/>
        <w:ind w:left="4536" w:hanging="3402"/>
        <w:jc w:val="both"/>
        <w:rPr>
          <w:color w:val="000000"/>
        </w:rPr>
      </w:pPr>
      <w:r>
        <w:rPr>
          <w:color w:val="000000"/>
          <w:u w:val="single"/>
        </w:rPr>
        <w:t>State party</w:t>
      </w:r>
      <w:r>
        <w:rPr>
          <w:color w:val="000000"/>
        </w:rPr>
        <w:t xml:space="preserve">: </w:t>
      </w:r>
      <w:r>
        <w:rPr>
          <w:color w:val="000000"/>
        </w:rPr>
        <w:tab/>
      </w:r>
      <w:smartTag w:uri="urn:schemas-microsoft-com:office:smarttags" w:element="place">
        <w:smartTag w:uri="urn:schemas-microsoft-com:office:smarttags" w:element="PlaceName">
          <w:r>
            <w:rPr>
              <w:color w:val="000000"/>
            </w:rPr>
            <w:t>Czech</w:t>
          </w:r>
        </w:smartTag>
        <w:r>
          <w:rPr>
            <w:color w:val="000000"/>
          </w:rPr>
          <w:t xml:space="preserve"> </w:t>
        </w:r>
        <w:smartTag w:uri="urn:schemas-microsoft-com:office:smarttags" w:element="PlaceType">
          <w:r>
            <w:rPr>
              <w:color w:val="000000"/>
            </w:rPr>
            <w:t>Republic</w:t>
          </w:r>
        </w:smartTag>
      </w:smartTag>
    </w:p>
    <w:p w:rsidR="002C7BF4" w:rsidRDefault="002C7BF4" w:rsidP="0066240F">
      <w:pPr>
        <w:tabs>
          <w:tab w:val="left" w:pos="3105"/>
        </w:tabs>
        <w:autoSpaceDE w:val="0"/>
        <w:autoSpaceDN w:val="0"/>
        <w:adjustRightInd w:val="0"/>
        <w:spacing w:after="240"/>
        <w:ind w:left="4536" w:hanging="3402"/>
        <w:jc w:val="both"/>
        <w:rPr>
          <w:color w:val="000000"/>
        </w:rPr>
      </w:pPr>
      <w:r>
        <w:rPr>
          <w:color w:val="000000"/>
          <w:u w:val="single"/>
        </w:rPr>
        <w:t>Date of communication</w:t>
      </w:r>
      <w:r>
        <w:rPr>
          <w:color w:val="000000"/>
        </w:rPr>
        <w:t xml:space="preserve">: </w:t>
      </w:r>
      <w:r>
        <w:rPr>
          <w:color w:val="000000"/>
        </w:rPr>
        <w:tab/>
      </w:r>
      <w:r w:rsidR="00D03842">
        <w:rPr>
          <w:color w:val="000000"/>
        </w:rPr>
        <w:t>24 November</w:t>
      </w:r>
      <w:r>
        <w:rPr>
          <w:color w:val="000000"/>
        </w:rPr>
        <w:t xml:space="preserve"> 2006 (initial submission)</w:t>
      </w:r>
    </w:p>
    <w:p w:rsidR="002C7BF4" w:rsidRDefault="002C7BF4" w:rsidP="0066240F">
      <w:pPr>
        <w:tabs>
          <w:tab w:val="left" w:pos="3105"/>
        </w:tabs>
        <w:autoSpaceDE w:val="0"/>
        <w:autoSpaceDN w:val="0"/>
        <w:adjustRightInd w:val="0"/>
        <w:spacing w:after="240"/>
        <w:ind w:left="4536" w:hanging="3402"/>
        <w:jc w:val="both"/>
        <w:rPr>
          <w:color w:val="000000"/>
        </w:rPr>
      </w:pPr>
      <w:r>
        <w:rPr>
          <w:color w:val="000000"/>
          <w:u w:val="single"/>
        </w:rPr>
        <w:t>Document references</w:t>
      </w:r>
      <w:r>
        <w:rPr>
          <w:color w:val="000000"/>
        </w:rPr>
        <w:t>:</w:t>
      </w:r>
      <w:r>
        <w:rPr>
          <w:color w:val="000000"/>
        </w:rPr>
        <w:tab/>
        <w:t xml:space="preserve">Special Rapporteur’s rule 97 decision, transmitted to the State party on </w:t>
      </w:r>
      <w:r w:rsidR="00D03842">
        <w:rPr>
          <w:color w:val="000000"/>
        </w:rPr>
        <w:t>13 November 2007</w:t>
      </w:r>
      <w:r>
        <w:rPr>
          <w:color w:val="000000"/>
        </w:rPr>
        <w:t xml:space="preserve"> (not issued in document form)</w:t>
      </w:r>
    </w:p>
    <w:p w:rsidR="002C7BF4" w:rsidRDefault="002C7BF4" w:rsidP="00C21549">
      <w:pPr>
        <w:tabs>
          <w:tab w:val="left" w:pos="3105"/>
        </w:tabs>
        <w:autoSpaceDE w:val="0"/>
        <w:autoSpaceDN w:val="0"/>
        <w:adjustRightInd w:val="0"/>
        <w:spacing w:after="240"/>
        <w:ind w:left="4536" w:hanging="3402"/>
        <w:jc w:val="both"/>
        <w:rPr>
          <w:color w:val="000000"/>
        </w:rPr>
      </w:pPr>
      <w:r>
        <w:rPr>
          <w:color w:val="000000"/>
          <w:u w:val="single"/>
        </w:rPr>
        <w:t xml:space="preserve">Date of adoption of </w:t>
      </w:r>
      <w:r w:rsidR="00D03842">
        <w:rPr>
          <w:color w:val="000000"/>
          <w:u w:val="single"/>
        </w:rPr>
        <w:t>decision</w:t>
      </w:r>
      <w:r w:rsidR="00CF77AB">
        <w:rPr>
          <w:color w:val="000000"/>
        </w:rPr>
        <w:t>:</w:t>
      </w:r>
      <w:r w:rsidR="00CF77AB">
        <w:rPr>
          <w:color w:val="000000"/>
        </w:rPr>
        <w:tab/>
      </w:r>
      <w:r w:rsidR="00C21549">
        <w:rPr>
          <w:color w:val="000000"/>
        </w:rPr>
        <w:t>28</w:t>
      </w:r>
      <w:r w:rsidR="00E946D9">
        <w:rPr>
          <w:color w:val="000000"/>
        </w:rPr>
        <w:t xml:space="preserve"> </w:t>
      </w:r>
      <w:r w:rsidR="00D03842">
        <w:rPr>
          <w:color w:val="000000"/>
        </w:rPr>
        <w:t>July</w:t>
      </w:r>
      <w:r w:rsidR="00E946D9">
        <w:rPr>
          <w:color w:val="000000"/>
        </w:rPr>
        <w:t xml:space="preserve"> 2009</w:t>
      </w:r>
    </w:p>
    <w:p w:rsidR="002C7BF4" w:rsidRDefault="00D03842" w:rsidP="0066240F">
      <w:pPr>
        <w:tabs>
          <w:tab w:val="left" w:pos="567"/>
        </w:tabs>
        <w:autoSpaceDE w:val="0"/>
        <w:autoSpaceDN w:val="0"/>
        <w:adjustRightInd w:val="0"/>
        <w:spacing w:after="240"/>
      </w:pPr>
      <w:r>
        <w:rPr>
          <w:i/>
        </w:rPr>
        <w:br w:type="page"/>
      </w:r>
      <w:r w:rsidR="008A33F0">
        <w:rPr>
          <w:i/>
        </w:rPr>
        <w:tab/>
      </w:r>
      <w:r w:rsidR="002C7BF4">
        <w:rPr>
          <w:i/>
        </w:rPr>
        <w:t>Subject matter:</w:t>
      </w:r>
      <w:r w:rsidR="005E1F44">
        <w:rPr>
          <w:i/>
        </w:rPr>
        <w:t xml:space="preserve"> </w:t>
      </w:r>
      <w:r w:rsidR="005E1F44">
        <w:rPr>
          <w:sz w:val="23"/>
          <w:szCs w:val="23"/>
          <w:lang w:val="en-US"/>
        </w:rPr>
        <w:t xml:space="preserve">Discrimination on the basis of citizenship with respect to </w:t>
      </w:r>
      <w:r w:rsidR="00012C34">
        <w:rPr>
          <w:sz w:val="23"/>
          <w:szCs w:val="23"/>
          <w:lang w:val="en-US"/>
        </w:rPr>
        <w:t xml:space="preserve">property </w:t>
      </w:r>
      <w:r w:rsidR="005E1F44">
        <w:rPr>
          <w:sz w:val="23"/>
          <w:szCs w:val="23"/>
          <w:lang w:val="en-US"/>
        </w:rPr>
        <w:t>restitution</w:t>
      </w:r>
    </w:p>
    <w:p w:rsidR="005E1F44" w:rsidRDefault="002C7BF4" w:rsidP="0066240F">
      <w:pPr>
        <w:tabs>
          <w:tab w:val="left" w:pos="567"/>
        </w:tabs>
        <w:spacing w:after="240"/>
        <w:jc w:val="both"/>
        <w:rPr>
          <w:iCs/>
        </w:rPr>
      </w:pPr>
      <w:r>
        <w:rPr>
          <w:i/>
        </w:rPr>
        <w:tab/>
        <w:t xml:space="preserve">Procedural issues:  </w:t>
      </w:r>
      <w:r w:rsidR="00BC298F">
        <w:rPr>
          <w:iCs/>
        </w:rPr>
        <w:t xml:space="preserve">Abuse of </w:t>
      </w:r>
      <w:r w:rsidR="00523EDC">
        <w:rPr>
          <w:iCs/>
        </w:rPr>
        <w:t xml:space="preserve">the </w:t>
      </w:r>
      <w:r w:rsidR="00BC298F">
        <w:rPr>
          <w:iCs/>
        </w:rPr>
        <w:t>right</w:t>
      </w:r>
      <w:r w:rsidR="005E1F44">
        <w:rPr>
          <w:iCs/>
        </w:rPr>
        <w:t xml:space="preserve"> of submission</w:t>
      </w:r>
      <w:r w:rsidR="00523EDC">
        <w:rPr>
          <w:iCs/>
        </w:rPr>
        <w:t>;</w:t>
      </w:r>
      <w:r w:rsidR="00D7330A">
        <w:rPr>
          <w:iCs/>
        </w:rPr>
        <w:t xml:space="preserve"> </w:t>
      </w:r>
      <w:r w:rsidR="009C5EB6">
        <w:rPr>
          <w:iCs/>
        </w:rPr>
        <w:t>e</w:t>
      </w:r>
      <w:r w:rsidR="00D7330A">
        <w:rPr>
          <w:iCs/>
        </w:rPr>
        <w:t>xhaustion of domestic remedies</w:t>
      </w:r>
      <w:r w:rsidR="00523EDC">
        <w:rPr>
          <w:iCs/>
        </w:rPr>
        <w:t>;</w:t>
      </w:r>
      <w:r w:rsidR="00865BF4">
        <w:rPr>
          <w:iCs/>
        </w:rPr>
        <w:t xml:space="preserve"> substantiation of claim</w:t>
      </w:r>
    </w:p>
    <w:p w:rsidR="002C7BF4" w:rsidRDefault="002C7BF4" w:rsidP="0066240F">
      <w:pPr>
        <w:tabs>
          <w:tab w:val="left" w:pos="567"/>
        </w:tabs>
        <w:spacing w:after="240"/>
        <w:jc w:val="both"/>
        <w:rPr>
          <w:iCs/>
        </w:rPr>
      </w:pPr>
      <w:r>
        <w:rPr>
          <w:i/>
        </w:rPr>
        <w:tab/>
        <w:t>Substantive issues:</w:t>
      </w:r>
      <w:r w:rsidR="005E1F44">
        <w:rPr>
          <w:i/>
        </w:rPr>
        <w:t xml:space="preserve"> </w:t>
      </w:r>
      <w:r w:rsidR="00012C34">
        <w:rPr>
          <w:sz w:val="23"/>
          <w:szCs w:val="23"/>
          <w:lang w:val="en-US"/>
        </w:rPr>
        <w:t>Equality before the law</w:t>
      </w:r>
      <w:r w:rsidR="00523EDC">
        <w:rPr>
          <w:sz w:val="23"/>
          <w:szCs w:val="23"/>
          <w:lang w:val="en-US"/>
        </w:rPr>
        <w:t>;</w:t>
      </w:r>
      <w:r w:rsidR="00012C34">
        <w:rPr>
          <w:sz w:val="23"/>
          <w:szCs w:val="23"/>
          <w:lang w:val="en-US"/>
        </w:rPr>
        <w:t xml:space="preserve"> </w:t>
      </w:r>
      <w:r w:rsidR="005E1F44">
        <w:rPr>
          <w:sz w:val="23"/>
          <w:szCs w:val="23"/>
          <w:lang w:val="en-US"/>
        </w:rPr>
        <w:t>equal protection of the law</w:t>
      </w:r>
      <w:r>
        <w:rPr>
          <w:iCs/>
        </w:rPr>
        <w:t xml:space="preserve"> </w:t>
      </w:r>
    </w:p>
    <w:p w:rsidR="002C7BF4" w:rsidRPr="000C189F" w:rsidRDefault="00A36434" w:rsidP="0066240F">
      <w:pPr>
        <w:tabs>
          <w:tab w:val="left" w:pos="567"/>
        </w:tabs>
        <w:spacing w:after="240"/>
        <w:jc w:val="both"/>
        <w:rPr>
          <w:iCs/>
        </w:rPr>
      </w:pPr>
      <w:r>
        <w:rPr>
          <w:i/>
        </w:rPr>
        <w:tab/>
        <w:t>Articl</w:t>
      </w:r>
      <w:r w:rsidR="009C5EB6">
        <w:rPr>
          <w:i/>
        </w:rPr>
        <w:t>e</w:t>
      </w:r>
      <w:r w:rsidR="00523EDC">
        <w:rPr>
          <w:i/>
        </w:rPr>
        <w:t>s</w:t>
      </w:r>
      <w:r w:rsidR="002C7BF4">
        <w:rPr>
          <w:i/>
        </w:rPr>
        <w:t xml:space="preserve"> of the Covenant: </w:t>
      </w:r>
      <w:r w:rsidR="00523EDC">
        <w:rPr>
          <w:iCs/>
        </w:rPr>
        <w:t>14, paragraph 7;</w:t>
      </w:r>
      <w:r w:rsidR="00865BF4" w:rsidRPr="00865BF4">
        <w:rPr>
          <w:iCs/>
        </w:rPr>
        <w:t xml:space="preserve"> and</w:t>
      </w:r>
      <w:r w:rsidR="00865BF4">
        <w:rPr>
          <w:iCs/>
        </w:rPr>
        <w:t xml:space="preserve"> </w:t>
      </w:r>
      <w:r w:rsidR="002C7BF4" w:rsidRPr="00865BF4">
        <w:rPr>
          <w:iCs/>
        </w:rPr>
        <w:t>2</w:t>
      </w:r>
      <w:r w:rsidR="002C7BF4">
        <w:t>6</w:t>
      </w:r>
    </w:p>
    <w:p w:rsidR="00CF77AB" w:rsidRDefault="002C7BF4" w:rsidP="00CF77AB">
      <w:pPr>
        <w:pStyle w:val="BodyText2"/>
        <w:tabs>
          <w:tab w:val="left" w:pos="567"/>
        </w:tabs>
        <w:spacing w:after="240" w:line="240" w:lineRule="auto"/>
        <w:jc w:val="both"/>
        <w:rPr>
          <w:iCs/>
        </w:rPr>
      </w:pPr>
      <w:r>
        <w:tab/>
        <w:t>Articles of the Optional Protocol:</w:t>
      </w:r>
      <w:r w:rsidRPr="00725D54">
        <w:rPr>
          <w:iCs/>
        </w:rPr>
        <w:t xml:space="preserve"> </w:t>
      </w:r>
      <w:r w:rsidR="00523EDC">
        <w:rPr>
          <w:iCs/>
        </w:rPr>
        <w:t xml:space="preserve">2, </w:t>
      </w:r>
      <w:r>
        <w:rPr>
          <w:iCs/>
        </w:rPr>
        <w:t>3</w:t>
      </w:r>
      <w:r w:rsidR="009C5EB6">
        <w:rPr>
          <w:iCs/>
        </w:rPr>
        <w:t>; 5, paragraph 2(b)</w:t>
      </w:r>
    </w:p>
    <w:p w:rsidR="001A7A3C" w:rsidRPr="00CF77AB" w:rsidRDefault="001A7A3C" w:rsidP="00CF77AB">
      <w:pPr>
        <w:pStyle w:val="BodyText2"/>
        <w:tabs>
          <w:tab w:val="left" w:pos="567"/>
        </w:tabs>
        <w:spacing w:after="240" w:line="240" w:lineRule="auto"/>
        <w:jc w:val="center"/>
        <w:rPr>
          <w:iCs/>
        </w:rPr>
      </w:pPr>
      <w:r w:rsidRPr="00BF4E6D">
        <w:t>[Annex]</w:t>
      </w:r>
    </w:p>
    <w:p w:rsidR="00E75CCA" w:rsidRPr="00FD69A3" w:rsidRDefault="008A33F0" w:rsidP="0066240F">
      <w:pPr>
        <w:pStyle w:val="Heading2"/>
        <w:keepNext w:val="0"/>
        <w:tabs>
          <w:tab w:val="left" w:pos="567"/>
        </w:tabs>
        <w:spacing w:before="0" w:after="360"/>
        <w:jc w:val="center"/>
        <w:rPr>
          <w:rFonts w:ascii="Times New Roman" w:hAnsi="Times New Roman" w:cs="Times New Roman"/>
          <w:i w:val="0"/>
          <w:sz w:val="24"/>
          <w:szCs w:val="24"/>
        </w:rPr>
      </w:pPr>
      <w:r>
        <w:rPr>
          <w:iCs w:val="0"/>
        </w:rPr>
        <w:br w:type="page"/>
      </w:r>
      <w:r w:rsidR="00E75CCA" w:rsidRPr="00FD69A3">
        <w:rPr>
          <w:rFonts w:ascii="Times New Roman" w:hAnsi="Times New Roman" w:cs="Times New Roman"/>
          <w:i w:val="0"/>
          <w:sz w:val="24"/>
          <w:szCs w:val="24"/>
        </w:rPr>
        <w:t>ANNEX</w:t>
      </w:r>
    </w:p>
    <w:p w:rsidR="00865BF4" w:rsidRPr="00F150C2" w:rsidRDefault="00865BF4" w:rsidP="0066240F">
      <w:pPr>
        <w:tabs>
          <w:tab w:val="left" w:pos="567"/>
          <w:tab w:val="left" w:pos="1134"/>
        </w:tabs>
        <w:jc w:val="center"/>
      </w:pPr>
      <w:r w:rsidRPr="00F150C2">
        <w:t>DECISION OF THE HUMAN RIGHTS COMMITTEE UNDER</w:t>
      </w:r>
    </w:p>
    <w:p w:rsidR="00865BF4" w:rsidRPr="00F150C2" w:rsidRDefault="00865BF4" w:rsidP="0066240F">
      <w:pPr>
        <w:tabs>
          <w:tab w:val="left" w:pos="567"/>
          <w:tab w:val="left" w:pos="1134"/>
        </w:tabs>
        <w:jc w:val="center"/>
      </w:pPr>
      <w:r w:rsidRPr="00F150C2">
        <w:t>THE OPTIONAL PROTOCOL TO THE INTERNATIONAL COV</w:t>
      </w:r>
      <w:r w:rsidRPr="00F150C2">
        <w:t>E</w:t>
      </w:r>
      <w:r w:rsidRPr="00F150C2">
        <w:t>NANT</w:t>
      </w:r>
    </w:p>
    <w:p w:rsidR="00865BF4" w:rsidRDefault="00865BF4" w:rsidP="0066240F">
      <w:pPr>
        <w:keepNext/>
        <w:tabs>
          <w:tab w:val="left" w:pos="567"/>
        </w:tabs>
        <w:spacing w:after="240"/>
        <w:jc w:val="center"/>
        <w:outlineLvl w:val="1"/>
        <w:rPr>
          <w:bCs/>
        </w:rPr>
      </w:pPr>
      <w:r w:rsidRPr="00F150C2">
        <w:t>ON CIVIL AND POLITICAL RIGHTS</w:t>
      </w:r>
      <w:r w:rsidRPr="00FD69A3">
        <w:rPr>
          <w:bCs/>
        </w:rPr>
        <w:t xml:space="preserve"> </w:t>
      </w:r>
    </w:p>
    <w:p w:rsidR="00E75CCA" w:rsidRPr="00FD69A3" w:rsidRDefault="00E75CCA" w:rsidP="0066240F">
      <w:pPr>
        <w:keepNext/>
        <w:tabs>
          <w:tab w:val="left" w:pos="567"/>
        </w:tabs>
        <w:spacing w:after="240"/>
        <w:jc w:val="center"/>
        <w:outlineLvl w:val="1"/>
        <w:rPr>
          <w:bCs/>
        </w:rPr>
      </w:pPr>
      <w:r w:rsidRPr="00FD69A3">
        <w:rPr>
          <w:bCs/>
        </w:rPr>
        <w:t>Ninety-</w:t>
      </w:r>
      <w:r w:rsidR="00D03842">
        <w:rPr>
          <w:bCs/>
        </w:rPr>
        <w:t>sixth</w:t>
      </w:r>
      <w:r w:rsidRPr="00FD69A3">
        <w:rPr>
          <w:bCs/>
        </w:rPr>
        <w:t xml:space="preserve"> session</w:t>
      </w:r>
    </w:p>
    <w:p w:rsidR="00E75CCA" w:rsidRPr="00FD69A3" w:rsidRDefault="00E75CCA" w:rsidP="0066240F">
      <w:pPr>
        <w:tabs>
          <w:tab w:val="left" w:pos="567"/>
        </w:tabs>
        <w:spacing w:after="360"/>
        <w:jc w:val="center"/>
        <w:rPr>
          <w:b/>
          <w:bCs/>
        </w:rPr>
      </w:pPr>
      <w:r w:rsidRPr="00FD69A3">
        <w:t>concerning</w:t>
      </w:r>
    </w:p>
    <w:p w:rsidR="00E75CCA" w:rsidRPr="00FD69A3" w:rsidRDefault="00E75CCA" w:rsidP="0066240F">
      <w:pPr>
        <w:tabs>
          <w:tab w:val="left" w:pos="204"/>
        </w:tabs>
        <w:autoSpaceDE w:val="0"/>
        <w:autoSpaceDN w:val="0"/>
        <w:adjustRightInd w:val="0"/>
        <w:spacing w:after="360"/>
        <w:jc w:val="center"/>
        <w:rPr>
          <w:b/>
          <w:bCs/>
        </w:rPr>
      </w:pPr>
      <w:r w:rsidRPr="00FD69A3">
        <w:rPr>
          <w:b/>
          <w:bCs/>
        </w:rPr>
        <w:t>Communication No. </w:t>
      </w:r>
      <w:r w:rsidR="00D03842">
        <w:rPr>
          <w:b/>
          <w:bCs/>
        </w:rPr>
        <w:t>1614/2007</w:t>
      </w:r>
      <w:r w:rsidR="00C21549">
        <w:rPr>
          <w:rStyle w:val="FootnoteReference"/>
          <w:b/>
          <w:bCs/>
        </w:rPr>
        <w:footnoteReference w:customMarkFollows="1" w:id="2"/>
        <w:t>*</w:t>
      </w:r>
    </w:p>
    <w:p w:rsidR="00005414" w:rsidRDefault="00005414" w:rsidP="0066240F">
      <w:pPr>
        <w:autoSpaceDE w:val="0"/>
        <w:autoSpaceDN w:val="0"/>
        <w:adjustRightInd w:val="0"/>
        <w:spacing w:after="240"/>
        <w:ind w:left="4536" w:hanging="3402"/>
        <w:jc w:val="both"/>
        <w:rPr>
          <w:color w:val="000000"/>
        </w:rPr>
      </w:pPr>
      <w:r>
        <w:rPr>
          <w:color w:val="000000"/>
          <w:u w:val="single"/>
        </w:rPr>
        <w:t>Submitted by</w:t>
      </w:r>
      <w:r>
        <w:rPr>
          <w:color w:val="000000"/>
        </w:rPr>
        <w:t xml:space="preserve">: </w:t>
      </w:r>
      <w:r>
        <w:rPr>
          <w:color w:val="000000"/>
        </w:rPr>
        <w:tab/>
      </w:r>
      <w:r w:rsidR="00D03842">
        <w:rPr>
          <w:color w:val="000000"/>
        </w:rPr>
        <w:t>Ms. Dagmar Dvorak</w:t>
      </w:r>
      <w:r>
        <w:rPr>
          <w:color w:val="000000"/>
        </w:rPr>
        <w:t xml:space="preserve"> (</w:t>
      </w:r>
      <w:r w:rsidR="0066240F">
        <w:rPr>
          <w:color w:val="000000"/>
        </w:rPr>
        <w:t>not represented by counsel</w:t>
      </w:r>
      <w:r>
        <w:rPr>
          <w:color w:val="000000"/>
        </w:rPr>
        <w:t>)</w:t>
      </w:r>
    </w:p>
    <w:p w:rsidR="00005414" w:rsidRDefault="00005414" w:rsidP="0066240F">
      <w:pPr>
        <w:autoSpaceDE w:val="0"/>
        <w:autoSpaceDN w:val="0"/>
        <w:adjustRightInd w:val="0"/>
        <w:spacing w:after="240"/>
        <w:ind w:left="4536" w:hanging="3402"/>
        <w:jc w:val="both"/>
        <w:rPr>
          <w:color w:val="000000"/>
        </w:rPr>
      </w:pPr>
      <w:r>
        <w:rPr>
          <w:color w:val="000000"/>
          <w:u w:val="single"/>
        </w:rPr>
        <w:t>Alleged victim</w:t>
      </w:r>
      <w:r>
        <w:rPr>
          <w:color w:val="000000"/>
        </w:rPr>
        <w:t xml:space="preserve">: </w:t>
      </w:r>
      <w:r>
        <w:rPr>
          <w:color w:val="000000"/>
        </w:rPr>
        <w:tab/>
        <w:t>The author</w:t>
      </w:r>
    </w:p>
    <w:p w:rsidR="00005414" w:rsidRDefault="00005414" w:rsidP="0066240F">
      <w:pPr>
        <w:autoSpaceDE w:val="0"/>
        <w:autoSpaceDN w:val="0"/>
        <w:adjustRightInd w:val="0"/>
        <w:spacing w:after="240"/>
        <w:ind w:left="4536" w:hanging="3402"/>
        <w:jc w:val="both"/>
        <w:rPr>
          <w:color w:val="000000"/>
        </w:rPr>
      </w:pPr>
      <w:r>
        <w:rPr>
          <w:color w:val="000000"/>
          <w:u w:val="single"/>
        </w:rPr>
        <w:t>State party</w:t>
      </w:r>
      <w:r>
        <w:rPr>
          <w:color w:val="000000"/>
        </w:rPr>
        <w:t xml:space="preserve">: </w:t>
      </w:r>
      <w:r>
        <w:rPr>
          <w:color w:val="000000"/>
        </w:rPr>
        <w:tab/>
      </w:r>
      <w:smartTag w:uri="urn:schemas-microsoft-com:office:smarttags" w:element="place">
        <w:smartTag w:uri="urn:schemas-microsoft-com:office:smarttags" w:element="PlaceName">
          <w:r>
            <w:rPr>
              <w:color w:val="000000"/>
            </w:rPr>
            <w:t>Czech</w:t>
          </w:r>
        </w:smartTag>
        <w:r>
          <w:rPr>
            <w:color w:val="000000"/>
          </w:rPr>
          <w:t xml:space="preserve"> </w:t>
        </w:r>
        <w:smartTag w:uri="urn:schemas-microsoft-com:office:smarttags" w:element="PlaceType">
          <w:r>
            <w:rPr>
              <w:color w:val="000000"/>
            </w:rPr>
            <w:t>Republic</w:t>
          </w:r>
        </w:smartTag>
      </w:smartTag>
    </w:p>
    <w:p w:rsidR="00005414" w:rsidRDefault="00005414" w:rsidP="0066240F">
      <w:pPr>
        <w:tabs>
          <w:tab w:val="left" w:pos="3105"/>
        </w:tabs>
        <w:autoSpaceDE w:val="0"/>
        <w:autoSpaceDN w:val="0"/>
        <w:adjustRightInd w:val="0"/>
        <w:spacing w:after="240"/>
        <w:ind w:left="4536" w:hanging="3402"/>
        <w:jc w:val="both"/>
        <w:rPr>
          <w:color w:val="000000"/>
        </w:rPr>
      </w:pPr>
      <w:r>
        <w:rPr>
          <w:color w:val="000000"/>
          <w:u w:val="single"/>
        </w:rPr>
        <w:t>Date of communication</w:t>
      </w:r>
      <w:r>
        <w:rPr>
          <w:color w:val="000000"/>
        </w:rPr>
        <w:t xml:space="preserve">: </w:t>
      </w:r>
      <w:r>
        <w:rPr>
          <w:color w:val="000000"/>
        </w:rPr>
        <w:tab/>
      </w:r>
      <w:r w:rsidR="00D03842">
        <w:rPr>
          <w:color w:val="000000"/>
        </w:rPr>
        <w:t>24 November 2006</w:t>
      </w:r>
      <w:r>
        <w:rPr>
          <w:color w:val="000000"/>
        </w:rPr>
        <w:t xml:space="preserve"> (initial submission)</w:t>
      </w:r>
    </w:p>
    <w:p w:rsidR="00E75CCA" w:rsidRPr="00FD69A3" w:rsidRDefault="00E75CCA" w:rsidP="0066240F">
      <w:pPr>
        <w:tabs>
          <w:tab w:val="left" w:pos="567"/>
        </w:tabs>
        <w:autoSpaceDE w:val="0"/>
        <w:autoSpaceDN w:val="0"/>
        <w:adjustRightInd w:val="0"/>
        <w:spacing w:after="240"/>
        <w:jc w:val="both"/>
      </w:pPr>
      <w:r w:rsidRPr="00FD69A3">
        <w:tab/>
      </w:r>
      <w:r w:rsidRPr="00FD69A3">
        <w:rPr>
          <w:u w:val="single"/>
        </w:rPr>
        <w:t>The Human Rights Committee</w:t>
      </w:r>
      <w:r w:rsidRPr="00FD69A3">
        <w:t xml:space="preserve">, established under article 28 of the International Covenant on Civil and Political Rights, </w:t>
      </w:r>
    </w:p>
    <w:p w:rsidR="00E75CCA" w:rsidRPr="00FD69A3" w:rsidRDefault="00E75CCA" w:rsidP="00A56A13">
      <w:pPr>
        <w:tabs>
          <w:tab w:val="left" w:pos="567"/>
        </w:tabs>
        <w:autoSpaceDE w:val="0"/>
        <w:autoSpaceDN w:val="0"/>
        <w:adjustRightInd w:val="0"/>
        <w:spacing w:after="240"/>
        <w:jc w:val="both"/>
      </w:pPr>
      <w:r w:rsidRPr="00FD69A3">
        <w:tab/>
      </w:r>
      <w:r w:rsidRPr="00FD69A3">
        <w:rPr>
          <w:u w:val="single"/>
        </w:rPr>
        <w:t>Meeting on</w:t>
      </w:r>
      <w:r w:rsidRPr="00FD69A3">
        <w:t xml:space="preserve"> </w:t>
      </w:r>
      <w:r w:rsidR="00A56A13">
        <w:t>28</w:t>
      </w:r>
      <w:r w:rsidR="00E946D9">
        <w:t xml:space="preserve"> </w:t>
      </w:r>
      <w:r w:rsidR="00D03842">
        <w:t>July</w:t>
      </w:r>
      <w:r w:rsidR="00E946D9">
        <w:t xml:space="preserve"> 2009</w:t>
      </w:r>
      <w:r w:rsidRPr="00FD69A3">
        <w:t>,</w:t>
      </w:r>
    </w:p>
    <w:p w:rsidR="00E75CCA" w:rsidRPr="00FD69A3" w:rsidRDefault="00E75CCA" w:rsidP="0066240F">
      <w:pPr>
        <w:tabs>
          <w:tab w:val="left" w:pos="567"/>
        </w:tabs>
        <w:spacing w:after="360"/>
        <w:jc w:val="both"/>
      </w:pPr>
      <w:r w:rsidRPr="00FD69A3">
        <w:tab/>
      </w:r>
      <w:r w:rsidRPr="00FD69A3">
        <w:rPr>
          <w:u w:val="single"/>
        </w:rPr>
        <w:t>Adopts the following</w:t>
      </w:r>
      <w:r w:rsidRPr="00FD69A3">
        <w:t>:</w:t>
      </w:r>
    </w:p>
    <w:p w:rsidR="0066240F" w:rsidRPr="00B2048D" w:rsidRDefault="00D03842" w:rsidP="00CF77AB">
      <w:pPr>
        <w:tabs>
          <w:tab w:val="left" w:pos="567"/>
        </w:tabs>
        <w:spacing w:after="240"/>
        <w:jc w:val="center"/>
        <w:rPr>
          <w:b/>
        </w:rPr>
      </w:pPr>
      <w:r>
        <w:rPr>
          <w:b/>
        </w:rPr>
        <w:t>DECISION ON ADMISSIBILITY</w:t>
      </w:r>
    </w:p>
    <w:p w:rsidR="008872B7" w:rsidRDefault="008872B7" w:rsidP="000C78EE">
      <w:pPr>
        <w:numPr>
          <w:ilvl w:val="0"/>
          <w:numId w:val="1"/>
        </w:numPr>
        <w:tabs>
          <w:tab w:val="clear" w:pos="720"/>
          <w:tab w:val="left" w:pos="567"/>
        </w:tabs>
        <w:spacing w:after="240"/>
        <w:ind w:left="0" w:firstLine="0"/>
        <w:jc w:val="both"/>
      </w:pPr>
      <w:r>
        <w:t xml:space="preserve">The author of the communication is </w:t>
      </w:r>
      <w:r w:rsidR="00BF4A7D">
        <w:t>Dagmar Dvorak</w:t>
      </w:r>
      <w:r>
        <w:t xml:space="preserve">, a </w:t>
      </w:r>
      <w:r w:rsidR="00E946D9">
        <w:t xml:space="preserve">citizen of the </w:t>
      </w:r>
      <w:smartTag w:uri="urn:schemas-microsoft-com:office:smarttags" w:element="country-region">
        <w:r w:rsidR="00E946D9">
          <w:t>United States</w:t>
        </w:r>
      </w:smartTag>
      <w:r w:rsidR="00E946D9">
        <w:t xml:space="preserve"> and the </w:t>
      </w:r>
      <w:smartTag w:uri="urn:schemas-microsoft-com:office:smarttags" w:element="PlaceName">
        <w:r w:rsidR="00E946D9">
          <w:t>Czech</w:t>
        </w:r>
      </w:smartTag>
      <w:r w:rsidR="00E946D9">
        <w:t xml:space="preserve"> </w:t>
      </w:r>
      <w:smartTag w:uri="urn:schemas-microsoft-com:office:smarttags" w:element="PlaceType">
        <w:r w:rsidR="00E946D9">
          <w:t>Republic</w:t>
        </w:r>
      </w:smartTag>
      <w:r w:rsidR="00E946D9">
        <w:t>, currently</w:t>
      </w:r>
      <w:r w:rsidR="002665ED">
        <w:t xml:space="preserve"> residing in </w:t>
      </w:r>
      <w:r w:rsidR="00ED1C76">
        <w:t>the</w:t>
      </w:r>
      <w:r w:rsidR="00012C34">
        <w:t xml:space="preserve"> </w:t>
      </w:r>
      <w:smartTag w:uri="urn:schemas-microsoft-com:office:smarttags" w:element="place">
        <w:smartTag w:uri="urn:schemas-microsoft-com:office:smarttags" w:element="country-region">
          <w:r w:rsidR="00012C34">
            <w:t>United States of America</w:t>
          </w:r>
        </w:smartTag>
      </w:smartTag>
      <w:r w:rsidR="00E946D9">
        <w:t>. The author was</w:t>
      </w:r>
      <w:r>
        <w:t xml:space="preserve"> born on </w:t>
      </w:r>
      <w:r w:rsidR="00ED1C76">
        <w:t>23 January 1921</w:t>
      </w:r>
      <w:r w:rsidR="004572AA">
        <w:t xml:space="preserve"> in </w:t>
      </w:r>
      <w:smartTag w:uri="urn:schemas-microsoft-com:office:smarttags" w:element="City">
        <w:smartTag w:uri="urn:schemas-microsoft-com:office:smarttags" w:element="place">
          <w:r w:rsidR="00ED1C76">
            <w:t>Prague</w:t>
          </w:r>
        </w:smartTag>
      </w:smartTag>
      <w:r>
        <w:t xml:space="preserve">. </w:t>
      </w:r>
      <w:r w:rsidR="00ED1C76">
        <w:t>She</w:t>
      </w:r>
      <w:r>
        <w:t xml:space="preserve"> claims to be a victim of violation</w:t>
      </w:r>
      <w:r w:rsidR="00865BF4">
        <w:t>s</w:t>
      </w:r>
      <w:r>
        <w:t xml:space="preserve"> by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of article </w:t>
      </w:r>
      <w:r w:rsidR="00ED1C76">
        <w:t xml:space="preserve">14, paragraph 7, and article </w:t>
      </w:r>
      <w:r>
        <w:t xml:space="preserve">26 of the International Covenant on Civil and Political Rights. </w:t>
      </w:r>
      <w:r w:rsidR="00E946D9" w:rsidRPr="00A13900">
        <w:t>The Optional Protocol entered into force for the State party on 22 February 1993.</w:t>
      </w:r>
      <w:r w:rsidR="00E946D9">
        <w:t xml:space="preserve"> </w:t>
      </w:r>
      <w:r w:rsidR="009C5EB6">
        <w:t>The author</w:t>
      </w:r>
      <w:r>
        <w:t xml:space="preserve"> is not represented. </w:t>
      </w:r>
    </w:p>
    <w:p w:rsidR="008872B7" w:rsidRPr="00005414" w:rsidRDefault="00CF77AB" w:rsidP="000C78EE">
      <w:pPr>
        <w:tabs>
          <w:tab w:val="left" w:pos="567"/>
        </w:tabs>
        <w:spacing w:after="240"/>
        <w:jc w:val="both"/>
        <w:rPr>
          <w:b/>
          <w:bCs/>
        </w:rPr>
      </w:pPr>
      <w:r>
        <w:rPr>
          <w:b/>
          <w:bCs/>
        </w:rPr>
        <w:br w:type="page"/>
      </w:r>
      <w:r w:rsidR="009C5EB6">
        <w:rPr>
          <w:b/>
          <w:bCs/>
        </w:rPr>
        <w:t>Facts as presented by the author</w:t>
      </w:r>
    </w:p>
    <w:p w:rsidR="004572AA" w:rsidRDefault="00165483" w:rsidP="000C78EE">
      <w:pPr>
        <w:tabs>
          <w:tab w:val="left" w:pos="567"/>
        </w:tabs>
        <w:spacing w:after="240"/>
        <w:jc w:val="both"/>
      </w:pPr>
      <w:r>
        <w:t>2.1</w:t>
      </w:r>
      <w:r>
        <w:tab/>
      </w:r>
      <w:r w:rsidR="004572AA">
        <w:t xml:space="preserve">The author </w:t>
      </w:r>
      <w:r w:rsidR="00ED1C76">
        <w:t xml:space="preserve">is the only child and heir of her mother, who owned an apartment building in downtown </w:t>
      </w:r>
      <w:smartTag w:uri="urn:schemas-microsoft-com:office:smarttags" w:element="City">
        <w:smartTag w:uri="urn:schemas-microsoft-com:office:smarttags" w:element="place">
          <w:r w:rsidR="00ED1C76">
            <w:t>Prague</w:t>
          </w:r>
        </w:smartTag>
      </w:smartTag>
      <w:r w:rsidR="00ED1C76">
        <w:t>. In this building she had a large apartment and during the German occupation she accepted a married couple as subtenants. As the subtenants were very untidy, the author</w:t>
      </w:r>
      <w:r w:rsidR="00111CFA">
        <w:t>’s</w:t>
      </w:r>
      <w:r w:rsidR="00ED1C76">
        <w:t xml:space="preserve"> mother complained to the office in charge of dwellings to request another subtenant.</w:t>
      </w:r>
    </w:p>
    <w:p w:rsidR="004572AA" w:rsidRDefault="006212EB" w:rsidP="000C78EE">
      <w:pPr>
        <w:tabs>
          <w:tab w:val="left" w:pos="567"/>
        </w:tabs>
        <w:spacing w:after="240"/>
        <w:jc w:val="both"/>
      </w:pPr>
      <w:r>
        <w:t>2.2</w:t>
      </w:r>
      <w:r>
        <w:tab/>
      </w:r>
      <w:r w:rsidR="00ED1C76">
        <w:t>After the war, the subtenants went to the Prague National Committee to denounce the author’s mother for having gone to the German authorities with her complaint.</w:t>
      </w:r>
      <w:r w:rsidR="00ED1C76">
        <w:rPr>
          <w:rStyle w:val="FootnoteReference"/>
        </w:rPr>
        <w:footnoteReference w:id="3"/>
      </w:r>
      <w:r w:rsidR="00ED1C76">
        <w:t xml:space="preserve"> As a result, the author’ mother was fined. In a later amnesty of 20 December 1948 </w:t>
      </w:r>
      <w:r w:rsidR="00F741F9">
        <w:t>her mother was pardoned</w:t>
      </w:r>
      <w:r w:rsidR="00ED1C76">
        <w:t>.</w:t>
      </w:r>
    </w:p>
    <w:p w:rsidR="004572AA" w:rsidRDefault="006212EB" w:rsidP="000C78EE">
      <w:pPr>
        <w:tabs>
          <w:tab w:val="left" w:pos="567"/>
        </w:tabs>
        <w:spacing w:after="240"/>
        <w:jc w:val="both"/>
      </w:pPr>
      <w:r>
        <w:t>2.3</w:t>
      </w:r>
      <w:r>
        <w:tab/>
      </w:r>
      <w:r w:rsidR="00ED1C76">
        <w:t>After the communist coup in February 1948, the Regional National Committee reopened the case and decided to confiscate</w:t>
      </w:r>
      <w:r w:rsidR="00865BF4">
        <w:t xml:space="preserve"> the apartment building </w:t>
      </w:r>
      <w:r w:rsidR="00523EDC">
        <w:t>pursuant to</w:t>
      </w:r>
      <w:r w:rsidR="00865BF4">
        <w:t xml:space="preserve"> D</w:t>
      </w:r>
      <w:r w:rsidR="005838F7">
        <w:t xml:space="preserve">ecree </w:t>
      </w:r>
      <w:r w:rsidR="00865BF4">
        <w:t xml:space="preserve">No. </w:t>
      </w:r>
      <w:r w:rsidR="005838F7">
        <w:t>108/45</w:t>
      </w:r>
      <w:r w:rsidR="004572AA">
        <w:t>.</w:t>
      </w:r>
      <w:r w:rsidR="005838F7">
        <w:t xml:space="preserve"> The author</w:t>
      </w:r>
      <w:r w:rsidR="00523EDC">
        <w:t>’s</w:t>
      </w:r>
      <w:r w:rsidR="005838F7">
        <w:t xml:space="preserve"> mother was evicted</w:t>
      </w:r>
      <w:r w:rsidR="00523EDC">
        <w:t>. She</w:t>
      </w:r>
      <w:r w:rsidR="005838F7">
        <w:t xml:space="preserve"> died in 1956.</w:t>
      </w:r>
    </w:p>
    <w:p w:rsidR="004572AA" w:rsidRDefault="006212EB" w:rsidP="009A1783">
      <w:pPr>
        <w:tabs>
          <w:tab w:val="left" w:pos="567"/>
        </w:tabs>
        <w:spacing w:after="240"/>
        <w:jc w:val="both"/>
      </w:pPr>
      <w:r>
        <w:t>2.4</w:t>
      </w:r>
      <w:r>
        <w:tab/>
      </w:r>
      <w:r w:rsidR="005838F7">
        <w:t>The author re-</w:t>
      </w:r>
      <w:r w:rsidR="00865BF4">
        <w:t>acquir</w:t>
      </w:r>
      <w:r w:rsidR="005838F7">
        <w:t xml:space="preserve">ed Czech citizenship on 30 September 1991. After the overthrow of the </w:t>
      </w:r>
      <w:r w:rsidR="00523EDC">
        <w:t xml:space="preserve">former </w:t>
      </w:r>
      <w:r w:rsidR="005838F7">
        <w:t>communist government</w:t>
      </w:r>
      <w:r w:rsidR="00523EDC">
        <w:t>,</w:t>
      </w:r>
      <w:r w:rsidR="005838F7">
        <w:t xml:space="preserve"> </w:t>
      </w:r>
      <w:r w:rsidR="00523EDC">
        <w:t>she</w:t>
      </w:r>
      <w:r w:rsidR="005838F7">
        <w:t xml:space="preserve"> trie</w:t>
      </w:r>
      <w:r w:rsidR="00BF5A04">
        <w:t>d</w:t>
      </w:r>
      <w:r w:rsidR="005838F7">
        <w:t xml:space="preserve"> to recover the confiscated property</w:t>
      </w:r>
      <w:r w:rsidR="00523EDC">
        <w:t xml:space="preserve"> in </w:t>
      </w:r>
      <w:smartTag w:uri="urn:schemas-microsoft-com:office:smarttags" w:element="City">
        <w:smartTag w:uri="urn:schemas-microsoft-com:office:smarttags" w:element="place">
          <w:r w:rsidR="00523EDC">
            <w:t>Prague</w:t>
          </w:r>
        </w:smartTag>
      </w:smartTag>
      <w:r w:rsidR="005838F7">
        <w:t xml:space="preserve">. The </w:t>
      </w:r>
      <w:r w:rsidR="000338DD">
        <w:t>R</w:t>
      </w:r>
      <w:r w:rsidR="005838F7">
        <w:t xml:space="preserve">egional Court of Prague rejected her </w:t>
      </w:r>
      <w:r w:rsidR="000338DD">
        <w:t>restitution claim under Act No. 87/1991</w:t>
      </w:r>
      <w:r w:rsidR="005838F7">
        <w:t xml:space="preserve"> on 31 January 1994</w:t>
      </w:r>
      <w:r w:rsidR="000338DD">
        <w:t>,</w:t>
      </w:r>
      <w:r w:rsidR="005838F7">
        <w:t xml:space="preserve"> on the grounds that </w:t>
      </w:r>
      <w:r w:rsidR="00523EDC">
        <w:t>she</w:t>
      </w:r>
      <w:r w:rsidR="005838F7">
        <w:t xml:space="preserve"> was not a resident of the </w:t>
      </w:r>
      <w:smartTag w:uri="urn:schemas-microsoft-com:office:smarttags" w:element="place">
        <w:smartTag w:uri="urn:schemas-microsoft-com:office:smarttags" w:element="PlaceName">
          <w:r w:rsidR="005838F7">
            <w:t>Czech</w:t>
          </w:r>
        </w:smartTag>
        <w:r w:rsidR="005838F7">
          <w:t xml:space="preserve"> </w:t>
        </w:r>
        <w:smartTag w:uri="urn:schemas-microsoft-com:office:smarttags" w:element="PlaceType">
          <w:r w:rsidR="005838F7">
            <w:t>Republic</w:t>
          </w:r>
        </w:smartTag>
      </w:smartTag>
      <w:r w:rsidR="005838F7">
        <w:t xml:space="preserve">. The author appealed to the City Court </w:t>
      </w:r>
      <w:r w:rsidR="00523EDC">
        <w:t>of</w:t>
      </w:r>
      <w:r w:rsidR="005838F7">
        <w:t xml:space="preserve"> Prague which, on </w:t>
      </w:r>
      <w:r w:rsidR="009A1783">
        <w:t>29 June</w:t>
      </w:r>
      <w:r w:rsidR="005838F7">
        <w:t xml:space="preserve"> 1994, confirmed the previous decision. An appeal to the </w:t>
      </w:r>
      <w:smartTag w:uri="urn:schemas-microsoft-com:office:smarttags" w:element="Street">
        <w:smartTag w:uri="urn:schemas-microsoft-com:office:smarttags" w:element="address">
          <w:r w:rsidR="005838F7">
            <w:t>Constitutional Court</w:t>
          </w:r>
        </w:smartTag>
      </w:smartTag>
      <w:r w:rsidR="005838F7">
        <w:t xml:space="preserve"> was rejected on </w:t>
      </w:r>
      <w:r w:rsidR="00A561C0">
        <w:t>21 November 1994.</w:t>
      </w:r>
    </w:p>
    <w:p w:rsidR="009E61F5" w:rsidRPr="00005414" w:rsidRDefault="009E61F5" w:rsidP="000C78EE">
      <w:pPr>
        <w:tabs>
          <w:tab w:val="left" w:pos="567"/>
        </w:tabs>
        <w:spacing w:after="240"/>
        <w:jc w:val="both"/>
        <w:rPr>
          <w:b/>
          <w:bCs/>
        </w:rPr>
      </w:pPr>
      <w:r w:rsidRPr="00005414">
        <w:rPr>
          <w:b/>
          <w:bCs/>
        </w:rPr>
        <w:t>The complaint</w:t>
      </w:r>
    </w:p>
    <w:p w:rsidR="009E61F5" w:rsidRDefault="009E61F5" w:rsidP="00A56A13">
      <w:pPr>
        <w:numPr>
          <w:ilvl w:val="0"/>
          <w:numId w:val="8"/>
        </w:numPr>
        <w:tabs>
          <w:tab w:val="clear" w:pos="720"/>
          <w:tab w:val="left" w:pos="567"/>
        </w:tabs>
        <w:spacing w:after="240"/>
        <w:ind w:left="0" w:firstLine="0"/>
        <w:jc w:val="both"/>
      </w:pPr>
      <w:r>
        <w:t xml:space="preserve">The author claims </w:t>
      </w:r>
      <w:r w:rsidR="00DB1639">
        <w:t>a</w:t>
      </w:r>
      <w:r>
        <w:t xml:space="preserve"> violation of article </w:t>
      </w:r>
      <w:r w:rsidR="00A561C0">
        <w:t xml:space="preserve">14, paragraph 7, and article </w:t>
      </w:r>
      <w:r>
        <w:t>26 of the Covenant</w:t>
      </w:r>
      <w:r w:rsidR="00DB1639">
        <w:t xml:space="preserve"> by the </w:t>
      </w:r>
      <w:smartTag w:uri="urn:schemas-microsoft-com:office:smarttags" w:element="place">
        <w:smartTag w:uri="urn:schemas-microsoft-com:office:smarttags" w:element="PlaceName">
          <w:r w:rsidR="00DB1639">
            <w:t>Czech</w:t>
          </w:r>
        </w:smartTag>
        <w:r w:rsidR="00DB1639">
          <w:t xml:space="preserve"> </w:t>
        </w:r>
        <w:smartTag w:uri="urn:schemas-microsoft-com:office:smarttags" w:element="PlaceType">
          <w:r w:rsidR="00DB1639">
            <w:t>Republic</w:t>
          </w:r>
        </w:smartTag>
      </w:smartTag>
      <w:r>
        <w:t>.</w:t>
      </w:r>
    </w:p>
    <w:p w:rsidR="009E61F5" w:rsidRPr="00005414" w:rsidRDefault="009E61F5" w:rsidP="000C78EE">
      <w:pPr>
        <w:tabs>
          <w:tab w:val="left" w:pos="567"/>
        </w:tabs>
        <w:spacing w:after="240"/>
        <w:jc w:val="both"/>
        <w:rPr>
          <w:b/>
          <w:bCs/>
        </w:rPr>
      </w:pPr>
      <w:r w:rsidRPr="00005414">
        <w:rPr>
          <w:b/>
          <w:bCs/>
        </w:rPr>
        <w:t>The State party’s observations on admissibility and merits</w:t>
      </w:r>
    </w:p>
    <w:p w:rsidR="00A561C0" w:rsidRDefault="00726C6F" w:rsidP="000C78EE">
      <w:pPr>
        <w:numPr>
          <w:ilvl w:val="1"/>
          <w:numId w:val="3"/>
        </w:numPr>
        <w:tabs>
          <w:tab w:val="clear" w:pos="720"/>
          <w:tab w:val="left" w:pos="567"/>
        </w:tabs>
        <w:spacing w:after="240"/>
        <w:ind w:left="0" w:firstLine="0"/>
        <w:jc w:val="both"/>
      </w:pPr>
      <w:r>
        <w:t xml:space="preserve">In its submission of </w:t>
      </w:r>
      <w:r w:rsidR="00A561C0">
        <w:t xml:space="preserve">13 May </w:t>
      </w:r>
      <w:r w:rsidR="006212EB">
        <w:t>200</w:t>
      </w:r>
      <w:r w:rsidR="00A561C0">
        <w:t>8</w:t>
      </w:r>
      <w:r>
        <w:t xml:space="preserve">, the State party addresses both admissibility and merits of the communication. </w:t>
      </w:r>
      <w:r w:rsidR="0094745F">
        <w:t xml:space="preserve">As to admissibility, </w:t>
      </w:r>
      <w:r w:rsidR="00523EDC">
        <w:t>it</w:t>
      </w:r>
      <w:r w:rsidR="0094745F">
        <w:t xml:space="preserve"> </w:t>
      </w:r>
      <w:r w:rsidR="003332E0">
        <w:t xml:space="preserve">maintains that the author failed to exhaust all available domestic remedies. </w:t>
      </w:r>
      <w:r w:rsidR="00523EDC">
        <w:t>It</w:t>
      </w:r>
      <w:r w:rsidR="003332E0">
        <w:t xml:space="preserve"> recalls that Section 3 of Act No. 87/1991 on Extra-judicial Rehabilitations defines who is an “entitle</w:t>
      </w:r>
      <w:r w:rsidR="005952B7">
        <w:t>d</w:t>
      </w:r>
      <w:r w:rsidR="003332E0">
        <w:t xml:space="preserve"> person” for the purpose of seeking property restitution. According to the original wording of that provision, one of the requirements was permanent residence in the Czech or </w:t>
      </w:r>
      <w:smartTag w:uri="urn:schemas-microsoft-com:office:smarttags" w:element="place">
        <w:smartTag w:uri="urn:schemas-microsoft-com:office:smarttags" w:element="PlaceName">
          <w:r w:rsidR="003332E0">
            <w:t>Slovak</w:t>
          </w:r>
        </w:smartTag>
        <w:r w:rsidR="003332E0">
          <w:t xml:space="preserve"> </w:t>
        </w:r>
        <w:smartTag w:uri="urn:schemas-microsoft-com:office:smarttags" w:element="PlaceType">
          <w:r w:rsidR="003332E0">
            <w:t>Republics</w:t>
          </w:r>
        </w:smartTag>
      </w:smartTag>
      <w:r w:rsidR="003332E0">
        <w:t xml:space="preserve">. This provision was declared unconstitutional by the </w:t>
      </w:r>
      <w:smartTag w:uri="urn:schemas-microsoft-com:office:smarttags" w:element="Street">
        <w:smartTag w:uri="urn:schemas-microsoft-com:office:smarttags" w:element="address">
          <w:r w:rsidR="003332E0">
            <w:t>Constitutional Court</w:t>
          </w:r>
        </w:smartTag>
      </w:smartTag>
      <w:r w:rsidR="003332E0">
        <w:t xml:space="preserve"> in July 1994 and, consequently, it was repealed.</w:t>
      </w:r>
    </w:p>
    <w:p w:rsidR="003332E0" w:rsidRDefault="003332E0" w:rsidP="000C78EE">
      <w:pPr>
        <w:numPr>
          <w:ilvl w:val="1"/>
          <w:numId w:val="3"/>
        </w:numPr>
        <w:tabs>
          <w:tab w:val="clear" w:pos="720"/>
          <w:tab w:val="left" w:pos="567"/>
        </w:tabs>
        <w:spacing w:after="240"/>
        <w:ind w:left="0" w:firstLine="0"/>
        <w:jc w:val="both"/>
      </w:pPr>
      <w:r>
        <w:t xml:space="preserve">In the light </w:t>
      </w:r>
      <w:r w:rsidR="00523EDC">
        <w:t>of the decision of</w:t>
      </w:r>
      <w:r>
        <w:t xml:space="preserve"> the </w:t>
      </w:r>
      <w:smartTag w:uri="urn:schemas-microsoft-com:office:smarttags" w:element="Street">
        <w:smartTag w:uri="urn:schemas-microsoft-com:office:smarttags" w:element="address">
          <w:r>
            <w:t>Constitutional Court</w:t>
          </w:r>
        </w:smartTag>
      </w:smartTag>
      <w:r>
        <w:t xml:space="preserve">, all persons who did not meet the residence requirement were granted a new opportunity to seek property restitution. However, the author of this communication did not seek property restitution </w:t>
      </w:r>
      <w:r w:rsidR="001160AA">
        <w:t xml:space="preserve">under Act No. 87/1991 </w:t>
      </w:r>
      <w:r>
        <w:t xml:space="preserve">again. Under the circumstances, the State party </w:t>
      </w:r>
      <w:r w:rsidR="00523EDC">
        <w:t>considers</w:t>
      </w:r>
      <w:r>
        <w:t xml:space="preserve"> that the communication should be declared inadmissible for non-exhaustion of domestic remedies.</w:t>
      </w:r>
    </w:p>
    <w:p w:rsidR="006833BF" w:rsidRDefault="00371904" w:rsidP="00A56A13">
      <w:pPr>
        <w:numPr>
          <w:ilvl w:val="1"/>
          <w:numId w:val="3"/>
        </w:numPr>
        <w:tabs>
          <w:tab w:val="clear" w:pos="720"/>
          <w:tab w:val="left" w:pos="567"/>
        </w:tabs>
        <w:spacing w:after="240"/>
        <w:ind w:left="0" w:firstLine="0"/>
        <w:jc w:val="both"/>
      </w:pPr>
      <w:r>
        <w:t xml:space="preserve">In addition, the State party </w:t>
      </w:r>
      <w:r w:rsidR="0094745F">
        <w:t xml:space="preserve">notes that </w:t>
      </w:r>
      <w:r w:rsidR="00E36FCA">
        <w:t xml:space="preserve">the </w:t>
      </w:r>
      <w:r>
        <w:t xml:space="preserve">last domestic </w:t>
      </w:r>
      <w:r w:rsidR="0094745F">
        <w:t>decision</w:t>
      </w:r>
      <w:r w:rsidR="00E36FCA">
        <w:t xml:space="preserve"> </w:t>
      </w:r>
      <w:r>
        <w:t>was delivered on 21 November 1994. Thus, more than twelve years ha</w:t>
      </w:r>
      <w:r w:rsidR="00523EDC">
        <w:t>d</w:t>
      </w:r>
      <w:r>
        <w:t xml:space="preserve"> passed </w:t>
      </w:r>
      <w:r w:rsidR="00523EDC">
        <w:t>when</w:t>
      </w:r>
      <w:r>
        <w:t xml:space="preserve"> the author approached the Committee on 24 November 2006</w:t>
      </w:r>
      <w:r w:rsidR="00FD450A">
        <w:t>.</w:t>
      </w:r>
      <w:r>
        <w:t xml:space="preserve"> In the States party’s opinion</w:t>
      </w:r>
      <w:r w:rsidR="00523EDC">
        <w:t>,</w:t>
      </w:r>
      <w:r>
        <w:t xml:space="preserve"> this </w:t>
      </w:r>
      <w:r w:rsidR="00523EDC">
        <w:t>delay</w:t>
      </w:r>
      <w:r>
        <w:t xml:space="preserve"> is entirely unreasonable. </w:t>
      </w:r>
      <w:r w:rsidR="006833BF">
        <w:t xml:space="preserve">The State party is aware that the Optional </w:t>
      </w:r>
      <w:r w:rsidR="00111CFA">
        <w:t xml:space="preserve">Protocol does not establish any </w:t>
      </w:r>
      <w:r w:rsidR="006833BF">
        <w:t>time limits for submitting a communication, but points to jurisprudence of the Committee</w:t>
      </w:r>
      <w:r w:rsidR="006833BF">
        <w:rPr>
          <w:rStyle w:val="FootnoteReference"/>
          <w:i/>
          <w:iCs/>
        </w:rPr>
        <w:footnoteReference w:id="4"/>
      </w:r>
      <w:r w:rsidR="006833BF">
        <w:t xml:space="preserve"> which stated that when the delay is clearly unreasonable and unjustified it </w:t>
      </w:r>
      <w:r w:rsidR="00523EDC">
        <w:t>may</w:t>
      </w:r>
      <w:r w:rsidR="006833BF">
        <w:t xml:space="preserve"> constitute an abuse of the right of submission. </w:t>
      </w:r>
      <w:r>
        <w:t xml:space="preserve">The State party refers to other international complaint mechanisms, such as the European Court of Human Rights or the Inter-American Commission on Human Rights, </w:t>
      </w:r>
      <w:r w:rsidR="00523EDC">
        <w:t>where</w:t>
      </w:r>
      <w:r>
        <w:t xml:space="preserve"> a six-mo</w:t>
      </w:r>
      <w:r w:rsidR="006833BF">
        <w:t>n</w:t>
      </w:r>
      <w:r>
        <w:t>th time limit for</w:t>
      </w:r>
      <w:r w:rsidR="00523EDC">
        <w:t xml:space="preserve"> the</w:t>
      </w:r>
      <w:r>
        <w:t xml:space="preserve"> filing </w:t>
      </w:r>
      <w:r w:rsidR="00523EDC">
        <w:t xml:space="preserve">of </w:t>
      </w:r>
      <w:r>
        <w:t>complaints</w:t>
      </w:r>
      <w:r w:rsidR="00523EDC">
        <w:t xml:space="preserve"> exists</w:t>
      </w:r>
      <w:r w:rsidR="00D95A79">
        <w:t xml:space="preserve">. </w:t>
      </w:r>
    </w:p>
    <w:p w:rsidR="00726C6F" w:rsidRDefault="00D246BF" w:rsidP="000C78EE">
      <w:pPr>
        <w:numPr>
          <w:ilvl w:val="1"/>
          <w:numId w:val="3"/>
        </w:numPr>
        <w:tabs>
          <w:tab w:val="clear" w:pos="720"/>
          <w:tab w:val="left" w:pos="567"/>
        </w:tabs>
        <w:spacing w:after="240"/>
        <w:ind w:left="0" w:firstLine="0"/>
        <w:jc w:val="both"/>
      </w:pPr>
      <w:r>
        <w:t xml:space="preserve">In the absence of </w:t>
      </w:r>
      <w:r w:rsidR="00D95A79">
        <w:t xml:space="preserve">any explanation by the author of the reason for the delay, the State party </w:t>
      </w:r>
      <w:r w:rsidR="0094745F">
        <w:t xml:space="preserve">invites the Committee to consider the communication inadmissible as an abuse of the right to submit a communication, under article 3 of the Optional Protocol. </w:t>
      </w:r>
    </w:p>
    <w:p w:rsidR="007F151B" w:rsidRDefault="00012C34" w:rsidP="000C78EE">
      <w:pPr>
        <w:numPr>
          <w:ilvl w:val="1"/>
          <w:numId w:val="3"/>
        </w:numPr>
        <w:tabs>
          <w:tab w:val="clear" w:pos="720"/>
          <w:tab w:val="left" w:pos="567"/>
        </w:tabs>
        <w:spacing w:after="240"/>
        <w:ind w:left="0" w:firstLine="0"/>
        <w:jc w:val="both"/>
      </w:pPr>
      <w:r>
        <w:t>On</w:t>
      </w:r>
      <w:r w:rsidR="00D95A79">
        <w:t xml:space="preserve"> the merits of t</w:t>
      </w:r>
      <w:r w:rsidR="007F151B">
        <w:t xml:space="preserve">he case, the State party distinguishes this case from previous cases on property restitution </w:t>
      </w:r>
      <w:r w:rsidR="00523EDC">
        <w:t>dealt with by</w:t>
      </w:r>
      <w:r w:rsidR="007F151B">
        <w:t xml:space="preserve"> the Committee. In the present case, the issue is not the requirement of citizenship as a precondition for property restitution under the relevant laws. </w:t>
      </w:r>
    </w:p>
    <w:p w:rsidR="006833BF" w:rsidRDefault="007F151B" w:rsidP="000C78EE">
      <w:pPr>
        <w:numPr>
          <w:ilvl w:val="1"/>
          <w:numId w:val="3"/>
        </w:numPr>
        <w:tabs>
          <w:tab w:val="clear" w:pos="720"/>
          <w:tab w:val="left" w:pos="567"/>
        </w:tabs>
        <w:spacing w:after="240"/>
        <w:ind w:left="0" w:firstLine="0"/>
        <w:jc w:val="both"/>
      </w:pPr>
      <w:r>
        <w:t>The State party indicates that the author acquired Czech citizenship as early as September 1991, four days after she requested it. The State party explains that there were two reasons for the court of first instance to reject the author’s action. Firstly, the passage of the ownership title to the property in question from the author’s mother to the State took place outside the relevant period covered by the restitution laws, i.e. before 25 February 1948.</w:t>
      </w:r>
      <w:r w:rsidR="00B6368E">
        <w:t xml:space="preserve"> Secondly, the author failed to meet the requirement of permanent residence. </w:t>
      </w:r>
    </w:p>
    <w:p w:rsidR="007F151B" w:rsidRDefault="00B6368E" w:rsidP="00A56A13">
      <w:pPr>
        <w:numPr>
          <w:ilvl w:val="1"/>
          <w:numId w:val="3"/>
        </w:numPr>
        <w:tabs>
          <w:tab w:val="clear" w:pos="720"/>
          <w:tab w:val="left" w:pos="567"/>
        </w:tabs>
        <w:spacing w:after="240"/>
        <w:ind w:left="0" w:firstLine="0"/>
        <w:jc w:val="both"/>
      </w:pPr>
      <w:r>
        <w:t xml:space="preserve">The appellate court disagreed with the court </w:t>
      </w:r>
      <w:r w:rsidR="00523EDC">
        <w:t xml:space="preserve">of fist instance </w:t>
      </w:r>
      <w:r>
        <w:t xml:space="preserve">that Act </w:t>
      </w:r>
      <w:r w:rsidR="00727334">
        <w:t xml:space="preserve">No. </w:t>
      </w:r>
      <w:r>
        <w:t xml:space="preserve">87/1991 was inapplicable </w:t>
      </w:r>
      <w:r w:rsidRPr="00E049D7">
        <w:rPr>
          <w:i/>
          <w:iCs/>
        </w:rPr>
        <w:t>ratione temporis</w:t>
      </w:r>
      <w:r>
        <w:t xml:space="preserve">, but considered that </w:t>
      </w:r>
      <w:r w:rsidR="00727334">
        <w:t>a</w:t>
      </w:r>
      <w:r>
        <w:t xml:space="preserve"> transfer</w:t>
      </w:r>
      <w:r w:rsidR="00727334">
        <w:t xml:space="preserve"> of property pursuant to </w:t>
      </w:r>
      <w:r w:rsidR="00807267">
        <w:t>D</w:t>
      </w:r>
      <w:r w:rsidR="00727334">
        <w:t xml:space="preserve">ecree </w:t>
      </w:r>
      <w:r w:rsidR="00807267">
        <w:t xml:space="preserve">No. </w:t>
      </w:r>
      <w:r w:rsidR="00727334">
        <w:t>108/1945</w:t>
      </w:r>
      <w:r>
        <w:t xml:space="preserve"> did not meet the requirements of article 2</w:t>
      </w:r>
      <w:r w:rsidR="00807267">
        <w:t xml:space="preserve"> of Act No. 87/1991</w:t>
      </w:r>
      <w:r>
        <w:t xml:space="preserve">. </w:t>
      </w:r>
      <w:r w:rsidR="00727334">
        <w:t xml:space="preserve">The appellate court considered that the author’s mother was found guilty of </w:t>
      </w:r>
      <w:r w:rsidR="00523EDC">
        <w:t>sympathizing with</w:t>
      </w:r>
      <w:r w:rsidR="00C5690D">
        <w:t xml:space="preserve"> </w:t>
      </w:r>
      <w:r w:rsidR="00727334">
        <w:t>Nazism after due and proper</w:t>
      </w:r>
      <w:r w:rsidR="00523EDC">
        <w:t>ly held</w:t>
      </w:r>
      <w:r w:rsidR="00727334">
        <w:t xml:space="preserve"> administrative proceedings</w:t>
      </w:r>
      <w:r w:rsidR="00523EDC">
        <w:t>,</w:t>
      </w:r>
      <w:r w:rsidR="00725837">
        <w:t xml:space="preserve"> in accordance with </w:t>
      </w:r>
      <w:r w:rsidR="00807267">
        <w:t>D</w:t>
      </w:r>
      <w:r w:rsidR="00725837">
        <w:t xml:space="preserve">ecree </w:t>
      </w:r>
      <w:r w:rsidR="00807267">
        <w:t xml:space="preserve">No. </w:t>
      </w:r>
      <w:r w:rsidR="00E30151">
        <w:t>138</w:t>
      </w:r>
      <w:r w:rsidR="00725837">
        <w:t>/1945, which has not been repealed.</w:t>
      </w:r>
      <w:r w:rsidR="00727334">
        <w:t xml:space="preserve"> </w:t>
      </w:r>
      <w:r w:rsidR="00725837">
        <w:t>Since the preconditions under article 2 for the passage of the property to the State were not met, t</w:t>
      </w:r>
      <w:r>
        <w:t xml:space="preserve">he appellate court did not consider </w:t>
      </w:r>
      <w:r w:rsidR="00725837">
        <w:t>it necessary to deal with the requirements to be met by “entitled persons”, i.e.</w:t>
      </w:r>
      <w:r>
        <w:t xml:space="preserve"> permanent residence. The </w:t>
      </w:r>
      <w:smartTag w:uri="urn:schemas-microsoft-com:office:smarttags" w:element="Street">
        <w:smartTag w:uri="urn:schemas-microsoft-com:office:smarttags" w:element="address">
          <w:r>
            <w:t>Constitutional Court</w:t>
          </w:r>
        </w:smartTag>
      </w:smartTag>
      <w:r>
        <w:t xml:space="preserve"> upheld the decision of the court of first instance that the passage </w:t>
      </w:r>
      <w:r w:rsidR="00E049D7">
        <w:t>of the title to the property had taken place outside the relevant period</w:t>
      </w:r>
      <w:r w:rsidR="00523EDC">
        <w:t>,</w:t>
      </w:r>
      <w:r w:rsidR="00E049D7">
        <w:t xml:space="preserve"> and </w:t>
      </w:r>
      <w:r w:rsidR="00523EDC">
        <w:t xml:space="preserve">therefore </w:t>
      </w:r>
      <w:r w:rsidR="00E049D7">
        <w:t>did not deal with the requirement of permanent residence</w:t>
      </w:r>
      <w:r w:rsidR="00725837">
        <w:t xml:space="preserve"> either</w:t>
      </w:r>
      <w:r w:rsidR="00E049D7">
        <w:t>.</w:t>
      </w:r>
    </w:p>
    <w:p w:rsidR="00725837" w:rsidRDefault="00725837" w:rsidP="000C78EE">
      <w:pPr>
        <w:numPr>
          <w:ilvl w:val="1"/>
          <w:numId w:val="3"/>
        </w:numPr>
        <w:tabs>
          <w:tab w:val="clear" w:pos="720"/>
          <w:tab w:val="left" w:pos="567"/>
        </w:tabs>
        <w:spacing w:after="240"/>
        <w:ind w:left="0" w:firstLine="0"/>
        <w:jc w:val="both"/>
      </w:pPr>
      <w:r>
        <w:t xml:space="preserve">In view of the domestic courts’ decisions, the State party notes that the failure to meet the requirement of permanent residence was only a collateral reason for </w:t>
      </w:r>
      <w:r w:rsidR="00523EDC">
        <w:t xml:space="preserve">the </w:t>
      </w:r>
      <w:r>
        <w:t>rejecti</w:t>
      </w:r>
      <w:r w:rsidR="00523EDC">
        <w:t>o</w:t>
      </w:r>
      <w:r>
        <w:t xml:space="preserve">n </w:t>
      </w:r>
      <w:r w:rsidR="00523EDC">
        <w:t xml:space="preserve">of </w:t>
      </w:r>
      <w:r>
        <w:t xml:space="preserve">the author’s claim </w:t>
      </w:r>
      <w:r w:rsidR="00523EDC">
        <w:t>at</w:t>
      </w:r>
      <w:r>
        <w:t xml:space="preserve"> first instance. In addition, the </w:t>
      </w:r>
      <w:smartTag w:uri="urn:schemas-microsoft-com:office:smarttags" w:element="Street">
        <w:smartTag w:uri="urn:schemas-microsoft-com:office:smarttags" w:element="address">
          <w:r>
            <w:t>Constitutional Court</w:t>
          </w:r>
        </w:smartTag>
      </w:smartTag>
      <w:r>
        <w:t xml:space="preserve"> later declared this requirement unconstitutional. The State party </w:t>
      </w:r>
      <w:r w:rsidR="00FC01E4">
        <w:t>highlights</w:t>
      </w:r>
      <w:r>
        <w:t xml:space="preserve"> </w:t>
      </w:r>
      <w:r w:rsidR="00FC01E4">
        <w:t>that</w:t>
      </w:r>
      <w:r>
        <w:t xml:space="preserve"> the author does not comment on the other reasons for rejection and does not specify</w:t>
      </w:r>
      <w:r w:rsidR="00FC01E4">
        <w:t xml:space="preserve"> how these reasons discriminated against her.</w:t>
      </w:r>
    </w:p>
    <w:p w:rsidR="00725837" w:rsidRDefault="00FC01E4" w:rsidP="000C78EE">
      <w:pPr>
        <w:numPr>
          <w:ilvl w:val="1"/>
          <w:numId w:val="3"/>
        </w:numPr>
        <w:tabs>
          <w:tab w:val="clear" w:pos="720"/>
          <w:tab w:val="left" w:pos="567"/>
        </w:tabs>
        <w:spacing w:after="240"/>
        <w:ind w:left="0" w:firstLine="0"/>
        <w:jc w:val="both"/>
      </w:pPr>
      <w:r>
        <w:t xml:space="preserve">The State party recalls that the property was </w:t>
      </w:r>
      <w:r w:rsidRPr="00807267">
        <w:rPr>
          <w:i/>
          <w:iCs/>
        </w:rPr>
        <w:t>de iure</w:t>
      </w:r>
      <w:r>
        <w:t xml:space="preserve"> confiscated under </w:t>
      </w:r>
      <w:r w:rsidR="00807267">
        <w:t>D</w:t>
      </w:r>
      <w:r>
        <w:t>ecree</w:t>
      </w:r>
      <w:r w:rsidR="00807267">
        <w:t xml:space="preserve"> No.</w:t>
      </w:r>
      <w:r>
        <w:t xml:space="preserve"> 108/1945 before the relevant period of </w:t>
      </w:r>
      <w:r w:rsidR="00807267">
        <w:t>Act No.</w:t>
      </w:r>
      <w:r>
        <w:t xml:space="preserve"> 87/1991, although the </w:t>
      </w:r>
      <w:r w:rsidRPr="00807267">
        <w:rPr>
          <w:i/>
          <w:iCs/>
        </w:rPr>
        <w:t>de facto</w:t>
      </w:r>
      <w:r>
        <w:t xml:space="preserve"> dispossession took place in 1953. The State party refer to </w:t>
      </w:r>
      <w:r w:rsidR="00523EDC">
        <w:t xml:space="preserve">the decision of the Committee in </w:t>
      </w:r>
      <w:r w:rsidRPr="00C5690D">
        <w:rPr>
          <w:i/>
          <w:iCs/>
        </w:rPr>
        <w:t>Drobek v</w:t>
      </w:r>
      <w:r w:rsidR="00C5690D">
        <w:rPr>
          <w:i/>
          <w:iCs/>
        </w:rPr>
        <w:t>.</w:t>
      </w:r>
      <w:r w:rsidRPr="00C5690D">
        <w:rPr>
          <w:i/>
          <w:iCs/>
        </w:rPr>
        <w:t xml:space="preserve"> Slovakia</w:t>
      </w:r>
      <w:r>
        <w:rPr>
          <w:rStyle w:val="FootnoteReference"/>
        </w:rPr>
        <w:footnoteReference w:id="5"/>
      </w:r>
      <w:r>
        <w:t xml:space="preserve"> where </w:t>
      </w:r>
      <w:r w:rsidR="00523EDC">
        <w:t>it was</w:t>
      </w:r>
      <w:r>
        <w:t xml:space="preserve"> held that legislation adopted to compensate the victims of the communist regime did not appear to be </w:t>
      </w:r>
      <w:r w:rsidRPr="00B229C3">
        <w:rPr>
          <w:i/>
          <w:iCs/>
        </w:rPr>
        <w:t>prima facie</w:t>
      </w:r>
      <w:r>
        <w:t xml:space="preserve"> discriminatory because it did not compensate the victims of injustices committed by earlier regimes.</w:t>
      </w:r>
    </w:p>
    <w:p w:rsidR="00D95A79" w:rsidRDefault="00FC01E4" w:rsidP="000C78EE">
      <w:pPr>
        <w:numPr>
          <w:ilvl w:val="1"/>
          <w:numId w:val="3"/>
        </w:numPr>
        <w:tabs>
          <w:tab w:val="clear" w:pos="720"/>
          <w:tab w:val="left" w:pos="567"/>
        </w:tabs>
        <w:spacing w:after="240"/>
        <w:ind w:left="0" w:firstLine="0"/>
        <w:jc w:val="both"/>
      </w:pPr>
      <w:r>
        <w:t>The State party adds that</w:t>
      </w:r>
      <w:r w:rsidR="00C5690D">
        <w:t>, even if Act No. 87/1991 was applicable</w:t>
      </w:r>
      <w:r w:rsidR="00111CFA">
        <w:t>,</w:t>
      </w:r>
      <w:r w:rsidR="00C5690D">
        <w:t xml:space="preserve"> the requirements of Section 2 of the law were not met. It argues that the property confiscation was the result of the author’s mother being found guilty of approving of Nazism, which constituted an administrative infraction under </w:t>
      </w:r>
      <w:r w:rsidR="00807267">
        <w:t>D</w:t>
      </w:r>
      <w:r w:rsidR="00C5690D">
        <w:t xml:space="preserve">ecree No. 138/1945, and that the </w:t>
      </w:r>
      <w:r w:rsidR="00111CFA">
        <w:t>instant</w:t>
      </w:r>
      <w:r w:rsidR="00C5690D">
        <w:t xml:space="preserve"> case does not involve any injustice co</w:t>
      </w:r>
      <w:r w:rsidR="00807267">
        <w:t>mmitted by the Communist regime.</w:t>
      </w:r>
    </w:p>
    <w:p w:rsidR="00A34EBD" w:rsidRDefault="00C5690D" w:rsidP="000C78EE">
      <w:pPr>
        <w:numPr>
          <w:ilvl w:val="1"/>
          <w:numId w:val="3"/>
        </w:numPr>
        <w:tabs>
          <w:tab w:val="clear" w:pos="720"/>
          <w:tab w:val="left" w:pos="567"/>
        </w:tabs>
        <w:spacing w:after="240"/>
        <w:ind w:left="0" w:firstLine="0"/>
        <w:jc w:val="both"/>
      </w:pPr>
      <w:r>
        <w:t>As regards the alleged violation of article 14, paragraph 7, of the Covenant because of the conviction under Decree No. 138/1945 and the ensuing confiscation, the State party notes that these events took place before the Covenant and its Optional Protocol entered into force for the State party</w:t>
      </w:r>
      <w:r w:rsidR="00302632">
        <w:t>.</w:t>
      </w:r>
    </w:p>
    <w:p w:rsidR="009E61F5" w:rsidRPr="00005414" w:rsidRDefault="00523EDC" w:rsidP="000C78EE">
      <w:pPr>
        <w:tabs>
          <w:tab w:val="left" w:pos="567"/>
        </w:tabs>
        <w:spacing w:after="240"/>
        <w:jc w:val="both"/>
        <w:rPr>
          <w:b/>
          <w:bCs/>
        </w:rPr>
      </w:pPr>
      <w:r>
        <w:rPr>
          <w:b/>
          <w:bCs/>
        </w:rPr>
        <w:t>A</w:t>
      </w:r>
      <w:r w:rsidR="009E61F5" w:rsidRPr="00005414">
        <w:rPr>
          <w:b/>
          <w:bCs/>
        </w:rPr>
        <w:t>uthor’s comments on the State party’s observations</w:t>
      </w:r>
    </w:p>
    <w:p w:rsidR="00C5690D" w:rsidRDefault="000D0868" w:rsidP="000C78EE">
      <w:pPr>
        <w:numPr>
          <w:ilvl w:val="1"/>
          <w:numId w:val="4"/>
        </w:numPr>
        <w:tabs>
          <w:tab w:val="clear" w:pos="720"/>
          <w:tab w:val="left" w:pos="567"/>
        </w:tabs>
        <w:spacing w:after="240"/>
        <w:ind w:left="0" w:firstLine="0"/>
        <w:jc w:val="both"/>
      </w:pPr>
      <w:r>
        <w:t xml:space="preserve">In comments dated </w:t>
      </w:r>
      <w:r w:rsidR="00C5690D">
        <w:t>26 June 2008</w:t>
      </w:r>
      <w:r>
        <w:t xml:space="preserve">, the author </w:t>
      </w:r>
      <w:r w:rsidR="00111CFA">
        <w:t>reiterates</w:t>
      </w:r>
      <w:r w:rsidR="00F741F9">
        <w:t xml:space="preserve"> that, pursuant to an amnesty issued in 1948, the sentence against her mother was </w:t>
      </w:r>
      <w:r w:rsidR="00807267">
        <w:t>quashed</w:t>
      </w:r>
      <w:r w:rsidR="00F741F9">
        <w:t>. She considered that confiscating her mother’s property, after five years, was in violation of article 14, paragraph 7, of the Covenant. The author states that her mother was never pronounced a Nazi criminal or traitor.</w:t>
      </w:r>
    </w:p>
    <w:p w:rsidR="00F741F9" w:rsidRDefault="00F741F9" w:rsidP="000C78EE">
      <w:pPr>
        <w:numPr>
          <w:ilvl w:val="1"/>
          <w:numId w:val="4"/>
        </w:numPr>
        <w:tabs>
          <w:tab w:val="clear" w:pos="720"/>
          <w:tab w:val="left" w:pos="567"/>
        </w:tabs>
        <w:spacing w:after="240"/>
        <w:ind w:left="0" w:firstLine="0"/>
        <w:jc w:val="both"/>
      </w:pPr>
      <w:r>
        <w:t xml:space="preserve">As regards exhaustion of domestic remedies, the author </w:t>
      </w:r>
      <w:r w:rsidR="00111CFA">
        <w:t>states</w:t>
      </w:r>
      <w:r>
        <w:t xml:space="preserve"> that no domestic remedies were available to her.</w:t>
      </w:r>
    </w:p>
    <w:p w:rsidR="00B9623C" w:rsidRDefault="00035C74" w:rsidP="000C78EE">
      <w:pPr>
        <w:numPr>
          <w:ilvl w:val="1"/>
          <w:numId w:val="4"/>
        </w:numPr>
        <w:tabs>
          <w:tab w:val="clear" w:pos="720"/>
          <w:tab w:val="left" w:pos="567"/>
        </w:tabs>
        <w:spacing w:after="240"/>
        <w:ind w:left="0" w:firstLine="0"/>
        <w:jc w:val="both"/>
      </w:pPr>
      <w:r>
        <w:t xml:space="preserve">The author rejects the State party’s argument that </w:t>
      </w:r>
      <w:r w:rsidR="00F741F9">
        <w:t>her</w:t>
      </w:r>
      <w:r>
        <w:t xml:space="preserve"> communication is inadmissible </w:t>
      </w:r>
      <w:r w:rsidR="001C7032">
        <w:t>as an</w:t>
      </w:r>
      <w:r>
        <w:t xml:space="preserve"> abuse</w:t>
      </w:r>
      <w:r w:rsidR="001C7032">
        <w:t xml:space="preserve"> of the right of submission</w:t>
      </w:r>
      <w:r>
        <w:t xml:space="preserve">. </w:t>
      </w:r>
      <w:r w:rsidR="00B229C3">
        <w:t>She explains</w:t>
      </w:r>
      <w:r>
        <w:t xml:space="preserve"> that the delay in submitting the communication was </w:t>
      </w:r>
      <w:r w:rsidR="00F741F9">
        <w:t>because neither her nor her lawyer in the Czech Republic were aware of the existence of the Committee and its decisions. She</w:t>
      </w:r>
      <w:r>
        <w:t xml:space="preserve"> </w:t>
      </w:r>
      <w:r w:rsidR="009C5EB6">
        <w:t>contends</w:t>
      </w:r>
      <w:r>
        <w:t xml:space="preserve"> that the State party does not publish the </w:t>
      </w:r>
      <w:r w:rsidR="009C5EB6">
        <w:t xml:space="preserve">Committee’s </w:t>
      </w:r>
      <w:r>
        <w:t>decisions</w:t>
      </w:r>
      <w:r w:rsidR="00404110">
        <w:t>.</w:t>
      </w:r>
      <w:r w:rsidR="00BC78CF">
        <w:t xml:space="preserve"> </w:t>
      </w:r>
    </w:p>
    <w:p w:rsidR="00B229C3" w:rsidRPr="00005414" w:rsidRDefault="00B229C3" w:rsidP="000C78EE">
      <w:pPr>
        <w:tabs>
          <w:tab w:val="left" w:pos="567"/>
        </w:tabs>
        <w:spacing w:after="240"/>
        <w:jc w:val="both"/>
        <w:rPr>
          <w:b/>
          <w:bCs/>
        </w:rPr>
      </w:pPr>
      <w:r>
        <w:rPr>
          <w:b/>
          <w:bCs/>
        </w:rPr>
        <w:t>Additional comments by the parties</w:t>
      </w:r>
    </w:p>
    <w:p w:rsidR="00B229C3" w:rsidRDefault="00B229C3" w:rsidP="000C78EE">
      <w:pPr>
        <w:tabs>
          <w:tab w:val="left" w:pos="567"/>
        </w:tabs>
        <w:spacing w:after="240"/>
        <w:jc w:val="both"/>
      </w:pPr>
      <w:r>
        <w:t>6.1</w:t>
      </w:r>
      <w:r>
        <w:tab/>
        <w:t xml:space="preserve">On 11 December 2008, the State party submitted additional observations in reply to the author’s comments. </w:t>
      </w:r>
      <w:r w:rsidR="002732CF">
        <w:t>It</w:t>
      </w:r>
      <w:r>
        <w:t xml:space="preserve"> argues that the 1948 amnesty only stated that certain minor</w:t>
      </w:r>
      <w:r w:rsidR="00B14AF5">
        <w:t xml:space="preserve"> </w:t>
      </w:r>
      <w:r>
        <w:t>administrative penalties</w:t>
      </w:r>
      <w:r w:rsidR="00B14AF5">
        <w:t xml:space="preserve"> under Decree No. 138/1945 would not be served, </w:t>
      </w:r>
      <w:r w:rsidR="00111CFA">
        <w:t xml:space="preserve">and </w:t>
      </w:r>
      <w:r w:rsidR="00B14AF5">
        <w:t>not that t</w:t>
      </w:r>
      <w:r w:rsidR="00807267">
        <w:t>hey would be quashed or erased.</w:t>
      </w:r>
    </w:p>
    <w:p w:rsidR="00B14AF5" w:rsidRDefault="00B14AF5" w:rsidP="000C78EE">
      <w:pPr>
        <w:tabs>
          <w:tab w:val="left" w:pos="567"/>
        </w:tabs>
        <w:spacing w:after="240"/>
        <w:jc w:val="both"/>
      </w:pPr>
      <w:r>
        <w:t>6.2</w:t>
      </w:r>
      <w:r>
        <w:tab/>
        <w:t>As regards the alleged lack of information on the work of the Committee, the State party considered the explanation given by the author unreasonable</w:t>
      </w:r>
      <w:r w:rsidR="00111CFA">
        <w:t>, especially in relation to her Czech lawyer</w:t>
      </w:r>
      <w:r>
        <w:t>. The State party maintains that both the Covenant and the Optional Proto</w:t>
      </w:r>
      <w:r w:rsidR="002732CF">
        <w:t xml:space="preserve">col were duly published in </w:t>
      </w:r>
      <w:r w:rsidR="005333DE">
        <w:t>its</w:t>
      </w:r>
      <w:r w:rsidR="002732CF">
        <w:t xml:space="preserve"> Official G</w:t>
      </w:r>
      <w:r>
        <w:t>azette.</w:t>
      </w:r>
    </w:p>
    <w:p w:rsidR="00B14AF5" w:rsidRDefault="00E30151" w:rsidP="000C78EE">
      <w:pPr>
        <w:tabs>
          <w:tab w:val="left" w:pos="567"/>
        </w:tabs>
        <w:spacing w:after="240"/>
        <w:jc w:val="both"/>
      </w:pPr>
      <w:r>
        <w:t>7.</w:t>
      </w:r>
      <w:r w:rsidR="00B14AF5">
        <w:tab/>
        <w:t xml:space="preserve">On 6 January 2009, the author informed the Committee </w:t>
      </w:r>
      <w:r w:rsidR="009E2DB9">
        <w:t xml:space="preserve">of two new suits of law </w:t>
      </w:r>
      <w:r w:rsidR="00111CFA">
        <w:t>initiated</w:t>
      </w:r>
      <w:r w:rsidR="009E2DB9">
        <w:t xml:space="preserve"> by her: On</w:t>
      </w:r>
      <w:r w:rsidR="00BE607C">
        <w:t xml:space="preserve"> 4 June 2004, the District Court of Prague rejected </w:t>
      </w:r>
      <w:r w:rsidR="009E2DB9">
        <w:t>her</w:t>
      </w:r>
      <w:r w:rsidR="00BE607C">
        <w:t xml:space="preserve"> ownership claim arguing that it was not competent to examine the factual correctness of the confiscation, which was decided according to valid administrative rules. On </w:t>
      </w:r>
      <w:r w:rsidR="00EE3096">
        <w:t>25 October</w:t>
      </w:r>
      <w:r w:rsidR="00BE607C">
        <w:t xml:space="preserve"> 2007</w:t>
      </w:r>
      <w:r w:rsidR="00EE3096">
        <w:t>,</w:t>
      </w:r>
      <w:r w:rsidR="00BE607C">
        <w:t xml:space="preserve"> the City Court of Prague confirmed the decision of the District Court.</w:t>
      </w:r>
      <w:r w:rsidR="00EE3096">
        <w:t xml:space="preserve"> The appellate court added that the author’s mother did not own the property at the time of her death and thus, the author could not become an owner through inheritance</w:t>
      </w:r>
      <w:r w:rsidR="009E2DB9">
        <w:t>.</w:t>
      </w:r>
    </w:p>
    <w:p w:rsidR="00E30151" w:rsidRPr="000D0868" w:rsidRDefault="00E30151" w:rsidP="00207B09">
      <w:pPr>
        <w:tabs>
          <w:tab w:val="left" w:pos="567"/>
        </w:tabs>
        <w:spacing w:after="240"/>
        <w:jc w:val="both"/>
      </w:pPr>
      <w:r>
        <w:t>8.</w:t>
      </w:r>
      <w:r>
        <w:tab/>
        <w:t>On 3 June 2009, the State party submitted additional observations</w:t>
      </w:r>
      <w:r w:rsidR="00496801">
        <w:t xml:space="preserve"> on the claim on article 14, paragraph 7</w:t>
      </w:r>
      <w:r w:rsidR="00207B09">
        <w:t>,</w:t>
      </w:r>
      <w:r w:rsidR="00496801">
        <w:t xml:space="preserve"> made by the author. It states that the claim is inadmissible </w:t>
      </w:r>
      <w:r w:rsidR="00496801" w:rsidRPr="00496801">
        <w:rPr>
          <w:i/>
          <w:iCs/>
        </w:rPr>
        <w:t>ratione personae</w:t>
      </w:r>
      <w:r w:rsidR="00496801">
        <w:t xml:space="preserve">, as the author is not the victim of the alleged violation, and </w:t>
      </w:r>
      <w:r w:rsidR="00496801" w:rsidRPr="00496801">
        <w:rPr>
          <w:i/>
          <w:iCs/>
        </w:rPr>
        <w:t>ratione temporis</w:t>
      </w:r>
      <w:r w:rsidR="00496801">
        <w:t>, as the confiscation of property took place before the entry into force of the Optional Protocol for the State party. The State party adds that the claim is manifestly ill-founded, as the author’s mother was not tried or punished again for an offence for which she had already been finally convicted or acquitted. The confiscation was a consequence o</w:t>
      </w:r>
      <w:r w:rsidR="00207B09">
        <w:t>f</w:t>
      </w:r>
      <w:r w:rsidR="00496801">
        <w:t xml:space="preserve"> </w:t>
      </w:r>
      <w:r w:rsidR="00207B09">
        <w:t>having committed</w:t>
      </w:r>
      <w:r w:rsidR="00496801">
        <w:t xml:space="preserve"> an administrative offence under decree No. 138/1945.</w:t>
      </w:r>
    </w:p>
    <w:p w:rsidR="009E61F5" w:rsidRPr="00005414" w:rsidRDefault="009E61F5" w:rsidP="000C78EE">
      <w:pPr>
        <w:tabs>
          <w:tab w:val="left" w:pos="567"/>
        </w:tabs>
        <w:spacing w:after="240"/>
        <w:jc w:val="both"/>
        <w:rPr>
          <w:b/>
          <w:bCs/>
        </w:rPr>
      </w:pPr>
      <w:r w:rsidRPr="00005414">
        <w:rPr>
          <w:b/>
          <w:bCs/>
        </w:rPr>
        <w:t>Issues and proceedings before the Committee</w:t>
      </w:r>
    </w:p>
    <w:p w:rsidR="00B61D7D" w:rsidRPr="00005414" w:rsidRDefault="00B61D7D" w:rsidP="000C78EE">
      <w:pPr>
        <w:tabs>
          <w:tab w:val="left" w:pos="567"/>
        </w:tabs>
        <w:spacing w:after="240"/>
        <w:jc w:val="both"/>
        <w:rPr>
          <w:b/>
          <w:bCs/>
        </w:rPr>
      </w:pPr>
      <w:r w:rsidRPr="00005414">
        <w:rPr>
          <w:b/>
          <w:bCs/>
        </w:rPr>
        <w:t>Consideration of admissibility</w:t>
      </w:r>
    </w:p>
    <w:p w:rsidR="00E44EE6" w:rsidRDefault="005056AA" w:rsidP="000C78EE">
      <w:pPr>
        <w:tabs>
          <w:tab w:val="left" w:pos="567"/>
        </w:tabs>
        <w:autoSpaceDE w:val="0"/>
        <w:autoSpaceDN w:val="0"/>
        <w:adjustRightInd w:val="0"/>
        <w:spacing w:after="240"/>
        <w:jc w:val="both"/>
        <w:rPr>
          <w:lang w:val="en-US"/>
        </w:rPr>
      </w:pPr>
      <w:r>
        <w:t>9</w:t>
      </w:r>
      <w:r w:rsidR="002732CF">
        <w:t>.1</w:t>
      </w:r>
      <w:r w:rsidR="002732CF">
        <w:tab/>
      </w:r>
      <w:r w:rsidR="00B61D7D">
        <w:rPr>
          <w:lang w:val="en-US"/>
        </w:rPr>
        <w:t>Before considering any claims contained in a communication, the Human Rights Committee must, in accordance with article 93 of its rules of procedure, decide whether or not it is admissible under the Optional Protocol to the Covenant.</w:t>
      </w:r>
    </w:p>
    <w:p w:rsidR="00E44EE6" w:rsidRDefault="005056AA" w:rsidP="000C78EE">
      <w:pPr>
        <w:tabs>
          <w:tab w:val="left" w:pos="567"/>
        </w:tabs>
        <w:autoSpaceDE w:val="0"/>
        <w:autoSpaceDN w:val="0"/>
        <w:adjustRightInd w:val="0"/>
        <w:spacing w:after="240"/>
        <w:jc w:val="both"/>
        <w:rPr>
          <w:lang w:val="en-US"/>
        </w:rPr>
      </w:pPr>
      <w:r>
        <w:rPr>
          <w:lang w:val="en-US"/>
        </w:rPr>
        <w:t>9</w:t>
      </w:r>
      <w:r w:rsidR="002732CF">
        <w:rPr>
          <w:lang w:val="en-US"/>
        </w:rPr>
        <w:t>.2</w:t>
      </w:r>
      <w:r w:rsidR="002732CF">
        <w:rPr>
          <w:lang w:val="en-US"/>
        </w:rPr>
        <w:tab/>
      </w:r>
      <w:r w:rsidR="00C23288" w:rsidRPr="00E44EE6">
        <w:rPr>
          <w:lang w:val="en-US"/>
        </w:rPr>
        <w:t>The Committee notes that the author considers the requirement of permanent res</w:t>
      </w:r>
      <w:r w:rsidR="00F34011" w:rsidRPr="00E44EE6">
        <w:rPr>
          <w:lang w:val="en-US"/>
        </w:rPr>
        <w:t xml:space="preserve">idence in Act No. 87/1991 to be in violation of article 26 of the Covenant. </w:t>
      </w:r>
      <w:r w:rsidR="00F4463C" w:rsidRPr="00E44EE6">
        <w:rPr>
          <w:lang w:val="en-US"/>
        </w:rPr>
        <w:t xml:space="preserve">In this regard, the Committee has already had occasion to hold that laws relating to property rights may violate article 26 of the Covenant if they are discriminatory in character. The question the Committee must therefore resolve in the instant case is whether Act No. 87/1991, as applied to the author, </w:t>
      </w:r>
      <w:r w:rsidR="00E44EE6">
        <w:rPr>
          <w:lang w:val="en-US"/>
        </w:rPr>
        <w:t>was indeed discriminatory.</w:t>
      </w:r>
    </w:p>
    <w:p w:rsidR="004044F9" w:rsidRDefault="005056AA" w:rsidP="000C78EE">
      <w:pPr>
        <w:tabs>
          <w:tab w:val="left" w:pos="567"/>
        </w:tabs>
        <w:autoSpaceDE w:val="0"/>
        <w:autoSpaceDN w:val="0"/>
        <w:adjustRightInd w:val="0"/>
        <w:spacing w:after="240"/>
        <w:jc w:val="both"/>
        <w:rPr>
          <w:lang w:val="en-US"/>
        </w:rPr>
      </w:pPr>
      <w:r>
        <w:rPr>
          <w:lang w:val="en-US"/>
        </w:rPr>
        <w:t>9</w:t>
      </w:r>
      <w:r w:rsidR="002732CF">
        <w:rPr>
          <w:lang w:val="en-US"/>
        </w:rPr>
        <w:t>.3</w:t>
      </w:r>
      <w:r w:rsidR="002732CF">
        <w:rPr>
          <w:lang w:val="en-US"/>
        </w:rPr>
        <w:tab/>
      </w:r>
      <w:r w:rsidR="00F34011" w:rsidRPr="00E44EE6">
        <w:rPr>
          <w:lang w:val="en-US"/>
        </w:rPr>
        <w:t xml:space="preserve">The </w:t>
      </w:r>
      <w:r w:rsidR="008C5486">
        <w:rPr>
          <w:lang w:val="en-US"/>
        </w:rPr>
        <w:t>Committee observes</w:t>
      </w:r>
      <w:r w:rsidR="00B7710C" w:rsidRPr="00E44EE6">
        <w:rPr>
          <w:lang w:val="en-US"/>
        </w:rPr>
        <w:t xml:space="preserve"> </w:t>
      </w:r>
      <w:r w:rsidR="00F34011" w:rsidRPr="00E44EE6">
        <w:rPr>
          <w:lang w:val="en-US"/>
        </w:rPr>
        <w:t xml:space="preserve">that permanent residence was not the only </w:t>
      </w:r>
      <w:r w:rsidR="008C5486">
        <w:rPr>
          <w:lang w:val="en-US"/>
        </w:rPr>
        <w:t>reason</w:t>
      </w:r>
      <w:r w:rsidR="00F34011" w:rsidRPr="00E44EE6">
        <w:rPr>
          <w:lang w:val="en-US"/>
        </w:rPr>
        <w:t xml:space="preserve"> </w:t>
      </w:r>
      <w:r w:rsidR="00B7710C" w:rsidRPr="00E44EE6">
        <w:rPr>
          <w:lang w:val="en-US"/>
        </w:rPr>
        <w:t>invoked</w:t>
      </w:r>
      <w:r w:rsidR="00F34011" w:rsidRPr="00E44EE6">
        <w:rPr>
          <w:lang w:val="en-US"/>
        </w:rPr>
        <w:t xml:space="preserve"> by the </w:t>
      </w:r>
      <w:r w:rsidR="004044F9">
        <w:rPr>
          <w:lang w:val="en-US"/>
        </w:rPr>
        <w:t>court</w:t>
      </w:r>
      <w:r w:rsidR="00E44EE6">
        <w:rPr>
          <w:lang w:val="en-US"/>
        </w:rPr>
        <w:t xml:space="preserve"> </w:t>
      </w:r>
      <w:r w:rsidR="002732CF">
        <w:rPr>
          <w:lang w:val="en-US"/>
        </w:rPr>
        <w:t xml:space="preserve">of first instance </w:t>
      </w:r>
      <w:r w:rsidR="00E44EE6">
        <w:rPr>
          <w:lang w:val="en-US"/>
        </w:rPr>
        <w:t xml:space="preserve">in </w:t>
      </w:r>
      <w:r w:rsidR="002732CF">
        <w:rPr>
          <w:lang w:val="en-US"/>
        </w:rPr>
        <w:t>its rejection of</w:t>
      </w:r>
      <w:r w:rsidR="00F34011" w:rsidRPr="00E44EE6">
        <w:rPr>
          <w:lang w:val="en-US"/>
        </w:rPr>
        <w:t xml:space="preserve"> the author’s restitution claim </w:t>
      </w:r>
      <w:r w:rsidR="00F4463C" w:rsidRPr="00E44EE6">
        <w:rPr>
          <w:lang w:val="en-US"/>
        </w:rPr>
        <w:t>under Act No. 87/1991</w:t>
      </w:r>
      <w:r w:rsidR="008C5486">
        <w:rPr>
          <w:lang w:val="en-US"/>
        </w:rPr>
        <w:t xml:space="preserve">, which was also dismissed </w:t>
      </w:r>
      <w:r w:rsidR="008C5486" w:rsidRPr="008C5486">
        <w:rPr>
          <w:i/>
          <w:iCs/>
          <w:lang w:val="en-US"/>
        </w:rPr>
        <w:t>ratione temporis</w:t>
      </w:r>
      <w:r w:rsidR="008C5486">
        <w:rPr>
          <w:lang w:val="en-US"/>
        </w:rPr>
        <w:t>.</w:t>
      </w:r>
      <w:r w:rsidR="008C5486" w:rsidRPr="008C5486">
        <w:rPr>
          <w:lang w:val="en-US"/>
        </w:rPr>
        <w:t xml:space="preserve"> </w:t>
      </w:r>
      <w:r w:rsidR="008C5486">
        <w:rPr>
          <w:lang w:val="en-US"/>
        </w:rPr>
        <w:t>T</w:t>
      </w:r>
      <w:r w:rsidR="008C5486" w:rsidRPr="00E44EE6">
        <w:rPr>
          <w:lang w:val="en-US"/>
        </w:rPr>
        <w:t xml:space="preserve">he appellate court and the </w:t>
      </w:r>
      <w:smartTag w:uri="urn:schemas-microsoft-com:office:smarttags" w:element="Street">
        <w:smartTag w:uri="urn:schemas-microsoft-com:office:smarttags" w:element="address">
          <w:r w:rsidR="008C5486" w:rsidRPr="00E44EE6">
            <w:rPr>
              <w:lang w:val="en-US"/>
            </w:rPr>
            <w:t>Constitutional Court</w:t>
          </w:r>
        </w:smartTag>
      </w:smartTag>
      <w:r w:rsidR="008C5486">
        <w:rPr>
          <w:lang w:val="en-US"/>
        </w:rPr>
        <w:t>, in turn,</w:t>
      </w:r>
      <w:r w:rsidR="008C5486" w:rsidRPr="00E44EE6">
        <w:rPr>
          <w:lang w:val="en-US"/>
        </w:rPr>
        <w:t xml:space="preserve"> rejected the restitution claim </w:t>
      </w:r>
      <w:r w:rsidR="008C5486">
        <w:rPr>
          <w:lang w:val="en-US"/>
        </w:rPr>
        <w:t>under articles 2 and 1 of the law, respectively,</w:t>
      </w:r>
      <w:r w:rsidR="008C5486" w:rsidRPr="00E44EE6">
        <w:rPr>
          <w:lang w:val="en-US"/>
        </w:rPr>
        <w:t xml:space="preserve"> without making reference to the requirement </w:t>
      </w:r>
      <w:r w:rsidR="002732CF">
        <w:rPr>
          <w:lang w:val="en-US"/>
        </w:rPr>
        <w:t>of</w:t>
      </w:r>
      <w:r w:rsidR="008C5486" w:rsidRPr="00E44EE6">
        <w:rPr>
          <w:lang w:val="en-US"/>
        </w:rPr>
        <w:t xml:space="preserve"> permanent residence.</w:t>
      </w:r>
      <w:r w:rsidR="008C5486" w:rsidRPr="004044F9">
        <w:rPr>
          <w:vertAlign w:val="superscript"/>
          <w:lang w:val="en-US"/>
        </w:rPr>
        <w:footnoteReference w:id="6"/>
      </w:r>
    </w:p>
    <w:p w:rsidR="004044F9" w:rsidRDefault="005056AA" w:rsidP="000C78EE">
      <w:pPr>
        <w:tabs>
          <w:tab w:val="left" w:pos="567"/>
        </w:tabs>
        <w:autoSpaceDE w:val="0"/>
        <w:autoSpaceDN w:val="0"/>
        <w:adjustRightInd w:val="0"/>
        <w:spacing w:after="240"/>
        <w:jc w:val="both"/>
        <w:rPr>
          <w:lang w:val="en-US"/>
        </w:rPr>
      </w:pPr>
      <w:r>
        <w:rPr>
          <w:lang w:val="en-US"/>
        </w:rPr>
        <w:t>9</w:t>
      </w:r>
      <w:r w:rsidR="002732CF">
        <w:rPr>
          <w:lang w:val="en-US"/>
        </w:rPr>
        <w:t>.4</w:t>
      </w:r>
      <w:r w:rsidR="002732CF">
        <w:rPr>
          <w:lang w:val="en-US"/>
        </w:rPr>
        <w:tab/>
      </w:r>
      <w:r w:rsidR="00E531A3" w:rsidRPr="00E44EE6">
        <w:rPr>
          <w:lang w:val="en-US"/>
        </w:rPr>
        <w:t>The Committee notes that</w:t>
      </w:r>
      <w:r w:rsidR="00F4463C" w:rsidRPr="00E44EE6">
        <w:rPr>
          <w:lang w:val="en-US"/>
        </w:rPr>
        <w:t xml:space="preserve"> the instant case differs </w:t>
      </w:r>
      <w:r w:rsidR="00E531A3" w:rsidRPr="00E44EE6">
        <w:rPr>
          <w:lang w:val="en-US"/>
        </w:rPr>
        <w:t xml:space="preserve">from </w:t>
      </w:r>
      <w:r w:rsidR="002732CF">
        <w:rPr>
          <w:lang w:val="en-US"/>
        </w:rPr>
        <w:t xml:space="preserve">those property restitution cases previously dealt with by it, </w:t>
      </w:r>
      <w:r w:rsidR="00E531A3" w:rsidRPr="00E44EE6">
        <w:rPr>
          <w:lang w:val="en-US"/>
        </w:rPr>
        <w:t xml:space="preserve">in that the requirement </w:t>
      </w:r>
      <w:r w:rsidR="002732CF">
        <w:rPr>
          <w:lang w:val="en-US"/>
        </w:rPr>
        <w:t xml:space="preserve">of </w:t>
      </w:r>
      <w:r w:rsidR="00E531A3" w:rsidRPr="00E44EE6">
        <w:rPr>
          <w:lang w:val="en-US"/>
        </w:rPr>
        <w:t xml:space="preserve">permanent residence </w:t>
      </w:r>
      <w:r w:rsidR="004044F9">
        <w:rPr>
          <w:lang w:val="en-US"/>
        </w:rPr>
        <w:t>was not</w:t>
      </w:r>
      <w:r w:rsidR="00E531A3" w:rsidRPr="00E44EE6">
        <w:rPr>
          <w:lang w:val="en-US"/>
        </w:rPr>
        <w:t xml:space="preserve"> crucial for </w:t>
      </w:r>
      <w:r w:rsidR="002732CF">
        <w:rPr>
          <w:lang w:val="en-US"/>
        </w:rPr>
        <w:t>the rejection of</w:t>
      </w:r>
      <w:r w:rsidR="00E531A3" w:rsidRPr="00E44EE6">
        <w:rPr>
          <w:lang w:val="en-US"/>
        </w:rPr>
        <w:t xml:space="preserve"> the author’s claim. The Committee further</w:t>
      </w:r>
      <w:r w:rsidR="00C23288" w:rsidRPr="00E44EE6">
        <w:rPr>
          <w:lang w:val="en-US"/>
        </w:rPr>
        <w:t xml:space="preserve"> notes that the author has not argued how</w:t>
      </w:r>
      <w:r w:rsidR="00207B09">
        <w:rPr>
          <w:lang w:val="en-US"/>
        </w:rPr>
        <w:t>, apart from the issue of permanent residence,</w:t>
      </w:r>
      <w:r w:rsidR="00C23288" w:rsidRPr="00E44EE6">
        <w:rPr>
          <w:lang w:val="en-US"/>
        </w:rPr>
        <w:t xml:space="preserve"> </w:t>
      </w:r>
      <w:r w:rsidR="00E531A3" w:rsidRPr="00E44EE6">
        <w:rPr>
          <w:lang w:val="en-US"/>
        </w:rPr>
        <w:t>the application</w:t>
      </w:r>
      <w:r w:rsidR="00C23288" w:rsidRPr="00E44EE6">
        <w:rPr>
          <w:lang w:val="en-US"/>
        </w:rPr>
        <w:t xml:space="preserve"> of Act No. 87/1991 </w:t>
      </w:r>
      <w:r w:rsidR="00E44EE6" w:rsidRPr="00E44EE6">
        <w:rPr>
          <w:lang w:val="en-US"/>
        </w:rPr>
        <w:t>to her case</w:t>
      </w:r>
      <w:r w:rsidR="00E531A3" w:rsidRPr="00E44EE6">
        <w:rPr>
          <w:lang w:val="en-US"/>
        </w:rPr>
        <w:t xml:space="preserve"> </w:t>
      </w:r>
      <w:r w:rsidR="00C23288" w:rsidRPr="00E44EE6">
        <w:rPr>
          <w:lang w:val="en-US"/>
        </w:rPr>
        <w:t>amounts to prohibited discrimination within the meaning of article 26.</w:t>
      </w:r>
      <w:r w:rsidR="00E44EE6" w:rsidRPr="00E44EE6">
        <w:rPr>
          <w:lang w:val="en-US"/>
        </w:rPr>
        <w:t xml:space="preserve"> In view of the above, the Committee considers that this claim has been insufficiently substantiated</w:t>
      </w:r>
      <w:r w:rsidR="002732CF">
        <w:rPr>
          <w:lang w:val="en-US"/>
        </w:rPr>
        <w:t>,</w:t>
      </w:r>
      <w:r w:rsidR="00E44EE6" w:rsidRPr="00E44EE6">
        <w:rPr>
          <w:lang w:val="en-US"/>
        </w:rPr>
        <w:t xml:space="preserve"> for purposes of admissibility.</w:t>
      </w:r>
    </w:p>
    <w:p w:rsidR="000D4451" w:rsidRPr="00E44EE6" w:rsidRDefault="00E41FC1" w:rsidP="000C78EE">
      <w:pPr>
        <w:tabs>
          <w:tab w:val="left" w:pos="567"/>
        </w:tabs>
        <w:autoSpaceDE w:val="0"/>
        <w:autoSpaceDN w:val="0"/>
        <w:adjustRightInd w:val="0"/>
        <w:spacing w:after="240"/>
        <w:jc w:val="both"/>
        <w:rPr>
          <w:lang w:val="en-US"/>
        </w:rPr>
      </w:pPr>
      <w:r>
        <w:rPr>
          <w:lang w:val="en-US"/>
        </w:rPr>
        <w:t>9</w:t>
      </w:r>
      <w:r w:rsidR="002732CF">
        <w:rPr>
          <w:lang w:val="en-US"/>
        </w:rPr>
        <w:t>.5</w:t>
      </w:r>
      <w:r w:rsidR="002732CF">
        <w:rPr>
          <w:lang w:val="en-US"/>
        </w:rPr>
        <w:tab/>
      </w:r>
      <w:r w:rsidR="00E44EE6" w:rsidRPr="00E44EE6">
        <w:rPr>
          <w:lang w:val="en-US"/>
        </w:rPr>
        <w:t xml:space="preserve">The author has also </w:t>
      </w:r>
      <w:r w:rsidR="008C5486">
        <w:rPr>
          <w:lang w:val="en-US"/>
        </w:rPr>
        <w:t>alleged</w:t>
      </w:r>
      <w:r w:rsidR="00E44EE6" w:rsidRPr="00E44EE6">
        <w:rPr>
          <w:lang w:val="en-US"/>
        </w:rPr>
        <w:t xml:space="preserve"> that the State party violated article 14, paragraph 7, of the Covenant. The author does not advance any meaningful arguments </w:t>
      </w:r>
      <w:r w:rsidR="002732CF">
        <w:rPr>
          <w:lang w:val="en-US"/>
        </w:rPr>
        <w:t>in</w:t>
      </w:r>
      <w:r w:rsidR="00E44EE6" w:rsidRPr="00E44EE6">
        <w:rPr>
          <w:lang w:val="en-US"/>
        </w:rPr>
        <w:t xml:space="preserve"> substantiati</w:t>
      </w:r>
      <w:r w:rsidR="002732CF">
        <w:rPr>
          <w:lang w:val="en-US"/>
        </w:rPr>
        <w:t>on of her claim, which</w:t>
      </w:r>
      <w:r w:rsidR="00E44EE6" w:rsidRPr="00E44EE6">
        <w:rPr>
          <w:lang w:val="en-US"/>
        </w:rPr>
        <w:t xml:space="preserve"> accordingly </w:t>
      </w:r>
      <w:r w:rsidR="002732CF">
        <w:rPr>
          <w:lang w:val="en-US"/>
        </w:rPr>
        <w:t>is deemed</w:t>
      </w:r>
      <w:r w:rsidR="00E44EE6" w:rsidRPr="00E44EE6">
        <w:rPr>
          <w:lang w:val="en-US"/>
        </w:rPr>
        <w:t xml:space="preserve"> inadmissible.</w:t>
      </w:r>
    </w:p>
    <w:p w:rsidR="00B3192B" w:rsidRDefault="00E41FC1" w:rsidP="000C78EE">
      <w:pPr>
        <w:tabs>
          <w:tab w:val="left" w:pos="567"/>
        </w:tabs>
        <w:autoSpaceDE w:val="0"/>
        <w:autoSpaceDN w:val="0"/>
        <w:adjustRightInd w:val="0"/>
        <w:spacing w:after="240"/>
        <w:jc w:val="both"/>
      </w:pPr>
      <w:r>
        <w:t>10</w:t>
      </w:r>
      <w:r w:rsidR="00B3192B">
        <w:t>.</w:t>
      </w:r>
      <w:r w:rsidR="000C78EE">
        <w:tab/>
      </w:r>
      <w:r w:rsidR="00B3192B">
        <w:t>The Human Rights Committee therefore decides:</w:t>
      </w:r>
    </w:p>
    <w:p w:rsidR="00702109" w:rsidRDefault="00B3192B" w:rsidP="000C78EE">
      <w:pPr>
        <w:tabs>
          <w:tab w:val="left" w:pos="567"/>
          <w:tab w:val="left" w:pos="1134"/>
        </w:tabs>
        <w:autoSpaceDE w:val="0"/>
        <w:autoSpaceDN w:val="0"/>
        <w:adjustRightInd w:val="0"/>
        <w:spacing w:after="240"/>
        <w:ind w:left="567"/>
        <w:jc w:val="both"/>
      </w:pPr>
      <w:r>
        <w:t xml:space="preserve">(a) </w:t>
      </w:r>
      <w:r w:rsidR="000C78EE">
        <w:tab/>
      </w:r>
      <w:r>
        <w:t>that the communication</w:t>
      </w:r>
      <w:r w:rsidR="00E44EE6">
        <w:t xml:space="preserve"> is inadmissible under article 2</w:t>
      </w:r>
      <w:r>
        <w:t xml:space="preserve"> of t</w:t>
      </w:r>
      <w:r w:rsidR="00702109">
        <w:t>he Optional Protocol;</w:t>
      </w:r>
    </w:p>
    <w:p w:rsidR="00B3192B" w:rsidRDefault="00B3192B" w:rsidP="000C78EE">
      <w:pPr>
        <w:tabs>
          <w:tab w:val="left" w:pos="567"/>
          <w:tab w:val="left" w:pos="1134"/>
        </w:tabs>
        <w:autoSpaceDE w:val="0"/>
        <w:autoSpaceDN w:val="0"/>
        <w:adjustRightInd w:val="0"/>
        <w:spacing w:after="240"/>
        <w:ind w:left="567"/>
        <w:jc w:val="both"/>
      </w:pPr>
      <w:r>
        <w:t xml:space="preserve">(b) </w:t>
      </w:r>
      <w:r w:rsidR="000C78EE">
        <w:tab/>
      </w:r>
      <w:r>
        <w:t>that this decision shall be communicated to the State party and to the author.</w:t>
      </w:r>
    </w:p>
    <w:p w:rsidR="004044F9" w:rsidRDefault="004044F9" w:rsidP="000C78EE">
      <w:pPr>
        <w:tabs>
          <w:tab w:val="left" w:pos="567"/>
          <w:tab w:val="left" w:pos="1134"/>
        </w:tabs>
        <w:spacing w:after="240"/>
        <w:jc w:val="both"/>
      </w:pPr>
      <w:r w:rsidRPr="00444226">
        <w:t>[Adopted in English, French and Spanish, the English text being the original version. Subsequently to be issued also in Arabic, Chinese and Russian as part of the Committee's annual report to the General Assembly.]</w:t>
      </w:r>
    </w:p>
    <w:p w:rsidR="004044F9" w:rsidRPr="004044F9" w:rsidRDefault="004044F9" w:rsidP="000C78EE">
      <w:pPr>
        <w:tabs>
          <w:tab w:val="left" w:pos="567"/>
        </w:tabs>
        <w:autoSpaceDE w:val="0"/>
        <w:autoSpaceDN w:val="0"/>
        <w:adjustRightInd w:val="0"/>
        <w:spacing w:after="240"/>
        <w:jc w:val="both"/>
        <w:rPr>
          <w:sz w:val="20"/>
          <w:szCs w:val="20"/>
        </w:rPr>
      </w:pPr>
    </w:p>
    <w:p w:rsidR="00005414" w:rsidRPr="000041D2" w:rsidRDefault="00005414" w:rsidP="0066240F">
      <w:pPr>
        <w:tabs>
          <w:tab w:val="left" w:pos="567"/>
        </w:tabs>
        <w:spacing w:after="240"/>
        <w:jc w:val="center"/>
        <w:rPr>
          <w:lang w:val="en-US"/>
        </w:rPr>
      </w:pPr>
      <w:r w:rsidRPr="00FD69A3">
        <w:t>-----</w:t>
      </w:r>
    </w:p>
    <w:sectPr w:rsidR="00005414" w:rsidRPr="000041D2" w:rsidSect="00667756">
      <w:headerReference w:type="even" r:id="rId9"/>
      <w:headerReference w:type="default" r:id="rId10"/>
      <w:pgSz w:w="11907" w:h="16840"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72" w:rsidRDefault="00351B72">
      <w:r>
        <w:separator/>
      </w:r>
    </w:p>
  </w:endnote>
  <w:endnote w:type="continuationSeparator" w:id="0">
    <w:p w:rsidR="00351B72" w:rsidRDefault="0035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72" w:rsidRDefault="00351B72">
      <w:r>
        <w:separator/>
      </w:r>
    </w:p>
  </w:footnote>
  <w:footnote w:type="continuationSeparator" w:id="0">
    <w:p w:rsidR="00351B72" w:rsidRDefault="00351B72">
      <w:r>
        <w:continuationSeparator/>
      </w:r>
    </w:p>
  </w:footnote>
  <w:footnote w:id="1">
    <w:p w:rsidR="00C21549" w:rsidRDefault="00C21549" w:rsidP="00C21549">
      <w:pPr>
        <w:jc w:val="both"/>
      </w:pPr>
      <w:r w:rsidRPr="0066240F">
        <w:rPr>
          <w:rStyle w:val="FootnoteReference"/>
        </w:rPr>
        <w:t>*</w:t>
      </w:r>
      <w:r w:rsidRPr="0066240F">
        <w:t xml:space="preserve"> </w:t>
      </w:r>
      <w:r>
        <w:t>Made public by decision of the Human Rights Committee</w:t>
      </w:r>
      <w:r w:rsidRPr="0066240F">
        <w:t>.</w:t>
      </w:r>
    </w:p>
    <w:p w:rsidR="002C602F" w:rsidRDefault="002C602F" w:rsidP="00C21549">
      <w:pPr>
        <w:jc w:val="both"/>
      </w:pPr>
    </w:p>
    <w:p w:rsidR="002C602F" w:rsidRPr="0066240F" w:rsidRDefault="002C602F" w:rsidP="00C21549">
      <w:pPr>
        <w:jc w:val="both"/>
      </w:pPr>
      <w:r>
        <w:t>GE.09-44785 (E)</w:t>
      </w:r>
    </w:p>
  </w:footnote>
  <w:footnote w:id="2">
    <w:p w:rsidR="00C21549" w:rsidRPr="00C21549" w:rsidRDefault="00C21549" w:rsidP="006D7E39">
      <w:pPr>
        <w:pStyle w:val="FootnoteText"/>
        <w:jc w:val="both"/>
      </w:pPr>
      <w:r>
        <w:rPr>
          <w:rStyle w:val="FootnoteReference"/>
        </w:rPr>
        <w:t>*</w:t>
      </w:r>
      <w:r>
        <w:t xml:space="preserve"> </w:t>
      </w:r>
      <w:r w:rsidR="00174A57" w:rsidRPr="00A471D1">
        <w:rPr>
          <w:sz w:val="24"/>
          <w:szCs w:val="24"/>
        </w:rPr>
        <w:t xml:space="preserve">The following members of the Committee participated in the examination of the present communication:  Mr. Abdelfattah Amor, Mr. Mohammed Ayat, Mr. Prafullachandra Natwarlal Bhagwati, </w:t>
      </w:r>
      <w:r w:rsidR="006D7E39" w:rsidRPr="00174A57">
        <w:rPr>
          <w:bCs/>
          <w:sz w:val="24"/>
          <w:szCs w:val="24"/>
        </w:rPr>
        <w:t>Mr. La</w:t>
      </w:r>
      <w:r w:rsidR="006D7E39" w:rsidRPr="00A471D1">
        <w:rPr>
          <w:bCs/>
          <w:sz w:val="24"/>
          <w:szCs w:val="24"/>
        </w:rPr>
        <w:t>zhari Bouzid</w:t>
      </w:r>
      <w:r w:rsidR="006D7E39" w:rsidRPr="00A471D1">
        <w:rPr>
          <w:sz w:val="24"/>
          <w:szCs w:val="24"/>
        </w:rPr>
        <w:t xml:space="preserve">, </w:t>
      </w:r>
      <w:r w:rsidR="00174A57" w:rsidRPr="00A471D1">
        <w:rPr>
          <w:sz w:val="24"/>
          <w:szCs w:val="24"/>
        </w:rPr>
        <w:t>Ms. Christine Chanet, Mr. Ahmad Amin Fathalla, Mr. Yuji Iwasawa, Ms. Helen Kelle</w:t>
      </w:r>
      <w:r w:rsidR="00174A57" w:rsidRPr="00174A57">
        <w:rPr>
          <w:sz w:val="24"/>
          <w:szCs w:val="24"/>
        </w:rPr>
        <w:t xml:space="preserve">r, Mr. Rajsoomer Lallah, </w:t>
      </w:r>
      <w:r w:rsidR="00174A57" w:rsidRPr="00A471D1">
        <w:rPr>
          <w:sz w:val="24"/>
          <w:szCs w:val="24"/>
        </w:rPr>
        <w:t xml:space="preserve">Ms. Zonke Zanele Majodina, Ms. Iulia Antoanella Motoc, Mr. Michael O’Flaherty, Mr. José Luis Pérez Sanchez-Cerro, Mr. Rafael Rivas Posada, Sir Nigel Rodley, </w:t>
      </w:r>
      <w:r w:rsidR="00174A57">
        <w:rPr>
          <w:bCs/>
          <w:sz w:val="24"/>
          <w:szCs w:val="24"/>
        </w:rPr>
        <w:t>Mr. </w:t>
      </w:r>
      <w:r w:rsidR="00174A57" w:rsidRPr="00A471D1">
        <w:rPr>
          <w:bCs/>
          <w:sz w:val="24"/>
          <w:szCs w:val="24"/>
        </w:rPr>
        <w:t>Fabian Omar Salvioli, Mr. Krister Thelin</w:t>
      </w:r>
      <w:r w:rsidR="00174A57" w:rsidRPr="00A471D1">
        <w:rPr>
          <w:sz w:val="24"/>
          <w:szCs w:val="24"/>
        </w:rPr>
        <w:t xml:space="preserve"> and Ms. Ruth Wedgwood.</w:t>
      </w:r>
    </w:p>
  </w:footnote>
  <w:footnote w:id="3">
    <w:p w:rsidR="00C21549" w:rsidRPr="0066240F" w:rsidRDefault="00C21549" w:rsidP="00A56A13">
      <w:pPr>
        <w:pStyle w:val="FootnoteText"/>
        <w:jc w:val="both"/>
        <w:rPr>
          <w:sz w:val="24"/>
          <w:szCs w:val="24"/>
        </w:rPr>
      </w:pPr>
      <w:r w:rsidRPr="0066240F">
        <w:rPr>
          <w:rStyle w:val="FootnoteReference"/>
          <w:sz w:val="24"/>
          <w:szCs w:val="24"/>
        </w:rPr>
        <w:footnoteRef/>
      </w:r>
      <w:r w:rsidRPr="0066240F">
        <w:rPr>
          <w:sz w:val="24"/>
          <w:szCs w:val="24"/>
        </w:rPr>
        <w:t xml:space="preserve"> The author alleges that during the German occupation there were no other than German authorities in charge of the office of dwellings. </w:t>
      </w:r>
    </w:p>
  </w:footnote>
  <w:footnote w:id="4">
    <w:p w:rsidR="00C21549" w:rsidRPr="0066240F" w:rsidRDefault="00C21549" w:rsidP="000C78EE">
      <w:pPr>
        <w:pStyle w:val="FootnoteText"/>
        <w:jc w:val="both"/>
        <w:rPr>
          <w:sz w:val="24"/>
          <w:szCs w:val="24"/>
        </w:rPr>
      </w:pPr>
      <w:r w:rsidRPr="0066240F">
        <w:rPr>
          <w:rStyle w:val="FootnoteReference"/>
          <w:sz w:val="24"/>
          <w:szCs w:val="24"/>
        </w:rPr>
        <w:footnoteRef/>
      </w:r>
      <w:r w:rsidRPr="0066240F">
        <w:rPr>
          <w:sz w:val="24"/>
          <w:szCs w:val="24"/>
        </w:rPr>
        <w:t xml:space="preserve"> </w:t>
      </w:r>
      <w:r w:rsidRPr="0066240F">
        <w:rPr>
          <w:i/>
          <w:iCs/>
          <w:sz w:val="24"/>
          <w:szCs w:val="24"/>
        </w:rPr>
        <w:t>Inter alia</w:t>
      </w:r>
      <w:r w:rsidRPr="0066240F">
        <w:rPr>
          <w:sz w:val="24"/>
          <w:szCs w:val="24"/>
        </w:rPr>
        <w:t xml:space="preserve">, Communication No. 787/1997, </w:t>
      </w:r>
      <w:r w:rsidRPr="0066240F">
        <w:rPr>
          <w:i/>
          <w:iCs/>
          <w:sz w:val="24"/>
          <w:szCs w:val="24"/>
        </w:rPr>
        <w:t>Gobin v. Mauritius</w:t>
      </w:r>
      <w:r w:rsidRPr="0066240F">
        <w:rPr>
          <w:sz w:val="24"/>
          <w:szCs w:val="24"/>
        </w:rPr>
        <w:t>, inadmissibility decision adopted on 16 July 2001; Communication No. 1434/2005</w:t>
      </w:r>
      <w:r w:rsidRPr="0066240F">
        <w:rPr>
          <w:i/>
          <w:iCs/>
          <w:sz w:val="24"/>
          <w:szCs w:val="24"/>
        </w:rPr>
        <w:t xml:space="preserve">, Fillacier v. </w:t>
      </w:r>
      <w:smartTag w:uri="urn:schemas-microsoft-com:office:smarttags" w:element="country-region">
        <w:smartTag w:uri="urn:schemas-microsoft-com:office:smarttags" w:element="place">
          <w:r w:rsidRPr="0066240F">
            <w:rPr>
              <w:i/>
              <w:iCs/>
              <w:sz w:val="24"/>
              <w:szCs w:val="24"/>
            </w:rPr>
            <w:t>France</w:t>
          </w:r>
        </w:smartTag>
      </w:smartTag>
      <w:r w:rsidRPr="0066240F">
        <w:rPr>
          <w:sz w:val="24"/>
          <w:szCs w:val="24"/>
        </w:rPr>
        <w:t>, inadmissibility decision adopted on 27 March 2006.</w:t>
      </w:r>
    </w:p>
  </w:footnote>
  <w:footnote w:id="5">
    <w:p w:rsidR="00C21549" w:rsidRPr="0066240F" w:rsidRDefault="00C21549" w:rsidP="000C78EE">
      <w:pPr>
        <w:pStyle w:val="FootnoteText"/>
        <w:jc w:val="both"/>
        <w:rPr>
          <w:sz w:val="24"/>
          <w:szCs w:val="24"/>
        </w:rPr>
      </w:pPr>
      <w:r w:rsidRPr="0066240F">
        <w:rPr>
          <w:rStyle w:val="FootnoteReference"/>
          <w:sz w:val="24"/>
          <w:szCs w:val="24"/>
        </w:rPr>
        <w:footnoteRef/>
      </w:r>
      <w:r w:rsidRPr="0066240F">
        <w:rPr>
          <w:sz w:val="24"/>
          <w:szCs w:val="24"/>
        </w:rPr>
        <w:t xml:space="preserve"> Communication No. 643/1995, </w:t>
      </w:r>
      <w:r w:rsidRPr="0066240F">
        <w:rPr>
          <w:i/>
          <w:iCs/>
          <w:sz w:val="24"/>
          <w:szCs w:val="24"/>
        </w:rPr>
        <w:t>Drobek v. Slovakia</w:t>
      </w:r>
      <w:r w:rsidRPr="0066240F">
        <w:rPr>
          <w:sz w:val="24"/>
          <w:szCs w:val="24"/>
        </w:rPr>
        <w:t>, admissibility decision of 14 July 1997, para. 6.5.</w:t>
      </w:r>
    </w:p>
  </w:footnote>
  <w:footnote w:id="6">
    <w:p w:rsidR="00C21549" w:rsidRPr="0066240F" w:rsidRDefault="00C21549" w:rsidP="000C78EE">
      <w:pPr>
        <w:pStyle w:val="FootnoteText"/>
        <w:jc w:val="both"/>
        <w:rPr>
          <w:sz w:val="24"/>
          <w:szCs w:val="24"/>
        </w:rPr>
      </w:pPr>
      <w:r w:rsidRPr="0066240F">
        <w:rPr>
          <w:rStyle w:val="FootnoteReference"/>
          <w:sz w:val="24"/>
          <w:szCs w:val="24"/>
        </w:rPr>
        <w:footnoteRef/>
      </w:r>
      <w:r w:rsidRPr="0066240F">
        <w:rPr>
          <w:sz w:val="24"/>
          <w:szCs w:val="24"/>
        </w:rPr>
        <w:t xml:space="preserve"> See above paras. 4.6 and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49" w:rsidRDefault="00C21549" w:rsidP="00C21549">
    <w:r w:rsidRPr="008A3575">
      <w:t>CCPR/C</w:t>
    </w:r>
    <w:r>
      <w:t>/96/D/1614/2007</w:t>
    </w:r>
  </w:p>
  <w:p w:rsidR="00C21549" w:rsidRDefault="00C21549" w:rsidP="00306AFC">
    <w:pPr>
      <w:pStyle w:val="Header"/>
      <w:tabs>
        <w:tab w:val="clear" w:pos="4320"/>
        <w:tab w:val="clear" w:pos="8640"/>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C602F">
      <w:rPr>
        <w:rStyle w:val="PageNumber"/>
        <w:noProof/>
      </w:rPr>
      <w:t>2</w:t>
    </w:r>
    <w:r>
      <w:rPr>
        <w:rStyle w:val="PageNumber"/>
      </w:rPr>
      <w:fldChar w:fldCharType="end"/>
    </w:r>
  </w:p>
  <w:p w:rsidR="00C21549" w:rsidRDefault="00C21549" w:rsidP="00306AFC">
    <w:pPr>
      <w:pStyle w:val="Header"/>
      <w:tabs>
        <w:tab w:val="clear" w:pos="4320"/>
        <w:tab w:val="clear" w:pos="8640"/>
      </w:tabs>
      <w:rPr>
        <w:rStyle w:val="PageNumber"/>
      </w:rPr>
    </w:pPr>
  </w:p>
  <w:p w:rsidR="00C21549" w:rsidRDefault="00C21549" w:rsidP="00306AFC">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49" w:rsidRPr="00306AFC" w:rsidRDefault="00C21549" w:rsidP="00C21549">
    <w:pPr>
      <w:ind w:left="6237"/>
      <w:rPr>
        <w:lang w:val="fr-FR"/>
      </w:rPr>
    </w:pPr>
    <w:r w:rsidRPr="008A3575">
      <w:t>CCPR/C</w:t>
    </w:r>
    <w:r>
      <w:t>/96/D/</w:t>
    </w:r>
    <w:r>
      <w:rPr>
        <w:lang w:val="fr-FR"/>
      </w:rPr>
      <w:t>1614/2007</w:t>
    </w:r>
  </w:p>
  <w:p w:rsidR="00C21549" w:rsidRPr="00306AFC" w:rsidRDefault="00C21549" w:rsidP="0066240F">
    <w:pPr>
      <w:pStyle w:val="Header"/>
      <w:tabs>
        <w:tab w:val="clear" w:pos="4320"/>
        <w:tab w:val="clear" w:pos="8640"/>
      </w:tabs>
      <w:ind w:left="6237"/>
      <w:rPr>
        <w:lang w:val="fr-FR"/>
      </w:rPr>
    </w:pPr>
    <w:r w:rsidRPr="00306AFC">
      <w:rPr>
        <w:lang w:val="fr-FR"/>
      </w:rPr>
      <w:t xml:space="preserve">Page </w:t>
    </w:r>
    <w:r>
      <w:rPr>
        <w:rStyle w:val="PageNumber"/>
      </w:rPr>
      <w:fldChar w:fldCharType="begin"/>
    </w:r>
    <w:r w:rsidRPr="00306AFC">
      <w:rPr>
        <w:rStyle w:val="PageNumber"/>
        <w:lang w:val="fr-FR"/>
      </w:rPr>
      <w:instrText xml:space="preserve"> PAGE </w:instrText>
    </w:r>
    <w:r>
      <w:rPr>
        <w:rStyle w:val="PageNumber"/>
      </w:rPr>
      <w:fldChar w:fldCharType="separate"/>
    </w:r>
    <w:r w:rsidR="002C602F">
      <w:rPr>
        <w:rStyle w:val="PageNumber"/>
        <w:noProof/>
        <w:lang w:val="fr-FR"/>
      </w:rPr>
      <w:t>7</w:t>
    </w:r>
    <w:r>
      <w:rPr>
        <w:rStyle w:val="PageNumber"/>
      </w:rPr>
      <w:fldChar w:fldCharType="end"/>
    </w:r>
  </w:p>
  <w:p w:rsidR="00C21549" w:rsidRDefault="00C21549" w:rsidP="0066240F">
    <w:pPr>
      <w:pStyle w:val="Header"/>
      <w:ind w:left="6237"/>
      <w:rPr>
        <w:lang w:val="fr-FR"/>
      </w:rPr>
    </w:pPr>
  </w:p>
  <w:p w:rsidR="00C21549" w:rsidRPr="00306AFC" w:rsidRDefault="00C21549" w:rsidP="0066240F">
    <w:pPr>
      <w:pStyle w:val="Header"/>
      <w:ind w:left="6237"/>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4244"/>
    <w:multiLevelType w:val="multilevel"/>
    <w:tmpl w:val="DA0E095C"/>
    <w:lvl w:ilvl="0">
      <w:start w:val="7"/>
      <w:numFmt w:val="decimal"/>
      <w:lvlText w:val="%1"/>
      <w:lvlJc w:val="left"/>
      <w:pPr>
        <w:tabs>
          <w:tab w:val="num" w:pos="720"/>
        </w:tabs>
        <w:ind w:left="720" w:hanging="720"/>
      </w:pPr>
      <w:rPr>
        <w:rFonts w:hint="default"/>
        <w:sz w:val="24"/>
      </w:rPr>
    </w:lvl>
    <w:lvl w:ilvl="1">
      <w:start w:val="1"/>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
    <w:nsid w:val="1A2E7D21"/>
    <w:multiLevelType w:val="multilevel"/>
    <w:tmpl w:val="3A42758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99C76E5"/>
    <w:multiLevelType w:val="multilevel"/>
    <w:tmpl w:val="2310721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E101E01"/>
    <w:multiLevelType w:val="multilevel"/>
    <w:tmpl w:val="9AE277CA"/>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ED2398C"/>
    <w:multiLevelType w:val="hybridMultilevel"/>
    <w:tmpl w:val="28F6B64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900F3A"/>
    <w:multiLevelType w:val="hybridMultilevel"/>
    <w:tmpl w:val="4ED00E56"/>
    <w:lvl w:ilvl="0" w:tplc="543E4EB6">
      <w:start w:val="8"/>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7C15F8"/>
    <w:multiLevelType w:val="multilevel"/>
    <w:tmpl w:val="202A6568"/>
    <w:lvl w:ilvl="0">
      <w:start w:val="6"/>
      <w:numFmt w:val="decimal"/>
      <w:lvlText w:val="%1"/>
      <w:lvlJc w:val="left"/>
      <w:pPr>
        <w:tabs>
          <w:tab w:val="num" w:pos="720"/>
        </w:tabs>
        <w:ind w:left="720" w:hanging="720"/>
      </w:pPr>
      <w:rPr>
        <w:rFonts w:hint="default"/>
        <w:sz w:val="24"/>
      </w:rPr>
    </w:lvl>
    <w:lvl w:ilvl="1">
      <w:start w:val="1"/>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7">
    <w:nsid w:val="65BE7BD0"/>
    <w:multiLevelType w:val="hybridMultilevel"/>
    <w:tmpl w:val="9C76FF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25100E"/>
    <w:multiLevelType w:val="multilevel"/>
    <w:tmpl w:val="4C8AD22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2075528"/>
    <w:multiLevelType w:val="hybridMultilevel"/>
    <w:tmpl w:val="7C5678A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2"/>
  </w:num>
  <w:num w:numId="4">
    <w:abstractNumId w:val="1"/>
  </w:num>
  <w:num w:numId="5">
    <w:abstractNumId w:val="6"/>
  </w:num>
  <w:num w:numId="6">
    <w:abstractNumId w:val="0"/>
  </w:num>
  <w:num w:numId="7">
    <w:abstractNumId w:val="5"/>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2B7"/>
    <w:rsid w:val="000041D2"/>
    <w:rsid w:val="00005414"/>
    <w:rsid w:val="00012C34"/>
    <w:rsid w:val="00025CCF"/>
    <w:rsid w:val="000338DD"/>
    <w:rsid w:val="00035C74"/>
    <w:rsid w:val="00044A3A"/>
    <w:rsid w:val="00050E34"/>
    <w:rsid w:val="00052823"/>
    <w:rsid w:val="00052C1F"/>
    <w:rsid w:val="0009615A"/>
    <w:rsid w:val="000B08F5"/>
    <w:rsid w:val="000C69B4"/>
    <w:rsid w:val="000C78EE"/>
    <w:rsid w:val="000D0868"/>
    <w:rsid w:val="000D4451"/>
    <w:rsid w:val="000F7C3D"/>
    <w:rsid w:val="00111CFA"/>
    <w:rsid w:val="001160AA"/>
    <w:rsid w:val="00137B9A"/>
    <w:rsid w:val="00151603"/>
    <w:rsid w:val="00165483"/>
    <w:rsid w:val="00174A57"/>
    <w:rsid w:val="001750C4"/>
    <w:rsid w:val="001805FB"/>
    <w:rsid w:val="001A7A3C"/>
    <w:rsid w:val="001C7032"/>
    <w:rsid w:val="00207B09"/>
    <w:rsid w:val="00207C12"/>
    <w:rsid w:val="0026159A"/>
    <w:rsid w:val="002665ED"/>
    <w:rsid w:val="0026678A"/>
    <w:rsid w:val="002732CF"/>
    <w:rsid w:val="002C602F"/>
    <w:rsid w:val="002C7BF4"/>
    <w:rsid w:val="002E05D5"/>
    <w:rsid w:val="002E406F"/>
    <w:rsid w:val="00302632"/>
    <w:rsid w:val="00306AFC"/>
    <w:rsid w:val="003332E0"/>
    <w:rsid w:val="00351B72"/>
    <w:rsid w:val="00371904"/>
    <w:rsid w:val="003819A9"/>
    <w:rsid w:val="003D5A47"/>
    <w:rsid w:val="003E0F16"/>
    <w:rsid w:val="003E6B18"/>
    <w:rsid w:val="00404110"/>
    <w:rsid w:val="004044F9"/>
    <w:rsid w:val="00410127"/>
    <w:rsid w:val="0041106F"/>
    <w:rsid w:val="0044195A"/>
    <w:rsid w:val="004523B9"/>
    <w:rsid w:val="004572AA"/>
    <w:rsid w:val="00482DE6"/>
    <w:rsid w:val="00496801"/>
    <w:rsid w:val="004A5AA7"/>
    <w:rsid w:val="004D66AD"/>
    <w:rsid w:val="004F79C6"/>
    <w:rsid w:val="00504119"/>
    <w:rsid w:val="005056AA"/>
    <w:rsid w:val="00510084"/>
    <w:rsid w:val="00514595"/>
    <w:rsid w:val="00523EDC"/>
    <w:rsid w:val="005333DE"/>
    <w:rsid w:val="00535E04"/>
    <w:rsid w:val="00553CA6"/>
    <w:rsid w:val="00557678"/>
    <w:rsid w:val="005838F7"/>
    <w:rsid w:val="005952B7"/>
    <w:rsid w:val="005A2668"/>
    <w:rsid w:val="005C3599"/>
    <w:rsid w:val="005E1F44"/>
    <w:rsid w:val="005F7C38"/>
    <w:rsid w:val="006051BC"/>
    <w:rsid w:val="006212EB"/>
    <w:rsid w:val="00637174"/>
    <w:rsid w:val="006565F9"/>
    <w:rsid w:val="0066240F"/>
    <w:rsid w:val="00667756"/>
    <w:rsid w:val="006833BF"/>
    <w:rsid w:val="00686C2C"/>
    <w:rsid w:val="006870C5"/>
    <w:rsid w:val="006D02F8"/>
    <w:rsid w:val="006D7E39"/>
    <w:rsid w:val="00702109"/>
    <w:rsid w:val="00725837"/>
    <w:rsid w:val="00726C6F"/>
    <w:rsid w:val="00727334"/>
    <w:rsid w:val="00763C9E"/>
    <w:rsid w:val="00773B36"/>
    <w:rsid w:val="00782168"/>
    <w:rsid w:val="007D20CC"/>
    <w:rsid w:val="007D3A68"/>
    <w:rsid w:val="007D7BF9"/>
    <w:rsid w:val="007E6E2C"/>
    <w:rsid w:val="007F151B"/>
    <w:rsid w:val="00807267"/>
    <w:rsid w:val="008101CB"/>
    <w:rsid w:val="00865BF4"/>
    <w:rsid w:val="00876392"/>
    <w:rsid w:val="00885220"/>
    <w:rsid w:val="008872B7"/>
    <w:rsid w:val="008A33F0"/>
    <w:rsid w:val="008A424A"/>
    <w:rsid w:val="008C0346"/>
    <w:rsid w:val="008C5486"/>
    <w:rsid w:val="008D3DD4"/>
    <w:rsid w:val="008F7A9C"/>
    <w:rsid w:val="00932E39"/>
    <w:rsid w:val="00934037"/>
    <w:rsid w:val="0094745F"/>
    <w:rsid w:val="00980F68"/>
    <w:rsid w:val="00987529"/>
    <w:rsid w:val="009A1783"/>
    <w:rsid w:val="009C0826"/>
    <w:rsid w:val="009C5EB6"/>
    <w:rsid w:val="009E2DB9"/>
    <w:rsid w:val="009E61F5"/>
    <w:rsid w:val="00A13900"/>
    <w:rsid w:val="00A20A5B"/>
    <w:rsid w:val="00A34EBD"/>
    <w:rsid w:val="00A36434"/>
    <w:rsid w:val="00A561C0"/>
    <w:rsid w:val="00A56A13"/>
    <w:rsid w:val="00A751C3"/>
    <w:rsid w:val="00A85461"/>
    <w:rsid w:val="00A9161A"/>
    <w:rsid w:val="00A973AC"/>
    <w:rsid w:val="00AC641A"/>
    <w:rsid w:val="00AC7D1B"/>
    <w:rsid w:val="00B03AE8"/>
    <w:rsid w:val="00B11C99"/>
    <w:rsid w:val="00B14AF5"/>
    <w:rsid w:val="00B2048D"/>
    <w:rsid w:val="00B229C3"/>
    <w:rsid w:val="00B3192B"/>
    <w:rsid w:val="00B31C66"/>
    <w:rsid w:val="00B35B10"/>
    <w:rsid w:val="00B54CE8"/>
    <w:rsid w:val="00B61D7D"/>
    <w:rsid w:val="00B622F3"/>
    <w:rsid w:val="00B623D8"/>
    <w:rsid w:val="00B6368E"/>
    <w:rsid w:val="00B7710C"/>
    <w:rsid w:val="00B9623C"/>
    <w:rsid w:val="00BC231E"/>
    <w:rsid w:val="00BC298F"/>
    <w:rsid w:val="00BC78CF"/>
    <w:rsid w:val="00BD4BFC"/>
    <w:rsid w:val="00BE605A"/>
    <w:rsid w:val="00BE607C"/>
    <w:rsid w:val="00BE68C1"/>
    <w:rsid w:val="00BF4A7D"/>
    <w:rsid w:val="00BF59D4"/>
    <w:rsid w:val="00BF5A04"/>
    <w:rsid w:val="00C21232"/>
    <w:rsid w:val="00C21549"/>
    <w:rsid w:val="00C23288"/>
    <w:rsid w:val="00C5690D"/>
    <w:rsid w:val="00C730F7"/>
    <w:rsid w:val="00C8730A"/>
    <w:rsid w:val="00CA02CD"/>
    <w:rsid w:val="00CA3E5F"/>
    <w:rsid w:val="00CC0429"/>
    <w:rsid w:val="00CC2AB3"/>
    <w:rsid w:val="00CD079F"/>
    <w:rsid w:val="00CE72A7"/>
    <w:rsid w:val="00CF77AB"/>
    <w:rsid w:val="00D03842"/>
    <w:rsid w:val="00D11417"/>
    <w:rsid w:val="00D246BF"/>
    <w:rsid w:val="00D37B41"/>
    <w:rsid w:val="00D4190A"/>
    <w:rsid w:val="00D435DC"/>
    <w:rsid w:val="00D44079"/>
    <w:rsid w:val="00D7330A"/>
    <w:rsid w:val="00D773CD"/>
    <w:rsid w:val="00D808D7"/>
    <w:rsid w:val="00D83981"/>
    <w:rsid w:val="00D84445"/>
    <w:rsid w:val="00D8479A"/>
    <w:rsid w:val="00D951E5"/>
    <w:rsid w:val="00D95A79"/>
    <w:rsid w:val="00DB1639"/>
    <w:rsid w:val="00DC546C"/>
    <w:rsid w:val="00DF1045"/>
    <w:rsid w:val="00DF7A72"/>
    <w:rsid w:val="00E00F82"/>
    <w:rsid w:val="00E049D7"/>
    <w:rsid w:val="00E1308E"/>
    <w:rsid w:val="00E30151"/>
    <w:rsid w:val="00E315D4"/>
    <w:rsid w:val="00E36FCA"/>
    <w:rsid w:val="00E418A6"/>
    <w:rsid w:val="00E41FC1"/>
    <w:rsid w:val="00E44EE6"/>
    <w:rsid w:val="00E531A3"/>
    <w:rsid w:val="00E547AE"/>
    <w:rsid w:val="00E5745A"/>
    <w:rsid w:val="00E641E5"/>
    <w:rsid w:val="00E75CCA"/>
    <w:rsid w:val="00E946D9"/>
    <w:rsid w:val="00ED1C76"/>
    <w:rsid w:val="00EE3096"/>
    <w:rsid w:val="00F24DAF"/>
    <w:rsid w:val="00F34011"/>
    <w:rsid w:val="00F4463C"/>
    <w:rsid w:val="00F4469F"/>
    <w:rsid w:val="00F457BC"/>
    <w:rsid w:val="00F564D0"/>
    <w:rsid w:val="00F70E6F"/>
    <w:rsid w:val="00F715AF"/>
    <w:rsid w:val="00F73250"/>
    <w:rsid w:val="00F741F9"/>
    <w:rsid w:val="00F823A1"/>
    <w:rsid w:val="00FA617F"/>
    <w:rsid w:val="00FB44A2"/>
    <w:rsid w:val="00FC01E4"/>
    <w:rsid w:val="00FD0C08"/>
    <w:rsid w:val="00FD450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1">
    <w:name w:val="heading 1"/>
    <w:basedOn w:val="Normal"/>
    <w:next w:val="Normal"/>
    <w:qFormat/>
    <w:rsid w:val="003E0F16"/>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qFormat/>
    <w:rsid w:val="00E75CCA"/>
    <w:pPr>
      <w:keepNext/>
      <w:spacing w:before="240" w:after="60"/>
      <w:outlineLvl w:val="1"/>
    </w:pPr>
    <w:rPr>
      <w:rFonts w:ascii="Arial" w:eastAsia="Times New Roman" w:hAnsi="Arial" w:cs="Arial"/>
      <w:b/>
      <w:bCs/>
      <w:i/>
      <w:iCs/>
      <w:sz w:val="28"/>
      <w:szCs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semiHidden/>
    <w:rsid w:val="008872B7"/>
    <w:rPr>
      <w:sz w:val="20"/>
      <w:szCs w:val="20"/>
    </w:rPr>
  </w:style>
  <w:style w:type="character" w:styleId="FootnoteReference">
    <w:name w:val="footnote reference"/>
    <w:aliases w:val="Footnote number"/>
    <w:semiHidden/>
    <w:rsid w:val="008872B7"/>
    <w:rPr>
      <w:vertAlign w:val="superscript"/>
    </w:rPr>
  </w:style>
  <w:style w:type="paragraph" w:styleId="BodyText2">
    <w:name w:val="Body Text 2"/>
    <w:basedOn w:val="Normal"/>
    <w:rsid w:val="002C7BF4"/>
    <w:pPr>
      <w:spacing w:after="120" w:line="480" w:lineRule="auto"/>
    </w:pPr>
    <w:rPr>
      <w:rFonts w:eastAsia="Times New Roman"/>
      <w:lang w:val="en-US" w:eastAsia="en-US"/>
    </w:rPr>
  </w:style>
  <w:style w:type="paragraph" w:styleId="Header">
    <w:name w:val="header"/>
    <w:basedOn w:val="Normal"/>
    <w:rsid w:val="00A85461"/>
    <w:pPr>
      <w:tabs>
        <w:tab w:val="center" w:pos="4320"/>
        <w:tab w:val="right" w:pos="8640"/>
      </w:tabs>
    </w:pPr>
  </w:style>
  <w:style w:type="paragraph" w:styleId="Footer">
    <w:name w:val="footer"/>
    <w:basedOn w:val="Normal"/>
    <w:rsid w:val="00A85461"/>
    <w:pPr>
      <w:tabs>
        <w:tab w:val="center" w:pos="4320"/>
        <w:tab w:val="right" w:pos="8640"/>
      </w:tabs>
    </w:pPr>
  </w:style>
  <w:style w:type="character" w:styleId="PageNumber">
    <w:name w:val="page number"/>
    <w:basedOn w:val="DefaultParagraphFont"/>
    <w:rsid w:val="00306AFC"/>
  </w:style>
  <w:style w:type="paragraph" w:styleId="BalloonText">
    <w:name w:val="Balloon Text"/>
    <w:basedOn w:val="Normal"/>
    <w:semiHidden/>
    <w:rsid w:val="00F823A1"/>
    <w:rPr>
      <w:rFonts w:ascii="Tahoma" w:hAnsi="Tahoma" w:cs="Tahoma"/>
      <w:sz w:val="16"/>
      <w:szCs w:val="16"/>
    </w:rPr>
  </w:style>
  <w:style w:type="paragraph" w:styleId="NormalWeb">
    <w:name w:val="Normal (Web)"/>
    <w:basedOn w:val="Normal"/>
    <w:rsid w:val="00D7330A"/>
    <w:pPr>
      <w:spacing w:before="100" w:beforeAutospacing="1" w:after="100" w:afterAutospacing="1"/>
    </w:pPr>
    <w:rPr>
      <w:color w:val="000000"/>
    </w:rPr>
  </w:style>
  <w:style w:type="character" w:customStyle="1" w:styleId="FootnoteTextChar">
    <w:name w:val="Footnote Text Char"/>
    <w:link w:val="FootnoteText"/>
    <w:semiHidden/>
    <w:locked/>
    <w:rsid w:val="00D7330A"/>
    <w:rPr>
      <w:rFonts w:eastAsia="SimSun"/>
      <w:lang w:val="en-GB" w:eastAsia="zh-CN" w:bidi="ar-SA"/>
    </w:rPr>
  </w:style>
  <w:style w:type="table" w:styleId="TableGrid">
    <w:name w:val="Table Grid"/>
    <w:basedOn w:val="TableNormal"/>
    <w:rsid w:val="00C2154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2376</Words>
  <Characters>12287</Characters>
  <Application>Microsoft Office Word</Application>
  <DocSecurity>4</DocSecurity>
  <Lines>198</Lines>
  <Paragraphs>63</Paragraphs>
  <ScaleCrop>false</ScaleCrop>
  <HeadingPairs>
    <vt:vector size="2" baseType="variant">
      <vt:variant>
        <vt:lpstr>Title</vt:lpstr>
      </vt:variant>
      <vt:variant>
        <vt:i4>1</vt:i4>
      </vt:variant>
    </vt:vector>
  </HeadingPairs>
  <TitlesOfParts>
    <vt:vector size="1" baseType="lpstr">
      <vt:lpstr>Zdanek Vlcek v</vt:lpstr>
    </vt:vector>
  </TitlesOfParts>
  <Company>International Computing Centre</Company>
  <LinksUpToDate>false</LinksUpToDate>
  <CharactersWithSpaces>14600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Zdanek Vlcek v</dc:title>
  <dc:subject/>
  <dc:creator>Edelenbos</dc:creator>
  <cp:keywords/>
  <dc:description/>
  <cp:lastModifiedBy>csd</cp:lastModifiedBy>
  <cp:revision>2</cp:revision>
  <cp:lastPrinted>2009-09-07T11:29:00Z</cp:lastPrinted>
  <dcterms:created xsi:type="dcterms:W3CDTF">2009-09-08T14:31:00Z</dcterms:created>
  <dcterms:modified xsi:type="dcterms:W3CDTF">2009-09-08T14:31:00Z</dcterms:modified>
</cp:coreProperties>
</file>