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3B6AC9" w:rsidP="003B6AC9">
            <w:pPr>
              <w:bidi w:val="0"/>
              <w:spacing w:after="20"/>
              <w:jc w:val="left"/>
              <w:rPr>
                <w:szCs w:val="20"/>
              </w:rPr>
            </w:pPr>
            <w:r w:rsidRPr="003B6AC9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/C/MEX/Q/1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8D70D4" w:rsidRDefault="00257225" w:rsidP="008D70D4">
            <w:pPr>
              <w:jc w:val="right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3B6AC9" w:rsidRDefault="003B6AC9" w:rsidP="003B6AC9">
            <w:pPr>
              <w:bidi w:val="0"/>
              <w:spacing w:before="240"/>
              <w:jc w:val="left"/>
            </w:pPr>
            <w:r>
              <w:t>Distr.: General</w:t>
            </w:r>
          </w:p>
          <w:p w:rsidR="003B6AC9" w:rsidRDefault="003B6AC9" w:rsidP="003B6AC9">
            <w:pPr>
              <w:bidi w:val="0"/>
              <w:jc w:val="left"/>
            </w:pPr>
            <w:r>
              <w:t>30 April 2014</w:t>
            </w:r>
          </w:p>
          <w:p w:rsidR="003B6AC9" w:rsidRDefault="003B6AC9" w:rsidP="003B6AC9">
            <w:pPr>
              <w:bidi w:val="0"/>
              <w:jc w:val="left"/>
            </w:pPr>
            <w:r>
              <w:t>Arabic</w:t>
            </w:r>
          </w:p>
          <w:p w:rsidR="00257225" w:rsidRPr="008B4BC6" w:rsidRDefault="003B6AC9" w:rsidP="003B6AC9">
            <w:pPr>
              <w:bidi w:val="0"/>
              <w:jc w:val="left"/>
            </w:pPr>
            <w:r>
              <w:t>Original: Spanish</w:t>
            </w:r>
          </w:p>
        </w:tc>
      </w:tr>
    </w:tbl>
    <w:p w:rsidR="002B48E3" w:rsidRPr="002B48E3" w:rsidRDefault="002B48E3" w:rsidP="002B48E3">
      <w:pPr>
        <w:pStyle w:val="SingleTxtGA"/>
        <w:spacing w:before="120" w:after="0"/>
        <w:ind w:left="0" w:right="0"/>
        <w:rPr>
          <w:rFonts w:hint="cs"/>
          <w:b/>
          <w:bCs/>
          <w:sz w:val="36"/>
          <w:szCs w:val="36"/>
          <w:rtl/>
          <w:lang w:val="fr-CH"/>
        </w:rPr>
      </w:pPr>
      <w:r w:rsidRPr="002B48E3">
        <w:rPr>
          <w:rFonts w:hint="cs"/>
          <w:b/>
          <w:bCs/>
          <w:sz w:val="36"/>
          <w:szCs w:val="36"/>
          <w:rtl/>
          <w:lang w:val="fr-CH"/>
        </w:rPr>
        <w:t>اللجنة المعنية بحقوق الأشخاص ذوي الإعاقة</w:t>
      </w:r>
    </w:p>
    <w:p w:rsidR="002B48E3" w:rsidRPr="002B48E3" w:rsidRDefault="002B48E3" w:rsidP="002B48E3">
      <w:pPr>
        <w:pStyle w:val="HChGA"/>
        <w:rPr>
          <w:rFonts w:hint="cs"/>
          <w:rtl/>
          <w:lang w:val="fr-CH"/>
        </w:rPr>
      </w:pPr>
      <w:r w:rsidRPr="002B48E3"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ab/>
        <w:t>قائمة القضايا المتصلة بالتقرير الأولي للمكسيك</w:t>
      </w:r>
      <w:r w:rsidRPr="002B48E3">
        <w:rPr>
          <w:rStyle w:val="FootnoteReference"/>
          <w:b/>
          <w:bCs w:val="0"/>
          <w:sz w:val="20"/>
          <w:vertAlign w:val="baseline"/>
          <w:rtl/>
          <w:lang w:val="fr-CH"/>
        </w:rPr>
        <w:footnoteReference w:customMarkFollows="1" w:id="1"/>
        <w:t>*</w:t>
      </w:r>
    </w:p>
    <w:p w:rsidR="002B48E3" w:rsidRPr="002B48E3" w:rsidRDefault="002B48E3" w:rsidP="002B48E3">
      <w:pPr>
        <w:pStyle w:val="H1GA"/>
        <w:rPr>
          <w:rFonts w:hint="cs"/>
          <w:rtl/>
          <w:lang w:val="fr-CH"/>
        </w:rPr>
      </w:pPr>
      <w:r w:rsidRPr="002B48E3">
        <w:rPr>
          <w:rFonts w:hint="cs"/>
          <w:rtl/>
          <w:lang w:val="fr-CH"/>
        </w:rPr>
        <w:tab/>
        <w:t>ألف-</w:t>
      </w:r>
      <w:r w:rsidRPr="002B48E3">
        <w:rPr>
          <w:rFonts w:hint="cs"/>
          <w:rtl/>
          <w:lang w:val="fr-CH"/>
        </w:rPr>
        <w:tab/>
        <w:t>الغرض والالتزامات العامة (المادتان 1 و4)</w:t>
      </w:r>
    </w:p>
    <w:p w:rsidR="002B48E3" w:rsidRPr="002B48E3" w:rsidRDefault="002B48E3" w:rsidP="002B48E3">
      <w:pPr>
        <w:pStyle w:val="H23GA"/>
        <w:rPr>
          <w:rFonts w:hint="cs"/>
          <w:rtl/>
          <w:lang w:val="fr-CH"/>
        </w:rPr>
      </w:pPr>
      <w:r w:rsidRPr="002B48E3"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ab/>
        <w:t>الالتزامات العامة (المادة 4)</w:t>
      </w:r>
    </w:p>
    <w:p w:rsidR="002B48E3" w:rsidRPr="002B48E3" w:rsidRDefault="002B48E3" w:rsidP="00726B5C">
      <w:pPr>
        <w:pStyle w:val="SingleTxtGA"/>
        <w:rPr>
          <w:lang w:val="fr-CH"/>
        </w:rPr>
      </w:pPr>
      <w:r w:rsidRPr="002B48E3">
        <w:rPr>
          <w:rFonts w:hint="cs"/>
          <w:rtl/>
          <w:lang w:val="fr-CH"/>
        </w:rPr>
        <w:t>1-</w:t>
      </w:r>
      <w:r w:rsidRPr="002B48E3"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</w:t>
      </w:r>
      <w:r w:rsidRPr="002B48E3">
        <w:rPr>
          <w:rFonts w:hint="cs"/>
          <w:rtl/>
          <w:lang w:val="fr-CH"/>
        </w:rPr>
        <w:t>محدّثة</w:t>
      </w:r>
      <w:r w:rsidRPr="002B48E3">
        <w:rPr>
          <w:rtl/>
          <w:lang w:val="fr-CH"/>
        </w:rPr>
        <w:t xml:space="preserve"> عن </w:t>
      </w:r>
      <w:r w:rsidRPr="002B48E3">
        <w:rPr>
          <w:rFonts w:hint="cs"/>
          <w:rtl/>
          <w:lang w:val="fr-CH"/>
        </w:rPr>
        <w:t>التدابير</w:t>
      </w:r>
      <w:r w:rsidRPr="002B48E3">
        <w:rPr>
          <w:rtl/>
          <w:lang w:val="fr-CH"/>
        </w:rPr>
        <w:t xml:space="preserve"> التي تتخذها الدولة الطرف ل</w:t>
      </w:r>
      <w:r w:rsidRPr="002B48E3">
        <w:rPr>
          <w:rFonts w:hint="cs"/>
          <w:rtl/>
          <w:lang w:val="fr-CH"/>
        </w:rPr>
        <w:t>تنقيح</w:t>
      </w:r>
      <w:r w:rsidRPr="002B48E3">
        <w:rPr>
          <w:rtl/>
          <w:lang w:val="fr-CH"/>
        </w:rPr>
        <w:t xml:space="preserve"> التشريعات </w:t>
      </w:r>
      <w:r w:rsidRPr="002B48E3">
        <w:rPr>
          <w:rFonts w:hint="cs"/>
          <w:rtl/>
          <w:lang w:val="fr-CH"/>
        </w:rPr>
        <w:t>السارية على الصعيد</w:t>
      </w:r>
      <w:r w:rsidRPr="002B48E3">
        <w:rPr>
          <w:rtl/>
          <w:lang w:val="fr-CH"/>
        </w:rPr>
        <w:t xml:space="preserve"> الاتحادي و</w:t>
      </w:r>
      <w:r w:rsidRPr="002B48E3">
        <w:rPr>
          <w:rFonts w:hint="cs"/>
          <w:rtl/>
          <w:lang w:val="fr-CH"/>
        </w:rPr>
        <w:t xml:space="preserve">الكيانات الاتحادية ومواءمتها </w:t>
      </w:r>
      <w:r w:rsidRPr="002B48E3">
        <w:rPr>
          <w:rtl/>
          <w:lang w:val="fr-CH"/>
        </w:rPr>
        <w:t xml:space="preserve">مع الاتفاقية. </w:t>
      </w:r>
      <w:r w:rsidRPr="002B48E3">
        <w:rPr>
          <w:rFonts w:hint="cs"/>
          <w:rtl/>
          <w:lang w:val="fr-CH"/>
        </w:rPr>
        <w:t xml:space="preserve">كما </w:t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 xml:space="preserve">الإشارة </w:t>
      </w:r>
      <w:r w:rsidRPr="002B48E3">
        <w:rPr>
          <w:rtl/>
          <w:lang w:val="fr-CH"/>
        </w:rPr>
        <w:t>إلى السياسات والبرامج</w:t>
      </w:r>
      <w:r w:rsidRPr="002B48E3">
        <w:rPr>
          <w:rFonts w:hint="cs"/>
          <w:rtl/>
          <w:lang w:val="fr-CH"/>
        </w:rPr>
        <w:t xml:space="preserve"> التي اتُخذت من أجل التنفيذ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Fonts w:hint="cs"/>
          <w:rtl/>
          <w:lang w:val="fr-CH"/>
        </w:rPr>
        <w:t>2-</w:t>
      </w:r>
      <w:r w:rsidRPr="002B48E3"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بيان التدابير </w:t>
      </w:r>
      <w:r w:rsidRPr="002B48E3">
        <w:rPr>
          <w:rFonts w:hint="cs"/>
          <w:rtl/>
          <w:lang w:val="fr-CH"/>
        </w:rPr>
        <w:t>التي اتخذتها</w:t>
      </w:r>
      <w:r w:rsidRPr="002B48E3">
        <w:rPr>
          <w:rtl/>
          <w:lang w:val="fr-CH"/>
        </w:rPr>
        <w:t xml:space="preserve"> الدولة الطرف </w:t>
      </w:r>
      <w:r w:rsidRPr="002B48E3">
        <w:rPr>
          <w:rFonts w:hint="cs"/>
          <w:rtl/>
          <w:lang w:val="fr-CH"/>
        </w:rPr>
        <w:t>لتوعية</w:t>
      </w:r>
      <w:r w:rsidRPr="002B48E3">
        <w:rPr>
          <w:rtl/>
          <w:lang w:val="fr-CH"/>
        </w:rPr>
        <w:t xml:space="preserve"> السكان، بم</w:t>
      </w:r>
      <w:r w:rsidRPr="002B48E3">
        <w:rPr>
          <w:rFonts w:hint="cs"/>
          <w:rtl/>
          <w:lang w:val="fr-CH"/>
        </w:rPr>
        <w:t>ن</w:t>
      </w:r>
      <w:r w:rsidRPr="002B48E3">
        <w:rPr>
          <w:rtl/>
          <w:lang w:val="fr-CH"/>
        </w:rPr>
        <w:t xml:space="preserve"> في</w:t>
      </w:r>
      <w:r w:rsidRPr="002B48E3">
        <w:rPr>
          <w:rFonts w:hint="cs"/>
          <w:rtl/>
          <w:lang w:val="fr-CH"/>
        </w:rPr>
        <w:t>هم</w:t>
      </w:r>
      <w:r w:rsidRPr="002B48E3">
        <w:rPr>
          <w:rtl/>
          <w:lang w:val="fr-CH"/>
        </w:rPr>
        <w:t xml:space="preserve"> الشعوب الأصلية، </w:t>
      </w:r>
      <w:r w:rsidRPr="002B48E3">
        <w:rPr>
          <w:rFonts w:hint="cs"/>
          <w:rtl/>
          <w:lang w:val="fr-CH"/>
        </w:rPr>
        <w:t>ب</w:t>
      </w:r>
      <w:r w:rsidRPr="002B48E3">
        <w:rPr>
          <w:rtl/>
          <w:lang w:val="fr-CH"/>
        </w:rPr>
        <w:t xml:space="preserve">القانون العام 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ل</w:t>
      </w:r>
      <w:r w:rsidRPr="002B48E3">
        <w:rPr>
          <w:rFonts w:hint="cs"/>
          <w:rtl/>
          <w:lang w:val="fr-CH"/>
        </w:rPr>
        <w:t>متعلق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ب</w:t>
      </w:r>
      <w:r w:rsidRPr="002B48E3">
        <w:rPr>
          <w:rtl/>
          <w:lang w:val="fr-CH"/>
        </w:rPr>
        <w:t>إدماج الأشخاص ذوي الإعاقة، فضل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 xml:space="preserve">عن </w:t>
      </w:r>
      <w:r w:rsidRPr="002B48E3">
        <w:rPr>
          <w:rFonts w:hint="cs"/>
          <w:rtl/>
          <w:lang w:val="fr-CH"/>
        </w:rPr>
        <w:t xml:space="preserve">بيان أوجه التباين </w:t>
      </w:r>
      <w:r w:rsidRPr="002B48E3">
        <w:rPr>
          <w:rtl/>
          <w:lang w:val="fr-CH"/>
        </w:rPr>
        <w:t xml:space="preserve">المحتملة </w:t>
      </w:r>
      <w:r w:rsidRPr="002B48E3">
        <w:rPr>
          <w:rFonts w:hint="cs"/>
          <w:rtl/>
          <w:lang w:val="fr-CH"/>
        </w:rPr>
        <w:t>بين هذا القانون وا</w:t>
      </w:r>
      <w:r w:rsidRPr="002B48E3">
        <w:rPr>
          <w:rtl/>
          <w:lang w:val="fr-CH"/>
        </w:rPr>
        <w:t xml:space="preserve">لقوانين </w:t>
      </w:r>
      <w:r w:rsidRPr="002B48E3">
        <w:rPr>
          <w:rFonts w:hint="cs"/>
          <w:rtl/>
          <w:lang w:val="fr-CH"/>
        </w:rPr>
        <w:t xml:space="preserve">ذات الصلة </w:t>
      </w:r>
      <w:r w:rsidRPr="002B48E3">
        <w:rPr>
          <w:rtl/>
          <w:lang w:val="fr-CH"/>
        </w:rPr>
        <w:t xml:space="preserve">في كل ولاية من </w:t>
      </w:r>
      <w:r w:rsidRPr="002B48E3">
        <w:rPr>
          <w:rFonts w:hint="cs"/>
          <w:rtl/>
          <w:lang w:val="fr-CH"/>
        </w:rPr>
        <w:t xml:space="preserve">ولايات </w:t>
      </w:r>
      <w:r w:rsidRPr="002B48E3">
        <w:rPr>
          <w:rtl/>
          <w:lang w:val="fr-CH"/>
        </w:rPr>
        <w:t>الجمهورية.</w:t>
      </w:r>
    </w:p>
    <w:p w:rsidR="002B48E3" w:rsidRPr="00E738CF" w:rsidRDefault="002B48E3" w:rsidP="002B48E3">
      <w:pPr>
        <w:pStyle w:val="SingleTxtGA"/>
        <w:rPr>
          <w:rFonts w:hint="cs"/>
          <w:spacing w:val="-2"/>
          <w:rtl/>
          <w:lang w:val="fr-CH"/>
        </w:rPr>
      </w:pPr>
      <w:r w:rsidRPr="00E738CF">
        <w:rPr>
          <w:rFonts w:hint="cs"/>
          <w:spacing w:val="-2"/>
          <w:rtl/>
          <w:lang w:val="fr-CH"/>
        </w:rPr>
        <w:t>3-</w:t>
      </w:r>
      <w:r w:rsidRPr="00E738CF">
        <w:rPr>
          <w:rFonts w:hint="cs"/>
          <w:spacing w:val="-2"/>
          <w:rtl/>
          <w:lang w:val="fr-CH"/>
        </w:rPr>
        <w:tab/>
        <w:t xml:space="preserve">يُرجى بيان التاريخ الذي ستنفذ فيه </w:t>
      </w:r>
      <w:r w:rsidRPr="00E738CF">
        <w:rPr>
          <w:spacing w:val="-2"/>
          <w:rtl/>
          <w:lang w:val="fr-CH"/>
        </w:rPr>
        <w:t>الدولة الطرف البرنامج الوطني الم</w:t>
      </w:r>
      <w:r w:rsidRPr="00E738CF">
        <w:rPr>
          <w:rFonts w:hint="cs"/>
          <w:spacing w:val="-2"/>
          <w:rtl/>
          <w:lang w:val="fr-CH"/>
        </w:rPr>
        <w:t xml:space="preserve">تعلق </w:t>
      </w:r>
      <w:r w:rsidRPr="00E738CF">
        <w:rPr>
          <w:spacing w:val="-2"/>
          <w:rtl/>
          <w:lang w:val="fr-CH"/>
        </w:rPr>
        <w:t xml:space="preserve">بالإعاقة </w:t>
      </w:r>
      <w:r w:rsidRPr="00E738CF">
        <w:rPr>
          <w:rFonts w:hint="cs"/>
          <w:spacing w:val="-2"/>
          <w:rtl/>
          <w:lang w:val="fr-CH"/>
        </w:rPr>
        <w:t xml:space="preserve">خلال </w:t>
      </w:r>
      <w:r w:rsidRPr="00E738CF">
        <w:rPr>
          <w:spacing w:val="-2"/>
          <w:rtl/>
          <w:lang w:val="fr-CH"/>
        </w:rPr>
        <w:t>فترة الإدارة الاتحادية الحالية (2014-2018)</w:t>
      </w:r>
      <w:r w:rsidRPr="00E738CF">
        <w:rPr>
          <w:rFonts w:hint="cs"/>
          <w:spacing w:val="-2"/>
          <w:rtl/>
          <w:lang w:val="fr-CH"/>
        </w:rPr>
        <w:t>،</w:t>
      </w:r>
      <w:r w:rsidRPr="00E738CF">
        <w:rPr>
          <w:spacing w:val="-2"/>
          <w:rtl/>
          <w:lang w:val="fr-CH"/>
        </w:rPr>
        <w:t xml:space="preserve"> و</w:t>
      </w:r>
      <w:r w:rsidRPr="00E738CF">
        <w:rPr>
          <w:rFonts w:hint="cs"/>
          <w:spacing w:val="-2"/>
          <w:rtl/>
          <w:lang w:val="fr-CH"/>
        </w:rPr>
        <w:t>بيان</w:t>
      </w:r>
      <w:r w:rsidRPr="00E738CF">
        <w:rPr>
          <w:spacing w:val="-2"/>
          <w:rtl/>
          <w:lang w:val="fr-CH"/>
        </w:rPr>
        <w:t xml:space="preserve"> </w:t>
      </w:r>
      <w:r w:rsidRPr="00E738CF">
        <w:rPr>
          <w:rFonts w:hint="cs"/>
          <w:spacing w:val="-2"/>
          <w:rtl/>
          <w:lang w:val="fr-CH"/>
        </w:rPr>
        <w:t xml:space="preserve">كيفية تنسيق </w:t>
      </w:r>
      <w:r w:rsidRPr="00E738CF">
        <w:rPr>
          <w:spacing w:val="-2"/>
          <w:rtl/>
          <w:lang w:val="fr-CH"/>
        </w:rPr>
        <w:t xml:space="preserve">الإجراءات </w:t>
      </w:r>
      <w:r w:rsidRPr="00E738CF">
        <w:rPr>
          <w:rFonts w:hint="cs"/>
          <w:spacing w:val="-2"/>
          <w:rtl/>
          <w:lang w:val="fr-CH"/>
        </w:rPr>
        <w:t xml:space="preserve">فيما </w:t>
      </w:r>
      <w:r w:rsidRPr="00E738CF">
        <w:rPr>
          <w:spacing w:val="-2"/>
          <w:rtl/>
          <w:lang w:val="fr-CH"/>
        </w:rPr>
        <w:t xml:space="preserve">بين المؤسسات العامة </w:t>
      </w:r>
      <w:r w:rsidRPr="00E738CF">
        <w:rPr>
          <w:rFonts w:hint="cs"/>
          <w:spacing w:val="-2"/>
          <w:rtl/>
          <w:lang w:val="fr-CH"/>
        </w:rPr>
        <w:t xml:space="preserve">من أجل متابعة تنفيذ البرنامج المذكور خلال الفترة 2009-2012. </w:t>
      </w:r>
    </w:p>
    <w:p w:rsidR="002B48E3" w:rsidRPr="002B48E3" w:rsidRDefault="002B48E3" w:rsidP="002B48E3">
      <w:pPr>
        <w:pStyle w:val="H1GA"/>
        <w:rPr>
          <w:lang w:val="fr-CH"/>
        </w:rPr>
      </w:pPr>
      <w:r>
        <w:rPr>
          <w:rFonts w:hint="cs"/>
          <w:rtl/>
          <w:lang w:val="fr-CH"/>
        </w:rPr>
        <w:tab/>
        <w:t>باء-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حقوق محددة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  <w:t>ال</w:t>
      </w:r>
      <w:r w:rsidRPr="002B48E3">
        <w:rPr>
          <w:rtl/>
          <w:lang w:val="fr-CH"/>
        </w:rPr>
        <w:t>مساواة وعدم التمييز (المادة 5)</w:t>
      </w:r>
    </w:p>
    <w:p w:rsidR="002B48E3" w:rsidRPr="002B48E3" w:rsidRDefault="002B48E3" w:rsidP="002B48E3">
      <w:pPr>
        <w:pStyle w:val="SingleTxtGA"/>
        <w:rPr>
          <w:lang w:val="fr-CH"/>
        </w:rPr>
      </w:pPr>
      <w:r>
        <w:rPr>
          <w:rFonts w:hint="cs"/>
          <w:rtl/>
          <w:lang w:val="fr-CH"/>
        </w:rPr>
        <w:t>4-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 xml:space="preserve">بيان متى تعتزم </w:t>
      </w:r>
      <w:r w:rsidRPr="002B48E3">
        <w:rPr>
          <w:rtl/>
          <w:lang w:val="fr-CH"/>
        </w:rPr>
        <w:t xml:space="preserve">الدولة الطرف أن </w:t>
      </w:r>
      <w:r w:rsidRPr="002B48E3">
        <w:rPr>
          <w:rFonts w:hint="cs"/>
          <w:rtl/>
          <w:lang w:val="fr-CH"/>
        </w:rPr>
        <w:t>تضمن</w:t>
      </w:r>
      <w:r w:rsidRPr="002B48E3">
        <w:rPr>
          <w:rtl/>
          <w:lang w:val="fr-CH"/>
        </w:rPr>
        <w:t xml:space="preserve"> تشريعات</w:t>
      </w:r>
      <w:r w:rsidRPr="002B48E3">
        <w:rPr>
          <w:rFonts w:hint="cs"/>
          <w:rtl/>
          <w:lang w:val="fr-CH"/>
        </w:rPr>
        <w:t>ها</w:t>
      </w:r>
      <w:r w:rsidRPr="002B48E3">
        <w:rPr>
          <w:rtl/>
          <w:lang w:val="fr-CH"/>
        </w:rPr>
        <w:t xml:space="preserve"> لمناهضة 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 xml:space="preserve">لتمييز </w:t>
      </w:r>
      <w:r w:rsidRPr="002B48E3">
        <w:rPr>
          <w:rFonts w:hint="cs"/>
          <w:rtl/>
          <w:lang w:val="fr-CH"/>
        </w:rPr>
        <w:t xml:space="preserve">مسألة </w:t>
      </w:r>
      <w:r w:rsidRPr="002B48E3">
        <w:rPr>
          <w:rtl/>
          <w:lang w:val="fr-CH"/>
        </w:rPr>
        <w:t xml:space="preserve">الحرمان من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ترتيبات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تيسيرية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>معقولة كشكل من أشكال التمييز على أساس الإعاقة.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النساء ذوات الإعاقة (المادة 6)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Fonts w:hint="cs"/>
          <w:rtl/>
          <w:lang w:val="fr-CH"/>
        </w:rPr>
        <w:t>5-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عن التدابير المحددة التي اتخذتها الدولة الطرف لمكافحة التمييز </w:t>
      </w:r>
      <w:r w:rsidRPr="002B48E3">
        <w:rPr>
          <w:rFonts w:hint="cs"/>
          <w:rtl/>
          <w:lang w:val="fr-CH"/>
        </w:rPr>
        <w:t>المضاعف الذي تعاني منه</w:t>
      </w:r>
      <w:r w:rsidRPr="002B48E3">
        <w:rPr>
          <w:rtl/>
          <w:lang w:val="fr-CH"/>
        </w:rPr>
        <w:t xml:space="preserve"> النساء والفتيات ذوات الإعاقة، وخاصة فيما يتعلق بالعنف وسوء المعاملة.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تحديد </w:t>
      </w:r>
      <w:r w:rsidRPr="002B48E3">
        <w:rPr>
          <w:rFonts w:hint="cs"/>
          <w:rtl/>
          <w:lang w:val="fr-CH"/>
        </w:rPr>
        <w:t xml:space="preserve">ما </w:t>
      </w:r>
      <w:r w:rsidRPr="002B48E3">
        <w:rPr>
          <w:rtl/>
          <w:lang w:val="fr-CH"/>
        </w:rPr>
        <w:t>تم تنفيذ</w:t>
      </w:r>
      <w:r w:rsidRPr="002B48E3">
        <w:rPr>
          <w:rFonts w:hint="cs"/>
          <w:rtl/>
          <w:lang w:val="fr-CH"/>
        </w:rPr>
        <w:t>ه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 xml:space="preserve">من </w:t>
      </w:r>
      <w:r w:rsidRPr="002B48E3">
        <w:rPr>
          <w:rtl/>
          <w:lang w:val="fr-CH"/>
        </w:rPr>
        <w:t xml:space="preserve">إجراءات محددة من أجل توفير الحماية القانونية والاجتماعية </w:t>
      </w:r>
      <w:r w:rsidRPr="002B48E3">
        <w:rPr>
          <w:rFonts w:hint="cs"/>
          <w:rtl/>
          <w:lang w:val="fr-CH"/>
        </w:rPr>
        <w:t>لهن</w:t>
      </w:r>
      <w:r w:rsidRPr="002B48E3">
        <w:rPr>
          <w:rtl/>
          <w:lang w:val="fr-CH"/>
        </w:rPr>
        <w:t>، فضل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>عن الخطوات المتخذة ل</w:t>
      </w:r>
      <w:r w:rsidRPr="002B48E3">
        <w:rPr>
          <w:rFonts w:hint="cs"/>
          <w:rtl/>
          <w:lang w:val="fr-CH"/>
        </w:rPr>
        <w:t>جبر</w:t>
      </w:r>
      <w:r w:rsidRPr="002B48E3">
        <w:rPr>
          <w:rtl/>
          <w:lang w:val="fr-CH"/>
        </w:rPr>
        <w:t xml:space="preserve"> ال</w:t>
      </w:r>
      <w:r w:rsidRPr="002B48E3">
        <w:rPr>
          <w:rFonts w:hint="cs"/>
          <w:rtl/>
          <w:lang w:val="fr-CH"/>
        </w:rPr>
        <w:t>أ</w:t>
      </w:r>
      <w:r w:rsidRPr="002B48E3">
        <w:rPr>
          <w:rtl/>
          <w:lang w:val="fr-CH"/>
        </w:rPr>
        <w:t>ضر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ر.</w:t>
      </w:r>
    </w:p>
    <w:p w:rsidR="002B48E3" w:rsidRPr="00E738CF" w:rsidRDefault="002B48E3" w:rsidP="00E738CF">
      <w:pPr>
        <w:pStyle w:val="SingleTxtGA"/>
        <w:rPr>
          <w:rFonts w:hint="cs"/>
          <w:spacing w:val="-2"/>
          <w:lang w:val="fr-CH"/>
        </w:rPr>
      </w:pPr>
      <w:r w:rsidRPr="00E738CF">
        <w:rPr>
          <w:spacing w:val="-2"/>
          <w:rtl/>
          <w:lang w:val="fr-CH"/>
        </w:rPr>
        <w:t>6</w:t>
      </w:r>
      <w:r w:rsidRPr="00E738CF">
        <w:rPr>
          <w:rFonts w:hint="cs"/>
          <w:spacing w:val="-2"/>
          <w:rtl/>
          <w:lang w:val="fr-CH"/>
        </w:rPr>
        <w:t>-</w:t>
      </w:r>
      <w:r w:rsidRPr="00E738CF">
        <w:rPr>
          <w:rFonts w:hint="cs"/>
          <w:spacing w:val="-2"/>
          <w:rtl/>
          <w:lang w:val="fr-CH"/>
        </w:rPr>
        <w:tab/>
        <w:t xml:space="preserve">يُرجى تقديم معلومات عن </w:t>
      </w:r>
      <w:r w:rsidRPr="00E738CF">
        <w:rPr>
          <w:spacing w:val="-2"/>
          <w:rtl/>
          <w:lang w:val="fr-CH"/>
        </w:rPr>
        <w:t>حالة النساء والفتيات ذوات الإعاقة في الدولة الطرف</w:t>
      </w:r>
      <w:r w:rsidRPr="00E738CF">
        <w:rPr>
          <w:rFonts w:hint="cs"/>
          <w:spacing w:val="-2"/>
          <w:rtl/>
          <w:lang w:val="fr-CH"/>
        </w:rPr>
        <w:t>،</w:t>
      </w:r>
      <w:r w:rsidRPr="00E738CF">
        <w:rPr>
          <w:spacing w:val="-2"/>
          <w:rtl/>
          <w:lang w:val="fr-CH"/>
        </w:rPr>
        <w:t xml:space="preserve"> و</w:t>
      </w:r>
      <w:r w:rsidRPr="00E738CF">
        <w:rPr>
          <w:rFonts w:hint="cs"/>
          <w:spacing w:val="-2"/>
          <w:rtl/>
          <w:lang w:val="fr-CH"/>
        </w:rPr>
        <w:t>بيان ما</w:t>
      </w:r>
      <w:r w:rsidRPr="00E738CF">
        <w:rPr>
          <w:spacing w:val="-2"/>
          <w:rtl/>
          <w:lang w:val="fr-CH"/>
        </w:rPr>
        <w:t xml:space="preserve"> إذا كانت قد اتخذت خطوات لمنع ومكافحة أشكال التمييز </w:t>
      </w:r>
      <w:r w:rsidRPr="00E738CF">
        <w:rPr>
          <w:rFonts w:hint="cs"/>
          <w:spacing w:val="-2"/>
          <w:rtl/>
          <w:lang w:val="fr-CH"/>
        </w:rPr>
        <w:t>ال</w:t>
      </w:r>
      <w:r w:rsidRPr="00E738CF">
        <w:rPr>
          <w:spacing w:val="-2"/>
          <w:rtl/>
          <w:lang w:val="fr-CH"/>
        </w:rPr>
        <w:t xml:space="preserve">متعدد </w:t>
      </w:r>
      <w:r w:rsidRPr="00E738CF">
        <w:rPr>
          <w:rFonts w:hint="cs"/>
          <w:spacing w:val="-2"/>
          <w:rtl/>
          <w:lang w:val="fr-CH"/>
        </w:rPr>
        <w:t>الذي يواجهنه،</w:t>
      </w:r>
      <w:r w:rsidRPr="00E738CF">
        <w:rPr>
          <w:spacing w:val="-2"/>
          <w:rtl/>
          <w:lang w:val="fr-CH"/>
        </w:rPr>
        <w:t xml:space="preserve"> بما</w:t>
      </w:r>
      <w:r w:rsidR="00E738CF">
        <w:rPr>
          <w:rFonts w:hint="cs"/>
          <w:spacing w:val="-2"/>
          <w:rtl/>
          <w:lang w:val="fr-CH"/>
        </w:rPr>
        <w:t> </w:t>
      </w:r>
      <w:r w:rsidRPr="00E738CF">
        <w:rPr>
          <w:spacing w:val="-2"/>
          <w:rtl/>
          <w:lang w:val="fr-CH"/>
        </w:rPr>
        <w:t xml:space="preserve">في ذلك </w:t>
      </w:r>
      <w:r w:rsidRPr="00E738CF">
        <w:rPr>
          <w:rFonts w:hint="cs"/>
          <w:spacing w:val="-2"/>
          <w:rtl/>
          <w:lang w:val="fr-CH"/>
        </w:rPr>
        <w:t>التمييز العرقي والتمييز على أساس نوع</w:t>
      </w:r>
      <w:r w:rsidRPr="00E738CF">
        <w:rPr>
          <w:spacing w:val="-2"/>
          <w:rtl/>
          <w:lang w:val="fr-CH"/>
        </w:rPr>
        <w:t xml:space="preserve"> الجنس وال</w:t>
      </w:r>
      <w:r w:rsidRPr="00E738CF">
        <w:rPr>
          <w:rFonts w:hint="cs"/>
          <w:spacing w:val="-2"/>
          <w:rtl/>
          <w:lang w:val="fr-CH"/>
        </w:rPr>
        <w:t xml:space="preserve">وضع </w:t>
      </w:r>
      <w:r w:rsidRPr="00E738CF">
        <w:rPr>
          <w:spacing w:val="-2"/>
          <w:rtl/>
          <w:lang w:val="fr-CH"/>
        </w:rPr>
        <w:t>الاجتماعي و</w:t>
      </w:r>
      <w:r w:rsidRPr="00E738CF">
        <w:rPr>
          <w:rFonts w:hint="cs"/>
          <w:spacing w:val="-2"/>
          <w:rtl/>
          <w:lang w:val="fr-CH"/>
        </w:rPr>
        <w:t>بسبب</w:t>
      </w:r>
      <w:r w:rsidRPr="00E738CF">
        <w:rPr>
          <w:spacing w:val="-2"/>
          <w:rtl/>
          <w:lang w:val="fr-CH"/>
        </w:rPr>
        <w:t xml:space="preserve"> </w:t>
      </w:r>
      <w:r w:rsidRPr="00E738CF">
        <w:rPr>
          <w:rFonts w:hint="cs"/>
          <w:spacing w:val="-2"/>
          <w:rtl/>
          <w:lang w:val="fr-CH"/>
        </w:rPr>
        <w:t>ا</w:t>
      </w:r>
      <w:r w:rsidRPr="00E738CF">
        <w:rPr>
          <w:spacing w:val="-2"/>
          <w:rtl/>
          <w:lang w:val="fr-CH"/>
        </w:rPr>
        <w:t>لإعاق</w:t>
      </w:r>
      <w:r w:rsidRPr="00E738CF">
        <w:rPr>
          <w:rFonts w:hint="cs"/>
          <w:spacing w:val="-2"/>
          <w:rtl/>
          <w:lang w:val="fr-CH"/>
        </w:rPr>
        <w:t>ة</w:t>
      </w:r>
      <w:r w:rsidRPr="00E738CF">
        <w:rPr>
          <w:spacing w:val="-2"/>
          <w:rtl/>
          <w:lang w:val="fr-CH"/>
        </w:rPr>
        <w:t>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الأطفال </w:t>
      </w:r>
      <w:r w:rsidRPr="002B48E3">
        <w:rPr>
          <w:rFonts w:hint="cs"/>
          <w:rtl/>
          <w:lang w:val="fr-CH"/>
        </w:rPr>
        <w:t>ذوو الإعاقة</w:t>
      </w:r>
      <w:r w:rsidRPr="002B48E3">
        <w:rPr>
          <w:rtl/>
          <w:lang w:val="fr-CH"/>
        </w:rPr>
        <w:t xml:space="preserve"> (المادة 7)</w:t>
      </w:r>
    </w:p>
    <w:p w:rsidR="002B48E3" w:rsidRPr="002B48E3" w:rsidRDefault="002B48E3" w:rsidP="006B021F">
      <w:pPr>
        <w:pStyle w:val="SingleTxtGA"/>
        <w:rPr>
          <w:lang w:val="fr-CH"/>
        </w:rPr>
      </w:pPr>
      <w:r w:rsidRPr="002B48E3">
        <w:rPr>
          <w:rtl/>
          <w:lang w:val="fr-CH"/>
        </w:rPr>
        <w:t>7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ما هي </w:t>
      </w:r>
      <w:r w:rsidRPr="002B48E3">
        <w:rPr>
          <w:rFonts w:hint="cs"/>
          <w:rtl/>
          <w:lang w:val="fr-CH"/>
        </w:rPr>
        <w:t>الإجراءات المتبعة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لتسجيل وم</w:t>
      </w:r>
      <w:r w:rsidRPr="002B48E3">
        <w:rPr>
          <w:rtl/>
          <w:lang w:val="fr-CH"/>
        </w:rPr>
        <w:t xml:space="preserve">راقبة ورصد </w:t>
      </w:r>
      <w:r w:rsidRPr="002B48E3">
        <w:rPr>
          <w:rFonts w:hint="cs"/>
          <w:rtl/>
          <w:lang w:val="fr-CH"/>
        </w:rPr>
        <w:t>أوضاع مراكز الإيواء</w:t>
      </w:r>
      <w:r w:rsidRPr="002B48E3">
        <w:rPr>
          <w:rtl/>
          <w:lang w:val="fr-CH"/>
        </w:rPr>
        <w:t xml:space="preserve"> والملاجئ أو</w:t>
      </w:r>
      <w:r w:rsidR="006B021F">
        <w:rPr>
          <w:rFonts w:hint="cs"/>
          <w:rtl/>
          <w:lang w:val="fr-CH"/>
        </w:rPr>
        <w:t> </w:t>
      </w:r>
      <w:r w:rsidRPr="002B48E3">
        <w:rPr>
          <w:rtl/>
          <w:lang w:val="fr-CH"/>
        </w:rPr>
        <w:t xml:space="preserve">أي </w:t>
      </w:r>
      <w:r w:rsidRPr="002B48E3">
        <w:rPr>
          <w:rFonts w:hint="cs"/>
          <w:rtl/>
          <w:lang w:val="fr-CH"/>
        </w:rPr>
        <w:t>مرافق ل</w:t>
      </w:r>
      <w:r w:rsidRPr="002B48E3">
        <w:rPr>
          <w:rtl/>
          <w:lang w:val="fr-CH"/>
        </w:rPr>
        <w:t xml:space="preserve">إقامة 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 xml:space="preserve">لأطفال ذوي الإعاقة ضحايا 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 xml:space="preserve">لجريمة،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الذين </w:t>
      </w:r>
      <w:r w:rsidRPr="002B48E3">
        <w:rPr>
          <w:rFonts w:hint="cs"/>
          <w:rtl/>
          <w:lang w:val="fr-CH"/>
        </w:rPr>
        <w:t>تم</w:t>
      </w:r>
      <w:r w:rsidRPr="002B48E3">
        <w:rPr>
          <w:rtl/>
          <w:lang w:val="fr-CH"/>
        </w:rPr>
        <w:t xml:space="preserve"> التخلي عنه</w:t>
      </w:r>
      <w:r w:rsidRPr="002B48E3">
        <w:rPr>
          <w:rFonts w:hint="cs"/>
          <w:rtl/>
          <w:lang w:val="fr-CH"/>
        </w:rPr>
        <w:t>م</w:t>
      </w:r>
      <w:r w:rsidRPr="002B48E3">
        <w:rPr>
          <w:rtl/>
          <w:lang w:val="fr-CH"/>
        </w:rPr>
        <w:t xml:space="preserve"> أو </w:t>
      </w:r>
      <w:r w:rsidRPr="002B48E3">
        <w:rPr>
          <w:rFonts w:hint="cs"/>
          <w:rtl/>
          <w:lang w:val="fr-CH"/>
        </w:rPr>
        <w:t xml:space="preserve">تكون مسألة </w:t>
      </w:r>
      <w:r w:rsidRPr="002B48E3">
        <w:rPr>
          <w:rtl/>
          <w:lang w:val="fr-CH"/>
        </w:rPr>
        <w:t>حضان</w:t>
      </w:r>
      <w:r w:rsidRPr="002B48E3">
        <w:rPr>
          <w:rFonts w:hint="cs"/>
          <w:rtl/>
          <w:lang w:val="fr-CH"/>
        </w:rPr>
        <w:t>تهم</w:t>
      </w:r>
      <w:r w:rsidRPr="002B48E3">
        <w:rPr>
          <w:rtl/>
          <w:lang w:val="fr-CH"/>
        </w:rPr>
        <w:t xml:space="preserve"> أو الوصاية </w:t>
      </w:r>
      <w:r w:rsidRPr="002B48E3">
        <w:rPr>
          <w:rFonts w:hint="cs"/>
          <w:rtl/>
          <w:lang w:val="fr-CH"/>
        </w:rPr>
        <w:t xml:space="preserve">عليهم موضع </w:t>
      </w:r>
      <w:r w:rsidRPr="002B48E3">
        <w:rPr>
          <w:rtl/>
          <w:lang w:val="fr-CH"/>
        </w:rPr>
        <w:t>نزاع؟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إذكاء الوعي</w:t>
      </w:r>
      <w:r w:rsidRPr="002B48E3">
        <w:rPr>
          <w:rtl/>
          <w:lang w:val="fr-CH"/>
        </w:rPr>
        <w:t xml:space="preserve"> (المادة 8)</w:t>
      </w:r>
    </w:p>
    <w:p w:rsidR="002B48E3" w:rsidRPr="002B48E3" w:rsidRDefault="002B48E3" w:rsidP="002B48E3">
      <w:pPr>
        <w:pStyle w:val="SingleTxtGA"/>
        <w:rPr>
          <w:rFonts w:hint="cs"/>
          <w:lang w:val="fr-CH"/>
        </w:rPr>
      </w:pPr>
      <w:r w:rsidRPr="002B48E3">
        <w:rPr>
          <w:rtl/>
          <w:lang w:val="fr-CH"/>
        </w:rPr>
        <w:t>8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عن التدابير التي </w:t>
      </w:r>
      <w:r w:rsidRPr="002B48E3">
        <w:rPr>
          <w:rFonts w:hint="cs"/>
          <w:rtl/>
          <w:lang w:val="fr-CH"/>
        </w:rPr>
        <w:t>اتخذتها</w:t>
      </w:r>
      <w:r w:rsidRPr="002B48E3">
        <w:rPr>
          <w:rtl/>
          <w:lang w:val="fr-CH"/>
        </w:rPr>
        <w:t xml:space="preserve"> الدولة الطرف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رصد ومكافحة </w:t>
      </w:r>
      <w:r w:rsidRPr="002B48E3">
        <w:rPr>
          <w:rFonts w:hint="cs"/>
          <w:rtl/>
          <w:lang w:val="fr-CH"/>
        </w:rPr>
        <w:t>ما</w:t>
      </w:r>
      <w:r>
        <w:rPr>
          <w:rFonts w:hint="eastAsia"/>
          <w:rtl/>
          <w:lang w:val="fr-CH"/>
        </w:rPr>
        <w:t> </w:t>
      </w:r>
      <w:r w:rsidRPr="002B48E3">
        <w:rPr>
          <w:rFonts w:hint="cs"/>
          <w:rtl/>
          <w:lang w:val="fr-CH"/>
        </w:rPr>
        <w:t xml:space="preserve">تتضمنه وسائل الإعلام من </w:t>
      </w:r>
      <w:r w:rsidRPr="002B48E3">
        <w:rPr>
          <w:rtl/>
          <w:lang w:val="fr-CH"/>
        </w:rPr>
        <w:t>حملات وبرامج ورسائل ت</w:t>
      </w:r>
      <w:r w:rsidRPr="002B48E3">
        <w:rPr>
          <w:rFonts w:hint="cs"/>
          <w:rtl/>
          <w:lang w:val="fr-CH"/>
        </w:rPr>
        <w:t xml:space="preserve">مس </w:t>
      </w:r>
      <w:r w:rsidRPr="002B48E3">
        <w:rPr>
          <w:rtl/>
          <w:lang w:val="fr-CH"/>
        </w:rPr>
        <w:t xml:space="preserve">كرامة الأشخاص ذوي الإعاقة وتعزز الصور النمطية، كما هو الحال </w:t>
      </w:r>
      <w:r w:rsidRPr="002B48E3">
        <w:rPr>
          <w:rFonts w:hint="cs"/>
          <w:rtl/>
          <w:lang w:val="fr-CH"/>
        </w:rPr>
        <w:t>بالنسبة ل</w:t>
      </w:r>
      <w:r w:rsidRPr="002B48E3">
        <w:rPr>
          <w:rtl/>
          <w:lang w:val="fr-CH"/>
        </w:rPr>
        <w:t xml:space="preserve">حملات </w:t>
      </w:r>
      <w:r w:rsidRPr="002B48E3">
        <w:rPr>
          <w:rFonts w:hint="cs"/>
          <w:rtl/>
          <w:lang w:val="fr-CH"/>
        </w:rPr>
        <w:t>مؤسسة تيلتون.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9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ونظر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 xml:space="preserve">لطبيعة </w:t>
      </w:r>
      <w:r w:rsidRPr="002B48E3">
        <w:rPr>
          <w:rFonts w:hint="cs"/>
          <w:rtl/>
          <w:lang w:val="fr-CH"/>
        </w:rPr>
        <w:t xml:space="preserve">سكان الدولة الطرف من حيث </w:t>
      </w:r>
      <w:r w:rsidRPr="002B48E3">
        <w:rPr>
          <w:rtl/>
          <w:lang w:val="fr-CH"/>
        </w:rPr>
        <w:t xml:space="preserve">تعدد الأعراق والثقافات، يُرجى الإشارة إلى التدابير المتخذة لزيادة الوعي العام بشأن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حقوق </w:t>
      </w:r>
      <w:r w:rsidRPr="002B48E3">
        <w:rPr>
          <w:rFonts w:hint="cs"/>
          <w:rtl/>
          <w:lang w:val="fr-CH"/>
        </w:rPr>
        <w:t>المكرسة</w:t>
      </w:r>
      <w:r w:rsidRPr="002B48E3">
        <w:rPr>
          <w:rtl/>
          <w:lang w:val="fr-CH"/>
        </w:rPr>
        <w:t xml:space="preserve"> في الاتفاقية، ولا سيما </w:t>
      </w:r>
      <w:r w:rsidRPr="002B48E3">
        <w:rPr>
          <w:rFonts w:hint="cs"/>
          <w:rtl/>
          <w:lang w:val="fr-CH"/>
        </w:rPr>
        <w:t xml:space="preserve">في أوساط </w:t>
      </w:r>
      <w:r w:rsidRPr="002B48E3">
        <w:rPr>
          <w:rtl/>
          <w:lang w:val="fr-CH"/>
        </w:rPr>
        <w:t>ال</w:t>
      </w:r>
      <w:r w:rsidRPr="002B48E3">
        <w:rPr>
          <w:rFonts w:hint="cs"/>
          <w:rtl/>
          <w:lang w:val="fr-CH"/>
        </w:rPr>
        <w:t>سكان المنتمي</w:t>
      </w:r>
      <w:r w:rsidRPr="002B48E3">
        <w:rPr>
          <w:rtl/>
          <w:lang w:val="fr-CH"/>
        </w:rPr>
        <w:t xml:space="preserve">ن إلى جماعات ومجموعات عرقية </w:t>
      </w:r>
      <w:r w:rsidRPr="002B48E3">
        <w:rPr>
          <w:rFonts w:hint="cs"/>
          <w:rtl/>
          <w:lang w:val="fr-CH"/>
        </w:rPr>
        <w:t xml:space="preserve">ذات </w:t>
      </w:r>
      <w:r w:rsidRPr="002B48E3">
        <w:rPr>
          <w:rtl/>
          <w:lang w:val="fr-CH"/>
        </w:rPr>
        <w:t>هوية ثقافية مميزة.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إمكانية الوصول (المادة 9)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10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 xml:space="preserve">ما هي </w:t>
      </w:r>
      <w:r w:rsidRPr="002B48E3">
        <w:rPr>
          <w:rtl/>
          <w:lang w:val="fr-CH"/>
        </w:rPr>
        <w:t xml:space="preserve">آليات الرصد والامتثال والعقوبات </w:t>
      </w:r>
      <w:r w:rsidRPr="002B48E3">
        <w:rPr>
          <w:rFonts w:hint="cs"/>
          <w:rtl/>
          <w:lang w:val="fr-CH"/>
        </w:rPr>
        <w:t>التي</w:t>
      </w:r>
      <w:r w:rsidRPr="002B48E3">
        <w:rPr>
          <w:rtl/>
          <w:lang w:val="fr-CH"/>
        </w:rPr>
        <w:t xml:space="preserve"> نفذ</w:t>
      </w:r>
      <w:r w:rsidRPr="002B48E3">
        <w:rPr>
          <w:rFonts w:hint="cs"/>
          <w:rtl/>
          <w:lang w:val="fr-CH"/>
        </w:rPr>
        <w:t>ت</w:t>
      </w:r>
      <w:r w:rsidRPr="002B48E3">
        <w:rPr>
          <w:rtl/>
          <w:lang w:val="fr-CH"/>
        </w:rPr>
        <w:t xml:space="preserve">ها الدولة الطرف لضمان </w:t>
      </w:r>
      <w:r w:rsidRPr="002B48E3">
        <w:rPr>
          <w:rFonts w:hint="cs"/>
          <w:rtl/>
          <w:lang w:val="fr-CH"/>
        </w:rPr>
        <w:t xml:space="preserve">إمكانية </w:t>
      </w:r>
      <w:r w:rsidRPr="002B48E3">
        <w:rPr>
          <w:rtl/>
          <w:lang w:val="fr-CH"/>
        </w:rPr>
        <w:t xml:space="preserve">وصول الأشخاص ذوي الإعاقة </w:t>
      </w:r>
      <w:r w:rsidRPr="002B48E3">
        <w:rPr>
          <w:rFonts w:hint="cs"/>
          <w:rtl/>
          <w:lang w:val="fr-CH"/>
        </w:rPr>
        <w:t>إلى المرافق</w:t>
      </w:r>
      <w:r w:rsidRPr="002B48E3">
        <w:rPr>
          <w:rtl/>
          <w:lang w:val="fr-CH"/>
        </w:rPr>
        <w:t xml:space="preserve"> ووسائل النقل والمعلومات والاتصالات، بما في ذلك نظم تكنولوجيا المعلومات والاتصالات، و</w:t>
      </w:r>
      <w:r w:rsidRPr="002B48E3">
        <w:rPr>
          <w:rFonts w:hint="cs"/>
          <w:rtl/>
          <w:lang w:val="fr-CH"/>
        </w:rPr>
        <w:t>غير ذلك من الخدمات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المرافق المتاحة للجمهور أو للاستخدام العام، </w:t>
      </w:r>
      <w:r w:rsidRPr="002B48E3">
        <w:rPr>
          <w:rFonts w:hint="cs"/>
          <w:rtl/>
          <w:lang w:val="fr-CH"/>
        </w:rPr>
        <w:t>على مستوى الولايات و</w:t>
      </w:r>
      <w:r w:rsidRPr="002B48E3">
        <w:rPr>
          <w:rtl/>
          <w:lang w:val="fr-CH"/>
        </w:rPr>
        <w:t>البلديات؟</w:t>
      </w:r>
    </w:p>
    <w:p w:rsidR="002B48E3" w:rsidRPr="002B48E3" w:rsidRDefault="002B48E3" w:rsidP="002B48E3">
      <w:pPr>
        <w:pStyle w:val="H23GA"/>
        <w:keepNext/>
        <w:rPr>
          <w:rFonts w:hint="cs"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الاعتراف بالأشخاص ذوي الإعاقة على قدم المساواة مع الآخرين أمام القانون (المادة</w:t>
      </w:r>
      <w:r>
        <w:rPr>
          <w:rFonts w:hint="eastAsia"/>
          <w:rtl/>
          <w:lang w:val="fr-CH"/>
        </w:rPr>
        <w:t> </w:t>
      </w:r>
      <w:r w:rsidRPr="002B48E3">
        <w:rPr>
          <w:rFonts w:hint="cs"/>
          <w:rtl/>
          <w:lang w:val="fr-CH"/>
        </w:rPr>
        <w:t>12)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11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بيان</w:t>
      </w:r>
      <w:r w:rsidRPr="002B48E3">
        <w:rPr>
          <w:rtl/>
          <w:lang w:val="fr-CH"/>
        </w:rPr>
        <w:t xml:space="preserve"> التدابير </w:t>
      </w:r>
      <w:r w:rsidRPr="002B48E3">
        <w:rPr>
          <w:rFonts w:hint="cs"/>
          <w:rtl/>
          <w:lang w:val="fr-CH"/>
        </w:rPr>
        <w:t>التي اتخذتها</w:t>
      </w:r>
      <w:r w:rsidRPr="002B48E3">
        <w:rPr>
          <w:rtl/>
          <w:lang w:val="fr-CH"/>
        </w:rPr>
        <w:t xml:space="preserve"> الدولة الطرف من أجل </w:t>
      </w:r>
      <w:r w:rsidRPr="002B48E3">
        <w:rPr>
          <w:rFonts w:hint="cs"/>
          <w:rtl/>
          <w:lang w:val="fr-CH"/>
        </w:rPr>
        <w:t>تنقيح</w:t>
      </w:r>
      <w:r w:rsidRPr="002B48E3">
        <w:rPr>
          <w:rtl/>
          <w:lang w:val="fr-CH"/>
        </w:rPr>
        <w:t xml:space="preserve"> وإلغاء </w:t>
      </w:r>
      <w:r w:rsidRPr="002B48E3">
        <w:rPr>
          <w:rFonts w:hint="cs"/>
          <w:rtl/>
          <w:lang w:val="fr-CH"/>
        </w:rPr>
        <w:t xml:space="preserve">أحكام </w:t>
      </w:r>
      <w:r w:rsidRPr="002B48E3">
        <w:rPr>
          <w:rtl/>
          <w:lang w:val="fr-CH"/>
        </w:rPr>
        <w:t>القانون المدني</w:t>
      </w:r>
      <w:r w:rsidRPr="002B48E3">
        <w:rPr>
          <w:rFonts w:hint="cs"/>
          <w:rtl/>
          <w:lang w:val="fr-CH"/>
        </w:rPr>
        <w:t xml:space="preserve"> التي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ت</w:t>
      </w:r>
      <w:r w:rsidRPr="002B48E3">
        <w:rPr>
          <w:rtl/>
          <w:lang w:val="fr-CH"/>
        </w:rPr>
        <w:t xml:space="preserve">علن </w:t>
      </w:r>
      <w:r w:rsidRPr="002B48E3">
        <w:rPr>
          <w:rFonts w:hint="cs"/>
          <w:rtl/>
          <w:lang w:val="fr-CH"/>
        </w:rPr>
        <w:t>عدم الأهلية</w:t>
      </w:r>
      <w:r w:rsidRPr="002B48E3">
        <w:rPr>
          <w:rtl/>
          <w:lang w:val="fr-CH"/>
        </w:rPr>
        <w:t xml:space="preserve"> ا</w:t>
      </w:r>
      <w:r w:rsidRPr="002B48E3">
        <w:rPr>
          <w:rFonts w:hint="cs"/>
          <w:rtl/>
          <w:lang w:val="fr-CH"/>
        </w:rPr>
        <w:t>لمطلقة ل</w:t>
      </w:r>
      <w:r w:rsidRPr="002B48E3">
        <w:rPr>
          <w:rtl/>
          <w:lang w:val="fr-CH"/>
        </w:rPr>
        <w:t xml:space="preserve">لأشخاص ذوي الإعاقة، </w:t>
      </w:r>
      <w:r w:rsidRPr="002B48E3">
        <w:rPr>
          <w:rFonts w:hint="cs"/>
          <w:rtl/>
          <w:lang w:val="fr-CH"/>
        </w:rPr>
        <w:t xml:space="preserve">وذلك </w:t>
      </w:r>
      <w:r w:rsidRPr="002B48E3">
        <w:rPr>
          <w:rtl/>
          <w:lang w:val="fr-CH"/>
        </w:rPr>
        <w:t xml:space="preserve">من أجل </w:t>
      </w:r>
      <w:r w:rsidRPr="002B48E3">
        <w:rPr>
          <w:rFonts w:hint="cs"/>
          <w:rtl/>
          <w:lang w:val="fr-CH"/>
        </w:rPr>
        <w:t>وضع حد ل</w:t>
      </w:r>
      <w:r w:rsidRPr="002B48E3">
        <w:rPr>
          <w:rtl/>
          <w:lang w:val="fr-CH"/>
        </w:rPr>
        <w:t>لوصاية و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أشكال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قانونية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أخرى </w:t>
      </w:r>
      <w:r w:rsidRPr="002B48E3">
        <w:rPr>
          <w:rFonts w:hint="cs"/>
          <w:rtl/>
          <w:lang w:val="fr-CH"/>
        </w:rPr>
        <w:t xml:space="preserve">لإصدار الأحكام بهذا الشأن </w:t>
      </w:r>
      <w:r w:rsidRPr="002B48E3">
        <w:rPr>
          <w:rtl/>
          <w:lang w:val="fr-CH"/>
        </w:rPr>
        <w:t>و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إجراءات </w:t>
      </w:r>
      <w:r w:rsidRPr="002B48E3">
        <w:rPr>
          <w:rFonts w:hint="cs"/>
          <w:rtl/>
          <w:lang w:val="fr-CH"/>
        </w:rPr>
        <w:t>المتعلقة بال</w:t>
      </w:r>
      <w:r w:rsidRPr="002B48E3">
        <w:rPr>
          <w:rtl/>
          <w:lang w:val="fr-CH"/>
        </w:rPr>
        <w:t xml:space="preserve">إعلان </w:t>
      </w:r>
      <w:r w:rsidRPr="002B48E3">
        <w:rPr>
          <w:rFonts w:hint="cs"/>
          <w:rtl/>
          <w:lang w:val="fr-CH"/>
        </w:rPr>
        <w:t xml:space="preserve">عن "عدم الأهلية" </w:t>
      </w:r>
      <w:r w:rsidRPr="002B48E3">
        <w:rPr>
          <w:rtl/>
          <w:lang w:val="fr-CH"/>
        </w:rPr>
        <w:t xml:space="preserve">أو </w:t>
      </w:r>
      <w:r w:rsidRPr="002B48E3">
        <w:rPr>
          <w:rFonts w:hint="cs"/>
          <w:rtl/>
          <w:lang w:val="fr-CH"/>
        </w:rPr>
        <w:t>الموافقة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على ذلك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12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توضيح</w:t>
      </w:r>
      <w:r w:rsidRPr="002B48E3">
        <w:rPr>
          <w:rtl/>
          <w:lang w:val="fr-CH"/>
        </w:rPr>
        <w:t xml:space="preserve"> التدابير التي 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تخذ</w:t>
      </w:r>
      <w:r w:rsidRPr="002B48E3">
        <w:rPr>
          <w:rFonts w:hint="cs"/>
          <w:rtl/>
          <w:lang w:val="fr-CH"/>
        </w:rPr>
        <w:t>ت</w:t>
      </w:r>
      <w:r w:rsidRPr="002B48E3">
        <w:rPr>
          <w:rtl/>
          <w:lang w:val="fr-CH"/>
        </w:rPr>
        <w:t>ها الدولة الطرف لتعزيز التنظيم القانوني ل</w:t>
      </w:r>
      <w:r w:rsidRPr="002B48E3">
        <w:rPr>
          <w:rFonts w:hint="cs"/>
          <w:rtl/>
          <w:lang w:val="fr-CH"/>
        </w:rPr>
        <w:t xml:space="preserve">نظام </w:t>
      </w:r>
      <w:r w:rsidRPr="002B48E3">
        <w:rPr>
          <w:rtl/>
          <w:lang w:val="fr-CH"/>
        </w:rPr>
        <w:t xml:space="preserve">دعم </w:t>
      </w:r>
      <w:r w:rsidRPr="002B48E3">
        <w:rPr>
          <w:rFonts w:hint="cs"/>
          <w:rtl/>
          <w:lang w:val="fr-CH"/>
        </w:rPr>
        <w:t>اتخاذ</w:t>
      </w:r>
      <w:r w:rsidRPr="002B48E3">
        <w:rPr>
          <w:rtl/>
          <w:lang w:val="fr-CH"/>
        </w:rPr>
        <w:t xml:space="preserve"> القرار </w:t>
      </w:r>
      <w:r w:rsidRPr="002B48E3">
        <w:rPr>
          <w:rFonts w:hint="cs"/>
          <w:rtl/>
          <w:lang w:val="fr-CH"/>
        </w:rPr>
        <w:t>بغية تمكين ا</w:t>
      </w:r>
      <w:r w:rsidRPr="002B48E3">
        <w:rPr>
          <w:rtl/>
          <w:lang w:val="fr-CH"/>
        </w:rPr>
        <w:t xml:space="preserve">لأشخاص ذوي الإعاقة من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ممارسة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>كامل</w:t>
      </w:r>
      <w:r w:rsidRPr="002B48E3">
        <w:rPr>
          <w:rFonts w:hint="cs"/>
          <w:rtl/>
          <w:lang w:val="fr-CH"/>
        </w:rPr>
        <w:t>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أهليتهم القانونية، والتدابير المتخذة لمراجعة </w:t>
      </w:r>
      <w:r w:rsidRPr="002B48E3">
        <w:rPr>
          <w:rFonts w:hint="cs"/>
          <w:rtl/>
          <w:lang w:val="fr-CH"/>
        </w:rPr>
        <w:t xml:space="preserve">مبدأ </w:t>
      </w:r>
      <w:r w:rsidRPr="006B021F">
        <w:rPr>
          <w:rFonts w:hint="cs"/>
          <w:i/>
          <w:iCs/>
          <w:rtl/>
          <w:lang w:val="fr-CH"/>
        </w:rPr>
        <w:t>"</w:t>
      </w:r>
      <w:r w:rsidRPr="006B021F">
        <w:rPr>
          <w:rFonts w:hint="cs"/>
          <w:i/>
          <w:iCs/>
          <w:rtl/>
          <w:lang/>
        </w:rPr>
        <w:t>تغليب مصلحة الشخص</w:t>
      </w:r>
      <w:r w:rsidRPr="002B48E3">
        <w:rPr>
          <w:rFonts w:hint="cs"/>
          <w:i/>
          <w:iCs/>
          <w:rtl/>
          <w:lang/>
        </w:rPr>
        <w:t>"</w:t>
      </w:r>
      <w:r w:rsidRPr="002B48E3">
        <w:rPr>
          <w:rFonts w:hint="cs"/>
          <w:rtl/>
          <w:lang/>
        </w:rPr>
        <w:t xml:space="preserve"> </w:t>
      </w:r>
      <w:r w:rsidRPr="002B48E3">
        <w:rPr>
          <w:rtl/>
          <w:lang w:val="fr-CH"/>
        </w:rPr>
        <w:t>وتفسير</w:t>
      </w:r>
      <w:r w:rsidRPr="002B48E3">
        <w:rPr>
          <w:rFonts w:hint="cs"/>
          <w:rtl/>
          <w:lang w:val="fr-CH"/>
        </w:rPr>
        <w:t>ه</w:t>
      </w:r>
      <w:r w:rsidRPr="002B48E3">
        <w:rPr>
          <w:rtl/>
          <w:lang w:val="fr-CH"/>
        </w:rPr>
        <w:t xml:space="preserve"> القانوني وفق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>للمادة 12.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إمكانية اللجوء</w:t>
      </w:r>
      <w:r w:rsidRPr="002B48E3">
        <w:rPr>
          <w:rtl/>
          <w:lang w:val="fr-CH"/>
        </w:rPr>
        <w:t xml:space="preserve"> إلى ال</w:t>
      </w:r>
      <w:r w:rsidRPr="002B48E3">
        <w:rPr>
          <w:rFonts w:hint="cs"/>
          <w:rtl/>
          <w:lang w:val="fr-CH"/>
        </w:rPr>
        <w:t>قضاء</w:t>
      </w:r>
      <w:r w:rsidRPr="002B48E3">
        <w:rPr>
          <w:rtl/>
          <w:lang w:val="fr-CH"/>
        </w:rPr>
        <w:t xml:space="preserve"> (المادة 13)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13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بيان ما إذا كان تنفيذ نظام العدالة الجنائية الجديدة </w:t>
      </w:r>
      <w:r w:rsidRPr="002B48E3">
        <w:rPr>
          <w:rFonts w:hint="cs"/>
          <w:rtl/>
          <w:lang w:val="fr-CH"/>
        </w:rPr>
        <w:t>يتضمن</w:t>
      </w:r>
      <w:r w:rsidRPr="002B48E3">
        <w:rPr>
          <w:rtl/>
          <w:lang w:val="fr-CH"/>
        </w:rPr>
        <w:t xml:space="preserve"> تدابير خاصة للأشخاص ذوي الإعاقة</w:t>
      </w:r>
      <w:r w:rsidRPr="002B48E3">
        <w:rPr>
          <w:rFonts w:hint="cs"/>
          <w:rtl/>
          <w:lang w:val="fr-CH"/>
        </w:rPr>
        <w:t xml:space="preserve"> </w:t>
      </w:r>
      <w:r w:rsidRPr="002B48E3">
        <w:rPr>
          <w:rtl/>
          <w:lang w:val="fr-CH"/>
        </w:rPr>
        <w:t>النفسية</w:t>
      </w:r>
      <w:r w:rsidRPr="002B48E3">
        <w:rPr>
          <w:rFonts w:hint="cs"/>
          <w:rtl/>
          <w:lang w:val="fr-CH"/>
        </w:rPr>
        <w:t xml:space="preserve"> </w:t>
      </w:r>
      <w:r w:rsidRPr="002B48E3">
        <w:rPr>
          <w:rtl/>
          <w:lang w:val="fr-CH"/>
        </w:rPr>
        <w:t>الاجتماعية والفكرية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 xml:space="preserve">بغية </w:t>
      </w:r>
      <w:r w:rsidRPr="002B48E3">
        <w:rPr>
          <w:rtl/>
          <w:lang w:val="fr-CH"/>
        </w:rPr>
        <w:t>ضمان حقوقهم واحترام الإجراءات القانونية الواجبة.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14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توضيح </w:t>
      </w:r>
      <w:r w:rsidRPr="002B48E3">
        <w:rPr>
          <w:rFonts w:hint="cs"/>
          <w:rtl/>
          <w:lang w:val="fr-CH"/>
        </w:rPr>
        <w:t xml:space="preserve">نوع </w:t>
      </w:r>
      <w:r w:rsidRPr="002B48E3">
        <w:rPr>
          <w:rFonts w:hint="cs"/>
          <w:rtl/>
          <w:lang/>
        </w:rPr>
        <w:t xml:space="preserve">التيسيرات الإجرائية المناسبة عمرياً </w:t>
      </w:r>
      <w:r w:rsidRPr="002B48E3">
        <w:rPr>
          <w:rFonts w:hint="cs"/>
          <w:rtl/>
          <w:lang w:val="fr-CH"/>
        </w:rPr>
        <w:t>المتخذة</w:t>
      </w:r>
      <w:r w:rsidRPr="002B48E3">
        <w:rPr>
          <w:rtl/>
          <w:lang w:val="fr-CH"/>
        </w:rPr>
        <w:t xml:space="preserve"> لتيسير وصول </w:t>
      </w:r>
      <w:r w:rsidRPr="002B48E3">
        <w:rPr>
          <w:rFonts w:hint="cs"/>
          <w:rtl/>
          <w:lang w:val="fr-CH"/>
        </w:rPr>
        <w:t xml:space="preserve">الأشخاص ذوي الإعاقة </w:t>
      </w:r>
      <w:r w:rsidRPr="002B48E3">
        <w:rPr>
          <w:rtl/>
          <w:lang w:val="fr-CH"/>
        </w:rPr>
        <w:t xml:space="preserve">إلى العدالة.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>يُرجى الإشارة أيض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 xml:space="preserve">إلى </w:t>
      </w:r>
      <w:r w:rsidRPr="002B48E3">
        <w:rPr>
          <w:rFonts w:hint="cs"/>
          <w:rtl/>
          <w:lang w:val="fr-CH"/>
        </w:rPr>
        <w:t>الإجراءات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معقولة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>متاحة لهؤلاء ال</w:t>
      </w:r>
      <w:r w:rsidRPr="002B48E3">
        <w:rPr>
          <w:rFonts w:hint="cs"/>
          <w:rtl/>
          <w:lang w:val="fr-CH"/>
        </w:rPr>
        <w:t xml:space="preserve">أشخاص </w:t>
      </w:r>
      <w:r w:rsidRPr="002B48E3">
        <w:rPr>
          <w:rtl/>
          <w:lang w:val="fr-CH"/>
        </w:rPr>
        <w:t>لضمان وصوله</w:t>
      </w:r>
      <w:r w:rsidRPr="002B48E3">
        <w:rPr>
          <w:rFonts w:hint="cs"/>
          <w:rtl/>
          <w:lang w:val="fr-CH"/>
        </w:rPr>
        <w:t>م</w:t>
      </w:r>
      <w:r w:rsidRPr="002B48E3">
        <w:rPr>
          <w:rtl/>
          <w:lang w:val="fr-CH"/>
        </w:rPr>
        <w:t xml:space="preserve"> إلى النظم القضائية والإدارية، بما في ذلك نظام العدالة </w:t>
      </w:r>
      <w:r w:rsidRPr="002B48E3">
        <w:rPr>
          <w:rFonts w:hint="cs"/>
          <w:rtl/>
          <w:lang w:val="fr-CH"/>
        </w:rPr>
        <w:t>المتعلق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ب</w:t>
      </w:r>
      <w:r w:rsidRPr="002B48E3">
        <w:rPr>
          <w:rtl/>
          <w:lang w:val="fr-CH"/>
        </w:rPr>
        <w:t>حق الشعوب الأصلية، ولا سيما فيما يتعلق ب</w:t>
      </w:r>
      <w:r w:rsidRPr="002B48E3">
        <w:rPr>
          <w:rFonts w:hint="cs"/>
          <w:rtl/>
          <w:lang w:val="fr-CH"/>
        </w:rPr>
        <w:t xml:space="preserve">توفير </w:t>
      </w:r>
      <w:r w:rsidRPr="002B48E3">
        <w:rPr>
          <w:rtl/>
          <w:lang w:val="fr-CH"/>
        </w:rPr>
        <w:t>المعلومات والاتصالات (</w:t>
      </w:r>
      <w:r w:rsidRPr="002B48E3">
        <w:rPr>
          <w:rFonts w:hint="cs"/>
          <w:rtl/>
          <w:lang w:val="fr-CH"/>
        </w:rPr>
        <w:t>مثل ا</w:t>
      </w:r>
      <w:r w:rsidRPr="002B48E3">
        <w:rPr>
          <w:rtl/>
          <w:lang w:val="fr-CH"/>
        </w:rPr>
        <w:t>ستخد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م لغة الإشارة</w:t>
      </w:r>
      <w:r w:rsidRPr="002B48E3">
        <w:rPr>
          <w:rFonts w:hint="cs"/>
          <w:rtl/>
          <w:lang w:val="fr-CH"/>
        </w:rPr>
        <w:t>، و</w:t>
      </w:r>
      <w:r w:rsidRPr="002B48E3">
        <w:rPr>
          <w:rtl/>
          <w:lang w:val="fr-CH"/>
        </w:rPr>
        <w:t>الصور التوضيحية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 xml:space="preserve">ووسائل </w:t>
      </w:r>
      <w:r w:rsidRPr="002B48E3">
        <w:rPr>
          <w:rtl/>
          <w:lang w:val="fr-CH"/>
        </w:rPr>
        <w:t>الاتصال البديلة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ونظام النسقين للأشخاص </w:t>
      </w:r>
      <w:r w:rsidRPr="002B48E3">
        <w:rPr>
          <w:rFonts w:hint="cs"/>
          <w:rtl/>
          <w:lang w:val="fr-CH"/>
        </w:rPr>
        <w:t xml:space="preserve">الصم </w:t>
      </w:r>
      <w:r w:rsidRPr="002B48E3">
        <w:rPr>
          <w:rtl/>
          <w:lang w:val="fr-CH"/>
        </w:rPr>
        <w:t>المكفوفين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والمترجمين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وطريقة برايل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</w:t>
      </w:r>
      <w:r w:rsidRPr="002B48E3">
        <w:rPr>
          <w:rFonts w:hint="cs"/>
          <w:rtl/>
          <w:lang/>
        </w:rPr>
        <w:t xml:space="preserve">أجهزة اللوالب المغناطيسية اللاقطة للصوت، </w:t>
      </w:r>
      <w:r w:rsidRPr="002B48E3">
        <w:rPr>
          <w:rtl/>
          <w:lang w:val="fr-CH"/>
        </w:rPr>
        <w:t>وترددات الراديو</w:t>
      </w:r>
      <w:r w:rsidRPr="002B48E3">
        <w:rPr>
          <w:rFonts w:hint="cs"/>
          <w:rtl/>
          <w:lang w:val="fr-CH"/>
        </w:rPr>
        <w:t>، وما إلى ذلك</w:t>
      </w:r>
      <w:r w:rsidRPr="002B48E3">
        <w:rPr>
          <w:rtl/>
          <w:lang w:val="fr-CH"/>
        </w:rPr>
        <w:t>) في قاعات المحاكم وغيرها من الأماكن العام</w:t>
      </w:r>
      <w:r w:rsidRPr="002B48E3">
        <w:rPr>
          <w:rFonts w:hint="cs"/>
          <w:rtl/>
          <w:lang w:val="fr-CH"/>
        </w:rPr>
        <w:t>ة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15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يُرجى شرح التدابير التي اتخذتها الحكومة المكسيكية لضمان التركيز على حقوق الإنسان في مجال إقامة العدل للأشخاص ذوي الإعاقة من قبل العاملين في هذا المجال (</w:t>
      </w:r>
      <w:r w:rsidRPr="002B48E3">
        <w:rPr>
          <w:rFonts w:hint="cs"/>
          <w:rtl/>
          <w:lang w:val="fr-CH"/>
        </w:rPr>
        <w:t xml:space="preserve">مثل </w:t>
      </w:r>
      <w:r w:rsidRPr="002B48E3">
        <w:rPr>
          <w:rtl/>
          <w:lang w:val="fr-CH"/>
        </w:rPr>
        <w:t>الشرطة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والمدعين العامين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والمحامين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ومحام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 xml:space="preserve"> الدفاع</w:t>
      </w:r>
      <w:r w:rsidRPr="002B48E3">
        <w:rPr>
          <w:rFonts w:hint="cs"/>
          <w:rtl/>
          <w:lang w:val="fr-CH"/>
        </w:rPr>
        <w:t>، والعاملين في</w:t>
      </w:r>
      <w:r w:rsidRPr="002B48E3">
        <w:rPr>
          <w:rtl/>
          <w:lang w:val="fr-CH"/>
        </w:rPr>
        <w:t xml:space="preserve"> المحاكم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والقضاة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وموظفي الخدمة المدنية في نظام السجون،</w:t>
      </w:r>
      <w:r w:rsidRPr="002B48E3">
        <w:rPr>
          <w:rFonts w:hint="cs"/>
          <w:rtl/>
          <w:lang w:val="fr-CH"/>
        </w:rPr>
        <w:t xml:space="preserve"> وغيرهم</w:t>
      </w:r>
      <w:r w:rsidRPr="002B48E3">
        <w:rPr>
          <w:rtl/>
          <w:lang w:val="fr-CH"/>
        </w:rPr>
        <w:t>)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على المستو</w:t>
      </w:r>
      <w:r w:rsidRPr="002B48E3">
        <w:rPr>
          <w:rFonts w:hint="cs"/>
          <w:rtl/>
          <w:lang w:val="fr-CH"/>
        </w:rPr>
        <w:t>ى</w:t>
      </w:r>
      <w:r w:rsidRPr="002B48E3">
        <w:rPr>
          <w:rtl/>
          <w:lang w:val="fr-CH"/>
        </w:rPr>
        <w:t xml:space="preserve"> الاتحادي و</w:t>
      </w:r>
      <w:r w:rsidRPr="002B48E3">
        <w:rPr>
          <w:rFonts w:hint="cs"/>
          <w:rtl/>
          <w:lang w:val="fr-CH"/>
        </w:rPr>
        <w:t xml:space="preserve">مستوى </w:t>
      </w:r>
      <w:r w:rsidRPr="002B48E3">
        <w:rPr>
          <w:rtl/>
          <w:lang w:val="fr-CH"/>
        </w:rPr>
        <w:t>الولاي</w:t>
      </w:r>
      <w:r w:rsidRPr="002B48E3">
        <w:rPr>
          <w:rFonts w:hint="cs"/>
          <w:rtl/>
          <w:lang w:val="fr-CH"/>
        </w:rPr>
        <w:t>ات</w:t>
      </w:r>
      <w:r w:rsidRPr="002B48E3">
        <w:rPr>
          <w:rtl/>
          <w:lang w:val="fr-CH"/>
        </w:rPr>
        <w:t xml:space="preserve"> والبلدي</w:t>
      </w:r>
      <w:r w:rsidRPr="002B48E3">
        <w:rPr>
          <w:rFonts w:hint="cs"/>
          <w:rtl/>
          <w:lang w:val="fr-CH"/>
        </w:rPr>
        <w:t>ات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H23GA"/>
        <w:keepNext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حرية الشخص وأمنه (المادة 14)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16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توضيح ما هي التدابير المحددة التي اتخذتها الدولة الطرف لإصلاح النظام الذي يحكم </w:t>
      </w:r>
      <w:r w:rsidRPr="002B48E3">
        <w:rPr>
          <w:rFonts w:hint="cs"/>
          <w:rtl/>
          <w:lang w:val="fr-CH"/>
        </w:rPr>
        <w:t>حالي</w:t>
      </w:r>
      <w:r w:rsidR="009B34CC">
        <w:rPr>
          <w:rFonts w:hint="cs"/>
          <w:rtl/>
          <w:lang w:val="fr-CH"/>
        </w:rPr>
        <w:t xml:space="preserve">اً </w:t>
      </w:r>
      <w:r w:rsidRPr="002B48E3">
        <w:rPr>
          <w:rFonts w:hint="cs"/>
          <w:rtl/>
          <w:lang w:val="fr-CH"/>
        </w:rPr>
        <w:t>إيداع الأشخاص في</w:t>
      </w:r>
      <w:r w:rsidRPr="002B48E3">
        <w:rPr>
          <w:rtl/>
          <w:lang w:val="fr-CH"/>
        </w:rPr>
        <w:t xml:space="preserve"> مستشفيات </w:t>
      </w:r>
      <w:r w:rsidRPr="002B48E3">
        <w:rPr>
          <w:rFonts w:hint="cs"/>
          <w:rtl/>
          <w:lang w:val="fr-CH"/>
        </w:rPr>
        <w:t xml:space="preserve">الأمراض </w:t>
      </w:r>
      <w:r w:rsidRPr="002B48E3">
        <w:rPr>
          <w:rtl/>
          <w:lang w:val="fr-CH"/>
        </w:rPr>
        <w:t xml:space="preserve">النفسية </w:t>
      </w:r>
      <w:r w:rsidRPr="002B48E3">
        <w:rPr>
          <w:rFonts w:hint="cs"/>
          <w:rtl/>
          <w:lang w:val="fr-CH"/>
        </w:rPr>
        <w:t xml:space="preserve">(المعايير </w:t>
      </w:r>
      <w:r w:rsidRPr="002B48E3">
        <w:rPr>
          <w:rtl/>
          <w:lang w:val="fr-CH"/>
        </w:rPr>
        <w:t>الرسمية المكسيكية</w:t>
      </w:r>
      <w:r w:rsidRPr="002B48E3">
        <w:rPr>
          <w:rFonts w:hint="cs"/>
          <w:rtl/>
          <w:lang w:val="fr-CH"/>
        </w:rPr>
        <w:t xml:space="preserve"> </w:t>
      </w:r>
      <w:r w:rsidRPr="002B48E3">
        <w:rPr>
          <w:lang w:val="fr-CH"/>
        </w:rPr>
        <w:t>025-SSA2-1994</w:t>
      </w:r>
      <w:r w:rsidRPr="002B48E3">
        <w:rPr>
          <w:rtl/>
          <w:lang w:val="fr-CH"/>
        </w:rPr>
        <w:t xml:space="preserve">)،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الذي لا ينص على إشراف قضائي على </w:t>
      </w:r>
      <w:r w:rsidRPr="002B48E3">
        <w:rPr>
          <w:rFonts w:hint="cs"/>
          <w:rtl/>
          <w:lang w:val="fr-CH"/>
        </w:rPr>
        <w:t>هذه ال</w:t>
      </w:r>
      <w:r w:rsidRPr="002B48E3">
        <w:rPr>
          <w:rtl/>
          <w:lang w:val="fr-CH"/>
        </w:rPr>
        <w:t>عملية</w:t>
      </w:r>
      <w:r w:rsidRPr="002B48E3">
        <w:rPr>
          <w:rFonts w:hint="cs"/>
          <w:rtl/>
          <w:lang w:val="fr-CH"/>
        </w:rPr>
        <w:t xml:space="preserve"> </w:t>
      </w:r>
      <w:r w:rsidRPr="002B48E3">
        <w:rPr>
          <w:rtl/>
          <w:lang w:val="fr-CH"/>
        </w:rPr>
        <w:t xml:space="preserve">ولا </w:t>
      </w:r>
      <w:r w:rsidRPr="002B48E3">
        <w:rPr>
          <w:rFonts w:hint="cs"/>
          <w:rtl/>
          <w:lang w:val="fr-CH"/>
        </w:rPr>
        <w:t xml:space="preserve">يحدد </w:t>
      </w:r>
      <w:r w:rsidRPr="002B48E3">
        <w:rPr>
          <w:rtl/>
          <w:lang w:val="fr-CH"/>
        </w:rPr>
        <w:t>آلية ل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>مراجعة بشكل دوري.</w:t>
      </w:r>
    </w:p>
    <w:p w:rsidR="002B48E3" w:rsidRPr="002B48E3" w:rsidRDefault="002B48E3" w:rsidP="002B48E3">
      <w:pPr>
        <w:pStyle w:val="SingleTxtGA"/>
        <w:rPr>
          <w:rFonts w:hint="cs"/>
          <w:lang w:val="fr-CH"/>
        </w:rPr>
      </w:pPr>
      <w:r w:rsidRPr="002B48E3">
        <w:rPr>
          <w:rtl/>
          <w:lang w:val="fr-CH"/>
        </w:rPr>
        <w:t>17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بيان ما إذا كانت هناك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شروط</w:t>
      </w:r>
      <w:r w:rsidRPr="002B48E3">
        <w:rPr>
          <w:rtl/>
          <w:lang w:val="fr-CH"/>
        </w:rPr>
        <w:t xml:space="preserve"> و</w:t>
      </w:r>
      <w:r w:rsidRPr="002B48E3">
        <w:rPr>
          <w:rFonts w:hint="cs"/>
          <w:rtl/>
          <w:lang w:val="fr-CH"/>
        </w:rPr>
        <w:t>إجراءا</w:t>
      </w:r>
      <w:r w:rsidRPr="002B48E3">
        <w:rPr>
          <w:rtl/>
          <w:lang w:val="fr-CH"/>
        </w:rPr>
        <w:t xml:space="preserve">ت </w:t>
      </w:r>
      <w:r w:rsidRPr="002B48E3">
        <w:rPr>
          <w:rFonts w:hint="cs"/>
          <w:rtl/>
          <w:lang w:val="fr-CH"/>
        </w:rPr>
        <w:t>للإيداع في مستشفيات الأمراض النفسية</w:t>
      </w:r>
      <w:r w:rsidRPr="002B48E3">
        <w:rPr>
          <w:rtl/>
          <w:lang w:val="fr-CH"/>
        </w:rPr>
        <w:t xml:space="preserve">، وخاصة </w:t>
      </w:r>
      <w:r w:rsidRPr="002B48E3">
        <w:rPr>
          <w:rFonts w:hint="cs"/>
          <w:rtl/>
          <w:lang w:val="fr-CH"/>
        </w:rPr>
        <w:t>بالنسبة ل</w:t>
      </w:r>
      <w:r w:rsidRPr="002B48E3">
        <w:rPr>
          <w:rtl/>
          <w:lang w:val="fr-CH"/>
        </w:rPr>
        <w:t>لأشخاص الذين يعانون من إعاقة ذهنية و/أو نفس</w:t>
      </w:r>
      <w:r w:rsidRPr="002B48E3">
        <w:rPr>
          <w:rFonts w:hint="cs"/>
          <w:rtl/>
          <w:lang w:val="fr-CH"/>
        </w:rPr>
        <w:t>ية</w:t>
      </w:r>
      <w:r w:rsidRPr="002B48E3">
        <w:rPr>
          <w:rtl/>
          <w:lang w:val="fr-CH"/>
        </w:rPr>
        <w:t>، و</w:t>
      </w:r>
      <w:r w:rsidRPr="002B48E3">
        <w:rPr>
          <w:rFonts w:hint="cs"/>
          <w:rtl/>
          <w:lang w:val="fr-CH"/>
        </w:rPr>
        <w:t>ما إذا</w:t>
      </w:r>
      <w:r w:rsidRPr="002B48E3">
        <w:rPr>
          <w:rtl/>
          <w:lang w:val="fr-CH"/>
        </w:rPr>
        <w:t xml:space="preserve"> كانت هذه العمليات والمؤسسات ال</w:t>
      </w:r>
      <w:r w:rsidRPr="002B48E3">
        <w:rPr>
          <w:rFonts w:hint="cs"/>
          <w:rtl/>
          <w:lang w:val="fr-CH"/>
        </w:rPr>
        <w:t xml:space="preserve">علاجية </w:t>
      </w:r>
      <w:r w:rsidRPr="002B48E3">
        <w:rPr>
          <w:rtl/>
          <w:lang w:val="fr-CH"/>
        </w:rPr>
        <w:t xml:space="preserve">تخضع لمراجعة منتظمة </w:t>
      </w:r>
      <w:r w:rsidRPr="002B48E3">
        <w:rPr>
          <w:rFonts w:hint="cs"/>
          <w:rtl/>
          <w:lang w:val="fr-CH"/>
        </w:rPr>
        <w:t>بواسطة</w:t>
      </w:r>
      <w:r w:rsidRPr="002B48E3">
        <w:rPr>
          <w:rtl/>
          <w:lang w:val="fr-CH"/>
        </w:rPr>
        <w:t xml:space="preserve"> سلطة مختصة.</w:t>
      </w:r>
      <w:r w:rsidRPr="002B48E3">
        <w:rPr>
          <w:rFonts w:hint="cs"/>
          <w:rtl/>
          <w:lang w:val="fr-CH"/>
        </w:rPr>
        <w:t xml:space="preserve"> 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18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ما هي التدابير التشريعية والإدارية والقضائية التي تتخذها الدولة الطرف لضمان عدم </w:t>
      </w:r>
      <w:r w:rsidRPr="002B48E3">
        <w:rPr>
          <w:rFonts w:hint="cs"/>
          <w:rtl/>
          <w:lang w:val="fr-CH"/>
        </w:rPr>
        <w:t>إيداع أي شخص رغم</w:t>
      </w:r>
      <w:r w:rsidR="009B34CC">
        <w:rPr>
          <w:rFonts w:hint="cs"/>
          <w:rtl/>
          <w:lang w:val="fr-CH"/>
        </w:rPr>
        <w:t xml:space="preserve">اً </w:t>
      </w:r>
      <w:r w:rsidRPr="002B48E3">
        <w:rPr>
          <w:rFonts w:hint="cs"/>
          <w:rtl/>
          <w:lang w:val="fr-CH"/>
        </w:rPr>
        <w:t xml:space="preserve">عنه </w:t>
      </w:r>
      <w:r w:rsidRPr="002B48E3">
        <w:rPr>
          <w:rtl/>
          <w:lang w:val="fr-CH"/>
        </w:rPr>
        <w:t xml:space="preserve">في المستشفى بسبب إعاقته؟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إعطاء معلومات</w:t>
      </w:r>
      <w:r w:rsidRPr="002B48E3">
        <w:rPr>
          <w:rtl/>
          <w:lang w:val="fr-CH"/>
        </w:rPr>
        <w:t xml:space="preserve"> عن عدد </w:t>
      </w:r>
      <w:r w:rsidRPr="002B48E3">
        <w:rPr>
          <w:rFonts w:hint="cs"/>
          <w:rtl/>
          <w:lang w:val="fr-CH"/>
        </w:rPr>
        <w:t>هذه ال</w:t>
      </w:r>
      <w:r w:rsidRPr="002B48E3">
        <w:rPr>
          <w:rtl/>
          <w:lang w:val="fr-CH"/>
        </w:rPr>
        <w:t>مؤسسات العامة و/أو الخاصة للأشخاص ذوي الإعاقة، مثل المستشفيات النفسية وم</w:t>
      </w:r>
      <w:r w:rsidRPr="002B48E3">
        <w:rPr>
          <w:rFonts w:hint="cs"/>
          <w:rtl/>
          <w:lang w:val="fr-CH"/>
        </w:rPr>
        <w:t>راكز الإيواء</w:t>
      </w:r>
      <w:r w:rsidRPr="002B48E3">
        <w:rPr>
          <w:rtl/>
          <w:lang w:val="fr-CH"/>
        </w:rPr>
        <w:t xml:space="preserve"> و</w:t>
      </w:r>
      <w:r w:rsidRPr="002B48E3">
        <w:rPr>
          <w:rFonts w:hint="cs"/>
          <w:rtl/>
          <w:lang w:val="fr-CH"/>
        </w:rPr>
        <w:t xml:space="preserve">الملاجئ </w:t>
      </w:r>
      <w:r w:rsidRPr="002B48E3">
        <w:rPr>
          <w:rtl/>
          <w:lang w:val="fr-CH"/>
        </w:rPr>
        <w:t>وغيرها، و</w:t>
      </w:r>
      <w:r w:rsidRPr="002B48E3">
        <w:rPr>
          <w:rFonts w:hint="cs"/>
          <w:rtl/>
          <w:lang w:val="fr-CH"/>
        </w:rPr>
        <w:t xml:space="preserve">عن </w:t>
      </w:r>
      <w:r w:rsidRPr="002B48E3">
        <w:rPr>
          <w:rtl/>
          <w:lang w:val="fr-CH"/>
        </w:rPr>
        <w:t xml:space="preserve">عدد الأشخاص </w:t>
      </w:r>
      <w:r w:rsidRPr="002B48E3">
        <w:rPr>
          <w:rFonts w:hint="cs"/>
          <w:rtl/>
          <w:lang w:val="fr-CH"/>
        </w:rPr>
        <w:t xml:space="preserve">المودعين </w:t>
      </w:r>
      <w:r w:rsidRPr="002B48E3">
        <w:rPr>
          <w:rtl/>
          <w:lang w:val="fr-CH"/>
        </w:rPr>
        <w:t>فيه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عدم التعرض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لتعذيب </w:t>
      </w:r>
      <w:r w:rsidRPr="002B48E3">
        <w:rPr>
          <w:rFonts w:hint="cs"/>
          <w:rtl/>
          <w:lang w:val="fr-CH"/>
        </w:rPr>
        <w:t>أ</w:t>
      </w:r>
      <w:r w:rsidRPr="002B48E3">
        <w:rPr>
          <w:rtl/>
          <w:lang w:val="fr-CH"/>
        </w:rPr>
        <w:t xml:space="preserve">و المعاملة </w:t>
      </w:r>
      <w:r w:rsidRPr="002B48E3">
        <w:rPr>
          <w:rFonts w:hint="cs"/>
          <w:rtl/>
          <w:lang w:val="fr-CH"/>
        </w:rPr>
        <w:t xml:space="preserve">أو العقوبة </w:t>
      </w:r>
      <w:r w:rsidRPr="002B48E3">
        <w:rPr>
          <w:rtl/>
          <w:lang w:val="fr-CH"/>
        </w:rPr>
        <w:t>القاسية أو اللاإنسانية أو المهينة (المادة 15)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19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توضيح ما 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 xml:space="preserve">تخذ </w:t>
      </w:r>
      <w:r w:rsidRPr="002B48E3">
        <w:rPr>
          <w:rFonts w:hint="cs"/>
          <w:rtl/>
          <w:lang w:val="fr-CH"/>
        </w:rPr>
        <w:t xml:space="preserve">من </w:t>
      </w:r>
      <w:r w:rsidRPr="002B48E3">
        <w:rPr>
          <w:rtl/>
          <w:lang w:val="fr-CH"/>
        </w:rPr>
        <w:t xml:space="preserve">إجراءات ملموسة من جانب الدولة الطرف </w:t>
      </w:r>
      <w:r w:rsidRPr="002B48E3">
        <w:rPr>
          <w:rFonts w:hint="cs"/>
          <w:rtl/>
          <w:lang w:val="fr-CH"/>
        </w:rPr>
        <w:t xml:space="preserve">من أجل </w:t>
      </w:r>
      <w:r w:rsidRPr="002B48E3">
        <w:rPr>
          <w:rtl/>
          <w:lang w:val="fr-CH"/>
        </w:rPr>
        <w:t xml:space="preserve">منع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انتهاكات ضد الأشخاص ذوي الإعاقة النفسية والاجتماعية في مؤسسات الطب النفسي </w:t>
      </w:r>
      <w:r w:rsidRPr="002B48E3">
        <w:rPr>
          <w:rFonts w:hint="cs"/>
          <w:rtl/>
          <w:lang w:val="fr-CH"/>
        </w:rPr>
        <w:t>ووضع حد لها والمعاقبة عليها</w:t>
      </w:r>
      <w:r w:rsidRPr="002B48E3">
        <w:rPr>
          <w:rtl/>
          <w:lang w:val="fr-CH"/>
        </w:rPr>
        <w:t xml:space="preserve">، بما في ذلك </w:t>
      </w:r>
      <w:r w:rsidRPr="002B48E3">
        <w:rPr>
          <w:rFonts w:hint="cs"/>
          <w:rtl/>
          <w:lang w:val="fr-CH"/>
        </w:rPr>
        <w:t>الاعتداءات الجسدية</w:t>
      </w:r>
      <w:r w:rsidRPr="002B48E3">
        <w:rPr>
          <w:rtl/>
          <w:lang w:val="fr-CH"/>
        </w:rPr>
        <w:t xml:space="preserve"> والجنسي</w:t>
      </w:r>
      <w:r w:rsidRPr="002B48E3">
        <w:rPr>
          <w:rFonts w:hint="cs"/>
          <w:rtl/>
          <w:lang w:val="fr-CH"/>
        </w:rPr>
        <w:t>ة</w:t>
      </w:r>
      <w:r w:rsidRPr="002B48E3">
        <w:rPr>
          <w:rtl/>
          <w:lang w:val="fr-CH"/>
        </w:rPr>
        <w:t xml:space="preserve"> و</w:t>
      </w:r>
      <w:r w:rsidRPr="002B48E3">
        <w:rPr>
          <w:rFonts w:hint="cs"/>
          <w:rtl/>
          <w:lang w:val="fr-CH"/>
        </w:rPr>
        <w:t>الأوضاع ال</w:t>
      </w:r>
      <w:r w:rsidRPr="002B48E3">
        <w:rPr>
          <w:rtl/>
          <w:lang w:val="fr-CH"/>
        </w:rPr>
        <w:t>لاإنسانية و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مهينة مثل </w:t>
      </w:r>
      <w:r w:rsidRPr="002B48E3">
        <w:rPr>
          <w:rFonts w:hint="cs"/>
          <w:rtl/>
          <w:lang w:val="fr-CH"/>
        </w:rPr>
        <w:t>تقيي</w:t>
      </w:r>
      <w:r w:rsidRPr="002B48E3">
        <w:rPr>
          <w:rtl/>
          <w:lang w:val="fr-CH"/>
        </w:rPr>
        <w:t>د ال</w:t>
      </w:r>
      <w:r w:rsidRPr="002B48E3">
        <w:rPr>
          <w:rFonts w:hint="cs"/>
          <w:rtl/>
          <w:lang w:val="fr-CH"/>
        </w:rPr>
        <w:t xml:space="preserve">حركة عن طريق العقاقير وباستخدام وسائل مادية أو </w:t>
      </w:r>
      <w:r w:rsidRPr="002B48E3">
        <w:rPr>
          <w:rtl/>
          <w:lang w:val="fr-CH"/>
        </w:rPr>
        <w:t>ميكانيكية و</w:t>
      </w:r>
      <w:r w:rsidRPr="002B48E3">
        <w:rPr>
          <w:rFonts w:hint="cs"/>
          <w:rtl/>
          <w:lang w:val="fr-CH"/>
        </w:rPr>
        <w:t xml:space="preserve">عزل الأشخاص لفترات </w:t>
      </w:r>
      <w:r w:rsidRPr="002B48E3">
        <w:rPr>
          <w:rtl/>
          <w:lang w:val="fr-CH"/>
        </w:rPr>
        <w:t>طويل</w:t>
      </w:r>
      <w:r w:rsidRPr="002B48E3">
        <w:rPr>
          <w:rFonts w:hint="cs"/>
          <w:rtl/>
          <w:lang w:val="fr-CH"/>
        </w:rPr>
        <w:t>ة</w:t>
      </w:r>
      <w:r w:rsidRPr="002B48E3">
        <w:rPr>
          <w:rtl/>
          <w:lang w:val="fr-CH"/>
        </w:rPr>
        <w:t>.</w:t>
      </w:r>
      <w:r w:rsidRPr="002B48E3">
        <w:rPr>
          <w:rFonts w:hint="cs"/>
          <w:rtl/>
          <w:lang w:val="fr-CH"/>
        </w:rPr>
        <w:t xml:space="preserve"> 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حماية السلامة الشخصية (المادة 17)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20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 xml:space="preserve">يُرجى تقديم معلومات عن </w:t>
      </w:r>
      <w:r w:rsidRPr="002B48E3">
        <w:rPr>
          <w:rtl/>
          <w:lang w:val="fr-CH"/>
        </w:rPr>
        <w:t>التدابير الملموسة التي اتخذتها الدولة الطرف ل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حماية </w:t>
      </w:r>
      <w:r w:rsidRPr="002B48E3">
        <w:rPr>
          <w:rFonts w:hint="cs"/>
          <w:rtl/>
          <w:lang w:val="fr-CH"/>
        </w:rPr>
        <w:t>من</w:t>
      </w:r>
      <w:r w:rsidRPr="002B48E3">
        <w:rPr>
          <w:rtl/>
          <w:lang w:val="fr-CH"/>
        </w:rPr>
        <w:t xml:space="preserve"> التعقيم القسري للأشخاص ذوي الإعاقة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وعلى وجه الخصوص منع ممارسة الإجهاض القسري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لفتيات والنساء ذوات الإعاقة. </w:t>
      </w:r>
      <w:r w:rsidRPr="002B48E3">
        <w:rPr>
          <w:rFonts w:hint="cs"/>
          <w:rtl/>
          <w:lang w:val="fr-CH"/>
        </w:rPr>
        <w:t>كما يُرجي تقديم معلومات عن</w:t>
      </w:r>
      <w:r w:rsidRPr="002B48E3">
        <w:rPr>
          <w:rtl/>
          <w:lang w:val="fr-CH"/>
        </w:rPr>
        <w:t xml:space="preserve"> وجود وت</w:t>
      </w:r>
      <w:r w:rsidRPr="002B48E3">
        <w:rPr>
          <w:rFonts w:hint="cs"/>
          <w:rtl/>
          <w:lang w:val="fr-CH"/>
        </w:rPr>
        <w:t>شكيل</w:t>
      </w:r>
      <w:r w:rsidRPr="002B48E3">
        <w:rPr>
          <w:rtl/>
          <w:lang w:val="fr-CH"/>
        </w:rPr>
        <w:t xml:space="preserve"> ودور هيئات الرقابة مستقلة لضمان حماية الحق في </w:t>
      </w:r>
      <w:r w:rsidRPr="002B48E3">
        <w:rPr>
          <w:rFonts w:hint="cs"/>
          <w:rtl/>
          <w:lang w:val="fr-CH"/>
        </w:rPr>
        <w:t xml:space="preserve">السلامة الشخصية </w:t>
      </w:r>
      <w:r w:rsidRPr="002B48E3">
        <w:rPr>
          <w:rtl/>
          <w:lang w:val="fr-CH"/>
        </w:rPr>
        <w:t>للأشخاص ذوي الإعاقة، فضل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>عن البرامج والتدابير التي اعتمدتها هذه ال</w:t>
      </w:r>
      <w:r w:rsidRPr="002B48E3">
        <w:rPr>
          <w:rFonts w:hint="cs"/>
          <w:rtl/>
          <w:lang w:val="fr-CH"/>
        </w:rPr>
        <w:t>هيئ</w:t>
      </w:r>
      <w:r w:rsidRPr="002B48E3">
        <w:rPr>
          <w:rtl/>
          <w:lang w:val="fr-CH"/>
        </w:rPr>
        <w:t>ات.</w:t>
      </w:r>
    </w:p>
    <w:p w:rsidR="002B48E3" w:rsidRPr="002B48E3" w:rsidRDefault="002B48E3" w:rsidP="002B48E3">
      <w:pPr>
        <w:pStyle w:val="H23GA"/>
        <w:keepNext/>
        <w:rPr>
          <w:rFonts w:hint="cs"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="00720EB1">
        <w:rPr>
          <w:rtl/>
          <w:lang w:val="fr-CH"/>
        </w:rPr>
        <w:t>حرية التنقل والجنسية (</w:t>
      </w:r>
      <w:r w:rsidRPr="002B48E3">
        <w:rPr>
          <w:rtl/>
          <w:lang w:val="fr-CH"/>
        </w:rPr>
        <w:t>المادة 18)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21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عن التدابير التي اتخذتها الدولة الطرف لضمان </w:t>
      </w:r>
      <w:r w:rsidRPr="002B48E3">
        <w:rPr>
          <w:rFonts w:hint="cs"/>
          <w:rtl/>
          <w:lang w:val="fr-CH"/>
        </w:rPr>
        <w:t xml:space="preserve">تسجيل </w:t>
      </w:r>
      <w:r w:rsidRPr="002B48E3">
        <w:rPr>
          <w:rtl/>
          <w:lang w:val="fr-CH"/>
        </w:rPr>
        <w:t xml:space="preserve">جميع الأطفال ذوي الإعاقة في السجل </w:t>
      </w:r>
      <w:r w:rsidRPr="002B48E3">
        <w:rPr>
          <w:rFonts w:hint="cs"/>
          <w:rtl/>
          <w:lang w:val="fr-CH"/>
        </w:rPr>
        <w:t xml:space="preserve">المدني </w:t>
      </w:r>
      <w:r w:rsidRPr="002B48E3">
        <w:rPr>
          <w:rtl/>
          <w:lang w:val="fr-CH"/>
        </w:rPr>
        <w:t>و</w:t>
      </w:r>
      <w:r w:rsidRPr="002B48E3">
        <w:rPr>
          <w:rFonts w:hint="cs"/>
          <w:rtl/>
          <w:lang w:val="fr-CH"/>
        </w:rPr>
        <w:t>حصولهم على بطاقات</w:t>
      </w:r>
      <w:r w:rsidR="006B021F">
        <w:rPr>
          <w:rtl/>
          <w:lang w:val="fr-CH"/>
        </w:rPr>
        <w:t xml:space="preserve"> هوية</w:t>
      </w:r>
      <w:r w:rsidRPr="002B48E3">
        <w:rPr>
          <w:rtl/>
          <w:lang w:val="fr-CH"/>
        </w:rPr>
        <w:t>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العيش المستقل والإدماج في المجتمع (المادة 19)</w:t>
      </w:r>
    </w:p>
    <w:p w:rsidR="002B48E3" w:rsidRPr="002B48E3" w:rsidRDefault="002B48E3" w:rsidP="002B48E3">
      <w:pPr>
        <w:pStyle w:val="SingleTxtGA"/>
        <w:rPr>
          <w:rFonts w:hint="cs"/>
          <w:lang w:val="fr-CH"/>
        </w:rPr>
      </w:pPr>
      <w:r w:rsidRPr="002B48E3">
        <w:rPr>
          <w:rtl/>
          <w:lang w:val="fr-CH"/>
        </w:rPr>
        <w:t>22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بيان التدابير </w:t>
      </w:r>
      <w:r w:rsidRPr="002B48E3">
        <w:rPr>
          <w:rFonts w:hint="cs"/>
          <w:rtl/>
          <w:lang w:val="fr-CH"/>
        </w:rPr>
        <w:t>التي اتخذتها</w:t>
      </w:r>
      <w:r w:rsidRPr="002B48E3">
        <w:rPr>
          <w:rtl/>
          <w:lang w:val="fr-CH"/>
        </w:rPr>
        <w:t xml:space="preserve"> الدولة الطرف </w:t>
      </w:r>
      <w:r w:rsidRPr="002B48E3">
        <w:rPr>
          <w:rFonts w:hint="cs"/>
          <w:rtl/>
          <w:lang w:val="fr-CH"/>
        </w:rPr>
        <w:t xml:space="preserve">على الصعيد المحلي بغية </w:t>
      </w:r>
      <w:r w:rsidRPr="002B48E3">
        <w:rPr>
          <w:rtl/>
          <w:lang w:val="fr-CH"/>
        </w:rPr>
        <w:t>تقديم الخدمات المجتمعية الشاملة، و</w:t>
      </w:r>
      <w:r w:rsidRPr="002B48E3">
        <w:rPr>
          <w:rFonts w:hint="cs"/>
          <w:rtl/>
          <w:lang w:val="fr-CH"/>
        </w:rPr>
        <w:t>بيان ال</w:t>
      </w:r>
      <w:r w:rsidRPr="002B48E3">
        <w:rPr>
          <w:rtl/>
          <w:lang w:val="fr-CH"/>
        </w:rPr>
        <w:t xml:space="preserve">برامج </w:t>
      </w:r>
      <w:r w:rsidRPr="002B48E3">
        <w:rPr>
          <w:rFonts w:hint="cs"/>
          <w:rtl/>
          <w:lang w:val="fr-CH"/>
        </w:rPr>
        <w:t xml:space="preserve">التي تم </w:t>
      </w:r>
      <w:r w:rsidRPr="002B48E3">
        <w:rPr>
          <w:rtl/>
          <w:lang w:val="fr-CH"/>
        </w:rPr>
        <w:t>تنفيذها وكيف</w:t>
      </w:r>
      <w:r w:rsidR="006B021F">
        <w:rPr>
          <w:rFonts w:hint="cs"/>
          <w:rtl/>
          <w:lang w:val="fr-CH"/>
        </w:rPr>
        <w:t>ية إدماج الأشخاص ذوي الإعاقة.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احترام البيت والأسرة (المادة 23)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23</w:t>
      </w: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 xml:space="preserve">يُرجى بيان </w:t>
      </w:r>
      <w:r w:rsidRPr="002B48E3">
        <w:rPr>
          <w:rtl/>
          <w:lang w:val="fr-CH"/>
        </w:rPr>
        <w:t xml:space="preserve">التدابير التي </w:t>
      </w:r>
      <w:r w:rsidRPr="002B48E3">
        <w:rPr>
          <w:rFonts w:hint="cs"/>
          <w:rtl/>
          <w:lang w:val="fr-CH"/>
        </w:rPr>
        <w:t>اتخذتها</w:t>
      </w:r>
      <w:r w:rsidRPr="002B48E3">
        <w:rPr>
          <w:rtl/>
          <w:lang w:val="fr-CH"/>
        </w:rPr>
        <w:t xml:space="preserve"> الدولة الطرف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 xml:space="preserve">تعديل تشريعها من أجل الاعتراف بحق الأشخاص ذوي الإعاقة في تأسيس عائلة،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ما </w:t>
      </w:r>
      <w:r w:rsidRPr="002B48E3">
        <w:rPr>
          <w:rFonts w:hint="cs"/>
          <w:rtl/>
          <w:lang w:val="fr-CH"/>
        </w:rPr>
        <w:t>هي وسائل ال</w:t>
      </w:r>
      <w:r w:rsidRPr="002B48E3">
        <w:rPr>
          <w:rtl/>
          <w:lang w:val="fr-CH"/>
        </w:rPr>
        <w:t xml:space="preserve">دعم </w:t>
      </w:r>
      <w:r w:rsidRPr="002B48E3">
        <w:rPr>
          <w:rFonts w:hint="cs"/>
          <w:rtl/>
          <w:lang w:val="fr-CH"/>
        </w:rPr>
        <w:t>الملموس المقدم ل</w:t>
      </w:r>
      <w:r w:rsidRPr="002B48E3">
        <w:rPr>
          <w:rtl/>
          <w:lang w:val="fr-CH"/>
        </w:rPr>
        <w:t xml:space="preserve">لأمهات والآباء ذوي الإعاقة </w:t>
      </w:r>
      <w:r w:rsidRPr="002B48E3">
        <w:rPr>
          <w:rFonts w:hint="cs"/>
          <w:rtl/>
          <w:lang w:val="fr-CH"/>
        </w:rPr>
        <w:t>لمساعدتهم على</w:t>
      </w:r>
      <w:r w:rsidRPr="002B48E3">
        <w:rPr>
          <w:rtl/>
          <w:lang w:val="fr-CH"/>
        </w:rPr>
        <w:t xml:space="preserve"> الوفاء بمسؤولياته</w:t>
      </w:r>
      <w:r w:rsidRPr="002B48E3">
        <w:rPr>
          <w:rFonts w:hint="cs"/>
          <w:rtl/>
          <w:lang w:val="fr-CH"/>
        </w:rPr>
        <w:t>م المتعلقة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ب</w:t>
      </w:r>
      <w:r w:rsidRPr="002B48E3">
        <w:rPr>
          <w:rtl/>
          <w:lang w:val="fr-CH"/>
        </w:rPr>
        <w:t>تربية أطفالهم.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التعليم (المادة 24)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24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محدثة عن التشريعات والبرامج </w:t>
      </w:r>
      <w:r w:rsidRPr="002B48E3">
        <w:rPr>
          <w:rFonts w:hint="cs"/>
          <w:rtl/>
          <w:lang w:val="fr-CH"/>
        </w:rPr>
        <w:t>التي وضعتها</w:t>
      </w:r>
      <w:r w:rsidRPr="002B48E3">
        <w:rPr>
          <w:rtl/>
          <w:lang w:val="fr-CH"/>
        </w:rPr>
        <w:t xml:space="preserve"> الدولة الطرف منذ عام 2008 لضمان الحق في التعليم الشامل، بما في ذلك تدريب المعلمين </w:t>
      </w:r>
      <w:r w:rsidRPr="002B48E3">
        <w:rPr>
          <w:rFonts w:hint="cs"/>
          <w:rtl/>
          <w:lang w:val="fr-CH"/>
        </w:rPr>
        <w:t>على صعيدي الولايات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>البلديات.</w:t>
      </w:r>
    </w:p>
    <w:p w:rsidR="002B48E3" w:rsidRPr="002B48E3" w:rsidRDefault="002B48E3" w:rsidP="002B48E3">
      <w:pPr>
        <w:pStyle w:val="SingleTxtGA"/>
        <w:rPr>
          <w:spacing w:val="-4"/>
          <w:lang w:val="fr-CH"/>
        </w:rPr>
      </w:pPr>
      <w:r w:rsidRPr="002B48E3">
        <w:rPr>
          <w:spacing w:val="-4"/>
          <w:rtl/>
          <w:lang w:val="fr-CH"/>
        </w:rPr>
        <w:t>25</w:t>
      </w:r>
      <w:r w:rsidRPr="002B48E3">
        <w:rPr>
          <w:rFonts w:hint="cs"/>
          <w:spacing w:val="-4"/>
          <w:rtl/>
          <w:lang w:val="fr-CH"/>
        </w:rPr>
        <w:t>-</w:t>
      </w:r>
      <w:r w:rsidRPr="002B48E3">
        <w:rPr>
          <w:rFonts w:hint="cs"/>
          <w:spacing w:val="-4"/>
          <w:rtl/>
          <w:lang w:val="fr-CH"/>
        </w:rPr>
        <w:tab/>
      </w:r>
      <w:r w:rsidRPr="002B48E3">
        <w:rPr>
          <w:spacing w:val="-4"/>
          <w:rtl/>
          <w:lang w:val="fr-CH"/>
        </w:rPr>
        <w:t xml:space="preserve">يُرجى تقديم بيانات عن نسبة الطلاب </w:t>
      </w:r>
      <w:r w:rsidRPr="002B48E3">
        <w:rPr>
          <w:rFonts w:hint="cs"/>
          <w:spacing w:val="-4"/>
          <w:rtl/>
          <w:lang w:val="fr-CH"/>
        </w:rPr>
        <w:t>من الجنسين</w:t>
      </w:r>
      <w:r w:rsidRPr="002B48E3">
        <w:rPr>
          <w:spacing w:val="-4"/>
          <w:rtl/>
          <w:lang w:val="fr-CH"/>
        </w:rPr>
        <w:t xml:space="preserve"> المسجلين في الفترة 2008-2013 في المدارس العادية ومدارس </w:t>
      </w:r>
      <w:r w:rsidRPr="002B48E3">
        <w:rPr>
          <w:rFonts w:hint="cs"/>
          <w:spacing w:val="-4"/>
          <w:rtl/>
          <w:lang w:val="fr-CH"/>
        </w:rPr>
        <w:t>التعليم</w:t>
      </w:r>
      <w:r w:rsidRPr="002B48E3">
        <w:rPr>
          <w:spacing w:val="-4"/>
          <w:rtl/>
          <w:lang w:val="fr-CH"/>
        </w:rPr>
        <w:t xml:space="preserve"> الخاص، مصنفة حسب </w:t>
      </w:r>
      <w:r w:rsidRPr="002B48E3">
        <w:rPr>
          <w:rFonts w:hint="cs"/>
          <w:spacing w:val="-4"/>
          <w:rtl/>
          <w:lang w:val="fr-CH"/>
        </w:rPr>
        <w:t xml:space="preserve">نوع </w:t>
      </w:r>
      <w:r w:rsidRPr="002B48E3">
        <w:rPr>
          <w:spacing w:val="-4"/>
          <w:rtl/>
          <w:lang w:val="fr-CH"/>
        </w:rPr>
        <w:t>الجنس والعمر واللغة والإعاقة.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الصحة (المادة 25)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26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عن التدابير التي اتخذتها الدولة الطرف لمواءمة التشريعات في </w:t>
      </w:r>
      <w:r w:rsidRPr="002B48E3">
        <w:rPr>
          <w:rFonts w:hint="cs"/>
          <w:rtl/>
          <w:lang w:val="fr-CH"/>
        </w:rPr>
        <w:t>مجال</w:t>
      </w:r>
      <w:r w:rsidRPr="002B48E3">
        <w:rPr>
          <w:rtl/>
          <w:lang w:val="fr-CH"/>
        </w:rPr>
        <w:t xml:space="preserve"> الصحة العامة </w:t>
      </w:r>
      <w:r w:rsidRPr="002B48E3">
        <w:rPr>
          <w:rFonts w:hint="cs"/>
          <w:rtl/>
          <w:lang w:val="fr-CH"/>
        </w:rPr>
        <w:t>مع ا</w:t>
      </w:r>
      <w:r w:rsidRPr="002B48E3">
        <w:rPr>
          <w:rtl/>
          <w:lang w:val="fr-CH"/>
        </w:rPr>
        <w:t>لاتفاقية و</w:t>
      </w:r>
      <w:r w:rsidRPr="002B48E3">
        <w:rPr>
          <w:rFonts w:hint="cs"/>
          <w:rtl/>
          <w:lang w:val="fr-CH"/>
        </w:rPr>
        <w:t>الإجراءات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محددة </w:t>
      </w:r>
      <w:r w:rsidRPr="002B48E3">
        <w:rPr>
          <w:rFonts w:hint="cs"/>
          <w:rtl/>
          <w:lang w:val="fr-CH"/>
        </w:rPr>
        <w:t xml:space="preserve">التي اتُخذت </w:t>
      </w:r>
      <w:r w:rsidRPr="002B48E3">
        <w:rPr>
          <w:rtl/>
          <w:lang w:val="fr-CH"/>
        </w:rPr>
        <w:t xml:space="preserve">لضمان </w:t>
      </w:r>
      <w:r w:rsidRPr="002B48E3">
        <w:rPr>
          <w:rFonts w:hint="cs"/>
          <w:rtl/>
          <w:lang w:val="fr-CH"/>
        </w:rPr>
        <w:t>وصول</w:t>
      </w:r>
      <w:r w:rsidRPr="002B48E3">
        <w:rPr>
          <w:rtl/>
          <w:lang w:val="fr-CH"/>
        </w:rPr>
        <w:t xml:space="preserve"> جميع </w:t>
      </w:r>
      <w:r w:rsidRPr="002B48E3">
        <w:rPr>
          <w:rFonts w:hint="cs"/>
          <w:rtl/>
          <w:lang w:val="fr-CH"/>
        </w:rPr>
        <w:t xml:space="preserve">الأشخاص </w:t>
      </w:r>
      <w:r w:rsidRPr="002B48E3">
        <w:rPr>
          <w:rtl/>
          <w:lang w:val="fr-CH"/>
        </w:rPr>
        <w:t xml:space="preserve">ذوي الإعاقة </w:t>
      </w:r>
      <w:r w:rsidRPr="002B48E3">
        <w:rPr>
          <w:rFonts w:hint="cs"/>
          <w:rtl/>
          <w:lang w:val="fr-CH"/>
        </w:rPr>
        <w:t>إلى</w:t>
      </w:r>
      <w:r w:rsidRPr="002B48E3">
        <w:rPr>
          <w:rtl/>
          <w:lang w:val="fr-CH"/>
        </w:rPr>
        <w:t xml:space="preserve"> الخدمات والبرامج.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27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 xml:space="preserve">يُرجى تقديم معلومات عن </w:t>
      </w:r>
      <w:r w:rsidRPr="002B48E3">
        <w:rPr>
          <w:rtl/>
          <w:lang w:val="fr-CH"/>
        </w:rPr>
        <w:t xml:space="preserve">التدابير المتخذة </w:t>
      </w:r>
      <w:r w:rsidRPr="002B48E3">
        <w:rPr>
          <w:rFonts w:hint="cs"/>
          <w:rtl/>
          <w:lang w:val="fr-CH"/>
        </w:rPr>
        <w:t>من أجل ا</w:t>
      </w:r>
      <w:r w:rsidRPr="002B48E3">
        <w:rPr>
          <w:rtl/>
          <w:lang w:val="fr-CH"/>
        </w:rPr>
        <w:t xml:space="preserve">لتنفيذ </w:t>
      </w:r>
      <w:r w:rsidRPr="002B48E3">
        <w:rPr>
          <w:rFonts w:hint="cs"/>
          <w:rtl/>
          <w:lang w:val="fr-CH"/>
        </w:rPr>
        <w:t>الفعال لل</w:t>
      </w:r>
      <w:r w:rsidRPr="002B48E3">
        <w:rPr>
          <w:rtl/>
          <w:lang w:val="fr-CH"/>
        </w:rPr>
        <w:t xml:space="preserve">إصلاحات </w:t>
      </w:r>
      <w:r w:rsidRPr="002B48E3">
        <w:rPr>
          <w:rFonts w:hint="cs"/>
          <w:rtl/>
          <w:lang w:val="fr-CH"/>
        </w:rPr>
        <w:t>المتعلقة ب</w:t>
      </w:r>
      <w:r w:rsidRPr="002B48E3">
        <w:rPr>
          <w:rtl/>
          <w:lang w:val="fr-CH"/>
        </w:rPr>
        <w:t xml:space="preserve">قانون الصحة العامة </w:t>
      </w:r>
      <w:r w:rsidRPr="002B48E3">
        <w:rPr>
          <w:rFonts w:hint="cs"/>
          <w:rtl/>
          <w:lang w:val="fr-CH"/>
        </w:rPr>
        <w:t>في مجال</w:t>
      </w:r>
      <w:r w:rsidRPr="002B48E3">
        <w:rPr>
          <w:rtl/>
          <w:lang w:val="fr-CH"/>
        </w:rPr>
        <w:t xml:space="preserve"> الصحة النفسية، </w:t>
      </w:r>
      <w:r w:rsidRPr="002B48E3">
        <w:rPr>
          <w:rFonts w:hint="cs"/>
          <w:rtl/>
          <w:lang w:val="fr-CH"/>
        </w:rPr>
        <w:t>التي</w:t>
      </w:r>
      <w:r w:rsidRPr="002B48E3">
        <w:rPr>
          <w:rtl/>
          <w:lang w:val="fr-CH"/>
        </w:rPr>
        <w:t xml:space="preserve"> ن</w:t>
      </w:r>
      <w:r w:rsidRPr="002B48E3">
        <w:rPr>
          <w:rFonts w:hint="cs"/>
          <w:rtl/>
          <w:lang w:val="fr-CH"/>
        </w:rPr>
        <w:t>ُ</w:t>
      </w:r>
      <w:r w:rsidRPr="002B48E3">
        <w:rPr>
          <w:rtl/>
          <w:lang w:val="fr-CH"/>
        </w:rPr>
        <w:t xml:space="preserve">شرت في </w:t>
      </w:r>
      <w:r w:rsidRPr="00720EB1">
        <w:rPr>
          <w:i/>
          <w:iCs/>
          <w:rtl/>
          <w:lang w:val="fr-CH"/>
        </w:rPr>
        <w:t>الجريدة الرسمية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 xml:space="preserve">في </w:t>
      </w:r>
      <w:r w:rsidRPr="002B48E3">
        <w:rPr>
          <w:rtl/>
          <w:lang w:val="fr-CH"/>
        </w:rPr>
        <w:t xml:space="preserve">15 </w:t>
      </w:r>
      <w:r w:rsidRPr="002B48E3">
        <w:rPr>
          <w:rFonts w:hint="cs"/>
          <w:rtl/>
          <w:lang w:val="fr-CH"/>
        </w:rPr>
        <w:t>آذار/</w:t>
      </w:r>
      <w:r w:rsidRPr="002B48E3">
        <w:rPr>
          <w:rtl/>
          <w:lang w:val="fr-CH"/>
        </w:rPr>
        <w:t>مارس 2013، وخصوص</w:t>
      </w:r>
      <w:r w:rsidR="009B34CC">
        <w:rPr>
          <w:rtl/>
          <w:lang w:val="fr-CH"/>
        </w:rPr>
        <w:t xml:space="preserve">اً </w:t>
      </w:r>
      <w:r w:rsidRPr="002B48E3">
        <w:rPr>
          <w:rtl/>
          <w:lang w:val="fr-CH"/>
        </w:rPr>
        <w:t>فيما يتعلق بضمان الحق في ال</w:t>
      </w:r>
      <w:r w:rsidRPr="002B48E3">
        <w:rPr>
          <w:rFonts w:hint="cs"/>
          <w:rtl/>
          <w:lang w:val="fr-CH"/>
        </w:rPr>
        <w:t xml:space="preserve">حياة </w:t>
      </w:r>
      <w:r w:rsidRPr="002B48E3">
        <w:rPr>
          <w:rtl/>
          <w:lang w:val="fr-CH"/>
        </w:rPr>
        <w:t>للأشخاص ذوي الإعاقة النفسية والاجتماعية.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المشاركة في الحياة السياسية والعامة (المادة 29)</w:t>
      </w:r>
    </w:p>
    <w:p w:rsidR="002B48E3" w:rsidRPr="002B48E3" w:rsidRDefault="002B48E3" w:rsidP="002B48E3">
      <w:pPr>
        <w:pStyle w:val="SingleTxtGA"/>
        <w:rPr>
          <w:lang w:val="fr-CH"/>
        </w:rPr>
      </w:pPr>
      <w:r w:rsidRPr="002B48E3">
        <w:rPr>
          <w:rtl/>
          <w:lang w:val="fr-CH"/>
        </w:rPr>
        <w:t>28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يُرجى تقديم معلومات عن التدابير التي اتخذتها الدولة الطرف ل</w:t>
      </w:r>
      <w:r w:rsidRPr="002B48E3">
        <w:rPr>
          <w:rFonts w:hint="cs"/>
          <w:rtl/>
          <w:lang w:val="fr-CH"/>
        </w:rPr>
        <w:t>تعديل</w:t>
      </w:r>
      <w:r w:rsidRPr="002B48E3">
        <w:rPr>
          <w:rtl/>
          <w:lang w:val="fr-CH"/>
        </w:rPr>
        <w:t xml:space="preserve"> الفقرة 5 من </w:t>
      </w:r>
      <w:r w:rsidRPr="002B48E3">
        <w:rPr>
          <w:rFonts w:hint="cs"/>
          <w:rtl/>
          <w:lang w:val="fr-CH"/>
        </w:rPr>
        <w:t xml:space="preserve">المادة 266 من </w:t>
      </w:r>
      <w:r w:rsidRPr="002B48E3">
        <w:rPr>
          <w:rtl/>
          <w:lang w:val="fr-CH"/>
        </w:rPr>
        <w:t>القانون الاتحادي للمؤسسات والإجراءات الانتخابية</w:t>
      </w:r>
      <w:r w:rsidRPr="002B48E3">
        <w:rPr>
          <w:rFonts w:hint="cs"/>
          <w:rtl/>
          <w:lang w:val="fr-CH"/>
        </w:rPr>
        <w:t xml:space="preserve"> التي تنص على</w:t>
      </w:r>
      <w:r w:rsidRPr="002B48E3">
        <w:rPr>
          <w:rtl/>
          <w:lang w:val="fr-CH"/>
        </w:rPr>
        <w:t xml:space="preserve"> "</w:t>
      </w:r>
      <w:r w:rsidRPr="002B48E3">
        <w:rPr>
          <w:rFonts w:hint="cs"/>
          <w:rtl/>
          <w:lang w:val="fr-CH"/>
        </w:rPr>
        <w:t>عدم السماح مطلقاً بوصول ذوي الإعاقة الذهنية إلى</w:t>
      </w:r>
      <w:r w:rsidRPr="002B48E3">
        <w:rPr>
          <w:rtl/>
          <w:lang w:val="fr-CH"/>
        </w:rPr>
        <w:t xml:space="preserve"> صناديق </w:t>
      </w:r>
      <w:r w:rsidRPr="002B48E3">
        <w:rPr>
          <w:rFonts w:hint="cs"/>
          <w:rtl/>
          <w:lang w:val="fr-CH"/>
        </w:rPr>
        <w:t>الاقتراع</w:t>
      </w:r>
      <w:r w:rsidRPr="002B48E3">
        <w:rPr>
          <w:rtl/>
          <w:lang w:val="fr-CH"/>
        </w:rPr>
        <w:t>".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المشاركة في الحياة الثقافية وأنشطة الترفيه والتسلية</w:t>
      </w:r>
      <w:r w:rsidRPr="002B48E3">
        <w:rPr>
          <w:rFonts w:hint="cs"/>
          <w:rtl/>
          <w:lang w:val="fr-CH"/>
        </w:rPr>
        <w:t xml:space="preserve"> و</w:t>
      </w:r>
      <w:r w:rsidRPr="002B48E3">
        <w:rPr>
          <w:rtl/>
          <w:lang w:val="fr-CH"/>
        </w:rPr>
        <w:t>الرياضة (المادة 30)</w:t>
      </w:r>
    </w:p>
    <w:p w:rsidR="002B48E3" w:rsidRPr="002B48E3" w:rsidRDefault="002B48E3" w:rsidP="00E738CF">
      <w:pPr>
        <w:pStyle w:val="SingleTxtGA"/>
        <w:rPr>
          <w:lang w:val="fr-CH"/>
        </w:rPr>
      </w:pPr>
      <w:r w:rsidRPr="002B48E3">
        <w:rPr>
          <w:rtl/>
          <w:lang w:val="fr-CH"/>
        </w:rPr>
        <w:t>29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عن التدابير التي اتخذتها الدولة الطرف لضمان </w:t>
      </w:r>
      <w:r w:rsidRPr="002B48E3">
        <w:rPr>
          <w:rFonts w:hint="cs"/>
          <w:rtl/>
          <w:lang w:val="fr-CH"/>
        </w:rPr>
        <w:t>وصول</w:t>
      </w:r>
      <w:r w:rsidRPr="002B48E3">
        <w:rPr>
          <w:rtl/>
          <w:lang w:val="fr-CH"/>
        </w:rPr>
        <w:t xml:space="preserve"> الأشخاص ذوي الإعاقة </w:t>
      </w:r>
      <w:r w:rsidRPr="002B48E3">
        <w:rPr>
          <w:rFonts w:hint="cs"/>
          <w:rtl/>
          <w:lang w:val="fr-CH"/>
        </w:rPr>
        <w:t xml:space="preserve">إلى مرافق </w:t>
      </w:r>
      <w:r w:rsidRPr="002B48E3">
        <w:rPr>
          <w:rtl/>
          <w:lang w:val="fr-CH"/>
        </w:rPr>
        <w:t>الترفيهية و</w:t>
      </w:r>
      <w:r w:rsidRPr="002B48E3">
        <w:rPr>
          <w:rFonts w:hint="cs"/>
          <w:rtl/>
          <w:lang w:val="fr-CH"/>
        </w:rPr>
        <w:t xml:space="preserve">الأنشطة </w:t>
      </w:r>
      <w:r w:rsidRPr="002B48E3">
        <w:rPr>
          <w:rtl/>
          <w:lang w:val="fr-CH"/>
        </w:rPr>
        <w:t>الثقافية والرياض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 xml:space="preserve">ة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>السياح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>ة، بمن فيهم</w:t>
      </w:r>
      <w:r w:rsidR="00E738CF">
        <w:rPr>
          <w:rFonts w:hint="cs"/>
          <w:rtl/>
          <w:lang w:val="fr-CH"/>
        </w:rPr>
        <w:t> </w:t>
      </w:r>
      <w:r w:rsidRPr="002B48E3">
        <w:rPr>
          <w:rtl/>
          <w:lang w:val="fr-CH"/>
        </w:rPr>
        <w:t>الأطفال ذو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 الإعاقة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</w:t>
      </w:r>
      <w:r w:rsidRPr="002B48E3">
        <w:rPr>
          <w:rFonts w:hint="cs"/>
          <w:rtl/>
          <w:lang w:val="fr-CH"/>
        </w:rPr>
        <w:t>توضيح التدابير المتخذة</w:t>
      </w:r>
      <w:r w:rsidRPr="002B48E3">
        <w:rPr>
          <w:rtl/>
          <w:lang w:val="fr-CH"/>
        </w:rPr>
        <w:t xml:space="preserve"> لهذا الغرض في عقود الأشغال والم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>ز</w:t>
      </w:r>
      <w:r w:rsidRPr="002B48E3">
        <w:rPr>
          <w:rFonts w:hint="cs"/>
          <w:rtl/>
          <w:lang w:val="fr-CH"/>
        </w:rPr>
        <w:t>ا</w:t>
      </w:r>
      <w:r w:rsidRPr="002B48E3">
        <w:rPr>
          <w:rtl/>
          <w:lang w:val="fr-CH"/>
        </w:rPr>
        <w:t>ن</w:t>
      </w:r>
      <w:r w:rsidRPr="002B48E3">
        <w:rPr>
          <w:rFonts w:hint="cs"/>
          <w:rtl/>
          <w:lang w:val="fr-CH"/>
        </w:rPr>
        <w:t>ي</w:t>
      </w:r>
      <w:r w:rsidRPr="002B48E3">
        <w:rPr>
          <w:rtl/>
          <w:lang w:val="fr-CH"/>
        </w:rPr>
        <w:t>ات</w:t>
      </w:r>
      <w:r w:rsidR="00E738CF">
        <w:rPr>
          <w:rFonts w:hint="cs"/>
          <w:rtl/>
          <w:lang w:val="fr-CH"/>
        </w:rPr>
        <w:t> </w:t>
      </w:r>
      <w:r w:rsidRPr="002B48E3">
        <w:rPr>
          <w:rtl/>
          <w:lang w:val="fr-CH"/>
        </w:rPr>
        <w:t>العامة.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30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تقديم معلومات </w:t>
      </w:r>
      <w:r w:rsidRPr="002B48E3">
        <w:rPr>
          <w:rFonts w:hint="cs"/>
          <w:rtl/>
          <w:lang w:val="fr-CH"/>
        </w:rPr>
        <w:t>توضح</w:t>
      </w:r>
      <w:r w:rsidRPr="002B48E3">
        <w:rPr>
          <w:rtl/>
          <w:lang w:val="fr-CH"/>
        </w:rPr>
        <w:t xml:space="preserve"> متى تعتزم الدولة الطرف التوقيع والتصديق على </w:t>
      </w:r>
      <w:r w:rsidRPr="002B48E3">
        <w:rPr>
          <w:rFonts w:hint="cs"/>
          <w:rtl/>
          <w:lang w:val="fr-CH"/>
        </w:rPr>
        <w:t>اتفاقية</w:t>
      </w:r>
      <w:r w:rsidRPr="002B48E3">
        <w:rPr>
          <w:rtl/>
          <w:lang w:val="fr-CH"/>
        </w:rPr>
        <w:t xml:space="preserve"> مراكش </w:t>
      </w:r>
      <w:r w:rsidRPr="002B48E3">
        <w:rPr>
          <w:rFonts w:hint="cs"/>
          <w:rtl/>
          <w:lang w:val="fr-CH"/>
        </w:rPr>
        <w:t xml:space="preserve">المتعلقة بتيسير </w:t>
      </w:r>
      <w:r w:rsidRPr="002B48E3">
        <w:rPr>
          <w:rtl/>
          <w:lang w:val="fr-CH"/>
        </w:rPr>
        <w:t xml:space="preserve">وصول </w:t>
      </w:r>
      <w:r w:rsidRPr="002B48E3">
        <w:rPr>
          <w:rFonts w:hint="cs"/>
          <w:rtl/>
          <w:lang w:val="fr-CH"/>
        </w:rPr>
        <w:t xml:space="preserve">الأشخاص المكفوفين وذوي الإعاقة البصرية وغيرها من الإعاقات </w:t>
      </w:r>
      <w:r w:rsidRPr="002B48E3">
        <w:rPr>
          <w:rtl/>
          <w:lang w:val="fr-CH"/>
        </w:rPr>
        <w:t xml:space="preserve">إلى المصنفات المنشورة </w:t>
      </w:r>
      <w:r w:rsidRPr="002B48E3">
        <w:rPr>
          <w:rFonts w:hint="cs"/>
          <w:rtl/>
          <w:lang w:val="fr-CH"/>
        </w:rPr>
        <w:t>و</w:t>
      </w:r>
      <w:r w:rsidRPr="002B48E3">
        <w:rPr>
          <w:rtl/>
          <w:lang w:val="fr-CH"/>
        </w:rPr>
        <w:t xml:space="preserve">النص المطبوع </w:t>
      </w:r>
      <w:r w:rsidRPr="002B48E3">
        <w:rPr>
          <w:rFonts w:hint="cs"/>
          <w:rtl/>
          <w:lang w:val="fr-CH"/>
        </w:rPr>
        <w:t>ل</w:t>
      </w:r>
      <w:r w:rsidRPr="002B48E3">
        <w:rPr>
          <w:rtl/>
          <w:lang w:val="fr-CH"/>
        </w:rPr>
        <w:t>لمنظمة العالمية للملكية الفكرية</w:t>
      </w:r>
      <w:r w:rsidRPr="002B48E3">
        <w:rPr>
          <w:rFonts w:hint="cs"/>
          <w:rtl/>
          <w:lang w:val="fr-CH"/>
        </w:rPr>
        <w:t xml:space="preserve">. </w:t>
      </w:r>
    </w:p>
    <w:p w:rsidR="002B48E3" w:rsidRPr="002B48E3" w:rsidRDefault="002B48E3" w:rsidP="00E738CF">
      <w:pPr>
        <w:pStyle w:val="H1GA"/>
        <w:spacing w:before="120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جيم-</w:t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التزامات محددة</w:t>
      </w:r>
    </w:p>
    <w:p w:rsidR="002B48E3" w:rsidRPr="002B48E3" w:rsidRDefault="002B48E3" w:rsidP="002B48E3">
      <w:pPr>
        <w:pStyle w:val="H23GA"/>
        <w:keepNext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Fonts w:hint="cs"/>
          <w:rtl/>
          <w:lang w:val="fr-CH"/>
        </w:rPr>
        <w:t>جمع الإحصاءات والبيانات (المادة 31)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31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بيان التدابير التي </w:t>
      </w:r>
      <w:r w:rsidRPr="002B48E3">
        <w:rPr>
          <w:rFonts w:hint="cs"/>
          <w:rtl/>
          <w:lang w:val="fr-CH"/>
        </w:rPr>
        <w:t>اتخذها</w:t>
      </w:r>
      <w:r w:rsidRPr="002B48E3">
        <w:rPr>
          <w:rtl/>
          <w:lang w:val="fr-CH"/>
        </w:rPr>
        <w:t xml:space="preserve"> المجلس الوطني لتطوير ودمج </w:t>
      </w:r>
      <w:r w:rsidRPr="002B48E3">
        <w:rPr>
          <w:rFonts w:hint="cs"/>
          <w:rtl/>
          <w:lang w:val="fr-CH"/>
        </w:rPr>
        <w:t xml:space="preserve">الأشخاص </w:t>
      </w:r>
      <w:r w:rsidRPr="002B48E3">
        <w:rPr>
          <w:rtl/>
          <w:lang w:val="fr-CH"/>
        </w:rPr>
        <w:t xml:space="preserve">ذوي الإعاقة بالتنسيق مع المعهد الوطني للإحصاء والجغرافيا لضمان </w:t>
      </w:r>
      <w:r w:rsidRPr="002B48E3">
        <w:rPr>
          <w:rFonts w:hint="cs"/>
          <w:rtl/>
          <w:lang w:val="fr-CH"/>
        </w:rPr>
        <w:t>إنشاء</w:t>
      </w:r>
      <w:r w:rsidRPr="002B48E3">
        <w:rPr>
          <w:rtl/>
          <w:lang w:val="fr-CH"/>
        </w:rPr>
        <w:t xml:space="preserve"> نظام معلومات وطني </w:t>
      </w:r>
      <w:r w:rsidRPr="002B48E3">
        <w:rPr>
          <w:rFonts w:hint="cs"/>
          <w:rtl/>
          <w:lang w:val="fr-CH"/>
        </w:rPr>
        <w:t>للأشخاص</w:t>
      </w:r>
      <w:r w:rsidRPr="002B48E3">
        <w:rPr>
          <w:rtl/>
          <w:lang w:val="fr-CH"/>
        </w:rPr>
        <w:t xml:space="preserve"> ذوي الإعاقة وتطبيقه </w:t>
      </w:r>
      <w:r w:rsidRPr="002B48E3">
        <w:rPr>
          <w:rFonts w:hint="cs"/>
          <w:rtl/>
          <w:lang w:val="fr-CH"/>
        </w:rPr>
        <w:t xml:space="preserve">قطاعياً </w:t>
      </w:r>
      <w:r w:rsidRPr="002B48E3">
        <w:rPr>
          <w:rtl/>
          <w:lang w:val="fr-CH"/>
        </w:rPr>
        <w:t xml:space="preserve">في </w:t>
      </w:r>
      <w:r w:rsidRPr="002B48E3">
        <w:rPr>
          <w:rFonts w:hint="cs"/>
          <w:rtl/>
          <w:lang w:val="fr-CH"/>
        </w:rPr>
        <w:t xml:space="preserve">إطار </w:t>
      </w:r>
      <w:r w:rsidRPr="002B48E3">
        <w:rPr>
          <w:rtl/>
          <w:lang w:val="fr-CH"/>
        </w:rPr>
        <w:t>السياسات العامة.</w:t>
      </w:r>
    </w:p>
    <w:p w:rsidR="002B48E3" w:rsidRPr="002B48E3" w:rsidRDefault="002B48E3" w:rsidP="002B48E3">
      <w:pPr>
        <w:pStyle w:val="H23GA"/>
        <w:keepNext/>
        <w:rPr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>التعاون الدولي (المادة 32)</w:t>
      </w:r>
    </w:p>
    <w:p w:rsidR="002B48E3" w:rsidRP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32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توضيح</w:t>
      </w:r>
      <w:r w:rsidRPr="002B48E3">
        <w:rPr>
          <w:rtl/>
          <w:lang w:val="fr-CH"/>
        </w:rPr>
        <w:t xml:space="preserve"> كيف</w:t>
      </w:r>
      <w:r w:rsidRPr="002B48E3">
        <w:rPr>
          <w:rFonts w:hint="cs"/>
          <w:rtl/>
          <w:lang w:val="fr-CH"/>
        </w:rPr>
        <w:t>ية استفادة الدولة الطرف من</w:t>
      </w:r>
      <w:r w:rsidRPr="002B48E3">
        <w:rPr>
          <w:rtl/>
          <w:lang w:val="fr-CH"/>
        </w:rPr>
        <w:t xml:space="preserve"> الأموال التي حصلت عليها </w:t>
      </w:r>
      <w:r w:rsidRPr="002B48E3">
        <w:rPr>
          <w:rFonts w:hint="cs"/>
          <w:rtl/>
          <w:lang w:val="fr-CH"/>
        </w:rPr>
        <w:t>عن طريق</w:t>
      </w:r>
      <w:r w:rsidRPr="002B48E3">
        <w:rPr>
          <w:rtl/>
          <w:lang w:val="fr-CH"/>
        </w:rPr>
        <w:t xml:space="preserve"> التعاون الدولي من أجل تنفيذ الاتفاقية</w:t>
      </w:r>
      <w:r w:rsidRPr="002B48E3">
        <w:rPr>
          <w:rFonts w:hint="cs"/>
          <w:rtl/>
          <w:lang w:val="fr-CH"/>
        </w:rPr>
        <w:t>،</w:t>
      </w:r>
      <w:r w:rsidRPr="002B48E3">
        <w:rPr>
          <w:rtl/>
          <w:lang w:val="fr-CH"/>
        </w:rPr>
        <w:t xml:space="preserve"> وكيف</w:t>
      </w:r>
      <w:r w:rsidRPr="002B48E3">
        <w:rPr>
          <w:rFonts w:hint="cs"/>
          <w:rtl/>
          <w:lang w:val="fr-CH"/>
        </w:rPr>
        <w:t>ية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م</w:t>
      </w:r>
      <w:r w:rsidRPr="002B48E3">
        <w:rPr>
          <w:rtl/>
          <w:lang w:val="fr-CH"/>
        </w:rPr>
        <w:t>شارك</w:t>
      </w:r>
      <w:r w:rsidRPr="002B48E3">
        <w:rPr>
          <w:rFonts w:hint="cs"/>
          <w:rtl/>
          <w:lang w:val="fr-CH"/>
        </w:rPr>
        <w:t>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>أشخاص ذوي الإعاقة ومنظمات</w:t>
      </w:r>
      <w:r w:rsidRPr="002B48E3">
        <w:rPr>
          <w:rFonts w:hint="cs"/>
          <w:rtl/>
          <w:lang w:val="fr-CH"/>
        </w:rPr>
        <w:t>هم</w:t>
      </w:r>
      <w:r w:rsidRPr="002B48E3">
        <w:rPr>
          <w:rtl/>
          <w:lang w:val="fr-CH"/>
        </w:rPr>
        <w:t xml:space="preserve"> في تصميم وتطوير وتقييم المشاريع.</w:t>
      </w:r>
    </w:p>
    <w:p w:rsidR="002B48E3" w:rsidRPr="002B48E3" w:rsidRDefault="002B48E3" w:rsidP="002B48E3">
      <w:pPr>
        <w:pStyle w:val="H23GA"/>
        <w:keepNext/>
        <w:rPr>
          <w:rFonts w:hint="cs"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التنفيذ </w:t>
      </w:r>
      <w:r w:rsidRPr="002B48E3">
        <w:rPr>
          <w:rFonts w:hint="cs"/>
          <w:rtl/>
          <w:lang w:val="fr-CH"/>
        </w:rPr>
        <w:t xml:space="preserve">والرصد على الصعيد </w:t>
      </w:r>
      <w:r w:rsidR="006B021F">
        <w:rPr>
          <w:rtl/>
          <w:lang w:val="fr-CH"/>
        </w:rPr>
        <w:t>الوطني (المادة 33)</w:t>
      </w:r>
    </w:p>
    <w:p w:rsidR="002B48E3" w:rsidRDefault="002B48E3" w:rsidP="002B48E3">
      <w:pPr>
        <w:pStyle w:val="SingleTxtGA"/>
        <w:rPr>
          <w:rFonts w:hint="cs"/>
          <w:rtl/>
          <w:lang w:val="fr-CH"/>
        </w:rPr>
      </w:pPr>
      <w:r w:rsidRPr="002B48E3">
        <w:rPr>
          <w:rtl/>
          <w:lang w:val="fr-CH"/>
        </w:rPr>
        <w:t>33</w:t>
      </w:r>
      <w:r w:rsidRPr="002B48E3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Pr="002B48E3">
        <w:rPr>
          <w:rtl/>
          <w:lang w:val="fr-CH"/>
        </w:rPr>
        <w:t xml:space="preserve">يُرجى </w:t>
      </w:r>
      <w:r w:rsidRPr="002B48E3">
        <w:rPr>
          <w:rFonts w:hint="cs"/>
          <w:rtl/>
          <w:lang w:val="fr-CH"/>
        </w:rPr>
        <w:t>بيان توقيت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تفعيل</w:t>
      </w:r>
      <w:r w:rsidRPr="002B48E3">
        <w:rPr>
          <w:rtl/>
          <w:lang w:val="fr-CH"/>
        </w:rPr>
        <w:t xml:space="preserve"> الآلية </w:t>
      </w:r>
      <w:r w:rsidRPr="002B48E3">
        <w:rPr>
          <w:rFonts w:hint="cs"/>
          <w:rtl/>
          <w:lang w:val="fr-CH"/>
        </w:rPr>
        <w:t>المعنية ب</w:t>
      </w:r>
      <w:r w:rsidRPr="002B48E3">
        <w:rPr>
          <w:rtl/>
          <w:lang w:val="fr-CH"/>
        </w:rPr>
        <w:t>تعزيز وحماية ورصد تنفيذ اتفاقية حقوق الأشخاص ذوي الإعاقة</w:t>
      </w:r>
      <w:r w:rsidRPr="002B48E3">
        <w:rPr>
          <w:rFonts w:hint="cs"/>
          <w:rtl/>
          <w:lang w:val="fr-CH"/>
        </w:rPr>
        <w:t xml:space="preserve"> على الصعيد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ال</w:t>
      </w:r>
      <w:r w:rsidRPr="002B48E3">
        <w:rPr>
          <w:rtl/>
          <w:lang w:val="fr-CH"/>
        </w:rPr>
        <w:t xml:space="preserve">وطني، </w:t>
      </w:r>
      <w:r w:rsidRPr="002B48E3">
        <w:rPr>
          <w:rFonts w:hint="cs"/>
          <w:rtl/>
          <w:lang w:val="fr-CH"/>
        </w:rPr>
        <w:t>التي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تم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>في إطارها تشكيل</w:t>
      </w:r>
      <w:r w:rsidRPr="002B48E3">
        <w:rPr>
          <w:rtl/>
          <w:lang w:val="fr-CH"/>
        </w:rPr>
        <w:t xml:space="preserve"> 33 </w:t>
      </w:r>
      <w:r w:rsidRPr="002B48E3">
        <w:rPr>
          <w:rFonts w:hint="cs"/>
          <w:rtl/>
          <w:lang w:val="fr-CH"/>
        </w:rPr>
        <w:t>هيئة عامة</w:t>
      </w:r>
      <w:r w:rsidRPr="002B48E3">
        <w:rPr>
          <w:rtl/>
          <w:lang w:val="fr-CH"/>
        </w:rPr>
        <w:t xml:space="preserve"> </w:t>
      </w:r>
      <w:r w:rsidRPr="002B48E3">
        <w:rPr>
          <w:rFonts w:hint="cs"/>
          <w:rtl/>
          <w:lang w:val="fr-CH"/>
        </w:rPr>
        <w:t xml:space="preserve">لهذا الغرض في 21 شباط/فبراير 2011 من أجل </w:t>
      </w:r>
      <w:r w:rsidRPr="002B48E3">
        <w:rPr>
          <w:rtl/>
          <w:lang w:val="fr-CH"/>
        </w:rPr>
        <w:t xml:space="preserve">حماية حقوق الإنسان </w:t>
      </w:r>
      <w:r w:rsidRPr="002B48E3">
        <w:rPr>
          <w:rFonts w:hint="cs"/>
          <w:rtl/>
          <w:lang w:val="fr-CH"/>
        </w:rPr>
        <w:t xml:space="preserve">والدفاع عنها. </w:t>
      </w:r>
    </w:p>
    <w:p w:rsidR="002B48E3" w:rsidRPr="002B48E3" w:rsidRDefault="002B48E3" w:rsidP="002B48E3">
      <w:pPr>
        <w:spacing w:before="120"/>
        <w:jc w:val="center"/>
        <w:rPr>
          <w:rFonts w:hint="cs"/>
          <w:u w:val="single"/>
          <w:rtl/>
          <w:lang w:val="fr-CH"/>
        </w:rPr>
      </w:pP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</w:p>
    <w:sectPr w:rsidR="002B48E3" w:rsidRPr="002B48E3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8" w:rsidRPr="00FE6865" w:rsidRDefault="00F712F8" w:rsidP="00FE6865">
      <w:pPr>
        <w:pStyle w:val="Footer"/>
      </w:pPr>
    </w:p>
  </w:endnote>
  <w:endnote w:type="continuationSeparator" w:id="0">
    <w:p w:rsidR="00F712F8" w:rsidRDefault="00F7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Pr="003B6AC9" w:rsidRDefault="002B48E3" w:rsidP="003B6AC9">
    <w:pPr>
      <w:pStyle w:val="Footer"/>
      <w:tabs>
        <w:tab w:val="right" w:pos="9598"/>
      </w:tabs>
    </w:pPr>
    <w:r>
      <w:t>GE.14-42936</w:t>
    </w:r>
    <w:r>
      <w:tab/>
    </w:r>
    <w:r w:rsidRPr="003B6AC9">
      <w:rPr>
        <w:b/>
        <w:sz w:val="18"/>
      </w:rPr>
      <w:fldChar w:fldCharType="begin"/>
    </w:r>
    <w:r w:rsidRPr="003B6AC9">
      <w:rPr>
        <w:b/>
        <w:sz w:val="18"/>
      </w:rPr>
      <w:instrText xml:space="preserve"> PAGE  \* MERGEFORMAT </w:instrText>
    </w:r>
    <w:r w:rsidRPr="003B6AC9">
      <w:rPr>
        <w:b/>
        <w:sz w:val="18"/>
      </w:rPr>
      <w:fldChar w:fldCharType="separate"/>
    </w:r>
    <w:r w:rsidR="002104CC">
      <w:rPr>
        <w:b/>
        <w:noProof/>
        <w:sz w:val="18"/>
      </w:rPr>
      <w:t>6</w:t>
    </w:r>
    <w:r w:rsidRPr="003B6AC9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Pr="003B6AC9" w:rsidRDefault="002B48E3" w:rsidP="003B6AC9">
    <w:pPr>
      <w:pStyle w:val="Footer"/>
      <w:tabs>
        <w:tab w:val="right" w:pos="9598"/>
      </w:tabs>
      <w:rPr>
        <w:b/>
        <w:sz w:val="18"/>
      </w:rPr>
    </w:pPr>
    <w:r w:rsidRPr="003B6AC9">
      <w:rPr>
        <w:b/>
        <w:sz w:val="18"/>
      </w:rPr>
      <w:fldChar w:fldCharType="begin"/>
    </w:r>
    <w:r w:rsidRPr="003B6AC9">
      <w:rPr>
        <w:b/>
        <w:sz w:val="18"/>
      </w:rPr>
      <w:instrText xml:space="preserve"> PAGE  \* MERGEFORMAT </w:instrText>
    </w:r>
    <w:r w:rsidRPr="003B6AC9">
      <w:rPr>
        <w:b/>
        <w:sz w:val="18"/>
      </w:rPr>
      <w:fldChar w:fldCharType="separate"/>
    </w:r>
    <w:r w:rsidR="002104CC">
      <w:rPr>
        <w:b/>
        <w:noProof/>
        <w:sz w:val="18"/>
      </w:rPr>
      <w:t>5</w:t>
    </w:r>
    <w:r w:rsidRPr="003B6AC9">
      <w:rPr>
        <w:b/>
        <w:sz w:val="18"/>
      </w:rPr>
      <w:fldChar w:fldCharType="end"/>
    </w:r>
    <w:r>
      <w:rPr>
        <w:b/>
        <w:sz w:val="18"/>
      </w:rPr>
      <w:tab/>
    </w:r>
    <w:r>
      <w:t>GE.14-42936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Default="002B48E3" w:rsidP="003B6AC9">
    <w:pPr>
      <w:pStyle w:val="Footer"/>
      <w:jc w:val="right"/>
    </w:pPr>
    <w:r>
      <w:rPr>
        <w:sz w:val="20"/>
      </w:rPr>
      <w:t>(A)   GE.14-42936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3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150514    190514</w:t>
    </w:r>
    <w:r w:rsidR="002104CC">
      <w:br/>
    </w:r>
    <w:r w:rsidR="002104CC" w:rsidRPr="002104CC">
      <w:rPr>
        <w:rFonts w:ascii="C39T30Lfz" w:hAnsi="C39T30Lfz"/>
        <w:sz w:val="56"/>
      </w:rPr>
      <w:t></w:t>
    </w:r>
    <w:r w:rsidR="002104CC" w:rsidRPr="002104CC">
      <w:rPr>
        <w:rFonts w:ascii="C39T30Lfz" w:hAnsi="C39T30Lfz"/>
        <w:sz w:val="56"/>
      </w:rPr>
      <w:t></w:t>
    </w:r>
    <w:r w:rsidR="002104CC" w:rsidRPr="002104CC">
      <w:rPr>
        <w:rFonts w:ascii="C39T30Lfz" w:hAnsi="C39T30Lfz"/>
        <w:sz w:val="56"/>
      </w:rPr>
      <w:t></w:t>
    </w:r>
    <w:r w:rsidR="002104CC" w:rsidRPr="002104CC">
      <w:rPr>
        <w:rFonts w:ascii="C39T30Lfz" w:hAnsi="C39T30Lfz"/>
        <w:sz w:val="56"/>
      </w:rPr>
      <w:t></w:t>
    </w:r>
    <w:r w:rsidR="002104CC" w:rsidRPr="002104CC">
      <w:rPr>
        <w:rFonts w:ascii="C39T30Lfz" w:hAnsi="C39T30Lfz"/>
        <w:sz w:val="56"/>
      </w:rPr>
      <w:t></w:t>
    </w:r>
    <w:r w:rsidR="002104CC" w:rsidRPr="002104CC">
      <w:rPr>
        <w:rFonts w:ascii="C39T30Lfz" w:hAnsi="C39T30Lfz"/>
        <w:sz w:val="56"/>
      </w:rPr>
      <w:t></w:t>
    </w:r>
    <w:r w:rsidR="002104CC" w:rsidRPr="002104CC">
      <w:rPr>
        <w:rFonts w:ascii="C39T30Lfz" w:hAnsi="C39T30Lfz"/>
        <w:sz w:val="56"/>
      </w:rPr>
      <w:t></w:t>
    </w:r>
    <w:r w:rsidR="002104CC" w:rsidRPr="002104CC">
      <w:rPr>
        <w:rFonts w:ascii="C39T30Lfz" w:hAnsi="C39T30Lfz"/>
        <w:sz w:val="56"/>
      </w:rPr>
      <w:t></w:t>
    </w:r>
    <w:r w:rsidR="002104CC" w:rsidRPr="002104CC">
      <w:rPr>
        <w:rFonts w:ascii="C39T30Lfz" w:hAnsi="C39T30Lfz"/>
        <w:sz w:val="56"/>
      </w:rPr>
      <w:t></w:t>
    </w:r>
    <w:r w:rsidR="002104CC">
      <w:rPr>
        <w:rFonts w:ascii="C39T30Lfz" w:hAnsi="C39T30Lfz"/>
        <w:sz w:val="56"/>
      </w:rPr>
      <w:tab/>
    </w:r>
    <w:r w:rsidR="002104CC">
      <w:rPr>
        <w:noProof/>
        <w:lang w:val="en-US"/>
      </w:rPr>
      <w:pict>
        <v:shape id="_x0000_s2054" type="#_x0000_t75" style="position:absolute;left:0;text-align:left;margin-left:.05pt;margin-top:0;width:50.25pt;height:50.25pt;z-index:3;mso-position-horizontal-relative:text;mso-position-vertical-relative:text" o:allowincell="f">
          <v:imagedata r:id="rId2" o:title="1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8" w:rsidRDefault="00F712F8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F712F8" w:rsidRDefault="00F712F8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2B48E3" w:rsidRPr="002B48E3" w:rsidRDefault="002B48E3" w:rsidP="002104CC">
      <w:pPr>
        <w:pStyle w:val="footnoteText0"/>
        <w:spacing w:after="240"/>
        <w:rPr>
          <w:rFonts w:hint="cs"/>
          <w:rtl/>
        </w:rPr>
      </w:pPr>
      <w:r>
        <w:rPr>
          <w:rtl/>
        </w:rPr>
        <w:tab/>
      </w:r>
      <w:r w:rsidRPr="002B48E3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2B48E3">
        <w:rPr>
          <w:rFonts w:hint="cs"/>
          <w:rtl/>
        </w:rPr>
        <w:t>اعتمد</w:t>
      </w:r>
      <w:r w:rsidR="00720EB1">
        <w:rPr>
          <w:rFonts w:hint="cs"/>
          <w:rtl/>
        </w:rPr>
        <w:t>ت</w:t>
      </w:r>
      <w:r w:rsidRPr="002B48E3">
        <w:rPr>
          <w:rFonts w:hint="cs"/>
          <w:rtl/>
        </w:rPr>
        <w:t>ها اللجنة في دورتها الحادية عشرة (31 آذار/مارس</w:t>
      </w:r>
      <w:r w:rsidR="00726B5C">
        <w:rPr>
          <w:rFonts w:hint="cs"/>
          <w:rtl/>
        </w:rPr>
        <w:t xml:space="preserve"> </w:t>
      </w:r>
      <w:r w:rsidRPr="002B48E3">
        <w:rPr>
          <w:rFonts w:hint="cs"/>
          <w:rtl/>
        </w:rPr>
        <w:t>-</w:t>
      </w:r>
      <w:r w:rsidR="00726B5C">
        <w:rPr>
          <w:rFonts w:hint="cs"/>
          <w:rtl/>
        </w:rPr>
        <w:t xml:space="preserve"> 11</w:t>
      </w:r>
      <w:r w:rsidRPr="002B48E3">
        <w:rPr>
          <w:rFonts w:hint="cs"/>
          <w:rtl/>
        </w:rPr>
        <w:t xml:space="preserve"> نيسان/أبريل 2014)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Pr="003B6AC9" w:rsidRDefault="002B48E3" w:rsidP="003B6AC9">
    <w:pPr>
      <w:pStyle w:val="Header"/>
      <w:jc w:val="right"/>
    </w:pPr>
    <w:r w:rsidRPr="003B6AC9">
      <w:t>CRPD/C/MEX/Q/1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Pr="003B6AC9" w:rsidRDefault="002B48E3" w:rsidP="003B6AC9">
    <w:pPr>
      <w:pStyle w:val="Header"/>
      <w:jc w:val="left"/>
    </w:pPr>
    <w:r w:rsidRPr="003B6AC9">
      <w:t>CRPD/C/MEX/Q/1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3" w:rsidRDefault="002B48E3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0.55pt;margin-top:19.35pt;width:192.45pt;height:97.65pt;z-index:2" o:allowincell="f" filled="f" stroked="f">
          <v:textbox inset="0,0,0,0">
            <w:txbxContent>
              <w:p w:rsidR="002B48E3" w:rsidRPr="002E4D7B" w:rsidRDefault="002B48E3" w:rsidP="002E4D7B">
                <w:pPr>
                  <w:spacing w:line="600" w:lineRule="exact"/>
                  <w:jc w:val="left"/>
                  <w:rPr>
                    <w:rFonts w:hint="cs"/>
                    <w:szCs w:val="56"/>
                  </w:rPr>
                </w:pP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>اتفاقية حقوق الأشخاص</w:t>
                </w: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br/>
                  <w:t>ذوي الإعاقة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ttachedTemplate r:id="rId1"/>
  <w:stylePaneFormatFilter w:val="1F0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B0"/>
    <w:rsid w:val="0004027B"/>
    <w:rsid w:val="00040E25"/>
    <w:rsid w:val="00042149"/>
    <w:rsid w:val="000637F3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40D9"/>
    <w:rsid w:val="001455A0"/>
    <w:rsid w:val="001602A3"/>
    <w:rsid w:val="001A5161"/>
    <w:rsid w:val="001A60BD"/>
    <w:rsid w:val="001B1104"/>
    <w:rsid w:val="002104CC"/>
    <w:rsid w:val="00232277"/>
    <w:rsid w:val="0023736D"/>
    <w:rsid w:val="0024127C"/>
    <w:rsid w:val="00257225"/>
    <w:rsid w:val="002B48E3"/>
    <w:rsid w:val="002E4D7B"/>
    <w:rsid w:val="002F6BB0"/>
    <w:rsid w:val="00310160"/>
    <w:rsid w:val="00341A8C"/>
    <w:rsid w:val="003519E6"/>
    <w:rsid w:val="0038155D"/>
    <w:rsid w:val="003B4356"/>
    <w:rsid w:val="003B6AC9"/>
    <w:rsid w:val="003C71EB"/>
    <w:rsid w:val="003F08A8"/>
    <w:rsid w:val="004250E3"/>
    <w:rsid w:val="00472A81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54786"/>
    <w:rsid w:val="00660FD4"/>
    <w:rsid w:val="006A4425"/>
    <w:rsid w:val="006B00A4"/>
    <w:rsid w:val="006B021F"/>
    <w:rsid w:val="006B4669"/>
    <w:rsid w:val="006F6BF8"/>
    <w:rsid w:val="00707BDF"/>
    <w:rsid w:val="00710727"/>
    <w:rsid w:val="00715F45"/>
    <w:rsid w:val="00720EB1"/>
    <w:rsid w:val="00726B5C"/>
    <w:rsid w:val="00731815"/>
    <w:rsid w:val="00731B84"/>
    <w:rsid w:val="00734AE7"/>
    <w:rsid w:val="0079344E"/>
    <w:rsid w:val="007E197F"/>
    <w:rsid w:val="007F68C4"/>
    <w:rsid w:val="008153DE"/>
    <w:rsid w:val="00852A10"/>
    <w:rsid w:val="00862634"/>
    <w:rsid w:val="00866C59"/>
    <w:rsid w:val="008711F2"/>
    <w:rsid w:val="00877306"/>
    <w:rsid w:val="008A6242"/>
    <w:rsid w:val="008B4BC6"/>
    <w:rsid w:val="008D70D4"/>
    <w:rsid w:val="00901E57"/>
    <w:rsid w:val="009070DF"/>
    <w:rsid w:val="00935F0E"/>
    <w:rsid w:val="0095208F"/>
    <w:rsid w:val="00977B3F"/>
    <w:rsid w:val="009814AE"/>
    <w:rsid w:val="009901D3"/>
    <w:rsid w:val="00996BBE"/>
    <w:rsid w:val="009B2C03"/>
    <w:rsid w:val="009B34CC"/>
    <w:rsid w:val="009D1DD5"/>
    <w:rsid w:val="009F39F8"/>
    <w:rsid w:val="009F722C"/>
    <w:rsid w:val="00A1410D"/>
    <w:rsid w:val="00A26157"/>
    <w:rsid w:val="00A265C3"/>
    <w:rsid w:val="00A33AF7"/>
    <w:rsid w:val="00A43F9A"/>
    <w:rsid w:val="00A53F38"/>
    <w:rsid w:val="00A543D4"/>
    <w:rsid w:val="00AD0014"/>
    <w:rsid w:val="00AD4CF2"/>
    <w:rsid w:val="00AF0BBA"/>
    <w:rsid w:val="00B30468"/>
    <w:rsid w:val="00B44E31"/>
    <w:rsid w:val="00B77A5F"/>
    <w:rsid w:val="00BA4F7E"/>
    <w:rsid w:val="00BB2C41"/>
    <w:rsid w:val="00BC2E49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4296"/>
    <w:rsid w:val="00C8345E"/>
    <w:rsid w:val="00CA5F7C"/>
    <w:rsid w:val="00D11585"/>
    <w:rsid w:val="00D51067"/>
    <w:rsid w:val="00D75657"/>
    <w:rsid w:val="00D960AD"/>
    <w:rsid w:val="00DA0E0E"/>
    <w:rsid w:val="00DB0C39"/>
    <w:rsid w:val="00DB1530"/>
    <w:rsid w:val="00DB7679"/>
    <w:rsid w:val="00DF1702"/>
    <w:rsid w:val="00DF4DD8"/>
    <w:rsid w:val="00DF668E"/>
    <w:rsid w:val="00E04826"/>
    <w:rsid w:val="00E14D2B"/>
    <w:rsid w:val="00E20DBA"/>
    <w:rsid w:val="00E6524A"/>
    <w:rsid w:val="00E660D6"/>
    <w:rsid w:val="00E707A0"/>
    <w:rsid w:val="00E738CF"/>
    <w:rsid w:val="00E771AB"/>
    <w:rsid w:val="00EA796F"/>
    <w:rsid w:val="00EB077B"/>
    <w:rsid w:val="00EC50B9"/>
    <w:rsid w:val="00ED26A0"/>
    <w:rsid w:val="00F1727A"/>
    <w:rsid w:val="00F34764"/>
    <w:rsid w:val="00F41A7C"/>
    <w:rsid w:val="00F54E3C"/>
    <w:rsid w:val="00F70CA5"/>
    <w:rsid w:val="00F712F8"/>
    <w:rsid w:val="00F82442"/>
    <w:rsid w:val="00F874BD"/>
    <w:rsid w:val="00FB1D0B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F70CA5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6</Pages>
  <Words>1394</Words>
  <Characters>7949</Characters>
  <Application>Microsoft Office Outlook</Application>
  <DocSecurity>4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CRPD/C/MEX/Q/1</vt:lpstr>
      <vt:lpstr>CRPD/C/MEX/Q/1</vt:lpstr>
    </vt:vector>
  </TitlesOfParts>
  <Company>CSD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CRPD/C/MEX/Q/1</dc:title>
  <dc:subject>Mr. M. Abdal-Shakour</dc:subject>
  <dc:creator>Jamela</dc:creator>
  <cp:keywords/>
  <dc:description/>
  <cp:lastModifiedBy>TPS</cp:lastModifiedBy>
  <cp:revision>2</cp:revision>
  <cp:lastPrinted>2014-05-19T07:03:00Z</cp:lastPrinted>
  <dcterms:created xsi:type="dcterms:W3CDTF">2014-05-19T12:23:00Z</dcterms:created>
  <dcterms:modified xsi:type="dcterms:W3CDTF">2014-05-19T12:23:00Z</dcterms:modified>
</cp:coreProperties>
</file>