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7423B3C9" w14:textId="77777777" w:rsidTr="005E08DF">
        <w:trPr>
          <w:cantSplit/>
          <w:trHeight w:hRule="exact" w:val="851"/>
        </w:trPr>
        <w:tc>
          <w:tcPr>
            <w:tcW w:w="1276" w:type="dxa"/>
            <w:tcBorders>
              <w:bottom w:val="single" w:sz="4" w:space="0" w:color="auto"/>
            </w:tcBorders>
            <w:vAlign w:val="bottom"/>
          </w:tcPr>
          <w:p w14:paraId="4B1BB102" w14:textId="77777777" w:rsidR="00C9007B" w:rsidRDefault="00C9007B" w:rsidP="005E08DF">
            <w:pPr>
              <w:spacing w:after="80"/>
            </w:pPr>
          </w:p>
        </w:tc>
        <w:tc>
          <w:tcPr>
            <w:tcW w:w="2268" w:type="dxa"/>
            <w:tcBorders>
              <w:bottom w:val="single" w:sz="4" w:space="0" w:color="auto"/>
            </w:tcBorders>
            <w:vAlign w:val="bottom"/>
          </w:tcPr>
          <w:p w14:paraId="00627B10" w14:textId="77777777"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D17C66A" w14:textId="65480670" w:rsidR="00C9007B" w:rsidRDefault="00EC449C" w:rsidP="00012EF6">
            <w:pPr>
              <w:suppressAutoHyphens w:val="0"/>
              <w:spacing w:after="20"/>
              <w:jc w:val="right"/>
            </w:pPr>
            <w:r w:rsidRPr="00EC449C">
              <w:rPr>
                <w:sz w:val="40"/>
              </w:rPr>
              <w:t>CRPD</w:t>
            </w:r>
            <w:r w:rsidR="001E4A09">
              <w:t>/C/</w:t>
            </w:r>
            <w:r w:rsidR="008751B9">
              <w:t>MEX</w:t>
            </w:r>
            <w:r>
              <w:t>/CO/</w:t>
            </w:r>
            <w:r w:rsidR="008751B9">
              <w:t>2-3</w:t>
            </w:r>
          </w:p>
        </w:tc>
      </w:tr>
      <w:tr w:rsidR="00C9007B" w14:paraId="66E178E5" w14:textId="77777777" w:rsidTr="005E08DF">
        <w:trPr>
          <w:cantSplit/>
          <w:trHeight w:hRule="exact" w:val="2835"/>
        </w:trPr>
        <w:tc>
          <w:tcPr>
            <w:tcW w:w="1276" w:type="dxa"/>
            <w:tcBorders>
              <w:top w:val="single" w:sz="4" w:space="0" w:color="auto"/>
              <w:bottom w:val="single" w:sz="12" w:space="0" w:color="auto"/>
            </w:tcBorders>
          </w:tcPr>
          <w:p w14:paraId="18B52819" w14:textId="77777777" w:rsidR="00C9007B" w:rsidRDefault="00C9007B" w:rsidP="005E08DF">
            <w:pPr>
              <w:spacing w:before="120"/>
              <w:jc w:val="center"/>
            </w:pPr>
            <w:r>
              <w:rPr>
                <w:noProof/>
                <w:lang w:eastAsia="en-GB"/>
              </w:rPr>
              <w:drawing>
                <wp:inline distT="0" distB="0" distL="0" distR="0" wp14:anchorId="7C5627E3" wp14:editId="104537B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FAEFBE5" w14:textId="3E0EA123" w:rsidR="00C9007B" w:rsidRDefault="00C9007B" w:rsidP="0047472A">
            <w:pPr>
              <w:spacing w:before="120" w:line="380" w:lineRule="exact"/>
            </w:pPr>
            <w:r>
              <w:rPr>
                <w:b/>
                <w:sz w:val="34"/>
                <w:szCs w:val="40"/>
              </w:rPr>
              <w:t>Convention on the Rights</w:t>
            </w:r>
            <w:r>
              <w:rPr>
                <w:b/>
                <w:sz w:val="34"/>
                <w:szCs w:val="40"/>
              </w:rPr>
              <w:br/>
              <w:t>of Persons with Disabilities</w:t>
            </w:r>
          </w:p>
        </w:tc>
        <w:tc>
          <w:tcPr>
            <w:tcW w:w="2835" w:type="dxa"/>
            <w:tcBorders>
              <w:top w:val="single" w:sz="4" w:space="0" w:color="auto"/>
              <w:bottom w:val="single" w:sz="12" w:space="0" w:color="auto"/>
            </w:tcBorders>
          </w:tcPr>
          <w:p w14:paraId="570257EE" w14:textId="77777777" w:rsidR="00C9007B" w:rsidRDefault="00EC449C" w:rsidP="00EC449C">
            <w:pPr>
              <w:spacing w:before="240"/>
            </w:pPr>
            <w:r>
              <w:t>Distr.: General</w:t>
            </w:r>
          </w:p>
          <w:p w14:paraId="28633831" w14:textId="5D36A28C" w:rsidR="00553A9C" w:rsidRPr="00355359" w:rsidRDefault="00F6318D" w:rsidP="00355359">
            <w:pPr>
              <w:suppressAutoHyphens w:val="0"/>
            </w:pPr>
            <w:r>
              <w:t>20</w:t>
            </w:r>
            <w:r w:rsidR="00E63D30">
              <w:t xml:space="preserve"> </w:t>
            </w:r>
            <w:r w:rsidR="005E5DD1">
              <w:t>April</w:t>
            </w:r>
            <w:r w:rsidR="00E63D30">
              <w:t xml:space="preserve"> </w:t>
            </w:r>
            <w:r w:rsidR="00E63D30" w:rsidRPr="00355359">
              <w:t>2022</w:t>
            </w:r>
          </w:p>
          <w:p w14:paraId="27699038" w14:textId="77777777" w:rsidR="00EC449C" w:rsidRDefault="00EC449C" w:rsidP="00EC449C">
            <w:pPr>
              <w:suppressAutoHyphens w:val="0"/>
            </w:pPr>
          </w:p>
          <w:p w14:paraId="17CE7815" w14:textId="0E3BEAA6" w:rsidR="00D76E69" w:rsidRDefault="00EC449C" w:rsidP="00012EF6">
            <w:pPr>
              <w:suppressAutoHyphens w:val="0"/>
            </w:pPr>
            <w:r>
              <w:t>Original: English</w:t>
            </w:r>
          </w:p>
        </w:tc>
      </w:tr>
    </w:tbl>
    <w:p w14:paraId="72E7DD07" w14:textId="77777777" w:rsidR="00EC449C" w:rsidRPr="00FF61E9" w:rsidRDefault="00EC449C" w:rsidP="00FF61E9">
      <w:pPr>
        <w:spacing w:before="120"/>
        <w:rPr>
          <w:b/>
          <w:bCs/>
          <w:sz w:val="24"/>
          <w:szCs w:val="24"/>
        </w:rPr>
      </w:pPr>
      <w:r w:rsidRPr="00FF61E9">
        <w:rPr>
          <w:b/>
          <w:bCs/>
          <w:sz w:val="24"/>
          <w:szCs w:val="24"/>
        </w:rPr>
        <w:t>Committee on the Rights of Persons with Disabilities</w:t>
      </w:r>
    </w:p>
    <w:p w14:paraId="5AC25817" w14:textId="6645837C" w:rsidR="009F7C1C" w:rsidRPr="00012EF6" w:rsidRDefault="00EC449C" w:rsidP="009F7C1C">
      <w:pPr>
        <w:pStyle w:val="HChG"/>
      </w:pPr>
      <w:r w:rsidRPr="00404879">
        <w:tab/>
      </w:r>
      <w:r w:rsidRPr="00404879">
        <w:tab/>
      </w:r>
      <w:r w:rsidR="004003A4" w:rsidRPr="00881E07">
        <w:t>Concluding observations on the</w:t>
      </w:r>
      <w:r w:rsidR="009F7C1C" w:rsidRPr="00881E07">
        <w:t xml:space="preserve"> combined second and third</w:t>
      </w:r>
      <w:r w:rsidR="004003A4" w:rsidRPr="00881E07">
        <w:t xml:space="preserve"> periodic report</w:t>
      </w:r>
      <w:r w:rsidR="009F7C1C" w:rsidRPr="00881E07">
        <w:t>s</w:t>
      </w:r>
      <w:r w:rsidR="004003A4" w:rsidRPr="00881E07">
        <w:t xml:space="preserve"> </w:t>
      </w:r>
      <w:r w:rsidR="004003A4" w:rsidRPr="00701EA1">
        <w:t>of</w:t>
      </w:r>
      <w:r w:rsidR="009F7C1C">
        <w:t xml:space="preserve"> </w:t>
      </w:r>
      <w:r w:rsidR="009F7C1C" w:rsidRPr="00012EF6">
        <w:t>Mexico</w:t>
      </w:r>
      <w:r w:rsidR="00012EF6" w:rsidRPr="00012EF6">
        <w:rPr>
          <w:b w:val="0"/>
          <w:bCs/>
          <w:sz w:val="20"/>
          <w:lang w:eastAsia="en-US"/>
        </w:rPr>
        <w:footnoteReference w:customMarkFollows="1" w:id="1"/>
        <w:t>*</w:t>
      </w:r>
    </w:p>
    <w:p w14:paraId="4D331E4A" w14:textId="77777777" w:rsidR="00EC449C" w:rsidRPr="00404879" w:rsidRDefault="00EC449C" w:rsidP="009F7C1C">
      <w:pPr>
        <w:pStyle w:val="HChG"/>
        <w:ind w:left="0" w:firstLine="0"/>
      </w:pPr>
      <w:r w:rsidRPr="00404879">
        <w:tab/>
        <w:t>I.</w:t>
      </w:r>
      <w:r w:rsidRPr="00404879">
        <w:tab/>
        <w:t>Introduction</w:t>
      </w:r>
    </w:p>
    <w:p w14:paraId="00C892D6" w14:textId="1D72D7D5" w:rsidR="00E47123" w:rsidRPr="00107A9E" w:rsidRDefault="008E59AB" w:rsidP="008E59AB">
      <w:pPr>
        <w:pStyle w:val="SingleTxtG"/>
        <w:rPr>
          <w:rFonts w:eastAsia="Malgun Gothic"/>
        </w:rPr>
      </w:pPr>
      <w:r w:rsidRPr="00107A9E">
        <w:rPr>
          <w:rFonts w:eastAsia="Malgun Gothic"/>
        </w:rPr>
        <w:t>1.</w:t>
      </w:r>
      <w:r w:rsidRPr="00107A9E">
        <w:rPr>
          <w:rFonts w:eastAsia="Malgun Gothic"/>
        </w:rPr>
        <w:tab/>
      </w:r>
      <w:r w:rsidR="004003A4" w:rsidRPr="00AF66A1">
        <w:rPr>
          <w:rFonts w:eastAsia="Malgun Gothic"/>
        </w:rPr>
        <w:t xml:space="preserve">The </w:t>
      </w:r>
      <w:r w:rsidR="004003A4" w:rsidRPr="00A875F0">
        <w:rPr>
          <w:rFonts w:eastAsia="Malgun Gothic"/>
          <w:color w:val="000000" w:themeColor="text1"/>
        </w:rPr>
        <w:t>Committee considered the combined</w:t>
      </w:r>
      <w:r w:rsidR="00EA3A91" w:rsidRPr="00A875F0">
        <w:rPr>
          <w:rFonts w:eastAsia="Malgun Gothic"/>
          <w:color w:val="000000" w:themeColor="text1"/>
        </w:rPr>
        <w:t xml:space="preserve"> second and third</w:t>
      </w:r>
      <w:r w:rsidR="004003A4" w:rsidRPr="00A875F0">
        <w:rPr>
          <w:rFonts w:eastAsia="Malgun Gothic"/>
          <w:color w:val="000000" w:themeColor="text1"/>
        </w:rPr>
        <w:t xml:space="preserve"> periodic report</w:t>
      </w:r>
      <w:r w:rsidR="00EA3A91" w:rsidRPr="00A875F0">
        <w:rPr>
          <w:rFonts w:eastAsia="Malgun Gothic"/>
          <w:color w:val="000000" w:themeColor="text1"/>
        </w:rPr>
        <w:t>s</w:t>
      </w:r>
      <w:r w:rsidR="004003A4" w:rsidRPr="00A875F0">
        <w:rPr>
          <w:rFonts w:eastAsia="Malgun Gothic"/>
          <w:color w:val="000000" w:themeColor="text1"/>
        </w:rPr>
        <w:t xml:space="preserve"> of </w:t>
      </w:r>
      <w:r w:rsidR="00EA3A91" w:rsidRPr="00A875F0">
        <w:rPr>
          <w:rFonts w:eastAsia="Malgun Gothic"/>
          <w:color w:val="000000" w:themeColor="text1"/>
        </w:rPr>
        <w:t>Mexico</w:t>
      </w:r>
      <w:r w:rsidR="00204C0C">
        <w:rPr>
          <w:rStyle w:val="FootnoteReference"/>
          <w:rFonts w:eastAsia="Malgun Gothic"/>
          <w:color w:val="000000" w:themeColor="text1"/>
        </w:rPr>
        <w:footnoteReference w:id="2"/>
      </w:r>
      <w:r w:rsidR="004003A4" w:rsidRPr="00A875F0">
        <w:rPr>
          <w:rFonts w:eastAsia="Malgun Gothic"/>
          <w:color w:val="000000" w:themeColor="text1"/>
        </w:rPr>
        <w:t xml:space="preserve"> </w:t>
      </w:r>
      <w:r w:rsidR="004003A4" w:rsidRPr="00AF66A1">
        <w:rPr>
          <w:rFonts w:eastAsia="Malgun Gothic"/>
        </w:rPr>
        <w:t xml:space="preserve">at </w:t>
      </w:r>
      <w:r w:rsidR="004003A4" w:rsidRPr="00357186">
        <w:rPr>
          <w:rFonts w:eastAsia="Malgun Gothic"/>
          <w:color w:val="000000" w:themeColor="text1"/>
        </w:rPr>
        <w:t xml:space="preserve">its </w:t>
      </w:r>
      <w:r w:rsidR="00A875F0" w:rsidRPr="00357186">
        <w:rPr>
          <w:rFonts w:eastAsia="Malgun Gothic"/>
          <w:snapToGrid w:val="0"/>
          <w:color w:val="000000" w:themeColor="text1"/>
        </w:rPr>
        <w:t xml:space="preserve">570th, </w:t>
      </w:r>
      <w:r w:rsidR="005901D4" w:rsidRPr="00357186">
        <w:rPr>
          <w:rFonts w:eastAsia="Malgun Gothic"/>
          <w:snapToGrid w:val="0"/>
          <w:color w:val="000000" w:themeColor="text1"/>
        </w:rPr>
        <w:t>572nd</w:t>
      </w:r>
      <w:r w:rsidR="00A875F0" w:rsidRPr="00357186">
        <w:rPr>
          <w:rFonts w:eastAsia="Malgun Gothic"/>
          <w:snapToGrid w:val="0"/>
          <w:color w:val="000000" w:themeColor="text1"/>
        </w:rPr>
        <w:t xml:space="preserve"> </w:t>
      </w:r>
      <w:r w:rsidR="004003A4" w:rsidRPr="00357186">
        <w:rPr>
          <w:rFonts w:eastAsia="Malgun Gothic"/>
          <w:snapToGrid w:val="0"/>
          <w:color w:val="000000" w:themeColor="text1"/>
        </w:rPr>
        <w:t xml:space="preserve">and </w:t>
      </w:r>
      <w:r w:rsidR="00A875F0" w:rsidRPr="00357186">
        <w:rPr>
          <w:rFonts w:eastAsia="Malgun Gothic"/>
          <w:snapToGrid w:val="0"/>
          <w:color w:val="000000" w:themeColor="text1"/>
        </w:rPr>
        <w:t>574th</w:t>
      </w:r>
      <w:r w:rsidR="004003A4" w:rsidRPr="00357186">
        <w:rPr>
          <w:rFonts w:eastAsia="Malgun Gothic"/>
          <w:color w:val="000000" w:themeColor="text1"/>
        </w:rPr>
        <w:t xml:space="preserve"> </w:t>
      </w:r>
      <w:r w:rsidR="004003A4" w:rsidRPr="000307DF">
        <w:rPr>
          <w:rFonts w:eastAsia="Malgun Gothic"/>
          <w:color w:val="000000" w:themeColor="text1"/>
        </w:rPr>
        <w:t>meetings</w:t>
      </w:r>
      <w:r w:rsidR="004003A4" w:rsidRPr="000307DF">
        <w:rPr>
          <w:rFonts w:eastAsia="Malgun Gothic"/>
        </w:rPr>
        <w:t>,</w:t>
      </w:r>
      <w:r w:rsidR="004E2DEF">
        <w:rPr>
          <w:rStyle w:val="FootnoteReference"/>
          <w:rFonts w:eastAsia="Malgun Gothic"/>
        </w:rPr>
        <w:footnoteReference w:id="3"/>
      </w:r>
      <w:r w:rsidR="004003A4" w:rsidRPr="000307DF">
        <w:rPr>
          <w:rFonts w:eastAsia="Malgun Gothic"/>
        </w:rPr>
        <w:t xml:space="preserve"> held</w:t>
      </w:r>
      <w:r w:rsidR="004003A4" w:rsidRPr="00AF66A1">
        <w:rPr>
          <w:rFonts w:eastAsia="Malgun Gothic"/>
        </w:rPr>
        <w:t xml:space="preserve"> </w:t>
      </w:r>
      <w:r w:rsidR="00155FDA">
        <w:rPr>
          <w:rFonts w:eastAsia="Malgun Gothic"/>
        </w:rPr>
        <w:t xml:space="preserve">in a hybrid mode </w:t>
      </w:r>
      <w:r w:rsidR="004003A4" w:rsidRPr="00AF66A1">
        <w:rPr>
          <w:rFonts w:eastAsia="Malgun Gothic"/>
        </w:rPr>
        <w:t xml:space="preserve">on </w:t>
      </w:r>
      <w:r w:rsidR="00A875F0">
        <w:rPr>
          <w:rFonts w:eastAsia="Malgun Gothic"/>
        </w:rPr>
        <w:t>17, 18 and 21 March 2022</w:t>
      </w:r>
      <w:r w:rsidR="001374C2">
        <w:rPr>
          <w:rFonts w:eastAsia="Malgun Gothic"/>
        </w:rPr>
        <w:t>.</w:t>
      </w:r>
      <w:r w:rsidR="001374C2" w:rsidRPr="00A875F0">
        <w:rPr>
          <w:rFonts w:eastAsia="Malgun Gothic"/>
          <w:color w:val="000000" w:themeColor="text1"/>
        </w:rPr>
        <w:t xml:space="preserve"> It</w:t>
      </w:r>
      <w:r w:rsidR="004003A4" w:rsidRPr="00A875F0">
        <w:rPr>
          <w:rFonts w:eastAsia="Malgun Gothic"/>
          <w:color w:val="000000" w:themeColor="text1"/>
        </w:rPr>
        <w:t xml:space="preserve"> adopted the </w:t>
      </w:r>
      <w:r w:rsidR="00155FDA">
        <w:rPr>
          <w:rFonts w:eastAsia="Malgun Gothic"/>
          <w:color w:val="000000" w:themeColor="text1"/>
        </w:rPr>
        <w:t xml:space="preserve">present </w:t>
      </w:r>
      <w:r w:rsidR="004003A4" w:rsidRPr="00A875F0">
        <w:rPr>
          <w:rFonts w:eastAsia="Malgun Gothic"/>
          <w:color w:val="000000" w:themeColor="text1"/>
        </w:rPr>
        <w:t>concluding observations at its</w:t>
      </w:r>
      <w:r w:rsidR="00A875F0" w:rsidRPr="00A875F0">
        <w:rPr>
          <w:rFonts w:eastAsia="Malgun Gothic"/>
          <w:color w:val="000000" w:themeColor="text1"/>
        </w:rPr>
        <w:t xml:space="preserve"> </w:t>
      </w:r>
      <w:r w:rsidR="00A875F0" w:rsidRPr="001B3856">
        <w:rPr>
          <w:rFonts w:eastAsia="Malgun Gothic"/>
          <w:color w:val="000000" w:themeColor="text1"/>
        </w:rPr>
        <w:t>581</w:t>
      </w:r>
      <w:r w:rsidR="001B3856" w:rsidRPr="001B3856">
        <w:rPr>
          <w:rFonts w:eastAsia="Malgun Gothic"/>
          <w:color w:val="000000" w:themeColor="text1"/>
        </w:rPr>
        <w:t>st</w:t>
      </w:r>
      <w:r w:rsidR="004003A4" w:rsidRPr="00A875F0">
        <w:rPr>
          <w:rFonts w:eastAsia="Malgun Gothic"/>
          <w:color w:val="000000" w:themeColor="text1"/>
        </w:rPr>
        <w:t xml:space="preserve"> meeting, held </w:t>
      </w:r>
      <w:r w:rsidR="00155FDA">
        <w:rPr>
          <w:rFonts w:eastAsia="Malgun Gothic"/>
          <w:color w:val="000000" w:themeColor="text1"/>
        </w:rPr>
        <w:t xml:space="preserve">in a hybrid mode </w:t>
      </w:r>
      <w:r w:rsidR="004003A4" w:rsidRPr="00A875F0">
        <w:rPr>
          <w:rFonts w:eastAsia="Malgun Gothic"/>
          <w:color w:val="000000" w:themeColor="text1"/>
        </w:rPr>
        <w:t xml:space="preserve">on </w:t>
      </w:r>
      <w:r w:rsidR="00A875F0" w:rsidRPr="00A875F0">
        <w:rPr>
          <w:rFonts w:eastAsia="Malgun Gothic"/>
          <w:color w:val="000000" w:themeColor="text1"/>
        </w:rPr>
        <w:t>25 March 2022</w:t>
      </w:r>
      <w:r w:rsidR="004003A4" w:rsidRPr="00A875F0">
        <w:rPr>
          <w:rFonts w:eastAsia="Malgun Gothic"/>
          <w:color w:val="000000" w:themeColor="text1"/>
        </w:rPr>
        <w:t xml:space="preserve">. </w:t>
      </w:r>
    </w:p>
    <w:p w14:paraId="3C045BD9" w14:textId="1C5BD009" w:rsidR="00775976" w:rsidRDefault="00EC449C" w:rsidP="00BA0B27">
      <w:pPr>
        <w:pStyle w:val="SingleTxtG"/>
      </w:pPr>
      <w:r w:rsidRPr="00404879">
        <w:t>2.</w:t>
      </w:r>
      <w:r w:rsidRPr="00404879">
        <w:tab/>
      </w:r>
      <w:r w:rsidR="00775976" w:rsidRPr="00E46FD0">
        <w:t>The Committee welcomes the</w:t>
      </w:r>
      <w:r w:rsidR="00BA0B27" w:rsidRPr="00BA0B27">
        <w:t xml:space="preserve"> combined second and third periodic reports of Mexico</w:t>
      </w:r>
      <w:r w:rsidR="00BA0B27">
        <w:t>, which w</w:t>
      </w:r>
      <w:r w:rsidR="008C1AC0">
        <w:t>ere</w:t>
      </w:r>
      <w:r w:rsidR="00BA0B27">
        <w:t xml:space="preserve"> prepared in accordance with the Committee’s reporting guidelines, </w:t>
      </w:r>
      <w:r w:rsidR="00775976" w:rsidRPr="00E46FD0">
        <w:t xml:space="preserve">and </w:t>
      </w:r>
      <w:r w:rsidR="0068051B">
        <w:t>thanks</w:t>
      </w:r>
      <w:r w:rsidR="00775976" w:rsidRPr="00E46FD0">
        <w:t xml:space="preserve"> the State party for its written replies</w:t>
      </w:r>
      <w:r w:rsidR="008E0435">
        <w:rPr>
          <w:rStyle w:val="FootnoteReference"/>
        </w:rPr>
        <w:footnoteReference w:id="4"/>
      </w:r>
      <w:r w:rsidR="00775976" w:rsidRPr="00E46FD0">
        <w:t xml:space="preserve"> to the l</w:t>
      </w:r>
      <w:r w:rsidR="00775976">
        <w:t>ist of issues</w:t>
      </w:r>
      <w:r w:rsidR="00775976" w:rsidRPr="00AF59C4">
        <w:t>.</w:t>
      </w:r>
      <w:r w:rsidR="008E0435">
        <w:rPr>
          <w:rStyle w:val="FootnoteReference"/>
        </w:rPr>
        <w:footnoteReference w:id="5"/>
      </w:r>
      <w:r w:rsidR="00DD180E" w:rsidRPr="00DD180E">
        <w:rPr>
          <w:rFonts w:ascii="TimesNewRomanPSMT" w:hAnsi="TimesNewRomanPSMT" w:cs="TimesNewRomanPSMT"/>
          <w:sz w:val="39"/>
          <w:szCs w:val="39"/>
        </w:rPr>
        <w:t xml:space="preserve"> </w:t>
      </w:r>
    </w:p>
    <w:p w14:paraId="3580EB00" w14:textId="6BAA4F28" w:rsidR="001C736C" w:rsidRPr="00404879" w:rsidRDefault="00EC449C" w:rsidP="00155FDA">
      <w:pPr>
        <w:pStyle w:val="SingleTxtG"/>
      </w:pPr>
      <w:r w:rsidRPr="00404879">
        <w:t>3.</w:t>
      </w:r>
      <w:r w:rsidRPr="00404879">
        <w:tab/>
      </w:r>
      <w:r w:rsidR="00155FDA">
        <w:t>The Committee commends the State party for agree</w:t>
      </w:r>
      <w:r w:rsidR="009A1452">
        <w:t>ing</w:t>
      </w:r>
      <w:r w:rsidR="00155FDA">
        <w:t xml:space="preserve"> to hav</w:t>
      </w:r>
      <w:r w:rsidR="009A1452">
        <w:t>e</w:t>
      </w:r>
      <w:r w:rsidR="00155FDA">
        <w:t xml:space="preserve"> its </w:t>
      </w:r>
      <w:r w:rsidR="00C41183">
        <w:t xml:space="preserve">combined </w:t>
      </w:r>
      <w:r w:rsidR="004F1402">
        <w:t xml:space="preserve">second and third periodic </w:t>
      </w:r>
      <w:r w:rsidR="00155FDA">
        <w:t>report</w:t>
      </w:r>
      <w:r w:rsidR="00C41183">
        <w:t>s</w:t>
      </w:r>
      <w:r w:rsidR="00155FDA">
        <w:t xml:space="preserve"> reviewed </w:t>
      </w:r>
      <w:r w:rsidR="00155FDA" w:rsidRPr="00155FDA">
        <w:t xml:space="preserve">in a hybrid mode session, given the extraordinary circumstances due to the coronavirus disease (COVID-19) pandemic. </w:t>
      </w:r>
      <w:r w:rsidRPr="00404879">
        <w:t xml:space="preserve">The Committee appreciates the </w:t>
      </w:r>
      <w:r w:rsidR="00155FDA">
        <w:t xml:space="preserve">fruitful and sincere </w:t>
      </w:r>
      <w:r w:rsidRPr="00404879">
        <w:t>dialogue held with the large</w:t>
      </w:r>
      <w:r w:rsidR="003A2077">
        <w:t>,</w:t>
      </w:r>
      <w:r w:rsidRPr="00404879">
        <w:t xml:space="preserve"> high-level delegation, which included </w:t>
      </w:r>
      <w:r w:rsidRPr="00155FDA">
        <w:rPr>
          <w:iCs/>
        </w:rPr>
        <w:t>delegates from various ministries, entities and institutions</w:t>
      </w:r>
      <w:r w:rsidR="00C97E65">
        <w:rPr>
          <w:iCs/>
        </w:rPr>
        <w:t>, including judicial,</w:t>
      </w:r>
      <w:r w:rsidRPr="00155FDA">
        <w:t xml:space="preserve"> and</w:t>
      </w:r>
      <w:r w:rsidRPr="00404879">
        <w:t xml:space="preserve"> </w:t>
      </w:r>
      <w:r w:rsidR="00F34164">
        <w:t xml:space="preserve">which </w:t>
      </w:r>
      <w:r w:rsidRPr="00404879">
        <w:t xml:space="preserve">provided further clarifications to the questions posed orally by the Committee. </w:t>
      </w:r>
    </w:p>
    <w:p w14:paraId="41D4E0FE" w14:textId="77777777" w:rsidR="00EC449C" w:rsidRPr="00404879" w:rsidRDefault="00EC449C" w:rsidP="004C1EAE">
      <w:pPr>
        <w:pStyle w:val="HChG"/>
      </w:pPr>
      <w:r w:rsidRPr="00404879">
        <w:tab/>
        <w:t>II.</w:t>
      </w:r>
      <w:r w:rsidRPr="00404879">
        <w:tab/>
        <w:t>Positive aspects</w:t>
      </w:r>
      <w:r w:rsidRPr="00404879" w:rsidDel="00EA21D9">
        <w:t xml:space="preserve"> </w:t>
      </w:r>
    </w:p>
    <w:p w14:paraId="2A9C4E47" w14:textId="61A0CFEF" w:rsidR="00AF59C4" w:rsidRDefault="00875895" w:rsidP="00AF59C4">
      <w:pPr>
        <w:pStyle w:val="SingleTxtG"/>
      </w:pPr>
      <w:r>
        <w:t>4.</w:t>
      </w:r>
      <w:r>
        <w:tab/>
      </w:r>
      <w:r w:rsidR="00DD11B1" w:rsidRPr="00DD11B1">
        <w:t xml:space="preserve">The Committee notes with </w:t>
      </w:r>
      <w:r w:rsidR="001E1F5D">
        <w:t>appreciation</w:t>
      </w:r>
      <w:r w:rsidR="00DD11B1" w:rsidRPr="00DD11B1">
        <w:t xml:space="preserve"> the adoption of legislation and public policies in the State party and of protocols and guidelines for the purpose of promoting and protecting the rights of persons with disabilities</w:t>
      </w:r>
      <w:r w:rsidR="00CA084C">
        <w:t xml:space="preserve"> enshrined in the Convention</w:t>
      </w:r>
      <w:r w:rsidR="000307DF">
        <w:t xml:space="preserve">. </w:t>
      </w:r>
      <w:r w:rsidR="00DD11B1" w:rsidRPr="00DD11B1">
        <w:t>In particular, it takes note of</w:t>
      </w:r>
      <w:r w:rsidR="007E0099">
        <w:t xml:space="preserve"> the following</w:t>
      </w:r>
      <w:r w:rsidR="00DD11B1" w:rsidRPr="00DD11B1">
        <w:t>:</w:t>
      </w:r>
    </w:p>
    <w:p w14:paraId="0160F402" w14:textId="760D4B7E" w:rsidR="00AF59C4" w:rsidRDefault="00AF59C4" w:rsidP="00370305">
      <w:pPr>
        <w:pStyle w:val="SingleTxtG"/>
        <w:ind w:firstLine="567"/>
        <w:jc w:val="left"/>
      </w:pPr>
      <w:r>
        <w:t>(a)</w:t>
      </w:r>
      <w:r>
        <w:tab/>
      </w:r>
      <w:r w:rsidRPr="00C97E65">
        <w:t xml:space="preserve">The </w:t>
      </w:r>
      <w:r w:rsidR="0050069A">
        <w:t>c</w:t>
      </w:r>
      <w:r w:rsidRPr="00C97E65">
        <w:t xml:space="preserve">omprehensive </w:t>
      </w:r>
      <w:r w:rsidR="0050069A">
        <w:t>v</w:t>
      </w:r>
      <w:r w:rsidRPr="00C97E65">
        <w:t xml:space="preserve">ictim </w:t>
      </w:r>
      <w:r w:rsidR="0050069A">
        <w:t>s</w:t>
      </w:r>
      <w:r w:rsidRPr="00C97E65">
        <w:t xml:space="preserve">upport </w:t>
      </w:r>
      <w:r w:rsidR="0050069A">
        <w:t>p</w:t>
      </w:r>
      <w:r w:rsidRPr="00C97E65">
        <w:t>rogramme for 2020–2024</w:t>
      </w:r>
      <w:r>
        <w:t>;</w:t>
      </w:r>
    </w:p>
    <w:p w14:paraId="7A6B4C74" w14:textId="7639D5D3" w:rsidR="00AF59C4" w:rsidRDefault="00AF59C4" w:rsidP="00370305">
      <w:pPr>
        <w:pStyle w:val="SingleTxtG"/>
        <w:spacing w:line="240" w:lineRule="auto"/>
        <w:ind w:firstLine="567"/>
      </w:pPr>
      <w:r>
        <w:t>(b)</w:t>
      </w:r>
      <w:r>
        <w:tab/>
        <w:t xml:space="preserve">Adoption of the </w:t>
      </w:r>
      <w:r w:rsidR="002B4141">
        <w:t>c</w:t>
      </w:r>
      <w:r>
        <w:t xml:space="preserve">harter of </w:t>
      </w:r>
      <w:r w:rsidR="002B4141">
        <w:t>s</w:t>
      </w:r>
      <w:r>
        <w:t xml:space="preserve">exual and </w:t>
      </w:r>
      <w:r w:rsidR="002B4141">
        <w:t>r</w:t>
      </w:r>
      <w:r>
        <w:t xml:space="preserve">eproductive </w:t>
      </w:r>
      <w:r w:rsidR="002B4141">
        <w:t>r</w:t>
      </w:r>
      <w:r>
        <w:t xml:space="preserve">ights of </w:t>
      </w:r>
      <w:r w:rsidR="002B4141">
        <w:t>p</w:t>
      </w:r>
      <w:r>
        <w:t>ersons with</w:t>
      </w:r>
      <w:r w:rsidR="00370305">
        <w:t xml:space="preserve"> </w:t>
      </w:r>
      <w:r w:rsidR="002B4141">
        <w:t>d</w:t>
      </w:r>
      <w:r>
        <w:t>isabilities in 2018;</w:t>
      </w:r>
    </w:p>
    <w:p w14:paraId="2F62A6E6" w14:textId="363BD37B" w:rsidR="00DD11B1" w:rsidRDefault="00DD11B1" w:rsidP="00370305">
      <w:pPr>
        <w:pStyle w:val="SingleTxtG"/>
        <w:spacing w:line="240" w:lineRule="auto"/>
        <w:ind w:firstLine="567"/>
      </w:pPr>
      <w:r>
        <w:t>(</w:t>
      </w:r>
      <w:r w:rsidR="00C97E65">
        <w:t>c</w:t>
      </w:r>
      <w:r>
        <w:t>)</w:t>
      </w:r>
      <w:r>
        <w:tab/>
        <w:t xml:space="preserve">The </w:t>
      </w:r>
      <w:r w:rsidR="001F1CDB">
        <w:t>n</w:t>
      </w:r>
      <w:r>
        <w:t xml:space="preserve">ational </w:t>
      </w:r>
      <w:r w:rsidR="001F1CDB">
        <w:t>h</w:t>
      </w:r>
      <w:r>
        <w:t xml:space="preserve">uman </w:t>
      </w:r>
      <w:r w:rsidR="001F1CDB">
        <w:t>r</w:t>
      </w:r>
      <w:r>
        <w:t xml:space="preserve">ights </w:t>
      </w:r>
      <w:r w:rsidR="001F1CDB">
        <w:t>p</w:t>
      </w:r>
      <w:r>
        <w:t>rogramme</w:t>
      </w:r>
      <w:r w:rsidR="00256CE6">
        <w:t xml:space="preserve"> for</w:t>
      </w:r>
      <w:r>
        <w:t xml:space="preserve"> 2014–2018;</w:t>
      </w:r>
    </w:p>
    <w:p w14:paraId="76A99B45" w14:textId="4F50A5A7" w:rsidR="00DD11B1" w:rsidRDefault="00DD11B1" w:rsidP="00370305">
      <w:pPr>
        <w:pStyle w:val="SingleTxtG"/>
        <w:spacing w:line="240" w:lineRule="auto"/>
        <w:ind w:firstLine="567"/>
      </w:pPr>
      <w:r>
        <w:tab/>
        <w:t>(</w:t>
      </w:r>
      <w:r w:rsidR="00C97E65">
        <w:t>d</w:t>
      </w:r>
      <w:r>
        <w:t>)</w:t>
      </w:r>
      <w:r>
        <w:tab/>
        <w:t xml:space="preserve">The </w:t>
      </w:r>
      <w:r w:rsidR="002B4141">
        <w:t>n</w:t>
      </w:r>
      <w:r>
        <w:t xml:space="preserve">ational </w:t>
      </w:r>
      <w:r w:rsidR="002B4141">
        <w:t>p</w:t>
      </w:r>
      <w:r>
        <w:t xml:space="preserve">rogramme for the </w:t>
      </w:r>
      <w:r w:rsidR="002B4141">
        <w:t>a</w:t>
      </w:r>
      <w:r>
        <w:t xml:space="preserve">dvancement and </w:t>
      </w:r>
      <w:r w:rsidR="002B4141">
        <w:t>i</w:t>
      </w:r>
      <w:r>
        <w:t xml:space="preserve">nclusion of </w:t>
      </w:r>
      <w:r w:rsidR="002B4141">
        <w:t>p</w:t>
      </w:r>
      <w:r>
        <w:t xml:space="preserve">ersons with </w:t>
      </w:r>
      <w:r w:rsidR="002B4141">
        <w:t>d</w:t>
      </w:r>
      <w:r>
        <w:t>isabilities</w:t>
      </w:r>
      <w:r w:rsidR="00256CE6">
        <w:t xml:space="preserve"> for</w:t>
      </w:r>
      <w:r>
        <w:t xml:space="preserve"> 2014–2018;</w:t>
      </w:r>
    </w:p>
    <w:p w14:paraId="63B69E79" w14:textId="4CEF64F8" w:rsidR="00DD11B1" w:rsidRDefault="00DD11B1" w:rsidP="00370305">
      <w:pPr>
        <w:pStyle w:val="SingleTxtG"/>
        <w:spacing w:line="240" w:lineRule="auto"/>
        <w:ind w:firstLine="567"/>
      </w:pPr>
      <w:r>
        <w:tab/>
        <w:t>(</w:t>
      </w:r>
      <w:r w:rsidR="00C97E65">
        <w:t>e</w:t>
      </w:r>
      <w:r>
        <w:t>)</w:t>
      </w:r>
      <w:r>
        <w:tab/>
        <w:t xml:space="preserve">The </w:t>
      </w:r>
      <w:r w:rsidR="002B4141">
        <w:t>n</w:t>
      </w:r>
      <w:r>
        <w:t xml:space="preserve">ational </w:t>
      </w:r>
      <w:r w:rsidR="002B4141">
        <w:t>p</w:t>
      </w:r>
      <w:r>
        <w:t xml:space="preserve">rogramme of </w:t>
      </w:r>
      <w:r w:rsidR="002B4141">
        <w:t>w</w:t>
      </w:r>
      <w:r>
        <w:t xml:space="preserve">ork and </w:t>
      </w:r>
      <w:r w:rsidR="002B4141">
        <w:t>e</w:t>
      </w:r>
      <w:r>
        <w:t xml:space="preserve">mployment for </w:t>
      </w:r>
      <w:r w:rsidR="002B4141">
        <w:t>p</w:t>
      </w:r>
      <w:r>
        <w:t xml:space="preserve">ersons with </w:t>
      </w:r>
      <w:r w:rsidR="002B4141">
        <w:t>d</w:t>
      </w:r>
      <w:r>
        <w:t>isabilities</w:t>
      </w:r>
      <w:r w:rsidR="00256CE6">
        <w:t xml:space="preserve"> for</w:t>
      </w:r>
      <w:r>
        <w:t xml:space="preserve"> 2014–2018;</w:t>
      </w:r>
    </w:p>
    <w:p w14:paraId="6FEA8443" w14:textId="505236D7" w:rsidR="00DD11B1" w:rsidRDefault="00DD11B1" w:rsidP="00370305">
      <w:pPr>
        <w:pStyle w:val="SingleTxtG"/>
        <w:spacing w:line="240" w:lineRule="auto"/>
        <w:ind w:firstLine="567"/>
      </w:pPr>
      <w:r>
        <w:lastRenderedPageBreak/>
        <w:tab/>
        <w:t>(</w:t>
      </w:r>
      <w:r w:rsidR="00C97E65">
        <w:t>f</w:t>
      </w:r>
      <w:r>
        <w:t>)</w:t>
      </w:r>
      <w:r>
        <w:tab/>
        <w:t xml:space="preserve">The </w:t>
      </w:r>
      <w:r w:rsidR="002B4141">
        <w:t>n</w:t>
      </w:r>
      <w:r>
        <w:t xml:space="preserve">ational </w:t>
      </w:r>
      <w:r w:rsidR="002B4141">
        <w:t>p</w:t>
      </w:r>
      <w:r>
        <w:t xml:space="preserve">rogramme for </w:t>
      </w:r>
      <w:r w:rsidR="002B4141">
        <w:t>e</w:t>
      </w:r>
      <w:r>
        <w:t xml:space="preserve">quality and </w:t>
      </w:r>
      <w:r w:rsidR="002B4141">
        <w:t>n</w:t>
      </w:r>
      <w:r>
        <w:t>on-</w:t>
      </w:r>
      <w:r w:rsidR="002B4141">
        <w:t>d</w:t>
      </w:r>
      <w:r>
        <w:t>iscrimination</w:t>
      </w:r>
      <w:r w:rsidR="00256CE6">
        <w:t xml:space="preserve"> for</w:t>
      </w:r>
      <w:r>
        <w:t xml:space="preserve"> 2014–2018;</w:t>
      </w:r>
    </w:p>
    <w:p w14:paraId="12E0E54B" w14:textId="22D25F70" w:rsidR="00DD11B1" w:rsidRDefault="00DD11B1" w:rsidP="00370305">
      <w:pPr>
        <w:pStyle w:val="SingleTxtG"/>
        <w:spacing w:line="240" w:lineRule="auto"/>
        <w:ind w:firstLine="567"/>
      </w:pPr>
      <w:r>
        <w:tab/>
        <w:t>(</w:t>
      </w:r>
      <w:r w:rsidR="00C97E65">
        <w:t>g</w:t>
      </w:r>
      <w:r>
        <w:t>)</w:t>
      </w:r>
      <w:r>
        <w:tab/>
        <w:t xml:space="preserve">The </w:t>
      </w:r>
      <w:r w:rsidR="002B4141">
        <w:t>c</w:t>
      </w:r>
      <w:r>
        <w:t xml:space="preserve">omprehensive </w:t>
      </w:r>
      <w:r w:rsidR="002B4141">
        <w:t>p</w:t>
      </w:r>
      <w:r>
        <w:t xml:space="preserve">rogramme to </w:t>
      </w:r>
      <w:r w:rsidR="002B4141">
        <w:t>p</w:t>
      </w:r>
      <w:r>
        <w:t xml:space="preserve">revent, </w:t>
      </w:r>
      <w:r w:rsidR="002B4141">
        <w:t>a</w:t>
      </w:r>
      <w:r>
        <w:t xml:space="preserve">ddress, </w:t>
      </w:r>
      <w:r w:rsidR="002B4141">
        <w:t>p</w:t>
      </w:r>
      <w:r>
        <w:t xml:space="preserve">unish and </w:t>
      </w:r>
      <w:r w:rsidR="002B4141">
        <w:t>e</w:t>
      </w:r>
      <w:r>
        <w:t xml:space="preserve">liminate </w:t>
      </w:r>
      <w:r w:rsidR="002B4141">
        <w:t>v</w:t>
      </w:r>
      <w:r>
        <w:t xml:space="preserve">iolence against </w:t>
      </w:r>
      <w:r w:rsidR="002B4141">
        <w:t>w</w:t>
      </w:r>
      <w:r>
        <w:t xml:space="preserve">omen </w:t>
      </w:r>
      <w:r w:rsidR="00256CE6">
        <w:t xml:space="preserve">for </w:t>
      </w:r>
      <w:r>
        <w:t>2014–2018;</w:t>
      </w:r>
    </w:p>
    <w:p w14:paraId="58C937E6" w14:textId="1D21263D" w:rsidR="00DD11B1" w:rsidRDefault="00DD11B1" w:rsidP="00370305">
      <w:pPr>
        <w:pStyle w:val="SingleTxtG"/>
        <w:spacing w:line="240" w:lineRule="auto"/>
        <w:ind w:firstLine="567"/>
      </w:pPr>
      <w:r>
        <w:tab/>
        <w:t>(</w:t>
      </w:r>
      <w:r w:rsidR="00C97E65">
        <w:t>h</w:t>
      </w:r>
      <w:r>
        <w:t>)</w:t>
      </w:r>
      <w:r>
        <w:tab/>
        <w:t xml:space="preserve">The </w:t>
      </w:r>
      <w:r w:rsidR="002B4141">
        <w:t>p</w:t>
      </w:r>
      <w:r>
        <w:t xml:space="preserve">rogramme for the </w:t>
      </w:r>
      <w:r w:rsidR="002B4141">
        <w:t>p</w:t>
      </w:r>
      <w:r>
        <w:t xml:space="preserve">rotection, </w:t>
      </w:r>
      <w:r w:rsidR="002B4141">
        <w:t>r</w:t>
      </w:r>
      <w:r>
        <w:t xml:space="preserve">ehabilitation and </w:t>
      </w:r>
      <w:r w:rsidR="002B4141">
        <w:t>s</w:t>
      </w:r>
      <w:r>
        <w:t xml:space="preserve">ocial </w:t>
      </w:r>
      <w:r w:rsidR="002B4141">
        <w:t>i</w:t>
      </w:r>
      <w:r>
        <w:t xml:space="preserve">nclusion of </w:t>
      </w:r>
      <w:r w:rsidR="002B4141">
        <w:t>p</w:t>
      </w:r>
      <w:r>
        <w:t xml:space="preserve">ersons with </w:t>
      </w:r>
      <w:r w:rsidR="002B4141">
        <w:t>d</w:t>
      </w:r>
      <w:r>
        <w:t>isabilities;</w:t>
      </w:r>
    </w:p>
    <w:p w14:paraId="3A726199" w14:textId="5DEE2D5B" w:rsidR="00DD11B1" w:rsidRDefault="00DD11B1" w:rsidP="00370305">
      <w:pPr>
        <w:pStyle w:val="SingleTxtG"/>
        <w:spacing w:line="240" w:lineRule="auto"/>
        <w:ind w:firstLine="567"/>
      </w:pPr>
      <w:r>
        <w:tab/>
        <w:t>(</w:t>
      </w:r>
      <w:r w:rsidR="00C97E65">
        <w:t>i</w:t>
      </w:r>
      <w:r>
        <w:t>)</w:t>
      </w:r>
      <w:r>
        <w:tab/>
        <w:t xml:space="preserve">The </w:t>
      </w:r>
      <w:r w:rsidR="002B4141">
        <w:t>s</w:t>
      </w:r>
      <w:r>
        <w:t xml:space="preserve">pecial </w:t>
      </w:r>
      <w:r w:rsidR="002B4141">
        <w:t>m</w:t>
      </w:r>
      <w:r>
        <w:t xml:space="preserve">igration </w:t>
      </w:r>
      <w:r w:rsidR="002B4141">
        <w:t>p</w:t>
      </w:r>
      <w:r>
        <w:t xml:space="preserve">rogramme </w:t>
      </w:r>
      <w:r w:rsidR="00E50E4C">
        <w:t xml:space="preserve">for </w:t>
      </w:r>
      <w:r>
        <w:t xml:space="preserve">2014–2018; </w:t>
      </w:r>
    </w:p>
    <w:p w14:paraId="0E2296D1" w14:textId="009F5DEB" w:rsidR="00DD11B1" w:rsidRDefault="00DD11B1" w:rsidP="00370305">
      <w:pPr>
        <w:pStyle w:val="SingleTxtG"/>
        <w:spacing w:line="240" w:lineRule="auto"/>
        <w:ind w:firstLine="567"/>
      </w:pPr>
      <w:r>
        <w:tab/>
        <w:t>(</w:t>
      </w:r>
      <w:r w:rsidR="00C97E65">
        <w:t>j</w:t>
      </w:r>
      <w:r>
        <w:t>)</w:t>
      </w:r>
      <w:r>
        <w:tab/>
        <w:t xml:space="preserve">The </w:t>
      </w:r>
      <w:r w:rsidR="002B4141">
        <w:t>p</w:t>
      </w:r>
      <w:r>
        <w:t xml:space="preserve">rotocol for the </w:t>
      </w:r>
      <w:r w:rsidR="002B4141">
        <w:t>a</w:t>
      </w:r>
      <w:r>
        <w:t xml:space="preserve">dministration of </w:t>
      </w:r>
      <w:r w:rsidR="002B4141">
        <w:t>j</w:t>
      </w:r>
      <w:r>
        <w:t>ustice in cases involving persons with disabilities</w:t>
      </w:r>
      <w:r w:rsidR="00B17044">
        <w:t>;</w:t>
      </w:r>
    </w:p>
    <w:p w14:paraId="47775893" w14:textId="1D2CADAD" w:rsidR="00DD11B1" w:rsidRPr="00E46FD0" w:rsidRDefault="00DD11B1" w:rsidP="00370305">
      <w:pPr>
        <w:pStyle w:val="SingleTxtG"/>
        <w:spacing w:line="240" w:lineRule="auto"/>
        <w:ind w:firstLine="567"/>
      </w:pPr>
      <w:r w:rsidRPr="00E46FD0">
        <w:tab/>
        <w:t>(</w:t>
      </w:r>
      <w:r w:rsidR="00C97E65">
        <w:t>k</w:t>
      </w:r>
      <w:r w:rsidRPr="00E46FD0">
        <w:t>)</w:t>
      </w:r>
      <w:r w:rsidRPr="00E46FD0">
        <w:tab/>
        <w:t>The reform of the Federal Act on the Prevention and Elimination of Discrimination (2014);</w:t>
      </w:r>
      <w:r w:rsidR="00C97E65">
        <w:t xml:space="preserve"> </w:t>
      </w:r>
    </w:p>
    <w:p w14:paraId="6383CB8E" w14:textId="71262D69" w:rsidR="00EC449C" w:rsidRDefault="00DD11B1" w:rsidP="00370305">
      <w:pPr>
        <w:pStyle w:val="SingleTxtG"/>
        <w:spacing w:line="240" w:lineRule="auto"/>
        <w:ind w:firstLine="567"/>
      </w:pPr>
      <w:r w:rsidRPr="00E46FD0">
        <w:tab/>
        <w:t>(</w:t>
      </w:r>
      <w:r w:rsidR="00FE6F60">
        <w:t>l</w:t>
      </w:r>
      <w:r w:rsidRPr="00E46FD0">
        <w:t>)</w:t>
      </w:r>
      <w:r w:rsidRPr="00E46FD0">
        <w:tab/>
        <w:t>The Federal Telecommunications and Broadcasting Act (2014)</w:t>
      </w:r>
      <w:r w:rsidR="00C97E65">
        <w:t>.</w:t>
      </w:r>
    </w:p>
    <w:p w14:paraId="6BD3C67E" w14:textId="77777777" w:rsidR="00EC449C" w:rsidRPr="00404879" w:rsidRDefault="00EC449C" w:rsidP="004C1EAE">
      <w:pPr>
        <w:pStyle w:val="HChG"/>
      </w:pPr>
      <w:r w:rsidRPr="00404879">
        <w:tab/>
        <w:t>III.</w:t>
      </w:r>
      <w:r w:rsidRPr="00404879">
        <w:tab/>
        <w:t>Principal areas of concern and recommendations</w:t>
      </w:r>
    </w:p>
    <w:p w14:paraId="51C05F4E" w14:textId="52CA14AF" w:rsidR="001A0B5E" w:rsidRDefault="00EC449C" w:rsidP="00E63D30">
      <w:pPr>
        <w:pStyle w:val="H1G"/>
      </w:pPr>
      <w:r w:rsidRPr="00404879">
        <w:tab/>
        <w:t>A.</w:t>
      </w:r>
      <w:r w:rsidRPr="00404879">
        <w:tab/>
        <w:t>General principles and obligations (arts. 1–4)</w:t>
      </w:r>
    </w:p>
    <w:p w14:paraId="2DC76432" w14:textId="2EC03D02" w:rsidR="0075397D" w:rsidRDefault="00E95C19" w:rsidP="0075397D">
      <w:pPr>
        <w:pStyle w:val="SingleTxtG"/>
        <w:rPr>
          <w:b/>
          <w:bCs/>
        </w:rPr>
      </w:pPr>
      <w:r>
        <w:t>5</w:t>
      </w:r>
      <w:r w:rsidR="0075397D">
        <w:t>.</w:t>
      </w:r>
      <w:r w:rsidR="0075397D">
        <w:tab/>
        <w:t xml:space="preserve">The Committee is concerned about insufficient budgetary allocations to measures implementing the Convention on the </w:t>
      </w:r>
      <w:r w:rsidR="00B27C26">
        <w:t>f</w:t>
      </w:r>
      <w:r w:rsidR="0075397D">
        <w:t xml:space="preserve">ederal, </w:t>
      </w:r>
      <w:r w:rsidR="00F577D7">
        <w:t>s</w:t>
      </w:r>
      <w:r w:rsidR="0075397D">
        <w:t xml:space="preserve">tate and </w:t>
      </w:r>
      <w:r w:rsidR="00B27C26">
        <w:t>m</w:t>
      </w:r>
      <w:r w:rsidR="0075397D">
        <w:t>unicipal levels.</w:t>
      </w:r>
    </w:p>
    <w:p w14:paraId="555B8EB5" w14:textId="0413C70E" w:rsidR="0075397D" w:rsidRDefault="00E95C19" w:rsidP="0075397D">
      <w:pPr>
        <w:pStyle w:val="SingleTxtG"/>
        <w:rPr>
          <w:b/>
          <w:bCs/>
        </w:rPr>
      </w:pPr>
      <w:r w:rsidRPr="0047472A">
        <w:rPr>
          <w:bCs/>
        </w:rPr>
        <w:t>6</w:t>
      </w:r>
      <w:r w:rsidR="0075397D" w:rsidRPr="0047472A">
        <w:rPr>
          <w:bCs/>
        </w:rPr>
        <w:t>.</w:t>
      </w:r>
      <w:r w:rsidR="0075397D" w:rsidRPr="00370305">
        <w:rPr>
          <w:b/>
          <w:bCs/>
        </w:rPr>
        <w:tab/>
        <w:t>The</w:t>
      </w:r>
      <w:r w:rsidR="0075397D">
        <w:rPr>
          <w:b/>
          <w:bCs/>
        </w:rPr>
        <w:t xml:space="preserve"> Committee recommends </w:t>
      </w:r>
      <w:r w:rsidR="00B27C26">
        <w:rPr>
          <w:b/>
          <w:bCs/>
        </w:rPr>
        <w:t>that the State party</w:t>
      </w:r>
      <w:r w:rsidR="005C1FBB">
        <w:rPr>
          <w:b/>
          <w:bCs/>
        </w:rPr>
        <w:t xml:space="preserve"> </w:t>
      </w:r>
      <w:r w:rsidR="0075397D">
        <w:rPr>
          <w:b/>
          <w:bCs/>
        </w:rPr>
        <w:t xml:space="preserve">allocate sufficient resources to implement the Convention effectively </w:t>
      </w:r>
      <w:r w:rsidR="00B27C26">
        <w:rPr>
          <w:b/>
          <w:bCs/>
        </w:rPr>
        <w:t>at</w:t>
      </w:r>
      <w:r w:rsidR="0075397D">
        <w:rPr>
          <w:b/>
          <w:bCs/>
        </w:rPr>
        <w:t xml:space="preserve"> all levels o</w:t>
      </w:r>
      <w:r w:rsidR="0075397D" w:rsidRPr="000307DF">
        <w:rPr>
          <w:b/>
          <w:bCs/>
        </w:rPr>
        <w:t>f government.</w:t>
      </w:r>
    </w:p>
    <w:p w14:paraId="347E869A" w14:textId="548F4523" w:rsidR="0075397D" w:rsidRDefault="00E95C19" w:rsidP="0075397D">
      <w:pPr>
        <w:pStyle w:val="SingleTxtG"/>
      </w:pPr>
      <w:r>
        <w:t>7</w:t>
      </w:r>
      <w:r w:rsidR="0075397D" w:rsidRPr="00E46FD0">
        <w:t>.</w:t>
      </w:r>
      <w:r w:rsidR="0075397D" w:rsidRPr="00E46FD0">
        <w:tab/>
      </w:r>
      <w:r w:rsidR="0075397D">
        <w:t>The Committee is concerned about the absence of a national plan on the implementation of the Convention.</w:t>
      </w:r>
    </w:p>
    <w:p w14:paraId="74FE9B68" w14:textId="237C2DFD" w:rsidR="0075397D" w:rsidRDefault="00E95C19" w:rsidP="0075397D">
      <w:pPr>
        <w:pStyle w:val="SingleTxtG"/>
        <w:rPr>
          <w:b/>
        </w:rPr>
      </w:pPr>
      <w:r w:rsidRPr="0047472A">
        <w:t>8</w:t>
      </w:r>
      <w:r w:rsidR="0075397D" w:rsidRPr="0047472A">
        <w:t>.</w:t>
      </w:r>
      <w:r w:rsidR="0075397D" w:rsidRPr="00370305">
        <w:rPr>
          <w:b/>
        </w:rPr>
        <w:tab/>
        <w:t>The</w:t>
      </w:r>
      <w:r w:rsidR="0075397D" w:rsidRPr="00821873">
        <w:rPr>
          <w:b/>
        </w:rPr>
        <w:t xml:space="preserve"> Committee recommends </w:t>
      </w:r>
      <w:r w:rsidR="00F577D7">
        <w:rPr>
          <w:b/>
        </w:rPr>
        <w:t>that the State party</w:t>
      </w:r>
      <w:r w:rsidR="0075397D" w:rsidRPr="00821873">
        <w:rPr>
          <w:b/>
        </w:rPr>
        <w:t xml:space="preserve"> issue a comprehensive national plan on the implementation of the Convention on the </w:t>
      </w:r>
      <w:r w:rsidR="00F90A7C">
        <w:rPr>
          <w:b/>
        </w:rPr>
        <w:t>f</w:t>
      </w:r>
      <w:r w:rsidR="0075397D" w:rsidRPr="00821873">
        <w:rPr>
          <w:b/>
        </w:rPr>
        <w:t xml:space="preserve">ederal and </w:t>
      </w:r>
      <w:r w:rsidR="00F90A7C">
        <w:rPr>
          <w:b/>
        </w:rPr>
        <w:t>s</w:t>
      </w:r>
      <w:r w:rsidR="0075397D" w:rsidRPr="00821873">
        <w:rPr>
          <w:b/>
        </w:rPr>
        <w:t>tate level</w:t>
      </w:r>
      <w:r w:rsidR="003D0BD3">
        <w:rPr>
          <w:b/>
        </w:rPr>
        <w:t>s</w:t>
      </w:r>
      <w:r w:rsidR="001506AC">
        <w:rPr>
          <w:b/>
        </w:rPr>
        <w:t xml:space="preserve"> that includes</w:t>
      </w:r>
      <w:r w:rsidR="001506AC" w:rsidRPr="00821873">
        <w:rPr>
          <w:b/>
        </w:rPr>
        <w:t xml:space="preserve"> the mechanisms required to implement it</w:t>
      </w:r>
      <w:r w:rsidR="0075397D" w:rsidRPr="00821873">
        <w:rPr>
          <w:b/>
        </w:rPr>
        <w:t>,</w:t>
      </w:r>
      <w:r w:rsidR="0075397D">
        <w:rPr>
          <w:b/>
        </w:rPr>
        <w:t xml:space="preserve"> with a particular focus on indigenous persons with disabilities</w:t>
      </w:r>
      <w:r w:rsidR="0075397D" w:rsidRPr="00821873">
        <w:rPr>
          <w:b/>
        </w:rPr>
        <w:t>.</w:t>
      </w:r>
    </w:p>
    <w:p w14:paraId="669CE056" w14:textId="6DFD13E8" w:rsidR="0075397D" w:rsidRPr="007E6D15" w:rsidRDefault="00E95C19" w:rsidP="0075397D">
      <w:pPr>
        <w:pStyle w:val="SingleTxtG"/>
      </w:pPr>
      <w:r>
        <w:t>9</w:t>
      </w:r>
      <w:r w:rsidR="0075397D">
        <w:t>.</w:t>
      </w:r>
      <w:r w:rsidR="0075397D">
        <w:tab/>
        <w:t>With reference to its</w:t>
      </w:r>
      <w:r w:rsidR="00B35065">
        <w:t xml:space="preserve"> previous</w:t>
      </w:r>
      <w:r w:rsidR="0075397D">
        <w:t xml:space="preserve"> </w:t>
      </w:r>
      <w:r w:rsidR="00F90A7C">
        <w:t>c</w:t>
      </w:r>
      <w:r w:rsidR="0075397D">
        <w:t xml:space="preserve">oncluding </w:t>
      </w:r>
      <w:r w:rsidR="00F90A7C">
        <w:t>o</w:t>
      </w:r>
      <w:r w:rsidR="0075397D">
        <w:t>bservations,</w:t>
      </w:r>
      <w:r w:rsidR="00B35065">
        <w:rPr>
          <w:rStyle w:val="FootnoteReference"/>
        </w:rPr>
        <w:footnoteReference w:id="6"/>
      </w:r>
      <w:r w:rsidR="0075397D">
        <w:t xml:space="preserve"> t</w:t>
      </w:r>
      <w:r w:rsidR="0075397D" w:rsidRPr="00E46FD0">
        <w:t xml:space="preserve">he Committee is concerned that the legislation </w:t>
      </w:r>
      <w:r w:rsidR="0075397D">
        <w:t>on the state level still contains serious gaps in its protection of the rights of persons with disabilities and contains</w:t>
      </w:r>
      <w:r w:rsidR="0075397D" w:rsidRPr="00E46FD0">
        <w:t xml:space="preserve"> </w:t>
      </w:r>
      <w:r w:rsidR="0075397D" w:rsidRPr="007E6D15">
        <w:t xml:space="preserve">pejorative language </w:t>
      </w:r>
      <w:r w:rsidR="0075397D">
        <w:t>with</w:t>
      </w:r>
      <w:r w:rsidR="0075397D" w:rsidRPr="007E6D15">
        <w:t xml:space="preserve"> reference to persons with disabilities.</w:t>
      </w:r>
    </w:p>
    <w:p w14:paraId="4C1A412D" w14:textId="0ECEA2E7" w:rsidR="00CD0E6B" w:rsidRPr="005552E3" w:rsidRDefault="00E95C19" w:rsidP="005552E3">
      <w:pPr>
        <w:pStyle w:val="SingleTxtG"/>
        <w:rPr>
          <w:b/>
          <w:bCs/>
        </w:rPr>
      </w:pPr>
      <w:r w:rsidRPr="0047472A">
        <w:rPr>
          <w:bCs/>
        </w:rPr>
        <w:t>10</w:t>
      </w:r>
      <w:r w:rsidR="0075397D" w:rsidRPr="0047472A">
        <w:rPr>
          <w:bCs/>
        </w:rPr>
        <w:t>.</w:t>
      </w:r>
      <w:r w:rsidR="0075397D" w:rsidRPr="00370305">
        <w:rPr>
          <w:b/>
        </w:rPr>
        <w:tab/>
      </w:r>
      <w:r w:rsidR="0075397D" w:rsidRPr="00370305">
        <w:rPr>
          <w:b/>
          <w:bCs/>
        </w:rPr>
        <w:t>The</w:t>
      </w:r>
      <w:r w:rsidR="0075397D" w:rsidRPr="007E6D15">
        <w:rPr>
          <w:b/>
          <w:bCs/>
        </w:rPr>
        <w:t xml:space="preserve"> Committee recommends that the State party harmonize its laws</w:t>
      </w:r>
      <w:r w:rsidR="0075397D">
        <w:rPr>
          <w:b/>
          <w:bCs/>
        </w:rPr>
        <w:t>, and particularly the laws of the states,</w:t>
      </w:r>
      <w:r w:rsidR="0075397D" w:rsidRPr="007E6D15">
        <w:rPr>
          <w:b/>
          <w:bCs/>
        </w:rPr>
        <w:t xml:space="preserve"> with th</w:t>
      </w:r>
      <w:r w:rsidR="0075397D">
        <w:rPr>
          <w:b/>
          <w:bCs/>
        </w:rPr>
        <w:t>e Convention in order to protect the rights of all persons with disabilities and eliminate</w:t>
      </w:r>
      <w:r w:rsidR="0075397D" w:rsidRPr="007E6D15">
        <w:rPr>
          <w:b/>
          <w:bCs/>
        </w:rPr>
        <w:t xml:space="preserve"> pejorative terminology relating to persons with disabilities.</w:t>
      </w:r>
    </w:p>
    <w:p w14:paraId="18DE96B6" w14:textId="381CB0F5" w:rsidR="0075397D" w:rsidRDefault="00E95C19" w:rsidP="0075397D">
      <w:pPr>
        <w:pStyle w:val="SingleTxtG"/>
      </w:pPr>
      <w:r>
        <w:t>11</w:t>
      </w:r>
      <w:r w:rsidR="0075397D" w:rsidRPr="007E6D15">
        <w:t>.</w:t>
      </w:r>
      <w:r w:rsidR="0075397D" w:rsidRPr="007E6D15">
        <w:tab/>
      </w:r>
      <w:r w:rsidR="0075397D">
        <w:t xml:space="preserve">The Committee is concerned about the prevalence of a welfare </w:t>
      </w:r>
      <w:r w:rsidR="00896FCC">
        <w:t xml:space="preserve">and medical </w:t>
      </w:r>
      <w:r w:rsidR="0075397D">
        <w:t>model of disability.</w:t>
      </w:r>
    </w:p>
    <w:p w14:paraId="2E4875F2" w14:textId="44D617E3" w:rsidR="0075397D" w:rsidRDefault="00E95C19" w:rsidP="0075397D">
      <w:pPr>
        <w:pStyle w:val="SingleTxtG"/>
        <w:rPr>
          <w:b/>
          <w:bCs/>
        </w:rPr>
      </w:pPr>
      <w:r w:rsidRPr="0047472A">
        <w:rPr>
          <w:bCs/>
        </w:rPr>
        <w:t>12</w:t>
      </w:r>
      <w:r w:rsidR="0075397D" w:rsidRPr="0047472A">
        <w:rPr>
          <w:bCs/>
        </w:rPr>
        <w:t>.</w:t>
      </w:r>
      <w:r w:rsidR="0075397D" w:rsidRPr="00370305">
        <w:rPr>
          <w:b/>
        </w:rPr>
        <w:tab/>
      </w:r>
      <w:r w:rsidR="0075397D" w:rsidRPr="007E6D15">
        <w:rPr>
          <w:b/>
          <w:bCs/>
        </w:rPr>
        <w:t xml:space="preserve">The Committee recommends that the State party </w:t>
      </w:r>
      <w:r w:rsidR="00291F0C">
        <w:rPr>
          <w:b/>
          <w:bCs/>
        </w:rPr>
        <w:t xml:space="preserve">abandon the welfare </w:t>
      </w:r>
      <w:r w:rsidR="00896FCC">
        <w:rPr>
          <w:b/>
          <w:bCs/>
        </w:rPr>
        <w:t xml:space="preserve">and medical model </w:t>
      </w:r>
      <w:r w:rsidR="0075397D">
        <w:rPr>
          <w:b/>
          <w:bCs/>
        </w:rPr>
        <w:t xml:space="preserve">of disability and replace it with </w:t>
      </w:r>
      <w:r w:rsidR="00B828AB">
        <w:rPr>
          <w:b/>
          <w:bCs/>
        </w:rPr>
        <w:t>the</w:t>
      </w:r>
      <w:r w:rsidR="0075397D">
        <w:rPr>
          <w:b/>
          <w:bCs/>
        </w:rPr>
        <w:t xml:space="preserve"> human rights </w:t>
      </w:r>
      <w:r w:rsidR="00B828AB">
        <w:rPr>
          <w:b/>
          <w:bCs/>
        </w:rPr>
        <w:t>model</w:t>
      </w:r>
      <w:r w:rsidR="0075397D" w:rsidRPr="007E6D15">
        <w:rPr>
          <w:b/>
          <w:bCs/>
        </w:rPr>
        <w:t>.</w:t>
      </w:r>
    </w:p>
    <w:p w14:paraId="44BF6D1C" w14:textId="2CE9FE3B" w:rsidR="0075397D" w:rsidRDefault="00E95C19" w:rsidP="0075397D">
      <w:pPr>
        <w:pStyle w:val="SingleTxtG"/>
      </w:pPr>
      <w:r>
        <w:t>1</w:t>
      </w:r>
      <w:r w:rsidR="0006696E">
        <w:t>3</w:t>
      </w:r>
      <w:r w:rsidR="0075397D" w:rsidRPr="007E6D15">
        <w:t>.</w:t>
      </w:r>
      <w:r w:rsidR="0075397D" w:rsidRPr="007E6D15">
        <w:tab/>
        <w:t>The Committee is concerned</w:t>
      </w:r>
      <w:r w:rsidR="0075397D">
        <w:t xml:space="preserve"> about a serious decline in the availability of mechanisms for consultations with persons with disabilities through their representative organizations</w:t>
      </w:r>
      <w:r w:rsidR="001A0B5E" w:rsidRPr="001A0B5E">
        <w:rPr>
          <w:rFonts w:cstheme="minorHAnsi"/>
          <w:color w:val="000000"/>
          <w:lang w:val="en-US"/>
        </w:rPr>
        <w:t xml:space="preserve"> </w:t>
      </w:r>
      <w:r w:rsidR="001A0B5E" w:rsidRPr="004F0521">
        <w:rPr>
          <w:rFonts w:cstheme="minorHAnsi"/>
          <w:color w:val="000000"/>
          <w:lang w:val="en-US"/>
        </w:rPr>
        <w:t>concerning the design and implementation of laws and policies affecting them</w:t>
      </w:r>
      <w:r w:rsidR="0075397D">
        <w:t xml:space="preserve">. </w:t>
      </w:r>
    </w:p>
    <w:p w14:paraId="72D7F4BF" w14:textId="4840FE26" w:rsidR="003F1533" w:rsidRDefault="0075397D" w:rsidP="00245F9E">
      <w:pPr>
        <w:pStyle w:val="SingleTxtG"/>
        <w:rPr>
          <w:b/>
          <w:bCs/>
        </w:rPr>
      </w:pPr>
      <w:r w:rsidRPr="0047472A">
        <w:rPr>
          <w:bCs/>
        </w:rPr>
        <w:t>1</w:t>
      </w:r>
      <w:r w:rsidR="0006696E" w:rsidRPr="0047472A">
        <w:rPr>
          <w:bCs/>
        </w:rPr>
        <w:t>4</w:t>
      </w:r>
      <w:r w:rsidRPr="0047472A">
        <w:rPr>
          <w:bCs/>
        </w:rPr>
        <w:t>.</w:t>
      </w:r>
      <w:r w:rsidRPr="00370305">
        <w:rPr>
          <w:b/>
          <w:bCs/>
        </w:rPr>
        <w:tab/>
      </w:r>
      <w:r w:rsidRPr="000307DF">
        <w:rPr>
          <w:b/>
          <w:bCs/>
        </w:rPr>
        <w:t>The Committee recommends</w:t>
      </w:r>
      <w:r w:rsidR="003F1533">
        <w:rPr>
          <w:b/>
          <w:bCs/>
        </w:rPr>
        <w:t xml:space="preserve"> that the State party, in line with the Committee’s general comment No. 7 (2018)</w:t>
      </w:r>
      <w:r w:rsidR="00C37404">
        <w:rPr>
          <w:b/>
          <w:bCs/>
        </w:rPr>
        <w:t>,</w:t>
      </w:r>
      <w:r w:rsidR="003F1533">
        <w:rPr>
          <w:b/>
          <w:bCs/>
        </w:rPr>
        <w:t xml:space="preserve"> </w:t>
      </w:r>
      <w:r w:rsidR="00245F9E">
        <w:rPr>
          <w:b/>
          <w:bCs/>
        </w:rPr>
        <w:t>e</w:t>
      </w:r>
      <w:r w:rsidR="00245F9E" w:rsidRPr="00245F9E">
        <w:rPr>
          <w:b/>
          <w:bCs/>
        </w:rPr>
        <w:t xml:space="preserve">nsure that organizations of persons with disabilities, including of women </w:t>
      </w:r>
      <w:r w:rsidR="00E821E7">
        <w:rPr>
          <w:b/>
          <w:bCs/>
        </w:rPr>
        <w:t xml:space="preserve">and girls </w:t>
      </w:r>
      <w:r w:rsidR="00245F9E" w:rsidRPr="00245F9E">
        <w:rPr>
          <w:b/>
          <w:bCs/>
        </w:rPr>
        <w:t>with disabilities, are consulted and involved in decision-making processes at all levels of government and in all public policy areas</w:t>
      </w:r>
      <w:r w:rsidR="00245F9E">
        <w:rPr>
          <w:b/>
          <w:bCs/>
        </w:rPr>
        <w:t xml:space="preserve"> relating to them.</w:t>
      </w:r>
      <w:r w:rsidR="00245F9E" w:rsidRPr="00245F9E">
        <w:rPr>
          <w:b/>
          <w:bCs/>
        </w:rPr>
        <w:t xml:space="preserve"> </w:t>
      </w:r>
    </w:p>
    <w:p w14:paraId="39803E22" w14:textId="77777777" w:rsidR="00EC449C" w:rsidRPr="00404879" w:rsidRDefault="00EC449C" w:rsidP="005336C1">
      <w:pPr>
        <w:pStyle w:val="H1G"/>
      </w:pPr>
      <w:r w:rsidRPr="00404879">
        <w:lastRenderedPageBreak/>
        <w:tab/>
        <w:t>B.</w:t>
      </w:r>
      <w:r w:rsidRPr="00404879">
        <w:tab/>
        <w:t>Specific rights (arts. 5–30)</w:t>
      </w:r>
    </w:p>
    <w:p w14:paraId="26669608" w14:textId="5B809959" w:rsidR="00027EBD" w:rsidRDefault="004B4BAE" w:rsidP="00C81900">
      <w:pPr>
        <w:pStyle w:val="H23G"/>
      </w:pPr>
      <w:r>
        <w:tab/>
      </w:r>
      <w:r>
        <w:tab/>
        <w:t>Equality and non-discrimination (art. 5)</w:t>
      </w:r>
    </w:p>
    <w:p w14:paraId="4B065CBC" w14:textId="6E951086" w:rsidR="00027EBD" w:rsidRPr="00027EBD" w:rsidRDefault="00C81900" w:rsidP="00027EBD">
      <w:pPr>
        <w:spacing w:after="120"/>
        <w:ind w:left="1134" w:right="1134"/>
        <w:jc w:val="both"/>
        <w:rPr>
          <w:lang w:eastAsia="zh-CN"/>
        </w:rPr>
      </w:pPr>
      <w:r>
        <w:rPr>
          <w:lang w:eastAsia="zh-CN"/>
        </w:rPr>
        <w:t>1</w:t>
      </w:r>
      <w:r w:rsidR="0006696E">
        <w:rPr>
          <w:lang w:eastAsia="zh-CN"/>
        </w:rPr>
        <w:t>5</w:t>
      </w:r>
      <w:r w:rsidR="00027EBD" w:rsidRPr="00027EBD">
        <w:rPr>
          <w:lang w:eastAsia="zh-CN"/>
        </w:rPr>
        <w:t>.</w:t>
      </w:r>
      <w:r w:rsidR="00027EBD" w:rsidRPr="00027EBD">
        <w:rPr>
          <w:lang w:eastAsia="zh-CN"/>
        </w:rPr>
        <w:tab/>
        <w:t xml:space="preserve">The Committee is concerned that </w:t>
      </w:r>
      <w:r w:rsidR="00E55E3D">
        <w:rPr>
          <w:lang w:eastAsia="zh-CN"/>
        </w:rPr>
        <w:t xml:space="preserve">the federal government and </w:t>
      </w:r>
      <w:r w:rsidR="00027EBD" w:rsidRPr="00027EBD">
        <w:rPr>
          <w:lang w:eastAsia="zh-CN"/>
        </w:rPr>
        <w:t>some states and municipalities have not adopted laws prohibiting discrimination of persons with disabilities</w:t>
      </w:r>
      <w:r w:rsidR="007F4453">
        <w:rPr>
          <w:lang w:eastAsia="zh-CN"/>
        </w:rPr>
        <w:t>, in particular women and girls with disabilities and other persons</w:t>
      </w:r>
      <w:r w:rsidR="00371AA4">
        <w:rPr>
          <w:lang w:eastAsia="zh-CN"/>
        </w:rPr>
        <w:t xml:space="preserve"> facing multiple and intersecting fo</w:t>
      </w:r>
      <w:r w:rsidR="00CA084C">
        <w:rPr>
          <w:lang w:eastAsia="zh-CN"/>
        </w:rPr>
        <w:t>r</w:t>
      </w:r>
      <w:r w:rsidR="00371AA4">
        <w:rPr>
          <w:lang w:eastAsia="zh-CN"/>
        </w:rPr>
        <w:t>ms of discrimination</w:t>
      </w:r>
      <w:r w:rsidR="00ED03E8">
        <w:rPr>
          <w:lang w:eastAsia="zh-CN"/>
        </w:rPr>
        <w:t>;</w:t>
      </w:r>
      <w:r w:rsidR="00027EBD" w:rsidRPr="00027EBD">
        <w:rPr>
          <w:lang w:eastAsia="zh-CN"/>
        </w:rPr>
        <w:t xml:space="preserve"> that many laws in force do not recognize a denial of reasonable accommodation as a form of discrimination</w:t>
      </w:r>
      <w:r w:rsidR="00ED03E8">
        <w:rPr>
          <w:lang w:eastAsia="zh-CN"/>
        </w:rPr>
        <w:t>;</w:t>
      </w:r>
      <w:r w:rsidR="00027EBD" w:rsidRPr="00027EBD">
        <w:rPr>
          <w:lang w:eastAsia="zh-CN"/>
        </w:rPr>
        <w:t xml:space="preserve"> and that reparation and compensation are not available as remedies against discrimination in all areas of the Convention.</w:t>
      </w:r>
    </w:p>
    <w:p w14:paraId="6EAF2094" w14:textId="30E0C52F" w:rsidR="007F4453" w:rsidRPr="007F4453" w:rsidRDefault="007F4453" w:rsidP="007F4453">
      <w:pPr>
        <w:spacing w:after="120"/>
        <w:ind w:left="1134" w:right="1134"/>
        <w:jc w:val="both"/>
        <w:rPr>
          <w:b/>
          <w:bCs/>
          <w:lang w:eastAsia="zh-CN"/>
        </w:rPr>
      </w:pPr>
      <w:r w:rsidRPr="0047472A">
        <w:rPr>
          <w:bCs/>
          <w:lang w:eastAsia="zh-CN"/>
        </w:rPr>
        <w:t>1</w:t>
      </w:r>
      <w:r w:rsidR="0006696E" w:rsidRPr="0047472A">
        <w:rPr>
          <w:bCs/>
          <w:lang w:eastAsia="zh-CN"/>
        </w:rPr>
        <w:t>6</w:t>
      </w:r>
      <w:r w:rsidRPr="0047472A">
        <w:rPr>
          <w:bCs/>
          <w:lang w:eastAsia="zh-CN"/>
        </w:rPr>
        <w:t>.</w:t>
      </w:r>
      <w:r w:rsidRPr="00370305">
        <w:rPr>
          <w:b/>
          <w:lang w:eastAsia="zh-CN"/>
        </w:rPr>
        <w:tab/>
      </w:r>
      <w:r w:rsidRPr="007F4453">
        <w:rPr>
          <w:b/>
          <w:bCs/>
          <w:lang w:eastAsia="zh-CN"/>
        </w:rPr>
        <w:t>The Committee, in line with its general comment No. 6 (2018) on equality and non-discrimination, and</w:t>
      </w:r>
      <w:r w:rsidR="004164D9">
        <w:rPr>
          <w:b/>
          <w:bCs/>
          <w:lang w:eastAsia="zh-CN"/>
        </w:rPr>
        <w:t xml:space="preserve"> taking into account</w:t>
      </w:r>
      <w:r w:rsidRPr="007F4453">
        <w:rPr>
          <w:b/>
          <w:bCs/>
          <w:lang w:eastAsia="zh-CN"/>
        </w:rPr>
        <w:t xml:space="preserve"> targets 10.2 and 10.3 of the Sustainable Development Goals, recommends that the State party:</w:t>
      </w:r>
    </w:p>
    <w:p w14:paraId="33F68A35" w14:textId="653F739E" w:rsidR="008F083F" w:rsidRDefault="008F083F" w:rsidP="00370305">
      <w:pPr>
        <w:pStyle w:val="SingleTxtG"/>
        <w:ind w:firstLine="567"/>
        <w:jc w:val="left"/>
      </w:pPr>
      <w:r w:rsidRPr="00370305">
        <w:rPr>
          <w:b/>
        </w:rPr>
        <w:t>(a)</w:t>
      </w:r>
      <w:r w:rsidRPr="00370305">
        <w:rPr>
          <w:b/>
        </w:rPr>
        <w:tab/>
      </w:r>
      <w:r w:rsidRPr="00370305">
        <w:rPr>
          <w:b/>
          <w:bCs/>
        </w:rPr>
        <w:t>Adopt laws in all States that explicitly prohibit multiple and intersectional d</w:t>
      </w:r>
      <w:r w:rsidRPr="007F4453">
        <w:rPr>
          <w:b/>
          <w:bCs/>
        </w:rPr>
        <w:t xml:space="preserve">iscrimination </w:t>
      </w:r>
      <w:r>
        <w:rPr>
          <w:b/>
          <w:bCs/>
        </w:rPr>
        <w:t>of</w:t>
      </w:r>
      <w:r w:rsidRPr="007F4453">
        <w:rPr>
          <w:b/>
          <w:bCs/>
        </w:rPr>
        <w:t xml:space="preserve"> persons with disabilities</w:t>
      </w:r>
      <w:r>
        <w:rPr>
          <w:b/>
          <w:bCs/>
        </w:rPr>
        <w:t>;</w:t>
      </w:r>
    </w:p>
    <w:p w14:paraId="4D2C0F4A" w14:textId="44149D2D" w:rsidR="008F083F" w:rsidRPr="00370305" w:rsidRDefault="008F083F" w:rsidP="00370305">
      <w:pPr>
        <w:pStyle w:val="SingleTxtG"/>
        <w:ind w:firstLine="567"/>
        <w:jc w:val="left"/>
        <w:rPr>
          <w:b/>
        </w:rPr>
      </w:pPr>
      <w:r w:rsidRPr="00370305">
        <w:rPr>
          <w:b/>
        </w:rPr>
        <w:t>(b)</w:t>
      </w:r>
      <w:r w:rsidRPr="00370305">
        <w:rPr>
          <w:b/>
        </w:rPr>
        <w:tab/>
      </w:r>
      <w:r w:rsidRPr="00370305">
        <w:rPr>
          <w:b/>
          <w:bCs/>
        </w:rPr>
        <w:t>Recognize a denial of reasonable accommodation as a form of discrimination within all areas of life;</w:t>
      </w:r>
    </w:p>
    <w:p w14:paraId="34BED1DB" w14:textId="0FEB5556" w:rsidR="008F083F" w:rsidRPr="008F083F" w:rsidRDefault="008F083F" w:rsidP="00370305">
      <w:pPr>
        <w:pStyle w:val="SingleTxtG"/>
        <w:ind w:firstLine="567"/>
        <w:jc w:val="left"/>
      </w:pPr>
      <w:r w:rsidRPr="00370305">
        <w:rPr>
          <w:b/>
        </w:rPr>
        <w:t>(c)</w:t>
      </w:r>
      <w:r w:rsidRPr="00370305">
        <w:rPr>
          <w:b/>
        </w:rPr>
        <w:tab/>
      </w:r>
      <w:r w:rsidRPr="00370305">
        <w:rPr>
          <w:b/>
          <w:bCs/>
        </w:rPr>
        <w:t>Provide, inter alia, effective legal remedies and redress against discrimination in all areas of the Convention, including compensation in cases of disability-based</w:t>
      </w:r>
      <w:r w:rsidRPr="007F4453">
        <w:rPr>
          <w:b/>
          <w:bCs/>
        </w:rPr>
        <w:t xml:space="preserve"> discrimination and the denial of reasonable accommodation, taking account of the gender dimension of discrimination against women with disabilities</w:t>
      </w:r>
      <w:r>
        <w:rPr>
          <w:b/>
          <w:bCs/>
        </w:rPr>
        <w:t>.</w:t>
      </w:r>
    </w:p>
    <w:p w14:paraId="69A7ABE5" w14:textId="77777777" w:rsidR="00EC449C" w:rsidRPr="00404879" w:rsidRDefault="00EC449C" w:rsidP="008F083F">
      <w:pPr>
        <w:pStyle w:val="H23G"/>
        <w:ind w:left="0" w:firstLine="0"/>
      </w:pPr>
      <w:r w:rsidRPr="00404879">
        <w:tab/>
      </w:r>
      <w:r w:rsidRPr="00404879">
        <w:tab/>
        <w:t>Women with disabilities (art. 6)</w:t>
      </w:r>
    </w:p>
    <w:p w14:paraId="7B942592" w14:textId="0D5846E4" w:rsidR="00272CD7" w:rsidRPr="00027EBD" w:rsidRDefault="00272CD7" w:rsidP="00272CD7">
      <w:pPr>
        <w:spacing w:after="120"/>
        <w:ind w:left="1134" w:right="1134"/>
        <w:jc w:val="both"/>
        <w:rPr>
          <w:lang w:eastAsia="zh-CN"/>
        </w:rPr>
      </w:pPr>
      <w:r w:rsidRPr="00027EBD">
        <w:rPr>
          <w:lang w:eastAsia="zh-CN"/>
        </w:rPr>
        <w:t>1</w:t>
      </w:r>
      <w:r w:rsidR="0006696E">
        <w:rPr>
          <w:lang w:eastAsia="zh-CN"/>
        </w:rPr>
        <w:t>7</w:t>
      </w:r>
      <w:r w:rsidRPr="00027EBD">
        <w:rPr>
          <w:lang w:eastAsia="zh-CN"/>
        </w:rPr>
        <w:t>.</w:t>
      </w:r>
      <w:r w:rsidRPr="00027EBD">
        <w:rPr>
          <w:lang w:eastAsia="zh-CN"/>
        </w:rPr>
        <w:tab/>
        <w:t xml:space="preserve">The Committee is concerned about the lack of specific measures </w:t>
      </w:r>
      <w:r w:rsidR="0079606B">
        <w:rPr>
          <w:lang w:eastAsia="zh-CN"/>
        </w:rPr>
        <w:t xml:space="preserve">to </w:t>
      </w:r>
      <w:r w:rsidR="00141F8C">
        <w:rPr>
          <w:lang w:eastAsia="zh-CN"/>
        </w:rPr>
        <w:t>empower women and girls with disabilities</w:t>
      </w:r>
      <w:r w:rsidR="00325504">
        <w:rPr>
          <w:lang w:eastAsia="zh-CN"/>
        </w:rPr>
        <w:t>, in particular indigenous women and girls with disabilities,</w:t>
      </w:r>
      <w:r w:rsidR="00141F8C">
        <w:rPr>
          <w:lang w:eastAsia="zh-CN"/>
        </w:rPr>
        <w:t xml:space="preserve"> and to </w:t>
      </w:r>
      <w:r w:rsidR="0079606B">
        <w:rPr>
          <w:lang w:eastAsia="zh-CN"/>
        </w:rPr>
        <w:t>ensure</w:t>
      </w:r>
      <w:r w:rsidR="00D11A06">
        <w:rPr>
          <w:lang w:eastAsia="zh-CN"/>
        </w:rPr>
        <w:t xml:space="preserve"> that all human rights and fundamental freedoms of women and girls with disabilities are fully and equally protected </w:t>
      </w:r>
      <w:r w:rsidRPr="00027EBD">
        <w:rPr>
          <w:lang w:eastAsia="zh-CN"/>
        </w:rPr>
        <w:t>by the State party.</w:t>
      </w:r>
      <w:r w:rsidR="00141F8C">
        <w:rPr>
          <w:lang w:eastAsia="zh-CN"/>
        </w:rPr>
        <w:t xml:space="preserve"> </w:t>
      </w:r>
    </w:p>
    <w:p w14:paraId="7D72438D" w14:textId="22483AD6" w:rsidR="00272CD7" w:rsidRDefault="0006696E" w:rsidP="00272CD7">
      <w:pPr>
        <w:pStyle w:val="SingleTxtG"/>
        <w:rPr>
          <w:b/>
          <w:bCs/>
        </w:rPr>
      </w:pPr>
      <w:r w:rsidRPr="0047472A">
        <w:rPr>
          <w:bCs/>
        </w:rPr>
        <w:t>18</w:t>
      </w:r>
      <w:r w:rsidR="00272CD7" w:rsidRPr="0047472A">
        <w:rPr>
          <w:bCs/>
        </w:rPr>
        <w:t>.</w:t>
      </w:r>
      <w:r w:rsidR="00272CD7" w:rsidRPr="00370305">
        <w:rPr>
          <w:b/>
        </w:rPr>
        <w:tab/>
      </w:r>
      <w:r w:rsidR="00272CD7" w:rsidRPr="00370305">
        <w:rPr>
          <w:b/>
          <w:bCs/>
        </w:rPr>
        <w:t>The</w:t>
      </w:r>
      <w:r w:rsidR="00272CD7" w:rsidRPr="00B476F7">
        <w:rPr>
          <w:b/>
          <w:bCs/>
        </w:rPr>
        <w:t xml:space="preserve"> Committee</w:t>
      </w:r>
      <w:r w:rsidR="00272CD7">
        <w:rPr>
          <w:b/>
          <w:bCs/>
        </w:rPr>
        <w:t xml:space="preserve"> </w:t>
      </w:r>
      <w:r w:rsidR="00ED1116">
        <w:rPr>
          <w:b/>
          <w:bCs/>
        </w:rPr>
        <w:t xml:space="preserve">recommends that the State party take note of the Committee’s general comment No. </w:t>
      </w:r>
      <w:r w:rsidR="00ED1116" w:rsidRPr="00F65E2D">
        <w:rPr>
          <w:b/>
          <w:bCs/>
        </w:rPr>
        <w:t xml:space="preserve">3 (2016) on women and girls with disabilities in its implementation of </w:t>
      </w:r>
      <w:r w:rsidR="00F05E81">
        <w:rPr>
          <w:b/>
          <w:bCs/>
        </w:rPr>
        <w:t xml:space="preserve">efforts aimed at achieving </w:t>
      </w:r>
      <w:r w:rsidR="00ED1116" w:rsidRPr="00F65E2D">
        <w:rPr>
          <w:b/>
          <w:bCs/>
        </w:rPr>
        <w:t>Sustainable Development Goal 5,</w:t>
      </w:r>
      <w:r w:rsidR="00141F8C">
        <w:rPr>
          <w:b/>
          <w:bCs/>
        </w:rPr>
        <w:t xml:space="preserve"> </w:t>
      </w:r>
      <w:r w:rsidR="00711DC3">
        <w:rPr>
          <w:b/>
          <w:bCs/>
        </w:rPr>
        <w:t xml:space="preserve">and </w:t>
      </w:r>
      <w:r w:rsidR="00141F8C">
        <w:rPr>
          <w:b/>
          <w:bCs/>
        </w:rPr>
        <w:t>that it take measures to empower women and girls with disabilities,</w:t>
      </w:r>
      <w:r w:rsidR="00325504">
        <w:rPr>
          <w:b/>
          <w:bCs/>
        </w:rPr>
        <w:t xml:space="preserve"> in particular indigenous women and girls with disabilities</w:t>
      </w:r>
      <w:r w:rsidR="00711DC3">
        <w:rPr>
          <w:b/>
          <w:bCs/>
        </w:rPr>
        <w:t>.</w:t>
      </w:r>
      <w:r w:rsidR="00ED1116" w:rsidRPr="00F65E2D">
        <w:rPr>
          <w:b/>
          <w:bCs/>
        </w:rPr>
        <w:t xml:space="preserve"> </w:t>
      </w:r>
      <w:r w:rsidR="0011090C">
        <w:rPr>
          <w:b/>
          <w:bCs/>
        </w:rPr>
        <w:t>In addition, the Committee</w:t>
      </w:r>
      <w:r w:rsidR="00BF0833">
        <w:rPr>
          <w:b/>
          <w:bCs/>
        </w:rPr>
        <w:t xml:space="preserve">, with reference to </w:t>
      </w:r>
      <w:r w:rsidR="0054549D">
        <w:rPr>
          <w:b/>
          <w:bCs/>
        </w:rPr>
        <w:t xml:space="preserve">recommendations made in </w:t>
      </w:r>
      <w:r w:rsidR="00BF0833">
        <w:rPr>
          <w:b/>
          <w:bCs/>
        </w:rPr>
        <w:t>paragraph 14 (a) of its previous concluding observations</w:t>
      </w:r>
      <w:r w:rsidR="00272CD7" w:rsidRPr="00F65E2D">
        <w:rPr>
          <w:b/>
          <w:bCs/>
        </w:rPr>
        <w:t xml:space="preserve">, </w:t>
      </w:r>
      <w:r w:rsidR="00B945A7">
        <w:rPr>
          <w:b/>
          <w:bCs/>
        </w:rPr>
        <w:t>recommend</w:t>
      </w:r>
      <w:r w:rsidR="00694533">
        <w:rPr>
          <w:b/>
          <w:bCs/>
        </w:rPr>
        <w:t>s</w:t>
      </w:r>
      <w:r w:rsidR="00B945A7">
        <w:rPr>
          <w:b/>
          <w:bCs/>
        </w:rPr>
        <w:t xml:space="preserve"> </w:t>
      </w:r>
      <w:r w:rsidR="00272CD7" w:rsidRPr="00F65E2D">
        <w:rPr>
          <w:b/>
          <w:bCs/>
        </w:rPr>
        <w:t>that the State party put into effect the legislation and all of the program</w:t>
      </w:r>
      <w:r w:rsidR="00BF1FA2">
        <w:rPr>
          <w:b/>
          <w:bCs/>
        </w:rPr>
        <w:t>me</w:t>
      </w:r>
      <w:r w:rsidR="00272CD7" w:rsidRPr="00F65E2D">
        <w:rPr>
          <w:b/>
          <w:bCs/>
        </w:rPr>
        <w:t xml:space="preserve">s and actions targeting women and girls with disabilities, including </w:t>
      </w:r>
      <w:r w:rsidR="00F64369" w:rsidRPr="00F65E2D">
        <w:rPr>
          <w:b/>
          <w:bCs/>
        </w:rPr>
        <w:t>support measures</w:t>
      </w:r>
      <w:r w:rsidR="00272CD7" w:rsidRPr="00F65E2D">
        <w:rPr>
          <w:b/>
          <w:bCs/>
        </w:rPr>
        <w:t xml:space="preserve">, to </w:t>
      </w:r>
      <w:r w:rsidR="00ED1116" w:rsidRPr="00F65E2D">
        <w:rPr>
          <w:b/>
          <w:bCs/>
        </w:rPr>
        <w:t>prevent</w:t>
      </w:r>
      <w:r w:rsidR="00272CD7" w:rsidRPr="00F65E2D">
        <w:rPr>
          <w:b/>
          <w:bCs/>
        </w:rPr>
        <w:t xml:space="preserve"> </w:t>
      </w:r>
      <w:r w:rsidR="00A80BFD" w:rsidRPr="00F65E2D">
        <w:rPr>
          <w:b/>
          <w:bCs/>
        </w:rPr>
        <w:t xml:space="preserve">multiple and intersecting </w:t>
      </w:r>
      <w:r w:rsidR="00272CD7" w:rsidRPr="00F65E2D">
        <w:rPr>
          <w:b/>
          <w:bCs/>
        </w:rPr>
        <w:t>discrimination</w:t>
      </w:r>
      <w:r w:rsidR="00FA5132" w:rsidRPr="00F65E2D">
        <w:rPr>
          <w:b/>
          <w:bCs/>
        </w:rPr>
        <w:t xml:space="preserve"> against women and girls with disabilities</w:t>
      </w:r>
      <w:r w:rsidR="00272CD7" w:rsidRPr="00F65E2D">
        <w:rPr>
          <w:b/>
          <w:bCs/>
        </w:rPr>
        <w:t xml:space="preserve"> in all aspects of life, in both urban and rural areas, and to ensure their effective participation in the design and</w:t>
      </w:r>
      <w:r w:rsidR="00272CD7" w:rsidRPr="00B476F7">
        <w:rPr>
          <w:b/>
          <w:bCs/>
        </w:rPr>
        <w:t xml:space="preserve"> implementation of these measures</w:t>
      </w:r>
      <w:r w:rsidR="00272CD7">
        <w:rPr>
          <w:b/>
          <w:bCs/>
        </w:rPr>
        <w:t>.</w:t>
      </w:r>
    </w:p>
    <w:p w14:paraId="23967F9F" w14:textId="4805E814" w:rsidR="00272CD7" w:rsidRDefault="00C81900" w:rsidP="00272CD7">
      <w:pPr>
        <w:pStyle w:val="SingleTxtG"/>
        <w:rPr>
          <w:bCs/>
        </w:rPr>
      </w:pPr>
      <w:r>
        <w:t>1</w:t>
      </w:r>
      <w:r w:rsidR="0006696E">
        <w:t>9</w:t>
      </w:r>
      <w:r w:rsidR="00272CD7">
        <w:t>.</w:t>
      </w:r>
      <w:r w:rsidR="00272CD7">
        <w:rPr>
          <w:b/>
          <w:bCs/>
        </w:rPr>
        <w:tab/>
      </w:r>
      <w:r w:rsidR="00272CD7">
        <w:rPr>
          <w:bCs/>
        </w:rPr>
        <w:t xml:space="preserve">The Committee is concerned that legislation on the </w:t>
      </w:r>
      <w:r w:rsidR="00567C2D">
        <w:rPr>
          <w:bCs/>
        </w:rPr>
        <w:t>f</w:t>
      </w:r>
      <w:r w:rsidR="00272CD7">
        <w:rPr>
          <w:bCs/>
        </w:rPr>
        <w:t xml:space="preserve">ederal </w:t>
      </w:r>
      <w:r w:rsidR="00E95B24">
        <w:rPr>
          <w:bCs/>
        </w:rPr>
        <w:t>and</w:t>
      </w:r>
      <w:r w:rsidR="00272CD7">
        <w:rPr>
          <w:bCs/>
        </w:rPr>
        <w:t xml:space="preserve"> </w:t>
      </w:r>
      <w:r w:rsidR="00567C2D">
        <w:rPr>
          <w:bCs/>
        </w:rPr>
        <w:t>s</w:t>
      </w:r>
      <w:r w:rsidR="00272CD7">
        <w:rPr>
          <w:bCs/>
        </w:rPr>
        <w:t>tate level</w:t>
      </w:r>
      <w:r w:rsidR="00E95B24">
        <w:rPr>
          <w:bCs/>
        </w:rPr>
        <w:t>s</w:t>
      </w:r>
      <w:r w:rsidR="00272CD7">
        <w:rPr>
          <w:bCs/>
        </w:rPr>
        <w:t xml:space="preserve"> does not provide protection from intersectional discrimination</w:t>
      </w:r>
      <w:r w:rsidR="00907908">
        <w:rPr>
          <w:bCs/>
        </w:rPr>
        <w:t xml:space="preserve"> faced by</w:t>
      </w:r>
      <w:r w:rsidR="00E55E3D">
        <w:rPr>
          <w:bCs/>
        </w:rPr>
        <w:t xml:space="preserve"> women and girls with disabilities in rural areas, including</w:t>
      </w:r>
      <w:r w:rsidR="00ED1116">
        <w:rPr>
          <w:bCs/>
        </w:rPr>
        <w:t xml:space="preserve"> indigenous women and girls</w:t>
      </w:r>
      <w:r w:rsidR="00E55E3D">
        <w:rPr>
          <w:bCs/>
        </w:rPr>
        <w:t xml:space="preserve"> with disabilities</w:t>
      </w:r>
      <w:r w:rsidR="00ED1116">
        <w:rPr>
          <w:bCs/>
        </w:rPr>
        <w:t xml:space="preserve">, </w:t>
      </w:r>
      <w:r w:rsidR="00E55E3D">
        <w:rPr>
          <w:bCs/>
        </w:rPr>
        <w:t xml:space="preserve">and by </w:t>
      </w:r>
      <w:r w:rsidR="00ED1116">
        <w:rPr>
          <w:bCs/>
        </w:rPr>
        <w:t>migrant and refugee</w:t>
      </w:r>
      <w:r w:rsidR="00E55E3D">
        <w:rPr>
          <w:bCs/>
        </w:rPr>
        <w:t xml:space="preserve"> persons with disabilities.</w:t>
      </w:r>
    </w:p>
    <w:p w14:paraId="4A1BDC6D" w14:textId="48F9F13E" w:rsidR="00272CD7" w:rsidRPr="00272CD7" w:rsidRDefault="00C81900" w:rsidP="00272CD7">
      <w:pPr>
        <w:pStyle w:val="SingleTxtG"/>
        <w:rPr>
          <w:b/>
          <w:bCs/>
        </w:rPr>
      </w:pPr>
      <w:r w:rsidRPr="0047472A">
        <w:rPr>
          <w:bCs/>
        </w:rPr>
        <w:t>2</w:t>
      </w:r>
      <w:r w:rsidR="0006696E" w:rsidRPr="0047472A">
        <w:rPr>
          <w:bCs/>
        </w:rPr>
        <w:t>0</w:t>
      </w:r>
      <w:r w:rsidR="00272CD7" w:rsidRPr="0047472A">
        <w:rPr>
          <w:bCs/>
        </w:rPr>
        <w:t>.</w:t>
      </w:r>
      <w:r w:rsidR="00272CD7" w:rsidRPr="00370305">
        <w:rPr>
          <w:b/>
        </w:rPr>
        <w:tab/>
      </w:r>
      <w:r w:rsidR="00272CD7" w:rsidRPr="00370305">
        <w:rPr>
          <w:b/>
          <w:bCs/>
        </w:rPr>
        <w:t>The</w:t>
      </w:r>
      <w:r w:rsidR="00272CD7" w:rsidRPr="00821873">
        <w:rPr>
          <w:b/>
          <w:bCs/>
        </w:rPr>
        <w:t xml:space="preserve"> Committee recommends that the State party</w:t>
      </w:r>
      <w:r w:rsidR="00272CD7">
        <w:rPr>
          <w:b/>
          <w:bCs/>
        </w:rPr>
        <w:t xml:space="preserve"> adopt and implement laws </w:t>
      </w:r>
      <w:r w:rsidR="00E95B24">
        <w:rPr>
          <w:b/>
          <w:bCs/>
        </w:rPr>
        <w:t>at</w:t>
      </w:r>
      <w:r w:rsidR="00272CD7">
        <w:rPr>
          <w:b/>
          <w:bCs/>
        </w:rPr>
        <w:t xml:space="preserve"> the </w:t>
      </w:r>
      <w:r w:rsidR="00567C2D">
        <w:rPr>
          <w:b/>
          <w:bCs/>
        </w:rPr>
        <w:t>f</w:t>
      </w:r>
      <w:r w:rsidR="00272CD7">
        <w:rPr>
          <w:b/>
          <w:bCs/>
        </w:rPr>
        <w:t xml:space="preserve">ederal </w:t>
      </w:r>
      <w:r w:rsidR="00E95B24">
        <w:rPr>
          <w:b/>
          <w:bCs/>
        </w:rPr>
        <w:t>and</w:t>
      </w:r>
      <w:r w:rsidR="00272CD7">
        <w:rPr>
          <w:b/>
          <w:bCs/>
        </w:rPr>
        <w:t xml:space="preserve"> </w:t>
      </w:r>
      <w:r w:rsidR="00567C2D">
        <w:rPr>
          <w:b/>
          <w:bCs/>
        </w:rPr>
        <w:t>s</w:t>
      </w:r>
      <w:r w:rsidR="00272CD7">
        <w:rPr>
          <w:b/>
          <w:bCs/>
        </w:rPr>
        <w:t>tate level</w:t>
      </w:r>
      <w:r w:rsidR="00E95B24">
        <w:rPr>
          <w:b/>
          <w:bCs/>
        </w:rPr>
        <w:t>s</w:t>
      </w:r>
      <w:r w:rsidR="00272CD7">
        <w:rPr>
          <w:b/>
          <w:bCs/>
        </w:rPr>
        <w:t xml:space="preserve"> </w:t>
      </w:r>
      <w:r w:rsidR="000A4013" w:rsidRPr="006528F2">
        <w:rPr>
          <w:b/>
          <w:bCs/>
        </w:rPr>
        <w:t>preventing multiple and intersectional forms of discrimination against women and girls</w:t>
      </w:r>
      <w:r w:rsidR="008A0A38">
        <w:rPr>
          <w:b/>
          <w:bCs/>
        </w:rPr>
        <w:t xml:space="preserve"> with disabilities</w:t>
      </w:r>
      <w:r w:rsidR="000A4013" w:rsidRPr="006528F2">
        <w:rPr>
          <w:b/>
          <w:bCs/>
        </w:rPr>
        <w:t>,</w:t>
      </w:r>
      <w:r w:rsidR="008A0A38">
        <w:rPr>
          <w:b/>
          <w:bCs/>
        </w:rPr>
        <w:t xml:space="preserve"> </w:t>
      </w:r>
      <w:r w:rsidR="000A4013" w:rsidRPr="006528F2">
        <w:rPr>
          <w:b/>
          <w:bCs/>
        </w:rPr>
        <w:t xml:space="preserve">and mainstream a gender </w:t>
      </w:r>
      <w:r w:rsidR="00F27CFA">
        <w:rPr>
          <w:b/>
          <w:bCs/>
        </w:rPr>
        <w:t xml:space="preserve">and age </w:t>
      </w:r>
      <w:r w:rsidR="000A4013" w:rsidRPr="006528F2">
        <w:rPr>
          <w:b/>
          <w:bCs/>
        </w:rPr>
        <w:t>perspective into its disability-related legislation and policies</w:t>
      </w:r>
      <w:r w:rsidR="005340AA">
        <w:rPr>
          <w:b/>
          <w:bCs/>
        </w:rPr>
        <w:t>.</w:t>
      </w:r>
    </w:p>
    <w:p w14:paraId="6517525A" w14:textId="2DE13436" w:rsidR="000A4013" w:rsidRPr="000A4013" w:rsidRDefault="00C81900" w:rsidP="000A4013">
      <w:pPr>
        <w:pStyle w:val="SingleTxtG"/>
        <w:rPr>
          <w:b/>
          <w:bCs/>
        </w:rPr>
      </w:pPr>
      <w:r>
        <w:t>2</w:t>
      </w:r>
      <w:r w:rsidR="0006696E">
        <w:t>1</w:t>
      </w:r>
      <w:r w:rsidR="000A4013" w:rsidRPr="00821873">
        <w:t>.</w:t>
      </w:r>
      <w:r w:rsidR="000A4013" w:rsidRPr="00821873">
        <w:tab/>
      </w:r>
      <w:r w:rsidR="000A4013">
        <w:t>The Committee notes with concern the lack of information, including disaggregated data, about the situation of women and girls with disabilities, and</w:t>
      </w:r>
      <w:r w:rsidR="00F64369">
        <w:t xml:space="preserve"> about</w:t>
      </w:r>
      <w:r w:rsidR="000A4013">
        <w:t xml:space="preserve"> the impact of legislation and public policies on their rights under the Convention</w:t>
      </w:r>
      <w:r w:rsidR="00F64369">
        <w:t>.</w:t>
      </w:r>
    </w:p>
    <w:p w14:paraId="39408185" w14:textId="205A1656" w:rsidR="0079606B" w:rsidRPr="000307DF" w:rsidRDefault="00C81900" w:rsidP="000307DF">
      <w:pPr>
        <w:pStyle w:val="SingleTxtG"/>
        <w:rPr>
          <w:b/>
          <w:bCs/>
        </w:rPr>
      </w:pPr>
      <w:r w:rsidRPr="0047472A">
        <w:rPr>
          <w:bCs/>
        </w:rPr>
        <w:t>2</w:t>
      </w:r>
      <w:r w:rsidR="0006696E" w:rsidRPr="0047472A">
        <w:rPr>
          <w:bCs/>
        </w:rPr>
        <w:t>2</w:t>
      </w:r>
      <w:r w:rsidR="000A4013" w:rsidRPr="0047472A">
        <w:rPr>
          <w:bCs/>
        </w:rPr>
        <w:t>.</w:t>
      </w:r>
      <w:r w:rsidR="000A4013" w:rsidRPr="00370305">
        <w:rPr>
          <w:b/>
          <w:bCs/>
        </w:rPr>
        <w:tab/>
      </w:r>
      <w:r w:rsidR="00EF550B" w:rsidRPr="00370305">
        <w:rPr>
          <w:b/>
          <w:bCs/>
        </w:rPr>
        <w:t>The</w:t>
      </w:r>
      <w:r w:rsidR="00EF550B">
        <w:rPr>
          <w:b/>
          <w:bCs/>
        </w:rPr>
        <w:t xml:space="preserve"> Committee recommends </w:t>
      </w:r>
      <w:r w:rsidR="008A0A38">
        <w:rPr>
          <w:b/>
          <w:bCs/>
        </w:rPr>
        <w:t xml:space="preserve">that </w:t>
      </w:r>
      <w:r w:rsidR="00EF550B">
        <w:rPr>
          <w:b/>
          <w:bCs/>
        </w:rPr>
        <w:t>the State party e</w:t>
      </w:r>
      <w:r w:rsidR="000A4013" w:rsidRPr="000A4013">
        <w:rPr>
          <w:b/>
          <w:bCs/>
        </w:rPr>
        <w:t>nsure that data-collection systems and impact assessments of legislation and policies include indicators and disaggregated data</w:t>
      </w:r>
      <w:r w:rsidR="00EF550B">
        <w:rPr>
          <w:b/>
          <w:bCs/>
        </w:rPr>
        <w:t xml:space="preserve"> on the situation of women and girls with disabilities.</w:t>
      </w:r>
    </w:p>
    <w:p w14:paraId="3E8E8E1B" w14:textId="2AF82944" w:rsidR="00272CD7" w:rsidRDefault="00EC449C" w:rsidP="00332DF7">
      <w:pPr>
        <w:pStyle w:val="H23G"/>
        <w:ind w:left="0" w:firstLine="0"/>
      </w:pPr>
      <w:r w:rsidRPr="00404879">
        <w:lastRenderedPageBreak/>
        <w:tab/>
      </w:r>
      <w:r w:rsidRPr="00404879">
        <w:tab/>
        <w:t>Children with disabilities (art. 7)</w:t>
      </w:r>
    </w:p>
    <w:p w14:paraId="78AA3BE2" w14:textId="15D6044F" w:rsidR="00F27CFA" w:rsidRDefault="00C81900" w:rsidP="00423681">
      <w:pPr>
        <w:pStyle w:val="SingleTxtG"/>
        <w:spacing w:line="240" w:lineRule="auto"/>
      </w:pPr>
      <w:bookmarkStart w:id="0" w:name="_Hlk97665963"/>
      <w:r>
        <w:t>2</w:t>
      </w:r>
      <w:r w:rsidR="0006696E">
        <w:t>3</w:t>
      </w:r>
      <w:r w:rsidR="00272CD7" w:rsidRPr="00B476F7">
        <w:t>.</w:t>
      </w:r>
      <w:r w:rsidR="00272CD7" w:rsidRPr="00B476F7">
        <w:tab/>
        <w:t xml:space="preserve">The Committee is concerned </w:t>
      </w:r>
      <w:r w:rsidR="00272CD7">
        <w:t>about</w:t>
      </w:r>
      <w:r w:rsidR="00F27CFA">
        <w:t>:</w:t>
      </w:r>
    </w:p>
    <w:p w14:paraId="743128F4" w14:textId="6C7C8C8B" w:rsidR="005340AA" w:rsidRDefault="005340AA" w:rsidP="00370305">
      <w:pPr>
        <w:pStyle w:val="SingleTxtG"/>
        <w:ind w:firstLine="567"/>
        <w:jc w:val="left"/>
      </w:pPr>
      <w:r>
        <w:t>(a)</w:t>
      </w:r>
      <w:r>
        <w:tab/>
      </w:r>
      <w:r w:rsidRPr="00495C73">
        <w:t>The</w:t>
      </w:r>
      <w:r w:rsidRPr="00B476F7">
        <w:t xml:space="preserve"> institutionalization of children with disabilities, </w:t>
      </w:r>
      <w:r>
        <w:t>and about</w:t>
      </w:r>
      <w:r w:rsidRPr="00B476F7">
        <w:t xml:space="preserve"> the limited scope of specific measures taken </w:t>
      </w:r>
      <w:r>
        <w:t>to ensure that the rights of children with disabilities are protected, particularly</w:t>
      </w:r>
      <w:r w:rsidRPr="00B476F7">
        <w:t xml:space="preserve"> in rural</w:t>
      </w:r>
      <w:r>
        <w:t xml:space="preserve"> and remote areas, in</w:t>
      </w:r>
      <w:r w:rsidRPr="00B476F7">
        <w:t xml:space="preserve"> indigenous communities</w:t>
      </w:r>
      <w:r>
        <w:t xml:space="preserve"> and in migrant and refugee </w:t>
      </w:r>
      <w:r w:rsidRPr="00495C73">
        <w:t>populations;</w:t>
      </w:r>
    </w:p>
    <w:p w14:paraId="38765DB5" w14:textId="3F62D77D" w:rsidR="005340AA" w:rsidRDefault="005340AA" w:rsidP="00370305">
      <w:pPr>
        <w:pStyle w:val="SingleTxtG"/>
        <w:ind w:firstLine="567"/>
        <w:jc w:val="left"/>
      </w:pPr>
      <w:r>
        <w:t>(b)</w:t>
      </w:r>
      <w:r>
        <w:tab/>
      </w:r>
      <w:r w:rsidRPr="00495C73">
        <w:t xml:space="preserve">The lack of disaggregated data on children with disabilities, particularly on those living in institutions, on victims of violence and </w:t>
      </w:r>
      <w:r w:rsidR="00BA3318">
        <w:t xml:space="preserve">on </w:t>
      </w:r>
      <w:r w:rsidRPr="00495C73">
        <w:t xml:space="preserve">those not attending school; </w:t>
      </w:r>
    </w:p>
    <w:p w14:paraId="01568851" w14:textId="24B9E816" w:rsidR="00423681" w:rsidRPr="00E46FD0" w:rsidRDefault="005340AA" w:rsidP="00370305">
      <w:pPr>
        <w:pStyle w:val="SingleTxtG"/>
        <w:ind w:firstLine="567"/>
        <w:jc w:val="left"/>
      </w:pPr>
      <w:r>
        <w:t>(</w:t>
      </w:r>
      <w:r w:rsidR="00567C2D">
        <w:t>c</w:t>
      </w:r>
      <w:r>
        <w:t>)</w:t>
      </w:r>
      <w:r>
        <w:tab/>
      </w:r>
      <w:r w:rsidRPr="00495C73">
        <w:t>The insufficient measures adopted to ensure that children with disabilities can participate and</w:t>
      </w:r>
      <w:r>
        <w:t xml:space="preserve"> express their views with respect to matters affecting them, such as legal proceedings, and the limited access to justice for children with disabilities, especially girls with disabilities who are victims of violence and abuse.</w:t>
      </w:r>
    </w:p>
    <w:p w14:paraId="620CFD7E" w14:textId="38F29BF8" w:rsidR="00272CD7" w:rsidRPr="00921A64" w:rsidRDefault="00C81900" w:rsidP="00272CD7">
      <w:pPr>
        <w:pStyle w:val="SingleTxtG"/>
        <w:rPr>
          <w:b/>
          <w:bCs/>
        </w:rPr>
      </w:pPr>
      <w:r w:rsidRPr="0047472A">
        <w:rPr>
          <w:bCs/>
        </w:rPr>
        <w:t>2</w:t>
      </w:r>
      <w:r w:rsidR="0006696E" w:rsidRPr="0047472A">
        <w:rPr>
          <w:bCs/>
        </w:rPr>
        <w:t>4</w:t>
      </w:r>
      <w:r w:rsidR="00272CD7" w:rsidRPr="0047472A">
        <w:rPr>
          <w:bCs/>
        </w:rPr>
        <w:t>.</w:t>
      </w:r>
      <w:r w:rsidR="00272CD7" w:rsidRPr="00370305">
        <w:rPr>
          <w:b/>
        </w:rPr>
        <w:tab/>
      </w:r>
      <w:r w:rsidR="00272CD7" w:rsidRPr="00370305">
        <w:rPr>
          <w:b/>
          <w:bCs/>
        </w:rPr>
        <w:t>The</w:t>
      </w:r>
      <w:r w:rsidR="00272CD7" w:rsidRPr="00921A64">
        <w:rPr>
          <w:b/>
          <w:bCs/>
        </w:rPr>
        <w:t xml:space="preserve"> Committee r</w:t>
      </w:r>
      <w:r w:rsidR="00272CD7">
        <w:rPr>
          <w:b/>
          <w:bCs/>
        </w:rPr>
        <w:t>ecommends that the State party:</w:t>
      </w:r>
    </w:p>
    <w:p w14:paraId="2765B194" w14:textId="371D6CEC" w:rsidR="00272CD7" w:rsidRPr="00370305" w:rsidRDefault="00272CD7" w:rsidP="00370305">
      <w:pPr>
        <w:pStyle w:val="SingleTxtG"/>
        <w:ind w:firstLine="567"/>
        <w:rPr>
          <w:b/>
          <w:bCs/>
        </w:rPr>
      </w:pPr>
      <w:r w:rsidRPr="00370305">
        <w:rPr>
          <w:b/>
        </w:rPr>
        <w:tab/>
        <w:t>(a)</w:t>
      </w:r>
      <w:r w:rsidRPr="00370305">
        <w:rPr>
          <w:b/>
          <w:bCs/>
        </w:rPr>
        <w:tab/>
        <w:t xml:space="preserve">Ensure that children with disabilities, especially those in rural and remote areas, in indigenous communities and in migrant </w:t>
      </w:r>
      <w:r w:rsidR="00893C1D" w:rsidRPr="00370305">
        <w:rPr>
          <w:b/>
          <w:bCs/>
        </w:rPr>
        <w:t xml:space="preserve">and refugee </w:t>
      </w:r>
      <w:r w:rsidRPr="00370305">
        <w:rPr>
          <w:b/>
          <w:bCs/>
        </w:rPr>
        <w:t xml:space="preserve">populations, receive </w:t>
      </w:r>
      <w:r w:rsidR="00893C1D" w:rsidRPr="00370305">
        <w:rPr>
          <w:b/>
          <w:bCs/>
        </w:rPr>
        <w:t xml:space="preserve">effective and </w:t>
      </w:r>
      <w:r w:rsidRPr="00370305">
        <w:rPr>
          <w:b/>
          <w:bCs/>
        </w:rPr>
        <w:t>appropriate protection, care and support, and are included in the community</w:t>
      </w:r>
      <w:r w:rsidR="00A952FF" w:rsidRPr="00370305">
        <w:rPr>
          <w:b/>
          <w:bCs/>
        </w:rPr>
        <w:t>;</w:t>
      </w:r>
    </w:p>
    <w:p w14:paraId="2829DD2B" w14:textId="37A8AD51" w:rsidR="00272CD7" w:rsidRPr="00370305" w:rsidRDefault="00272CD7" w:rsidP="00370305">
      <w:pPr>
        <w:pStyle w:val="SingleTxtG"/>
        <w:ind w:firstLine="567"/>
        <w:rPr>
          <w:b/>
          <w:bCs/>
        </w:rPr>
      </w:pPr>
      <w:r w:rsidRPr="00370305">
        <w:rPr>
          <w:b/>
        </w:rPr>
        <w:tab/>
        <w:t>(b)</w:t>
      </w:r>
      <w:r w:rsidRPr="00370305">
        <w:rPr>
          <w:b/>
          <w:bCs/>
        </w:rPr>
        <w:tab/>
        <w:t>Compile disaggregated data on children with disabilities, particularly on those living in institutions, on victims of violence and on those not attending school</w:t>
      </w:r>
      <w:r w:rsidR="00A952FF" w:rsidRPr="00370305">
        <w:rPr>
          <w:b/>
          <w:bCs/>
        </w:rPr>
        <w:t>;</w:t>
      </w:r>
    </w:p>
    <w:p w14:paraId="5D23BC2D" w14:textId="5DAF6CFC" w:rsidR="00423681" w:rsidRDefault="00423681" w:rsidP="00370305">
      <w:pPr>
        <w:pStyle w:val="SingleTxtG"/>
        <w:ind w:firstLine="567"/>
        <w:rPr>
          <w:b/>
          <w:bCs/>
        </w:rPr>
      </w:pPr>
      <w:r w:rsidRPr="00370305">
        <w:rPr>
          <w:b/>
        </w:rPr>
        <w:tab/>
        <w:t>(</w:t>
      </w:r>
      <w:r w:rsidR="00D95ED8" w:rsidRPr="00370305">
        <w:rPr>
          <w:b/>
        </w:rPr>
        <w:t>c</w:t>
      </w:r>
      <w:r w:rsidRPr="00370305">
        <w:rPr>
          <w:b/>
        </w:rPr>
        <w:t>)</w:t>
      </w:r>
      <w:r w:rsidRPr="00370305">
        <w:rPr>
          <w:b/>
          <w:bCs/>
        </w:rPr>
        <w:tab/>
        <w:t xml:space="preserve">Adopt measures </w:t>
      </w:r>
      <w:r w:rsidR="00D95ED8" w:rsidRPr="00370305">
        <w:rPr>
          <w:b/>
          <w:bCs/>
        </w:rPr>
        <w:t xml:space="preserve">allowing </w:t>
      </w:r>
      <w:r w:rsidRPr="00370305">
        <w:rPr>
          <w:b/>
          <w:bCs/>
        </w:rPr>
        <w:t>children with disabilities to express their views in all matters related</w:t>
      </w:r>
      <w:r>
        <w:rPr>
          <w:b/>
          <w:bCs/>
        </w:rPr>
        <w:t xml:space="preserve"> to their lives, including in administrative </w:t>
      </w:r>
      <w:r w:rsidR="00D95ED8">
        <w:rPr>
          <w:b/>
          <w:bCs/>
        </w:rPr>
        <w:t>and</w:t>
      </w:r>
      <w:r>
        <w:rPr>
          <w:b/>
          <w:bCs/>
        </w:rPr>
        <w:t xml:space="preserve"> judicial </w:t>
      </w:r>
      <w:r w:rsidR="00D95ED8">
        <w:rPr>
          <w:b/>
          <w:bCs/>
        </w:rPr>
        <w:t>proceedings</w:t>
      </w:r>
      <w:r>
        <w:rPr>
          <w:b/>
          <w:bCs/>
        </w:rPr>
        <w:t>.</w:t>
      </w:r>
    </w:p>
    <w:bookmarkEnd w:id="0"/>
    <w:p w14:paraId="252B4642" w14:textId="77777777" w:rsidR="00EC449C" w:rsidRPr="00404879" w:rsidRDefault="00EC449C" w:rsidP="006B42B0">
      <w:pPr>
        <w:pStyle w:val="H23G"/>
        <w:ind w:left="0" w:firstLine="0"/>
      </w:pPr>
      <w:r w:rsidRPr="00404879">
        <w:tab/>
      </w:r>
      <w:r w:rsidRPr="00404879">
        <w:tab/>
        <w:t>Awareness-raising (art. 8)</w:t>
      </w:r>
    </w:p>
    <w:p w14:paraId="1984E44A" w14:textId="78312EB5" w:rsidR="00D772A5" w:rsidRDefault="00C81900" w:rsidP="00D772A5">
      <w:pPr>
        <w:pStyle w:val="SingleTxtG"/>
      </w:pPr>
      <w:r>
        <w:t>2</w:t>
      </w:r>
      <w:r w:rsidR="0006696E">
        <w:t>5</w:t>
      </w:r>
      <w:r w:rsidR="00D772A5" w:rsidRPr="00E46FD0">
        <w:t>.</w:t>
      </w:r>
      <w:r w:rsidR="00D772A5" w:rsidRPr="00E46FD0">
        <w:tab/>
        <w:t>The Committee is concerned</w:t>
      </w:r>
      <w:r w:rsidR="00D772A5">
        <w:t xml:space="preserve"> that a welfare</w:t>
      </w:r>
      <w:r w:rsidR="00B828AB">
        <w:t xml:space="preserve"> and medical</w:t>
      </w:r>
      <w:r w:rsidR="00D772A5">
        <w:t xml:space="preserve"> model of disability is still prevalent in the public perception of disability</w:t>
      </w:r>
      <w:r w:rsidR="008E24E3">
        <w:t>;</w:t>
      </w:r>
      <w:r w:rsidR="00D772A5">
        <w:t xml:space="preserve"> that the rights of children, adolescents and </w:t>
      </w:r>
      <w:r w:rsidR="008323A8">
        <w:t>women</w:t>
      </w:r>
      <w:r w:rsidR="00D772A5">
        <w:t xml:space="preserve"> with disabilities and sexual and reproductive</w:t>
      </w:r>
      <w:r w:rsidR="00212F4F">
        <w:t xml:space="preserve"> health</w:t>
      </w:r>
      <w:r w:rsidR="00D772A5">
        <w:t xml:space="preserve"> rights </w:t>
      </w:r>
      <w:r w:rsidR="00D772A5" w:rsidRPr="00567C2D">
        <w:t>of persons with disabilities are subject to public prejudice</w:t>
      </w:r>
      <w:r w:rsidR="00100C03" w:rsidRPr="00567C2D">
        <w:t>,</w:t>
      </w:r>
      <w:r w:rsidR="00D772A5" w:rsidRPr="00567C2D">
        <w:t xml:space="preserve"> stereotyping</w:t>
      </w:r>
      <w:r w:rsidR="00100C03" w:rsidRPr="00567C2D">
        <w:t xml:space="preserve"> and harmful practices</w:t>
      </w:r>
      <w:r w:rsidR="008E24E3">
        <w:t>;</w:t>
      </w:r>
      <w:r w:rsidR="008B79B5" w:rsidRPr="00567C2D">
        <w:t xml:space="preserve"> and that the Teletón campaigns still reinforce a view of persons with disabilities </w:t>
      </w:r>
      <w:r w:rsidR="0057307D" w:rsidRPr="00567C2D">
        <w:t>as</w:t>
      </w:r>
      <w:r w:rsidR="00F8179A" w:rsidRPr="00567C2D">
        <w:t xml:space="preserve"> recipients of society’s charity.</w:t>
      </w:r>
    </w:p>
    <w:p w14:paraId="22245986" w14:textId="07AF7BF6" w:rsidR="00D772A5" w:rsidRDefault="00C81900" w:rsidP="00D772A5">
      <w:pPr>
        <w:pStyle w:val="SingleTxtG"/>
        <w:rPr>
          <w:b/>
          <w:bCs/>
        </w:rPr>
      </w:pPr>
      <w:r w:rsidRPr="0047472A">
        <w:rPr>
          <w:bCs/>
        </w:rPr>
        <w:t>2</w:t>
      </w:r>
      <w:r w:rsidR="0006696E" w:rsidRPr="0047472A">
        <w:rPr>
          <w:bCs/>
        </w:rPr>
        <w:t>6</w:t>
      </w:r>
      <w:r w:rsidR="00D772A5" w:rsidRPr="0047472A">
        <w:rPr>
          <w:bCs/>
        </w:rPr>
        <w:t>.</w:t>
      </w:r>
      <w:r w:rsidR="00D772A5" w:rsidRPr="00370305">
        <w:rPr>
          <w:b/>
        </w:rPr>
        <w:tab/>
      </w:r>
      <w:r w:rsidR="00D772A5" w:rsidRPr="00370305">
        <w:rPr>
          <w:b/>
          <w:bCs/>
        </w:rPr>
        <w:t>The</w:t>
      </w:r>
      <w:r w:rsidR="00D772A5" w:rsidRPr="00921A64">
        <w:rPr>
          <w:b/>
          <w:bCs/>
        </w:rPr>
        <w:t xml:space="preserve"> Committee </w:t>
      </w:r>
      <w:r w:rsidR="00D772A5">
        <w:rPr>
          <w:b/>
          <w:bCs/>
        </w:rPr>
        <w:t>recommends that</w:t>
      </w:r>
      <w:r w:rsidR="00D772A5" w:rsidRPr="00921A64">
        <w:rPr>
          <w:b/>
          <w:bCs/>
        </w:rPr>
        <w:t xml:space="preserve"> the State party</w:t>
      </w:r>
      <w:r w:rsidR="00D772A5">
        <w:rPr>
          <w:b/>
          <w:bCs/>
        </w:rPr>
        <w:t xml:space="preserve"> develop</w:t>
      </w:r>
      <w:r w:rsidR="001C736C">
        <w:rPr>
          <w:b/>
          <w:bCs/>
        </w:rPr>
        <w:t xml:space="preserve"> and implement</w:t>
      </w:r>
      <w:r w:rsidR="00B828AB">
        <w:rPr>
          <w:b/>
          <w:bCs/>
        </w:rPr>
        <w:t>,</w:t>
      </w:r>
      <w:r w:rsidR="00D772A5">
        <w:rPr>
          <w:b/>
          <w:bCs/>
        </w:rPr>
        <w:t xml:space="preserve"> </w:t>
      </w:r>
      <w:r w:rsidR="00B828AB">
        <w:rPr>
          <w:b/>
          <w:bCs/>
        </w:rPr>
        <w:t xml:space="preserve">with the involvement of persons with disabilities, </w:t>
      </w:r>
      <w:r w:rsidR="00100C03">
        <w:rPr>
          <w:b/>
          <w:bCs/>
        </w:rPr>
        <w:t xml:space="preserve">comprehensive </w:t>
      </w:r>
      <w:r w:rsidR="00D772A5">
        <w:rPr>
          <w:b/>
          <w:bCs/>
        </w:rPr>
        <w:t>awareness</w:t>
      </w:r>
      <w:r w:rsidR="008E24E3">
        <w:rPr>
          <w:b/>
          <w:bCs/>
        </w:rPr>
        <w:t>-</w:t>
      </w:r>
      <w:r w:rsidR="00D772A5">
        <w:rPr>
          <w:b/>
          <w:bCs/>
        </w:rPr>
        <w:t xml:space="preserve">raising </w:t>
      </w:r>
      <w:r w:rsidR="00100C03">
        <w:rPr>
          <w:b/>
          <w:bCs/>
        </w:rPr>
        <w:t>program</w:t>
      </w:r>
      <w:r w:rsidR="008E24E3">
        <w:rPr>
          <w:b/>
          <w:bCs/>
        </w:rPr>
        <w:t>me</w:t>
      </w:r>
      <w:r w:rsidR="00413559">
        <w:rPr>
          <w:b/>
          <w:bCs/>
        </w:rPr>
        <w:t>s</w:t>
      </w:r>
      <w:r w:rsidR="00D772A5">
        <w:rPr>
          <w:b/>
          <w:bCs/>
        </w:rPr>
        <w:t xml:space="preserve"> with the goal of promoting a human rights </w:t>
      </w:r>
      <w:r w:rsidR="00100C03">
        <w:rPr>
          <w:b/>
          <w:bCs/>
        </w:rPr>
        <w:t>model</w:t>
      </w:r>
      <w:r w:rsidR="00D772A5">
        <w:rPr>
          <w:b/>
          <w:bCs/>
        </w:rPr>
        <w:t xml:space="preserve"> </w:t>
      </w:r>
      <w:r w:rsidR="00413559">
        <w:rPr>
          <w:b/>
          <w:bCs/>
        </w:rPr>
        <w:t>of</w:t>
      </w:r>
      <w:r w:rsidR="00D772A5">
        <w:rPr>
          <w:b/>
          <w:bCs/>
        </w:rPr>
        <w:t xml:space="preserve"> disability and awareness of the rights of children, </w:t>
      </w:r>
      <w:r w:rsidR="00D772A5" w:rsidRPr="00F0237B">
        <w:rPr>
          <w:b/>
          <w:bCs/>
        </w:rPr>
        <w:t>adolescents and</w:t>
      </w:r>
      <w:r w:rsidR="008323A8" w:rsidRPr="00F0237B">
        <w:rPr>
          <w:b/>
          <w:bCs/>
        </w:rPr>
        <w:t xml:space="preserve"> women</w:t>
      </w:r>
      <w:r w:rsidR="00D772A5" w:rsidRPr="00F0237B">
        <w:rPr>
          <w:b/>
          <w:bCs/>
        </w:rPr>
        <w:t xml:space="preserve"> with disabilities and of sexual and reproductive </w:t>
      </w:r>
      <w:r w:rsidR="00157742">
        <w:rPr>
          <w:b/>
          <w:bCs/>
        </w:rPr>
        <w:t xml:space="preserve">health </w:t>
      </w:r>
      <w:r w:rsidR="00D772A5" w:rsidRPr="00F0237B">
        <w:rPr>
          <w:b/>
          <w:bCs/>
        </w:rPr>
        <w:t>rights of persons with disabilities.</w:t>
      </w:r>
      <w:r w:rsidR="00313820" w:rsidRPr="00F0237B">
        <w:rPr>
          <w:b/>
          <w:bCs/>
        </w:rPr>
        <w:t xml:space="preserve"> It further recommends </w:t>
      </w:r>
      <w:r w:rsidR="008E24E3">
        <w:rPr>
          <w:b/>
          <w:bCs/>
        </w:rPr>
        <w:t>that the State party</w:t>
      </w:r>
      <w:r w:rsidR="00313820" w:rsidRPr="00F0237B">
        <w:rPr>
          <w:b/>
          <w:bCs/>
        </w:rPr>
        <w:t xml:space="preserve"> bring Teletón campaigns fully in</w:t>
      </w:r>
      <w:r w:rsidR="008E24E3">
        <w:rPr>
          <w:b/>
          <w:bCs/>
        </w:rPr>
        <w:t>to</w:t>
      </w:r>
      <w:r w:rsidR="00313820" w:rsidRPr="00F0237B">
        <w:rPr>
          <w:b/>
          <w:bCs/>
        </w:rPr>
        <w:t xml:space="preserve"> line with these goals.</w:t>
      </w:r>
    </w:p>
    <w:p w14:paraId="389ABC99" w14:textId="77777777" w:rsidR="00EC449C" w:rsidRPr="00404879" w:rsidRDefault="00EC449C" w:rsidP="002378C5">
      <w:pPr>
        <w:pStyle w:val="H23G"/>
      </w:pPr>
      <w:r w:rsidRPr="00404879">
        <w:tab/>
      </w:r>
      <w:r w:rsidRPr="00404879">
        <w:tab/>
        <w:t>Accessibility (art. 9)</w:t>
      </w:r>
    </w:p>
    <w:p w14:paraId="37CF0A06" w14:textId="72332FF5" w:rsidR="00D772A5" w:rsidRPr="00495C73" w:rsidRDefault="00C81900" w:rsidP="00D772A5">
      <w:pPr>
        <w:pStyle w:val="SingleTxtG"/>
      </w:pPr>
      <w:r>
        <w:t>2</w:t>
      </w:r>
      <w:r w:rsidR="0006696E">
        <w:t>7</w:t>
      </w:r>
      <w:r w:rsidR="00D772A5" w:rsidRPr="000F04C5">
        <w:t>.</w:t>
      </w:r>
      <w:r w:rsidR="00D772A5" w:rsidRPr="000F04C5">
        <w:tab/>
        <w:t>The Committee notes with concern that the State party’s current legal framework on accessibility for persons with disabilities does not</w:t>
      </w:r>
      <w:r w:rsidR="00D772A5">
        <w:t xml:space="preserve"> contain binding legal rules</w:t>
      </w:r>
      <w:r w:rsidR="00D772A5" w:rsidRPr="000F04C5">
        <w:t xml:space="preserve"> address</w:t>
      </w:r>
      <w:r w:rsidR="00D772A5">
        <w:t>ing</w:t>
      </w:r>
      <w:r w:rsidR="00D772A5" w:rsidRPr="000F04C5">
        <w:t xml:space="preserve"> all </w:t>
      </w:r>
      <w:r w:rsidR="00D772A5">
        <w:t>areas</w:t>
      </w:r>
      <w:r w:rsidR="00D772A5" w:rsidRPr="000F04C5">
        <w:t xml:space="preserve"> covered by article 9 of the Convention</w:t>
      </w:r>
      <w:r w:rsidR="00D772A5">
        <w:t xml:space="preserve">, including the respective processes, complaints </w:t>
      </w:r>
      <w:r w:rsidR="00D772A5" w:rsidRPr="00495C73">
        <w:t>procedures and evaluation mechanisms.</w:t>
      </w:r>
    </w:p>
    <w:p w14:paraId="1CC06CA9" w14:textId="1F1EFA43" w:rsidR="00D772A5" w:rsidRPr="00495C73" w:rsidRDefault="0006696E" w:rsidP="00D772A5">
      <w:pPr>
        <w:pStyle w:val="SingleTxtG"/>
        <w:rPr>
          <w:b/>
          <w:bCs/>
        </w:rPr>
      </w:pPr>
      <w:r w:rsidRPr="0047472A">
        <w:rPr>
          <w:bCs/>
        </w:rPr>
        <w:t>28</w:t>
      </w:r>
      <w:r w:rsidR="00D772A5" w:rsidRPr="0047472A">
        <w:rPr>
          <w:bCs/>
        </w:rPr>
        <w:t>.</w:t>
      </w:r>
      <w:r w:rsidR="00D772A5" w:rsidRPr="00370305">
        <w:rPr>
          <w:b/>
        </w:rPr>
        <w:tab/>
      </w:r>
      <w:r w:rsidR="00D772A5" w:rsidRPr="00370305">
        <w:rPr>
          <w:b/>
          <w:bCs/>
        </w:rPr>
        <w:t>The</w:t>
      </w:r>
      <w:r w:rsidR="00D772A5" w:rsidRPr="00495C73">
        <w:rPr>
          <w:b/>
          <w:bCs/>
        </w:rPr>
        <w:t xml:space="preserve"> Committee recommends that the State party:</w:t>
      </w:r>
    </w:p>
    <w:p w14:paraId="1D155920" w14:textId="77777777" w:rsidR="00D772A5" w:rsidRPr="00495C73" w:rsidRDefault="00D772A5" w:rsidP="00370305">
      <w:pPr>
        <w:pStyle w:val="SingleTxtG"/>
        <w:ind w:firstLine="567"/>
        <w:rPr>
          <w:b/>
          <w:bCs/>
        </w:rPr>
      </w:pPr>
      <w:r w:rsidRPr="00370305">
        <w:rPr>
          <w:b/>
        </w:rPr>
        <w:tab/>
        <w:t>(a)</w:t>
      </w:r>
      <w:r w:rsidRPr="00370305">
        <w:rPr>
          <w:b/>
          <w:bCs/>
        </w:rPr>
        <w:tab/>
        <w:t>Review</w:t>
      </w:r>
      <w:r w:rsidRPr="00495C73">
        <w:rPr>
          <w:b/>
          <w:bCs/>
        </w:rPr>
        <w:t xml:space="preserve"> the existing General Law for the Inclusion of Persons with Disabilities on its compatibility with the Convention and on its application in practice;</w:t>
      </w:r>
    </w:p>
    <w:p w14:paraId="5708F046" w14:textId="1EE98F93" w:rsidR="00D772A5" w:rsidRPr="00370305" w:rsidRDefault="00D772A5" w:rsidP="00370305">
      <w:pPr>
        <w:pStyle w:val="SingleTxtG"/>
        <w:ind w:firstLine="567"/>
        <w:rPr>
          <w:b/>
          <w:bCs/>
        </w:rPr>
      </w:pPr>
      <w:r w:rsidRPr="00370305">
        <w:rPr>
          <w:b/>
        </w:rPr>
        <w:tab/>
        <w:t>(b)</w:t>
      </w:r>
      <w:r w:rsidRPr="00370305">
        <w:rPr>
          <w:b/>
          <w:bCs/>
        </w:rPr>
        <w:tab/>
        <w:t>Enact binding laws guaranteeing accessibility in all areas covered by art</w:t>
      </w:r>
      <w:r w:rsidR="00E61A94">
        <w:rPr>
          <w:b/>
          <w:bCs/>
        </w:rPr>
        <w:t>icle</w:t>
      </w:r>
      <w:r w:rsidRPr="00370305">
        <w:rPr>
          <w:b/>
          <w:bCs/>
        </w:rPr>
        <w:t xml:space="preserve"> 9 of the Convention, in keeping with the Committee’s general comment No. 2 </w:t>
      </w:r>
      <w:r w:rsidR="009F5DA5">
        <w:rPr>
          <w:b/>
          <w:bCs/>
        </w:rPr>
        <w:t xml:space="preserve">(2014) </w:t>
      </w:r>
      <w:r w:rsidRPr="00370305">
        <w:rPr>
          <w:b/>
          <w:bCs/>
        </w:rPr>
        <w:t xml:space="preserve">on accessibility, ensuring direct application of such laws </w:t>
      </w:r>
      <w:r w:rsidR="009F5DA5">
        <w:rPr>
          <w:b/>
          <w:bCs/>
        </w:rPr>
        <w:t>at</w:t>
      </w:r>
      <w:r w:rsidRPr="00370305">
        <w:rPr>
          <w:b/>
          <w:bCs/>
        </w:rPr>
        <w:t xml:space="preserve"> all levels of government;</w:t>
      </w:r>
    </w:p>
    <w:p w14:paraId="0CF68A7E" w14:textId="77777777" w:rsidR="00D772A5" w:rsidRPr="00370305" w:rsidRDefault="00D772A5" w:rsidP="00370305">
      <w:pPr>
        <w:pStyle w:val="SingleTxtG"/>
        <w:ind w:firstLine="567"/>
        <w:rPr>
          <w:b/>
          <w:bCs/>
        </w:rPr>
      </w:pPr>
      <w:r w:rsidRPr="00370305">
        <w:rPr>
          <w:b/>
          <w:bCs/>
        </w:rPr>
        <w:tab/>
      </w:r>
      <w:r w:rsidRPr="00370305">
        <w:rPr>
          <w:b/>
        </w:rPr>
        <w:t>(c)</w:t>
      </w:r>
      <w:r w:rsidRPr="00370305">
        <w:rPr>
          <w:b/>
          <w:bCs/>
        </w:rPr>
        <w:tab/>
        <w:t>Establish competences and procedures to implement accessibility laws, institute complaints and monitoring mechanisms, and define effective remedies in situations of non-compliance;</w:t>
      </w:r>
    </w:p>
    <w:p w14:paraId="2CF9293A" w14:textId="777AE2F1" w:rsidR="00427AF7" w:rsidRPr="000307DF" w:rsidRDefault="00D772A5" w:rsidP="00370305">
      <w:pPr>
        <w:pStyle w:val="SingleTxtG"/>
        <w:ind w:firstLine="567"/>
        <w:rPr>
          <w:b/>
          <w:bCs/>
        </w:rPr>
      </w:pPr>
      <w:r w:rsidRPr="00370305">
        <w:rPr>
          <w:b/>
          <w:bCs/>
        </w:rPr>
        <w:lastRenderedPageBreak/>
        <w:tab/>
      </w:r>
      <w:r w:rsidRPr="00370305">
        <w:rPr>
          <w:b/>
        </w:rPr>
        <w:t>(d)</w:t>
      </w:r>
      <w:r w:rsidRPr="00370305">
        <w:rPr>
          <w:b/>
          <w:bCs/>
        </w:rPr>
        <w:tab/>
        <w:t>Revise</w:t>
      </w:r>
      <w:r w:rsidRPr="00495C73">
        <w:rPr>
          <w:b/>
          <w:bCs/>
        </w:rPr>
        <w:t xml:space="preserve"> the existing national accessibility plan in light of the new laws on accessibility, and render it applicable to the physical environment, transport, information and communications, including information and communications systems and technologies, and other services and facilities open or provided to the public</w:t>
      </w:r>
      <w:r w:rsidR="00C64A79" w:rsidRPr="00495C73">
        <w:rPr>
          <w:b/>
          <w:bCs/>
        </w:rPr>
        <w:t>, in particular for person</w:t>
      </w:r>
      <w:r w:rsidR="00F504FC">
        <w:rPr>
          <w:b/>
          <w:bCs/>
        </w:rPr>
        <w:t>s</w:t>
      </w:r>
      <w:r w:rsidR="00C64A79" w:rsidRPr="00495C73">
        <w:rPr>
          <w:b/>
          <w:bCs/>
        </w:rPr>
        <w:t xml:space="preserve"> with disabilities living in remote, rural and indigenous communities</w:t>
      </w:r>
      <w:r w:rsidR="00F27CFA" w:rsidRPr="00495C73">
        <w:rPr>
          <w:b/>
          <w:bCs/>
        </w:rPr>
        <w:t>.</w:t>
      </w:r>
    </w:p>
    <w:p w14:paraId="413448B6" w14:textId="5E2ABDA3" w:rsidR="007A5207" w:rsidRDefault="00EC449C" w:rsidP="007A5207">
      <w:pPr>
        <w:pStyle w:val="H23G"/>
      </w:pPr>
      <w:bookmarkStart w:id="1" w:name="_Toc422212716"/>
      <w:r w:rsidRPr="00404879">
        <w:tab/>
      </w:r>
      <w:r w:rsidRPr="00404879">
        <w:tab/>
      </w:r>
      <w:r w:rsidR="00747E0C" w:rsidRPr="00A1657E">
        <w:t>Right to life (art. 10)</w:t>
      </w:r>
    </w:p>
    <w:p w14:paraId="2EBC95CC" w14:textId="24A189A8" w:rsidR="007A5207" w:rsidRPr="00B9559A" w:rsidRDefault="007A5207" w:rsidP="007A5207">
      <w:pPr>
        <w:pStyle w:val="SingleTxtG"/>
      </w:pPr>
      <w:r>
        <w:tab/>
      </w:r>
      <w:r w:rsidR="0006696E">
        <w:t>29</w:t>
      </w:r>
      <w:r w:rsidRPr="00E46FD0">
        <w:t>.</w:t>
      </w:r>
      <w:r w:rsidRPr="00E46FD0">
        <w:tab/>
      </w:r>
      <w:r>
        <w:t xml:space="preserve">The Committee is concerned about </w:t>
      </w:r>
      <w:r w:rsidRPr="00B9559A">
        <w:t>multiple reports indicating a high risk of d</w:t>
      </w:r>
      <w:r w:rsidR="00CA6256" w:rsidRPr="00B9559A">
        <w:t>eath</w:t>
      </w:r>
      <w:r w:rsidR="00B9559A" w:rsidRPr="00B9559A">
        <w:t xml:space="preserve"> of</w:t>
      </w:r>
      <w:r w:rsidRPr="00B9559A">
        <w:t xml:space="preserve"> children and adults with disabilities in institutions</w:t>
      </w:r>
      <w:r w:rsidR="00B9559A" w:rsidRPr="00B9559A">
        <w:t>,</w:t>
      </w:r>
      <w:r w:rsidR="00CA6256" w:rsidRPr="00B9559A">
        <w:t xml:space="preserve"> resulting from </w:t>
      </w:r>
      <w:r w:rsidR="00B9559A" w:rsidRPr="00B9559A">
        <w:t xml:space="preserve">various forms of </w:t>
      </w:r>
      <w:r w:rsidR="00CA6256" w:rsidRPr="00B9559A">
        <w:t>restraint</w:t>
      </w:r>
      <w:r w:rsidR="00DC7384">
        <w:t>s</w:t>
      </w:r>
      <w:r w:rsidR="00CA6256" w:rsidRPr="00B9559A">
        <w:t xml:space="preserve"> and improper medical treatment in psychiatric hospitals, </w:t>
      </w:r>
      <w:r w:rsidR="00A77DAB">
        <w:t xml:space="preserve">and </w:t>
      </w:r>
      <w:r w:rsidR="00CA6256" w:rsidRPr="00B9559A">
        <w:t>from insufficient professional assistance and support</w:t>
      </w:r>
      <w:r w:rsidRPr="00B9559A">
        <w:t xml:space="preserve">. </w:t>
      </w:r>
    </w:p>
    <w:p w14:paraId="3FE34350" w14:textId="7E7E8E0B" w:rsidR="001419BA" w:rsidRPr="00370305" w:rsidRDefault="007A5207" w:rsidP="00B23C35">
      <w:pPr>
        <w:pStyle w:val="SingleTxtG"/>
        <w:rPr>
          <w:b/>
          <w:bCs/>
        </w:rPr>
      </w:pPr>
      <w:r w:rsidRPr="00370305">
        <w:rPr>
          <w:b/>
        </w:rPr>
        <w:tab/>
      </w:r>
      <w:r w:rsidR="00C81900" w:rsidRPr="0047472A">
        <w:rPr>
          <w:bCs/>
        </w:rPr>
        <w:t>3</w:t>
      </w:r>
      <w:r w:rsidR="0006696E" w:rsidRPr="0047472A">
        <w:rPr>
          <w:bCs/>
        </w:rPr>
        <w:t>0</w:t>
      </w:r>
      <w:r w:rsidRPr="0047472A">
        <w:rPr>
          <w:bCs/>
        </w:rPr>
        <w:t>.</w:t>
      </w:r>
      <w:r w:rsidRPr="00370305">
        <w:rPr>
          <w:b/>
        </w:rPr>
        <w:tab/>
      </w:r>
      <w:r w:rsidRPr="00370305">
        <w:rPr>
          <w:b/>
          <w:bCs/>
        </w:rPr>
        <w:t xml:space="preserve">The Committee </w:t>
      </w:r>
      <w:r w:rsidR="001419BA" w:rsidRPr="00370305">
        <w:rPr>
          <w:b/>
          <w:bCs/>
        </w:rPr>
        <w:t>recommends that the State party:</w:t>
      </w:r>
    </w:p>
    <w:p w14:paraId="5FBA2CE8" w14:textId="1603A64B" w:rsidR="001419BA" w:rsidRDefault="001419BA" w:rsidP="00370305">
      <w:pPr>
        <w:pStyle w:val="SingleTxtG"/>
        <w:ind w:firstLine="567"/>
        <w:rPr>
          <w:b/>
          <w:noProof/>
          <w:color w:val="000000" w:themeColor="text1"/>
        </w:rPr>
      </w:pPr>
      <w:r w:rsidRPr="00370305">
        <w:rPr>
          <w:b/>
        </w:rPr>
        <w:t>(a)</w:t>
      </w:r>
      <w:r w:rsidRPr="00370305">
        <w:rPr>
          <w:b/>
        </w:rPr>
        <w:tab/>
      </w:r>
      <w:r w:rsidRPr="00370305">
        <w:rPr>
          <w:b/>
          <w:bCs/>
        </w:rPr>
        <w:t>In close consultation with</w:t>
      </w:r>
      <w:r w:rsidR="00D75496">
        <w:rPr>
          <w:b/>
          <w:bCs/>
        </w:rPr>
        <w:t>,</w:t>
      </w:r>
      <w:r w:rsidRPr="00370305">
        <w:rPr>
          <w:b/>
          <w:bCs/>
        </w:rPr>
        <w:t xml:space="preserve"> and </w:t>
      </w:r>
      <w:r w:rsidR="00B96E43">
        <w:rPr>
          <w:b/>
          <w:bCs/>
        </w:rPr>
        <w:t xml:space="preserve">including the </w:t>
      </w:r>
      <w:r w:rsidRPr="00370305">
        <w:rPr>
          <w:b/>
          <w:bCs/>
        </w:rPr>
        <w:t>active involvement of</w:t>
      </w:r>
      <w:r w:rsidR="00D75496">
        <w:rPr>
          <w:b/>
          <w:bCs/>
        </w:rPr>
        <w:t>,</w:t>
      </w:r>
      <w:r w:rsidRPr="00370305">
        <w:rPr>
          <w:b/>
          <w:bCs/>
        </w:rPr>
        <w:t xml:space="preserve"> persons with disabilities through</w:t>
      </w:r>
      <w:r>
        <w:rPr>
          <w:b/>
          <w:bCs/>
        </w:rPr>
        <w:t xml:space="preserve"> their representative </w:t>
      </w:r>
      <w:r w:rsidRPr="001779C0">
        <w:rPr>
          <w:b/>
          <w:bCs/>
        </w:rPr>
        <w:t>organizations, c</w:t>
      </w:r>
      <w:r w:rsidR="007A5207" w:rsidRPr="001779C0">
        <w:rPr>
          <w:b/>
          <w:bCs/>
        </w:rPr>
        <w:t xml:space="preserve">onduct a thorough inquiry into all deaths of children and adult persons with disabilities in all institutions since the Committee’s previous </w:t>
      </w:r>
      <w:r w:rsidR="001779C0" w:rsidRPr="001779C0">
        <w:rPr>
          <w:b/>
          <w:bCs/>
        </w:rPr>
        <w:t>c</w:t>
      </w:r>
      <w:r w:rsidR="007A5207" w:rsidRPr="001779C0">
        <w:rPr>
          <w:b/>
          <w:bCs/>
        </w:rPr>
        <w:t xml:space="preserve">oncluding </w:t>
      </w:r>
      <w:r w:rsidR="001779C0" w:rsidRPr="001779C0">
        <w:rPr>
          <w:b/>
          <w:bCs/>
        </w:rPr>
        <w:t>o</w:t>
      </w:r>
      <w:r w:rsidR="007A5207" w:rsidRPr="001779C0">
        <w:rPr>
          <w:b/>
          <w:bCs/>
        </w:rPr>
        <w:t>bservations</w:t>
      </w:r>
      <w:r w:rsidRPr="001779C0">
        <w:rPr>
          <w:b/>
          <w:bCs/>
        </w:rPr>
        <w:t>;</w:t>
      </w:r>
    </w:p>
    <w:p w14:paraId="1809AD81" w14:textId="454A74AB" w:rsidR="00B23C35" w:rsidRPr="00370305" w:rsidRDefault="001419BA" w:rsidP="00370305">
      <w:pPr>
        <w:pStyle w:val="SingleTxtG"/>
        <w:ind w:firstLine="567"/>
        <w:rPr>
          <w:b/>
          <w:noProof/>
          <w:color w:val="000000" w:themeColor="text1"/>
        </w:rPr>
      </w:pPr>
      <w:r w:rsidRPr="00370305">
        <w:rPr>
          <w:b/>
        </w:rPr>
        <w:tab/>
        <w:t>(b)</w:t>
      </w:r>
      <w:r w:rsidRPr="00370305">
        <w:rPr>
          <w:b/>
        </w:rPr>
        <w:tab/>
      </w:r>
      <w:r w:rsidRPr="00370305">
        <w:rPr>
          <w:b/>
          <w:bCs/>
        </w:rPr>
        <w:t>P</w:t>
      </w:r>
      <w:r w:rsidR="00B23C35" w:rsidRPr="00370305">
        <w:rPr>
          <w:b/>
          <w:bCs/>
        </w:rPr>
        <w:t>rovide</w:t>
      </w:r>
      <w:r w:rsidR="00B23C35" w:rsidRPr="00370305">
        <w:rPr>
          <w:b/>
          <w:noProof/>
          <w:color w:val="000000" w:themeColor="text1"/>
        </w:rPr>
        <w:t xml:space="preserve"> protection to </w:t>
      </w:r>
      <w:r w:rsidRPr="00370305">
        <w:rPr>
          <w:b/>
          <w:noProof/>
          <w:color w:val="000000" w:themeColor="text1"/>
        </w:rPr>
        <w:t xml:space="preserve">the </w:t>
      </w:r>
      <w:r w:rsidR="00B23C35" w:rsidRPr="00370305">
        <w:rPr>
          <w:b/>
          <w:noProof/>
          <w:color w:val="000000" w:themeColor="text1"/>
        </w:rPr>
        <w:t>victims of th</w:t>
      </w:r>
      <w:r w:rsidRPr="00370305">
        <w:rPr>
          <w:b/>
          <w:noProof/>
          <w:color w:val="000000" w:themeColor="text1"/>
        </w:rPr>
        <w:t>e</w:t>
      </w:r>
      <w:r w:rsidR="00B23C35" w:rsidRPr="00370305">
        <w:rPr>
          <w:b/>
          <w:noProof/>
          <w:color w:val="000000" w:themeColor="text1"/>
        </w:rPr>
        <w:t>se crimes and bring perpetrators to justice.</w:t>
      </w:r>
    </w:p>
    <w:p w14:paraId="5F7C9399" w14:textId="77777777" w:rsidR="00EC449C" w:rsidRPr="00404879" w:rsidRDefault="00747E0C" w:rsidP="00747E0C">
      <w:pPr>
        <w:pStyle w:val="H23G"/>
      </w:pPr>
      <w:r>
        <w:rPr>
          <w:bCs/>
        </w:rPr>
        <w:tab/>
      </w:r>
      <w:r>
        <w:rPr>
          <w:bCs/>
        </w:rPr>
        <w:tab/>
      </w:r>
      <w:r w:rsidR="00EC449C" w:rsidRPr="00404879">
        <w:t>Situations of risk and humanitarian emergencies (art. 11)</w:t>
      </w:r>
      <w:bookmarkEnd w:id="1"/>
      <w:r w:rsidR="00EC449C" w:rsidRPr="00404879">
        <w:t xml:space="preserve"> </w:t>
      </w:r>
    </w:p>
    <w:p w14:paraId="7E21984B" w14:textId="222E133C" w:rsidR="0062220E" w:rsidRPr="00FC1C3C" w:rsidRDefault="00C81900" w:rsidP="0062220E">
      <w:pPr>
        <w:pStyle w:val="SingleTxtG"/>
      </w:pPr>
      <w:r>
        <w:t>3</w:t>
      </w:r>
      <w:r w:rsidR="0006696E">
        <w:t>1</w:t>
      </w:r>
      <w:r w:rsidR="0062220E" w:rsidRPr="00FC1C3C">
        <w:t>.</w:t>
      </w:r>
      <w:r w:rsidR="0062220E" w:rsidRPr="00FC1C3C">
        <w:tab/>
        <w:t>The Committee notes</w:t>
      </w:r>
      <w:r w:rsidR="0062220E">
        <w:t xml:space="preserve"> a lack of specific protocols for the evacuation of persons with disabilities in situations of risk, humanitarian emergencies and the occurrence of natural disasters.</w:t>
      </w:r>
      <w:r w:rsidR="0062220E" w:rsidRPr="00FC1C3C">
        <w:t xml:space="preserve"> </w:t>
      </w:r>
    </w:p>
    <w:p w14:paraId="69DC6E8E" w14:textId="6D41C11F" w:rsidR="0062220E" w:rsidRPr="00FC1C3C" w:rsidRDefault="00C81900" w:rsidP="0062220E">
      <w:pPr>
        <w:pStyle w:val="SingleTxtG"/>
        <w:rPr>
          <w:b/>
          <w:bCs/>
        </w:rPr>
      </w:pPr>
      <w:r w:rsidRPr="0047472A">
        <w:rPr>
          <w:bCs/>
        </w:rPr>
        <w:t>3</w:t>
      </w:r>
      <w:r w:rsidR="0006696E" w:rsidRPr="0047472A">
        <w:rPr>
          <w:bCs/>
        </w:rPr>
        <w:t>2</w:t>
      </w:r>
      <w:r w:rsidR="0062220E" w:rsidRPr="0047472A">
        <w:rPr>
          <w:bCs/>
        </w:rPr>
        <w:t>.</w:t>
      </w:r>
      <w:r w:rsidR="0062220E" w:rsidRPr="00370305">
        <w:rPr>
          <w:b/>
        </w:rPr>
        <w:tab/>
      </w:r>
      <w:r w:rsidR="0062220E" w:rsidRPr="00370305">
        <w:rPr>
          <w:b/>
          <w:bCs/>
        </w:rPr>
        <w:t>The</w:t>
      </w:r>
      <w:r w:rsidR="0062220E" w:rsidRPr="00FC1C3C">
        <w:rPr>
          <w:b/>
          <w:bCs/>
        </w:rPr>
        <w:t xml:space="preserve"> Committee recommends that the State party:</w:t>
      </w:r>
    </w:p>
    <w:p w14:paraId="488A1A6C" w14:textId="5CA4B02C" w:rsidR="0062220E" w:rsidRPr="00921A64" w:rsidRDefault="0062220E" w:rsidP="00370305">
      <w:pPr>
        <w:pStyle w:val="SingleTxtG"/>
        <w:ind w:firstLine="567"/>
        <w:rPr>
          <w:b/>
          <w:bCs/>
        </w:rPr>
      </w:pPr>
      <w:r w:rsidRPr="00370305">
        <w:rPr>
          <w:b/>
        </w:rPr>
        <w:tab/>
        <w:t>(a)</w:t>
      </w:r>
      <w:r w:rsidRPr="00370305">
        <w:rPr>
          <w:b/>
          <w:bCs/>
        </w:rPr>
        <w:tab/>
        <w:t>Develop specific protocols for evacuation in situations of risk, humanitarian emergencies</w:t>
      </w:r>
      <w:r>
        <w:rPr>
          <w:b/>
          <w:bCs/>
        </w:rPr>
        <w:t xml:space="preserve"> and the occurrence of natural disasters, that are adapted to the specific situations of each state, providing clarity of the whereabouts of persons with disabilities and their specific requirements</w:t>
      </w:r>
      <w:r w:rsidRPr="00921A64">
        <w:rPr>
          <w:b/>
          <w:bCs/>
        </w:rPr>
        <w:t>;</w:t>
      </w:r>
    </w:p>
    <w:p w14:paraId="75247D18" w14:textId="381553D5" w:rsidR="0062220E" w:rsidRPr="00370305" w:rsidRDefault="0062220E" w:rsidP="00370305">
      <w:pPr>
        <w:pStyle w:val="SingleTxtG"/>
        <w:ind w:firstLine="567"/>
        <w:rPr>
          <w:b/>
          <w:bCs/>
        </w:rPr>
      </w:pPr>
      <w:r w:rsidRPr="00370305">
        <w:rPr>
          <w:b/>
        </w:rPr>
        <w:tab/>
        <w:t>(b)</w:t>
      </w:r>
      <w:r w:rsidRPr="00370305">
        <w:rPr>
          <w:b/>
          <w:bCs/>
        </w:rPr>
        <w:tab/>
        <w:t>Design and disseminate, in accessible formats</w:t>
      </w:r>
      <w:r w:rsidR="00A81831" w:rsidRPr="00370305">
        <w:rPr>
          <w:b/>
          <w:bCs/>
        </w:rPr>
        <w:t xml:space="preserve">, such as </w:t>
      </w:r>
      <w:r w:rsidR="0010296A" w:rsidRPr="00370305">
        <w:rPr>
          <w:b/>
          <w:bCs/>
        </w:rPr>
        <w:t>B</w:t>
      </w:r>
      <w:r w:rsidR="00A81831" w:rsidRPr="00370305">
        <w:rPr>
          <w:b/>
          <w:bCs/>
        </w:rPr>
        <w:t xml:space="preserve">raille, sign language, Easy Read and audio </w:t>
      </w:r>
      <w:r w:rsidR="0010296A" w:rsidRPr="00370305">
        <w:rPr>
          <w:b/>
          <w:bCs/>
        </w:rPr>
        <w:t xml:space="preserve">and </w:t>
      </w:r>
      <w:r w:rsidR="00A81831" w:rsidRPr="00370305">
        <w:rPr>
          <w:b/>
          <w:bCs/>
        </w:rPr>
        <w:t>video transcription,</w:t>
      </w:r>
      <w:r w:rsidRPr="00370305">
        <w:rPr>
          <w:b/>
          <w:bCs/>
        </w:rPr>
        <w:t xml:space="preserve"> in all of the State party’s official languages, including those used by the indigenous communities, information on early warning mechanisms in case of risk and humanitarian emergency, protection systems, </w:t>
      </w:r>
      <w:r w:rsidR="00D74912">
        <w:rPr>
          <w:b/>
          <w:bCs/>
        </w:rPr>
        <w:t xml:space="preserve">and </w:t>
      </w:r>
      <w:r w:rsidRPr="00370305">
        <w:rPr>
          <w:b/>
          <w:bCs/>
        </w:rPr>
        <w:t xml:space="preserve">institutional and community crisis response networks, and identify adequate places of refuge and shelters accessible to persons with disabilities in urban and rural areas;  </w:t>
      </w:r>
    </w:p>
    <w:p w14:paraId="571298A4" w14:textId="35077DD9" w:rsidR="0062220E" w:rsidRDefault="0062220E" w:rsidP="00370305">
      <w:pPr>
        <w:pStyle w:val="SingleTxtG"/>
        <w:ind w:firstLine="567"/>
        <w:rPr>
          <w:b/>
          <w:bCs/>
        </w:rPr>
      </w:pPr>
      <w:bookmarkStart w:id="2" w:name="_Hlk98930672"/>
      <w:r w:rsidRPr="00370305">
        <w:rPr>
          <w:b/>
        </w:rPr>
        <w:tab/>
        <w:t>(c)</w:t>
      </w:r>
      <w:r w:rsidRPr="00370305">
        <w:rPr>
          <w:b/>
          <w:bCs/>
        </w:rPr>
        <w:tab/>
        <w:t xml:space="preserve">Train all civil defence </w:t>
      </w:r>
      <w:bookmarkEnd w:id="2"/>
      <w:r w:rsidRPr="00370305">
        <w:rPr>
          <w:b/>
          <w:bCs/>
        </w:rPr>
        <w:t>staff in addressing issues of security and protection for persons</w:t>
      </w:r>
      <w:r w:rsidRPr="00921A64">
        <w:rPr>
          <w:b/>
          <w:bCs/>
        </w:rPr>
        <w:t xml:space="preserve"> with disabilities in situations of risk</w:t>
      </w:r>
      <w:r>
        <w:rPr>
          <w:b/>
          <w:bCs/>
        </w:rPr>
        <w:t>, humanitarian emergencies and the occurrence of natural disasters</w:t>
      </w:r>
      <w:r w:rsidRPr="00921A64">
        <w:rPr>
          <w:b/>
          <w:bCs/>
        </w:rPr>
        <w:t>.</w:t>
      </w:r>
    </w:p>
    <w:p w14:paraId="2AE3E2F1" w14:textId="5E82AAAC" w:rsidR="001232C2" w:rsidRDefault="00C81900" w:rsidP="001232C2">
      <w:pPr>
        <w:pStyle w:val="SingleTxtG"/>
      </w:pPr>
      <w:r>
        <w:t>3</w:t>
      </w:r>
      <w:r w:rsidR="0006696E">
        <w:t>3</w:t>
      </w:r>
      <w:r w:rsidR="001232C2" w:rsidRPr="00FC1C3C">
        <w:t>.</w:t>
      </w:r>
      <w:r w:rsidR="001232C2" w:rsidRPr="00FC1C3C">
        <w:tab/>
      </w:r>
      <w:r w:rsidR="001232C2">
        <w:t>The Committee notes with concern the lack of a disability-inclusive response to the disproportionate impact of the COVID-19 pandemic on persons with disabilities, in particular women and girls with disabilities</w:t>
      </w:r>
      <w:r w:rsidR="00DB68A1">
        <w:t xml:space="preserve"> and persons with disabilities living in institutions. </w:t>
      </w:r>
      <w:r w:rsidR="001232C2">
        <w:t xml:space="preserve">The Committee is </w:t>
      </w:r>
      <w:r w:rsidR="001870CB">
        <w:t xml:space="preserve">also </w:t>
      </w:r>
      <w:r w:rsidR="001232C2">
        <w:t xml:space="preserve">concerned about the lack of data </w:t>
      </w:r>
      <w:r w:rsidR="00DB68A1">
        <w:t>on</w:t>
      </w:r>
      <w:r w:rsidR="001232C2">
        <w:t xml:space="preserve"> the impact of the pandemic on persons with disabilities.</w:t>
      </w:r>
    </w:p>
    <w:p w14:paraId="01EA1117" w14:textId="2187DF63" w:rsidR="00BF3089" w:rsidRPr="008A7959" w:rsidRDefault="00C81900" w:rsidP="00BF3089">
      <w:pPr>
        <w:pStyle w:val="SingleTxtG"/>
        <w:rPr>
          <w:b/>
          <w:bCs/>
        </w:rPr>
      </w:pPr>
      <w:r w:rsidRPr="0047472A">
        <w:rPr>
          <w:bCs/>
        </w:rPr>
        <w:t>3</w:t>
      </w:r>
      <w:r w:rsidR="0006696E" w:rsidRPr="0047472A">
        <w:rPr>
          <w:bCs/>
        </w:rPr>
        <w:t>4</w:t>
      </w:r>
      <w:r w:rsidR="00BF3089" w:rsidRPr="0047472A">
        <w:rPr>
          <w:bCs/>
        </w:rPr>
        <w:t>.</w:t>
      </w:r>
      <w:r w:rsidR="00BF3089" w:rsidRPr="00370305">
        <w:rPr>
          <w:b/>
          <w:bCs/>
        </w:rPr>
        <w:tab/>
        <w:t>The</w:t>
      </w:r>
      <w:r w:rsidR="00BF3089" w:rsidRPr="008A7959">
        <w:rPr>
          <w:b/>
          <w:bCs/>
        </w:rPr>
        <w:t xml:space="preserve"> Committee recommends that the State party </w:t>
      </w:r>
      <w:r w:rsidR="0007690D">
        <w:rPr>
          <w:b/>
          <w:bCs/>
        </w:rPr>
        <w:t>follow</w:t>
      </w:r>
      <w:r w:rsidR="00BF3089" w:rsidRPr="008A7959">
        <w:rPr>
          <w:b/>
          <w:bCs/>
        </w:rPr>
        <w:t xml:space="preserve"> the guidance issued by the Office of the United Nations High Commissioner for Human Rights on COVID-19 and the rights of persons with disabilities and the Secretary-General’s policy brief on a disability-inclusive response to COVID-19</w:t>
      </w:r>
      <w:r w:rsidR="00942B2D">
        <w:rPr>
          <w:b/>
          <w:bCs/>
        </w:rPr>
        <w:t>, and</w:t>
      </w:r>
      <w:r w:rsidR="00D712FF">
        <w:rPr>
          <w:b/>
          <w:bCs/>
        </w:rPr>
        <w:t xml:space="preserve"> that it</w:t>
      </w:r>
      <w:r w:rsidR="00BF3089" w:rsidRPr="008A7959">
        <w:rPr>
          <w:b/>
          <w:bCs/>
        </w:rPr>
        <w:t xml:space="preserve">:  </w:t>
      </w:r>
    </w:p>
    <w:p w14:paraId="1996B895" w14:textId="2224D5A7" w:rsidR="00B51950" w:rsidRDefault="00B51950" w:rsidP="00370305">
      <w:pPr>
        <w:pStyle w:val="SingleTxtG"/>
        <w:ind w:firstLine="567"/>
        <w:rPr>
          <w:b/>
          <w:bCs/>
        </w:rPr>
      </w:pPr>
      <w:r w:rsidRPr="00370305">
        <w:rPr>
          <w:b/>
        </w:rPr>
        <w:tab/>
        <w:t>(a)</w:t>
      </w:r>
      <w:r w:rsidRPr="00370305">
        <w:rPr>
          <w:b/>
          <w:bCs/>
        </w:rPr>
        <w:tab/>
        <w:t xml:space="preserve">Adopt a disability-inclusive response to the COVID-19 pandemic </w:t>
      </w:r>
      <w:r w:rsidR="00922087">
        <w:rPr>
          <w:b/>
          <w:bCs/>
        </w:rPr>
        <w:t>for</w:t>
      </w:r>
      <w:r w:rsidRPr="00370305">
        <w:rPr>
          <w:b/>
          <w:bCs/>
        </w:rPr>
        <w:t xml:space="preserve"> persons with disabilities by implementing emergency deinstitutionalization of persons with disabilities, preventing their abandonment in their homes and providing them with the necessary</w:t>
      </w:r>
      <w:r w:rsidRPr="008A7959">
        <w:rPr>
          <w:b/>
          <w:bCs/>
        </w:rPr>
        <w:t xml:space="preserve"> support to live in the community in safe conditions;</w:t>
      </w:r>
    </w:p>
    <w:p w14:paraId="527FE7AA" w14:textId="0119A1C7" w:rsidR="00B51950" w:rsidRPr="00370305" w:rsidRDefault="00B51950" w:rsidP="00370305">
      <w:pPr>
        <w:pStyle w:val="SingleTxtG"/>
        <w:ind w:firstLine="567"/>
        <w:rPr>
          <w:b/>
          <w:bCs/>
        </w:rPr>
      </w:pPr>
      <w:r w:rsidRPr="00370305">
        <w:rPr>
          <w:b/>
        </w:rPr>
        <w:lastRenderedPageBreak/>
        <w:tab/>
        <w:t>(b)</w:t>
      </w:r>
      <w:r w:rsidRPr="00370305">
        <w:rPr>
          <w:b/>
          <w:bCs/>
        </w:rPr>
        <w:tab/>
      </w:r>
      <w:r w:rsidRPr="00370305">
        <w:rPr>
          <w:rFonts w:hint="eastAsia"/>
          <w:b/>
          <w:bCs/>
        </w:rPr>
        <w:t>Implement support program</w:t>
      </w:r>
      <w:r w:rsidR="00922087">
        <w:rPr>
          <w:b/>
          <w:bCs/>
        </w:rPr>
        <w:t>me</w:t>
      </w:r>
      <w:r w:rsidRPr="00370305">
        <w:rPr>
          <w:rFonts w:hint="eastAsia"/>
          <w:b/>
          <w:bCs/>
        </w:rPr>
        <w:t xml:space="preserve">s for </w:t>
      </w:r>
      <w:r w:rsidRPr="00370305">
        <w:rPr>
          <w:b/>
          <w:bCs/>
        </w:rPr>
        <w:t>persons</w:t>
      </w:r>
      <w:r w:rsidRPr="00370305">
        <w:rPr>
          <w:rFonts w:hint="eastAsia"/>
          <w:b/>
          <w:bCs/>
        </w:rPr>
        <w:t xml:space="preserve"> with disabilities to address the aggravated consequences of the pandemic, considering specific measures for women with disabilities regarding economic empowerment, access to health services, including sexual </w:t>
      </w:r>
      <w:r w:rsidRPr="00370305">
        <w:rPr>
          <w:b/>
          <w:bCs/>
        </w:rPr>
        <w:t>and reproductive</w:t>
      </w:r>
      <w:r w:rsidR="00157742" w:rsidRPr="00370305">
        <w:rPr>
          <w:b/>
          <w:bCs/>
        </w:rPr>
        <w:t xml:space="preserve"> health</w:t>
      </w:r>
      <w:r w:rsidRPr="00370305">
        <w:rPr>
          <w:b/>
          <w:bCs/>
        </w:rPr>
        <w:t xml:space="preserve"> rights, and </w:t>
      </w:r>
      <w:r w:rsidR="00536889">
        <w:rPr>
          <w:b/>
          <w:bCs/>
        </w:rPr>
        <w:t xml:space="preserve">provision of </w:t>
      </w:r>
      <w:r w:rsidRPr="00370305">
        <w:rPr>
          <w:b/>
          <w:bCs/>
        </w:rPr>
        <w:t>information in accessible formats, as well as measures for persons with disabilities living in institutions;</w:t>
      </w:r>
    </w:p>
    <w:p w14:paraId="3741EF45" w14:textId="2348CFA4" w:rsidR="00B51950" w:rsidRPr="00370305" w:rsidRDefault="00B51950" w:rsidP="00370305">
      <w:pPr>
        <w:pStyle w:val="SingleTxtG"/>
        <w:ind w:firstLine="567"/>
        <w:rPr>
          <w:b/>
          <w:bCs/>
        </w:rPr>
      </w:pPr>
      <w:r w:rsidRPr="00370305">
        <w:rPr>
          <w:b/>
        </w:rPr>
        <w:tab/>
        <w:t>(c)</w:t>
      </w:r>
      <w:r w:rsidRPr="00370305">
        <w:rPr>
          <w:b/>
          <w:bCs/>
        </w:rPr>
        <w:tab/>
      </w:r>
      <w:r w:rsidRPr="00370305">
        <w:rPr>
          <w:rFonts w:hint="eastAsia"/>
          <w:b/>
          <w:bCs/>
        </w:rPr>
        <w:t xml:space="preserve">Compile data on </w:t>
      </w:r>
      <w:r w:rsidRPr="00370305">
        <w:rPr>
          <w:b/>
          <w:bCs/>
        </w:rPr>
        <w:t>infections, illness and death of</w:t>
      </w:r>
      <w:r w:rsidR="00983212" w:rsidRPr="00370305">
        <w:rPr>
          <w:b/>
          <w:bCs/>
        </w:rPr>
        <w:t xml:space="preserve"> persons</w:t>
      </w:r>
      <w:r w:rsidRPr="00370305">
        <w:rPr>
          <w:b/>
          <w:bCs/>
        </w:rPr>
        <w:t xml:space="preserve"> </w:t>
      </w:r>
      <w:r w:rsidRPr="00370305">
        <w:rPr>
          <w:rFonts w:hint="eastAsia"/>
          <w:b/>
          <w:bCs/>
        </w:rPr>
        <w:t>with disabilities</w:t>
      </w:r>
      <w:r w:rsidRPr="00370305">
        <w:rPr>
          <w:b/>
          <w:bCs/>
        </w:rPr>
        <w:t xml:space="preserve"> </w:t>
      </w:r>
      <w:r w:rsidRPr="00370305">
        <w:rPr>
          <w:rFonts w:hint="eastAsia"/>
          <w:b/>
          <w:bCs/>
        </w:rPr>
        <w:t xml:space="preserve">as a result of </w:t>
      </w:r>
      <w:r w:rsidR="00C72993">
        <w:rPr>
          <w:b/>
          <w:bCs/>
        </w:rPr>
        <w:t>SARS</w:t>
      </w:r>
      <w:r w:rsidR="00B57F9F">
        <w:rPr>
          <w:b/>
          <w:bCs/>
        </w:rPr>
        <w:t>-CoV-2</w:t>
      </w:r>
      <w:r w:rsidRPr="00370305">
        <w:rPr>
          <w:rFonts w:hint="eastAsia"/>
          <w:b/>
          <w:bCs/>
        </w:rPr>
        <w:t xml:space="preserve">, </w:t>
      </w:r>
      <w:r w:rsidRPr="00370305">
        <w:rPr>
          <w:b/>
          <w:bCs/>
        </w:rPr>
        <w:t>disaggregated by</w:t>
      </w:r>
      <w:r w:rsidRPr="00370305">
        <w:rPr>
          <w:rFonts w:hint="eastAsia"/>
          <w:b/>
          <w:bCs/>
        </w:rPr>
        <w:t xml:space="preserve"> type of </w:t>
      </w:r>
      <w:r w:rsidRPr="00370305">
        <w:rPr>
          <w:b/>
          <w:bCs/>
        </w:rPr>
        <w:t>impairment, gender, residence in rural and urban areas and socioeconomic status;</w:t>
      </w:r>
    </w:p>
    <w:p w14:paraId="61DD90FD" w14:textId="77777777" w:rsidR="00B51950" w:rsidRDefault="00B51950" w:rsidP="00370305">
      <w:pPr>
        <w:pStyle w:val="SingleTxtG"/>
        <w:ind w:firstLine="567"/>
        <w:rPr>
          <w:b/>
          <w:bCs/>
        </w:rPr>
      </w:pPr>
      <w:r w:rsidRPr="00370305">
        <w:rPr>
          <w:b/>
        </w:rPr>
        <w:tab/>
        <w:t>(d)</w:t>
      </w:r>
      <w:r w:rsidRPr="00370305">
        <w:rPr>
          <w:b/>
          <w:bCs/>
        </w:rPr>
        <w:tab/>
      </w:r>
      <w:r w:rsidR="00896635" w:rsidRPr="00370305">
        <w:rPr>
          <w:b/>
          <w:bCs/>
        </w:rPr>
        <w:t>Closely consult with and i</w:t>
      </w:r>
      <w:r w:rsidR="00BF3089" w:rsidRPr="00370305">
        <w:rPr>
          <w:b/>
          <w:bCs/>
        </w:rPr>
        <w:t xml:space="preserve">nvolve persons with disabilities, in particular women and girls with disabilities, and their representative organizations at all stages of </w:t>
      </w:r>
      <w:r w:rsidR="00896635" w:rsidRPr="00370305">
        <w:rPr>
          <w:b/>
          <w:bCs/>
        </w:rPr>
        <w:t>the development and imp</w:t>
      </w:r>
      <w:r w:rsidR="00896635">
        <w:rPr>
          <w:b/>
          <w:bCs/>
        </w:rPr>
        <w:t>lementation of</w:t>
      </w:r>
      <w:r w:rsidR="00BF3089" w:rsidRPr="008A7959">
        <w:rPr>
          <w:b/>
          <w:bCs/>
        </w:rPr>
        <w:t xml:space="preserve"> COVID-19 response</w:t>
      </w:r>
      <w:r w:rsidR="00896635">
        <w:rPr>
          <w:b/>
          <w:bCs/>
        </w:rPr>
        <w:t xml:space="preserve"> and</w:t>
      </w:r>
      <w:r w:rsidR="001870CB">
        <w:rPr>
          <w:b/>
          <w:bCs/>
        </w:rPr>
        <w:t xml:space="preserve"> </w:t>
      </w:r>
      <w:r w:rsidR="00BF3089" w:rsidRPr="008A7959">
        <w:rPr>
          <w:b/>
          <w:bCs/>
        </w:rPr>
        <w:t>recovery plans</w:t>
      </w:r>
      <w:r w:rsidR="007852C4">
        <w:rPr>
          <w:b/>
          <w:bCs/>
        </w:rPr>
        <w:t>,</w:t>
      </w:r>
      <w:r w:rsidR="001870CB">
        <w:rPr>
          <w:b/>
          <w:bCs/>
        </w:rPr>
        <w:t xml:space="preserve"> and </w:t>
      </w:r>
      <w:r w:rsidR="007852C4">
        <w:rPr>
          <w:b/>
          <w:bCs/>
        </w:rPr>
        <w:t xml:space="preserve">in the preparation </w:t>
      </w:r>
      <w:r w:rsidR="00896635">
        <w:rPr>
          <w:b/>
          <w:bCs/>
        </w:rPr>
        <w:t>of such plans for future crises.</w:t>
      </w:r>
    </w:p>
    <w:p w14:paraId="0D801ACA" w14:textId="10683613" w:rsidR="0062220E" w:rsidRPr="007852C4" w:rsidRDefault="00F6318D" w:rsidP="0047472A">
      <w:pPr>
        <w:pStyle w:val="H23G"/>
        <w:rPr>
          <w:bCs/>
        </w:rPr>
      </w:pPr>
      <w:r>
        <w:tab/>
      </w:r>
      <w:r>
        <w:tab/>
      </w:r>
      <w:r w:rsidR="0062220E" w:rsidRPr="0062220E">
        <w:t>Equal recognition before the law (art. 12)</w:t>
      </w:r>
    </w:p>
    <w:p w14:paraId="14F99922" w14:textId="630E2AC2" w:rsidR="009A2BB6" w:rsidRPr="0001659B" w:rsidRDefault="0062220E" w:rsidP="0001659B">
      <w:pPr>
        <w:pStyle w:val="SingleTxtG"/>
        <w:rPr>
          <w:color w:val="000000" w:themeColor="text1"/>
        </w:rPr>
      </w:pPr>
      <w:r w:rsidRPr="00F705A5">
        <w:t>3</w:t>
      </w:r>
      <w:r w:rsidR="0006696E">
        <w:t>5</w:t>
      </w:r>
      <w:r w:rsidRPr="00F75F85">
        <w:t>.</w:t>
      </w:r>
      <w:r w:rsidRPr="00F75F85">
        <w:tab/>
      </w:r>
      <w:r w:rsidRPr="003A3C20">
        <w:t xml:space="preserve">With reference to </w:t>
      </w:r>
      <w:r w:rsidR="007A13C8" w:rsidRPr="0047472A">
        <w:t xml:space="preserve">paragraph 23 of </w:t>
      </w:r>
      <w:r w:rsidRPr="003A3C20">
        <w:t xml:space="preserve">its previous </w:t>
      </w:r>
      <w:r w:rsidR="00F75F85" w:rsidRPr="003A3C20">
        <w:t>c</w:t>
      </w:r>
      <w:r w:rsidRPr="003A3C20">
        <w:t>oncluding</w:t>
      </w:r>
      <w:r w:rsidRPr="00F75F85">
        <w:t xml:space="preserve"> </w:t>
      </w:r>
      <w:r w:rsidR="00F75F85" w:rsidRPr="00F75F85">
        <w:t>o</w:t>
      </w:r>
      <w:r w:rsidRPr="00F75F85">
        <w:t>bservations,</w:t>
      </w:r>
      <w:r>
        <w:t xml:space="preserve"> t</w:t>
      </w:r>
      <w:r w:rsidRPr="00F705A5">
        <w:t>he Committee is concerned</w:t>
      </w:r>
      <w:r>
        <w:t xml:space="preserve"> about provisions in the Federal Civil Code and the Federal District Civil Code that contain rules on legal incapacity and guardianship for adults with disabilities, despite a judgment by the National Supreme Court of Justice of 2019. It is equally concerned about the rules conferring guardianship of children in institutions </w:t>
      </w:r>
      <w:r w:rsidR="00896635">
        <w:t>on</w:t>
      </w:r>
      <w:r>
        <w:t xml:space="preserve"> the institution housing them.</w:t>
      </w:r>
      <w:r w:rsidR="00D37AA1">
        <w:t xml:space="preserve"> </w:t>
      </w:r>
      <w:r w:rsidR="001F5F71" w:rsidRPr="00D37AA1">
        <w:rPr>
          <w:color w:val="000000" w:themeColor="text1"/>
        </w:rPr>
        <w:t xml:space="preserve">The Committee </w:t>
      </w:r>
      <w:r w:rsidR="0001659B">
        <w:rPr>
          <w:color w:val="000000" w:themeColor="text1"/>
        </w:rPr>
        <w:t xml:space="preserve">also </w:t>
      </w:r>
      <w:r w:rsidR="001F5F71" w:rsidRPr="00D37AA1">
        <w:rPr>
          <w:color w:val="000000" w:themeColor="text1"/>
        </w:rPr>
        <w:t>notes with concern</w:t>
      </w:r>
      <w:r w:rsidR="0001659B">
        <w:rPr>
          <w:color w:val="000000" w:themeColor="text1"/>
        </w:rPr>
        <w:t xml:space="preserve"> that the </w:t>
      </w:r>
      <w:r w:rsidR="000B3872">
        <w:rPr>
          <w:color w:val="000000" w:themeColor="text1"/>
        </w:rPr>
        <w:t>proposed</w:t>
      </w:r>
      <w:r w:rsidR="00DC7384">
        <w:rPr>
          <w:color w:val="000000" w:themeColor="text1"/>
        </w:rPr>
        <w:t xml:space="preserve"> </w:t>
      </w:r>
      <w:r w:rsidR="003E6B41">
        <w:rPr>
          <w:color w:val="000000" w:themeColor="text1"/>
        </w:rPr>
        <w:t>n</w:t>
      </w:r>
      <w:r w:rsidR="0001659B">
        <w:rPr>
          <w:color w:val="000000" w:themeColor="text1"/>
        </w:rPr>
        <w:t xml:space="preserve">ational </w:t>
      </w:r>
      <w:r w:rsidR="003E6B41">
        <w:rPr>
          <w:color w:val="000000" w:themeColor="text1"/>
        </w:rPr>
        <w:t>c</w:t>
      </w:r>
      <w:r w:rsidR="0001659B">
        <w:rPr>
          <w:color w:val="000000" w:themeColor="text1"/>
        </w:rPr>
        <w:t xml:space="preserve">ode for </w:t>
      </w:r>
      <w:r w:rsidR="003E6B41">
        <w:rPr>
          <w:color w:val="000000" w:themeColor="text1"/>
        </w:rPr>
        <w:t>c</w:t>
      </w:r>
      <w:r w:rsidR="0001659B">
        <w:rPr>
          <w:color w:val="000000" w:themeColor="text1"/>
        </w:rPr>
        <w:t xml:space="preserve">ivil and </w:t>
      </w:r>
      <w:r w:rsidR="003E6B41">
        <w:rPr>
          <w:color w:val="000000" w:themeColor="text1"/>
        </w:rPr>
        <w:t>f</w:t>
      </w:r>
      <w:r w:rsidR="0001659B">
        <w:rPr>
          <w:color w:val="000000" w:themeColor="text1"/>
        </w:rPr>
        <w:t xml:space="preserve">amily </w:t>
      </w:r>
      <w:r w:rsidR="0096035C">
        <w:rPr>
          <w:color w:val="000000" w:themeColor="text1"/>
        </w:rPr>
        <w:t>p</w:t>
      </w:r>
      <w:r w:rsidR="0001659B">
        <w:rPr>
          <w:color w:val="000000" w:themeColor="text1"/>
        </w:rPr>
        <w:t>rocedures fails to provide support measures allowing persons with disabilities to exercise their legal capacity, and</w:t>
      </w:r>
      <w:r w:rsidR="001F5F71" w:rsidRPr="00D37AA1">
        <w:rPr>
          <w:color w:val="000000" w:themeColor="text1"/>
        </w:rPr>
        <w:t xml:space="preserve"> that</w:t>
      </w:r>
      <w:r w:rsidR="0096035C">
        <w:rPr>
          <w:color w:val="000000" w:themeColor="text1"/>
        </w:rPr>
        <w:t>, in</w:t>
      </w:r>
      <w:r w:rsidR="0001659B">
        <w:rPr>
          <w:color w:val="000000" w:themeColor="text1"/>
        </w:rPr>
        <w:t xml:space="preserve"> particular</w:t>
      </w:r>
      <w:r w:rsidR="0096035C">
        <w:rPr>
          <w:color w:val="000000" w:themeColor="text1"/>
        </w:rPr>
        <w:t>,</w:t>
      </w:r>
      <w:r w:rsidR="0001659B">
        <w:rPr>
          <w:color w:val="000000" w:themeColor="text1"/>
        </w:rPr>
        <w:t xml:space="preserve"> women with disabilities</w:t>
      </w:r>
      <w:r w:rsidR="00DC7384">
        <w:rPr>
          <w:color w:val="000000" w:themeColor="text1"/>
        </w:rPr>
        <w:t>,</w:t>
      </w:r>
      <w:r w:rsidR="0001659B">
        <w:rPr>
          <w:color w:val="000000" w:themeColor="text1"/>
        </w:rPr>
        <w:t xml:space="preserve"> persons with intellectual</w:t>
      </w:r>
      <w:r w:rsidR="00DC7384">
        <w:rPr>
          <w:color w:val="000000" w:themeColor="text1"/>
        </w:rPr>
        <w:t xml:space="preserve"> disabilities</w:t>
      </w:r>
      <w:r w:rsidR="0001659B">
        <w:rPr>
          <w:color w:val="000000" w:themeColor="text1"/>
        </w:rPr>
        <w:t xml:space="preserve"> and</w:t>
      </w:r>
      <w:r w:rsidR="00DC7384">
        <w:rPr>
          <w:color w:val="000000" w:themeColor="text1"/>
        </w:rPr>
        <w:t xml:space="preserve"> persons with</w:t>
      </w:r>
      <w:r w:rsidR="0001659B">
        <w:rPr>
          <w:color w:val="000000" w:themeColor="text1"/>
        </w:rPr>
        <w:t xml:space="preserve"> psychosocial disabilities are disproportionately impacted by substituted decision-making regimes.</w:t>
      </w:r>
    </w:p>
    <w:p w14:paraId="49B26252" w14:textId="645DAC01" w:rsidR="00BA1A5A" w:rsidRPr="00375C8C" w:rsidRDefault="00C81900" w:rsidP="00375C8C">
      <w:pPr>
        <w:pStyle w:val="SingleTxtG"/>
        <w:rPr>
          <w:b/>
          <w:bCs/>
          <w:color w:val="000000" w:themeColor="text1"/>
        </w:rPr>
      </w:pPr>
      <w:r w:rsidRPr="0047472A">
        <w:rPr>
          <w:bCs/>
          <w:color w:val="000000" w:themeColor="text1"/>
        </w:rPr>
        <w:t>3</w:t>
      </w:r>
      <w:r w:rsidR="0006696E" w:rsidRPr="0047472A">
        <w:rPr>
          <w:bCs/>
          <w:color w:val="000000" w:themeColor="text1"/>
        </w:rPr>
        <w:t>6</w:t>
      </w:r>
      <w:r w:rsidR="001F5F71" w:rsidRPr="0047472A">
        <w:rPr>
          <w:bCs/>
          <w:color w:val="000000" w:themeColor="text1"/>
        </w:rPr>
        <w:t>.</w:t>
      </w:r>
      <w:r w:rsidR="001F5F71" w:rsidRPr="00370305">
        <w:rPr>
          <w:b/>
          <w:color w:val="000000" w:themeColor="text1"/>
        </w:rPr>
        <w:tab/>
        <w:t>T</w:t>
      </w:r>
      <w:r w:rsidR="001F5F71" w:rsidRPr="00370305">
        <w:rPr>
          <w:b/>
          <w:bCs/>
          <w:color w:val="000000" w:themeColor="text1"/>
        </w:rPr>
        <w:t>he</w:t>
      </w:r>
      <w:r w:rsidR="001F5F71" w:rsidRPr="00004C00">
        <w:rPr>
          <w:b/>
          <w:bCs/>
          <w:color w:val="000000" w:themeColor="text1"/>
        </w:rPr>
        <w:t xml:space="preserve"> Committee recommends that the State party, </w:t>
      </w:r>
      <w:r w:rsidR="001F5F71" w:rsidRPr="001F5F71">
        <w:rPr>
          <w:b/>
          <w:bCs/>
          <w:color w:val="000000" w:themeColor="text1"/>
        </w:rPr>
        <w:t xml:space="preserve">in </w:t>
      </w:r>
      <w:r w:rsidR="00150D86">
        <w:rPr>
          <w:b/>
          <w:bCs/>
          <w:color w:val="000000" w:themeColor="text1"/>
        </w:rPr>
        <w:t>accordance with</w:t>
      </w:r>
      <w:r w:rsidR="001F5F71" w:rsidRPr="00004C00">
        <w:rPr>
          <w:b/>
          <w:bCs/>
          <w:color w:val="000000" w:themeColor="text1"/>
        </w:rPr>
        <w:t xml:space="preserve"> the Committee’s general comment No. 1 (2014) on equal recognition before the law:</w:t>
      </w:r>
    </w:p>
    <w:p w14:paraId="5E378042" w14:textId="377F8A8C" w:rsidR="00BA1A5A" w:rsidRDefault="00BA1A5A" w:rsidP="00370305">
      <w:pPr>
        <w:pStyle w:val="SingleTxtG"/>
        <w:ind w:firstLine="567"/>
        <w:rPr>
          <w:b/>
          <w:bCs/>
        </w:rPr>
      </w:pPr>
      <w:r w:rsidRPr="00370305">
        <w:rPr>
          <w:b/>
        </w:rPr>
        <w:tab/>
        <w:t>(a)</w:t>
      </w:r>
      <w:r w:rsidRPr="00370305">
        <w:rPr>
          <w:b/>
          <w:bCs/>
        </w:rPr>
        <w:tab/>
      </w:r>
      <w:r w:rsidRPr="00370305">
        <w:rPr>
          <w:b/>
          <w:bCs/>
          <w:color w:val="000000" w:themeColor="text1"/>
        </w:rPr>
        <w:t>Adopt laws and policies that replace the substitute decision-making system with supported decision-making mechanisms that respect the autonomy, will and preference of</w:t>
      </w:r>
      <w:r w:rsidRPr="001F5F71">
        <w:rPr>
          <w:b/>
          <w:bCs/>
          <w:color w:val="000000" w:themeColor="text1"/>
        </w:rPr>
        <w:t xml:space="preserve"> persons with disabilities, and </w:t>
      </w:r>
      <w:r w:rsidRPr="00495C73">
        <w:rPr>
          <w:b/>
          <w:bCs/>
          <w:color w:val="000000" w:themeColor="text1"/>
        </w:rPr>
        <w:t xml:space="preserve">ensure </w:t>
      </w:r>
      <w:r>
        <w:rPr>
          <w:b/>
          <w:bCs/>
          <w:color w:val="000000" w:themeColor="text1"/>
        </w:rPr>
        <w:t>effective</w:t>
      </w:r>
      <w:r w:rsidRPr="00495C73">
        <w:rPr>
          <w:b/>
          <w:bCs/>
          <w:color w:val="000000" w:themeColor="text1"/>
        </w:rPr>
        <w:t xml:space="preserve"> participation of women</w:t>
      </w:r>
      <w:r w:rsidRPr="001F5F71">
        <w:rPr>
          <w:b/>
          <w:bCs/>
          <w:color w:val="000000" w:themeColor="text1"/>
        </w:rPr>
        <w:t xml:space="preserve"> with disabilities to inform the drafting of laws and policies;</w:t>
      </w:r>
    </w:p>
    <w:p w14:paraId="729BE2E3" w14:textId="6583DFB0" w:rsidR="00BA1A5A" w:rsidRPr="00370305" w:rsidRDefault="00BA1A5A" w:rsidP="00370305">
      <w:pPr>
        <w:pStyle w:val="SingleTxtG"/>
        <w:ind w:firstLine="567"/>
        <w:rPr>
          <w:b/>
          <w:bCs/>
        </w:rPr>
      </w:pPr>
      <w:r w:rsidRPr="00370305">
        <w:rPr>
          <w:b/>
        </w:rPr>
        <w:tab/>
        <w:t>(b)</w:t>
      </w:r>
      <w:r w:rsidRPr="00370305">
        <w:rPr>
          <w:b/>
          <w:bCs/>
        </w:rPr>
        <w:tab/>
      </w:r>
      <w:r w:rsidRPr="00370305">
        <w:rPr>
          <w:b/>
          <w:bCs/>
          <w:color w:val="000000" w:themeColor="text1"/>
        </w:rPr>
        <w:t>Review all federal and state legislation with a view to eliminating all restrictions of rights as a result of a declaration of legal incompetence or on the grounds of a person’s disability;</w:t>
      </w:r>
    </w:p>
    <w:p w14:paraId="66ED8742" w14:textId="3AE91A03" w:rsidR="00013BE9" w:rsidRPr="001C6CE7" w:rsidRDefault="00BA1A5A" w:rsidP="00370305">
      <w:pPr>
        <w:pStyle w:val="SingleTxtG"/>
        <w:ind w:firstLine="567"/>
        <w:rPr>
          <w:color w:val="000000" w:themeColor="text1"/>
        </w:rPr>
      </w:pPr>
      <w:r w:rsidRPr="00370305">
        <w:rPr>
          <w:b/>
        </w:rPr>
        <w:tab/>
        <w:t>(c)</w:t>
      </w:r>
      <w:r w:rsidRPr="00370305">
        <w:rPr>
          <w:b/>
          <w:bCs/>
        </w:rPr>
        <w:tab/>
      </w:r>
      <w:r w:rsidRPr="00370305">
        <w:rPr>
          <w:b/>
          <w:bCs/>
          <w:color w:val="000000" w:themeColor="text1"/>
        </w:rPr>
        <w:t>Provide</w:t>
      </w:r>
      <w:r w:rsidRPr="001F5F71">
        <w:rPr>
          <w:b/>
          <w:bCs/>
          <w:color w:val="000000" w:themeColor="text1"/>
        </w:rPr>
        <w:t xml:space="preserve"> training</w:t>
      </w:r>
      <w:r>
        <w:rPr>
          <w:b/>
          <w:bCs/>
          <w:color w:val="000000" w:themeColor="text1"/>
        </w:rPr>
        <w:t xml:space="preserve"> on the requirements of the right to legal capacity of persons with disabilities</w:t>
      </w:r>
      <w:r w:rsidRPr="001F5F71">
        <w:rPr>
          <w:b/>
          <w:bCs/>
          <w:color w:val="000000" w:themeColor="text1"/>
        </w:rPr>
        <w:t xml:space="preserve"> to the authorities, including courts</w:t>
      </w:r>
      <w:r>
        <w:rPr>
          <w:b/>
          <w:bCs/>
          <w:color w:val="000000" w:themeColor="text1"/>
        </w:rPr>
        <w:t>.</w:t>
      </w:r>
    </w:p>
    <w:p w14:paraId="75E4FEA3" w14:textId="77777777" w:rsidR="00EC449C" w:rsidRPr="00404879" w:rsidRDefault="00EC449C" w:rsidP="000D6F28">
      <w:pPr>
        <w:pStyle w:val="H23G"/>
      </w:pPr>
      <w:r w:rsidRPr="00404879">
        <w:tab/>
      </w:r>
      <w:r w:rsidRPr="00404879">
        <w:tab/>
        <w:t xml:space="preserve">Access to justice (art. 13) </w:t>
      </w:r>
    </w:p>
    <w:p w14:paraId="70535503" w14:textId="6BFFB0FD" w:rsidR="007F01CF" w:rsidRPr="00DB5C53" w:rsidRDefault="00C81900" w:rsidP="007F01CF">
      <w:pPr>
        <w:pStyle w:val="SingleTxtG"/>
      </w:pPr>
      <w:r>
        <w:t>3</w:t>
      </w:r>
      <w:r w:rsidR="0006696E">
        <w:t>7</w:t>
      </w:r>
      <w:r w:rsidR="0062220E" w:rsidRPr="00DB5C53">
        <w:t>.</w:t>
      </w:r>
      <w:r w:rsidR="0062220E" w:rsidRPr="00DB5C53">
        <w:tab/>
      </w:r>
      <w:r w:rsidR="0062220E">
        <w:t xml:space="preserve">With </w:t>
      </w:r>
      <w:r w:rsidR="002516C3">
        <w:t>reference to paragraph 25 of</w:t>
      </w:r>
      <w:r w:rsidR="0062220E">
        <w:t xml:space="preserve"> its previous </w:t>
      </w:r>
      <w:r w:rsidR="007848F5">
        <w:t>c</w:t>
      </w:r>
      <w:r w:rsidR="0062220E">
        <w:t xml:space="preserve">oncluding </w:t>
      </w:r>
      <w:r w:rsidR="007848F5">
        <w:t>o</w:t>
      </w:r>
      <w:r w:rsidR="0062220E">
        <w:t>bservations, t</w:t>
      </w:r>
      <w:r w:rsidR="0062220E" w:rsidRPr="00DB5C53">
        <w:t xml:space="preserve">he Committee is concerned </w:t>
      </w:r>
      <w:r w:rsidR="0062220E">
        <w:t>about</w:t>
      </w:r>
      <w:r w:rsidR="0062220E" w:rsidRPr="00DB5C53">
        <w:t xml:space="preserve"> limited access to justice of persons with disabilities</w:t>
      </w:r>
      <w:r w:rsidR="0062220E">
        <w:t>, particularly those</w:t>
      </w:r>
      <w:r w:rsidR="0062220E" w:rsidRPr="00DB5C53">
        <w:t xml:space="preserve"> from indigenous communities</w:t>
      </w:r>
      <w:r w:rsidR="0062220E">
        <w:t xml:space="preserve">, </w:t>
      </w:r>
      <w:r w:rsidR="0062220E" w:rsidRPr="00DB5C53">
        <w:t>women and girls with disabilities who are victims of violence and abuse, persons with disabilities living in institutions and children with disabilities</w:t>
      </w:r>
      <w:r w:rsidR="00BC302D">
        <w:t xml:space="preserve">, resulting in </w:t>
      </w:r>
      <w:r w:rsidR="00CE57E5">
        <w:t xml:space="preserve">seemingly wide-spread impunity of perpetrators of crimes committed against persons with disabilities in institutions or under guardianship, particularly women and </w:t>
      </w:r>
      <w:r w:rsidR="00BC302D">
        <w:t>children</w:t>
      </w:r>
      <w:r w:rsidR="00CE57E5">
        <w:t xml:space="preserve"> with intellectual and psychosocial disabilities. </w:t>
      </w:r>
      <w:r w:rsidR="007F01CF">
        <w:t>The Committee notes with concern that</w:t>
      </w:r>
      <w:r w:rsidR="006A14EA">
        <w:t>, in</w:t>
      </w:r>
      <w:r w:rsidR="0031660F">
        <w:t xml:space="preserve"> particular</w:t>
      </w:r>
      <w:r w:rsidR="006A14EA">
        <w:t>,</w:t>
      </w:r>
      <w:r w:rsidR="007F01CF">
        <w:t xml:space="preserve"> women with disabilit</w:t>
      </w:r>
      <w:r w:rsidR="0031660F">
        <w:t>ies</w:t>
      </w:r>
      <w:r w:rsidR="007F01CF">
        <w:t xml:space="preserve"> </w:t>
      </w:r>
      <w:r w:rsidR="0031660F">
        <w:t>face</w:t>
      </w:r>
      <w:r w:rsidR="007F01CF">
        <w:t xml:space="preserve"> financial, linguistic and geographic </w:t>
      </w:r>
      <w:r w:rsidR="0031660F">
        <w:t>restrictions of their right to access to justice, as well as a lack of reasonable and procedural accommodation.</w:t>
      </w:r>
      <w:r w:rsidR="00CE57E5">
        <w:t xml:space="preserve"> It </w:t>
      </w:r>
      <w:r w:rsidR="00E441AF">
        <w:t>is further concerned about</w:t>
      </w:r>
      <w:r w:rsidR="0031660F">
        <w:t xml:space="preserve"> </w:t>
      </w:r>
      <w:r w:rsidR="00E015A2">
        <w:t>restrictions of the</w:t>
      </w:r>
      <w:r w:rsidR="007F01CF">
        <w:t xml:space="preserve"> right of women with disabilities</w:t>
      </w:r>
      <w:r w:rsidR="008E6C48">
        <w:t>, in particular women with disabilities in indigenous communities,</w:t>
      </w:r>
      <w:r w:rsidR="007F01CF">
        <w:t xml:space="preserve"> to access to justice in cases of gender-based violence and in cases </w:t>
      </w:r>
      <w:r w:rsidR="0031660F">
        <w:t>of</w:t>
      </w:r>
      <w:r w:rsidR="007F01CF">
        <w:t xml:space="preserve"> women who are under guardianship or </w:t>
      </w:r>
      <w:r w:rsidR="00E015A2">
        <w:t xml:space="preserve">are </w:t>
      </w:r>
      <w:r w:rsidR="007F01CF">
        <w:t>institutionalized, including disregard for the testimony of women and girls with intellectual or psychosocial disabilities.</w:t>
      </w:r>
    </w:p>
    <w:p w14:paraId="72D6072A" w14:textId="3DFE90E9" w:rsidR="0062220E" w:rsidRPr="00DB5C53" w:rsidRDefault="0006696E" w:rsidP="0062220E">
      <w:pPr>
        <w:pStyle w:val="SingleTxtG"/>
        <w:rPr>
          <w:b/>
          <w:bCs/>
        </w:rPr>
      </w:pPr>
      <w:r>
        <w:t>38</w:t>
      </w:r>
      <w:r w:rsidR="0062220E" w:rsidRPr="00DB5C53">
        <w:t>.</w:t>
      </w:r>
      <w:r w:rsidR="0062220E" w:rsidRPr="00DB5C53">
        <w:tab/>
      </w:r>
      <w:r w:rsidR="0062220E" w:rsidRPr="00DB5C53">
        <w:rPr>
          <w:b/>
          <w:bCs/>
        </w:rPr>
        <w:t>The Committee recommends that the State party:</w:t>
      </w:r>
    </w:p>
    <w:p w14:paraId="17DDC5D4" w14:textId="683A6787" w:rsidR="0062220E" w:rsidRPr="00DB5C53" w:rsidRDefault="0062220E" w:rsidP="00370305">
      <w:pPr>
        <w:pStyle w:val="SingleTxtG"/>
        <w:ind w:firstLine="567"/>
        <w:rPr>
          <w:b/>
          <w:bCs/>
        </w:rPr>
      </w:pPr>
      <w:r w:rsidRPr="00370305">
        <w:rPr>
          <w:b/>
        </w:rPr>
        <w:tab/>
        <w:t>(a)</w:t>
      </w:r>
      <w:r w:rsidRPr="00370305">
        <w:rPr>
          <w:b/>
          <w:bCs/>
        </w:rPr>
        <w:tab/>
        <w:t xml:space="preserve">Adopt and implement </w:t>
      </w:r>
      <w:r w:rsidR="00386761" w:rsidRPr="00370305">
        <w:rPr>
          <w:b/>
          <w:bCs/>
        </w:rPr>
        <w:t xml:space="preserve">age-appropriate and gender-sensitive </w:t>
      </w:r>
      <w:r w:rsidRPr="00370305">
        <w:rPr>
          <w:b/>
          <w:bCs/>
        </w:rPr>
        <w:t xml:space="preserve">legal </w:t>
      </w:r>
      <w:r w:rsidR="008E6C48" w:rsidRPr="00370305">
        <w:rPr>
          <w:b/>
          <w:bCs/>
        </w:rPr>
        <w:t>measures</w:t>
      </w:r>
      <w:r w:rsidRPr="00370305">
        <w:rPr>
          <w:b/>
          <w:bCs/>
        </w:rPr>
        <w:t xml:space="preserve"> guaranteeing access to justice for persons with disabilities,</w:t>
      </w:r>
      <w:r w:rsidR="008E6C48" w:rsidRPr="00370305">
        <w:rPr>
          <w:b/>
          <w:bCs/>
        </w:rPr>
        <w:t xml:space="preserve"> including women </w:t>
      </w:r>
      <w:r w:rsidR="008E6C48" w:rsidRPr="00370305">
        <w:rPr>
          <w:b/>
          <w:bCs/>
        </w:rPr>
        <w:lastRenderedPageBreak/>
        <w:t>with disabilities in indigenous communities,</w:t>
      </w:r>
      <w:r w:rsidRPr="00370305">
        <w:rPr>
          <w:b/>
          <w:bCs/>
        </w:rPr>
        <w:t xml:space="preserve"> such as procedural</w:t>
      </w:r>
      <w:r w:rsidR="0031660F" w:rsidRPr="00370305">
        <w:rPr>
          <w:b/>
          <w:bCs/>
        </w:rPr>
        <w:t xml:space="preserve"> accommodation</w:t>
      </w:r>
      <w:r w:rsidR="00386761" w:rsidRPr="00370305">
        <w:rPr>
          <w:b/>
          <w:bCs/>
        </w:rPr>
        <w:t>s</w:t>
      </w:r>
      <w:r w:rsidRPr="00370305">
        <w:rPr>
          <w:b/>
          <w:bCs/>
        </w:rPr>
        <w:t>,</w:t>
      </w:r>
      <w:r w:rsidR="00386761" w:rsidRPr="00370305">
        <w:rPr>
          <w:b/>
          <w:bCs/>
        </w:rPr>
        <w:t xml:space="preserve"> accessible and</w:t>
      </w:r>
      <w:r w:rsidR="00386761">
        <w:rPr>
          <w:b/>
          <w:bCs/>
        </w:rPr>
        <w:t xml:space="preserve"> affordable legal aid,</w:t>
      </w:r>
      <w:r>
        <w:rPr>
          <w:b/>
          <w:bCs/>
        </w:rPr>
        <w:t xml:space="preserve"> counselling and personal assistance</w:t>
      </w:r>
      <w:r w:rsidR="00C5338C">
        <w:rPr>
          <w:b/>
          <w:bCs/>
        </w:rPr>
        <w:t>;</w:t>
      </w:r>
      <w:r w:rsidR="00386761">
        <w:rPr>
          <w:b/>
          <w:bCs/>
        </w:rPr>
        <w:t xml:space="preserve"> remove barriers to the physical environment</w:t>
      </w:r>
      <w:r w:rsidR="00851718">
        <w:rPr>
          <w:b/>
          <w:bCs/>
        </w:rPr>
        <w:t>,</w:t>
      </w:r>
      <w:r w:rsidR="00386761">
        <w:rPr>
          <w:b/>
          <w:bCs/>
        </w:rPr>
        <w:t xml:space="preserve"> to information</w:t>
      </w:r>
      <w:r w:rsidR="00851718">
        <w:rPr>
          <w:b/>
          <w:bCs/>
        </w:rPr>
        <w:t xml:space="preserve"> and</w:t>
      </w:r>
      <w:r w:rsidR="00C41183">
        <w:rPr>
          <w:b/>
          <w:bCs/>
        </w:rPr>
        <w:t xml:space="preserve"> </w:t>
      </w:r>
      <w:r w:rsidR="00851718">
        <w:rPr>
          <w:b/>
          <w:bCs/>
        </w:rPr>
        <w:t>to prosecution services in criminal cases</w:t>
      </w:r>
      <w:r w:rsidR="007464C8">
        <w:rPr>
          <w:b/>
          <w:bCs/>
        </w:rPr>
        <w:t>;</w:t>
      </w:r>
      <w:r>
        <w:rPr>
          <w:b/>
          <w:bCs/>
        </w:rPr>
        <w:t xml:space="preserve"> and ensure that </w:t>
      </w:r>
      <w:r w:rsidR="007848F5">
        <w:rPr>
          <w:b/>
          <w:bCs/>
        </w:rPr>
        <w:t>f</w:t>
      </w:r>
      <w:r>
        <w:rPr>
          <w:b/>
          <w:bCs/>
        </w:rPr>
        <w:t xml:space="preserve">ederal and </w:t>
      </w:r>
      <w:r w:rsidR="007848F5">
        <w:rPr>
          <w:b/>
          <w:bCs/>
        </w:rPr>
        <w:t>s</w:t>
      </w:r>
      <w:r>
        <w:rPr>
          <w:b/>
          <w:bCs/>
        </w:rPr>
        <w:t>tate prosecutors adapt their directives and their practice accordingly;</w:t>
      </w:r>
    </w:p>
    <w:p w14:paraId="31FB1B53" w14:textId="1E758071" w:rsidR="0062220E" w:rsidRPr="00370305" w:rsidRDefault="0062220E" w:rsidP="00370305">
      <w:pPr>
        <w:pStyle w:val="SingleTxtG"/>
        <w:ind w:firstLine="567"/>
        <w:rPr>
          <w:b/>
          <w:bCs/>
        </w:rPr>
      </w:pPr>
      <w:r w:rsidRPr="00370305">
        <w:rPr>
          <w:b/>
        </w:rPr>
        <w:tab/>
        <w:t>(b)</w:t>
      </w:r>
      <w:r w:rsidRPr="00370305">
        <w:rPr>
          <w:b/>
          <w:bCs/>
        </w:rPr>
        <w:tab/>
        <w:t>Provide effective remedies to persons with disabilities living in institutions</w:t>
      </w:r>
      <w:r w:rsidR="00386761" w:rsidRPr="00370305">
        <w:rPr>
          <w:b/>
          <w:bCs/>
        </w:rPr>
        <w:t>,</w:t>
      </w:r>
      <w:r w:rsidRPr="00370305">
        <w:rPr>
          <w:b/>
          <w:bCs/>
        </w:rPr>
        <w:t xml:space="preserve"> allowing them to</w:t>
      </w:r>
      <w:r w:rsidR="00386761" w:rsidRPr="00370305">
        <w:rPr>
          <w:b/>
          <w:bCs/>
        </w:rPr>
        <w:t xml:space="preserve"> effectively</w:t>
      </w:r>
      <w:r w:rsidRPr="00370305">
        <w:rPr>
          <w:b/>
          <w:bCs/>
        </w:rPr>
        <w:t xml:space="preserve"> lodge their complaints about violations of the Convention, and provide them with legal aid;</w:t>
      </w:r>
    </w:p>
    <w:p w14:paraId="440BC648" w14:textId="3F866BCE" w:rsidR="0062220E" w:rsidRPr="00370305" w:rsidRDefault="0062220E" w:rsidP="00370305">
      <w:pPr>
        <w:pStyle w:val="SingleTxtG"/>
        <w:ind w:firstLine="567"/>
        <w:rPr>
          <w:b/>
          <w:bCs/>
        </w:rPr>
      </w:pPr>
      <w:r w:rsidRPr="00370305">
        <w:rPr>
          <w:b/>
        </w:rPr>
        <w:tab/>
        <w:t>(c)</w:t>
      </w:r>
      <w:r w:rsidRPr="00370305">
        <w:rPr>
          <w:b/>
          <w:bCs/>
        </w:rPr>
        <w:tab/>
        <w:t xml:space="preserve">Establish specific standards to provide effective redress in situations of </w:t>
      </w:r>
      <w:r w:rsidR="000D6129" w:rsidRPr="00370305">
        <w:rPr>
          <w:b/>
          <w:bCs/>
        </w:rPr>
        <w:t>gender-based</w:t>
      </w:r>
      <w:r w:rsidR="007848F5" w:rsidRPr="00370305">
        <w:rPr>
          <w:b/>
          <w:bCs/>
        </w:rPr>
        <w:t xml:space="preserve"> </w:t>
      </w:r>
      <w:r w:rsidRPr="00370305">
        <w:rPr>
          <w:b/>
          <w:bCs/>
        </w:rPr>
        <w:t xml:space="preserve">violence, and ensure that children with disabilities are in fact heard in any </w:t>
      </w:r>
      <w:r w:rsidR="00386761" w:rsidRPr="00370305">
        <w:rPr>
          <w:b/>
          <w:bCs/>
        </w:rPr>
        <w:t>proceedings affecting them;</w:t>
      </w:r>
    </w:p>
    <w:p w14:paraId="14ADC540" w14:textId="3D10C325" w:rsidR="000D6129" w:rsidRPr="00C81900" w:rsidRDefault="007F01CF" w:rsidP="00370305">
      <w:pPr>
        <w:pStyle w:val="SingleTxtG"/>
        <w:ind w:firstLine="567"/>
      </w:pPr>
      <w:r w:rsidRPr="00370305">
        <w:rPr>
          <w:b/>
        </w:rPr>
        <w:t>(</w:t>
      </w:r>
      <w:r w:rsidR="00386761" w:rsidRPr="00370305">
        <w:rPr>
          <w:b/>
        </w:rPr>
        <w:t>d</w:t>
      </w:r>
      <w:r w:rsidRPr="00370305">
        <w:rPr>
          <w:b/>
        </w:rPr>
        <w:t>)</w:t>
      </w:r>
      <w:r w:rsidRPr="00370305">
        <w:rPr>
          <w:b/>
          <w:bCs/>
        </w:rPr>
        <w:tab/>
      </w:r>
      <w:r w:rsidR="0044616E" w:rsidRPr="00370305">
        <w:rPr>
          <w:b/>
          <w:color w:val="000000"/>
        </w:rPr>
        <w:t>Eradicate</w:t>
      </w:r>
      <w:r w:rsidRPr="00370305">
        <w:rPr>
          <w:b/>
          <w:color w:val="000000"/>
        </w:rPr>
        <w:t xml:space="preserve"> gender</w:t>
      </w:r>
      <w:r w:rsidR="00386761" w:rsidRPr="00370305">
        <w:rPr>
          <w:b/>
          <w:color w:val="000000"/>
        </w:rPr>
        <w:t>-</w:t>
      </w:r>
      <w:r w:rsidRPr="00370305">
        <w:rPr>
          <w:b/>
          <w:color w:val="000000"/>
        </w:rPr>
        <w:t xml:space="preserve"> and disability</w:t>
      </w:r>
      <w:r w:rsidR="00386761" w:rsidRPr="00370305">
        <w:rPr>
          <w:b/>
          <w:color w:val="000000"/>
        </w:rPr>
        <w:t>-based</w:t>
      </w:r>
      <w:r w:rsidRPr="00370305">
        <w:rPr>
          <w:b/>
          <w:color w:val="000000"/>
        </w:rPr>
        <w:t xml:space="preserve"> stereotypes</w:t>
      </w:r>
      <w:r w:rsidR="00386761" w:rsidRPr="00370305">
        <w:rPr>
          <w:b/>
          <w:color w:val="000000"/>
        </w:rPr>
        <w:t xml:space="preserve"> in the justice system</w:t>
      </w:r>
      <w:r w:rsidR="005434FB">
        <w:rPr>
          <w:b/>
          <w:color w:val="000000"/>
        </w:rPr>
        <w:t>,</w:t>
      </w:r>
      <w:r w:rsidR="0037784C" w:rsidRPr="00370305">
        <w:rPr>
          <w:b/>
          <w:color w:val="000000"/>
        </w:rPr>
        <w:t xml:space="preserve"> and </w:t>
      </w:r>
      <w:r w:rsidRPr="00370305">
        <w:rPr>
          <w:b/>
          <w:color w:val="000000"/>
        </w:rPr>
        <w:t>ensur</w:t>
      </w:r>
      <w:r w:rsidR="0037784C" w:rsidRPr="00370305">
        <w:rPr>
          <w:b/>
          <w:color w:val="000000"/>
        </w:rPr>
        <w:t>e</w:t>
      </w:r>
      <w:r w:rsidRPr="00370305">
        <w:rPr>
          <w:b/>
          <w:color w:val="000000"/>
        </w:rPr>
        <w:t xml:space="preserve"> that</w:t>
      </w:r>
      <w:r w:rsidR="00386761" w:rsidRPr="0044616E">
        <w:rPr>
          <w:b/>
          <w:color w:val="000000"/>
        </w:rPr>
        <w:t xml:space="preserve"> all procedures, including</w:t>
      </w:r>
      <w:r w:rsidRPr="0044616E">
        <w:rPr>
          <w:b/>
          <w:color w:val="000000"/>
        </w:rPr>
        <w:t xml:space="preserve"> prosecutions and trials</w:t>
      </w:r>
      <w:r w:rsidR="00386761" w:rsidRPr="0044616E">
        <w:rPr>
          <w:b/>
          <w:color w:val="000000"/>
        </w:rPr>
        <w:t>,</w:t>
      </w:r>
      <w:r w:rsidRPr="0044616E">
        <w:rPr>
          <w:b/>
          <w:color w:val="000000"/>
        </w:rPr>
        <w:t xml:space="preserve"> are </w:t>
      </w:r>
      <w:r w:rsidR="00386761" w:rsidRPr="0044616E">
        <w:rPr>
          <w:b/>
          <w:color w:val="000000"/>
        </w:rPr>
        <w:t>conducted</w:t>
      </w:r>
      <w:r w:rsidRPr="0044616E">
        <w:rPr>
          <w:b/>
          <w:color w:val="000000"/>
        </w:rPr>
        <w:t xml:space="preserve"> in a </w:t>
      </w:r>
      <w:r w:rsidR="0044616E">
        <w:rPr>
          <w:b/>
          <w:color w:val="000000"/>
        </w:rPr>
        <w:t>gender</w:t>
      </w:r>
      <w:r w:rsidRPr="0044616E">
        <w:rPr>
          <w:b/>
          <w:color w:val="000000"/>
        </w:rPr>
        <w:t xml:space="preserve">- and </w:t>
      </w:r>
      <w:r w:rsidR="0044616E">
        <w:rPr>
          <w:b/>
          <w:color w:val="000000"/>
        </w:rPr>
        <w:t>disability</w:t>
      </w:r>
      <w:r w:rsidRPr="0044616E">
        <w:rPr>
          <w:b/>
          <w:color w:val="000000"/>
        </w:rPr>
        <w:t>-sensitive manner</w:t>
      </w:r>
      <w:r w:rsidR="0037784C" w:rsidRPr="0044616E">
        <w:rPr>
          <w:b/>
          <w:color w:val="000000"/>
        </w:rPr>
        <w:t>.</w:t>
      </w:r>
      <w:r w:rsidRPr="00C81900">
        <w:rPr>
          <w:color w:val="000000"/>
        </w:rPr>
        <w:t xml:space="preserve"> </w:t>
      </w:r>
    </w:p>
    <w:p w14:paraId="56E134AA" w14:textId="61BF09D9" w:rsidR="00EC449C" w:rsidRPr="00404879" w:rsidRDefault="00EC449C" w:rsidP="000D6129">
      <w:pPr>
        <w:pStyle w:val="H23G"/>
      </w:pPr>
      <w:r w:rsidRPr="00404879">
        <w:tab/>
      </w:r>
      <w:r w:rsidRPr="00404879">
        <w:tab/>
        <w:t>Liberty and security of the person (art. 14)</w:t>
      </w:r>
    </w:p>
    <w:p w14:paraId="3E0F0557" w14:textId="753C516E" w:rsidR="00563273" w:rsidRDefault="0006696E" w:rsidP="00A06F5A">
      <w:pPr>
        <w:pStyle w:val="SingleTxtG"/>
      </w:pPr>
      <w:r>
        <w:t>39</w:t>
      </w:r>
      <w:r w:rsidR="00A06F5A" w:rsidRPr="00E46FD0">
        <w:t>.</w:t>
      </w:r>
      <w:r w:rsidR="00A06F5A" w:rsidRPr="00E46FD0">
        <w:tab/>
        <w:t>The Committee notes with concern that</w:t>
      </w:r>
      <w:r w:rsidR="00563273">
        <w:t>:</w:t>
      </w:r>
      <w:r w:rsidR="00A06F5A" w:rsidRPr="00E46FD0">
        <w:t xml:space="preserve"> </w:t>
      </w:r>
    </w:p>
    <w:p w14:paraId="13B0B91F" w14:textId="7B6F852F" w:rsidR="003F42FA" w:rsidRDefault="003F42FA" w:rsidP="00370305">
      <w:pPr>
        <w:pStyle w:val="SingleTxtG"/>
        <w:ind w:firstLine="567"/>
      </w:pPr>
      <w:r w:rsidRPr="003F42FA">
        <w:tab/>
        <w:t>(a)</w:t>
      </w:r>
      <w:r w:rsidRPr="002853D7">
        <w:rPr>
          <w:b/>
          <w:bCs/>
        </w:rPr>
        <w:tab/>
      </w:r>
      <w:r w:rsidRPr="00563273">
        <w:t>Persons with intellectual or psychosocial disabilities have frequently been the subject of declarations of non-liability in the context of criminal proceedings, in the absence of procedural safeguards</w:t>
      </w:r>
      <w:r w:rsidR="001D33A5">
        <w:t>;</w:t>
      </w:r>
    </w:p>
    <w:p w14:paraId="4454DD9B" w14:textId="706B6BBD" w:rsidR="00A06F5A" w:rsidRPr="002853D7" w:rsidRDefault="003F42FA" w:rsidP="00370305">
      <w:pPr>
        <w:pStyle w:val="SingleTxtG"/>
        <w:ind w:firstLine="567"/>
      </w:pPr>
      <w:r w:rsidRPr="002853D7">
        <w:rPr>
          <w:b/>
          <w:bCs/>
        </w:rPr>
        <w:tab/>
      </w:r>
      <w:r w:rsidRPr="003F42FA">
        <w:t>(</w:t>
      </w:r>
      <w:r w:rsidR="001D33A5">
        <w:t>b</w:t>
      </w:r>
      <w:r w:rsidRPr="003F42FA">
        <w:t>)</w:t>
      </w:r>
      <w:r w:rsidRPr="002853D7">
        <w:rPr>
          <w:b/>
          <w:bCs/>
        </w:rPr>
        <w:tab/>
      </w:r>
      <w:r>
        <w:t>T</w:t>
      </w:r>
      <w:r w:rsidRPr="002853D7">
        <w:t>he Code of Criminal Procedure maintains non-liability by reason of disability as a concept</w:t>
      </w:r>
      <w:r>
        <w:t>, and that detention measures for persons with disabilities may exceed those of regular criminal procedures</w:t>
      </w:r>
      <w:r w:rsidRPr="002853D7">
        <w:t>.</w:t>
      </w:r>
      <w:r>
        <w:t xml:space="preserve">  </w:t>
      </w:r>
      <w:r w:rsidR="00A06F5A">
        <w:t xml:space="preserve"> </w:t>
      </w:r>
    </w:p>
    <w:p w14:paraId="06C6635F" w14:textId="565FD8C4" w:rsidR="00A06F5A" w:rsidRPr="002853D7" w:rsidRDefault="00C81900" w:rsidP="00A06F5A">
      <w:pPr>
        <w:pStyle w:val="SingleTxtG"/>
        <w:rPr>
          <w:b/>
          <w:bCs/>
        </w:rPr>
      </w:pPr>
      <w:r w:rsidRPr="0047472A">
        <w:rPr>
          <w:bCs/>
        </w:rPr>
        <w:t>4</w:t>
      </w:r>
      <w:r w:rsidR="0006696E" w:rsidRPr="0047472A">
        <w:rPr>
          <w:bCs/>
        </w:rPr>
        <w:t>0</w:t>
      </w:r>
      <w:r w:rsidR="00A06F5A" w:rsidRPr="0047472A">
        <w:rPr>
          <w:bCs/>
        </w:rPr>
        <w:t>.</w:t>
      </w:r>
      <w:r w:rsidR="00A06F5A" w:rsidRPr="00370305">
        <w:rPr>
          <w:b/>
        </w:rPr>
        <w:tab/>
      </w:r>
      <w:r w:rsidR="00A06F5A" w:rsidRPr="00370305">
        <w:rPr>
          <w:b/>
          <w:bCs/>
        </w:rPr>
        <w:t>With</w:t>
      </w:r>
      <w:r w:rsidR="00A06F5A">
        <w:rPr>
          <w:b/>
          <w:bCs/>
        </w:rPr>
        <w:t xml:space="preserve"> reference to its previous </w:t>
      </w:r>
      <w:r w:rsidR="007848F5">
        <w:rPr>
          <w:b/>
          <w:bCs/>
        </w:rPr>
        <w:t>c</w:t>
      </w:r>
      <w:r w:rsidR="00A06F5A">
        <w:rPr>
          <w:b/>
          <w:bCs/>
        </w:rPr>
        <w:t>oncluding</w:t>
      </w:r>
      <w:r w:rsidR="00621480">
        <w:rPr>
          <w:b/>
          <w:bCs/>
        </w:rPr>
        <w:t xml:space="preserve"> o</w:t>
      </w:r>
      <w:r w:rsidR="00A06F5A">
        <w:rPr>
          <w:b/>
          <w:bCs/>
        </w:rPr>
        <w:t>bservations, t</w:t>
      </w:r>
      <w:r w:rsidR="00A06F5A" w:rsidRPr="002853D7">
        <w:rPr>
          <w:b/>
          <w:bCs/>
        </w:rPr>
        <w:t>he Committee recommends that the State party:</w:t>
      </w:r>
    </w:p>
    <w:p w14:paraId="1E099C25" w14:textId="6948A031" w:rsidR="00A06F5A" w:rsidRPr="002853D7" w:rsidRDefault="00A06F5A" w:rsidP="00370305">
      <w:pPr>
        <w:pStyle w:val="SingleTxtG"/>
        <w:ind w:firstLine="567"/>
        <w:rPr>
          <w:b/>
          <w:bCs/>
        </w:rPr>
      </w:pPr>
      <w:r w:rsidRPr="00370305">
        <w:rPr>
          <w:b/>
        </w:rPr>
        <w:tab/>
        <w:t>(a)</w:t>
      </w:r>
      <w:r w:rsidRPr="00370305">
        <w:rPr>
          <w:b/>
          <w:bCs/>
        </w:rPr>
        <w:tab/>
        <w:t xml:space="preserve">Guarantee all due process rights for persons with disabilities in processes leading to deprivation of liberty, in particular in the context of criminal proceedings, whether as indicted persons, victims or witnesses, and provide procedural </w:t>
      </w:r>
      <w:r w:rsidR="001D33A5" w:rsidRPr="00370305">
        <w:rPr>
          <w:b/>
          <w:bCs/>
        </w:rPr>
        <w:t>accommodation</w:t>
      </w:r>
      <w:r w:rsidR="001D33A5">
        <w:rPr>
          <w:b/>
          <w:bCs/>
        </w:rPr>
        <w:t xml:space="preserve">, </w:t>
      </w:r>
      <w:r>
        <w:rPr>
          <w:b/>
          <w:bCs/>
        </w:rPr>
        <w:t>adjustments, counselling and personal assistance</w:t>
      </w:r>
      <w:r w:rsidRPr="002853D7">
        <w:rPr>
          <w:b/>
          <w:bCs/>
        </w:rPr>
        <w:t xml:space="preserve"> </w:t>
      </w:r>
      <w:r>
        <w:rPr>
          <w:b/>
          <w:bCs/>
        </w:rPr>
        <w:t>in</w:t>
      </w:r>
      <w:r w:rsidRPr="002853D7">
        <w:rPr>
          <w:b/>
          <w:bCs/>
        </w:rPr>
        <w:t xml:space="preserve"> such proceedings;</w:t>
      </w:r>
      <w:r w:rsidR="00F14272">
        <w:rPr>
          <w:rStyle w:val="FootnoteReference"/>
          <w:b/>
          <w:bCs/>
        </w:rPr>
        <w:footnoteReference w:id="7"/>
      </w:r>
    </w:p>
    <w:p w14:paraId="7F62FFF5" w14:textId="1DA6BB8C" w:rsidR="00A06F5A" w:rsidRPr="00A06F5A" w:rsidRDefault="00A06F5A" w:rsidP="00370305">
      <w:pPr>
        <w:pStyle w:val="SingleTxtG"/>
        <w:ind w:firstLine="567"/>
        <w:rPr>
          <w:b/>
          <w:bCs/>
        </w:rPr>
      </w:pPr>
      <w:r w:rsidRPr="00370305">
        <w:rPr>
          <w:b/>
        </w:rPr>
        <w:tab/>
        <w:t>(b)</w:t>
      </w:r>
      <w:r w:rsidRPr="00370305">
        <w:rPr>
          <w:b/>
          <w:bCs/>
        </w:rPr>
        <w:tab/>
        <w:t xml:space="preserve">Provide training for officials </w:t>
      </w:r>
      <w:r w:rsidR="003C7A7F">
        <w:rPr>
          <w:b/>
          <w:bCs/>
        </w:rPr>
        <w:t>in</w:t>
      </w:r>
      <w:r w:rsidRPr="00370305">
        <w:rPr>
          <w:b/>
          <w:bCs/>
        </w:rPr>
        <w:t xml:space="preserve"> the justice and prison systems on the requirements of the Convention in processes leading to </w:t>
      </w:r>
      <w:r w:rsidR="00846FA9">
        <w:rPr>
          <w:b/>
          <w:bCs/>
        </w:rPr>
        <w:t xml:space="preserve">the </w:t>
      </w:r>
      <w:r w:rsidRPr="00370305">
        <w:rPr>
          <w:b/>
          <w:bCs/>
        </w:rPr>
        <w:t>deprivation of liberty of persons with disabilities</w:t>
      </w:r>
      <w:r w:rsidRPr="00947D67">
        <w:rPr>
          <w:b/>
          <w:bCs/>
        </w:rPr>
        <w:t>.</w:t>
      </w:r>
    </w:p>
    <w:p w14:paraId="1BE5334F" w14:textId="77777777" w:rsidR="00EC449C" w:rsidRPr="00404879" w:rsidRDefault="00EC449C" w:rsidP="00095DB1">
      <w:pPr>
        <w:pStyle w:val="H23G"/>
      </w:pPr>
      <w:r w:rsidRPr="00404879">
        <w:tab/>
      </w:r>
      <w:r w:rsidRPr="00404879">
        <w:tab/>
        <w:t xml:space="preserve">Freedom from torture or cruel, inhuman or degrading treatment or </w:t>
      </w:r>
      <w:r w:rsidR="00B65E83" w:rsidRPr="00404879">
        <w:t xml:space="preserve">punishment </w:t>
      </w:r>
      <w:r w:rsidR="00095DB1">
        <w:br/>
      </w:r>
      <w:r w:rsidRPr="00404879">
        <w:t>(art.</w:t>
      </w:r>
      <w:r w:rsidR="002378C5">
        <w:t xml:space="preserve"> </w:t>
      </w:r>
      <w:r w:rsidRPr="00404879">
        <w:t>15)</w:t>
      </w:r>
    </w:p>
    <w:p w14:paraId="4FEE0C3C" w14:textId="300A8742" w:rsidR="00F21E66" w:rsidRDefault="00C81900" w:rsidP="00F21E66">
      <w:pPr>
        <w:pStyle w:val="SingleTxtG"/>
      </w:pPr>
      <w:r w:rsidRPr="00CB556B">
        <w:t>4</w:t>
      </w:r>
      <w:r w:rsidR="0006696E">
        <w:t>1</w:t>
      </w:r>
      <w:r w:rsidR="00F7591C" w:rsidRPr="00CB556B">
        <w:t>.</w:t>
      </w:r>
      <w:r w:rsidR="00F7591C" w:rsidRPr="00947D67">
        <w:tab/>
        <w:t xml:space="preserve">The Committee is concerned </w:t>
      </w:r>
      <w:r w:rsidR="00F7591C">
        <w:t xml:space="preserve">about various reports alleging the use of coercive measures on persons with disabilities in institutions, in particular on persons with intellectual </w:t>
      </w:r>
      <w:r w:rsidR="00DC7384">
        <w:t>disabilities, persons with</w:t>
      </w:r>
      <w:r w:rsidR="00F7591C">
        <w:t xml:space="preserve"> psychosocial disabilities, children with disabilities</w:t>
      </w:r>
      <w:r w:rsidR="001E73B2">
        <w:t xml:space="preserve"> and women with disabilities,</w:t>
      </w:r>
      <w:r w:rsidR="00F7591C">
        <w:t xml:space="preserve"> such as restraint</w:t>
      </w:r>
      <w:r w:rsidR="00475CEE">
        <w:t xml:space="preserve">s, </w:t>
      </w:r>
      <w:r w:rsidR="00F7591C">
        <w:t>isolation,</w:t>
      </w:r>
      <w:r w:rsidR="001D1D9B">
        <w:t xml:space="preserve"> shackling,</w:t>
      </w:r>
      <w:r w:rsidR="00F7591C">
        <w:t xml:space="preserve"> forced medication and sterilization, electroconvulsive therapy </w:t>
      </w:r>
      <w:r w:rsidR="00F21E66">
        <w:t xml:space="preserve">and </w:t>
      </w:r>
      <w:r w:rsidR="00F21E66" w:rsidRPr="000836E7">
        <w:rPr>
          <w:rFonts w:eastAsia="Arial" w:cstheme="minorHAnsi"/>
          <w:lang w:val="en-US"/>
        </w:rPr>
        <w:t>other medical interventions without the informed consent of the person concerned</w:t>
      </w:r>
      <w:r w:rsidR="00F21E66">
        <w:rPr>
          <w:rFonts w:eastAsia="Arial" w:cstheme="minorHAnsi"/>
          <w:lang w:val="en-US"/>
        </w:rPr>
        <w:t>.</w:t>
      </w:r>
    </w:p>
    <w:p w14:paraId="029390D1" w14:textId="776980B8" w:rsidR="00F7591C" w:rsidRPr="00947D67" w:rsidRDefault="00C81900" w:rsidP="00F7591C">
      <w:pPr>
        <w:pStyle w:val="SingleTxtG"/>
        <w:rPr>
          <w:b/>
          <w:bCs/>
        </w:rPr>
      </w:pPr>
      <w:r w:rsidRPr="0047472A">
        <w:rPr>
          <w:bCs/>
        </w:rPr>
        <w:t>4</w:t>
      </w:r>
      <w:r w:rsidR="0006696E" w:rsidRPr="0047472A">
        <w:rPr>
          <w:bCs/>
        </w:rPr>
        <w:t>2</w:t>
      </w:r>
      <w:r w:rsidR="00F7591C" w:rsidRPr="0047472A">
        <w:rPr>
          <w:bCs/>
        </w:rPr>
        <w:t>.</w:t>
      </w:r>
      <w:r w:rsidR="00F7591C" w:rsidRPr="00370305">
        <w:rPr>
          <w:b/>
        </w:rPr>
        <w:tab/>
      </w:r>
      <w:r w:rsidR="00F7591C" w:rsidRPr="00370305">
        <w:rPr>
          <w:b/>
          <w:bCs/>
        </w:rPr>
        <w:t>The Committee</w:t>
      </w:r>
      <w:r w:rsidR="00F7591C" w:rsidRPr="00947D67">
        <w:rPr>
          <w:b/>
          <w:bCs/>
        </w:rPr>
        <w:t xml:space="preserve"> </w:t>
      </w:r>
      <w:r w:rsidR="00F7591C">
        <w:rPr>
          <w:b/>
          <w:bCs/>
        </w:rPr>
        <w:t>recommends</w:t>
      </w:r>
      <w:r w:rsidR="00F7591C" w:rsidRPr="00947D67">
        <w:rPr>
          <w:b/>
          <w:bCs/>
        </w:rPr>
        <w:t xml:space="preserve"> the State party:</w:t>
      </w:r>
    </w:p>
    <w:p w14:paraId="72274909" w14:textId="469A310C" w:rsidR="00F7591C" w:rsidRDefault="00F7591C" w:rsidP="00370305">
      <w:pPr>
        <w:pStyle w:val="SingleTxtG"/>
        <w:ind w:firstLine="567"/>
        <w:rPr>
          <w:b/>
          <w:bCs/>
        </w:rPr>
      </w:pPr>
      <w:r w:rsidRPr="00370305">
        <w:rPr>
          <w:b/>
        </w:rPr>
        <w:tab/>
        <w:t>(a)</w:t>
      </w:r>
      <w:r w:rsidRPr="00370305">
        <w:rPr>
          <w:b/>
          <w:bCs/>
        </w:rPr>
        <w:tab/>
        <w:t xml:space="preserve">Explicitly prohibit all forms of coercive measures, </w:t>
      </w:r>
      <w:r w:rsidRPr="00370305">
        <w:rPr>
          <w:b/>
        </w:rPr>
        <w:t xml:space="preserve">such as restraints, isolation, forced medication and sterilization, electroconvulsive therapy </w:t>
      </w:r>
      <w:r w:rsidR="00DB194B">
        <w:rPr>
          <w:b/>
        </w:rPr>
        <w:t xml:space="preserve">and </w:t>
      </w:r>
      <w:r w:rsidR="001D1D9B" w:rsidRPr="00370305">
        <w:rPr>
          <w:b/>
        </w:rPr>
        <w:t>shackling</w:t>
      </w:r>
      <w:r w:rsidRPr="00370305">
        <w:rPr>
          <w:b/>
        </w:rPr>
        <w:t>,</w:t>
      </w:r>
      <w:r>
        <w:rPr>
          <w:b/>
          <w:bCs/>
        </w:rPr>
        <w:t xml:space="preserve"> taken specifically on persons with disabilities;</w:t>
      </w:r>
    </w:p>
    <w:p w14:paraId="6829D76E" w14:textId="3DA627E9" w:rsidR="00F7591C" w:rsidRPr="00370305" w:rsidRDefault="00F7591C" w:rsidP="00370305">
      <w:pPr>
        <w:pStyle w:val="SingleTxtG"/>
        <w:ind w:firstLine="567"/>
        <w:rPr>
          <w:b/>
          <w:bCs/>
        </w:rPr>
      </w:pPr>
      <w:r w:rsidRPr="00370305">
        <w:rPr>
          <w:b/>
        </w:rPr>
        <w:tab/>
        <w:t>(b)</w:t>
      </w:r>
      <w:r w:rsidRPr="00370305">
        <w:rPr>
          <w:b/>
          <w:bCs/>
        </w:rPr>
        <w:tab/>
        <w:t>Monitor</w:t>
      </w:r>
      <w:r w:rsidR="00475CEE" w:rsidRPr="00370305">
        <w:rPr>
          <w:b/>
          <w:bCs/>
        </w:rPr>
        <w:t>,</w:t>
      </w:r>
      <w:r w:rsidRPr="00370305">
        <w:rPr>
          <w:b/>
          <w:bCs/>
        </w:rPr>
        <w:t xml:space="preserve"> in accordance with article 16 </w:t>
      </w:r>
      <w:r w:rsidR="00DB194B">
        <w:rPr>
          <w:b/>
          <w:bCs/>
        </w:rPr>
        <w:t>(</w:t>
      </w:r>
      <w:r w:rsidRPr="00370305">
        <w:rPr>
          <w:b/>
          <w:bCs/>
        </w:rPr>
        <w:t>3</w:t>
      </w:r>
      <w:r w:rsidR="00DB194B">
        <w:rPr>
          <w:b/>
          <w:bCs/>
        </w:rPr>
        <w:t xml:space="preserve">) of the </w:t>
      </w:r>
      <w:r w:rsidR="00897CE4">
        <w:rPr>
          <w:b/>
          <w:bCs/>
        </w:rPr>
        <w:t>Convention</w:t>
      </w:r>
      <w:r w:rsidRPr="00370305">
        <w:rPr>
          <w:b/>
          <w:bCs/>
        </w:rPr>
        <w:t xml:space="preserve">, and with the involvement and full </w:t>
      </w:r>
      <w:r w:rsidRPr="00370305">
        <w:rPr>
          <w:b/>
        </w:rPr>
        <w:t>participation</w:t>
      </w:r>
      <w:r w:rsidRPr="00370305">
        <w:rPr>
          <w:b/>
          <w:bCs/>
        </w:rPr>
        <w:t xml:space="preserve"> of persons with disabilities and their representative organizations, the implementation of the ban on coercive measures in all pub</w:t>
      </w:r>
      <w:r w:rsidR="006711F4" w:rsidRPr="00370305">
        <w:rPr>
          <w:b/>
          <w:bCs/>
        </w:rPr>
        <w:t>l</w:t>
      </w:r>
      <w:r w:rsidRPr="00370305">
        <w:rPr>
          <w:b/>
          <w:bCs/>
        </w:rPr>
        <w:t>ic and private institutions</w:t>
      </w:r>
      <w:r w:rsidR="006711F4" w:rsidRPr="00370305">
        <w:rPr>
          <w:b/>
          <w:bCs/>
        </w:rPr>
        <w:t>,</w:t>
      </w:r>
      <w:r w:rsidRPr="00370305">
        <w:rPr>
          <w:b/>
          <w:bCs/>
        </w:rPr>
        <w:t xml:space="preserve"> housing</w:t>
      </w:r>
      <w:r w:rsidR="007848F5" w:rsidRPr="00370305">
        <w:rPr>
          <w:b/>
          <w:bCs/>
        </w:rPr>
        <w:t xml:space="preserve"> for</w:t>
      </w:r>
      <w:r w:rsidRPr="00370305">
        <w:rPr>
          <w:b/>
          <w:bCs/>
        </w:rPr>
        <w:t xml:space="preserve"> persons with disabilities, including by paying </w:t>
      </w:r>
      <w:r w:rsidRPr="00370305">
        <w:rPr>
          <w:b/>
          <w:bCs/>
        </w:rPr>
        <w:lastRenderedPageBreak/>
        <w:t>unannounced visit</w:t>
      </w:r>
      <w:r w:rsidR="00E05EA9">
        <w:rPr>
          <w:b/>
          <w:bCs/>
        </w:rPr>
        <w:t>s</w:t>
      </w:r>
      <w:r w:rsidRPr="00370305">
        <w:rPr>
          <w:b/>
          <w:bCs/>
        </w:rPr>
        <w:t>, taking effective measures to ensure the</w:t>
      </w:r>
      <w:r w:rsidR="001364E0">
        <w:rPr>
          <w:b/>
          <w:bCs/>
        </w:rPr>
        <w:t xml:space="preserve"> ban</w:t>
      </w:r>
      <w:r w:rsidRPr="00370305">
        <w:rPr>
          <w:b/>
          <w:bCs/>
        </w:rPr>
        <w:t xml:space="preserve"> </w:t>
      </w:r>
      <w:r w:rsidR="00147F26">
        <w:rPr>
          <w:b/>
          <w:bCs/>
        </w:rPr>
        <w:t xml:space="preserve">is </w:t>
      </w:r>
      <w:r w:rsidRPr="00370305">
        <w:rPr>
          <w:b/>
          <w:bCs/>
        </w:rPr>
        <w:t>adhered to and prosecuting violators;</w:t>
      </w:r>
    </w:p>
    <w:p w14:paraId="63BE7E34" w14:textId="72EC957E" w:rsidR="00F7591C" w:rsidRPr="00370305" w:rsidRDefault="00F7591C" w:rsidP="00370305">
      <w:pPr>
        <w:pStyle w:val="SingleTxtG"/>
        <w:ind w:firstLine="567"/>
        <w:rPr>
          <w:b/>
          <w:bCs/>
        </w:rPr>
      </w:pPr>
      <w:r w:rsidRPr="00370305">
        <w:rPr>
          <w:b/>
        </w:rPr>
        <w:t>(c)</w:t>
      </w:r>
      <w:r w:rsidRPr="00370305">
        <w:rPr>
          <w:b/>
          <w:bCs/>
        </w:rPr>
        <w:tab/>
        <w:t xml:space="preserve">Publish </w:t>
      </w:r>
      <w:r w:rsidRPr="00370305">
        <w:rPr>
          <w:b/>
        </w:rPr>
        <w:t>the</w:t>
      </w:r>
      <w:r w:rsidRPr="00370305">
        <w:rPr>
          <w:b/>
          <w:bCs/>
        </w:rPr>
        <w:t xml:space="preserve"> findings of the monitoring processes</w:t>
      </w:r>
      <w:r w:rsidR="00485C8F" w:rsidRPr="00370305">
        <w:rPr>
          <w:b/>
          <w:bCs/>
        </w:rPr>
        <w:t>;</w:t>
      </w:r>
    </w:p>
    <w:p w14:paraId="378E48E4" w14:textId="1DB049CA" w:rsidR="0037784C" w:rsidRPr="00F7591C" w:rsidRDefault="0037784C" w:rsidP="00370305">
      <w:pPr>
        <w:pStyle w:val="SingleTxtG"/>
        <w:ind w:firstLine="567"/>
        <w:rPr>
          <w:b/>
          <w:bCs/>
        </w:rPr>
      </w:pPr>
      <w:r w:rsidRPr="00370305">
        <w:rPr>
          <w:b/>
        </w:rPr>
        <w:t>(d)</w:t>
      </w:r>
      <w:r w:rsidRPr="00370305">
        <w:rPr>
          <w:b/>
          <w:bCs/>
        </w:rPr>
        <w:tab/>
      </w:r>
      <w:r w:rsidR="00475CEE" w:rsidRPr="00370305">
        <w:rPr>
          <w:b/>
          <w:bCs/>
        </w:rPr>
        <w:t>Establish</w:t>
      </w:r>
      <w:r>
        <w:rPr>
          <w:b/>
          <w:bCs/>
        </w:rPr>
        <w:t xml:space="preserve"> </w:t>
      </w:r>
      <w:r w:rsidR="00475CEE">
        <w:rPr>
          <w:b/>
          <w:bCs/>
        </w:rPr>
        <w:t xml:space="preserve">accessible </w:t>
      </w:r>
      <w:r>
        <w:rPr>
          <w:b/>
          <w:bCs/>
        </w:rPr>
        <w:t xml:space="preserve">mechanisms </w:t>
      </w:r>
      <w:r w:rsidR="00475CEE">
        <w:rPr>
          <w:b/>
          <w:bCs/>
        </w:rPr>
        <w:t>to report</w:t>
      </w:r>
      <w:r>
        <w:rPr>
          <w:b/>
          <w:bCs/>
        </w:rPr>
        <w:t xml:space="preserve"> cruel, inhuman or degrading treatment, and </w:t>
      </w:r>
      <w:r w:rsidR="00475CEE">
        <w:rPr>
          <w:b/>
          <w:bCs/>
        </w:rPr>
        <w:t xml:space="preserve">effective </w:t>
      </w:r>
      <w:r>
        <w:rPr>
          <w:b/>
          <w:bCs/>
        </w:rPr>
        <w:t>remed</w:t>
      </w:r>
      <w:r w:rsidR="00475CEE">
        <w:rPr>
          <w:b/>
          <w:bCs/>
        </w:rPr>
        <w:t>ies</w:t>
      </w:r>
      <w:r>
        <w:rPr>
          <w:b/>
          <w:bCs/>
        </w:rPr>
        <w:t xml:space="preserve"> for victims, and ensure </w:t>
      </w:r>
      <w:r w:rsidR="00475CEE">
        <w:rPr>
          <w:b/>
          <w:bCs/>
        </w:rPr>
        <w:t>that perpetrators are prosecuted and punished.</w:t>
      </w:r>
    </w:p>
    <w:p w14:paraId="35EF6077" w14:textId="77777777" w:rsidR="00EC449C" w:rsidRPr="00404879" w:rsidRDefault="00EC449C" w:rsidP="000D6F28">
      <w:pPr>
        <w:pStyle w:val="H23G"/>
      </w:pPr>
      <w:r w:rsidRPr="00404879">
        <w:tab/>
      </w:r>
      <w:r w:rsidRPr="00404879">
        <w:tab/>
        <w:t>Freedom from exploitation, violence and abuse (art. 16)</w:t>
      </w:r>
    </w:p>
    <w:p w14:paraId="441D51F6" w14:textId="24412D15" w:rsidR="00B85301" w:rsidRDefault="0079323D" w:rsidP="00F7591C">
      <w:pPr>
        <w:pStyle w:val="SingleTxtG"/>
      </w:pPr>
      <w:r>
        <w:t>4</w:t>
      </w:r>
      <w:r w:rsidR="0006696E">
        <w:t>3</w:t>
      </w:r>
      <w:r w:rsidR="00F7591C" w:rsidRPr="00E46FD0">
        <w:t>.</w:t>
      </w:r>
      <w:r w:rsidR="00F7591C" w:rsidRPr="00E46FD0">
        <w:tab/>
      </w:r>
      <w:r w:rsidR="00F7591C" w:rsidRPr="00571471">
        <w:t xml:space="preserve">The Committee </w:t>
      </w:r>
      <w:r w:rsidR="00F7591C">
        <w:t>is concerned</w:t>
      </w:r>
      <w:r w:rsidR="00475CEE">
        <w:t xml:space="preserve"> </w:t>
      </w:r>
      <w:r w:rsidR="00083AC1">
        <w:t>about</w:t>
      </w:r>
      <w:r w:rsidR="00475CEE">
        <w:t>:</w:t>
      </w:r>
    </w:p>
    <w:p w14:paraId="15ED3FFF" w14:textId="6067B892" w:rsidR="00F7591C" w:rsidRPr="00083AC1" w:rsidRDefault="00B85301" w:rsidP="00370305">
      <w:pPr>
        <w:pStyle w:val="SingleTxtG"/>
        <w:ind w:firstLine="567"/>
      </w:pPr>
      <w:bookmarkStart w:id="3" w:name="_Hlk97963070"/>
      <w:bookmarkStart w:id="4" w:name="_Hlk97963292"/>
      <w:r w:rsidRPr="00563273">
        <w:rPr>
          <w:bCs/>
        </w:rPr>
        <w:t>(a)</w:t>
      </w:r>
      <w:r w:rsidRPr="008F1B09">
        <w:rPr>
          <w:b/>
        </w:rPr>
        <w:tab/>
      </w:r>
      <w:bookmarkEnd w:id="3"/>
      <w:r w:rsidR="00083AC1">
        <w:t>A lack of</w:t>
      </w:r>
      <w:r>
        <w:t xml:space="preserve"> </w:t>
      </w:r>
      <w:bookmarkEnd w:id="4"/>
      <w:r>
        <w:t xml:space="preserve">measures to identify and prevent all forms of violence against </w:t>
      </w:r>
      <w:r w:rsidR="00F7591C">
        <w:t>children</w:t>
      </w:r>
      <w:r>
        <w:t xml:space="preserve"> and adults</w:t>
      </w:r>
      <w:r w:rsidR="00F7591C" w:rsidRPr="00571471">
        <w:t xml:space="preserve"> with disabilities, </w:t>
      </w:r>
      <w:r>
        <w:t>including gender-based violence, in particular obstetric</w:t>
      </w:r>
      <w:r w:rsidR="00BC7B18">
        <w:t xml:space="preserve"> </w:t>
      </w:r>
      <w:r>
        <w:t>violence</w:t>
      </w:r>
      <w:r w:rsidR="00972F4A">
        <w:t>,</w:t>
      </w:r>
      <w:r>
        <w:t xml:space="preserve"> when </w:t>
      </w:r>
      <w:r w:rsidRPr="00083AC1">
        <w:t>accessing sexual an</w:t>
      </w:r>
      <w:r w:rsidR="00083AC1">
        <w:t>d reproductive health services;</w:t>
      </w:r>
    </w:p>
    <w:p w14:paraId="4750A0BF" w14:textId="555AB135" w:rsidR="00B85301" w:rsidRPr="00083AC1" w:rsidRDefault="00B85301" w:rsidP="00370305">
      <w:pPr>
        <w:pStyle w:val="SingleTxtG"/>
        <w:ind w:firstLine="567"/>
      </w:pPr>
      <w:r w:rsidRPr="00083AC1">
        <w:t>(b)</w:t>
      </w:r>
      <w:r w:rsidRPr="00083AC1">
        <w:tab/>
      </w:r>
      <w:r w:rsidR="00083AC1">
        <w:t>The omission of a specific reference to women with disabilities in t</w:t>
      </w:r>
      <w:r w:rsidRPr="00083AC1">
        <w:t>he General Act to Ensure Women a Life Free of Violence</w:t>
      </w:r>
      <w:r w:rsidR="00083AC1">
        <w:t>,</w:t>
      </w:r>
      <w:r w:rsidR="00E00144">
        <w:t xml:space="preserve"> to measures ensuring accessibility</w:t>
      </w:r>
      <w:r w:rsidR="00083AC1">
        <w:t xml:space="preserve"> </w:t>
      </w:r>
      <w:r w:rsidR="00972F4A">
        <w:t xml:space="preserve">and </w:t>
      </w:r>
      <w:r w:rsidR="00083AC1">
        <w:t>to</w:t>
      </w:r>
      <w:r w:rsidR="00972F4A">
        <w:t xml:space="preserve"> procedural accommodations</w:t>
      </w:r>
      <w:r w:rsidR="00083AC1">
        <w:t xml:space="preserve"> </w:t>
      </w:r>
      <w:r w:rsidRPr="00083AC1">
        <w:t xml:space="preserve">women with disabilities </w:t>
      </w:r>
      <w:r w:rsidR="00E00144">
        <w:t>may</w:t>
      </w:r>
      <w:r w:rsidRPr="00083AC1">
        <w:t xml:space="preserve"> require to access justice and </w:t>
      </w:r>
      <w:r w:rsidR="00E00144">
        <w:t>protective</w:t>
      </w:r>
      <w:r w:rsidRPr="00083AC1">
        <w:t xml:space="preserve"> measures on an equal basis with other</w:t>
      </w:r>
      <w:r w:rsidR="00E00144">
        <w:t>s</w:t>
      </w:r>
      <w:r w:rsidR="007848F5">
        <w:t>;</w:t>
      </w:r>
    </w:p>
    <w:p w14:paraId="2A080521" w14:textId="5247B079" w:rsidR="00083AC1" w:rsidRPr="00571471" w:rsidRDefault="00B85301" w:rsidP="00370305">
      <w:pPr>
        <w:pStyle w:val="SingleTxtG"/>
        <w:ind w:firstLine="567"/>
      </w:pPr>
      <w:r w:rsidRPr="00083AC1">
        <w:t>(</w:t>
      </w:r>
      <w:r w:rsidR="00563273">
        <w:t>c</w:t>
      </w:r>
      <w:r w:rsidRPr="00083AC1">
        <w:t>)</w:t>
      </w:r>
      <w:r w:rsidRPr="00083AC1">
        <w:tab/>
        <w:t>The limited availability of accessible shelters for women with disabilities who are victims of violence, and the lack of effective remedies for persons with disabilities facing violence, including</w:t>
      </w:r>
      <w:r>
        <w:t xml:space="preserve"> gender-based violence.</w:t>
      </w:r>
    </w:p>
    <w:p w14:paraId="49BCC46C" w14:textId="41278D69" w:rsidR="00F7591C" w:rsidRDefault="0079323D" w:rsidP="00F7591C">
      <w:pPr>
        <w:pStyle w:val="SingleTxtG"/>
        <w:rPr>
          <w:b/>
          <w:bCs/>
        </w:rPr>
      </w:pPr>
      <w:r w:rsidRPr="0047472A">
        <w:rPr>
          <w:bCs/>
        </w:rPr>
        <w:t>4</w:t>
      </w:r>
      <w:r w:rsidR="0006696E" w:rsidRPr="0047472A">
        <w:rPr>
          <w:bCs/>
        </w:rPr>
        <w:t>4</w:t>
      </w:r>
      <w:r w:rsidR="00F7591C" w:rsidRPr="0047472A">
        <w:rPr>
          <w:bCs/>
        </w:rPr>
        <w:t>.</w:t>
      </w:r>
      <w:r w:rsidR="00F7591C" w:rsidRPr="00370305">
        <w:rPr>
          <w:b/>
        </w:rPr>
        <w:tab/>
      </w:r>
      <w:r w:rsidR="00F7591C" w:rsidRPr="00370305">
        <w:rPr>
          <w:b/>
          <w:bCs/>
        </w:rPr>
        <w:t>The</w:t>
      </w:r>
      <w:r w:rsidR="00F7591C" w:rsidRPr="00571471">
        <w:rPr>
          <w:b/>
          <w:bCs/>
        </w:rPr>
        <w:t xml:space="preserve"> Committee </w:t>
      </w:r>
      <w:r w:rsidR="00F7591C">
        <w:rPr>
          <w:b/>
          <w:bCs/>
        </w:rPr>
        <w:t xml:space="preserve">recommends </w:t>
      </w:r>
      <w:r w:rsidR="00CA6B35">
        <w:rPr>
          <w:b/>
          <w:bCs/>
        </w:rPr>
        <w:t xml:space="preserve">that </w:t>
      </w:r>
      <w:r w:rsidR="00F7591C">
        <w:rPr>
          <w:b/>
          <w:bCs/>
        </w:rPr>
        <w:t>the State party:</w:t>
      </w:r>
    </w:p>
    <w:p w14:paraId="3183524F" w14:textId="016E492A" w:rsidR="001559EF" w:rsidRPr="001559EF" w:rsidRDefault="00F7591C" w:rsidP="00370305">
      <w:pPr>
        <w:pStyle w:val="SingleTxtG"/>
        <w:ind w:firstLine="567"/>
        <w:rPr>
          <w:b/>
          <w:bCs/>
        </w:rPr>
      </w:pPr>
      <w:bookmarkStart w:id="5" w:name="_Hlk97962874"/>
      <w:r w:rsidRPr="00370305">
        <w:rPr>
          <w:b/>
          <w:bCs/>
        </w:rPr>
        <w:t>(a)</w:t>
      </w:r>
      <w:r w:rsidRPr="00370305">
        <w:rPr>
          <w:b/>
        </w:rPr>
        <w:tab/>
      </w:r>
      <w:bookmarkEnd w:id="5"/>
      <w:r w:rsidR="007F7F22" w:rsidRPr="00370305">
        <w:rPr>
          <w:b/>
          <w:bCs/>
        </w:rPr>
        <w:t>R</w:t>
      </w:r>
      <w:r w:rsidRPr="00370305">
        <w:rPr>
          <w:b/>
          <w:bCs/>
        </w:rPr>
        <w:t xml:space="preserve">einforce </w:t>
      </w:r>
      <w:r w:rsidR="007F7F22" w:rsidRPr="00370305">
        <w:rPr>
          <w:b/>
          <w:bCs/>
        </w:rPr>
        <w:t xml:space="preserve">the </w:t>
      </w:r>
      <w:r w:rsidRPr="00370305">
        <w:rPr>
          <w:b/>
          <w:bCs/>
        </w:rPr>
        <w:t>implement</w:t>
      </w:r>
      <w:r w:rsidR="007F7F22" w:rsidRPr="00370305">
        <w:rPr>
          <w:b/>
          <w:bCs/>
        </w:rPr>
        <w:t>ation of</w:t>
      </w:r>
      <w:r w:rsidRPr="00370305">
        <w:rPr>
          <w:b/>
          <w:bCs/>
        </w:rPr>
        <w:t xml:space="preserve"> existing legislative and policy measures to prevent</w:t>
      </w:r>
      <w:r w:rsidR="001559EF" w:rsidRPr="00370305">
        <w:rPr>
          <w:b/>
          <w:bCs/>
        </w:rPr>
        <w:t xml:space="preserve"> all forms of</w:t>
      </w:r>
      <w:r w:rsidRPr="00370305">
        <w:rPr>
          <w:b/>
          <w:bCs/>
        </w:rPr>
        <w:t xml:space="preserve"> violence again</w:t>
      </w:r>
      <w:r w:rsidR="001559EF" w:rsidRPr="00370305">
        <w:rPr>
          <w:b/>
          <w:bCs/>
        </w:rPr>
        <w:t>st persons</w:t>
      </w:r>
      <w:r w:rsidRPr="00370305">
        <w:rPr>
          <w:b/>
          <w:bCs/>
        </w:rPr>
        <w:t xml:space="preserve"> with disabilities</w:t>
      </w:r>
      <w:r w:rsidR="001559EF" w:rsidRPr="00370305">
        <w:rPr>
          <w:b/>
          <w:bCs/>
        </w:rPr>
        <w:t>, including gender-based violence</w:t>
      </w:r>
      <w:r w:rsidR="00083AC1" w:rsidRPr="00370305">
        <w:rPr>
          <w:b/>
          <w:bCs/>
        </w:rPr>
        <w:t>,</w:t>
      </w:r>
      <w:r w:rsidRPr="00571471">
        <w:rPr>
          <w:b/>
          <w:bCs/>
        </w:rPr>
        <w:t xml:space="preserve"> and to provide </w:t>
      </w:r>
      <w:r w:rsidR="001559EF">
        <w:rPr>
          <w:b/>
          <w:bCs/>
        </w:rPr>
        <w:t>effective remedies and redress</w:t>
      </w:r>
      <w:r w:rsidRPr="00571471">
        <w:rPr>
          <w:b/>
          <w:bCs/>
        </w:rPr>
        <w:t xml:space="preserve"> to </w:t>
      </w:r>
      <w:r>
        <w:rPr>
          <w:b/>
          <w:bCs/>
        </w:rPr>
        <w:t xml:space="preserve">victims, </w:t>
      </w:r>
      <w:r w:rsidR="00670E33">
        <w:rPr>
          <w:b/>
          <w:bCs/>
        </w:rPr>
        <w:t>both</w:t>
      </w:r>
      <w:r w:rsidR="009C0CEE">
        <w:rPr>
          <w:b/>
          <w:bCs/>
        </w:rPr>
        <w:t xml:space="preserve"> </w:t>
      </w:r>
      <w:r>
        <w:rPr>
          <w:b/>
          <w:bCs/>
        </w:rPr>
        <w:t>in</w:t>
      </w:r>
      <w:r w:rsidR="00506415">
        <w:rPr>
          <w:b/>
          <w:bCs/>
        </w:rPr>
        <w:t>side and outside of</w:t>
      </w:r>
      <w:r>
        <w:rPr>
          <w:b/>
          <w:bCs/>
        </w:rPr>
        <w:t xml:space="preserve"> institutions</w:t>
      </w:r>
      <w:r w:rsidR="009C0CEE">
        <w:rPr>
          <w:b/>
          <w:bCs/>
        </w:rPr>
        <w:t>; and</w:t>
      </w:r>
      <w:r w:rsidRPr="00571471">
        <w:rPr>
          <w:b/>
          <w:bCs/>
        </w:rPr>
        <w:t xml:space="preserve"> </w:t>
      </w:r>
      <w:r w:rsidR="009C0CEE">
        <w:rPr>
          <w:b/>
          <w:bCs/>
        </w:rPr>
        <w:t>a</w:t>
      </w:r>
      <w:r w:rsidR="001559EF" w:rsidRPr="001559EF">
        <w:rPr>
          <w:b/>
          <w:bCs/>
        </w:rPr>
        <w:t>mend the General Act to Ensure Women a Life Free of Violence to establish specific standards to support women with disabilities, including support systems that include personal assistance</w:t>
      </w:r>
      <w:r w:rsidR="007F7F22">
        <w:rPr>
          <w:b/>
          <w:bCs/>
        </w:rPr>
        <w:t>;</w:t>
      </w:r>
      <w:r w:rsidR="001559EF" w:rsidRPr="001559EF">
        <w:rPr>
          <w:b/>
          <w:bCs/>
        </w:rPr>
        <w:t xml:space="preserve"> </w:t>
      </w:r>
    </w:p>
    <w:p w14:paraId="69C83235" w14:textId="433D0C1F" w:rsidR="00F7591C" w:rsidRPr="00370305" w:rsidRDefault="001559EF" w:rsidP="00370305">
      <w:pPr>
        <w:pStyle w:val="SingleTxtG"/>
        <w:ind w:firstLine="567"/>
        <w:rPr>
          <w:b/>
          <w:bCs/>
        </w:rPr>
      </w:pPr>
      <w:bookmarkStart w:id="6" w:name="_Hlk99109434"/>
      <w:r w:rsidRPr="00370305">
        <w:rPr>
          <w:b/>
          <w:bCs/>
        </w:rPr>
        <w:t>(</w:t>
      </w:r>
      <w:r w:rsidR="00563273" w:rsidRPr="00370305">
        <w:rPr>
          <w:b/>
          <w:bCs/>
        </w:rPr>
        <w:t>b</w:t>
      </w:r>
      <w:r w:rsidRPr="00370305">
        <w:rPr>
          <w:b/>
          <w:bCs/>
        </w:rPr>
        <w:t>)</w:t>
      </w:r>
      <w:r w:rsidRPr="00370305">
        <w:rPr>
          <w:b/>
        </w:rPr>
        <w:tab/>
      </w:r>
      <w:bookmarkEnd w:id="6"/>
      <w:r w:rsidR="001E1503">
        <w:rPr>
          <w:b/>
          <w:bCs/>
        </w:rPr>
        <w:t>P</w:t>
      </w:r>
      <w:r w:rsidR="00F7591C" w:rsidRPr="00370305">
        <w:rPr>
          <w:b/>
          <w:bCs/>
        </w:rPr>
        <w:t xml:space="preserve">eriodically compile </w:t>
      </w:r>
      <w:r w:rsidRPr="00370305">
        <w:rPr>
          <w:b/>
          <w:bCs/>
        </w:rPr>
        <w:t xml:space="preserve">disaggregated </w:t>
      </w:r>
      <w:r w:rsidR="00F7591C" w:rsidRPr="00370305">
        <w:rPr>
          <w:b/>
          <w:bCs/>
        </w:rPr>
        <w:t xml:space="preserve">data on the situation of women and children with disabilities in respect of violence, exploitation and abuse, </w:t>
      </w:r>
      <w:r w:rsidR="001E1503">
        <w:rPr>
          <w:b/>
          <w:bCs/>
        </w:rPr>
        <w:t xml:space="preserve">both </w:t>
      </w:r>
      <w:r w:rsidR="00F7591C" w:rsidRPr="00370305">
        <w:rPr>
          <w:b/>
          <w:bCs/>
        </w:rPr>
        <w:t>in</w:t>
      </w:r>
      <w:r w:rsidR="00506415">
        <w:rPr>
          <w:b/>
          <w:bCs/>
        </w:rPr>
        <w:t>side and outside of</w:t>
      </w:r>
      <w:r w:rsidR="00F7591C" w:rsidRPr="00370305">
        <w:rPr>
          <w:b/>
          <w:bCs/>
        </w:rPr>
        <w:t xml:space="preserve"> public and private institutions;</w:t>
      </w:r>
    </w:p>
    <w:p w14:paraId="79CB322B" w14:textId="1806C8AC" w:rsidR="00C41183" w:rsidRPr="00370305" w:rsidRDefault="0010296A" w:rsidP="00370305">
      <w:pPr>
        <w:pStyle w:val="SingleTxtG"/>
        <w:ind w:firstLine="567"/>
        <w:rPr>
          <w:b/>
          <w:bCs/>
        </w:rPr>
      </w:pPr>
      <w:r w:rsidRPr="00370305">
        <w:rPr>
          <w:b/>
          <w:bCs/>
        </w:rPr>
        <w:t>(c)</w:t>
      </w:r>
      <w:r w:rsidRPr="00370305">
        <w:rPr>
          <w:b/>
        </w:rPr>
        <w:tab/>
      </w:r>
      <w:r w:rsidR="00C41183" w:rsidRPr="00370305">
        <w:rPr>
          <w:b/>
        </w:rPr>
        <w:t xml:space="preserve">Ensure that shelters for victims of violence are established and that the facilities and services </w:t>
      </w:r>
      <w:r w:rsidR="00C41183" w:rsidRPr="00370305">
        <w:rPr>
          <w:b/>
          <w:bCs/>
        </w:rPr>
        <w:t>provided</w:t>
      </w:r>
      <w:r w:rsidR="00C41183" w:rsidRPr="00370305">
        <w:rPr>
          <w:b/>
        </w:rPr>
        <w:t xml:space="preserve"> therein are accessible to persons with disabilities, particularly women with disabilities</w:t>
      </w:r>
      <w:r w:rsidR="00F6318D">
        <w:rPr>
          <w:b/>
        </w:rPr>
        <w:t>;</w:t>
      </w:r>
    </w:p>
    <w:p w14:paraId="32CD3B5F" w14:textId="45B5052F" w:rsidR="007F7F22" w:rsidRPr="00F7591C" w:rsidRDefault="00F7591C" w:rsidP="00370305">
      <w:pPr>
        <w:pStyle w:val="SingleTxtG"/>
        <w:ind w:firstLine="567"/>
        <w:rPr>
          <w:b/>
          <w:bCs/>
        </w:rPr>
      </w:pPr>
      <w:r w:rsidRPr="00370305">
        <w:rPr>
          <w:b/>
        </w:rPr>
        <w:t>(</w:t>
      </w:r>
      <w:r w:rsidR="007F7F22" w:rsidRPr="00370305">
        <w:rPr>
          <w:b/>
        </w:rPr>
        <w:t>d</w:t>
      </w:r>
      <w:r w:rsidRPr="00370305">
        <w:rPr>
          <w:b/>
        </w:rPr>
        <w:t>)</w:t>
      </w:r>
      <w:r w:rsidRPr="00370305">
        <w:rPr>
          <w:b/>
          <w:bCs/>
        </w:rPr>
        <w:tab/>
        <w:t>Create an independent monitor and oversight mechanism, adhering to article 16</w:t>
      </w:r>
      <w:r w:rsidR="00277B5E">
        <w:rPr>
          <w:b/>
          <w:bCs/>
        </w:rPr>
        <w:t xml:space="preserve"> (</w:t>
      </w:r>
      <w:r>
        <w:rPr>
          <w:b/>
          <w:bCs/>
        </w:rPr>
        <w:t>3</w:t>
      </w:r>
      <w:r w:rsidR="00277B5E">
        <w:rPr>
          <w:b/>
          <w:bCs/>
        </w:rPr>
        <w:t>) of the Convention</w:t>
      </w:r>
      <w:r>
        <w:rPr>
          <w:b/>
          <w:bCs/>
        </w:rPr>
        <w:t>, with the involvement and full participation of persons with disabilities and their representative organizations, to effectively monitor and supervise public and private institutions, and publish its findings.</w:t>
      </w:r>
    </w:p>
    <w:p w14:paraId="009036AF" w14:textId="77777777" w:rsidR="00282BCB" w:rsidRPr="00D10152" w:rsidRDefault="00EC449C" w:rsidP="00282BCB">
      <w:pPr>
        <w:pStyle w:val="H23G"/>
      </w:pPr>
      <w:r w:rsidRPr="00404879">
        <w:tab/>
      </w:r>
      <w:r w:rsidRPr="00404879">
        <w:tab/>
      </w:r>
      <w:r w:rsidR="00282BCB" w:rsidRPr="00D10152">
        <w:t xml:space="preserve">Protecting the integrity of the person (art. 17) </w:t>
      </w:r>
    </w:p>
    <w:p w14:paraId="165A589A" w14:textId="01C5B028" w:rsidR="00F7591C" w:rsidRPr="008B0E98" w:rsidRDefault="0079323D" w:rsidP="00F7591C">
      <w:pPr>
        <w:pStyle w:val="SingleTxtG"/>
      </w:pPr>
      <w:r w:rsidRPr="008B0E98">
        <w:t>4</w:t>
      </w:r>
      <w:r w:rsidR="0006696E">
        <w:t>5</w:t>
      </w:r>
      <w:r w:rsidR="00F7591C" w:rsidRPr="008B0E98">
        <w:t>.</w:t>
      </w:r>
      <w:r w:rsidR="00F7591C" w:rsidRPr="008B0E98">
        <w:tab/>
        <w:t xml:space="preserve">The Committee is concerned </w:t>
      </w:r>
      <w:r w:rsidR="00E90884" w:rsidRPr="008B0E98">
        <w:t xml:space="preserve">about continuing practices of forced sterilization, contraception </w:t>
      </w:r>
      <w:r w:rsidR="008B0E98" w:rsidRPr="008B0E98">
        <w:t xml:space="preserve">and </w:t>
      </w:r>
      <w:r w:rsidR="00E90884" w:rsidRPr="008B0E98">
        <w:t>abortion, particularly affecting</w:t>
      </w:r>
      <w:r w:rsidR="00AA7E2E">
        <w:t xml:space="preserve"> women and</w:t>
      </w:r>
      <w:r w:rsidR="00E90884" w:rsidRPr="008B0E98">
        <w:t xml:space="preserve"> girls with intellectual</w:t>
      </w:r>
      <w:r w:rsidR="00FF79D1" w:rsidRPr="008B0E98">
        <w:t xml:space="preserve"> or psychosocial disabilities</w:t>
      </w:r>
      <w:r w:rsidR="00F7591C" w:rsidRPr="008B0E98">
        <w:t xml:space="preserve"> </w:t>
      </w:r>
      <w:r w:rsidR="001448ED">
        <w:t xml:space="preserve">both </w:t>
      </w:r>
      <w:r w:rsidR="00F7591C" w:rsidRPr="008B0E98">
        <w:t>in</w:t>
      </w:r>
      <w:r w:rsidR="001448ED">
        <w:t>side</w:t>
      </w:r>
      <w:r w:rsidR="00FF79D1" w:rsidRPr="008B0E98">
        <w:t xml:space="preserve"> and outside of</w:t>
      </w:r>
      <w:r w:rsidR="00F7591C" w:rsidRPr="008B0E98">
        <w:t xml:space="preserve"> institutions</w:t>
      </w:r>
      <w:r w:rsidR="00BC7B18">
        <w:t xml:space="preserve"> and indigenous women and girls</w:t>
      </w:r>
      <w:r w:rsidR="008B0E98" w:rsidRPr="008B0E98">
        <w:t>. The Committee has received very disturbing reports of forced sterilization in Casa Hogar Esperanza.</w:t>
      </w:r>
    </w:p>
    <w:p w14:paraId="100E998D" w14:textId="238609B9" w:rsidR="00164479" w:rsidRDefault="0079323D" w:rsidP="00164479">
      <w:pPr>
        <w:pStyle w:val="SingleTxtG"/>
        <w:rPr>
          <w:b/>
          <w:bCs/>
        </w:rPr>
      </w:pPr>
      <w:bookmarkStart w:id="7" w:name="_Hlk97967911"/>
      <w:r w:rsidRPr="0047472A">
        <w:rPr>
          <w:bCs/>
        </w:rPr>
        <w:t>4</w:t>
      </w:r>
      <w:r w:rsidR="0006696E" w:rsidRPr="0047472A">
        <w:rPr>
          <w:bCs/>
        </w:rPr>
        <w:t>6</w:t>
      </w:r>
      <w:r w:rsidR="00C62A06" w:rsidRPr="0047472A">
        <w:rPr>
          <w:bCs/>
        </w:rPr>
        <w:t>.</w:t>
      </w:r>
      <w:r w:rsidR="00C62A06" w:rsidRPr="00370305">
        <w:rPr>
          <w:b/>
        </w:rPr>
        <w:tab/>
      </w:r>
      <w:r w:rsidR="00C62A06" w:rsidRPr="00370305">
        <w:rPr>
          <w:b/>
          <w:bCs/>
        </w:rPr>
        <w:t>The</w:t>
      </w:r>
      <w:r w:rsidR="00C62A06" w:rsidRPr="008B0E98">
        <w:rPr>
          <w:b/>
          <w:bCs/>
        </w:rPr>
        <w:t xml:space="preserve"> </w:t>
      </w:r>
      <w:bookmarkEnd w:id="7"/>
      <w:r w:rsidR="00C62A06" w:rsidRPr="008B0E98">
        <w:rPr>
          <w:b/>
          <w:bCs/>
        </w:rPr>
        <w:t xml:space="preserve">Committee </w:t>
      </w:r>
      <w:r w:rsidR="00FF79D1" w:rsidRPr="008B0E98">
        <w:rPr>
          <w:b/>
          <w:bCs/>
        </w:rPr>
        <w:t>reiterates the recommendations made in paragraph 38 of it</w:t>
      </w:r>
      <w:r w:rsidR="00C23422">
        <w:rPr>
          <w:b/>
          <w:bCs/>
        </w:rPr>
        <w:t>s</w:t>
      </w:r>
      <w:r w:rsidR="00FF79D1" w:rsidRPr="008B0E98">
        <w:rPr>
          <w:b/>
          <w:bCs/>
        </w:rPr>
        <w:t xml:space="preserve"> </w:t>
      </w:r>
      <w:r w:rsidR="00291F0C">
        <w:rPr>
          <w:b/>
          <w:bCs/>
        </w:rPr>
        <w:t xml:space="preserve">previous </w:t>
      </w:r>
      <w:r w:rsidR="00FF79D1" w:rsidRPr="008B0E98">
        <w:rPr>
          <w:b/>
          <w:bCs/>
        </w:rPr>
        <w:t xml:space="preserve">concluding observations </w:t>
      </w:r>
      <w:r w:rsidR="00C62A06" w:rsidRPr="008B0E98">
        <w:rPr>
          <w:b/>
          <w:bCs/>
        </w:rPr>
        <w:t>urg</w:t>
      </w:r>
      <w:r w:rsidR="00CC04D0">
        <w:rPr>
          <w:b/>
          <w:bCs/>
        </w:rPr>
        <w:t>ing</w:t>
      </w:r>
      <w:r w:rsidR="00C62A06" w:rsidRPr="008B0E98">
        <w:rPr>
          <w:b/>
          <w:bCs/>
        </w:rPr>
        <w:t xml:space="preserve"> the State party to </w:t>
      </w:r>
      <w:r w:rsidR="001A7445">
        <w:rPr>
          <w:b/>
          <w:bCs/>
        </w:rPr>
        <w:t>launch</w:t>
      </w:r>
      <w:r w:rsidR="00C62A06" w:rsidRPr="008B0E98">
        <w:rPr>
          <w:b/>
          <w:bCs/>
        </w:rPr>
        <w:t xml:space="preserve"> administrative and criminal investigations into the judicial and health authorities and institutions that recommend, authorize or perform forced sterilizations</w:t>
      </w:r>
      <w:r w:rsidR="00DA2FB1" w:rsidRPr="008B0E98">
        <w:rPr>
          <w:b/>
          <w:bCs/>
        </w:rPr>
        <w:t>,</w:t>
      </w:r>
      <w:r w:rsidR="008B0E98" w:rsidRPr="008B0E98">
        <w:rPr>
          <w:b/>
          <w:bCs/>
        </w:rPr>
        <w:t xml:space="preserve"> </w:t>
      </w:r>
      <w:r w:rsidR="00DA2FB1" w:rsidRPr="008B0E98">
        <w:rPr>
          <w:b/>
          <w:bCs/>
        </w:rPr>
        <w:t>contraception and abortion</w:t>
      </w:r>
      <w:r w:rsidR="00C62A06" w:rsidRPr="008B0E98">
        <w:rPr>
          <w:b/>
          <w:bCs/>
        </w:rPr>
        <w:t xml:space="preserve"> on girls, adolescents and women with disabilities and to guarantee access to justice and reparation for victims.</w:t>
      </w:r>
    </w:p>
    <w:p w14:paraId="7151B424" w14:textId="682FBF51" w:rsidR="00164479" w:rsidRPr="00C81900" w:rsidRDefault="0079323D" w:rsidP="00164479">
      <w:pPr>
        <w:pStyle w:val="SingleTxtG"/>
        <w:rPr>
          <w:b/>
          <w:bCs/>
        </w:rPr>
      </w:pPr>
      <w:r w:rsidRPr="0047472A">
        <w:rPr>
          <w:bCs/>
          <w:color w:val="000000"/>
        </w:rPr>
        <w:t>4</w:t>
      </w:r>
      <w:r w:rsidR="0006696E" w:rsidRPr="0047472A">
        <w:rPr>
          <w:bCs/>
          <w:color w:val="000000"/>
        </w:rPr>
        <w:t>7</w:t>
      </w:r>
      <w:r w:rsidR="00164479" w:rsidRPr="0047472A">
        <w:rPr>
          <w:bCs/>
          <w:color w:val="000000"/>
        </w:rPr>
        <w:t>.</w:t>
      </w:r>
      <w:r w:rsidR="00164479" w:rsidRPr="00370305">
        <w:rPr>
          <w:b/>
          <w:bCs/>
          <w:color w:val="000000"/>
        </w:rPr>
        <w:tab/>
      </w:r>
      <w:r w:rsidR="008B0E98" w:rsidRPr="00370305">
        <w:rPr>
          <w:b/>
          <w:bCs/>
          <w:color w:val="000000"/>
        </w:rPr>
        <w:t>The</w:t>
      </w:r>
      <w:r w:rsidR="008B0E98">
        <w:rPr>
          <w:b/>
          <w:bCs/>
          <w:color w:val="000000"/>
        </w:rPr>
        <w:t xml:space="preserve"> Committee further recommends </w:t>
      </w:r>
      <w:r w:rsidR="00EB5E1E">
        <w:rPr>
          <w:b/>
          <w:bCs/>
          <w:color w:val="000000"/>
        </w:rPr>
        <w:t>that the State party</w:t>
      </w:r>
      <w:r w:rsidR="007848F5">
        <w:rPr>
          <w:b/>
          <w:bCs/>
          <w:color w:val="000000"/>
        </w:rPr>
        <w:t xml:space="preserve"> </w:t>
      </w:r>
      <w:r w:rsidR="008B0E98">
        <w:rPr>
          <w:b/>
          <w:bCs/>
          <w:color w:val="000000"/>
        </w:rPr>
        <w:t>i</w:t>
      </w:r>
      <w:r w:rsidR="00164479" w:rsidRPr="00C81900">
        <w:rPr>
          <w:b/>
          <w:bCs/>
          <w:color w:val="000000"/>
        </w:rPr>
        <w:t>mplement training program</w:t>
      </w:r>
      <w:r w:rsidR="00EB5E1E">
        <w:rPr>
          <w:b/>
          <w:bCs/>
          <w:color w:val="000000"/>
        </w:rPr>
        <w:t>me</w:t>
      </w:r>
      <w:r w:rsidR="00164479" w:rsidRPr="00C81900">
        <w:rPr>
          <w:b/>
          <w:bCs/>
          <w:color w:val="000000"/>
        </w:rPr>
        <w:t>s for professionals in the public and private health sectors</w:t>
      </w:r>
      <w:r w:rsidR="008B0E98">
        <w:rPr>
          <w:b/>
          <w:bCs/>
          <w:color w:val="000000"/>
        </w:rPr>
        <w:t xml:space="preserve"> on</w:t>
      </w:r>
      <w:r w:rsidR="00164479" w:rsidRPr="00C81900">
        <w:rPr>
          <w:b/>
          <w:bCs/>
          <w:color w:val="000000"/>
        </w:rPr>
        <w:t xml:space="preserve"> </w:t>
      </w:r>
      <w:r w:rsidR="00164479" w:rsidRPr="00F65E2D">
        <w:rPr>
          <w:b/>
          <w:bCs/>
          <w:color w:val="000000"/>
        </w:rPr>
        <w:t xml:space="preserve">sexual and reproductive </w:t>
      </w:r>
      <w:r w:rsidR="00157742">
        <w:rPr>
          <w:b/>
          <w:bCs/>
          <w:color w:val="000000"/>
        </w:rPr>
        <w:t>health</w:t>
      </w:r>
      <w:r w:rsidR="007848F5" w:rsidRPr="00F65E2D">
        <w:rPr>
          <w:b/>
          <w:bCs/>
          <w:color w:val="000000"/>
        </w:rPr>
        <w:t xml:space="preserve"> </w:t>
      </w:r>
      <w:r w:rsidR="00164479" w:rsidRPr="00F65E2D">
        <w:rPr>
          <w:b/>
          <w:bCs/>
          <w:color w:val="000000"/>
        </w:rPr>
        <w:t>rights of women</w:t>
      </w:r>
      <w:r w:rsidR="00164479" w:rsidRPr="00C81900">
        <w:rPr>
          <w:b/>
          <w:bCs/>
          <w:color w:val="000000"/>
        </w:rPr>
        <w:t xml:space="preserve"> and girls with disabilities</w:t>
      </w:r>
      <w:r w:rsidR="00F77EEC">
        <w:rPr>
          <w:b/>
          <w:bCs/>
          <w:color w:val="000000"/>
        </w:rPr>
        <w:t xml:space="preserve"> that include training on </w:t>
      </w:r>
      <w:r w:rsidR="00F77EEC">
        <w:rPr>
          <w:b/>
          <w:bCs/>
          <w:color w:val="000000"/>
        </w:rPr>
        <w:lastRenderedPageBreak/>
        <w:t>respect for their preferences and on dismantling prevalent stereotypes of the sexuality of women and girls with disabilities.</w:t>
      </w:r>
    </w:p>
    <w:p w14:paraId="6C3DA524" w14:textId="77777777" w:rsidR="00A00933" w:rsidRPr="00400A52" w:rsidRDefault="00282BCB" w:rsidP="00A00933">
      <w:pPr>
        <w:pStyle w:val="H23G"/>
      </w:pPr>
      <w:r>
        <w:rPr>
          <w:bCs/>
        </w:rPr>
        <w:tab/>
      </w:r>
      <w:r>
        <w:rPr>
          <w:bCs/>
        </w:rPr>
        <w:tab/>
      </w:r>
      <w:r w:rsidR="00A00933" w:rsidRPr="00400A52">
        <w:t>Liberty of movement and nationality (art. 18)</w:t>
      </w:r>
    </w:p>
    <w:p w14:paraId="6FC8BF1A" w14:textId="04A588FE" w:rsidR="00477F21" w:rsidRDefault="0006696E" w:rsidP="00477F21">
      <w:pPr>
        <w:pStyle w:val="SingleTxtG"/>
      </w:pPr>
      <w:r>
        <w:t>48</w:t>
      </w:r>
      <w:r w:rsidR="00477F21" w:rsidRPr="00E46FD0">
        <w:t>.</w:t>
      </w:r>
      <w:r w:rsidR="00477F21" w:rsidRPr="00E46FD0">
        <w:tab/>
        <w:t xml:space="preserve">The Committee is concerned </w:t>
      </w:r>
      <w:r w:rsidR="00477F21">
        <w:t>about a lack of accessibility of information, procedures and migration cent</w:t>
      </w:r>
      <w:r w:rsidR="000C3137">
        <w:t>r</w:t>
      </w:r>
      <w:r w:rsidR="00477F21">
        <w:t>es for migrant</w:t>
      </w:r>
      <w:r w:rsidR="00156CBA">
        <w:t>, refugee, asylum</w:t>
      </w:r>
      <w:r w:rsidR="000C1178">
        <w:t>-</w:t>
      </w:r>
      <w:r w:rsidR="00156CBA">
        <w:t>seeking</w:t>
      </w:r>
      <w:r w:rsidR="00477F21">
        <w:t xml:space="preserve"> and internally displaced persons with disabilities</w:t>
      </w:r>
      <w:r w:rsidR="000B5817">
        <w:t>. It is also concerned</w:t>
      </w:r>
      <w:r w:rsidR="00477F21">
        <w:t xml:space="preserve"> that there is no comprehensive and systematic identification of migrant and internally displaced persons with disabilities and their requirements, and that there is a lack of disaggregated data on migrant and internally displaced persons with disabilities.</w:t>
      </w:r>
    </w:p>
    <w:p w14:paraId="03582A9B" w14:textId="31CB6B62" w:rsidR="00477F21" w:rsidRPr="00921A64" w:rsidRDefault="0006696E" w:rsidP="00477F21">
      <w:pPr>
        <w:pStyle w:val="SingleTxtG"/>
        <w:rPr>
          <w:b/>
          <w:bCs/>
        </w:rPr>
      </w:pPr>
      <w:r w:rsidRPr="0047472A">
        <w:rPr>
          <w:bCs/>
        </w:rPr>
        <w:t>49</w:t>
      </w:r>
      <w:r w:rsidR="00477F21" w:rsidRPr="0047472A">
        <w:rPr>
          <w:bCs/>
        </w:rPr>
        <w:t>.</w:t>
      </w:r>
      <w:r w:rsidR="00477F21" w:rsidRPr="00370305">
        <w:rPr>
          <w:b/>
        </w:rPr>
        <w:tab/>
      </w:r>
      <w:r w:rsidR="00477F21" w:rsidRPr="00370305">
        <w:rPr>
          <w:b/>
          <w:bCs/>
        </w:rPr>
        <w:t>The</w:t>
      </w:r>
      <w:r w:rsidR="00477F21" w:rsidRPr="00921A64">
        <w:rPr>
          <w:b/>
          <w:bCs/>
        </w:rPr>
        <w:t xml:space="preserve"> Committee </w:t>
      </w:r>
      <w:r w:rsidR="00477F21">
        <w:rPr>
          <w:b/>
          <w:bCs/>
        </w:rPr>
        <w:t>recommends</w:t>
      </w:r>
      <w:r w:rsidR="00477F21" w:rsidRPr="00921A64">
        <w:rPr>
          <w:b/>
          <w:bCs/>
        </w:rPr>
        <w:t xml:space="preserve"> the State party:</w:t>
      </w:r>
    </w:p>
    <w:p w14:paraId="68672DFC" w14:textId="7AD78AAF" w:rsidR="00477F21" w:rsidRPr="00370305" w:rsidRDefault="00477F21" w:rsidP="00370305">
      <w:pPr>
        <w:pStyle w:val="SingleTxtG"/>
        <w:ind w:firstLine="567"/>
        <w:rPr>
          <w:b/>
          <w:bCs/>
        </w:rPr>
      </w:pPr>
      <w:r w:rsidRPr="00370305">
        <w:rPr>
          <w:b/>
        </w:rPr>
        <w:tab/>
        <w:t>(a)</w:t>
      </w:r>
      <w:r w:rsidRPr="00370305">
        <w:rPr>
          <w:b/>
          <w:bCs/>
        </w:rPr>
        <w:tab/>
        <w:t>Render migration cent</w:t>
      </w:r>
      <w:r w:rsidR="008409A8">
        <w:rPr>
          <w:b/>
          <w:bCs/>
        </w:rPr>
        <w:t>r</w:t>
      </w:r>
      <w:r w:rsidRPr="00370305">
        <w:rPr>
          <w:b/>
          <w:bCs/>
        </w:rPr>
        <w:t xml:space="preserve">es, information and procedures </w:t>
      </w:r>
      <w:r w:rsidR="004F40C1">
        <w:rPr>
          <w:b/>
          <w:bCs/>
        </w:rPr>
        <w:t>accessibl</w:t>
      </w:r>
      <w:r w:rsidR="009C7FE4">
        <w:rPr>
          <w:b/>
          <w:bCs/>
        </w:rPr>
        <w:t xml:space="preserve">e </w:t>
      </w:r>
      <w:r w:rsidRPr="00370305">
        <w:rPr>
          <w:b/>
          <w:bCs/>
        </w:rPr>
        <w:t>for migrant</w:t>
      </w:r>
      <w:r w:rsidR="00156CBA" w:rsidRPr="00370305">
        <w:rPr>
          <w:b/>
          <w:bCs/>
        </w:rPr>
        <w:t>, refugee, asylum</w:t>
      </w:r>
      <w:r w:rsidR="00B023C0">
        <w:rPr>
          <w:b/>
          <w:bCs/>
        </w:rPr>
        <w:t>-</w:t>
      </w:r>
      <w:r w:rsidR="00156CBA" w:rsidRPr="00370305">
        <w:rPr>
          <w:b/>
          <w:bCs/>
        </w:rPr>
        <w:t>seeking</w:t>
      </w:r>
      <w:r w:rsidRPr="00370305">
        <w:rPr>
          <w:b/>
          <w:bCs/>
        </w:rPr>
        <w:t xml:space="preserve"> and internally displaced persons with disabilities</w:t>
      </w:r>
      <w:r w:rsidR="009C7FE4">
        <w:rPr>
          <w:b/>
          <w:bCs/>
        </w:rPr>
        <w:t>,</w:t>
      </w:r>
      <w:r w:rsidRPr="00370305">
        <w:rPr>
          <w:b/>
          <w:bCs/>
        </w:rPr>
        <w:t xml:space="preserve"> in accordance with article 9 of the Convention;</w:t>
      </w:r>
    </w:p>
    <w:p w14:paraId="595C06CB" w14:textId="39F05DA7" w:rsidR="00477F21" w:rsidRPr="00370305" w:rsidRDefault="00477F21" w:rsidP="00370305">
      <w:pPr>
        <w:pStyle w:val="SingleTxtG"/>
        <w:ind w:firstLine="567"/>
        <w:rPr>
          <w:b/>
          <w:bCs/>
        </w:rPr>
      </w:pPr>
      <w:r w:rsidRPr="00370305">
        <w:rPr>
          <w:b/>
        </w:rPr>
        <w:t>(b)</w:t>
      </w:r>
      <w:r w:rsidRPr="00370305">
        <w:rPr>
          <w:b/>
          <w:bCs/>
        </w:rPr>
        <w:tab/>
        <w:t>Systematically and comprehensively identify migrant</w:t>
      </w:r>
      <w:r w:rsidR="00156CBA" w:rsidRPr="00370305">
        <w:rPr>
          <w:b/>
          <w:bCs/>
        </w:rPr>
        <w:t>, refugee, asylum</w:t>
      </w:r>
      <w:r w:rsidR="00B023C0">
        <w:rPr>
          <w:b/>
          <w:bCs/>
        </w:rPr>
        <w:t>-</w:t>
      </w:r>
      <w:r w:rsidR="00156CBA" w:rsidRPr="00370305">
        <w:rPr>
          <w:b/>
          <w:bCs/>
        </w:rPr>
        <w:t>seeking</w:t>
      </w:r>
      <w:r w:rsidRPr="00370305">
        <w:rPr>
          <w:b/>
          <w:bCs/>
        </w:rPr>
        <w:t xml:space="preserve"> and internally displaced persons with disabilities and their requirements;</w:t>
      </w:r>
    </w:p>
    <w:p w14:paraId="33C185CA" w14:textId="55458FBB" w:rsidR="00477F21" w:rsidRPr="00477F21" w:rsidRDefault="00477F21" w:rsidP="00370305">
      <w:pPr>
        <w:pStyle w:val="SingleTxtG"/>
        <w:ind w:firstLine="567"/>
        <w:rPr>
          <w:b/>
          <w:bCs/>
        </w:rPr>
      </w:pPr>
      <w:r w:rsidRPr="00370305">
        <w:rPr>
          <w:b/>
        </w:rPr>
        <w:tab/>
        <w:t>(</w:t>
      </w:r>
      <w:r w:rsidR="00BC7B18" w:rsidRPr="00370305">
        <w:rPr>
          <w:b/>
        </w:rPr>
        <w:t>c</w:t>
      </w:r>
      <w:r w:rsidRPr="00370305">
        <w:rPr>
          <w:b/>
        </w:rPr>
        <w:t>)</w:t>
      </w:r>
      <w:r w:rsidRPr="00370305">
        <w:rPr>
          <w:b/>
          <w:bCs/>
        </w:rPr>
        <w:tab/>
        <w:t>Compile</w:t>
      </w:r>
      <w:r>
        <w:rPr>
          <w:b/>
          <w:bCs/>
        </w:rPr>
        <w:t xml:space="preserve"> disaggregated data and statistics on migrant</w:t>
      </w:r>
      <w:r w:rsidR="00156CBA">
        <w:rPr>
          <w:b/>
          <w:bCs/>
        </w:rPr>
        <w:t>, refugee, asylum</w:t>
      </w:r>
      <w:r w:rsidR="00B023C0">
        <w:rPr>
          <w:b/>
          <w:bCs/>
        </w:rPr>
        <w:t>-</w:t>
      </w:r>
      <w:r w:rsidR="00156CBA">
        <w:rPr>
          <w:b/>
          <w:bCs/>
        </w:rPr>
        <w:t>seeking</w:t>
      </w:r>
      <w:r>
        <w:rPr>
          <w:b/>
          <w:bCs/>
        </w:rPr>
        <w:t xml:space="preserve"> and internally displaced persons with disabilities</w:t>
      </w:r>
      <w:r w:rsidRPr="00921A64">
        <w:rPr>
          <w:b/>
          <w:bCs/>
        </w:rPr>
        <w:t>.</w:t>
      </w:r>
    </w:p>
    <w:p w14:paraId="5BA415E6" w14:textId="50C58249" w:rsidR="00FF3F94" w:rsidRDefault="00A00933" w:rsidP="00BB45FB">
      <w:pPr>
        <w:pStyle w:val="H23G"/>
      </w:pPr>
      <w:r>
        <w:tab/>
      </w:r>
      <w:r>
        <w:tab/>
      </w:r>
      <w:r w:rsidR="00EC449C" w:rsidRPr="00404879">
        <w:t>Living independently and being included in the community (art. 19)</w:t>
      </w:r>
    </w:p>
    <w:p w14:paraId="5059647B" w14:textId="228CF25E" w:rsidR="00FF3F94" w:rsidRPr="00E46FD0" w:rsidRDefault="0079323D" w:rsidP="00FF3F94">
      <w:pPr>
        <w:pStyle w:val="SingleTxtG"/>
      </w:pPr>
      <w:r>
        <w:t>5</w:t>
      </w:r>
      <w:r w:rsidR="0006696E">
        <w:t>0</w:t>
      </w:r>
      <w:r>
        <w:t>.</w:t>
      </w:r>
      <w:r w:rsidR="00FF3F94" w:rsidRPr="00FD7472">
        <w:tab/>
        <w:t xml:space="preserve">The Committee is concerned </w:t>
      </w:r>
      <w:r w:rsidR="00FF3F94">
        <w:t>about</w:t>
      </w:r>
      <w:r w:rsidR="00FF3F94" w:rsidRPr="00FD7472">
        <w:t xml:space="preserve"> the lack of a</w:t>
      </w:r>
      <w:r w:rsidR="00FF3F94">
        <w:t xml:space="preserve"> </w:t>
      </w:r>
      <w:r w:rsidR="00A3244B">
        <w:t>f</w:t>
      </w:r>
      <w:r w:rsidR="00FF3F94">
        <w:t>ederal and</w:t>
      </w:r>
      <w:r w:rsidR="00FF3F94" w:rsidRPr="00FD7472">
        <w:t xml:space="preserve"> </w:t>
      </w:r>
      <w:r w:rsidR="00A3244B">
        <w:t>s</w:t>
      </w:r>
      <w:r w:rsidR="00FF3F94" w:rsidRPr="00FD7472">
        <w:t>tate strategy for the inclusion of persons with disabilities in society and their ability to live independently</w:t>
      </w:r>
      <w:r w:rsidR="00FF3F94">
        <w:t xml:space="preserve">, and about the absence </w:t>
      </w:r>
      <w:r w:rsidR="00FF3F94" w:rsidRPr="00FD7472">
        <w:t>of a specific and effective strategy for the deinstitutionalization of persons with disabilities.</w:t>
      </w:r>
    </w:p>
    <w:p w14:paraId="1070B075" w14:textId="4675B66E" w:rsidR="00FF3F94" w:rsidRPr="00921A64" w:rsidRDefault="00485C8F" w:rsidP="00FF3F94">
      <w:pPr>
        <w:pStyle w:val="SingleTxtG"/>
        <w:rPr>
          <w:b/>
          <w:bCs/>
        </w:rPr>
      </w:pPr>
      <w:r w:rsidRPr="0047472A">
        <w:rPr>
          <w:bCs/>
        </w:rPr>
        <w:t>5</w:t>
      </w:r>
      <w:r w:rsidR="0006696E" w:rsidRPr="0047472A">
        <w:rPr>
          <w:bCs/>
        </w:rPr>
        <w:t>1</w:t>
      </w:r>
      <w:r w:rsidRPr="0047472A">
        <w:rPr>
          <w:bCs/>
        </w:rPr>
        <w:t>.</w:t>
      </w:r>
      <w:r w:rsidR="00FF3F94" w:rsidRPr="00370305">
        <w:rPr>
          <w:b/>
        </w:rPr>
        <w:tab/>
      </w:r>
      <w:r w:rsidR="007A7516" w:rsidRPr="00370305">
        <w:rPr>
          <w:b/>
          <w:bCs/>
        </w:rPr>
        <w:t>The Committee recalls its general comment No. 5 (2017) on living independently and being</w:t>
      </w:r>
      <w:r w:rsidR="007A7516">
        <w:rPr>
          <w:b/>
          <w:bCs/>
        </w:rPr>
        <w:t xml:space="preserve"> included in the community, and recommends that the State party:</w:t>
      </w:r>
    </w:p>
    <w:p w14:paraId="4E2E2FF3" w14:textId="0B0B538F" w:rsidR="00FF3F94" w:rsidRDefault="00FF3F94" w:rsidP="00370305">
      <w:pPr>
        <w:pStyle w:val="SingleTxtG"/>
        <w:ind w:firstLine="567"/>
        <w:rPr>
          <w:b/>
          <w:bCs/>
        </w:rPr>
      </w:pPr>
      <w:r w:rsidRPr="00370305">
        <w:rPr>
          <w:b/>
        </w:rPr>
        <w:tab/>
        <w:t>(a)</w:t>
      </w:r>
      <w:r w:rsidRPr="00370305">
        <w:rPr>
          <w:b/>
          <w:bCs/>
        </w:rPr>
        <w:tab/>
        <w:t>A</w:t>
      </w:r>
      <w:r w:rsidR="0050590C" w:rsidRPr="00370305">
        <w:rPr>
          <w:b/>
          <w:bCs/>
        </w:rPr>
        <w:t>mend</w:t>
      </w:r>
      <w:r w:rsidR="0084160A" w:rsidRPr="00370305">
        <w:rPr>
          <w:b/>
          <w:bCs/>
        </w:rPr>
        <w:t xml:space="preserve"> or adopt</w:t>
      </w:r>
      <w:r w:rsidRPr="00370305">
        <w:rPr>
          <w:b/>
          <w:bCs/>
        </w:rPr>
        <w:t xml:space="preserve"> l</w:t>
      </w:r>
      <w:r w:rsidR="003770C8" w:rsidRPr="00370305">
        <w:rPr>
          <w:b/>
          <w:bCs/>
        </w:rPr>
        <w:t>aw</w:t>
      </w:r>
      <w:r w:rsidR="0050590C" w:rsidRPr="00370305">
        <w:rPr>
          <w:b/>
          <w:bCs/>
        </w:rPr>
        <w:t>s</w:t>
      </w:r>
      <w:r w:rsidR="003770C8" w:rsidRPr="00370305">
        <w:rPr>
          <w:b/>
          <w:bCs/>
        </w:rPr>
        <w:t>, policies</w:t>
      </w:r>
      <w:r w:rsidRPr="00370305">
        <w:rPr>
          <w:b/>
          <w:bCs/>
        </w:rPr>
        <w:t>, financial and other measures</w:t>
      </w:r>
      <w:r w:rsidR="00152E07">
        <w:rPr>
          <w:b/>
          <w:bCs/>
        </w:rPr>
        <w:t>, including time frames for their implementation</w:t>
      </w:r>
      <w:r w:rsidR="00D9125C">
        <w:rPr>
          <w:b/>
          <w:bCs/>
        </w:rPr>
        <w:t>,</w:t>
      </w:r>
      <w:r w:rsidRPr="00370305">
        <w:rPr>
          <w:b/>
          <w:bCs/>
        </w:rPr>
        <w:t xml:space="preserve"> to ensure that persons with</w:t>
      </w:r>
      <w:r w:rsidRPr="00921A64">
        <w:rPr>
          <w:b/>
          <w:bCs/>
        </w:rPr>
        <w:t xml:space="preserve"> disabilities </w:t>
      </w:r>
      <w:r w:rsidR="0050590C">
        <w:rPr>
          <w:b/>
          <w:bCs/>
        </w:rPr>
        <w:t>can</w:t>
      </w:r>
      <w:r w:rsidRPr="00921A64">
        <w:rPr>
          <w:b/>
          <w:bCs/>
        </w:rPr>
        <w:t xml:space="preserve"> live </w:t>
      </w:r>
      <w:r w:rsidR="0050590C">
        <w:rPr>
          <w:b/>
          <w:bCs/>
        </w:rPr>
        <w:t>independently</w:t>
      </w:r>
      <w:r w:rsidRPr="00921A64">
        <w:rPr>
          <w:b/>
          <w:bCs/>
        </w:rPr>
        <w:t xml:space="preserve"> in the community. These measures should include personal assistance services, be culturally appropriate, enable beneficiaries to choose their lifestyle and place of residence</w:t>
      </w:r>
      <w:r w:rsidR="00AA7E2E">
        <w:rPr>
          <w:b/>
          <w:bCs/>
        </w:rPr>
        <w:t xml:space="preserve">, </w:t>
      </w:r>
      <w:r w:rsidRPr="00921A64">
        <w:rPr>
          <w:b/>
          <w:bCs/>
        </w:rPr>
        <w:t>express their</w:t>
      </w:r>
      <w:r w:rsidR="00AA7E2E">
        <w:rPr>
          <w:b/>
          <w:bCs/>
        </w:rPr>
        <w:t xml:space="preserve"> will and</w:t>
      </w:r>
      <w:r w:rsidRPr="00921A64">
        <w:rPr>
          <w:b/>
          <w:bCs/>
        </w:rPr>
        <w:t xml:space="preserve"> preferences and contain a gender and age perspective;</w:t>
      </w:r>
    </w:p>
    <w:p w14:paraId="7CF350DD" w14:textId="47A33557" w:rsidR="00E46F7E" w:rsidRDefault="00485C8F" w:rsidP="00370305">
      <w:pPr>
        <w:pStyle w:val="SingleTxtG"/>
        <w:ind w:firstLine="567"/>
        <w:rPr>
          <w:b/>
          <w:bCs/>
        </w:rPr>
      </w:pPr>
      <w:r w:rsidRPr="00370305">
        <w:rPr>
          <w:b/>
        </w:rPr>
        <w:t>(b)</w:t>
      </w:r>
      <w:r w:rsidRPr="00370305">
        <w:rPr>
          <w:b/>
          <w:bCs/>
        </w:rPr>
        <w:tab/>
      </w:r>
      <w:r w:rsidR="007A7516" w:rsidRPr="00370305">
        <w:rPr>
          <w:b/>
          <w:bCs/>
        </w:rPr>
        <w:t xml:space="preserve">Take </w:t>
      </w:r>
      <w:r w:rsidR="00BA7F32" w:rsidRPr="00370305">
        <w:rPr>
          <w:b/>
          <w:bCs/>
        </w:rPr>
        <w:t>expedited</w:t>
      </w:r>
      <w:r w:rsidR="007A7516" w:rsidRPr="00370305">
        <w:rPr>
          <w:b/>
          <w:bCs/>
        </w:rPr>
        <w:t xml:space="preserve"> measures to end the </w:t>
      </w:r>
      <w:r w:rsidR="003770C8" w:rsidRPr="00370305">
        <w:rPr>
          <w:b/>
          <w:bCs/>
        </w:rPr>
        <w:t xml:space="preserve">institutionalization </w:t>
      </w:r>
      <w:r w:rsidR="007A7516" w:rsidRPr="00370305">
        <w:rPr>
          <w:b/>
          <w:bCs/>
        </w:rPr>
        <w:t>of persons with disabilities by, inter alia, d</w:t>
      </w:r>
      <w:r w:rsidR="00FF3F94" w:rsidRPr="00370305">
        <w:rPr>
          <w:b/>
          <w:bCs/>
        </w:rPr>
        <w:t>evelop</w:t>
      </w:r>
      <w:r w:rsidR="007A7516" w:rsidRPr="00370305">
        <w:rPr>
          <w:b/>
          <w:bCs/>
        </w:rPr>
        <w:t>ing and implementing</w:t>
      </w:r>
      <w:r w:rsidR="00FF3F94" w:rsidRPr="00370305">
        <w:rPr>
          <w:b/>
          <w:bCs/>
        </w:rPr>
        <w:t xml:space="preserve"> a strategy for the deinstitutionalization</w:t>
      </w:r>
      <w:r w:rsidR="00FF3F94" w:rsidRPr="00921A64">
        <w:rPr>
          <w:b/>
          <w:bCs/>
        </w:rPr>
        <w:t xml:space="preserve"> of persons with disabilities</w:t>
      </w:r>
      <w:r w:rsidR="003770C8">
        <w:rPr>
          <w:b/>
          <w:bCs/>
        </w:rPr>
        <w:t>, in particular children with disabilities</w:t>
      </w:r>
      <w:r w:rsidR="00FF3F94" w:rsidRPr="00921A64">
        <w:rPr>
          <w:b/>
          <w:bCs/>
        </w:rPr>
        <w:t>, including specific time frames</w:t>
      </w:r>
      <w:r w:rsidR="007A7516">
        <w:rPr>
          <w:b/>
          <w:bCs/>
        </w:rPr>
        <w:t>,</w:t>
      </w:r>
      <w:r w:rsidR="00FF3F94" w:rsidRPr="00921A64">
        <w:rPr>
          <w:b/>
          <w:bCs/>
        </w:rPr>
        <w:t xml:space="preserve"> assessment measures</w:t>
      </w:r>
      <w:r w:rsidR="007A7516">
        <w:rPr>
          <w:b/>
          <w:bCs/>
        </w:rPr>
        <w:t xml:space="preserve"> and</w:t>
      </w:r>
      <w:r w:rsidR="0084160A">
        <w:rPr>
          <w:b/>
          <w:bCs/>
        </w:rPr>
        <w:t xml:space="preserve"> an</w:t>
      </w:r>
      <w:r w:rsidR="007A7516">
        <w:rPr>
          <w:b/>
          <w:bCs/>
        </w:rPr>
        <w:t xml:space="preserve"> adequate budget</w:t>
      </w:r>
      <w:r w:rsidR="00FF3F94" w:rsidRPr="00921A64">
        <w:rPr>
          <w:b/>
          <w:bCs/>
        </w:rPr>
        <w:t>.</w:t>
      </w:r>
    </w:p>
    <w:p w14:paraId="271EF47C" w14:textId="7F182213" w:rsidR="00EC449C" w:rsidRPr="001168EC" w:rsidRDefault="00F6318D" w:rsidP="0047472A">
      <w:pPr>
        <w:pStyle w:val="H23G"/>
      </w:pPr>
      <w:r>
        <w:tab/>
      </w:r>
      <w:r>
        <w:tab/>
      </w:r>
      <w:r w:rsidR="00EC449C" w:rsidRPr="001168EC">
        <w:t>Respect for home and the family (art. 23)</w:t>
      </w:r>
    </w:p>
    <w:p w14:paraId="774160BD" w14:textId="4C915563" w:rsidR="00713FE3" w:rsidRPr="00C81900" w:rsidRDefault="0079323D" w:rsidP="00C81900">
      <w:pPr>
        <w:pStyle w:val="SingleTxtG"/>
        <w:rPr>
          <w:lang w:val="en-US"/>
        </w:rPr>
      </w:pPr>
      <w:r>
        <w:t>5</w:t>
      </w:r>
      <w:r w:rsidR="0006696E">
        <w:t>2</w:t>
      </w:r>
      <w:r w:rsidR="00713FE3" w:rsidRPr="00E46FD0">
        <w:t>.</w:t>
      </w:r>
      <w:r w:rsidR="00713FE3" w:rsidRPr="00E46FD0">
        <w:tab/>
        <w:t xml:space="preserve">The </w:t>
      </w:r>
      <w:r w:rsidR="00713FE3" w:rsidRPr="00D92B55">
        <w:t xml:space="preserve">Committee </w:t>
      </w:r>
      <w:r w:rsidR="00713FE3">
        <w:t>is concerned</w:t>
      </w:r>
      <w:r w:rsidR="00713FE3" w:rsidRPr="00D92B55">
        <w:t xml:space="preserve"> that the Civil Code restricts the right of some persons with disabilities to marry</w:t>
      </w:r>
      <w:r w:rsidR="00D84093">
        <w:t>,</w:t>
      </w:r>
      <w:r w:rsidR="00713FE3" w:rsidRPr="00D92B55">
        <w:t xml:space="preserve"> and their right to</w:t>
      </w:r>
      <w:r w:rsidR="00713FE3">
        <w:t xml:space="preserve"> have</w:t>
      </w:r>
      <w:r w:rsidR="00713FE3" w:rsidRPr="00D92B55">
        <w:t xml:space="preserve"> custody and guardianship of their children</w:t>
      </w:r>
      <w:r w:rsidR="00D84093">
        <w:t xml:space="preserve"> on an equal basis with other</w:t>
      </w:r>
      <w:r w:rsidR="007A2D89">
        <w:t>s</w:t>
      </w:r>
      <w:r w:rsidR="00173778">
        <w:t>. I</w:t>
      </w:r>
      <w:r w:rsidR="00713FE3" w:rsidRPr="00D92B55">
        <w:t xml:space="preserve">t </w:t>
      </w:r>
      <w:r w:rsidR="00713FE3">
        <w:t xml:space="preserve">is </w:t>
      </w:r>
      <w:r w:rsidR="00713FE3" w:rsidRPr="00D92B55">
        <w:t>further</w:t>
      </w:r>
      <w:r w:rsidR="00713FE3">
        <w:t xml:space="preserve"> concerned about the lack of disaggregated data on persons with disabilities who a</w:t>
      </w:r>
      <w:r w:rsidR="00D84093">
        <w:t>re</w:t>
      </w:r>
      <w:r w:rsidR="00713FE3">
        <w:t xml:space="preserve"> victims of domestic violence.</w:t>
      </w:r>
      <w:r w:rsidR="00B4172C">
        <w:t xml:space="preserve"> </w:t>
      </w:r>
    </w:p>
    <w:p w14:paraId="222936D6" w14:textId="7E8598E5" w:rsidR="00713FE3" w:rsidRPr="00921A64" w:rsidRDefault="0079323D" w:rsidP="00713FE3">
      <w:pPr>
        <w:pStyle w:val="SingleTxtG"/>
        <w:rPr>
          <w:b/>
          <w:bCs/>
        </w:rPr>
      </w:pPr>
      <w:r w:rsidRPr="0047472A">
        <w:rPr>
          <w:bCs/>
        </w:rPr>
        <w:t>5</w:t>
      </w:r>
      <w:r w:rsidR="0006696E" w:rsidRPr="0047472A">
        <w:rPr>
          <w:bCs/>
        </w:rPr>
        <w:t>3</w:t>
      </w:r>
      <w:r w:rsidR="00713FE3" w:rsidRPr="0047472A">
        <w:rPr>
          <w:bCs/>
        </w:rPr>
        <w:t>.</w:t>
      </w:r>
      <w:r w:rsidR="00713FE3" w:rsidRPr="00370305">
        <w:rPr>
          <w:b/>
        </w:rPr>
        <w:tab/>
      </w:r>
      <w:r w:rsidR="00713FE3" w:rsidRPr="00370305">
        <w:rPr>
          <w:b/>
          <w:bCs/>
        </w:rPr>
        <w:t>The</w:t>
      </w:r>
      <w:r w:rsidR="00713FE3" w:rsidRPr="00D92B55">
        <w:rPr>
          <w:b/>
          <w:bCs/>
        </w:rPr>
        <w:t xml:space="preserve"> Committee </w:t>
      </w:r>
      <w:r w:rsidR="007A2D89">
        <w:rPr>
          <w:b/>
          <w:bCs/>
        </w:rPr>
        <w:t>recommends</w:t>
      </w:r>
      <w:r w:rsidR="00713FE3" w:rsidRPr="00921A64">
        <w:rPr>
          <w:b/>
          <w:bCs/>
        </w:rPr>
        <w:t xml:space="preserve"> </w:t>
      </w:r>
      <w:r w:rsidR="000A1242">
        <w:rPr>
          <w:b/>
          <w:bCs/>
        </w:rPr>
        <w:t xml:space="preserve">that </w:t>
      </w:r>
      <w:r w:rsidR="00713FE3" w:rsidRPr="00921A64">
        <w:rPr>
          <w:b/>
          <w:bCs/>
        </w:rPr>
        <w:t>the State party:</w:t>
      </w:r>
    </w:p>
    <w:p w14:paraId="2229731B" w14:textId="77777777" w:rsidR="00713FE3" w:rsidRPr="00921A64" w:rsidRDefault="00713FE3" w:rsidP="00370305">
      <w:pPr>
        <w:pStyle w:val="SingleTxtG"/>
        <w:ind w:firstLine="567"/>
        <w:rPr>
          <w:b/>
          <w:bCs/>
        </w:rPr>
      </w:pPr>
      <w:r w:rsidRPr="00370305">
        <w:rPr>
          <w:b/>
        </w:rPr>
        <w:tab/>
        <w:t>(a)</w:t>
      </w:r>
      <w:r w:rsidRPr="00370305">
        <w:rPr>
          <w:b/>
          <w:bCs/>
        </w:rPr>
        <w:tab/>
        <w:t>Amend the Civil Code to ensure that all persons with disabilities have the right to</w:t>
      </w:r>
      <w:r w:rsidRPr="00921A64">
        <w:rPr>
          <w:b/>
          <w:bCs/>
        </w:rPr>
        <w:t xml:space="preserve"> marry and to have custody or guardianship of their children</w:t>
      </w:r>
      <w:r>
        <w:rPr>
          <w:b/>
          <w:bCs/>
        </w:rPr>
        <w:t>, and can in fact exercise it</w:t>
      </w:r>
      <w:r w:rsidRPr="00921A64">
        <w:rPr>
          <w:b/>
          <w:bCs/>
        </w:rPr>
        <w:t>;</w:t>
      </w:r>
    </w:p>
    <w:p w14:paraId="2B31919A" w14:textId="036C09DA" w:rsidR="00713FE3" w:rsidRPr="00370305" w:rsidRDefault="00713FE3" w:rsidP="00370305">
      <w:pPr>
        <w:pStyle w:val="SingleTxtG"/>
        <w:ind w:firstLine="567"/>
        <w:rPr>
          <w:b/>
          <w:bCs/>
        </w:rPr>
      </w:pPr>
      <w:r w:rsidRPr="00370305">
        <w:rPr>
          <w:b/>
        </w:rPr>
        <w:tab/>
        <w:t>(b)</w:t>
      </w:r>
      <w:r w:rsidRPr="00370305">
        <w:rPr>
          <w:b/>
          <w:bCs/>
        </w:rPr>
        <w:tab/>
        <w:t>Provide support to parents with intellectual</w:t>
      </w:r>
      <w:r w:rsidR="00AD5BB3">
        <w:rPr>
          <w:b/>
          <w:bCs/>
        </w:rPr>
        <w:t xml:space="preserve"> disabilities</w:t>
      </w:r>
      <w:r w:rsidRPr="00370305">
        <w:rPr>
          <w:b/>
          <w:bCs/>
        </w:rPr>
        <w:t xml:space="preserve"> and </w:t>
      </w:r>
      <w:r w:rsidR="00AD5BB3">
        <w:rPr>
          <w:b/>
          <w:bCs/>
        </w:rPr>
        <w:t xml:space="preserve">parents with </w:t>
      </w:r>
      <w:r w:rsidRPr="00370305">
        <w:rPr>
          <w:b/>
          <w:bCs/>
        </w:rPr>
        <w:t>psychosocial disabilities for the discharge of their responsibilities towards their children;</w:t>
      </w:r>
    </w:p>
    <w:p w14:paraId="3EDDED45" w14:textId="7AAF9D89" w:rsidR="00713FE3" w:rsidRPr="00370305" w:rsidRDefault="00713FE3" w:rsidP="00370305">
      <w:pPr>
        <w:pStyle w:val="SingleTxtG"/>
        <w:ind w:firstLine="567"/>
        <w:rPr>
          <w:b/>
          <w:bCs/>
        </w:rPr>
      </w:pPr>
      <w:r w:rsidRPr="00370305">
        <w:rPr>
          <w:b/>
        </w:rPr>
        <w:t>(c)</w:t>
      </w:r>
      <w:r w:rsidRPr="00370305">
        <w:rPr>
          <w:b/>
          <w:bCs/>
        </w:rPr>
        <w:tab/>
        <w:t xml:space="preserve">Provide financial, organizational and administrative support to effectively guarantee the right of children with disabilities to live with their families or </w:t>
      </w:r>
      <w:r w:rsidR="00AD5BB3">
        <w:rPr>
          <w:b/>
          <w:bCs/>
        </w:rPr>
        <w:t>to family life</w:t>
      </w:r>
      <w:r w:rsidRPr="00370305">
        <w:rPr>
          <w:b/>
          <w:bCs/>
        </w:rPr>
        <w:t>;</w:t>
      </w:r>
    </w:p>
    <w:p w14:paraId="62E44495" w14:textId="5E0200F5" w:rsidR="00713FE3" w:rsidRPr="00370305" w:rsidRDefault="00713FE3" w:rsidP="00370305">
      <w:pPr>
        <w:pStyle w:val="SingleTxtG"/>
        <w:ind w:firstLine="567"/>
        <w:rPr>
          <w:b/>
          <w:bCs/>
        </w:rPr>
      </w:pPr>
      <w:r w:rsidRPr="00370305">
        <w:rPr>
          <w:b/>
        </w:rPr>
        <w:lastRenderedPageBreak/>
        <w:tab/>
        <w:t>(</w:t>
      </w:r>
      <w:r w:rsidR="00485C8F" w:rsidRPr="00370305">
        <w:rPr>
          <w:b/>
        </w:rPr>
        <w:t>d</w:t>
      </w:r>
      <w:r w:rsidRPr="00370305">
        <w:rPr>
          <w:b/>
        </w:rPr>
        <w:t>)</w:t>
      </w:r>
      <w:r w:rsidRPr="00370305">
        <w:rPr>
          <w:b/>
          <w:bCs/>
        </w:rPr>
        <w:tab/>
        <w:t>Establish family support mechanisms</w:t>
      </w:r>
      <w:r w:rsidR="0061388A">
        <w:rPr>
          <w:b/>
          <w:bCs/>
        </w:rPr>
        <w:t>,</w:t>
      </w:r>
      <w:r w:rsidRPr="00370305">
        <w:rPr>
          <w:b/>
          <w:bCs/>
        </w:rPr>
        <w:t xml:space="preserve"> in keeping with the recommendation made by the Committee on the Rights of the Child</w:t>
      </w:r>
      <w:r w:rsidR="0061388A">
        <w:rPr>
          <w:b/>
          <w:bCs/>
        </w:rPr>
        <w:t>,</w:t>
      </w:r>
      <w:r w:rsidRPr="00370305">
        <w:rPr>
          <w:b/>
          <w:bCs/>
        </w:rPr>
        <w:t xml:space="preserve"> following </w:t>
      </w:r>
      <w:r w:rsidR="0061388A">
        <w:rPr>
          <w:b/>
          <w:bCs/>
        </w:rPr>
        <w:t>its</w:t>
      </w:r>
      <w:r w:rsidRPr="00370305">
        <w:rPr>
          <w:b/>
          <w:bCs/>
        </w:rPr>
        <w:t xml:space="preserve"> consideration of the </w:t>
      </w:r>
      <w:r w:rsidR="001534CF">
        <w:rPr>
          <w:b/>
          <w:bCs/>
        </w:rPr>
        <w:t xml:space="preserve">combined </w:t>
      </w:r>
      <w:r w:rsidRPr="00370305">
        <w:rPr>
          <w:b/>
          <w:bCs/>
        </w:rPr>
        <w:t>fourth and fifth periodic report</w:t>
      </w:r>
      <w:r w:rsidR="001534CF">
        <w:rPr>
          <w:b/>
          <w:bCs/>
        </w:rPr>
        <w:t>s of Mexico</w:t>
      </w:r>
      <w:r w:rsidRPr="00370305">
        <w:rPr>
          <w:b/>
          <w:bCs/>
        </w:rPr>
        <w:t>;</w:t>
      </w:r>
      <w:r w:rsidR="0061388A">
        <w:rPr>
          <w:rStyle w:val="FootnoteReference"/>
          <w:b/>
          <w:bCs/>
        </w:rPr>
        <w:footnoteReference w:id="8"/>
      </w:r>
      <w:r w:rsidRPr="00370305">
        <w:rPr>
          <w:b/>
          <w:bCs/>
        </w:rPr>
        <w:t xml:space="preserve"> </w:t>
      </w:r>
    </w:p>
    <w:p w14:paraId="4E20CDFF" w14:textId="5960DEB9" w:rsidR="00F93C9C" w:rsidRDefault="00713FE3" w:rsidP="00370305">
      <w:pPr>
        <w:pStyle w:val="SingleTxtG"/>
        <w:ind w:firstLine="567"/>
        <w:rPr>
          <w:b/>
          <w:bCs/>
        </w:rPr>
      </w:pPr>
      <w:bookmarkStart w:id="8" w:name="_Hlk97977644"/>
      <w:r w:rsidRPr="00370305">
        <w:rPr>
          <w:b/>
          <w:bCs/>
        </w:rPr>
        <w:tab/>
      </w:r>
      <w:r w:rsidRPr="00370305">
        <w:rPr>
          <w:b/>
        </w:rPr>
        <w:t>(</w:t>
      </w:r>
      <w:r w:rsidR="00485C8F" w:rsidRPr="00370305">
        <w:rPr>
          <w:b/>
        </w:rPr>
        <w:t>e</w:t>
      </w:r>
      <w:r w:rsidRPr="00370305">
        <w:rPr>
          <w:b/>
        </w:rPr>
        <w:t>)</w:t>
      </w:r>
      <w:r w:rsidRPr="00370305">
        <w:rPr>
          <w:b/>
          <w:bCs/>
        </w:rPr>
        <w:tab/>
        <w:t xml:space="preserve">Compile disaggregated </w:t>
      </w:r>
      <w:bookmarkEnd w:id="8"/>
      <w:r w:rsidRPr="00370305">
        <w:rPr>
          <w:b/>
          <w:bCs/>
        </w:rPr>
        <w:t>data on persons with disabilities, including women and children</w:t>
      </w:r>
      <w:r>
        <w:rPr>
          <w:b/>
          <w:bCs/>
        </w:rPr>
        <w:t xml:space="preserve"> with disabilities, who are victims of domestic violence</w:t>
      </w:r>
      <w:r w:rsidR="00485C8F">
        <w:rPr>
          <w:b/>
          <w:bCs/>
        </w:rPr>
        <w:t>.</w:t>
      </w:r>
    </w:p>
    <w:p w14:paraId="09B90E1E" w14:textId="77777777" w:rsidR="00EC449C" w:rsidRPr="00404879" w:rsidRDefault="00EC449C" w:rsidP="000D6F28">
      <w:pPr>
        <w:pStyle w:val="H23G"/>
      </w:pPr>
      <w:r w:rsidRPr="00404879">
        <w:tab/>
      </w:r>
      <w:r w:rsidRPr="00404879">
        <w:tab/>
        <w:t>Education (art. 24)</w:t>
      </w:r>
    </w:p>
    <w:p w14:paraId="61F59FDB" w14:textId="76172DC2" w:rsidR="00F0341F" w:rsidRPr="008A78E3" w:rsidRDefault="0079323D" w:rsidP="00F0341F">
      <w:pPr>
        <w:pStyle w:val="SingleTxtG"/>
      </w:pPr>
      <w:r>
        <w:t>5</w:t>
      </w:r>
      <w:r w:rsidR="0006696E">
        <w:t>4</w:t>
      </w:r>
      <w:r w:rsidR="00F0341F" w:rsidRPr="00E46FD0">
        <w:t>.</w:t>
      </w:r>
      <w:r w:rsidR="00F0341F" w:rsidRPr="00E46FD0">
        <w:tab/>
        <w:t xml:space="preserve">The Committee </w:t>
      </w:r>
      <w:r w:rsidR="00F0341F" w:rsidRPr="008A78E3">
        <w:t xml:space="preserve">is concerned </w:t>
      </w:r>
      <w:r w:rsidR="00F0341F">
        <w:t>about</w:t>
      </w:r>
      <w:r w:rsidR="00F0341F" w:rsidRPr="008A78E3">
        <w:t>:</w:t>
      </w:r>
    </w:p>
    <w:p w14:paraId="27027CB6" w14:textId="77777777" w:rsidR="00F0341F" w:rsidRPr="008A78E3" w:rsidRDefault="00F0341F" w:rsidP="00370305">
      <w:pPr>
        <w:pStyle w:val="SingleTxtG"/>
        <w:ind w:firstLine="567"/>
      </w:pPr>
      <w:r w:rsidRPr="008A78E3">
        <w:tab/>
        <w:t>(a)</w:t>
      </w:r>
      <w:r w:rsidRPr="008A78E3">
        <w:tab/>
        <w:t>The persistence of special education;</w:t>
      </w:r>
    </w:p>
    <w:p w14:paraId="25771807" w14:textId="45542730" w:rsidR="00F0341F" w:rsidRDefault="00F0341F" w:rsidP="00370305">
      <w:pPr>
        <w:pStyle w:val="SingleTxtG"/>
        <w:ind w:firstLine="567"/>
      </w:pPr>
      <w:bookmarkStart w:id="9" w:name="_Hlk97979601"/>
      <w:r w:rsidRPr="008A78E3">
        <w:tab/>
        <w:t>(b)</w:t>
      </w:r>
      <w:r w:rsidRPr="008A78E3">
        <w:tab/>
      </w:r>
      <w:r>
        <w:t xml:space="preserve">The </w:t>
      </w:r>
      <w:bookmarkEnd w:id="9"/>
      <w:r w:rsidR="00273A99">
        <w:t>lack of a s</w:t>
      </w:r>
      <w:r>
        <w:t>trategy covering all levels of the State party aimed at ensuring inclusive education for all children with disabilities;</w:t>
      </w:r>
    </w:p>
    <w:p w14:paraId="188D0E49" w14:textId="48703F7E" w:rsidR="005840EB" w:rsidRDefault="00206FA5" w:rsidP="00370305">
      <w:pPr>
        <w:pStyle w:val="SingleTxtG"/>
        <w:ind w:firstLine="567"/>
      </w:pPr>
      <w:r>
        <w:t>€</w:t>
      </w:r>
      <w:r w:rsidR="005840EB" w:rsidRPr="008A78E3">
        <w:t>(</w:t>
      </w:r>
      <w:r w:rsidR="005840EB">
        <w:t>c</w:t>
      </w:r>
      <w:r w:rsidR="005840EB" w:rsidRPr="008A78E3">
        <w:t>)</w:t>
      </w:r>
      <w:r w:rsidR="005840EB" w:rsidRPr="008A78E3">
        <w:tab/>
      </w:r>
      <w:r w:rsidR="00F66E2B">
        <w:t>A h</w:t>
      </w:r>
      <w:r w:rsidR="005840EB">
        <w:t xml:space="preserve">igh </w:t>
      </w:r>
      <w:r w:rsidR="00F66E2B">
        <w:t>dropout</w:t>
      </w:r>
      <w:r w:rsidR="005840EB">
        <w:t xml:space="preserve"> </w:t>
      </w:r>
      <w:r w:rsidR="00F66E2B">
        <w:t xml:space="preserve">level </w:t>
      </w:r>
      <w:r w:rsidR="005840EB">
        <w:t>of children with disabilities from the education system after age 15;</w:t>
      </w:r>
    </w:p>
    <w:p w14:paraId="31C4E21C" w14:textId="744D4FE5" w:rsidR="00EC6EEA" w:rsidRPr="008A78E3" w:rsidRDefault="00EC6EEA" w:rsidP="00370305">
      <w:pPr>
        <w:pStyle w:val="SingleTxtG"/>
        <w:ind w:firstLine="567"/>
      </w:pPr>
      <w:r w:rsidRPr="008A78E3">
        <w:tab/>
        <w:t>(</w:t>
      </w:r>
      <w:r w:rsidR="005840EB">
        <w:t>d</w:t>
      </w:r>
      <w:r w:rsidRPr="008A78E3">
        <w:t>)</w:t>
      </w:r>
      <w:r w:rsidRPr="008A78E3">
        <w:tab/>
      </w:r>
      <w:r w:rsidR="00273A99">
        <w:t xml:space="preserve">Widespread exclusion of women and girls </w:t>
      </w:r>
      <w:r w:rsidRPr="00585758">
        <w:rPr>
          <w:rFonts w:eastAsia="Calibri"/>
        </w:rPr>
        <w:t xml:space="preserve">with disabilities </w:t>
      </w:r>
      <w:r>
        <w:rPr>
          <w:rFonts w:eastAsia="Calibri"/>
        </w:rPr>
        <w:t xml:space="preserve">from </w:t>
      </w:r>
      <w:r w:rsidRPr="00585758">
        <w:rPr>
          <w:rFonts w:eastAsia="Calibri"/>
        </w:rPr>
        <w:t>educational settings</w:t>
      </w:r>
      <w:r w:rsidRPr="000E7B5F">
        <w:rPr>
          <w:rFonts w:eastAsia="Calibri"/>
        </w:rPr>
        <w:t xml:space="preserve"> in both early </w:t>
      </w:r>
      <w:r w:rsidRPr="00370305">
        <w:t>and</w:t>
      </w:r>
      <w:r w:rsidRPr="000E7B5F">
        <w:rPr>
          <w:rFonts w:eastAsia="Calibri"/>
        </w:rPr>
        <w:t xml:space="preserve"> higher education</w:t>
      </w:r>
      <w:r>
        <w:rPr>
          <w:rFonts w:eastAsia="Calibri"/>
        </w:rPr>
        <w:t xml:space="preserve">, </w:t>
      </w:r>
      <w:r>
        <w:t>due to</w:t>
      </w:r>
      <w:r w:rsidR="00FA15F5">
        <w:t>, inter alia,</w:t>
      </w:r>
      <w:r>
        <w:t xml:space="preserve"> </w:t>
      </w:r>
      <w:r w:rsidR="00FA15F5">
        <w:t>their</w:t>
      </w:r>
      <w:r>
        <w:t xml:space="preserve"> disability and gender, </w:t>
      </w:r>
      <w:r w:rsidR="00FA15F5">
        <w:t xml:space="preserve">a </w:t>
      </w:r>
      <w:r>
        <w:t>lack of accessibility and reasonable accommodations,</w:t>
      </w:r>
      <w:r w:rsidR="00FA15F5">
        <w:t xml:space="preserve"> and a</w:t>
      </w:r>
      <w:r>
        <w:t xml:space="preserve"> lack of knowledge </w:t>
      </w:r>
      <w:r w:rsidR="00FA15F5">
        <w:t>about the requirements of students with disabilities;</w:t>
      </w:r>
    </w:p>
    <w:p w14:paraId="64E18A13" w14:textId="5174B8D2" w:rsidR="00F0341F" w:rsidRPr="008A78E3" w:rsidRDefault="00A93101" w:rsidP="00370305">
      <w:pPr>
        <w:pStyle w:val="SingleTxtG"/>
        <w:ind w:firstLine="567"/>
      </w:pPr>
      <w:r>
        <w:tab/>
        <w:t>(</w:t>
      </w:r>
      <w:r w:rsidR="00370305">
        <w:t>e</w:t>
      </w:r>
      <w:r w:rsidR="00F0341F" w:rsidRPr="008A78E3">
        <w:t>)</w:t>
      </w:r>
      <w:r w:rsidR="00F0341F" w:rsidRPr="008A78E3">
        <w:tab/>
        <w:t>The lack of accessible schools and didactic materials, including textbooks in Braille</w:t>
      </w:r>
      <w:r w:rsidR="00206FA5">
        <w:t>,</w:t>
      </w:r>
      <w:r w:rsidR="00F0341F" w:rsidRPr="008A78E3">
        <w:t xml:space="preserve"> and sign-language interp</w:t>
      </w:r>
      <w:r w:rsidR="0010296A">
        <w:t>re</w:t>
      </w:r>
      <w:r w:rsidR="005946C7">
        <w:t>tation</w:t>
      </w:r>
      <w:r w:rsidR="00F0341F" w:rsidRPr="008A78E3">
        <w:t>.</w:t>
      </w:r>
    </w:p>
    <w:p w14:paraId="3B7AEA52" w14:textId="21CA1883" w:rsidR="00F0341F" w:rsidRPr="00921A64" w:rsidRDefault="0079323D" w:rsidP="00F0341F">
      <w:pPr>
        <w:pStyle w:val="SingleTxtG"/>
        <w:rPr>
          <w:b/>
          <w:bCs/>
        </w:rPr>
      </w:pPr>
      <w:r w:rsidRPr="0047472A">
        <w:rPr>
          <w:bCs/>
        </w:rPr>
        <w:t>5</w:t>
      </w:r>
      <w:r w:rsidR="0006696E" w:rsidRPr="0047472A">
        <w:rPr>
          <w:bCs/>
        </w:rPr>
        <w:t>5</w:t>
      </w:r>
      <w:r w:rsidR="00F0341F" w:rsidRPr="0047472A">
        <w:rPr>
          <w:bCs/>
        </w:rPr>
        <w:t>.</w:t>
      </w:r>
      <w:r w:rsidR="00F0341F" w:rsidRPr="00370305">
        <w:rPr>
          <w:b/>
        </w:rPr>
        <w:tab/>
      </w:r>
      <w:r w:rsidR="00F0341F" w:rsidRPr="00370305">
        <w:rPr>
          <w:b/>
          <w:bCs/>
        </w:rPr>
        <w:t>With</w:t>
      </w:r>
      <w:r w:rsidR="00F0341F">
        <w:rPr>
          <w:b/>
          <w:bCs/>
        </w:rPr>
        <w:t xml:space="preserve"> reference to</w:t>
      </w:r>
      <w:r w:rsidR="00206FA5">
        <w:rPr>
          <w:b/>
          <w:bCs/>
        </w:rPr>
        <w:t xml:space="preserve"> paragraph 48 of</w:t>
      </w:r>
      <w:r w:rsidR="00F0341F">
        <w:rPr>
          <w:b/>
          <w:bCs/>
        </w:rPr>
        <w:t xml:space="preserve"> its previous </w:t>
      </w:r>
      <w:r w:rsidR="00515671">
        <w:rPr>
          <w:b/>
          <w:bCs/>
        </w:rPr>
        <w:t>c</w:t>
      </w:r>
      <w:r w:rsidR="00F0341F">
        <w:rPr>
          <w:b/>
          <w:bCs/>
        </w:rPr>
        <w:t xml:space="preserve">oncluding </w:t>
      </w:r>
      <w:r w:rsidR="00515671">
        <w:rPr>
          <w:b/>
          <w:bCs/>
        </w:rPr>
        <w:t>o</w:t>
      </w:r>
      <w:r w:rsidR="00F0341F">
        <w:rPr>
          <w:b/>
          <w:bCs/>
        </w:rPr>
        <w:t>bservations, the</w:t>
      </w:r>
      <w:r w:rsidR="00F0341F" w:rsidRPr="008A78E3">
        <w:rPr>
          <w:b/>
          <w:bCs/>
        </w:rPr>
        <w:t xml:space="preserve"> Committee </w:t>
      </w:r>
      <w:r w:rsidR="00F0341F">
        <w:rPr>
          <w:b/>
          <w:bCs/>
        </w:rPr>
        <w:t>recommends</w:t>
      </w:r>
      <w:r w:rsidR="00F0341F" w:rsidRPr="008A78E3">
        <w:rPr>
          <w:b/>
          <w:bCs/>
        </w:rPr>
        <w:t xml:space="preserve"> </w:t>
      </w:r>
      <w:r w:rsidR="00206FA5">
        <w:rPr>
          <w:b/>
          <w:bCs/>
        </w:rPr>
        <w:t>that the State party</w:t>
      </w:r>
      <w:r w:rsidR="00F0341F" w:rsidRPr="008A78E3">
        <w:rPr>
          <w:b/>
          <w:bCs/>
        </w:rPr>
        <w:t>:</w:t>
      </w:r>
    </w:p>
    <w:p w14:paraId="757C2972" w14:textId="4004A502" w:rsidR="00F0341F" w:rsidRPr="00370305" w:rsidRDefault="00F0341F" w:rsidP="00370305">
      <w:pPr>
        <w:pStyle w:val="SingleTxtG"/>
        <w:ind w:firstLine="567"/>
        <w:rPr>
          <w:b/>
          <w:bCs/>
        </w:rPr>
      </w:pPr>
      <w:r w:rsidRPr="00370305">
        <w:rPr>
          <w:b/>
        </w:rPr>
        <w:tab/>
        <w:t>(a)</w:t>
      </w:r>
      <w:r w:rsidRPr="00370305">
        <w:rPr>
          <w:b/>
          <w:bCs/>
        </w:rPr>
        <w:tab/>
        <w:t>Establish, in law and policy, an inclusive education system at all levels — primary, secondary, post-secondary and life-long learning — including support measures, the provision of reasonable accommodation, adequate funding and training for educational staff;</w:t>
      </w:r>
    </w:p>
    <w:p w14:paraId="337E3876" w14:textId="6DBDD987" w:rsidR="005B1AF8" w:rsidRPr="00370305" w:rsidRDefault="005B1AF8" w:rsidP="00370305">
      <w:pPr>
        <w:pStyle w:val="SingleTxtG"/>
        <w:ind w:firstLine="567"/>
        <w:rPr>
          <w:b/>
          <w:bCs/>
        </w:rPr>
      </w:pPr>
      <w:r w:rsidRPr="00370305">
        <w:rPr>
          <w:b/>
        </w:rPr>
        <w:t>(b)</w:t>
      </w:r>
      <w:r w:rsidRPr="00370305">
        <w:rPr>
          <w:b/>
          <w:bCs/>
        </w:rPr>
        <w:tab/>
        <w:t>Adopt measures to ensure that all children</w:t>
      </w:r>
      <w:r w:rsidR="0058667F" w:rsidRPr="00370305">
        <w:rPr>
          <w:b/>
          <w:bCs/>
        </w:rPr>
        <w:t xml:space="preserve"> with disabilities, in particular girls</w:t>
      </w:r>
      <w:r w:rsidRPr="00370305">
        <w:rPr>
          <w:b/>
          <w:bCs/>
        </w:rPr>
        <w:t xml:space="preserve"> with disabilities</w:t>
      </w:r>
      <w:r w:rsidR="0058667F" w:rsidRPr="00370305">
        <w:rPr>
          <w:b/>
          <w:bCs/>
        </w:rPr>
        <w:t>,</w:t>
      </w:r>
      <w:r w:rsidRPr="00370305">
        <w:rPr>
          <w:b/>
          <w:bCs/>
        </w:rPr>
        <w:t xml:space="preserve"> receive an education in mainstream school settings, including children with intellectual and psychosocial disabilities, blind-deaf children and children</w:t>
      </w:r>
      <w:r w:rsidR="005946C7" w:rsidRPr="00370305">
        <w:rPr>
          <w:b/>
          <w:bCs/>
        </w:rPr>
        <w:t xml:space="preserve"> with disabilities</w:t>
      </w:r>
      <w:r w:rsidRPr="00370305">
        <w:rPr>
          <w:b/>
          <w:bCs/>
        </w:rPr>
        <w:t xml:space="preserve"> from indigenous communities; </w:t>
      </w:r>
    </w:p>
    <w:p w14:paraId="0C48E2F5" w14:textId="77777777" w:rsidR="005B1AF8" w:rsidRPr="00370305" w:rsidRDefault="005B1AF8" w:rsidP="00370305">
      <w:pPr>
        <w:pStyle w:val="SingleTxtG"/>
        <w:ind w:firstLine="567"/>
        <w:rPr>
          <w:b/>
          <w:bCs/>
        </w:rPr>
      </w:pPr>
      <w:r w:rsidRPr="00370305">
        <w:rPr>
          <w:b/>
        </w:rPr>
        <w:tab/>
        <w:t>(c)</w:t>
      </w:r>
      <w:r w:rsidRPr="00370305">
        <w:rPr>
          <w:b/>
          <w:bCs/>
        </w:rPr>
        <w:tab/>
        <w:t>Implement measures for the accessibility of schools and didactic materials, including Braille and sign language, and ensure their use from the start of education;</w:t>
      </w:r>
    </w:p>
    <w:p w14:paraId="2A0B4FC4" w14:textId="611B2604" w:rsidR="00F0341F" w:rsidRPr="005B1AF8" w:rsidRDefault="005B1AF8" w:rsidP="00370305">
      <w:pPr>
        <w:pStyle w:val="SingleTxtG"/>
        <w:ind w:firstLine="567"/>
        <w:rPr>
          <w:b/>
          <w:bCs/>
        </w:rPr>
      </w:pPr>
      <w:r w:rsidRPr="00370305">
        <w:rPr>
          <w:b/>
        </w:rPr>
        <w:tab/>
        <w:t>(d)</w:t>
      </w:r>
      <w:r w:rsidRPr="00370305">
        <w:rPr>
          <w:b/>
          <w:bCs/>
        </w:rPr>
        <w:tab/>
        <w:t xml:space="preserve">Compile data </w:t>
      </w:r>
      <w:r w:rsidR="009C6130" w:rsidRPr="00370305">
        <w:rPr>
          <w:b/>
          <w:bCs/>
        </w:rPr>
        <w:t>on</w:t>
      </w:r>
      <w:r w:rsidR="0058667F" w:rsidRPr="00370305">
        <w:rPr>
          <w:b/>
          <w:bCs/>
        </w:rPr>
        <w:t xml:space="preserve"> education</w:t>
      </w:r>
      <w:r w:rsidR="009C6130" w:rsidRPr="00370305">
        <w:rPr>
          <w:b/>
          <w:bCs/>
        </w:rPr>
        <w:t xml:space="preserve">, disaggregated </w:t>
      </w:r>
      <w:r w:rsidRPr="00370305">
        <w:rPr>
          <w:b/>
          <w:bCs/>
        </w:rPr>
        <w:t xml:space="preserve">by </w:t>
      </w:r>
      <w:r w:rsidR="0058667F" w:rsidRPr="00370305">
        <w:rPr>
          <w:b/>
          <w:bCs/>
        </w:rPr>
        <w:t>gender,</w:t>
      </w:r>
      <w:r w:rsidRPr="00370305">
        <w:rPr>
          <w:b/>
          <w:bCs/>
        </w:rPr>
        <w:t xml:space="preserve"> national and ethnic origin, indigence,</w:t>
      </w:r>
      <w:r>
        <w:rPr>
          <w:b/>
          <w:bCs/>
        </w:rPr>
        <w:t xml:space="preserve"> rural or urban living environment, and type of impairment, on enrolment in segregated school settings and in mainstream schools.</w:t>
      </w:r>
    </w:p>
    <w:p w14:paraId="23C03A28" w14:textId="77777777" w:rsidR="00EC449C" w:rsidRPr="00404879" w:rsidRDefault="00EC449C" w:rsidP="000D6F28">
      <w:pPr>
        <w:pStyle w:val="H23G"/>
      </w:pPr>
      <w:r w:rsidRPr="00404879">
        <w:tab/>
      </w:r>
      <w:r w:rsidRPr="00404879">
        <w:tab/>
        <w:t>Health (art. 25)</w:t>
      </w:r>
    </w:p>
    <w:p w14:paraId="772AB3BC" w14:textId="698E4BC8" w:rsidR="00990D4E" w:rsidRPr="00E46FD0" w:rsidRDefault="0079323D" w:rsidP="00990D4E">
      <w:pPr>
        <w:pStyle w:val="SingleTxtG"/>
      </w:pPr>
      <w:r>
        <w:t>5</w:t>
      </w:r>
      <w:r w:rsidR="0006696E">
        <w:t>6</w:t>
      </w:r>
      <w:r w:rsidR="00990D4E" w:rsidRPr="00157361">
        <w:t>.</w:t>
      </w:r>
      <w:r w:rsidR="00990D4E" w:rsidRPr="00157361">
        <w:tab/>
        <w:t xml:space="preserve">The Committee is concerned </w:t>
      </w:r>
      <w:r w:rsidR="00990D4E">
        <w:t xml:space="preserve">about serious restrictions for persons with disabilities </w:t>
      </w:r>
      <w:r w:rsidR="008346CE">
        <w:t>in</w:t>
      </w:r>
      <w:r w:rsidR="00990D4E">
        <w:t xml:space="preserve"> access </w:t>
      </w:r>
      <w:r w:rsidR="008346CE">
        <w:t xml:space="preserve">to </w:t>
      </w:r>
      <w:r w:rsidR="00990D4E">
        <w:t>health care, including mental health services and sexual and reproductive health services</w:t>
      </w:r>
      <w:r w:rsidR="00990D4E" w:rsidRPr="00157361">
        <w:t>. It is</w:t>
      </w:r>
      <w:r w:rsidR="00990D4E" w:rsidRPr="00E46FD0">
        <w:t xml:space="preserve"> further concerned</w:t>
      </w:r>
      <w:r w:rsidR="00990D4E">
        <w:t xml:space="preserve"> about legal exceptions to free and informed consent to medical interventions, and about reports of non-adherence to the requirement of free and informed consent with regard to persons with disabilities</w:t>
      </w:r>
      <w:r w:rsidR="00990D4E" w:rsidRPr="00E46FD0">
        <w:t>.</w:t>
      </w:r>
    </w:p>
    <w:p w14:paraId="3C3E227E" w14:textId="0AC68225" w:rsidR="00990D4E" w:rsidRPr="00921A64" w:rsidRDefault="00990D4E" w:rsidP="00990D4E">
      <w:pPr>
        <w:pStyle w:val="SingleTxtG"/>
        <w:rPr>
          <w:b/>
          <w:bCs/>
        </w:rPr>
      </w:pPr>
      <w:r w:rsidRPr="0047472A">
        <w:rPr>
          <w:bCs/>
        </w:rPr>
        <w:t>5</w:t>
      </w:r>
      <w:r w:rsidR="0006696E" w:rsidRPr="0047472A">
        <w:rPr>
          <w:bCs/>
        </w:rPr>
        <w:t>7</w:t>
      </w:r>
      <w:r w:rsidRPr="0047472A">
        <w:rPr>
          <w:bCs/>
        </w:rPr>
        <w:t>.</w:t>
      </w:r>
      <w:r w:rsidRPr="00370305">
        <w:rPr>
          <w:b/>
        </w:rPr>
        <w:tab/>
      </w:r>
      <w:r w:rsidRPr="00370305">
        <w:rPr>
          <w:b/>
          <w:bCs/>
        </w:rPr>
        <w:t>The</w:t>
      </w:r>
      <w:r w:rsidRPr="00921A64">
        <w:rPr>
          <w:b/>
          <w:bCs/>
        </w:rPr>
        <w:t xml:space="preserve"> Committee recommends that the State party:</w:t>
      </w:r>
    </w:p>
    <w:p w14:paraId="36BE0488" w14:textId="77777777" w:rsidR="00990D4E" w:rsidRPr="00370305" w:rsidRDefault="00990D4E" w:rsidP="00370305">
      <w:pPr>
        <w:pStyle w:val="SingleTxtG"/>
        <w:ind w:firstLine="567"/>
        <w:rPr>
          <w:b/>
          <w:bCs/>
        </w:rPr>
      </w:pPr>
      <w:r w:rsidRPr="00370305">
        <w:rPr>
          <w:b/>
        </w:rPr>
        <w:tab/>
        <w:t>(a)</w:t>
      </w:r>
      <w:r w:rsidRPr="00370305">
        <w:rPr>
          <w:b/>
          <w:bCs/>
        </w:rPr>
        <w:tab/>
        <w:t>Remove legal exceptions to the requirement of free and informed consent of all persons with disabilities to medical interventions, including hospitalization, and ensure adherence to the requirement of free and informed consent with regard to all persons with disabilities;</w:t>
      </w:r>
    </w:p>
    <w:p w14:paraId="7171B668" w14:textId="2B83F674" w:rsidR="007432B6" w:rsidRPr="00370305" w:rsidRDefault="00990D4E" w:rsidP="00370305">
      <w:pPr>
        <w:pStyle w:val="SingleTxtG"/>
        <w:ind w:firstLine="567"/>
        <w:rPr>
          <w:b/>
          <w:bCs/>
        </w:rPr>
      </w:pPr>
      <w:r w:rsidRPr="00370305">
        <w:rPr>
          <w:b/>
        </w:rPr>
        <w:tab/>
        <w:t>(b)</w:t>
      </w:r>
      <w:r w:rsidRPr="00370305">
        <w:rPr>
          <w:b/>
          <w:bCs/>
        </w:rPr>
        <w:tab/>
        <w:t xml:space="preserve">Ensure </w:t>
      </w:r>
      <w:r w:rsidR="007432B6" w:rsidRPr="00370305">
        <w:rPr>
          <w:b/>
          <w:bCs/>
        </w:rPr>
        <w:t>available, accessible and quality health</w:t>
      </w:r>
      <w:r w:rsidR="00C24214">
        <w:rPr>
          <w:b/>
          <w:bCs/>
        </w:rPr>
        <w:t>-</w:t>
      </w:r>
      <w:r w:rsidR="007432B6" w:rsidRPr="00370305">
        <w:rPr>
          <w:b/>
          <w:bCs/>
        </w:rPr>
        <w:t>care services</w:t>
      </w:r>
      <w:r w:rsidR="006D1216" w:rsidRPr="00370305">
        <w:rPr>
          <w:b/>
          <w:bCs/>
        </w:rPr>
        <w:t>, including sexual and reproductive health services</w:t>
      </w:r>
      <w:r w:rsidR="001639AE" w:rsidRPr="00370305">
        <w:rPr>
          <w:b/>
          <w:bCs/>
        </w:rPr>
        <w:t>,</w:t>
      </w:r>
      <w:r w:rsidR="006D1216" w:rsidRPr="00370305">
        <w:rPr>
          <w:b/>
          <w:bCs/>
        </w:rPr>
        <w:t xml:space="preserve"> for persons with disabilities, particularly for</w:t>
      </w:r>
      <w:r w:rsidRPr="00370305">
        <w:rPr>
          <w:b/>
          <w:bCs/>
        </w:rPr>
        <w:t xml:space="preserve"> women</w:t>
      </w:r>
      <w:r w:rsidR="00515671" w:rsidRPr="00370305">
        <w:rPr>
          <w:b/>
          <w:bCs/>
        </w:rPr>
        <w:t xml:space="preserve"> and girls</w:t>
      </w:r>
      <w:r w:rsidRPr="00370305">
        <w:rPr>
          <w:b/>
          <w:bCs/>
        </w:rPr>
        <w:t xml:space="preserve"> with disabilities</w:t>
      </w:r>
      <w:r w:rsidR="006D1216" w:rsidRPr="00370305">
        <w:rPr>
          <w:b/>
          <w:bCs/>
        </w:rPr>
        <w:t>, make hospitals and health cent</w:t>
      </w:r>
      <w:r w:rsidR="00C24214">
        <w:rPr>
          <w:b/>
          <w:bCs/>
        </w:rPr>
        <w:t>r</w:t>
      </w:r>
      <w:r w:rsidR="001639AE" w:rsidRPr="00370305">
        <w:rPr>
          <w:b/>
          <w:bCs/>
        </w:rPr>
        <w:t xml:space="preserve">es </w:t>
      </w:r>
      <w:r w:rsidR="006D1216" w:rsidRPr="00370305">
        <w:rPr>
          <w:b/>
          <w:bCs/>
        </w:rPr>
        <w:t xml:space="preserve">accessible to </w:t>
      </w:r>
      <w:r w:rsidR="006D1216" w:rsidRPr="00370305">
        <w:rPr>
          <w:b/>
          <w:bCs/>
        </w:rPr>
        <w:lastRenderedPageBreak/>
        <w:t>persons with disa</w:t>
      </w:r>
      <w:r w:rsidR="001639AE" w:rsidRPr="00370305">
        <w:rPr>
          <w:b/>
          <w:bCs/>
        </w:rPr>
        <w:t>bilities</w:t>
      </w:r>
      <w:r w:rsidRPr="00370305">
        <w:rPr>
          <w:b/>
          <w:bCs/>
        </w:rPr>
        <w:t xml:space="preserve"> in urban and rural areas, and </w:t>
      </w:r>
      <w:r w:rsidR="001639AE" w:rsidRPr="00370305">
        <w:rPr>
          <w:b/>
          <w:bCs/>
        </w:rPr>
        <w:t>protect</w:t>
      </w:r>
      <w:r w:rsidRPr="00370305">
        <w:rPr>
          <w:b/>
          <w:bCs/>
        </w:rPr>
        <w:t xml:space="preserve"> pregnant women with disabilities from being pressured to undergo abortions;</w:t>
      </w:r>
    </w:p>
    <w:p w14:paraId="0FB5E89C" w14:textId="1A61F1FF" w:rsidR="00990D4E" w:rsidRPr="00370305" w:rsidRDefault="00990D4E" w:rsidP="00370305">
      <w:pPr>
        <w:pStyle w:val="SingleTxtG"/>
        <w:ind w:firstLine="567"/>
        <w:rPr>
          <w:b/>
          <w:bCs/>
        </w:rPr>
      </w:pPr>
      <w:r w:rsidRPr="00370305">
        <w:rPr>
          <w:b/>
        </w:rPr>
        <w:t>(c)</w:t>
      </w:r>
      <w:r w:rsidRPr="00370305">
        <w:rPr>
          <w:b/>
          <w:bCs/>
        </w:rPr>
        <w:tab/>
        <w:t xml:space="preserve">Compile disaggregated data on </w:t>
      </w:r>
      <w:r w:rsidR="00E0754B">
        <w:rPr>
          <w:b/>
          <w:bCs/>
        </w:rPr>
        <w:t xml:space="preserve">the </w:t>
      </w:r>
      <w:r w:rsidRPr="00370305">
        <w:rPr>
          <w:b/>
          <w:bCs/>
        </w:rPr>
        <w:t xml:space="preserve">access of women with disabilities to safe sexual and reproductive </w:t>
      </w:r>
      <w:r w:rsidR="00E3361C" w:rsidRPr="00370305">
        <w:rPr>
          <w:b/>
          <w:bCs/>
        </w:rPr>
        <w:t xml:space="preserve">health </w:t>
      </w:r>
      <w:r w:rsidRPr="00370305">
        <w:rPr>
          <w:b/>
          <w:bCs/>
        </w:rPr>
        <w:t xml:space="preserve">services, and on infringements on their right to decide on </w:t>
      </w:r>
      <w:r w:rsidR="00574BC1">
        <w:rPr>
          <w:b/>
          <w:bCs/>
        </w:rPr>
        <w:t xml:space="preserve">whether to have </w:t>
      </w:r>
      <w:r w:rsidRPr="00370305">
        <w:rPr>
          <w:b/>
          <w:bCs/>
        </w:rPr>
        <w:t>an abortion;</w:t>
      </w:r>
    </w:p>
    <w:p w14:paraId="50A95DDF" w14:textId="11E81258" w:rsidR="00990D4E" w:rsidRDefault="00990D4E" w:rsidP="00370305">
      <w:pPr>
        <w:pStyle w:val="SingleTxtG"/>
        <w:ind w:firstLine="567"/>
        <w:rPr>
          <w:b/>
          <w:bCs/>
        </w:rPr>
      </w:pPr>
      <w:r w:rsidRPr="00370305">
        <w:rPr>
          <w:b/>
        </w:rPr>
        <w:t>(d)</w:t>
      </w:r>
      <w:r w:rsidRPr="00370305">
        <w:rPr>
          <w:b/>
          <w:bCs/>
        </w:rPr>
        <w:tab/>
        <w:t>Provide</w:t>
      </w:r>
      <w:r>
        <w:rPr>
          <w:b/>
          <w:bCs/>
        </w:rPr>
        <w:t xml:space="preserve"> accessible, effective remedies to persons with disabilities alleging a violation of their rights under article</w:t>
      </w:r>
      <w:r w:rsidR="0061072F">
        <w:rPr>
          <w:b/>
          <w:bCs/>
        </w:rPr>
        <w:t xml:space="preserve"> 25</w:t>
      </w:r>
      <w:r>
        <w:rPr>
          <w:b/>
          <w:bCs/>
        </w:rPr>
        <w:t xml:space="preserve">, in particular to women with disabilities alleging a violation of their sexual and reproductive </w:t>
      </w:r>
      <w:r w:rsidR="00515671">
        <w:rPr>
          <w:b/>
          <w:bCs/>
        </w:rPr>
        <w:t xml:space="preserve">health </w:t>
      </w:r>
      <w:r>
        <w:rPr>
          <w:b/>
          <w:bCs/>
        </w:rPr>
        <w:t>rights.</w:t>
      </w:r>
    </w:p>
    <w:p w14:paraId="0C830C81" w14:textId="39F4A709" w:rsidR="00990D4E" w:rsidRPr="00E46FD0" w:rsidRDefault="0006696E" w:rsidP="00990D4E">
      <w:pPr>
        <w:pStyle w:val="SingleTxtG"/>
      </w:pPr>
      <w:r>
        <w:t>58</w:t>
      </w:r>
      <w:r w:rsidR="00990D4E" w:rsidRPr="00157361">
        <w:t>.</w:t>
      </w:r>
      <w:r w:rsidR="00990D4E" w:rsidRPr="00157361">
        <w:tab/>
        <w:t xml:space="preserve">The Committee is concerned </w:t>
      </w:r>
      <w:r w:rsidR="00990D4E">
        <w:t>about serious curtailments of health services for persons with disabilities during the COVID-19 pandemic, and about a lack of emergency medical services in case</w:t>
      </w:r>
      <w:r w:rsidR="00AD5F78">
        <w:t>s</w:t>
      </w:r>
      <w:r w:rsidR="00990D4E">
        <w:t xml:space="preserve"> of sexual violence against persons with disabilities</w:t>
      </w:r>
      <w:r w:rsidR="00990D4E" w:rsidRPr="00E46FD0">
        <w:t>.</w:t>
      </w:r>
    </w:p>
    <w:p w14:paraId="1A837833" w14:textId="210F91F3" w:rsidR="00990D4E" w:rsidRPr="00515671" w:rsidRDefault="0006696E" w:rsidP="00990D4E">
      <w:pPr>
        <w:pStyle w:val="SingleTxtG"/>
        <w:rPr>
          <w:b/>
          <w:bCs/>
          <w:color w:val="000000" w:themeColor="text1"/>
        </w:rPr>
      </w:pPr>
      <w:r w:rsidRPr="0047472A">
        <w:rPr>
          <w:bCs/>
          <w:color w:val="000000" w:themeColor="text1"/>
        </w:rPr>
        <w:t>59</w:t>
      </w:r>
      <w:r w:rsidR="00990D4E" w:rsidRPr="0047472A">
        <w:rPr>
          <w:bCs/>
          <w:color w:val="000000" w:themeColor="text1"/>
        </w:rPr>
        <w:t>.</w:t>
      </w:r>
      <w:r w:rsidR="00990D4E" w:rsidRPr="00370305">
        <w:rPr>
          <w:b/>
          <w:color w:val="000000" w:themeColor="text1"/>
        </w:rPr>
        <w:tab/>
      </w:r>
      <w:r w:rsidR="00990D4E" w:rsidRPr="00370305">
        <w:rPr>
          <w:b/>
          <w:bCs/>
          <w:color w:val="000000" w:themeColor="text1"/>
        </w:rPr>
        <w:t>The</w:t>
      </w:r>
      <w:r w:rsidR="00990D4E" w:rsidRPr="00515671">
        <w:rPr>
          <w:b/>
          <w:bCs/>
          <w:color w:val="000000" w:themeColor="text1"/>
        </w:rPr>
        <w:t xml:space="preserve"> Committee recommends that the State party</w:t>
      </w:r>
      <w:r w:rsidR="00AD5F78">
        <w:rPr>
          <w:b/>
          <w:bCs/>
          <w:color w:val="000000" w:themeColor="text1"/>
        </w:rPr>
        <w:t>:</w:t>
      </w:r>
    </w:p>
    <w:p w14:paraId="34E5B8B2" w14:textId="0F146E33" w:rsidR="00E3361C" w:rsidRPr="00515671" w:rsidRDefault="00990D4E" w:rsidP="00370305">
      <w:pPr>
        <w:pStyle w:val="SingleTxtG"/>
        <w:ind w:firstLine="567"/>
        <w:rPr>
          <w:b/>
          <w:bCs/>
          <w:color w:val="000000" w:themeColor="text1"/>
        </w:rPr>
      </w:pPr>
      <w:r w:rsidRPr="00370305">
        <w:rPr>
          <w:b/>
          <w:color w:val="000000" w:themeColor="text1"/>
        </w:rPr>
        <w:t>(a)</w:t>
      </w:r>
      <w:r w:rsidRPr="00370305">
        <w:rPr>
          <w:b/>
          <w:color w:val="000000" w:themeColor="text1"/>
        </w:rPr>
        <w:tab/>
      </w:r>
      <w:r w:rsidRPr="00370305">
        <w:rPr>
          <w:b/>
          <w:bCs/>
          <w:color w:val="000000" w:themeColor="text1"/>
        </w:rPr>
        <w:t xml:space="preserve">Restore all health services for persons with disabilities that were curtailed during the COVID-19 pandemic, </w:t>
      </w:r>
      <w:r w:rsidR="00F5443C">
        <w:rPr>
          <w:b/>
          <w:bCs/>
          <w:color w:val="000000" w:themeColor="text1"/>
        </w:rPr>
        <w:t>and</w:t>
      </w:r>
      <w:r w:rsidRPr="00370305">
        <w:rPr>
          <w:b/>
          <w:bCs/>
          <w:color w:val="000000" w:themeColor="text1"/>
        </w:rPr>
        <w:t xml:space="preserve"> compile disaggregated data on the effects of the pandemic</w:t>
      </w:r>
      <w:r w:rsidRPr="00515671">
        <w:rPr>
          <w:b/>
          <w:bCs/>
          <w:color w:val="000000" w:themeColor="text1"/>
        </w:rPr>
        <w:t xml:space="preserve"> on the health situation of persons with disabilities and on their access to health services;</w:t>
      </w:r>
    </w:p>
    <w:p w14:paraId="17B2FA8C" w14:textId="26B0217C" w:rsidR="000C6545" w:rsidRPr="000A3720" w:rsidRDefault="00990D4E" w:rsidP="00370305">
      <w:pPr>
        <w:pStyle w:val="SingleTxtG"/>
        <w:ind w:firstLine="567"/>
        <w:rPr>
          <w:b/>
          <w:color w:val="000000" w:themeColor="text1"/>
        </w:rPr>
      </w:pPr>
      <w:r w:rsidRPr="00370305">
        <w:rPr>
          <w:b/>
          <w:color w:val="000000" w:themeColor="text1"/>
        </w:rPr>
        <w:t>(b)</w:t>
      </w:r>
      <w:r w:rsidRPr="00370305">
        <w:rPr>
          <w:b/>
          <w:color w:val="000000" w:themeColor="text1"/>
        </w:rPr>
        <w:tab/>
      </w:r>
      <w:r w:rsidRPr="00370305">
        <w:rPr>
          <w:b/>
          <w:bCs/>
          <w:color w:val="000000" w:themeColor="text1"/>
        </w:rPr>
        <w:t>Provide</w:t>
      </w:r>
      <w:r w:rsidRPr="00370305">
        <w:rPr>
          <w:b/>
          <w:color w:val="000000" w:themeColor="text1"/>
        </w:rPr>
        <w:t xml:space="preserve"> emergency medical services for persons with disabilities who are victims of sexual</w:t>
      </w:r>
      <w:r w:rsidRPr="00515671">
        <w:rPr>
          <w:b/>
          <w:color w:val="000000" w:themeColor="text1"/>
        </w:rPr>
        <w:t xml:space="preserve"> violence.</w:t>
      </w:r>
    </w:p>
    <w:p w14:paraId="5773B09D" w14:textId="77777777" w:rsidR="00EC449C" w:rsidRPr="00404879" w:rsidRDefault="00A82C15" w:rsidP="0057412D">
      <w:pPr>
        <w:pStyle w:val="H23G"/>
      </w:pPr>
      <w:r>
        <w:tab/>
      </w:r>
      <w:r>
        <w:tab/>
      </w:r>
      <w:r w:rsidR="00EC449C" w:rsidRPr="00404879">
        <w:t>Work and employment (art. 27)</w:t>
      </w:r>
    </w:p>
    <w:p w14:paraId="6ED7FE16" w14:textId="42CF9BE9" w:rsidR="002479A9" w:rsidRPr="00E46FD0" w:rsidRDefault="0079323D" w:rsidP="002479A9">
      <w:pPr>
        <w:pStyle w:val="SingleTxtG"/>
      </w:pPr>
      <w:r>
        <w:t>6</w:t>
      </w:r>
      <w:r w:rsidR="0006696E">
        <w:t>0</w:t>
      </w:r>
      <w:r w:rsidR="002479A9" w:rsidRPr="00E46FD0">
        <w:t>.</w:t>
      </w:r>
      <w:r w:rsidR="002479A9" w:rsidRPr="00E46FD0">
        <w:tab/>
        <w:t xml:space="preserve">The Committee is concerned </w:t>
      </w:r>
      <w:r w:rsidR="002479A9">
        <w:t>about</w:t>
      </w:r>
      <w:r w:rsidR="002479A9" w:rsidRPr="00E46FD0">
        <w:t>:</w:t>
      </w:r>
    </w:p>
    <w:p w14:paraId="6F3B88FA" w14:textId="7C6EFC40" w:rsidR="002479A9" w:rsidRPr="00ED6831" w:rsidRDefault="002479A9" w:rsidP="00370305">
      <w:pPr>
        <w:pStyle w:val="SingleTxtG"/>
        <w:ind w:firstLine="567"/>
      </w:pPr>
      <w:r w:rsidRPr="00E46FD0">
        <w:tab/>
        <w:t>(a)</w:t>
      </w:r>
      <w:r w:rsidRPr="00E46FD0">
        <w:tab/>
      </w:r>
      <w:r w:rsidRPr="00ED6831">
        <w:t xml:space="preserve">The </w:t>
      </w:r>
      <w:r>
        <w:t xml:space="preserve">persistently </w:t>
      </w:r>
      <w:r w:rsidRPr="00ED6831">
        <w:t xml:space="preserve">low employment rate among persons with disabilities, especially </w:t>
      </w:r>
      <w:r w:rsidR="005700B8">
        <w:t xml:space="preserve">among women with disabilities and persons with </w:t>
      </w:r>
      <w:r w:rsidRPr="00ED6831">
        <w:t xml:space="preserve">intellectual </w:t>
      </w:r>
      <w:r>
        <w:t>and psychosocial disabilities;</w:t>
      </w:r>
    </w:p>
    <w:p w14:paraId="5A02C9BE" w14:textId="4642E7DC" w:rsidR="002479A9" w:rsidRPr="00ED6831" w:rsidRDefault="002479A9" w:rsidP="00370305">
      <w:pPr>
        <w:pStyle w:val="SingleTxtG"/>
        <w:ind w:firstLine="567"/>
      </w:pPr>
      <w:r w:rsidRPr="00ED6831">
        <w:tab/>
        <w:t>(b)</w:t>
      </w:r>
      <w:r w:rsidRPr="00ED6831">
        <w:tab/>
      </w:r>
      <w:r>
        <w:t>Reports of forced labo</w:t>
      </w:r>
      <w:r w:rsidR="00291F0C">
        <w:t>u</w:t>
      </w:r>
      <w:r>
        <w:t>r and trafficking for the purpose of labo</w:t>
      </w:r>
      <w:r w:rsidR="00291F0C">
        <w:t>u</w:t>
      </w:r>
      <w:r>
        <w:t>r exploitation</w:t>
      </w:r>
      <w:r w:rsidRPr="00ED6831">
        <w:t xml:space="preserve"> of persons with disabilities;</w:t>
      </w:r>
    </w:p>
    <w:p w14:paraId="38025FA8" w14:textId="5C9776DF" w:rsidR="002479A9" w:rsidRPr="005700B8" w:rsidRDefault="002479A9" w:rsidP="00370305">
      <w:pPr>
        <w:pStyle w:val="SingleTxtG"/>
        <w:ind w:firstLine="567"/>
      </w:pPr>
      <w:r>
        <w:tab/>
        <w:t>(c</w:t>
      </w:r>
      <w:r w:rsidRPr="00ED6831">
        <w:t>)</w:t>
      </w:r>
      <w:r w:rsidRPr="00ED6831">
        <w:tab/>
        <w:t xml:space="preserve">The lack of </w:t>
      </w:r>
      <w:r>
        <w:t xml:space="preserve">legal provisions and specific measures to implement the </w:t>
      </w:r>
      <w:r w:rsidR="00F5443C">
        <w:t>n</w:t>
      </w:r>
      <w:r>
        <w:t xml:space="preserve">ational </w:t>
      </w:r>
      <w:r w:rsidR="00204497">
        <w:t>w</w:t>
      </w:r>
      <w:r>
        <w:t xml:space="preserve">ork and </w:t>
      </w:r>
      <w:r w:rsidR="00204497">
        <w:t>e</w:t>
      </w:r>
      <w:r>
        <w:t xml:space="preserve">mployment </w:t>
      </w:r>
      <w:r w:rsidR="00204497">
        <w:t>p</w:t>
      </w:r>
      <w:r>
        <w:t>rogram</w:t>
      </w:r>
      <w:r w:rsidR="00204497">
        <w:t>me</w:t>
      </w:r>
      <w:r>
        <w:t xml:space="preserve"> for </w:t>
      </w:r>
      <w:r w:rsidR="00204497">
        <w:t>p</w:t>
      </w:r>
      <w:r>
        <w:t xml:space="preserve">eople with </w:t>
      </w:r>
      <w:r w:rsidR="00204497">
        <w:t>d</w:t>
      </w:r>
      <w:r>
        <w:t xml:space="preserve">isabilities </w:t>
      </w:r>
      <w:r w:rsidR="00204497">
        <w:t xml:space="preserve">for </w:t>
      </w:r>
      <w:r>
        <w:t>2021</w:t>
      </w:r>
      <w:r w:rsidR="00204497">
        <w:t>–</w:t>
      </w:r>
      <w:r>
        <w:t xml:space="preserve">2024, including provisions and measures on support measures and reasonable accommodation for persons with disabilities </w:t>
      </w:r>
      <w:r w:rsidRPr="005700B8">
        <w:t>in public and private employment;</w:t>
      </w:r>
    </w:p>
    <w:p w14:paraId="0D8C35F6" w14:textId="0602A814" w:rsidR="005700B8" w:rsidRPr="00B76873" w:rsidRDefault="002479A9" w:rsidP="00DB485C">
      <w:pPr>
        <w:pStyle w:val="SingleTxtG"/>
        <w:ind w:firstLine="567"/>
      </w:pPr>
      <w:r w:rsidRPr="005700B8">
        <w:tab/>
        <w:t>(</w:t>
      </w:r>
      <w:r w:rsidR="00DB485C">
        <w:t>d</w:t>
      </w:r>
      <w:r w:rsidRPr="005700B8">
        <w:t>)</w:t>
      </w:r>
      <w:r w:rsidRPr="005700B8">
        <w:tab/>
        <w:t xml:space="preserve">The lack of vocational </w:t>
      </w:r>
      <w:r w:rsidRPr="00B76873">
        <w:t>education and training program</w:t>
      </w:r>
      <w:r w:rsidR="00BA6300">
        <w:t>me</w:t>
      </w:r>
      <w:r w:rsidRPr="00B76873">
        <w:t>s for persons with disabilities.</w:t>
      </w:r>
    </w:p>
    <w:p w14:paraId="0BF5786A" w14:textId="0E268BA2" w:rsidR="005700B8" w:rsidRPr="00B76873" w:rsidRDefault="0079323D" w:rsidP="005700B8">
      <w:pPr>
        <w:pStyle w:val="SingleTxtG"/>
        <w:rPr>
          <w:b/>
          <w:bCs/>
        </w:rPr>
      </w:pPr>
      <w:r w:rsidRPr="0047472A">
        <w:t>6</w:t>
      </w:r>
      <w:r w:rsidR="00391043" w:rsidRPr="0047472A">
        <w:t>1</w:t>
      </w:r>
      <w:r w:rsidR="005700B8" w:rsidRPr="0047472A">
        <w:t>.</w:t>
      </w:r>
      <w:r w:rsidR="005700B8" w:rsidRPr="00DB485C">
        <w:rPr>
          <w:b/>
        </w:rPr>
        <w:tab/>
      </w:r>
      <w:r w:rsidR="005700B8" w:rsidRPr="00B76873">
        <w:rPr>
          <w:b/>
          <w:bCs/>
        </w:rPr>
        <w:t xml:space="preserve">The Committee recommends that, in </w:t>
      </w:r>
      <w:r w:rsidR="00B76873" w:rsidRPr="00B76873">
        <w:rPr>
          <w:b/>
          <w:bCs/>
        </w:rPr>
        <w:t>accordance</w:t>
      </w:r>
      <w:r w:rsidR="005700B8" w:rsidRPr="00B76873">
        <w:rPr>
          <w:b/>
          <w:bCs/>
        </w:rPr>
        <w:t xml:space="preserve"> with target 8.5 of the Sustainable Development Goals, the State party:</w:t>
      </w:r>
    </w:p>
    <w:p w14:paraId="05F0BFD5" w14:textId="55D9D700" w:rsidR="005700B8" w:rsidRPr="00DB485C" w:rsidRDefault="002479A9" w:rsidP="00DB485C">
      <w:pPr>
        <w:pStyle w:val="SingleTxtG"/>
        <w:ind w:firstLine="567"/>
        <w:rPr>
          <w:b/>
          <w:bCs/>
        </w:rPr>
      </w:pPr>
      <w:r w:rsidRPr="00DB485C">
        <w:rPr>
          <w:b/>
        </w:rPr>
        <w:tab/>
        <w:t>(a)</w:t>
      </w:r>
      <w:r w:rsidRPr="00DB485C">
        <w:rPr>
          <w:b/>
          <w:bCs/>
        </w:rPr>
        <w:tab/>
        <w:t xml:space="preserve">Take effective measures to increase employment of persons with disabilities, </w:t>
      </w:r>
      <w:r w:rsidR="005700B8" w:rsidRPr="00DB485C">
        <w:rPr>
          <w:b/>
          <w:bCs/>
        </w:rPr>
        <w:t>parti</w:t>
      </w:r>
      <w:r w:rsidR="00897CE0" w:rsidRPr="00DB485C">
        <w:rPr>
          <w:b/>
          <w:bCs/>
        </w:rPr>
        <w:t>cularly women with disabilities and</w:t>
      </w:r>
      <w:r w:rsidRPr="00DB485C">
        <w:rPr>
          <w:b/>
          <w:bCs/>
        </w:rPr>
        <w:t xml:space="preserve"> persons with intellectual and psychosocial disabilities, in public and private employment</w:t>
      </w:r>
      <w:r w:rsidR="005700B8" w:rsidRPr="00DB485C">
        <w:rPr>
          <w:b/>
          <w:bCs/>
        </w:rPr>
        <w:t>, to guarantee non-discrimination in employment and to ensure that the open labo</w:t>
      </w:r>
      <w:r w:rsidR="00291F0C">
        <w:rPr>
          <w:b/>
          <w:bCs/>
        </w:rPr>
        <w:t>u</w:t>
      </w:r>
      <w:r w:rsidR="005700B8" w:rsidRPr="00DB485C">
        <w:rPr>
          <w:b/>
          <w:bCs/>
        </w:rPr>
        <w:t>r market is inclusive and accessible</w:t>
      </w:r>
      <w:r w:rsidRPr="00DB485C">
        <w:rPr>
          <w:b/>
          <w:bCs/>
        </w:rPr>
        <w:t>;</w:t>
      </w:r>
    </w:p>
    <w:p w14:paraId="7EC4046E" w14:textId="39B83E5A" w:rsidR="002479A9" w:rsidRPr="00DB485C" w:rsidRDefault="002479A9" w:rsidP="00DB485C">
      <w:pPr>
        <w:pStyle w:val="SingleTxtG"/>
        <w:ind w:firstLine="567"/>
        <w:rPr>
          <w:b/>
          <w:bCs/>
        </w:rPr>
      </w:pPr>
      <w:r w:rsidRPr="00DB485C">
        <w:rPr>
          <w:b/>
        </w:rPr>
        <w:tab/>
        <w:t>(b)</w:t>
      </w:r>
      <w:r w:rsidRPr="00DB485C">
        <w:rPr>
          <w:b/>
          <w:bCs/>
        </w:rPr>
        <w:tab/>
        <w:t>Compile data on forced labo</w:t>
      </w:r>
      <w:r w:rsidR="00291F0C">
        <w:rPr>
          <w:b/>
          <w:bCs/>
        </w:rPr>
        <w:t>u</w:t>
      </w:r>
      <w:r w:rsidRPr="00DB485C">
        <w:rPr>
          <w:b/>
          <w:bCs/>
        </w:rPr>
        <w:t xml:space="preserve">r, exploitation and harassment, and trafficking for the </w:t>
      </w:r>
      <w:r w:rsidRPr="00DB485C">
        <w:rPr>
          <w:b/>
        </w:rPr>
        <w:t>purpose</w:t>
      </w:r>
      <w:r w:rsidRPr="00DB485C">
        <w:rPr>
          <w:b/>
          <w:bCs/>
        </w:rPr>
        <w:t xml:space="preserve"> of labo</w:t>
      </w:r>
      <w:r w:rsidR="00291F0C">
        <w:rPr>
          <w:b/>
          <w:bCs/>
        </w:rPr>
        <w:t>u</w:t>
      </w:r>
      <w:r w:rsidRPr="00DB485C">
        <w:rPr>
          <w:b/>
          <w:bCs/>
        </w:rPr>
        <w:t xml:space="preserve">r exploitation, of persons with disabilities, disaggregated by </w:t>
      </w:r>
      <w:r w:rsidR="00515671" w:rsidRPr="00DB485C">
        <w:rPr>
          <w:b/>
          <w:bCs/>
        </w:rPr>
        <w:t>sex</w:t>
      </w:r>
      <w:r w:rsidR="00EC4848" w:rsidRPr="00DB485C">
        <w:rPr>
          <w:b/>
          <w:bCs/>
        </w:rPr>
        <w:t>,</w:t>
      </w:r>
      <w:r w:rsidR="00515671" w:rsidRPr="00DB485C">
        <w:rPr>
          <w:b/>
          <w:bCs/>
        </w:rPr>
        <w:t xml:space="preserve"> </w:t>
      </w:r>
      <w:r w:rsidRPr="00DB485C">
        <w:rPr>
          <w:b/>
          <w:bCs/>
        </w:rPr>
        <w:t>gender, indigence, urban and rural living environment and type of impairment;</w:t>
      </w:r>
    </w:p>
    <w:p w14:paraId="40EAFA5B" w14:textId="1481CE25" w:rsidR="002479A9" w:rsidRPr="00DB485C" w:rsidRDefault="002479A9" w:rsidP="00DB485C">
      <w:pPr>
        <w:pStyle w:val="SingleTxtG"/>
        <w:ind w:firstLine="567"/>
        <w:rPr>
          <w:b/>
          <w:bCs/>
        </w:rPr>
      </w:pPr>
      <w:r w:rsidRPr="00DB485C">
        <w:rPr>
          <w:b/>
        </w:rPr>
        <w:tab/>
        <w:t>(c)</w:t>
      </w:r>
      <w:r w:rsidRPr="00DB485C">
        <w:rPr>
          <w:b/>
          <w:bCs/>
        </w:rPr>
        <w:tab/>
        <w:t>Intensify efforts to prevent and punish forced labo</w:t>
      </w:r>
      <w:r w:rsidR="00291F0C">
        <w:rPr>
          <w:b/>
          <w:bCs/>
        </w:rPr>
        <w:t>u</w:t>
      </w:r>
      <w:r w:rsidRPr="00DB485C">
        <w:rPr>
          <w:b/>
          <w:bCs/>
        </w:rPr>
        <w:t>r, exploitation and harassment, and trafficking for the purpose of labo</w:t>
      </w:r>
      <w:r w:rsidR="00291F0C">
        <w:rPr>
          <w:b/>
          <w:bCs/>
        </w:rPr>
        <w:t>u</w:t>
      </w:r>
      <w:r w:rsidRPr="00DB485C">
        <w:rPr>
          <w:b/>
          <w:bCs/>
        </w:rPr>
        <w:t>r exploitation of persons with disabilities;</w:t>
      </w:r>
    </w:p>
    <w:p w14:paraId="11933B6B" w14:textId="4CD7F029" w:rsidR="002479A9" w:rsidRPr="00DB485C" w:rsidRDefault="002479A9" w:rsidP="00DB485C">
      <w:pPr>
        <w:pStyle w:val="SingleTxtG"/>
        <w:ind w:firstLine="567"/>
        <w:rPr>
          <w:b/>
          <w:bCs/>
        </w:rPr>
      </w:pPr>
      <w:r w:rsidRPr="00DB485C">
        <w:rPr>
          <w:b/>
        </w:rPr>
        <w:tab/>
        <w:t>(d)</w:t>
      </w:r>
      <w:r w:rsidRPr="00DB485C">
        <w:rPr>
          <w:b/>
          <w:bCs/>
        </w:rPr>
        <w:tab/>
        <w:t xml:space="preserve">Enact legal provisions and take specific measures to implement the </w:t>
      </w:r>
      <w:r w:rsidR="009E3023">
        <w:rPr>
          <w:b/>
          <w:bCs/>
        </w:rPr>
        <w:t>n</w:t>
      </w:r>
      <w:r w:rsidRPr="00DB485C">
        <w:rPr>
          <w:b/>
          <w:bCs/>
        </w:rPr>
        <w:t xml:space="preserve">ational </w:t>
      </w:r>
      <w:r w:rsidR="009E3023">
        <w:rPr>
          <w:b/>
          <w:bCs/>
        </w:rPr>
        <w:t>w</w:t>
      </w:r>
      <w:r w:rsidRPr="00DB485C">
        <w:rPr>
          <w:b/>
          <w:bCs/>
        </w:rPr>
        <w:t xml:space="preserve">ork and </w:t>
      </w:r>
      <w:r w:rsidR="009E3023">
        <w:rPr>
          <w:b/>
          <w:bCs/>
        </w:rPr>
        <w:t>e</w:t>
      </w:r>
      <w:r w:rsidRPr="00DB485C">
        <w:rPr>
          <w:b/>
          <w:bCs/>
        </w:rPr>
        <w:t xml:space="preserve">mployment </w:t>
      </w:r>
      <w:r w:rsidR="009E3023">
        <w:rPr>
          <w:b/>
          <w:bCs/>
        </w:rPr>
        <w:t>p</w:t>
      </w:r>
      <w:r w:rsidRPr="00DB485C">
        <w:rPr>
          <w:b/>
          <w:bCs/>
        </w:rPr>
        <w:t>rogram</w:t>
      </w:r>
      <w:r w:rsidR="009E3023">
        <w:rPr>
          <w:b/>
          <w:bCs/>
        </w:rPr>
        <w:t>me</w:t>
      </w:r>
      <w:r w:rsidRPr="00DB485C">
        <w:rPr>
          <w:b/>
          <w:bCs/>
        </w:rPr>
        <w:t xml:space="preserve"> for </w:t>
      </w:r>
      <w:r w:rsidR="009E3023">
        <w:rPr>
          <w:b/>
          <w:bCs/>
        </w:rPr>
        <w:t>p</w:t>
      </w:r>
      <w:r w:rsidRPr="00DB485C">
        <w:rPr>
          <w:b/>
          <w:bCs/>
        </w:rPr>
        <w:t xml:space="preserve">ersons with </w:t>
      </w:r>
      <w:r w:rsidR="009E3023">
        <w:rPr>
          <w:b/>
          <w:bCs/>
        </w:rPr>
        <w:t>d</w:t>
      </w:r>
      <w:r w:rsidRPr="00DB485C">
        <w:rPr>
          <w:b/>
          <w:bCs/>
        </w:rPr>
        <w:t xml:space="preserve">isabilities </w:t>
      </w:r>
      <w:r w:rsidR="009E3023">
        <w:rPr>
          <w:b/>
          <w:bCs/>
        </w:rPr>
        <w:t xml:space="preserve">for </w:t>
      </w:r>
      <w:r w:rsidRPr="00DB485C">
        <w:rPr>
          <w:b/>
          <w:bCs/>
        </w:rPr>
        <w:t>2021</w:t>
      </w:r>
      <w:r w:rsidR="009E3023">
        <w:rPr>
          <w:b/>
          <w:bCs/>
        </w:rPr>
        <w:t>–</w:t>
      </w:r>
      <w:r w:rsidRPr="00DB485C">
        <w:rPr>
          <w:b/>
          <w:bCs/>
        </w:rPr>
        <w:t>2024, including support measures and reasonable accommodation for persons with disabilities, in public and private employment;</w:t>
      </w:r>
    </w:p>
    <w:p w14:paraId="5401C7C6" w14:textId="5ED272FE" w:rsidR="002479A9" w:rsidRPr="002479A9" w:rsidRDefault="002479A9" w:rsidP="00DB485C">
      <w:pPr>
        <w:pStyle w:val="SingleTxtG"/>
        <w:ind w:firstLine="567"/>
        <w:rPr>
          <w:b/>
          <w:bCs/>
        </w:rPr>
      </w:pPr>
      <w:r w:rsidRPr="00DB485C">
        <w:rPr>
          <w:b/>
        </w:rPr>
        <w:lastRenderedPageBreak/>
        <w:tab/>
        <w:t>(e)</w:t>
      </w:r>
      <w:r w:rsidRPr="00DB485C">
        <w:rPr>
          <w:b/>
          <w:bCs/>
        </w:rPr>
        <w:tab/>
        <w:t>Provide vocational education and training program</w:t>
      </w:r>
      <w:r w:rsidR="009E3023">
        <w:rPr>
          <w:b/>
          <w:bCs/>
        </w:rPr>
        <w:t>me</w:t>
      </w:r>
      <w:r w:rsidRPr="00DB485C">
        <w:rPr>
          <w:b/>
          <w:bCs/>
        </w:rPr>
        <w:t>s for persons with disabilities</w:t>
      </w:r>
      <w:r w:rsidR="008B7188" w:rsidRPr="00DB485C">
        <w:rPr>
          <w:b/>
          <w:bCs/>
        </w:rPr>
        <w:t>,</w:t>
      </w:r>
      <w:r w:rsidR="005700B8" w:rsidRPr="00DB485C">
        <w:rPr>
          <w:b/>
          <w:bCs/>
        </w:rPr>
        <w:t xml:space="preserve"> and</w:t>
      </w:r>
      <w:r w:rsidR="005700B8">
        <w:rPr>
          <w:b/>
          <w:bCs/>
        </w:rPr>
        <w:t xml:space="preserve"> guidance</w:t>
      </w:r>
      <w:r w:rsidR="008B7188">
        <w:rPr>
          <w:b/>
          <w:bCs/>
        </w:rPr>
        <w:t xml:space="preserve"> for persons with disabilities</w:t>
      </w:r>
      <w:r w:rsidR="005700B8">
        <w:rPr>
          <w:b/>
          <w:bCs/>
        </w:rPr>
        <w:t xml:space="preserve"> </w:t>
      </w:r>
      <w:r w:rsidR="008B7188">
        <w:rPr>
          <w:b/>
          <w:bCs/>
        </w:rPr>
        <w:t>on</w:t>
      </w:r>
      <w:r w:rsidR="005700B8">
        <w:rPr>
          <w:b/>
          <w:bCs/>
        </w:rPr>
        <w:t xml:space="preserve"> employme</w:t>
      </w:r>
      <w:r w:rsidR="008B7188">
        <w:rPr>
          <w:b/>
          <w:bCs/>
        </w:rPr>
        <w:t>nt</w:t>
      </w:r>
      <w:r>
        <w:rPr>
          <w:b/>
          <w:bCs/>
        </w:rPr>
        <w:t>.</w:t>
      </w:r>
    </w:p>
    <w:p w14:paraId="7432C926" w14:textId="77777777" w:rsidR="00A82C15" w:rsidRPr="007C2C2C" w:rsidRDefault="00EC449C" w:rsidP="00A82C15">
      <w:pPr>
        <w:pStyle w:val="H23G"/>
      </w:pPr>
      <w:r w:rsidRPr="00404879">
        <w:tab/>
      </w:r>
      <w:r w:rsidRPr="00404879">
        <w:tab/>
      </w:r>
      <w:r w:rsidR="00A82C15" w:rsidRPr="007C2C2C">
        <w:t>Adequate standard of living and social protection (art. 28)</w:t>
      </w:r>
    </w:p>
    <w:p w14:paraId="019B6670" w14:textId="5F78CD67" w:rsidR="002479A9" w:rsidRPr="00E46FD0" w:rsidRDefault="0079323D" w:rsidP="002479A9">
      <w:pPr>
        <w:pStyle w:val="SingleTxtG"/>
      </w:pPr>
      <w:r>
        <w:t>6</w:t>
      </w:r>
      <w:r w:rsidR="00391043">
        <w:t>2</w:t>
      </w:r>
      <w:r w:rsidR="002479A9" w:rsidRPr="00E46FD0">
        <w:t>.</w:t>
      </w:r>
      <w:r w:rsidR="002479A9" w:rsidRPr="00E46FD0">
        <w:tab/>
        <w:t xml:space="preserve">The Committee is </w:t>
      </w:r>
      <w:r w:rsidR="002479A9" w:rsidRPr="00BD4E6F">
        <w:t xml:space="preserve">concerned </w:t>
      </w:r>
      <w:r w:rsidR="002479A9">
        <w:t>about</w:t>
      </w:r>
      <w:r w:rsidR="002479A9" w:rsidRPr="00BD4E6F">
        <w:t xml:space="preserve"> </w:t>
      </w:r>
      <w:r w:rsidR="002479A9">
        <w:t xml:space="preserve">the high poverty level of persons with disabilities, and about a lack of measures specifically designed for persons with disabilities in the </w:t>
      </w:r>
      <w:r w:rsidR="008E25FC">
        <w:t>s</w:t>
      </w:r>
      <w:r w:rsidR="002479A9">
        <w:t xml:space="preserve">pecial </w:t>
      </w:r>
      <w:r w:rsidR="008E25FC">
        <w:t>p</w:t>
      </w:r>
      <w:r w:rsidR="002479A9">
        <w:t>rogram</w:t>
      </w:r>
      <w:r w:rsidR="008E25FC">
        <w:t>me</w:t>
      </w:r>
      <w:r w:rsidR="002479A9">
        <w:t xml:space="preserve"> for </w:t>
      </w:r>
      <w:r w:rsidR="008E25FC">
        <w:t>i</w:t>
      </w:r>
      <w:r w:rsidR="002479A9">
        <w:t xml:space="preserve">ndigenous and Afro-Mexican </w:t>
      </w:r>
      <w:r w:rsidR="008E25FC">
        <w:t>p</w:t>
      </w:r>
      <w:r w:rsidR="002479A9">
        <w:t>eople for 202</w:t>
      </w:r>
      <w:r w:rsidR="007E682D">
        <w:t>0</w:t>
      </w:r>
      <w:r w:rsidR="00C277DA">
        <w:t>–</w:t>
      </w:r>
      <w:r w:rsidR="002479A9">
        <w:t>2024.</w:t>
      </w:r>
    </w:p>
    <w:p w14:paraId="4D730044" w14:textId="5515A772" w:rsidR="002479A9" w:rsidRPr="002479A9" w:rsidRDefault="0079323D" w:rsidP="002479A9">
      <w:pPr>
        <w:pStyle w:val="SingleTxtG"/>
        <w:rPr>
          <w:b/>
          <w:bCs/>
        </w:rPr>
      </w:pPr>
      <w:r w:rsidRPr="0047472A">
        <w:rPr>
          <w:bCs/>
        </w:rPr>
        <w:t>6</w:t>
      </w:r>
      <w:r w:rsidR="00391043" w:rsidRPr="0047472A">
        <w:rPr>
          <w:bCs/>
        </w:rPr>
        <w:t>3</w:t>
      </w:r>
      <w:r w:rsidR="002479A9" w:rsidRPr="0047472A">
        <w:rPr>
          <w:bCs/>
        </w:rPr>
        <w:t>.</w:t>
      </w:r>
      <w:r w:rsidR="002479A9" w:rsidRPr="00DB485C">
        <w:rPr>
          <w:b/>
        </w:rPr>
        <w:tab/>
      </w:r>
      <w:r w:rsidR="002479A9" w:rsidRPr="00DB485C">
        <w:rPr>
          <w:b/>
          <w:bCs/>
        </w:rPr>
        <w:t>The</w:t>
      </w:r>
      <w:r w:rsidR="002479A9" w:rsidRPr="00921A64">
        <w:rPr>
          <w:b/>
          <w:bCs/>
        </w:rPr>
        <w:t xml:space="preserve"> Com</w:t>
      </w:r>
      <w:r w:rsidR="002479A9">
        <w:rPr>
          <w:b/>
          <w:bCs/>
        </w:rPr>
        <w:t xml:space="preserve">mittee </w:t>
      </w:r>
      <w:r w:rsidR="00A07D38">
        <w:rPr>
          <w:b/>
          <w:bCs/>
        </w:rPr>
        <w:t>recommends</w:t>
      </w:r>
      <w:r w:rsidR="002479A9">
        <w:rPr>
          <w:b/>
          <w:bCs/>
        </w:rPr>
        <w:t xml:space="preserve"> </w:t>
      </w:r>
      <w:r w:rsidR="00C277DA">
        <w:rPr>
          <w:b/>
          <w:bCs/>
        </w:rPr>
        <w:t xml:space="preserve">that </w:t>
      </w:r>
      <w:r w:rsidR="002479A9">
        <w:rPr>
          <w:b/>
          <w:bCs/>
        </w:rPr>
        <w:t xml:space="preserve">the State party create a </w:t>
      </w:r>
      <w:r w:rsidR="00371C59">
        <w:rPr>
          <w:b/>
          <w:bCs/>
        </w:rPr>
        <w:t xml:space="preserve">national </w:t>
      </w:r>
      <w:r w:rsidR="002479A9">
        <w:rPr>
          <w:b/>
          <w:bCs/>
        </w:rPr>
        <w:t xml:space="preserve">plan specifically </w:t>
      </w:r>
      <w:r w:rsidR="00A07D38">
        <w:rPr>
          <w:b/>
          <w:bCs/>
        </w:rPr>
        <w:t>addressing</w:t>
      </w:r>
      <w:r w:rsidR="002479A9">
        <w:rPr>
          <w:b/>
          <w:bCs/>
        </w:rPr>
        <w:t xml:space="preserve"> the high </w:t>
      </w:r>
      <w:r w:rsidR="00A07D38">
        <w:rPr>
          <w:b/>
          <w:bCs/>
        </w:rPr>
        <w:t>level of poverty among</w:t>
      </w:r>
      <w:r w:rsidR="002479A9">
        <w:rPr>
          <w:b/>
          <w:bCs/>
        </w:rPr>
        <w:t xml:space="preserve"> persons with disabilities, including its financing and a time schedule for its implementation</w:t>
      </w:r>
      <w:r w:rsidR="00C277DA">
        <w:rPr>
          <w:b/>
          <w:bCs/>
        </w:rPr>
        <w:t>;</w:t>
      </w:r>
      <w:r w:rsidR="002479A9">
        <w:rPr>
          <w:b/>
          <w:bCs/>
        </w:rPr>
        <w:t xml:space="preserve"> implement it</w:t>
      </w:r>
      <w:r w:rsidR="00C277DA">
        <w:rPr>
          <w:b/>
          <w:bCs/>
        </w:rPr>
        <w:t>;</w:t>
      </w:r>
      <w:r w:rsidR="002479A9">
        <w:rPr>
          <w:b/>
          <w:bCs/>
        </w:rPr>
        <w:t xml:space="preserve"> and monitor its implementation.</w:t>
      </w:r>
    </w:p>
    <w:p w14:paraId="04F033D9" w14:textId="77777777" w:rsidR="00EC449C" w:rsidRPr="00404879" w:rsidRDefault="00A82C15" w:rsidP="0057412D">
      <w:pPr>
        <w:pStyle w:val="H23G"/>
      </w:pPr>
      <w:r>
        <w:tab/>
      </w:r>
      <w:r>
        <w:tab/>
      </w:r>
      <w:r w:rsidR="00EC449C" w:rsidRPr="00404879">
        <w:t>Participation in political and public life (art. 29)</w:t>
      </w:r>
    </w:p>
    <w:p w14:paraId="5BA0B5A4" w14:textId="3AC5A09F" w:rsidR="009F5EE5" w:rsidRPr="00F726FF" w:rsidRDefault="0079323D" w:rsidP="005840EB">
      <w:pPr>
        <w:pStyle w:val="SingleTxtG"/>
      </w:pPr>
      <w:r>
        <w:t>6</w:t>
      </w:r>
      <w:r w:rsidR="00391043">
        <w:t>4</w:t>
      </w:r>
      <w:r w:rsidR="009F5EE5" w:rsidRPr="00F726FF">
        <w:t>.</w:t>
      </w:r>
      <w:r w:rsidR="009F5EE5" w:rsidRPr="00F726FF">
        <w:tab/>
        <w:t>The Committee is concerned that persons with intellectual and psychosocial disabilities are denied the right to vote</w:t>
      </w:r>
      <w:r w:rsidR="009F5EE5">
        <w:t xml:space="preserve">, despite jurisprudence by the </w:t>
      </w:r>
      <w:r w:rsidR="00CB1966">
        <w:t xml:space="preserve">national </w:t>
      </w:r>
      <w:r w:rsidR="009F5EE5">
        <w:t>Supreme Court of Justice,</w:t>
      </w:r>
      <w:r w:rsidR="009F5EE5" w:rsidRPr="00F726FF">
        <w:t xml:space="preserve"> and that voting procedures, facilities and materials are not accessible.</w:t>
      </w:r>
      <w:r w:rsidR="005840EB" w:rsidRPr="005840EB">
        <w:t xml:space="preserve"> </w:t>
      </w:r>
      <w:r w:rsidR="005840EB">
        <w:t>The Committee is also concerned about the extent of support provide</w:t>
      </w:r>
      <w:r w:rsidR="00DB485C">
        <w:t>d for persons with disabilities</w:t>
      </w:r>
      <w:r w:rsidR="007F10A0">
        <w:t>, in particular women with disabilities, participating</w:t>
      </w:r>
      <w:r w:rsidR="005840EB">
        <w:t xml:space="preserve"> in politics and public life.</w:t>
      </w:r>
    </w:p>
    <w:p w14:paraId="6D0F1AA3" w14:textId="4AAFD64B" w:rsidR="006633F7" w:rsidRPr="00DB485C" w:rsidRDefault="009F5EE5" w:rsidP="006E5229">
      <w:pPr>
        <w:pStyle w:val="SingleTxtG"/>
        <w:rPr>
          <w:b/>
        </w:rPr>
      </w:pPr>
      <w:r w:rsidRPr="0047472A">
        <w:rPr>
          <w:bCs/>
        </w:rPr>
        <w:t>6</w:t>
      </w:r>
      <w:r w:rsidR="00391043" w:rsidRPr="0047472A">
        <w:rPr>
          <w:bCs/>
        </w:rPr>
        <w:t>5</w:t>
      </w:r>
      <w:r w:rsidRPr="0047472A">
        <w:rPr>
          <w:bCs/>
        </w:rPr>
        <w:t>.</w:t>
      </w:r>
      <w:r w:rsidRPr="00DB485C">
        <w:rPr>
          <w:b/>
        </w:rPr>
        <w:tab/>
      </w:r>
      <w:r w:rsidRPr="00DB485C">
        <w:rPr>
          <w:b/>
          <w:bCs/>
        </w:rPr>
        <w:t>The</w:t>
      </w:r>
      <w:r w:rsidRPr="00F726FF">
        <w:rPr>
          <w:b/>
          <w:bCs/>
        </w:rPr>
        <w:t xml:space="preserve"> Committee </w:t>
      </w:r>
      <w:r>
        <w:rPr>
          <w:b/>
          <w:bCs/>
        </w:rPr>
        <w:t>recommends</w:t>
      </w:r>
      <w:r w:rsidRPr="00F726FF">
        <w:rPr>
          <w:b/>
          <w:bCs/>
        </w:rPr>
        <w:t xml:space="preserve"> </w:t>
      </w:r>
      <w:r w:rsidR="00CB1966">
        <w:rPr>
          <w:b/>
          <w:bCs/>
        </w:rPr>
        <w:t xml:space="preserve">that </w:t>
      </w:r>
      <w:r w:rsidRPr="00F726FF">
        <w:rPr>
          <w:b/>
          <w:bCs/>
        </w:rPr>
        <w:t xml:space="preserve">the State party amend </w:t>
      </w:r>
      <w:r>
        <w:rPr>
          <w:b/>
          <w:bCs/>
        </w:rPr>
        <w:t>its legislation</w:t>
      </w:r>
      <w:r w:rsidRPr="00F726FF">
        <w:rPr>
          <w:b/>
          <w:bCs/>
        </w:rPr>
        <w:t xml:space="preserve"> to </w:t>
      </w:r>
      <w:r>
        <w:rPr>
          <w:b/>
          <w:bCs/>
        </w:rPr>
        <w:t>guarantee the right to vote to</w:t>
      </w:r>
      <w:r w:rsidRPr="00F726FF">
        <w:rPr>
          <w:b/>
          <w:bCs/>
        </w:rPr>
        <w:t xml:space="preserve"> all persons wit</w:t>
      </w:r>
      <w:r>
        <w:rPr>
          <w:b/>
          <w:bCs/>
        </w:rPr>
        <w:t>h disabilities</w:t>
      </w:r>
      <w:r w:rsidRPr="00F726FF">
        <w:rPr>
          <w:b/>
          <w:bCs/>
        </w:rPr>
        <w:t>. It further</w:t>
      </w:r>
      <w:r w:rsidRPr="00921A64">
        <w:rPr>
          <w:b/>
          <w:bCs/>
        </w:rPr>
        <w:t xml:space="preserve"> recommends that the State party ensure the accessibility of voting procedures, facilities and materials in urban </w:t>
      </w:r>
      <w:r w:rsidR="005840EB">
        <w:rPr>
          <w:b/>
          <w:bCs/>
        </w:rPr>
        <w:t xml:space="preserve">areas. Additionally, </w:t>
      </w:r>
      <w:r w:rsidR="00EC4848">
        <w:rPr>
          <w:b/>
          <w:bCs/>
        </w:rPr>
        <w:t xml:space="preserve">it recommends </w:t>
      </w:r>
      <w:r w:rsidR="005840EB">
        <w:rPr>
          <w:b/>
          <w:bCs/>
        </w:rPr>
        <w:t>that the necessary support be provided to persons with disabilities</w:t>
      </w:r>
      <w:r w:rsidR="007F10A0">
        <w:rPr>
          <w:b/>
          <w:bCs/>
        </w:rPr>
        <w:t>, in particular women with disabilities,</w:t>
      </w:r>
      <w:r w:rsidR="005840EB">
        <w:rPr>
          <w:b/>
          <w:bCs/>
        </w:rPr>
        <w:t xml:space="preserve"> participating in politics and public life.</w:t>
      </w:r>
    </w:p>
    <w:p w14:paraId="03440171" w14:textId="77777777" w:rsidR="00EC449C" w:rsidRPr="00404879" w:rsidRDefault="00EC449C" w:rsidP="0057412D">
      <w:pPr>
        <w:pStyle w:val="H1G"/>
      </w:pPr>
      <w:r w:rsidRPr="00DB485C">
        <w:tab/>
        <w:t>C.</w:t>
      </w:r>
      <w:r w:rsidRPr="00DB485C">
        <w:tab/>
        <w:t>Specific ob</w:t>
      </w:r>
      <w:r w:rsidRPr="00404879">
        <w:t>ligations (arts. 31–33)</w:t>
      </w:r>
    </w:p>
    <w:p w14:paraId="62F7F0B0" w14:textId="77777777" w:rsidR="00EC449C" w:rsidRPr="00404879" w:rsidRDefault="00EC449C" w:rsidP="0057412D">
      <w:pPr>
        <w:pStyle w:val="H23G"/>
      </w:pPr>
      <w:r w:rsidRPr="00404879">
        <w:tab/>
      </w:r>
      <w:r w:rsidRPr="00404879">
        <w:tab/>
        <w:t>Statistics and data collection (art. 31)</w:t>
      </w:r>
    </w:p>
    <w:p w14:paraId="6D62DE0A" w14:textId="1FD20CA4" w:rsidR="0087118F" w:rsidRPr="00E46FD0" w:rsidRDefault="0079323D" w:rsidP="0087118F">
      <w:pPr>
        <w:pStyle w:val="SingleTxtG"/>
      </w:pPr>
      <w:r>
        <w:t>6</w:t>
      </w:r>
      <w:r w:rsidR="00391043">
        <w:t>6</w:t>
      </w:r>
      <w:r w:rsidR="0087118F" w:rsidRPr="00E46FD0">
        <w:t>.</w:t>
      </w:r>
      <w:r w:rsidR="0087118F" w:rsidRPr="00E46FD0">
        <w:tab/>
        <w:t xml:space="preserve">The Committee </w:t>
      </w:r>
      <w:r w:rsidR="0087118F">
        <w:t xml:space="preserve">is concerned about serious shortcomings of data and statistics on the situation of persons with disabilities at the </w:t>
      </w:r>
      <w:r w:rsidR="002B36EA">
        <w:t>s</w:t>
      </w:r>
      <w:r w:rsidR="0087118F">
        <w:t>tate and municipal level, and about the use of such data and statistics for the development and implementation of policies designed to comply with the Convention.</w:t>
      </w:r>
    </w:p>
    <w:p w14:paraId="1D9F65D0" w14:textId="3BDC7699" w:rsidR="0003120B" w:rsidRDefault="0087118F" w:rsidP="005901D4">
      <w:pPr>
        <w:pStyle w:val="SingleTxtG"/>
        <w:rPr>
          <w:b/>
          <w:bCs/>
        </w:rPr>
      </w:pPr>
      <w:bookmarkStart w:id="10" w:name="_Hlk97985390"/>
      <w:r w:rsidRPr="0047472A">
        <w:rPr>
          <w:bCs/>
        </w:rPr>
        <w:t>6</w:t>
      </w:r>
      <w:r w:rsidR="00391043" w:rsidRPr="0047472A">
        <w:rPr>
          <w:bCs/>
        </w:rPr>
        <w:t>7</w:t>
      </w:r>
      <w:r w:rsidRPr="0047472A">
        <w:rPr>
          <w:bCs/>
        </w:rPr>
        <w:t>.</w:t>
      </w:r>
      <w:r w:rsidRPr="00DB485C">
        <w:rPr>
          <w:b/>
        </w:rPr>
        <w:tab/>
      </w:r>
      <w:r w:rsidRPr="00921A64">
        <w:rPr>
          <w:b/>
          <w:bCs/>
        </w:rPr>
        <w:t xml:space="preserve">The </w:t>
      </w:r>
      <w:bookmarkEnd w:id="10"/>
      <w:r w:rsidRPr="00921A64">
        <w:rPr>
          <w:b/>
          <w:bCs/>
        </w:rPr>
        <w:t>Committee recommends that the State party</w:t>
      </w:r>
      <w:r>
        <w:rPr>
          <w:b/>
          <w:bCs/>
        </w:rPr>
        <w:t xml:space="preserve"> comprehensively collect disaggregated data and statistics on all levels of government, using the Washington Group</w:t>
      </w:r>
      <w:r w:rsidR="00391043">
        <w:rPr>
          <w:b/>
          <w:bCs/>
        </w:rPr>
        <w:t xml:space="preserve"> </w:t>
      </w:r>
      <w:r w:rsidR="00826B52">
        <w:rPr>
          <w:b/>
          <w:bCs/>
        </w:rPr>
        <w:t>s</w:t>
      </w:r>
      <w:r w:rsidR="00391043">
        <w:rPr>
          <w:b/>
          <w:bCs/>
        </w:rPr>
        <w:t>hort</w:t>
      </w:r>
      <w:r>
        <w:rPr>
          <w:b/>
          <w:bCs/>
        </w:rPr>
        <w:t xml:space="preserve"> </w:t>
      </w:r>
      <w:r w:rsidR="00826B52">
        <w:rPr>
          <w:b/>
          <w:bCs/>
        </w:rPr>
        <w:t>s</w:t>
      </w:r>
      <w:r>
        <w:rPr>
          <w:b/>
          <w:bCs/>
        </w:rPr>
        <w:t xml:space="preserve">et of </w:t>
      </w:r>
      <w:r w:rsidR="00826B52">
        <w:rPr>
          <w:b/>
          <w:bCs/>
        </w:rPr>
        <w:t>q</w:t>
      </w:r>
      <w:r>
        <w:rPr>
          <w:b/>
          <w:bCs/>
        </w:rPr>
        <w:t>uestions</w:t>
      </w:r>
      <w:r w:rsidR="00391043">
        <w:rPr>
          <w:b/>
          <w:bCs/>
        </w:rPr>
        <w:t xml:space="preserve"> on </w:t>
      </w:r>
      <w:r w:rsidR="00826B52">
        <w:rPr>
          <w:b/>
          <w:bCs/>
        </w:rPr>
        <w:t>d</w:t>
      </w:r>
      <w:r w:rsidR="00391043">
        <w:rPr>
          <w:b/>
          <w:bCs/>
        </w:rPr>
        <w:t>isability</w:t>
      </w:r>
      <w:r w:rsidR="00C81900">
        <w:rPr>
          <w:b/>
          <w:bCs/>
        </w:rPr>
        <w:t>.</w:t>
      </w:r>
      <w:r>
        <w:rPr>
          <w:b/>
          <w:bCs/>
        </w:rPr>
        <w:t xml:space="preserve"> </w:t>
      </w:r>
    </w:p>
    <w:p w14:paraId="099E2142" w14:textId="43293643" w:rsidR="00EC449C" w:rsidRPr="00404879" w:rsidRDefault="00EC449C" w:rsidP="00B76820">
      <w:pPr>
        <w:pStyle w:val="H23G"/>
        <w:spacing w:before="120"/>
        <w:ind w:left="0" w:firstLine="0"/>
      </w:pPr>
      <w:r w:rsidRPr="00404879">
        <w:tab/>
      </w:r>
      <w:r w:rsidRPr="00404879">
        <w:tab/>
        <w:t>National implementation and monitoring (art. 33)</w:t>
      </w:r>
    </w:p>
    <w:p w14:paraId="114782A9" w14:textId="13BE911E" w:rsidR="0087118F" w:rsidRDefault="00391043" w:rsidP="0087118F">
      <w:pPr>
        <w:pStyle w:val="SingleTxtG"/>
      </w:pPr>
      <w:r>
        <w:t>68</w:t>
      </w:r>
      <w:r w:rsidR="0087118F">
        <w:t>.</w:t>
      </w:r>
      <w:r w:rsidR="0087118F">
        <w:tab/>
        <w:t xml:space="preserve">The Committee is concerned about </w:t>
      </w:r>
      <w:r w:rsidR="00A62528">
        <w:t>the</w:t>
      </w:r>
      <w:r w:rsidR="0087118F">
        <w:t xml:space="preserve"> undue complexity and the existence of many lacunae in the focal points and coordination mechanisms and their mutual interaction.</w:t>
      </w:r>
      <w:r w:rsidR="00524BCA">
        <w:t xml:space="preserve"> </w:t>
      </w:r>
    </w:p>
    <w:p w14:paraId="7F6C55B2" w14:textId="61AF124D" w:rsidR="0087118F" w:rsidRDefault="00391043" w:rsidP="0087118F">
      <w:pPr>
        <w:pStyle w:val="SingleTxtG"/>
      </w:pPr>
      <w:r w:rsidRPr="0047472A">
        <w:rPr>
          <w:bCs/>
        </w:rPr>
        <w:t>69</w:t>
      </w:r>
      <w:r w:rsidR="0087118F" w:rsidRPr="0047472A">
        <w:rPr>
          <w:bCs/>
        </w:rPr>
        <w:t>.</w:t>
      </w:r>
      <w:r w:rsidR="0087118F" w:rsidRPr="00DB485C">
        <w:rPr>
          <w:b/>
        </w:rPr>
        <w:tab/>
      </w:r>
      <w:r w:rsidR="0087118F">
        <w:rPr>
          <w:b/>
        </w:rPr>
        <w:t xml:space="preserve">The Committee recommends </w:t>
      </w:r>
      <w:r w:rsidR="00A62528">
        <w:rPr>
          <w:b/>
        </w:rPr>
        <w:t>that the State party</w:t>
      </w:r>
      <w:r w:rsidR="0087118F">
        <w:rPr>
          <w:b/>
        </w:rPr>
        <w:t xml:space="preserve"> comprehensively review the current system of focal points and coordination mechanisms </w:t>
      </w:r>
      <w:r w:rsidR="00A62528">
        <w:rPr>
          <w:b/>
        </w:rPr>
        <w:t>at</w:t>
      </w:r>
      <w:r w:rsidR="0087118F">
        <w:rPr>
          <w:b/>
        </w:rPr>
        <w:t xml:space="preserve"> all levels of government, and establish a transparent system with sufficient funding, defined competences and mutual interaction</w:t>
      </w:r>
      <w:r w:rsidR="0087118F" w:rsidRPr="00C90D84">
        <w:rPr>
          <w:b/>
        </w:rPr>
        <w:t>.</w:t>
      </w:r>
    </w:p>
    <w:p w14:paraId="7A2098BA" w14:textId="72C3D2DE" w:rsidR="0087118F" w:rsidRPr="00E46FD0" w:rsidRDefault="0079323D" w:rsidP="0087118F">
      <w:pPr>
        <w:pStyle w:val="SingleTxtG"/>
      </w:pPr>
      <w:r>
        <w:t>7</w:t>
      </w:r>
      <w:r w:rsidR="00391043">
        <w:t>0</w:t>
      </w:r>
      <w:r w:rsidR="0087118F">
        <w:t>.</w:t>
      </w:r>
      <w:r w:rsidR="0087118F">
        <w:tab/>
      </w:r>
      <w:r w:rsidR="004A4F7A">
        <w:t>With reference to paragraph 61 of</w:t>
      </w:r>
      <w:r w:rsidR="0087118F">
        <w:t xml:space="preserve"> its previous </w:t>
      </w:r>
      <w:r w:rsidR="002B36EA">
        <w:t>c</w:t>
      </w:r>
      <w:r w:rsidR="0087118F">
        <w:t xml:space="preserve">oncluding </w:t>
      </w:r>
      <w:r w:rsidR="002B36EA">
        <w:t>o</w:t>
      </w:r>
      <w:r w:rsidR="00B76820">
        <w:t>bservations</w:t>
      </w:r>
      <w:r w:rsidR="0087118F">
        <w:t>, t</w:t>
      </w:r>
      <w:r w:rsidR="0087118F" w:rsidRPr="00E46FD0">
        <w:t xml:space="preserve">he Committee </w:t>
      </w:r>
      <w:r w:rsidR="0087118F" w:rsidRPr="004213AF">
        <w:t xml:space="preserve">notes that despite the establishment of an independent mechanism to monitor the implementation of the Convention in Mexico, its structure, functions and activities have not been </w:t>
      </w:r>
      <w:r w:rsidR="00524BCA">
        <w:t xml:space="preserve">sufficiently </w:t>
      </w:r>
      <w:r w:rsidR="0087118F" w:rsidRPr="004213AF">
        <w:t>defined with regard to the promotion, protection and monitoring of</w:t>
      </w:r>
      <w:r w:rsidR="0087118F" w:rsidRPr="00E46FD0">
        <w:t xml:space="preserve"> the rights enshrined in the Convention at the federal and state levels.</w:t>
      </w:r>
      <w:r w:rsidR="00524BCA" w:rsidRPr="00524BCA">
        <w:t xml:space="preserve"> </w:t>
      </w:r>
      <w:r w:rsidR="00524BCA">
        <w:t>It is further concerned about insufficient participation of persons with disabilities</w:t>
      </w:r>
      <w:r w:rsidR="007F10A0">
        <w:t>, in particular women with disabilities, and</w:t>
      </w:r>
      <w:r w:rsidR="00524BCA">
        <w:t xml:space="preserve"> their representative organization in</w:t>
      </w:r>
      <w:r w:rsidR="0010296A">
        <w:t xml:space="preserve"> the implementation and</w:t>
      </w:r>
      <w:r w:rsidR="00524BCA">
        <w:t xml:space="preserve"> monitoring</w:t>
      </w:r>
      <w:r w:rsidR="0010296A">
        <w:t xml:space="preserve"> of the Convention</w:t>
      </w:r>
      <w:r w:rsidR="00524BCA">
        <w:t>.</w:t>
      </w:r>
    </w:p>
    <w:p w14:paraId="5E80FF75" w14:textId="5D7D9658" w:rsidR="00B76820" w:rsidRPr="000307DF" w:rsidRDefault="0079323D" w:rsidP="000307DF">
      <w:pPr>
        <w:pStyle w:val="SingleTxtG"/>
        <w:rPr>
          <w:b/>
          <w:bCs/>
        </w:rPr>
      </w:pPr>
      <w:r w:rsidRPr="0047472A">
        <w:rPr>
          <w:bCs/>
        </w:rPr>
        <w:t>7</w:t>
      </w:r>
      <w:r w:rsidR="00391043" w:rsidRPr="0047472A">
        <w:rPr>
          <w:bCs/>
        </w:rPr>
        <w:t>1</w:t>
      </w:r>
      <w:r w:rsidR="0087118F" w:rsidRPr="0047472A">
        <w:rPr>
          <w:bCs/>
        </w:rPr>
        <w:t>.</w:t>
      </w:r>
      <w:r w:rsidR="0087118F" w:rsidRPr="00DB485C">
        <w:rPr>
          <w:b/>
        </w:rPr>
        <w:tab/>
      </w:r>
      <w:r w:rsidR="0087118F" w:rsidRPr="00DB485C">
        <w:rPr>
          <w:b/>
          <w:bCs/>
        </w:rPr>
        <w:t>The</w:t>
      </w:r>
      <w:r w:rsidR="0087118F" w:rsidRPr="00921A64">
        <w:rPr>
          <w:b/>
          <w:bCs/>
        </w:rPr>
        <w:t xml:space="preserve"> Committee </w:t>
      </w:r>
      <w:r w:rsidR="0087118F">
        <w:rPr>
          <w:b/>
          <w:bCs/>
        </w:rPr>
        <w:t>recommends</w:t>
      </w:r>
      <w:r w:rsidR="006256DD">
        <w:rPr>
          <w:b/>
          <w:bCs/>
        </w:rPr>
        <w:t xml:space="preserve"> that</w:t>
      </w:r>
      <w:r w:rsidR="0087118F" w:rsidRPr="00921A64">
        <w:rPr>
          <w:b/>
          <w:bCs/>
        </w:rPr>
        <w:t xml:space="preserve"> the State party ensure that the National Human Rights Commission and the 32 state human rights entities, as the independent monitoring mechanism for the Convention, define the mechanism’s structure, goals, indicators and resources.</w:t>
      </w:r>
      <w:r w:rsidR="00524BCA">
        <w:rPr>
          <w:b/>
          <w:bCs/>
        </w:rPr>
        <w:t xml:space="preserve"> The Committee further recommends</w:t>
      </w:r>
      <w:r w:rsidR="0087118F" w:rsidRPr="00921A64">
        <w:rPr>
          <w:b/>
          <w:bCs/>
        </w:rPr>
        <w:t xml:space="preserve"> the State party </w:t>
      </w:r>
      <w:r w:rsidR="0087118F" w:rsidRPr="00921A64">
        <w:rPr>
          <w:b/>
          <w:bCs/>
        </w:rPr>
        <w:lastRenderedPageBreak/>
        <w:t>strengthen the National Commission so that it may fulfil its mandate effectively and independently</w:t>
      </w:r>
      <w:r w:rsidR="00524BCA">
        <w:rPr>
          <w:b/>
          <w:bCs/>
        </w:rPr>
        <w:t xml:space="preserve">, </w:t>
      </w:r>
      <w:r w:rsidR="00C36BF7">
        <w:rPr>
          <w:b/>
          <w:bCs/>
        </w:rPr>
        <w:t>and that persons with disabilities</w:t>
      </w:r>
      <w:r w:rsidR="007F10A0">
        <w:rPr>
          <w:b/>
          <w:bCs/>
        </w:rPr>
        <w:t xml:space="preserve">, in particular women with disabilities, </w:t>
      </w:r>
      <w:r w:rsidR="009F4D0D">
        <w:rPr>
          <w:b/>
          <w:bCs/>
        </w:rPr>
        <w:t>and</w:t>
      </w:r>
      <w:r w:rsidR="00C36BF7">
        <w:rPr>
          <w:b/>
          <w:bCs/>
        </w:rPr>
        <w:t xml:space="preserve"> their representative organization</w:t>
      </w:r>
      <w:r w:rsidR="009F4D0D">
        <w:rPr>
          <w:b/>
          <w:bCs/>
        </w:rPr>
        <w:t>s</w:t>
      </w:r>
      <w:r w:rsidR="00C36BF7">
        <w:rPr>
          <w:b/>
          <w:bCs/>
        </w:rPr>
        <w:t xml:space="preserve"> are involved and participate</w:t>
      </w:r>
      <w:r w:rsidR="009F4D0D">
        <w:rPr>
          <w:b/>
          <w:bCs/>
        </w:rPr>
        <w:t xml:space="preserve"> </w:t>
      </w:r>
      <w:r w:rsidR="00C36BF7">
        <w:rPr>
          <w:b/>
          <w:bCs/>
        </w:rPr>
        <w:t>fully in</w:t>
      </w:r>
      <w:r w:rsidR="009F4D0D">
        <w:rPr>
          <w:b/>
          <w:bCs/>
        </w:rPr>
        <w:t xml:space="preserve"> the</w:t>
      </w:r>
      <w:r w:rsidR="00C36BF7">
        <w:rPr>
          <w:b/>
          <w:bCs/>
        </w:rPr>
        <w:t xml:space="preserve"> </w:t>
      </w:r>
      <w:r w:rsidR="0010296A">
        <w:rPr>
          <w:b/>
          <w:bCs/>
        </w:rPr>
        <w:t xml:space="preserve">implementation and </w:t>
      </w:r>
      <w:r w:rsidR="00C36BF7">
        <w:rPr>
          <w:b/>
          <w:bCs/>
        </w:rPr>
        <w:t xml:space="preserve">monitoring </w:t>
      </w:r>
      <w:r w:rsidR="0010296A">
        <w:rPr>
          <w:b/>
          <w:bCs/>
        </w:rPr>
        <w:t>of the Convention</w:t>
      </w:r>
      <w:r w:rsidR="00C36BF7">
        <w:rPr>
          <w:b/>
          <w:bCs/>
        </w:rPr>
        <w:t>.</w:t>
      </w:r>
    </w:p>
    <w:p w14:paraId="5B52E7E2" w14:textId="585BAE25" w:rsidR="0087118F" w:rsidRPr="00106D4D" w:rsidRDefault="00EC36D3" w:rsidP="00EC36D3">
      <w:pPr>
        <w:pStyle w:val="H23G"/>
      </w:pPr>
      <w:r>
        <w:tab/>
      </w:r>
      <w:r>
        <w:tab/>
      </w:r>
      <w:r w:rsidR="0087118F" w:rsidRPr="00106D4D">
        <w:t>Cooperation and technical assistance</w:t>
      </w:r>
    </w:p>
    <w:p w14:paraId="1696AA70" w14:textId="35FD8603" w:rsidR="0087118F" w:rsidRPr="00106D4D" w:rsidRDefault="0079323D" w:rsidP="0087118F">
      <w:pPr>
        <w:pStyle w:val="SingleTxtG"/>
      </w:pPr>
      <w:r w:rsidRPr="00106D4D">
        <w:t>7</w:t>
      </w:r>
      <w:r w:rsidR="00391043" w:rsidRPr="00106D4D">
        <w:t>2</w:t>
      </w:r>
      <w:r w:rsidR="0087118F" w:rsidRPr="00106D4D">
        <w:t>.</w:t>
      </w:r>
      <w:r w:rsidR="0087118F" w:rsidRPr="00106D4D">
        <w:tab/>
        <w:t xml:space="preserve">Under article 37 of the Convention, the Committee can provide technical guidance to the State party on any queries addressed to the experts </w:t>
      </w:r>
      <w:r w:rsidR="002C5219" w:rsidRPr="00106D4D">
        <w:t xml:space="preserve">through </w:t>
      </w:r>
      <w:r w:rsidR="0087118F" w:rsidRPr="00106D4D">
        <w:t>the secretariat. The State party can also seek technical assistance from United Nations specialized agencies with headquarters in the country or the region.</w:t>
      </w:r>
    </w:p>
    <w:p w14:paraId="2F76B245" w14:textId="77777777" w:rsidR="00006BE2" w:rsidRPr="00106D4D" w:rsidRDefault="00006BE2" w:rsidP="0047472A">
      <w:pPr>
        <w:pStyle w:val="HChG"/>
      </w:pPr>
      <w:r w:rsidRPr="00106D4D">
        <w:tab/>
      </w:r>
      <w:bookmarkStart w:id="11" w:name="_Hlk98862797"/>
      <w:r w:rsidRPr="00106D4D">
        <w:t>IV.</w:t>
      </w:r>
      <w:r w:rsidRPr="00106D4D">
        <w:tab/>
        <w:t xml:space="preserve">Follow-up </w:t>
      </w:r>
      <w:bookmarkEnd w:id="11"/>
    </w:p>
    <w:p w14:paraId="4913255D" w14:textId="4E581318" w:rsidR="0010296A" w:rsidRPr="00106D4D" w:rsidRDefault="00006BE2" w:rsidP="0010296A">
      <w:pPr>
        <w:pStyle w:val="H23G"/>
        <w:spacing w:before="120"/>
      </w:pPr>
      <w:r w:rsidRPr="00106D4D">
        <w:tab/>
      </w:r>
      <w:r w:rsidRPr="00106D4D">
        <w:tab/>
        <w:t>Dissemination of information</w:t>
      </w:r>
    </w:p>
    <w:p w14:paraId="1398F9F1" w14:textId="604046D6" w:rsidR="0010296A" w:rsidRPr="00106D4D" w:rsidRDefault="0010296A" w:rsidP="00391043">
      <w:pPr>
        <w:pStyle w:val="SingleTxtG"/>
        <w:rPr>
          <w:b/>
        </w:rPr>
      </w:pPr>
      <w:bookmarkStart w:id="12" w:name="_Hlk99109534"/>
      <w:r w:rsidRPr="0047472A">
        <w:rPr>
          <w:bCs/>
        </w:rPr>
        <w:t>7</w:t>
      </w:r>
      <w:r w:rsidR="00391043" w:rsidRPr="0047472A">
        <w:rPr>
          <w:bCs/>
        </w:rPr>
        <w:t>3</w:t>
      </w:r>
      <w:r w:rsidRPr="0047472A">
        <w:rPr>
          <w:bCs/>
        </w:rPr>
        <w:t>.</w:t>
      </w:r>
      <w:r w:rsidRPr="00106D4D">
        <w:rPr>
          <w:b/>
        </w:rPr>
        <w:tab/>
      </w:r>
      <w:r w:rsidRPr="00106D4D">
        <w:rPr>
          <w:b/>
          <w:bCs/>
        </w:rPr>
        <w:t>The Committee emphasizes the importance of all the recommendations contained in the present concluding observations. With regard to urgent measures that must be taken, the Committee would like to draw the State party’s attention to the recommendations contained in paragraph 12, on the shift from the medical model to the human rights model of disabilit</w:t>
      </w:r>
      <w:r w:rsidR="00A2064B" w:rsidRPr="00106D4D">
        <w:rPr>
          <w:b/>
          <w:bCs/>
        </w:rPr>
        <w:t>y;</w:t>
      </w:r>
      <w:r w:rsidRPr="00106D4D">
        <w:rPr>
          <w:b/>
          <w:bCs/>
        </w:rPr>
        <w:t xml:space="preserve"> in paragraph 38</w:t>
      </w:r>
      <w:r w:rsidR="00A2064B" w:rsidRPr="00106D4D">
        <w:rPr>
          <w:b/>
          <w:bCs/>
        </w:rPr>
        <w:t>,</w:t>
      </w:r>
      <w:r w:rsidRPr="00106D4D">
        <w:rPr>
          <w:b/>
          <w:bCs/>
        </w:rPr>
        <w:t xml:space="preserve"> on access to justice</w:t>
      </w:r>
      <w:r w:rsidR="00A2064B" w:rsidRPr="00106D4D">
        <w:rPr>
          <w:b/>
          <w:bCs/>
        </w:rPr>
        <w:t>;</w:t>
      </w:r>
      <w:r w:rsidRPr="00106D4D">
        <w:rPr>
          <w:b/>
          <w:bCs/>
        </w:rPr>
        <w:t xml:space="preserve"> and in paragraph 51</w:t>
      </w:r>
      <w:r w:rsidR="00A2064B" w:rsidRPr="00106D4D">
        <w:rPr>
          <w:b/>
          <w:bCs/>
        </w:rPr>
        <w:t>,</w:t>
      </w:r>
      <w:r w:rsidRPr="00106D4D">
        <w:rPr>
          <w:b/>
          <w:bCs/>
        </w:rPr>
        <w:t xml:space="preserve"> on living independently and being included in the community.</w:t>
      </w:r>
    </w:p>
    <w:p w14:paraId="5055E0E4" w14:textId="345AA47D" w:rsidR="00006BE2" w:rsidRPr="00106D4D" w:rsidRDefault="0079323D" w:rsidP="003C133C">
      <w:pPr>
        <w:pStyle w:val="SingleTxtG"/>
        <w:rPr>
          <w:b/>
        </w:rPr>
      </w:pPr>
      <w:r w:rsidRPr="0047472A">
        <w:rPr>
          <w:bCs/>
        </w:rPr>
        <w:t>7</w:t>
      </w:r>
      <w:r w:rsidR="00391043" w:rsidRPr="0047472A">
        <w:rPr>
          <w:bCs/>
        </w:rPr>
        <w:t>4</w:t>
      </w:r>
      <w:r w:rsidR="0087118F" w:rsidRPr="0047472A">
        <w:rPr>
          <w:bCs/>
        </w:rPr>
        <w:t>.</w:t>
      </w:r>
      <w:r w:rsidR="0087118F" w:rsidRPr="00106D4D">
        <w:rPr>
          <w:b/>
        </w:rPr>
        <w:tab/>
      </w:r>
      <w:r w:rsidR="0087118F" w:rsidRPr="00106D4D">
        <w:rPr>
          <w:b/>
          <w:bCs/>
        </w:rPr>
        <w:t xml:space="preserve">The </w:t>
      </w:r>
      <w:bookmarkEnd w:id="12"/>
      <w:r w:rsidR="0087118F" w:rsidRPr="00106D4D">
        <w:rPr>
          <w:b/>
          <w:bCs/>
        </w:rPr>
        <w:t xml:space="preserve">Committee requests the State party to implement the recommendations </w:t>
      </w:r>
      <w:r w:rsidR="00006BE2" w:rsidRPr="00106D4D">
        <w:rPr>
          <w:b/>
          <w:bCs/>
        </w:rPr>
        <w:t xml:space="preserve">contained in the present </w:t>
      </w:r>
      <w:r w:rsidR="0087118F" w:rsidRPr="00106D4D">
        <w:rPr>
          <w:b/>
          <w:bCs/>
        </w:rPr>
        <w:t xml:space="preserve">concluding observations. It recommends that the State party </w:t>
      </w:r>
      <w:r w:rsidR="00006BE2" w:rsidRPr="00106D4D">
        <w:rPr>
          <w:b/>
          <w:bCs/>
        </w:rPr>
        <w:t>transmit</w:t>
      </w:r>
      <w:r w:rsidR="0087118F" w:rsidRPr="00106D4D">
        <w:rPr>
          <w:b/>
          <w:bCs/>
        </w:rPr>
        <w:t xml:space="preserve"> the concluding observations for consideration and action to members of the Government and </w:t>
      </w:r>
      <w:r w:rsidR="00006BE2" w:rsidRPr="00106D4D">
        <w:rPr>
          <w:b/>
          <w:bCs/>
        </w:rPr>
        <w:t>parliament</w:t>
      </w:r>
      <w:r w:rsidR="0087118F" w:rsidRPr="00106D4D">
        <w:rPr>
          <w:b/>
          <w:bCs/>
        </w:rPr>
        <w:t xml:space="preserve">, officials in </w:t>
      </w:r>
      <w:r w:rsidR="00006BE2" w:rsidRPr="00106D4D">
        <w:rPr>
          <w:b/>
          <w:bCs/>
        </w:rPr>
        <w:t>relevant</w:t>
      </w:r>
      <w:r w:rsidR="0087118F" w:rsidRPr="00106D4D">
        <w:rPr>
          <w:b/>
          <w:bCs/>
        </w:rPr>
        <w:t xml:space="preserve"> ministries, </w:t>
      </w:r>
      <w:r w:rsidR="00006BE2" w:rsidRPr="00106D4D">
        <w:rPr>
          <w:b/>
          <w:bCs/>
        </w:rPr>
        <w:t xml:space="preserve">local authorities and </w:t>
      </w:r>
      <w:r w:rsidR="0087118F" w:rsidRPr="00106D4D">
        <w:rPr>
          <w:b/>
          <w:bCs/>
        </w:rPr>
        <w:t xml:space="preserve">members of </w:t>
      </w:r>
      <w:r w:rsidR="00006BE2" w:rsidRPr="00106D4D">
        <w:rPr>
          <w:b/>
          <w:bCs/>
        </w:rPr>
        <w:t>relevant professional groups, such as education, medical, judiciary and legal professionals, as well as media, using modern social communication strategies.</w:t>
      </w:r>
      <w:r w:rsidR="00006BE2" w:rsidRPr="00106D4D">
        <w:rPr>
          <w:b/>
        </w:rPr>
        <w:t xml:space="preserve"> </w:t>
      </w:r>
    </w:p>
    <w:p w14:paraId="58DD0695" w14:textId="5657F275" w:rsidR="0087118F" w:rsidRPr="00106D4D" w:rsidRDefault="0079323D" w:rsidP="003C133C">
      <w:pPr>
        <w:pStyle w:val="SingleTxtG"/>
        <w:rPr>
          <w:b/>
        </w:rPr>
      </w:pPr>
      <w:r w:rsidRPr="0047472A">
        <w:rPr>
          <w:bCs/>
        </w:rPr>
        <w:t>7</w:t>
      </w:r>
      <w:r w:rsidR="00391043" w:rsidRPr="0047472A">
        <w:rPr>
          <w:bCs/>
        </w:rPr>
        <w:t>5</w:t>
      </w:r>
      <w:r w:rsidR="0087118F" w:rsidRPr="0047472A">
        <w:rPr>
          <w:bCs/>
        </w:rPr>
        <w:t>.</w:t>
      </w:r>
      <w:r w:rsidR="0087118F" w:rsidRPr="00106D4D">
        <w:rPr>
          <w:b/>
        </w:rPr>
        <w:tab/>
      </w:r>
      <w:r w:rsidR="003C133C" w:rsidRPr="00106D4D">
        <w:rPr>
          <w:b/>
          <w:bCs/>
        </w:rPr>
        <w:t>The Committee strongly encourages the State party to involve civil society organizations, in particular organizations of persons with disabilities, in the preparation of its periodic report.</w:t>
      </w:r>
      <w:r w:rsidR="003C133C" w:rsidRPr="00106D4D">
        <w:rPr>
          <w:b/>
        </w:rPr>
        <w:t xml:space="preserve"> </w:t>
      </w:r>
    </w:p>
    <w:p w14:paraId="684B4F7C" w14:textId="35B8F501" w:rsidR="003C133C" w:rsidRPr="00106D4D" w:rsidRDefault="003C133C" w:rsidP="003C133C">
      <w:pPr>
        <w:pStyle w:val="SingleTxtG"/>
        <w:rPr>
          <w:b/>
          <w:bCs/>
        </w:rPr>
      </w:pPr>
      <w:r w:rsidRPr="0047472A">
        <w:t>7</w:t>
      </w:r>
      <w:r w:rsidR="00391043" w:rsidRPr="0047472A">
        <w:t>6</w:t>
      </w:r>
      <w:r w:rsidRPr="0047472A">
        <w:t>.</w:t>
      </w:r>
      <w:r w:rsidRPr="00106D4D">
        <w:rPr>
          <w:b/>
          <w:bCs/>
        </w:rPr>
        <w:tab/>
        <w:t>The Committee requests the State party to disseminate the present concluding observations widely, including to non-governmental organizations and organizations of persons with disabilities, and to persons with disabilities themselves and members of their families, in national and minority languages, including sign language, and in accessible formats, including Easy Read, and to make them available on the government website on human rights.</w:t>
      </w:r>
    </w:p>
    <w:p w14:paraId="1F39ECC4" w14:textId="063632E6" w:rsidR="0087118F" w:rsidRPr="00106D4D" w:rsidRDefault="0087118F" w:rsidP="0087118F">
      <w:pPr>
        <w:pStyle w:val="H23G"/>
      </w:pPr>
      <w:r w:rsidRPr="00106D4D">
        <w:tab/>
      </w:r>
      <w:r w:rsidRPr="00106D4D">
        <w:tab/>
        <w:t xml:space="preserve">Next </w:t>
      </w:r>
      <w:r w:rsidR="006F5EE7" w:rsidRPr="00106D4D">
        <w:t xml:space="preserve">periodic </w:t>
      </w:r>
      <w:r w:rsidRPr="00106D4D">
        <w:t>report</w:t>
      </w:r>
    </w:p>
    <w:p w14:paraId="0C298F23" w14:textId="052EED7B" w:rsidR="00320527" w:rsidRDefault="0079323D" w:rsidP="0087118F">
      <w:pPr>
        <w:pStyle w:val="SingleTxtG"/>
        <w:rPr>
          <w:b/>
          <w:bCs/>
        </w:rPr>
      </w:pPr>
      <w:r w:rsidRPr="0047472A">
        <w:rPr>
          <w:bCs/>
        </w:rPr>
        <w:t>7</w:t>
      </w:r>
      <w:r w:rsidR="00391043" w:rsidRPr="0047472A">
        <w:rPr>
          <w:bCs/>
        </w:rPr>
        <w:t>7</w:t>
      </w:r>
      <w:r w:rsidR="0087118F" w:rsidRPr="0047472A">
        <w:rPr>
          <w:bCs/>
        </w:rPr>
        <w:t>.</w:t>
      </w:r>
      <w:r w:rsidR="0087118F" w:rsidRPr="00106D4D">
        <w:rPr>
          <w:b/>
          <w:bCs/>
        </w:rPr>
        <w:tab/>
        <w:t xml:space="preserve">The Committee requests the State party to submit its combined </w:t>
      </w:r>
      <w:r w:rsidR="00320527" w:rsidRPr="00106D4D">
        <w:rPr>
          <w:b/>
          <w:bCs/>
        </w:rPr>
        <w:t>fourth</w:t>
      </w:r>
      <w:r w:rsidR="0087118F" w:rsidRPr="00106D4D">
        <w:rPr>
          <w:b/>
          <w:bCs/>
        </w:rPr>
        <w:t xml:space="preserve"> and</w:t>
      </w:r>
      <w:r w:rsidR="00320527" w:rsidRPr="00106D4D">
        <w:rPr>
          <w:b/>
          <w:bCs/>
        </w:rPr>
        <w:t xml:space="preserve"> fifth</w:t>
      </w:r>
      <w:r w:rsidR="0087118F" w:rsidRPr="00106D4D">
        <w:rPr>
          <w:b/>
          <w:bCs/>
        </w:rPr>
        <w:t xml:space="preserve"> periodic reports no later than </w:t>
      </w:r>
      <w:r w:rsidR="00320527" w:rsidRPr="00106D4D">
        <w:rPr>
          <w:b/>
          <w:bCs/>
        </w:rPr>
        <w:t xml:space="preserve">17 January 2028 </w:t>
      </w:r>
      <w:r w:rsidR="00083358" w:rsidRPr="00106D4D">
        <w:rPr>
          <w:b/>
          <w:bCs/>
        </w:rPr>
        <w:t>and</w:t>
      </w:r>
      <w:r w:rsidR="0063043A" w:rsidRPr="00106D4D">
        <w:rPr>
          <w:b/>
          <w:bCs/>
        </w:rPr>
        <w:t xml:space="preserve"> </w:t>
      </w:r>
      <w:r w:rsidR="00320527" w:rsidRPr="00106D4D">
        <w:rPr>
          <w:b/>
          <w:bCs/>
        </w:rPr>
        <w:t>to include therein information on the implementation of the recommendations made in the present concluding observations</w:t>
      </w:r>
      <w:r w:rsidR="0087118F" w:rsidRPr="00106D4D">
        <w:t xml:space="preserve">. </w:t>
      </w:r>
      <w:r w:rsidR="00320527" w:rsidRPr="00106D4D">
        <w:rPr>
          <w:b/>
          <w:bCs/>
        </w:rPr>
        <w:t xml:space="preserve">The Committee also </w:t>
      </w:r>
      <w:r w:rsidR="00BC67D7">
        <w:rPr>
          <w:b/>
          <w:bCs/>
        </w:rPr>
        <w:t>invites</w:t>
      </w:r>
      <w:r w:rsidR="00BC67D7" w:rsidRPr="00106D4D">
        <w:rPr>
          <w:b/>
          <w:bCs/>
        </w:rPr>
        <w:t xml:space="preserve"> </w:t>
      </w:r>
      <w:r w:rsidR="00320527" w:rsidRPr="00106D4D">
        <w:rPr>
          <w:b/>
          <w:bCs/>
        </w:rPr>
        <w:t>the State party to consider submitting the above-mentioned report</w:t>
      </w:r>
      <w:r w:rsidR="00BF04E7" w:rsidRPr="00106D4D">
        <w:rPr>
          <w:b/>
          <w:bCs/>
        </w:rPr>
        <w:t>s</w:t>
      </w:r>
      <w:r w:rsidR="00B77FCD" w:rsidRPr="00106D4D">
        <w:rPr>
          <w:b/>
          <w:bCs/>
        </w:rPr>
        <w:t xml:space="preserve"> </w:t>
      </w:r>
      <w:r w:rsidR="00320527" w:rsidRPr="00106D4D">
        <w:rPr>
          <w:b/>
          <w:bCs/>
        </w:rPr>
        <w:t>under the Committee’s simplified reporting procedure, according to which the Committee prepares a list of issues at least one year prior to the due date set for the report of a State party. The replies of a State party to such a list of issues constitute its report.</w:t>
      </w:r>
    </w:p>
    <w:p w14:paraId="298300C7" w14:textId="7F2F3CC5" w:rsidR="00012EF6" w:rsidRPr="00012EF6" w:rsidRDefault="00012EF6" w:rsidP="00012EF6">
      <w:pPr>
        <w:pStyle w:val="SingleTxtG"/>
        <w:spacing w:before="240" w:after="0"/>
        <w:jc w:val="center"/>
        <w:rPr>
          <w:u w:val="single"/>
        </w:rPr>
      </w:pPr>
      <w:r>
        <w:rPr>
          <w:u w:val="single"/>
        </w:rPr>
        <w:tab/>
      </w:r>
      <w:r>
        <w:rPr>
          <w:u w:val="single"/>
        </w:rPr>
        <w:tab/>
      </w:r>
      <w:r>
        <w:rPr>
          <w:u w:val="single"/>
        </w:rPr>
        <w:tab/>
      </w:r>
      <w:r>
        <w:rPr>
          <w:u w:val="single"/>
        </w:rPr>
        <w:tab/>
      </w:r>
    </w:p>
    <w:sectPr w:rsidR="00012EF6" w:rsidRPr="00012EF6"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9B6B8" w14:textId="77777777" w:rsidR="008208BC" w:rsidRPr="00317DC1" w:rsidRDefault="008208BC" w:rsidP="00317DC1">
      <w:pPr>
        <w:pStyle w:val="Footer"/>
      </w:pPr>
    </w:p>
  </w:endnote>
  <w:endnote w:type="continuationSeparator" w:id="0">
    <w:p w14:paraId="2BA6A36B" w14:textId="77777777" w:rsidR="008208BC" w:rsidRPr="00317DC1" w:rsidRDefault="008208BC"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NewRomanPSMT">
    <w:altName w:val="MS Goth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A624E" w14:textId="4BC60EBB" w:rsidR="004572A9" w:rsidRDefault="004572A9" w:rsidP="00EC449C">
    <w:pPr>
      <w:pStyle w:val="Footer"/>
      <w:tabs>
        <w:tab w:val="right" w:pos="9638"/>
      </w:tabs>
    </w:pPr>
    <w:r w:rsidRPr="00EC449C">
      <w:rPr>
        <w:b/>
        <w:bCs/>
        <w:sz w:val="18"/>
      </w:rPr>
      <w:fldChar w:fldCharType="begin"/>
    </w:r>
    <w:r w:rsidRPr="00EC449C">
      <w:rPr>
        <w:b/>
        <w:bCs/>
        <w:sz w:val="18"/>
      </w:rPr>
      <w:instrText xml:space="preserve"> PAGE  \* MERGEFORMAT </w:instrText>
    </w:r>
    <w:r w:rsidRPr="00EC449C">
      <w:rPr>
        <w:b/>
        <w:bCs/>
        <w:sz w:val="18"/>
      </w:rPr>
      <w:fldChar w:fldCharType="separate"/>
    </w:r>
    <w:r w:rsidR="00BC67D7">
      <w:rPr>
        <w:b/>
        <w:bCs/>
        <w:noProof/>
        <w:sz w:val="18"/>
      </w:rPr>
      <w:t>12</w:t>
    </w:r>
    <w:r w:rsidRPr="00EC449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14DDD" w14:textId="243A8CC8" w:rsidR="004572A9" w:rsidRDefault="004572A9" w:rsidP="00EC449C">
    <w:pPr>
      <w:pStyle w:val="Footer"/>
      <w:tabs>
        <w:tab w:val="right" w:pos="9638"/>
      </w:tabs>
    </w:pPr>
    <w:r>
      <w:tab/>
    </w:r>
    <w:r w:rsidRPr="00EC449C">
      <w:rPr>
        <w:b/>
        <w:bCs/>
        <w:sz w:val="18"/>
      </w:rPr>
      <w:fldChar w:fldCharType="begin"/>
    </w:r>
    <w:r w:rsidRPr="00EC449C">
      <w:rPr>
        <w:b/>
        <w:bCs/>
        <w:sz w:val="18"/>
      </w:rPr>
      <w:instrText xml:space="preserve"> PAGE  \* MERGEFORMAT </w:instrText>
    </w:r>
    <w:r w:rsidRPr="00EC449C">
      <w:rPr>
        <w:b/>
        <w:bCs/>
        <w:sz w:val="18"/>
      </w:rPr>
      <w:fldChar w:fldCharType="separate"/>
    </w:r>
    <w:r w:rsidR="00BC67D7">
      <w:rPr>
        <w:b/>
        <w:bCs/>
        <w:noProof/>
        <w:sz w:val="18"/>
      </w:rPr>
      <w:t>9</w:t>
    </w:r>
    <w:r w:rsidRPr="00EC449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55869" w14:textId="19AFE3B8" w:rsidR="007525CD" w:rsidRPr="007525CD" w:rsidRDefault="007525CD" w:rsidP="007525CD">
    <w:pPr>
      <w:suppressAutoHyphens w:val="0"/>
      <w:spacing w:before="120" w:line="240" w:lineRule="auto"/>
    </w:pPr>
    <w:r w:rsidRPr="0027112F">
      <w:rPr>
        <w:noProof/>
        <w:lang w:val="en-US"/>
      </w:rPr>
      <w:drawing>
        <wp:anchor distT="0" distB="0" distL="114300" distR="114300" simplePos="0" relativeHeight="251659264" behindDoc="0" locked="1" layoutInCell="1" allowOverlap="1" wp14:anchorId="304BF809" wp14:editId="6D7734D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t>GE.22-05807(E)</w:t>
    </w:r>
    <w:r>
      <w:rPr>
        <w:noProof/>
      </w:rPr>
      <w:drawing>
        <wp:anchor distT="0" distB="0" distL="114300" distR="114300" simplePos="0" relativeHeight="251660288" behindDoc="0" locked="0" layoutInCell="1" allowOverlap="1" wp14:anchorId="2899A96A" wp14:editId="200171CA">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22162" w14:textId="77777777" w:rsidR="008208BC" w:rsidRPr="00317DC1" w:rsidRDefault="008208BC" w:rsidP="00317DC1">
      <w:pPr>
        <w:tabs>
          <w:tab w:val="right" w:pos="2155"/>
        </w:tabs>
        <w:spacing w:after="80" w:line="240" w:lineRule="auto"/>
        <w:ind w:left="680"/>
      </w:pPr>
      <w:r>
        <w:rPr>
          <w:u w:val="single"/>
        </w:rPr>
        <w:tab/>
      </w:r>
    </w:p>
  </w:footnote>
  <w:footnote w:type="continuationSeparator" w:id="0">
    <w:p w14:paraId="31688CC9" w14:textId="77777777" w:rsidR="008208BC" w:rsidRPr="00317DC1" w:rsidRDefault="008208BC" w:rsidP="00317DC1">
      <w:pPr>
        <w:tabs>
          <w:tab w:val="right" w:pos="2155"/>
        </w:tabs>
        <w:spacing w:after="80" w:line="240" w:lineRule="auto"/>
        <w:ind w:left="680"/>
      </w:pPr>
      <w:r>
        <w:rPr>
          <w:u w:val="single"/>
        </w:rPr>
        <w:tab/>
      </w:r>
    </w:p>
  </w:footnote>
  <w:footnote w:id="1">
    <w:p w14:paraId="73B774C2" w14:textId="644C2E68" w:rsidR="00012EF6" w:rsidRDefault="00012EF6" w:rsidP="00012EF6">
      <w:pPr>
        <w:pStyle w:val="FootnoteText"/>
      </w:pPr>
      <w:r w:rsidRPr="00FB3B03">
        <w:rPr>
          <w:rStyle w:val="FootnoteReference"/>
          <w:szCs w:val="18"/>
        </w:rPr>
        <w:tab/>
      </w:r>
      <w:r w:rsidRPr="0047472A">
        <w:rPr>
          <w:rStyle w:val="FootnoteReference"/>
          <w:szCs w:val="18"/>
          <w:vertAlign w:val="baseline"/>
        </w:rPr>
        <w:t>*</w:t>
      </w:r>
      <w:r w:rsidRPr="00FB3B03">
        <w:rPr>
          <w:szCs w:val="18"/>
        </w:rPr>
        <w:tab/>
      </w:r>
      <w:r>
        <w:rPr>
          <w:szCs w:val="18"/>
        </w:rPr>
        <w:t>Adopted by the Committee at its twenty-sixth session (7</w:t>
      </w:r>
      <w:r w:rsidR="006F4ACB">
        <w:rPr>
          <w:szCs w:val="18"/>
        </w:rPr>
        <w:t>–</w:t>
      </w:r>
      <w:r>
        <w:rPr>
          <w:szCs w:val="18"/>
        </w:rPr>
        <w:t>25 March 2022)</w:t>
      </w:r>
      <w:r w:rsidRPr="00FB3B03">
        <w:rPr>
          <w:szCs w:val="18"/>
        </w:rPr>
        <w:t>.</w:t>
      </w:r>
      <w:r>
        <w:rPr>
          <w:szCs w:val="18"/>
        </w:rPr>
        <w:t xml:space="preserve"> </w:t>
      </w:r>
    </w:p>
  </w:footnote>
  <w:footnote w:id="2">
    <w:p w14:paraId="5BB02C56" w14:textId="3D166811" w:rsidR="00204C0C" w:rsidRPr="0047472A" w:rsidRDefault="00204C0C">
      <w:pPr>
        <w:pStyle w:val="FootnoteText"/>
        <w:rPr>
          <w:lang w:val="en-US"/>
        </w:rPr>
      </w:pPr>
      <w:r>
        <w:tab/>
      </w:r>
      <w:r>
        <w:rPr>
          <w:rStyle w:val="FootnoteReference"/>
        </w:rPr>
        <w:footnoteRef/>
      </w:r>
      <w:r>
        <w:tab/>
      </w:r>
      <w:r w:rsidRPr="00A875F0">
        <w:rPr>
          <w:rFonts w:eastAsia="Malgun Gothic"/>
          <w:color w:val="000000" w:themeColor="text1"/>
        </w:rPr>
        <w:t>CRPD/C/MEX/2-3</w:t>
      </w:r>
      <w:r>
        <w:rPr>
          <w:rFonts w:eastAsia="Malgun Gothic"/>
          <w:color w:val="000000" w:themeColor="text1"/>
        </w:rPr>
        <w:t>.</w:t>
      </w:r>
      <w:r>
        <w:t xml:space="preserve"> </w:t>
      </w:r>
    </w:p>
  </w:footnote>
  <w:footnote w:id="3">
    <w:p w14:paraId="311AABBD" w14:textId="38C39CA7" w:rsidR="004E2DEF" w:rsidRPr="0047472A" w:rsidRDefault="004E2DEF">
      <w:pPr>
        <w:pStyle w:val="FootnoteText"/>
        <w:rPr>
          <w:lang w:val="en-US"/>
        </w:rPr>
      </w:pPr>
      <w:r>
        <w:tab/>
      </w:r>
      <w:r>
        <w:rPr>
          <w:rStyle w:val="FootnoteReference"/>
        </w:rPr>
        <w:footnoteRef/>
      </w:r>
      <w:r>
        <w:tab/>
        <w:t>S</w:t>
      </w:r>
      <w:r>
        <w:rPr>
          <w:rFonts w:eastAsia="Malgun Gothic"/>
          <w:color w:val="000000" w:themeColor="text1"/>
        </w:rPr>
        <w:t>ee CRPD/C/SR.570, 572 and 574</w:t>
      </w:r>
      <w:r w:rsidR="008E0435">
        <w:rPr>
          <w:rFonts w:eastAsia="Malgun Gothic"/>
          <w:color w:val="000000" w:themeColor="text1"/>
        </w:rPr>
        <w:t>.</w:t>
      </w:r>
      <w:r>
        <w:t xml:space="preserve"> </w:t>
      </w:r>
    </w:p>
  </w:footnote>
  <w:footnote w:id="4">
    <w:p w14:paraId="7B50AD5E" w14:textId="16E7A3A0" w:rsidR="008E0435" w:rsidRPr="0047472A" w:rsidRDefault="008E0435">
      <w:pPr>
        <w:pStyle w:val="FootnoteText"/>
        <w:rPr>
          <w:lang w:val="en-US"/>
        </w:rPr>
      </w:pPr>
      <w:r>
        <w:tab/>
      </w:r>
      <w:r>
        <w:rPr>
          <w:rStyle w:val="FootnoteReference"/>
        </w:rPr>
        <w:footnoteRef/>
      </w:r>
      <w:r>
        <w:tab/>
      </w:r>
      <w:r w:rsidRPr="00E46FD0">
        <w:t>CRPD/C/MEX/</w:t>
      </w:r>
      <w:r>
        <w:t>R</w:t>
      </w:r>
      <w:r w:rsidRPr="00E46FD0">
        <w:t>Q/</w:t>
      </w:r>
      <w:r>
        <w:t xml:space="preserve">2-3. </w:t>
      </w:r>
    </w:p>
  </w:footnote>
  <w:footnote w:id="5">
    <w:p w14:paraId="69BB93F3" w14:textId="6B8B5543" w:rsidR="008E0435" w:rsidRPr="0047472A" w:rsidRDefault="008E0435">
      <w:pPr>
        <w:pStyle w:val="FootnoteText"/>
        <w:rPr>
          <w:lang w:val="en-US"/>
        </w:rPr>
      </w:pPr>
      <w:r>
        <w:tab/>
      </w:r>
      <w:r>
        <w:rPr>
          <w:rStyle w:val="FootnoteReference"/>
        </w:rPr>
        <w:footnoteRef/>
      </w:r>
      <w:r>
        <w:tab/>
      </w:r>
      <w:r w:rsidRPr="00AF59C4">
        <w:t>CRPD/C/MEX/Q/2-3</w:t>
      </w:r>
      <w:r>
        <w:t xml:space="preserve">. </w:t>
      </w:r>
    </w:p>
  </w:footnote>
  <w:footnote w:id="6">
    <w:p w14:paraId="3D219F1B" w14:textId="426BBA83" w:rsidR="00B35065" w:rsidRPr="0047472A" w:rsidRDefault="00B35065">
      <w:pPr>
        <w:pStyle w:val="FootnoteText"/>
        <w:rPr>
          <w:lang w:val="en-US"/>
        </w:rPr>
      </w:pPr>
      <w:r>
        <w:tab/>
      </w:r>
      <w:r>
        <w:rPr>
          <w:rStyle w:val="FootnoteReference"/>
        </w:rPr>
        <w:footnoteRef/>
      </w:r>
      <w:r>
        <w:tab/>
        <w:t xml:space="preserve">CRPD/C/MEX/CO/1. </w:t>
      </w:r>
    </w:p>
  </w:footnote>
  <w:footnote w:id="7">
    <w:p w14:paraId="604F9621" w14:textId="1B0762F5" w:rsidR="00F14272" w:rsidRPr="0047472A" w:rsidRDefault="00F14272">
      <w:pPr>
        <w:pStyle w:val="FootnoteText"/>
        <w:rPr>
          <w:lang w:val="en-US"/>
        </w:rPr>
      </w:pPr>
      <w:r>
        <w:tab/>
      </w:r>
      <w:r>
        <w:rPr>
          <w:rStyle w:val="FootnoteReference"/>
        </w:rPr>
        <w:footnoteRef/>
      </w:r>
      <w:r>
        <w:tab/>
        <w:t xml:space="preserve">See </w:t>
      </w:r>
      <w:r w:rsidRPr="00F14272">
        <w:t xml:space="preserve">the Committee’s decision in the case of Arturo Medina Vela </w:t>
      </w:r>
      <w:r w:rsidR="001723EF">
        <w:t>(</w:t>
      </w:r>
      <w:r w:rsidRPr="00F14272">
        <w:t>CRPD/C/22/D/32/2015</w:t>
      </w:r>
      <w:r w:rsidR="001723EF">
        <w:t>).</w:t>
      </w:r>
    </w:p>
  </w:footnote>
  <w:footnote w:id="8">
    <w:p w14:paraId="43AFEF96" w14:textId="78099269" w:rsidR="0061388A" w:rsidRPr="0047472A" w:rsidRDefault="0061388A">
      <w:pPr>
        <w:pStyle w:val="FootnoteText"/>
        <w:rPr>
          <w:lang w:val="en-US"/>
        </w:rPr>
      </w:pPr>
      <w:r>
        <w:tab/>
      </w:r>
      <w:r>
        <w:rPr>
          <w:rStyle w:val="FootnoteReference"/>
        </w:rPr>
        <w:footnoteRef/>
      </w:r>
      <w:r w:rsidRPr="0047472A">
        <w:rPr>
          <w:lang w:val="es-CO"/>
        </w:rPr>
        <w:tab/>
        <w:t xml:space="preserve">CRC/C/MEX/CO/4-5, para. </w:t>
      </w:r>
      <w:r w:rsidRPr="0047472A">
        <w:t>40.</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D2A92" w14:textId="4A7B567D" w:rsidR="004572A9" w:rsidRDefault="00EF6A06" w:rsidP="00EC449C">
    <w:pPr>
      <w:pStyle w:val="Header"/>
    </w:pPr>
    <w:r>
      <w:t>CRPD/C/MEX</w:t>
    </w:r>
    <w:r w:rsidR="004572A9">
      <w:t>/CO/</w:t>
    </w:r>
    <w:r>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F77EC" w14:textId="7E76AC6F" w:rsidR="004572A9" w:rsidRDefault="004572A9" w:rsidP="00EC449C">
    <w:pPr>
      <w:pStyle w:val="Header"/>
      <w:jc w:val="right"/>
    </w:pPr>
    <w:r>
      <w:t>CRPD/C/</w:t>
    </w:r>
    <w:r w:rsidR="00EF6A06">
      <w:t>MEX</w:t>
    </w:r>
    <w:r>
      <w:t>/CO/</w:t>
    </w:r>
    <w:r w:rsidR="00EF6A06">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5E08E1"/>
    <w:multiLevelType w:val="multilevel"/>
    <w:tmpl w:val="B1A0C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724503"/>
    <w:multiLevelType w:val="multilevel"/>
    <w:tmpl w:val="6D2A4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637B14"/>
    <w:multiLevelType w:val="hybridMultilevel"/>
    <w:tmpl w:val="8CBA5110"/>
    <w:lvl w:ilvl="0" w:tplc="05FA808A">
      <w:start w:val="20"/>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317D491F"/>
    <w:multiLevelType w:val="hybridMultilevel"/>
    <w:tmpl w:val="2A8A47FA"/>
    <w:lvl w:ilvl="0" w:tplc="56765368">
      <w:start w:val="1"/>
      <w:numFmt w:val="bullet"/>
      <w:lvlText w:val="-"/>
      <w:lvlJc w:val="left"/>
      <w:pPr>
        <w:ind w:left="2214" w:hanging="360"/>
      </w:pPr>
      <w:rPr>
        <w:rFonts w:ascii="Times New Roman" w:eastAsia="Times New Roman" w:hAnsi="Times New Roman" w:cs="Times New Roman"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A54B62"/>
    <w:multiLevelType w:val="hybridMultilevel"/>
    <w:tmpl w:val="75AA9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1E61D6"/>
    <w:multiLevelType w:val="hybridMultilevel"/>
    <w:tmpl w:val="5170A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044CFD"/>
    <w:multiLevelType w:val="multilevel"/>
    <w:tmpl w:val="80ACB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3F80C9D"/>
    <w:multiLevelType w:val="hybridMultilevel"/>
    <w:tmpl w:val="12F45892"/>
    <w:lvl w:ilvl="0" w:tplc="5A025E02">
      <w:start w:val="1"/>
      <w:numFmt w:val="decimal"/>
      <w:lvlText w:val="%1."/>
      <w:lvlJc w:val="left"/>
      <w:pPr>
        <w:ind w:left="1778" w:hanging="360"/>
      </w:pPr>
      <w:rPr>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595D13EB"/>
    <w:multiLevelType w:val="hybridMultilevel"/>
    <w:tmpl w:val="295C2E2A"/>
    <w:lvl w:ilvl="0" w:tplc="D5D84AE8">
      <w:start w:val="6"/>
      <w:numFmt w:val="bullet"/>
      <w:lvlText w:val="-"/>
      <w:lvlJc w:val="left"/>
      <w:pPr>
        <w:ind w:left="1539" w:hanging="360"/>
      </w:pPr>
      <w:rPr>
        <w:rFonts w:ascii="Times New Roman" w:eastAsia="SimSun" w:hAnsi="Times New Roman" w:cs="Times New Roman" w:hint="default"/>
      </w:rPr>
    </w:lvl>
    <w:lvl w:ilvl="1" w:tplc="08090003" w:tentative="1">
      <w:start w:val="1"/>
      <w:numFmt w:val="bullet"/>
      <w:lvlText w:val="o"/>
      <w:lvlJc w:val="left"/>
      <w:pPr>
        <w:ind w:left="2259" w:hanging="360"/>
      </w:pPr>
      <w:rPr>
        <w:rFonts w:ascii="Courier New" w:hAnsi="Courier New" w:cs="Courier New" w:hint="default"/>
      </w:rPr>
    </w:lvl>
    <w:lvl w:ilvl="2" w:tplc="08090005" w:tentative="1">
      <w:start w:val="1"/>
      <w:numFmt w:val="bullet"/>
      <w:lvlText w:val=""/>
      <w:lvlJc w:val="left"/>
      <w:pPr>
        <w:ind w:left="2979" w:hanging="360"/>
      </w:pPr>
      <w:rPr>
        <w:rFonts w:ascii="Wingdings" w:hAnsi="Wingdings" w:hint="default"/>
      </w:rPr>
    </w:lvl>
    <w:lvl w:ilvl="3" w:tplc="08090001" w:tentative="1">
      <w:start w:val="1"/>
      <w:numFmt w:val="bullet"/>
      <w:lvlText w:val=""/>
      <w:lvlJc w:val="left"/>
      <w:pPr>
        <w:ind w:left="3699" w:hanging="360"/>
      </w:pPr>
      <w:rPr>
        <w:rFonts w:ascii="Symbol" w:hAnsi="Symbol" w:hint="default"/>
      </w:rPr>
    </w:lvl>
    <w:lvl w:ilvl="4" w:tplc="08090003" w:tentative="1">
      <w:start w:val="1"/>
      <w:numFmt w:val="bullet"/>
      <w:lvlText w:val="o"/>
      <w:lvlJc w:val="left"/>
      <w:pPr>
        <w:ind w:left="4419" w:hanging="360"/>
      </w:pPr>
      <w:rPr>
        <w:rFonts w:ascii="Courier New" w:hAnsi="Courier New" w:cs="Courier New" w:hint="default"/>
      </w:rPr>
    </w:lvl>
    <w:lvl w:ilvl="5" w:tplc="08090005" w:tentative="1">
      <w:start w:val="1"/>
      <w:numFmt w:val="bullet"/>
      <w:lvlText w:val=""/>
      <w:lvlJc w:val="left"/>
      <w:pPr>
        <w:ind w:left="5139" w:hanging="360"/>
      </w:pPr>
      <w:rPr>
        <w:rFonts w:ascii="Wingdings" w:hAnsi="Wingdings" w:hint="default"/>
      </w:rPr>
    </w:lvl>
    <w:lvl w:ilvl="6" w:tplc="08090001" w:tentative="1">
      <w:start w:val="1"/>
      <w:numFmt w:val="bullet"/>
      <w:lvlText w:val=""/>
      <w:lvlJc w:val="left"/>
      <w:pPr>
        <w:ind w:left="5859" w:hanging="360"/>
      </w:pPr>
      <w:rPr>
        <w:rFonts w:ascii="Symbol" w:hAnsi="Symbol" w:hint="default"/>
      </w:rPr>
    </w:lvl>
    <w:lvl w:ilvl="7" w:tplc="08090003" w:tentative="1">
      <w:start w:val="1"/>
      <w:numFmt w:val="bullet"/>
      <w:lvlText w:val="o"/>
      <w:lvlJc w:val="left"/>
      <w:pPr>
        <w:ind w:left="6579" w:hanging="360"/>
      </w:pPr>
      <w:rPr>
        <w:rFonts w:ascii="Courier New" w:hAnsi="Courier New" w:cs="Courier New" w:hint="default"/>
      </w:rPr>
    </w:lvl>
    <w:lvl w:ilvl="8" w:tplc="08090005" w:tentative="1">
      <w:start w:val="1"/>
      <w:numFmt w:val="bullet"/>
      <w:lvlText w:val=""/>
      <w:lvlJc w:val="left"/>
      <w:pPr>
        <w:ind w:left="7299" w:hanging="360"/>
      </w:pPr>
      <w:rPr>
        <w:rFonts w:ascii="Wingdings" w:hAnsi="Wingdings" w:hint="default"/>
      </w:rPr>
    </w:lvl>
  </w:abstractNum>
  <w:abstractNum w:abstractNumId="13" w15:restartNumberingAfterBreak="0">
    <w:nsid w:val="5C15684C"/>
    <w:multiLevelType w:val="hybridMultilevel"/>
    <w:tmpl w:val="3F6C75DE"/>
    <w:lvl w:ilvl="0" w:tplc="80FE321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5C2CA9"/>
    <w:multiLevelType w:val="hybridMultilevel"/>
    <w:tmpl w:val="EEA01410"/>
    <w:lvl w:ilvl="0" w:tplc="4C26D38A">
      <w:start w:val="7"/>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5FC97929"/>
    <w:multiLevelType w:val="hybridMultilevel"/>
    <w:tmpl w:val="12F45892"/>
    <w:lvl w:ilvl="0" w:tplc="5A025E02">
      <w:start w:val="1"/>
      <w:numFmt w:val="decimal"/>
      <w:lvlText w:val="%1."/>
      <w:lvlJc w:val="left"/>
      <w:pPr>
        <w:ind w:left="1778" w:hanging="360"/>
      </w:pPr>
      <w:rPr>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E9170F8"/>
    <w:multiLevelType w:val="hybridMultilevel"/>
    <w:tmpl w:val="EC3A0946"/>
    <w:lvl w:ilvl="0" w:tplc="480A345A">
      <w:start w:val="2"/>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4"/>
  </w:num>
  <w:num w:numId="3">
    <w:abstractNumId w:val="0"/>
  </w:num>
  <w:num w:numId="4">
    <w:abstractNumId w:val="14"/>
  </w:num>
  <w:num w:numId="5">
    <w:abstractNumId w:val="17"/>
  </w:num>
  <w:num w:numId="6">
    <w:abstractNumId w:val="19"/>
  </w:num>
  <w:num w:numId="7">
    <w:abstractNumId w:val="3"/>
  </w:num>
  <w:num w:numId="8">
    <w:abstractNumId w:val="11"/>
  </w:num>
  <w:num w:numId="9">
    <w:abstractNumId w:val="6"/>
  </w:num>
  <w:num w:numId="10">
    <w:abstractNumId w:val="18"/>
  </w:num>
  <w:num w:numId="11">
    <w:abstractNumId w:val="5"/>
  </w:num>
  <w:num w:numId="12">
    <w:abstractNumId w:val="16"/>
  </w:num>
  <w:num w:numId="13">
    <w:abstractNumId w:val="12"/>
  </w:num>
  <w:num w:numId="14">
    <w:abstractNumId w:val="15"/>
  </w:num>
  <w:num w:numId="15">
    <w:abstractNumId w:val="8"/>
  </w:num>
  <w:num w:numId="16">
    <w:abstractNumId w:val="9"/>
  </w:num>
  <w:num w:numId="17">
    <w:abstractNumId w:val="13"/>
  </w:num>
  <w:num w:numId="18">
    <w:abstractNumId w:val="10"/>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cumentProtection w:edit="trackedChanges" w:enforcement="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CB8"/>
    <w:rsid w:val="0000119D"/>
    <w:rsid w:val="00001DDE"/>
    <w:rsid w:val="0000424E"/>
    <w:rsid w:val="00006BE2"/>
    <w:rsid w:val="00007385"/>
    <w:rsid w:val="000112E5"/>
    <w:rsid w:val="00012EF6"/>
    <w:rsid w:val="00013BE9"/>
    <w:rsid w:val="00014209"/>
    <w:rsid w:val="0001659B"/>
    <w:rsid w:val="000172B3"/>
    <w:rsid w:val="000277C1"/>
    <w:rsid w:val="000278FB"/>
    <w:rsid w:val="00027EBD"/>
    <w:rsid w:val="0003066C"/>
    <w:rsid w:val="000306AF"/>
    <w:rsid w:val="000307DF"/>
    <w:rsid w:val="0003120B"/>
    <w:rsid w:val="00034F92"/>
    <w:rsid w:val="000358F3"/>
    <w:rsid w:val="00045C78"/>
    <w:rsid w:val="00046E92"/>
    <w:rsid w:val="00050EFA"/>
    <w:rsid w:val="00054818"/>
    <w:rsid w:val="0006180E"/>
    <w:rsid w:val="00063CBC"/>
    <w:rsid w:val="0006696E"/>
    <w:rsid w:val="000706FE"/>
    <w:rsid w:val="00071BDA"/>
    <w:rsid w:val="00073C97"/>
    <w:rsid w:val="00075A2B"/>
    <w:rsid w:val="0007690D"/>
    <w:rsid w:val="0008185C"/>
    <w:rsid w:val="00082491"/>
    <w:rsid w:val="00083358"/>
    <w:rsid w:val="00083AC1"/>
    <w:rsid w:val="00084B17"/>
    <w:rsid w:val="00090464"/>
    <w:rsid w:val="00091440"/>
    <w:rsid w:val="00095DB1"/>
    <w:rsid w:val="000A1242"/>
    <w:rsid w:val="000A346D"/>
    <w:rsid w:val="000A3720"/>
    <w:rsid w:val="000A4013"/>
    <w:rsid w:val="000A61CC"/>
    <w:rsid w:val="000B2BD6"/>
    <w:rsid w:val="000B3872"/>
    <w:rsid w:val="000B3A35"/>
    <w:rsid w:val="000B4A56"/>
    <w:rsid w:val="000B5817"/>
    <w:rsid w:val="000C1178"/>
    <w:rsid w:val="000C3137"/>
    <w:rsid w:val="000C3C68"/>
    <w:rsid w:val="000C6545"/>
    <w:rsid w:val="000C7D22"/>
    <w:rsid w:val="000D1D4E"/>
    <w:rsid w:val="000D36F4"/>
    <w:rsid w:val="000D5F6F"/>
    <w:rsid w:val="000D6129"/>
    <w:rsid w:val="000D6F28"/>
    <w:rsid w:val="000F1EFD"/>
    <w:rsid w:val="00100C03"/>
    <w:rsid w:val="0010296A"/>
    <w:rsid w:val="00103A59"/>
    <w:rsid w:val="00106206"/>
    <w:rsid w:val="00106D4D"/>
    <w:rsid w:val="00107A9E"/>
    <w:rsid w:val="00107E63"/>
    <w:rsid w:val="0011090C"/>
    <w:rsid w:val="001168EC"/>
    <w:rsid w:val="00116B1F"/>
    <w:rsid w:val="001232C2"/>
    <w:rsid w:val="001244C1"/>
    <w:rsid w:val="00127511"/>
    <w:rsid w:val="001364E0"/>
    <w:rsid w:val="001374C2"/>
    <w:rsid w:val="001419BA"/>
    <w:rsid w:val="00141F8C"/>
    <w:rsid w:val="001448ED"/>
    <w:rsid w:val="00147F26"/>
    <w:rsid w:val="001506AC"/>
    <w:rsid w:val="00150D86"/>
    <w:rsid w:val="001510CC"/>
    <w:rsid w:val="001512F1"/>
    <w:rsid w:val="00152E07"/>
    <w:rsid w:val="001534CF"/>
    <w:rsid w:val="001559EF"/>
    <w:rsid w:val="00155FDA"/>
    <w:rsid w:val="00156CBA"/>
    <w:rsid w:val="00157742"/>
    <w:rsid w:val="001613D6"/>
    <w:rsid w:val="00162B7E"/>
    <w:rsid w:val="001639AE"/>
    <w:rsid w:val="00164479"/>
    <w:rsid w:val="00164B28"/>
    <w:rsid w:val="001723EF"/>
    <w:rsid w:val="00173778"/>
    <w:rsid w:val="00173AB5"/>
    <w:rsid w:val="00175B03"/>
    <w:rsid w:val="001779C0"/>
    <w:rsid w:val="0018340B"/>
    <w:rsid w:val="001870CB"/>
    <w:rsid w:val="0018742D"/>
    <w:rsid w:val="00187EA9"/>
    <w:rsid w:val="001940D7"/>
    <w:rsid w:val="00194A6B"/>
    <w:rsid w:val="001952AF"/>
    <w:rsid w:val="001A0893"/>
    <w:rsid w:val="001A0B5E"/>
    <w:rsid w:val="001A3CE8"/>
    <w:rsid w:val="001A7445"/>
    <w:rsid w:val="001A7AFD"/>
    <w:rsid w:val="001A7DEF"/>
    <w:rsid w:val="001B0CC2"/>
    <w:rsid w:val="001B3856"/>
    <w:rsid w:val="001C223A"/>
    <w:rsid w:val="001C2240"/>
    <w:rsid w:val="001C286F"/>
    <w:rsid w:val="001C546C"/>
    <w:rsid w:val="001C6162"/>
    <w:rsid w:val="001C68B2"/>
    <w:rsid w:val="001C6CE7"/>
    <w:rsid w:val="001C70E3"/>
    <w:rsid w:val="001C736C"/>
    <w:rsid w:val="001D1156"/>
    <w:rsid w:val="001D1D9B"/>
    <w:rsid w:val="001D303B"/>
    <w:rsid w:val="001D33A5"/>
    <w:rsid w:val="001D35DE"/>
    <w:rsid w:val="001D7083"/>
    <w:rsid w:val="001D7336"/>
    <w:rsid w:val="001D79A1"/>
    <w:rsid w:val="001E0D50"/>
    <w:rsid w:val="001E1503"/>
    <w:rsid w:val="001E16C2"/>
    <w:rsid w:val="001E1F5D"/>
    <w:rsid w:val="001E3C9A"/>
    <w:rsid w:val="001E4A09"/>
    <w:rsid w:val="001E73B2"/>
    <w:rsid w:val="001F1681"/>
    <w:rsid w:val="001F1CDB"/>
    <w:rsid w:val="001F1FC1"/>
    <w:rsid w:val="001F436F"/>
    <w:rsid w:val="001F5433"/>
    <w:rsid w:val="001F5F71"/>
    <w:rsid w:val="001F74BF"/>
    <w:rsid w:val="001F7FBC"/>
    <w:rsid w:val="002008EC"/>
    <w:rsid w:val="00202B48"/>
    <w:rsid w:val="002036C9"/>
    <w:rsid w:val="00203926"/>
    <w:rsid w:val="00204497"/>
    <w:rsid w:val="00204C0C"/>
    <w:rsid w:val="00206FA5"/>
    <w:rsid w:val="00212F4F"/>
    <w:rsid w:val="00213E15"/>
    <w:rsid w:val="0021501F"/>
    <w:rsid w:val="002227E2"/>
    <w:rsid w:val="0022677D"/>
    <w:rsid w:val="00231D9D"/>
    <w:rsid w:val="002335C4"/>
    <w:rsid w:val="00236D38"/>
    <w:rsid w:val="002378C5"/>
    <w:rsid w:val="00237AF1"/>
    <w:rsid w:val="00245F9E"/>
    <w:rsid w:val="002479A9"/>
    <w:rsid w:val="00247E2C"/>
    <w:rsid w:val="00250C01"/>
    <w:rsid w:val="002516C3"/>
    <w:rsid w:val="0025391C"/>
    <w:rsid w:val="002552C2"/>
    <w:rsid w:val="00255D88"/>
    <w:rsid w:val="00256CE6"/>
    <w:rsid w:val="0025753B"/>
    <w:rsid w:val="002718DC"/>
    <w:rsid w:val="00272CD7"/>
    <w:rsid w:val="00273A99"/>
    <w:rsid w:val="00277B5E"/>
    <w:rsid w:val="00281B98"/>
    <w:rsid w:val="00282BCB"/>
    <w:rsid w:val="00287259"/>
    <w:rsid w:val="002879A5"/>
    <w:rsid w:val="00291161"/>
    <w:rsid w:val="00291F0C"/>
    <w:rsid w:val="00293637"/>
    <w:rsid w:val="00296F70"/>
    <w:rsid w:val="002A0501"/>
    <w:rsid w:val="002A24DC"/>
    <w:rsid w:val="002A387E"/>
    <w:rsid w:val="002A50D4"/>
    <w:rsid w:val="002A6013"/>
    <w:rsid w:val="002A723C"/>
    <w:rsid w:val="002B0F09"/>
    <w:rsid w:val="002B36EA"/>
    <w:rsid w:val="002B3BB6"/>
    <w:rsid w:val="002B4141"/>
    <w:rsid w:val="002B782D"/>
    <w:rsid w:val="002C02A2"/>
    <w:rsid w:val="002C2C5F"/>
    <w:rsid w:val="002C5219"/>
    <w:rsid w:val="002D11F2"/>
    <w:rsid w:val="002D404F"/>
    <w:rsid w:val="002D6C53"/>
    <w:rsid w:val="002E0032"/>
    <w:rsid w:val="002E2328"/>
    <w:rsid w:val="002E4976"/>
    <w:rsid w:val="002F0E96"/>
    <w:rsid w:val="002F1A50"/>
    <w:rsid w:val="002F5595"/>
    <w:rsid w:val="002F7F13"/>
    <w:rsid w:val="00300747"/>
    <w:rsid w:val="00302CA6"/>
    <w:rsid w:val="00303765"/>
    <w:rsid w:val="00303DC0"/>
    <w:rsid w:val="003044CC"/>
    <w:rsid w:val="00313820"/>
    <w:rsid w:val="0031660F"/>
    <w:rsid w:val="00317DC1"/>
    <w:rsid w:val="00320527"/>
    <w:rsid w:val="003214E7"/>
    <w:rsid w:val="00325504"/>
    <w:rsid w:val="0032676A"/>
    <w:rsid w:val="00327524"/>
    <w:rsid w:val="003307FB"/>
    <w:rsid w:val="00332DF7"/>
    <w:rsid w:val="00333F9D"/>
    <w:rsid w:val="00334F6A"/>
    <w:rsid w:val="00342AC8"/>
    <w:rsid w:val="00342B54"/>
    <w:rsid w:val="00342E87"/>
    <w:rsid w:val="00346D57"/>
    <w:rsid w:val="00355359"/>
    <w:rsid w:val="00357186"/>
    <w:rsid w:val="00366194"/>
    <w:rsid w:val="00370305"/>
    <w:rsid w:val="00371AA4"/>
    <w:rsid w:val="00371C59"/>
    <w:rsid w:val="00375C8C"/>
    <w:rsid w:val="003770C8"/>
    <w:rsid w:val="0037784C"/>
    <w:rsid w:val="00377E04"/>
    <w:rsid w:val="0038302B"/>
    <w:rsid w:val="00386761"/>
    <w:rsid w:val="00386F00"/>
    <w:rsid w:val="00391043"/>
    <w:rsid w:val="00396564"/>
    <w:rsid w:val="003A2077"/>
    <w:rsid w:val="003A2483"/>
    <w:rsid w:val="003A3C20"/>
    <w:rsid w:val="003A6909"/>
    <w:rsid w:val="003B10D0"/>
    <w:rsid w:val="003B1827"/>
    <w:rsid w:val="003B1D99"/>
    <w:rsid w:val="003B3956"/>
    <w:rsid w:val="003B4550"/>
    <w:rsid w:val="003B7800"/>
    <w:rsid w:val="003C133C"/>
    <w:rsid w:val="003C21B4"/>
    <w:rsid w:val="003C38FC"/>
    <w:rsid w:val="003C7368"/>
    <w:rsid w:val="003C7A7F"/>
    <w:rsid w:val="003D0BD3"/>
    <w:rsid w:val="003D38B0"/>
    <w:rsid w:val="003D7903"/>
    <w:rsid w:val="003E23BF"/>
    <w:rsid w:val="003E3264"/>
    <w:rsid w:val="003E4AD5"/>
    <w:rsid w:val="003E6B41"/>
    <w:rsid w:val="003F1533"/>
    <w:rsid w:val="003F39DF"/>
    <w:rsid w:val="003F42FA"/>
    <w:rsid w:val="003F5233"/>
    <w:rsid w:val="004003A4"/>
    <w:rsid w:val="004043D2"/>
    <w:rsid w:val="00407B53"/>
    <w:rsid w:val="00410272"/>
    <w:rsid w:val="00413559"/>
    <w:rsid w:val="004164D9"/>
    <w:rsid w:val="0041661E"/>
    <w:rsid w:val="00417A52"/>
    <w:rsid w:val="00423681"/>
    <w:rsid w:val="00426F08"/>
    <w:rsid w:val="00427AF7"/>
    <w:rsid w:val="00432A23"/>
    <w:rsid w:val="00436612"/>
    <w:rsid w:val="00444787"/>
    <w:rsid w:val="0044616E"/>
    <w:rsid w:val="004548F3"/>
    <w:rsid w:val="004572A9"/>
    <w:rsid w:val="00461253"/>
    <w:rsid w:val="0046519C"/>
    <w:rsid w:val="00465984"/>
    <w:rsid w:val="00472BD2"/>
    <w:rsid w:val="0047472A"/>
    <w:rsid w:val="004751BF"/>
    <w:rsid w:val="004754A1"/>
    <w:rsid w:val="00475CEE"/>
    <w:rsid w:val="00477F21"/>
    <w:rsid w:val="0048038F"/>
    <w:rsid w:val="004826DF"/>
    <w:rsid w:val="00485818"/>
    <w:rsid w:val="00485C8F"/>
    <w:rsid w:val="00486FD6"/>
    <w:rsid w:val="00494139"/>
    <w:rsid w:val="00495C73"/>
    <w:rsid w:val="004A1DC4"/>
    <w:rsid w:val="004A314B"/>
    <w:rsid w:val="004A4EA6"/>
    <w:rsid w:val="004A4F7A"/>
    <w:rsid w:val="004A6F04"/>
    <w:rsid w:val="004A7F97"/>
    <w:rsid w:val="004B307E"/>
    <w:rsid w:val="004B4BAE"/>
    <w:rsid w:val="004B4CD5"/>
    <w:rsid w:val="004B5CD2"/>
    <w:rsid w:val="004C1EAE"/>
    <w:rsid w:val="004C4FFC"/>
    <w:rsid w:val="004C68B0"/>
    <w:rsid w:val="004D578C"/>
    <w:rsid w:val="004D6353"/>
    <w:rsid w:val="004D7F12"/>
    <w:rsid w:val="004E2DEF"/>
    <w:rsid w:val="004E571D"/>
    <w:rsid w:val="004E5731"/>
    <w:rsid w:val="004E753D"/>
    <w:rsid w:val="004F1402"/>
    <w:rsid w:val="004F35E3"/>
    <w:rsid w:val="004F40C1"/>
    <w:rsid w:val="004F4F72"/>
    <w:rsid w:val="0050007B"/>
    <w:rsid w:val="0050069A"/>
    <w:rsid w:val="00501D98"/>
    <w:rsid w:val="005042C2"/>
    <w:rsid w:val="005056CB"/>
    <w:rsid w:val="0050590C"/>
    <w:rsid w:val="00506415"/>
    <w:rsid w:val="00511065"/>
    <w:rsid w:val="005121E2"/>
    <w:rsid w:val="00513125"/>
    <w:rsid w:val="00515671"/>
    <w:rsid w:val="0051765A"/>
    <w:rsid w:val="00524BCA"/>
    <w:rsid w:val="0052795F"/>
    <w:rsid w:val="00530F14"/>
    <w:rsid w:val="0053162D"/>
    <w:rsid w:val="00532343"/>
    <w:rsid w:val="005336C1"/>
    <w:rsid w:val="005340AA"/>
    <w:rsid w:val="00534A92"/>
    <w:rsid w:val="00535926"/>
    <w:rsid w:val="00535FFA"/>
    <w:rsid w:val="00536889"/>
    <w:rsid w:val="00540D9C"/>
    <w:rsid w:val="00542BB7"/>
    <w:rsid w:val="005434FB"/>
    <w:rsid w:val="0054549D"/>
    <w:rsid w:val="00545D5C"/>
    <w:rsid w:val="00553A9C"/>
    <w:rsid w:val="00554973"/>
    <w:rsid w:val="005552E3"/>
    <w:rsid w:val="00556ACA"/>
    <w:rsid w:val="00561BA4"/>
    <w:rsid w:val="00561CE6"/>
    <w:rsid w:val="00563273"/>
    <w:rsid w:val="00565117"/>
    <w:rsid w:val="00567C2D"/>
    <w:rsid w:val="005700B8"/>
    <w:rsid w:val="00571863"/>
    <w:rsid w:val="0057307D"/>
    <w:rsid w:val="0057412D"/>
    <w:rsid w:val="00574BC1"/>
    <w:rsid w:val="0058094B"/>
    <w:rsid w:val="005840EB"/>
    <w:rsid w:val="0058667F"/>
    <w:rsid w:val="00587082"/>
    <w:rsid w:val="005901D4"/>
    <w:rsid w:val="0059058D"/>
    <w:rsid w:val="0059338E"/>
    <w:rsid w:val="005946C7"/>
    <w:rsid w:val="005A035D"/>
    <w:rsid w:val="005A0B27"/>
    <w:rsid w:val="005A12CF"/>
    <w:rsid w:val="005A3B0B"/>
    <w:rsid w:val="005A51FE"/>
    <w:rsid w:val="005B1147"/>
    <w:rsid w:val="005B1AF8"/>
    <w:rsid w:val="005B1C33"/>
    <w:rsid w:val="005B4BC6"/>
    <w:rsid w:val="005B5E72"/>
    <w:rsid w:val="005B702E"/>
    <w:rsid w:val="005C1FBB"/>
    <w:rsid w:val="005C6229"/>
    <w:rsid w:val="005D134D"/>
    <w:rsid w:val="005E08DF"/>
    <w:rsid w:val="005E1F5F"/>
    <w:rsid w:val="005E378E"/>
    <w:rsid w:val="005E5DD1"/>
    <w:rsid w:val="005F0425"/>
    <w:rsid w:val="005F0817"/>
    <w:rsid w:val="005F2727"/>
    <w:rsid w:val="005F3B43"/>
    <w:rsid w:val="005F5000"/>
    <w:rsid w:val="005F6F3A"/>
    <w:rsid w:val="005F7CF6"/>
    <w:rsid w:val="005F7E4A"/>
    <w:rsid w:val="00601583"/>
    <w:rsid w:val="006054C4"/>
    <w:rsid w:val="00606627"/>
    <w:rsid w:val="0061072F"/>
    <w:rsid w:val="006107F9"/>
    <w:rsid w:val="00610A52"/>
    <w:rsid w:val="00613577"/>
    <w:rsid w:val="0061388A"/>
    <w:rsid w:val="00616E5F"/>
    <w:rsid w:val="00621480"/>
    <w:rsid w:val="0062220E"/>
    <w:rsid w:val="00623DDE"/>
    <w:rsid w:val="006256DD"/>
    <w:rsid w:val="00625BBA"/>
    <w:rsid w:val="00625E47"/>
    <w:rsid w:val="0063043A"/>
    <w:rsid w:val="00632488"/>
    <w:rsid w:val="00654E1C"/>
    <w:rsid w:val="00656956"/>
    <w:rsid w:val="00656F52"/>
    <w:rsid w:val="00657498"/>
    <w:rsid w:val="00657547"/>
    <w:rsid w:val="0066012A"/>
    <w:rsid w:val="006633F7"/>
    <w:rsid w:val="00663437"/>
    <w:rsid w:val="006637B9"/>
    <w:rsid w:val="0066549E"/>
    <w:rsid w:val="00670E33"/>
    <w:rsid w:val="006711F4"/>
    <w:rsid w:val="00671529"/>
    <w:rsid w:val="00671696"/>
    <w:rsid w:val="0067255F"/>
    <w:rsid w:val="0068051B"/>
    <w:rsid w:val="006828C9"/>
    <w:rsid w:val="006832B6"/>
    <w:rsid w:val="00683546"/>
    <w:rsid w:val="00686224"/>
    <w:rsid w:val="0069082F"/>
    <w:rsid w:val="00691B30"/>
    <w:rsid w:val="006931FD"/>
    <w:rsid w:val="00694533"/>
    <w:rsid w:val="00695067"/>
    <w:rsid w:val="006A14EA"/>
    <w:rsid w:val="006A683F"/>
    <w:rsid w:val="006A7266"/>
    <w:rsid w:val="006A7BC0"/>
    <w:rsid w:val="006A7C14"/>
    <w:rsid w:val="006B422A"/>
    <w:rsid w:val="006B42B0"/>
    <w:rsid w:val="006B4B71"/>
    <w:rsid w:val="006B5B02"/>
    <w:rsid w:val="006B66E5"/>
    <w:rsid w:val="006B6980"/>
    <w:rsid w:val="006B6B23"/>
    <w:rsid w:val="006C2478"/>
    <w:rsid w:val="006C2491"/>
    <w:rsid w:val="006C276C"/>
    <w:rsid w:val="006C4F8C"/>
    <w:rsid w:val="006C502E"/>
    <w:rsid w:val="006D1216"/>
    <w:rsid w:val="006E25B5"/>
    <w:rsid w:val="006E4390"/>
    <w:rsid w:val="006E5229"/>
    <w:rsid w:val="006E58BC"/>
    <w:rsid w:val="006E7691"/>
    <w:rsid w:val="006F4ACB"/>
    <w:rsid w:val="006F509C"/>
    <w:rsid w:val="006F5EE7"/>
    <w:rsid w:val="006F6222"/>
    <w:rsid w:val="006F7ECB"/>
    <w:rsid w:val="0070077F"/>
    <w:rsid w:val="00702999"/>
    <w:rsid w:val="00711DC3"/>
    <w:rsid w:val="00713FE3"/>
    <w:rsid w:val="00714002"/>
    <w:rsid w:val="00714A27"/>
    <w:rsid w:val="007159BF"/>
    <w:rsid w:val="007204F6"/>
    <w:rsid w:val="00723B0F"/>
    <w:rsid w:val="007268F9"/>
    <w:rsid w:val="00731F03"/>
    <w:rsid w:val="007405B4"/>
    <w:rsid w:val="007432B6"/>
    <w:rsid w:val="00745C29"/>
    <w:rsid w:val="007464C8"/>
    <w:rsid w:val="00747E0C"/>
    <w:rsid w:val="00747FF6"/>
    <w:rsid w:val="007525CD"/>
    <w:rsid w:val="0075397D"/>
    <w:rsid w:val="00753E8C"/>
    <w:rsid w:val="0076028C"/>
    <w:rsid w:val="00763AF6"/>
    <w:rsid w:val="00763B91"/>
    <w:rsid w:val="00766ED4"/>
    <w:rsid w:val="0076783E"/>
    <w:rsid w:val="0077131D"/>
    <w:rsid w:val="00773EE7"/>
    <w:rsid w:val="00775976"/>
    <w:rsid w:val="0077769D"/>
    <w:rsid w:val="007848F5"/>
    <w:rsid w:val="00784B28"/>
    <w:rsid w:val="007852C4"/>
    <w:rsid w:val="00786D88"/>
    <w:rsid w:val="00787FC2"/>
    <w:rsid w:val="00787FDC"/>
    <w:rsid w:val="00791527"/>
    <w:rsid w:val="0079323D"/>
    <w:rsid w:val="007933DB"/>
    <w:rsid w:val="00793B81"/>
    <w:rsid w:val="0079606B"/>
    <w:rsid w:val="007A036A"/>
    <w:rsid w:val="007A13C8"/>
    <w:rsid w:val="007A1732"/>
    <w:rsid w:val="007A2D89"/>
    <w:rsid w:val="007A31F7"/>
    <w:rsid w:val="007A4778"/>
    <w:rsid w:val="007A5207"/>
    <w:rsid w:val="007A52DA"/>
    <w:rsid w:val="007A7516"/>
    <w:rsid w:val="007A7DBE"/>
    <w:rsid w:val="007B07D6"/>
    <w:rsid w:val="007C19D6"/>
    <w:rsid w:val="007C311C"/>
    <w:rsid w:val="007C52B0"/>
    <w:rsid w:val="007C55CC"/>
    <w:rsid w:val="007D215A"/>
    <w:rsid w:val="007D435F"/>
    <w:rsid w:val="007D6820"/>
    <w:rsid w:val="007E0099"/>
    <w:rsid w:val="007E1527"/>
    <w:rsid w:val="007E18CE"/>
    <w:rsid w:val="007E2593"/>
    <w:rsid w:val="007E5C2A"/>
    <w:rsid w:val="007E682D"/>
    <w:rsid w:val="007F01CF"/>
    <w:rsid w:val="007F0F16"/>
    <w:rsid w:val="007F10A0"/>
    <w:rsid w:val="007F1927"/>
    <w:rsid w:val="007F302D"/>
    <w:rsid w:val="007F4453"/>
    <w:rsid w:val="007F5B11"/>
    <w:rsid w:val="007F7F22"/>
    <w:rsid w:val="00807425"/>
    <w:rsid w:val="00810E1E"/>
    <w:rsid w:val="00815E88"/>
    <w:rsid w:val="008208BC"/>
    <w:rsid w:val="00820D7E"/>
    <w:rsid w:val="00826136"/>
    <w:rsid w:val="00826B52"/>
    <w:rsid w:val="008321D3"/>
    <w:rsid w:val="008323A8"/>
    <w:rsid w:val="008323B3"/>
    <w:rsid w:val="00833AB5"/>
    <w:rsid w:val="008346CE"/>
    <w:rsid w:val="00836871"/>
    <w:rsid w:val="0084097D"/>
    <w:rsid w:val="008409A8"/>
    <w:rsid w:val="00840A96"/>
    <w:rsid w:val="0084160A"/>
    <w:rsid w:val="00843727"/>
    <w:rsid w:val="00845FD1"/>
    <w:rsid w:val="00846FA9"/>
    <w:rsid w:val="00851718"/>
    <w:rsid w:val="00853489"/>
    <w:rsid w:val="00856513"/>
    <w:rsid w:val="008567ED"/>
    <w:rsid w:val="0086105F"/>
    <w:rsid w:val="00861D55"/>
    <w:rsid w:val="00864E08"/>
    <w:rsid w:val="0087118F"/>
    <w:rsid w:val="00873ACF"/>
    <w:rsid w:val="008751B9"/>
    <w:rsid w:val="00875895"/>
    <w:rsid w:val="00881E07"/>
    <w:rsid w:val="0089197D"/>
    <w:rsid w:val="00891EF7"/>
    <w:rsid w:val="00893861"/>
    <w:rsid w:val="00893C1D"/>
    <w:rsid w:val="00895FA2"/>
    <w:rsid w:val="00896635"/>
    <w:rsid w:val="00896FCC"/>
    <w:rsid w:val="00897CE0"/>
    <w:rsid w:val="00897CE4"/>
    <w:rsid w:val="008A0A38"/>
    <w:rsid w:val="008A1CAA"/>
    <w:rsid w:val="008A2671"/>
    <w:rsid w:val="008A57CD"/>
    <w:rsid w:val="008A7959"/>
    <w:rsid w:val="008B0E98"/>
    <w:rsid w:val="008B1CEC"/>
    <w:rsid w:val="008B239B"/>
    <w:rsid w:val="008B4CB8"/>
    <w:rsid w:val="008B5F23"/>
    <w:rsid w:val="008B7188"/>
    <w:rsid w:val="008B79B5"/>
    <w:rsid w:val="008C1AC0"/>
    <w:rsid w:val="008C22BA"/>
    <w:rsid w:val="008C32D7"/>
    <w:rsid w:val="008E0435"/>
    <w:rsid w:val="008E24E3"/>
    <w:rsid w:val="008E25FC"/>
    <w:rsid w:val="008E271B"/>
    <w:rsid w:val="008E2F30"/>
    <w:rsid w:val="008E59AB"/>
    <w:rsid w:val="008E6C48"/>
    <w:rsid w:val="008F083F"/>
    <w:rsid w:val="008F3845"/>
    <w:rsid w:val="008F3859"/>
    <w:rsid w:val="009017CD"/>
    <w:rsid w:val="009067E1"/>
    <w:rsid w:val="00906D97"/>
    <w:rsid w:val="00907908"/>
    <w:rsid w:val="00910D2D"/>
    <w:rsid w:val="00911085"/>
    <w:rsid w:val="0091174F"/>
    <w:rsid w:val="0091496E"/>
    <w:rsid w:val="009160DC"/>
    <w:rsid w:val="00922087"/>
    <w:rsid w:val="00926DD0"/>
    <w:rsid w:val="009338DE"/>
    <w:rsid w:val="009356BB"/>
    <w:rsid w:val="009411B4"/>
    <w:rsid w:val="00941C92"/>
    <w:rsid w:val="00942128"/>
    <w:rsid w:val="00942B2D"/>
    <w:rsid w:val="00943104"/>
    <w:rsid w:val="00944BD5"/>
    <w:rsid w:val="00957348"/>
    <w:rsid w:val="0096035C"/>
    <w:rsid w:val="00963DEE"/>
    <w:rsid w:val="009653C7"/>
    <w:rsid w:val="00965D79"/>
    <w:rsid w:val="00967C6A"/>
    <w:rsid w:val="00970A4B"/>
    <w:rsid w:val="00972095"/>
    <w:rsid w:val="00972F4A"/>
    <w:rsid w:val="009756A3"/>
    <w:rsid w:val="00982782"/>
    <w:rsid w:val="00983212"/>
    <w:rsid w:val="00984CFB"/>
    <w:rsid w:val="009856AA"/>
    <w:rsid w:val="00990D4E"/>
    <w:rsid w:val="00991D6A"/>
    <w:rsid w:val="0099290E"/>
    <w:rsid w:val="009954C1"/>
    <w:rsid w:val="009A1452"/>
    <w:rsid w:val="009A2BB6"/>
    <w:rsid w:val="009A3758"/>
    <w:rsid w:val="009B71EF"/>
    <w:rsid w:val="009C0CEE"/>
    <w:rsid w:val="009C0FAC"/>
    <w:rsid w:val="009C12E8"/>
    <w:rsid w:val="009C6130"/>
    <w:rsid w:val="009C7535"/>
    <w:rsid w:val="009C7FE4"/>
    <w:rsid w:val="009D0139"/>
    <w:rsid w:val="009D63C1"/>
    <w:rsid w:val="009E0900"/>
    <w:rsid w:val="009E15A4"/>
    <w:rsid w:val="009E1DEB"/>
    <w:rsid w:val="009E3023"/>
    <w:rsid w:val="009E5D05"/>
    <w:rsid w:val="009E70FB"/>
    <w:rsid w:val="009F4D0D"/>
    <w:rsid w:val="009F5CDC"/>
    <w:rsid w:val="009F5DA5"/>
    <w:rsid w:val="009F5EE5"/>
    <w:rsid w:val="009F78C0"/>
    <w:rsid w:val="009F7C1C"/>
    <w:rsid w:val="009F7E3A"/>
    <w:rsid w:val="00A00933"/>
    <w:rsid w:val="00A01B94"/>
    <w:rsid w:val="00A06F5A"/>
    <w:rsid w:val="00A07D38"/>
    <w:rsid w:val="00A16000"/>
    <w:rsid w:val="00A16549"/>
    <w:rsid w:val="00A2064B"/>
    <w:rsid w:val="00A221DD"/>
    <w:rsid w:val="00A23A5C"/>
    <w:rsid w:val="00A24D3D"/>
    <w:rsid w:val="00A27E0D"/>
    <w:rsid w:val="00A27F04"/>
    <w:rsid w:val="00A3244B"/>
    <w:rsid w:val="00A32D0C"/>
    <w:rsid w:val="00A36467"/>
    <w:rsid w:val="00A369D1"/>
    <w:rsid w:val="00A37BE5"/>
    <w:rsid w:val="00A5451B"/>
    <w:rsid w:val="00A61EAB"/>
    <w:rsid w:val="00A62528"/>
    <w:rsid w:val="00A64452"/>
    <w:rsid w:val="00A7093F"/>
    <w:rsid w:val="00A71E1B"/>
    <w:rsid w:val="00A775CF"/>
    <w:rsid w:val="00A7773B"/>
    <w:rsid w:val="00A77DAB"/>
    <w:rsid w:val="00A80BFD"/>
    <w:rsid w:val="00A81831"/>
    <w:rsid w:val="00A82C15"/>
    <w:rsid w:val="00A84E6D"/>
    <w:rsid w:val="00A86E98"/>
    <w:rsid w:val="00A87415"/>
    <w:rsid w:val="00A875F0"/>
    <w:rsid w:val="00A91427"/>
    <w:rsid w:val="00A92A6C"/>
    <w:rsid w:val="00A93101"/>
    <w:rsid w:val="00A952FF"/>
    <w:rsid w:val="00AA2AD6"/>
    <w:rsid w:val="00AA2E52"/>
    <w:rsid w:val="00AA7E2E"/>
    <w:rsid w:val="00AB0149"/>
    <w:rsid w:val="00AB09B9"/>
    <w:rsid w:val="00AB778F"/>
    <w:rsid w:val="00AC0025"/>
    <w:rsid w:val="00AC2FD9"/>
    <w:rsid w:val="00AC3E8A"/>
    <w:rsid w:val="00AC64EC"/>
    <w:rsid w:val="00AC7321"/>
    <w:rsid w:val="00AD2B19"/>
    <w:rsid w:val="00AD5BB3"/>
    <w:rsid w:val="00AD5F78"/>
    <w:rsid w:val="00AE0DE0"/>
    <w:rsid w:val="00AE3844"/>
    <w:rsid w:val="00AE3EA0"/>
    <w:rsid w:val="00AF55D0"/>
    <w:rsid w:val="00AF59C4"/>
    <w:rsid w:val="00B023C0"/>
    <w:rsid w:val="00B037B6"/>
    <w:rsid w:val="00B043A2"/>
    <w:rsid w:val="00B04E1B"/>
    <w:rsid w:val="00B05D9B"/>
    <w:rsid w:val="00B06045"/>
    <w:rsid w:val="00B10028"/>
    <w:rsid w:val="00B17044"/>
    <w:rsid w:val="00B21D15"/>
    <w:rsid w:val="00B22DC1"/>
    <w:rsid w:val="00B23C35"/>
    <w:rsid w:val="00B23F40"/>
    <w:rsid w:val="00B24D6E"/>
    <w:rsid w:val="00B258C6"/>
    <w:rsid w:val="00B27C26"/>
    <w:rsid w:val="00B31892"/>
    <w:rsid w:val="00B35065"/>
    <w:rsid w:val="00B36FAB"/>
    <w:rsid w:val="00B40955"/>
    <w:rsid w:val="00B4172C"/>
    <w:rsid w:val="00B421EC"/>
    <w:rsid w:val="00B453FA"/>
    <w:rsid w:val="00B47B7F"/>
    <w:rsid w:val="00B50D68"/>
    <w:rsid w:val="00B51950"/>
    <w:rsid w:val="00B52412"/>
    <w:rsid w:val="00B54BCD"/>
    <w:rsid w:val="00B565A3"/>
    <w:rsid w:val="00B57F9F"/>
    <w:rsid w:val="00B624EF"/>
    <w:rsid w:val="00B634A6"/>
    <w:rsid w:val="00B65E83"/>
    <w:rsid w:val="00B66268"/>
    <w:rsid w:val="00B67B3D"/>
    <w:rsid w:val="00B72E73"/>
    <w:rsid w:val="00B745FF"/>
    <w:rsid w:val="00B76820"/>
    <w:rsid w:val="00B76873"/>
    <w:rsid w:val="00B77FCD"/>
    <w:rsid w:val="00B80ED4"/>
    <w:rsid w:val="00B828AB"/>
    <w:rsid w:val="00B85301"/>
    <w:rsid w:val="00B86566"/>
    <w:rsid w:val="00B92C4A"/>
    <w:rsid w:val="00B941E6"/>
    <w:rsid w:val="00B9445B"/>
    <w:rsid w:val="00B945A7"/>
    <w:rsid w:val="00B9559A"/>
    <w:rsid w:val="00B9644F"/>
    <w:rsid w:val="00B96E43"/>
    <w:rsid w:val="00BA0B27"/>
    <w:rsid w:val="00BA1A5A"/>
    <w:rsid w:val="00BA3318"/>
    <w:rsid w:val="00BA6300"/>
    <w:rsid w:val="00BA6C47"/>
    <w:rsid w:val="00BA7224"/>
    <w:rsid w:val="00BA7F32"/>
    <w:rsid w:val="00BB33C5"/>
    <w:rsid w:val="00BB45FB"/>
    <w:rsid w:val="00BC13B4"/>
    <w:rsid w:val="00BC16D1"/>
    <w:rsid w:val="00BC302D"/>
    <w:rsid w:val="00BC3E6C"/>
    <w:rsid w:val="00BC67D7"/>
    <w:rsid w:val="00BC7B18"/>
    <w:rsid w:val="00BD4115"/>
    <w:rsid w:val="00BD5368"/>
    <w:rsid w:val="00BE0549"/>
    <w:rsid w:val="00BE0FB8"/>
    <w:rsid w:val="00BE22A2"/>
    <w:rsid w:val="00BE3B1A"/>
    <w:rsid w:val="00BE43F7"/>
    <w:rsid w:val="00BE594F"/>
    <w:rsid w:val="00BF04E7"/>
    <w:rsid w:val="00BF0833"/>
    <w:rsid w:val="00BF1FA2"/>
    <w:rsid w:val="00BF241B"/>
    <w:rsid w:val="00BF3089"/>
    <w:rsid w:val="00BF3944"/>
    <w:rsid w:val="00BF442F"/>
    <w:rsid w:val="00BF69CC"/>
    <w:rsid w:val="00C02B08"/>
    <w:rsid w:val="00C04019"/>
    <w:rsid w:val="00C23422"/>
    <w:rsid w:val="00C23462"/>
    <w:rsid w:val="00C24214"/>
    <w:rsid w:val="00C277DA"/>
    <w:rsid w:val="00C3026D"/>
    <w:rsid w:val="00C3264E"/>
    <w:rsid w:val="00C32B50"/>
    <w:rsid w:val="00C35A27"/>
    <w:rsid w:val="00C36BF7"/>
    <w:rsid w:val="00C36D6B"/>
    <w:rsid w:val="00C37404"/>
    <w:rsid w:val="00C408AB"/>
    <w:rsid w:val="00C40915"/>
    <w:rsid w:val="00C410B6"/>
    <w:rsid w:val="00C41165"/>
    <w:rsid w:val="00C41183"/>
    <w:rsid w:val="00C5338C"/>
    <w:rsid w:val="00C55DEA"/>
    <w:rsid w:val="00C569A7"/>
    <w:rsid w:val="00C57950"/>
    <w:rsid w:val="00C62A06"/>
    <w:rsid w:val="00C64A79"/>
    <w:rsid w:val="00C66B15"/>
    <w:rsid w:val="00C66B43"/>
    <w:rsid w:val="00C67D47"/>
    <w:rsid w:val="00C72993"/>
    <w:rsid w:val="00C759F8"/>
    <w:rsid w:val="00C81900"/>
    <w:rsid w:val="00C873A3"/>
    <w:rsid w:val="00C9007B"/>
    <w:rsid w:val="00C912B1"/>
    <w:rsid w:val="00C97E65"/>
    <w:rsid w:val="00CA084C"/>
    <w:rsid w:val="00CA2F63"/>
    <w:rsid w:val="00CA561B"/>
    <w:rsid w:val="00CA59BB"/>
    <w:rsid w:val="00CA6256"/>
    <w:rsid w:val="00CA6B35"/>
    <w:rsid w:val="00CB0259"/>
    <w:rsid w:val="00CB1966"/>
    <w:rsid w:val="00CB2FB7"/>
    <w:rsid w:val="00CB556B"/>
    <w:rsid w:val="00CB7D68"/>
    <w:rsid w:val="00CC04D0"/>
    <w:rsid w:val="00CC3AB5"/>
    <w:rsid w:val="00CD0E6B"/>
    <w:rsid w:val="00CD1D1D"/>
    <w:rsid w:val="00CD2D02"/>
    <w:rsid w:val="00CD362E"/>
    <w:rsid w:val="00CD395E"/>
    <w:rsid w:val="00CD6153"/>
    <w:rsid w:val="00CE57E5"/>
    <w:rsid w:val="00CE6B2C"/>
    <w:rsid w:val="00CF3813"/>
    <w:rsid w:val="00CF51D9"/>
    <w:rsid w:val="00CF59A9"/>
    <w:rsid w:val="00CF6190"/>
    <w:rsid w:val="00D05DD1"/>
    <w:rsid w:val="00D05E16"/>
    <w:rsid w:val="00D10EF8"/>
    <w:rsid w:val="00D11A06"/>
    <w:rsid w:val="00D133BC"/>
    <w:rsid w:val="00D146BD"/>
    <w:rsid w:val="00D15A90"/>
    <w:rsid w:val="00D22F83"/>
    <w:rsid w:val="00D27B6C"/>
    <w:rsid w:val="00D31217"/>
    <w:rsid w:val="00D31C0F"/>
    <w:rsid w:val="00D331FD"/>
    <w:rsid w:val="00D339DE"/>
    <w:rsid w:val="00D3661F"/>
    <w:rsid w:val="00D379A3"/>
    <w:rsid w:val="00D37AA1"/>
    <w:rsid w:val="00D501D5"/>
    <w:rsid w:val="00D54824"/>
    <w:rsid w:val="00D57BD7"/>
    <w:rsid w:val="00D616C7"/>
    <w:rsid w:val="00D672DD"/>
    <w:rsid w:val="00D712FF"/>
    <w:rsid w:val="00D74912"/>
    <w:rsid w:val="00D7538D"/>
    <w:rsid w:val="00D75496"/>
    <w:rsid w:val="00D76E69"/>
    <w:rsid w:val="00D772A5"/>
    <w:rsid w:val="00D8273F"/>
    <w:rsid w:val="00D82773"/>
    <w:rsid w:val="00D84093"/>
    <w:rsid w:val="00D84FDA"/>
    <w:rsid w:val="00D9125C"/>
    <w:rsid w:val="00D9189F"/>
    <w:rsid w:val="00D95ED8"/>
    <w:rsid w:val="00D96C06"/>
    <w:rsid w:val="00DA0117"/>
    <w:rsid w:val="00DA1F7C"/>
    <w:rsid w:val="00DA2B30"/>
    <w:rsid w:val="00DA2FB1"/>
    <w:rsid w:val="00DA3064"/>
    <w:rsid w:val="00DA479B"/>
    <w:rsid w:val="00DA5CE2"/>
    <w:rsid w:val="00DA694A"/>
    <w:rsid w:val="00DB194B"/>
    <w:rsid w:val="00DB30E9"/>
    <w:rsid w:val="00DB485C"/>
    <w:rsid w:val="00DB68A1"/>
    <w:rsid w:val="00DC0C08"/>
    <w:rsid w:val="00DC2112"/>
    <w:rsid w:val="00DC2CB0"/>
    <w:rsid w:val="00DC3A85"/>
    <w:rsid w:val="00DC4F66"/>
    <w:rsid w:val="00DC7384"/>
    <w:rsid w:val="00DD0D01"/>
    <w:rsid w:val="00DD0DBA"/>
    <w:rsid w:val="00DD11B1"/>
    <w:rsid w:val="00DD17DC"/>
    <w:rsid w:val="00DD180E"/>
    <w:rsid w:val="00DD1C30"/>
    <w:rsid w:val="00DF42F5"/>
    <w:rsid w:val="00E00144"/>
    <w:rsid w:val="00E00A01"/>
    <w:rsid w:val="00E00C48"/>
    <w:rsid w:val="00E015A2"/>
    <w:rsid w:val="00E02592"/>
    <w:rsid w:val="00E02646"/>
    <w:rsid w:val="00E02C2B"/>
    <w:rsid w:val="00E05EA9"/>
    <w:rsid w:val="00E0754B"/>
    <w:rsid w:val="00E07AE2"/>
    <w:rsid w:val="00E111BF"/>
    <w:rsid w:val="00E11A73"/>
    <w:rsid w:val="00E11CB0"/>
    <w:rsid w:val="00E21462"/>
    <w:rsid w:val="00E24DDF"/>
    <w:rsid w:val="00E260D2"/>
    <w:rsid w:val="00E271E2"/>
    <w:rsid w:val="00E3361C"/>
    <w:rsid w:val="00E441AF"/>
    <w:rsid w:val="00E46F7E"/>
    <w:rsid w:val="00E47123"/>
    <w:rsid w:val="00E47B3D"/>
    <w:rsid w:val="00E50E4C"/>
    <w:rsid w:val="00E53CC4"/>
    <w:rsid w:val="00E55E3D"/>
    <w:rsid w:val="00E56D7E"/>
    <w:rsid w:val="00E61A94"/>
    <w:rsid w:val="00E63D30"/>
    <w:rsid w:val="00E64205"/>
    <w:rsid w:val="00E6631C"/>
    <w:rsid w:val="00E67653"/>
    <w:rsid w:val="00E72380"/>
    <w:rsid w:val="00E73148"/>
    <w:rsid w:val="00E742A9"/>
    <w:rsid w:val="00E765F8"/>
    <w:rsid w:val="00E77FBF"/>
    <w:rsid w:val="00E81C39"/>
    <w:rsid w:val="00E821E7"/>
    <w:rsid w:val="00E90884"/>
    <w:rsid w:val="00E92AF3"/>
    <w:rsid w:val="00E93101"/>
    <w:rsid w:val="00E95B24"/>
    <w:rsid w:val="00E95C19"/>
    <w:rsid w:val="00E96742"/>
    <w:rsid w:val="00EA2933"/>
    <w:rsid w:val="00EA3A91"/>
    <w:rsid w:val="00EA66F0"/>
    <w:rsid w:val="00EB0D04"/>
    <w:rsid w:val="00EB5E1E"/>
    <w:rsid w:val="00EC36D3"/>
    <w:rsid w:val="00EC449C"/>
    <w:rsid w:val="00EC4848"/>
    <w:rsid w:val="00EC51E8"/>
    <w:rsid w:val="00EC6EEA"/>
    <w:rsid w:val="00ED03E8"/>
    <w:rsid w:val="00ED0905"/>
    <w:rsid w:val="00ED1116"/>
    <w:rsid w:val="00ED1A81"/>
    <w:rsid w:val="00ED6C48"/>
    <w:rsid w:val="00EE0E3D"/>
    <w:rsid w:val="00EE1B96"/>
    <w:rsid w:val="00EE42E2"/>
    <w:rsid w:val="00EF550B"/>
    <w:rsid w:val="00EF5A33"/>
    <w:rsid w:val="00EF6A06"/>
    <w:rsid w:val="00F0237B"/>
    <w:rsid w:val="00F0341F"/>
    <w:rsid w:val="00F04733"/>
    <w:rsid w:val="00F04A4B"/>
    <w:rsid w:val="00F05E81"/>
    <w:rsid w:val="00F079D9"/>
    <w:rsid w:val="00F11E3A"/>
    <w:rsid w:val="00F139C3"/>
    <w:rsid w:val="00F14272"/>
    <w:rsid w:val="00F155FD"/>
    <w:rsid w:val="00F21E66"/>
    <w:rsid w:val="00F27202"/>
    <w:rsid w:val="00F27CFA"/>
    <w:rsid w:val="00F3118B"/>
    <w:rsid w:val="00F31353"/>
    <w:rsid w:val="00F3275E"/>
    <w:rsid w:val="00F34164"/>
    <w:rsid w:val="00F34C3A"/>
    <w:rsid w:val="00F34CE0"/>
    <w:rsid w:val="00F3663A"/>
    <w:rsid w:val="00F372D5"/>
    <w:rsid w:val="00F42C15"/>
    <w:rsid w:val="00F504FC"/>
    <w:rsid w:val="00F511CA"/>
    <w:rsid w:val="00F517AF"/>
    <w:rsid w:val="00F5286E"/>
    <w:rsid w:val="00F531D7"/>
    <w:rsid w:val="00F5443C"/>
    <w:rsid w:val="00F577D7"/>
    <w:rsid w:val="00F62F47"/>
    <w:rsid w:val="00F6318D"/>
    <w:rsid w:val="00F64369"/>
    <w:rsid w:val="00F65E2D"/>
    <w:rsid w:val="00F65F5D"/>
    <w:rsid w:val="00F66E2B"/>
    <w:rsid w:val="00F7591C"/>
    <w:rsid w:val="00F75F85"/>
    <w:rsid w:val="00F76666"/>
    <w:rsid w:val="00F76E08"/>
    <w:rsid w:val="00F7762C"/>
    <w:rsid w:val="00F77EEC"/>
    <w:rsid w:val="00F80588"/>
    <w:rsid w:val="00F806B3"/>
    <w:rsid w:val="00F81405"/>
    <w:rsid w:val="00F8179A"/>
    <w:rsid w:val="00F82BF6"/>
    <w:rsid w:val="00F83610"/>
    <w:rsid w:val="00F86A3A"/>
    <w:rsid w:val="00F90A7C"/>
    <w:rsid w:val="00F93C9C"/>
    <w:rsid w:val="00FA15F5"/>
    <w:rsid w:val="00FA231F"/>
    <w:rsid w:val="00FA3B58"/>
    <w:rsid w:val="00FA4F53"/>
    <w:rsid w:val="00FA5132"/>
    <w:rsid w:val="00FB0C53"/>
    <w:rsid w:val="00FB17CF"/>
    <w:rsid w:val="00FB4142"/>
    <w:rsid w:val="00FB4210"/>
    <w:rsid w:val="00FB7C62"/>
    <w:rsid w:val="00FC79C6"/>
    <w:rsid w:val="00FD1BEC"/>
    <w:rsid w:val="00FD1E90"/>
    <w:rsid w:val="00FE6F60"/>
    <w:rsid w:val="00FF1D43"/>
    <w:rsid w:val="00FF2831"/>
    <w:rsid w:val="00FF3F94"/>
    <w:rsid w:val="00FF57F9"/>
    <w:rsid w:val="00FF61E9"/>
    <w:rsid w:val="00FF635F"/>
    <w:rsid w:val="00FF79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3D4E3CC"/>
  <w15:docId w15:val="{58286DD3-24BF-4EF0-9443-A55872C7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20E"/>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single space,Char Char Char,Footnote Text Char Char,Char,f,Текст сноски Знак1 Знак Знак,Текст сноски Знак1 Знак,ft,Geneva 9,Font: Geneva 9,Boston 10,Текст сноски Знак1,Текст сноски Знак1 Char Char Char Char Char Char,Footnote Text1 Cha"/>
    <w:basedOn w:val="Normal"/>
    <w:link w:val="FootnoteTextChar"/>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single space Char,Char Char Char Char,Footnote Text Char Char Char,Char Char,f Char,Текст сноски Знак1 Знак Знак Char,Текст сноски Знак1 Знак Char,ft Char,Geneva 9 Char,Font: Geneva 9 Char,Boston 10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Superscript,BVI fnr,16 Point,Superscript 6 Point,Footnote Reference Number,Footnote Reference_LVL6,Footnote Reference_LVL61,Footnote Reference_LVL62,Footnote Reference_LVL63,Footnote Reference_LVL64,Footnote Ref"/>
    <w:link w:val="BVIfnrCharCharCharChar"/>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Normal"/>
    <w:link w:val="FootnoteReference"/>
    <w:uiPriority w:val="99"/>
    <w:rsid w:val="00EC449C"/>
    <w:pPr>
      <w:suppressAutoHyphens w:val="0"/>
      <w:spacing w:after="160" w:line="240" w:lineRule="exact"/>
    </w:pPr>
    <w:rPr>
      <w:rFonts w:cstheme="minorBidi"/>
      <w:sz w:val="18"/>
      <w:szCs w:val="22"/>
      <w:vertAlign w:val="superscript"/>
      <w:lang w:eastAsia="zh-CN"/>
    </w:rPr>
  </w:style>
  <w:style w:type="character" w:styleId="Hyperlink">
    <w:name w:val="Hyperlink"/>
    <w:rsid w:val="004003A4"/>
    <w:rPr>
      <w:color w:val="auto"/>
      <w:u w:val="none"/>
    </w:rPr>
  </w:style>
  <w:style w:type="character" w:styleId="FollowedHyperlink">
    <w:name w:val="FollowedHyperlink"/>
    <w:basedOn w:val="DefaultParagraphFont"/>
    <w:uiPriority w:val="99"/>
    <w:semiHidden/>
    <w:unhideWhenUsed/>
    <w:rsid w:val="00EE0E3D"/>
    <w:rPr>
      <w:color w:val="800080" w:themeColor="followedHyperlink"/>
      <w:u w:val="single"/>
    </w:rPr>
  </w:style>
  <w:style w:type="character" w:customStyle="1" w:styleId="H23GChar">
    <w:name w:val="_ H_2/3_G Char"/>
    <w:link w:val="H23G"/>
    <w:locked/>
    <w:rsid w:val="00F5286E"/>
    <w:rPr>
      <w:rFonts w:ascii="Times New Roman" w:hAnsi="Times New Roman" w:cs="Times New Roman"/>
      <w:b/>
      <w:sz w:val="20"/>
      <w:szCs w:val="20"/>
    </w:rPr>
  </w:style>
  <w:style w:type="character" w:styleId="Strong">
    <w:name w:val="Strong"/>
    <w:basedOn w:val="DefaultParagraphFont"/>
    <w:uiPriority w:val="22"/>
    <w:qFormat/>
    <w:rsid w:val="00873ACF"/>
    <w:rPr>
      <w:b/>
      <w:bCs/>
    </w:rPr>
  </w:style>
  <w:style w:type="character" w:styleId="CommentReference">
    <w:name w:val="annotation reference"/>
    <w:basedOn w:val="DefaultParagraphFont"/>
    <w:uiPriority w:val="99"/>
    <w:semiHidden/>
    <w:unhideWhenUsed/>
    <w:rsid w:val="00B31892"/>
    <w:rPr>
      <w:sz w:val="16"/>
      <w:szCs w:val="16"/>
    </w:rPr>
  </w:style>
  <w:style w:type="paragraph" w:styleId="CommentText">
    <w:name w:val="annotation text"/>
    <w:basedOn w:val="Normal"/>
    <w:link w:val="CommentTextChar"/>
    <w:uiPriority w:val="99"/>
    <w:unhideWhenUsed/>
    <w:rsid w:val="00B31892"/>
    <w:pPr>
      <w:spacing w:line="240" w:lineRule="auto"/>
    </w:pPr>
  </w:style>
  <w:style w:type="character" w:customStyle="1" w:styleId="CommentTextChar">
    <w:name w:val="Comment Text Char"/>
    <w:basedOn w:val="DefaultParagraphFont"/>
    <w:link w:val="CommentText"/>
    <w:uiPriority w:val="99"/>
    <w:rsid w:val="00B31892"/>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31892"/>
    <w:rPr>
      <w:b/>
      <w:bCs/>
    </w:rPr>
  </w:style>
  <w:style w:type="character" w:customStyle="1" w:styleId="CommentSubjectChar">
    <w:name w:val="Comment Subject Char"/>
    <w:basedOn w:val="CommentTextChar"/>
    <w:link w:val="CommentSubject"/>
    <w:uiPriority w:val="99"/>
    <w:semiHidden/>
    <w:rsid w:val="00B31892"/>
    <w:rPr>
      <w:rFonts w:ascii="Times New Roman" w:hAnsi="Times New Roman" w:cs="Times New Roman"/>
      <w:b/>
      <w:bCs/>
      <w:sz w:val="20"/>
      <w:szCs w:val="20"/>
      <w:lang w:eastAsia="en-US"/>
    </w:rPr>
  </w:style>
  <w:style w:type="paragraph" w:styleId="Revision">
    <w:name w:val="Revision"/>
    <w:hidden/>
    <w:uiPriority w:val="99"/>
    <w:semiHidden/>
    <w:rsid w:val="0066012A"/>
    <w:pPr>
      <w:spacing w:after="0" w:line="240" w:lineRule="auto"/>
    </w:pPr>
    <w:rPr>
      <w:rFonts w:ascii="Times New Roman" w:hAnsi="Times New Roman" w:cs="Times New Roman"/>
      <w:sz w:val="20"/>
      <w:szCs w:val="20"/>
      <w:lang w:eastAsia="en-US"/>
    </w:rPr>
  </w:style>
  <w:style w:type="character" w:customStyle="1" w:styleId="highlight">
    <w:name w:val="highlight"/>
    <w:basedOn w:val="DefaultParagraphFont"/>
    <w:rsid w:val="004B307E"/>
  </w:style>
  <w:style w:type="paragraph" w:customStyle="1" w:styleId="Default">
    <w:name w:val="Default"/>
    <w:rsid w:val="00E4712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qFormat/>
    <w:rsid w:val="00963DEE"/>
    <w:pPr>
      <w:suppressAutoHyphens w:val="0"/>
      <w:spacing w:line="240" w:lineRule="auto"/>
      <w:ind w:left="720"/>
      <w:contextualSpacing/>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81181">
      <w:bodyDiv w:val="1"/>
      <w:marLeft w:val="0"/>
      <w:marRight w:val="0"/>
      <w:marTop w:val="0"/>
      <w:marBottom w:val="0"/>
      <w:divBdr>
        <w:top w:val="none" w:sz="0" w:space="0" w:color="auto"/>
        <w:left w:val="none" w:sz="0" w:space="0" w:color="auto"/>
        <w:bottom w:val="none" w:sz="0" w:space="0" w:color="auto"/>
        <w:right w:val="none" w:sz="0" w:space="0" w:color="auto"/>
      </w:divBdr>
    </w:div>
    <w:div w:id="150028169">
      <w:bodyDiv w:val="1"/>
      <w:marLeft w:val="0"/>
      <w:marRight w:val="0"/>
      <w:marTop w:val="0"/>
      <w:marBottom w:val="0"/>
      <w:divBdr>
        <w:top w:val="none" w:sz="0" w:space="0" w:color="auto"/>
        <w:left w:val="none" w:sz="0" w:space="0" w:color="auto"/>
        <w:bottom w:val="none" w:sz="0" w:space="0" w:color="auto"/>
        <w:right w:val="none" w:sz="0" w:space="0" w:color="auto"/>
      </w:divBdr>
    </w:div>
    <w:div w:id="167058255">
      <w:bodyDiv w:val="1"/>
      <w:marLeft w:val="0"/>
      <w:marRight w:val="0"/>
      <w:marTop w:val="0"/>
      <w:marBottom w:val="0"/>
      <w:divBdr>
        <w:top w:val="none" w:sz="0" w:space="0" w:color="auto"/>
        <w:left w:val="none" w:sz="0" w:space="0" w:color="auto"/>
        <w:bottom w:val="none" w:sz="0" w:space="0" w:color="auto"/>
        <w:right w:val="none" w:sz="0" w:space="0" w:color="auto"/>
      </w:divBdr>
    </w:div>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472217054">
      <w:bodyDiv w:val="1"/>
      <w:marLeft w:val="0"/>
      <w:marRight w:val="0"/>
      <w:marTop w:val="0"/>
      <w:marBottom w:val="0"/>
      <w:divBdr>
        <w:top w:val="none" w:sz="0" w:space="0" w:color="auto"/>
        <w:left w:val="none" w:sz="0" w:space="0" w:color="auto"/>
        <w:bottom w:val="none" w:sz="0" w:space="0" w:color="auto"/>
        <w:right w:val="none" w:sz="0" w:space="0" w:color="auto"/>
      </w:divBdr>
    </w:div>
    <w:div w:id="546338952">
      <w:bodyDiv w:val="1"/>
      <w:marLeft w:val="0"/>
      <w:marRight w:val="0"/>
      <w:marTop w:val="0"/>
      <w:marBottom w:val="0"/>
      <w:divBdr>
        <w:top w:val="none" w:sz="0" w:space="0" w:color="auto"/>
        <w:left w:val="none" w:sz="0" w:space="0" w:color="auto"/>
        <w:bottom w:val="none" w:sz="0" w:space="0" w:color="auto"/>
        <w:right w:val="none" w:sz="0" w:space="0" w:color="auto"/>
      </w:divBdr>
    </w:div>
    <w:div w:id="557865255">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942423046">
      <w:bodyDiv w:val="1"/>
      <w:marLeft w:val="0"/>
      <w:marRight w:val="0"/>
      <w:marTop w:val="0"/>
      <w:marBottom w:val="0"/>
      <w:divBdr>
        <w:top w:val="none" w:sz="0" w:space="0" w:color="auto"/>
        <w:left w:val="none" w:sz="0" w:space="0" w:color="auto"/>
        <w:bottom w:val="none" w:sz="0" w:space="0" w:color="auto"/>
        <w:right w:val="none" w:sz="0" w:space="0" w:color="auto"/>
      </w:divBdr>
    </w:div>
    <w:div w:id="1077174011">
      <w:bodyDiv w:val="1"/>
      <w:marLeft w:val="0"/>
      <w:marRight w:val="0"/>
      <w:marTop w:val="0"/>
      <w:marBottom w:val="0"/>
      <w:divBdr>
        <w:top w:val="none" w:sz="0" w:space="0" w:color="auto"/>
        <w:left w:val="none" w:sz="0" w:space="0" w:color="auto"/>
        <w:bottom w:val="none" w:sz="0" w:space="0" w:color="auto"/>
        <w:right w:val="none" w:sz="0" w:space="0" w:color="auto"/>
      </w:divBdr>
    </w:div>
    <w:div w:id="1109741026">
      <w:bodyDiv w:val="1"/>
      <w:marLeft w:val="0"/>
      <w:marRight w:val="0"/>
      <w:marTop w:val="0"/>
      <w:marBottom w:val="0"/>
      <w:divBdr>
        <w:top w:val="none" w:sz="0" w:space="0" w:color="auto"/>
        <w:left w:val="none" w:sz="0" w:space="0" w:color="auto"/>
        <w:bottom w:val="none" w:sz="0" w:space="0" w:color="auto"/>
        <w:right w:val="none" w:sz="0" w:space="0" w:color="auto"/>
      </w:divBdr>
    </w:div>
    <w:div w:id="1158225642">
      <w:bodyDiv w:val="1"/>
      <w:marLeft w:val="0"/>
      <w:marRight w:val="0"/>
      <w:marTop w:val="0"/>
      <w:marBottom w:val="0"/>
      <w:divBdr>
        <w:top w:val="none" w:sz="0" w:space="0" w:color="auto"/>
        <w:left w:val="none" w:sz="0" w:space="0" w:color="auto"/>
        <w:bottom w:val="none" w:sz="0" w:space="0" w:color="auto"/>
        <w:right w:val="none" w:sz="0" w:space="0" w:color="auto"/>
      </w:divBdr>
    </w:div>
    <w:div w:id="1192887507">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515729363">
      <w:bodyDiv w:val="1"/>
      <w:marLeft w:val="0"/>
      <w:marRight w:val="0"/>
      <w:marTop w:val="0"/>
      <w:marBottom w:val="0"/>
      <w:divBdr>
        <w:top w:val="none" w:sz="0" w:space="0" w:color="auto"/>
        <w:left w:val="none" w:sz="0" w:space="0" w:color="auto"/>
        <w:bottom w:val="none" w:sz="0" w:space="0" w:color="auto"/>
        <w:right w:val="none" w:sz="0" w:space="0" w:color="auto"/>
      </w:divBdr>
    </w:div>
    <w:div w:id="1561745904">
      <w:bodyDiv w:val="1"/>
      <w:marLeft w:val="0"/>
      <w:marRight w:val="0"/>
      <w:marTop w:val="0"/>
      <w:marBottom w:val="0"/>
      <w:divBdr>
        <w:top w:val="none" w:sz="0" w:space="0" w:color="auto"/>
        <w:left w:val="none" w:sz="0" w:space="0" w:color="auto"/>
        <w:bottom w:val="none" w:sz="0" w:space="0" w:color="auto"/>
        <w:right w:val="none" w:sz="0" w:space="0" w:color="auto"/>
      </w:divBdr>
    </w:div>
    <w:div w:id="1585989404">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16080302">
      <w:bodyDiv w:val="1"/>
      <w:marLeft w:val="0"/>
      <w:marRight w:val="0"/>
      <w:marTop w:val="0"/>
      <w:marBottom w:val="0"/>
      <w:divBdr>
        <w:top w:val="none" w:sz="0" w:space="0" w:color="auto"/>
        <w:left w:val="none" w:sz="0" w:space="0" w:color="auto"/>
        <w:bottom w:val="none" w:sz="0" w:space="0" w:color="auto"/>
        <w:right w:val="none" w:sz="0" w:space="0" w:color="auto"/>
      </w:divBdr>
    </w:div>
    <w:div w:id="1725329208">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B1222-B82A-4E37-BA03-3CD24F79A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6184</Words>
  <Characters>36737</Characters>
  <Application>Microsoft Office Word</Application>
  <DocSecurity>0</DocSecurity>
  <Lines>615</Lines>
  <Paragraphs>208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CRPD/C/MEX/CO/2-3</vt:lpstr>
      <vt:lpstr>CRPD/C/MLT/CO/1</vt:lpstr>
    </vt:vector>
  </TitlesOfParts>
  <Company>DCM</Company>
  <LinksUpToDate>false</LinksUpToDate>
  <CharactersWithSpaces>42864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CRPD/C/MEX/CO/2-3</dc:title>
  <dc:subject>2205807</dc:subject>
  <dc:creator>Una Philippa GILTSOFF</dc:creator>
  <cp:keywords/>
  <dc:description/>
  <cp:lastModifiedBy>Una Philippa GILTSOFF</cp:lastModifiedBy>
  <cp:revision>2</cp:revision>
  <dcterms:created xsi:type="dcterms:W3CDTF">2022-04-20T08:28:00Z</dcterms:created>
  <dcterms:modified xsi:type="dcterms:W3CDTF">2022-04-20T08:28:00Z</dcterms:modified>
</cp:coreProperties>
</file>