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rsidTr="003B4E47">
        <w:trPr>
          <w:cantSplit/>
          <w:trHeight w:hRule="exact" w:val="851"/>
        </w:trPr>
        <w:tc>
          <w:tcPr>
            <w:tcW w:w="1276" w:type="dxa"/>
            <w:tcBorders>
              <w:bottom w:val="single" w:sz="4" w:space="0" w:color="auto"/>
            </w:tcBorders>
            <w:vAlign w:val="bottom"/>
          </w:tcPr>
          <w:p w:rsidR="00523650" w:rsidRPr="00ED616A" w:rsidRDefault="00523650" w:rsidP="007D4728">
            <w:pPr>
              <w:pStyle w:val="SingleTxtG"/>
              <w:tabs>
                <w:tab w:val="left" w:pos="555"/>
              </w:tabs>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0D6C6A" w:rsidP="000D6C6A">
            <w:pPr>
              <w:jc w:val="right"/>
            </w:pPr>
            <w:r w:rsidRPr="000D6C6A">
              <w:rPr>
                <w:sz w:val="40"/>
              </w:rPr>
              <w:t>CERD</w:t>
            </w:r>
            <w:r>
              <w:t>/C/ROU/Q/16-19</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523650"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0D6C6A" w:rsidRDefault="000D6C6A" w:rsidP="000D6C6A">
            <w:pPr>
              <w:spacing w:before="240" w:line="240" w:lineRule="exact"/>
            </w:pPr>
            <w:r>
              <w:t>Distr.: General</w:t>
            </w:r>
          </w:p>
          <w:p w:rsidR="000D6C6A" w:rsidRDefault="00DE6397" w:rsidP="000D6C6A">
            <w:pPr>
              <w:spacing w:line="240" w:lineRule="exact"/>
            </w:pPr>
            <w:r>
              <w:t>8</w:t>
            </w:r>
            <w:r w:rsidR="00BD2FEA">
              <w:t xml:space="preserve"> July</w:t>
            </w:r>
            <w:r w:rsidR="000D6C6A">
              <w:t xml:space="preserve"> 2010</w:t>
            </w:r>
          </w:p>
          <w:p w:rsidR="000D6C6A" w:rsidRDefault="000D6C6A" w:rsidP="000D6C6A">
            <w:pPr>
              <w:spacing w:line="240" w:lineRule="exact"/>
            </w:pPr>
          </w:p>
          <w:p w:rsidR="00523650" w:rsidRDefault="000D6C6A" w:rsidP="000D6C6A">
            <w:pPr>
              <w:spacing w:line="240" w:lineRule="exact"/>
            </w:pPr>
            <w:r>
              <w:t>Original: English</w:t>
            </w:r>
          </w:p>
        </w:tc>
      </w:tr>
    </w:tbl>
    <w:p w:rsidR="00AB4833" w:rsidRPr="00AC5D9B" w:rsidRDefault="00AB4833" w:rsidP="00AB4833">
      <w:pPr>
        <w:spacing w:before="120"/>
        <w:rPr>
          <w:b/>
          <w:sz w:val="24"/>
          <w:szCs w:val="24"/>
        </w:rPr>
      </w:pPr>
      <w:r>
        <w:rPr>
          <w:b/>
          <w:sz w:val="24"/>
          <w:szCs w:val="24"/>
        </w:rPr>
        <w:t>Committee on the Elimination of Racial Discrimination</w:t>
      </w:r>
    </w:p>
    <w:p w:rsidR="00AB4833" w:rsidRPr="00F8260E" w:rsidRDefault="00AB4833" w:rsidP="00AB4833">
      <w:pPr>
        <w:rPr>
          <w:b/>
        </w:rPr>
      </w:pPr>
      <w:r w:rsidRPr="00F8260E">
        <w:rPr>
          <w:b/>
        </w:rPr>
        <w:t>Seventy-s</w:t>
      </w:r>
      <w:r>
        <w:rPr>
          <w:b/>
        </w:rPr>
        <w:t>event</w:t>
      </w:r>
      <w:r w:rsidRPr="00F8260E">
        <w:rPr>
          <w:b/>
        </w:rPr>
        <w:t>h session</w:t>
      </w:r>
    </w:p>
    <w:p w:rsidR="00AB4833" w:rsidRDefault="00AB4833" w:rsidP="00AB4833">
      <w:r>
        <w:t>2–27 August 2010</w:t>
      </w:r>
    </w:p>
    <w:p w:rsidR="00084AD6" w:rsidRDefault="00AB4833" w:rsidP="00084AD6">
      <w:pPr>
        <w:keepNext/>
        <w:keepLines/>
        <w:tabs>
          <w:tab w:val="left" w:pos="851"/>
        </w:tabs>
        <w:autoSpaceDE w:val="0"/>
        <w:autoSpaceDN w:val="0"/>
        <w:adjustRightInd w:val="0"/>
        <w:spacing w:before="240" w:after="240"/>
        <w:ind w:left="1134" w:hanging="1134"/>
        <w:rPr>
          <w:b/>
          <w:bCs/>
          <w:color w:val="000000"/>
          <w:sz w:val="28"/>
          <w:szCs w:val="28"/>
        </w:rPr>
      </w:pPr>
      <w:r>
        <w:tab/>
      </w:r>
      <w:r>
        <w:tab/>
      </w:r>
      <w:r w:rsidR="00084AD6">
        <w:rPr>
          <w:b/>
          <w:bCs/>
          <w:color w:val="000000"/>
          <w:sz w:val="28"/>
          <w:szCs w:val="28"/>
        </w:rPr>
        <w:t>Implementation of the International Convention on the Elim</w:t>
      </w:r>
      <w:r w:rsidR="00563424">
        <w:rPr>
          <w:b/>
          <w:bCs/>
          <w:color w:val="000000"/>
          <w:sz w:val="28"/>
          <w:szCs w:val="28"/>
        </w:rPr>
        <w:t>ination of All Forms of Racial D</w:t>
      </w:r>
      <w:r w:rsidR="00084AD6">
        <w:rPr>
          <w:b/>
          <w:bCs/>
          <w:color w:val="000000"/>
          <w:sz w:val="28"/>
          <w:szCs w:val="28"/>
        </w:rPr>
        <w:t>iscrimination</w:t>
      </w:r>
    </w:p>
    <w:p w:rsidR="00AB4833" w:rsidRDefault="00084AD6" w:rsidP="00AB4833">
      <w:pPr>
        <w:pStyle w:val="HChG"/>
      </w:pPr>
      <w:r>
        <w:tab/>
      </w:r>
      <w:r>
        <w:tab/>
      </w:r>
      <w:r w:rsidR="00AB4833">
        <w:t>List of themes</w:t>
      </w:r>
      <w:r w:rsidR="003E5249" w:rsidRPr="003D5A27">
        <w:t xml:space="preserve"> </w:t>
      </w:r>
      <w:r w:rsidR="00AB4833" w:rsidRPr="003D5A27">
        <w:t xml:space="preserve">to be taken up in connection with the consideration </w:t>
      </w:r>
      <w:r w:rsidR="00AB4833" w:rsidRPr="003D5A27">
        <w:rPr>
          <w:bCs/>
        </w:rPr>
        <w:t>of</w:t>
      </w:r>
      <w:r w:rsidR="00AB4833">
        <w:rPr>
          <w:bCs/>
        </w:rPr>
        <w:t xml:space="preserve"> the sixteenth to nineteenth periodic reports of </w:t>
      </w:r>
      <w:smartTag w:uri="urn:schemas-microsoft-com:office:smarttags" w:element="place">
        <w:smartTag w:uri="urn:schemas-microsoft-com:office:smarttags" w:element="country-region">
          <w:r w:rsidR="00AB4833">
            <w:rPr>
              <w:bCs/>
            </w:rPr>
            <w:t>Romania</w:t>
          </w:r>
        </w:smartTag>
      </w:smartTag>
      <w:r w:rsidR="00AB4833">
        <w:rPr>
          <w:bCs/>
        </w:rPr>
        <w:t xml:space="preserve"> </w:t>
      </w:r>
      <w:r w:rsidR="00AB4833">
        <w:t>(CERD/C/ROU/16-19)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B4833" w:rsidTr="00AB4833">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AB4833" w:rsidRDefault="00AB4833" w:rsidP="00FE21D0"/>
        </w:tc>
      </w:tr>
      <w:tr w:rsidR="00AB4833" w:rsidTr="00AB4833">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AB4833" w:rsidRDefault="00AB4833" w:rsidP="00FE21D0">
            <w:r w:rsidRPr="00AB4833">
              <w:t xml:space="preserve">The following is a list of themes identified by the </w:t>
            </w:r>
            <w:r w:rsidR="003E5249" w:rsidRPr="00AB4833">
              <w:t>Country Rapporteur</w:t>
            </w:r>
            <w:r w:rsidRPr="00AB4833">
              <w:t xml:space="preserve"> in connection with the consideration of the sixteenth to nineteenth periodic reports of </w:t>
            </w:r>
            <w:smartTag w:uri="urn:schemas-microsoft-com:office:smarttags" w:element="country-region">
              <w:smartTag w:uri="urn:schemas-microsoft-com:office:smarttags" w:element="place">
                <w:r w:rsidRPr="00AB4833">
                  <w:t>Romania</w:t>
                </w:r>
              </w:smartTag>
            </w:smartTag>
            <w:r w:rsidRPr="00AB4833">
              <w:t xml:space="preserve">. The list is meant to guide the dialogue between the State party delegation and the Committee and </w:t>
            </w:r>
            <w:r w:rsidRPr="004B0FAD">
              <w:rPr>
                <w:i/>
                <w:iCs/>
              </w:rPr>
              <w:t>does</w:t>
            </w:r>
            <w:r w:rsidRPr="0081482E">
              <w:rPr>
                <w:u w:val="single"/>
              </w:rPr>
              <w:t xml:space="preserve"> </w:t>
            </w:r>
            <w:r w:rsidRPr="00FE21D0">
              <w:rPr>
                <w:i/>
                <w:iCs/>
              </w:rPr>
              <w:t>not require written replies</w:t>
            </w:r>
            <w:r w:rsidRPr="00AB4833">
              <w:t>. This is not an exhaustive list as other issues will be raised in the course of the dialogue.</w:t>
            </w:r>
          </w:p>
        </w:tc>
      </w:tr>
      <w:tr w:rsidR="00AB4833" w:rsidTr="00AB4833">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AB4833" w:rsidRDefault="00AB4833" w:rsidP="00FE21D0"/>
        </w:tc>
      </w:tr>
    </w:tbl>
    <w:p w:rsidR="00AB4833" w:rsidRPr="0025462C" w:rsidRDefault="00FE21D0" w:rsidP="00FE21D0">
      <w:pPr>
        <w:pStyle w:val="H23G"/>
      </w:pPr>
      <w:r>
        <w:tab/>
      </w:r>
      <w:r w:rsidR="00AB4833" w:rsidRPr="0025462C">
        <w:t>1.</w:t>
      </w:r>
      <w:r w:rsidR="00AB4833" w:rsidRPr="0025462C">
        <w:tab/>
        <w:t xml:space="preserve">Scarcity of reliable demographic indicators </w:t>
      </w:r>
      <w:r w:rsidR="00AB4833">
        <w:t>and composition of the population</w:t>
      </w:r>
      <w:r w:rsidR="001F2549">
        <w:t>:</w:t>
      </w:r>
      <w:r w:rsidR="00AB4833">
        <w:t xml:space="preserve"> </w:t>
      </w:r>
    </w:p>
    <w:p w:rsidR="00AB4833" w:rsidRPr="00FE21D0" w:rsidRDefault="00FE21D0" w:rsidP="00FE21D0">
      <w:pPr>
        <w:pStyle w:val="SingleTxtG"/>
      </w:pPr>
      <w:r>
        <w:tab/>
        <w:t>(a)</w:t>
      </w:r>
      <w:r>
        <w:tab/>
      </w:r>
      <w:r w:rsidR="00AB4833">
        <w:t>M</w:t>
      </w:r>
      <w:r w:rsidR="00AB4833" w:rsidRPr="0025462C">
        <w:t xml:space="preserve">easures taken </w:t>
      </w:r>
      <w:r w:rsidR="00AB4833">
        <w:t>by the State party</w:t>
      </w:r>
      <w:r w:rsidR="00AB4833" w:rsidRPr="0025462C">
        <w:t xml:space="preserve"> to understand its demographic composition and </w:t>
      </w:r>
      <w:r w:rsidR="00AB4833" w:rsidRPr="00FE21D0">
        <w:t>determine progress and trends in the elimination of racial discrimination, such as:  identification surveys to assess the situation of different minority groups and non-citizens residing in the State party; collection of information through the use of languages, mother tongues, social surveys; or development of measurable indicators and their analysis (CERD/C/ROU/16-19, par</w:t>
      </w:r>
      <w:r w:rsidR="00231624" w:rsidRPr="00FE21D0">
        <w:t>a</w:t>
      </w:r>
      <w:r w:rsidR="00AB4833" w:rsidRPr="00FE21D0">
        <w:t>s. 6-7)</w:t>
      </w:r>
      <w:r w:rsidR="00A20204" w:rsidRPr="00FE21D0">
        <w:t>.</w:t>
      </w:r>
    </w:p>
    <w:p w:rsidR="00AB4833" w:rsidRPr="0025462C" w:rsidRDefault="00FE21D0" w:rsidP="00FE21D0">
      <w:pPr>
        <w:pStyle w:val="H23G"/>
      </w:pPr>
      <w:r>
        <w:tab/>
      </w:r>
      <w:r w:rsidR="00AB4833" w:rsidRPr="0025462C">
        <w:t>2.</w:t>
      </w:r>
      <w:r w:rsidR="00AB4833" w:rsidRPr="0025462C">
        <w:tab/>
      </w:r>
      <w:r w:rsidR="00AB4833">
        <w:t>The Convention in domestic law; legislative and policy</w:t>
      </w:r>
      <w:r w:rsidR="00AB4833" w:rsidRPr="0025462C">
        <w:t xml:space="preserve"> framework </w:t>
      </w:r>
      <w:r w:rsidR="00AB4833">
        <w:t>for its implementation, j</w:t>
      </w:r>
      <w:r w:rsidR="00AB4833" w:rsidRPr="0025462C">
        <w:t>udicial recourse and compensation (arts. 1, 2</w:t>
      </w:r>
      <w:r w:rsidR="00AB4833">
        <w:t>, 6</w:t>
      </w:r>
      <w:r w:rsidR="00AB4833" w:rsidRPr="0025462C">
        <w:t>)</w:t>
      </w:r>
      <w:r w:rsidR="001F2549">
        <w:t>:</w:t>
      </w:r>
    </w:p>
    <w:p w:rsidR="00AB4833" w:rsidRDefault="00FE21D0" w:rsidP="004B0FAD">
      <w:pPr>
        <w:pStyle w:val="SingleTxtG"/>
      </w:pPr>
      <w:r>
        <w:tab/>
        <w:t>(</w:t>
      </w:r>
      <w:r w:rsidR="004B0FAD">
        <w:t>a</w:t>
      </w:r>
      <w:r>
        <w:t>)</w:t>
      </w:r>
      <w:r>
        <w:tab/>
      </w:r>
      <w:r w:rsidR="00AB4833">
        <w:t>Progress in the</w:t>
      </w:r>
      <w:r w:rsidR="00AB4833" w:rsidRPr="0025462C">
        <w:t xml:space="preserve"> implementation of existing legal, policy, and institutional frameworks to combat racial discrimination</w:t>
      </w:r>
      <w:r w:rsidR="00AB4833">
        <w:t xml:space="preserve">, including changes following </w:t>
      </w:r>
      <w:r w:rsidR="00AB4833" w:rsidRPr="00135A8E">
        <w:t xml:space="preserve">entry into the European Union </w:t>
      </w:r>
      <w:r w:rsidR="00AB4833">
        <w:t xml:space="preserve">and adhesion to relevant </w:t>
      </w:r>
      <w:r w:rsidR="00231624">
        <w:t xml:space="preserve">European Union </w:t>
      </w:r>
      <w:r w:rsidR="00AB4833">
        <w:t>legislation</w:t>
      </w:r>
      <w:r w:rsidR="00AB4833" w:rsidRPr="00135A8E">
        <w:t xml:space="preserve"> (CERD/C/ROU/16-19, par</w:t>
      </w:r>
      <w:r w:rsidR="00231624">
        <w:t>a</w:t>
      </w:r>
      <w:r w:rsidR="00AB4833" w:rsidRPr="00135A8E">
        <w:t>. 9)</w:t>
      </w:r>
      <w:r w:rsidR="00DE6397">
        <w:t>;</w:t>
      </w:r>
    </w:p>
    <w:p w:rsidR="00AB4833" w:rsidRPr="0025462C" w:rsidRDefault="00FE21D0" w:rsidP="004B0FAD">
      <w:pPr>
        <w:pStyle w:val="SingleTxtG"/>
      </w:pPr>
      <w:r>
        <w:tab/>
        <w:t>(</w:t>
      </w:r>
      <w:r w:rsidR="004B0FAD">
        <w:t>b</w:t>
      </w:r>
      <w:r>
        <w:t>)</w:t>
      </w:r>
      <w:r>
        <w:tab/>
      </w:r>
      <w:r w:rsidR="00AB4833">
        <w:t xml:space="preserve">Organizational chart and status of the institutional </w:t>
      </w:r>
      <w:r w:rsidR="00AB4833" w:rsidRPr="0025462C">
        <w:t xml:space="preserve">mechanisms </w:t>
      </w:r>
      <w:r w:rsidR="00AB4833">
        <w:t xml:space="preserve">available for combating racial discrimination </w:t>
      </w:r>
      <w:r w:rsidR="00AB4833" w:rsidRPr="0025462C">
        <w:t xml:space="preserve"> </w:t>
      </w:r>
      <w:r w:rsidR="00AB4833">
        <w:t>and their coordinating mechanisms, including t</w:t>
      </w:r>
      <w:r w:rsidR="00AB4833" w:rsidRPr="0025462C">
        <w:t xml:space="preserve">he National Agency for Roma, </w:t>
      </w:r>
      <w:r w:rsidR="00231624">
        <w:t xml:space="preserve">the </w:t>
      </w:r>
      <w:r w:rsidR="00AB4833" w:rsidRPr="0025462C">
        <w:t>National Council for Combating Discrimination, the Ombudsman, the Commission for Anti-Poverty and Promotion of Social Inclusion, and the Council of National Minorities (CERD/C/ROU/16-19, par</w:t>
      </w:r>
      <w:r w:rsidR="00231624">
        <w:t>a</w:t>
      </w:r>
      <w:r w:rsidR="00AB4833" w:rsidRPr="0025462C">
        <w:t xml:space="preserve">s. 28 </w:t>
      </w:r>
      <w:r w:rsidR="00231624">
        <w:t>ff.</w:t>
      </w:r>
      <w:r w:rsidR="00AB4833" w:rsidRPr="0025462C">
        <w:t>)</w:t>
      </w:r>
      <w:r w:rsidR="00DE6397">
        <w:t>;</w:t>
      </w:r>
    </w:p>
    <w:p w:rsidR="00AB4833" w:rsidRDefault="00FE21D0" w:rsidP="004B0FAD">
      <w:pPr>
        <w:pStyle w:val="SingleTxtG"/>
      </w:pPr>
      <w:r>
        <w:tab/>
        <w:t>(</w:t>
      </w:r>
      <w:r w:rsidR="004B0FAD">
        <w:t>c</w:t>
      </w:r>
      <w:r>
        <w:t>)</w:t>
      </w:r>
      <w:r>
        <w:tab/>
      </w:r>
      <w:r w:rsidR="00AB4833">
        <w:t xml:space="preserve">Measures taken to strengthen the </w:t>
      </w:r>
      <w:r w:rsidR="00AB4833" w:rsidRPr="00546B86">
        <w:t xml:space="preserve">National Council for Combating Discrimination </w:t>
      </w:r>
      <w:r w:rsidR="00AB4833">
        <w:t>to fully align it to the Paris Principles, as well as information on reviews</w:t>
      </w:r>
      <w:r w:rsidR="00AB4833" w:rsidRPr="005657F6">
        <w:t xml:space="preserve"> of the work of </w:t>
      </w:r>
      <w:r w:rsidR="00AB4833">
        <w:t>this c</w:t>
      </w:r>
      <w:r w:rsidR="00AB4833" w:rsidRPr="005657F6">
        <w:t xml:space="preserve">ouncil </w:t>
      </w:r>
      <w:r w:rsidR="00AB4833">
        <w:t>(</w:t>
      </w:r>
      <w:r w:rsidR="00AB4833" w:rsidRPr="00942018">
        <w:t xml:space="preserve">CERD/C/ROU/16-19, </w:t>
      </w:r>
      <w:r w:rsidR="00AB4833">
        <w:t>par</w:t>
      </w:r>
      <w:r w:rsidR="00231624">
        <w:t>a</w:t>
      </w:r>
      <w:r w:rsidR="00AB4833">
        <w:t xml:space="preserve">s. 27, 52 </w:t>
      </w:r>
      <w:r w:rsidR="00231624" w:rsidRPr="00231624">
        <w:rPr>
          <w:iCs/>
        </w:rPr>
        <w:t>ff</w:t>
      </w:r>
      <w:r w:rsidR="00AB4833">
        <w:rPr>
          <w:i/>
          <w:iCs/>
        </w:rPr>
        <w:t>.</w:t>
      </w:r>
      <w:r w:rsidR="00AB4833">
        <w:t>)</w:t>
      </w:r>
      <w:r w:rsidR="00DE6397">
        <w:t>;</w:t>
      </w:r>
    </w:p>
    <w:p w:rsidR="00AB4833" w:rsidRPr="00A518F8" w:rsidRDefault="00FE21D0" w:rsidP="004B0FAD">
      <w:pPr>
        <w:pStyle w:val="SingleTxtG"/>
      </w:pPr>
      <w:r>
        <w:tab/>
        <w:t>(</w:t>
      </w:r>
      <w:r w:rsidR="004B0FAD">
        <w:t>d</w:t>
      </w:r>
      <w:r>
        <w:t>)</w:t>
      </w:r>
      <w:r>
        <w:tab/>
      </w:r>
      <w:r w:rsidR="00AB4833">
        <w:t xml:space="preserve">The existing </w:t>
      </w:r>
      <w:r w:rsidR="00AB4833" w:rsidRPr="0025462C">
        <w:t xml:space="preserve">instances in the State party </w:t>
      </w:r>
      <w:r w:rsidR="00AB4833">
        <w:t>mandated</w:t>
      </w:r>
      <w:r w:rsidR="00AB4833" w:rsidRPr="0025462C">
        <w:t xml:space="preserve"> to receive allegations of racial discrimination, including</w:t>
      </w:r>
      <w:r w:rsidR="00AB4833">
        <w:t xml:space="preserve"> information on</w:t>
      </w:r>
      <w:r w:rsidR="00AB4833" w:rsidRPr="0025462C">
        <w:t xml:space="preserve"> how conflict of competence is avoided</w:t>
      </w:r>
      <w:r w:rsidR="00AB4833">
        <w:t xml:space="preserve"> among them</w:t>
      </w:r>
      <w:r w:rsidR="00AB4833" w:rsidRPr="0025462C">
        <w:t xml:space="preserve">, statistical data on the number of registered racial discrimination complaints in the last five years, and their follow-up </w:t>
      </w:r>
      <w:r w:rsidR="00AB4833" w:rsidRPr="00A518F8">
        <w:t>(CERD/C/ROU/16-19, par</w:t>
      </w:r>
      <w:r w:rsidR="00231624">
        <w:t>a</w:t>
      </w:r>
      <w:r w:rsidR="00AB4833" w:rsidRPr="00A518F8">
        <w:t xml:space="preserve">s. 22, 29, 59 </w:t>
      </w:r>
      <w:r w:rsidR="00231624">
        <w:rPr>
          <w:iCs/>
        </w:rPr>
        <w:t>ff</w:t>
      </w:r>
      <w:r w:rsidR="00AB4833" w:rsidRPr="00A518F8">
        <w:rPr>
          <w:i/>
          <w:iCs/>
        </w:rPr>
        <w:t>.</w:t>
      </w:r>
      <w:r w:rsidR="00AB4833" w:rsidRPr="00A518F8">
        <w:t>)</w:t>
      </w:r>
      <w:r w:rsidR="00A20204">
        <w:t>.</w:t>
      </w:r>
    </w:p>
    <w:p w:rsidR="00AB4833" w:rsidRPr="00732D49" w:rsidRDefault="00FE21D0" w:rsidP="00FE21D0">
      <w:pPr>
        <w:pStyle w:val="H23G"/>
      </w:pPr>
      <w:r>
        <w:tab/>
      </w:r>
      <w:r w:rsidR="00AB4833" w:rsidRPr="00732D49">
        <w:t>3.</w:t>
      </w:r>
      <w:r w:rsidR="00AB4833" w:rsidRPr="00732D49">
        <w:tab/>
        <w:t>Discrimination against Roma (arts. 2, 3, 5</w:t>
      </w:r>
      <w:r w:rsidR="00AB4833">
        <w:t>, and 7</w:t>
      </w:r>
      <w:r w:rsidR="00AB4833" w:rsidRPr="00732D49">
        <w:t>)</w:t>
      </w:r>
      <w:r w:rsidR="001F2549">
        <w:t>:</w:t>
      </w:r>
      <w:r w:rsidR="00AB4833" w:rsidRPr="00732D49">
        <w:t xml:space="preserve"> </w:t>
      </w:r>
    </w:p>
    <w:p w:rsidR="00AB4833" w:rsidRPr="0025462C" w:rsidRDefault="00FE21D0" w:rsidP="00FE21D0">
      <w:pPr>
        <w:pStyle w:val="SingleTxtG"/>
      </w:pPr>
      <w:r>
        <w:tab/>
        <w:t>(a)</w:t>
      </w:r>
      <w:r>
        <w:tab/>
      </w:r>
      <w:r w:rsidR="00AB4833">
        <w:t>T</w:t>
      </w:r>
      <w:r w:rsidR="00AB4833" w:rsidRPr="0025462C">
        <w:t xml:space="preserve">he </w:t>
      </w:r>
      <w:r w:rsidR="00AB4833">
        <w:t>implementation</w:t>
      </w:r>
      <w:r w:rsidR="00AB4833" w:rsidRPr="0025462C">
        <w:t xml:space="preserve"> of any special measures for the advancement of </w:t>
      </w:r>
      <w:r w:rsidR="00AB4833">
        <w:t xml:space="preserve">members of the </w:t>
      </w:r>
      <w:r w:rsidR="00AB4833" w:rsidRPr="0025462C">
        <w:t xml:space="preserve">Roma </w:t>
      </w:r>
      <w:r w:rsidR="00AB4833">
        <w:t xml:space="preserve">communities </w:t>
      </w:r>
      <w:r w:rsidR="00AB4833" w:rsidRPr="0025462C">
        <w:t>(CERD/C/304/Add.85, par</w:t>
      </w:r>
      <w:r w:rsidR="00231624">
        <w:t>a</w:t>
      </w:r>
      <w:r w:rsidR="00AB4833" w:rsidRPr="0025462C">
        <w:t>. 15; CERD/C/ROU/16-19, par</w:t>
      </w:r>
      <w:r w:rsidR="00231624">
        <w:t>a</w:t>
      </w:r>
      <w:r w:rsidR="00AB4833" w:rsidRPr="0025462C">
        <w:t>s. 125, 167)</w:t>
      </w:r>
      <w:r w:rsidR="00DE6397">
        <w:t>;</w:t>
      </w:r>
    </w:p>
    <w:p w:rsidR="00AB4833" w:rsidRPr="0025462C" w:rsidRDefault="00FE21D0" w:rsidP="00FE21D0">
      <w:pPr>
        <w:pStyle w:val="SingleTxtG"/>
      </w:pPr>
      <w:r>
        <w:tab/>
        <w:t>(b)</w:t>
      </w:r>
      <w:r>
        <w:tab/>
      </w:r>
      <w:r w:rsidR="00AB4833">
        <w:t>P</w:t>
      </w:r>
      <w:r w:rsidR="00AB4833" w:rsidRPr="0025462C">
        <w:t xml:space="preserve">rogress to address substantive discrimination experienced by Roma children in schools </w:t>
      </w:r>
      <w:r w:rsidR="00AB4833">
        <w:t>and to implement</w:t>
      </w:r>
      <w:r w:rsidR="00AB4833" w:rsidRPr="0025462C">
        <w:t xml:space="preserve"> the 2004 </w:t>
      </w:r>
      <w:r w:rsidR="00231624">
        <w:t>G</w:t>
      </w:r>
      <w:r w:rsidR="00AB4833" w:rsidRPr="0025462C">
        <w:t>overnment notice on th</w:t>
      </w:r>
      <w:r w:rsidR="00AB4833">
        <w:t>e banning of school segregation</w:t>
      </w:r>
      <w:r w:rsidR="00AB4833" w:rsidRPr="0025462C">
        <w:t xml:space="preserve"> (CERD/C/ROU/16-19, par</w:t>
      </w:r>
      <w:r w:rsidR="00231624">
        <w:t>a</w:t>
      </w:r>
      <w:r w:rsidR="00AB4833" w:rsidRPr="0025462C">
        <w:t xml:space="preserve">s. 125, 179 </w:t>
      </w:r>
      <w:r w:rsidR="00231624">
        <w:rPr>
          <w:iCs/>
        </w:rPr>
        <w:t>ff</w:t>
      </w:r>
      <w:r w:rsidR="00AB4833" w:rsidRPr="005640F2">
        <w:rPr>
          <w:i/>
          <w:iCs/>
        </w:rPr>
        <w:t>.</w:t>
      </w:r>
      <w:r w:rsidR="00AB4833" w:rsidRPr="0025462C">
        <w:t>)</w:t>
      </w:r>
      <w:r w:rsidR="00DE6397">
        <w:t>;</w:t>
      </w:r>
    </w:p>
    <w:p w:rsidR="00AB4833" w:rsidRPr="00491574" w:rsidRDefault="00FE21D0" w:rsidP="00FE21D0">
      <w:pPr>
        <w:pStyle w:val="SingleTxtG"/>
        <w:rPr>
          <w:lang w:val="en-US"/>
        </w:rPr>
      </w:pPr>
      <w:r>
        <w:tab/>
        <w:t>(c)</w:t>
      </w:r>
      <w:r>
        <w:tab/>
      </w:r>
      <w:r w:rsidR="00AB4833">
        <w:t>I</w:t>
      </w:r>
      <w:r w:rsidR="00AB4833" w:rsidRPr="0025462C">
        <w:t>mplementation and progress o</w:t>
      </w:r>
      <w:r w:rsidR="00AB4833">
        <w:t xml:space="preserve">f the National Strategy </w:t>
      </w:r>
      <w:r w:rsidR="005D3D10">
        <w:t xml:space="preserve">for </w:t>
      </w:r>
      <w:r w:rsidR="00AB4833">
        <w:t>I</w:t>
      </w:r>
      <w:r w:rsidR="00AB4833" w:rsidRPr="0025462C">
        <w:t>mprov</w:t>
      </w:r>
      <w:r w:rsidR="005D3D10">
        <w:t>ing</w:t>
      </w:r>
      <w:r w:rsidR="00AB4833" w:rsidRPr="0025462C">
        <w:t xml:space="preserve"> the </w:t>
      </w:r>
      <w:r w:rsidR="00AB4833">
        <w:t>S</w:t>
      </w:r>
      <w:r w:rsidR="00AB4833" w:rsidRPr="0025462C">
        <w:t xml:space="preserve">ituation of the Roma in all spheres </w:t>
      </w:r>
      <w:r w:rsidR="00AB4833">
        <w:t xml:space="preserve">and results of evaluations by the National Agency for Roma </w:t>
      </w:r>
      <w:r w:rsidR="00AB4833" w:rsidRPr="00084AD6">
        <w:rPr>
          <w:lang w:val="en-US"/>
        </w:rPr>
        <w:t>(CERD/C/304/Add.85</w:t>
      </w:r>
      <w:r w:rsidR="00231624" w:rsidRPr="00084AD6">
        <w:rPr>
          <w:lang w:val="en-US"/>
        </w:rPr>
        <w:t>,</w:t>
      </w:r>
      <w:r w:rsidR="00AB4833" w:rsidRPr="00084AD6">
        <w:rPr>
          <w:lang w:val="en-US"/>
        </w:rPr>
        <w:t xml:space="preserve"> par</w:t>
      </w:r>
      <w:r w:rsidR="00231624" w:rsidRPr="00084AD6">
        <w:rPr>
          <w:lang w:val="en-US"/>
        </w:rPr>
        <w:t>a</w:t>
      </w:r>
      <w:r w:rsidR="00AB4833" w:rsidRPr="00084AD6">
        <w:rPr>
          <w:lang w:val="en-US"/>
        </w:rPr>
        <w:t xml:space="preserve">. </w:t>
      </w:r>
      <w:r w:rsidR="00AB4833" w:rsidRPr="00491574">
        <w:rPr>
          <w:lang w:val="en-US"/>
        </w:rPr>
        <w:t>15; CERD/C/ROU/16-19, par</w:t>
      </w:r>
      <w:r w:rsidR="00231624" w:rsidRPr="00491574">
        <w:rPr>
          <w:lang w:val="en-US"/>
        </w:rPr>
        <w:t>a</w:t>
      </w:r>
      <w:r w:rsidR="00AB4833" w:rsidRPr="00491574">
        <w:rPr>
          <w:lang w:val="en-US"/>
        </w:rPr>
        <w:t xml:space="preserve">s. 34, 123 </w:t>
      </w:r>
      <w:r w:rsidR="00231624" w:rsidRPr="00491574">
        <w:rPr>
          <w:lang w:val="en-US"/>
        </w:rPr>
        <w:t>ff</w:t>
      </w:r>
      <w:r w:rsidR="00AB4833" w:rsidRPr="00491574">
        <w:rPr>
          <w:i/>
          <w:iCs/>
          <w:lang w:val="en-US"/>
        </w:rPr>
        <w:t>.</w:t>
      </w:r>
      <w:r w:rsidR="00AB4833" w:rsidRPr="00491574">
        <w:rPr>
          <w:lang w:val="en-US"/>
        </w:rPr>
        <w:t>, 130)</w:t>
      </w:r>
      <w:r w:rsidR="00DE6397" w:rsidRPr="00491574">
        <w:rPr>
          <w:lang w:val="en-US"/>
        </w:rPr>
        <w:t>;</w:t>
      </w:r>
    </w:p>
    <w:p w:rsidR="00AB4833" w:rsidRDefault="00FE21D0" w:rsidP="00FE21D0">
      <w:pPr>
        <w:pStyle w:val="SingleTxtG"/>
      </w:pPr>
      <w:r>
        <w:tab/>
        <w:t>(d)</w:t>
      </w:r>
      <w:r>
        <w:tab/>
      </w:r>
      <w:r w:rsidR="00AB4833">
        <w:t>I</w:t>
      </w:r>
      <w:r w:rsidR="00AB4833" w:rsidRPr="0025462C">
        <w:t xml:space="preserve">mplementation of existing </w:t>
      </w:r>
      <w:r w:rsidR="00AB4833">
        <w:t>initiatives</w:t>
      </w:r>
      <w:r w:rsidR="00AB4833" w:rsidRPr="0025462C">
        <w:t xml:space="preserve"> to ensure social inclusion of members of </w:t>
      </w:r>
      <w:r w:rsidR="00AB4833">
        <w:t>minorities</w:t>
      </w:r>
      <w:r w:rsidR="00AB4833" w:rsidRPr="00E073F8">
        <w:t xml:space="preserve"> </w:t>
      </w:r>
      <w:r w:rsidR="00AB4833" w:rsidRPr="0025462C">
        <w:t>and their equal footing with</w:t>
      </w:r>
      <w:r w:rsidR="00AB4833">
        <w:t xml:space="preserve"> the rest of the population, in particular </w:t>
      </w:r>
      <w:r w:rsidR="00AB4833" w:rsidRPr="0025462C">
        <w:t xml:space="preserve">regarding the identified priorities of the National Strategy for </w:t>
      </w:r>
      <w:r w:rsidR="005D3D10" w:rsidRPr="0025462C">
        <w:t xml:space="preserve">Improving </w:t>
      </w:r>
      <w:r w:rsidR="00AB4833" w:rsidRPr="0025462C">
        <w:t xml:space="preserve">the </w:t>
      </w:r>
      <w:r w:rsidR="005D3D10" w:rsidRPr="0025462C">
        <w:t xml:space="preserve">Situation </w:t>
      </w:r>
      <w:r w:rsidR="00AB4833" w:rsidRPr="0025462C">
        <w:t>of the Roma (CERD/C/ROU/16-19, par</w:t>
      </w:r>
      <w:r w:rsidR="005D3D10">
        <w:t>a</w:t>
      </w:r>
      <w:r w:rsidR="00AB4833">
        <w:t>s</w:t>
      </w:r>
      <w:r w:rsidR="00AB4833" w:rsidRPr="0025462C">
        <w:t xml:space="preserve">. 34, 124 </w:t>
      </w:r>
      <w:r w:rsidR="005D3D10">
        <w:rPr>
          <w:iCs/>
        </w:rPr>
        <w:t>ff</w:t>
      </w:r>
      <w:r w:rsidR="00AB4833" w:rsidRPr="005640F2">
        <w:rPr>
          <w:i/>
          <w:iCs/>
        </w:rPr>
        <w:t>.</w:t>
      </w:r>
      <w:r w:rsidR="00AB4833" w:rsidRPr="0025462C">
        <w:t>)</w:t>
      </w:r>
      <w:r w:rsidR="00DE6397">
        <w:t>;</w:t>
      </w:r>
    </w:p>
    <w:p w:rsidR="00AB4833" w:rsidRDefault="00FE21D0" w:rsidP="00FE21D0">
      <w:pPr>
        <w:pStyle w:val="SingleTxtG"/>
      </w:pPr>
      <w:r>
        <w:tab/>
        <w:t>(e)</w:t>
      </w:r>
      <w:r>
        <w:tab/>
      </w:r>
      <w:r w:rsidR="00AB4833" w:rsidRPr="001818B4">
        <w:t>Access to housing</w:t>
      </w:r>
      <w:r w:rsidR="00AB4833">
        <w:t xml:space="preserve"> and measures to address </w:t>
      </w:r>
      <w:r w:rsidR="00AB4833" w:rsidRPr="001818B4">
        <w:t>cases of geographical residential isolation (</w:t>
      </w:r>
      <w:r w:rsidR="00AB4833" w:rsidRPr="0025462C">
        <w:t>CERD/C/ROU/16-19</w:t>
      </w:r>
      <w:r w:rsidR="00AB4833">
        <w:t>, par</w:t>
      </w:r>
      <w:r w:rsidR="005D3D10">
        <w:t>a</w:t>
      </w:r>
      <w:r w:rsidR="00AB4833">
        <w:t>s. 141, 316, 319</w:t>
      </w:r>
      <w:r w:rsidR="00AB4833" w:rsidRPr="005D3D10">
        <w:t xml:space="preserve"> </w:t>
      </w:r>
      <w:r w:rsidR="00AB4833" w:rsidRPr="005D3D10">
        <w:rPr>
          <w:iCs/>
        </w:rPr>
        <w:t>ff</w:t>
      </w:r>
      <w:r w:rsidR="00AB4833" w:rsidRPr="005D3D10">
        <w:t>.</w:t>
      </w:r>
      <w:r w:rsidR="00AB4833">
        <w:t>)</w:t>
      </w:r>
      <w:r w:rsidR="00DE6397">
        <w:t>;</w:t>
      </w:r>
    </w:p>
    <w:p w:rsidR="00AB4833" w:rsidRDefault="00FE21D0" w:rsidP="00FE21D0">
      <w:pPr>
        <w:pStyle w:val="SingleTxtG"/>
      </w:pPr>
      <w:r>
        <w:tab/>
        <w:t>(f)</w:t>
      </w:r>
      <w:r>
        <w:tab/>
      </w:r>
      <w:r w:rsidR="00AB4833">
        <w:t>Information on measures to counter discrimination in access to employment and results of t</w:t>
      </w:r>
      <w:r w:rsidR="00AB4833" w:rsidRPr="00D5474A">
        <w:t>he National Action Plan for Employment</w:t>
      </w:r>
      <w:r w:rsidR="00AB4833">
        <w:t xml:space="preserve"> (</w:t>
      </w:r>
      <w:r w:rsidR="00AB4833" w:rsidRPr="0025462C">
        <w:t>CERD/C/ROU/16-19</w:t>
      </w:r>
      <w:r w:rsidR="00AB4833">
        <w:t>, par</w:t>
      </w:r>
      <w:r w:rsidR="005D3D10">
        <w:t>a</w:t>
      </w:r>
      <w:r w:rsidR="00AB4833">
        <w:t xml:space="preserve">s. 139, 285, 286 </w:t>
      </w:r>
      <w:r w:rsidR="00AB4833" w:rsidRPr="00231624">
        <w:rPr>
          <w:iCs/>
        </w:rPr>
        <w:t>ff</w:t>
      </w:r>
      <w:r w:rsidR="00AB4833" w:rsidRPr="00231624">
        <w:t>.)</w:t>
      </w:r>
      <w:r w:rsidR="00DE6397">
        <w:t>;</w:t>
      </w:r>
      <w:r w:rsidR="00AB4833">
        <w:t xml:space="preserve"> </w:t>
      </w:r>
    </w:p>
    <w:p w:rsidR="00AB4833" w:rsidRPr="00491574" w:rsidRDefault="00FE21D0" w:rsidP="00FE21D0">
      <w:pPr>
        <w:pStyle w:val="SingleTxtG"/>
        <w:rPr>
          <w:lang w:val="en-US"/>
        </w:rPr>
      </w:pPr>
      <w:r>
        <w:tab/>
        <w:t>(g)</w:t>
      </w:r>
      <w:r>
        <w:tab/>
      </w:r>
      <w:r w:rsidR="00AB4833">
        <w:t xml:space="preserve">Information on the </w:t>
      </w:r>
      <w:r w:rsidR="00AB4833" w:rsidRPr="0025462C">
        <w:t xml:space="preserve">efforts to decrease the resistance of certain local authorities to use minority languages and to increase the institutional recruitment of members of the Roma community </w:t>
      </w:r>
      <w:r w:rsidR="00AB4833">
        <w:t>with a view to fostering</w:t>
      </w:r>
      <w:r w:rsidR="00AB4833" w:rsidRPr="0025462C">
        <w:t xml:space="preserve"> intercultural dialogue and understanding among public authorities and civil servants </w:t>
      </w:r>
      <w:r w:rsidR="00AB4833" w:rsidRPr="00084AD6">
        <w:rPr>
          <w:lang w:val="en-US"/>
        </w:rPr>
        <w:t>(CERD/C/304/Add.85 par</w:t>
      </w:r>
      <w:r w:rsidR="005D3D10" w:rsidRPr="00084AD6">
        <w:rPr>
          <w:lang w:val="en-US"/>
        </w:rPr>
        <w:t>a</w:t>
      </w:r>
      <w:r w:rsidR="00AB4833" w:rsidRPr="00084AD6">
        <w:rPr>
          <w:lang w:val="en-US"/>
        </w:rPr>
        <w:t xml:space="preserve">. </w:t>
      </w:r>
      <w:r w:rsidR="00AB4833" w:rsidRPr="00491574">
        <w:rPr>
          <w:lang w:val="en-US"/>
        </w:rPr>
        <w:t>17; CERD/C/ROU/16-19</w:t>
      </w:r>
      <w:r w:rsidR="00DE6397" w:rsidRPr="00491574">
        <w:rPr>
          <w:lang w:val="en-US"/>
        </w:rPr>
        <w:t>,</w:t>
      </w:r>
      <w:r w:rsidR="00AB4833" w:rsidRPr="00491574">
        <w:rPr>
          <w:lang w:val="en-US"/>
        </w:rPr>
        <w:t xml:space="preserve"> par</w:t>
      </w:r>
      <w:r w:rsidR="005D3D10" w:rsidRPr="00491574">
        <w:rPr>
          <w:lang w:val="en-US"/>
        </w:rPr>
        <w:t>a</w:t>
      </w:r>
      <w:r w:rsidR="00AB4833" w:rsidRPr="00491574">
        <w:rPr>
          <w:lang w:val="en-US"/>
        </w:rPr>
        <w:t xml:space="preserve">s. 438 </w:t>
      </w:r>
      <w:r w:rsidR="005D3D10" w:rsidRPr="00491574">
        <w:rPr>
          <w:iCs/>
          <w:lang w:val="en-US"/>
        </w:rPr>
        <w:t>ff</w:t>
      </w:r>
      <w:r w:rsidR="005D3D10" w:rsidRPr="00491574">
        <w:rPr>
          <w:lang w:val="en-US"/>
        </w:rPr>
        <w:t>.</w:t>
      </w:r>
      <w:r w:rsidR="00AB4833" w:rsidRPr="00491574">
        <w:rPr>
          <w:lang w:val="en-US"/>
        </w:rPr>
        <w:t>)</w:t>
      </w:r>
      <w:r w:rsidR="00DE6397" w:rsidRPr="00491574">
        <w:rPr>
          <w:lang w:val="en-US"/>
        </w:rPr>
        <w:t>;</w:t>
      </w:r>
    </w:p>
    <w:p w:rsidR="00AB4833" w:rsidRDefault="00FE21D0" w:rsidP="00FE21D0">
      <w:pPr>
        <w:pStyle w:val="SingleTxtG"/>
      </w:pPr>
      <w:r>
        <w:tab/>
        <w:t>(h)</w:t>
      </w:r>
      <w:r>
        <w:tab/>
      </w:r>
      <w:r w:rsidR="00AB4833">
        <w:t>T</w:t>
      </w:r>
      <w:r w:rsidR="00AB4833" w:rsidRPr="0025462C">
        <w:t xml:space="preserve">he </w:t>
      </w:r>
      <w:r w:rsidR="00AB4833">
        <w:t xml:space="preserve">results of </w:t>
      </w:r>
      <w:r w:rsidR="00AB4833" w:rsidRPr="0025462C">
        <w:t>awareness-raising activities and human rights education promoti</w:t>
      </w:r>
      <w:r w:rsidR="00AB4833">
        <w:t>ng</w:t>
      </w:r>
      <w:r w:rsidR="00AB4833" w:rsidRPr="0025462C">
        <w:t xml:space="preserve"> multicultural </w:t>
      </w:r>
      <w:r w:rsidR="00AB4833">
        <w:t xml:space="preserve">dialogue </w:t>
      </w:r>
      <w:r w:rsidR="00AB4833" w:rsidRPr="0025462C">
        <w:t xml:space="preserve">aimed at the public at large </w:t>
      </w:r>
      <w:r w:rsidR="005D3D10">
        <w:t>and</w:t>
      </w:r>
      <w:r w:rsidR="00AB4833" w:rsidRPr="0025462C">
        <w:t xml:space="preserve"> </w:t>
      </w:r>
      <w:r w:rsidR="00AB4833">
        <w:t xml:space="preserve">information on </w:t>
      </w:r>
      <w:r w:rsidR="00AB4833" w:rsidRPr="0025462C">
        <w:t xml:space="preserve">any programmes of support to the culture of national and ethnic minorities, in particular the Roma </w:t>
      </w:r>
      <w:r w:rsidR="00AB4833">
        <w:t>(</w:t>
      </w:r>
      <w:r w:rsidR="00AB4833" w:rsidRPr="00942018">
        <w:t>CERD/C/ROU/16-19</w:t>
      </w:r>
      <w:r w:rsidR="00DE6397">
        <w:t>,</w:t>
      </w:r>
      <w:r w:rsidR="00AB4833" w:rsidRPr="00942018">
        <w:t xml:space="preserve"> par</w:t>
      </w:r>
      <w:r w:rsidR="005D3D10">
        <w:t>a</w:t>
      </w:r>
      <w:r w:rsidR="00AB4833" w:rsidRPr="00942018">
        <w:t>s</w:t>
      </w:r>
      <w:r w:rsidR="00AB4833">
        <w:t xml:space="preserve">. 432 </w:t>
      </w:r>
      <w:r w:rsidR="005D3D10">
        <w:t>ff</w:t>
      </w:r>
      <w:r w:rsidR="00AB4833" w:rsidRPr="005640F2">
        <w:rPr>
          <w:i/>
          <w:iCs/>
        </w:rPr>
        <w:t>.</w:t>
      </w:r>
      <w:r w:rsidR="00AB4833">
        <w:t>)</w:t>
      </w:r>
      <w:r w:rsidR="00DE6397">
        <w:t>;</w:t>
      </w:r>
    </w:p>
    <w:p w:rsidR="00AB4833" w:rsidRPr="0025462C" w:rsidRDefault="00FE21D0" w:rsidP="00FE21D0">
      <w:pPr>
        <w:pStyle w:val="SingleTxtG"/>
      </w:pPr>
      <w:r>
        <w:tab/>
        <w:t>(i)</w:t>
      </w:r>
      <w:r>
        <w:tab/>
      </w:r>
      <w:r w:rsidR="00AB4833">
        <w:t>T</w:t>
      </w:r>
      <w:r w:rsidR="00AB4833" w:rsidRPr="0025462C">
        <w:t xml:space="preserve">he impact </w:t>
      </w:r>
      <w:r w:rsidR="00AB4833">
        <w:t xml:space="preserve">of </w:t>
      </w:r>
      <w:r w:rsidR="00AB4833" w:rsidRPr="0025462C">
        <w:t>specific human rights education and training programmes to public officials</w:t>
      </w:r>
      <w:r w:rsidR="00AB4833">
        <w:t xml:space="preserve">, among others, </w:t>
      </w:r>
      <w:r w:rsidR="00AB4833" w:rsidRPr="0025462C">
        <w:t>law enforcement officials</w:t>
      </w:r>
      <w:r w:rsidR="00AB4833">
        <w:t>, members of the judiciary,</w:t>
      </w:r>
      <w:r w:rsidR="00AB4833" w:rsidRPr="00546B86">
        <w:t xml:space="preserve"> </w:t>
      </w:r>
      <w:r w:rsidR="00AB4833" w:rsidRPr="0025462C">
        <w:t>teachers, social workers,</w:t>
      </w:r>
      <w:r w:rsidR="00AB4833">
        <w:t xml:space="preserve"> and</w:t>
      </w:r>
      <w:r w:rsidR="00AB4833" w:rsidRPr="0025462C">
        <w:t xml:space="preserve"> health personnel</w:t>
      </w:r>
      <w:r w:rsidR="00AB4833">
        <w:t xml:space="preserve">, on </w:t>
      </w:r>
      <w:r w:rsidR="00AB4833" w:rsidRPr="0025462C">
        <w:t xml:space="preserve">entrenched discriminatory </w:t>
      </w:r>
      <w:r w:rsidR="00AB4833">
        <w:t xml:space="preserve">attitudes and perceptions </w:t>
      </w:r>
      <w:r w:rsidR="00AB4833" w:rsidRPr="0025462C">
        <w:t>(CERD/C/ROU/16-19 par</w:t>
      </w:r>
      <w:r w:rsidR="005D3D10">
        <w:t>a</w:t>
      </w:r>
      <w:r w:rsidR="00AB4833" w:rsidRPr="0025462C">
        <w:t xml:space="preserve">s. 453 </w:t>
      </w:r>
      <w:r w:rsidR="005D3D10">
        <w:t>ff</w:t>
      </w:r>
      <w:r w:rsidR="00AB4833" w:rsidRPr="005640F2">
        <w:rPr>
          <w:i/>
          <w:iCs/>
        </w:rPr>
        <w:t>.</w:t>
      </w:r>
      <w:r w:rsidR="00AB4833" w:rsidRPr="0025462C">
        <w:t>)</w:t>
      </w:r>
      <w:r w:rsidR="00A20204">
        <w:t>.</w:t>
      </w:r>
    </w:p>
    <w:p w:rsidR="00AB4833" w:rsidRPr="0025462C" w:rsidRDefault="00FE21D0" w:rsidP="00FE21D0">
      <w:pPr>
        <w:pStyle w:val="H23G"/>
      </w:pPr>
      <w:r>
        <w:tab/>
      </w:r>
      <w:r w:rsidR="00AB4833" w:rsidRPr="0025462C">
        <w:t>4.</w:t>
      </w:r>
      <w:r w:rsidR="00AB4833" w:rsidRPr="0025462C">
        <w:tab/>
        <w:t>Racist speech, inflammatory statements by public officials, the harassment of certain groups (art. 4)</w:t>
      </w:r>
      <w:r w:rsidR="00265FB6">
        <w:t>:</w:t>
      </w:r>
      <w:r w:rsidR="00AB4833" w:rsidRPr="0025462C">
        <w:t xml:space="preserve"> </w:t>
      </w:r>
    </w:p>
    <w:p w:rsidR="00AB4833" w:rsidRPr="0027335A" w:rsidRDefault="00FE21D0" w:rsidP="00FE21D0">
      <w:pPr>
        <w:pStyle w:val="SingleTxtG"/>
      </w:pPr>
      <w:r>
        <w:tab/>
        <w:t>(a)</w:t>
      </w:r>
      <w:r>
        <w:tab/>
      </w:r>
      <w:r w:rsidR="00AB4833">
        <w:t xml:space="preserve">The </w:t>
      </w:r>
      <w:r w:rsidR="00AB4833" w:rsidRPr="0025462C">
        <w:t>extent</w:t>
      </w:r>
      <w:r w:rsidR="00AB4833">
        <w:t xml:space="preserve"> to which</w:t>
      </w:r>
      <w:r w:rsidR="00AB4833" w:rsidRPr="0025462C">
        <w:t xml:space="preserve"> existing legislation prohibiting all forms of racial discrimination has been applied to counter racist propaganda, organizations and activities, including in the mass media, sports, politics and government officials, and on the Internet</w:t>
      </w:r>
      <w:r w:rsidR="00AB4833" w:rsidRPr="00A94618">
        <w:t xml:space="preserve"> </w:t>
      </w:r>
      <w:r w:rsidR="00AB4833" w:rsidRPr="0025462C">
        <w:t>(CERD/C/ROU/16-19, par</w:t>
      </w:r>
      <w:r w:rsidR="005D3D10">
        <w:t>a</w:t>
      </w:r>
      <w:r w:rsidR="00AB4833" w:rsidRPr="0025462C">
        <w:t xml:space="preserve">s. 187 </w:t>
      </w:r>
      <w:r w:rsidR="005D3D10">
        <w:rPr>
          <w:iCs/>
        </w:rPr>
        <w:t>ff</w:t>
      </w:r>
      <w:r w:rsidR="00AB4833" w:rsidRPr="005640F2">
        <w:rPr>
          <w:i/>
          <w:iCs/>
        </w:rPr>
        <w:t>.</w:t>
      </w:r>
      <w:r w:rsidR="00AB4833" w:rsidRPr="0025462C">
        <w:t>)</w:t>
      </w:r>
      <w:r w:rsidR="00DE6397">
        <w:t>;</w:t>
      </w:r>
    </w:p>
    <w:p w:rsidR="00AB4833" w:rsidRPr="0025462C" w:rsidRDefault="00FE21D0" w:rsidP="00FE21D0">
      <w:pPr>
        <w:pStyle w:val="SingleTxtG"/>
      </w:pPr>
      <w:r>
        <w:tab/>
        <w:t>(b)</w:t>
      </w:r>
      <w:r>
        <w:tab/>
      </w:r>
      <w:r w:rsidR="00AB4833">
        <w:t>M</w:t>
      </w:r>
      <w:r w:rsidR="00AB4833" w:rsidRPr="0025462C">
        <w:t>easures carried out to prevent and counteract inflammatory statements by public authorities, hate speech, the harassment of certain groups (in</w:t>
      </w:r>
      <w:r w:rsidR="00AB4833">
        <w:t>cluding Jews, Roma and other minorities</w:t>
      </w:r>
      <w:r w:rsidR="00AB4833" w:rsidRPr="0025462C">
        <w:t>)</w:t>
      </w:r>
      <w:r w:rsidR="00AB4833">
        <w:t xml:space="preserve"> (</w:t>
      </w:r>
      <w:r w:rsidR="00AB4833" w:rsidRPr="004833B2">
        <w:t xml:space="preserve">CERD/C/ROU/16-19, </w:t>
      </w:r>
      <w:r w:rsidR="00AB4833">
        <w:t>par</w:t>
      </w:r>
      <w:r w:rsidR="00DE6397">
        <w:t>a</w:t>
      </w:r>
      <w:r w:rsidR="00AB4833">
        <w:t xml:space="preserve">. 207 </w:t>
      </w:r>
      <w:r w:rsidR="005D3D10">
        <w:rPr>
          <w:iCs/>
        </w:rPr>
        <w:t>ff</w:t>
      </w:r>
      <w:r w:rsidR="00AB4833">
        <w:rPr>
          <w:i/>
          <w:iCs/>
        </w:rPr>
        <w:t>.</w:t>
      </w:r>
      <w:r w:rsidR="00AB4833" w:rsidRPr="004833B2">
        <w:t>)</w:t>
      </w:r>
      <w:r w:rsidR="00A20204">
        <w:t>.</w:t>
      </w:r>
    </w:p>
    <w:p w:rsidR="00AB4833" w:rsidRPr="0025462C" w:rsidRDefault="00FE21D0" w:rsidP="00FE21D0">
      <w:pPr>
        <w:pStyle w:val="H23G"/>
      </w:pPr>
      <w:r>
        <w:tab/>
      </w:r>
      <w:r w:rsidR="00AB4833" w:rsidRPr="0025462C">
        <w:t>5.</w:t>
      </w:r>
      <w:r w:rsidR="00AB4833" w:rsidRPr="0025462C">
        <w:tab/>
      </w:r>
      <w:r w:rsidR="00AB4833">
        <w:t>R</w:t>
      </w:r>
      <w:r w:rsidR="00AB4833" w:rsidRPr="00732D49">
        <w:t>esponsibilities with regard to non-citizens</w:t>
      </w:r>
      <w:r w:rsidR="00AB4833">
        <w:t>, in particular in their e</w:t>
      </w:r>
      <w:r w:rsidR="00AB4833" w:rsidRPr="0025462C">
        <w:t>qual</w:t>
      </w:r>
      <w:r w:rsidR="00AB4833">
        <w:t xml:space="preserve"> </w:t>
      </w:r>
      <w:r w:rsidR="00AB4833" w:rsidRPr="0025462C">
        <w:t xml:space="preserve">enjoyment </w:t>
      </w:r>
      <w:r w:rsidR="00AB4833">
        <w:t xml:space="preserve">before the law </w:t>
      </w:r>
      <w:r w:rsidR="00AB4833" w:rsidRPr="0025462C">
        <w:t>of civil, economic, social and cultural rights</w:t>
      </w:r>
      <w:r w:rsidR="00AB4833">
        <w:t xml:space="preserve"> </w:t>
      </w:r>
      <w:r w:rsidR="00AB4833" w:rsidRPr="0025462C">
        <w:t>(art</w:t>
      </w:r>
      <w:r w:rsidR="00AB4833">
        <w:t>s</w:t>
      </w:r>
      <w:r w:rsidR="00AB4833" w:rsidRPr="0025462C">
        <w:t>.</w:t>
      </w:r>
      <w:r w:rsidR="00AB4833">
        <w:t xml:space="preserve"> 2 and</w:t>
      </w:r>
      <w:r w:rsidR="00AB4833" w:rsidRPr="0025462C">
        <w:t xml:space="preserve"> 5)</w:t>
      </w:r>
      <w:r w:rsidR="00265FB6">
        <w:t>:</w:t>
      </w:r>
    </w:p>
    <w:p w:rsidR="00AB4833" w:rsidRPr="00491574" w:rsidRDefault="00FE21D0" w:rsidP="00FE21D0">
      <w:pPr>
        <w:pStyle w:val="SingleTxtG"/>
        <w:rPr>
          <w:lang w:val="en-US"/>
        </w:rPr>
      </w:pPr>
      <w:r>
        <w:tab/>
        <w:t>(a)</w:t>
      </w:r>
      <w:r>
        <w:tab/>
      </w:r>
      <w:r w:rsidR="00AB4833">
        <w:t xml:space="preserve">State protection of </w:t>
      </w:r>
      <w:r w:rsidR="00AB4833" w:rsidRPr="00A95957">
        <w:t>asylum</w:t>
      </w:r>
      <w:r w:rsidR="005D3D10">
        <w:t>-</w:t>
      </w:r>
      <w:r w:rsidR="00AB4833" w:rsidRPr="00A95957">
        <w:t>seekers</w:t>
      </w:r>
      <w:r w:rsidR="00AB4833">
        <w:t xml:space="preserve"> and refugees </w:t>
      </w:r>
      <w:r w:rsidR="00AB4833" w:rsidRPr="00084AD6">
        <w:rPr>
          <w:lang w:val="en-US"/>
        </w:rPr>
        <w:t>(CERD/C/ROU/16-19, par</w:t>
      </w:r>
      <w:r w:rsidR="005D3D10" w:rsidRPr="00084AD6">
        <w:rPr>
          <w:lang w:val="en-US"/>
        </w:rPr>
        <w:t>a</w:t>
      </w:r>
      <w:r w:rsidR="00AB4833" w:rsidRPr="00084AD6">
        <w:rPr>
          <w:lang w:val="en-US"/>
        </w:rPr>
        <w:t xml:space="preserve">s. </w:t>
      </w:r>
      <w:r w:rsidR="00AB4833" w:rsidRPr="00491574">
        <w:rPr>
          <w:lang w:val="en-US"/>
        </w:rPr>
        <w:t xml:space="preserve">145 </w:t>
      </w:r>
      <w:r w:rsidR="005D3D10" w:rsidRPr="00491574">
        <w:rPr>
          <w:lang w:val="en-US"/>
        </w:rPr>
        <w:t>ff</w:t>
      </w:r>
      <w:r w:rsidR="00AB4833" w:rsidRPr="00491574">
        <w:rPr>
          <w:i/>
          <w:iCs/>
          <w:lang w:val="en-US"/>
        </w:rPr>
        <w:t>.</w:t>
      </w:r>
      <w:r w:rsidR="00AB4833" w:rsidRPr="00491574">
        <w:rPr>
          <w:lang w:val="en-US"/>
        </w:rPr>
        <w:t>)</w:t>
      </w:r>
      <w:r w:rsidR="00DE6397" w:rsidRPr="00491574">
        <w:rPr>
          <w:lang w:val="en-US"/>
        </w:rPr>
        <w:t>;</w:t>
      </w:r>
    </w:p>
    <w:p w:rsidR="00AB4833" w:rsidRDefault="00FE21D0" w:rsidP="00FE21D0">
      <w:pPr>
        <w:pStyle w:val="SingleTxtG"/>
      </w:pPr>
      <w:r>
        <w:tab/>
        <w:t>(b)</w:t>
      </w:r>
      <w:r>
        <w:tab/>
      </w:r>
      <w:r w:rsidR="00AB4833">
        <w:t xml:space="preserve">Measures, including legislative provisions, to address </w:t>
      </w:r>
      <w:r w:rsidR="00AB4833" w:rsidRPr="000F35C5">
        <w:t>reported instances of exploitation of fo</w:t>
      </w:r>
      <w:r w:rsidR="00AB4833">
        <w:t>reign workers by some employers (</w:t>
      </w:r>
      <w:r w:rsidR="00AB4833" w:rsidRPr="00A94618">
        <w:t>CERD/C/ROU/16-19,</w:t>
      </w:r>
      <w:r w:rsidR="00AB4833">
        <w:t xml:space="preserve"> par</w:t>
      </w:r>
      <w:r w:rsidR="005D3D10">
        <w:t>a</w:t>
      </w:r>
      <w:r w:rsidR="00AB4833">
        <w:t xml:space="preserve">s. 148 </w:t>
      </w:r>
      <w:r w:rsidR="005D3D10">
        <w:rPr>
          <w:iCs/>
        </w:rPr>
        <w:t>ff</w:t>
      </w:r>
      <w:r w:rsidR="00AB4833" w:rsidRPr="005640F2">
        <w:rPr>
          <w:i/>
          <w:iCs/>
        </w:rPr>
        <w:t>.</w:t>
      </w:r>
      <w:r w:rsidR="00AB4833">
        <w:t>)</w:t>
      </w:r>
      <w:r w:rsidR="00A20204">
        <w:t>.</w:t>
      </w:r>
    </w:p>
    <w:p w:rsidR="00AB4833" w:rsidRPr="008E4CBA" w:rsidRDefault="00FE21D0" w:rsidP="00FE21D0">
      <w:pPr>
        <w:pStyle w:val="H23G"/>
      </w:pPr>
      <w:r>
        <w:tab/>
      </w:r>
      <w:r w:rsidR="00AB4833" w:rsidRPr="008E4CBA">
        <w:t>6.</w:t>
      </w:r>
      <w:r w:rsidR="00AB4833" w:rsidRPr="008E4CBA">
        <w:tab/>
        <w:t xml:space="preserve">The right to equal participation in cultural activities </w:t>
      </w:r>
      <w:r w:rsidR="00AB4833">
        <w:t xml:space="preserve">of minorities </w:t>
      </w:r>
      <w:r w:rsidR="00AB4833" w:rsidRPr="008E4CBA">
        <w:t>(art. 5)</w:t>
      </w:r>
    </w:p>
    <w:p w:rsidR="00AB4833" w:rsidRDefault="00FE21D0" w:rsidP="00FE21D0">
      <w:pPr>
        <w:pStyle w:val="SingleTxtG"/>
      </w:pPr>
      <w:r>
        <w:tab/>
        <w:t>(a)</w:t>
      </w:r>
      <w:r>
        <w:tab/>
      </w:r>
      <w:r w:rsidR="00AB4833" w:rsidRPr="00EC575F">
        <w:t xml:space="preserve">Examples of the </w:t>
      </w:r>
      <w:r w:rsidR="00AB4833">
        <w:t>programmes</w:t>
      </w:r>
      <w:r w:rsidR="00AB4833" w:rsidRPr="00051A7A">
        <w:t xml:space="preserve"> </w:t>
      </w:r>
      <w:r w:rsidR="00AB4833">
        <w:t>carried out</w:t>
      </w:r>
      <w:r w:rsidR="00AB4833" w:rsidRPr="00051A7A">
        <w:t xml:space="preserve"> to recognize and promote the cultural rights of different national minorit</w:t>
      </w:r>
      <w:r w:rsidR="00AB4833">
        <w:t>ies</w:t>
      </w:r>
      <w:r w:rsidR="00AB4833" w:rsidRPr="00051A7A">
        <w:t xml:space="preserve"> </w:t>
      </w:r>
      <w:r w:rsidR="00AB4833">
        <w:t>and progress in the implementation of such initiatives (</w:t>
      </w:r>
      <w:r w:rsidR="00AB4833" w:rsidRPr="00EC575F">
        <w:t>CERD/C/ROU/16-19</w:t>
      </w:r>
      <w:r w:rsidR="00AB4833">
        <w:t>, par</w:t>
      </w:r>
      <w:r w:rsidR="005D3D10">
        <w:t>as</w:t>
      </w:r>
      <w:r w:rsidR="00AB4833">
        <w:t xml:space="preserve">. 40, 89, 456 </w:t>
      </w:r>
      <w:r w:rsidR="005D3D10">
        <w:t>ff</w:t>
      </w:r>
      <w:r w:rsidR="00AB4833">
        <w:t>.)</w:t>
      </w:r>
      <w:r w:rsidR="00A20204">
        <w:t>.</w:t>
      </w:r>
    </w:p>
    <w:p w:rsidR="00424959" w:rsidRPr="00424959" w:rsidRDefault="00424959" w:rsidP="00424959">
      <w:pPr>
        <w:pStyle w:val="Bullet1G"/>
        <w:numPr>
          <w:ilvl w:val="0"/>
          <w:numId w:val="0"/>
        </w:numPr>
        <w:spacing w:before="240" w:after="0"/>
        <w:ind w:left="1134"/>
        <w:jc w:val="center"/>
        <w:rPr>
          <w:u w:val="single"/>
        </w:rPr>
      </w:pPr>
      <w:r>
        <w:rPr>
          <w:u w:val="single"/>
        </w:rPr>
        <w:tab/>
      </w:r>
      <w:r>
        <w:rPr>
          <w:u w:val="single"/>
        </w:rPr>
        <w:tab/>
      </w:r>
      <w:r>
        <w:rPr>
          <w:u w:val="single"/>
        </w:rPr>
        <w:tab/>
      </w:r>
    </w:p>
    <w:sectPr w:rsidR="00424959" w:rsidRPr="00424959" w:rsidSect="000D6C6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B8" w:rsidRDefault="004812B8"/>
  </w:endnote>
  <w:endnote w:type="continuationSeparator" w:id="0">
    <w:p w:rsidR="004812B8" w:rsidRDefault="004812B8"/>
  </w:endnote>
  <w:endnote w:type="continuationNotice" w:id="1">
    <w:p w:rsidR="004812B8" w:rsidRDefault="00481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25" w:rsidRPr="000D6C6A" w:rsidRDefault="00102D25" w:rsidP="000D6C6A">
    <w:pPr>
      <w:pStyle w:val="Footer"/>
      <w:tabs>
        <w:tab w:val="right" w:pos="9638"/>
      </w:tabs>
    </w:pPr>
    <w:r w:rsidRPr="000D6C6A">
      <w:rPr>
        <w:b/>
        <w:sz w:val="18"/>
      </w:rPr>
      <w:fldChar w:fldCharType="begin"/>
    </w:r>
    <w:r w:rsidRPr="000D6C6A">
      <w:rPr>
        <w:b/>
        <w:sz w:val="18"/>
      </w:rPr>
      <w:instrText xml:space="preserve"> PAGE  \* MERGEFORMAT </w:instrText>
    </w:r>
    <w:r w:rsidRPr="000D6C6A">
      <w:rPr>
        <w:b/>
        <w:sz w:val="18"/>
      </w:rPr>
      <w:fldChar w:fldCharType="separate"/>
    </w:r>
    <w:r>
      <w:rPr>
        <w:b/>
        <w:noProof/>
        <w:sz w:val="18"/>
      </w:rPr>
      <w:t>2</w:t>
    </w:r>
    <w:r w:rsidRPr="000D6C6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25" w:rsidRPr="000D6C6A" w:rsidRDefault="00102D25" w:rsidP="000D6C6A">
    <w:pPr>
      <w:pStyle w:val="Footer"/>
      <w:tabs>
        <w:tab w:val="right" w:pos="9638"/>
      </w:tabs>
      <w:rPr>
        <w:b/>
        <w:sz w:val="18"/>
      </w:rPr>
    </w:pPr>
    <w:r>
      <w:tab/>
    </w:r>
    <w:r w:rsidRPr="000D6C6A">
      <w:rPr>
        <w:b/>
        <w:sz w:val="18"/>
      </w:rPr>
      <w:fldChar w:fldCharType="begin"/>
    </w:r>
    <w:r w:rsidRPr="000D6C6A">
      <w:rPr>
        <w:b/>
        <w:sz w:val="18"/>
      </w:rPr>
      <w:instrText xml:space="preserve"> PAGE  \* MERGEFORMAT </w:instrText>
    </w:r>
    <w:r w:rsidRPr="000D6C6A">
      <w:rPr>
        <w:b/>
        <w:sz w:val="18"/>
      </w:rPr>
      <w:fldChar w:fldCharType="separate"/>
    </w:r>
    <w:r>
      <w:rPr>
        <w:b/>
        <w:noProof/>
        <w:sz w:val="18"/>
      </w:rPr>
      <w:t>3</w:t>
    </w:r>
    <w:r w:rsidRPr="000D6C6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25" w:rsidRPr="000D6C6A" w:rsidRDefault="00102D25">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Pr>
        <w:sz w:val="20"/>
      </w:rPr>
      <w:t>GE.10-43509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B8" w:rsidRPr="000B175B" w:rsidRDefault="004812B8" w:rsidP="000B175B">
      <w:pPr>
        <w:tabs>
          <w:tab w:val="right" w:pos="2155"/>
        </w:tabs>
        <w:spacing w:after="80"/>
        <w:ind w:left="680"/>
        <w:rPr>
          <w:u w:val="single"/>
        </w:rPr>
      </w:pPr>
      <w:r>
        <w:rPr>
          <w:u w:val="single"/>
        </w:rPr>
        <w:tab/>
      </w:r>
    </w:p>
  </w:footnote>
  <w:footnote w:type="continuationSeparator" w:id="0">
    <w:p w:rsidR="004812B8" w:rsidRPr="00FC68B7" w:rsidRDefault="004812B8" w:rsidP="00FC68B7">
      <w:pPr>
        <w:tabs>
          <w:tab w:val="left" w:pos="2155"/>
        </w:tabs>
        <w:spacing w:after="80"/>
        <w:ind w:left="680"/>
        <w:rPr>
          <w:u w:val="single"/>
        </w:rPr>
      </w:pPr>
      <w:r>
        <w:rPr>
          <w:u w:val="single"/>
        </w:rPr>
        <w:tab/>
      </w:r>
    </w:p>
  </w:footnote>
  <w:footnote w:type="continuationNotice" w:id="1">
    <w:p w:rsidR="004812B8" w:rsidRDefault="004812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25" w:rsidRPr="000D6C6A" w:rsidRDefault="00102D25">
    <w:pPr>
      <w:pStyle w:val="Header"/>
    </w:pPr>
    <w:r>
      <w:t>CERD/C/ROU/Q/16-19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25" w:rsidRPr="000D6C6A" w:rsidRDefault="00102D25" w:rsidP="000D6C6A">
    <w:pPr>
      <w:pStyle w:val="Header"/>
      <w:jc w:val="right"/>
    </w:pPr>
    <w:r>
      <w:t>CERD/C/ROU/Q/16-19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570"/>
        </w:tabs>
        <w:ind w:left="1570" w:hanging="170"/>
      </w:pPr>
      <w:rPr>
        <w:rFonts w:ascii="Times New Roman" w:hAnsi="Times New Roman" w:cs="Times New Roman" w:hint="default"/>
      </w:rPr>
    </w:lvl>
    <w:lvl w:ilvl="1" w:tplc="040C0003" w:tentative="1">
      <w:start w:val="1"/>
      <w:numFmt w:val="bullet"/>
      <w:lvlText w:val="o"/>
      <w:lvlJc w:val="left"/>
      <w:pPr>
        <w:tabs>
          <w:tab w:val="num" w:pos="1309"/>
        </w:tabs>
        <w:ind w:left="1309" w:hanging="360"/>
      </w:pPr>
      <w:rPr>
        <w:rFonts w:ascii="Courier New" w:hAnsi="Courier New" w:cs="Courier New" w:hint="default"/>
      </w:rPr>
    </w:lvl>
    <w:lvl w:ilvl="2" w:tplc="040C0005" w:tentative="1">
      <w:start w:val="1"/>
      <w:numFmt w:val="bullet"/>
      <w:lvlText w:val=""/>
      <w:lvlJc w:val="left"/>
      <w:pPr>
        <w:tabs>
          <w:tab w:val="num" w:pos="2029"/>
        </w:tabs>
        <w:ind w:left="2029" w:hanging="360"/>
      </w:pPr>
      <w:rPr>
        <w:rFonts w:ascii="Wingdings" w:hAnsi="Wingdings" w:hint="default"/>
      </w:rPr>
    </w:lvl>
    <w:lvl w:ilvl="3" w:tplc="040C0001" w:tentative="1">
      <w:start w:val="1"/>
      <w:numFmt w:val="bullet"/>
      <w:lvlText w:val=""/>
      <w:lvlJc w:val="left"/>
      <w:pPr>
        <w:tabs>
          <w:tab w:val="num" w:pos="2749"/>
        </w:tabs>
        <w:ind w:left="2749" w:hanging="360"/>
      </w:pPr>
      <w:rPr>
        <w:rFonts w:ascii="Symbol" w:hAnsi="Symbol" w:hint="default"/>
      </w:rPr>
    </w:lvl>
    <w:lvl w:ilvl="4" w:tplc="040C0003" w:tentative="1">
      <w:start w:val="1"/>
      <w:numFmt w:val="bullet"/>
      <w:lvlText w:val="o"/>
      <w:lvlJc w:val="left"/>
      <w:pPr>
        <w:tabs>
          <w:tab w:val="num" w:pos="3469"/>
        </w:tabs>
        <w:ind w:left="3469" w:hanging="360"/>
      </w:pPr>
      <w:rPr>
        <w:rFonts w:ascii="Courier New" w:hAnsi="Courier New" w:cs="Courier New" w:hint="default"/>
      </w:rPr>
    </w:lvl>
    <w:lvl w:ilvl="5" w:tplc="040C0005" w:tentative="1">
      <w:start w:val="1"/>
      <w:numFmt w:val="bullet"/>
      <w:lvlText w:val=""/>
      <w:lvlJc w:val="left"/>
      <w:pPr>
        <w:tabs>
          <w:tab w:val="num" w:pos="4189"/>
        </w:tabs>
        <w:ind w:left="4189" w:hanging="360"/>
      </w:pPr>
      <w:rPr>
        <w:rFonts w:ascii="Wingdings" w:hAnsi="Wingdings" w:hint="default"/>
      </w:rPr>
    </w:lvl>
    <w:lvl w:ilvl="6" w:tplc="040C0001" w:tentative="1">
      <w:start w:val="1"/>
      <w:numFmt w:val="bullet"/>
      <w:lvlText w:val=""/>
      <w:lvlJc w:val="left"/>
      <w:pPr>
        <w:tabs>
          <w:tab w:val="num" w:pos="4909"/>
        </w:tabs>
        <w:ind w:left="4909" w:hanging="360"/>
      </w:pPr>
      <w:rPr>
        <w:rFonts w:ascii="Symbol" w:hAnsi="Symbol" w:hint="default"/>
      </w:rPr>
    </w:lvl>
    <w:lvl w:ilvl="7" w:tplc="040C0003" w:tentative="1">
      <w:start w:val="1"/>
      <w:numFmt w:val="bullet"/>
      <w:lvlText w:val="o"/>
      <w:lvlJc w:val="left"/>
      <w:pPr>
        <w:tabs>
          <w:tab w:val="num" w:pos="5629"/>
        </w:tabs>
        <w:ind w:left="5629" w:hanging="360"/>
      </w:pPr>
      <w:rPr>
        <w:rFonts w:ascii="Courier New" w:hAnsi="Courier New" w:cs="Courier New" w:hint="default"/>
      </w:rPr>
    </w:lvl>
    <w:lvl w:ilvl="8" w:tplc="040C0005" w:tentative="1">
      <w:start w:val="1"/>
      <w:numFmt w:val="bullet"/>
      <w:lvlText w:val=""/>
      <w:lvlJc w:val="left"/>
      <w:pPr>
        <w:tabs>
          <w:tab w:val="num" w:pos="6349"/>
        </w:tabs>
        <w:ind w:left="6349" w:hanging="360"/>
      </w:pPr>
      <w:rPr>
        <w:rFonts w:ascii="Wingdings" w:hAnsi="Wingdings" w:hint="default"/>
      </w:rPr>
    </w:lvl>
  </w:abstractNum>
  <w:abstractNum w:abstractNumId="1">
    <w:nsid w:val="0A8B1ED7"/>
    <w:multiLevelType w:val="hybridMultilevel"/>
    <w:tmpl w:val="C5D653A6"/>
    <w:lvl w:ilvl="0" w:tplc="0409000F">
      <w:start w:val="1"/>
      <w:numFmt w:val="decimal"/>
      <w:lvlText w:val="%1."/>
      <w:lvlJc w:val="left"/>
      <w:pPr>
        <w:tabs>
          <w:tab w:val="num" w:pos="360"/>
        </w:tabs>
        <w:ind w:left="360" w:hanging="360"/>
      </w:pPr>
      <w:rPr>
        <w:rFonts w:hint="default"/>
      </w:rPr>
    </w:lvl>
    <w:lvl w:ilvl="1" w:tplc="56DA6488">
      <w:start w:val="1"/>
      <w:numFmt w:val="bullet"/>
      <w:lvlText w:val="-"/>
      <w:lvlJc w:val="left"/>
      <w:pPr>
        <w:tabs>
          <w:tab w:val="num" w:pos="1080"/>
        </w:tabs>
        <w:ind w:left="407" w:firstLine="313"/>
      </w:pPr>
      <w:rPr>
        <w:rFonts w:ascii="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0F7FD6"/>
    <w:multiLevelType w:val="hybridMultilevel"/>
    <w:tmpl w:val="29260092"/>
    <w:lvl w:ilvl="0" w:tplc="56DA6488">
      <w:start w:val="1"/>
      <w:numFmt w:val="bullet"/>
      <w:lvlText w:val="-"/>
      <w:lvlJc w:val="left"/>
      <w:pPr>
        <w:tabs>
          <w:tab w:val="num" w:pos="360"/>
        </w:tabs>
        <w:ind w:left="-313" w:firstLine="313"/>
      </w:pPr>
      <w:rPr>
        <w:rFonts w:ascii="Times New Roman" w:hAnsi="Times New Roman" w:cs="Times New Roman" w:hint="default"/>
      </w:rPr>
    </w:lvl>
    <w:lvl w:ilvl="1" w:tplc="56DA6488">
      <w:start w:val="1"/>
      <w:numFmt w:val="bullet"/>
      <w:lvlText w:val="-"/>
      <w:lvlJc w:val="left"/>
      <w:pPr>
        <w:tabs>
          <w:tab w:val="num" w:pos="1080"/>
        </w:tabs>
        <w:ind w:left="407" w:firstLine="313"/>
      </w:pPr>
      <w:rPr>
        <w:rFonts w:ascii="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C6A"/>
    <w:rsid w:val="00005FD0"/>
    <w:rsid w:val="00032FF2"/>
    <w:rsid w:val="00050F6B"/>
    <w:rsid w:val="000551DC"/>
    <w:rsid w:val="00071092"/>
    <w:rsid w:val="00072C8C"/>
    <w:rsid w:val="000733B5"/>
    <w:rsid w:val="00077485"/>
    <w:rsid w:val="00084AD6"/>
    <w:rsid w:val="000931C0"/>
    <w:rsid w:val="000A5D3B"/>
    <w:rsid w:val="000B175B"/>
    <w:rsid w:val="000B1B21"/>
    <w:rsid w:val="000B3A0F"/>
    <w:rsid w:val="000B4EF7"/>
    <w:rsid w:val="000C1462"/>
    <w:rsid w:val="000C2D2E"/>
    <w:rsid w:val="000D6C6A"/>
    <w:rsid w:val="000E0415"/>
    <w:rsid w:val="000F1C07"/>
    <w:rsid w:val="00102D25"/>
    <w:rsid w:val="001071C3"/>
    <w:rsid w:val="001103AA"/>
    <w:rsid w:val="00127809"/>
    <w:rsid w:val="00155467"/>
    <w:rsid w:val="00180D95"/>
    <w:rsid w:val="0018711F"/>
    <w:rsid w:val="001B4B04"/>
    <w:rsid w:val="001C6663"/>
    <w:rsid w:val="001C7895"/>
    <w:rsid w:val="001D26DF"/>
    <w:rsid w:val="001E5AA0"/>
    <w:rsid w:val="001F2549"/>
    <w:rsid w:val="00202194"/>
    <w:rsid w:val="00202DA8"/>
    <w:rsid w:val="00211E0B"/>
    <w:rsid w:val="002153BE"/>
    <w:rsid w:val="00231624"/>
    <w:rsid w:val="00265FB6"/>
    <w:rsid w:val="002B0464"/>
    <w:rsid w:val="002C5A3C"/>
    <w:rsid w:val="002F175C"/>
    <w:rsid w:val="003229D8"/>
    <w:rsid w:val="003305AB"/>
    <w:rsid w:val="00352709"/>
    <w:rsid w:val="00371178"/>
    <w:rsid w:val="00393948"/>
    <w:rsid w:val="003A4810"/>
    <w:rsid w:val="003A6810"/>
    <w:rsid w:val="003B4E47"/>
    <w:rsid w:val="003C2CC4"/>
    <w:rsid w:val="003D3790"/>
    <w:rsid w:val="003D4B23"/>
    <w:rsid w:val="003E5249"/>
    <w:rsid w:val="00405DDC"/>
    <w:rsid w:val="00410C89"/>
    <w:rsid w:val="00424959"/>
    <w:rsid w:val="004325CB"/>
    <w:rsid w:val="0045495B"/>
    <w:rsid w:val="00475F01"/>
    <w:rsid w:val="004812B8"/>
    <w:rsid w:val="00491574"/>
    <w:rsid w:val="004B0FAD"/>
    <w:rsid w:val="004D25E4"/>
    <w:rsid w:val="00517B36"/>
    <w:rsid w:val="00523650"/>
    <w:rsid w:val="005420F2"/>
    <w:rsid w:val="00563424"/>
    <w:rsid w:val="005B0939"/>
    <w:rsid w:val="005B3DB3"/>
    <w:rsid w:val="005C6A79"/>
    <w:rsid w:val="005D3D10"/>
    <w:rsid w:val="006001EE"/>
    <w:rsid w:val="00611FC4"/>
    <w:rsid w:val="006176FB"/>
    <w:rsid w:val="00640B26"/>
    <w:rsid w:val="006E564B"/>
    <w:rsid w:val="0072632A"/>
    <w:rsid w:val="007B6BA5"/>
    <w:rsid w:val="007C3390"/>
    <w:rsid w:val="007C4F4B"/>
    <w:rsid w:val="007D4728"/>
    <w:rsid w:val="007E09A8"/>
    <w:rsid w:val="007F6611"/>
    <w:rsid w:val="0081482E"/>
    <w:rsid w:val="008242D7"/>
    <w:rsid w:val="00832D01"/>
    <w:rsid w:val="008518DA"/>
    <w:rsid w:val="008979B1"/>
    <w:rsid w:val="008A6B25"/>
    <w:rsid w:val="008A6C4F"/>
    <w:rsid w:val="008B1DCF"/>
    <w:rsid w:val="008B2335"/>
    <w:rsid w:val="008C46F0"/>
    <w:rsid w:val="009223CA"/>
    <w:rsid w:val="009369F6"/>
    <w:rsid w:val="00940F93"/>
    <w:rsid w:val="009603EF"/>
    <w:rsid w:val="00961987"/>
    <w:rsid w:val="0097677D"/>
    <w:rsid w:val="009A4FE9"/>
    <w:rsid w:val="009B4A1B"/>
    <w:rsid w:val="009C0EE8"/>
    <w:rsid w:val="009C14AA"/>
    <w:rsid w:val="00A01489"/>
    <w:rsid w:val="00A20204"/>
    <w:rsid w:val="00A5219C"/>
    <w:rsid w:val="00A61CCD"/>
    <w:rsid w:val="00A72F22"/>
    <w:rsid w:val="00A748A6"/>
    <w:rsid w:val="00A776B4"/>
    <w:rsid w:val="00A94361"/>
    <w:rsid w:val="00AB4833"/>
    <w:rsid w:val="00AC1552"/>
    <w:rsid w:val="00AE398B"/>
    <w:rsid w:val="00B06775"/>
    <w:rsid w:val="00B30179"/>
    <w:rsid w:val="00B56E9C"/>
    <w:rsid w:val="00B64B1F"/>
    <w:rsid w:val="00B6553F"/>
    <w:rsid w:val="00B779C1"/>
    <w:rsid w:val="00B81E12"/>
    <w:rsid w:val="00BC74E9"/>
    <w:rsid w:val="00BD1F07"/>
    <w:rsid w:val="00BD2FEA"/>
    <w:rsid w:val="00BF42E6"/>
    <w:rsid w:val="00BF68A8"/>
    <w:rsid w:val="00C3206E"/>
    <w:rsid w:val="00C463DD"/>
    <w:rsid w:val="00C4724C"/>
    <w:rsid w:val="00C475AB"/>
    <w:rsid w:val="00C53A77"/>
    <w:rsid w:val="00C629A0"/>
    <w:rsid w:val="00C745C3"/>
    <w:rsid w:val="00C75FB9"/>
    <w:rsid w:val="00CC00AC"/>
    <w:rsid w:val="00CC24D2"/>
    <w:rsid w:val="00CE0CA7"/>
    <w:rsid w:val="00CE4A8F"/>
    <w:rsid w:val="00CF1C97"/>
    <w:rsid w:val="00D2031B"/>
    <w:rsid w:val="00D218CB"/>
    <w:rsid w:val="00D25FE2"/>
    <w:rsid w:val="00D332F1"/>
    <w:rsid w:val="00D43252"/>
    <w:rsid w:val="00D46667"/>
    <w:rsid w:val="00D51E7F"/>
    <w:rsid w:val="00D670CF"/>
    <w:rsid w:val="00D714E0"/>
    <w:rsid w:val="00D7767E"/>
    <w:rsid w:val="00D978C6"/>
    <w:rsid w:val="00DA3C1C"/>
    <w:rsid w:val="00DC4662"/>
    <w:rsid w:val="00DC477F"/>
    <w:rsid w:val="00DE6397"/>
    <w:rsid w:val="00E05EA5"/>
    <w:rsid w:val="00E109FB"/>
    <w:rsid w:val="00E1609D"/>
    <w:rsid w:val="00E63389"/>
    <w:rsid w:val="00E71BC8"/>
    <w:rsid w:val="00E7260F"/>
    <w:rsid w:val="00E96630"/>
    <w:rsid w:val="00EC480E"/>
    <w:rsid w:val="00ED32A3"/>
    <w:rsid w:val="00ED616A"/>
    <w:rsid w:val="00ED7A2A"/>
    <w:rsid w:val="00EF1D7F"/>
    <w:rsid w:val="00F34583"/>
    <w:rsid w:val="00F504DF"/>
    <w:rsid w:val="00FA271C"/>
    <w:rsid w:val="00FC68B7"/>
    <w:rsid w:val="00FE21D0"/>
    <w:rsid w:val="00FF0684"/>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3650"/>
  </w:style>
  <w:style w:type="paragraph" w:customStyle="1" w:styleId="SingleTxtG">
    <w:name w:val="_ Single Txt_G"/>
    <w:basedOn w:val="Normal"/>
    <w:link w:val="SingleTxtGChar"/>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styleId="BalloonText">
    <w:name w:val="Balloon Text"/>
    <w:basedOn w:val="Normal"/>
    <w:semiHidden/>
    <w:rsid w:val="00084AD6"/>
    <w:rPr>
      <w:rFonts w:ascii="Tahoma" w:hAnsi="Tahoma" w:cs="Tahoma"/>
      <w:sz w:val="16"/>
      <w:szCs w:val="16"/>
    </w:rPr>
  </w:style>
  <w:style w:type="character" w:customStyle="1" w:styleId="SingleTxtGChar">
    <w:name w:val="_ Single Txt_G Char"/>
    <w:link w:val="SingleTxtG"/>
    <w:rsid w:val="00FE21D0"/>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967</Words>
  <Characters>5517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2008-01-29T12:17:00Z</cp:lastPrinted>
  <dcterms:created xsi:type="dcterms:W3CDTF">2010-07-12T14:03:00Z</dcterms:created>
  <dcterms:modified xsi:type="dcterms:W3CDTF">2010-07-12T14:03:00Z</dcterms:modified>
</cp:coreProperties>
</file>