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671D9E" w14:paraId="00DC7922" w14:textId="77777777" w:rsidTr="00FC1527">
        <w:trPr>
          <w:cantSplit/>
          <w:trHeight w:hRule="exact" w:val="851"/>
        </w:trPr>
        <w:tc>
          <w:tcPr>
            <w:tcW w:w="1276" w:type="dxa"/>
            <w:tcBorders>
              <w:bottom w:val="single" w:sz="4" w:space="0" w:color="auto"/>
            </w:tcBorders>
            <w:vAlign w:val="bottom"/>
          </w:tcPr>
          <w:p w14:paraId="25C80640" w14:textId="77777777" w:rsidR="00A43F01" w:rsidRPr="00671D9E" w:rsidRDefault="00A43F01" w:rsidP="00FC1527">
            <w:pPr>
              <w:spacing w:after="80"/>
            </w:pPr>
          </w:p>
        </w:tc>
        <w:tc>
          <w:tcPr>
            <w:tcW w:w="2268" w:type="dxa"/>
            <w:tcBorders>
              <w:bottom w:val="single" w:sz="4" w:space="0" w:color="auto"/>
            </w:tcBorders>
            <w:vAlign w:val="bottom"/>
          </w:tcPr>
          <w:p w14:paraId="05A48FE2" w14:textId="77777777" w:rsidR="00A43F01" w:rsidRPr="00671D9E" w:rsidRDefault="00A43F01" w:rsidP="00FC1527">
            <w:pPr>
              <w:spacing w:after="80" w:line="300" w:lineRule="exact"/>
              <w:rPr>
                <w:b/>
                <w:sz w:val="24"/>
                <w:szCs w:val="24"/>
              </w:rPr>
            </w:pPr>
            <w:r w:rsidRPr="00671D9E">
              <w:rPr>
                <w:sz w:val="28"/>
                <w:szCs w:val="28"/>
              </w:rPr>
              <w:t>United Nations</w:t>
            </w:r>
          </w:p>
        </w:tc>
        <w:tc>
          <w:tcPr>
            <w:tcW w:w="6095" w:type="dxa"/>
            <w:gridSpan w:val="2"/>
            <w:tcBorders>
              <w:bottom w:val="single" w:sz="4" w:space="0" w:color="auto"/>
            </w:tcBorders>
            <w:vAlign w:val="bottom"/>
          </w:tcPr>
          <w:p w14:paraId="15308149" w14:textId="77777777" w:rsidR="00A43F01" w:rsidRPr="00671D9E" w:rsidRDefault="00695E59" w:rsidP="00695E59">
            <w:pPr>
              <w:suppressAutoHyphens w:val="0"/>
              <w:spacing w:after="20"/>
              <w:jc w:val="right"/>
            </w:pPr>
            <w:r w:rsidRPr="00671D9E">
              <w:rPr>
                <w:sz w:val="40"/>
              </w:rPr>
              <w:t>CAT</w:t>
            </w:r>
            <w:r w:rsidRPr="00671D9E">
              <w:t>/C/THA/2</w:t>
            </w:r>
          </w:p>
        </w:tc>
      </w:tr>
      <w:tr w:rsidR="00A43F01" w:rsidRPr="00671D9E" w14:paraId="3FFED1A4" w14:textId="77777777" w:rsidTr="00FC1527">
        <w:trPr>
          <w:cantSplit/>
          <w:trHeight w:hRule="exact" w:val="2835"/>
        </w:trPr>
        <w:tc>
          <w:tcPr>
            <w:tcW w:w="1276" w:type="dxa"/>
            <w:tcBorders>
              <w:top w:val="single" w:sz="4" w:space="0" w:color="auto"/>
              <w:bottom w:val="single" w:sz="12" w:space="0" w:color="auto"/>
            </w:tcBorders>
          </w:tcPr>
          <w:p w14:paraId="251FB5E4" w14:textId="77777777" w:rsidR="00A43F01" w:rsidRPr="00671D9E" w:rsidRDefault="00A43F01" w:rsidP="00FC1527">
            <w:pPr>
              <w:spacing w:before="120"/>
              <w:jc w:val="center"/>
            </w:pPr>
            <w:r w:rsidRPr="00671D9E">
              <w:rPr>
                <w:noProof/>
                <w:lang w:eastAsia="en-GB"/>
              </w:rPr>
              <w:drawing>
                <wp:inline distT="0" distB="0" distL="0" distR="0" wp14:anchorId="1DD8DB8C" wp14:editId="236B4CC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91A992" w14:textId="77777777" w:rsidR="00A43F01" w:rsidRPr="00671D9E" w:rsidRDefault="00A43F01" w:rsidP="00FC1527">
            <w:pPr>
              <w:spacing w:before="120" w:line="380" w:lineRule="exact"/>
            </w:pPr>
            <w:r w:rsidRPr="00671D9E">
              <w:rPr>
                <w:b/>
                <w:sz w:val="34"/>
                <w:szCs w:val="40"/>
              </w:rPr>
              <w:t>Convention against Torture</w:t>
            </w:r>
            <w:r w:rsidRPr="00671D9E">
              <w:rPr>
                <w:b/>
                <w:sz w:val="34"/>
                <w:szCs w:val="40"/>
              </w:rPr>
              <w:br/>
              <w:t>and Other Cruel, Inhuman</w:t>
            </w:r>
            <w:r w:rsidRPr="00671D9E">
              <w:rPr>
                <w:b/>
                <w:sz w:val="34"/>
                <w:szCs w:val="40"/>
              </w:rPr>
              <w:br/>
              <w:t>or Degrading Treatment</w:t>
            </w:r>
            <w:r w:rsidRPr="00671D9E">
              <w:rPr>
                <w:b/>
                <w:sz w:val="34"/>
                <w:szCs w:val="40"/>
              </w:rPr>
              <w:br/>
              <w:t>or Punishment</w:t>
            </w:r>
          </w:p>
        </w:tc>
        <w:tc>
          <w:tcPr>
            <w:tcW w:w="2835" w:type="dxa"/>
            <w:tcBorders>
              <w:top w:val="single" w:sz="4" w:space="0" w:color="auto"/>
              <w:bottom w:val="single" w:sz="12" w:space="0" w:color="auto"/>
            </w:tcBorders>
          </w:tcPr>
          <w:p w14:paraId="0B231ECC" w14:textId="77777777" w:rsidR="00A43F01" w:rsidRPr="00671D9E" w:rsidRDefault="00695E59" w:rsidP="00695E59">
            <w:pPr>
              <w:suppressAutoHyphens w:val="0"/>
              <w:spacing w:before="240"/>
            </w:pPr>
            <w:r w:rsidRPr="00671D9E">
              <w:t>Distr.: General</w:t>
            </w:r>
          </w:p>
          <w:p w14:paraId="5D611E52" w14:textId="103D6C7D" w:rsidR="00695E59" w:rsidRPr="00671D9E" w:rsidRDefault="00695E59" w:rsidP="00695E59">
            <w:pPr>
              <w:suppressAutoHyphens w:val="0"/>
            </w:pPr>
            <w:r w:rsidRPr="00671D9E">
              <w:t>2</w:t>
            </w:r>
            <w:r w:rsidR="004F1D87">
              <w:t>1</w:t>
            </w:r>
            <w:r w:rsidRPr="00671D9E">
              <w:t xml:space="preserve"> December 2021</w:t>
            </w:r>
          </w:p>
          <w:p w14:paraId="71D5220D" w14:textId="77777777" w:rsidR="00695E59" w:rsidRPr="00671D9E" w:rsidRDefault="00695E59" w:rsidP="00695E59">
            <w:pPr>
              <w:suppressAutoHyphens w:val="0"/>
            </w:pPr>
          </w:p>
          <w:p w14:paraId="1322C63F" w14:textId="77777777" w:rsidR="00695E59" w:rsidRPr="00671D9E" w:rsidRDefault="00695E59" w:rsidP="00695E59">
            <w:pPr>
              <w:suppressAutoHyphens w:val="0"/>
            </w:pPr>
            <w:r w:rsidRPr="00671D9E">
              <w:t>Original: English</w:t>
            </w:r>
          </w:p>
          <w:p w14:paraId="18884D01" w14:textId="3F9CB344" w:rsidR="00695E59" w:rsidRPr="00671D9E" w:rsidRDefault="00695E59" w:rsidP="00695E59">
            <w:pPr>
              <w:suppressAutoHyphens w:val="0"/>
            </w:pPr>
            <w:r w:rsidRPr="00671D9E">
              <w:t>English, French and Spanish only</w:t>
            </w:r>
          </w:p>
        </w:tc>
      </w:tr>
    </w:tbl>
    <w:p w14:paraId="58850DCC" w14:textId="77777777" w:rsidR="00695E59" w:rsidRPr="00671D9E" w:rsidRDefault="00695E59" w:rsidP="00695E59">
      <w:pPr>
        <w:spacing w:before="120"/>
        <w:rPr>
          <w:b/>
          <w:sz w:val="24"/>
          <w:szCs w:val="24"/>
        </w:rPr>
      </w:pPr>
      <w:r w:rsidRPr="00671D9E">
        <w:rPr>
          <w:b/>
          <w:sz w:val="24"/>
          <w:szCs w:val="24"/>
        </w:rPr>
        <w:t>Committee against Torture</w:t>
      </w:r>
    </w:p>
    <w:p w14:paraId="036F33A3" w14:textId="62452B0E" w:rsidR="00695E59" w:rsidRPr="00671D9E" w:rsidRDefault="00695E59" w:rsidP="003331BE">
      <w:pPr>
        <w:pStyle w:val="HMG"/>
      </w:pPr>
      <w:r w:rsidRPr="00671D9E">
        <w:tab/>
      </w:r>
      <w:r w:rsidRPr="00671D9E">
        <w:tab/>
        <w:t>Second periodic report submitted by Thailand under article 19 of the Convention pursuant to the simplified reporting procedure, due in 2018</w:t>
      </w:r>
      <w:r w:rsidR="003331BE" w:rsidRPr="00671D9E">
        <w:rPr>
          <w:rStyle w:val="FootnoteReference"/>
          <w:b w:val="0"/>
          <w:bCs/>
          <w:sz w:val="20"/>
          <w:vertAlign w:val="baseline"/>
        </w:rPr>
        <w:footnoteReference w:customMarkFollows="1" w:id="1"/>
        <w:t>*</w:t>
      </w:r>
    </w:p>
    <w:p w14:paraId="5C1CB69A" w14:textId="77777777" w:rsidR="00695E59" w:rsidRPr="00671D9E" w:rsidRDefault="00695E59" w:rsidP="00695E59">
      <w:pPr>
        <w:pStyle w:val="SingleTxtG"/>
        <w:jc w:val="right"/>
      </w:pPr>
      <w:r w:rsidRPr="00671D9E">
        <w:t>[Date received: 4 January 2021]</w:t>
      </w:r>
    </w:p>
    <w:p w14:paraId="5496093C" w14:textId="77777777" w:rsidR="00695E59" w:rsidRPr="00671D9E" w:rsidRDefault="00695E59" w:rsidP="002F5939">
      <w:pPr>
        <w:pStyle w:val="HChG"/>
      </w:pPr>
      <w:r w:rsidRPr="00671D9E">
        <w:br w:type="page"/>
      </w:r>
      <w:r w:rsidRPr="00671D9E">
        <w:lastRenderedPageBreak/>
        <w:tab/>
      </w:r>
      <w:r w:rsidRPr="00671D9E">
        <w:tab/>
        <w:t>Abbreviations/Glossary</w:t>
      </w:r>
    </w:p>
    <w:p w14:paraId="1AED3417" w14:textId="77777777" w:rsidR="00695E59" w:rsidRPr="00671D9E" w:rsidRDefault="00695E59" w:rsidP="00671D9E">
      <w:pPr>
        <w:pStyle w:val="SingleTxtG"/>
        <w:tabs>
          <w:tab w:val="clear" w:pos="1701"/>
          <w:tab w:val="clear" w:pos="2268"/>
        </w:tabs>
        <w:ind w:left="3969" w:hanging="2835"/>
        <w:jc w:val="left"/>
      </w:pPr>
      <w:r w:rsidRPr="00671D9E">
        <w:t>ICPPED</w:t>
      </w:r>
      <w:r w:rsidRPr="00671D9E">
        <w:tab/>
      </w:r>
      <w:r w:rsidRPr="00671D9E">
        <w:tab/>
        <w:t>International Convention for the Protection of All Persons from Enforced Disappearance</w:t>
      </w:r>
    </w:p>
    <w:p w14:paraId="18F42269" w14:textId="77777777" w:rsidR="00695E59" w:rsidRPr="00671D9E" w:rsidRDefault="00695E59" w:rsidP="00671D9E">
      <w:pPr>
        <w:pStyle w:val="SingleTxtG"/>
        <w:tabs>
          <w:tab w:val="clear" w:pos="1701"/>
          <w:tab w:val="clear" w:pos="2268"/>
        </w:tabs>
        <w:ind w:left="3969" w:hanging="2835"/>
        <w:jc w:val="left"/>
      </w:pPr>
      <w:r w:rsidRPr="00671D9E">
        <w:t>ICCPR</w:t>
      </w:r>
      <w:r w:rsidRPr="00671D9E">
        <w:tab/>
      </w:r>
      <w:r w:rsidRPr="00671D9E">
        <w:tab/>
        <w:t xml:space="preserve">International Covenant on Civil and Political Rights </w:t>
      </w:r>
    </w:p>
    <w:p w14:paraId="68D8D7A1" w14:textId="77777777" w:rsidR="00695E59" w:rsidRPr="00671D9E" w:rsidRDefault="00695E59" w:rsidP="00671D9E">
      <w:pPr>
        <w:pStyle w:val="SingleTxtG"/>
        <w:tabs>
          <w:tab w:val="clear" w:pos="1701"/>
          <w:tab w:val="clear" w:pos="2268"/>
        </w:tabs>
        <w:ind w:left="3969" w:hanging="2835"/>
        <w:jc w:val="left"/>
      </w:pPr>
      <w:r w:rsidRPr="00671D9E">
        <w:t>Committee</w:t>
      </w:r>
      <w:r w:rsidRPr="00671D9E">
        <w:tab/>
      </w:r>
      <w:r w:rsidRPr="00671D9E">
        <w:tab/>
      </w:r>
      <w:proofErr w:type="spellStart"/>
      <w:r w:rsidRPr="00671D9E">
        <w:t>Committee</w:t>
      </w:r>
      <w:proofErr w:type="spellEnd"/>
      <w:r w:rsidRPr="00671D9E">
        <w:t xml:space="preserve"> Against Torture</w:t>
      </w:r>
    </w:p>
    <w:p w14:paraId="61D5323F" w14:textId="77777777" w:rsidR="00695E59" w:rsidRPr="00671D9E" w:rsidRDefault="00695E59" w:rsidP="00671D9E">
      <w:pPr>
        <w:pStyle w:val="SingleTxtG"/>
        <w:tabs>
          <w:tab w:val="clear" w:pos="1701"/>
          <w:tab w:val="clear" w:pos="2268"/>
        </w:tabs>
        <w:ind w:left="3969" w:hanging="2835"/>
        <w:jc w:val="left"/>
      </w:pPr>
      <w:r w:rsidRPr="00671D9E">
        <w:t>CAT/Convention</w:t>
      </w:r>
      <w:r w:rsidRPr="00671D9E">
        <w:tab/>
      </w:r>
      <w:r w:rsidRPr="00671D9E">
        <w:tab/>
        <w:t>Convention against Torture and Other Cruel, Inhuman or Degrading Treatment or Punishment</w:t>
      </w:r>
    </w:p>
    <w:p w14:paraId="4AF59744" w14:textId="77777777" w:rsidR="00695E59" w:rsidRPr="00671D9E" w:rsidRDefault="00695E59" w:rsidP="00671D9E">
      <w:pPr>
        <w:pStyle w:val="SingleTxtG"/>
        <w:tabs>
          <w:tab w:val="clear" w:pos="1701"/>
          <w:tab w:val="clear" w:pos="2268"/>
        </w:tabs>
        <w:ind w:left="3969" w:hanging="2835"/>
        <w:jc w:val="left"/>
      </w:pPr>
      <w:r w:rsidRPr="00671D9E">
        <w:t>DDPM</w:t>
      </w:r>
      <w:r w:rsidRPr="00671D9E">
        <w:tab/>
      </w:r>
      <w:r w:rsidRPr="00671D9E">
        <w:tab/>
        <w:t>Department of Disaster Prevention and Mitigation</w:t>
      </w:r>
    </w:p>
    <w:p w14:paraId="4AB8F99F" w14:textId="7EF8D5B8" w:rsidR="00695E59" w:rsidRPr="00671D9E" w:rsidRDefault="00695E59" w:rsidP="00671D9E">
      <w:pPr>
        <w:pStyle w:val="SingleTxtG"/>
        <w:tabs>
          <w:tab w:val="clear" w:pos="1701"/>
          <w:tab w:val="clear" w:pos="2268"/>
        </w:tabs>
        <w:ind w:left="3969" w:hanging="2835"/>
        <w:jc w:val="left"/>
      </w:pPr>
      <w:r w:rsidRPr="00671D9E">
        <w:t>DSI</w:t>
      </w:r>
      <w:r w:rsidRPr="00671D9E">
        <w:tab/>
      </w:r>
      <w:r w:rsidRPr="00671D9E">
        <w:tab/>
        <w:t>The Department of Special Investigation</w:t>
      </w:r>
    </w:p>
    <w:p w14:paraId="354D3482" w14:textId="2B2BFE3D" w:rsidR="00695E59" w:rsidRPr="00671D9E" w:rsidRDefault="00695E59" w:rsidP="00671D9E">
      <w:pPr>
        <w:pStyle w:val="SingleTxtG"/>
        <w:tabs>
          <w:tab w:val="clear" w:pos="1701"/>
          <w:tab w:val="clear" w:pos="2268"/>
        </w:tabs>
        <w:ind w:left="3969" w:hanging="2835"/>
        <w:jc w:val="left"/>
      </w:pPr>
      <w:r w:rsidRPr="00671D9E">
        <w:t>MFA</w:t>
      </w:r>
      <w:r w:rsidRPr="00671D9E">
        <w:tab/>
      </w:r>
      <w:r w:rsidRPr="00671D9E">
        <w:tab/>
        <w:t xml:space="preserve">The Ministry of Foreign Affairs </w:t>
      </w:r>
    </w:p>
    <w:p w14:paraId="6DE440B5" w14:textId="51C53084" w:rsidR="00695E59" w:rsidRPr="00671D9E" w:rsidRDefault="00695E59" w:rsidP="00671D9E">
      <w:pPr>
        <w:pStyle w:val="SingleTxtG"/>
        <w:tabs>
          <w:tab w:val="clear" w:pos="1701"/>
          <w:tab w:val="clear" w:pos="2268"/>
        </w:tabs>
        <w:ind w:left="3969" w:hanging="2835"/>
        <w:jc w:val="left"/>
      </w:pPr>
      <w:r w:rsidRPr="00671D9E">
        <w:t>MOJ</w:t>
      </w:r>
      <w:r w:rsidRPr="00671D9E">
        <w:tab/>
      </w:r>
      <w:r w:rsidRPr="00671D9E">
        <w:tab/>
        <w:t>The Ministry of Justice</w:t>
      </w:r>
    </w:p>
    <w:p w14:paraId="689345A7" w14:textId="77777777" w:rsidR="00695E59" w:rsidRPr="00671D9E" w:rsidRDefault="00695E59" w:rsidP="00671D9E">
      <w:pPr>
        <w:pStyle w:val="SingleTxtG"/>
        <w:tabs>
          <w:tab w:val="clear" w:pos="1701"/>
          <w:tab w:val="clear" w:pos="2268"/>
        </w:tabs>
        <w:ind w:left="3969" w:hanging="2835"/>
        <w:jc w:val="left"/>
      </w:pPr>
      <w:r w:rsidRPr="00671D9E">
        <w:t>MOPH</w:t>
      </w:r>
      <w:r w:rsidRPr="00671D9E">
        <w:tab/>
      </w:r>
      <w:r w:rsidRPr="00671D9E">
        <w:tab/>
        <w:t>The Ministry of Public Health</w:t>
      </w:r>
    </w:p>
    <w:p w14:paraId="74E41911" w14:textId="77777777" w:rsidR="00695E59" w:rsidRPr="00671D9E" w:rsidRDefault="00695E59" w:rsidP="00671D9E">
      <w:pPr>
        <w:pStyle w:val="SingleTxtG"/>
        <w:tabs>
          <w:tab w:val="clear" w:pos="1701"/>
          <w:tab w:val="clear" w:pos="2268"/>
        </w:tabs>
        <w:ind w:left="3969" w:hanging="2835"/>
        <w:jc w:val="left"/>
      </w:pPr>
      <w:r w:rsidRPr="00671D9E">
        <w:t>MSDHS</w:t>
      </w:r>
      <w:r w:rsidRPr="00671D9E">
        <w:tab/>
      </w:r>
      <w:r w:rsidRPr="00671D9E">
        <w:tab/>
        <w:t>The Ministry of Social Development and Human Security</w:t>
      </w:r>
    </w:p>
    <w:p w14:paraId="6DA2959D" w14:textId="14E3274D" w:rsidR="00695E59" w:rsidRPr="00671D9E" w:rsidRDefault="00695E59" w:rsidP="00671D9E">
      <w:pPr>
        <w:pStyle w:val="SingleTxtG"/>
        <w:tabs>
          <w:tab w:val="clear" w:pos="1701"/>
          <w:tab w:val="clear" w:pos="2268"/>
        </w:tabs>
        <w:ind w:left="3969" w:hanging="2835"/>
        <w:jc w:val="left"/>
      </w:pPr>
      <w:r w:rsidRPr="00671D9E">
        <w:t>NACC</w:t>
      </w:r>
      <w:r w:rsidRPr="00671D9E">
        <w:tab/>
      </w:r>
      <w:r w:rsidRPr="00671D9E">
        <w:tab/>
        <w:t xml:space="preserve">The National Anti-Corruption Commission </w:t>
      </w:r>
    </w:p>
    <w:p w14:paraId="11528C5E" w14:textId="6967654D" w:rsidR="00695E59" w:rsidRPr="00671D9E" w:rsidRDefault="00695E59" w:rsidP="00671D9E">
      <w:pPr>
        <w:pStyle w:val="SingleTxtG"/>
        <w:tabs>
          <w:tab w:val="clear" w:pos="1701"/>
          <w:tab w:val="clear" w:pos="2268"/>
        </w:tabs>
        <w:ind w:left="3969" w:hanging="2835"/>
        <w:jc w:val="left"/>
      </w:pPr>
      <w:r w:rsidRPr="00671D9E">
        <w:t>NCPO</w:t>
      </w:r>
      <w:r w:rsidRPr="00671D9E">
        <w:tab/>
      </w:r>
      <w:r w:rsidRPr="00671D9E">
        <w:tab/>
        <w:t>The National Council for Peace and Order</w:t>
      </w:r>
    </w:p>
    <w:p w14:paraId="26DFAE05" w14:textId="3EA61AE2" w:rsidR="00695E59" w:rsidRPr="00671D9E" w:rsidRDefault="00695E59" w:rsidP="00671D9E">
      <w:pPr>
        <w:pStyle w:val="SingleTxtG"/>
        <w:tabs>
          <w:tab w:val="clear" w:pos="1701"/>
          <w:tab w:val="clear" w:pos="2268"/>
        </w:tabs>
        <w:ind w:left="3969" w:hanging="2835"/>
        <w:jc w:val="left"/>
      </w:pPr>
      <w:r w:rsidRPr="00671D9E">
        <w:t>NHRC</w:t>
      </w:r>
      <w:r w:rsidRPr="00671D9E">
        <w:tab/>
      </w:r>
      <w:r w:rsidRPr="00671D9E">
        <w:tab/>
        <w:t>The National Human Rights Commission</w:t>
      </w:r>
    </w:p>
    <w:p w14:paraId="6E23AE4F" w14:textId="056216C3" w:rsidR="00695E59" w:rsidRPr="00671D9E" w:rsidRDefault="00695E59" w:rsidP="00671D9E">
      <w:pPr>
        <w:pStyle w:val="SingleTxtG"/>
        <w:tabs>
          <w:tab w:val="clear" w:pos="1701"/>
          <w:tab w:val="clear" w:pos="2268"/>
        </w:tabs>
        <w:ind w:left="3969" w:hanging="2835"/>
        <w:jc w:val="left"/>
      </w:pPr>
      <w:r w:rsidRPr="00671D9E">
        <w:t>NHSO</w:t>
      </w:r>
      <w:r w:rsidRPr="00671D9E">
        <w:tab/>
      </w:r>
      <w:r w:rsidRPr="00671D9E">
        <w:tab/>
        <w:t>The National Health Security Office</w:t>
      </w:r>
    </w:p>
    <w:p w14:paraId="69E30B40" w14:textId="1F0FF555" w:rsidR="00695E59" w:rsidRPr="00671D9E" w:rsidRDefault="00695E59" w:rsidP="00671D9E">
      <w:pPr>
        <w:pStyle w:val="SingleTxtG"/>
        <w:tabs>
          <w:tab w:val="clear" w:pos="1701"/>
          <w:tab w:val="clear" w:pos="2268"/>
        </w:tabs>
        <w:ind w:left="3969" w:hanging="2835"/>
        <w:jc w:val="left"/>
      </w:pPr>
      <w:r w:rsidRPr="00671D9E">
        <w:t>ONCB</w:t>
      </w:r>
      <w:r w:rsidRPr="00671D9E">
        <w:tab/>
      </w:r>
      <w:r w:rsidRPr="00671D9E">
        <w:tab/>
        <w:t>The Office of the Narcotics Control Board</w:t>
      </w:r>
    </w:p>
    <w:p w14:paraId="46338E83" w14:textId="77777777" w:rsidR="00695E59" w:rsidRPr="00671D9E" w:rsidRDefault="00695E59" w:rsidP="00671D9E">
      <w:pPr>
        <w:pStyle w:val="SingleTxtG"/>
        <w:tabs>
          <w:tab w:val="clear" w:pos="1701"/>
          <w:tab w:val="clear" w:pos="2268"/>
        </w:tabs>
        <w:ind w:left="3969" w:hanging="2835"/>
        <w:jc w:val="left"/>
      </w:pPr>
      <w:r w:rsidRPr="00671D9E">
        <w:t>OPCAT</w:t>
      </w:r>
      <w:r w:rsidRPr="00671D9E">
        <w:tab/>
      </w:r>
      <w:r w:rsidRPr="00671D9E">
        <w:tab/>
        <w:t>Optional Protocol to the Convention against Torture and Other Cruel, Inhuman or Degrading Treatment or Punishment</w:t>
      </w:r>
    </w:p>
    <w:p w14:paraId="42EEFF85" w14:textId="42438416" w:rsidR="00695E59" w:rsidRPr="00671D9E" w:rsidRDefault="00695E59" w:rsidP="00671D9E">
      <w:pPr>
        <w:pStyle w:val="SingleTxtG"/>
        <w:tabs>
          <w:tab w:val="clear" w:pos="1701"/>
          <w:tab w:val="clear" w:pos="2268"/>
        </w:tabs>
        <w:ind w:left="3969" w:hanging="2835"/>
        <w:jc w:val="left"/>
      </w:pPr>
      <w:r w:rsidRPr="00671D9E">
        <w:t>PACC</w:t>
      </w:r>
      <w:r w:rsidRPr="00671D9E">
        <w:tab/>
      </w:r>
      <w:r w:rsidRPr="00671D9E">
        <w:tab/>
        <w:t>The Office of Public Sector Anti-Corruption Commission</w:t>
      </w:r>
    </w:p>
    <w:p w14:paraId="65CD798A" w14:textId="332F2166" w:rsidR="00695E59" w:rsidRPr="00671D9E" w:rsidRDefault="00695E59" w:rsidP="00671D9E">
      <w:pPr>
        <w:pStyle w:val="SingleTxtG"/>
        <w:tabs>
          <w:tab w:val="clear" w:pos="1701"/>
          <w:tab w:val="clear" w:pos="2268"/>
        </w:tabs>
        <w:ind w:left="3969" w:hanging="2835"/>
        <w:jc w:val="left"/>
      </w:pPr>
      <w:r w:rsidRPr="00671D9E">
        <w:t>RLPD</w:t>
      </w:r>
      <w:r w:rsidRPr="00671D9E">
        <w:tab/>
      </w:r>
      <w:r w:rsidRPr="00671D9E">
        <w:tab/>
        <w:t>The Rights and Liberties Protection Department</w:t>
      </w:r>
    </w:p>
    <w:p w14:paraId="16BC9660" w14:textId="322124FD" w:rsidR="00695E59" w:rsidRPr="00671D9E" w:rsidRDefault="00695E59" w:rsidP="00671D9E">
      <w:pPr>
        <w:pStyle w:val="SingleTxtG"/>
        <w:tabs>
          <w:tab w:val="clear" w:pos="1701"/>
          <w:tab w:val="clear" w:pos="2268"/>
        </w:tabs>
        <w:ind w:left="3969" w:hanging="2835"/>
        <w:jc w:val="left"/>
      </w:pPr>
      <w:r w:rsidRPr="00671D9E">
        <w:t>WPO</w:t>
      </w:r>
      <w:r w:rsidRPr="00671D9E">
        <w:tab/>
      </w:r>
      <w:r w:rsidRPr="00671D9E">
        <w:tab/>
        <w:t>The Witness Protection Office</w:t>
      </w:r>
    </w:p>
    <w:p w14:paraId="5BE1A249" w14:textId="77777777" w:rsidR="00695E59" w:rsidRPr="00671D9E" w:rsidRDefault="00695E59" w:rsidP="00671D9E">
      <w:pPr>
        <w:suppressAutoHyphens w:val="0"/>
        <w:spacing w:after="200" w:line="276" w:lineRule="auto"/>
        <w:rPr>
          <w:rFonts w:eastAsiaTheme="minorHAnsi"/>
        </w:rPr>
      </w:pPr>
      <w:r w:rsidRPr="00671D9E">
        <w:br w:type="page"/>
      </w:r>
    </w:p>
    <w:p w14:paraId="7A1BBA4F" w14:textId="77777777" w:rsidR="00695E59" w:rsidRPr="00671D9E" w:rsidRDefault="00695E59" w:rsidP="000720B3">
      <w:pPr>
        <w:pStyle w:val="HChG"/>
        <w:rPr>
          <w:rFonts w:eastAsia="ZWAdobeF"/>
          <w:lang w:bidi="th-TH"/>
        </w:rPr>
      </w:pPr>
      <w:r w:rsidRPr="00671D9E">
        <w:rPr>
          <w:lang w:bidi="th-TH"/>
        </w:rPr>
        <w:lastRenderedPageBreak/>
        <w:tab/>
      </w:r>
      <w:r w:rsidRPr="00671D9E">
        <w:rPr>
          <w:lang w:bidi="th-TH"/>
        </w:rPr>
        <w:tab/>
        <w:t>Introduction</w:t>
      </w:r>
    </w:p>
    <w:p w14:paraId="14C76934" w14:textId="2338B198" w:rsidR="00695E59" w:rsidRPr="00671D9E" w:rsidRDefault="002B0385" w:rsidP="002B0385">
      <w:pPr>
        <w:pStyle w:val="SingleTxtG"/>
        <w:suppressAutoHyphens w:val="0"/>
        <w:rPr>
          <w:lang w:bidi="th-TH"/>
        </w:rPr>
      </w:pPr>
      <w:r w:rsidRPr="00671D9E">
        <w:rPr>
          <w:lang w:bidi="th-TH"/>
        </w:rPr>
        <w:t>1.</w:t>
      </w:r>
      <w:r w:rsidRPr="00671D9E">
        <w:rPr>
          <w:lang w:bidi="th-TH"/>
        </w:rPr>
        <w:tab/>
      </w:r>
      <w:r w:rsidR="00695E59" w:rsidRPr="00671D9E">
        <w:rPr>
          <w:lang w:bidi="th-TH"/>
        </w:rPr>
        <w:t>The present report has been prepared on the basis of the list of issues (CAT/C/THA/QPR/2) prepared by the Committee against Torture pursuant to the optional reporting procedure.</w:t>
      </w:r>
    </w:p>
    <w:p w14:paraId="411BB726" w14:textId="1B97A243" w:rsidR="00695E59" w:rsidRPr="00671D9E" w:rsidRDefault="002B0385" w:rsidP="002B0385">
      <w:pPr>
        <w:pStyle w:val="SingleTxtG"/>
        <w:suppressAutoHyphens w:val="0"/>
        <w:rPr>
          <w:b/>
          <w:bCs/>
          <w:lang w:bidi="th-TH"/>
        </w:rPr>
      </w:pPr>
      <w:r w:rsidRPr="00671D9E">
        <w:rPr>
          <w:bCs/>
          <w:lang w:bidi="th-TH"/>
        </w:rPr>
        <w:t>2.</w:t>
      </w:r>
      <w:r w:rsidRPr="00671D9E">
        <w:rPr>
          <w:bCs/>
          <w:lang w:bidi="th-TH"/>
        </w:rPr>
        <w:tab/>
      </w:r>
      <w:r w:rsidR="00695E59" w:rsidRPr="00671D9E">
        <w:rPr>
          <w:lang w:bidi="th-TH"/>
        </w:rPr>
        <w:t xml:space="preserve">In preparing this report, the Royal Thai Government liaised with concerned government agencies, civil society organisations and human rights experts. Not only was information gathered through documents submitted from various agencies and organisations, but also from meetings and interviews with concerned individuals throughout the country. Unless stated otherwise, information that appears in this report relates to the implementation of the Convention between May 2014 and </w:t>
      </w:r>
      <w:r w:rsidR="00695E59" w:rsidRPr="00671D9E">
        <w:rPr>
          <w:rFonts w:cs="Cordia New"/>
          <w:lang w:bidi="th-TH"/>
        </w:rPr>
        <w:t>May</w:t>
      </w:r>
      <w:r w:rsidR="00695E59" w:rsidRPr="00671D9E">
        <w:rPr>
          <w:lang w:bidi="th-TH"/>
        </w:rPr>
        <w:t xml:space="preserve"> 2020.</w:t>
      </w:r>
    </w:p>
    <w:p w14:paraId="5F4DFCAD" w14:textId="77777777" w:rsidR="00695E59" w:rsidRPr="00671D9E" w:rsidRDefault="00695E59" w:rsidP="000720B3">
      <w:pPr>
        <w:pStyle w:val="H23G"/>
        <w:rPr>
          <w:lang w:bidi="th-TH"/>
        </w:rPr>
      </w:pPr>
      <w:r w:rsidRPr="00671D9E">
        <w:rPr>
          <w:lang w:bidi="th-TH"/>
        </w:rPr>
        <w:tab/>
      </w:r>
      <w:r w:rsidRPr="00671D9E">
        <w:rPr>
          <w:lang w:bidi="th-TH"/>
        </w:rPr>
        <w:tab/>
        <w:t xml:space="preserve">Follow up questions from the </w:t>
      </w:r>
      <w:r w:rsidRPr="00671D9E">
        <w:t>previous</w:t>
      </w:r>
      <w:r w:rsidRPr="00671D9E">
        <w:rPr>
          <w:lang w:bidi="th-TH"/>
        </w:rPr>
        <w:t xml:space="preserve"> reporting cycle</w:t>
      </w:r>
    </w:p>
    <w:p w14:paraId="4DE36AD0" w14:textId="64188448" w:rsidR="00695E59" w:rsidRPr="00671D9E" w:rsidRDefault="002B0385" w:rsidP="002B0385">
      <w:pPr>
        <w:pStyle w:val="SingleTxtG"/>
        <w:suppressAutoHyphens w:val="0"/>
        <w:rPr>
          <w:lang w:bidi="th-TH"/>
        </w:rPr>
      </w:pPr>
      <w:r w:rsidRPr="00671D9E">
        <w:rPr>
          <w:lang w:bidi="th-TH"/>
        </w:rPr>
        <w:t>3.</w:t>
      </w:r>
      <w:r w:rsidRPr="00671D9E">
        <w:rPr>
          <w:lang w:bidi="th-TH"/>
        </w:rPr>
        <w:tab/>
      </w:r>
      <w:r w:rsidR="00695E59" w:rsidRPr="00671D9E">
        <w:rPr>
          <w:lang w:bidi="th-TH"/>
        </w:rPr>
        <w:t xml:space="preserve">See the response below to Paragraphs </w:t>
      </w:r>
      <w:r w:rsidR="00695E59" w:rsidRPr="00671D9E">
        <w:rPr>
          <w:cs/>
          <w:lang w:bidi="th-TH"/>
        </w:rPr>
        <w:t>3,</w:t>
      </w:r>
      <w:r w:rsidR="00695E59" w:rsidRPr="00671D9E">
        <w:rPr>
          <w:rFonts w:cs="Angsana New"/>
          <w:cs/>
          <w:lang w:bidi="th-TH"/>
        </w:rPr>
        <w:t xml:space="preserve"> </w:t>
      </w:r>
      <w:r w:rsidR="00695E59" w:rsidRPr="00671D9E">
        <w:rPr>
          <w:cs/>
          <w:lang w:bidi="th-TH"/>
        </w:rPr>
        <w:t>4,</w:t>
      </w:r>
      <w:r w:rsidR="00695E59" w:rsidRPr="00671D9E">
        <w:rPr>
          <w:rFonts w:cs="Angsana New"/>
          <w:cs/>
          <w:lang w:bidi="th-TH"/>
        </w:rPr>
        <w:t xml:space="preserve"> </w:t>
      </w:r>
      <w:r w:rsidR="00695E59" w:rsidRPr="00671D9E">
        <w:rPr>
          <w:cs/>
          <w:lang w:bidi="th-TH"/>
        </w:rPr>
        <w:t>5</w:t>
      </w:r>
      <w:r w:rsidR="00695E59" w:rsidRPr="00671D9E">
        <w:rPr>
          <w:rFonts w:cs="Angsana New"/>
          <w:cs/>
          <w:lang w:bidi="th-TH"/>
        </w:rPr>
        <w:t xml:space="preserve"> </w:t>
      </w:r>
      <w:r w:rsidR="00695E59" w:rsidRPr="00671D9E">
        <w:rPr>
          <w:lang w:bidi="th-TH"/>
        </w:rPr>
        <w:t>and 28 of the list of issues prior to reporting.</w:t>
      </w:r>
    </w:p>
    <w:p w14:paraId="2AC68916" w14:textId="056B4541" w:rsidR="00E62A53" w:rsidRPr="00671D9E" w:rsidRDefault="00E62A53" w:rsidP="00E62A53">
      <w:pPr>
        <w:pStyle w:val="HChG"/>
      </w:pPr>
      <w:r w:rsidRPr="00671D9E">
        <w:tab/>
      </w:r>
      <w:r w:rsidRPr="00671D9E">
        <w:tab/>
        <w:t>Articles 1 and 4</w:t>
      </w:r>
    </w:p>
    <w:p w14:paraId="273D99DB" w14:textId="5C184972" w:rsidR="00695E59" w:rsidRPr="00671D9E" w:rsidRDefault="00695E59" w:rsidP="00E62A53">
      <w:pPr>
        <w:pStyle w:val="H23G"/>
        <w:rPr>
          <w:rFonts w:eastAsia="ZWAdobeF"/>
          <w:bCs/>
          <w:sz w:val="28"/>
          <w:szCs w:val="28"/>
          <w:cs/>
          <w:lang w:bidi="th-TH"/>
        </w:rPr>
      </w:pPr>
      <w:r w:rsidRPr="00671D9E">
        <w:tab/>
      </w:r>
      <w:r w:rsidRPr="00671D9E">
        <w:tab/>
        <w:t xml:space="preserve">Reply to paragraph 2 of the list of issues </w:t>
      </w:r>
      <w:r w:rsidRPr="00671D9E">
        <w:rPr>
          <w:lang w:bidi="th-TH"/>
        </w:rPr>
        <w:t>(CAT/C/THA/QPR/2)</w:t>
      </w:r>
    </w:p>
    <w:p w14:paraId="01443A55" w14:textId="34EC30CA" w:rsidR="00695E59" w:rsidRPr="00671D9E" w:rsidRDefault="002B0385" w:rsidP="002B0385">
      <w:pPr>
        <w:pStyle w:val="SingleTxtG"/>
        <w:suppressAutoHyphens w:val="0"/>
        <w:rPr>
          <w:lang w:bidi="th-TH"/>
        </w:rPr>
      </w:pPr>
      <w:r w:rsidRPr="00671D9E">
        <w:rPr>
          <w:lang w:bidi="th-TH"/>
        </w:rPr>
        <w:t>4.</w:t>
      </w:r>
      <w:r w:rsidRPr="00671D9E">
        <w:rPr>
          <w:lang w:bidi="th-TH"/>
        </w:rPr>
        <w:tab/>
      </w:r>
      <w:r w:rsidR="00695E59" w:rsidRPr="00671D9E">
        <w:rPr>
          <w:lang w:bidi="th-TH"/>
        </w:rPr>
        <w:t>Thailand has demonstrated continued political commitment at the highest level to the promotion and protection of human rights, including the fight against torture, which is reflected in various occasions. During the announcement of human rights as a national agenda for 2018-2019 on 12 February 2018, the Prime Minister attached importance to preventive and awareness-raising measures, as well as legislation prohibiting torture in support of the implementation of the Convention.</w:t>
      </w:r>
      <w:r w:rsidR="00695E59" w:rsidRPr="00671D9E">
        <w:rPr>
          <w:rFonts w:cs="Angsana New"/>
          <w:cs/>
          <w:lang w:bidi="th-TH"/>
        </w:rPr>
        <w:t xml:space="preserve"> </w:t>
      </w:r>
    </w:p>
    <w:p w14:paraId="317E8534" w14:textId="30512B05" w:rsidR="00695E59" w:rsidRPr="00671D9E" w:rsidRDefault="002B0385" w:rsidP="002B0385">
      <w:pPr>
        <w:pStyle w:val="SingleTxtG"/>
        <w:suppressAutoHyphens w:val="0"/>
        <w:rPr>
          <w:lang w:bidi="th-TH"/>
        </w:rPr>
      </w:pPr>
      <w:r w:rsidRPr="00671D9E">
        <w:rPr>
          <w:lang w:bidi="th-TH"/>
        </w:rPr>
        <w:t>5.</w:t>
      </w:r>
      <w:r w:rsidRPr="00671D9E">
        <w:rPr>
          <w:lang w:bidi="th-TH"/>
        </w:rPr>
        <w:tab/>
      </w:r>
      <w:r w:rsidR="00695E59" w:rsidRPr="00671D9E">
        <w:rPr>
          <w:shd w:val="clear" w:color="auto" w:fill="FFFFFF"/>
          <w:lang w:bidi="th-TH"/>
        </w:rPr>
        <w:t xml:space="preserve">Under Thai law, torture and enforced disappearance are absolutely </w:t>
      </w:r>
      <w:r w:rsidR="00695E59" w:rsidRPr="00671D9E">
        <w:rPr>
          <w:lang w:bidi="th-TH"/>
        </w:rPr>
        <w:t>prohibited</w:t>
      </w:r>
      <w:r w:rsidR="00695E59" w:rsidRPr="00671D9E">
        <w:rPr>
          <w:shd w:val="clear" w:color="auto" w:fill="FFFFFF"/>
          <w:lang w:bidi="th-TH"/>
        </w:rPr>
        <w:t>. No statutes allow or justify anyone to torture or enforce others to disappear. Referring to paragraph 36 of the initial report,</w:t>
      </w:r>
      <w:r w:rsidR="00695E59" w:rsidRPr="00E235C4">
        <w:rPr>
          <w:rStyle w:val="FootnoteReference"/>
        </w:rPr>
        <w:footnoteReference w:id="2"/>
      </w:r>
      <w:r w:rsidR="00695E59" w:rsidRPr="00671D9E">
        <w:rPr>
          <w:shd w:val="clear" w:color="auto" w:fill="FFFFFF"/>
          <w:lang w:bidi="th-TH"/>
        </w:rPr>
        <w:t xml:space="preserve"> if anyone commits an act of torture or enforced disappearance, such person shall be criminally punished. Cases, during the reporting period, where state officials were convicted and sentenced by the court, as a result of committing torture, are </w:t>
      </w:r>
      <w:r w:rsidR="00695E59" w:rsidRPr="00671D9E">
        <w:rPr>
          <w:rFonts w:cs="Angsana New"/>
          <w:szCs w:val="35"/>
          <w:shd w:val="clear" w:color="auto" w:fill="FFFFFF"/>
          <w:lang w:bidi="th-TH"/>
        </w:rPr>
        <w:t>reflected</w:t>
      </w:r>
      <w:r w:rsidR="00695E59" w:rsidRPr="00671D9E">
        <w:rPr>
          <w:shd w:val="clear" w:color="auto" w:fill="FFFFFF"/>
          <w:lang w:bidi="th-TH"/>
        </w:rPr>
        <w:t xml:space="preserve"> below in paragraph </w:t>
      </w:r>
      <w:r w:rsidR="00695E59" w:rsidRPr="00671D9E">
        <w:rPr>
          <w:rFonts w:cs="Cordia New"/>
          <w:shd w:val="clear" w:color="auto" w:fill="FFFFFF"/>
          <w:lang w:bidi="th-TH"/>
        </w:rPr>
        <w:t>17</w:t>
      </w:r>
      <w:r w:rsidR="00695E59" w:rsidRPr="00671D9E">
        <w:rPr>
          <w:shd w:val="clear" w:color="auto" w:fill="FFFFFF"/>
          <w:lang w:bidi="th-TH"/>
        </w:rPr>
        <w:t>. In addition, the perpetrator shall bear civil responsibility towards the injured person and may, if applicable, be sanctioned and disciplined. More detail</w:t>
      </w:r>
      <w:r w:rsidR="00695E59" w:rsidRPr="00671D9E">
        <w:rPr>
          <w:rFonts w:cs="Angsana New"/>
          <w:szCs w:val="35"/>
          <w:shd w:val="clear" w:color="auto" w:fill="FFFFFF"/>
          <w:lang w:bidi="th-TH"/>
        </w:rPr>
        <w:t>s</w:t>
      </w:r>
      <w:r w:rsidR="00695E59" w:rsidRPr="00671D9E">
        <w:rPr>
          <w:shd w:val="clear" w:color="auto" w:fill="FFFFFF"/>
          <w:lang w:bidi="th-TH"/>
        </w:rPr>
        <w:t xml:space="preserve"> are discussed in paragraph 1</w:t>
      </w:r>
      <w:r w:rsidR="00695E59" w:rsidRPr="00671D9E">
        <w:rPr>
          <w:rFonts w:cs="Cordia New"/>
          <w:shd w:val="clear" w:color="auto" w:fill="FFFFFF"/>
          <w:lang w:bidi="th-TH"/>
        </w:rPr>
        <w:t>8</w:t>
      </w:r>
      <w:r w:rsidR="00695E59" w:rsidRPr="00671D9E">
        <w:rPr>
          <w:shd w:val="clear" w:color="auto" w:fill="FFFFFF"/>
          <w:lang w:bidi="th-TH"/>
        </w:rPr>
        <w:t>. Furthermore, an innovative measure has been adopted in the 2017 Constitution. Section 25, paragraph 3, guarantees that any person whose rights are enshrined in the Constitution, including the right not to be tortured,</w:t>
      </w:r>
      <w:r w:rsidR="00695E59" w:rsidRPr="00E235C4">
        <w:rPr>
          <w:rStyle w:val="FootnoteReference"/>
        </w:rPr>
        <w:footnoteReference w:id="3"/>
      </w:r>
      <w:r w:rsidR="00695E59" w:rsidRPr="00671D9E">
        <w:rPr>
          <w:shd w:val="clear" w:color="auto" w:fill="FFFFFF"/>
          <w:lang w:bidi="th-TH"/>
        </w:rPr>
        <w:t xml:space="preserve"> can directly invoke the provisions of the Constitution to exercise his or her right to bring a lawsuit or to defend him or herself in Court, if those rights are violated, notwithstanding the absence of the concerned statute.</w:t>
      </w:r>
    </w:p>
    <w:p w14:paraId="5DC8E9D1" w14:textId="248C2AC2" w:rsidR="00695E59" w:rsidRPr="00671D9E" w:rsidRDefault="002B0385" w:rsidP="002B0385">
      <w:pPr>
        <w:pStyle w:val="SingleTxtG"/>
        <w:suppressAutoHyphens w:val="0"/>
        <w:rPr>
          <w:lang w:bidi="th-TH"/>
        </w:rPr>
      </w:pPr>
      <w:r w:rsidRPr="00671D9E">
        <w:rPr>
          <w:lang w:bidi="th-TH"/>
        </w:rPr>
        <w:t>6.</w:t>
      </w:r>
      <w:r w:rsidRPr="00671D9E">
        <w:rPr>
          <w:lang w:bidi="th-TH"/>
        </w:rPr>
        <w:tab/>
      </w:r>
      <w:r w:rsidR="00695E59" w:rsidRPr="00671D9E">
        <w:rPr>
          <w:lang w:bidi="th-TH"/>
        </w:rPr>
        <w:t xml:space="preserve">The Government has been committed to introducing legislation which defines and criminalizes </w:t>
      </w:r>
      <w:r w:rsidR="00A56767">
        <w:rPr>
          <w:lang w:bidi="th-TH"/>
        </w:rPr>
        <w:t>“</w:t>
      </w:r>
      <w:r w:rsidR="00695E59" w:rsidRPr="00671D9E">
        <w:rPr>
          <w:lang w:bidi="th-TH"/>
        </w:rPr>
        <w:t>torture</w:t>
      </w:r>
      <w:r w:rsidR="00A56767">
        <w:rPr>
          <w:lang w:bidi="th-TH"/>
        </w:rPr>
        <w:t>”</w:t>
      </w:r>
      <w:r w:rsidR="00695E59" w:rsidRPr="00671D9E">
        <w:rPr>
          <w:rFonts w:cs="Angsana New"/>
          <w:cs/>
          <w:lang w:bidi="th-TH"/>
        </w:rPr>
        <w:t xml:space="preserve"> </w:t>
      </w:r>
      <w:r w:rsidR="00695E59" w:rsidRPr="00671D9E">
        <w:rPr>
          <w:lang w:bidi="th-TH"/>
        </w:rPr>
        <w:t xml:space="preserve">and </w:t>
      </w:r>
      <w:r w:rsidR="00A56767">
        <w:rPr>
          <w:lang w:bidi="th-TH"/>
        </w:rPr>
        <w:t>“</w:t>
      </w:r>
      <w:r w:rsidR="00695E59" w:rsidRPr="00671D9E">
        <w:rPr>
          <w:lang w:bidi="th-TH"/>
        </w:rPr>
        <w:t>enforced disappearance</w:t>
      </w:r>
      <w:r w:rsidR="00A56767">
        <w:rPr>
          <w:lang w:bidi="th-TH"/>
        </w:rPr>
        <w:t>”</w:t>
      </w:r>
      <w:r w:rsidR="00695E59" w:rsidRPr="00671D9E">
        <w:rPr>
          <w:lang w:bidi="th-TH"/>
        </w:rPr>
        <w:t xml:space="preserve"> in the domestic legal system in accordance with the Convention against Torture and Other Cruel, Inhuman or Degrading Treatment or Punishment (CAT) and the International Convention for the Protection of All Persons from Enforced Disappear</w:t>
      </w:r>
      <w:r w:rsidR="00695E59" w:rsidRPr="00671D9E">
        <w:rPr>
          <w:rFonts w:cs="Angsana New"/>
          <w:szCs w:val="35"/>
          <w:lang w:bidi="th-TH"/>
        </w:rPr>
        <w:t>a</w:t>
      </w:r>
      <w:r w:rsidR="00695E59" w:rsidRPr="00671D9E">
        <w:rPr>
          <w:lang w:bidi="th-TH"/>
        </w:rPr>
        <w:t xml:space="preserve">nce (ICPPED). The MOJ proposed the draft Prevention and Suppression of Torture and Enforced Disappearance Act which was approved by the Cabinet on 27 December 2016. The draft Act was endorsed by </w:t>
      </w:r>
      <w:r w:rsidR="00695E59" w:rsidRPr="00671D9E">
        <w:rPr>
          <w:spacing w:val="-2"/>
          <w:lang w:bidi="th-TH"/>
        </w:rPr>
        <w:t>the Parliament</w:t>
      </w:r>
      <w:r w:rsidR="00A56767">
        <w:rPr>
          <w:spacing w:val="-2"/>
          <w:lang w:bidi="th-TH"/>
        </w:rPr>
        <w:t>’</w:t>
      </w:r>
      <w:r w:rsidR="00695E59" w:rsidRPr="00671D9E">
        <w:rPr>
          <w:spacing w:val="-2"/>
          <w:lang w:bidi="th-TH"/>
        </w:rPr>
        <w:t xml:space="preserve">s </w:t>
      </w:r>
      <w:r w:rsidR="00695E59" w:rsidRPr="00671D9E">
        <w:rPr>
          <w:rFonts w:cs="Leelawadee UI"/>
          <w:spacing w:val="-2"/>
          <w:szCs w:val="35"/>
          <w:lang w:bidi="th-TH"/>
        </w:rPr>
        <w:t xml:space="preserve">Special Committee for the deliberation of the draft Act </w:t>
      </w:r>
      <w:r w:rsidR="00695E59" w:rsidRPr="00671D9E">
        <w:rPr>
          <w:spacing w:val="-2"/>
          <w:lang w:bidi="th-TH"/>
        </w:rPr>
        <w:t xml:space="preserve">on 4 March 2019 to be considered and finalised by the National Legislative Assembly. However, all legislative processes </w:t>
      </w:r>
      <w:r w:rsidR="00695E59" w:rsidRPr="00671D9E">
        <w:rPr>
          <w:lang w:bidi="th-TH"/>
        </w:rPr>
        <w:t>were suspended from 15 March 2019 due to the general elections on 24 March 2019 and were to resume upon the new Government</w:t>
      </w:r>
      <w:r w:rsidR="00A56767">
        <w:rPr>
          <w:lang w:bidi="th-TH"/>
        </w:rPr>
        <w:t>’</w:t>
      </w:r>
      <w:r w:rsidR="00695E59" w:rsidRPr="00671D9E">
        <w:rPr>
          <w:lang w:bidi="th-TH"/>
        </w:rPr>
        <w:t>s decision. On 23 April 2020, the draft was re-submitted to the new Government for consideration.</w:t>
      </w:r>
    </w:p>
    <w:p w14:paraId="7FBED8AB" w14:textId="23B0E3E1" w:rsidR="00695E59" w:rsidRPr="00671D9E" w:rsidRDefault="002B0385" w:rsidP="002B0385">
      <w:pPr>
        <w:pStyle w:val="SingleTxtG"/>
        <w:suppressAutoHyphens w:val="0"/>
        <w:rPr>
          <w:lang w:bidi="th-TH"/>
        </w:rPr>
      </w:pPr>
      <w:r w:rsidRPr="00671D9E">
        <w:rPr>
          <w:lang w:bidi="th-TH"/>
        </w:rPr>
        <w:lastRenderedPageBreak/>
        <w:t>7.</w:t>
      </w:r>
      <w:r w:rsidRPr="00671D9E">
        <w:rPr>
          <w:lang w:bidi="th-TH"/>
        </w:rPr>
        <w:tab/>
      </w:r>
      <w:r w:rsidR="00695E59" w:rsidRPr="00671D9E">
        <w:rPr>
          <w:lang w:bidi="th-TH"/>
        </w:rPr>
        <w:t>Some key features of the draft Act, as it stands after the consideration of the Parliament</w:t>
      </w:r>
      <w:r w:rsidR="00A56767">
        <w:rPr>
          <w:lang w:bidi="th-TH"/>
        </w:rPr>
        <w:t>’</w:t>
      </w:r>
      <w:r w:rsidR="00695E59" w:rsidRPr="00671D9E">
        <w:rPr>
          <w:lang w:bidi="th-TH"/>
        </w:rPr>
        <w:t xml:space="preserve">s Special Committee, </w:t>
      </w:r>
      <w:r w:rsidR="00695E59" w:rsidRPr="00671D9E">
        <w:rPr>
          <w:shd w:val="clear" w:color="auto" w:fill="FFFFFF"/>
          <w:lang w:bidi="th-TH"/>
        </w:rPr>
        <w:t>are</w:t>
      </w:r>
      <w:r w:rsidR="00695E59" w:rsidRPr="00671D9E">
        <w:rPr>
          <w:lang w:bidi="th-TH"/>
        </w:rPr>
        <w:t xml:space="preserve"> as follows:</w:t>
      </w:r>
    </w:p>
    <w:p w14:paraId="578B0344" w14:textId="5422E2D0" w:rsidR="00695E59" w:rsidRPr="00671D9E" w:rsidRDefault="00F165C5" w:rsidP="00F165C5">
      <w:pPr>
        <w:pStyle w:val="SingleTxtG"/>
        <w:rPr>
          <w:lang w:bidi="th-TH"/>
        </w:rPr>
      </w:pPr>
      <w:r>
        <w:rPr>
          <w:lang w:bidi="th-TH"/>
        </w:rPr>
        <w:tab/>
      </w:r>
      <w:r w:rsidR="002B0385" w:rsidRPr="00671D9E">
        <w:rPr>
          <w:lang w:bidi="th-TH"/>
        </w:rPr>
        <w:t>(a)</w:t>
      </w:r>
      <w:r w:rsidR="002B0385" w:rsidRPr="00671D9E">
        <w:rPr>
          <w:lang w:bidi="th-TH"/>
        </w:rPr>
        <w:tab/>
      </w:r>
      <w:r w:rsidR="00695E59" w:rsidRPr="00671D9E">
        <w:rPr>
          <w:lang w:bidi="th-TH"/>
        </w:rPr>
        <w:t xml:space="preserve">Torture is defined as </w:t>
      </w:r>
      <w:r w:rsidR="00A56767">
        <w:rPr>
          <w:lang w:bidi="th-TH"/>
        </w:rPr>
        <w:t>“</w:t>
      </w:r>
      <w:r w:rsidR="00695E59" w:rsidRPr="00671D9E">
        <w:rPr>
          <w:lang w:bidi="th-TH"/>
        </w:rPr>
        <w:t>an</w:t>
      </w:r>
      <w:r w:rsidR="00695E59" w:rsidRPr="00671D9E">
        <w:rPr>
          <w:rFonts w:cs="Cordia New"/>
          <w:lang w:bidi="th-TH"/>
        </w:rPr>
        <w:t xml:space="preserve">y act </w:t>
      </w:r>
      <w:r w:rsidR="00695E59" w:rsidRPr="00671D9E">
        <w:rPr>
          <w:lang w:bidi="th-TH"/>
        </w:rPr>
        <w:t>done in order to inflict severe pain or suffering, whether physical or mental, on another person</w:t>
      </w:r>
      <w:r w:rsidR="00A56767">
        <w:rPr>
          <w:lang w:bidi="th-TH"/>
        </w:rPr>
        <w:t>”</w:t>
      </w:r>
      <w:r w:rsidR="00695E59" w:rsidRPr="00671D9E">
        <w:rPr>
          <w:lang w:bidi="th-TH"/>
        </w:rPr>
        <w:t xml:space="preserve"> for one of the following purposes:</w:t>
      </w:r>
    </w:p>
    <w:p w14:paraId="0B093E51" w14:textId="16C671D2" w:rsidR="00695E59" w:rsidRPr="00F165C5" w:rsidRDefault="002B0385" w:rsidP="00F165C5">
      <w:pPr>
        <w:pStyle w:val="SingleTxtG"/>
        <w:ind w:left="1701"/>
      </w:pPr>
      <w:r w:rsidRPr="00F165C5">
        <w:t>(i)</w:t>
      </w:r>
      <w:r w:rsidRPr="00F165C5">
        <w:tab/>
      </w:r>
      <w:r w:rsidR="00695E59" w:rsidRPr="00F165C5">
        <w:t>To obtain information or a confession from him/her or a third person; or</w:t>
      </w:r>
    </w:p>
    <w:p w14:paraId="7CA87181" w14:textId="008C05C8" w:rsidR="00695E59" w:rsidRPr="00F165C5" w:rsidRDefault="002B0385" w:rsidP="00F165C5">
      <w:pPr>
        <w:pStyle w:val="SingleTxtG"/>
        <w:ind w:left="1701"/>
      </w:pPr>
      <w:r w:rsidRPr="00F165C5">
        <w:t>(ii)</w:t>
      </w:r>
      <w:r w:rsidRPr="00F165C5">
        <w:tab/>
      </w:r>
      <w:r w:rsidR="00695E59" w:rsidRPr="00F165C5">
        <w:t>To punish him/her for an act that he or she or a third person has committed or is suspected of having committed; or</w:t>
      </w:r>
    </w:p>
    <w:p w14:paraId="65175806" w14:textId="14B1B57C" w:rsidR="00695E59" w:rsidRPr="00F165C5" w:rsidRDefault="002B0385" w:rsidP="00F165C5">
      <w:pPr>
        <w:pStyle w:val="SingleTxtG"/>
        <w:ind w:left="1701"/>
      </w:pPr>
      <w:r w:rsidRPr="00F165C5">
        <w:t>(iii)</w:t>
      </w:r>
      <w:r w:rsidRPr="00F165C5">
        <w:tab/>
      </w:r>
      <w:r w:rsidR="00695E59" w:rsidRPr="00F165C5">
        <w:t>To intimidate or coerce him/her or a third person.</w:t>
      </w:r>
      <w:r w:rsidR="00A56767" w:rsidRPr="00F165C5">
        <w:t>”</w:t>
      </w:r>
      <w:r w:rsidR="00695E59" w:rsidRPr="00F165C5">
        <w:t>;</w:t>
      </w:r>
      <w:r w:rsidR="00695E59" w:rsidRPr="00E235C4">
        <w:rPr>
          <w:rStyle w:val="FootnoteReference"/>
        </w:rPr>
        <w:footnoteReference w:id="4"/>
      </w:r>
    </w:p>
    <w:p w14:paraId="4B98C940" w14:textId="4664674A" w:rsidR="00695E59" w:rsidRPr="00F165C5" w:rsidRDefault="00F165C5" w:rsidP="00F165C5">
      <w:pPr>
        <w:pStyle w:val="SingleTxtG"/>
      </w:pPr>
      <w:r>
        <w:tab/>
      </w:r>
      <w:r w:rsidR="002B0385" w:rsidRPr="00F165C5">
        <w:t>(b)</w:t>
      </w:r>
      <w:r w:rsidR="002B0385" w:rsidRPr="00F165C5">
        <w:tab/>
      </w:r>
      <w:r w:rsidR="00695E59" w:rsidRPr="00F165C5">
        <w:t xml:space="preserve">Enforced disappearance is defined as </w:t>
      </w:r>
      <w:r w:rsidR="00A56767" w:rsidRPr="00F165C5">
        <w:t>“</w:t>
      </w:r>
      <w:r w:rsidR="00695E59" w:rsidRPr="00F165C5">
        <w:t>an arrest, detention, abduction or any other form of deprivation of liberty conducted by a state official whereby that state official</w:t>
      </w:r>
      <w:r w:rsidR="00695E59" w:rsidRPr="00F165C5">
        <w:rPr>
          <w:cs/>
        </w:rPr>
        <w:t xml:space="preserve"> </w:t>
      </w:r>
      <w:r w:rsidR="00695E59" w:rsidRPr="00F165C5">
        <w:t>refuses to acknowledge the said act or conceals the fate or whereabouts of the person who has disappeared.</w:t>
      </w:r>
      <w:r w:rsidR="00A56767" w:rsidRPr="00F165C5">
        <w:t>”</w:t>
      </w:r>
      <w:r w:rsidR="00695E59" w:rsidRPr="00F165C5">
        <w:t>;</w:t>
      </w:r>
      <w:r w:rsidR="00695E59" w:rsidRPr="00E235C4">
        <w:rPr>
          <w:rStyle w:val="FootnoteReference"/>
        </w:rPr>
        <w:footnoteReference w:id="5"/>
      </w:r>
    </w:p>
    <w:p w14:paraId="3F6D8BBE" w14:textId="14DB4CF7" w:rsidR="00695E59" w:rsidRPr="00F165C5" w:rsidRDefault="00F165C5" w:rsidP="00F165C5">
      <w:pPr>
        <w:pStyle w:val="SingleTxtG"/>
      </w:pPr>
      <w:r>
        <w:tab/>
      </w:r>
      <w:r w:rsidR="002B0385" w:rsidRPr="00F165C5">
        <w:t>(c)</w:t>
      </w:r>
      <w:r w:rsidR="002B0385" w:rsidRPr="00F165C5">
        <w:tab/>
      </w:r>
      <w:r w:rsidR="00695E59" w:rsidRPr="00F165C5">
        <w:t>Both torture and enforced disappearance are each a specific crime punishable by one to ten years</w:t>
      </w:r>
      <w:r w:rsidR="00A56767" w:rsidRPr="00F165C5">
        <w:t>’</w:t>
      </w:r>
      <w:r w:rsidR="00695E59" w:rsidRPr="00F165C5">
        <w:t xml:space="preserve"> imprisonment and a fine of THB twenty thousand to THB two hundred thousand.</w:t>
      </w:r>
      <w:r w:rsidR="00695E59" w:rsidRPr="00E235C4">
        <w:rPr>
          <w:rStyle w:val="FootnoteReference"/>
        </w:rPr>
        <w:footnoteReference w:id="6"/>
      </w:r>
      <w:r w:rsidR="00695E59" w:rsidRPr="00F165C5">
        <w:t xml:space="preserve"> If there is an aggravating consequence or an aggravating fact, the punishment will be heavier as follows:</w:t>
      </w:r>
    </w:p>
    <w:p w14:paraId="6896DCA6" w14:textId="589EA9AA" w:rsidR="00695E59" w:rsidRPr="00F165C5" w:rsidRDefault="002B0385" w:rsidP="00F165C5">
      <w:pPr>
        <w:pStyle w:val="SingleTxtG"/>
        <w:ind w:left="1701"/>
      </w:pPr>
      <w:r w:rsidRPr="00F165C5">
        <w:t>(i)</w:t>
      </w:r>
      <w:r w:rsidRPr="00F165C5">
        <w:tab/>
      </w:r>
      <w:r w:rsidR="00695E59" w:rsidRPr="00F165C5">
        <w:t>Aggravating</w:t>
      </w:r>
      <w:r w:rsidR="00695E59" w:rsidRPr="00F165C5">
        <w:rPr>
          <w:cs/>
        </w:rPr>
        <w:t xml:space="preserve"> </w:t>
      </w:r>
      <w:r w:rsidR="00695E59" w:rsidRPr="00F165C5">
        <w:t>consequence:</w:t>
      </w:r>
    </w:p>
    <w:p w14:paraId="7E9BCA55" w14:textId="1D13B1A6" w:rsidR="00695E59" w:rsidRPr="00671D9E" w:rsidRDefault="002B0385" w:rsidP="002B0385">
      <w:pPr>
        <w:pStyle w:val="Bullet2G"/>
        <w:numPr>
          <w:ilvl w:val="0"/>
          <w:numId w:val="0"/>
        </w:numPr>
        <w:tabs>
          <w:tab w:val="left" w:pos="2268"/>
        </w:tabs>
        <w:suppressAutoHyphens w:val="0"/>
        <w:spacing w:line="240" w:lineRule="auto"/>
        <w:ind w:left="2268" w:hanging="170"/>
        <w:rPr>
          <w:lang w:bidi="th-TH"/>
        </w:rPr>
      </w:pPr>
      <w:r w:rsidRPr="00671D9E">
        <w:rPr>
          <w:lang w:bidi="th-TH"/>
        </w:rPr>
        <w:t>•</w:t>
      </w:r>
      <w:r w:rsidRPr="00671D9E">
        <w:rPr>
          <w:lang w:bidi="th-TH"/>
        </w:rPr>
        <w:tab/>
      </w:r>
      <w:r w:rsidR="00695E59" w:rsidRPr="00671D9E">
        <w:rPr>
          <w:lang w:bidi="th-TH"/>
        </w:rPr>
        <w:t>Grievous bodily harm:</w:t>
      </w:r>
      <w:r w:rsidR="00695E59" w:rsidRPr="00E235C4">
        <w:rPr>
          <w:rStyle w:val="FootnoteReference"/>
        </w:rPr>
        <w:footnoteReference w:id="7"/>
      </w:r>
      <w:r w:rsidR="00695E59" w:rsidRPr="00671D9E">
        <w:rPr>
          <w:vertAlign w:val="superscript"/>
          <w:lang w:bidi="th-TH"/>
        </w:rPr>
        <w:t xml:space="preserve"> </w:t>
      </w:r>
      <w:r w:rsidR="00695E59" w:rsidRPr="00671D9E">
        <w:rPr>
          <w:lang w:bidi="th-TH"/>
        </w:rPr>
        <w:t>punishable by five to fifteen years</w:t>
      </w:r>
      <w:r w:rsidR="00A56767">
        <w:rPr>
          <w:lang w:bidi="th-TH"/>
        </w:rPr>
        <w:t>’</w:t>
      </w:r>
      <w:r w:rsidR="00695E59" w:rsidRPr="00671D9E">
        <w:rPr>
          <w:lang w:bidi="th-TH"/>
        </w:rPr>
        <w:t xml:space="preserve"> imprisonment and a fine of THB one hundred to THB three hundred thousand;</w:t>
      </w:r>
      <w:r w:rsidR="00695E59" w:rsidRPr="00E235C4">
        <w:rPr>
          <w:rStyle w:val="FootnoteReference"/>
        </w:rPr>
        <w:footnoteReference w:id="8"/>
      </w:r>
    </w:p>
    <w:p w14:paraId="39AE0CA6" w14:textId="7A4AA7C9" w:rsidR="00695E59" w:rsidRPr="00671D9E" w:rsidRDefault="002B0385" w:rsidP="002B0385">
      <w:pPr>
        <w:pStyle w:val="Bullet2G"/>
        <w:numPr>
          <w:ilvl w:val="0"/>
          <w:numId w:val="0"/>
        </w:numPr>
        <w:tabs>
          <w:tab w:val="left" w:pos="2268"/>
        </w:tabs>
        <w:suppressAutoHyphens w:val="0"/>
        <w:spacing w:line="240" w:lineRule="auto"/>
        <w:ind w:left="2268" w:hanging="170"/>
        <w:rPr>
          <w:lang w:bidi="th-TH"/>
        </w:rPr>
      </w:pPr>
      <w:r w:rsidRPr="00671D9E">
        <w:rPr>
          <w:lang w:bidi="th-TH"/>
        </w:rPr>
        <w:t>•</w:t>
      </w:r>
      <w:r w:rsidRPr="00671D9E">
        <w:rPr>
          <w:lang w:bidi="th-TH"/>
        </w:rPr>
        <w:tab/>
      </w:r>
      <w:r w:rsidR="00695E59" w:rsidRPr="00671D9E">
        <w:rPr>
          <w:lang w:bidi="th-TH"/>
        </w:rPr>
        <w:t xml:space="preserve">Death: punishable by </w:t>
      </w:r>
      <w:r w:rsidR="00695E59" w:rsidRPr="00671D9E">
        <w:rPr>
          <w:rFonts w:cs="Angsana New"/>
          <w:szCs w:val="35"/>
          <w:lang w:bidi="th-TH"/>
        </w:rPr>
        <w:t xml:space="preserve">ten to twenty </w:t>
      </w:r>
      <w:r w:rsidR="00695E59" w:rsidRPr="00671D9E">
        <w:rPr>
          <w:lang w:bidi="th-TH"/>
        </w:rPr>
        <w:t>years</w:t>
      </w:r>
      <w:r w:rsidR="00A56767">
        <w:rPr>
          <w:lang w:bidi="th-TH"/>
        </w:rPr>
        <w:t>’</w:t>
      </w:r>
      <w:r w:rsidR="00695E59" w:rsidRPr="00671D9E">
        <w:rPr>
          <w:lang w:bidi="th-TH"/>
        </w:rPr>
        <w:t xml:space="preserve"> imprisonment or life imprisonment and a fine of THB two hundred to THB four hundred thousand;</w:t>
      </w:r>
      <w:r w:rsidR="00695E59" w:rsidRPr="00E235C4">
        <w:rPr>
          <w:rStyle w:val="FootnoteReference"/>
        </w:rPr>
        <w:footnoteReference w:id="9"/>
      </w:r>
    </w:p>
    <w:p w14:paraId="65281A30" w14:textId="714EE240" w:rsidR="00695E59" w:rsidRPr="00671D9E" w:rsidRDefault="002B0385" w:rsidP="005B3514">
      <w:pPr>
        <w:pStyle w:val="SingleTxtG"/>
        <w:ind w:left="1701"/>
        <w:rPr>
          <w:lang w:bidi="th-TH"/>
        </w:rPr>
      </w:pPr>
      <w:r w:rsidRPr="00671D9E">
        <w:rPr>
          <w:lang w:bidi="th-TH"/>
        </w:rPr>
        <w:t>(ii)</w:t>
      </w:r>
      <w:r w:rsidRPr="00671D9E">
        <w:rPr>
          <w:lang w:bidi="th-TH"/>
        </w:rPr>
        <w:tab/>
      </w:r>
      <w:r w:rsidR="00695E59" w:rsidRPr="00671D9E">
        <w:rPr>
          <w:lang w:bidi="th-TH"/>
        </w:rPr>
        <w:t>Aggravating fact: If the crime is inflicted on a person under 18 years of age, a pregnant woman, a person with a disability, whether physical or mental, or a dependent, the perpetrator</w:t>
      </w:r>
      <w:r w:rsidR="00A56767">
        <w:rPr>
          <w:lang w:bidi="th-TH"/>
        </w:rPr>
        <w:t>’</w:t>
      </w:r>
      <w:r w:rsidR="00695E59" w:rsidRPr="00671D9E">
        <w:rPr>
          <w:lang w:bidi="th-TH"/>
        </w:rPr>
        <w:t>s punishment shall be increased by half;</w:t>
      </w:r>
      <w:r w:rsidR="00695E59" w:rsidRPr="00E235C4">
        <w:rPr>
          <w:rStyle w:val="FootnoteReference"/>
        </w:rPr>
        <w:footnoteReference w:id="10"/>
      </w:r>
    </w:p>
    <w:p w14:paraId="4E819421" w14:textId="59DFD644" w:rsidR="00695E59" w:rsidRPr="00671D9E" w:rsidRDefault="00F165C5" w:rsidP="00F165C5">
      <w:pPr>
        <w:pStyle w:val="SingleTxtG"/>
        <w:rPr>
          <w:lang w:bidi="th-TH"/>
        </w:rPr>
      </w:pPr>
      <w:r>
        <w:rPr>
          <w:lang w:bidi="th-TH"/>
        </w:rPr>
        <w:tab/>
      </w:r>
      <w:r w:rsidR="002B0385" w:rsidRPr="00671D9E">
        <w:rPr>
          <w:lang w:bidi="th-TH"/>
        </w:rPr>
        <w:t>(d)</w:t>
      </w:r>
      <w:r w:rsidR="002B0385" w:rsidRPr="00671D9E">
        <w:rPr>
          <w:lang w:bidi="th-TH"/>
        </w:rPr>
        <w:tab/>
      </w:r>
      <w:r w:rsidR="00695E59" w:rsidRPr="00671D9E">
        <w:rPr>
          <w:lang w:bidi="th-TH"/>
        </w:rPr>
        <w:t>Mitigation: In the case of enforced disappearance, the perpetrator may be given a lesser sentence (not less than a half):</w:t>
      </w:r>
    </w:p>
    <w:p w14:paraId="5C1C9705" w14:textId="507E24DB" w:rsidR="00695E59" w:rsidRPr="00F165C5" w:rsidRDefault="002B0385" w:rsidP="00F165C5">
      <w:pPr>
        <w:pStyle w:val="SingleTxtG"/>
        <w:ind w:left="1701"/>
      </w:pPr>
      <w:r w:rsidRPr="00F165C5">
        <w:t>(i)</w:t>
      </w:r>
      <w:r w:rsidRPr="00F165C5">
        <w:tab/>
      </w:r>
      <w:r w:rsidR="00695E59" w:rsidRPr="00F165C5">
        <w:t>if the perpetrator arranges for the person who has disappeared to be found so long as that person has not suffered grievous bodily harm or does not face imminent or fatal threats or danger to his/her life; or</w:t>
      </w:r>
    </w:p>
    <w:p w14:paraId="4FDA7D46" w14:textId="57D2E3E8" w:rsidR="00695E59" w:rsidRPr="00F165C5" w:rsidRDefault="002B0385" w:rsidP="00F165C5">
      <w:pPr>
        <w:pStyle w:val="SingleTxtG"/>
        <w:ind w:left="1701"/>
      </w:pPr>
      <w:r w:rsidRPr="00F165C5">
        <w:t>(ii)</w:t>
      </w:r>
      <w:r w:rsidRPr="00F165C5">
        <w:tab/>
      </w:r>
      <w:r w:rsidR="00695E59" w:rsidRPr="00F165C5">
        <w:t>if the perpetrator provides the state with information that is critical to the investigation;</w:t>
      </w:r>
      <w:r w:rsidR="00695E59" w:rsidRPr="00E235C4">
        <w:rPr>
          <w:rStyle w:val="FootnoteReference"/>
        </w:rPr>
        <w:footnoteReference w:id="11"/>
      </w:r>
    </w:p>
    <w:p w14:paraId="0C04B3D6" w14:textId="7B2BE40A" w:rsidR="00695E59" w:rsidRPr="00671D9E" w:rsidRDefault="00F165C5" w:rsidP="00F165C5">
      <w:pPr>
        <w:pStyle w:val="SingleTxtG"/>
        <w:rPr>
          <w:lang w:bidi="th-TH"/>
        </w:rPr>
      </w:pPr>
      <w:r>
        <w:rPr>
          <w:lang w:bidi="th-TH"/>
        </w:rPr>
        <w:tab/>
      </w:r>
      <w:r w:rsidR="002B0385" w:rsidRPr="00671D9E">
        <w:rPr>
          <w:lang w:bidi="th-TH"/>
        </w:rPr>
        <w:t>(e)</w:t>
      </w:r>
      <w:r w:rsidR="002B0385" w:rsidRPr="00671D9E">
        <w:rPr>
          <w:lang w:bidi="th-TH"/>
        </w:rPr>
        <w:tab/>
      </w:r>
      <w:r w:rsidR="00695E59" w:rsidRPr="00671D9E">
        <w:rPr>
          <w:lang w:bidi="th-TH"/>
        </w:rPr>
        <w:t>Conspiracy: The draft Act states that whoever conspires to commit either one of the offences shall be liable to one-third of the punishment provided for the respective offence</w:t>
      </w:r>
      <w:r w:rsidR="00695E59" w:rsidRPr="00671D9E">
        <w:rPr>
          <w:cs/>
          <w:lang w:bidi="th-TH"/>
        </w:rPr>
        <w:t>;</w:t>
      </w:r>
      <w:r w:rsidR="00695E59" w:rsidRPr="00E235C4">
        <w:rPr>
          <w:rStyle w:val="FootnoteReference"/>
        </w:rPr>
        <w:footnoteReference w:id="12"/>
      </w:r>
    </w:p>
    <w:p w14:paraId="2B73BE35" w14:textId="4BEA6EF5" w:rsidR="00695E59" w:rsidRPr="00671D9E" w:rsidRDefault="00F165C5" w:rsidP="00F165C5">
      <w:pPr>
        <w:pStyle w:val="SingleTxtG"/>
        <w:rPr>
          <w:lang w:bidi="th-TH"/>
        </w:rPr>
      </w:pPr>
      <w:r>
        <w:rPr>
          <w:lang w:bidi="th-TH"/>
        </w:rPr>
        <w:tab/>
      </w:r>
      <w:r w:rsidR="002B0385" w:rsidRPr="00671D9E">
        <w:rPr>
          <w:lang w:bidi="th-TH"/>
        </w:rPr>
        <w:t>(f)</w:t>
      </w:r>
      <w:r w:rsidR="00695E59" w:rsidRPr="00671D9E">
        <w:rPr>
          <w:lang w:bidi="th-TH"/>
        </w:rPr>
        <w:tab/>
        <w:t>Attempts: Every participator shall be liable to two</w:t>
      </w:r>
      <w:r w:rsidR="00695E59" w:rsidRPr="00671D9E">
        <w:rPr>
          <w:cs/>
          <w:lang w:bidi="th-TH"/>
        </w:rPr>
        <w:t>-</w:t>
      </w:r>
      <w:r w:rsidR="00695E59" w:rsidRPr="00671D9E">
        <w:rPr>
          <w:lang w:bidi="th-TH"/>
        </w:rPr>
        <w:t>thirds of the offence</w:t>
      </w:r>
      <w:r w:rsidR="00695E59" w:rsidRPr="00671D9E">
        <w:rPr>
          <w:cs/>
          <w:lang w:bidi="th-TH"/>
        </w:rPr>
        <w:t>;</w:t>
      </w:r>
    </w:p>
    <w:p w14:paraId="1254CA34" w14:textId="7BAF9899" w:rsidR="00695E59" w:rsidRPr="00F165C5" w:rsidRDefault="00F165C5" w:rsidP="00F165C5">
      <w:pPr>
        <w:pStyle w:val="SingleTxtG"/>
      </w:pPr>
      <w:r>
        <w:lastRenderedPageBreak/>
        <w:tab/>
      </w:r>
      <w:r w:rsidR="002B0385" w:rsidRPr="00F165C5">
        <w:t>(g)</w:t>
      </w:r>
      <w:r w:rsidR="002B0385" w:rsidRPr="00F165C5">
        <w:tab/>
      </w:r>
      <w:r w:rsidR="00695E59" w:rsidRPr="00F165C5">
        <w:t>Accessory: If torture or enforced disappearance is committed, every participant shall be liable as if they were the principal person committing the act</w:t>
      </w:r>
      <w:r w:rsidR="00695E59" w:rsidRPr="00F165C5">
        <w:rPr>
          <w:cs/>
        </w:rPr>
        <w:t>;</w:t>
      </w:r>
      <w:r w:rsidR="00695E59" w:rsidRPr="00E235C4">
        <w:rPr>
          <w:rStyle w:val="FootnoteReference"/>
        </w:rPr>
        <w:footnoteReference w:id="13"/>
      </w:r>
    </w:p>
    <w:p w14:paraId="59DDE34A" w14:textId="1A7E1F7E" w:rsidR="00695E59" w:rsidRPr="00F165C5" w:rsidRDefault="00F165C5" w:rsidP="00F165C5">
      <w:pPr>
        <w:pStyle w:val="SingleTxtG"/>
      </w:pPr>
      <w:r>
        <w:tab/>
      </w:r>
      <w:r w:rsidR="002B0385" w:rsidRPr="00F165C5">
        <w:t>(h)</w:t>
      </w:r>
      <w:r w:rsidR="002B0385" w:rsidRPr="00F165C5">
        <w:tab/>
      </w:r>
      <w:r w:rsidR="00695E59" w:rsidRPr="00F165C5">
        <w:t>Universal jurisdiction: Subject to the principle of double jeopardy, the draft Act establishes universal</w:t>
      </w:r>
      <w:r w:rsidR="00695E59" w:rsidRPr="00F165C5">
        <w:rPr>
          <w:cs/>
        </w:rPr>
        <w:t xml:space="preserve"> </w:t>
      </w:r>
      <w:r w:rsidR="00695E59" w:rsidRPr="00F165C5">
        <w:t>jurisdiction for both offences</w:t>
      </w:r>
      <w:r w:rsidR="00695E59" w:rsidRPr="00F165C5">
        <w:rPr>
          <w:cs/>
        </w:rPr>
        <w:t>;</w:t>
      </w:r>
      <w:r w:rsidR="00695E59" w:rsidRPr="00E235C4">
        <w:rPr>
          <w:rStyle w:val="FootnoteReference"/>
        </w:rPr>
        <w:footnoteReference w:id="14"/>
      </w:r>
    </w:p>
    <w:p w14:paraId="306562C7" w14:textId="738AECA0" w:rsidR="00695E59" w:rsidRPr="00F165C5" w:rsidRDefault="00F165C5" w:rsidP="00F165C5">
      <w:pPr>
        <w:pStyle w:val="SingleTxtG"/>
      </w:pPr>
      <w:r>
        <w:tab/>
      </w:r>
      <w:r w:rsidR="002B0385" w:rsidRPr="00F165C5">
        <w:t>(i)</w:t>
      </w:r>
      <w:r w:rsidR="002B0385" w:rsidRPr="00F165C5">
        <w:tab/>
      </w:r>
      <w:r w:rsidR="00695E59" w:rsidRPr="00F165C5">
        <w:t>Extradition and the international cooperation on criminal matters: Both offences shall not be regarded as a political offence</w:t>
      </w:r>
      <w:r w:rsidR="00695E59" w:rsidRPr="00F165C5">
        <w:rPr>
          <w:cs/>
        </w:rPr>
        <w:t>;</w:t>
      </w:r>
      <w:r w:rsidR="00695E59" w:rsidRPr="00E235C4">
        <w:rPr>
          <w:rStyle w:val="FootnoteReference"/>
        </w:rPr>
        <w:footnoteReference w:id="15"/>
      </w:r>
    </w:p>
    <w:p w14:paraId="3C8B3E6A" w14:textId="33A4BDBF" w:rsidR="00695E59" w:rsidRPr="00F165C5" w:rsidRDefault="00F165C5" w:rsidP="00F165C5">
      <w:pPr>
        <w:pStyle w:val="SingleTxtG"/>
      </w:pPr>
      <w:r>
        <w:tab/>
      </w:r>
      <w:r w:rsidR="002B0385" w:rsidRPr="00F165C5">
        <w:t>(j)</w:t>
      </w:r>
      <w:r w:rsidR="002B0385" w:rsidRPr="00F165C5">
        <w:tab/>
      </w:r>
      <w:r w:rsidR="00695E59" w:rsidRPr="00F165C5">
        <w:t>Superior responsibility: For enforced disappearance, if a subordinate commits an act of enforced disappearance, the superior officer may be convicted of a crime of enforced disappearance (punishable by half of the penalty stated in paragraph 7 (3)):</w:t>
      </w:r>
    </w:p>
    <w:p w14:paraId="44E64558" w14:textId="5EE6B846" w:rsidR="00695E59" w:rsidRPr="00F165C5" w:rsidRDefault="002B0385" w:rsidP="007F5214">
      <w:pPr>
        <w:pStyle w:val="SingleTxtG"/>
        <w:ind w:left="1701"/>
      </w:pPr>
      <w:r w:rsidRPr="00F165C5">
        <w:t>(iii)</w:t>
      </w:r>
      <w:r w:rsidRPr="00F165C5">
        <w:tab/>
      </w:r>
      <w:r w:rsidR="00695E59" w:rsidRPr="00F165C5">
        <w:t>If he/she is aware that his/her subordinate is about to commit an act of enforced disappearance and he/she does not prevent it from happening; or</w:t>
      </w:r>
    </w:p>
    <w:p w14:paraId="50FF1CD5" w14:textId="0BEEB01B" w:rsidR="00695E59" w:rsidRPr="00F165C5" w:rsidRDefault="002B0385" w:rsidP="007F5214">
      <w:pPr>
        <w:pStyle w:val="SingleTxtG"/>
        <w:ind w:left="1701"/>
      </w:pPr>
      <w:r w:rsidRPr="00F165C5">
        <w:t>(iv)</w:t>
      </w:r>
      <w:r w:rsidRPr="00F165C5">
        <w:tab/>
      </w:r>
      <w:r w:rsidR="00695E59" w:rsidRPr="00F165C5">
        <w:t>If he/she is aware that his/her subordinate has already committed an act of enforced disappearance and he/she does not put him under investigation;</w:t>
      </w:r>
      <w:r w:rsidR="00695E59" w:rsidRPr="00E235C4">
        <w:rPr>
          <w:rStyle w:val="FootnoteReference"/>
        </w:rPr>
        <w:footnoteReference w:id="16"/>
      </w:r>
    </w:p>
    <w:p w14:paraId="6601E561" w14:textId="1AA3B13B" w:rsidR="00695E59" w:rsidRPr="00F165C5" w:rsidRDefault="007F5214" w:rsidP="00F165C5">
      <w:pPr>
        <w:pStyle w:val="SingleTxtG"/>
      </w:pPr>
      <w:r>
        <w:tab/>
      </w:r>
      <w:r w:rsidR="002B0385" w:rsidRPr="00F165C5">
        <w:t>(k)</w:t>
      </w:r>
      <w:r w:rsidR="002B0385" w:rsidRPr="00F165C5">
        <w:tab/>
      </w:r>
      <w:r w:rsidR="00695E59" w:rsidRPr="00F165C5">
        <w:t>Unlike the ICPPED, the Convention does not require State Parties to introduce an offence of superior responsibility, the offence is limited only to an act of enforced disappearance. However, such a superior official can be found guilty of either being an inciter, a joint-principal, or an aider;</w:t>
      </w:r>
    </w:p>
    <w:p w14:paraId="71C99772" w14:textId="7808136F" w:rsidR="00695E59" w:rsidRPr="00F165C5" w:rsidRDefault="007F5214" w:rsidP="00F165C5">
      <w:pPr>
        <w:pStyle w:val="SingleTxtG"/>
        <w:rPr>
          <w:cs/>
        </w:rPr>
      </w:pPr>
      <w:r>
        <w:rPr>
          <w:cs/>
        </w:rPr>
        <w:tab/>
      </w:r>
      <w:r w:rsidR="002B0385" w:rsidRPr="00F165C5">
        <w:rPr>
          <w:cs/>
        </w:rPr>
        <w:t>(</w:t>
      </w:r>
      <w:r w:rsidR="002B0385" w:rsidRPr="00F165C5">
        <w:t>l)</w:t>
      </w:r>
      <w:r w:rsidR="00695E59" w:rsidRPr="00F165C5">
        <w:tab/>
        <w:t>Statute of limitations: Despite recalling</w:t>
      </w:r>
      <w:r w:rsidR="00695E59" w:rsidRPr="00F165C5">
        <w:rPr>
          <w:cs/>
        </w:rPr>
        <w:t xml:space="preserve"> </w:t>
      </w:r>
      <w:r w:rsidR="00695E59" w:rsidRPr="00F165C5">
        <w:t>paragraph 40 of the Committee</w:t>
      </w:r>
      <w:r w:rsidR="00A56767" w:rsidRPr="00F165C5">
        <w:rPr>
          <w:cs/>
        </w:rPr>
        <w:t>’</w:t>
      </w:r>
      <w:r w:rsidR="00695E59" w:rsidRPr="00F165C5">
        <w:t>s general comment No</w:t>
      </w:r>
      <w:r w:rsidR="00695E59" w:rsidRPr="00F165C5">
        <w:rPr>
          <w:cs/>
        </w:rPr>
        <w:t xml:space="preserve">. </w:t>
      </w:r>
      <w:r w:rsidR="00695E59" w:rsidRPr="00F165C5">
        <w:t>3 on the implementation of article 14 by States parties,</w:t>
      </w:r>
      <w:r w:rsidR="00695E59" w:rsidRPr="00F165C5">
        <w:rPr>
          <w:cs/>
        </w:rPr>
        <w:t xml:space="preserve"> </w:t>
      </w:r>
      <w:r w:rsidR="00695E59" w:rsidRPr="00F165C5">
        <w:t>Thailand continues to hold that it is not necessary to make either one of the offences an imprescriptible offence</w:t>
      </w:r>
      <w:r w:rsidR="00695E59" w:rsidRPr="00F165C5">
        <w:rPr>
          <w:cs/>
        </w:rPr>
        <w:t xml:space="preserve">. </w:t>
      </w:r>
      <w:r w:rsidR="00695E59" w:rsidRPr="00F165C5">
        <w:t xml:space="preserve">The period of time for the statute of limitations for both offences will be subject to punishable rates attached to each offence laid down in section </w:t>
      </w:r>
      <w:r w:rsidR="00695E59" w:rsidRPr="00F165C5">
        <w:rPr>
          <w:cs/>
        </w:rPr>
        <w:t xml:space="preserve">95 </w:t>
      </w:r>
      <w:r w:rsidR="00695E59" w:rsidRPr="00F165C5">
        <w:t>of the Criminal Code</w:t>
      </w:r>
      <w:r w:rsidR="00695E59" w:rsidRPr="00F165C5">
        <w:rPr>
          <w:cs/>
        </w:rPr>
        <w:t xml:space="preserve"> </w:t>
      </w:r>
      <w:r w:rsidR="00695E59" w:rsidRPr="00F165C5">
        <w:t xml:space="preserve">in conjunction with the Procedures for Corruption and Misconduct Cases Act B.E </w:t>
      </w:r>
      <w:r w:rsidR="00695E59" w:rsidRPr="00F165C5">
        <w:rPr>
          <w:cs/>
        </w:rPr>
        <w:t>2559 (2016)</w:t>
      </w:r>
      <w:r w:rsidR="00695E59" w:rsidRPr="00F165C5">
        <w:t xml:space="preserve"> which defines that if a person absconds during the proceedings, that period of time during which the escape is in progress will not be included in the computation of the period of prescription.</w:t>
      </w:r>
    </w:p>
    <w:p w14:paraId="5DC3EF1E" w14:textId="14CFEC4D" w:rsidR="00695E59" w:rsidRPr="002B0385" w:rsidRDefault="002B0385" w:rsidP="00F165C5">
      <w:pPr>
        <w:pStyle w:val="SingleTxtG"/>
        <w:rPr>
          <w:cs/>
        </w:rPr>
      </w:pPr>
      <w:r w:rsidRPr="002B0385">
        <w:rPr>
          <w:cs/>
        </w:rPr>
        <w:t>8.</w:t>
      </w:r>
      <w:r w:rsidRPr="002B0385">
        <w:rPr>
          <w:cs/>
        </w:rPr>
        <w:tab/>
      </w:r>
      <w:r w:rsidR="00695E59" w:rsidRPr="00671D9E">
        <w:rPr>
          <w:lang w:bidi="th-TH"/>
        </w:rPr>
        <w:t xml:space="preserve">In practice, Thailand has treated the issue of deportation with high caution and has consistently taken into account the principle of non-refoulement, human rights, humanitarian concerns and other international obligations or customary international law. Should there be a potential risk of mistreatment of the person to be deported, the Government would do its utmost to seek assurances from the receiving country that such person would not be tortured or ill-treated. Furthermore, following a Cabinet Resolution on 10 January 2017, the draft Regulation of the Office of the Prime Minister on the Screening of Aliens who Enter into the Kingdom and are Unable to Return to the Country of Origin has already been finalized and approved by the Cabinet on 24 December 2019, and entered into force on 22 June 2020. The Regulation takes into account the principle of non-refoulement and provides that once a person is considered a </w:t>
      </w:r>
      <w:r w:rsidR="00A56767">
        <w:rPr>
          <w:lang w:bidi="th-TH"/>
        </w:rPr>
        <w:t>“</w:t>
      </w:r>
      <w:r w:rsidR="00695E59" w:rsidRPr="00671D9E">
        <w:rPr>
          <w:lang w:bidi="th-TH"/>
        </w:rPr>
        <w:t>protected person</w:t>
      </w:r>
      <w:r w:rsidR="00A56767">
        <w:rPr>
          <w:lang w:bidi="th-TH"/>
        </w:rPr>
        <w:t>”</w:t>
      </w:r>
      <w:r w:rsidR="00695E59" w:rsidRPr="00671D9E">
        <w:rPr>
          <w:lang w:bidi="th-TH"/>
        </w:rPr>
        <w:t xml:space="preserve"> due to having reasonable grounds for believing that he or she may be persecuted in the receiving country, the concerned agencies shall not repatriate such protected person to the country of origin, except in the case such person voluntarily intends to leave the Kingdom, or if there is a cause that may affect national security. The Regulation also stipulates that the concerned agencies shall take appropriate action to provide education to a protected person who is a child, and to provide healthcare services in accordance with the relevant laws, international obligations, cabinet resolutions and government policies.</w:t>
      </w:r>
    </w:p>
    <w:p w14:paraId="40B931BB" w14:textId="024B10CB" w:rsidR="00695E59" w:rsidRPr="00671D9E" w:rsidRDefault="002B0385" w:rsidP="002B0385">
      <w:pPr>
        <w:pStyle w:val="SingleTxtG"/>
        <w:suppressAutoHyphens w:val="0"/>
        <w:rPr>
          <w:lang w:bidi="th-TH"/>
        </w:rPr>
      </w:pPr>
      <w:r w:rsidRPr="00671D9E">
        <w:rPr>
          <w:lang w:bidi="th-TH"/>
        </w:rPr>
        <w:t>9.</w:t>
      </w:r>
      <w:r w:rsidRPr="00671D9E">
        <w:rPr>
          <w:lang w:bidi="th-TH"/>
        </w:rPr>
        <w:tab/>
      </w:r>
      <w:r w:rsidR="00695E59" w:rsidRPr="00671D9E">
        <w:rPr>
          <w:lang w:bidi="th-TH"/>
        </w:rPr>
        <w:t>While the draft Prevention and Suppression of Torture and Enforced Disappearance Act is pending, the Prime Minister</w:t>
      </w:r>
      <w:r w:rsidR="00695E59" w:rsidRPr="00671D9E">
        <w:rPr>
          <w:rFonts w:cs="Angsana New"/>
          <w:cs/>
          <w:lang w:bidi="th-TH"/>
        </w:rPr>
        <w:t xml:space="preserve"> </w:t>
      </w:r>
      <w:r w:rsidR="00695E59" w:rsidRPr="00671D9E">
        <w:rPr>
          <w:lang w:bidi="th-TH"/>
        </w:rPr>
        <w:t xml:space="preserve">has issued </w:t>
      </w:r>
      <w:bookmarkStart w:id="0" w:name="_Hlk41305530"/>
      <w:r w:rsidR="00695E59" w:rsidRPr="00671D9E">
        <w:rPr>
          <w:lang w:bidi="th-TH"/>
        </w:rPr>
        <w:t>the Office of the Prime Minister</w:t>
      </w:r>
      <w:r w:rsidR="00A56767">
        <w:rPr>
          <w:lang w:bidi="th-TH"/>
        </w:rPr>
        <w:t>’</w:t>
      </w:r>
      <w:r w:rsidR="00695E59" w:rsidRPr="00671D9E">
        <w:rPr>
          <w:lang w:bidi="th-TH"/>
        </w:rPr>
        <w:t>s Order</w:t>
      </w:r>
      <w:r w:rsidR="00695E59" w:rsidRPr="00671D9E">
        <w:rPr>
          <w:rFonts w:cs="Angsana New"/>
          <w:szCs w:val="35"/>
          <w:lang w:bidi="th-TH"/>
        </w:rPr>
        <w:t>s</w:t>
      </w:r>
      <w:r w:rsidR="00695E59" w:rsidRPr="00671D9E">
        <w:rPr>
          <w:lang w:bidi="th-TH"/>
        </w:rPr>
        <w:t xml:space="preserve"> </w:t>
      </w:r>
      <w:bookmarkEnd w:id="0"/>
      <w:r w:rsidR="00695E59" w:rsidRPr="00671D9E">
        <w:rPr>
          <w:lang w:bidi="th-TH"/>
        </w:rPr>
        <w:t xml:space="preserve">No. 131/2560 (2017) dated 23 May 2017 and No. 338/2562 (2019) dated 15 November 2019 to establish the National Committee for Managing Cases Relating to Torture and Enforced Disappearance. The National Committee is chaired by the Minister of Justice and comprises 18 members from government agencies, civil society organisations and academia. It is </w:t>
      </w:r>
      <w:r w:rsidR="00695E59" w:rsidRPr="00671D9E">
        <w:rPr>
          <w:lang w:bidi="th-TH"/>
        </w:rPr>
        <w:lastRenderedPageBreak/>
        <w:t>mandated to promptly investigate and follow up allegations of torture and disappearance, to provide redress if a violation is found, and to promote protective mechanisms to prevent future occurrences of such cases. Any public officer who is found to have been involved in torture and/or enforced disappearance will be prosecuted in accordance with the law. The powers and responsibilities of this Committee are strengthened and broadened, compared to its 2016 predecessor which was established by the Minister of Justice, to ensure the effectiveness of its work.</w:t>
      </w:r>
    </w:p>
    <w:p w14:paraId="1BB5B8FD" w14:textId="36053EE8" w:rsidR="00695E59" w:rsidRPr="00671D9E" w:rsidRDefault="002B0385" w:rsidP="002B0385">
      <w:pPr>
        <w:pStyle w:val="SingleTxtG"/>
        <w:suppressAutoHyphens w:val="0"/>
        <w:rPr>
          <w:lang w:bidi="th-TH"/>
        </w:rPr>
      </w:pPr>
      <w:r w:rsidRPr="00671D9E">
        <w:rPr>
          <w:lang w:bidi="th-TH"/>
        </w:rPr>
        <w:t>10.</w:t>
      </w:r>
      <w:r w:rsidRPr="00671D9E">
        <w:rPr>
          <w:lang w:bidi="th-TH"/>
        </w:rPr>
        <w:tab/>
      </w:r>
      <w:r w:rsidR="00695E59" w:rsidRPr="00671D9E">
        <w:rPr>
          <w:lang w:bidi="th-TH"/>
        </w:rPr>
        <w:t>Additionally, the National Committee</w:t>
      </w:r>
      <w:r w:rsidR="00A56767">
        <w:rPr>
          <w:lang w:bidi="th-TH"/>
        </w:rPr>
        <w:t>’</w:t>
      </w:r>
      <w:r w:rsidR="00695E59" w:rsidRPr="00671D9E">
        <w:rPr>
          <w:lang w:bidi="th-TH"/>
        </w:rPr>
        <w:t>s work is supported by four sub-committees: (1)</w:t>
      </w:r>
      <w:r w:rsidR="00695E59" w:rsidRPr="00671D9E">
        <w:rPr>
          <w:rFonts w:cs="Angsana New"/>
          <w:cs/>
          <w:lang w:bidi="th-TH"/>
        </w:rPr>
        <w:t xml:space="preserve"> </w:t>
      </w:r>
      <w:r w:rsidR="00695E59" w:rsidRPr="00671D9E">
        <w:rPr>
          <w:lang w:bidi="th-TH"/>
        </w:rPr>
        <w:t xml:space="preserve">the Sub-Committee to Monitor and Investigate Cases of Torture and Enforced Disappearance, chaired by the Director-General of the DSI of the Ministry of Justice; (2) </w:t>
      </w:r>
      <w:bookmarkStart w:id="1" w:name="_Hlk41211543"/>
      <w:r w:rsidR="00695E59" w:rsidRPr="00671D9E">
        <w:rPr>
          <w:lang w:bidi="th-TH"/>
        </w:rPr>
        <w:t>the Sub-Committee on Remediation for Cases of Torture and Enforced Disappearance</w:t>
      </w:r>
      <w:bookmarkEnd w:id="1"/>
      <w:r w:rsidR="00695E59" w:rsidRPr="00671D9E">
        <w:rPr>
          <w:lang w:bidi="th-TH"/>
        </w:rPr>
        <w:t xml:space="preserve">, chaired by the Director-General of RLPD of the Ministry of Justice. Its mandate is to remediate victims of torture and enforced disappearances; (3) the Sub-Committee to Prevent Acts of Torture and Enforced Disappearance chaired by Professor Narong </w:t>
      </w:r>
      <w:r w:rsidR="00695E59" w:rsidRPr="00671D9E">
        <w:t>Jaiharn,</w:t>
      </w:r>
      <w:r w:rsidR="00695E59" w:rsidRPr="00671D9E">
        <w:rPr>
          <w:cs/>
        </w:rPr>
        <w:t xml:space="preserve"> </w:t>
      </w:r>
      <w:r w:rsidR="00695E59" w:rsidRPr="00671D9E">
        <w:t>a human</w:t>
      </w:r>
      <w:r w:rsidR="00695E59" w:rsidRPr="00671D9E">
        <w:rPr>
          <w:rFonts w:cs="Leelawadee UI"/>
          <w:szCs w:val="35"/>
          <w:lang w:bidi="th-TH"/>
        </w:rPr>
        <w:t xml:space="preserve"> rights expert and a former dean of the Faculty of Law, Thammasat University.</w:t>
      </w:r>
      <w:r w:rsidR="00695E59" w:rsidRPr="00671D9E">
        <w:rPr>
          <w:lang w:bidi="th-TH"/>
        </w:rPr>
        <w:t xml:space="preserve"> This sub-committee has provided training to officers throughout the country, as well as those who are responsible for receiving complaints. It has also developed a manual on the preliminary investigation of alleged acts of torture and enforced disappearances. A number of memoranda of understanding between relevant agencies are being prepared to strengthen the sub-committee</w:t>
      </w:r>
      <w:r w:rsidR="00A56767">
        <w:rPr>
          <w:lang w:bidi="th-TH"/>
        </w:rPr>
        <w:t>’</w:t>
      </w:r>
      <w:r w:rsidR="00695E59" w:rsidRPr="00671D9E">
        <w:rPr>
          <w:lang w:bidi="th-TH"/>
        </w:rPr>
        <w:t xml:space="preserve">s capacity to fulfil its duties. It is also charged with the duty to develop and promote preventive mechanisms for law enforcement agencies to prevent acts of torture and enforced disappearance. So far, this sub-committee has trained thousands of officers throughout the country on the Convention, national mechanisms as well as related laws against torture and enforced disappearance; and (4) the regional Sub-Committees on the Screening of Cases of Torture and Enforced Disappearance. The eleven regional sub-committees across the country are mandated to receive and consider complaints of torture and enforced disappearances and, if the criteria are met, to submit them to the monitoring and investigating sub-committee. </w:t>
      </w:r>
      <w:r w:rsidR="00695E59" w:rsidRPr="00671D9E">
        <w:rPr>
          <w:rFonts w:cs="Leelawadee UI"/>
          <w:szCs w:val="35"/>
          <w:lang w:bidi="th-TH"/>
        </w:rPr>
        <w:t>The National Committee</w:t>
      </w:r>
      <w:r w:rsidR="00A56767">
        <w:rPr>
          <w:rFonts w:cs="Leelawadee UI"/>
          <w:szCs w:val="35"/>
          <w:lang w:bidi="th-TH"/>
        </w:rPr>
        <w:t>’</w:t>
      </w:r>
      <w:r w:rsidR="00695E59" w:rsidRPr="00671D9E">
        <w:rPr>
          <w:rFonts w:cs="Leelawadee UI"/>
          <w:szCs w:val="35"/>
          <w:lang w:bidi="th-TH"/>
        </w:rPr>
        <w:t>s</w:t>
      </w:r>
      <w:r w:rsidR="00695E59" w:rsidRPr="00671D9E">
        <w:rPr>
          <w:lang w:bidi="th-TH"/>
        </w:rPr>
        <w:t xml:space="preserve"> success on verification of alleged cases of enforced disappeared persons raised by the UN Working Group on Enforced or Involuntary Disappearances appear below in paragraph 3</w:t>
      </w:r>
      <w:r w:rsidR="00695E59" w:rsidRPr="00671D9E">
        <w:rPr>
          <w:rFonts w:cs="Cordia New"/>
          <w:lang w:bidi="th-TH"/>
        </w:rPr>
        <w:t>1.</w:t>
      </w:r>
    </w:p>
    <w:p w14:paraId="0F91FD3D" w14:textId="51E86F25" w:rsidR="002924F5" w:rsidRDefault="002924F5" w:rsidP="002924F5">
      <w:pPr>
        <w:pStyle w:val="HChG"/>
        <w:rPr>
          <w:rFonts w:eastAsia="ZWAdobeF"/>
          <w:lang w:bidi="th-TH"/>
        </w:rPr>
      </w:pPr>
      <w:r w:rsidRPr="002924F5">
        <w:rPr>
          <w:rFonts w:eastAsia="ZWAdobeF"/>
          <w:lang w:bidi="th-TH"/>
        </w:rPr>
        <w:tab/>
      </w:r>
      <w:r w:rsidRPr="002924F5">
        <w:rPr>
          <w:rFonts w:eastAsia="ZWAdobeF"/>
          <w:lang w:bidi="th-TH"/>
        </w:rPr>
        <w:tab/>
        <w:t>Article 2</w:t>
      </w:r>
    </w:p>
    <w:p w14:paraId="3496CE84" w14:textId="0FD23D9A" w:rsidR="00695E59" w:rsidRPr="00EE258F" w:rsidRDefault="00695E59" w:rsidP="00EE258F">
      <w:pPr>
        <w:pStyle w:val="H23G"/>
        <w:rPr>
          <w:rFonts w:eastAsia="ZWAdobeF"/>
        </w:rPr>
      </w:pPr>
      <w:r w:rsidRPr="00671D9E">
        <w:rPr>
          <w:rFonts w:eastAsia="ZWAdobeF"/>
          <w:bCs/>
          <w:sz w:val="28"/>
          <w:szCs w:val="28"/>
          <w:cs/>
          <w:lang w:bidi="th-TH"/>
        </w:rPr>
        <w:tab/>
      </w:r>
      <w:r w:rsidRPr="00671D9E">
        <w:rPr>
          <w:rFonts w:eastAsia="ZWAdobeF" w:cs="Cordia New"/>
          <w:bCs/>
          <w:sz w:val="28"/>
          <w:szCs w:val="28"/>
          <w:cs/>
          <w:lang w:bidi="th-TH"/>
        </w:rPr>
        <w:tab/>
      </w:r>
      <w:r w:rsidRPr="00671D9E">
        <w:t>Reply to paragraph 3 of the list of issues</w:t>
      </w:r>
    </w:p>
    <w:p w14:paraId="187D5C85" w14:textId="0A10086E" w:rsidR="00695E59" w:rsidRPr="00671D9E" w:rsidRDefault="002B0385" w:rsidP="002B0385">
      <w:pPr>
        <w:pStyle w:val="SingleTxtG"/>
        <w:suppressAutoHyphens w:val="0"/>
        <w:rPr>
          <w:lang w:bidi="th-TH"/>
        </w:rPr>
      </w:pPr>
      <w:r w:rsidRPr="00671D9E">
        <w:rPr>
          <w:lang w:bidi="th-TH"/>
        </w:rPr>
        <w:t>11.</w:t>
      </w:r>
      <w:r w:rsidRPr="00671D9E">
        <w:rPr>
          <w:lang w:bidi="th-TH"/>
        </w:rPr>
        <w:tab/>
      </w:r>
      <w:r w:rsidR="00695E59" w:rsidRPr="00671D9E">
        <w:rPr>
          <w:lang w:bidi="th-TH"/>
        </w:rPr>
        <w:t xml:space="preserve">While understanding the concerns that the Committee may have, the provisions, orders and legislations mentioned by the Committee do not constitute blanket clauses for </w:t>
      </w:r>
      <w:r w:rsidR="00695E59" w:rsidRPr="00671D9E">
        <w:rPr>
          <w:i/>
          <w:iCs/>
          <w:lang w:bidi="th-TH"/>
        </w:rPr>
        <w:t>de jure</w:t>
      </w:r>
      <w:r w:rsidR="00695E59" w:rsidRPr="00671D9E">
        <w:rPr>
          <w:lang w:bidi="th-TH"/>
        </w:rPr>
        <w:t xml:space="preserve"> or </w:t>
      </w:r>
      <w:r w:rsidR="00695E59" w:rsidRPr="00671D9E">
        <w:rPr>
          <w:i/>
          <w:iCs/>
          <w:lang w:bidi="th-TH"/>
        </w:rPr>
        <w:t>de facto</w:t>
      </w:r>
      <w:r w:rsidR="00695E59" w:rsidRPr="00671D9E">
        <w:rPr>
          <w:lang w:bidi="th-TH"/>
        </w:rPr>
        <w:t xml:space="preserve"> immunity for acts of torture or ill-treatment. All actions taken by state officials are subject to judicial review. Only permissible actions, satisfying conditions provided explicitly by the laws, can be justified. Therefore, any person may file a lawsuit</w:t>
      </w:r>
      <w:r w:rsidR="00695E59" w:rsidRPr="00671D9E">
        <w:rPr>
          <w:rFonts w:cs="Cordia New"/>
          <w:cs/>
          <w:lang w:bidi="th-TH"/>
        </w:rPr>
        <w:t xml:space="preserve"> </w:t>
      </w:r>
      <w:r w:rsidR="00695E59" w:rsidRPr="00671D9E">
        <w:rPr>
          <w:rFonts w:cs="Cordia New"/>
          <w:lang w:bidi="th-TH"/>
        </w:rPr>
        <w:t>to</w:t>
      </w:r>
      <w:r w:rsidR="00695E59" w:rsidRPr="00671D9E">
        <w:rPr>
          <w:lang w:bidi="th-TH"/>
        </w:rPr>
        <w:t xml:space="preserve"> a competent court against a state official if they believe that their rights are violated by the act of the said official.</w:t>
      </w:r>
    </w:p>
    <w:p w14:paraId="1C53277F" w14:textId="24201E68" w:rsidR="00695E59" w:rsidRPr="00671D9E" w:rsidRDefault="002B0385" w:rsidP="002B0385">
      <w:pPr>
        <w:pStyle w:val="SingleTxtG"/>
        <w:suppressAutoHyphens w:val="0"/>
        <w:rPr>
          <w:lang w:bidi="th-TH"/>
        </w:rPr>
      </w:pPr>
      <w:r w:rsidRPr="00671D9E">
        <w:rPr>
          <w:lang w:bidi="th-TH"/>
        </w:rPr>
        <w:t>12.</w:t>
      </w:r>
      <w:r w:rsidRPr="00671D9E">
        <w:rPr>
          <w:lang w:bidi="th-TH"/>
        </w:rPr>
        <w:tab/>
      </w:r>
      <w:r w:rsidR="00695E59" w:rsidRPr="00671D9E">
        <w:rPr>
          <w:lang w:bidi="th-TH"/>
        </w:rPr>
        <w:t xml:space="preserve">In practice, the use of power conferred by sections 265 and 279 of the 2017 Constitution which have incorporated sections 44 and 47 of the 2014 interim Constitution has been challenged in court. In 2018, the Ombudsman filed a case at the Constitutional Court (case no. </w:t>
      </w:r>
      <w:r w:rsidR="00695E59" w:rsidRPr="00671D9E">
        <w:rPr>
          <w:cs/>
          <w:lang w:bidi="th-TH"/>
        </w:rPr>
        <w:t>4</w:t>
      </w:r>
      <w:r w:rsidR="00695E59" w:rsidRPr="00671D9E">
        <w:rPr>
          <w:lang w:bidi="th-TH"/>
        </w:rPr>
        <w:t>/2561) to challenge the constitutional legitimacy of the Head of the NCPO</w:t>
      </w:r>
      <w:r w:rsidR="00A56767">
        <w:rPr>
          <w:lang w:bidi="th-TH"/>
        </w:rPr>
        <w:t>’</w:t>
      </w:r>
      <w:r w:rsidR="00695E59" w:rsidRPr="00671D9E">
        <w:rPr>
          <w:lang w:bidi="th-TH"/>
        </w:rPr>
        <w:t>s Order No. 53/2560 regarding the implementation of the Organic Act on Political Parties, which was issued by exercising the power of section 265 of the 2017 Constitution in conjunction with section 44 of the 2014 interim Constitution.</w:t>
      </w:r>
      <w:r w:rsidR="00695E59" w:rsidRPr="00671D9E">
        <w:rPr>
          <w:rFonts w:cs="Angsana New"/>
          <w:cs/>
          <w:lang w:bidi="th-TH"/>
        </w:rPr>
        <w:t xml:space="preserve"> </w:t>
      </w:r>
      <w:r w:rsidR="00695E59" w:rsidRPr="00671D9E">
        <w:rPr>
          <w:lang w:bidi="th-TH"/>
        </w:rPr>
        <w:t>On 5 June 2018, the Constitutional Court ruled that the Head of NCPO</w:t>
      </w:r>
      <w:r w:rsidR="00A56767">
        <w:rPr>
          <w:lang w:bidi="th-TH"/>
        </w:rPr>
        <w:t>’</w:t>
      </w:r>
      <w:r w:rsidR="00695E59" w:rsidRPr="00671D9E">
        <w:rPr>
          <w:lang w:bidi="th-TH"/>
        </w:rPr>
        <w:t>s Order No. 53/2560 was constitutional.</w:t>
      </w:r>
    </w:p>
    <w:p w14:paraId="3D1EEA0F" w14:textId="681B09C5" w:rsidR="00695E59" w:rsidRPr="00671D9E" w:rsidRDefault="002B0385" w:rsidP="002B0385">
      <w:pPr>
        <w:pStyle w:val="SingleTxtG"/>
        <w:suppressAutoHyphens w:val="0"/>
        <w:rPr>
          <w:lang w:bidi="th-TH"/>
        </w:rPr>
      </w:pPr>
      <w:r w:rsidRPr="00671D9E">
        <w:rPr>
          <w:lang w:bidi="th-TH"/>
        </w:rPr>
        <w:t>13.</w:t>
      </w:r>
      <w:r w:rsidRPr="00671D9E">
        <w:rPr>
          <w:lang w:bidi="th-TH"/>
        </w:rPr>
        <w:tab/>
      </w:r>
      <w:r w:rsidR="00695E59" w:rsidRPr="00671D9E">
        <w:rPr>
          <w:lang w:bidi="th-TH"/>
        </w:rPr>
        <w:t xml:space="preserve">The powers bestowed to the NCPO by the Constitution were temporary and ceased to exist when the new Cabinet assumed office on 16 July 2019. All announcements, orders and acts of the NCPO or the Head of the NCPO have been regularly reviewed on the basis of necessity and relevance to the changing circumstances. During the final phase of the 3-stage Political Roadmap, the Government started the process to review the necessity and relevance of all laws, regulations and measures enacted under section 44 of the 2014 Interim </w:t>
      </w:r>
      <w:r w:rsidR="00695E59" w:rsidRPr="00671D9E">
        <w:rPr>
          <w:lang w:bidi="th-TH"/>
        </w:rPr>
        <w:lastRenderedPageBreak/>
        <w:t>Constitution with the current situation of the country. This includes the Head of the NCPO</w:t>
      </w:r>
      <w:r w:rsidR="00A56767">
        <w:rPr>
          <w:lang w:bidi="th-TH"/>
        </w:rPr>
        <w:t>’</w:t>
      </w:r>
      <w:r w:rsidR="00695E59" w:rsidRPr="00671D9E">
        <w:rPr>
          <w:lang w:bidi="th-TH"/>
        </w:rPr>
        <w:t>s Orders Nos. 3/2558 and 13/2559 that have been specified by the Committee.</w:t>
      </w:r>
    </w:p>
    <w:p w14:paraId="660620C2" w14:textId="37D8C612" w:rsidR="00695E59" w:rsidRPr="00671D9E" w:rsidRDefault="002B0385" w:rsidP="002B0385">
      <w:pPr>
        <w:pStyle w:val="SingleTxtG"/>
        <w:suppressAutoHyphens w:val="0"/>
        <w:rPr>
          <w:lang w:bidi="th-TH"/>
        </w:rPr>
      </w:pPr>
      <w:r w:rsidRPr="00671D9E">
        <w:rPr>
          <w:lang w:bidi="th-TH"/>
        </w:rPr>
        <w:t>14.</w:t>
      </w:r>
      <w:r w:rsidRPr="00671D9E">
        <w:rPr>
          <w:lang w:bidi="th-TH"/>
        </w:rPr>
        <w:tab/>
      </w:r>
      <w:r w:rsidR="00695E59" w:rsidRPr="00671D9E">
        <w:rPr>
          <w:lang w:bidi="th-TH"/>
        </w:rPr>
        <w:t>Section 14 of the Head of the NCPO</w:t>
      </w:r>
      <w:r w:rsidR="00A56767">
        <w:rPr>
          <w:lang w:bidi="th-TH"/>
        </w:rPr>
        <w:t>’</w:t>
      </w:r>
      <w:r w:rsidR="00695E59" w:rsidRPr="00671D9E">
        <w:rPr>
          <w:lang w:bidi="th-TH"/>
        </w:rPr>
        <w:t>s Order No. 3/2558 and section 9 of the Head of the NCPO</w:t>
      </w:r>
      <w:r w:rsidR="00A56767">
        <w:rPr>
          <w:lang w:bidi="th-TH"/>
        </w:rPr>
        <w:t>’</w:t>
      </w:r>
      <w:r w:rsidR="00695E59" w:rsidRPr="00671D9E">
        <w:rPr>
          <w:lang w:bidi="th-TH"/>
        </w:rPr>
        <w:t>s Order No. 13/2559 do not constitute immunity from judicial review and liability. The officials will be justified in their actions only when they act in good faith, a non-discriminatory manner, disproportionately and not in excess of what is necessary for the maintenance of peace and order of the country. If officials fail to satisfy one of these conditions, their action is not justified and they will be held accountable. Moreover, the injured person is legally entitled to seek monetary compensation from the agency according to the Liability for Wrongful Acts of Officials Act B.E. 2539 (1996). However, these laws were only of a temporary nature in order to ensure public order and safety during the special circumstances that Thailand was facing.</w:t>
      </w:r>
    </w:p>
    <w:p w14:paraId="14238E1E" w14:textId="7052C0F3" w:rsidR="00695E59" w:rsidRPr="00671D9E" w:rsidRDefault="002B0385" w:rsidP="002B0385">
      <w:pPr>
        <w:pStyle w:val="SingleTxtG"/>
        <w:suppressAutoHyphens w:val="0"/>
        <w:rPr>
          <w:lang w:bidi="th-TH"/>
        </w:rPr>
      </w:pPr>
      <w:r w:rsidRPr="00671D9E">
        <w:rPr>
          <w:lang w:bidi="th-TH"/>
        </w:rPr>
        <w:t>15.</w:t>
      </w:r>
      <w:r w:rsidRPr="00671D9E">
        <w:rPr>
          <w:lang w:bidi="th-TH"/>
        </w:rPr>
        <w:tab/>
      </w:r>
      <w:r w:rsidR="00695E59" w:rsidRPr="00671D9E">
        <w:rPr>
          <w:lang w:bidi="th-TH"/>
        </w:rPr>
        <w:t xml:space="preserve">The 1914 Martial Law Act, the 2005 Emergency Decree and the 2008 Internal Security Act do not have the objectives of reinforcing a climate of impunity or granting officials immunity from prosecution. In practice, there have been many cases where officials acting pursuant to these laws were sued in a torture case and ruled to pay compensation to the injured person. Examples of such cases will be provided in paragraph </w:t>
      </w:r>
      <w:r w:rsidR="00695E59" w:rsidRPr="00671D9E">
        <w:rPr>
          <w:rFonts w:cs="Cordia New"/>
          <w:lang w:bidi="th-TH"/>
        </w:rPr>
        <w:t>17</w:t>
      </w:r>
      <w:r w:rsidR="00695E59" w:rsidRPr="00671D9E">
        <w:rPr>
          <w:lang w:bidi="th-TH"/>
        </w:rPr>
        <w:t>.</w:t>
      </w:r>
    </w:p>
    <w:p w14:paraId="330FCDFF" w14:textId="0EDBF3E1" w:rsidR="00695E59" w:rsidRPr="00671D9E" w:rsidRDefault="002B0385" w:rsidP="002B0385">
      <w:pPr>
        <w:pStyle w:val="SingleTxtG"/>
        <w:suppressAutoHyphens w:val="0"/>
        <w:rPr>
          <w:lang w:bidi="th-TH"/>
        </w:rPr>
      </w:pPr>
      <w:r w:rsidRPr="00671D9E">
        <w:rPr>
          <w:lang w:bidi="th-TH"/>
        </w:rPr>
        <w:t>16.</w:t>
      </w:r>
      <w:r w:rsidRPr="00671D9E">
        <w:rPr>
          <w:lang w:bidi="th-TH"/>
        </w:rPr>
        <w:tab/>
      </w:r>
      <w:r w:rsidR="00695E59" w:rsidRPr="00671D9E">
        <w:rPr>
          <w:lang w:bidi="th-TH"/>
        </w:rPr>
        <w:t>The 2017 Penitentiary Act</w:t>
      </w:r>
      <w:r w:rsidR="00A56767">
        <w:rPr>
          <w:lang w:bidi="th-TH"/>
        </w:rPr>
        <w:t>’</w:t>
      </w:r>
      <w:r w:rsidR="00695E59" w:rsidRPr="00671D9E">
        <w:rPr>
          <w:lang w:bidi="th-TH"/>
        </w:rPr>
        <w:t>s</w:t>
      </w:r>
      <w:r w:rsidR="00695E59" w:rsidRPr="00671D9E">
        <w:rPr>
          <w:rFonts w:cs="Angsana New"/>
          <w:cs/>
          <w:lang w:bidi="th-TH"/>
        </w:rPr>
        <w:t xml:space="preserve"> </w:t>
      </w:r>
      <w:r w:rsidR="00695E59" w:rsidRPr="00671D9E">
        <w:rPr>
          <w:lang w:bidi="th-TH"/>
        </w:rPr>
        <w:t>sections 17, 28 and 30 exempt prison officials and other officials from civil, criminal and disciplinary liability only if these officials act pursuant to the Penitentiary Act not only in good faith but also in a non-discriminatory manner and proportionate to the necessity of circumstances. An act of torture or ill-treatment under CAT thus does not satisfy these conditions, and an official who commits such act will not be exempted from liability. Moreover, like other laws mentioned above, the injured person is legally entitled to seek monetary compensation from the relevant agency according to the Liability for Wrongful Acts of Officials Act B.E. 2539 (1996).</w:t>
      </w:r>
    </w:p>
    <w:p w14:paraId="005E72DA" w14:textId="77777777" w:rsidR="00695E59" w:rsidRPr="00671D9E" w:rsidRDefault="00695E59" w:rsidP="00EE258F">
      <w:pPr>
        <w:pStyle w:val="H23G"/>
        <w:rPr>
          <w:rFonts w:eastAsia="ZWAdobeF"/>
          <w:bCs/>
          <w:sz w:val="28"/>
          <w:szCs w:val="28"/>
          <w:lang w:bidi="th-TH"/>
        </w:rPr>
      </w:pPr>
      <w:r w:rsidRPr="00671D9E">
        <w:tab/>
      </w:r>
      <w:r w:rsidRPr="00671D9E">
        <w:tab/>
        <w:t xml:space="preserve">Reply to paragraph 4 of the list of </w:t>
      </w:r>
      <w:r w:rsidRPr="00EE258F">
        <w:t>issues</w:t>
      </w:r>
    </w:p>
    <w:p w14:paraId="4268C60C" w14:textId="34B7EBC0" w:rsidR="00695E59" w:rsidRPr="00671D9E" w:rsidRDefault="002B0385" w:rsidP="002B0385">
      <w:pPr>
        <w:pStyle w:val="SingleTxtG"/>
        <w:suppressAutoHyphens w:val="0"/>
        <w:rPr>
          <w:lang w:bidi="th-TH"/>
        </w:rPr>
      </w:pPr>
      <w:r w:rsidRPr="00671D9E">
        <w:rPr>
          <w:lang w:bidi="th-TH"/>
        </w:rPr>
        <w:t>17.</w:t>
      </w:r>
      <w:r w:rsidRPr="00671D9E">
        <w:rPr>
          <w:lang w:bidi="th-TH"/>
        </w:rPr>
        <w:tab/>
      </w:r>
      <w:r w:rsidR="00695E59" w:rsidRPr="00671D9E">
        <w:rPr>
          <w:lang w:bidi="th-TH"/>
        </w:rPr>
        <w:t>Under Thai law, a state official who commits an act of torture or ill-treatment</w:t>
      </w:r>
      <w:r w:rsidR="00695E59" w:rsidRPr="00671D9E">
        <w:rPr>
          <w:rFonts w:cs="Cordia New"/>
          <w:cs/>
          <w:lang w:bidi="th-TH"/>
        </w:rPr>
        <w:t xml:space="preserve"> </w:t>
      </w:r>
      <w:r w:rsidR="00695E59" w:rsidRPr="00671D9E">
        <w:rPr>
          <w:lang w:bidi="th-TH"/>
        </w:rPr>
        <w:t>is subject to being held accountable, including criminal punishment. Below are some cases where Thai courts convict officials for committing an act amounting to torture or ill-treatment:</w:t>
      </w:r>
    </w:p>
    <w:p w14:paraId="4882A4AF" w14:textId="5C65493F" w:rsidR="00695E59" w:rsidRPr="00671D9E" w:rsidRDefault="002B0385" w:rsidP="002B0385">
      <w:pPr>
        <w:pStyle w:val="SingleTxtG"/>
        <w:suppressAutoHyphens w:val="0"/>
        <w:ind w:firstLine="567"/>
      </w:pPr>
      <w:r w:rsidRPr="00671D9E">
        <w:t>(a)</w:t>
      </w:r>
      <w:r w:rsidRPr="00671D9E">
        <w:tab/>
      </w:r>
      <w:r w:rsidR="00695E59" w:rsidRPr="00671D9E">
        <w:t xml:space="preserve">The Supreme Court in case no. 1031/2560 (2017) convicted two defendants who were a Police Major General and a Police Colonel of, </w:t>
      </w:r>
      <w:r w:rsidR="00695E59" w:rsidRPr="00671D9E">
        <w:rPr>
          <w:i/>
          <w:iCs/>
        </w:rPr>
        <w:t>inter alia</w:t>
      </w:r>
      <w:r w:rsidR="00695E59" w:rsidRPr="00671D9E">
        <w:t xml:space="preserve">, misconduct as an inquiry officer, </w:t>
      </w:r>
      <w:r w:rsidR="00695E59" w:rsidRPr="00671D9E">
        <w:rPr>
          <w:lang w:bidi="th-TH"/>
        </w:rPr>
        <w:t>assault</w:t>
      </w:r>
      <w:r w:rsidR="00695E59" w:rsidRPr="00671D9E">
        <w:t xml:space="preserve"> causing grievous bodily harm, offence against liberty and false imprisonment, contrary to the Criminal Code, sections 200 paragraphs 2, 297, 309 and 310, respectively. According to the facts of the case, the defendants, while acting as inquiry officers, subjected the suspect in a case of premeditated murder to an electric shock in order to extract information from him. The Supreme Court sentenced both the defendants to fifteen years of imprisonment. The two former police officers are currently serving their prison time in Ranong Provincial Prison;</w:t>
      </w:r>
    </w:p>
    <w:p w14:paraId="56F4AC22" w14:textId="5C58F96A" w:rsidR="00695E59" w:rsidRPr="00671D9E" w:rsidRDefault="002B0385" w:rsidP="002B0385">
      <w:pPr>
        <w:pStyle w:val="SingleTxtG"/>
        <w:suppressAutoHyphens w:val="0"/>
        <w:ind w:firstLine="567"/>
        <w:rPr>
          <w:cs/>
          <w:lang w:bidi="th-TH"/>
        </w:rPr>
      </w:pPr>
      <w:r w:rsidRPr="00671D9E">
        <w:rPr>
          <w:rFonts w:cs="Angsana New"/>
          <w:cs/>
          <w:lang w:bidi="th-TH"/>
        </w:rPr>
        <w:t>(</w:t>
      </w:r>
      <w:r w:rsidRPr="00671D9E">
        <w:rPr>
          <w:lang w:bidi="th-TH"/>
        </w:rPr>
        <w:t>b)</w:t>
      </w:r>
      <w:r w:rsidRPr="00671D9E">
        <w:rPr>
          <w:lang w:bidi="th-TH"/>
        </w:rPr>
        <w:tab/>
      </w:r>
      <w:r w:rsidR="00695E59" w:rsidRPr="00671D9E">
        <w:rPr>
          <w:lang w:bidi="th-TH"/>
        </w:rPr>
        <w:t>Pursuant to decision no. 27 Kor. /2553 (2010), the Pattani Provincial Military Court convicted an army sergeant of assaulting two civilians and sentenced the sergeant to four months of imprisonment and a fine of THB 1,500. Moreover, the plaintiffs separately filed a case of the same incident to the Administrative Court, and on 7 March 2016,</w:t>
      </w:r>
      <w:r w:rsidR="00695E59" w:rsidRPr="00671D9E">
        <w:rPr>
          <w:rFonts w:cs="Angsana New"/>
          <w:cs/>
          <w:lang w:bidi="th-TH"/>
        </w:rPr>
        <w:t xml:space="preserve"> </w:t>
      </w:r>
      <w:r w:rsidR="00695E59" w:rsidRPr="00671D9E">
        <w:rPr>
          <w:lang w:bidi="th-TH"/>
        </w:rPr>
        <w:t xml:space="preserve">the Supreme Administrative Court </w:t>
      </w:r>
      <w:r w:rsidR="00695E59" w:rsidRPr="00671D9E">
        <w:rPr>
          <w:rFonts w:cs="Leelawadee UI"/>
          <w:szCs w:val="35"/>
          <w:lang w:bidi="th-TH"/>
        </w:rPr>
        <w:t>in its decision no. Aor 421/2559 (2016)</w:t>
      </w:r>
      <w:r w:rsidR="00695E59" w:rsidRPr="00671D9E">
        <w:rPr>
          <w:lang w:bidi="th-TH"/>
        </w:rPr>
        <w:t xml:space="preserve"> awarded THB 101,200 damages to an injured person and THB 100,000 damages to the other injured person for the violations of their rights. The damages have been paid to the plaintiffs by the Office of the Prime Minister as the government agency that the sergeant is affiliated to;</w:t>
      </w:r>
    </w:p>
    <w:p w14:paraId="037C7709" w14:textId="31C12A2E" w:rsidR="00695E59" w:rsidRPr="00671D9E" w:rsidRDefault="002B0385" w:rsidP="002B0385">
      <w:pPr>
        <w:pStyle w:val="SingleTxtG"/>
        <w:suppressAutoHyphens w:val="0"/>
        <w:ind w:firstLine="567"/>
        <w:rPr>
          <w:sz w:val="24"/>
          <w:szCs w:val="24"/>
          <w:lang w:bidi="th-TH"/>
        </w:rPr>
      </w:pPr>
      <w:r w:rsidRPr="00671D9E">
        <w:rPr>
          <w:lang w:bidi="th-TH"/>
        </w:rPr>
        <w:t>(c)</w:t>
      </w:r>
      <w:r w:rsidRPr="00671D9E">
        <w:rPr>
          <w:lang w:bidi="th-TH"/>
        </w:rPr>
        <w:tab/>
      </w:r>
      <w:r w:rsidR="00695E59" w:rsidRPr="00671D9E">
        <w:rPr>
          <w:lang w:bidi="th-TH"/>
        </w:rPr>
        <w:t>The</w:t>
      </w:r>
      <w:r w:rsidR="00695E59" w:rsidRPr="00671D9E">
        <w:rPr>
          <w:rFonts w:cs="Angsana New"/>
          <w:szCs w:val="35"/>
          <w:lang w:bidi="th-TH"/>
        </w:rPr>
        <w:t xml:space="preserve"> 8</w:t>
      </w:r>
      <w:r w:rsidR="00695E59" w:rsidRPr="00671D9E">
        <w:rPr>
          <w:rFonts w:cs="Angsana New"/>
          <w:szCs w:val="35"/>
          <w:vertAlign w:val="superscript"/>
          <w:lang w:bidi="th-TH"/>
        </w:rPr>
        <w:t>th</w:t>
      </w:r>
      <w:r w:rsidR="00695E59" w:rsidRPr="00671D9E">
        <w:rPr>
          <w:rFonts w:cs="Angsana New"/>
          <w:szCs w:val="35"/>
          <w:lang w:bidi="th-TH"/>
        </w:rPr>
        <w:t xml:space="preserve"> Regional Appellate Court </w:t>
      </w:r>
      <w:r w:rsidR="00695E59" w:rsidRPr="00671D9E">
        <w:rPr>
          <w:lang w:bidi="th-TH"/>
        </w:rPr>
        <w:t>convicted a prison official for beating a prisoner causing grievous bodily harm. According to its</w:t>
      </w:r>
      <w:r w:rsidR="00695E59" w:rsidRPr="00671D9E">
        <w:rPr>
          <w:rFonts w:cs="Cordia New"/>
          <w:lang w:bidi="th-TH"/>
        </w:rPr>
        <w:t xml:space="preserve"> decision no. 499/2552 (2009), </w:t>
      </w:r>
      <w:r w:rsidR="00695E59" w:rsidRPr="00671D9E">
        <w:rPr>
          <w:lang w:bidi="th-TH"/>
        </w:rPr>
        <w:t>the defendant was given a two-year term in prison</w:t>
      </w:r>
      <w:r w:rsidR="00695E59" w:rsidRPr="00671D9E">
        <w:rPr>
          <w:rFonts w:cs="Cordia New"/>
          <w:lang w:bidi="th-TH"/>
        </w:rPr>
        <w:t>.</w:t>
      </w:r>
    </w:p>
    <w:p w14:paraId="58EF5036" w14:textId="5A7C02F2" w:rsidR="00695E59" w:rsidRPr="00671D9E" w:rsidRDefault="002B0385" w:rsidP="002B0385">
      <w:pPr>
        <w:pStyle w:val="SingleTxtG"/>
        <w:suppressAutoHyphens w:val="0"/>
        <w:rPr>
          <w:lang w:bidi="th-TH"/>
        </w:rPr>
      </w:pPr>
      <w:r w:rsidRPr="00671D9E">
        <w:rPr>
          <w:lang w:bidi="th-TH"/>
        </w:rPr>
        <w:t>18.</w:t>
      </w:r>
      <w:r w:rsidRPr="00671D9E">
        <w:rPr>
          <w:lang w:bidi="th-TH"/>
        </w:rPr>
        <w:tab/>
      </w:r>
      <w:r w:rsidR="00695E59" w:rsidRPr="00671D9E">
        <w:rPr>
          <w:lang w:bidi="th-TH"/>
        </w:rPr>
        <w:t>Apart</w:t>
      </w:r>
      <w:r w:rsidR="00695E59" w:rsidRPr="00671D9E">
        <w:rPr>
          <w:rFonts w:cs="Angsana New"/>
          <w:szCs w:val="35"/>
          <w:lang w:bidi="th-TH"/>
        </w:rPr>
        <w:t xml:space="preserve"> from the criminal responsibility mentioned above, </w:t>
      </w:r>
      <w:r w:rsidR="00695E59" w:rsidRPr="00671D9E">
        <w:rPr>
          <w:lang w:bidi="th-TH"/>
        </w:rPr>
        <w:t>an official who commits an act of torture or ill-treatment may also bear civil and disciplinary responsibility. Examples are as follows:</w:t>
      </w:r>
    </w:p>
    <w:p w14:paraId="6FE50D71" w14:textId="6289EEC1" w:rsidR="00695E59" w:rsidRPr="00671D9E" w:rsidRDefault="002B0385" w:rsidP="002B0385">
      <w:pPr>
        <w:pStyle w:val="SingleTxtG"/>
        <w:suppressAutoHyphens w:val="0"/>
        <w:ind w:firstLine="567"/>
        <w:rPr>
          <w:lang w:bidi="th-TH"/>
        </w:rPr>
      </w:pPr>
      <w:r w:rsidRPr="00671D9E">
        <w:rPr>
          <w:lang w:bidi="th-TH"/>
        </w:rPr>
        <w:lastRenderedPageBreak/>
        <w:t>(a)</w:t>
      </w:r>
      <w:r w:rsidRPr="00671D9E">
        <w:rPr>
          <w:lang w:bidi="th-TH"/>
        </w:rPr>
        <w:tab/>
      </w:r>
      <w:r w:rsidR="00695E59" w:rsidRPr="00671D9E">
        <w:rPr>
          <w:lang w:bidi="th-TH"/>
        </w:rPr>
        <w:t xml:space="preserve">A lieutenant was discharged and stripped of his rank on 5 September 2016 for inflicting physical punishment on a private, named </w:t>
      </w:r>
      <w:proofErr w:type="spellStart"/>
      <w:r w:rsidR="00695E59" w:rsidRPr="00671D9E">
        <w:rPr>
          <w:lang w:bidi="th-TH"/>
        </w:rPr>
        <w:t>Songtham</w:t>
      </w:r>
      <w:proofErr w:type="spellEnd"/>
      <w:r w:rsidR="00695E59" w:rsidRPr="00671D9E">
        <w:rPr>
          <w:lang w:bidi="th-TH"/>
        </w:rPr>
        <w:t xml:space="preserve"> </w:t>
      </w:r>
      <w:proofErr w:type="spellStart"/>
      <w:r w:rsidR="00695E59" w:rsidRPr="00671D9E">
        <w:rPr>
          <w:lang w:bidi="th-TH"/>
        </w:rPr>
        <w:t>Mudmad</w:t>
      </w:r>
      <w:proofErr w:type="spellEnd"/>
      <w:r w:rsidR="00695E59" w:rsidRPr="00671D9E">
        <w:rPr>
          <w:lang w:bidi="th-TH"/>
        </w:rPr>
        <w:t>, causing his death;</w:t>
      </w:r>
    </w:p>
    <w:p w14:paraId="4141A27C" w14:textId="0062BF47" w:rsidR="00695E59" w:rsidRPr="00671D9E" w:rsidRDefault="002B0385" w:rsidP="002B0385">
      <w:pPr>
        <w:pStyle w:val="SingleTxtG"/>
        <w:suppressAutoHyphens w:val="0"/>
        <w:ind w:firstLine="567"/>
        <w:rPr>
          <w:lang w:bidi="th-TH"/>
        </w:rPr>
      </w:pPr>
      <w:r w:rsidRPr="00671D9E">
        <w:rPr>
          <w:lang w:bidi="th-TH"/>
        </w:rPr>
        <w:t>(b)</w:t>
      </w:r>
      <w:r w:rsidRPr="00671D9E">
        <w:rPr>
          <w:lang w:bidi="th-TH"/>
        </w:rPr>
        <w:tab/>
      </w:r>
      <w:r w:rsidR="00695E59" w:rsidRPr="00671D9E">
        <w:rPr>
          <w:spacing w:val="-4"/>
          <w:lang w:bidi="th-TH"/>
        </w:rPr>
        <w:t>In its decision Aor</w:t>
      </w:r>
      <w:r w:rsidR="00695E59" w:rsidRPr="00671D9E">
        <w:rPr>
          <w:spacing w:val="-4"/>
          <w:cs/>
          <w:lang w:bidi="th-TH"/>
        </w:rPr>
        <w:t>.</w:t>
      </w:r>
      <w:r w:rsidR="00695E59" w:rsidRPr="00671D9E">
        <w:rPr>
          <w:spacing w:val="-4"/>
          <w:lang w:bidi="th-TH"/>
        </w:rPr>
        <w:t>717</w:t>
      </w:r>
      <w:r w:rsidR="00695E59" w:rsidRPr="00671D9E">
        <w:rPr>
          <w:spacing w:val="-4"/>
          <w:cs/>
          <w:lang w:bidi="th-TH"/>
        </w:rPr>
        <w:t>/</w:t>
      </w:r>
      <w:r w:rsidR="00695E59" w:rsidRPr="00671D9E">
        <w:rPr>
          <w:spacing w:val="-4"/>
          <w:lang w:bidi="th-TH"/>
        </w:rPr>
        <w:t xml:space="preserve">2558 (2015), the Supreme Administrative Court ordered the Office of the Prime Minister to pay damages totaling THB </w:t>
      </w:r>
      <w:r w:rsidR="00695E59" w:rsidRPr="00671D9E">
        <w:rPr>
          <w:spacing w:val="-4"/>
          <w:cs/>
          <w:lang w:bidi="th-TH"/>
        </w:rPr>
        <w:t>534,301.36</w:t>
      </w:r>
      <w:r w:rsidR="00695E59" w:rsidRPr="00671D9E">
        <w:rPr>
          <w:spacing w:val="-4"/>
          <w:lang w:bidi="th-TH"/>
        </w:rPr>
        <w:t xml:space="preserve"> to the family of the deceased,</w:t>
      </w:r>
      <w:r w:rsidR="00695E59" w:rsidRPr="00671D9E">
        <w:rPr>
          <w:lang w:bidi="th-TH"/>
        </w:rPr>
        <w:t xml:space="preserve"> Mr. Ashari Sama-ae, who was reported to be beaten and later died while being detained by security officials;</w:t>
      </w:r>
    </w:p>
    <w:p w14:paraId="0E034165" w14:textId="6208A304" w:rsidR="00695E59" w:rsidRPr="00671D9E" w:rsidRDefault="002B0385" w:rsidP="002B0385">
      <w:pPr>
        <w:pStyle w:val="SingleTxtG"/>
        <w:suppressAutoHyphens w:val="0"/>
        <w:ind w:firstLine="567"/>
        <w:rPr>
          <w:spacing w:val="-2"/>
          <w:cs/>
          <w:lang w:bidi="th-TH"/>
        </w:rPr>
      </w:pPr>
      <w:r w:rsidRPr="00671D9E">
        <w:rPr>
          <w:rFonts w:cs="Angsana New"/>
          <w:spacing w:val="-2"/>
          <w:cs/>
          <w:lang w:bidi="th-TH"/>
        </w:rPr>
        <w:t>(</w:t>
      </w:r>
      <w:r w:rsidRPr="00671D9E">
        <w:rPr>
          <w:spacing w:val="-2"/>
          <w:lang w:bidi="th-TH"/>
        </w:rPr>
        <w:t>c)</w:t>
      </w:r>
      <w:r w:rsidRPr="00671D9E">
        <w:rPr>
          <w:spacing w:val="-2"/>
          <w:lang w:bidi="th-TH"/>
        </w:rPr>
        <w:tab/>
      </w:r>
      <w:r w:rsidR="00695E59" w:rsidRPr="00671D9E">
        <w:rPr>
          <w:spacing w:val="-2"/>
          <w:lang w:bidi="th-TH"/>
        </w:rPr>
        <w:t xml:space="preserve">The Supreme Administrative Court, by decision Aor. </w:t>
      </w:r>
      <w:r w:rsidR="00695E59" w:rsidRPr="00671D9E">
        <w:rPr>
          <w:spacing w:val="-2"/>
          <w:cs/>
          <w:lang w:bidi="th-TH"/>
        </w:rPr>
        <w:t>1309-1310/2559</w:t>
      </w:r>
      <w:r w:rsidR="00695E59" w:rsidRPr="00671D9E">
        <w:rPr>
          <w:spacing w:val="-2"/>
          <w:lang w:bidi="th-TH"/>
        </w:rPr>
        <w:t>, ordered the Royal Thai Army to pay damages in the case of Mr. Isma-ae Tae and Mr. Armesee Manak who were injured while being detained by security officials, at the amount of THB 305,000 and THB 200,000, respectively;</w:t>
      </w:r>
    </w:p>
    <w:p w14:paraId="2DF08B12" w14:textId="60995115" w:rsidR="00695E59" w:rsidRPr="00671D9E" w:rsidRDefault="002B0385" w:rsidP="002B0385">
      <w:pPr>
        <w:pStyle w:val="SingleTxtG"/>
        <w:suppressAutoHyphens w:val="0"/>
        <w:ind w:firstLine="567"/>
        <w:rPr>
          <w:lang w:bidi="th-TH"/>
        </w:rPr>
      </w:pPr>
      <w:r w:rsidRPr="00671D9E">
        <w:rPr>
          <w:lang w:bidi="th-TH"/>
        </w:rPr>
        <w:t>(d)</w:t>
      </w:r>
      <w:r w:rsidRPr="00671D9E">
        <w:rPr>
          <w:lang w:bidi="th-TH"/>
        </w:rPr>
        <w:tab/>
      </w:r>
      <w:r w:rsidR="00695E59" w:rsidRPr="00671D9E">
        <w:rPr>
          <w:lang w:bidi="th-TH"/>
        </w:rPr>
        <w:t>In the case where Mr. Rayu Dorkor who was reported to be assaulted in detention for the purpose of extracting a confession, the Supreme Administrative Court, by decision Aor.</w:t>
      </w:r>
      <w:r w:rsidR="00695E59" w:rsidRPr="00671D9E">
        <w:rPr>
          <w:cs/>
          <w:lang w:bidi="th-TH"/>
        </w:rPr>
        <w:t>1350/2559</w:t>
      </w:r>
      <w:r w:rsidR="00695E59" w:rsidRPr="00671D9E">
        <w:rPr>
          <w:lang w:bidi="th-TH"/>
        </w:rPr>
        <w:t>, ordered the Office of the Prime Minister to pay damages totaling THB</w:t>
      </w:r>
      <w:r w:rsidR="00695E59" w:rsidRPr="00671D9E">
        <w:rPr>
          <w:rFonts w:cs="Angsana New"/>
          <w:cs/>
          <w:lang w:bidi="th-TH"/>
        </w:rPr>
        <w:t xml:space="preserve"> </w:t>
      </w:r>
      <w:r w:rsidR="00695E59" w:rsidRPr="00671D9E">
        <w:rPr>
          <w:cs/>
          <w:lang w:bidi="th-TH"/>
        </w:rPr>
        <w:t>348,588</w:t>
      </w:r>
      <w:r w:rsidR="00695E59" w:rsidRPr="00671D9E">
        <w:rPr>
          <w:lang w:bidi="th-TH"/>
        </w:rPr>
        <w:t xml:space="preserve"> to Mr. </w:t>
      </w:r>
      <w:proofErr w:type="spellStart"/>
      <w:r w:rsidR="00695E59" w:rsidRPr="00671D9E">
        <w:rPr>
          <w:lang w:bidi="th-TH"/>
        </w:rPr>
        <w:t>Dorkor</w:t>
      </w:r>
      <w:proofErr w:type="spellEnd"/>
      <w:r w:rsidR="00695E59" w:rsidRPr="00671D9E">
        <w:rPr>
          <w:lang w:bidi="th-TH"/>
        </w:rPr>
        <w:t>.</w:t>
      </w:r>
    </w:p>
    <w:p w14:paraId="0014010B" w14:textId="5D757976" w:rsidR="00695E59" w:rsidRPr="006C4150" w:rsidRDefault="002B0385" w:rsidP="006C4150">
      <w:pPr>
        <w:pStyle w:val="SingleTxtG"/>
        <w:rPr>
          <w:cs/>
        </w:rPr>
      </w:pPr>
      <w:r w:rsidRPr="006C4150">
        <w:rPr>
          <w:cs/>
        </w:rPr>
        <w:t>19.</w:t>
      </w:r>
      <w:r w:rsidRPr="006C4150">
        <w:rPr>
          <w:cs/>
        </w:rPr>
        <w:tab/>
      </w:r>
      <w:r w:rsidR="00695E59" w:rsidRPr="006C4150">
        <w:t>In addition, the Thai Criminal Procedure Code</w:t>
      </w:r>
      <w:r w:rsidR="00A56767" w:rsidRPr="006C4150">
        <w:t>’</w:t>
      </w:r>
      <w:r w:rsidR="00695E59" w:rsidRPr="006C4150">
        <w:t>s section</w:t>
      </w:r>
      <w:r w:rsidR="00695E59" w:rsidRPr="006C4150">
        <w:rPr>
          <w:cs/>
        </w:rPr>
        <w:t xml:space="preserve"> </w:t>
      </w:r>
      <w:r w:rsidR="00695E59" w:rsidRPr="006C4150">
        <w:t xml:space="preserve">226 prohibits the admission of evidence that is obtained by unlawful means, including through coercion and acts of torture or ill-treatment, in accordance with the </w:t>
      </w:r>
      <w:r w:rsidR="00A56767" w:rsidRPr="006C4150">
        <w:t>“</w:t>
      </w:r>
      <w:r w:rsidR="00695E59" w:rsidRPr="006C4150">
        <w:t>fruit of the poisonous tree</w:t>
      </w:r>
      <w:r w:rsidR="00A56767" w:rsidRPr="006C4150">
        <w:t>”</w:t>
      </w:r>
      <w:r w:rsidR="00695E59" w:rsidRPr="006C4150">
        <w:t xml:space="preserve"> principle. As an example, the Supreme Court in its decision No. 1029/2548 (2005) acquitted the defendant despite having confessed to the charges as the Supreme Court was of the opinion that the confession which had been obtained after a consecutive 12-hour inquiry was not credible since the defendant must have been </w:t>
      </w:r>
      <w:r w:rsidR="00A56767" w:rsidRPr="006C4150">
        <w:t>“</w:t>
      </w:r>
      <w:r w:rsidR="00695E59" w:rsidRPr="006C4150">
        <w:t>exhausted physically and mentally</w:t>
      </w:r>
      <w:r w:rsidR="00A56767" w:rsidRPr="006C4150">
        <w:t>”</w:t>
      </w:r>
      <w:r w:rsidR="00695E59" w:rsidRPr="006C4150">
        <w:t>.</w:t>
      </w:r>
    </w:p>
    <w:p w14:paraId="1A78ABC2" w14:textId="77777777" w:rsidR="00695E59" w:rsidRPr="00671D9E" w:rsidRDefault="00695E59" w:rsidP="00695E59">
      <w:pPr>
        <w:pStyle w:val="H23G"/>
        <w:rPr>
          <w:rFonts w:eastAsia="ZWAdobeF"/>
          <w:bCs/>
          <w:sz w:val="28"/>
          <w:szCs w:val="28"/>
          <w:lang w:bidi="th-TH"/>
        </w:rPr>
      </w:pPr>
      <w:r w:rsidRPr="00671D9E">
        <w:tab/>
      </w:r>
      <w:r w:rsidRPr="00671D9E">
        <w:tab/>
        <w:t>Reply to paragraph 5 of the list of issues</w:t>
      </w:r>
    </w:p>
    <w:p w14:paraId="22620420" w14:textId="74C86CD7" w:rsidR="00695E59" w:rsidRPr="00671D9E" w:rsidRDefault="002B0385" w:rsidP="002B0385">
      <w:pPr>
        <w:pStyle w:val="SingleTxtG"/>
        <w:suppressAutoHyphens w:val="0"/>
        <w:rPr>
          <w:b/>
          <w:bCs/>
          <w:lang w:bidi="th-TH"/>
        </w:rPr>
      </w:pPr>
      <w:r w:rsidRPr="00671D9E">
        <w:rPr>
          <w:bCs/>
          <w:lang w:bidi="th-TH"/>
        </w:rPr>
        <w:t>20.</w:t>
      </w:r>
      <w:r w:rsidRPr="00671D9E">
        <w:rPr>
          <w:bCs/>
          <w:lang w:bidi="th-TH"/>
        </w:rPr>
        <w:tab/>
      </w:r>
      <w:r w:rsidR="00695E59" w:rsidRPr="00671D9E">
        <w:rPr>
          <w:lang w:bidi="th-TH"/>
        </w:rPr>
        <w:t>Referring to paragraph 62 of the initial report, section 7</w:t>
      </w:r>
      <w:r w:rsidR="00695E59" w:rsidRPr="00671D9E">
        <w:rPr>
          <w:cs/>
          <w:lang w:bidi="th-TH"/>
        </w:rPr>
        <w:t>/</w:t>
      </w:r>
      <w:r w:rsidR="00695E59" w:rsidRPr="00671D9E">
        <w:rPr>
          <w:lang w:bidi="th-TH"/>
        </w:rPr>
        <w:t>1 of the Criminal Procedure Code guarantees all legal safeguards for all detainees</w:t>
      </w:r>
      <w:r w:rsidR="00695E59" w:rsidRPr="00671D9E">
        <w:rPr>
          <w:cs/>
          <w:lang w:bidi="th-TH"/>
        </w:rPr>
        <w:t>.</w:t>
      </w:r>
      <w:r w:rsidR="00695E59" w:rsidRPr="00671D9E">
        <w:rPr>
          <w:rFonts w:cs="Angsana New"/>
          <w:cs/>
          <w:lang w:bidi="th-TH"/>
        </w:rPr>
        <w:t xml:space="preserve"> </w:t>
      </w:r>
      <w:r w:rsidR="00695E59" w:rsidRPr="00671D9E">
        <w:rPr>
          <w:lang w:bidi="th-TH"/>
        </w:rPr>
        <w:t>These rights have been strictly observed by the police, prison staff and other officials in the criminal justice system</w:t>
      </w:r>
      <w:r w:rsidR="00695E59" w:rsidRPr="00671D9E">
        <w:rPr>
          <w:cs/>
          <w:lang w:bidi="th-TH"/>
        </w:rPr>
        <w:t>.</w:t>
      </w:r>
      <w:r w:rsidR="00695E59" w:rsidRPr="00671D9E">
        <w:rPr>
          <w:rFonts w:cs="Angsana New"/>
          <w:cs/>
          <w:lang w:bidi="th-TH"/>
        </w:rPr>
        <w:t xml:space="preserve"> </w:t>
      </w:r>
      <w:r w:rsidR="00695E59" w:rsidRPr="00671D9E">
        <w:rPr>
          <w:lang w:bidi="th-TH"/>
        </w:rPr>
        <w:t>In all police stations, prisons and all other detention places, all persons who are taken into custody are instructed as to their rights and obligations in languages which they can understand</w:t>
      </w:r>
      <w:r w:rsidR="00695E59" w:rsidRPr="00671D9E">
        <w:rPr>
          <w:cs/>
          <w:lang w:bidi="th-TH"/>
        </w:rPr>
        <w:t>.</w:t>
      </w:r>
    </w:p>
    <w:p w14:paraId="25450E2C" w14:textId="75E5D525" w:rsidR="00695E59" w:rsidRPr="00671D9E" w:rsidRDefault="002B0385" w:rsidP="002B0385">
      <w:pPr>
        <w:pStyle w:val="SingleTxtG"/>
        <w:suppressAutoHyphens w:val="0"/>
        <w:rPr>
          <w:lang w:bidi="th-TH"/>
        </w:rPr>
      </w:pPr>
      <w:r w:rsidRPr="00671D9E">
        <w:rPr>
          <w:lang w:bidi="th-TH"/>
        </w:rPr>
        <w:t>21.</w:t>
      </w:r>
      <w:r w:rsidRPr="00671D9E">
        <w:rPr>
          <w:lang w:bidi="th-TH"/>
        </w:rPr>
        <w:tab/>
      </w:r>
      <w:r w:rsidR="00695E59" w:rsidRPr="00671D9E">
        <w:rPr>
          <w:lang w:bidi="th-TH"/>
        </w:rPr>
        <w:t>Thailand replaced the 1936 Penitentiary Act with the 2017 Corrections Act, which took effect in May 2017, with a view to reforming the penitentiary system in accordance with the United Nations Standard Minimum Rules for the Treatment of Prisoners (Nelson Mandela Rules) and the United Nations Rules for the Treatment of Women Prisoners and Non-Custodial Measures for Women Offenders (Bangkok Rules).</w:t>
      </w:r>
    </w:p>
    <w:p w14:paraId="653D6761" w14:textId="7EB1BC62" w:rsidR="00695E59" w:rsidRPr="00251669" w:rsidRDefault="002B0385" w:rsidP="002B0385">
      <w:pPr>
        <w:pStyle w:val="SingleTxtG"/>
        <w:suppressAutoHyphens w:val="0"/>
        <w:rPr>
          <w:rFonts w:cs="Cordia New"/>
          <w:lang w:bidi="th-TH"/>
        </w:rPr>
      </w:pPr>
      <w:r w:rsidRPr="00671D9E">
        <w:rPr>
          <w:lang w:bidi="th-TH"/>
        </w:rPr>
        <w:t>22.</w:t>
      </w:r>
      <w:r w:rsidRPr="00671D9E">
        <w:rPr>
          <w:lang w:bidi="th-TH"/>
        </w:rPr>
        <w:tab/>
      </w:r>
      <w:r w:rsidR="00695E59" w:rsidRPr="00671D9E">
        <w:rPr>
          <w:lang w:bidi="th-TH"/>
        </w:rPr>
        <w:t>The Justice System Reform Plan of 6 April 2018 strives to enhance various aspects of the judicial system, including improvement of conditions in prisons and detention centres across the country. On 18 July 2017, to commemorate the Nelson Mandela International Day, the Department of Corrections of the Ministry of Justice and the Thailand Institute of Justice (TIJ) announced collective commitments</w:t>
      </w:r>
      <w:r w:rsidR="00695E59" w:rsidRPr="00671D9E">
        <w:rPr>
          <w:rFonts w:cs="Angsana New"/>
          <w:cs/>
          <w:lang w:bidi="th-TH"/>
        </w:rPr>
        <w:t xml:space="preserve"> </w:t>
      </w:r>
      <w:r w:rsidR="00695E59" w:rsidRPr="00671D9E">
        <w:rPr>
          <w:lang w:bidi="th-TH"/>
        </w:rPr>
        <w:t xml:space="preserve">to drive forward the United Nations Standard Minimum Rules for the Treatment of Prisoners (Nelson Mandela Rules) towards full and effective implementation in the country. The Department of Corrections has commenced a pilot project at the Thonburi Remand Prison to fully implement the Nelson Mandela Rules, with a plan to expand it to the Bangkok Remand Prison and the Uthai Thani Provincial Prison in the budget year 2019. In addition, 12 prisons in different parts of the country are piloting the implementation of the </w:t>
      </w:r>
      <w:r w:rsidR="00695E59" w:rsidRPr="00671D9E">
        <w:rPr>
          <w:rFonts w:cs="Calibri"/>
          <w:szCs w:val="35"/>
          <w:lang w:bidi="th-TH"/>
        </w:rPr>
        <w:t>Mandela Rules</w:t>
      </w:r>
      <w:r w:rsidR="00695E59" w:rsidRPr="00671D9E">
        <w:rPr>
          <w:rFonts w:cs="Cordia New"/>
          <w:lang w:bidi="th-TH"/>
        </w:rPr>
        <w:t>.</w:t>
      </w:r>
    </w:p>
    <w:p w14:paraId="7FB3D352" w14:textId="0394EA33" w:rsidR="00695E59" w:rsidRPr="00671D9E" w:rsidRDefault="002B0385" w:rsidP="002B0385">
      <w:pPr>
        <w:pStyle w:val="SingleTxtG"/>
        <w:suppressAutoHyphens w:val="0"/>
        <w:rPr>
          <w:lang w:bidi="th-TH"/>
        </w:rPr>
      </w:pPr>
      <w:r w:rsidRPr="00671D9E">
        <w:rPr>
          <w:lang w:bidi="th-TH"/>
        </w:rPr>
        <w:t>23.</w:t>
      </w:r>
      <w:r w:rsidRPr="00671D9E">
        <w:rPr>
          <w:lang w:bidi="th-TH"/>
        </w:rPr>
        <w:tab/>
      </w:r>
      <w:r w:rsidR="00695E59" w:rsidRPr="00671D9E">
        <w:rPr>
          <w:lang w:bidi="th-TH"/>
        </w:rPr>
        <w:t>Regarding health services in prison, the Medical Services Division of the Department of Corrections, Ministry of Justice, places efforts and resources in ensuring that inmates receive adequate medical services. The 2017 Corrections Act requires that a medical centre be established in every prison.</w:t>
      </w:r>
    </w:p>
    <w:p w14:paraId="30BEDDE3" w14:textId="02E95DE7" w:rsidR="00695E59" w:rsidRPr="00251669" w:rsidRDefault="002B0385" w:rsidP="002B0385">
      <w:pPr>
        <w:pStyle w:val="SingleTxtG"/>
        <w:suppressAutoHyphens w:val="0"/>
        <w:rPr>
          <w:rFonts w:asciiTheme="majorBidi" w:hAnsiTheme="majorBidi" w:cstheme="majorBidi"/>
          <w:lang w:bidi="th-TH"/>
        </w:rPr>
      </w:pPr>
      <w:r w:rsidRPr="00671D9E">
        <w:rPr>
          <w:lang w:bidi="th-TH"/>
        </w:rPr>
        <w:t>24.</w:t>
      </w:r>
      <w:r w:rsidRPr="00671D9E">
        <w:rPr>
          <w:lang w:bidi="th-TH"/>
        </w:rPr>
        <w:tab/>
      </w:r>
      <w:r w:rsidR="00695E59" w:rsidRPr="00671D9E">
        <w:rPr>
          <w:lang w:bidi="th-TH"/>
        </w:rPr>
        <w:t>To strengthen health services in prisons, on 22 January 2019, the MOPH, the Department of Corrections and the NHSO concluded an MoU to improve the health service system for prisoners.</w:t>
      </w:r>
      <w:r w:rsidR="00695E59" w:rsidRPr="00671D9E">
        <w:rPr>
          <w:rFonts w:cs="Angsana New"/>
          <w:b/>
          <w:bCs/>
          <w:cs/>
          <w:lang w:bidi="th-TH"/>
        </w:rPr>
        <w:t xml:space="preserve"> </w:t>
      </w:r>
      <w:r w:rsidR="00695E59" w:rsidRPr="00671D9E">
        <w:rPr>
          <w:lang w:bidi="th-TH"/>
        </w:rPr>
        <w:t xml:space="preserve">This is in accordance with the Cabinet Resolution of 17 November 2015 which requested relevant authorities to assign health personnel from local hospitals to provide services in prisons, establish a special ward for prisoners requiring treatment outside of prison facilities, and improve the health services system for prisoners. In the current budget year, </w:t>
      </w:r>
      <w:r w:rsidR="00695E59" w:rsidRPr="00671D9E">
        <w:rPr>
          <w:lang w:bidi="th-TH"/>
        </w:rPr>
        <w:lastRenderedPageBreak/>
        <w:t>the NHSO</w:t>
      </w:r>
      <w:r w:rsidR="00695E59" w:rsidRPr="00671D9E">
        <w:rPr>
          <w:rFonts w:cs="Angsana New"/>
          <w:cs/>
          <w:lang w:bidi="th-TH"/>
        </w:rPr>
        <w:t xml:space="preserve"> </w:t>
      </w:r>
      <w:r w:rsidR="00695E59" w:rsidRPr="00671D9E">
        <w:rPr>
          <w:lang w:bidi="th-TH"/>
        </w:rPr>
        <w:t>registers health facilities in 141 prisons as a primary health facility and other 2 facilities as a permanent facility.</w:t>
      </w:r>
      <w:r w:rsidR="00695E59" w:rsidRPr="00671D9E">
        <w:rPr>
          <w:rFonts w:cs="Cordia New"/>
          <w:cs/>
          <w:lang w:bidi="th-TH"/>
        </w:rPr>
        <w:t xml:space="preserve"> </w:t>
      </w:r>
      <w:r w:rsidR="00695E59" w:rsidRPr="00671D9E">
        <w:rPr>
          <w:lang w:bidi="th-TH"/>
        </w:rPr>
        <w:t>This effort will enable these health facilities in prison to receive and transfer patients to other health facilities under the NHSO health system. Nurses are stationed in all health facilities in prisons and doctors from the MOPH will visit those facilities on a regular basis. In case of emergency, ill prisoners will be transferred to a hospital outside the prison.</w:t>
      </w:r>
    </w:p>
    <w:p w14:paraId="255312ED" w14:textId="626FFAD4" w:rsidR="00695E59" w:rsidRPr="00671D9E" w:rsidRDefault="002B0385" w:rsidP="002B0385">
      <w:pPr>
        <w:pStyle w:val="SingleTxtG"/>
        <w:suppressAutoHyphens w:val="0"/>
        <w:rPr>
          <w:lang w:bidi="th-TH"/>
        </w:rPr>
      </w:pPr>
      <w:r w:rsidRPr="00671D9E">
        <w:rPr>
          <w:lang w:bidi="th-TH"/>
        </w:rPr>
        <w:t>25.</w:t>
      </w:r>
      <w:r w:rsidRPr="00671D9E">
        <w:rPr>
          <w:lang w:bidi="th-TH"/>
        </w:rPr>
        <w:tab/>
      </w:r>
      <w:r w:rsidR="00695E59" w:rsidRPr="00671D9E">
        <w:rPr>
          <w:lang w:bidi="th-TH"/>
        </w:rPr>
        <w:t xml:space="preserve">The detention registry is kept electronically and always updated. For more details on the number of prisoners in Thailand disaggregated by gender, age and nationality (data as of 20 May 2020), see Table </w:t>
      </w:r>
      <w:r w:rsidR="00695E59" w:rsidRPr="00671D9E">
        <w:rPr>
          <w:cs/>
          <w:lang w:bidi="th-TH"/>
        </w:rPr>
        <w:t>1</w:t>
      </w:r>
      <w:r w:rsidR="00695E59" w:rsidRPr="00671D9E">
        <w:rPr>
          <w:lang w:bidi="th-TH"/>
        </w:rPr>
        <w:t xml:space="preserve"> attached to this report.</w:t>
      </w:r>
    </w:p>
    <w:p w14:paraId="7F09D02E" w14:textId="4E53083D" w:rsidR="00695E59" w:rsidRPr="00671D9E" w:rsidRDefault="002B0385" w:rsidP="002B0385">
      <w:pPr>
        <w:pStyle w:val="SingleTxtG"/>
        <w:suppressAutoHyphens w:val="0"/>
        <w:rPr>
          <w:rFonts w:cs="Cordia New"/>
          <w:lang w:bidi="th-TH"/>
        </w:rPr>
      </w:pPr>
      <w:r w:rsidRPr="00671D9E">
        <w:rPr>
          <w:rFonts w:cs="Cordia New"/>
          <w:lang w:bidi="th-TH"/>
        </w:rPr>
        <w:t>26.</w:t>
      </w:r>
      <w:r w:rsidRPr="00671D9E">
        <w:rPr>
          <w:rFonts w:cs="Cordia New"/>
          <w:lang w:bidi="th-TH"/>
        </w:rPr>
        <w:tab/>
      </w:r>
      <w:r w:rsidR="00695E59" w:rsidRPr="00671D9E">
        <w:rPr>
          <w:lang w:bidi="th-TH"/>
        </w:rPr>
        <w:t>The Royal Thai Government places access to justice, including the provision of legal aid and assistance</w:t>
      </w:r>
      <w:r w:rsidR="00695E59" w:rsidRPr="00671D9E">
        <w:rPr>
          <w:rFonts w:cs="Angsana New"/>
          <w:szCs w:val="35"/>
          <w:lang w:bidi="th-TH"/>
        </w:rPr>
        <w:t>,</w:t>
      </w:r>
      <w:r w:rsidR="00695E59" w:rsidRPr="00671D9E">
        <w:rPr>
          <w:lang w:bidi="th-TH"/>
        </w:rPr>
        <w:t xml:space="preserve"> as one of the key priorities. For example, the Justice Fund</w:t>
      </w:r>
      <w:r w:rsidR="00695E59" w:rsidRPr="00671D9E">
        <w:rPr>
          <w:rFonts w:cs="Angsana New"/>
          <w:cs/>
          <w:lang w:bidi="th-TH"/>
        </w:rPr>
        <w:t xml:space="preserve"> </w:t>
      </w:r>
      <w:r w:rsidR="00695E59" w:rsidRPr="00671D9E">
        <w:rPr>
          <w:lang w:bidi="th-TH"/>
        </w:rPr>
        <w:t>has been established by the Justice Fund</w:t>
      </w:r>
      <w:r w:rsidR="00695E59" w:rsidRPr="00671D9E">
        <w:rPr>
          <w:rFonts w:cs="Angsana New"/>
          <w:cs/>
          <w:lang w:bidi="th-TH"/>
        </w:rPr>
        <w:t xml:space="preserve"> </w:t>
      </w:r>
      <w:r w:rsidR="00695E59" w:rsidRPr="00671D9E">
        <w:rPr>
          <w:lang w:bidi="th-TH"/>
        </w:rPr>
        <w:t>Act B.E. 2558 (2015)</w:t>
      </w:r>
      <w:r w:rsidR="00695E59" w:rsidRPr="00671D9E">
        <w:rPr>
          <w:b/>
          <w:bCs/>
          <w:lang w:bidi="th-TH"/>
        </w:rPr>
        <w:t xml:space="preserve"> </w:t>
      </w:r>
      <w:r w:rsidR="00695E59" w:rsidRPr="00671D9E">
        <w:rPr>
          <w:lang w:bidi="th-TH"/>
        </w:rPr>
        <w:t>to provide legal aid to individuals, including the accused and those who suffer as a result of the trial process or those whose human rights have been infringed upon, regardless of nationality. The Justice Fund, which holds the status of a juristic person by law, covers assistance in terms of bail, retention of lawyers, court fees and other expenses relating to a trial in Thailand. Also, the Fund provides financial support for legal education for the general public to ensure that they know their rights and are not taken advantage of. Currently, there are three ways to access the Justice Fund: (1) through a mobile application, (2) through the website of the fund</w:t>
      </w:r>
      <w:r w:rsidR="00695E59" w:rsidRPr="00671D9E">
        <w:rPr>
          <w:rFonts w:cs="Angsana New"/>
          <w:cs/>
          <w:lang w:bidi="th-TH"/>
        </w:rPr>
        <w:t xml:space="preserve"> </w:t>
      </w:r>
      <w:r w:rsidR="00695E59" w:rsidRPr="00671D9E">
        <w:rPr>
          <w:cs/>
          <w:lang w:bidi="th-TH"/>
        </w:rPr>
        <w:t>(</w:t>
      </w:r>
      <w:r w:rsidR="00695E59" w:rsidRPr="00671D9E">
        <w:rPr>
          <w:lang w:bidi="th-TH"/>
        </w:rPr>
        <w:t>jfo.moj.go.th), and (3) in person at the Justice Fund Offices in every province of the country.</w:t>
      </w:r>
    </w:p>
    <w:p w14:paraId="36847CDB" w14:textId="2A45AEE3" w:rsidR="00695E59" w:rsidRPr="00671D9E" w:rsidRDefault="002B0385" w:rsidP="002B0385">
      <w:pPr>
        <w:pStyle w:val="SingleTxtG"/>
        <w:suppressAutoHyphens w:val="0"/>
        <w:rPr>
          <w:b/>
          <w:bCs/>
          <w:lang w:bidi="th-TH"/>
        </w:rPr>
      </w:pPr>
      <w:r w:rsidRPr="00671D9E">
        <w:rPr>
          <w:bCs/>
          <w:lang w:bidi="th-TH"/>
        </w:rPr>
        <w:t>27.</w:t>
      </w:r>
      <w:r w:rsidRPr="00671D9E">
        <w:rPr>
          <w:bCs/>
          <w:lang w:bidi="th-TH"/>
        </w:rPr>
        <w:tab/>
      </w:r>
      <w:r w:rsidR="00695E59" w:rsidRPr="00671D9E">
        <w:rPr>
          <w:lang w:bidi="th-TH"/>
        </w:rPr>
        <w:t xml:space="preserve">The Ministry of Justice has also initiated an outreach programme </w:t>
      </w:r>
      <w:r w:rsidR="00A56767">
        <w:rPr>
          <w:rFonts w:cs="Angsana New"/>
          <w:cs/>
          <w:lang w:bidi="th-TH"/>
        </w:rPr>
        <w:t>“</w:t>
      </w:r>
      <w:r w:rsidR="00695E59" w:rsidRPr="00671D9E">
        <w:rPr>
          <w:lang w:bidi="th-TH"/>
        </w:rPr>
        <w:t>Justice Care</w:t>
      </w:r>
      <w:r w:rsidR="00A56767">
        <w:rPr>
          <w:rFonts w:cs="Angsana New"/>
          <w:cs/>
          <w:lang w:bidi="th-TH"/>
        </w:rPr>
        <w:t>”</w:t>
      </w:r>
      <w:r w:rsidR="00695E59" w:rsidRPr="00671D9E">
        <w:rPr>
          <w:lang w:bidi="th-TH"/>
        </w:rPr>
        <w:t xml:space="preserve"> which combines several existing means to assist injured persons and victims of crime into one single platform</w:t>
      </w:r>
      <w:r w:rsidR="00695E59" w:rsidRPr="00671D9E">
        <w:rPr>
          <w:cs/>
          <w:lang w:bidi="th-TH"/>
        </w:rPr>
        <w:t>.</w:t>
      </w:r>
      <w:r w:rsidR="00695E59" w:rsidRPr="00671D9E">
        <w:rPr>
          <w:lang w:bidi="th-TH"/>
        </w:rPr>
        <w:t xml:space="preserve"> This programme will deal with complaints regarding human rights violations promptly and effectively</w:t>
      </w:r>
      <w:r w:rsidR="00695E59" w:rsidRPr="00671D9E">
        <w:rPr>
          <w:cs/>
          <w:lang w:bidi="th-TH"/>
        </w:rPr>
        <w:t>.</w:t>
      </w:r>
      <w:r w:rsidR="00695E59" w:rsidRPr="00671D9E">
        <w:rPr>
          <w:rFonts w:cs="Angsana New"/>
          <w:cs/>
          <w:lang w:bidi="th-TH"/>
        </w:rPr>
        <w:t xml:space="preserve"> </w:t>
      </w:r>
      <w:r w:rsidR="00695E59" w:rsidRPr="00671D9E">
        <w:rPr>
          <w:lang w:bidi="th-TH"/>
        </w:rPr>
        <w:t>This service is available to everyone regardless of their race or nationality</w:t>
      </w:r>
      <w:r w:rsidR="00695E59" w:rsidRPr="00671D9E">
        <w:rPr>
          <w:cs/>
          <w:lang w:bidi="th-TH"/>
        </w:rPr>
        <w:t>.</w:t>
      </w:r>
      <w:r w:rsidR="00695E59" w:rsidRPr="00671D9E">
        <w:rPr>
          <w:rFonts w:cs="Angsana New"/>
          <w:cs/>
          <w:lang w:bidi="th-TH"/>
        </w:rPr>
        <w:t xml:space="preserve"> </w:t>
      </w:r>
      <w:r w:rsidR="00695E59" w:rsidRPr="00671D9E">
        <w:rPr>
          <w:lang w:bidi="th-TH"/>
        </w:rPr>
        <w:t>Through this channel, people are able to request for legal advice,</w:t>
      </w:r>
      <w:r w:rsidR="00695E59" w:rsidRPr="00671D9E">
        <w:rPr>
          <w:rFonts w:cs="Angsana New"/>
          <w:cs/>
          <w:lang w:bidi="th-TH"/>
        </w:rPr>
        <w:t xml:space="preserve"> </w:t>
      </w:r>
      <w:r w:rsidR="00695E59" w:rsidRPr="00671D9E">
        <w:rPr>
          <w:lang w:bidi="th-TH"/>
        </w:rPr>
        <w:t xml:space="preserve">legal assistance, restitution, state compensation, witness protection and other forms of support pursuant to relevant legislation such as the Justice Fund Act B.E. 2558 (2015), the Damages for the Injured Person and Compensation and Expenses </w:t>
      </w:r>
      <w:r w:rsidR="00695E59" w:rsidRPr="00671D9E">
        <w:rPr>
          <w:spacing w:val="-4"/>
          <w:lang w:bidi="th-TH"/>
        </w:rPr>
        <w:t xml:space="preserve">for the Accused in Criminal Cases Act B.E. </w:t>
      </w:r>
      <w:r w:rsidR="00695E59" w:rsidRPr="00671D9E">
        <w:rPr>
          <w:rFonts w:cs="Cordia New"/>
          <w:spacing w:val="-4"/>
          <w:lang w:bidi="th-TH"/>
        </w:rPr>
        <w:t>2544 (</w:t>
      </w:r>
      <w:r w:rsidR="00695E59" w:rsidRPr="00671D9E">
        <w:rPr>
          <w:spacing w:val="-4"/>
          <w:lang w:bidi="th-TH"/>
        </w:rPr>
        <w:t>2001)</w:t>
      </w:r>
      <w:r w:rsidR="00695E59" w:rsidRPr="00671D9E">
        <w:rPr>
          <w:rFonts w:cs="Cordia New"/>
          <w:spacing w:val="-4"/>
          <w:cs/>
          <w:lang w:bidi="th-TH"/>
        </w:rPr>
        <w:t xml:space="preserve"> </w:t>
      </w:r>
      <w:r w:rsidR="00695E59" w:rsidRPr="00671D9E">
        <w:rPr>
          <w:spacing w:val="-4"/>
          <w:lang w:bidi="th-TH"/>
        </w:rPr>
        <w:t xml:space="preserve">(as amended in B.E. </w:t>
      </w:r>
      <w:r w:rsidR="00695E59" w:rsidRPr="00671D9E">
        <w:rPr>
          <w:rFonts w:cs="Cordia New"/>
          <w:spacing w:val="-4"/>
          <w:lang w:bidi="th-TH"/>
        </w:rPr>
        <w:t>2559 (</w:t>
      </w:r>
      <w:r w:rsidR="00695E59" w:rsidRPr="00671D9E">
        <w:rPr>
          <w:spacing w:val="-4"/>
          <w:lang w:bidi="th-TH"/>
        </w:rPr>
        <w:t>2016))</w:t>
      </w:r>
      <w:r w:rsidR="00695E59" w:rsidRPr="00251669">
        <w:rPr>
          <w:spacing w:val="-4"/>
          <w:lang w:bidi="th-TH"/>
        </w:rPr>
        <w:t>.</w:t>
      </w:r>
    </w:p>
    <w:p w14:paraId="13B6B90D" w14:textId="79B0BD5E" w:rsidR="00695E59" w:rsidRPr="00EE258F" w:rsidRDefault="00695E59" w:rsidP="00EE258F">
      <w:pPr>
        <w:pStyle w:val="H23G"/>
        <w:rPr>
          <w:rFonts w:eastAsia="ZWAdobeF"/>
          <w:cs/>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6 of the list of issues</w:t>
      </w:r>
    </w:p>
    <w:p w14:paraId="63E5D2E1" w14:textId="20564FF2" w:rsidR="00695E59" w:rsidRPr="00671D9E" w:rsidRDefault="002B0385" w:rsidP="002B0385">
      <w:pPr>
        <w:pStyle w:val="SingleTxtG"/>
        <w:suppressAutoHyphens w:val="0"/>
        <w:rPr>
          <w:spacing w:val="-2"/>
          <w:lang w:bidi="th-TH"/>
        </w:rPr>
      </w:pPr>
      <w:r w:rsidRPr="00671D9E">
        <w:rPr>
          <w:spacing w:val="-2"/>
          <w:lang w:bidi="th-TH"/>
        </w:rPr>
        <w:t>28.</w:t>
      </w:r>
      <w:r w:rsidRPr="00671D9E">
        <w:rPr>
          <w:spacing w:val="-2"/>
          <w:lang w:bidi="th-TH"/>
        </w:rPr>
        <w:tab/>
      </w:r>
      <w:r w:rsidR="00695E59" w:rsidRPr="00671D9E">
        <w:rPr>
          <w:lang w:bidi="th-TH"/>
        </w:rPr>
        <w:t>The power to detain civilians according to the Head of the NCPO</w:t>
      </w:r>
      <w:r w:rsidR="00A56767">
        <w:rPr>
          <w:lang w:bidi="th-TH"/>
        </w:rPr>
        <w:t>’</w:t>
      </w:r>
      <w:r w:rsidR="00695E59" w:rsidRPr="00671D9E">
        <w:rPr>
          <w:lang w:bidi="th-TH"/>
        </w:rPr>
        <w:t xml:space="preserve">s Orders No. 3/2558 and No. 13/2559 is of a temporary nature and the result </w:t>
      </w:r>
      <w:r w:rsidR="00695E59" w:rsidRPr="00671D9E">
        <w:rPr>
          <w:spacing w:val="-2"/>
          <w:lang w:bidi="th-TH"/>
        </w:rPr>
        <w:t>of the protracted political unrest in the country. When the Orders were carried out, the power of the officials were exercised with strict adherence to the following conditions:</w:t>
      </w:r>
    </w:p>
    <w:p w14:paraId="02D7F38F" w14:textId="79F43717" w:rsidR="00695E59" w:rsidRPr="00D974B4" w:rsidRDefault="00D974B4" w:rsidP="00D974B4">
      <w:pPr>
        <w:pStyle w:val="SingleTxtG"/>
      </w:pPr>
      <w:r>
        <w:tab/>
      </w:r>
      <w:r w:rsidR="002B0385" w:rsidRPr="00D974B4">
        <w:t>(a)</w:t>
      </w:r>
      <w:r w:rsidR="002B0385" w:rsidRPr="00D974B4">
        <w:tab/>
      </w:r>
      <w:r w:rsidR="00695E59" w:rsidRPr="00D974B4">
        <w:t>Temporary detention is carried out with the purpose of conducting an informal dialogue to gain information or to acquire testimony for the benefit of maintaining peace and order in the country;</w:t>
      </w:r>
    </w:p>
    <w:p w14:paraId="31A7650E" w14:textId="28F272F4" w:rsidR="00695E59" w:rsidRPr="00D974B4" w:rsidRDefault="00D974B4" w:rsidP="00D974B4">
      <w:pPr>
        <w:pStyle w:val="SingleTxtG"/>
      </w:pPr>
      <w:r>
        <w:tab/>
      </w:r>
      <w:r w:rsidR="002B0385" w:rsidRPr="00D974B4">
        <w:t>(b)</w:t>
      </w:r>
      <w:r w:rsidR="002B0385" w:rsidRPr="00D974B4">
        <w:tab/>
      </w:r>
      <w:r w:rsidR="00695E59" w:rsidRPr="00D974B4">
        <w:t>The detention can only be undertaken when there are reasonable grounds to substantiate that one has committed one of the specified serious offences against public order or the economic or social system;</w:t>
      </w:r>
    </w:p>
    <w:p w14:paraId="7DDC9517" w14:textId="4E64775E" w:rsidR="00695E59" w:rsidRPr="00D974B4" w:rsidRDefault="00D974B4" w:rsidP="00D974B4">
      <w:pPr>
        <w:pStyle w:val="SingleTxtG"/>
      </w:pPr>
      <w:r>
        <w:tab/>
      </w:r>
      <w:r w:rsidR="002B0385" w:rsidRPr="00D974B4">
        <w:t>(c)</w:t>
      </w:r>
      <w:r w:rsidR="002B0385" w:rsidRPr="00D974B4">
        <w:tab/>
      </w:r>
      <w:r w:rsidR="00695E59" w:rsidRPr="00D974B4">
        <w:t>The detention is not imprisonment and therefore must be carried out in an official location which is not a police station, a detention center, or a prison. The environment of this location must be in good condition, and be equipped with a bedding set, an air-conditioner and a bathroom. Detainees are entitled to food, sleep and other activities so that they can continue with their daily activities;</w:t>
      </w:r>
    </w:p>
    <w:p w14:paraId="12507D62" w14:textId="0390CD27" w:rsidR="00695E59" w:rsidRPr="00D974B4" w:rsidRDefault="00D974B4" w:rsidP="00D974B4">
      <w:pPr>
        <w:pStyle w:val="SingleTxtG"/>
      </w:pPr>
      <w:r>
        <w:tab/>
      </w:r>
      <w:r w:rsidR="002B0385" w:rsidRPr="00D974B4">
        <w:t>(d)</w:t>
      </w:r>
      <w:r w:rsidR="002B0385" w:rsidRPr="00D974B4">
        <w:tab/>
      </w:r>
      <w:r w:rsidR="00695E59" w:rsidRPr="00D974B4">
        <w:t>No detainees shall be treated as a suspect; and</w:t>
      </w:r>
    </w:p>
    <w:p w14:paraId="34E6CCFA" w14:textId="7F444283" w:rsidR="00695E59" w:rsidRPr="00D974B4" w:rsidRDefault="00D974B4" w:rsidP="00D974B4">
      <w:pPr>
        <w:pStyle w:val="SingleTxtG"/>
        <w:rPr>
          <w:cs/>
        </w:rPr>
      </w:pPr>
      <w:r>
        <w:rPr>
          <w:cs/>
        </w:rPr>
        <w:tab/>
      </w:r>
      <w:r w:rsidR="002B0385" w:rsidRPr="00D974B4">
        <w:rPr>
          <w:cs/>
        </w:rPr>
        <w:t>(</w:t>
      </w:r>
      <w:r w:rsidR="002B0385" w:rsidRPr="00D974B4">
        <w:t>e)</w:t>
      </w:r>
      <w:r w:rsidR="002B0385" w:rsidRPr="00D974B4">
        <w:tab/>
      </w:r>
      <w:r w:rsidR="00695E59" w:rsidRPr="00D974B4">
        <w:t>Only the interrogation unit registered with these agencies, namely (1)</w:t>
      </w:r>
      <w:r w:rsidR="00695E59" w:rsidRPr="00D974B4">
        <w:rPr>
          <w:cs/>
        </w:rPr>
        <w:t xml:space="preserve"> </w:t>
      </w:r>
      <w:r w:rsidR="00695E59" w:rsidRPr="00D974B4">
        <w:t>the Military Intelligence Unit, Southern Border Provinces (2) the 43rd Ranger Task Force Unit (3) the</w:t>
      </w:r>
      <w:r w:rsidR="00695E59" w:rsidRPr="00D974B4">
        <w:rPr>
          <w:cs/>
        </w:rPr>
        <w:t xml:space="preserve"> </w:t>
      </w:r>
      <w:r w:rsidR="00695E59" w:rsidRPr="00D974B4">
        <w:t>41st Ranger Task Force Unit and (4) the Peace Centers,</w:t>
      </w:r>
      <w:r w:rsidR="00695E59" w:rsidRPr="00D974B4">
        <w:rPr>
          <w:cs/>
        </w:rPr>
        <w:t xml:space="preserve"> </w:t>
      </w:r>
      <w:r w:rsidR="00695E59" w:rsidRPr="00D974B4">
        <w:t>Royal Thai Police,</w:t>
      </w:r>
      <w:r w:rsidR="00695E59" w:rsidRPr="00D974B4">
        <w:rPr>
          <w:cs/>
        </w:rPr>
        <w:t xml:space="preserve"> </w:t>
      </w:r>
      <w:r w:rsidR="00695E59" w:rsidRPr="00D974B4">
        <w:t>can be used for inquiries and interrogations.</w:t>
      </w:r>
    </w:p>
    <w:p w14:paraId="15526B63" w14:textId="78B894F8" w:rsidR="00695E59" w:rsidRPr="00A258E0" w:rsidRDefault="002B0385" w:rsidP="00A258E0">
      <w:pPr>
        <w:pStyle w:val="SingleTxtG"/>
      </w:pPr>
      <w:r w:rsidRPr="00A258E0">
        <w:t>29.</w:t>
      </w:r>
      <w:r w:rsidRPr="00A258E0">
        <w:tab/>
      </w:r>
      <w:r w:rsidR="00695E59" w:rsidRPr="00A258E0">
        <w:t>In the Southern Border Provinces where special laws are enforced, there are two types of detention locations</w:t>
      </w:r>
      <w:r w:rsidR="00695E59" w:rsidRPr="00A258E0">
        <w:rPr>
          <w:cs/>
        </w:rPr>
        <w:t>.</w:t>
      </w:r>
      <w:r w:rsidR="00695E59" w:rsidRPr="00A258E0">
        <w:t xml:space="preserve"> (1) The three interrogation centers of the 41st, 43rd, and 46th Ranger Task Forces which are used only for short-term detention, in accordance with Martial Law. </w:t>
      </w:r>
      <w:r w:rsidR="00695E59" w:rsidRPr="00A258E0">
        <w:lastRenderedPageBreak/>
        <w:t>The rights of detainees are guaranteed to the same extent that they are guaranteed by the Criminal Procedure Code. Moreover, several additional measures such as regular visits by a family member, other government agencies and civil society organisations are faciliated to ensure that the rights of the detainees are respected. (2) The Interrogation Unit of the National Military Intelligence Unit of the Southern Border Provinces and the Peace Center of the Police Forces of the Southern Border Provinces are the two detention locations set up pursuant to the Emergency Decree. To detain a person according to the Emergency Decree, the official must obtain a warrant issued by a court and renew the warrant every 7 days with the court</w:t>
      </w:r>
      <w:r w:rsidR="00A56767" w:rsidRPr="00A258E0">
        <w:t>’</w:t>
      </w:r>
      <w:r w:rsidR="00695E59" w:rsidRPr="00A258E0">
        <w:t>s permission, in order to extend the detention period which may not exceed a total of 30 days. In cases where a detainee is found to have no connection with an act violating the law, he/she will be released and awarded compensation of THB 30,000 in addition to compensation of the loss of income while being detained at the rate of THB 400 per day. Family members can visit the detainees from the first day of detention. A detainee is subject to medical examination prior to and after detention to check for injuries. When a detainee is released, a document will be issued to confirm that he/she is no longer in custody.</w:t>
      </w:r>
    </w:p>
    <w:p w14:paraId="15EE8345" w14:textId="77777777" w:rsidR="00695E59" w:rsidRPr="00671D9E" w:rsidRDefault="00695E59" w:rsidP="00695E59">
      <w:pPr>
        <w:pStyle w:val="H23G"/>
        <w:rPr>
          <w:rFonts w:eastAsia="ZWAdobeF"/>
          <w:sz w:val="28"/>
          <w:szCs w:val="28"/>
          <w:lang w:bidi="th-TH"/>
        </w:rPr>
      </w:pPr>
      <w:r w:rsidRPr="00671D9E">
        <w:tab/>
      </w:r>
      <w:r w:rsidRPr="00671D9E">
        <w:tab/>
        <w:t>Reply to paragraph 7 of the list of issues</w:t>
      </w:r>
    </w:p>
    <w:p w14:paraId="7A2E9A6C" w14:textId="5C37F82F" w:rsidR="00695E59" w:rsidRPr="00671D9E" w:rsidRDefault="002B0385" w:rsidP="002B0385">
      <w:pPr>
        <w:pStyle w:val="SingleTxtG"/>
        <w:suppressAutoHyphens w:val="0"/>
        <w:rPr>
          <w:lang w:bidi="th-TH"/>
        </w:rPr>
      </w:pPr>
      <w:r w:rsidRPr="00671D9E">
        <w:rPr>
          <w:lang w:bidi="th-TH"/>
        </w:rPr>
        <w:t>30.</w:t>
      </w:r>
      <w:r w:rsidRPr="00671D9E">
        <w:rPr>
          <w:lang w:bidi="th-TH"/>
        </w:rPr>
        <w:tab/>
      </w:r>
      <w:r w:rsidR="00695E59" w:rsidRPr="00671D9E">
        <w:rPr>
          <w:lang w:bidi="th-TH"/>
        </w:rPr>
        <w:t>Thailand signed the International Convention for the Protection of All Persons from Enforced Disappearance (ICPPED) on 9 January 2012 and the Cabinet as well as the National Legislative Assembly on 24 May 2016 and on 10 March 2017, respectively, granted approval in principle for the ratification of the ICPPED. Thailand will be able to accede to the ICPPED once the draft Prevention and Suppression of Torture and Enforced Disappearance Act is passed as law. For the latest developments on an offence of enforced disappearance, please refer to the information mentioned in paragraphs</w:t>
      </w:r>
      <w:r w:rsidR="00695E59" w:rsidRPr="00671D9E">
        <w:rPr>
          <w:rFonts w:cs="Cordia New"/>
          <w:lang w:bidi="th-TH"/>
        </w:rPr>
        <w:t xml:space="preserve"> 6</w:t>
      </w:r>
      <w:r w:rsidR="00695E59" w:rsidRPr="00671D9E">
        <w:rPr>
          <w:lang w:bidi="th-TH"/>
        </w:rPr>
        <w:t xml:space="preserve"> and 7.</w:t>
      </w:r>
    </w:p>
    <w:p w14:paraId="68E70F74" w14:textId="54EC5F2F" w:rsidR="00695E59" w:rsidRPr="00671D9E" w:rsidRDefault="002B0385" w:rsidP="002B0385">
      <w:pPr>
        <w:pStyle w:val="SingleTxtG"/>
        <w:suppressAutoHyphens w:val="0"/>
        <w:rPr>
          <w:lang w:bidi="th-TH"/>
        </w:rPr>
      </w:pPr>
      <w:r w:rsidRPr="00671D9E">
        <w:rPr>
          <w:lang w:bidi="th-TH"/>
        </w:rPr>
        <w:t>31.</w:t>
      </w:r>
      <w:r w:rsidRPr="00671D9E">
        <w:rPr>
          <w:lang w:bidi="th-TH"/>
        </w:rPr>
        <w:tab/>
      </w:r>
      <w:r w:rsidR="00695E59" w:rsidRPr="00671D9E">
        <w:rPr>
          <w:lang w:bidi="th-TH"/>
        </w:rPr>
        <w:t xml:space="preserve">The National Committee for Managing Cases Relating to Torture and Enforced Disappearance, of which the detail regarding its composition and mandates appears in paragraph </w:t>
      </w:r>
      <w:r w:rsidR="00695E59" w:rsidRPr="00671D9E">
        <w:rPr>
          <w:rFonts w:cs="Cordia New"/>
          <w:lang w:bidi="th-TH"/>
        </w:rPr>
        <w:t>9</w:t>
      </w:r>
      <w:r w:rsidR="00695E59" w:rsidRPr="00671D9E">
        <w:rPr>
          <w:lang w:bidi="th-TH"/>
        </w:rPr>
        <w:t>, has commenced its work to investigate the whereabouts and status of persons alleged to have disappeared in the list of the UN Working Group on Enforced or Involuntary Disappearances (WGEID). Out of 87 cases in the WGEID</w:t>
      </w:r>
      <w:r w:rsidR="00A56767">
        <w:rPr>
          <w:lang w:bidi="th-TH"/>
        </w:rPr>
        <w:t>’</w:t>
      </w:r>
      <w:r w:rsidR="00695E59" w:rsidRPr="00671D9E">
        <w:rPr>
          <w:lang w:bidi="th-TH"/>
        </w:rPr>
        <w:t>s list, 12 have been withdrawn from the list by the Working Group</w:t>
      </w:r>
      <w:r w:rsidR="00695E59" w:rsidRPr="00671D9E">
        <w:rPr>
          <w:rFonts w:cs="Angsana New"/>
          <w:lang w:bidi="th-TH"/>
        </w:rPr>
        <w:t>.</w:t>
      </w:r>
      <w:r w:rsidR="00695E59" w:rsidRPr="00671D9E">
        <w:rPr>
          <w:rFonts w:cs="Angsana New"/>
          <w:cs/>
          <w:lang w:bidi="th-TH"/>
        </w:rPr>
        <w:t xml:space="preserve"> </w:t>
      </w:r>
      <w:r w:rsidR="00695E59" w:rsidRPr="00671D9E">
        <w:rPr>
          <w:lang w:bidi="th-TH"/>
        </w:rPr>
        <w:t>The latest status of cases raised by the Committee are as follows:</w:t>
      </w:r>
    </w:p>
    <w:p w14:paraId="0348B67A" w14:textId="540DB0BE" w:rsidR="00695E59" w:rsidRPr="00671D9E" w:rsidRDefault="00AB62C4" w:rsidP="00AB62C4">
      <w:pPr>
        <w:pStyle w:val="SingleTxtG"/>
        <w:rPr>
          <w:i/>
          <w:iCs/>
          <w:lang w:bidi="th-TH"/>
        </w:rPr>
      </w:pPr>
      <w:r>
        <w:rPr>
          <w:iCs/>
          <w:lang w:bidi="th-TH"/>
        </w:rPr>
        <w:tab/>
      </w:r>
      <w:r w:rsidR="002B0385" w:rsidRPr="00671D9E">
        <w:rPr>
          <w:iCs/>
          <w:lang w:bidi="th-TH"/>
        </w:rPr>
        <w:t>(a)</w:t>
      </w:r>
      <w:r w:rsidR="002B0385" w:rsidRPr="00671D9E">
        <w:rPr>
          <w:iCs/>
          <w:lang w:bidi="th-TH"/>
        </w:rPr>
        <w:tab/>
      </w:r>
      <w:r w:rsidR="00695E59" w:rsidRPr="00671D9E">
        <w:rPr>
          <w:lang w:bidi="th-TH"/>
        </w:rPr>
        <w:t xml:space="preserve">In </w:t>
      </w:r>
      <w:r w:rsidR="00695E59" w:rsidRPr="00671D9E">
        <w:rPr>
          <w:cs/>
          <w:lang w:bidi="th-TH"/>
        </w:rPr>
        <w:t>2018</w:t>
      </w:r>
      <w:r w:rsidR="00695E59" w:rsidRPr="00671D9E">
        <w:rPr>
          <w:lang w:bidi="th-TH"/>
        </w:rPr>
        <w:t xml:space="preserve">, the Department of Special Investigation (DSI) took the case of Mr. Pholachi Rakchongcharoen or </w:t>
      </w:r>
      <w:r w:rsidR="00A56767">
        <w:rPr>
          <w:lang w:bidi="th-TH"/>
        </w:rPr>
        <w:t>“</w:t>
      </w:r>
      <w:r w:rsidR="00695E59" w:rsidRPr="00671D9E">
        <w:rPr>
          <w:lang w:bidi="th-TH"/>
        </w:rPr>
        <w:t>Billy</w:t>
      </w:r>
      <w:r w:rsidR="00A56767">
        <w:rPr>
          <w:lang w:bidi="th-TH"/>
        </w:rPr>
        <w:t>”</w:t>
      </w:r>
      <w:r w:rsidR="00695E59" w:rsidRPr="00671D9E">
        <w:rPr>
          <w:lang w:bidi="th-TH"/>
        </w:rPr>
        <w:t xml:space="preserve"> as a special case No.</w:t>
      </w:r>
      <w:r w:rsidR="00695E59" w:rsidRPr="00671D9E">
        <w:rPr>
          <w:cs/>
          <w:lang w:bidi="th-TH"/>
        </w:rPr>
        <w:t xml:space="preserve">13/2562 </w:t>
      </w:r>
      <w:r w:rsidR="00695E59" w:rsidRPr="00671D9E">
        <w:rPr>
          <w:lang w:bidi="th-TH"/>
        </w:rPr>
        <w:t xml:space="preserve">on </w:t>
      </w:r>
      <w:r w:rsidR="00695E59" w:rsidRPr="00671D9E">
        <w:rPr>
          <w:cs/>
          <w:lang w:bidi="th-TH"/>
        </w:rPr>
        <w:t xml:space="preserve">18 </w:t>
      </w:r>
      <w:r w:rsidR="00695E59" w:rsidRPr="00671D9E">
        <w:rPr>
          <w:lang w:bidi="th-TH"/>
        </w:rPr>
        <w:t xml:space="preserve">February </w:t>
      </w:r>
      <w:r w:rsidR="00695E59" w:rsidRPr="00671D9E">
        <w:rPr>
          <w:cs/>
          <w:lang w:bidi="th-TH"/>
        </w:rPr>
        <w:t xml:space="preserve">2018 </w:t>
      </w:r>
      <w:r w:rsidR="00695E59" w:rsidRPr="00671D9E">
        <w:rPr>
          <w:lang w:bidi="th-TH"/>
        </w:rPr>
        <w:t xml:space="preserve">in accordance with the Special Case Investigation Act B.E. </w:t>
      </w:r>
      <w:r w:rsidR="00695E59" w:rsidRPr="00671D9E">
        <w:rPr>
          <w:cs/>
          <w:lang w:bidi="th-TH"/>
        </w:rPr>
        <w:t xml:space="preserve">2547 (2004). </w:t>
      </w:r>
      <w:r w:rsidR="00695E59" w:rsidRPr="00671D9E">
        <w:rPr>
          <w:lang w:bidi="th-TH"/>
        </w:rPr>
        <w:t>The DSI has provided witness protection to Mrs. Pinnapa Prueksapan, Mr. Pholachi</w:t>
      </w:r>
      <w:r w:rsidR="00A56767">
        <w:rPr>
          <w:lang w:bidi="th-TH"/>
        </w:rPr>
        <w:t>’</w:t>
      </w:r>
      <w:r w:rsidR="00695E59" w:rsidRPr="00671D9E">
        <w:rPr>
          <w:lang w:bidi="th-TH"/>
        </w:rPr>
        <w:t xml:space="preserve">s wife, since </w:t>
      </w:r>
      <w:r w:rsidR="00695E59" w:rsidRPr="00671D9E">
        <w:rPr>
          <w:cs/>
          <w:lang w:bidi="th-TH"/>
        </w:rPr>
        <w:t>2018</w:t>
      </w:r>
      <w:r w:rsidR="00695E59" w:rsidRPr="00671D9E">
        <w:rPr>
          <w:lang w:bidi="th-TH"/>
        </w:rPr>
        <w:t xml:space="preserve">. The alleged misconduct of the officers involved, including Mr. Chaiwat Limlikitaksorn, failing to hand Mr. Pholachi over to the police after Mr. Pholachi was accused </w:t>
      </w:r>
      <w:r w:rsidR="00695E59" w:rsidRPr="00671D9E">
        <w:rPr>
          <w:spacing w:val="-4"/>
          <w:lang w:bidi="th-TH"/>
        </w:rPr>
        <w:t>of obtaining wild honey, is being prosecuted by a public prosecutor for the wrongful exercise of duties under section 157 of the Penal Code, section 123/1</w:t>
      </w:r>
      <w:r w:rsidR="00695E59" w:rsidRPr="00671D9E">
        <w:rPr>
          <w:lang w:bidi="th-TH"/>
        </w:rPr>
        <w:t xml:space="preserve"> under the Organic Act on Counter Corruption B.E. 2542 (1999), section 172 of the Organic Act on Counter Corruption B.E. 2561 (2018) in conjunction with section 83 of the Penal Code</w:t>
      </w:r>
      <w:r w:rsidR="00695E59" w:rsidRPr="00671D9E">
        <w:rPr>
          <w:rFonts w:cs="Cordia New"/>
          <w:cs/>
          <w:lang w:bidi="th-TH"/>
        </w:rPr>
        <w:t xml:space="preserve"> </w:t>
      </w:r>
      <w:r w:rsidR="00695E59" w:rsidRPr="00671D9E">
        <w:rPr>
          <w:lang w:bidi="th-TH"/>
        </w:rPr>
        <w:t>on 23 January 2020</w:t>
      </w:r>
      <w:r w:rsidR="00695E59" w:rsidRPr="00671D9E">
        <w:rPr>
          <w:cs/>
          <w:lang w:bidi="th-TH"/>
        </w:rPr>
        <w:t xml:space="preserve">. </w:t>
      </w:r>
      <w:r w:rsidR="00695E59" w:rsidRPr="00671D9E">
        <w:rPr>
          <w:lang w:bidi="th-TH"/>
        </w:rPr>
        <w:t xml:space="preserve">The public prosecutor made the decision not to prosecute Mr. Limlikitaksorn and three other alleged offenders for participating to commit premeditated murder </w:t>
      </w:r>
      <w:r w:rsidR="00695E59" w:rsidRPr="00671D9E">
        <w:rPr>
          <w:shd w:val="clear" w:color="auto" w:fill="FFFFFF"/>
          <w:lang w:bidi="th-TH"/>
        </w:rPr>
        <w:t>for the purpose of securing benefit obtained through other offences or concealing the other offence or escaping punishment for the other offence he committed,</w:t>
      </w:r>
      <w:r w:rsidR="00695E59" w:rsidRPr="00671D9E">
        <w:rPr>
          <w:rFonts w:cs="Cordia New"/>
          <w:shd w:val="clear" w:color="auto" w:fill="FFFFFF"/>
          <w:cs/>
          <w:lang w:bidi="th-TH"/>
        </w:rPr>
        <w:t xml:space="preserve"> </w:t>
      </w:r>
      <w:r w:rsidR="00695E59" w:rsidRPr="00671D9E">
        <w:rPr>
          <w:lang w:bidi="th-TH"/>
        </w:rPr>
        <w:t>participating to</w:t>
      </w:r>
      <w:r w:rsidR="00695E59" w:rsidRPr="00671D9E">
        <w:rPr>
          <w:shd w:val="clear" w:color="auto" w:fill="FFFFFF"/>
          <w:lang w:bidi="th-TH"/>
        </w:rPr>
        <w:t xml:space="preserve"> detain or confine the other person, or by any other means, depriving such person of liberty causing death, </w:t>
      </w:r>
      <w:r w:rsidR="00695E59" w:rsidRPr="00671D9E">
        <w:rPr>
          <w:lang w:bidi="th-TH"/>
        </w:rPr>
        <w:t>participating to</w:t>
      </w:r>
      <w:r w:rsidR="00695E59" w:rsidRPr="00671D9E">
        <w:rPr>
          <w:rFonts w:cs="Cordia New"/>
          <w:shd w:val="clear" w:color="auto" w:fill="FFFFFF"/>
          <w:cs/>
          <w:lang w:bidi="th-TH"/>
        </w:rPr>
        <w:t xml:space="preserve"> </w:t>
      </w:r>
      <w:r w:rsidR="00695E59" w:rsidRPr="00671D9E">
        <w:rPr>
          <w:shd w:val="clear" w:color="auto" w:fill="FFFFFF"/>
          <w:lang w:bidi="th-TH"/>
        </w:rPr>
        <w:t xml:space="preserve">compel a person to give or to agree to give him or the other person benefit in the manner of property by committing an act of violence or by a threat to commit violence against the life, body, liberty, reputation or property of the compelled person or a third person, so that the compelled person submits to such threat, </w:t>
      </w:r>
      <w:r w:rsidR="00695E59" w:rsidRPr="00671D9E">
        <w:rPr>
          <w:spacing w:val="-2"/>
          <w:shd w:val="clear" w:color="auto" w:fill="FFFFFF"/>
          <w:lang w:bidi="th-TH"/>
        </w:rPr>
        <w:t>participating to commit gang-robbery by carrying arms and</w:t>
      </w:r>
      <w:r w:rsidR="00695E59" w:rsidRPr="00671D9E">
        <w:rPr>
          <w:rFonts w:cs="Cordia New"/>
          <w:spacing w:val="-2"/>
          <w:shd w:val="clear" w:color="auto" w:fill="FFFFFF"/>
          <w:cs/>
          <w:lang w:bidi="th-TH"/>
        </w:rPr>
        <w:t xml:space="preserve"> </w:t>
      </w:r>
      <w:r w:rsidR="00695E59" w:rsidRPr="00671D9E">
        <w:rPr>
          <w:spacing w:val="-2"/>
          <w:shd w:val="clear" w:color="auto" w:fill="FFFFFF"/>
          <w:lang w:bidi="th-TH"/>
        </w:rPr>
        <w:t>using the conveyance causing death to another person, participating, by corruption, to</w:t>
      </w:r>
      <w:r w:rsidR="00695E59" w:rsidRPr="00671D9E">
        <w:rPr>
          <w:shd w:val="clear" w:color="auto" w:fill="FFFFFF"/>
          <w:lang w:bidi="th-TH"/>
        </w:rPr>
        <w:t xml:space="preserve"> conceal a case or alter by any means the corpse or the surrounding area where the corpse is found before the completion of a post-mortem inquest in the manner likely to lead to changing the post-mortem inquest or the result of the case, being the official and having the duty of purchasing, manufacturing, managing or keeping any thing and dishonestly participating in the misappropriation of property for his own or the other person, or dishonestly allowing the other </w:t>
      </w:r>
      <w:r w:rsidR="00695E59" w:rsidRPr="00671D9E">
        <w:rPr>
          <w:spacing w:val="-2"/>
          <w:shd w:val="clear" w:color="auto" w:fill="FFFFFF"/>
          <w:lang w:bidi="th-TH"/>
        </w:rPr>
        <w:t>person in the misappropriation of property, being the official and, by a wrongful exercise of one</w:t>
      </w:r>
      <w:r w:rsidR="00A56767">
        <w:rPr>
          <w:spacing w:val="-2"/>
          <w:shd w:val="clear" w:color="auto" w:fill="FFFFFF"/>
          <w:lang w:bidi="th-TH"/>
        </w:rPr>
        <w:t>’</w:t>
      </w:r>
      <w:r w:rsidR="00695E59" w:rsidRPr="00671D9E">
        <w:rPr>
          <w:spacing w:val="-2"/>
          <w:shd w:val="clear" w:color="auto" w:fill="FFFFFF"/>
          <w:lang w:bidi="th-TH"/>
        </w:rPr>
        <w:t>s functions, coercing or inducing any person to</w:t>
      </w:r>
      <w:r w:rsidR="00695E59" w:rsidRPr="00671D9E">
        <w:rPr>
          <w:shd w:val="clear" w:color="auto" w:fill="FFFFFF"/>
          <w:lang w:bidi="th-TH"/>
        </w:rPr>
        <w:t xml:space="preserve"> deliver or to procure the property or any other benefit for </w:t>
      </w:r>
      <w:r w:rsidR="00695E59" w:rsidRPr="00671D9E">
        <w:rPr>
          <w:shd w:val="clear" w:color="auto" w:fill="FFFFFF"/>
          <w:lang w:bidi="th-TH"/>
        </w:rPr>
        <w:lastRenderedPageBreak/>
        <w:t xml:space="preserve">oneself or other person in accordance with Criminal Code section 83, 147, 148, 289 (4) and (7), 309, 310, 337, 340, 340 ter and Criminal Procedure Code section 150 bis. Even though the public prosecutor is of the opinion that the evidence to incriminate the alleged offenders is insufficient, </w:t>
      </w:r>
      <w:r w:rsidR="00695E59" w:rsidRPr="00671D9E">
        <w:rPr>
          <w:rFonts w:cs="Angsana New"/>
          <w:szCs w:val="35"/>
          <w:shd w:val="clear" w:color="auto" w:fill="FFFFFF"/>
          <w:lang w:bidi="th-TH"/>
        </w:rPr>
        <w:t xml:space="preserve">the </w:t>
      </w:r>
      <w:r w:rsidR="00695E59" w:rsidRPr="00671D9E">
        <w:rPr>
          <w:shd w:val="clear" w:color="auto" w:fill="FFFFFF"/>
          <w:lang w:bidi="th-TH"/>
        </w:rPr>
        <w:t>DSI has a contradictory opinion and, on 11 August 2020, subsequent to the examination of relevant evidence in particular forensic evidence and experts</w:t>
      </w:r>
      <w:r w:rsidR="00A56767">
        <w:rPr>
          <w:shd w:val="clear" w:color="auto" w:fill="FFFFFF"/>
          <w:lang w:bidi="th-TH"/>
        </w:rPr>
        <w:t>’</w:t>
      </w:r>
      <w:r w:rsidR="00695E59" w:rsidRPr="00671D9E">
        <w:rPr>
          <w:shd w:val="clear" w:color="auto" w:fill="FFFFFF"/>
          <w:lang w:bidi="th-TH"/>
        </w:rPr>
        <w:t xml:space="preserve"> opinions, the DSI concluded that it disagreed with the prosecutor</w:t>
      </w:r>
      <w:r w:rsidR="00A56767">
        <w:rPr>
          <w:shd w:val="clear" w:color="auto" w:fill="FFFFFF"/>
          <w:lang w:bidi="th-TH"/>
        </w:rPr>
        <w:t>’</w:t>
      </w:r>
      <w:r w:rsidR="00695E59" w:rsidRPr="00671D9E">
        <w:rPr>
          <w:shd w:val="clear" w:color="auto" w:fill="FFFFFF"/>
          <w:lang w:bidi="th-TH"/>
        </w:rPr>
        <w:t>s non-prosecution order and submitted its dissenting opinion to the Attorney General for further deliberation;</w:t>
      </w:r>
    </w:p>
    <w:p w14:paraId="178D17ED" w14:textId="2C42573F" w:rsidR="00695E59" w:rsidRPr="00AB62C4" w:rsidRDefault="00AB62C4" w:rsidP="00AB62C4">
      <w:pPr>
        <w:pStyle w:val="SingleTxtG"/>
      </w:pPr>
      <w:r>
        <w:tab/>
      </w:r>
      <w:r w:rsidR="002B0385" w:rsidRPr="00AB62C4">
        <w:t>(b)</w:t>
      </w:r>
      <w:r w:rsidR="002B0385" w:rsidRPr="00AB62C4">
        <w:tab/>
      </w:r>
      <w:r w:rsidR="00695E59" w:rsidRPr="00AB62C4">
        <w:t>Mr. Somchai Neelaphaijit</w:t>
      </w:r>
      <w:r w:rsidR="00A56767" w:rsidRPr="00AB62C4">
        <w:t>’</w:t>
      </w:r>
      <w:r w:rsidR="00695E59" w:rsidRPr="00AB62C4">
        <w:t>s case: the Supreme Court, in its decision No. 10915/2558 (2015), acquitted all defendants due to a lack of evidence. However, the DSI continued its investigations between 12 January 2017 and 20 June 2017, in order to find the suspect. Even though the case was suspended since there was no further evidence to indicate who the suspect was, the DSI is still searching for Mr. Neelaphaijit in accordance with the principles laid down by the ICPPED. At the same time, the DSI has provided protection for Mr. Neelaphaijit</w:t>
      </w:r>
      <w:r w:rsidR="00A56767" w:rsidRPr="00AB62C4">
        <w:t>’</w:t>
      </w:r>
      <w:r w:rsidR="00695E59" w:rsidRPr="00AB62C4">
        <w:t>s wife for over a decade;</w:t>
      </w:r>
    </w:p>
    <w:p w14:paraId="1ADB9C05" w14:textId="0819C6C9" w:rsidR="00695E59" w:rsidRPr="00AB62C4" w:rsidRDefault="00AB62C4" w:rsidP="00AB62C4">
      <w:pPr>
        <w:pStyle w:val="SingleTxtG"/>
      </w:pPr>
      <w:r>
        <w:tab/>
      </w:r>
      <w:r w:rsidR="002B0385" w:rsidRPr="00AB62C4">
        <w:t>(c)</w:t>
      </w:r>
      <w:r w:rsidR="002B0385" w:rsidRPr="00AB62C4">
        <w:tab/>
      </w:r>
      <w:r w:rsidR="00695E59" w:rsidRPr="00AB62C4">
        <w:t>Mr. Den Khamlae</w:t>
      </w:r>
      <w:r w:rsidR="00A56767" w:rsidRPr="00AB62C4">
        <w:t>’</w:t>
      </w:r>
      <w:r w:rsidR="00695E59" w:rsidRPr="00AB62C4">
        <w:t>s case: On 31 March 2019, the case of Mr. Den Khamlae (DSI Case No.71/2561 (2018)) was suspended since the Sub-committee to Monitor and Investigate Cases of Torture and Enforced Disappearance rendered a decision that Mr. Khamlae was dead according to the forensic evidence available. However, it was not possible to identify the cause of death from his bones, which were found.</w:t>
      </w:r>
    </w:p>
    <w:p w14:paraId="75FD29C7" w14:textId="0C5DB2EB" w:rsidR="00695E59" w:rsidRPr="00EE258F" w:rsidRDefault="00695E59" w:rsidP="00EE258F">
      <w:pPr>
        <w:pStyle w:val="H23G"/>
        <w:rPr>
          <w:rFonts w:eastAsia="ZWAdobeF"/>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8 of the list of issues</w:t>
      </w:r>
    </w:p>
    <w:p w14:paraId="0C38BFD1" w14:textId="079F05FD" w:rsidR="00695E59" w:rsidRPr="00671D9E" w:rsidRDefault="002B0385" w:rsidP="002B0385">
      <w:pPr>
        <w:pStyle w:val="SingleTxtG"/>
        <w:suppressAutoHyphens w:val="0"/>
        <w:rPr>
          <w:lang w:bidi="th-TH"/>
        </w:rPr>
      </w:pPr>
      <w:r w:rsidRPr="00671D9E">
        <w:rPr>
          <w:lang w:bidi="th-TH"/>
        </w:rPr>
        <w:t>32.</w:t>
      </w:r>
      <w:r w:rsidRPr="00671D9E">
        <w:rPr>
          <w:lang w:bidi="th-TH"/>
        </w:rPr>
        <w:tab/>
      </w:r>
      <w:r w:rsidR="00695E59" w:rsidRPr="00671D9E">
        <w:rPr>
          <w:shd w:val="clear" w:color="auto" w:fill="FFFFFF"/>
          <w:lang w:bidi="th-TH"/>
        </w:rPr>
        <w:t>In 2017,</w:t>
      </w:r>
      <w:r w:rsidR="00695E59" w:rsidRPr="00671D9E">
        <w:rPr>
          <w:rFonts w:cs="Angsana New"/>
          <w:shd w:val="clear" w:color="auto" w:fill="FFFFFF"/>
          <w:cs/>
          <w:lang w:bidi="th-TH"/>
        </w:rPr>
        <w:t xml:space="preserve"> </w:t>
      </w:r>
      <w:r w:rsidR="00695E59" w:rsidRPr="00671D9E">
        <w:rPr>
          <w:shd w:val="clear" w:color="auto" w:fill="FFFFFF"/>
          <w:lang w:bidi="th-TH"/>
        </w:rPr>
        <w:t xml:space="preserve">Thailand enacted the Organic Act on the National Human Rights Commission to strengthen the </w:t>
      </w:r>
      <w:r w:rsidR="00695E59" w:rsidRPr="00671D9E">
        <w:rPr>
          <w:lang w:bidi="th-TH"/>
        </w:rPr>
        <w:t>NHRC</w:t>
      </w:r>
      <w:r w:rsidR="00695E59" w:rsidRPr="00671D9E">
        <w:rPr>
          <w:shd w:val="clear" w:color="auto" w:fill="FFFFFF"/>
          <w:lang w:bidi="th-TH"/>
        </w:rPr>
        <w:t xml:space="preserve"> in</w:t>
      </w:r>
      <w:r w:rsidR="00695E59" w:rsidRPr="00671D9E">
        <w:rPr>
          <w:rFonts w:cs="Angsana New"/>
          <w:shd w:val="clear" w:color="auto" w:fill="FFFFFF"/>
          <w:cs/>
          <w:lang w:bidi="th-TH"/>
        </w:rPr>
        <w:t xml:space="preserve"> </w:t>
      </w:r>
      <w:r w:rsidR="00695E59" w:rsidRPr="00671D9E">
        <w:rPr>
          <w:shd w:val="clear" w:color="auto" w:fill="FFFFFF"/>
          <w:lang w:bidi="th-TH"/>
        </w:rPr>
        <w:t xml:space="preserve">monitoring human rights violations and promoting human rights in the country in accordance with </w:t>
      </w:r>
      <w:r w:rsidR="00695E59" w:rsidRPr="00671D9E">
        <w:rPr>
          <w:spacing w:val="-4"/>
          <w:shd w:val="clear" w:color="auto" w:fill="FFFFFF"/>
          <w:lang w:bidi="th-TH"/>
        </w:rPr>
        <w:t xml:space="preserve">the </w:t>
      </w:r>
      <w:r w:rsidR="00A56767">
        <w:rPr>
          <w:spacing w:val="-4"/>
          <w:shd w:val="clear" w:color="auto" w:fill="FFFFFF"/>
          <w:lang w:bidi="th-TH"/>
        </w:rPr>
        <w:t>‘</w:t>
      </w:r>
      <w:r w:rsidR="00695E59" w:rsidRPr="00671D9E">
        <w:rPr>
          <w:spacing w:val="-4"/>
          <w:shd w:val="clear" w:color="auto" w:fill="FFFFFF"/>
          <w:lang w:bidi="th-TH"/>
        </w:rPr>
        <w:t xml:space="preserve">Principles relating to the Status of </w:t>
      </w:r>
      <w:r w:rsidR="00695E59" w:rsidRPr="00671D9E">
        <w:rPr>
          <w:spacing w:val="-4"/>
          <w:lang w:bidi="th-TH"/>
        </w:rPr>
        <w:t>National</w:t>
      </w:r>
      <w:r w:rsidR="00695E59" w:rsidRPr="00671D9E">
        <w:rPr>
          <w:spacing w:val="-4"/>
          <w:shd w:val="clear" w:color="auto" w:fill="FFFFFF"/>
          <w:lang w:bidi="th-TH"/>
        </w:rPr>
        <w:t xml:space="preserve"> Institutions</w:t>
      </w:r>
      <w:r w:rsidR="00A56767">
        <w:rPr>
          <w:spacing w:val="-4"/>
          <w:shd w:val="clear" w:color="auto" w:fill="FFFFFF"/>
          <w:lang w:bidi="th-TH"/>
        </w:rPr>
        <w:t>’</w:t>
      </w:r>
      <w:r w:rsidR="00695E59" w:rsidRPr="00671D9E">
        <w:rPr>
          <w:spacing w:val="-4"/>
          <w:shd w:val="clear" w:color="auto" w:fill="FFFFFF"/>
          <w:lang w:bidi="th-TH"/>
        </w:rPr>
        <w:t xml:space="preserve"> (the Paris Principles).</w:t>
      </w:r>
      <w:r w:rsidR="00695E59" w:rsidRPr="00671D9E">
        <w:rPr>
          <w:shd w:val="clear" w:color="auto" w:fill="FFFFFF"/>
          <w:lang w:bidi="th-TH"/>
        </w:rPr>
        <w:t xml:space="preserve"> The Organic Act addresses a number of drawbacks of the previous Act, particularly on issues of composition, independence and pluralism of the NHRC. The Act gives the NHRC the power to investigate and request or order government officials or any person to present information, clarify and provide documentation and evidence (Section 33-38).</w:t>
      </w:r>
      <w:r w:rsidR="00695E59" w:rsidRPr="00671D9E">
        <w:rPr>
          <w:rFonts w:cs="Cordia New"/>
          <w:shd w:val="clear" w:color="auto" w:fill="FFFFFF"/>
          <w:cs/>
          <w:lang w:bidi="th-TH"/>
        </w:rPr>
        <w:t xml:space="preserve"> </w:t>
      </w:r>
      <w:r w:rsidR="00695E59" w:rsidRPr="00671D9E">
        <w:rPr>
          <w:rFonts w:cs="Cordia New"/>
          <w:shd w:val="clear" w:color="auto" w:fill="FFFFFF"/>
          <w:lang w:bidi="th-TH"/>
        </w:rPr>
        <w:t xml:space="preserve">The </w:t>
      </w:r>
      <w:r w:rsidR="00695E59" w:rsidRPr="00671D9E">
        <w:rPr>
          <w:shd w:val="clear" w:color="auto" w:fill="FFFFFF"/>
          <w:lang w:bidi="th-TH"/>
        </w:rPr>
        <w:t>NHRC can also submit recommendations related to human rights issues or problems to the Cabinet for further action. Those who refuse to cooperate may face criminal sanctions and penalties up to 6-months imprisonment, a fine of up to 10,000 baht (about 310 USD), or both (Section 59).</w:t>
      </w:r>
    </w:p>
    <w:p w14:paraId="7823669A" w14:textId="5553B6F7" w:rsidR="00695E59" w:rsidRPr="00671D9E" w:rsidRDefault="002B0385" w:rsidP="002B0385">
      <w:pPr>
        <w:pStyle w:val="SingleTxtG"/>
        <w:suppressAutoHyphens w:val="0"/>
        <w:rPr>
          <w:strike/>
          <w:lang w:bidi="th-TH"/>
        </w:rPr>
      </w:pPr>
      <w:r w:rsidRPr="00671D9E">
        <w:rPr>
          <w:lang w:bidi="th-TH"/>
        </w:rPr>
        <w:t>33.</w:t>
      </w:r>
      <w:r w:rsidRPr="00671D9E">
        <w:rPr>
          <w:lang w:bidi="th-TH"/>
        </w:rPr>
        <w:tab/>
      </w:r>
      <w:r w:rsidR="00695E59" w:rsidRPr="00671D9E">
        <w:rPr>
          <w:shd w:val="clear" w:color="auto" w:fill="FFFFFF"/>
          <w:lang w:bidi="th-TH"/>
        </w:rPr>
        <w:t xml:space="preserve">To ensure the independence of the NHRC, the Organic Act </w:t>
      </w:r>
      <w:r w:rsidR="00695E59" w:rsidRPr="00671D9E">
        <w:rPr>
          <w:lang w:bidi="th-TH"/>
        </w:rPr>
        <w:t>provides that the Office of the Commission is directly under the Commission and has the power to issue regulations concerning administration, personnel and finance. The Office can submit budgetary applications directly to the Parliament without being subject to scrutiny by any government agency</w:t>
      </w:r>
      <w:r w:rsidR="00695E59" w:rsidRPr="00671D9E">
        <w:rPr>
          <w:rFonts w:cs="Angsana New"/>
          <w:szCs w:val="35"/>
          <w:lang w:bidi="th-TH"/>
        </w:rPr>
        <w:t>.</w:t>
      </w:r>
    </w:p>
    <w:p w14:paraId="01240C33" w14:textId="6A391A48" w:rsidR="00695E59" w:rsidRPr="00671D9E" w:rsidRDefault="002B0385" w:rsidP="002B0385">
      <w:pPr>
        <w:pStyle w:val="SingleTxtG"/>
        <w:suppressAutoHyphens w:val="0"/>
        <w:rPr>
          <w:lang w:bidi="th-TH"/>
        </w:rPr>
      </w:pPr>
      <w:r w:rsidRPr="00671D9E">
        <w:rPr>
          <w:lang w:bidi="th-TH"/>
        </w:rPr>
        <w:t>34.</w:t>
      </w:r>
      <w:r w:rsidRPr="00671D9E">
        <w:rPr>
          <w:lang w:bidi="th-TH"/>
        </w:rPr>
        <w:tab/>
      </w:r>
      <w:r w:rsidR="00695E59" w:rsidRPr="00671D9E">
        <w:rPr>
          <w:shd w:val="clear" w:color="auto" w:fill="FFFFFF"/>
          <w:lang w:bidi="th-TH"/>
        </w:rPr>
        <w:t xml:space="preserve">The Organic Act authorizes the Commission, to the extent necessary, to enter into any public </w:t>
      </w:r>
      <w:r w:rsidR="00695E59" w:rsidRPr="00671D9E">
        <w:rPr>
          <w:lang w:bidi="th-TH"/>
        </w:rPr>
        <w:t>dwelling</w:t>
      </w:r>
      <w:r w:rsidR="00695E59" w:rsidRPr="00671D9E">
        <w:rPr>
          <w:shd w:val="clear" w:color="auto" w:fill="FFFFFF"/>
          <w:lang w:bidi="th-TH"/>
        </w:rPr>
        <w:t xml:space="preserve"> or other premises including in places of detention to monitor or collect evidence concerning cases</w:t>
      </w:r>
      <w:r w:rsidR="00695E59" w:rsidRPr="00671D9E">
        <w:rPr>
          <w:rFonts w:cs="Cordia New"/>
          <w:shd w:val="clear" w:color="auto" w:fill="FFFFFF"/>
          <w:lang w:bidi="th-TH"/>
        </w:rPr>
        <w:t>.</w:t>
      </w:r>
      <w:r w:rsidR="00695E59" w:rsidRPr="00671D9E">
        <w:rPr>
          <w:shd w:val="clear" w:color="auto" w:fill="FFFFFF"/>
          <w:lang w:bidi="th-TH"/>
        </w:rPr>
        <w:t xml:space="preserve"> If it is a private house, a court warrant must be obtained before the Commission </w:t>
      </w:r>
      <w:r w:rsidR="00695E59" w:rsidRPr="00671D9E">
        <w:rPr>
          <w:lang w:bidi="th-TH"/>
        </w:rPr>
        <w:t>can</w:t>
      </w:r>
      <w:r w:rsidR="00695E59" w:rsidRPr="00671D9E">
        <w:rPr>
          <w:shd w:val="clear" w:color="auto" w:fill="FFFFFF"/>
          <w:lang w:bidi="th-TH"/>
        </w:rPr>
        <w:t xml:space="preserve"> conduct the search.</w:t>
      </w:r>
    </w:p>
    <w:p w14:paraId="5EF4A384" w14:textId="2BB23BFC" w:rsidR="00695E59" w:rsidRPr="00671D9E" w:rsidRDefault="002B0385" w:rsidP="002B0385">
      <w:pPr>
        <w:pStyle w:val="SingleTxtG"/>
        <w:suppressAutoHyphens w:val="0"/>
        <w:rPr>
          <w:rFonts w:eastAsia="ZWAdobeF"/>
          <w:lang w:bidi="th-TH"/>
        </w:rPr>
      </w:pPr>
      <w:r w:rsidRPr="00671D9E">
        <w:rPr>
          <w:rFonts w:eastAsia="ZWAdobeF"/>
          <w:lang w:bidi="th-TH"/>
        </w:rPr>
        <w:t>35.</w:t>
      </w:r>
      <w:r w:rsidRPr="00671D9E">
        <w:rPr>
          <w:rFonts w:eastAsia="ZWAdobeF"/>
          <w:lang w:bidi="th-TH"/>
        </w:rPr>
        <w:tab/>
      </w:r>
      <w:r w:rsidR="00695E59" w:rsidRPr="00671D9E">
        <w:rPr>
          <w:rFonts w:eastAsia="ZWAdobeF"/>
          <w:lang w:bidi="th-TH"/>
        </w:rPr>
        <w:t>S</w:t>
      </w:r>
      <w:r w:rsidR="00695E59" w:rsidRPr="00671D9E">
        <w:rPr>
          <w:lang w:bidi="th-TH"/>
        </w:rPr>
        <w:t xml:space="preserve">ection </w:t>
      </w:r>
      <w:r w:rsidR="00695E59" w:rsidRPr="00671D9E">
        <w:rPr>
          <w:cs/>
          <w:lang w:bidi="th-TH"/>
        </w:rPr>
        <w:t>11</w:t>
      </w:r>
      <w:r w:rsidR="00695E59" w:rsidRPr="00671D9E">
        <w:rPr>
          <w:lang w:bidi="th-TH"/>
        </w:rPr>
        <w:t xml:space="preserve"> of the </w:t>
      </w:r>
      <w:r w:rsidR="00695E59" w:rsidRPr="00671D9E">
        <w:rPr>
          <w:rFonts w:eastAsia="ZWAdobeF"/>
          <w:lang w:bidi="th-TH"/>
        </w:rPr>
        <w:t>Organic Act</w:t>
      </w:r>
      <w:r w:rsidR="00695E59" w:rsidRPr="00671D9E">
        <w:rPr>
          <w:lang w:bidi="th-TH"/>
        </w:rPr>
        <w:t xml:space="preserve"> requires diversity in the selection process of Commission members. The Selection Committee comprises (1)</w:t>
      </w:r>
      <w:r w:rsidR="00695E59" w:rsidRPr="00671D9E">
        <w:rPr>
          <w:rFonts w:eastAsia="Yu Mincho Demibold"/>
          <w:lang w:bidi="th-TH"/>
        </w:rPr>
        <w:t xml:space="preserve"> </w:t>
      </w:r>
      <w:r w:rsidR="00695E59" w:rsidRPr="00671D9E">
        <w:rPr>
          <w:lang w:bidi="th-TH"/>
        </w:rPr>
        <w:t xml:space="preserve">the President of the Supreme Court, (2) the House Speaker, (3) the Leader of the Opposition, (4) the President of the Supreme Administrative Court, (5) three representatives of private organisations in the human rights field, (6) a representative </w:t>
      </w:r>
      <w:r w:rsidR="00695E59" w:rsidRPr="00671D9E">
        <w:rPr>
          <w:shd w:val="clear" w:color="auto" w:fill="FFFFFF"/>
          <w:lang w:bidi="th-TH"/>
        </w:rPr>
        <w:t>from</w:t>
      </w:r>
      <w:r w:rsidR="00695E59" w:rsidRPr="00671D9E">
        <w:rPr>
          <w:lang w:bidi="th-TH"/>
        </w:rPr>
        <w:t xml:space="preserve"> the Lawyers</w:t>
      </w:r>
      <w:r w:rsidR="00A56767">
        <w:rPr>
          <w:lang w:bidi="th-TH"/>
        </w:rPr>
        <w:t>’</w:t>
      </w:r>
      <w:r w:rsidR="00695E59" w:rsidRPr="00671D9E">
        <w:rPr>
          <w:lang w:bidi="th-TH"/>
        </w:rPr>
        <w:t xml:space="preserve"> Council, (7) a representative from the Medical Council or a Public Health Council, (8) a representative from the Media Council and (9) an academic or a former academic who has at least 10-years experience in the field of human rights research. The selection must take into account the proportion between genders and the plurality of society.</w:t>
      </w:r>
    </w:p>
    <w:p w14:paraId="6A31F87C" w14:textId="77777777" w:rsidR="00695E59" w:rsidRPr="00EE258F" w:rsidRDefault="00695E59" w:rsidP="00EE258F">
      <w:pPr>
        <w:pStyle w:val="H23G"/>
        <w:rPr>
          <w:rFonts w:eastAsia="ZWAdobeF"/>
        </w:rPr>
      </w:pPr>
      <w:r w:rsidRPr="00671D9E">
        <w:tab/>
      </w:r>
      <w:r w:rsidRPr="00671D9E">
        <w:tab/>
        <w:t>Reply to paragraph 9 of the list of issues</w:t>
      </w:r>
    </w:p>
    <w:p w14:paraId="1A16AA2E" w14:textId="620CFEA9" w:rsidR="00695E59" w:rsidRPr="00671D9E" w:rsidRDefault="002B0385" w:rsidP="002B0385">
      <w:pPr>
        <w:pStyle w:val="SingleTxtG"/>
        <w:suppressAutoHyphens w:val="0"/>
        <w:rPr>
          <w:lang w:bidi="th-TH"/>
        </w:rPr>
      </w:pPr>
      <w:r w:rsidRPr="00671D9E">
        <w:rPr>
          <w:lang w:bidi="th-TH"/>
        </w:rPr>
        <w:t>36.</w:t>
      </w:r>
      <w:r w:rsidRPr="00671D9E">
        <w:rPr>
          <w:lang w:bidi="th-TH"/>
        </w:rPr>
        <w:tab/>
      </w:r>
      <w:r w:rsidR="00695E59" w:rsidRPr="00671D9E">
        <w:rPr>
          <w:lang w:bidi="th-TH"/>
        </w:rPr>
        <w:t>For</w:t>
      </w:r>
      <w:r w:rsidR="00695E59" w:rsidRPr="00671D9E">
        <w:rPr>
          <w:rFonts w:cs="Leelawadee UI"/>
          <w:szCs w:val="35"/>
          <w:lang w:bidi="th-TH"/>
        </w:rPr>
        <w:t xml:space="preserve"> </w:t>
      </w:r>
      <w:r w:rsidR="00695E59" w:rsidRPr="00671D9E">
        <w:rPr>
          <w:lang w:bidi="th-TH"/>
        </w:rPr>
        <w:t xml:space="preserve">statistical data on domestic violence complaints received by </w:t>
      </w:r>
      <w:r w:rsidR="00695E59" w:rsidRPr="00671D9E">
        <w:rPr>
          <w:rFonts w:cs="Angsana New"/>
          <w:szCs w:val="35"/>
          <w:lang w:bidi="th-TH"/>
        </w:rPr>
        <w:t xml:space="preserve">the </w:t>
      </w:r>
      <w:r w:rsidR="00695E59" w:rsidRPr="00671D9E">
        <w:rPr>
          <w:lang w:bidi="th-TH"/>
        </w:rPr>
        <w:t>MSDHS</w:t>
      </w:r>
      <w:r w:rsidR="00695E59" w:rsidRPr="00671D9E">
        <w:rPr>
          <w:rFonts w:cs="Angsana New"/>
          <w:cs/>
          <w:lang w:bidi="th-TH"/>
        </w:rPr>
        <w:t xml:space="preserve"> </w:t>
      </w:r>
      <w:r w:rsidR="00695E59" w:rsidRPr="00671D9E">
        <w:rPr>
          <w:lang w:bidi="th-TH"/>
        </w:rPr>
        <w:t>during 2014</w:t>
      </w:r>
      <w:r w:rsidR="00695E59" w:rsidRPr="00671D9E">
        <w:rPr>
          <w:cs/>
          <w:lang w:bidi="th-TH"/>
        </w:rPr>
        <w:t>-</w:t>
      </w:r>
      <w:r w:rsidR="00695E59" w:rsidRPr="00671D9E">
        <w:rPr>
          <w:lang w:bidi="th-TH"/>
        </w:rPr>
        <w:t>2019, please see Table 2 attached to this report.</w:t>
      </w:r>
    </w:p>
    <w:p w14:paraId="728B6739" w14:textId="0AE71DF6" w:rsidR="00695E59" w:rsidRPr="00251669" w:rsidRDefault="002B0385" w:rsidP="002B0385">
      <w:pPr>
        <w:pStyle w:val="SingleTxtG"/>
        <w:suppressAutoHyphens w:val="0"/>
        <w:rPr>
          <w:rFonts w:cs="Cordia New"/>
          <w:lang w:bidi="th-TH"/>
        </w:rPr>
      </w:pPr>
      <w:r w:rsidRPr="00671D9E">
        <w:rPr>
          <w:lang w:bidi="th-TH"/>
        </w:rPr>
        <w:lastRenderedPageBreak/>
        <w:t>37.</w:t>
      </w:r>
      <w:r w:rsidRPr="00671D9E">
        <w:rPr>
          <w:lang w:bidi="th-TH"/>
        </w:rPr>
        <w:tab/>
      </w:r>
      <w:r w:rsidR="00695E59" w:rsidRPr="00671D9E">
        <w:rPr>
          <w:lang w:bidi="th-TH"/>
        </w:rPr>
        <w:t>In 2017, 2018 and 2019, the number of domestic violence cases prosecuted by the Office of the Attorney General was 151, 150 and 145 respectively</w:t>
      </w:r>
      <w:r w:rsidR="00695E59" w:rsidRPr="00671D9E">
        <w:rPr>
          <w:cs/>
          <w:lang w:bidi="th-TH"/>
        </w:rPr>
        <w:t>.</w:t>
      </w:r>
    </w:p>
    <w:p w14:paraId="6903DE9B" w14:textId="3F97F9A2" w:rsidR="00695E59" w:rsidRPr="00671D9E" w:rsidRDefault="002B0385" w:rsidP="002B0385">
      <w:pPr>
        <w:pStyle w:val="SingleTxtG"/>
        <w:suppressAutoHyphens w:val="0"/>
        <w:rPr>
          <w:rFonts w:eastAsia="ZWAdobeF"/>
          <w:lang w:bidi="th-TH"/>
        </w:rPr>
      </w:pPr>
      <w:r w:rsidRPr="00671D9E">
        <w:rPr>
          <w:rFonts w:eastAsia="ZWAdobeF"/>
          <w:lang w:bidi="th-TH"/>
        </w:rPr>
        <w:t>38.</w:t>
      </w:r>
      <w:r w:rsidRPr="00671D9E">
        <w:rPr>
          <w:rFonts w:eastAsia="ZWAdobeF"/>
          <w:lang w:bidi="th-TH"/>
        </w:rPr>
        <w:tab/>
      </w:r>
      <w:r w:rsidR="00695E59" w:rsidRPr="00671D9E">
        <w:rPr>
          <w:lang w:bidi="th-TH"/>
        </w:rPr>
        <w:t>The Act on the Promotion of the Development and Protection of the Family Institution B.E. 2562 (2019),</w:t>
      </w:r>
      <w:r w:rsidR="00695E59" w:rsidRPr="00671D9E">
        <w:rPr>
          <w:rFonts w:cs="Angsana New"/>
          <w:szCs w:val="35"/>
          <w:lang w:bidi="th-TH"/>
        </w:rPr>
        <w:t xml:space="preserve"> which</w:t>
      </w:r>
      <w:r w:rsidR="00695E59" w:rsidRPr="00671D9E">
        <w:rPr>
          <w:lang w:bidi="th-TH"/>
        </w:rPr>
        <w:t xml:space="preserve"> has replaced the Domestic Violence Victims Protection Act B.E. 2550 (2007), includes </w:t>
      </w:r>
      <w:r w:rsidR="00695E59" w:rsidRPr="00671D9E">
        <w:rPr>
          <w:rFonts w:eastAsia="ZWAdobeF"/>
          <w:lang w:bidi="th-TH"/>
        </w:rPr>
        <w:t>some key changes as follows:</w:t>
      </w:r>
    </w:p>
    <w:p w14:paraId="547FC589" w14:textId="5F75296D" w:rsidR="00695E59" w:rsidRPr="00577BAA" w:rsidRDefault="00577BAA" w:rsidP="00577BAA">
      <w:pPr>
        <w:pStyle w:val="SingleTxtG"/>
      </w:pPr>
      <w:r>
        <w:tab/>
      </w:r>
      <w:r w:rsidR="002B0385" w:rsidRPr="00577BAA">
        <w:t>(a)</w:t>
      </w:r>
      <w:r w:rsidR="002B0385" w:rsidRPr="00577BAA">
        <w:tab/>
      </w:r>
      <w:r w:rsidR="00695E59" w:rsidRPr="00577BAA">
        <w:t>The Act revokes section 4 of the Domestic Violence Victims Protection Act. As a consequence, an act of physical assault pursuant to section 295 of the Penal Code will no longer automatically be a compoundable offence. The offence can be settled only when the perpetrator has been prosecuted and has complied with all of the court</w:t>
      </w:r>
      <w:r w:rsidR="00A56767" w:rsidRPr="00577BAA">
        <w:t>’</w:t>
      </w:r>
      <w:r w:rsidR="00695E59" w:rsidRPr="00577BAA">
        <w:t>s orders;</w:t>
      </w:r>
    </w:p>
    <w:p w14:paraId="44CA01D2" w14:textId="2CC32A3E" w:rsidR="00695E59" w:rsidRPr="00577BAA" w:rsidRDefault="00577BAA" w:rsidP="00577BAA">
      <w:pPr>
        <w:pStyle w:val="SingleTxtG"/>
      </w:pPr>
      <w:r>
        <w:tab/>
      </w:r>
      <w:r w:rsidR="002B0385" w:rsidRPr="00577BAA">
        <w:t>(b)</w:t>
      </w:r>
      <w:r w:rsidR="002B0385" w:rsidRPr="00577BAA">
        <w:tab/>
      </w:r>
      <w:r w:rsidR="00695E59" w:rsidRPr="00577BAA">
        <w:t>The scope of criminal offences shall be extended to include offences</w:t>
      </w:r>
      <w:r w:rsidR="00695E59" w:rsidRPr="00577BAA">
        <w:rPr>
          <w:cs/>
        </w:rPr>
        <w:t xml:space="preserve"> </w:t>
      </w:r>
      <w:r w:rsidR="00695E59" w:rsidRPr="00577BAA">
        <w:t>against life, body,</w:t>
      </w:r>
      <w:r w:rsidR="00695E59" w:rsidRPr="00577BAA">
        <w:rPr>
          <w:cs/>
        </w:rPr>
        <w:t xml:space="preserve"> </w:t>
      </w:r>
      <w:r w:rsidR="00695E59" w:rsidRPr="00577BAA">
        <w:t>mental health, reputation and liberty;</w:t>
      </w:r>
    </w:p>
    <w:p w14:paraId="14B4A218" w14:textId="563858B9" w:rsidR="00695E59" w:rsidRPr="00577BAA" w:rsidRDefault="00577BAA" w:rsidP="00577BAA">
      <w:pPr>
        <w:pStyle w:val="SingleTxtG"/>
      </w:pPr>
      <w:r>
        <w:tab/>
      </w:r>
      <w:r w:rsidR="002B0385" w:rsidRPr="00577BAA">
        <w:t>(c)</w:t>
      </w:r>
      <w:r w:rsidR="002B0385" w:rsidRPr="00577BAA">
        <w:tab/>
      </w:r>
      <w:r w:rsidR="00695E59" w:rsidRPr="00577BAA">
        <w:t>The definition of family members is extended to include those related by immediate blood relationship, marriage, de facto relationships, ex-spouses, adopted child, and those who depend on and live with each other in the same household.</w:t>
      </w:r>
    </w:p>
    <w:p w14:paraId="70BB2D29" w14:textId="01A586EA" w:rsidR="00695E59" w:rsidRPr="00EE258F" w:rsidRDefault="00695E59" w:rsidP="00EE258F">
      <w:pPr>
        <w:pStyle w:val="H23G"/>
        <w:rPr>
          <w:rFonts w:eastAsia="ZWAdobeF"/>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10 of the list of issues</w:t>
      </w:r>
    </w:p>
    <w:p w14:paraId="57C071CF" w14:textId="6C559C2A" w:rsidR="00695E59" w:rsidRPr="00671D9E" w:rsidRDefault="002B0385" w:rsidP="002B0385">
      <w:pPr>
        <w:pStyle w:val="SingleTxtG"/>
        <w:suppressAutoHyphens w:val="0"/>
        <w:rPr>
          <w:lang w:bidi="th-TH"/>
        </w:rPr>
      </w:pPr>
      <w:r w:rsidRPr="00671D9E">
        <w:rPr>
          <w:lang w:bidi="th-TH"/>
        </w:rPr>
        <w:t>39.</w:t>
      </w:r>
      <w:r w:rsidRPr="00671D9E">
        <w:rPr>
          <w:lang w:bidi="th-TH"/>
        </w:rPr>
        <w:tab/>
      </w:r>
      <w:r w:rsidR="00695E59" w:rsidRPr="00671D9E">
        <w:rPr>
          <w:lang w:bidi="th-TH"/>
        </w:rPr>
        <w:t>For progress concerning human trafficking, including the introduction of new legal measures and amendments of several pieces of legislation made during the reporting period, please refer to CERD/C/THA/4-8, paragraphs 73</w:t>
      </w:r>
      <w:r w:rsidR="00991AB7">
        <w:rPr>
          <w:lang w:bidi="th-TH"/>
        </w:rPr>
        <w:t>–</w:t>
      </w:r>
      <w:r w:rsidR="00695E59" w:rsidRPr="00671D9E">
        <w:rPr>
          <w:lang w:bidi="th-TH"/>
        </w:rPr>
        <w:t>90.</w:t>
      </w:r>
    </w:p>
    <w:p w14:paraId="0CDAEC0B" w14:textId="6E6BF4D7" w:rsidR="00695E59" w:rsidRPr="00671D9E" w:rsidRDefault="002B0385" w:rsidP="002B0385">
      <w:pPr>
        <w:pStyle w:val="SingleTxtG"/>
        <w:suppressAutoHyphens w:val="0"/>
        <w:rPr>
          <w:spacing w:val="-6"/>
          <w:lang w:bidi="th-TH"/>
        </w:rPr>
      </w:pPr>
      <w:r w:rsidRPr="00671D9E">
        <w:rPr>
          <w:spacing w:val="-6"/>
          <w:lang w:bidi="th-TH"/>
        </w:rPr>
        <w:t>40.</w:t>
      </w:r>
      <w:r w:rsidRPr="00671D9E">
        <w:rPr>
          <w:spacing w:val="-6"/>
          <w:lang w:bidi="th-TH"/>
        </w:rPr>
        <w:tab/>
      </w:r>
      <w:r w:rsidR="00695E59" w:rsidRPr="00671D9E">
        <w:rPr>
          <w:lang w:bidi="th-TH"/>
        </w:rPr>
        <w:t>The number of complaints, prosecutions, convictions and the prison sentences imposed in cases of human trafficking between 2015 and 2019 is shown in Tables 3-9 attached to this report.</w:t>
      </w:r>
    </w:p>
    <w:p w14:paraId="459E0D4E" w14:textId="6B13B74D" w:rsidR="00695E59" w:rsidRPr="00671D9E" w:rsidRDefault="002B0385" w:rsidP="002B0385">
      <w:pPr>
        <w:pStyle w:val="SingleTxtG"/>
        <w:suppressAutoHyphens w:val="0"/>
        <w:rPr>
          <w:lang w:bidi="th-TH"/>
        </w:rPr>
      </w:pPr>
      <w:r w:rsidRPr="00671D9E">
        <w:rPr>
          <w:lang w:bidi="th-TH"/>
        </w:rPr>
        <w:t>41.</w:t>
      </w:r>
      <w:r w:rsidRPr="00671D9E">
        <w:rPr>
          <w:lang w:bidi="th-TH"/>
        </w:rPr>
        <w:tab/>
      </w:r>
      <w:r w:rsidR="00695E59" w:rsidRPr="00671D9E">
        <w:rPr>
          <w:lang w:bidi="th-TH"/>
        </w:rPr>
        <w:t xml:space="preserve">In </w:t>
      </w:r>
      <w:r w:rsidR="00695E59" w:rsidRPr="00671D9E">
        <w:rPr>
          <w:cs/>
          <w:lang w:bidi="th-TH"/>
        </w:rPr>
        <w:t>2017</w:t>
      </w:r>
      <w:r w:rsidR="00695E59" w:rsidRPr="00671D9E">
        <w:rPr>
          <w:lang w:bidi="th-TH"/>
        </w:rPr>
        <w:t>, a total of 455 victims of trafficking were identified through a victim identification process and 360 victims chose to be protected under the MSDHS</w:t>
      </w:r>
      <w:r w:rsidR="00A56767">
        <w:rPr>
          <w:lang w:bidi="th-TH"/>
        </w:rPr>
        <w:t>’</w:t>
      </w:r>
      <w:r w:rsidR="00695E59" w:rsidRPr="00671D9E">
        <w:rPr>
          <w:lang w:bidi="th-TH"/>
        </w:rPr>
        <w:t>s shelters. Of those 360 victims, 169 were male and 191 were female. Among them were 132 Thais, 119 Myanmars, 21 Laotians, 22 Cambodians, 9 Indonesians, 51 Vietnamese, 3 Malaysians and 3 Ugandans.</w:t>
      </w:r>
    </w:p>
    <w:p w14:paraId="5B7142B9" w14:textId="4AB0A6FE" w:rsidR="00695E59" w:rsidRPr="00671D9E" w:rsidRDefault="002B0385" w:rsidP="002B0385">
      <w:pPr>
        <w:pStyle w:val="SingleTxtG"/>
        <w:suppressAutoHyphens w:val="0"/>
        <w:rPr>
          <w:lang w:bidi="th-TH"/>
        </w:rPr>
      </w:pPr>
      <w:r w:rsidRPr="00671D9E">
        <w:rPr>
          <w:lang w:bidi="th-TH"/>
        </w:rPr>
        <w:t>42.</w:t>
      </w:r>
      <w:r w:rsidRPr="00671D9E">
        <w:rPr>
          <w:lang w:bidi="th-TH"/>
        </w:rPr>
        <w:tab/>
      </w:r>
      <w:r w:rsidR="00695E59" w:rsidRPr="00671D9E">
        <w:rPr>
          <w:lang w:bidi="th-TH"/>
        </w:rPr>
        <w:t>In 2018, 631 trafficking victims were rescued and 401 trafficking victims chose to receive protection under the MSDHS</w:t>
      </w:r>
      <w:r w:rsidR="00A56767">
        <w:rPr>
          <w:lang w:bidi="th-TH"/>
        </w:rPr>
        <w:t>’</w:t>
      </w:r>
      <w:r w:rsidR="00695E59" w:rsidRPr="00671D9E">
        <w:rPr>
          <w:lang w:bidi="th-TH"/>
        </w:rPr>
        <w:t xml:space="preserve">s shelters. 198 were male and 203 were female. In addition, a total of 15 victims chose to be protected in an NGO-run shelter, which is in line with the Regulation permitting NGOs to Establish Shelters to Assist Victims of Trafficking B.E. 2560 </w:t>
      </w:r>
      <w:r w:rsidR="00695E59" w:rsidRPr="00671D9E">
        <w:rPr>
          <w:cs/>
          <w:lang w:bidi="th-TH"/>
        </w:rPr>
        <w:t xml:space="preserve">(2017) </w:t>
      </w:r>
      <w:r w:rsidR="00695E59" w:rsidRPr="00671D9E">
        <w:rPr>
          <w:lang w:bidi="th-TH"/>
        </w:rPr>
        <w:t>for victims who do not wish to receive protection in the MSDHS shelters.</w:t>
      </w:r>
    </w:p>
    <w:p w14:paraId="2319A7CC" w14:textId="16A4A5E6" w:rsidR="00695E59" w:rsidRPr="00671D9E" w:rsidRDefault="002B0385" w:rsidP="002B0385">
      <w:pPr>
        <w:pStyle w:val="SingleTxtG"/>
        <w:suppressAutoHyphens w:val="0"/>
        <w:rPr>
          <w:lang w:bidi="th-TH"/>
        </w:rPr>
      </w:pPr>
      <w:r w:rsidRPr="00671D9E">
        <w:rPr>
          <w:lang w:bidi="th-TH"/>
        </w:rPr>
        <w:t>43.</w:t>
      </w:r>
      <w:r w:rsidRPr="00671D9E">
        <w:rPr>
          <w:lang w:bidi="th-TH"/>
        </w:rPr>
        <w:tab/>
      </w:r>
      <w:r w:rsidR="00695E59" w:rsidRPr="00671D9E">
        <w:rPr>
          <w:lang w:bidi="th-TH"/>
        </w:rPr>
        <w:t xml:space="preserve">In 2019, a total of 1,560 victims (1,063 male and 497 female) of trafficking received protection in shelters, of whom 1,532 persons stayed </w:t>
      </w:r>
      <w:r w:rsidR="00695E59" w:rsidRPr="00671D9E">
        <w:rPr>
          <w:spacing w:val="-2"/>
          <w:lang w:bidi="th-TH"/>
        </w:rPr>
        <w:t xml:space="preserve">in government shelters and 28 persons </w:t>
      </w:r>
      <w:r w:rsidR="00695E59" w:rsidRPr="00671D9E">
        <w:rPr>
          <w:lang w:bidi="th-TH"/>
        </w:rPr>
        <w:t>stayed</w:t>
      </w:r>
      <w:r w:rsidR="00695E59" w:rsidRPr="00671D9E">
        <w:rPr>
          <w:spacing w:val="-2"/>
          <w:lang w:bidi="th-TH"/>
        </w:rPr>
        <w:t xml:space="preserve"> in three private shelters run by NGOs.</w:t>
      </w:r>
      <w:r w:rsidR="00695E59" w:rsidRPr="00671D9E">
        <w:rPr>
          <w:lang w:bidi="th-TH"/>
        </w:rPr>
        <w:t xml:space="preserve"> In term of age, 1,101 victims (70.6</w:t>
      </w:r>
      <w:r w:rsidR="00695E59" w:rsidRPr="00671D9E">
        <w:rPr>
          <w:rFonts w:cs="Angsana New"/>
          <w:szCs w:val="35"/>
          <w:lang w:bidi="th-TH"/>
        </w:rPr>
        <w:t>%</w:t>
      </w:r>
      <w:r w:rsidR="00695E59" w:rsidRPr="00671D9E">
        <w:rPr>
          <w:lang w:bidi="th-TH"/>
        </w:rPr>
        <w:t>) were above 18 years of age and 459 victims (29.4%) were under 18 years of age. The majority of foreign victims came from Thailand</w:t>
      </w:r>
      <w:r w:rsidR="00A56767">
        <w:rPr>
          <w:lang w:bidi="th-TH"/>
        </w:rPr>
        <w:t>’</w:t>
      </w:r>
      <w:r w:rsidR="00695E59" w:rsidRPr="00671D9E">
        <w:rPr>
          <w:lang w:bidi="th-TH"/>
        </w:rPr>
        <w:t>s neighboring countries/areas, including 1,160 Myanmar nationals, 148 Rohingya irregular migrants, 70 Cambodians and 30 Laotians. Others included six Ugandans, two Tanzanians, one Liberian, one Kenyan and one Eritrean; most of this group of foreign victims stayed at private shelters. In addition, seven victims with unknown nationality to the authorities stayed at government shelters. Lastly, there were 134 Thais, accounting for 8.6% of victims in shelters.</w:t>
      </w:r>
    </w:p>
    <w:p w14:paraId="2A4708DD" w14:textId="0A13049D" w:rsidR="00695E59" w:rsidRPr="00671D9E" w:rsidRDefault="002B0385" w:rsidP="002B0385">
      <w:pPr>
        <w:pStyle w:val="SingleTxtG"/>
        <w:suppressAutoHyphens w:val="0"/>
        <w:rPr>
          <w:lang w:bidi="th-TH"/>
        </w:rPr>
      </w:pPr>
      <w:r w:rsidRPr="00671D9E">
        <w:rPr>
          <w:lang w:bidi="th-TH"/>
        </w:rPr>
        <w:t>44.</w:t>
      </w:r>
      <w:r w:rsidRPr="00671D9E">
        <w:rPr>
          <w:lang w:bidi="th-TH"/>
        </w:rPr>
        <w:tab/>
      </w:r>
      <w:r w:rsidR="00695E59" w:rsidRPr="00671D9E">
        <w:rPr>
          <w:shd w:val="clear" w:color="auto" w:fill="FFFFFF"/>
          <w:lang w:bidi="th-TH"/>
        </w:rPr>
        <w:t xml:space="preserve">In </w:t>
      </w:r>
      <w:r w:rsidR="00695E59" w:rsidRPr="00671D9E">
        <w:rPr>
          <w:lang w:bidi="th-TH"/>
        </w:rPr>
        <w:t>2017</w:t>
      </w:r>
      <w:r w:rsidR="00695E59" w:rsidRPr="00671D9E">
        <w:rPr>
          <w:shd w:val="clear" w:color="auto" w:fill="FFFFFF"/>
          <w:lang w:bidi="th-TH"/>
        </w:rPr>
        <w:t>, the Royal Thai Government continued to expand employment opportunities for victims of trafficking. Of the 450 victims assisted in 2017 (360 victims) and in 2016 (90 victims) who received protection under MSDHS</w:t>
      </w:r>
      <w:r w:rsidR="00A56767">
        <w:rPr>
          <w:shd w:val="clear" w:color="auto" w:fill="FFFFFF"/>
          <w:lang w:bidi="th-TH"/>
        </w:rPr>
        <w:t>’</w:t>
      </w:r>
      <w:r w:rsidR="00695E59" w:rsidRPr="00671D9E">
        <w:rPr>
          <w:shd w:val="clear" w:color="auto" w:fill="FFFFFF"/>
          <w:lang w:bidi="th-TH"/>
        </w:rPr>
        <w:t>s shelters, 149 victims had the opportunity to work outside of the shelters while 138 victims were employed within the shelters</w:t>
      </w:r>
      <w:r w:rsidR="00695E59" w:rsidRPr="00671D9E">
        <w:rPr>
          <w:lang w:bidi="th-TH"/>
        </w:rPr>
        <w:t xml:space="preserve">. Victims of trafficking are able to be compensated through </w:t>
      </w:r>
      <w:r w:rsidR="00695E59" w:rsidRPr="00671D9E">
        <w:rPr>
          <w:cs/>
          <w:lang w:bidi="th-TH"/>
        </w:rPr>
        <w:t>4</w:t>
      </w:r>
      <w:r w:rsidR="00695E59" w:rsidRPr="00671D9E">
        <w:rPr>
          <w:rFonts w:cs="Angsana New"/>
          <w:cs/>
          <w:lang w:bidi="th-TH"/>
        </w:rPr>
        <w:t xml:space="preserve"> </w:t>
      </w:r>
      <w:r w:rsidR="00695E59" w:rsidRPr="00671D9E">
        <w:rPr>
          <w:lang w:bidi="th-TH"/>
        </w:rPr>
        <w:t xml:space="preserve">channels, namely the Anti-Human Trafficking Fund, Labour Compensation, the Compensation of Injured Persons and compensation in accordance with Section </w:t>
      </w:r>
      <w:r w:rsidR="00695E59" w:rsidRPr="00671D9E">
        <w:rPr>
          <w:cs/>
          <w:lang w:bidi="th-TH"/>
        </w:rPr>
        <w:t>35</w:t>
      </w:r>
      <w:r w:rsidR="00695E59" w:rsidRPr="00671D9E">
        <w:rPr>
          <w:rFonts w:cs="Angsana New"/>
          <w:cs/>
          <w:lang w:bidi="th-TH"/>
        </w:rPr>
        <w:t xml:space="preserve"> </w:t>
      </w:r>
      <w:r w:rsidR="00695E59" w:rsidRPr="00671D9E">
        <w:rPr>
          <w:lang w:bidi="th-TH"/>
        </w:rPr>
        <w:t xml:space="preserve">of the Anti-Human Trafficking Act B.E. </w:t>
      </w:r>
      <w:r w:rsidR="00695E59" w:rsidRPr="00671D9E">
        <w:rPr>
          <w:cs/>
          <w:lang w:bidi="th-TH"/>
        </w:rPr>
        <w:t>2551</w:t>
      </w:r>
      <w:r w:rsidR="00695E59" w:rsidRPr="00671D9E">
        <w:rPr>
          <w:lang w:bidi="th-TH"/>
        </w:rPr>
        <w:t xml:space="preserve"> (2008</w:t>
      </w:r>
      <w:r w:rsidR="00695E59" w:rsidRPr="00671D9E">
        <w:rPr>
          <w:cs/>
          <w:lang w:bidi="th-TH"/>
        </w:rPr>
        <w:t>).</w:t>
      </w:r>
      <w:r w:rsidR="00695E59" w:rsidRPr="00671D9E">
        <w:rPr>
          <w:rFonts w:cs="Angsana New"/>
          <w:cs/>
          <w:lang w:bidi="th-TH"/>
        </w:rPr>
        <w:t xml:space="preserve"> </w:t>
      </w:r>
      <w:r w:rsidR="00695E59" w:rsidRPr="00671D9E">
        <w:rPr>
          <w:lang w:bidi="th-TH"/>
        </w:rPr>
        <w:t xml:space="preserve">The Anti-Human Trafficking Fund and the Compensation of Injured Persons are grants supported by the government whilst the Labour Compensation and the compensation in accordance with Section </w:t>
      </w:r>
      <w:r w:rsidR="00695E59" w:rsidRPr="00671D9E">
        <w:rPr>
          <w:cs/>
          <w:lang w:bidi="th-TH"/>
        </w:rPr>
        <w:t>35</w:t>
      </w:r>
      <w:r w:rsidR="00695E59" w:rsidRPr="00671D9E">
        <w:rPr>
          <w:rFonts w:cs="Angsana New"/>
          <w:cs/>
          <w:lang w:bidi="th-TH"/>
        </w:rPr>
        <w:t xml:space="preserve"> </w:t>
      </w:r>
      <w:r w:rsidR="00695E59" w:rsidRPr="00671D9E">
        <w:rPr>
          <w:lang w:bidi="th-TH"/>
        </w:rPr>
        <w:t xml:space="preserve">of the Anti-Human Trafficking Act (B.E. </w:t>
      </w:r>
      <w:r w:rsidR="00695E59" w:rsidRPr="00671D9E">
        <w:rPr>
          <w:cs/>
          <w:lang w:bidi="th-TH"/>
        </w:rPr>
        <w:t>2551)</w:t>
      </w:r>
      <w:r w:rsidR="00695E59" w:rsidRPr="00671D9E">
        <w:rPr>
          <w:rFonts w:cs="Angsana New"/>
          <w:cs/>
          <w:lang w:bidi="th-TH"/>
        </w:rPr>
        <w:t xml:space="preserve"> </w:t>
      </w:r>
      <w:r w:rsidR="00695E59" w:rsidRPr="00671D9E">
        <w:rPr>
          <w:lang w:bidi="th-TH"/>
        </w:rPr>
        <w:t>are claims from employers or perpetrators.</w:t>
      </w:r>
    </w:p>
    <w:p w14:paraId="022BD244" w14:textId="36FC59EF" w:rsidR="00695E59" w:rsidRPr="00671D9E" w:rsidRDefault="002B0385" w:rsidP="002B0385">
      <w:pPr>
        <w:pStyle w:val="SingleTxtG"/>
        <w:suppressAutoHyphens w:val="0"/>
        <w:rPr>
          <w:lang w:bidi="th-TH"/>
        </w:rPr>
      </w:pPr>
      <w:r w:rsidRPr="00671D9E">
        <w:rPr>
          <w:lang w:bidi="th-TH"/>
        </w:rPr>
        <w:lastRenderedPageBreak/>
        <w:t>45.</w:t>
      </w:r>
      <w:r w:rsidRPr="00671D9E">
        <w:rPr>
          <w:lang w:bidi="th-TH"/>
        </w:rPr>
        <w:tab/>
      </w:r>
      <w:r w:rsidR="00695E59" w:rsidRPr="00671D9E">
        <w:rPr>
          <w:lang w:bidi="th-TH"/>
        </w:rPr>
        <w:t>In 2018, 65 victims</w:t>
      </w:r>
      <w:r w:rsidR="00695E59" w:rsidRPr="00671D9E">
        <w:rPr>
          <w:rFonts w:cs="Cordia New"/>
          <w:cs/>
          <w:lang w:bidi="th-TH"/>
        </w:rPr>
        <w:t xml:space="preserve"> </w:t>
      </w:r>
      <w:r w:rsidR="00695E59" w:rsidRPr="00671D9E">
        <w:rPr>
          <w:lang w:bidi="th-TH"/>
        </w:rPr>
        <w:t xml:space="preserve">worked outside shelters, including in construction as well as in a bakery shop, and received a minimum wage of THB 300 </w:t>
      </w:r>
      <w:r w:rsidR="00695E59" w:rsidRPr="00671D9E">
        <w:rPr>
          <w:cs/>
          <w:lang w:bidi="th-TH"/>
        </w:rPr>
        <w:t>(</w:t>
      </w:r>
      <w:r w:rsidR="00695E59" w:rsidRPr="00671D9E">
        <w:rPr>
          <w:lang w:bidi="th-TH"/>
        </w:rPr>
        <w:t>USD 9.4</w:t>
      </w:r>
      <w:r w:rsidR="00695E59" w:rsidRPr="00671D9E">
        <w:rPr>
          <w:cs/>
          <w:lang w:bidi="th-TH"/>
        </w:rPr>
        <w:t>)</w:t>
      </w:r>
      <w:r w:rsidR="00695E59" w:rsidRPr="00671D9E">
        <w:rPr>
          <w:lang w:bidi="th-TH"/>
        </w:rPr>
        <w:t xml:space="preserve"> per day, earning an income of THB 2,125,837 </w:t>
      </w:r>
      <w:r w:rsidR="00695E59" w:rsidRPr="00671D9E">
        <w:rPr>
          <w:cs/>
          <w:lang w:bidi="th-TH"/>
        </w:rPr>
        <w:t>(</w:t>
      </w:r>
      <w:r w:rsidR="00695E59" w:rsidRPr="00671D9E">
        <w:rPr>
          <w:lang w:bidi="th-TH"/>
        </w:rPr>
        <w:t>USD 66,640.70</w:t>
      </w:r>
      <w:r w:rsidR="00695E59" w:rsidRPr="00671D9E">
        <w:rPr>
          <w:cs/>
          <w:lang w:bidi="th-TH"/>
        </w:rPr>
        <w:t>)</w:t>
      </w:r>
      <w:r w:rsidR="00695E59" w:rsidRPr="00671D9E">
        <w:rPr>
          <w:lang w:bidi="th-TH"/>
        </w:rPr>
        <w:t xml:space="preserve">. 290 victims worked in shelters </w:t>
      </w:r>
      <w:r w:rsidR="00695E59" w:rsidRPr="00671D9E">
        <w:rPr>
          <w:cs/>
          <w:lang w:bidi="th-TH"/>
        </w:rPr>
        <w:t>(</w:t>
      </w:r>
      <w:r w:rsidR="00695E59" w:rsidRPr="00671D9E">
        <w:rPr>
          <w:lang w:bidi="th-TH"/>
        </w:rPr>
        <w:t>a 110.14</w:t>
      </w:r>
      <w:r w:rsidR="00695E59" w:rsidRPr="00671D9E">
        <w:rPr>
          <w:rFonts w:cs="Angsana New"/>
          <w:szCs w:val="35"/>
          <w:lang w:bidi="th-TH"/>
        </w:rPr>
        <w:t>%</w:t>
      </w:r>
      <w:r w:rsidR="00695E59" w:rsidRPr="00671D9E">
        <w:rPr>
          <w:lang w:bidi="th-TH"/>
        </w:rPr>
        <w:t xml:space="preserve"> increase from 2017</w:t>
      </w:r>
      <w:r w:rsidR="00695E59" w:rsidRPr="00671D9E">
        <w:rPr>
          <w:cs/>
          <w:lang w:bidi="th-TH"/>
        </w:rPr>
        <w:t>)</w:t>
      </w:r>
      <w:r w:rsidR="00695E59" w:rsidRPr="00671D9E">
        <w:rPr>
          <w:lang w:bidi="th-TH"/>
        </w:rPr>
        <w:t xml:space="preserve"> and gained income amounting to THB 2,697,543 </w:t>
      </w:r>
      <w:r w:rsidR="00695E59" w:rsidRPr="00671D9E">
        <w:rPr>
          <w:cs/>
          <w:lang w:bidi="th-TH"/>
        </w:rPr>
        <w:t>(</w:t>
      </w:r>
      <w:r w:rsidR="00695E59" w:rsidRPr="00671D9E">
        <w:rPr>
          <w:lang w:bidi="th-TH"/>
        </w:rPr>
        <w:t>USD 84,562.48</w:t>
      </w:r>
      <w:r w:rsidR="00695E59" w:rsidRPr="00671D9E">
        <w:rPr>
          <w:cs/>
          <w:lang w:bidi="th-TH"/>
        </w:rPr>
        <w:t>)</w:t>
      </w:r>
      <w:r w:rsidR="00695E59" w:rsidRPr="00671D9E">
        <w:rPr>
          <w:lang w:bidi="th-TH"/>
        </w:rPr>
        <w:t>.</w:t>
      </w:r>
    </w:p>
    <w:p w14:paraId="662E3538" w14:textId="648E0255" w:rsidR="00695E59" w:rsidRPr="00671D9E" w:rsidRDefault="002B0385" w:rsidP="002B0385">
      <w:pPr>
        <w:pStyle w:val="SingleTxtG"/>
        <w:suppressAutoHyphens w:val="0"/>
        <w:rPr>
          <w:lang w:bidi="th-TH"/>
        </w:rPr>
      </w:pPr>
      <w:r w:rsidRPr="00671D9E">
        <w:rPr>
          <w:lang w:bidi="th-TH"/>
        </w:rPr>
        <w:t>46.</w:t>
      </w:r>
      <w:r w:rsidRPr="00671D9E">
        <w:rPr>
          <w:lang w:bidi="th-TH"/>
        </w:rPr>
        <w:tab/>
      </w:r>
      <w:r w:rsidR="00695E59" w:rsidRPr="00671D9E">
        <w:rPr>
          <w:lang w:bidi="th-TH"/>
        </w:rPr>
        <w:t>In 2019, the Thai Government made efforts to support victims to work outside of the shelters. Nevertheless, due to constraints such as victims</w:t>
      </w:r>
      <w:r w:rsidR="00A56767">
        <w:rPr>
          <w:lang w:bidi="th-TH"/>
        </w:rPr>
        <w:t>’</w:t>
      </w:r>
      <w:r w:rsidR="00695E59" w:rsidRPr="00671D9E">
        <w:rPr>
          <w:lang w:bidi="th-TH"/>
        </w:rPr>
        <w:t xml:space="preserve"> health problems and limitations at workplaces, some victims could not work outside of the shelters. Therefore, the MSDHS has increased ways for victims to earn income by adding an on-line store of their products via mobile applications, apart from selling them at the </w:t>
      </w:r>
      <w:r w:rsidR="00A56767">
        <w:rPr>
          <w:lang w:bidi="th-TH"/>
        </w:rPr>
        <w:t>“</w:t>
      </w:r>
      <w:r w:rsidR="00695E59" w:rsidRPr="00671D9E">
        <w:rPr>
          <w:lang w:bidi="th-TH"/>
        </w:rPr>
        <w:t>MSDSH Dream Weaving</w:t>
      </w:r>
      <w:r w:rsidR="00A56767">
        <w:rPr>
          <w:lang w:bidi="th-TH"/>
        </w:rPr>
        <w:t>”</w:t>
      </w:r>
      <w:r w:rsidR="00695E59" w:rsidRPr="00671D9E">
        <w:rPr>
          <w:lang w:bidi="th-TH"/>
        </w:rPr>
        <w:t xml:space="preserve"> store. Victims of human trafficking employed in shelters also earned income and received financial support disbursed from the Anti-Human Trafficking Fund amounting to THB 1,061,035 (USD 35,250) in this year.</w:t>
      </w:r>
    </w:p>
    <w:p w14:paraId="15BCA03B" w14:textId="2750DF29" w:rsidR="00695E59" w:rsidRPr="00671D9E" w:rsidRDefault="002B0385" w:rsidP="002B0385">
      <w:pPr>
        <w:pStyle w:val="SingleTxtG"/>
        <w:suppressAutoHyphens w:val="0"/>
        <w:rPr>
          <w:lang w:bidi="th-TH"/>
        </w:rPr>
      </w:pPr>
      <w:r w:rsidRPr="00671D9E">
        <w:rPr>
          <w:lang w:bidi="th-TH"/>
        </w:rPr>
        <w:t>47.</w:t>
      </w:r>
      <w:r w:rsidRPr="00671D9E">
        <w:rPr>
          <w:lang w:bidi="th-TH"/>
        </w:rPr>
        <w:tab/>
      </w:r>
      <w:r w:rsidR="00695E59" w:rsidRPr="00671D9E">
        <w:rPr>
          <w:lang w:bidi="th-TH"/>
        </w:rPr>
        <w:t xml:space="preserve">In </w:t>
      </w:r>
      <w:r w:rsidR="00695E59" w:rsidRPr="00671D9E">
        <w:rPr>
          <w:cs/>
          <w:lang w:bidi="th-TH"/>
        </w:rPr>
        <w:t>2017</w:t>
      </w:r>
      <w:r w:rsidR="00695E59" w:rsidRPr="00671D9E">
        <w:rPr>
          <w:lang w:bidi="th-TH"/>
        </w:rPr>
        <w:t xml:space="preserve">, a total of </w:t>
      </w:r>
      <w:r w:rsidR="00695E59" w:rsidRPr="00671D9E">
        <w:rPr>
          <w:cs/>
          <w:lang w:bidi="th-TH"/>
        </w:rPr>
        <w:t>20</w:t>
      </w:r>
      <w:r w:rsidR="00695E59" w:rsidRPr="00671D9E">
        <w:rPr>
          <w:rFonts w:cs="Angsana New"/>
          <w:cs/>
          <w:lang w:bidi="th-TH"/>
        </w:rPr>
        <w:t xml:space="preserve"> </w:t>
      </w:r>
      <w:r w:rsidR="00695E59" w:rsidRPr="00671D9E">
        <w:rPr>
          <w:lang w:bidi="th-TH"/>
        </w:rPr>
        <w:t xml:space="preserve">trafficking victims were compensated by the Compensation of Injured Persons of the RLPD, amounting to THB </w:t>
      </w:r>
      <w:r w:rsidR="00695E59" w:rsidRPr="00671D9E">
        <w:rPr>
          <w:cs/>
          <w:lang w:bidi="th-TH"/>
        </w:rPr>
        <w:t>340</w:t>
      </w:r>
      <w:r w:rsidR="00695E59" w:rsidRPr="00671D9E">
        <w:rPr>
          <w:lang w:bidi="th-TH"/>
        </w:rPr>
        <w:t>,</w:t>
      </w:r>
      <w:r w:rsidR="00695E59" w:rsidRPr="00671D9E">
        <w:rPr>
          <w:cs/>
          <w:lang w:bidi="th-TH"/>
        </w:rPr>
        <w:t>000</w:t>
      </w:r>
      <w:r w:rsidR="00695E59" w:rsidRPr="00671D9E">
        <w:rPr>
          <w:rFonts w:cs="Angsana New"/>
          <w:cs/>
          <w:lang w:bidi="th-TH"/>
        </w:rPr>
        <w:t xml:space="preserve"> </w:t>
      </w:r>
      <w:r w:rsidR="00695E59" w:rsidRPr="00671D9E">
        <w:rPr>
          <w:lang w:bidi="th-TH"/>
        </w:rPr>
        <w:t xml:space="preserve">(USD </w:t>
      </w:r>
      <w:r w:rsidR="00695E59" w:rsidRPr="00671D9E">
        <w:rPr>
          <w:cs/>
          <w:lang w:bidi="th-TH"/>
        </w:rPr>
        <w:t>10</w:t>
      </w:r>
      <w:r w:rsidR="00695E59" w:rsidRPr="00671D9E">
        <w:rPr>
          <w:lang w:bidi="th-TH"/>
        </w:rPr>
        <w:t>,</w:t>
      </w:r>
      <w:r w:rsidR="00695E59" w:rsidRPr="00671D9E">
        <w:rPr>
          <w:cs/>
          <w:lang w:bidi="th-TH"/>
        </w:rPr>
        <w:t>811).</w:t>
      </w:r>
      <w:r w:rsidR="00695E59" w:rsidRPr="00671D9E">
        <w:rPr>
          <w:rFonts w:cs="Angsana New"/>
          <w:cs/>
          <w:lang w:bidi="th-TH"/>
        </w:rPr>
        <w:t xml:space="preserve"> </w:t>
      </w:r>
      <w:r w:rsidR="00695E59" w:rsidRPr="00671D9E">
        <w:rPr>
          <w:lang w:bidi="th-TH"/>
        </w:rPr>
        <w:t xml:space="preserve">The Anti-Human Trafficking Fund compensated </w:t>
      </w:r>
      <w:r w:rsidR="00695E59" w:rsidRPr="00671D9E">
        <w:rPr>
          <w:cs/>
          <w:lang w:bidi="th-TH"/>
        </w:rPr>
        <w:t>760</w:t>
      </w:r>
      <w:r w:rsidR="00695E59" w:rsidRPr="00671D9E">
        <w:rPr>
          <w:rFonts w:cs="Angsana New"/>
          <w:cs/>
          <w:lang w:bidi="th-TH"/>
        </w:rPr>
        <w:t xml:space="preserve"> </w:t>
      </w:r>
      <w:r w:rsidR="00695E59" w:rsidRPr="00671D9E">
        <w:rPr>
          <w:lang w:bidi="th-TH"/>
        </w:rPr>
        <w:t xml:space="preserve">victims in the same period amounting to THB </w:t>
      </w:r>
      <w:r w:rsidR="00695E59" w:rsidRPr="00671D9E">
        <w:rPr>
          <w:cs/>
          <w:lang w:bidi="th-TH"/>
        </w:rPr>
        <w:t>5</w:t>
      </w:r>
      <w:r w:rsidR="00695E59" w:rsidRPr="00671D9E">
        <w:rPr>
          <w:lang w:bidi="th-TH"/>
        </w:rPr>
        <w:t>,</w:t>
      </w:r>
      <w:r w:rsidR="00695E59" w:rsidRPr="00671D9E">
        <w:rPr>
          <w:cs/>
          <w:lang w:bidi="th-TH"/>
        </w:rPr>
        <w:t>641</w:t>
      </w:r>
      <w:r w:rsidR="00695E59" w:rsidRPr="00671D9E">
        <w:rPr>
          <w:lang w:bidi="th-TH"/>
        </w:rPr>
        <w:t>,</w:t>
      </w:r>
      <w:r w:rsidR="00695E59" w:rsidRPr="00671D9E">
        <w:rPr>
          <w:cs/>
          <w:lang w:bidi="th-TH"/>
        </w:rPr>
        <w:t>579</w:t>
      </w:r>
      <w:r w:rsidR="00695E59" w:rsidRPr="00671D9E">
        <w:rPr>
          <w:rFonts w:cs="Angsana New"/>
          <w:cs/>
          <w:lang w:bidi="th-TH"/>
        </w:rPr>
        <w:t xml:space="preserve"> </w:t>
      </w:r>
      <w:r w:rsidR="00695E59" w:rsidRPr="00671D9E">
        <w:rPr>
          <w:lang w:bidi="th-TH"/>
        </w:rPr>
        <w:t xml:space="preserve">(USD </w:t>
      </w:r>
      <w:r w:rsidR="00695E59" w:rsidRPr="00671D9E">
        <w:rPr>
          <w:cs/>
          <w:lang w:bidi="th-TH"/>
        </w:rPr>
        <w:t>179</w:t>
      </w:r>
      <w:r w:rsidR="00695E59" w:rsidRPr="00671D9E">
        <w:rPr>
          <w:lang w:bidi="th-TH"/>
        </w:rPr>
        <w:t>,</w:t>
      </w:r>
      <w:r w:rsidR="00695E59" w:rsidRPr="00671D9E">
        <w:rPr>
          <w:cs/>
          <w:lang w:bidi="th-TH"/>
        </w:rPr>
        <w:t>382).</w:t>
      </w:r>
    </w:p>
    <w:p w14:paraId="005BBDB8" w14:textId="4AEDFEB2" w:rsidR="00695E59" w:rsidRPr="00671D9E" w:rsidRDefault="002B0385" w:rsidP="002B0385">
      <w:pPr>
        <w:pStyle w:val="SingleTxtG"/>
        <w:suppressAutoHyphens w:val="0"/>
        <w:rPr>
          <w:lang w:bidi="th-TH"/>
        </w:rPr>
      </w:pPr>
      <w:r w:rsidRPr="00671D9E">
        <w:rPr>
          <w:lang w:bidi="th-TH"/>
        </w:rPr>
        <w:t>48.</w:t>
      </w:r>
      <w:r w:rsidRPr="00671D9E">
        <w:rPr>
          <w:lang w:bidi="th-TH"/>
        </w:rPr>
        <w:tab/>
      </w:r>
      <w:r w:rsidR="00695E59" w:rsidRPr="00671D9E">
        <w:rPr>
          <w:lang w:bidi="th-TH"/>
        </w:rPr>
        <w:t>In 2018, progress was made in providing remedies and compensation to victims. The Guideline on Claims for Compensation, which was launched in 2018, has enabled the Government to collect compensation for victims from offenders more effectively. This was evidenced by an increased amount of compensation at a total of THB 77.56 million (USD 2.43 million) for 116 victims, compared to THB 18.44 million (USD 0.58 million) in 2017, it is an increase of 76</w:t>
      </w:r>
      <w:r w:rsidR="00695E59" w:rsidRPr="00671D9E">
        <w:rPr>
          <w:rFonts w:cs="Angsana New"/>
          <w:szCs w:val="35"/>
          <w:lang w:bidi="th-TH"/>
        </w:rPr>
        <w:t>%</w:t>
      </w:r>
      <w:r w:rsidR="00695E59" w:rsidRPr="00671D9E">
        <w:rPr>
          <w:lang w:bidi="th-TH"/>
        </w:rPr>
        <w:t>. As part of the efforts of trauma-informed care, THB 24.99 million (USD 0.78 million or about 48.45%) out of the total amount of compensation has been paid for physical and mental health damages inflicted on the victims. In 2018, victims also received more restitution from the Anti-Human Trafficking Fund of around THB 6.15 million (USD 192,789.97), compared to THB 5.64 million (USD 176,802.5) in 2017.</w:t>
      </w:r>
    </w:p>
    <w:p w14:paraId="5A89FDDB" w14:textId="035D84FB" w:rsidR="00695E59" w:rsidRPr="00671D9E" w:rsidRDefault="002B0385" w:rsidP="002B0385">
      <w:pPr>
        <w:pStyle w:val="SingleTxtG"/>
        <w:suppressAutoHyphens w:val="0"/>
        <w:rPr>
          <w:cs/>
          <w:lang w:bidi="th-TH"/>
        </w:rPr>
      </w:pPr>
      <w:r w:rsidRPr="006818F1">
        <w:rPr>
          <w:cs/>
        </w:rPr>
        <w:t>49.</w:t>
      </w:r>
      <w:r w:rsidRPr="006818F1">
        <w:rPr>
          <w:cs/>
        </w:rPr>
        <w:tab/>
      </w:r>
      <w:r w:rsidR="00695E59" w:rsidRPr="00671D9E">
        <w:rPr>
          <w:lang w:bidi="th-TH"/>
        </w:rPr>
        <w:t>In 2019, the Thai Government disbursed THB 11.87 million (USD 394,352.16) in financial remedy for victims through the aforementioned Fund. Providing capital to victims who are ready to reintegrate themselves into society and start a new life was one of the main compensation expenditures.</w:t>
      </w:r>
    </w:p>
    <w:p w14:paraId="7ADC955F" w14:textId="77777777" w:rsidR="00695E59" w:rsidRPr="00671D9E" w:rsidRDefault="00695E59" w:rsidP="00A56767">
      <w:pPr>
        <w:pStyle w:val="HChG"/>
        <w:rPr>
          <w:rFonts w:cs="Cordia New"/>
          <w:spacing w:val="-8"/>
          <w:lang w:bidi="th-TH"/>
        </w:rPr>
      </w:pPr>
      <w:r w:rsidRPr="00671D9E">
        <w:rPr>
          <w:lang w:bidi="th-TH"/>
        </w:rPr>
        <w:tab/>
      </w:r>
      <w:r w:rsidRPr="00671D9E">
        <w:rPr>
          <w:lang w:bidi="th-TH"/>
        </w:rPr>
        <w:tab/>
        <w:t>Article 3</w:t>
      </w:r>
    </w:p>
    <w:p w14:paraId="7B5B4B6E" w14:textId="77777777" w:rsidR="00695E59" w:rsidRPr="00A56767" w:rsidRDefault="00695E59" w:rsidP="00A56767">
      <w:pPr>
        <w:pStyle w:val="H23G"/>
        <w:rPr>
          <w:rFonts w:eastAsia="ZWAdobeF"/>
        </w:rPr>
      </w:pPr>
      <w:r w:rsidRPr="00671D9E">
        <w:tab/>
      </w:r>
      <w:r w:rsidRPr="00671D9E">
        <w:tab/>
        <w:t>Reply to paragraph 11 of the list of issues</w:t>
      </w:r>
    </w:p>
    <w:p w14:paraId="7869A6C8" w14:textId="76034CCA" w:rsidR="00695E59" w:rsidRPr="00671D9E" w:rsidRDefault="002B0385" w:rsidP="002B0385">
      <w:pPr>
        <w:pStyle w:val="SingleTxtG"/>
        <w:suppressAutoHyphens w:val="0"/>
        <w:rPr>
          <w:lang w:bidi="th-TH"/>
        </w:rPr>
      </w:pPr>
      <w:r w:rsidRPr="00671D9E">
        <w:rPr>
          <w:lang w:bidi="th-TH"/>
        </w:rPr>
        <w:t>50.</w:t>
      </w:r>
      <w:r w:rsidRPr="00671D9E">
        <w:rPr>
          <w:lang w:bidi="th-TH"/>
        </w:rPr>
        <w:tab/>
      </w:r>
      <w:r w:rsidR="00695E59" w:rsidRPr="00671D9E">
        <w:rPr>
          <w:lang w:bidi="th-TH"/>
        </w:rPr>
        <w:t>As mentioned in paragraph</w:t>
      </w:r>
      <w:r w:rsidR="00695E59" w:rsidRPr="00671D9E">
        <w:rPr>
          <w:rFonts w:cs="Cordia New"/>
          <w:cs/>
          <w:lang w:bidi="th-TH"/>
        </w:rPr>
        <w:t xml:space="preserve"> </w:t>
      </w:r>
      <w:r w:rsidR="00695E59" w:rsidRPr="00671D9E">
        <w:rPr>
          <w:rFonts w:cs="Cordia New"/>
          <w:lang w:bidi="th-TH"/>
        </w:rPr>
        <w:t>8</w:t>
      </w:r>
      <w:r w:rsidR="00695E59" w:rsidRPr="00671D9E">
        <w:rPr>
          <w:lang w:bidi="th-TH"/>
        </w:rPr>
        <w:t>, while not party to the 1951 Convention Relating to the Status of Refugees, Thailand respects the principle of non</w:t>
      </w:r>
      <w:r w:rsidR="00695E59" w:rsidRPr="00671D9E">
        <w:rPr>
          <w:cs/>
          <w:lang w:bidi="th-TH"/>
        </w:rPr>
        <w:t>-</w:t>
      </w:r>
      <w:r w:rsidR="00695E59" w:rsidRPr="00671D9E">
        <w:rPr>
          <w:lang w:bidi="th-TH"/>
        </w:rPr>
        <w:t>refoulement and has worked systematically with all sectors in the country to protect those who fled conflict and those who sought asylum, in accordance with applicable international standards</w:t>
      </w:r>
      <w:r w:rsidR="00695E59" w:rsidRPr="00671D9E">
        <w:rPr>
          <w:cs/>
          <w:lang w:bidi="th-TH"/>
        </w:rPr>
        <w:t>.</w:t>
      </w:r>
      <w:r w:rsidR="00695E59" w:rsidRPr="00671D9E">
        <w:rPr>
          <w:rFonts w:cs="Angsana New"/>
          <w:cs/>
          <w:lang w:bidi="th-TH"/>
        </w:rPr>
        <w:t xml:space="preserve"> </w:t>
      </w:r>
      <w:r w:rsidR="00695E59" w:rsidRPr="00671D9E">
        <w:rPr>
          <w:lang w:bidi="th-TH"/>
        </w:rPr>
        <w:t xml:space="preserve">In December 2018, Thailand together with many other countries adopted the Global Compact on Refugees </w:t>
      </w:r>
      <w:r w:rsidR="00695E59" w:rsidRPr="00671D9E">
        <w:rPr>
          <w:cs/>
          <w:lang w:bidi="th-TH"/>
        </w:rPr>
        <w:t>(</w:t>
      </w:r>
      <w:r w:rsidR="00695E59" w:rsidRPr="00671D9E">
        <w:rPr>
          <w:lang w:bidi="th-TH"/>
        </w:rPr>
        <w:t>GCR</w:t>
      </w:r>
      <w:r w:rsidR="00695E59" w:rsidRPr="00671D9E">
        <w:rPr>
          <w:cs/>
          <w:lang w:bidi="th-TH"/>
        </w:rPr>
        <w:t>)</w:t>
      </w:r>
      <w:r w:rsidR="00695E59" w:rsidRPr="00671D9E">
        <w:rPr>
          <w:rFonts w:cs="Angsana New"/>
          <w:cs/>
          <w:lang w:bidi="th-TH"/>
        </w:rPr>
        <w:t xml:space="preserve"> </w:t>
      </w:r>
      <w:r w:rsidR="00695E59" w:rsidRPr="00671D9E">
        <w:rPr>
          <w:lang w:bidi="th-TH"/>
        </w:rPr>
        <w:t xml:space="preserve">and the Global Compact for Safe, Orderly and Regular Migration </w:t>
      </w:r>
      <w:r w:rsidR="00695E59" w:rsidRPr="00671D9E">
        <w:rPr>
          <w:cs/>
          <w:lang w:bidi="th-TH"/>
        </w:rPr>
        <w:t>(</w:t>
      </w:r>
      <w:r w:rsidR="00695E59" w:rsidRPr="00671D9E">
        <w:rPr>
          <w:lang w:bidi="th-TH"/>
        </w:rPr>
        <w:t>GCM</w:t>
      </w:r>
      <w:r w:rsidR="00695E59" w:rsidRPr="00671D9E">
        <w:rPr>
          <w:cs/>
          <w:lang w:bidi="th-TH"/>
        </w:rPr>
        <w:t>).</w:t>
      </w:r>
    </w:p>
    <w:p w14:paraId="08302F2F" w14:textId="77A5DE83" w:rsidR="00695E59" w:rsidRPr="00671D9E" w:rsidRDefault="002B0385" w:rsidP="002B0385">
      <w:pPr>
        <w:pStyle w:val="SingleTxtG"/>
        <w:suppressAutoHyphens w:val="0"/>
        <w:rPr>
          <w:lang w:bidi="th-TH"/>
        </w:rPr>
      </w:pPr>
      <w:r w:rsidRPr="00671D9E">
        <w:rPr>
          <w:lang w:bidi="th-TH"/>
        </w:rPr>
        <w:t>51.</w:t>
      </w:r>
      <w:r w:rsidRPr="00671D9E">
        <w:rPr>
          <w:lang w:bidi="th-TH"/>
        </w:rPr>
        <w:tab/>
      </w:r>
      <w:r w:rsidR="00695E59" w:rsidRPr="00671D9E">
        <w:rPr>
          <w:lang w:bidi="th-TH"/>
        </w:rPr>
        <w:t>Illegal migrants who are deemed victims of human trafficking are assisted by the MSDHS which provides them with physical and psychological care until the end of the legal process</w:t>
      </w:r>
      <w:r w:rsidR="00695E59" w:rsidRPr="00671D9E">
        <w:rPr>
          <w:cs/>
          <w:lang w:bidi="th-TH"/>
        </w:rPr>
        <w:t>.</w:t>
      </w:r>
    </w:p>
    <w:p w14:paraId="3B8EE089" w14:textId="005AF513" w:rsidR="00695E59" w:rsidRPr="00671D9E" w:rsidRDefault="002B0385" w:rsidP="002B0385">
      <w:pPr>
        <w:pStyle w:val="SingleTxtG"/>
        <w:suppressAutoHyphens w:val="0"/>
        <w:rPr>
          <w:lang w:bidi="th-TH"/>
        </w:rPr>
      </w:pPr>
      <w:r w:rsidRPr="00671D9E">
        <w:rPr>
          <w:lang w:bidi="th-TH"/>
        </w:rPr>
        <w:t>52.</w:t>
      </w:r>
      <w:r w:rsidRPr="00671D9E">
        <w:rPr>
          <w:lang w:bidi="th-TH"/>
        </w:rPr>
        <w:tab/>
      </w:r>
      <w:r w:rsidR="00695E59" w:rsidRPr="00671D9E">
        <w:rPr>
          <w:lang w:bidi="th-TH"/>
        </w:rPr>
        <w:t>On 21 January 2019, The Royal Thai Police, and the Ministries of Social Development and Human Security, Foreign Affairs, Interior, Health, Education and Labour signed the Memorandum of Understanding on the Determination of Measures and Approaches Alternative to the Detention of Children in Immigration Centers</w:t>
      </w:r>
      <w:r w:rsidR="00695E59" w:rsidRPr="00671D9E">
        <w:rPr>
          <w:cs/>
          <w:lang w:bidi="th-TH"/>
        </w:rPr>
        <w:t>.</w:t>
      </w:r>
      <w:r w:rsidR="00695E59" w:rsidRPr="00671D9E">
        <w:rPr>
          <w:rFonts w:cs="Angsana New"/>
          <w:cs/>
          <w:lang w:bidi="th-TH"/>
        </w:rPr>
        <w:t xml:space="preserve"> </w:t>
      </w:r>
      <w:r w:rsidR="00695E59" w:rsidRPr="00671D9E">
        <w:rPr>
          <w:lang w:bidi="th-TH"/>
        </w:rPr>
        <w:t>The document defines children as those under the age of 18 who are being detained in the detention centers while awaiting repatriation by the Immigration Bureau in accordance with the laws which are based on the following principles</w:t>
      </w:r>
      <w:r w:rsidR="00695E59" w:rsidRPr="00671D9E">
        <w:rPr>
          <w:cs/>
          <w:lang w:bidi="th-TH"/>
        </w:rPr>
        <w:t>:</w:t>
      </w:r>
    </w:p>
    <w:p w14:paraId="7348C607" w14:textId="47C2FAEC" w:rsidR="00695E59" w:rsidRPr="00B24C8F" w:rsidRDefault="00B24C8F" w:rsidP="00B24C8F">
      <w:pPr>
        <w:pStyle w:val="SingleTxtG"/>
      </w:pPr>
      <w:r>
        <w:tab/>
      </w:r>
      <w:r w:rsidR="002B0385" w:rsidRPr="00B24C8F">
        <w:t>(a)</w:t>
      </w:r>
      <w:r w:rsidR="002B0385" w:rsidRPr="00B24C8F">
        <w:tab/>
      </w:r>
      <w:r w:rsidR="00695E59" w:rsidRPr="00B24C8F">
        <w:t>Children shall not be detained, except in exceptional circumstances, detention can be carried out in government custody, as a measure of last resort and in the shortest period of time possible;</w:t>
      </w:r>
    </w:p>
    <w:p w14:paraId="49E1E7B7" w14:textId="1E2103CE" w:rsidR="00695E59" w:rsidRPr="00B24C8F" w:rsidRDefault="00B24C8F" w:rsidP="00B24C8F">
      <w:pPr>
        <w:pStyle w:val="SingleTxtG"/>
      </w:pPr>
      <w:r>
        <w:lastRenderedPageBreak/>
        <w:tab/>
      </w:r>
      <w:r w:rsidR="002B0385" w:rsidRPr="00B24C8F">
        <w:t>(b)</w:t>
      </w:r>
      <w:r w:rsidR="002B0385" w:rsidRPr="00B24C8F">
        <w:tab/>
      </w:r>
      <w:r w:rsidR="00695E59" w:rsidRPr="00B24C8F">
        <w:t>The decision to detain a child must be made based on the best interests of the child, with appropriate consultation with the child;</w:t>
      </w:r>
    </w:p>
    <w:p w14:paraId="7A8323FB" w14:textId="739BC808" w:rsidR="00695E59" w:rsidRPr="00B24C8F" w:rsidRDefault="00B24C8F" w:rsidP="00B24C8F">
      <w:pPr>
        <w:pStyle w:val="SingleTxtG"/>
      </w:pPr>
      <w:r>
        <w:tab/>
      </w:r>
      <w:r w:rsidR="002B0385" w:rsidRPr="00B24C8F">
        <w:t>(c)</w:t>
      </w:r>
      <w:r w:rsidR="002B0385" w:rsidRPr="00B24C8F">
        <w:tab/>
      </w:r>
      <w:r w:rsidR="00695E59" w:rsidRPr="00B24C8F">
        <w:t>Children have the right to an adequate standard of living essential to their needs and development, helping children grow, develop and achieve their capabilities;</w:t>
      </w:r>
    </w:p>
    <w:p w14:paraId="14083F7C" w14:textId="3A55BEB6" w:rsidR="00695E59" w:rsidRPr="00B24C8F" w:rsidRDefault="00B24C8F" w:rsidP="00B24C8F">
      <w:pPr>
        <w:pStyle w:val="SingleTxtG"/>
      </w:pPr>
      <w:r>
        <w:tab/>
      </w:r>
      <w:r w:rsidR="002B0385" w:rsidRPr="00B24C8F">
        <w:t>(d)</w:t>
      </w:r>
      <w:r w:rsidR="002B0385" w:rsidRPr="00B24C8F">
        <w:tab/>
      </w:r>
      <w:r w:rsidR="00695E59" w:rsidRPr="00B24C8F">
        <w:t>Any alternative care options for children shall take into account their physical and psychological well</w:t>
      </w:r>
      <w:r w:rsidR="00695E59" w:rsidRPr="00B24C8F">
        <w:rPr>
          <w:cs/>
        </w:rPr>
        <w:t>-</w:t>
      </w:r>
      <w:r w:rsidR="00695E59" w:rsidRPr="00B24C8F">
        <w:t>being as well as a goal of long</w:t>
      </w:r>
      <w:r w:rsidR="00695E59" w:rsidRPr="00B24C8F">
        <w:rPr>
          <w:cs/>
        </w:rPr>
        <w:t>-</w:t>
      </w:r>
      <w:r w:rsidR="00695E59" w:rsidRPr="00B24C8F">
        <w:t>term and sustainable solutions;</w:t>
      </w:r>
    </w:p>
    <w:p w14:paraId="1B782FB9" w14:textId="068223DD" w:rsidR="00695E59" w:rsidRPr="00B24C8F" w:rsidRDefault="00B24C8F" w:rsidP="00B24C8F">
      <w:pPr>
        <w:pStyle w:val="SingleTxtG"/>
      </w:pPr>
      <w:r>
        <w:tab/>
      </w:r>
      <w:r w:rsidR="002B0385" w:rsidRPr="00B24C8F">
        <w:t>(e)</w:t>
      </w:r>
      <w:r w:rsidR="002B0385" w:rsidRPr="00B24C8F">
        <w:tab/>
      </w:r>
      <w:r w:rsidR="00695E59" w:rsidRPr="00B24C8F">
        <w:t>Relevant government agencies shall ensure that they have appropriate measures for the protection and assistance of children.</w:t>
      </w:r>
    </w:p>
    <w:p w14:paraId="6CCB7E1B" w14:textId="4635728F" w:rsidR="00695E59" w:rsidRPr="00A56767" w:rsidRDefault="00695E59" w:rsidP="00A56767">
      <w:pPr>
        <w:pStyle w:val="H23G"/>
        <w:rPr>
          <w:rFonts w:eastAsia="ZWAdobeF"/>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12 of the list of issues</w:t>
      </w:r>
    </w:p>
    <w:p w14:paraId="55B1D0F6" w14:textId="66F533B7" w:rsidR="00695E59" w:rsidRPr="00671D9E" w:rsidRDefault="002B0385" w:rsidP="002B0385">
      <w:pPr>
        <w:pStyle w:val="SingleTxtG"/>
        <w:suppressAutoHyphens w:val="0"/>
        <w:rPr>
          <w:lang w:bidi="th-TH"/>
        </w:rPr>
      </w:pPr>
      <w:r w:rsidRPr="00671D9E">
        <w:rPr>
          <w:lang w:bidi="th-TH"/>
        </w:rPr>
        <w:t>53.</w:t>
      </w:r>
      <w:r w:rsidRPr="00671D9E">
        <w:rPr>
          <w:lang w:bidi="th-TH"/>
        </w:rPr>
        <w:tab/>
      </w:r>
      <w:r w:rsidR="00695E59" w:rsidRPr="00671D9E">
        <w:rPr>
          <w:lang w:bidi="th-TH"/>
        </w:rPr>
        <w:t>Thailand is in the process of establishing a screening system to distinguish those who need international protection from economic migrants through the Regulation of the Office of the Prime Minister on Screening of Aliens who Enter into the Kingdom and are Unable to Return to the Country of Origin, which entered into force on 22 June 2020, as referred to in paragraph 8. Therefore, a national system to register asylum applications is not yet in place, thus statistics in this respect have not been kept by concerned authorities.</w:t>
      </w:r>
    </w:p>
    <w:p w14:paraId="21AA50A6" w14:textId="0B78B098" w:rsidR="00695E59" w:rsidRPr="00A56767" w:rsidRDefault="00695E59" w:rsidP="00A56767">
      <w:pPr>
        <w:pStyle w:val="H23G"/>
        <w:rPr>
          <w:rFonts w:eastAsia="ZWAdobeF"/>
        </w:rPr>
      </w:pPr>
      <w:r w:rsidRPr="00671D9E">
        <w:rPr>
          <w:rFonts w:eastAsia="ZWAdobeF"/>
          <w:sz w:val="28"/>
          <w:szCs w:val="28"/>
          <w:lang w:bidi="th-TH"/>
        </w:rPr>
        <w:tab/>
      </w:r>
      <w:r w:rsidRPr="00671D9E">
        <w:rPr>
          <w:rFonts w:eastAsia="ZWAdobeF"/>
          <w:sz w:val="28"/>
          <w:szCs w:val="28"/>
          <w:lang w:bidi="th-TH"/>
        </w:rPr>
        <w:tab/>
      </w:r>
      <w:r w:rsidRPr="00671D9E">
        <w:t>Reply to paragraph 13 of the list of issues</w:t>
      </w:r>
    </w:p>
    <w:p w14:paraId="1DE4BDA2" w14:textId="3AB904AD" w:rsidR="00695E59" w:rsidRPr="00671D9E" w:rsidRDefault="002B0385" w:rsidP="002B0385">
      <w:pPr>
        <w:pStyle w:val="SingleTxtG"/>
        <w:suppressAutoHyphens w:val="0"/>
        <w:rPr>
          <w:lang w:bidi="th-TH"/>
        </w:rPr>
      </w:pPr>
      <w:r w:rsidRPr="00671D9E">
        <w:rPr>
          <w:lang w:bidi="th-TH"/>
        </w:rPr>
        <w:t>54.</w:t>
      </w:r>
      <w:r w:rsidRPr="00671D9E">
        <w:rPr>
          <w:lang w:bidi="th-TH"/>
        </w:rPr>
        <w:tab/>
      </w:r>
      <w:r w:rsidR="00695E59" w:rsidRPr="00671D9E">
        <w:rPr>
          <w:lang w:bidi="th-TH"/>
        </w:rPr>
        <w:t>Mr. Muhammet Furkan Sökmen</w:t>
      </w:r>
      <w:r w:rsidR="00695E59" w:rsidRPr="00671D9E">
        <w:rPr>
          <w:rFonts w:cs="Angsana New"/>
          <w:cs/>
          <w:lang w:bidi="th-TH"/>
        </w:rPr>
        <w:t xml:space="preserve"> </w:t>
      </w:r>
      <w:r w:rsidR="00695E59" w:rsidRPr="00671D9E">
        <w:rPr>
          <w:lang w:bidi="th-TH"/>
        </w:rPr>
        <w:t>was in a transit area in Suvarnabhumi Airport and never passed</w:t>
      </w:r>
      <w:r w:rsidR="00695E59" w:rsidRPr="00671D9E">
        <w:rPr>
          <w:rFonts w:cs="Angsana New"/>
          <w:cs/>
          <w:lang w:bidi="th-TH"/>
        </w:rPr>
        <w:t xml:space="preserve"> </w:t>
      </w:r>
      <w:r w:rsidR="00695E59" w:rsidRPr="00671D9E">
        <w:rPr>
          <w:lang w:bidi="th-TH"/>
        </w:rPr>
        <w:t>through immigration</w:t>
      </w:r>
      <w:r w:rsidR="00695E59" w:rsidRPr="00671D9E">
        <w:rPr>
          <w:rFonts w:cs="Angsana New"/>
          <w:cs/>
          <w:lang w:bidi="th-TH"/>
        </w:rPr>
        <w:t xml:space="preserve"> </w:t>
      </w:r>
      <w:r w:rsidR="00695E59" w:rsidRPr="00671D9E">
        <w:rPr>
          <w:lang w:bidi="th-TH"/>
        </w:rPr>
        <w:t>control</w:t>
      </w:r>
      <w:r w:rsidR="00695E59" w:rsidRPr="00671D9E">
        <w:rPr>
          <w:cs/>
          <w:lang w:bidi="th-TH"/>
        </w:rPr>
        <w:t>.</w:t>
      </w:r>
      <w:r w:rsidR="00695E59" w:rsidRPr="00671D9E">
        <w:rPr>
          <w:rFonts w:cs="Angsana New"/>
          <w:cs/>
          <w:lang w:bidi="th-TH"/>
        </w:rPr>
        <w:t xml:space="preserve"> </w:t>
      </w:r>
      <w:r w:rsidR="00695E59" w:rsidRPr="00671D9E">
        <w:rPr>
          <w:lang w:bidi="th-TH"/>
        </w:rPr>
        <w:t>Therefore, Thailand is unable to comment on his deportation from Myanmar to Turkey, the country of origin</w:t>
      </w:r>
      <w:r w:rsidR="00695E59" w:rsidRPr="00671D9E">
        <w:rPr>
          <w:cs/>
          <w:lang w:bidi="th-TH"/>
        </w:rPr>
        <w:t>.</w:t>
      </w:r>
    </w:p>
    <w:p w14:paraId="6B4BB4B5" w14:textId="77777777" w:rsidR="00695E59" w:rsidRPr="00671D9E" w:rsidRDefault="00695E59" w:rsidP="00A56767">
      <w:pPr>
        <w:pStyle w:val="HChG"/>
        <w:rPr>
          <w:lang w:bidi="th-TH"/>
        </w:rPr>
      </w:pPr>
      <w:r w:rsidRPr="00671D9E">
        <w:rPr>
          <w:lang w:bidi="th-TH"/>
        </w:rPr>
        <w:tab/>
      </w:r>
      <w:r w:rsidRPr="00671D9E">
        <w:rPr>
          <w:lang w:bidi="th-TH"/>
        </w:rPr>
        <w:tab/>
        <w:t>Article 10</w:t>
      </w:r>
    </w:p>
    <w:p w14:paraId="5260812F" w14:textId="301B7197" w:rsidR="00695E59" w:rsidRPr="00671D9E" w:rsidRDefault="00695E59" w:rsidP="00A56767">
      <w:pPr>
        <w:pStyle w:val="H23G"/>
        <w:rPr>
          <w:rFonts w:eastAsia="ZWAdobeF"/>
          <w:b w:val="0"/>
          <w:bCs/>
          <w:spacing w:val="-8"/>
          <w:sz w:val="28"/>
          <w:szCs w:val="28"/>
          <w:lang w:bidi="th-TH"/>
        </w:rPr>
      </w:pPr>
      <w:r w:rsidRPr="00671D9E">
        <w:rPr>
          <w:rFonts w:eastAsia="ZWAdobeF"/>
          <w:b w:val="0"/>
          <w:bCs/>
          <w:spacing w:val="-8"/>
          <w:sz w:val="28"/>
          <w:szCs w:val="28"/>
          <w:lang w:bidi="th-TH"/>
        </w:rPr>
        <w:tab/>
      </w:r>
      <w:r w:rsidRPr="00671D9E">
        <w:rPr>
          <w:rFonts w:eastAsia="ZWAdobeF"/>
          <w:b w:val="0"/>
          <w:bCs/>
          <w:spacing w:val="-8"/>
          <w:sz w:val="28"/>
          <w:szCs w:val="28"/>
          <w:lang w:bidi="th-TH"/>
        </w:rPr>
        <w:tab/>
      </w:r>
      <w:r w:rsidRPr="00671D9E">
        <w:t xml:space="preserve">Reply to paragraph 14 of the list of </w:t>
      </w:r>
      <w:r w:rsidRPr="00A56767">
        <w:t>issues</w:t>
      </w:r>
    </w:p>
    <w:p w14:paraId="5B48C49C" w14:textId="2B74CBBE" w:rsidR="00695E59" w:rsidRPr="00671D9E" w:rsidRDefault="002B0385" w:rsidP="002B0385">
      <w:pPr>
        <w:pStyle w:val="SingleTxtG"/>
        <w:suppressAutoHyphens w:val="0"/>
        <w:rPr>
          <w:lang w:bidi="th-TH"/>
        </w:rPr>
      </w:pPr>
      <w:r w:rsidRPr="00671D9E">
        <w:rPr>
          <w:lang w:bidi="th-TH"/>
        </w:rPr>
        <w:t>55.</w:t>
      </w:r>
      <w:r w:rsidRPr="00671D9E">
        <w:rPr>
          <w:lang w:bidi="th-TH"/>
        </w:rPr>
        <w:tab/>
      </w:r>
      <w:r w:rsidR="00695E59" w:rsidRPr="00671D9E">
        <w:rPr>
          <w:lang w:bidi="th-TH"/>
        </w:rPr>
        <w:t xml:space="preserve">During the reporting cycle, training courses on torture and enforced disappearance </w:t>
      </w:r>
      <w:r w:rsidR="00695E59" w:rsidRPr="00671D9E">
        <w:rPr>
          <w:spacing w:val="-6"/>
          <w:lang w:bidi="th-TH"/>
        </w:rPr>
        <w:t>prevention</w:t>
      </w:r>
      <w:r w:rsidR="00695E59" w:rsidRPr="00671D9E">
        <w:rPr>
          <w:lang w:bidi="th-TH"/>
        </w:rPr>
        <w:t xml:space="preserve"> were regularly provided for state officials in the armed forces, the police, prisons and other related agencies</w:t>
      </w:r>
      <w:r w:rsidR="00695E59" w:rsidRPr="00671D9E">
        <w:rPr>
          <w:cs/>
          <w:lang w:bidi="th-TH"/>
        </w:rPr>
        <w:t>.</w:t>
      </w:r>
      <w:r w:rsidR="00695E59" w:rsidRPr="00671D9E">
        <w:rPr>
          <w:rFonts w:cs="Angsana New"/>
          <w:cs/>
          <w:lang w:bidi="th-TH"/>
        </w:rPr>
        <w:t xml:space="preserve"> </w:t>
      </w:r>
      <w:r w:rsidR="00695E59" w:rsidRPr="00671D9E">
        <w:rPr>
          <w:lang w:bidi="th-TH"/>
        </w:rPr>
        <w:t>This training was both part of routine programmes and</w:t>
      </w:r>
      <w:r w:rsidR="00695E59" w:rsidRPr="00671D9E">
        <w:rPr>
          <w:rFonts w:cs="Angsana New"/>
          <w:cs/>
          <w:lang w:bidi="th-TH"/>
        </w:rPr>
        <w:t xml:space="preserve"> </w:t>
      </w:r>
      <w:r w:rsidR="00695E59" w:rsidRPr="00671D9E">
        <w:rPr>
          <w:lang w:bidi="th-TH"/>
        </w:rPr>
        <w:t>special sessions</w:t>
      </w:r>
      <w:r w:rsidR="00695E59" w:rsidRPr="00671D9E">
        <w:rPr>
          <w:cs/>
          <w:lang w:bidi="th-TH"/>
        </w:rPr>
        <w:t>.</w:t>
      </w:r>
      <w:r w:rsidR="00695E59" w:rsidRPr="00671D9E">
        <w:rPr>
          <w:rFonts w:cs="Angsana New"/>
          <w:cs/>
          <w:lang w:bidi="th-TH"/>
        </w:rPr>
        <w:t xml:space="preserve"> </w:t>
      </w:r>
      <w:r w:rsidR="00695E59" w:rsidRPr="00671D9E">
        <w:rPr>
          <w:lang w:bidi="th-TH"/>
        </w:rPr>
        <w:t>The following are examples of courses provided by responsible agencies:</w:t>
      </w:r>
    </w:p>
    <w:p w14:paraId="11AB7B07" w14:textId="31562E9E" w:rsidR="00695E59" w:rsidRPr="00F54562" w:rsidRDefault="00F54562" w:rsidP="00F54562">
      <w:pPr>
        <w:pStyle w:val="SingleTxtG"/>
      </w:pPr>
      <w:r>
        <w:tab/>
      </w:r>
      <w:r w:rsidR="002B0385" w:rsidRPr="00F54562">
        <w:t>(a)</w:t>
      </w:r>
      <w:r w:rsidR="002B0385" w:rsidRPr="00F54562">
        <w:tab/>
      </w:r>
      <w:r w:rsidR="00695E59" w:rsidRPr="00F54562">
        <w:t>In the Sergeants School, the GE 21102 course on Human Rights for Police Officers is a compulsory module offered to sergeants to cover the Universal Declaration of Human Rights, the International Covenant on Civil and Political Rights, as well as the Convention against Torture and Other Cruel, Inhuman or Degrading Treatment or Punishment;</w:t>
      </w:r>
    </w:p>
    <w:p w14:paraId="7A9B73A9" w14:textId="0B63C8DA" w:rsidR="00695E59" w:rsidRPr="00F54562" w:rsidRDefault="00F54562" w:rsidP="00F54562">
      <w:pPr>
        <w:pStyle w:val="SingleTxtG"/>
      </w:pPr>
      <w:r>
        <w:tab/>
      </w:r>
      <w:r w:rsidR="002B0385" w:rsidRPr="00F54562">
        <w:t>(b)</w:t>
      </w:r>
      <w:r w:rsidR="002B0385" w:rsidRPr="00F54562">
        <w:tab/>
      </w:r>
      <w:r w:rsidR="00695E59" w:rsidRPr="00F54562">
        <w:t>Lectures and training related to the provisions of the Convention against Torture and Other Cruel, Inhuman or Degrading Treatment or Punishment were presented to officers working in the Southern Border Provinces of Thailand by the RLPD</w:t>
      </w:r>
      <w:r w:rsidR="00695E59" w:rsidRPr="00F54562">
        <w:rPr>
          <w:cs/>
        </w:rPr>
        <w:t xml:space="preserve">. </w:t>
      </w:r>
      <w:r w:rsidR="00695E59" w:rsidRPr="00F54562">
        <w:t>The aim was to ensure that all officials were aware of rights</w:t>
      </w:r>
      <w:r w:rsidR="00695E59" w:rsidRPr="00F54562">
        <w:rPr>
          <w:cs/>
        </w:rPr>
        <w:t>-</w:t>
      </w:r>
      <w:r w:rsidR="00695E59" w:rsidRPr="00F54562">
        <w:t>based principles and concepts of the Convention</w:t>
      </w:r>
      <w:r w:rsidR="00695E59" w:rsidRPr="00F54562">
        <w:rPr>
          <w:cs/>
        </w:rPr>
        <w:t>.</w:t>
      </w:r>
      <w:r w:rsidR="00695E59" w:rsidRPr="00F54562">
        <w:t xml:space="preserve"> The participants</w:t>
      </w:r>
      <w:r w:rsidR="00695E59" w:rsidRPr="00F54562">
        <w:rPr>
          <w:cs/>
        </w:rPr>
        <w:t xml:space="preserve"> </w:t>
      </w:r>
      <w:r w:rsidR="00695E59" w:rsidRPr="00F54562">
        <w:t xml:space="preserve">of the courses were military officers, police officers, administrative officers and criminal justice officers of the Ministry of Justice in the provinces </w:t>
      </w:r>
      <w:r w:rsidR="00695E59" w:rsidRPr="00F54562">
        <w:rPr>
          <w:cs/>
        </w:rPr>
        <w:t>(</w:t>
      </w:r>
      <w:r w:rsidR="00695E59" w:rsidRPr="00F54562">
        <w:t>Songkhla, Pattani, Yala and Narathiwat</w:t>
      </w:r>
      <w:r w:rsidR="00695E59" w:rsidRPr="00F54562">
        <w:rPr>
          <w:cs/>
        </w:rPr>
        <w:t>).</w:t>
      </w:r>
      <w:r w:rsidR="00695E59" w:rsidRPr="00F54562">
        <w:t xml:space="preserve"> In addition to the CAT, the courses discussed</w:t>
      </w:r>
      <w:r w:rsidR="00695E59" w:rsidRPr="00F54562">
        <w:rPr>
          <w:cs/>
        </w:rPr>
        <w:t xml:space="preserve"> </w:t>
      </w:r>
      <w:r w:rsidR="00695E59" w:rsidRPr="00F54562">
        <w:t>the application of special laws in compliance with human rights obligations such as the UN Basic Principles on the Use of Force and Firearms by Law Enforcement Officials</w:t>
      </w:r>
      <w:r w:rsidR="00695E59" w:rsidRPr="00F54562">
        <w:rPr>
          <w:cs/>
        </w:rPr>
        <w:t xml:space="preserve">. </w:t>
      </w:r>
      <w:r w:rsidR="00695E59" w:rsidRPr="00F54562">
        <w:t>The numbers of participants in the years 2016, 2017, 2018 and 2019 were</w:t>
      </w:r>
      <w:r w:rsidR="00695E59" w:rsidRPr="00F54562">
        <w:rPr>
          <w:cs/>
        </w:rPr>
        <w:t xml:space="preserve"> </w:t>
      </w:r>
      <w:r w:rsidR="00695E59" w:rsidRPr="00F54562">
        <w:t>3,400, 1,923, 1,920 and</w:t>
      </w:r>
      <w:r w:rsidR="00695E59" w:rsidRPr="00F54562">
        <w:rPr>
          <w:cs/>
        </w:rPr>
        <w:t xml:space="preserve"> 2</w:t>
      </w:r>
      <w:r w:rsidR="00695E59" w:rsidRPr="00F54562">
        <w:t>,</w:t>
      </w:r>
      <w:r w:rsidR="00695E59" w:rsidRPr="00F54562">
        <w:rPr>
          <w:cs/>
        </w:rPr>
        <w:t>44</w:t>
      </w:r>
      <w:r w:rsidR="00695E59" w:rsidRPr="00F54562">
        <w:t>0, respectively</w:t>
      </w:r>
      <w:r w:rsidR="00695E59" w:rsidRPr="00F54562">
        <w:rPr>
          <w:cs/>
        </w:rPr>
        <w:t>;</w:t>
      </w:r>
    </w:p>
    <w:p w14:paraId="38B11C79" w14:textId="0E1CFBA9" w:rsidR="00695E59" w:rsidRPr="00F54562" w:rsidRDefault="00F54562" w:rsidP="00F54562">
      <w:pPr>
        <w:pStyle w:val="SingleTxtG"/>
      </w:pPr>
      <w:r>
        <w:tab/>
      </w:r>
      <w:r w:rsidR="002B0385" w:rsidRPr="00F54562">
        <w:t>(c)</w:t>
      </w:r>
      <w:r w:rsidR="002B0385" w:rsidRPr="00F54562">
        <w:tab/>
      </w:r>
      <w:r w:rsidR="00695E59" w:rsidRPr="00F54562">
        <w:t>The National Human Rights Commission has developed</w:t>
      </w:r>
      <w:r w:rsidR="00695E59" w:rsidRPr="00F54562">
        <w:rPr>
          <w:cs/>
        </w:rPr>
        <w:t xml:space="preserve"> </w:t>
      </w:r>
      <w:r w:rsidR="00695E59" w:rsidRPr="00F54562">
        <w:t xml:space="preserve">training courses titled </w:t>
      </w:r>
      <w:r w:rsidR="00A56767" w:rsidRPr="00F54562">
        <w:rPr>
          <w:rFonts w:hint="cs"/>
          <w:cs/>
        </w:rPr>
        <w:t>“</w:t>
      </w:r>
      <w:r w:rsidR="00695E59" w:rsidRPr="00F54562">
        <w:t>The Prevention of Torture and Other Cruel, Inhuman or Degrading Treatment or Punishment in Thailand</w:t>
      </w:r>
      <w:r w:rsidR="00A56767" w:rsidRPr="00F54562">
        <w:rPr>
          <w:cs/>
        </w:rPr>
        <w:t>”</w:t>
      </w:r>
      <w:r w:rsidR="00695E59" w:rsidRPr="00F54562">
        <w:t xml:space="preserve"> for military officers, policemen, administrative officers and correction officers consistently and regularly throughout the year</w:t>
      </w:r>
      <w:r w:rsidR="00695E59" w:rsidRPr="00F54562">
        <w:rPr>
          <w:cs/>
        </w:rPr>
        <w:t>.</w:t>
      </w:r>
      <w:r w:rsidR="00695E59" w:rsidRPr="00F54562">
        <w:t xml:space="preserve"> More than 1,000 officers have enrolled in the course</w:t>
      </w:r>
      <w:r w:rsidR="00695E59" w:rsidRPr="00F54562">
        <w:rPr>
          <w:cs/>
        </w:rPr>
        <w:t>;</w:t>
      </w:r>
    </w:p>
    <w:p w14:paraId="7D9E0E04" w14:textId="08EF392C" w:rsidR="00695E59" w:rsidRPr="00F54562" w:rsidRDefault="00F54562" w:rsidP="00F54562">
      <w:pPr>
        <w:pStyle w:val="SingleTxtG"/>
      </w:pPr>
      <w:r>
        <w:tab/>
      </w:r>
      <w:r w:rsidR="002B0385" w:rsidRPr="00F54562">
        <w:t>(d)</w:t>
      </w:r>
      <w:r w:rsidR="002B0385" w:rsidRPr="00F54562">
        <w:tab/>
      </w:r>
      <w:r w:rsidR="00695E59" w:rsidRPr="00F54562">
        <w:t>Training courses provided by the Corrections Department</w:t>
      </w:r>
      <w:r w:rsidR="00695E59" w:rsidRPr="00F54562">
        <w:rPr>
          <w:cs/>
        </w:rPr>
        <w:t xml:space="preserve"> </w:t>
      </w:r>
      <w:r w:rsidR="00695E59" w:rsidRPr="00F54562">
        <w:t>cover</w:t>
      </w:r>
      <w:r w:rsidR="00695E59" w:rsidRPr="00F54562">
        <w:rPr>
          <w:cs/>
        </w:rPr>
        <w:t xml:space="preserve"> </w:t>
      </w:r>
      <w:r w:rsidR="00695E59" w:rsidRPr="00F54562">
        <w:t>human rights in general and also the prevention of torture and enforced disappearance. The courses have been mandatory for newly recruited civil servants and officials at the management level</w:t>
      </w:r>
      <w:r w:rsidR="00695E59" w:rsidRPr="00F54562">
        <w:rPr>
          <w:cs/>
        </w:rPr>
        <w:t>;</w:t>
      </w:r>
    </w:p>
    <w:p w14:paraId="338CBB45" w14:textId="5C70F7FE" w:rsidR="00695E59" w:rsidRPr="00F54562" w:rsidRDefault="00F54562" w:rsidP="00F54562">
      <w:pPr>
        <w:pStyle w:val="SingleTxtG"/>
      </w:pPr>
      <w:r>
        <w:lastRenderedPageBreak/>
        <w:tab/>
      </w:r>
      <w:r w:rsidR="002B0385" w:rsidRPr="00F54562">
        <w:t>(e)</w:t>
      </w:r>
      <w:r w:rsidR="002B0385" w:rsidRPr="00F54562">
        <w:tab/>
      </w:r>
      <w:r w:rsidR="00695E59" w:rsidRPr="00F54562">
        <w:t>The Internal Security Operations Command Region 4 provided courses on human rights to military officers and other relevant officials throughout the year.</w:t>
      </w:r>
      <w:r w:rsidR="00695E59" w:rsidRPr="00F54562">
        <w:rPr>
          <w:cs/>
        </w:rPr>
        <w:t xml:space="preserve"> </w:t>
      </w:r>
      <w:r w:rsidR="00695E59" w:rsidRPr="00F54562">
        <w:t>The course highlights two important topics: (1) human rights facilitators and (2) effective legal enforcement for officials in Southern border provinces. In 2019, a total of 1,546 officers participated in the course;</w:t>
      </w:r>
    </w:p>
    <w:p w14:paraId="38F91DCF" w14:textId="74E6AF26" w:rsidR="00695E59" w:rsidRPr="00F54562" w:rsidRDefault="00F54562" w:rsidP="00F54562">
      <w:pPr>
        <w:pStyle w:val="SingleTxtG"/>
      </w:pPr>
      <w:r>
        <w:tab/>
      </w:r>
      <w:r w:rsidR="002B0385" w:rsidRPr="00F54562">
        <w:t>(f)</w:t>
      </w:r>
      <w:r w:rsidR="002B0385" w:rsidRPr="00F54562">
        <w:tab/>
      </w:r>
      <w:r w:rsidR="00695E59" w:rsidRPr="00F54562">
        <w:t>The Police College taught 960 inspectors during 2018</w:t>
      </w:r>
      <w:r w:rsidR="00695E59" w:rsidRPr="00F54562">
        <w:rPr>
          <w:cs/>
        </w:rPr>
        <w:t>-</w:t>
      </w:r>
      <w:r w:rsidR="00695E59" w:rsidRPr="00F54562">
        <w:t>2019 and 2,080 superintendents between 2017</w:t>
      </w:r>
      <w:r w:rsidR="00695E59" w:rsidRPr="00F54562">
        <w:rPr>
          <w:cs/>
        </w:rPr>
        <w:t>-</w:t>
      </w:r>
      <w:r w:rsidR="00695E59" w:rsidRPr="00F54562">
        <w:t>2019 in a course on the prevention of torture and enforced disappearance;</w:t>
      </w:r>
    </w:p>
    <w:p w14:paraId="47F95C93" w14:textId="50DA49E0" w:rsidR="00695E59" w:rsidRPr="00F54562" w:rsidRDefault="00F54562" w:rsidP="00F54562">
      <w:pPr>
        <w:pStyle w:val="SingleTxtG"/>
      </w:pPr>
      <w:r>
        <w:tab/>
      </w:r>
      <w:r w:rsidR="002B0385" w:rsidRPr="00F54562">
        <w:t>(g)</w:t>
      </w:r>
      <w:r w:rsidR="002B0385" w:rsidRPr="00F54562">
        <w:tab/>
      </w:r>
      <w:r w:rsidR="00695E59" w:rsidRPr="00F54562">
        <w:t>The RLPD conducted field visits to train law enforcement officers in 12 provinces during the reporting period</w:t>
      </w:r>
      <w:r w:rsidR="00695E59" w:rsidRPr="00F54562">
        <w:rPr>
          <w:cs/>
        </w:rPr>
        <w:t>.</w:t>
      </w:r>
      <w:r w:rsidR="00695E59" w:rsidRPr="00F54562">
        <w:t xml:space="preserve"> The evidence of success of these sessions of training can be found in the statistics</w:t>
      </w:r>
      <w:r w:rsidR="00695E59" w:rsidRPr="00F54562">
        <w:rPr>
          <w:cs/>
        </w:rPr>
        <w:t xml:space="preserve"> </w:t>
      </w:r>
      <w:r w:rsidR="00695E59" w:rsidRPr="00F54562">
        <w:t>concerning complaints received by the National Committee for Managing Cases Relating to Torture and Enforced Disappearance, which indicates that incidents of torture and enforced disappearance have continuously decreased over the past few years.</w:t>
      </w:r>
    </w:p>
    <w:p w14:paraId="44614D17" w14:textId="27E17471" w:rsidR="00695E59" w:rsidRPr="00671D9E" w:rsidRDefault="00695E59" w:rsidP="00695E59">
      <w:pPr>
        <w:pStyle w:val="H23G"/>
        <w:rPr>
          <w:rFonts w:eastAsia="ZWAdobeF"/>
          <w:bCs/>
          <w:spacing w:val="-8"/>
          <w:sz w:val="28"/>
          <w:szCs w:val="28"/>
          <w:lang w:bidi="th-TH"/>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15 of the list of issues</w:t>
      </w:r>
    </w:p>
    <w:p w14:paraId="63D75574" w14:textId="7A141395" w:rsidR="00695E59" w:rsidRPr="00671D9E" w:rsidRDefault="002B0385" w:rsidP="002B0385">
      <w:pPr>
        <w:pStyle w:val="SingleTxtG"/>
        <w:suppressAutoHyphens w:val="0"/>
        <w:rPr>
          <w:lang w:bidi="th-TH"/>
        </w:rPr>
      </w:pPr>
      <w:bookmarkStart w:id="2" w:name="_Hlk41057163"/>
      <w:r w:rsidRPr="00671D9E">
        <w:rPr>
          <w:lang w:bidi="th-TH"/>
        </w:rPr>
        <w:t>56.</w:t>
      </w:r>
      <w:r w:rsidRPr="00671D9E">
        <w:rPr>
          <w:lang w:bidi="th-TH"/>
        </w:rPr>
        <w:tab/>
      </w:r>
      <w:r w:rsidR="00695E59" w:rsidRPr="00671D9E">
        <w:rPr>
          <w:lang w:bidi="th-TH"/>
        </w:rPr>
        <w:t>The Office of the Attorney</w:t>
      </w:r>
      <w:r w:rsidR="00695E59" w:rsidRPr="00671D9E">
        <w:rPr>
          <w:cs/>
          <w:lang w:bidi="th-TH"/>
        </w:rPr>
        <w:t>-</w:t>
      </w:r>
      <w:r w:rsidR="00695E59" w:rsidRPr="00671D9E">
        <w:rPr>
          <w:lang w:bidi="th-TH"/>
        </w:rPr>
        <w:t>General offers courses designed for prosecutors with key learning points of forensic science which include forensic evidence and chemistry, as well as autopsy</w:t>
      </w:r>
      <w:r w:rsidR="00695E59" w:rsidRPr="00671D9E">
        <w:rPr>
          <w:cs/>
          <w:lang w:bidi="th-TH"/>
        </w:rPr>
        <w:t>.</w:t>
      </w:r>
      <w:r w:rsidR="00695E59" w:rsidRPr="00671D9E">
        <w:rPr>
          <w:rFonts w:cs="Angsana New"/>
          <w:cs/>
          <w:lang w:bidi="th-TH"/>
        </w:rPr>
        <w:t xml:space="preserve"> </w:t>
      </w:r>
      <w:r w:rsidR="00695E59" w:rsidRPr="00671D9E">
        <w:rPr>
          <w:lang w:bidi="th-TH"/>
        </w:rPr>
        <w:t>By developing these skills, prosecutors will be able to distinguish different types of wounds or injuries which are essential</w:t>
      </w:r>
      <w:r w:rsidR="00695E59" w:rsidRPr="00671D9E">
        <w:rPr>
          <w:rFonts w:cs="Angsana New"/>
          <w:cs/>
          <w:lang w:bidi="th-TH"/>
        </w:rPr>
        <w:t xml:space="preserve"> </w:t>
      </w:r>
      <w:r w:rsidR="00695E59" w:rsidRPr="00671D9E">
        <w:rPr>
          <w:lang w:bidi="th-TH"/>
        </w:rPr>
        <w:t>to documenting cases of torture</w:t>
      </w:r>
      <w:r w:rsidR="00695E59" w:rsidRPr="00671D9E">
        <w:rPr>
          <w:cs/>
          <w:lang w:bidi="th-TH"/>
        </w:rPr>
        <w:t>.</w:t>
      </w:r>
    </w:p>
    <w:p w14:paraId="56F624C5" w14:textId="55AD72A5" w:rsidR="00695E59" w:rsidRPr="00671D9E" w:rsidRDefault="002B0385" w:rsidP="002B0385">
      <w:pPr>
        <w:pStyle w:val="SingleTxtG"/>
        <w:suppressAutoHyphens w:val="0"/>
        <w:rPr>
          <w:lang w:bidi="th-TH"/>
        </w:rPr>
      </w:pPr>
      <w:r w:rsidRPr="00671D9E">
        <w:rPr>
          <w:lang w:bidi="th-TH"/>
        </w:rPr>
        <w:t>57.</w:t>
      </w:r>
      <w:r w:rsidRPr="00671D9E">
        <w:rPr>
          <w:lang w:bidi="th-TH"/>
        </w:rPr>
        <w:tab/>
      </w:r>
      <w:r w:rsidR="00695E59" w:rsidRPr="00671D9E">
        <w:rPr>
          <w:rFonts w:cs="Angsana New"/>
          <w:lang w:bidi="th-TH"/>
        </w:rPr>
        <w:t>The</w:t>
      </w:r>
      <w:r w:rsidR="00695E59" w:rsidRPr="00671D9E">
        <w:rPr>
          <w:rFonts w:cs="Angsana New"/>
          <w:cs/>
          <w:lang w:bidi="th-TH"/>
        </w:rPr>
        <w:t xml:space="preserve"> </w:t>
      </w:r>
      <w:r w:rsidR="00695E59" w:rsidRPr="00671D9E">
        <w:rPr>
          <w:lang w:bidi="th-TH"/>
        </w:rPr>
        <w:t>RLPD</w:t>
      </w:r>
      <w:r w:rsidR="00695E59" w:rsidRPr="00671D9E">
        <w:rPr>
          <w:rFonts w:cs="Angsana New"/>
          <w:cs/>
          <w:lang w:bidi="th-TH"/>
        </w:rPr>
        <w:t xml:space="preserve"> </w:t>
      </w:r>
      <w:r w:rsidR="00695E59" w:rsidRPr="00671D9E">
        <w:rPr>
          <w:lang w:bidi="th-TH"/>
        </w:rPr>
        <w:t>together with the International Commission of Jurists and the Office of the United Nations High Commissioner for Human Rights</w:t>
      </w:r>
      <w:r w:rsidR="00695E59" w:rsidRPr="00671D9E">
        <w:rPr>
          <w:rFonts w:cs="Angsana New"/>
          <w:cs/>
          <w:lang w:bidi="th-TH"/>
        </w:rPr>
        <w:t xml:space="preserve"> </w:t>
      </w:r>
      <w:r w:rsidR="00695E59" w:rsidRPr="00671D9E">
        <w:rPr>
          <w:lang w:bidi="th-TH"/>
        </w:rPr>
        <w:t>developed a capacity</w:t>
      </w:r>
      <w:r w:rsidR="00695E59" w:rsidRPr="00671D9E">
        <w:rPr>
          <w:cs/>
          <w:lang w:bidi="th-TH"/>
        </w:rPr>
        <w:t>-</w:t>
      </w:r>
      <w:r w:rsidR="00695E59" w:rsidRPr="00671D9E">
        <w:rPr>
          <w:lang w:bidi="th-TH"/>
        </w:rPr>
        <w:t>building training course for medical personnel and other responsible officers on the subjects of human rights, investigation and forensic science in torture, enforced disappearance cases, including unlawful deaths as referred to by the Istanbul Protocol and the Minnesota Protocol. This course has been held</w:t>
      </w:r>
      <w:r w:rsidR="00695E59" w:rsidRPr="00671D9E">
        <w:rPr>
          <w:rFonts w:cs="Cordia New"/>
          <w:lang w:bidi="th-TH"/>
        </w:rPr>
        <w:t xml:space="preserve"> regularly since 2017.</w:t>
      </w:r>
    </w:p>
    <w:p w14:paraId="3BED8D68" w14:textId="4832888D" w:rsidR="00695E59" w:rsidRPr="00671D9E" w:rsidRDefault="002B0385" w:rsidP="002B0385">
      <w:pPr>
        <w:pStyle w:val="SingleTxtG"/>
        <w:suppressAutoHyphens w:val="0"/>
        <w:rPr>
          <w:b/>
          <w:bCs/>
          <w:spacing w:val="-8"/>
          <w:lang w:bidi="th-TH"/>
        </w:rPr>
      </w:pPr>
      <w:r w:rsidRPr="00671D9E">
        <w:rPr>
          <w:bCs/>
          <w:spacing w:val="-8"/>
          <w:lang w:bidi="th-TH"/>
        </w:rPr>
        <w:t>58.</w:t>
      </w:r>
      <w:r w:rsidRPr="00671D9E">
        <w:rPr>
          <w:bCs/>
          <w:spacing w:val="-8"/>
          <w:lang w:bidi="th-TH"/>
        </w:rPr>
        <w:tab/>
      </w:r>
      <w:r w:rsidR="00695E59" w:rsidRPr="00671D9E">
        <w:rPr>
          <w:lang w:bidi="th-TH"/>
        </w:rPr>
        <w:t>The Central Institute of Forensic Science has convened a series of training concerning human rights principles</w:t>
      </w:r>
      <w:r w:rsidR="00695E59" w:rsidRPr="00671D9E">
        <w:rPr>
          <w:rFonts w:cs="Angsana New"/>
          <w:szCs w:val="35"/>
          <w:lang w:bidi="th-TH"/>
        </w:rPr>
        <w:t>, international standards</w:t>
      </w:r>
      <w:r w:rsidR="00695E59" w:rsidRPr="00671D9E">
        <w:rPr>
          <w:lang w:bidi="th-TH"/>
        </w:rPr>
        <w:t xml:space="preserve"> and investigation in alleged cases of extrajudicial killing and enforced disappearance to concerned officials since 2015.</w:t>
      </w:r>
      <w:bookmarkEnd w:id="2"/>
    </w:p>
    <w:p w14:paraId="2356A194" w14:textId="77777777" w:rsidR="00695E59" w:rsidRPr="00671D9E" w:rsidRDefault="00695E59" w:rsidP="005C314A">
      <w:pPr>
        <w:pStyle w:val="HChG"/>
        <w:rPr>
          <w:cs/>
          <w:lang w:bidi="th-TH"/>
        </w:rPr>
      </w:pPr>
      <w:r w:rsidRPr="00671D9E">
        <w:rPr>
          <w:lang w:bidi="th-TH"/>
        </w:rPr>
        <w:tab/>
      </w:r>
      <w:r w:rsidRPr="00671D9E">
        <w:rPr>
          <w:lang w:bidi="th-TH"/>
        </w:rPr>
        <w:tab/>
        <w:t>Article 11</w:t>
      </w:r>
    </w:p>
    <w:p w14:paraId="4D817997" w14:textId="0F3CCA93" w:rsidR="00695E59" w:rsidRPr="005C314A" w:rsidRDefault="00695E59" w:rsidP="005C314A">
      <w:pPr>
        <w:pStyle w:val="H23G"/>
        <w:rPr>
          <w:rFonts w:eastAsia="ZWAdobeF"/>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16 of the list of issues</w:t>
      </w:r>
    </w:p>
    <w:p w14:paraId="7B2272FD" w14:textId="57C8AA1A" w:rsidR="00695E59" w:rsidRPr="00671D9E" w:rsidRDefault="002B0385" w:rsidP="002B0385">
      <w:pPr>
        <w:pStyle w:val="SingleTxtG"/>
        <w:suppressAutoHyphens w:val="0"/>
        <w:rPr>
          <w:lang w:bidi="th-TH"/>
        </w:rPr>
      </w:pPr>
      <w:r w:rsidRPr="00671D9E">
        <w:rPr>
          <w:lang w:bidi="th-TH"/>
        </w:rPr>
        <w:t>59.</w:t>
      </w:r>
      <w:r w:rsidRPr="00671D9E">
        <w:rPr>
          <w:lang w:bidi="th-TH"/>
        </w:rPr>
        <w:tab/>
      </w:r>
      <w:r w:rsidR="00695E59" w:rsidRPr="00671D9E">
        <w:rPr>
          <w:lang w:bidi="th-TH"/>
        </w:rPr>
        <w:t xml:space="preserve">The introduction of the </w:t>
      </w:r>
      <w:r w:rsidR="00695E59" w:rsidRPr="00671D9E">
        <w:rPr>
          <w:cs/>
          <w:lang w:bidi="th-TH"/>
        </w:rPr>
        <w:t>2017</w:t>
      </w:r>
      <w:r w:rsidR="00695E59" w:rsidRPr="00671D9E">
        <w:rPr>
          <w:rFonts w:cs="Angsana New"/>
          <w:cs/>
          <w:lang w:bidi="th-TH"/>
        </w:rPr>
        <w:t xml:space="preserve"> </w:t>
      </w:r>
      <w:r w:rsidR="00695E59" w:rsidRPr="00671D9E">
        <w:rPr>
          <w:lang w:bidi="th-TH"/>
        </w:rPr>
        <w:t>Corrections Act which repeals the outdated 1943 Penitentiary Act is part of Thailand</w:t>
      </w:r>
      <w:r w:rsidR="00A56767">
        <w:rPr>
          <w:lang w:bidi="th-TH"/>
        </w:rPr>
        <w:t>’</w:t>
      </w:r>
      <w:r w:rsidR="00695E59" w:rsidRPr="00671D9E">
        <w:rPr>
          <w:lang w:bidi="th-TH"/>
        </w:rPr>
        <w:t>s effort to amend its law to be more in line with relevant international standards, in particular the Mandela Rules and the Bangkok Rules. The Department of Corrections has also circulated instructions for all prison personnel and relevant staff to treat detainees in accordance with international human rights standards as well as to create a better understanding of obligations under the Convention.</w:t>
      </w:r>
    </w:p>
    <w:p w14:paraId="73A24BA5" w14:textId="522B076C" w:rsidR="00695E59" w:rsidRPr="00671D9E" w:rsidRDefault="002B0385" w:rsidP="002B0385">
      <w:pPr>
        <w:pStyle w:val="SingleTxtG"/>
        <w:suppressAutoHyphens w:val="0"/>
        <w:rPr>
          <w:lang w:bidi="th-TH"/>
        </w:rPr>
      </w:pPr>
      <w:r w:rsidRPr="00671D9E">
        <w:rPr>
          <w:lang w:bidi="th-TH"/>
        </w:rPr>
        <w:t>60.</w:t>
      </w:r>
      <w:r w:rsidRPr="00671D9E">
        <w:rPr>
          <w:lang w:bidi="th-TH"/>
        </w:rPr>
        <w:tab/>
      </w:r>
      <w:r w:rsidR="00695E59" w:rsidRPr="00671D9E">
        <w:rPr>
          <w:lang w:bidi="th-TH"/>
        </w:rPr>
        <w:t xml:space="preserve">Regarding restraining devices, the spirit of the Corrections Act is to restrict the use of such devices to the extent possible. The Department of Corrections now operates pursuant to section </w:t>
      </w:r>
      <w:r w:rsidR="00695E59" w:rsidRPr="00671D9E">
        <w:rPr>
          <w:cs/>
          <w:lang w:bidi="th-TH"/>
        </w:rPr>
        <w:t>21</w:t>
      </w:r>
      <w:r w:rsidR="00695E59" w:rsidRPr="00671D9E">
        <w:rPr>
          <w:rFonts w:cs="Angsana New"/>
          <w:cs/>
          <w:lang w:bidi="th-TH"/>
        </w:rPr>
        <w:t xml:space="preserve"> </w:t>
      </w:r>
      <w:r w:rsidR="00695E59" w:rsidRPr="00671D9E">
        <w:rPr>
          <w:lang w:bidi="th-TH"/>
        </w:rPr>
        <w:t xml:space="preserve">of the </w:t>
      </w:r>
      <w:r w:rsidR="00695E59" w:rsidRPr="00671D9E">
        <w:rPr>
          <w:cs/>
          <w:lang w:bidi="th-TH"/>
        </w:rPr>
        <w:t>2017</w:t>
      </w:r>
      <w:r w:rsidR="00695E59" w:rsidRPr="00671D9E">
        <w:rPr>
          <w:rFonts w:cs="Angsana New"/>
          <w:cs/>
          <w:lang w:bidi="th-TH"/>
        </w:rPr>
        <w:t xml:space="preserve"> </w:t>
      </w:r>
      <w:r w:rsidR="00695E59" w:rsidRPr="00671D9E">
        <w:rPr>
          <w:lang w:bidi="th-TH"/>
        </w:rPr>
        <w:t>Corrections Act which applies a higher standard than that required by the Nelson Mandela Rules. Restraining devices are not allowed to be used with inmates unless there is an absolute necessity to do so, such as to prevent self-harm or escape or in case of going outside of the prison. The Corrections Act impose</w:t>
      </w:r>
      <w:r w:rsidR="00695E59" w:rsidRPr="00671D9E">
        <w:rPr>
          <w:rFonts w:cs="Angsana New"/>
          <w:szCs w:val="35"/>
          <w:lang w:bidi="th-TH"/>
        </w:rPr>
        <w:t>s</w:t>
      </w:r>
      <w:r w:rsidR="00695E59" w:rsidRPr="00671D9E">
        <w:rPr>
          <w:lang w:bidi="th-TH"/>
        </w:rPr>
        <w:t xml:space="preserve"> an even stricter requirement if involving detainees who are under the age of </w:t>
      </w:r>
      <w:r w:rsidR="00695E59" w:rsidRPr="00671D9E">
        <w:rPr>
          <w:cs/>
          <w:lang w:bidi="th-TH"/>
        </w:rPr>
        <w:t>18</w:t>
      </w:r>
      <w:r w:rsidR="00695E59" w:rsidRPr="00671D9E">
        <w:rPr>
          <w:lang w:bidi="th-TH"/>
        </w:rPr>
        <w:t xml:space="preserve">, those over the age of </w:t>
      </w:r>
      <w:r w:rsidR="00695E59" w:rsidRPr="00671D9E">
        <w:rPr>
          <w:cs/>
          <w:lang w:bidi="th-TH"/>
        </w:rPr>
        <w:t>60</w:t>
      </w:r>
      <w:r w:rsidR="00695E59" w:rsidRPr="00671D9E">
        <w:rPr>
          <w:lang w:bidi="th-TH"/>
        </w:rPr>
        <w:t xml:space="preserve">, female detainees, or those with special medical requirements. In the case where restraining devices are used, such a decision is reviewed every </w:t>
      </w:r>
      <w:r w:rsidR="00695E59" w:rsidRPr="00671D9E">
        <w:rPr>
          <w:cs/>
          <w:lang w:bidi="th-TH"/>
        </w:rPr>
        <w:t>15</w:t>
      </w:r>
      <w:r w:rsidR="00695E59" w:rsidRPr="00671D9E">
        <w:rPr>
          <w:rFonts w:cs="Angsana New"/>
          <w:cs/>
          <w:lang w:bidi="th-TH"/>
        </w:rPr>
        <w:t xml:space="preserve"> </w:t>
      </w:r>
      <w:r w:rsidR="00695E59" w:rsidRPr="00671D9E">
        <w:rPr>
          <w:lang w:bidi="th-TH"/>
        </w:rPr>
        <w:t>days. The restraining devices will be removed once it is established that the necessity no longer exists.</w:t>
      </w:r>
    </w:p>
    <w:p w14:paraId="343CDCF9" w14:textId="073688CE" w:rsidR="00695E59" w:rsidRPr="00671D9E" w:rsidRDefault="002B0385" w:rsidP="002B0385">
      <w:pPr>
        <w:pStyle w:val="SingleTxtG"/>
        <w:suppressAutoHyphens w:val="0"/>
        <w:rPr>
          <w:lang w:bidi="th-TH"/>
        </w:rPr>
      </w:pPr>
      <w:r w:rsidRPr="00671D9E">
        <w:rPr>
          <w:lang w:bidi="th-TH"/>
        </w:rPr>
        <w:t>61.</w:t>
      </w:r>
      <w:r w:rsidRPr="00671D9E">
        <w:rPr>
          <w:lang w:bidi="th-TH"/>
        </w:rPr>
        <w:tab/>
      </w:r>
      <w:r w:rsidR="00695E59" w:rsidRPr="00671D9E">
        <w:rPr>
          <w:lang w:bidi="th-TH"/>
        </w:rPr>
        <w:t xml:space="preserve">Solitary confinement is a form of disciplinary sanction under section 69 of the Corrections Act. The Corrections Act allows solitary confinement of up to 30 consecutive days, however, the Ministry of Justice is aware of the discrepancy with the Mandela Rules which allows for 15 days of solitary confinement. Therefore, the Ministry of Justice is currently in the process of drafting a Ministerial Regulation stipulating that solitary </w:t>
      </w:r>
      <w:r w:rsidR="00695E59" w:rsidRPr="00671D9E">
        <w:rPr>
          <w:lang w:bidi="th-TH"/>
        </w:rPr>
        <w:lastRenderedPageBreak/>
        <w:t>confinement shall not be imposed for more than 15 consecutive days, along with several other draft Ministerial Regulations for the implementation of the Corrections Act.</w:t>
      </w:r>
    </w:p>
    <w:p w14:paraId="1DF602D1" w14:textId="0AAC188D" w:rsidR="00695E59" w:rsidRPr="00671D9E" w:rsidRDefault="002B0385" w:rsidP="002B0385">
      <w:pPr>
        <w:pStyle w:val="SingleTxtG"/>
        <w:suppressAutoHyphens w:val="0"/>
        <w:rPr>
          <w:lang w:bidi="th-TH"/>
        </w:rPr>
      </w:pPr>
      <w:r w:rsidRPr="00671D9E">
        <w:rPr>
          <w:lang w:bidi="th-TH"/>
        </w:rPr>
        <w:t>62.</w:t>
      </w:r>
      <w:r w:rsidRPr="00671D9E">
        <w:rPr>
          <w:lang w:bidi="th-TH"/>
        </w:rPr>
        <w:tab/>
      </w:r>
      <w:r w:rsidR="00695E59" w:rsidRPr="00671D9E">
        <w:rPr>
          <w:lang w:bidi="th-TH"/>
        </w:rPr>
        <w:t>Section 33 of the 2017 Corrections Act provides that the Department of Corrections may detain prisoners in a location which is not a prison to provide occupational training, medical treatment, preparational training before returning to society. The purpose of detention in locations other than a prison is therefore not for punishment but to provide a more enabling environment for learning, treatment and rehabilitation. This has not been carried out in practice yet, however.</w:t>
      </w:r>
    </w:p>
    <w:p w14:paraId="01D6D4E9" w14:textId="6CF4E96E" w:rsidR="00695E59" w:rsidRPr="00671D9E" w:rsidRDefault="002B0385" w:rsidP="002B0385">
      <w:pPr>
        <w:pStyle w:val="SingleTxtG"/>
        <w:suppressAutoHyphens w:val="0"/>
        <w:rPr>
          <w:lang w:bidi="th-TH"/>
        </w:rPr>
      </w:pPr>
      <w:r w:rsidRPr="00671D9E">
        <w:rPr>
          <w:lang w:bidi="th-TH"/>
        </w:rPr>
        <w:t>63.</w:t>
      </w:r>
      <w:r w:rsidRPr="00671D9E">
        <w:rPr>
          <w:lang w:bidi="th-TH"/>
        </w:rPr>
        <w:tab/>
      </w:r>
      <w:r w:rsidR="00695E59" w:rsidRPr="00671D9E">
        <w:rPr>
          <w:lang w:bidi="th-TH"/>
        </w:rPr>
        <w:t xml:space="preserve">Thailand is committed to strengthening its efforts to improve conditions of detention. </w:t>
      </w:r>
      <w:r w:rsidR="00695E59" w:rsidRPr="00671D9E">
        <w:rPr>
          <w:rFonts w:cs="Cordia New"/>
          <w:lang w:bidi="th-TH"/>
        </w:rPr>
        <w:t>Please refer to paragraph 22 on the</w:t>
      </w:r>
      <w:r w:rsidR="00695E59" w:rsidRPr="00671D9E">
        <w:rPr>
          <w:lang w:bidi="th-TH"/>
        </w:rPr>
        <w:t xml:space="preserve"> commemorative event on the occasion of the Nelson Mandela International Day on </w:t>
      </w:r>
      <w:r w:rsidR="00695E59" w:rsidRPr="00671D9E">
        <w:rPr>
          <w:cs/>
          <w:lang w:bidi="th-TH"/>
        </w:rPr>
        <w:t>18</w:t>
      </w:r>
      <w:r w:rsidR="00695E59" w:rsidRPr="00671D9E">
        <w:rPr>
          <w:rFonts w:cs="Angsana New"/>
          <w:cs/>
          <w:lang w:bidi="th-TH"/>
        </w:rPr>
        <w:t xml:space="preserve"> </w:t>
      </w:r>
      <w:r w:rsidR="00695E59" w:rsidRPr="00671D9E">
        <w:rPr>
          <w:lang w:bidi="th-TH"/>
        </w:rPr>
        <w:t xml:space="preserve">July </w:t>
      </w:r>
      <w:r w:rsidR="00695E59" w:rsidRPr="00671D9E">
        <w:rPr>
          <w:cs/>
          <w:lang w:bidi="th-TH"/>
        </w:rPr>
        <w:t>2017</w:t>
      </w:r>
      <w:r w:rsidR="00695E59" w:rsidRPr="00671D9E">
        <w:rPr>
          <w:lang w:bidi="th-TH"/>
        </w:rPr>
        <w:t>, as well as the Department of Corrections</w:t>
      </w:r>
      <w:r w:rsidR="00A56767">
        <w:rPr>
          <w:lang w:bidi="th-TH"/>
        </w:rPr>
        <w:t>’</w:t>
      </w:r>
      <w:r w:rsidR="00695E59" w:rsidRPr="00671D9E">
        <w:rPr>
          <w:lang w:bidi="th-TH"/>
        </w:rPr>
        <w:t xml:space="preserve"> pilot projects to implement the Nelson Mandela Rules</w:t>
      </w:r>
      <w:r w:rsidR="00695E59" w:rsidRPr="00671D9E">
        <w:rPr>
          <w:cs/>
          <w:lang w:bidi="th-TH"/>
        </w:rPr>
        <w:t>.</w:t>
      </w:r>
    </w:p>
    <w:p w14:paraId="29B29EFA" w14:textId="62297EDE" w:rsidR="00695E59" w:rsidRPr="00671D9E" w:rsidRDefault="002B0385" w:rsidP="002B0385">
      <w:pPr>
        <w:pStyle w:val="SingleTxtG"/>
        <w:suppressAutoHyphens w:val="0"/>
        <w:rPr>
          <w:lang w:bidi="th-TH"/>
        </w:rPr>
      </w:pPr>
      <w:r w:rsidRPr="00671D9E">
        <w:rPr>
          <w:lang w:bidi="th-TH"/>
        </w:rPr>
        <w:t>64.</w:t>
      </w:r>
      <w:r w:rsidRPr="00671D9E">
        <w:rPr>
          <w:lang w:bidi="th-TH"/>
        </w:rPr>
        <w:tab/>
      </w:r>
      <w:r w:rsidR="00695E59" w:rsidRPr="00671D9E">
        <w:rPr>
          <w:lang w:bidi="th-TH"/>
        </w:rPr>
        <w:t xml:space="preserve">To prepare and support detainees on livelihoods after their release, the Department of Corrections has developed a training program to ensure that released persons are able to reintegrate into society and resume their normal lives. The Department also provides consultation services regarding personal matters, economic and social issues and relationships with their families and communities. One of the most recent developments is the establishment of the Centre for Assistance to Reintegration and Employment (CARE) in each of the </w:t>
      </w:r>
      <w:r w:rsidR="00695E59" w:rsidRPr="00671D9E">
        <w:rPr>
          <w:cs/>
          <w:lang w:bidi="th-TH"/>
        </w:rPr>
        <w:t>143</w:t>
      </w:r>
      <w:r w:rsidR="00695E59" w:rsidRPr="00671D9E">
        <w:rPr>
          <w:rFonts w:cs="Angsana New"/>
          <w:cs/>
          <w:lang w:bidi="th-TH"/>
        </w:rPr>
        <w:t xml:space="preserve"> </w:t>
      </w:r>
      <w:r w:rsidR="00695E59" w:rsidRPr="00671D9E">
        <w:rPr>
          <w:lang w:bidi="th-TH"/>
        </w:rPr>
        <w:t xml:space="preserve">prisons nationwide. CARE commenced their operations on </w:t>
      </w:r>
      <w:r w:rsidR="00695E59" w:rsidRPr="00671D9E">
        <w:rPr>
          <w:cs/>
          <w:lang w:bidi="th-TH"/>
        </w:rPr>
        <w:t>15</w:t>
      </w:r>
      <w:r w:rsidR="00695E59" w:rsidRPr="00671D9E">
        <w:rPr>
          <w:rFonts w:cs="Angsana New"/>
          <w:cs/>
          <w:lang w:bidi="th-TH"/>
        </w:rPr>
        <w:t xml:space="preserve"> </w:t>
      </w:r>
      <w:r w:rsidR="00695E59" w:rsidRPr="00671D9E">
        <w:rPr>
          <w:lang w:bidi="th-TH"/>
        </w:rPr>
        <w:t xml:space="preserve">February </w:t>
      </w:r>
      <w:r w:rsidR="00695E59" w:rsidRPr="00671D9E">
        <w:rPr>
          <w:cs/>
          <w:lang w:bidi="th-TH"/>
        </w:rPr>
        <w:t>2018</w:t>
      </w:r>
      <w:r w:rsidR="00695E59" w:rsidRPr="00671D9E">
        <w:rPr>
          <w:rFonts w:cs="Angsana New"/>
          <w:cs/>
          <w:lang w:bidi="th-TH"/>
        </w:rPr>
        <w:t xml:space="preserve"> </w:t>
      </w:r>
      <w:r w:rsidR="00695E59" w:rsidRPr="00671D9E">
        <w:rPr>
          <w:lang w:bidi="th-TH"/>
        </w:rPr>
        <w:t xml:space="preserve">with the main objective of promoting employment for inmates after their release. On </w:t>
      </w:r>
      <w:r w:rsidR="00695E59" w:rsidRPr="00671D9E">
        <w:rPr>
          <w:cs/>
          <w:lang w:bidi="th-TH"/>
        </w:rPr>
        <w:t>26</w:t>
      </w:r>
      <w:r w:rsidR="00695E59" w:rsidRPr="00671D9E">
        <w:rPr>
          <w:rFonts w:cs="Angsana New"/>
          <w:cs/>
          <w:lang w:bidi="th-TH"/>
        </w:rPr>
        <w:t xml:space="preserve"> </w:t>
      </w:r>
      <w:r w:rsidR="00695E59" w:rsidRPr="00671D9E">
        <w:rPr>
          <w:lang w:bidi="th-TH"/>
        </w:rPr>
        <w:t xml:space="preserve">March </w:t>
      </w:r>
      <w:r w:rsidR="00695E59" w:rsidRPr="00671D9E">
        <w:rPr>
          <w:cs/>
          <w:lang w:bidi="th-TH"/>
        </w:rPr>
        <w:t>2018</w:t>
      </w:r>
      <w:r w:rsidR="00695E59" w:rsidRPr="00671D9E">
        <w:rPr>
          <w:lang w:bidi="th-TH"/>
        </w:rPr>
        <w:t xml:space="preserve">, the Department of Employment under the Ministry </w:t>
      </w:r>
      <w:r w:rsidR="00695E59" w:rsidRPr="00671D9E">
        <w:rPr>
          <w:spacing w:val="-4"/>
          <w:lang w:bidi="th-TH"/>
        </w:rPr>
        <w:t>of Labour signed memoranda of understanding on public-private partnership projects with the Department of Skills Development, the Department of Corrections, the Federation of Thai Industries and the Chamber of Commerce of Thailand, to create opportunities for inmates by building their skills suitable for a career after release.</w:t>
      </w:r>
    </w:p>
    <w:p w14:paraId="4489965E" w14:textId="7F89BD20" w:rsidR="00695E59" w:rsidRPr="00671D9E" w:rsidRDefault="002B0385" w:rsidP="002B0385">
      <w:pPr>
        <w:pStyle w:val="SingleTxtG"/>
        <w:suppressAutoHyphens w:val="0"/>
        <w:rPr>
          <w:lang w:bidi="th-TH"/>
        </w:rPr>
      </w:pPr>
      <w:r w:rsidRPr="00671D9E">
        <w:rPr>
          <w:lang w:bidi="th-TH"/>
        </w:rPr>
        <w:t>65.</w:t>
      </w:r>
      <w:r w:rsidRPr="00671D9E">
        <w:rPr>
          <w:lang w:bidi="th-TH"/>
        </w:rPr>
        <w:tab/>
      </w:r>
      <w:r w:rsidR="00695E59" w:rsidRPr="00671D9E">
        <w:rPr>
          <w:lang w:bidi="th-TH"/>
        </w:rPr>
        <w:t xml:space="preserve">Since </w:t>
      </w:r>
      <w:r w:rsidR="00695E59" w:rsidRPr="00671D9E">
        <w:rPr>
          <w:cs/>
          <w:lang w:bidi="th-TH"/>
        </w:rPr>
        <w:t>1993</w:t>
      </w:r>
      <w:r w:rsidR="00695E59" w:rsidRPr="00671D9E">
        <w:rPr>
          <w:lang w:bidi="th-TH"/>
        </w:rPr>
        <w:t>, the Department of Corrections has established the Practice Guide on Detainees who are Transgender Women which provides for specific measures such as detaining transgender women in separate facilities from male detainees and ensuring that equipment for physical inspections does not undermine transgender women inmates</w:t>
      </w:r>
      <w:r w:rsidR="00A56767">
        <w:rPr>
          <w:lang w:bidi="th-TH"/>
        </w:rPr>
        <w:t>’</w:t>
      </w:r>
      <w:r w:rsidR="00695E59" w:rsidRPr="00671D9E">
        <w:rPr>
          <w:lang w:bidi="th-TH"/>
        </w:rPr>
        <w:t xml:space="preserve"> rights and dignity. Also, section </w:t>
      </w:r>
      <w:r w:rsidR="00695E59" w:rsidRPr="00671D9E">
        <w:rPr>
          <w:cs/>
          <w:lang w:bidi="th-TH"/>
        </w:rPr>
        <w:t>31</w:t>
      </w:r>
      <w:r w:rsidR="00695E59" w:rsidRPr="00671D9E">
        <w:rPr>
          <w:rFonts w:cs="Angsana New"/>
          <w:cs/>
          <w:lang w:bidi="th-TH"/>
        </w:rPr>
        <w:t xml:space="preserve"> </w:t>
      </w:r>
      <w:r w:rsidR="00695E59" w:rsidRPr="00671D9E">
        <w:rPr>
          <w:lang w:bidi="th-TH"/>
        </w:rPr>
        <w:t xml:space="preserve">of the </w:t>
      </w:r>
      <w:r w:rsidR="00695E59" w:rsidRPr="00671D9E">
        <w:rPr>
          <w:cs/>
          <w:lang w:bidi="th-TH"/>
        </w:rPr>
        <w:t>2017</w:t>
      </w:r>
      <w:r w:rsidR="00695E59" w:rsidRPr="00671D9E">
        <w:rPr>
          <w:rFonts w:cs="Angsana New"/>
          <w:cs/>
          <w:lang w:bidi="th-TH"/>
        </w:rPr>
        <w:t xml:space="preserve"> </w:t>
      </w:r>
      <w:r w:rsidR="00695E59" w:rsidRPr="00671D9E">
        <w:rPr>
          <w:lang w:bidi="th-TH"/>
        </w:rPr>
        <w:t>Corrections Act affirms that appropriate facilities be provided for inmates based on gender. In response, the Department of Corrections provided separate zones for LGBTI inmates, particularly in prisons with a significant number of LGBTI inmates such as the Min Buri Remand Prison, the Klong Prem Central Prison, and the Pattaya Remand Prison.</w:t>
      </w:r>
    </w:p>
    <w:p w14:paraId="6D5A71CE" w14:textId="77777777" w:rsidR="00695E59" w:rsidRPr="005C314A" w:rsidRDefault="00695E59" w:rsidP="005C314A">
      <w:pPr>
        <w:pStyle w:val="H23G"/>
        <w:rPr>
          <w:rFonts w:eastAsia="ZWAdobeF"/>
        </w:rPr>
      </w:pPr>
      <w:r w:rsidRPr="00671D9E">
        <w:rPr>
          <w:rFonts w:eastAsia="ZWAdobeF"/>
          <w:bCs/>
          <w:spacing w:val="-6"/>
          <w:sz w:val="28"/>
          <w:szCs w:val="28"/>
          <w:lang w:bidi="th-TH"/>
        </w:rPr>
        <w:tab/>
      </w:r>
      <w:r w:rsidRPr="00671D9E">
        <w:rPr>
          <w:rFonts w:eastAsia="ZWAdobeF"/>
          <w:bCs/>
          <w:spacing w:val="-6"/>
          <w:sz w:val="28"/>
          <w:szCs w:val="28"/>
          <w:lang w:bidi="th-TH"/>
        </w:rPr>
        <w:tab/>
      </w:r>
      <w:r w:rsidRPr="00671D9E">
        <w:t>Reply to paragraph 17 of the list of issues</w:t>
      </w:r>
    </w:p>
    <w:p w14:paraId="41CCEDFD" w14:textId="7B6C29BA" w:rsidR="00695E59" w:rsidRPr="00671D9E" w:rsidRDefault="002B0385" w:rsidP="002B0385">
      <w:pPr>
        <w:pStyle w:val="SingleTxtG"/>
        <w:suppressAutoHyphens w:val="0"/>
        <w:rPr>
          <w:lang w:bidi="th-TH"/>
        </w:rPr>
      </w:pPr>
      <w:r w:rsidRPr="00671D9E">
        <w:rPr>
          <w:lang w:bidi="th-TH"/>
        </w:rPr>
        <w:t>66.</w:t>
      </w:r>
      <w:r w:rsidRPr="00671D9E">
        <w:rPr>
          <w:lang w:bidi="th-TH"/>
        </w:rPr>
        <w:tab/>
      </w:r>
      <w:r w:rsidR="00695E59" w:rsidRPr="00671D9E">
        <w:rPr>
          <w:lang w:bidi="th-TH"/>
        </w:rPr>
        <w:t>Please see Table</w:t>
      </w:r>
      <w:r w:rsidR="00695E59" w:rsidRPr="00671D9E">
        <w:rPr>
          <w:cs/>
          <w:lang w:bidi="th-TH"/>
        </w:rPr>
        <w:t xml:space="preserve"> </w:t>
      </w:r>
      <w:r w:rsidR="00695E59" w:rsidRPr="00671D9E">
        <w:rPr>
          <w:lang w:bidi="th-TH"/>
        </w:rPr>
        <w:t>10 attached to this report for statistical data, disaggregated by gender, on the number of pre-trial detainees and convicted prisoners of all places of detention.</w:t>
      </w:r>
    </w:p>
    <w:p w14:paraId="6DD2CA04" w14:textId="798EEECD" w:rsidR="00695E59" w:rsidRPr="00671D9E" w:rsidRDefault="002B0385" w:rsidP="002B0385">
      <w:pPr>
        <w:pStyle w:val="SingleTxtG"/>
        <w:suppressAutoHyphens w:val="0"/>
        <w:rPr>
          <w:lang w:bidi="th-TH"/>
        </w:rPr>
      </w:pPr>
      <w:r w:rsidRPr="00671D9E">
        <w:rPr>
          <w:lang w:bidi="th-TH"/>
        </w:rPr>
        <w:t>67.</w:t>
      </w:r>
      <w:r w:rsidRPr="00671D9E">
        <w:rPr>
          <w:lang w:bidi="th-TH"/>
        </w:rPr>
        <w:tab/>
      </w:r>
      <w:r w:rsidR="00695E59" w:rsidRPr="00671D9E">
        <w:rPr>
          <w:lang w:bidi="th-TH"/>
        </w:rPr>
        <w:t>Prison overcrowding is one of the key challenges in Thailand</w:t>
      </w:r>
      <w:r w:rsidR="00A56767">
        <w:rPr>
          <w:lang w:bidi="th-TH"/>
        </w:rPr>
        <w:t>’</w:t>
      </w:r>
      <w:r w:rsidR="00695E59" w:rsidRPr="00671D9E">
        <w:rPr>
          <w:lang w:bidi="th-TH"/>
        </w:rPr>
        <w:t xml:space="preserve">s corrections system. The Justice System Reform Plan of </w:t>
      </w:r>
      <w:r w:rsidR="00695E59" w:rsidRPr="00671D9E">
        <w:rPr>
          <w:cs/>
          <w:lang w:bidi="th-TH"/>
        </w:rPr>
        <w:t>6</w:t>
      </w:r>
      <w:r w:rsidR="00695E59" w:rsidRPr="00671D9E">
        <w:rPr>
          <w:rFonts w:cs="Angsana New"/>
          <w:cs/>
          <w:lang w:bidi="th-TH"/>
        </w:rPr>
        <w:t xml:space="preserve"> </w:t>
      </w:r>
      <w:r w:rsidR="00695E59" w:rsidRPr="00671D9E">
        <w:rPr>
          <w:lang w:bidi="th-TH"/>
        </w:rPr>
        <w:t xml:space="preserve">April </w:t>
      </w:r>
      <w:r w:rsidR="00695E59" w:rsidRPr="00671D9E">
        <w:rPr>
          <w:cs/>
          <w:lang w:bidi="th-TH"/>
        </w:rPr>
        <w:t>2018</w:t>
      </w:r>
      <w:r w:rsidR="00695E59" w:rsidRPr="00671D9E">
        <w:rPr>
          <w:rFonts w:cs="Angsana New"/>
          <w:cs/>
          <w:lang w:bidi="th-TH"/>
        </w:rPr>
        <w:t xml:space="preserve"> </w:t>
      </w:r>
      <w:r w:rsidR="00695E59" w:rsidRPr="00671D9E">
        <w:rPr>
          <w:lang w:bidi="th-TH"/>
        </w:rPr>
        <w:t>strives to enhance various aspects of the judicial system, including to improve conditions of prisons and detention cent</w:t>
      </w:r>
      <w:r w:rsidR="00695E59" w:rsidRPr="00671D9E">
        <w:rPr>
          <w:rFonts w:cs="Cordia New"/>
          <w:lang w:bidi="th-TH"/>
        </w:rPr>
        <w:t>er</w:t>
      </w:r>
      <w:r w:rsidR="00695E59" w:rsidRPr="00671D9E">
        <w:rPr>
          <w:lang w:bidi="th-TH"/>
        </w:rPr>
        <w:t xml:space="preserve">s across the country. The </w:t>
      </w:r>
      <w:r w:rsidR="00695E59" w:rsidRPr="00671D9E">
        <w:rPr>
          <w:cs/>
          <w:lang w:bidi="th-TH"/>
        </w:rPr>
        <w:t>2017</w:t>
      </w:r>
      <w:r w:rsidR="00695E59" w:rsidRPr="00671D9E">
        <w:rPr>
          <w:rFonts w:cs="Angsana New"/>
          <w:cs/>
          <w:lang w:bidi="th-TH"/>
        </w:rPr>
        <w:t xml:space="preserve"> </w:t>
      </w:r>
      <w:r w:rsidR="00695E59" w:rsidRPr="00671D9E">
        <w:rPr>
          <w:lang w:bidi="th-TH"/>
        </w:rPr>
        <w:t xml:space="preserve">Corrections Act also provides the Department of Corrections with tools to solve the problem of overcrowding in an effective and practical manner by mandating the Department of Corrections to employ alternatives to detention, including allowing for </w:t>
      </w:r>
      <w:r w:rsidR="00A56767">
        <w:rPr>
          <w:lang w:bidi="th-TH"/>
        </w:rPr>
        <w:t>‘</w:t>
      </w:r>
      <w:r w:rsidR="00695E59" w:rsidRPr="00671D9E">
        <w:rPr>
          <w:lang w:bidi="th-TH"/>
        </w:rPr>
        <w:t>other facilities which are not prisons</w:t>
      </w:r>
      <w:r w:rsidR="00A56767">
        <w:rPr>
          <w:lang w:bidi="th-TH"/>
        </w:rPr>
        <w:t>’</w:t>
      </w:r>
      <w:r w:rsidR="00695E59" w:rsidRPr="00671D9E">
        <w:rPr>
          <w:lang w:bidi="th-TH"/>
        </w:rPr>
        <w:t xml:space="preserve"> to be designated as detention facilities. Similarly, the ONCB</w:t>
      </w:r>
      <w:r w:rsidR="00695E59" w:rsidRPr="00671D9E">
        <w:rPr>
          <w:i/>
          <w:iCs/>
          <w:lang w:bidi="th-TH"/>
        </w:rPr>
        <w:t xml:space="preserve"> </w:t>
      </w:r>
      <w:r w:rsidR="00695E59" w:rsidRPr="00671D9E">
        <w:rPr>
          <w:lang w:bidi="th-TH"/>
        </w:rPr>
        <w:t>has succeeded in implementing its policy to allow addicted offenders to</w:t>
      </w:r>
      <w:r w:rsidR="00695E59" w:rsidRPr="00671D9E">
        <w:rPr>
          <w:rFonts w:cs="Cordia New"/>
          <w:cs/>
          <w:lang w:bidi="th-TH"/>
        </w:rPr>
        <w:t xml:space="preserve"> </w:t>
      </w:r>
      <w:r w:rsidR="00695E59" w:rsidRPr="00671D9E">
        <w:rPr>
          <w:rFonts w:cs="Cordia New"/>
          <w:lang w:bidi="th-TH"/>
        </w:rPr>
        <w:t>voluntarily</w:t>
      </w:r>
      <w:r w:rsidR="00695E59" w:rsidRPr="00671D9E">
        <w:rPr>
          <w:lang w:bidi="th-TH"/>
        </w:rPr>
        <w:t xml:space="preserve"> undergo a rehabilitation program in lieu of a prison sentence.</w:t>
      </w:r>
    </w:p>
    <w:p w14:paraId="4A9CE3C1" w14:textId="28B9C388" w:rsidR="00695E59" w:rsidRPr="00671D9E" w:rsidRDefault="002B0385" w:rsidP="002B0385">
      <w:pPr>
        <w:pStyle w:val="SingleTxtG"/>
        <w:suppressAutoHyphens w:val="0"/>
        <w:rPr>
          <w:lang w:bidi="th-TH"/>
        </w:rPr>
      </w:pPr>
      <w:r w:rsidRPr="00671D9E">
        <w:rPr>
          <w:lang w:bidi="th-TH"/>
        </w:rPr>
        <w:t>68.</w:t>
      </w:r>
      <w:r w:rsidRPr="00671D9E">
        <w:rPr>
          <w:lang w:bidi="th-TH"/>
        </w:rPr>
        <w:tab/>
      </w:r>
      <w:r w:rsidR="00695E59" w:rsidRPr="00671D9E">
        <w:rPr>
          <w:lang w:bidi="th-TH"/>
        </w:rPr>
        <w:t>During the reporting period, Thailand has implemented these measures in order to reduce the overcrowding of prisons:</w:t>
      </w:r>
    </w:p>
    <w:p w14:paraId="7FDA36F4" w14:textId="4D712CA5" w:rsidR="00695E59" w:rsidRPr="00607460" w:rsidRDefault="00607460" w:rsidP="00607460">
      <w:pPr>
        <w:pStyle w:val="SingleTxtG"/>
      </w:pPr>
      <w:r>
        <w:tab/>
      </w:r>
      <w:r w:rsidR="002B0385" w:rsidRPr="00607460">
        <w:t>(a)</w:t>
      </w:r>
      <w:r w:rsidR="002B0385" w:rsidRPr="00607460">
        <w:tab/>
      </w:r>
      <w:r w:rsidR="00695E59" w:rsidRPr="00607460">
        <w:t>Extending the existing prisons and building new ones to increase the capacity of prisons in Thailand;</w:t>
      </w:r>
    </w:p>
    <w:p w14:paraId="717B38A8" w14:textId="09CA9960" w:rsidR="00695E59" w:rsidRPr="00607460" w:rsidRDefault="00607460" w:rsidP="00607460">
      <w:pPr>
        <w:pStyle w:val="SingleTxtG"/>
      </w:pPr>
      <w:r>
        <w:tab/>
      </w:r>
      <w:r w:rsidR="002B0385" w:rsidRPr="00607460">
        <w:t>(b)</w:t>
      </w:r>
      <w:r w:rsidR="002B0385" w:rsidRPr="00607460">
        <w:tab/>
      </w:r>
      <w:r w:rsidR="00695E59" w:rsidRPr="00607460">
        <w:t>Building Minimum Security Prisons to detain prisoners who are close to finishing serving their terms to prepare them for reuniting with society;</w:t>
      </w:r>
    </w:p>
    <w:p w14:paraId="1F39755A" w14:textId="3C6AACC6" w:rsidR="00695E59" w:rsidRPr="00607460" w:rsidRDefault="00607460" w:rsidP="00607460">
      <w:pPr>
        <w:pStyle w:val="SingleTxtG"/>
      </w:pPr>
      <w:r>
        <w:lastRenderedPageBreak/>
        <w:tab/>
      </w:r>
      <w:r w:rsidR="002B0385" w:rsidRPr="00607460">
        <w:t>(c)</w:t>
      </w:r>
      <w:r w:rsidR="002B0385" w:rsidRPr="00607460">
        <w:tab/>
      </w:r>
      <w:r w:rsidR="00695E59" w:rsidRPr="00607460">
        <w:t xml:space="preserve">Granting parole to and reducing the serving days for some prisoners who display good behavior. Additionally, the conditions to be paroled are eased; therefore, more prisoners can apply for parole. On </w:t>
      </w:r>
      <w:r w:rsidR="00695E59" w:rsidRPr="00607460">
        <w:rPr>
          <w:cs/>
        </w:rPr>
        <w:t xml:space="preserve">25 </w:t>
      </w:r>
      <w:r w:rsidR="00695E59" w:rsidRPr="00607460">
        <w:t xml:space="preserve">January </w:t>
      </w:r>
      <w:r w:rsidR="00695E59" w:rsidRPr="00607460">
        <w:rPr>
          <w:cs/>
        </w:rPr>
        <w:t>2017</w:t>
      </w:r>
      <w:r w:rsidR="00695E59" w:rsidRPr="00607460">
        <w:t xml:space="preserve">, the Department of Corrections also launched a project to allow for suspension of sentences in special cases where a concerned inmate has serious illness, is a person with disabilities, or if such person is over the age of </w:t>
      </w:r>
      <w:r w:rsidR="00695E59" w:rsidRPr="00607460">
        <w:rPr>
          <w:cs/>
        </w:rPr>
        <w:t>70</w:t>
      </w:r>
      <w:r w:rsidR="00695E59" w:rsidRPr="00607460">
        <w:t>;</w:t>
      </w:r>
    </w:p>
    <w:p w14:paraId="7A57BBF5" w14:textId="63730AE8" w:rsidR="00695E59" w:rsidRPr="00607460" w:rsidRDefault="00607460" w:rsidP="00607460">
      <w:pPr>
        <w:pStyle w:val="SingleTxtG"/>
      </w:pPr>
      <w:r>
        <w:tab/>
      </w:r>
      <w:r w:rsidR="002B0385" w:rsidRPr="00607460">
        <w:t>(d)</w:t>
      </w:r>
      <w:r w:rsidR="002B0385" w:rsidRPr="00607460">
        <w:tab/>
      </w:r>
      <w:r w:rsidR="00695E59" w:rsidRPr="00607460">
        <w:t>Transferring foreign prisoners back to their respective countries of residence;</w:t>
      </w:r>
    </w:p>
    <w:p w14:paraId="12D2A409" w14:textId="4F766476" w:rsidR="00695E59" w:rsidRPr="00607460" w:rsidRDefault="00607460" w:rsidP="00607460">
      <w:pPr>
        <w:pStyle w:val="SingleTxtG"/>
      </w:pPr>
      <w:r>
        <w:tab/>
      </w:r>
      <w:r w:rsidR="002B0385" w:rsidRPr="00607460">
        <w:t>(e)</w:t>
      </w:r>
      <w:r w:rsidR="002B0385" w:rsidRPr="00607460">
        <w:tab/>
      </w:r>
      <w:r w:rsidR="00695E59" w:rsidRPr="00607460">
        <w:t>Reviewing criminal law to repeal outdated pieces of criminal legislation or to reduce the punishment to a reasonable level which is proportionate to the crimes, including drug offences; and</w:t>
      </w:r>
    </w:p>
    <w:p w14:paraId="35EBB4D4" w14:textId="0BF8D837" w:rsidR="00695E59" w:rsidRPr="00607460" w:rsidRDefault="00607460" w:rsidP="00607460">
      <w:pPr>
        <w:pStyle w:val="SingleTxtG"/>
      </w:pPr>
      <w:r>
        <w:tab/>
      </w:r>
      <w:r w:rsidR="002B0385" w:rsidRPr="00607460">
        <w:t>(f)</w:t>
      </w:r>
      <w:r w:rsidR="002B0385" w:rsidRPr="00607460">
        <w:tab/>
      </w:r>
      <w:r w:rsidR="00695E59" w:rsidRPr="00607460">
        <w:t>Applying for royal pardon.</w:t>
      </w:r>
    </w:p>
    <w:p w14:paraId="2E84EE67" w14:textId="37DA15AA" w:rsidR="00695E59" w:rsidRPr="00671D9E" w:rsidRDefault="002B0385" w:rsidP="002B0385">
      <w:pPr>
        <w:pStyle w:val="SingleTxtG"/>
        <w:suppressAutoHyphens w:val="0"/>
        <w:rPr>
          <w:lang w:bidi="th-TH"/>
        </w:rPr>
      </w:pPr>
      <w:r w:rsidRPr="00671D9E">
        <w:rPr>
          <w:lang w:bidi="th-TH"/>
        </w:rPr>
        <w:t>69.</w:t>
      </w:r>
      <w:r w:rsidRPr="00671D9E">
        <w:rPr>
          <w:lang w:bidi="th-TH"/>
        </w:rPr>
        <w:tab/>
      </w:r>
      <w:r w:rsidR="00695E59" w:rsidRPr="00671D9E">
        <w:rPr>
          <w:lang w:bidi="th-TH"/>
        </w:rPr>
        <w:t>The Department of Probation</w:t>
      </w:r>
      <w:r w:rsidR="00695E59" w:rsidRPr="00671D9E">
        <w:rPr>
          <w:rFonts w:cs="Cordia New"/>
          <w:cs/>
          <w:lang w:bidi="th-TH"/>
        </w:rPr>
        <w:t xml:space="preserve"> </w:t>
      </w:r>
      <w:r w:rsidR="00695E59" w:rsidRPr="00671D9E">
        <w:rPr>
          <w:rFonts w:cs="Cordia New"/>
          <w:lang w:bidi="th-TH"/>
        </w:rPr>
        <w:t xml:space="preserve">and </w:t>
      </w:r>
      <w:r w:rsidR="00695E59" w:rsidRPr="00671D9E">
        <w:rPr>
          <w:lang w:bidi="th-TH"/>
        </w:rPr>
        <w:t>the Court of Justice introduced the</w:t>
      </w:r>
      <w:r w:rsidR="00695E59" w:rsidRPr="00671D9E">
        <w:rPr>
          <w:rFonts w:cs="Cordia New"/>
          <w:cs/>
          <w:lang w:bidi="th-TH"/>
        </w:rPr>
        <w:t xml:space="preserve"> </w:t>
      </w:r>
      <w:r w:rsidR="00695E59" w:rsidRPr="00671D9E">
        <w:rPr>
          <w:lang w:bidi="th-TH"/>
        </w:rPr>
        <w:t>Electronic Monitoring (EM) system</w:t>
      </w:r>
      <w:r w:rsidR="00695E59" w:rsidRPr="00671D9E">
        <w:rPr>
          <w:rFonts w:cs="Cordia New"/>
          <w:lang w:bidi="th-TH"/>
        </w:rPr>
        <w:t xml:space="preserve"> </w:t>
      </w:r>
      <w:r w:rsidR="00695E59" w:rsidRPr="00671D9E">
        <w:rPr>
          <w:lang w:bidi="th-TH"/>
        </w:rPr>
        <w:t>in 2014 and 2015, respectively. This has served</w:t>
      </w:r>
      <w:r w:rsidR="00695E59" w:rsidRPr="00671D9E">
        <w:rPr>
          <w:b/>
          <w:bCs/>
          <w:lang w:bidi="th-TH"/>
        </w:rPr>
        <w:t xml:space="preserve"> </w:t>
      </w:r>
      <w:r w:rsidR="00695E59" w:rsidRPr="00671D9E">
        <w:rPr>
          <w:lang w:bidi="th-TH"/>
        </w:rPr>
        <w:t>as an alternative to pre-trial detention for suspects who have been granted temporary release. If an accused or a defendant agrees to the use of EM or other devices to track or restrict one</w:t>
      </w:r>
      <w:r w:rsidR="00A56767">
        <w:rPr>
          <w:lang w:bidi="th-TH"/>
        </w:rPr>
        <w:t>’</w:t>
      </w:r>
      <w:r w:rsidR="00695E59" w:rsidRPr="00671D9E">
        <w:rPr>
          <w:lang w:bidi="th-TH"/>
        </w:rPr>
        <w:t xml:space="preserve">s travel, the court may exercise discretion to reduce the amount of </w:t>
      </w:r>
      <w:r w:rsidR="00695E59" w:rsidRPr="00671D9E">
        <w:rPr>
          <w:rFonts w:cs="Leelawadee UI"/>
          <w:szCs w:val="35"/>
          <w:lang w:bidi="th-TH"/>
        </w:rPr>
        <w:t xml:space="preserve">bail money </w:t>
      </w:r>
      <w:r w:rsidR="00695E59" w:rsidRPr="00671D9E">
        <w:rPr>
          <w:lang w:bidi="th-TH"/>
        </w:rPr>
        <w:t>in accordance with the President of the Supreme Court</w:t>
      </w:r>
      <w:r w:rsidR="00A56767">
        <w:rPr>
          <w:lang w:bidi="th-TH"/>
        </w:rPr>
        <w:t>’</w:t>
      </w:r>
      <w:r w:rsidR="00695E59" w:rsidRPr="00671D9E">
        <w:rPr>
          <w:lang w:bidi="th-TH"/>
        </w:rPr>
        <w:t>s Regulation and if the accused or defendant is poor, the court may exercise discretion to lower the bail money in any amount below the minimum rate prescribed in the regulation. Currently 9,522 EM are used in the justice system (as of 26 January 2020).</w:t>
      </w:r>
    </w:p>
    <w:p w14:paraId="3CBAA089" w14:textId="1E36D019" w:rsidR="00695E59" w:rsidRPr="00671D9E" w:rsidRDefault="002B0385" w:rsidP="002B0385">
      <w:pPr>
        <w:pStyle w:val="SingleTxtG"/>
        <w:suppressAutoHyphens w:val="0"/>
        <w:rPr>
          <w:lang w:bidi="th-TH"/>
        </w:rPr>
      </w:pPr>
      <w:r w:rsidRPr="00671D9E">
        <w:rPr>
          <w:lang w:bidi="th-TH"/>
        </w:rPr>
        <w:t>70.</w:t>
      </w:r>
      <w:r w:rsidRPr="00671D9E">
        <w:rPr>
          <w:lang w:bidi="th-TH"/>
        </w:rPr>
        <w:tab/>
      </w:r>
      <w:r w:rsidR="00695E59" w:rsidRPr="00671D9E">
        <w:rPr>
          <w:spacing w:val="-6"/>
          <w:lang w:bidi="th-TH"/>
        </w:rPr>
        <w:t xml:space="preserve">Furthermore, by virtue of section 6 of the 2017 Corrections Act, </w:t>
      </w:r>
      <w:r w:rsidR="00695E59" w:rsidRPr="00671D9E">
        <w:rPr>
          <w:lang w:bidi="th-TH"/>
        </w:rPr>
        <w:t>the Ministry of Justice is currently drafting a Ministerial Regulation to specify alternative criminal sanctions to imprisonment. The draft Ministerial Regulation proposes 6 alternative sanctions: (1) intermittent sentences, (2) detention during specified hours, (3) detention within a specified location for detention, (4) community service, (5) travel restrictions in accordance with section 89/2 of the Criminal Procedure Code, and (6) any other sanctions specified by the Department of Corrections.</w:t>
      </w:r>
    </w:p>
    <w:p w14:paraId="5EAD8DAC" w14:textId="77777777" w:rsidR="00695E59" w:rsidRPr="00671D9E" w:rsidRDefault="00695E59" w:rsidP="00695E59">
      <w:pPr>
        <w:pStyle w:val="H23G"/>
        <w:rPr>
          <w:rFonts w:eastAsia="ZWAdobeF"/>
          <w:sz w:val="28"/>
          <w:szCs w:val="28"/>
          <w:lang w:bidi="th-TH"/>
        </w:rPr>
      </w:pPr>
      <w:r w:rsidRPr="00671D9E">
        <w:tab/>
      </w:r>
      <w:r w:rsidRPr="00671D9E">
        <w:tab/>
        <w:t>Reply to paragraph 18 of the list of issues</w:t>
      </w:r>
    </w:p>
    <w:p w14:paraId="4320DA86" w14:textId="42825D01" w:rsidR="00695E59" w:rsidRPr="00671D9E" w:rsidRDefault="002B0385" w:rsidP="002B0385">
      <w:pPr>
        <w:pStyle w:val="SingleTxtG"/>
        <w:suppressAutoHyphens w:val="0"/>
        <w:rPr>
          <w:lang w:bidi="th-TH"/>
        </w:rPr>
      </w:pPr>
      <w:r w:rsidRPr="00671D9E">
        <w:rPr>
          <w:lang w:bidi="th-TH"/>
        </w:rPr>
        <w:t>71.</w:t>
      </w:r>
      <w:r w:rsidRPr="00671D9E">
        <w:rPr>
          <w:lang w:bidi="th-TH"/>
        </w:rPr>
        <w:tab/>
      </w:r>
      <w:r w:rsidR="00695E59" w:rsidRPr="00671D9E">
        <w:rPr>
          <w:lang w:bidi="th-TH"/>
        </w:rPr>
        <w:t>Recognizing specific human rights challenges that women prisoners face, Thailand has initiated efforts to raise awareness on this issue, resulting in the adoption of the Bangkok Rules by the UN General Assembly. Thailand has been working closely with the United Nations Office on Drugs and Crime (UNODC) and other relevant stakeholders in the implementation of the Bangkok Rules. One prominent example includes the development of the Guidance Document on and Index of Implementation of the Bangkok Rules, containing practical information for relevant agencies to consider applying the Bangkok Rules when practicing their policies on the treatment of prisoners.</w:t>
      </w:r>
    </w:p>
    <w:p w14:paraId="5E6C14C1" w14:textId="713612F6" w:rsidR="00695E59" w:rsidRPr="00671D9E" w:rsidRDefault="002B0385" w:rsidP="002B0385">
      <w:pPr>
        <w:pStyle w:val="SingleTxtG"/>
        <w:suppressAutoHyphens w:val="0"/>
        <w:rPr>
          <w:lang w:bidi="th-TH"/>
        </w:rPr>
      </w:pPr>
      <w:r w:rsidRPr="00671D9E">
        <w:rPr>
          <w:lang w:bidi="th-TH"/>
        </w:rPr>
        <w:t>72.</w:t>
      </w:r>
      <w:r w:rsidRPr="00671D9E">
        <w:rPr>
          <w:lang w:bidi="th-TH"/>
        </w:rPr>
        <w:tab/>
      </w:r>
      <w:r w:rsidR="00695E59" w:rsidRPr="00671D9E">
        <w:rPr>
          <w:lang w:bidi="th-TH"/>
        </w:rPr>
        <w:t>Pursuant to the Correction Department</w:t>
      </w:r>
      <w:r w:rsidR="00A56767">
        <w:rPr>
          <w:lang w:bidi="th-TH"/>
        </w:rPr>
        <w:t>’</w:t>
      </w:r>
      <w:r w:rsidR="00695E59" w:rsidRPr="00671D9E">
        <w:rPr>
          <w:lang w:bidi="th-TH"/>
        </w:rPr>
        <w:t>s regulations relating to body searches for new inmates and incoming/outgoing inmates B.E. 2561 (2018), a body search on a woman, including a transwoman, must be conducted in a designated area by a medical staff, a nurse, or a prison staff who has been medically trained.</w:t>
      </w:r>
      <w:r w:rsidR="00695E59" w:rsidRPr="00671D9E">
        <w:rPr>
          <w:rFonts w:cs="Cordia New"/>
          <w:cs/>
          <w:lang w:bidi="th-TH"/>
        </w:rPr>
        <w:t xml:space="preserve"> </w:t>
      </w:r>
      <w:r w:rsidR="00695E59" w:rsidRPr="00671D9E">
        <w:rPr>
          <w:lang w:bidi="th-TH"/>
        </w:rPr>
        <w:t>Since 2013, the Corrections Department has installed CT scanners in</w:t>
      </w:r>
      <w:r w:rsidR="00695E59" w:rsidRPr="00671D9E">
        <w:rPr>
          <w:rFonts w:cs="Cordia New"/>
          <w:cs/>
          <w:lang w:bidi="th-TH"/>
        </w:rPr>
        <w:t xml:space="preserve"> </w:t>
      </w:r>
      <w:r w:rsidR="00695E59" w:rsidRPr="00671D9E">
        <w:rPr>
          <w:lang w:bidi="th-TH"/>
        </w:rPr>
        <w:t>25</w:t>
      </w:r>
      <w:r w:rsidR="00695E59" w:rsidRPr="00671D9E">
        <w:rPr>
          <w:rFonts w:cs="Cordia New"/>
          <w:cs/>
          <w:lang w:bidi="th-TH"/>
        </w:rPr>
        <w:t xml:space="preserve"> </w:t>
      </w:r>
      <w:r w:rsidR="00695E59" w:rsidRPr="00671D9E">
        <w:rPr>
          <w:lang w:bidi="th-TH"/>
        </w:rPr>
        <w:t>women prisons across the country to improve the body search method in accordance with international standards. The Department also aims to install those devices in all prisons in Thailand.</w:t>
      </w:r>
    </w:p>
    <w:p w14:paraId="7365144A" w14:textId="77777777" w:rsidR="00695E59" w:rsidRPr="00671D9E" w:rsidRDefault="00695E59" w:rsidP="00695E59">
      <w:pPr>
        <w:tabs>
          <w:tab w:val="left" w:pos="1276"/>
          <w:tab w:val="left" w:pos="1843"/>
        </w:tabs>
        <w:suppressAutoHyphens w:val="0"/>
        <w:spacing w:line="240" w:lineRule="auto"/>
        <w:ind w:left="851"/>
        <w:jc w:val="thaiDistribute"/>
        <w:rPr>
          <w:rFonts w:ascii="ZWAdobeF" w:eastAsia="ZWAdobeF" w:hAnsi="ZWAdobeF" w:cs="Angsana New"/>
          <w:sz w:val="2"/>
          <w:szCs w:val="2"/>
          <w:cs/>
          <w:lang w:bidi="th-TH"/>
        </w:rPr>
      </w:pPr>
    </w:p>
    <w:p w14:paraId="07C85578" w14:textId="3BA62DC1" w:rsidR="00695E59" w:rsidRPr="00671D9E" w:rsidRDefault="002B0385" w:rsidP="002B0385">
      <w:pPr>
        <w:pStyle w:val="SingleTxtG"/>
        <w:suppressAutoHyphens w:val="0"/>
        <w:rPr>
          <w:lang w:bidi="th-TH"/>
        </w:rPr>
      </w:pPr>
      <w:r w:rsidRPr="00671D9E">
        <w:rPr>
          <w:lang w:bidi="th-TH"/>
        </w:rPr>
        <w:t>73.</w:t>
      </w:r>
      <w:r w:rsidRPr="00671D9E">
        <w:rPr>
          <w:lang w:bidi="th-TH"/>
        </w:rPr>
        <w:tab/>
      </w:r>
      <w:r w:rsidR="00695E59" w:rsidRPr="00671D9E">
        <w:rPr>
          <w:lang w:bidi="th-TH"/>
        </w:rPr>
        <w:t>Pregnant prisoners are given special attention</w:t>
      </w:r>
      <w:r w:rsidR="00695E59" w:rsidRPr="00671D9E">
        <w:rPr>
          <w:rFonts w:cs="Angsana New"/>
          <w:cs/>
          <w:lang w:bidi="th-TH"/>
        </w:rPr>
        <w:t xml:space="preserve"> </w:t>
      </w:r>
      <w:r w:rsidR="00695E59" w:rsidRPr="00671D9E">
        <w:rPr>
          <w:lang w:bidi="th-TH"/>
        </w:rPr>
        <w:t xml:space="preserve">and care for their specific needs. Sections 57-59 of the 2017 Corrections Act provide for measures pertaining to pregnant and breastfeeding prisoners such as providing appropriate health and nutrition advice by medical personnel, providing sufficient food, arranging for </w:t>
      </w:r>
      <w:r w:rsidR="00695E59" w:rsidRPr="00671D9E">
        <w:rPr>
          <w:rFonts w:cs="Angsana New"/>
          <w:szCs w:val="35"/>
          <w:lang w:bidi="th-TH"/>
        </w:rPr>
        <w:t xml:space="preserve">giving </w:t>
      </w:r>
      <w:r w:rsidR="00695E59" w:rsidRPr="00671D9E">
        <w:rPr>
          <w:lang w:bidi="th-TH"/>
        </w:rPr>
        <w:t>birth at a hospital outside of the prison, and providing health check-ups for infants residing with their mothers in prisons. Some of the other additional practices in prisons include arrang</w:t>
      </w:r>
      <w:r w:rsidR="00695E59" w:rsidRPr="00671D9E">
        <w:rPr>
          <w:rFonts w:cs="Cordia New"/>
          <w:lang w:bidi="th-TH"/>
        </w:rPr>
        <w:t>ing</w:t>
      </w:r>
      <w:r w:rsidR="00695E59" w:rsidRPr="00671D9E">
        <w:rPr>
          <w:lang w:bidi="th-TH"/>
        </w:rPr>
        <w:t xml:space="preserve"> bedrooms and bathrooms for specific use of pregnant prisoners, bringing in nurses or obstetricians to provide health and pregnancy check-ups, and bringing pregnant prisoners to receive antenatal care at a hospital outside (where available) or organizing the provision of such service in prison.</w:t>
      </w:r>
    </w:p>
    <w:p w14:paraId="2B83965D" w14:textId="77777777" w:rsidR="00695E59" w:rsidRPr="00671D9E" w:rsidRDefault="00695E59" w:rsidP="00695E59">
      <w:pPr>
        <w:pStyle w:val="H23G"/>
        <w:rPr>
          <w:rFonts w:eastAsia="ZWAdobeF"/>
          <w:bCs/>
          <w:spacing w:val="-8"/>
          <w:sz w:val="28"/>
          <w:szCs w:val="28"/>
          <w:lang w:bidi="th-TH"/>
        </w:rPr>
      </w:pPr>
      <w:r w:rsidRPr="00671D9E">
        <w:rPr>
          <w:rFonts w:eastAsia="ZWAdobeF"/>
          <w:bCs/>
          <w:spacing w:val="-8"/>
          <w:sz w:val="28"/>
          <w:szCs w:val="28"/>
          <w:lang w:bidi="th-TH"/>
        </w:rPr>
        <w:lastRenderedPageBreak/>
        <w:tab/>
      </w:r>
      <w:r w:rsidRPr="00671D9E">
        <w:rPr>
          <w:rFonts w:eastAsia="ZWAdobeF"/>
          <w:bCs/>
          <w:spacing w:val="-8"/>
          <w:sz w:val="28"/>
          <w:szCs w:val="28"/>
          <w:lang w:bidi="th-TH"/>
        </w:rPr>
        <w:tab/>
      </w:r>
      <w:r w:rsidRPr="00671D9E">
        <w:t>Reply to paragraph 19 of the list of issues</w:t>
      </w:r>
    </w:p>
    <w:p w14:paraId="722C4958" w14:textId="2D7D5156" w:rsidR="00695E59" w:rsidRPr="00671D9E" w:rsidRDefault="002B0385" w:rsidP="002B0385">
      <w:pPr>
        <w:pStyle w:val="SingleTxtG"/>
        <w:suppressAutoHyphens w:val="0"/>
        <w:rPr>
          <w:lang w:bidi="th-TH"/>
        </w:rPr>
      </w:pPr>
      <w:r w:rsidRPr="00671D9E">
        <w:rPr>
          <w:lang w:bidi="th-TH"/>
        </w:rPr>
        <w:t>74.</w:t>
      </w:r>
      <w:r w:rsidRPr="00671D9E">
        <w:rPr>
          <w:lang w:bidi="th-TH"/>
        </w:rPr>
        <w:tab/>
      </w:r>
      <w:r w:rsidR="00695E59" w:rsidRPr="00671D9E">
        <w:rPr>
          <w:lang w:bidi="th-TH"/>
        </w:rPr>
        <w:t xml:space="preserve">Between 2017 and 2020, the Department of Corrections received </w:t>
      </w:r>
      <w:r w:rsidR="00695E59" w:rsidRPr="00671D9E">
        <w:rPr>
          <w:cs/>
          <w:lang w:bidi="th-TH"/>
        </w:rPr>
        <w:t>28</w:t>
      </w:r>
      <w:r w:rsidR="00695E59" w:rsidRPr="00671D9E">
        <w:rPr>
          <w:lang w:bidi="th-TH"/>
        </w:rPr>
        <w:t xml:space="preserve"> complaints of inter-prisoner violence. In case a disciplinary offence was found, the prisoner who caused the incident would be subject to disciplinary action pursuant to Sections 68 and 69 of the 2017 Corrections Act. Disciplinary action includes probation, suspension of class promotions for a period of time, class demotion, withdrawal of visitation and contact rights for a period not exceeding three months except for contacting lawyers.</w:t>
      </w:r>
    </w:p>
    <w:p w14:paraId="2806B3D3" w14:textId="77777777" w:rsidR="00695E59" w:rsidRPr="00671D9E" w:rsidRDefault="00695E59" w:rsidP="00695E59">
      <w:pPr>
        <w:pStyle w:val="H23G"/>
        <w:rPr>
          <w:rFonts w:eastAsia="ZWAdobeF"/>
          <w:bCs/>
          <w:spacing w:val="-8"/>
          <w:sz w:val="28"/>
          <w:szCs w:val="28"/>
          <w:lang w:bidi="th-TH"/>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20 of the list of issues</w:t>
      </w:r>
    </w:p>
    <w:p w14:paraId="242D6D10" w14:textId="244CB30A" w:rsidR="00695E59" w:rsidRPr="00671D9E" w:rsidRDefault="002B0385" w:rsidP="002B0385">
      <w:pPr>
        <w:pStyle w:val="SingleTxtG"/>
        <w:suppressAutoHyphens w:val="0"/>
        <w:rPr>
          <w:rFonts w:cs="Cordia New"/>
          <w:lang w:bidi="th-TH"/>
        </w:rPr>
      </w:pPr>
      <w:r w:rsidRPr="00671D9E">
        <w:rPr>
          <w:rFonts w:cs="Cordia New"/>
          <w:lang w:bidi="th-TH"/>
        </w:rPr>
        <w:t>75.</w:t>
      </w:r>
      <w:r w:rsidRPr="00671D9E">
        <w:rPr>
          <w:rFonts w:cs="Cordia New"/>
          <w:lang w:bidi="th-TH"/>
        </w:rPr>
        <w:tab/>
      </w:r>
      <w:r w:rsidR="00695E59" w:rsidRPr="00671D9E">
        <w:rPr>
          <w:lang w:bidi="th-TH"/>
        </w:rPr>
        <w:t>Please see Table</w:t>
      </w:r>
      <w:r w:rsidR="00695E59" w:rsidRPr="00671D9E">
        <w:rPr>
          <w:rFonts w:cs="Angsana New"/>
          <w:cs/>
          <w:lang w:bidi="th-TH"/>
        </w:rPr>
        <w:t xml:space="preserve"> </w:t>
      </w:r>
      <w:r w:rsidR="00695E59" w:rsidRPr="00671D9E">
        <w:rPr>
          <w:lang w:bidi="th-TH"/>
        </w:rPr>
        <w:t>11 attached to this report</w:t>
      </w:r>
      <w:r w:rsidR="00695E59" w:rsidRPr="00671D9E">
        <w:rPr>
          <w:rFonts w:cs="Angsana New"/>
          <w:cs/>
          <w:lang w:bidi="th-TH"/>
        </w:rPr>
        <w:t xml:space="preserve"> </w:t>
      </w:r>
      <w:r w:rsidR="00695E59" w:rsidRPr="00671D9E">
        <w:rPr>
          <w:lang w:bidi="th-TH"/>
        </w:rPr>
        <w:t>for the statistical data on deaths in prisons.</w:t>
      </w:r>
    </w:p>
    <w:p w14:paraId="7DBDB642" w14:textId="77777777" w:rsidR="00695E59" w:rsidRPr="00671D9E" w:rsidRDefault="00695E59" w:rsidP="00695E59">
      <w:pPr>
        <w:pStyle w:val="H23G"/>
        <w:rPr>
          <w:rFonts w:eastAsia="ZWAdobeF"/>
          <w:bCs/>
          <w:spacing w:val="-8"/>
          <w:sz w:val="28"/>
          <w:szCs w:val="28"/>
          <w:cs/>
          <w:lang w:bidi="th-TH"/>
        </w:rPr>
      </w:pPr>
      <w:r w:rsidRPr="00671D9E">
        <w:tab/>
      </w:r>
      <w:r w:rsidRPr="00671D9E">
        <w:tab/>
        <w:t>Reply to paragraph 21 of the list of issues</w:t>
      </w:r>
    </w:p>
    <w:p w14:paraId="7205EBB3" w14:textId="7E086D0E" w:rsidR="00695E59" w:rsidRPr="00671D9E" w:rsidRDefault="002B0385" w:rsidP="002B0385">
      <w:pPr>
        <w:pStyle w:val="SingleTxtG"/>
        <w:suppressAutoHyphens w:val="0"/>
        <w:rPr>
          <w:lang w:bidi="th-TH"/>
        </w:rPr>
      </w:pPr>
      <w:r w:rsidRPr="00671D9E">
        <w:rPr>
          <w:lang w:bidi="th-TH"/>
        </w:rPr>
        <w:t>76.</w:t>
      </w:r>
      <w:r w:rsidRPr="00671D9E">
        <w:rPr>
          <w:lang w:bidi="th-TH"/>
        </w:rPr>
        <w:tab/>
      </w:r>
      <w:r w:rsidR="00695E59" w:rsidRPr="00671D9E">
        <w:rPr>
          <w:lang w:bidi="th-TH"/>
        </w:rPr>
        <w:t>As of 29 February 2020, there were 4,272 refugees and 813 asylum seekers, of which 226 and 41 were detained at Immigration Detention Centres, respectively.</w:t>
      </w:r>
    </w:p>
    <w:p w14:paraId="68301741" w14:textId="4D923BAE" w:rsidR="00695E59" w:rsidRPr="00671D9E" w:rsidRDefault="002B0385" w:rsidP="002B0385">
      <w:pPr>
        <w:pStyle w:val="SingleTxtG"/>
        <w:suppressAutoHyphens w:val="0"/>
        <w:rPr>
          <w:b/>
          <w:bCs/>
          <w:spacing w:val="-8"/>
          <w:lang w:bidi="th-TH"/>
        </w:rPr>
      </w:pPr>
      <w:r w:rsidRPr="00671D9E">
        <w:rPr>
          <w:bCs/>
          <w:spacing w:val="-8"/>
          <w:lang w:bidi="th-TH"/>
        </w:rPr>
        <w:t>77.</w:t>
      </w:r>
      <w:r w:rsidRPr="00671D9E">
        <w:rPr>
          <w:bCs/>
          <w:spacing w:val="-8"/>
          <w:lang w:bidi="th-TH"/>
        </w:rPr>
        <w:tab/>
      </w:r>
      <w:r w:rsidR="00695E59" w:rsidRPr="00671D9E">
        <w:rPr>
          <w:lang w:bidi="th-TH"/>
        </w:rPr>
        <w:t xml:space="preserve">The Government recognizes the challenge of conditions of detentions and places in introducing alternatives to detention and developing detention places. The </w:t>
      </w:r>
      <w:r w:rsidR="00695E59" w:rsidRPr="00671D9E">
        <w:rPr>
          <w:spacing w:val="-6"/>
          <w:lang w:bidi="th-TH"/>
        </w:rPr>
        <w:t>Memorandum of Understanding on the Determination of Measures and Approaches to Alternatives to Detention of Children in Immigration Centers</w:t>
      </w:r>
      <w:r w:rsidR="00695E59" w:rsidRPr="00671D9E">
        <w:rPr>
          <w:lang w:bidi="th-TH"/>
        </w:rPr>
        <w:t xml:space="preserve"> is one example. Furthermore, there have been several projects to build and improve detention centers: (1) the construction of a new building in some detention centers with facilities for mothers and children, including a day-care center; (2) the renovation project of the Suan Phlu Migrant Detention Center, which was completed in 2019; </w:t>
      </w:r>
      <w:proofErr w:type="gramStart"/>
      <w:r w:rsidR="00695E59" w:rsidRPr="00671D9E">
        <w:rPr>
          <w:lang w:bidi="th-TH"/>
        </w:rPr>
        <w:t>and,</w:t>
      </w:r>
      <w:proofErr w:type="gramEnd"/>
      <w:r w:rsidR="00695E59" w:rsidRPr="00671D9E">
        <w:rPr>
          <w:lang w:bidi="th-TH"/>
        </w:rPr>
        <w:t xml:space="preserve"> (3) the construction project of a new detention center in Pathum Thani province expected to be completed by 2022.</w:t>
      </w:r>
    </w:p>
    <w:p w14:paraId="17F901BE" w14:textId="2A3433BC" w:rsidR="00695E59" w:rsidRPr="00671D9E" w:rsidRDefault="00695E59" w:rsidP="00695E59">
      <w:pPr>
        <w:pStyle w:val="H23G"/>
        <w:rPr>
          <w:rFonts w:eastAsia="ZWAdobeF"/>
          <w:bCs/>
          <w:spacing w:val="-8"/>
          <w:sz w:val="28"/>
          <w:szCs w:val="28"/>
          <w:lang w:bidi="th-TH"/>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22 of the list of issues</w:t>
      </w:r>
    </w:p>
    <w:p w14:paraId="46C4836E" w14:textId="5920776B" w:rsidR="00695E59" w:rsidRPr="00671D9E" w:rsidRDefault="002B0385" w:rsidP="002B0385">
      <w:pPr>
        <w:pStyle w:val="SingleTxtG"/>
        <w:suppressAutoHyphens w:val="0"/>
        <w:rPr>
          <w:lang w:bidi="th-TH"/>
        </w:rPr>
      </w:pPr>
      <w:r w:rsidRPr="00671D9E">
        <w:rPr>
          <w:lang w:bidi="th-TH"/>
        </w:rPr>
        <w:t>78.</w:t>
      </w:r>
      <w:r w:rsidRPr="00671D9E">
        <w:rPr>
          <w:lang w:bidi="th-TH"/>
        </w:rPr>
        <w:tab/>
      </w:r>
      <w:r w:rsidR="00695E59" w:rsidRPr="00671D9E">
        <w:rPr>
          <w:lang w:bidi="th-TH"/>
        </w:rPr>
        <w:t xml:space="preserve">The Department of Corrections allows visits and contact with prisoners by individuals and organizations, including visits by diplomatic and consular staff in the case of foreign prisoners, where they are required to submit a request prior to the visit for security and safety reasons. </w:t>
      </w:r>
      <w:r w:rsidR="00695E59" w:rsidRPr="00671D9E">
        <w:rPr>
          <w:rFonts w:cs="Angsana New"/>
          <w:szCs w:val="35"/>
          <w:lang w:bidi="th-TH"/>
        </w:rPr>
        <w:t>I</w:t>
      </w:r>
      <w:r w:rsidR="00695E59" w:rsidRPr="00671D9E">
        <w:rPr>
          <w:lang w:bidi="th-TH"/>
        </w:rPr>
        <w:t>ndependent organi</w:t>
      </w:r>
      <w:r w:rsidR="00695E59" w:rsidRPr="00671D9E">
        <w:rPr>
          <w:rFonts w:cs="Cordia New"/>
          <w:lang w:bidi="th-TH"/>
        </w:rPr>
        <w:t>s</w:t>
      </w:r>
      <w:r w:rsidR="00695E59" w:rsidRPr="00671D9E">
        <w:rPr>
          <w:lang w:bidi="th-TH"/>
        </w:rPr>
        <w:t>ations such as the Ombudsman and the National Human Rights Commission do not need to inform the Department of Corrections of their visit in advance. In the case where independent organizations receive complaints against government officials, a visit may be conducted while the complainant</w:t>
      </w:r>
      <w:r w:rsidR="00A56767">
        <w:rPr>
          <w:lang w:bidi="th-TH"/>
        </w:rPr>
        <w:t>’</w:t>
      </w:r>
      <w:r w:rsidR="00695E59" w:rsidRPr="00671D9E">
        <w:rPr>
          <w:lang w:bidi="th-TH"/>
        </w:rPr>
        <w:t xml:space="preserve">s identity is kept confidential and prison officials will not be allowed to attend the interview. </w:t>
      </w:r>
      <w:r w:rsidR="00695E59" w:rsidRPr="00671D9E">
        <w:rPr>
          <w:rFonts w:cs="Leelawadee UI"/>
          <w:szCs w:val="35"/>
          <w:lang w:bidi="th-TH"/>
        </w:rPr>
        <w:t>Overall, the NHRC</w:t>
      </w:r>
      <w:r w:rsidR="00695E59" w:rsidRPr="00671D9E">
        <w:rPr>
          <w:lang w:bidi="th-TH"/>
        </w:rPr>
        <w:t xml:space="preserve"> and the Ombudsman have reported that normally there is no significant impediment that would hinder their access to locations used for detention.</w:t>
      </w:r>
    </w:p>
    <w:p w14:paraId="7BF2EFA5" w14:textId="1C5B6414" w:rsidR="00695E59" w:rsidRPr="00671D9E" w:rsidRDefault="00695E59" w:rsidP="002715DF">
      <w:pPr>
        <w:pStyle w:val="HChG"/>
        <w:rPr>
          <w:lang w:bidi="th-TH"/>
        </w:rPr>
      </w:pPr>
      <w:r w:rsidRPr="00671D9E">
        <w:rPr>
          <w:lang w:bidi="th-TH"/>
        </w:rPr>
        <w:tab/>
      </w:r>
      <w:r w:rsidRPr="00671D9E">
        <w:rPr>
          <w:lang w:bidi="th-TH"/>
        </w:rPr>
        <w:tab/>
        <w:t>Articles 12</w:t>
      </w:r>
      <w:r w:rsidR="002715DF">
        <w:rPr>
          <w:lang w:bidi="th-TH"/>
        </w:rPr>
        <w:t>–</w:t>
      </w:r>
      <w:r w:rsidRPr="00671D9E">
        <w:rPr>
          <w:lang w:bidi="th-TH"/>
        </w:rPr>
        <w:t>13</w:t>
      </w:r>
    </w:p>
    <w:p w14:paraId="31E0813B" w14:textId="77777777" w:rsidR="00695E59" w:rsidRPr="002715DF" w:rsidRDefault="00695E59" w:rsidP="002715DF">
      <w:pPr>
        <w:pStyle w:val="H23G"/>
        <w:rPr>
          <w:rFonts w:eastAsia="ZWAdobeF"/>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23 of the list of issues</w:t>
      </w:r>
    </w:p>
    <w:p w14:paraId="0CCA8AAE" w14:textId="3D469DCC" w:rsidR="00695E59" w:rsidRPr="00671D9E" w:rsidRDefault="002B0385" w:rsidP="002B0385">
      <w:pPr>
        <w:pStyle w:val="SingleTxtG"/>
        <w:suppressAutoHyphens w:val="0"/>
        <w:rPr>
          <w:lang w:bidi="th-TH"/>
        </w:rPr>
      </w:pPr>
      <w:r w:rsidRPr="00671D9E">
        <w:rPr>
          <w:lang w:bidi="th-TH"/>
        </w:rPr>
        <w:t>79.</w:t>
      </w:r>
      <w:r w:rsidRPr="00671D9E">
        <w:rPr>
          <w:lang w:bidi="th-TH"/>
        </w:rPr>
        <w:tab/>
      </w:r>
      <w:r w:rsidR="00695E59" w:rsidRPr="00671D9E">
        <w:rPr>
          <w:lang w:bidi="th-TH"/>
        </w:rPr>
        <w:t>As referred to in paragraph 10, in 2017-2020 the Sub-Committees on the Screening of Cases of Torture and Enforced Disappearance received 258 complaints of torture and 5 cases of enforced disappearance whereby 188 cases of torture were terminated because they were not aligned with criteria and definition of the Conventions. Out of these complaints, 2 cases</w:t>
      </w:r>
      <w:r w:rsidR="00695E59" w:rsidRPr="00671D9E">
        <w:rPr>
          <w:cs/>
          <w:lang w:bidi="th-TH"/>
        </w:rPr>
        <w:t xml:space="preserve"> </w:t>
      </w:r>
      <w:r w:rsidR="00695E59" w:rsidRPr="00671D9E">
        <w:rPr>
          <w:lang w:bidi="th-TH"/>
        </w:rPr>
        <w:t>of torture and 1 case of enforced disappearance have been found to be prima facie cases. Currently, 68 cases of torture and 4 cases of enforced disappearance are still pending for decision.</w:t>
      </w:r>
    </w:p>
    <w:p w14:paraId="5136EB4F" w14:textId="4A0BAF08" w:rsidR="00695E59" w:rsidRPr="00671D9E" w:rsidRDefault="002B0385" w:rsidP="002B0385">
      <w:pPr>
        <w:pStyle w:val="SingleTxtG"/>
        <w:suppressAutoHyphens w:val="0"/>
        <w:rPr>
          <w:lang w:bidi="th-TH"/>
        </w:rPr>
      </w:pPr>
      <w:r w:rsidRPr="00671D9E">
        <w:rPr>
          <w:lang w:bidi="th-TH"/>
        </w:rPr>
        <w:t>80.</w:t>
      </w:r>
      <w:r w:rsidRPr="00671D9E">
        <w:rPr>
          <w:lang w:bidi="th-TH"/>
        </w:rPr>
        <w:tab/>
      </w:r>
      <w:r w:rsidR="00695E59" w:rsidRPr="00671D9E">
        <w:rPr>
          <w:lang w:bidi="th-TH"/>
        </w:rPr>
        <w:t xml:space="preserve">Ms. Kritsuda Khunasen was released from the military facility on 24 June 2014. Ms. Khunasen has never filed an official complaint to the Government and thus no investigation has commenced yet. Allegations may stem from public interviews that Ms. Khunasen has given to the press on several </w:t>
      </w:r>
      <w:r w:rsidR="00695E59" w:rsidRPr="00671D9E">
        <w:rPr>
          <w:spacing w:val="-8"/>
          <w:lang w:bidi="th-TH"/>
        </w:rPr>
        <w:t xml:space="preserve">occasions, where her statements have been inconsistent. On </w:t>
      </w:r>
      <w:r w:rsidR="00695E59" w:rsidRPr="00671D9E">
        <w:rPr>
          <w:rFonts w:cs="Cordia New"/>
          <w:spacing w:val="-8"/>
          <w:lang w:bidi="th-TH"/>
        </w:rPr>
        <w:t>23 June 2014</w:t>
      </w:r>
      <w:r w:rsidR="00695E59" w:rsidRPr="00671D9E">
        <w:rPr>
          <w:spacing w:val="-8"/>
          <w:lang w:bidi="th-TH"/>
        </w:rPr>
        <w:t>, a day prior to her release,</w:t>
      </w:r>
      <w:r w:rsidR="00695E59" w:rsidRPr="00671D9E">
        <w:rPr>
          <w:lang w:bidi="th-TH"/>
        </w:rPr>
        <w:t xml:space="preserve"> she gave an interview to the press that she was not tortured as rumored, but that she was taken care of by female officials and was able to receive news from the television and the internet.</w:t>
      </w:r>
      <w:r w:rsidR="00695E59" w:rsidRPr="00671D9E">
        <w:rPr>
          <w:rFonts w:cs="Cordia New"/>
          <w:cs/>
          <w:lang w:bidi="th-TH"/>
        </w:rPr>
        <w:t xml:space="preserve"> </w:t>
      </w:r>
      <w:r w:rsidR="00695E59" w:rsidRPr="00671D9E">
        <w:rPr>
          <w:rFonts w:cs="Cordia New"/>
          <w:lang w:bidi="th-TH"/>
        </w:rPr>
        <w:t>Nonetheless, the Government has yet to receive confirmed information in this regard.</w:t>
      </w:r>
    </w:p>
    <w:p w14:paraId="42EE1515" w14:textId="21977261" w:rsidR="00695E59" w:rsidRPr="00671D9E" w:rsidRDefault="002B0385" w:rsidP="002B0385">
      <w:pPr>
        <w:pStyle w:val="SingleTxtG"/>
        <w:suppressAutoHyphens w:val="0"/>
        <w:rPr>
          <w:spacing w:val="-2"/>
          <w:szCs w:val="28"/>
          <w:lang w:bidi="th-TH"/>
        </w:rPr>
      </w:pPr>
      <w:r w:rsidRPr="00671D9E">
        <w:rPr>
          <w:spacing w:val="-2"/>
          <w:lang w:bidi="th-TH"/>
        </w:rPr>
        <w:lastRenderedPageBreak/>
        <w:t>81.</w:t>
      </w:r>
      <w:r w:rsidRPr="00671D9E">
        <w:rPr>
          <w:spacing w:val="-2"/>
          <w:lang w:bidi="th-TH"/>
        </w:rPr>
        <w:tab/>
      </w:r>
      <w:r w:rsidR="00695E59" w:rsidRPr="00671D9E">
        <w:rPr>
          <w:szCs w:val="28"/>
          <w:lang w:bidi="th-TH"/>
        </w:rPr>
        <w:t xml:space="preserve">Mr. Bilal Mohammad is currently detained </w:t>
      </w:r>
      <w:r w:rsidR="00695E59" w:rsidRPr="00671D9E">
        <w:rPr>
          <w:lang w:bidi="th-TH"/>
        </w:rPr>
        <w:t>in Tung Song Hong Temporary Prison of Bangkok Remand Prison pursuant to black case no. 217/2015.</w:t>
      </w:r>
      <w:r w:rsidR="00695E59" w:rsidRPr="00671D9E">
        <w:rPr>
          <w:spacing w:val="-2"/>
          <w:lang w:bidi="th-TH"/>
        </w:rPr>
        <w:t xml:space="preserve"> He was initially ruled guilty of illegal possession of explosives for which registrars are unable to issue a licence, using explosives for which registrars are unable to issue a license, carrying firearms within a town, village or public way without appropriate reason, together with attempting to cause explosions, attempting to murder others by premeditation, causing explosives to result in the death of others, serious injuries, and damages to property, committing premeditated murder, causing damage to others</w:t>
      </w:r>
      <w:r w:rsidR="00A56767">
        <w:rPr>
          <w:spacing w:val="-2"/>
          <w:lang w:bidi="th-TH"/>
        </w:rPr>
        <w:t>’</w:t>
      </w:r>
      <w:r w:rsidR="00695E59" w:rsidRPr="00671D9E">
        <w:rPr>
          <w:spacing w:val="-2"/>
          <w:lang w:bidi="th-TH"/>
        </w:rPr>
        <w:t xml:space="preserve"> properties, having possession of explosives without permission, having in possession arms without permission, and being an alien entering into the Kingdom without permission. The case has been transferred from </w:t>
      </w:r>
      <w:r w:rsidR="00695E59" w:rsidRPr="00671D9E">
        <w:rPr>
          <w:spacing w:val="-2"/>
          <w:szCs w:val="28"/>
          <w:lang w:bidi="th-TH"/>
        </w:rPr>
        <w:t>the Military Court</w:t>
      </w:r>
      <w:r w:rsidR="00695E59" w:rsidRPr="00671D9E">
        <w:rPr>
          <w:spacing w:val="-2"/>
          <w:lang w:bidi="th-TH"/>
        </w:rPr>
        <w:t xml:space="preserve"> to the Civil Court on 25 November 2019 and is currently under a trial procedure in the court.</w:t>
      </w:r>
    </w:p>
    <w:p w14:paraId="42ABA93C" w14:textId="1BC64D7D" w:rsidR="00695E59" w:rsidRPr="00671D9E" w:rsidRDefault="002B0385" w:rsidP="002B0385">
      <w:pPr>
        <w:pStyle w:val="SingleTxtG"/>
        <w:suppressAutoHyphens w:val="0"/>
        <w:rPr>
          <w:lang w:bidi="th-TH"/>
        </w:rPr>
      </w:pPr>
      <w:r w:rsidRPr="00671D9E">
        <w:rPr>
          <w:lang w:bidi="th-TH"/>
        </w:rPr>
        <w:t>82.</w:t>
      </w:r>
      <w:r w:rsidRPr="00671D9E">
        <w:rPr>
          <w:lang w:bidi="th-TH"/>
        </w:rPr>
        <w:tab/>
      </w:r>
      <w:r w:rsidR="00695E59" w:rsidRPr="00671D9E">
        <w:rPr>
          <w:lang w:bidi="th-TH"/>
        </w:rPr>
        <w:t>On 18 March 2015, Mr. Sarayut Tangprasert filed a complaint regarding the alleged torture of Mr. Sansern Sriounreun to the NHRC. Subsequently, on 16 November 2015, the NHRC concluded with the decision that Mr. Sriounreun</w:t>
      </w:r>
      <w:r w:rsidR="00A56767">
        <w:rPr>
          <w:lang w:bidi="th-TH"/>
        </w:rPr>
        <w:t>’</w:t>
      </w:r>
      <w:r w:rsidR="00695E59" w:rsidRPr="00671D9E">
        <w:rPr>
          <w:lang w:bidi="th-TH"/>
        </w:rPr>
        <w:t xml:space="preserve">s claims of being blindfolded, handcuffed, beaten, and shocked by electricity by military officers are inconsistent with the </w:t>
      </w:r>
      <w:r w:rsidR="00695E59" w:rsidRPr="00671D9E">
        <w:rPr>
          <w:rFonts w:cs="Angsana New"/>
          <w:szCs w:val="35"/>
          <w:lang w:bidi="th-TH"/>
        </w:rPr>
        <w:t xml:space="preserve">report of the </w:t>
      </w:r>
      <w:r w:rsidR="00695E59" w:rsidRPr="00671D9E">
        <w:rPr>
          <w:rFonts w:cs="Leelawadee UI"/>
          <w:szCs w:val="35"/>
          <w:lang w:bidi="th-TH"/>
        </w:rPr>
        <w:t>Central Institute of Forensic Science</w:t>
      </w:r>
      <w:r w:rsidR="00695E59" w:rsidRPr="00671D9E">
        <w:rPr>
          <w:lang w:bidi="th-TH"/>
        </w:rPr>
        <w:t>. The NHRC, therefore, was of the opinion that it could not be confirmed that his wounds had been inflicted as the result of torturous acts or ill-treatment committed by military officers.</w:t>
      </w:r>
    </w:p>
    <w:p w14:paraId="4E883E22" w14:textId="2121765B" w:rsidR="00695E59" w:rsidRPr="00671D9E" w:rsidRDefault="002B0385" w:rsidP="002B0385">
      <w:pPr>
        <w:pStyle w:val="SingleTxtG"/>
        <w:suppressAutoHyphens w:val="0"/>
        <w:rPr>
          <w:u w:val="single"/>
          <w:lang w:bidi="th-TH"/>
        </w:rPr>
      </w:pPr>
      <w:r w:rsidRPr="00671D9E">
        <w:rPr>
          <w:lang w:bidi="th-TH"/>
        </w:rPr>
        <w:t>83.</w:t>
      </w:r>
      <w:r w:rsidRPr="00671D9E">
        <w:rPr>
          <w:lang w:bidi="th-TH"/>
        </w:rPr>
        <w:tab/>
      </w:r>
      <w:r w:rsidR="00695E59" w:rsidRPr="00671D9E">
        <w:rPr>
          <w:lang w:bidi="th-TH"/>
        </w:rPr>
        <w:t>The SBPAC</w:t>
      </w:r>
      <w:r w:rsidR="00695E59" w:rsidRPr="00671D9E">
        <w:rPr>
          <w:rFonts w:cs="Angsana New"/>
          <w:cs/>
          <w:lang w:bidi="th-TH"/>
        </w:rPr>
        <w:t xml:space="preserve"> </w:t>
      </w:r>
      <w:r w:rsidR="00695E59" w:rsidRPr="00671D9E">
        <w:rPr>
          <w:lang w:bidi="th-TH"/>
        </w:rPr>
        <w:t>allocated a budget to the Prince of Songkla University (Songkhla Campus) to purchase a CT scanner to support forensic work in the case of allegations of torture or ill-treatment in the Southern border provinces due to Muslim beliefs that conducting autopsies on a dead person is not consistent with religious principles. The CT scanner has been installed since July 2019.</w:t>
      </w:r>
    </w:p>
    <w:p w14:paraId="5BC4884C" w14:textId="77777777" w:rsidR="00695E59" w:rsidRPr="00671D9E" w:rsidRDefault="00695E59" w:rsidP="00695E59">
      <w:pPr>
        <w:pStyle w:val="H23G"/>
        <w:rPr>
          <w:rFonts w:eastAsia="ZWAdobeF" w:cs="Cordia New"/>
          <w:sz w:val="28"/>
          <w:szCs w:val="28"/>
          <w:u w:val="single"/>
          <w:lang w:bidi="th-TH"/>
        </w:rPr>
      </w:pPr>
      <w:r w:rsidRPr="00671D9E">
        <w:tab/>
      </w:r>
      <w:r w:rsidRPr="00671D9E">
        <w:tab/>
        <w:t>Reply to paragraph 24 of the list of issues</w:t>
      </w:r>
    </w:p>
    <w:p w14:paraId="1DADC5AC" w14:textId="34743C83" w:rsidR="00695E59" w:rsidRPr="00671D9E" w:rsidRDefault="002B0385" w:rsidP="002B0385">
      <w:pPr>
        <w:pStyle w:val="SingleTxtG"/>
        <w:suppressAutoHyphens w:val="0"/>
        <w:rPr>
          <w:lang w:bidi="th-TH"/>
        </w:rPr>
      </w:pPr>
      <w:r w:rsidRPr="00671D9E">
        <w:rPr>
          <w:lang w:bidi="th-TH"/>
        </w:rPr>
        <w:t>84.</w:t>
      </w:r>
      <w:r w:rsidRPr="00671D9E">
        <w:rPr>
          <w:lang w:bidi="th-TH"/>
        </w:rPr>
        <w:tab/>
      </w:r>
      <w:r w:rsidR="00695E59" w:rsidRPr="00671D9E">
        <w:rPr>
          <w:lang w:bidi="th-TH"/>
        </w:rPr>
        <w:t xml:space="preserve">Under the National Committee for Managing Cases Relating to Torture and Enforced Disappearance (mentioned in more detail in paragraph </w:t>
      </w:r>
      <w:r w:rsidR="00695E59" w:rsidRPr="00671D9E">
        <w:rPr>
          <w:rFonts w:cs="Cordia New"/>
          <w:lang w:bidi="th-TH"/>
        </w:rPr>
        <w:t>9</w:t>
      </w:r>
      <w:r w:rsidR="00695E59" w:rsidRPr="00671D9E">
        <w:rPr>
          <w:lang w:bidi="th-TH"/>
        </w:rPr>
        <w:t>), the Sub-Committee to Monitor and Investigate Cases of Torture and Enforced Disappearance</w:t>
      </w:r>
      <w:r w:rsidR="00695E59" w:rsidRPr="00671D9E">
        <w:rPr>
          <w:rFonts w:cs="Angsana New"/>
          <w:cs/>
          <w:lang w:bidi="th-TH"/>
        </w:rPr>
        <w:t xml:space="preserve"> </w:t>
      </w:r>
      <w:r w:rsidR="00695E59" w:rsidRPr="00671D9E">
        <w:rPr>
          <w:lang w:bidi="th-TH"/>
        </w:rPr>
        <w:t xml:space="preserve">has the mandate to receive complaints regarding acts of torture and ill-treatment committed by state officials and to investigate such allegations. From 87 cases in the </w:t>
      </w:r>
      <w:r w:rsidR="00695E59" w:rsidRPr="00671D9E">
        <w:rPr>
          <w:rFonts w:cs="Cordia New"/>
          <w:lang w:bidi="th-TH"/>
        </w:rPr>
        <w:t>l</w:t>
      </w:r>
      <w:r w:rsidR="00695E59" w:rsidRPr="00671D9E">
        <w:rPr>
          <w:lang w:bidi="th-TH"/>
        </w:rPr>
        <w:t>ist of UN WGEID, 12 cases have been withdrawn, 67 cases are being proceeded by the National Committee, and 8 cases are under verification by DSI and RLPD.</w:t>
      </w:r>
    </w:p>
    <w:p w14:paraId="2E8506D7" w14:textId="08C07C0E" w:rsidR="00695E59" w:rsidRPr="00671D9E" w:rsidRDefault="002B0385" w:rsidP="002B0385">
      <w:pPr>
        <w:pStyle w:val="SingleTxtG"/>
        <w:suppressAutoHyphens w:val="0"/>
        <w:rPr>
          <w:cs/>
          <w:lang w:bidi="th-TH"/>
        </w:rPr>
      </w:pPr>
      <w:r w:rsidRPr="00C21170">
        <w:rPr>
          <w:cs/>
        </w:rPr>
        <w:t>85.</w:t>
      </w:r>
      <w:r w:rsidRPr="00C21170">
        <w:rPr>
          <w:cs/>
        </w:rPr>
        <w:tab/>
      </w:r>
      <w:r w:rsidR="00695E59" w:rsidRPr="00671D9E">
        <w:rPr>
          <w:lang w:bidi="th-TH"/>
        </w:rPr>
        <w:t>As an example of its work, the Sub-Committee received allegations from the NHRC in 2017 on the cases of Mr. Kietipoom Wassana and Mr. Ratchanon Thechitchanon who were allegedly beaten by the police to gain information for an investigation on 14 July 2015. From preliminary investigations conducted, the Sub-Committee found that such acts committed by related police officers may have violated the Criminal Code</w:t>
      </w:r>
      <w:r w:rsidR="00A56767">
        <w:rPr>
          <w:lang w:bidi="th-TH"/>
        </w:rPr>
        <w:t>’</w:t>
      </w:r>
      <w:r w:rsidR="00695E59" w:rsidRPr="00671D9E">
        <w:rPr>
          <w:lang w:bidi="th-TH"/>
        </w:rPr>
        <w:t>s Section 157 (malpractice). The cases have been forwarded to the Office of Public Sector Anti-Corruption Commission</w:t>
      </w:r>
      <w:r w:rsidR="00695E59" w:rsidRPr="00671D9E">
        <w:rPr>
          <w:rFonts w:cs="Cordia New"/>
          <w:cs/>
          <w:lang w:bidi="th-TH"/>
        </w:rPr>
        <w:t xml:space="preserve"> </w:t>
      </w:r>
      <w:r w:rsidR="00695E59" w:rsidRPr="00671D9E">
        <w:rPr>
          <w:rFonts w:cs="Cordia New"/>
          <w:lang w:bidi="th-TH"/>
        </w:rPr>
        <w:t>(PACC) who then completed</w:t>
      </w:r>
      <w:r w:rsidR="00695E59" w:rsidRPr="00671D9E">
        <w:rPr>
          <w:rFonts w:cs="Cordia New"/>
          <w:cs/>
          <w:lang w:bidi="th-TH"/>
        </w:rPr>
        <w:t xml:space="preserve"> </w:t>
      </w:r>
      <w:r w:rsidR="00695E59" w:rsidRPr="00671D9E">
        <w:rPr>
          <w:lang w:bidi="th-TH"/>
        </w:rPr>
        <w:t xml:space="preserve">the process of preliminary investigation and recently decided to </w:t>
      </w:r>
      <w:r w:rsidR="00695E59" w:rsidRPr="00671D9E">
        <w:rPr>
          <w:rFonts w:cs="Leelawadee UI"/>
          <w:szCs w:val="35"/>
          <w:lang w:bidi="th-TH"/>
        </w:rPr>
        <w:t>set up</w:t>
      </w:r>
      <w:r w:rsidR="00695E59" w:rsidRPr="00671D9E">
        <w:rPr>
          <w:lang w:bidi="th-TH"/>
        </w:rPr>
        <w:t xml:space="preserve"> </w:t>
      </w:r>
      <w:r w:rsidR="00695E59" w:rsidRPr="00671D9E">
        <w:rPr>
          <w:rFonts w:cs="Cordia New"/>
          <w:lang w:bidi="th-TH"/>
        </w:rPr>
        <w:t>a</w:t>
      </w:r>
      <w:r w:rsidR="00695E59" w:rsidRPr="00671D9E">
        <w:rPr>
          <w:lang w:bidi="th-TH"/>
        </w:rPr>
        <w:t xml:space="preserve"> sub-committee tasked to investigate the case.</w:t>
      </w:r>
    </w:p>
    <w:p w14:paraId="40643827" w14:textId="3893A3C5" w:rsidR="00695E59" w:rsidRPr="002715DF" w:rsidRDefault="00695E59" w:rsidP="002715DF">
      <w:pPr>
        <w:pStyle w:val="H23G"/>
        <w:rPr>
          <w:rFonts w:eastAsia="ZWAdobeF"/>
        </w:rPr>
      </w:pPr>
      <w:r w:rsidRPr="00671D9E">
        <w:rPr>
          <w:rFonts w:eastAsia="ZWAdobeF"/>
          <w:bCs/>
          <w:spacing w:val="-8"/>
          <w:sz w:val="28"/>
          <w:szCs w:val="28"/>
          <w:lang w:bidi="th-TH"/>
        </w:rPr>
        <w:tab/>
      </w:r>
      <w:r w:rsidRPr="00671D9E">
        <w:rPr>
          <w:rFonts w:eastAsia="ZWAdobeF"/>
          <w:bCs/>
          <w:spacing w:val="-8"/>
          <w:sz w:val="28"/>
          <w:szCs w:val="28"/>
          <w:lang w:bidi="th-TH"/>
        </w:rPr>
        <w:tab/>
      </w:r>
      <w:r w:rsidRPr="00671D9E">
        <w:t>Reply to paragraph 25 of the list of issues</w:t>
      </w:r>
    </w:p>
    <w:p w14:paraId="5FCB0609" w14:textId="09ECD385" w:rsidR="00695E59" w:rsidRPr="00257D1F" w:rsidRDefault="002B0385" w:rsidP="002B0385">
      <w:pPr>
        <w:pStyle w:val="SingleTxtG"/>
        <w:suppressAutoHyphens w:val="0"/>
        <w:rPr>
          <w:rFonts w:cs="Cordia New"/>
          <w:spacing w:val="-4"/>
          <w:lang w:bidi="th-TH"/>
        </w:rPr>
      </w:pPr>
      <w:r w:rsidRPr="00671D9E">
        <w:rPr>
          <w:spacing w:val="-4"/>
          <w:lang w:bidi="th-TH"/>
        </w:rPr>
        <w:t>86.</w:t>
      </w:r>
      <w:r w:rsidRPr="00671D9E">
        <w:rPr>
          <w:spacing w:val="-4"/>
          <w:lang w:bidi="th-TH"/>
        </w:rPr>
        <w:tab/>
      </w:r>
      <w:r w:rsidR="00695E59" w:rsidRPr="00671D9E">
        <w:rPr>
          <w:lang w:bidi="th-TH"/>
        </w:rPr>
        <w:t>The Witness Protection Act B.E. 2546 (2003)</w:t>
      </w:r>
      <w:r w:rsidR="00695E59" w:rsidRPr="00671D9E">
        <w:rPr>
          <w:rFonts w:cs="Angsana New"/>
          <w:b/>
          <w:bCs/>
          <w:cs/>
          <w:lang w:bidi="th-TH"/>
        </w:rPr>
        <w:t xml:space="preserve"> </w:t>
      </w:r>
      <w:r w:rsidR="00695E59" w:rsidRPr="00671D9E">
        <w:rPr>
          <w:lang w:bidi="th-TH"/>
        </w:rPr>
        <w:t xml:space="preserve">provides protection of witnesses in criminal cases for their safety as well as individuals who are closely related to the witnesses and at risk of being threatened or harassed as a result of them becoming or being a witness. The measures taken to protect witnesses and their family members include providing them with a safe house, bodyguards and changing names. The Government, by the RLPD, is in the process of amending the Act to enhance the legal framework and measures on witness safeguards and protection, including to cover those who are intimidated or threatened before </w:t>
      </w:r>
      <w:r w:rsidR="00695E59" w:rsidRPr="00671D9E">
        <w:rPr>
          <w:spacing w:val="-4"/>
          <w:lang w:bidi="th-TH"/>
        </w:rPr>
        <w:t>criminal proceedings are initiated. The draft law to amend the Witness Protection Act was approved by the Cabinet on</w:t>
      </w:r>
      <w:r w:rsidR="00695E59" w:rsidRPr="00671D9E">
        <w:rPr>
          <w:lang w:bidi="th-TH"/>
        </w:rPr>
        <w:t xml:space="preserve"> 29 January 2019 and by the Council of </w:t>
      </w:r>
      <w:r w:rsidR="00695E59" w:rsidRPr="00671D9E">
        <w:rPr>
          <w:spacing w:val="-4"/>
          <w:lang w:bidi="th-TH"/>
        </w:rPr>
        <w:t xml:space="preserve">State on </w:t>
      </w:r>
      <w:r w:rsidR="00695E59" w:rsidRPr="00671D9E">
        <w:rPr>
          <w:spacing w:val="-4"/>
          <w:cs/>
          <w:lang w:bidi="th-TH"/>
        </w:rPr>
        <w:t>13</w:t>
      </w:r>
      <w:r w:rsidR="00695E59" w:rsidRPr="00671D9E">
        <w:rPr>
          <w:rFonts w:cs="Cordia New"/>
          <w:spacing w:val="-4"/>
          <w:cs/>
          <w:lang w:bidi="th-TH"/>
        </w:rPr>
        <w:t xml:space="preserve"> </w:t>
      </w:r>
      <w:r w:rsidR="00695E59" w:rsidRPr="00671D9E">
        <w:rPr>
          <w:rFonts w:cs="Cordia New"/>
          <w:spacing w:val="-4"/>
          <w:lang w:bidi="th-TH"/>
        </w:rPr>
        <w:t>June</w:t>
      </w:r>
      <w:r w:rsidR="00695E59" w:rsidRPr="00671D9E">
        <w:rPr>
          <w:spacing w:val="-4"/>
          <w:cs/>
          <w:lang w:bidi="th-TH"/>
        </w:rPr>
        <w:t xml:space="preserve"> 2019</w:t>
      </w:r>
      <w:r w:rsidR="00695E59" w:rsidRPr="00671D9E">
        <w:rPr>
          <w:spacing w:val="-4"/>
          <w:lang w:bidi="th-TH"/>
        </w:rPr>
        <w:t>. It is now under the process of re-</w:t>
      </w:r>
      <w:r w:rsidR="00695E59" w:rsidRPr="00671D9E">
        <w:rPr>
          <w:rFonts w:cs="Angsana New"/>
          <w:spacing w:val="-4"/>
          <w:szCs w:val="35"/>
          <w:lang w:bidi="th-TH"/>
        </w:rPr>
        <w:t>submission to the Cabinet</w:t>
      </w:r>
      <w:r w:rsidR="00695E59" w:rsidRPr="00671D9E">
        <w:rPr>
          <w:spacing w:val="-4"/>
          <w:lang w:bidi="th-TH"/>
        </w:rPr>
        <w:t>. Some key proposed amendments are as follows:</w:t>
      </w:r>
    </w:p>
    <w:p w14:paraId="0AB36742" w14:textId="34E38630" w:rsidR="00695E59" w:rsidRPr="00C262BA" w:rsidRDefault="00C262BA" w:rsidP="00C262BA">
      <w:pPr>
        <w:pStyle w:val="SingleTxtG"/>
      </w:pPr>
      <w:r>
        <w:tab/>
      </w:r>
      <w:r w:rsidR="002B0385" w:rsidRPr="00C262BA">
        <w:t>(a)</w:t>
      </w:r>
      <w:r w:rsidR="002B0385" w:rsidRPr="00C262BA">
        <w:tab/>
      </w:r>
      <w:r w:rsidR="00695E59" w:rsidRPr="00C262BA">
        <w:t xml:space="preserve">Amend the definition of </w:t>
      </w:r>
      <w:r w:rsidR="00A56767" w:rsidRPr="00C262BA">
        <w:t>“</w:t>
      </w:r>
      <w:r w:rsidR="00695E59" w:rsidRPr="00C262BA">
        <w:t>witness</w:t>
      </w:r>
      <w:r w:rsidR="00A56767" w:rsidRPr="00C262BA">
        <w:t>”</w:t>
      </w:r>
      <w:r w:rsidR="00695E59" w:rsidRPr="00C262BA">
        <w:t xml:space="preserve"> and </w:t>
      </w:r>
      <w:r w:rsidR="00A56767" w:rsidRPr="00C262BA">
        <w:t>“</w:t>
      </w:r>
      <w:r w:rsidR="00695E59" w:rsidRPr="00C262BA">
        <w:t>official</w:t>
      </w:r>
      <w:r w:rsidR="00A56767" w:rsidRPr="00C262BA">
        <w:t>”</w:t>
      </w:r>
      <w:r w:rsidR="00695E59" w:rsidRPr="00C262BA">
        <w:t xml:space="preserve"> to cover those who are whistleblowers, complainers and information providers;</w:t>
      </w:r>
    </w:p>
    <w:p w14:paraId="1F8CF63E" w14:textId="179F9CA8" w:rsidR="00695E59" w:rsidRPr="00C262BA" w:rsidRDefault="00C262BA" w:rsidP="00C262BA">
      <w:pPr>
        <w:pStyle w:val="SingleTxtG"/>
      </w:pPr>
      <w:r>
        <w:lastRenderedPageBreak/>
        <w:tab/>
      </w:r>
      <w:r w:rsidR="002B0385" w:rsidRPr="00C262BA">
        <w:t>(b)</w:t>
      </w:r>
      <w:r w:rsidR="002B0385" w:rsidRPr="00C262BA">
        <w:tab/>
      </w:r>
      <w:r w:rsidR="00695E59" w:rsidRPr="00C262BA">
        <w:t>Improve general protection measures to allow relevant officials to evaluate witness safety in order to extend or terminate protection as per witness request;</w:t>
      </w:r>
    </w:p>
    <w:p w14:paraId="7DCF62E4" w14:textId="61499BDE" w:rsidR="00695E59" w:rsidRPr="00C262BA" w:rsidRDefault="00C262BA" w:rsidP="00C262BA">
      <w:pPr>
        <w:pStyle w:val="SingleTxtG"/>
      </w:pPr>
      <w:r>
        <w:tab/>
      </w:r>
      <w:r w:rsidR="002B0385" w:rsidRPr="00C262BA">
        <w:t>(c)</w:t>
      </w:r>
      <w:r w:rsidR="002B0385" w:rsidRPr="00C262BA">
        <w:tab/>
      </w:r>
      <w:r w:rsidR="00695E59" w:rsidRPr="00C262BA">
        <w:t>Amend special protection measures to make them compatible with the current situation, especially with new predicated offences. Some new measures will be introduced, such as</w:t>
      </w:r>
      <w:r w:rsidR="00695E59" w:rsidRPr="00C262BA">
        <w:rPr>
          <w:cs/>
        </w:rPr>
        <w:t xml:space="preserve"> </w:t>
      </w:r>
      <w:r w:rsidR="00695E59" w:rsidRPr="00C262BA">
        <w:t>methods of change of registered information;</w:t>
      </w:r>
    </w:p>
    <w:p w14:paraId="1811B1C7" w14:textId="5FED6E63" w:rsidR="00695E59" w:rsidRPr="00C262BA" w:rsidRDefault="00C262BA" w:rsidP="00C262BA">
      <w:pPr>
        <w:pStyle w:val="SingleTxtG"/>
      </w:pPr>
      <w:r>
        <w:tab/>
      </w:r>
      <w:r w:rsidR="002B0385" w:rsidRPr="00C262BA">
        <w:t>(d)</w:t>
      </w:r>
      <w:r w:rsidR="002B0385" w:rsidRPr="00C262BA">
        <w:tab/>
      </w:r>
      <w:r w:rsidR="00695E59" w:rsidRPr="00C262BA">
        <w:t>Amend the WPO</w:t>
      </w:r>
      <w:r w:rsidR="00A56767" w:rsidRPr="00C262BA">
        <w:t>’</w:t>
      </w:r>
      <w:r w:rsidR="00695E59" w:rsidRPr="00C262BA">
        <w:t>s mandate and power and increase the power of officials who execute this law including making the WPO a coordinating body to assist a witness to bring light to the case and also to assist the witness to resume their normal life. This will have a positive effect in enabling witness trust in testifying throughout the entire criminal proceeding; and</w:t>
      </w:r>
    </w:p>
    <w:p w14:paraId="79DDD6F6" w14:textId="32B0A488" w:rsidR="00695E59" w:rsidRPr="00C262BA" w:rsidRDefault="00C262BA" w:rsidP="00C262BA">
      <w:pPr>
        <w:pStyle w:val="SingleTxtG"/>
      </w:pPr>
      <w:r>
        <w:tab/>
      </w:r>
      <w:r w:rsidR="002B0385" w:rsidRPr="00C262BA">
        <w:t>(e)</w:t>
      </w:r>
      <w:r w:rsidR="002B0385" w:rsidRPr="00C262BA">
        <w:tab/>
      </w:r>
      <w:r w:rsidR="00695E59" w:rsidRPr="00C262BA">
        <w:t>Amend provisions on</w:t>
      </w:r>
      <w:r w:rsidR="00695E59" w:rsidRPr="00C262BA">
        <w:rPr>
          <w:cs/>
        </w:rPr>
        <w:t xml:space="preserve"> </w:t>
      </w:r>
      <w:r w:rsidR="00695E59" w:rsidRPr="00C262BA">
        <w:t>compensation and payment of witness allowance to be more reasonable and practical, including in the case where the witness has given testimony but fails to appear in the court for the hearing.</w:t>
      </w:r>
    </w:p>
    <w:p w14:paraId="4E8C99FF" w14:textId="5D7B512F" w:rsidR="00695E59" w:rsidRPr="00671D9E" w:rsidRDefault="002B0385" w:rsidP="002B0385">
      <w:pPr>
        <w:pStyle w:val="SingleTxtG"/>
        <w:suppressAutoHyphens w:val="0"/>
        <w:rPr>
          <w:lang w:bidi="th-TH"/>
        </w:rPr>
      </w:pPr>
      <w:r w:rsidRPr="00671D9E">
        <w:rPr>
          <w:lang w:bidi="th-TH"/>
        </w:rPr>
        <w:t>87.</w:t>
      </w:r>
      <w:r w:rsidRPr="00671D9E">
        <w:rPr>
          <w:lang w:bidi="th-TH"/>
        </w:rPr>
        <w:tab/>
      </w:r>
      <w:r w:rsidR="00695E59" w:rsidRPr="00671D9E">
        <w:rPr>
          <w:lang w:bidi="th-TH"/>
        </w:rPr>
        <w:t>Regarding the case of Mr. Anuphong Phanthachayangkun, on 22 November 2017, the Supreme Court confirmed the judgements of the Court of First Instance and the Regional Court of Appeals which found Mr. Phanthachayangkun guilty of making false complaints on allegations of torture. The Supreme Court sentenced Mr. Phanthachayangkun to one year of imprisonment. This is not a case of retaliation. The Court of Justice is an independent body and its decision is based on evidence where the Government cannot interfere. Mr. Phanthachayangkun</w:t>
      </w:r>
      <w:r w:rsidR="00A56767">
        <w:rPr>
          <w:lang w:bidi="th-TH"/>
        </w:rPr>
        <w:t>’</w:t>
      </w:r>
      <w:r w:rsidR="00695E59" w:rsidRPr="00671D9E">
        <w:rPr>
          <w:lang w:bidi="th-TH"/>
        </w:rPr>
        <w:t>s right to a fair trial and due process is respected in accordance with international standards.</w:t>
      </w:r>
    </w:p>
    <w:p w14:paraId="02FCA495" w14:textId="5EE656EF" w:rsidR="00695E59" w:rsidRPr="00E11553" w:rsidRDefault="002B0385" w:rsidP="00E11553">
      <w:pPr>
        <w:pStyle w:val="SingleTxtG"/>
      </w:pPr>
      <w:r w:rsidRPr="00E11553">
        <w:t>88.</w:t>
      </w:r>
      <w:r w:rsidRPr="00E11553">
        <w:tab/>
      </w:r>
      <w:r w:rsidR="00695E59" w:rsidRPr="00E11553">
        <w:t>As an effort of the Government to protect human rights defenders from reprisals, the 4th National Human Rights Plan (2019–2022) has included human rights defenders and the media as new target groups for the promotion and protection of their rights. Moreover, the Government has introduced a series of relevant legal measures as follows:</w:t>
      </w:r>
    </w:p>
    <w:p w14:paraId="31428C8C" w14:textId="35E52B41" w:rsidR="00695E59" w:rsidRPr="00E11553" w:rsidRDefault="00E11553" w:rsidP="00E11553">
      <w:pPr>
        <w:pStyle w:val="SingleTxtG"/>
      </w:pPr>
      <w:r>
        <w:tab/>
      </w:r>
      <w:r w:rsidR="002B0385" w:rsidRPr="00E11553">
        <w:t>(a)</w:t>
      </w:r>
      <w:r w:rsidR="002B0385" w:rsidRPr="00E11553">
        <w:tab/>
      </w:r>
      <w:r w:rsidR="00695E59" w:rsidRPr="00E11553">
        <w:t>The 2017 Constitution, the National Reform Plans, and the 20-year National Strategy (2018-2037) lays down principles and a guiding framework for government policies and actions to protect and promote human rights, including the rights to freedom of expression and opinion, and to ensure an impartial and transparent exercise of officials</w:t>
      </w:r>
      <w:r w:rsidR="00A56767" w:rsidRPr="00E11553">
        <w:t>’</w:t>
      </w:r>
      <w:r w:rsidR="00695E59" w:rsidRPr="00E11553">
        <w:t xml:space="preserve"> powers, accountability for any wrongful or dishonest exercise of officials</w:t>
      </w:r>
      <w:r w:rsidR="00A56767" w:rsidRPr="00E11553">
        <w:t>’</w:t>
      </w:r>
      <w:r w:rsidR="00695E59" w:rsidRPr="00E11553">
        <w:t xml:space="preserve"> powers and the availability of appropriate redress;</w:t>
      </w:r>
    </w:p>
    <w:p w14:paraId="611694FA" w14:textId="33B92080" w:rsidR="00695E59" w:rsidRPr="00E11553" w:rsidRDefault="00E11553" w:rsidP="00E11553">
      <w:pPr>
        <w:pStyle w:val="SingleTxtG"/>
      </w:pPr>
      <w:r>
        <w:tab/>
      </w:r>
      <w:r w:rsidR="002B0385" w:rsidRPr="00E11553">
        <w:t>(b)</w:t>
      </w:r>
      <w:r w:rsidR="002B0385" w:rsidRPr="00E11553">
        <w:tab/>
      </w:r>
      <w:r w:rsidR="00695E59" w:rsidRPr="00E11553">
        <w:t>A criminal offence on wrongful exercise of duties of state officials under</w:t>
      </w:r>
      <w:r w:rsidR="00695E59" w:rsidRPr="00E11553">
        <w:rPr>
          <w:cs/>
        </w:rPr>
        <w:t xml:space="preserve"> </w:t>
      </w:r>
      <w:r w:rsidR="00695E59" w:rsidRPr="00E11553">
        <w:t>Section 157 of the Criminal Code contains broad preventive and punitive effects to any wrongful and dishonest exercise of official functions of powers, such as malicious accusations or prosecutions. Investigations on this offence may be carried out by the NACC and, if a disciplinary fault or criminal act is found, referred to the superiors and/or a public prosecutor to proceed for consideration of disciplinary punishment;</w:t>
      </w:r>
    </w:p>
    <w:p w14:paraId="3A5E1B8E" w14:textId="602097B4" w:rsidR="00695E59" w:rsidRPr="00E11553" w:rsidRDefault="00E11553" w:rsidP="00E11553">
      <w:pPr>
        <w:pStyle w:val="SingleTxtG"/>
      </w:pPr>
      <w:r>
        <w:tab/>
      </w:r>
      <w:r w:rsidR="002B0385" w:rsidRPr="00E11553">
        <w:t>(c)</w:t>
      </w:r>
      <w:r w:rsidR="002B0385" w:rsidRPr="00E11553">
        <w:tab/>
      </w:r>
      <w:r w:rsidR="00695E59" w:rsidRPr="00E11553">
        <w:t>A person whose rights are affected by an unlawful administrative order, for example, travel ban, punitive registration or restriction on receiving funding, may seek a full review of those decisions and redress through an</w:t>
      </w:r>
      <w:r w:rsidR="00695E59" w:rsidRPr="00E11553">
        <w:rPr>
          <w:cs/>
        </w:rPr>
        <w:t xml:space="preserve"> </w:t>
      </w:r>
      <w:r w:rsidR="00695E59" w:rsidRPr="00E11553">
        <w:t>administrative appeal process in accordance with the Administrative Procedure Act B.E. 2539 (1996). Once the review is exhausted, the injured person may appeal to the Administrative Court under the Act on Establishment of Administrative Court and Administrative Court Procedure B.E. 2542 (1999);</w:t>
      </w:r>
    </w:p>
    <w:p w14:paraId="4753DD2B" w14:textId="5D68BFFC" w:rsidR="00695E59" w:rsidRPr="00E11553" w:rsidRDefault="00E11553" w:rsidP="00E11553">
      <w:pPr>
        <w:pStyle w:val="SingleTxtG"/>
      </w:pPr>
      <w:r>
        <w:tab/>
      </w:r>
      <w:r w:rsidR="002B0385" w:rsidRPr="00E11553">
        <w:t>(d)</w:t>
      </w:r>
      <w:r w:rsidR="002B0385" w:rsidRPr="00E11553">
        <w:tab/>
      </w:r>
      <w:r w:rsidR="00695E59" w:rsidRPr="00E11553">
        <w:t>Section 21 of the Public Prosecutor Organ and Public Prosecutors Act B.E. 2553 (2010) stipulates that a public prosecutor shall be independent in his prosecution and honestly and impartially act in accordance with the Constitution and relevant laws. It also gives a public prosecutor the power to refer the opinion to the Attorney General to issue an order of non-prosecution if found that a criminal prosecution has no use to the general public or affects the nation</w:t>
      </w:r>
      <w:r w:rsidR="00A56767" w:rsidRPr="00E11553">
        <w:t>’</w:t>
      </w:r>
      <w:r w:rsidR="00695E59" w:rsidRPr="00E11553">
        <w:t>s safety or security or significantly impairs the national interest. In addition, the Public Prosecutor Rules on the Prosecution of the Public Prosecutor B.E. 2547 (2004) directs a public prosecutor to perform duties without delay and in a just and equal manner and to take human dignity and the rights and freedom of a person into their consideration and decision-making process; and</w:t>
      </w:r>
    </w:p>
    <w:p w14:paraId="77589881" w14:textId="169A2075" w:rsidR="00695E59" w:rsidRPr="00E11553" w:rsidRDefault="00E11553" w:rsidP="00E11553">
      <w:pPr>
        <w:pStyle w:val="SingleTxtG"/>
      </w:pPr>
      <w:r>
        <w:lastRenderedPageBreak/>
        <w:tab/>
      </w:r>
      <w:r w:rsidR="002B0385" w:rsidRPr="00E11553">
        <w:t>(e)</w:t>
      </w:r>
      <w:r w:rsidR="002B0385" w:rsidRPr="00E11553">
        <w:tab/>
      </w:r>
      <w:r w:rsidR="00695E59" w:rsidRPr="00E11553">
        <w:t>Amendment of the Criminal Procedure Code</w:t>
      </w:r>
      <w:r w:rsidR="00A56767" w:rsidRPr="00E11553">
        <w:t>’</w:t>
      </w:r>
      <w:r w:rsidR="00695E59" w:rsidRPr="00E11553">
        <w:t>s Sections 161/1 and 165/2 to protect the right to freedom of expression against Strategic Litigation against Public Participation (SLAPP). More details appear in paragraph 96.</w:t>
      </w:r>
    </w:p>
    <w:p w14:paraId="1CDF7D8F" w14:textId="66EEFE69" w:rsidR="00695E59" w:rsidRPr="00671D9E" w:rsidRDefault="002B0385" w:rsidP="002B0385">
      <w:pPr>
        <w:pStyle w:val="SingleTxtG"/>
        <w:suppressAutoHyphens w:val="0"/>
        <w:rPr>
          <w:lang w:bidi="th-TH"/>
        </w:rPr>
      </w:pPr>
      <w:r w:rsidRPr="00671D9E">
        <w:rPr>
          <w:lang w:bidi="th-TH"/>
        </w:rPr>
        <w:t>89.</w:t>
      </w:r>
      <w:r w:rsidRPr="00671D9E">
        <w:rPr>
          <w:lang w:bidi="th-TH"/>
        </w:rPr>
        <w:tab/>
      </w:r>
      <w:r w:rsidR="00695E59" w:rsidRPr="00671D9E">
        <w:rPr>
          <w:lang w:bidi="th-TH"/>
        </w:rPr>
        <w:t>Apart from these laws in place to protect human rights defenders, Thailand also conduct</w:t>
      </w:r>
      <w:r w:rsidR="00695E59" w:rsidRPr="00671D9E">
        <w:rPr>
          <w:rFonts w:cs="Angsana New"/>
          <w:szCs w:val="35"/>
          <w:lang w:bidi="th-TH"/>
        </w:rPr>
        <w:t>s</w:t>
      </w:r>
      <w:r w:rsidR="00695E59" w:rsidRPr="00671D9E">
        <w:rPr>
          <w:lang w:bidi="th-TH"/>
        </w:rPr>
        <w:t xml:space="preserve"> these activities and initiatives:</w:t>
      </w:r>
    </w:p>
    <w:p w14:paraId="44E0919E" w14:textId="5378E09D" w:rsidR="00695E59" w:rsidRPr="00AB24FE" w:rsidRDefault="00AB24FE" w:rsidP="00AB24FE">
      <w:pPr>
        <w:pStyle w:val="SingleTxtG"/>
      </w:pPr>
      <w:r>
        <w:tab/>
      </w:r>
      <w:r w:rsidR="002B0385" w:rsidRPr="00AB24FE">
        <w:t>(a)</w:t>
      </w:r>
      <w:r w:rsidR="002B0385" w:rsidRPr="00AB24FE">
        <w:tab/>
      </w:r>
      <w:r w:rsidR="00695E59" w:rsidRPr="00AB24FE">
        <w:t>Human rights defenders are included in the 4th National Human Rights Plan (2019–2022) to ensure that they are safeguarded against intimidation, reprisals or any unlawful acts. The First National Action Plan on Business and Human Rights has also designated human rights defenders as one of the four priority areas;</w:t>
      </w:r>
      <w:r w:rsidR="00695E59" w:rsidRPr="00E235C4">
        <w:rPr>
          <w:rStyle w:val="FootnoteReference"/>
        </w:rPr>
        <w:footnoteReference w:id="17"/>
      </w:r>
    </w:p>
    <w:p w14:paraId="763F3CDA" w14:textId="45A1E704" w:rsidR="00695E59" w:rsidRPr="00AB24FE" w:rsidRDefault="00AB24FE" w:rsidP="00AB24FE">
      <w:pPr>
        <w:pStyle w:val="SingleTxtG"/>
      </w:pPr>
      <w:r>
        <w:tab/>
      </w:r>
      <w:r w:rsidR="002B0385" w:rsidRPr="00AB24FE">
        <w:t>(b)</w:t>
      </w:r>
      <w:r w:rsidR="002B0385" w:rsidRPr="00AB24FE">
        <w:tab/>
      </w:r>
      <w:r w:rsidR="00695E59" w:rsidRPr="00AB24FE">
        <w:t xml:space="preserve">In 2016, the RLPD - in collaboration with CSOs and the OHCHR Regional Office in Bangkok - published the </w:t>
      </w:r>
      <w:r w:rsidR="00A56767" w:rsidRPr="00AB24FE">
        <w:t>“</w:t>
      </w:r>
      <w:r w:rsidR="00695E59" w:rsidRPr="00AB24FE">
        <w:t>Handbook to Protect Human Rights Defenders</w:t>
      </w:r>
      <w:r w:rsidR="00A56767" w:rsidRPr="00AB24FE">
        <w:t>”</w:t>
      </w:r>
      <w:r w:rsidR="00695E59" w:rsidRPr="00AB24FE">
        <w:t>. The handbook has been distributed to the general public, particularly to human rights defenders working in the field. The Government has also cooperated with all stakeholders and partners to develop details of the handbook to ensure its practical applicability;</w:t>
      </w:r>
    </w:p>
    <w:p w14:paraId="730E6AF5" w14:textId="4565DD9D" w:rsidR="00695E59" w:rsidRPr="00AB24FE" w:rsidRDefault="00AB24FE" w:rsidP="00AB24FE">
      <w:pPr>
        <w:pStyle w:val="SingleTxtG"/>
      </w:pPr>
      <w:r>
        <w:tab/>
      </w:r>
      <w:r w:rsidR="002B0385" w:rsidRPr="00AB24FE">
        <w:t>(c)</w:t>
      </w:r>
      <w:r w:rsidR="002B0385" w:rsidRPr="00AB24FE">
        <w:tab/>
      </w:r>
      <w:r w:rsidR="00695E59" w:rsidRPr="00AB24FE">
        <w:t>The RLPD conducted a workshop on human rights defenders protection framework, with a view to categorizing the security status of human rights defenders and proposing a suitable level of protection to safeguard each group against harm;</w:t>
      </w:r>
    </w:p>
    <w:p w14:paraId="0B2A2B46" w14:textId="6FF3BC27" w:rsidR="00695E59" w:rsidRPr="00AB24FE" w:rsidRDefault="00AB24FE" w:rsidP="00AB24FE">
      <w:pPr>
        <w:pStyle w:val="SingleTxtG"/>
      </w:pPr>
      <w:r>
        <w:tab/>
      </w:r>
      <w:r w:rsidR="002B0385" w:rsidRPr="00AB24FE">
        <w:t>(d)</w:t>
      </w:r>
      <w:r w:rsidR="002B0385" w:rsidRPr="00AB24FE">
        <w:tab/>
      </w:r>
      <w:r w:rsidR="00695E59" w:rsidRPr="00AB24FE">
        <w:t>The RLPD has conducted field trips to monitor the situation of human rights defenders in various provinces with relevant organizations, including the OHCHR;</w:t>
      </w:r>
    </w:p>
    <w:p w14:paraId="6BCAD00E" w14:textId="7486287D" w:rsidR="00695E59" w:rsidRPr="00AB24FE" w:rsidRDefault="00AB24FE" w:rsidP="00AB24FE">
      <w:pPr>
        <w:pStyle w:val="SingleTxtG"/>
      </w:pPr>
      <w:r>
        <w:tab/>
      </w:r>
      <w:r w:rsidR="002B0385" w:rsidRPr="00AB24FE">
        <w:t>(e)</w:t>
      </w:r>
      <w:r w:rsidR="002B0385" w:rsidRPr="00AB24FE">
        <w:tab/>
      </w:r>
      <w:r w:rsidR="00695E59" w:rsidRPr="00AB24FE">
        <w:t>During the reporting period, every year, the RLPD has continually conducted training on human rights and law enforcement for officials-in-charge working in the Southern Border Provinces.</w:t>
      </w:r>
    </w:p>
    <w:p w14:paraId="5E9C88B1" w14:textId="77777777" w:rsidR="00695E59" w:rsidRPr="002715DF" w:rsidRDefault="00695E59" w:rsidP="002715DF">
      <w:pPr>
        <w:pStyle w:val="HChG"/>
      </w:pPr>
      <w:r w:rsidRPr="00671D9E">
        <w:rPr>
          <w:lang w:bidi="th-TH"/>
        </w:rPr>
        <w:tab/>
      </w:r>
      <w:r w:rsidRPr="00671D9E">
        <w:rPr>
          <w:lang w:bidi="th-TH"/>
        </w:rPr>
        <w:tab/>
        <w:t>Article 14</w:t>
      </w:r>
    </w:p>
    <w:p w14:paraId="3634E5D0" w14:textId="12FE9955" w:rsidR="00695E59" w:rsidRPr="002715DF" w:rsidRDefault="00695E59" w:rsidP="002715DF">
      <w:pPr>
        <w:pStyle w:val="H23G"/>
        <w:rPr>
          <w:rFonts w:eastAsia="ZWAdobeF"/>
        </w:rPr>
      </w:pPr>
      <w:r w:rsidRPr="00671D9E">
        <w:rPr>
          <w:rFonts w:eastAsia="ZWAdobeF"/>
          <w:bCs/>
          <w:sz w:val="28"/>
          <w:szCs w:val="28"/>
          <w:lang w:bidi="th-TH"/>
        </w:rPr>
        <w:tab/>
      </w:r>
      <w:r w:rsidRPr="00671D9E">
        <w:rPr>
          <w:rFonts w:eastAsia="ZWAdobeF"/>
          <w:bCs/>
          <w:sz w:val="28"/>
          <w:szCs w:val="28"/>
          <w:lang w:bidi="th-TH"/>
        </w:rPr>
        <w:tab/>
      </w:r>
      <w:r w:rsidRPr="00671D9E">
        <w:t>Reply to paragraph 26 of the list of issues</w:t>
      </w:r>
    </w:p>
    <w:p w14:paraId="26612B8A" w14:textId="21DDD0D2" w:rsidR="00695E59" w:rsidRPr="00671D9E" w:rsidRDefault="002B0385" w:rsidP="002B0385">
      <w:pPr>
        <w:pStyle w:val="SingleTxtG"/>
        <w:suppressAutoHyphens w:val="0"/>
        <w:rPr>
          <w:strike/>
          <w:lang w:bidi="th-TH"/>
        </w:rPr>
      </w:pPr>
      <w:r w:rsidRPr="00671D9E">
        <w:rPr>
          <w:lang w:bidi="th-TH"/>
        </w:rPr>
        <w:t>90.</w:t>
      </w:r>
      <w:r w:rsidRPr="00671D9E">
        <w:rPr>
          <w:lang w:bidi="th-TH"/>
        </w:rPr>
        <w:tab/>
      </w:r>
      <w:r w:rsidR="00695E59" w:rsidRPr="00671D9E">
        <w:rPr>
          <w:lang w:bidi="th-TH"/>
        </w:rPr>
        <w:t>As referred to in paragraph 10</w:t>
      </w:r>
      <w:r w:rsidR="00695E59" w:rsidRPr="00671D9E">
        <w:rPr>
          <w:rFonts w:cs="Leelawadee UI"/>
          <w:szCs w:val="35"/>
          <w:lang w:bidi="th-TH"/>
        </w:rPr>
        <w:t>,</w:t>
      </w:r>
      <w:r w:rsidR="00695E59" w:rsidRPr="00671D9E">
        <w:rPr>
          <w:lang w:bidi="th-TH"/>
        </w:rPr>
        <w:t xml:space="preserve"> the Sub-Committee on Remediation for Cases of Torture and Enforced Disappearance has been established to redress injured persons (and their families) who have been affected by actions committed by government officers. The sub-committee considers and investigates complaints. If a violation is founded, the sub-committee will pay compensation.</w:t>
      </w:r>
      <w:r w:rsidR="00695E59" w:rsidRPr="00671D9E">
        <w:rPr>
          <w:rFonts w:cs="Cordia New"/>
          <w:cs/>
          <w:lang w:bidi="th-TH"/>
        </w:rPr>
        <w:t xml:space="preserve"> </w:t>
      </w:r>
      <w:r w:rsidR="00695E59" w:rsidRPr="00671D9E">
        <w:rPr>
          <w:rFonts w:cs="Cordia New"/>
          <w:lang w:bidi="th-TH"/>
        </w:rPr>
        <w:t>Overall, o</w:t>
      </w:r>
      <w:r w:rsidR="00695E59" w:rsidRPr="00671D9E">
        <w:rPr>
          <w:rFonts w:cs="Leelawadee UI"/>
          <w:szCs w:val="35"/>
          <w:lang w:bidi="th-TH"/>
        </w:rPr>
        <w:t>ut of 87 cases in the List</w:t>
      </w:r>
      <w:r w:rsidR="00695E59" w:rsidRPr="00671D9E">
        <w:rPr>
          <w:lang w:bidi="th-TH"/>
        </w:rPr>
        <w:t xml:space="preserve"> of UN WGEID, </w:t>
      </w:r>
      <w:r w:rsidR="00695E59" w:rsidRPr="00671D9E">
        <w:rPr>
          <w:cs/>
          <w:lang w:bidi="th-TH"/>
        </w:rPr>
        <w:t>61</w:t>
      </w:r>
      <w:r w:rsidR="00695E59" w:rsidRPr="00671D9E">
        <w:rPr>
          <w:lang w:bidi="th-TH"/>
        </w:rPr>
        <w:t xml:space="preserve"> cases have been given varying sorts of remediation on a case-by-case basis </w:t>
      </w:r>
      <w:r w:rsidR="00695E59" w:rsidRPr="00671D9E">
        <w:rPr>
          <w:rFonts w:cs="Leelawadee UI"/>
          <w:szCs w:val="35"/>
          <w:lang w:bidi="th-TH"/>
        </w:rPr>
        <w:t>from the SBPAC, the Department of Disaster Prevention and Mitigation (DDPM), the RLPD and the Cabinet Resolution.</w:t>
      </w:r>
    </w:p>
    <w:p w14:paraId="78D011D7" w14:textId="33265447" w:rsidR="00695E59" w:rsidRPr="00671D9E" w:rsidRDefault="002B0385" w:rsidP="002B0385">
      <w:pPr>
        <w:pStyle w:val="SingleTxtG"/>
        <w:suppressAutoHyphens w:val="0"/>
        <w:rPr>
          <w:lang w:bidi="th-TH"/>
        </w:rPr>
      </w:pPr>
      <w:bookmarkStart w:id="3" w:name="_Hlk37754278"/>
      <w:r w:rsidRPr="00671D9E">
        <w:rPr>
          <w:lang w:bidi="th-TH"/>
        </w:rPr>
        <w:t>91.</w:t>
      </w:r>
      <w:r w:rsidRPr="00671D9E">
        <w:rPr>
          <w:lang w:bidi="th-TH"/>
        </w:rPr>
        <w:tab/>
      </w:r>
      <w:r w:rsidR="00695E59" w:rsidRPr="00671D9E">
        <w:rPr>
          <w:lang w:bidi="th-TH"/>
        </w:rPr>
        <w:t>In relation to the process of receiving complaints and redress, both monetary and non-monetary, SBPAC has these guidelines:</w:t>
      </w:r>
    </w:p>
    <w:p w14:paraId="61495499" w14:textId="3659C3C0" w:rsidR="00695E59" w:rsidRPr="00773F47" w:rsidRDefault="00773F47" w:rsidP="00773F47">
      <w:pPr>
        <w:pStyle w:val="SingleTxtG"/>
      </w:pPr>
      <w:r>
        <w:tab/>
      </w:r>
      <w:r w:rsidR="002B0385" w:rsidRPr="00773F47">
        <w:t>(a)</w:t>
      </w:r>
      <w:r w:rsidR="002B0385" w:rsidRPr="00773F47">
        <w:tab/>
      </w:r>
      <w:r w:rsidR="00A56767" w:rsidRPr="00773F47">
        <w:t>“</w:t>
      </w:r>
      <w:r w:rsidR="00695E59" w:rsidRPr="00773F47">
        <w:t>Damrongtham</w:t>
      </w:r>
      <w:r w:rsidR="00695E59" w:rsidRPr="00773F47">
        <w:rPr>
          <w:cs/>
        </w:rPr>
        <w:t xml:space="preserve"> </w:t>
      </w:r>
      <w:r w:rsidR="00695E59" w:rsidRPr="00773F47">
        <w:t>Centers</w:t>
      </w:r>
      <w:r w:rsidR="00A56767" w:rsidRPr="00773F47">
        <w:t>”</w:t>
      </w:r>
      <w:r w:rsidR="00695E59" w:rsidRPr="00773F47">
        <w:t xml:space="preserve"> have been established in all three Southern Border Provinces (SBP) to receive complaints concerning human rights violations causing disabilities or death committed by an officer. The Southern Border Provinces Administration Centre (SBPAC) officials will investigate the allegation. If it is found that a person is assaulted while being searched, arrested, detained, or imprisoned by an officer, the SBPAC will sanction the said officer and redress the injured person and other people who are impacted by the violation;</w:t>
      </w:r>
    </w:p>
    <w:p w14:paraId="553F5636" w14:textId="2CB76B34" w:rsidR="00695E59" w:rsidRPr="00773F47" w:rsidRDefault="00773F47" w:rsidP="00773F47">
      <w:pPr>
        <w:pStyle w:val="SingleTxtG"/>
      </w:pPr>
      <w:r>
        <w:tab/>
      </w:r>
      <w:r w:rsidR="002B0385" w:rsidRPr="00773F47">
        <w:t>(b)</w:t>
      </w:r>
      <w:r w:rsidR="002B0385" w:rsidRPr="00773F47">
        <w:tab/>
      </w:r>
      <w:r w:rsidR="00695E59" w:rsidRPr="00773F47">
        <w:t xml:space="preserve">For those who have been affected by the situation in the South, in 2012, the SBPAC has in place a comprehensive remedy manual to provide assistance and remedies to victims or their families for the loss of lives or injuries/disabilities (physical/mental) and their property (dwellings, personal belongings, vehicles, etc.) due to a violation of perpetrators in the SBPs or to provide compensation for injured persons and their families who have been affected by actions committed by government officers. The manual provides clear and </w:t>
      </w:r>
      <w:r w:rsidR="00695E59" w:rsidRPr="00773F47">
        <w:lastRenderedPageBreak/>
        <w:t xml:space="preserve">detailed guidelines, including for individualized assessments of the degree of damages (such as the severity of injury, the degree of pain and suffering, an impact on day-to-day living, a degree of dependence on others, side effects, ability to work, market values of lost or damaged properties), and a time frame and rates of remedies or compensation or a combined option of remedy and compensation from concerned agencies (such as the SBPAC, the MSDHS, the RLPD, the Ministry of Education and the Department of Disaster Prevention and Mitigation under the Ministry of Interior), as well as access to remedy or compensation and necessary documentation and forms. In addition, the SBPAC has set up a helpline and a </w:t>
      </w:r>
      <w:r w:rsidR="00A56767" w:rsidRPr="00773F47">
        <w:t>‘</w:t>
      </w:r>
      <w:r w:rsidR="00695E59" w:rsidRPr="00773F47">
        <w:t>Help &amp; Support</w:t>
      </w:r>
      <w:r w:rsidR="00A56767" w:rsidRPr="00773F47">
        <w:t>’</w:t>
      </w:r>
      <w:r w:rsidR="00695E59" w:rsidRPr="00773F47">
        <w:t xml:space="preserve"> online application.</w:t>
      </w:r>
    </w:p>
    <w:p w14:paraId="79DB2D48" w14:textId="13986430" w:rsidR="00695E59" w:rsidRPr="00773F47" w:rsidRDefault="00773F47" w:rsidP="00773F47">
      <w:pPr>
        <w:pStyle w:val="SingleTxtG"/>
      </w:pPr>
      <w:r>
        <w:tab/>
      </w:r>
      <w:r w:rsidR="002B0385" w:rsidRPr="00773F47">
        <w:t>(c)</w:t>
      </w:r>
      <w:r w:rsidR="002B0385" w:rsidRPr="00773F47">
        <w:tab/>
      </w:r>
      <w:r w:rsidR="00695E59" w:rsidRPr="00773F47">
        <w:t>According to the 2012 manual, injured persons and their families who have been affected by actions committed by government officers will be compensated for these items:</w:t>
      </w:r>
    </w:p>
    <w:p w14:paraId="686510ED" w14:textId="49C05F63" w:rsidR="00695E59" w:rsidRPr="00773F47" w:rsidRDefault="002B0385" w:rsidP="00773F47">
      <w:pPr>
        <w:pStyle w:val="SingleTxtG"/>
        <w:ind w:left="1701"/>
      </w:pPr>
      <w:r w:rsidRPr="00773F47">
        <w:t>(i)</w:t>
      </w:r>
      <w:r w:rsidRPr="00773F47">
        <w:tab/>
      </w:r>
      <w:r w:rsidR="00695E59" w:rsidRPr="00773F47">
        <w:t>Compensation in case of death or disability (THB 500,000);</w:t>
      </w:r>
    </w:p>
    <w:p w14:paraId="084731FD" w14:textId="74AA7110" w:rsidR="00695E59" w:rsidRPr="00773F47" w:rsidRDefault="002B0385" w:rsidP="00773F47">
      <w:pPr>
        <w:pStyle w:val="SingleTxtG"/>
        <w:ind w:left="1701"/>
      </w:pPr>
      <w:r w:rsidRPr="00773F47">
        <w:t>(ii)</w:t>
      </w:r>
      <w:r w:rsidRPr="00773F47">
        <w:tab/>
      </w:r>
      <w:r w:rsidR="00695E59" w:rsidRPr="00773F47">
        <w:t>Hospital bills including costs of rehabilitation, both physical and mental;</w:t>
      </w:r>
    </w:p>
    <w:p w14:paraId="2E555AE1" w14:textId="0347CDAF" w:rsidR="00695E59" w:rsidRPr="00773F47" w:rsidRDefault="002B0385" w:rsidP="00773F47">
      <w:pPr>
        <w:pStyle w:val="SingleTxtG"/>
        <w:ind w:left="1701"/>
      </w:pPr>
      <w:r w:rsidRPr="00773F47">
        <w:t>(iii)</w:t>
      </w:r>
      <w:r w:rsidRPr="00773F47">
        <w:tab/>
      </w:r>
      <w:r w:rsidR="00695E59" w:rsidRPr="00773F47">
        <w:t>Compensation for not being able to work;</w:t>
      </w:r>
    </w:p>
    <w:p w14:paraId="1B8C2469" w14:textId="7982A2C1" w:rsidR="00695E59" w:rsidRPr="00773F47" w:rsidRDefault="002B0385" w:rsidP="00773F47">
      <w:pPr>
        <w:pStyle w:val="SingleTxtG"/>
        <w:ind w:left="1701"/>
      </w:pPr>
      <w:r w:rsidRPr="00773F47">
        <w:t>(iv)</w:t>
      </w:r>
      <w:r w:rsidRPr="00773F47">
        <w:tab/>
      </w:r>
      <w:r w:rsidR="00695E59" w:rsidRPr="00773F47">
        <w:t>Compensation in case of enforced disappearance (THB 500,000). In this regard, the SBPAC has provided assistance to 3</w:t>
      </w:r>
      <w:r w:rsidR="00695E59" w:rsidRPr="00773F47">
        <w:rPr>
          <w:cs/>
        </w:rPr>
        <w:t>2</w:t>
      </w:r>
      <w:r w:rsidR="00695E59" w:rsidRPr="00773F47">
        <w:t xml:space="preserve"> cases in the List of UN WGEID in</w:t>
      </w:r>
      <w:r w:rsidR="00695E59" w:rsidRPr="00773F47">
        <w:rPr>
          <w:cs/>
        </w:rPr>
        <w:t xml:space="preserve"> </w:t>
      </w:r>
      <w:r w:rsidR="00695E59" w:rsidRPr="00773F47">
        <w:t xml:space="preserve">the amount of THB </w:t>
      </w:r>
      <w:r w:rsidR="00695E59" w:rsidRPr="00773F47">
        <w:rPr>
          <w:cs/>
        </w:rPr>
        <w:t>34</w:t>
      </w:r>
      <w:r w:rsidR="00695E59" w:rsidRPr="00773F47">
        <w:t>,</w:t>
      </w:r>
      <w:r w:rsidR="00695E59" w:rsidRPr="00773F47">
        <w:rPr>
          <w:cs/>
        </w:rPr>
        <w:t>8</w:t>
      </w:r>
      <w:r w:rsidR="00695E59" w:rsidRPr="00773F47">
        <w:t>00,000 as well as other assistance requested by affected persons.</w:t>
      </w:r>
    </w:p>
    <w:p w14:paraId="6A5D8C3C" w14:textId="49B300E3" w:rsidR="00695E59" w:rsidRPr="00671D9E" w:rsidRDefault="002B0385" w:rsidP="002B0385">
      <w:pPr>
        <w:pStyle w:val="SingleTxtG"/>
        <w:suppressAutoHyphens w:val="0"/>
        <w:rPr>
          <w:lang w:bidi="th-TH"/>
        </w:rPr>
      </w:pPr>
      <w:bookmarkStart w:id="4" w:name="_Hlk37841891"/>
      <w:bookmarkEnd w:id="3"/>
      <w:r w:rsidRPr="00671D9E">
        <w:rPr>
          <w:lang w:bidi="th-TH"/>
        </w:rPr>
        <w:t>92.</w:t>
      </w:r>
      <w:r w:rsidRPr="00671D9E">
        <w:rPr>
          <w:lang w:bidi="th-TH"/>
        </w:rPr>
        <w:tab/>
      </w:r>
      <w:r w:rsidR="00695E59" w:rsidRPr="00671D9E">
        <w:rPr>
          <w:lang w:bidi="th-TH"/>
        </w:rPr>
        <w:t xml:space="preserve">Moreover, to develop the quality of life of those affected by the situation, the Government will pay tuition fees for children of those affected by actions </w:t>
      </w:r>
      <w:r w:rsidR="00773F47" w:rsidRPr="00671D9E">
        <w:rPr>
          <w:lang w:bidi="th-TH"/>
        </w:rPr>
        <w:t>committed</w:t>
      </w:r>
      <w:r w:rsidR="00695E59" w:rsidRPr="00671D9E">
        <w:rPr>
          <w:lang w:bidi="th-TH"/>
        </w:rPr>
        <w:t xml:space="preserve"> by government officers from kindergarten until they receive a college degree (no older than 25 years). These children will also receive a monthly allowance.</w:t>
      </w:r>
    </w:p>
    <w:bookmarkEnd w:id="4"/>
    <w:p w14:paraId="7995FCEE" w14:textId="45D67DE5" w:rsidR="00107996" w:rsidRDefault="00107996" w:rsidP="00107996">
      <w:pPr>
        <w:pStyle w:val="HChG"/>
        <w:rPr>
          <w:rFonts w:eastAsia="ZWAdobeF"/>
          <w:lang w:bidi="th-TH"/>
        </w:rPr>
      </w:pPr>
      <w:r w:rsidRPr="00107996">
        <w:rPr>
          <w:rFonts w:eastAsia="ZWAdobeF"/>
          <w:lang w:bidi="th-TH"/>
        </w:rPr>
        <w:tab/>
      </w:r>
      <w:r w:rsidRPr="00107996">
        <w:rPr>
          <w:rFonts w:eastAsia="ZWAdobeF"/>
          <w:lang w:bidi="th-TH"/>
        </w:rPr>
        <w:tab/>
        <w:t>Article 15</w:t>
      </w:r>
    </w:p>
    <w:p w14:paraId="3BAFD924" w14:textId="4C4D0069" w:rsidR="00695E59" w:rsidRPr="00671D9E" w:rsidRDefault="00695E59" w:rsidP="00664C75">
      <w:pPr>
        <w:pStyle w:val="H23G"/>
        <w:rPr>
          <w:rFonts w:eastAsia="ZWAdobeF"/>
          <w:bCs/>
          <w:sz w:val="28"/>
          <w:szCs w:val="28"/>
          <w:lang w:bidi="th-TH"/>
        </w:rPr>
      </w:pPr>
      <w:r w:rsidRPr="00671D9E">
        <w:rPr>
          <w:rFonts w:eastAsia="ZWAdobeF"/>
          <w:bCs/>
          <w:sz w:val="28"/>
          <w:szCs w:val="28"/>
          <w:lang w:bidi="th-TH"/>
        </w:rPr>
        <w:tab/>
      </w:r>
      <w:r w:rsidRPr="00671D9E">
        <w:rPr>
          <w:rFonts w:eastAsia="ZWAdobeF"/>
          <w:bCs/>
          <w:sz w:val="28"/>
          <w:szCs w:val="28"/>
          <w:lang w:bidi="th-TH"/>
        </w:rPr>
        <w:tab/>
      </w:r>
      <w:r w:rsidRPr="00671D9E">
        <w:t xml:space="preserve">Reply to paragraph 27 of the list of </w:t>
      </w:r>
      <w:r w:rsidRPr="00107996">
        <w:t>issues</w:t>
      </w:r>
    </w:p>
    <w:p w14:paraId="642A0D06" w14:textId="38F8439D" w:rsidR="00695E59" w:rsidRPr="00257D1F" w:rsidRDefault="002B0385" w:rsidP="002B0385">
      <w:pPr>
        <w:pStyle w:val="SingleTxtG"/>
        <w:suppressAutoHyphens w:val="0"/>
        <w:rPr>
          <w:rFonts w:asciiTheme="majorBidi" w:hAnsiTheme="majorBidi" w:cstheme="majorBidi"/>
          <w:cs/>
          <w:lang w:bidi="th-TH"/>
        </w:rPr>
      </w:pPr>
      <w:r w:rsidRPr="00257D1F">
        <w:rPr>
          <w:rFonts w:asciiTheme="majorBidi" w:hAnsiTheme="majorBidi" w:cstheme="majorBidi"/>
          <w:cs/>
          <w:lang w:bidi="th-TH"/>
        </w:rPr>
        <w:t>93.</w:t>
      </w:r>
      <w:r w:rsidRPr="00671D9E">
        <w:rPr>
          <w:rFonts w:cs="Cordia New"/>
          <w:cs/>
          <w:lang w:bidi="th-TH"/>
        </w:rPr>
        <w:tab/>
      </w:r>
      <w:r w:rsidR="00695E59" w:rsidRPr="00671D9E">
        <w:rPr>
          <w:lang w:bidi="th-TH"/>
        </w:rPr>
        <w:t>Evidence obtained by torture is inadmissible in legal proceedings before Thai courts. It is a clear and publicly stated policy of the Royal Thai Government not to seek to adduce material obtained by torture in legal proceedings. The inadmissibility of evidence obtained by torture is confirmed by the Criminal Procedure Code</w:t>
      </w:r>
      <w:r w:rsidR="00A56767">
        <w:rPr>
          <w:lang w:bidi="th-TH"/>
        </w:rPr>
        <w:t>’</w:t>
      </w:r>
      <w:r w:rsidR="00695E59" w:rsidRPr="00671D9E">
        <w:rPr>
          <w:lang w:bidi="th-TH"/>
        </w:rPr>
        <w:t>s Section 226 in conjunction with Section 135. Section 226/1 is an exception to Section 226 and bestows the court the discretion to admit evidence which may be obtained unlawfully, but does not specifically allow for admissibility of evidence obtained through torture or ill-treatment. In using such discretion, the judge shall weigh the benefit of administration of justice as a whole with the effect it may have on the criminal justice system and/or the fundamental freedoms of the people. Section 226/1 further indicates four criteria, among others, that the judge must consider regarding admissibility including whether an officer who unlawfully obtained a piece of evidence has been punished. Please refer to the Supreme Court</w:t>
      </w:r>
      <w:r w:rsidR="00A56767">
        <w:rPr>
          <w:lang w:bidi="th-TH"/>
        </w:rPr>
        <w:t>’</w:t>
      </w:r>
      <w:r w:rsidR="00695E59" w:rsidRPr="00671D9E">
        <w:rPr>
          <w:lang w:bidi="th-TH"/>
        </w:rPr>
        <w:t>s Decision No. 1029/254</w:t>
      </w:r>
      <w:r w:rsidR="00695E59" w:rsidRPr="00671D9E">
        <w:rPr>
          <w:rFonts w:cs="Cordia New"/>
          <w:lang w:bidi="th-TH"/>
        </w:rPr>
        <w:t>8</w:t>
      </w:r>
      <w:r w:rsidR="00695E59" w:rsidRPr="00671D9E">
        <w:rPr>
          <w:lang w:bidi="th-TH"/>
        </w:rPr>
        <w:t xml:space="preserve"> (2005) in paragraph </w:t>
      </w:r>
      <w:r w:rsidR="00695E59" w:rsidRPr="00671D9E">
        <w:rPr>
          <w:rFonts w:cs="Cordia New"/>
          <w:lang w:bidi="th-TH"/>
        </w:rPr>
        <w:t>19</w:t>
      </w:r>
      <w:r w:rsidR="00695E59" w:rsidRPr="00671D9E">
        <w:rPr>
          <w:lang w:bidi="th-TH"/>
        </w:rPr>
        <w:t xml:space="preserve"> for an example of the court</w:t>
      </w:r>
      <w:r w:rsidR="00A56767">
        <w:rPr>
          <w:lang w:bidi="th-TH"/>
        </w:rPr>
        <w:t>’</w:t>
      </w:r>
      <w:r w:rsidR="00695E59" w:rsidRPr="00671D9E">
        <w:rPr>
          <w:lang w:bidi="th-TH"/>
        </w:rPr>
        <w:t>s decision on inadmissibility of evidence obtained through torture or ill-treatment</w:t>
      </w:r>
      <w:r w:rsidR="00695E59" w:rsidRPr="00257D1F">
        <w:rPr>
          <w:rFonts w:asciiTheme="majorBidi" w:hAnsiTheme="majorBidi" w:cstheme="majorBidi"/>
          <w:lang w:bidi="th-TH"/>
        </w:rPr>
        <w:t>.</w:t>
      </w:r>
    </w:p>
    <w:p w14:paraId="3C427BF1" w14:textId="77777777" w:rsidR="00695E59" w:rsidRPr="00671D9E" w:rsidRDefault="00695E59" w:rsidP="00107996">
      <w:pPr>
        <w:pStyle w:val="HChG"/>
        <w:rPr>
          <w:lang w:bidi="th-TH"/>
        </w:rPr>
      </w:pPr>
      <w:r w:rsidRPr="00671D9E">
        <w:rPr>
          <w:lang w:bidi="th-TH"/>
        </w:rPr>
        <w:tab/>
      </w:r>
      <w:r w:rsidRPr="00671D9E">
        <w:rPr>
          <w:lang w:bidi="th-TH"/>
        </w:rPr>
        <w:tab/>
        <w:t>Article 16</w:t>
      </w:r>
    </w:p>
    <w:p w14:paraId="5D99A171" w14:textId="77777777" w:rsidR="00695E59" w:rsidRPr="00671D9E" w:rsidRDefault="00695E59" w:rsidP="00107996">
      <w:pPr>
        <w:pStyle w:val="H23G"/>
        <w:rPr>
          <w:rFonts w:eastAsia="ZWAdobeF"/>
          <w:bCs/>
          <w:sz w:val="28"/>
          <w:szCs w:val="28"/>
          <w:lang w:bidi="th-TH"/>
        </w:rPr>
      </w:pPr>
      <w:r w:rsidRPr="00671D9E">
        <w:rPr>
          <w:rFonts w:eastAsia="ZWAdobeF"/>
          <w:bCs/>
          <w:sz w:val="28"/>
          <w:szCs w:val="28"/>
          <w:lang w:bidi="th-TH"/>
        </w:rPr>
        <w:tab/>
      </w:r>
      <w:r w:rsidRPr="00671D9E">
        <w:rPr>
          <w:rFonts w:eastAsia="ZWAdobeF"/>
          <w:bCs/>
          <w:sz w:val="28"/>
          <w:szCs w:val="28"/>
          <w:lang w:bidi="th-TH"/>
        </w:rPr>
        <w:tab/>
      </w:r>
      <w:r w:rsidRPr="00671D9E">
        <w:rPr>
          <w:rFonts w:eastAsia="ZWAdobeF"/>
          <w:bCs/>
          <w:sz w:val="28"/>
          <w:szCs w:val="28"/>
          <w:lang w:bidi="th-TH"/>
        </w:rPr>
        <w:tab/>
      </w:r>
      <w:r w:rsidRPr="00671D9E">
        <w:t>Reply to paragraph 28 of the list of issues</w:t>
      </w:r>
    </w:p>
    <w:p w14:paraId="69D36489" w14:textId="4311CD73" w:rsidR="00695E59" w:rsidRPr="00671D9E" w:rsidRDefault="002B0385" w:rsidP="002B0385">
      <w:pPr>
        <w:pStyle w:val="SingleTxtG"/>
        <w:suppressAutoHyphens w:val="0"/>
        <w:rPr>
          <w:lang w:bidi="th-TH"/>
        </w:rPr>
      </w:pPr>
      <w:r w:rsidRPr="00671D9E">
        <w:rPr>
          <w:lang w:bidi="th-TH"/>
        </w:rPr>
        <w:t>94.</w:t>
      </w:r>
      <w:r w:rsidRPr="00671D9E">
        <w:rPr>
          <w:lang w:bidi="th-TH"/>
        </w:rPr>
        <w:tab/>
      </w:r>
      <w:r w:rsidR="00695E59" w:rsidRPr="00671D9E">
        <w:rPr>
          <w:lang w:bidi="th-TH"/>
        </w:rPr>
        <w:t>Please refer to paragraphs 88</w:t>
      </w:r>
      <w:r w:rsidR="00107996">
        <w:rPr>
          <w:lang w:bidi="th-TH"/>
        </w:rPr>
        <w:t>–</w:t>
      </w:r>
      <w:r w:rsidR="00695E59" w:rsidRPr="00671D9E">
        <w:rPr>
          <w:lang w:bidi="th-TH"/>
        </w:rPr>
        <w:t>89</w:t>
      </w:r>
      <w:r w:rsidR="00695E59" w:rsidRPr="00671D9E">
        <w:rPr>
          <w:rFonts w:cs="Angsana New"/>
          <w:szCs w:val="35"/>
          <w:lang w:bidi="th-TH"/>
        </w:rPr>
        <w:t>.</w:t>
      </w:r>
    </w:p>
    <w:p w14:paraId="6DC4B89A" w14:textId="77777777" w:rsidR="00695E59" w:rsidRPr="00107996" w:rsidRDefault="00695E59" w:rsidP="00107996">
      <w:pPr>
        <w:pStyle w:val="H23G"/>
        <w:rPr>
          <w:rFonts w:eastAsia="ZWAdobeF"/>
        </w:rPr>
      </w:pPr>
      <w:r w:rsidRPr="00671D9E">
        <w:rPr>
          <w:rFonts w:eastAsia="ZWAdobeF"/>
          <w:sz w:val="28"/>
          <w:szCs w:val="28"/>
          <w:lang w:bidi="th-TH"/>
        </w:rPr>
        <w:tab/>
      </w:r>
      <w:r w:rsidRPr="00671D9E">
        <w:rPr>
          <w:rFonts w:eastAsia="ZWAdobeF"/>
          <w:sz w:val="28"/>
          <w:szCs w:val="28"/>
          <w:lang w:bidi="th-TH"/>
        </w:rPr>
        <w:tab/>
      </w:r>
      <w:r w:rsidRPr="00671D9E">
        <w:rPr>
          <w:rFonts w:eastAsia="ZWAdobeF"/>
          <w:sz w:val="28"/>
          <w:szCs w:val="28"/>
          <w:lang w:bidi="th-TH"/>
        </w:rPr>
        <w:tab/>
      </w:r>
      <w:r w:rsidRPr="00671D9E">
        <w:t>Reply to paragraph 29 of the list of issues</w:t>
      </w:r>
    </w:p>
    <w:p w14:paraId="2EEAEE2C" w14:textId="5255DD26" w:rsidR="00695E59" w:rsidRPr="00671D9E" w:rsidRDefault="002B0385" w:rsidP="002B0385">
      <w:pPr>
        <w:pStyle w:val="SingleTxtG"/>
        <w:suppressAutoHyphens w:val="0"/>
        <w:rPr>
          <w:lang w:bidi="th-TH"/>
        </w:rPr>
      </w:pPr>
      <w:r w:rsidRPr="00671D9E">
        <w:rPr>
          <w:lang w:bidi="th-TH"/>
        </w:rPr>
        <w:t>95.</w:t>
      </w:r>
      <w:r w:rsidRPr="00671D9E">
        <w:rPr>
          <w:lang w:bidi="th-TH"/>
        </w:rPr>
        <w:tab/>
      </w:r>
      <w:r w:rsidR="00695E59" w:rsidRPr="00671D9E">
        <w:rPr>
          <w:lang w:bidi="th-TH"/>
        </w:rPr>
        <w:t xml:space="preserve">On 26 March 2019, the claimants withdrew the </w:t>
      </w:r>
      <w:r w:rsidR="00695E59" w:rsidRPr="00671D9E">
        <w:rPr>
          <w:rFonts w:cs="Angsana New"/>
          <w:szCs w:val="35"/>
          <w:lang w:bidi="th-TH"/>
        </w:rPr>
        <w:t>d</w:t>
      </w:r>
      <w:r w:rsidR="00695E59" w:rsidRPr="00671D9E">
        <w:rPr>
          <w:lang w:bidi="th-TH"/>
        </w:rPr>
        <w:t xml:space="preserve">efamation complaints against the editor of the </w:t>
      </w:r>
      <w:r w:rsidR="00A56767">
        <w:rPr>
          <w:lang w:bidi="th-TH"/>
        </w:rPr>
        <w:t>“</w:t>
      </w:r>
      <w:r w:rsidR="00695E59" w:rsidRPr="00671D9E">
        <w:rPr>
          <w:lang w:bidi="th-TH"/>
        </w:rPr>
        <w:t>Manager Online</w:t>
      </w:r>
      <w:r w:rsidR="00A56767">
        <w:rPr>
          <w:lang w:bidi="th-TH"/>
        </w:rPr>
        <w:t>”</w:t>
      </w:r>
      <w:r w:rsidR="00695E59" w:rsidRPr="00671D9E">
        <w:rPr>
          <w:lang w:bidi="th-TH"/>
        </w:rPr>
        <w:t xml:space="preserve"> website. As the editor has made a public apology for distributing false information regarding the alleged torture or ill-treatment in the military camps, the claimants did not wish to further pursue the case.</w:t>
      </w:r>
    </w:p>
    <w:p w14:paraId="05BFDC23" w14:textId="78F7B7DF" w:rsidR="00695E59" w:rsidRPr="00671D9E" w:rsidRDefault="002B0385" w:rsidP="002B0385">
      <w:pPr>
        <w:pStyle w:val="SingleTxtG"/>
        <w:suppressAutoHyphens w:val="0"/>
        <w:rPr>
          <w:lang w:bidi="th-TH"/>
        </w:rPr>
      </w:pPr>
      <w:r w:rsidRPr="00671D9E">
        <w:rPr>
          <w:lang w:bidi="th-TH"/>
        </w:rPr>
        <w:t>96.</w:t>
      </w:r>
      <w:r w:rsidRPr="00671D9E">
        <w:rPr>
          <w:lang w:bidi="th-TH"/>
        </w:rPr>
        <w:tab/>
      </w:r>
      <w:r w:rsidR="00695E59" w:rsidRPr="00671D9E">
        <w:rPr>
          <w:lang w:bidi="th-TH"/>
        </w:rPr>
        <w:t>In 201</w:t>
      </w:r>
      <w:r w:rsidR="00695E59" w:rsidRPr="00671D9E">
        <w:rPr>
          <w:rFonts w:cs="Angsana New"/>
          <w:szCs w:val="35"/>
          <w:lang w:bidi="th-TH"/>
        </w:rPr>
        <w:t>8</w:t>
      </w:r>
      <w:r w:rsidR="00695E59" w:rsidRPr="00671D9E">
        <w:rPr>
          <w:lang w:bidi="th-TH"/>
        </w:rPr>
        <w:t xml:space="preserve"> the Court of Justice initiated the amendments to the Criminal Procedure Code as a tool to protect the right to freedom of expression against Strategic Litigation against </w:t>
      </w:r>
      <w:r w:rsidR="00695E59" w:rsidRPr="00671D9E">
        <w:rPr>
          <w:lang w:bidi="th-TH"/>
        </w:rPr>
        <w:lastRenderedPageBreak/>
        <w:t>Public Participation (SLAPP). Section 161/1 of the Criminal Procedure Code was proposed to provide the court with the power to dismiss any criminal case at the filing stage of a lawsuit if it appears to the court that the cause of action arises from ill intention to harass or take advantage of a person or to gain any unlawful benefits or to achieve any corrupt underlying objectives. Section 165/2 of the Criminal Procedure Code would allow the accused to present legal and evidentiary arguments during the preliminary examination of the Court where they previously could not. Section 165/2 also enables the court to play a more active role by having the power to summon witnesses and evidence proposed by the accused as the court</w:t>
      </w:r>
      <w:r w:rsidR="00A56767">
        <w:rPr>
          <w:lang w:bidi="th-TH"/>
        </w:rPr>
        <w:t>’</w:t>
      </w:r>
      <w:r w:rsidR="00695E59" w:rsidRPr="00671D9E">
        <w:rPr>
          <w:lang w:bidi="th-TH"/>
        </w:rPr>
        <w:t>s witness. The amendments have been promulgated in the Royal Gazette on 20 March 2019 and 19 February 2019, respectively.</w:t>
      </w:r>
    </w:p>
    <w:p w14:paraId="2C6CEF80" w14:textId="0E65F86A" w:rsidR="00695E59" w:rsidRPr="00671D9E" w:rsidRDefault="002B0385" w:rsidP="002B0385">
      <w:pPr>
        <w:pStyle w:val="SingleTxtG"/>
        <w:suppressAutoHyphens w:val="0"/>
        <w:rPr>
          <w:lang w:bidi="th-TH"/>
        </w:rPr>
      </w:pPr>
      <w:r w:rsidRPr="00671D9E">
        <w:rPr>
          <w:lang w:bidi="th-TH"/>
        </w:rPr>
        <w:t>97.</w:t>
      </w:r>
      <w:r w:rsidRPr="00671D9E">
        <w:rPr>
          <w:lang w:bidi="th-TH"/>
        </w:rPr>
        <w:tab/>
      </w:r>
      <w:r w:rsidR="00695E59" w:rsidRPr="00671D9E">
        <w:rPr>
          <w:lang w:bidi="th-TH"/>
        </w:rPr>
        <w:t xml:space="preserve">The Government recognises the valuable contribution of the media to the promotion, respect and protection of human rights and fundamental freedoms. The Government is fully aware of its duty to ensure that the media can carry out their work in a safe and enabling environment. The rights to freedom of expression and freedom of the press are guaranteed under the Thai Constitution in line with international laws, especially Article 19 of the ICCPR. These rights are recognised as an enabler of all other human rights. Section 35 of the 2017 Constitution specifically provides that </w:t>
      </w:r>
      <w:r w:rsidR="00A56767">
        <w:rPr>
          <w:lang w:bidi="th-TH"/>
        </w:rPr>
        <w:t>“</w:t>
      </w:r>
      <w:r w:rsidR="00695E59" w:rsidRPr="00671D9E">
        <w:rPr>
          <w:lang w:bidi="th-TH"/>
        </w:rPr>
        <w:t>a media professional shall enjoy the liberty to present news or express opinions in accordance with professional ethics</w:t>
      </w:r>
      <w:r w:rsidR="00A56767">
        <w:rPr>
          <w:lang w:bidi="th-TH"/>
        </w:rPr>
        <w:t>”</w:t>
      </w:r>
      <w:r w:rsidR="00695E59" w:rsidRPr="00671D9E">
        <w:rPr>
          <w:lang w:bidi="th-TH"/>
        </w:rPr>
        <w:t>.</w:t>
      </w:r>
    </w:p>
    <w:p w14:paraId="6A2CD199" w14:textId="51620E7B" w:rsidR="00695E59" w:rsidRPr="00671D9E" w:rsidRDefault="00695E59" w:rsidP="00107996">
      <w:pPr>
        <w:pStyle w:val="HChG"/>
        <w:rPr>
          <w:lang w:bidi="th-TH"/>
        </w:rPr>
      </w:pPr>
      <w:r w:rsidRPr="00671D9E">
        <w:rPr>
          <w:lang w:bidi="th-TH"/>
        </w:rPr>
        <w:tab/>
      </w:r>
      <w:r w:rsidRPr="00671D9E">
        <w:rPr>
          <w:lang w:bidi="th-TH"/>
        </w:rPr>
        <w:tab/>
        <w:t>Other issues</w:t>
      </w:r>
    </w:p>
    <w:p w14:paraId="5471BB17" w14:textId="72FFA389" w:rsidR="00695E59" w:rsidRPr="00671D9E" w:rsidRDefault="00695E59" w:rsidP="00107996">
      <w:pPr>
        <w:pStyle w:val="H23G"/>
        <w:rPr>
          <w:lang w:bidi="th-TH"/>
        </w:rPr>
      </w:pPr>
      <w:r w:rsidRPr="00671D9E">
        <w:rPr>
          <w:lang w:bidi="th-TH"/>
        </w:rPr>
        <w:tab/>
      </w:r>
      <w:r w:rsidRPr="00671D9E">
        <w:rPr>
          <w:lang w:bidi="th-TH"/>
        </w:rPr>
        <w:tab/>
      </w:r>
      <w:r w:rsidRPr="00671D9E">
        <w:t>Reply to paragraph 30 of the list of issues</w:t>
      </w:r>
    </w:p>
    <w:p w14:paraId="2A233966" w14:textId="7F522BC4" w:rsidR="00695E59" w:rsidRPr="00671D9E" w:rsidRDefault="002B0385" w:rsidP="002B0385">
      <w:pPr>
        <w:pStyle w:val="SingleTxtG"/>
        <w:suppressAutoHyphens w:val="0"/>
        <w:rPr>
          <w:lang w:bidi="th-TH"/>
        </w:rPr>
      </w:pPr>
      <w:r w:rsidRPr="00671D9E">
        <w:rPr>
          <w:lang w:bidi="th-TH"/>
        </w:rPr>
        <w:t>98.</w:t>
      </w:r>
      <w:r w:rsidRPr="00671D9E">
        <w:rPr>
          <w:lang w:bidi="th-TH"/>
        </w:rPr>
        <w:tab/>
      </w:r>
      <w:r w:rsidR="00695E59" w:rsidRPr="00671D9E">
        <w:rPr>
          <w:rFonts w:cs="Angsana New"/>
          <w:lang w:bidi="th-TH"/>
        </w:rPr>
        <w:t>O</w:t>
      </w:r>
      <w:r w:rsidR="00695E59" w:rsidRPr="00671D9E">
        <w:rPr>
          <w:lang w:bidi="th-TH"/>
        </w:rPr>
        <w:t xml:space="preserve">nce the draft Act on the Prevention and Suppression of Torture and Enforced Disappearance, </w:t>
      </w:r>
      <w:r w:rsidR="00695E59" w:rsidRPr="00671D9E">
        <w:rPr>
          <w:rFonts w:cs="Angsana New"/>
          <w:lang w:bidi="th-TH"/>
        </w:rPr>
        <w:t>as mentioned</w:t>
      </w:r>
      <w:r w:rsidR="00695E59" w:rsidRPr="00671D9E">
        <w:rPr>
          <w:lang w:bidi="th-TH"/>
        </w:rPr>
        <w:t xml:space="preserve"> in paragraph </w:t>
      </w:r>
      <w:r w:rsidR="00695E59" w:rsidRPr="00671D9E">
        <w:rPr>
          <w:rFonts w:cs="Cordia New"/>
          <w:lang w:bidi="th-TH"/>
        </w:rPr>
        <w:t>6</w:t>
      </w:r>
      <w:r w:rsidR="00695E59" w:rsidRPr="00671D9E">
        <w:rPr>
          <w:lang w:bidi="th-TH"/>
        </w:rPr>
        <w:t>, passes as law, the interpretative declaration to the Convention may be revisited.</w:t>
      </w:r>
    </w:p>
    <w:p w14:paraId="245DC1F1" w14:textId="41158E44" w:rsidR="00695E59" w:rsidRPr="00671D9E" w:rsidRDefault="00695E59" w:rsidP="00107996">
      <w:pPr>
        <w:pStyle w:val="H23G"/>
        <w:rPr>
          <w:lang w:bidi="th-TH"/>
        </w:rPr>
      </w:pPr>
      <w:r w:rsidRPr="00671D9E">
        <w:rPr>
          <w:lang w:bidi="th-TH"/>
        </w:rPr>
        <w:tab/>
      </w:r>
      <w:r w:rsidRPr="00671D9E">
        <w:rPr>
          <w:lang w:bidi="th-TH"/>
        </w:rPr>
        <w:tab/>
      </w:r>
      <w:r w:rsidRPr="00671D9E">
        <w:t xml:space="preserve">Reply to paragraph 31 of the </w:t>
      </w:r>
      <w:r w:rsidRPr="00107996">
        <w:t>list</w:t>
      </w:r>
      <w:r w:rsidRPr="00671D9E">
        <w:t xml:space="preserve"> of issues</w:t>
      </w:r>
    </w:p>
    <w:p w14:paraId="3BE603C2" w14:textId="760029D8" w:rsidR="00695E59" w:rsidRPr="00671D9E" w:rsidRDefault="002B0385" w:rsidP="002B0385">
      <w:pPr>
        <w:pStyle w:val="SingleTxtG"/>
        <w:suppressAutoHyphens w:val="0"/>
        <w:rPr>
          <w:lang w:bidi="th-TH"/>
        </w:rPr>
      </w:pPr>
      <w:r w:rsidRPr="00671D9E">
        <w:rPr>
          <w:lang w:bidi="th-TH"/>
        </w:rPr>
        <w:t>99.</w:t>
      </w:r>
      <w:r w:rsidRPr="00671D9E">
        <w:rPr>
          <w:lang w:bidi="th-TH"/>
        </w:rPr>
        <w:tab/>
      </w:r>
      <w:r w:rsidR="00695E59" w:rsidRPr="00671D9E">
        <w:rPr>
          <w:rFonts w:cs="Angsana New"/>
          <w:lang w:bidi="th-TH"/>
        </w:rPr>
        <w:t>The RLPD has been in periodic consultations with relevant agencies to study the</w:t>
      </w:r>
      <w:r w:rsidR="00695E59" w:rsidRPr="00671D9E">
        <w:rPr>
          <w:lang w:bidi="th-TH"/>
        </w:rPr>
        <w:t xml:space="preserve"> possibility of ratifying the Optional Protocol to the Convention (OPCAT) and making a declaration accepting the competence of the Committee to receive and consider communications under Articles 21 and 22 of the Convention, including necessary preparations. </w:t>
      </w:r>
      <w:r w:rsidR="00695E59" w:rsidRPr="00671D9E">
        <w:rPr>
          <w:rFonts w:cs="Cordia New"/>
          <w:lang w:bidi="th-TH"/>
        </w:rPr>
        <w:t xml:space="preserve">A recent consultation organized by the RLPD and the Association for the Prevention of Torture (APT) was held on 19 June 2020. </w:t>
      </w:r>
      <w:r w:rsidR="00695E59" w:rsidRPr="00671D9E">
        <w:rPr>
          <w:lang w:bidi="th-TH"/>
        </w:rPr>
        <w:t>There has been no definite conclusion to date.</w:t>
      </w:r>
    </w:p>
    <w:p w14:paraId="022AEEB7" w14:textId="77777777" w:rsidR="00695E59" w:rsidRPr="00671D9E" w:rsidRDefault="00695E59" w:rsidP="00695E59">
      <w:pPr>
        <w:suppressAutoHyphens w:val="0"/>
        <w:spacing w:after="200" w:line="276" w:lineRule="auto"/>
        <w:rPr>
          <w:rFonts w:eastAsiaTheme="minorHAnsi"/>
          <w:lang w:bidi="th-TH"/>
        </w:rPr>
      </w:pPr>
      <w:r w:rsidRPr="00671D9E">
        <w:rPr>
          <w:lang w:bidi="th-TH"/>
        </w:rPr>
        <w:br w:type="page"/>
      </w:r>
    </w:p>
    <w:p w14:paraId="44148FAA" w14:textId="11150F3D" w:rsidR="00695E59" w:rsidRPr="00671D9E" w:rsidRDefault="00695E59" w:rsidP="00695E59">
      <w:pPr>
        <w:pStyle w:val="H23G"/>
        <w:rPr>
          <w:cs/>
          <w:lang w:bidi="th-TH"/>
        </w:rPr>
      </w:pPr>
      <w:r w:rsidRPr="0096145D">
        <w:rPr>
          <w:b w:val="0"/>
          <w:bCs/>
          <w:lang w:bidi="th-TH"/>
        </w:rPr>
        <w:lastRenderedPageBreak/>
        <w:tab/>
      </w:r>
      <w:r w:rsidRPr="0096145D">
        <w:rPr>
          <w:b w:val="0"/>
          <w:bCs/>
          <w:lang w:bidi="th-TH"/>
        </w:rPr>
        <w:tab/>
        <w:t>Table 1</w:t>
      </w:r>
      <w:r w:rsidR="008A34E4">
        <w:rPr>
          <w:b w:val="0"/>
          <w:bCs/>
          <w:lang w:bidi="th-TH"/>
        </w:rPr>
        <w:br/>
      </w:r>
      <w:r w:rsidRPr="008A34E4">
        <w:rPr>
          <w:lang w:bidi="th-TH"/>
        </w:rPr>
        <w:t>Statistics of inmates</w:t>
      </w:r>
      <w:r w:rsidR="008A34E4">
        <w:rPr>
          <w:lang w:bidi="th-TH"/>
        </w:rPr>
        <w:br/>
      </w:r>
      <w:r w:rsidRPr="008A34E4">
        <w:rPr>
          <w:lang w:bidi="th-TH"/>
        </w:rPr>
        <w:t>A total of 378,562 persons as of 20 May 2020</w:t>
      </w:r>
      <w:r w:rsidRPr="008A34E4">
        <w:rPr>
          <w:rFonts w:cs="Cordia New"/>
          <w:cs/>
          <w:lang w:bidi="th-TH"/>
        </w:rPr>
        <w:br/>
      </w:r>
      <w:r w:rsidRPr="00671D9E">
        <w:rPr>
          <w:lang w:bidi="th-TH"/>
        </w:rPr>
        <w:t>Disaggregated by nationality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972"/>
        <w:gridCol w:w="964"/>
        <w:gridCol w:w="1119"/>
        <w:gridCol w:w="929"/>
        <w:gridCol w:w="950"/>
        <w:gridCol w:w="1161"/>
      </w:tblGrid>
      <w:tr w:rsidR="00695E59" w:rsidRPr="0096145D" w14:paraId="0CB8AB48" w14:textId="77777777" w:rsidTr="0096145D">
        <w:trPr>
          <w:tblHeader/>
        </w:trPr>
        <w:tc>
          <w:tcPr>
            <w:tcW w:w="1880" w:type="dxa"/>
            <w:tcBorders>
              <w:top w:val="single" w:sz="4" w:space="0" w:color="auto"/>
              <w:bottom w:val="single" w:sz="12" w:space="0" w:color="auto"/>
            </w:tcBorders>
            <w:shd w:val="clear" w:color="auto" w:fill="auto"/>
            <w:vAlign w:val="bottom"/>
          </w:tcPr>
          <w:p w14:paraId="63D8348A" w14:textId="77777777" w:rsidR="00695E59" w:rsidRPr="0096145D" w:rsidRDefault="00695E59" w:rsidP="0096145D">
            <w:pPr>
              <w:suppressAutoHyphens w:val="0"/>
              <w:spacing w:before="80" w:after="80" w:line="200" w:lineRule="exact"/>
              <w:ind w:right="113"/>
              <w:rPr>
                <w:bCs/>
                <w:i/>
                <w:sz w:val="16"/>
                <w:szCs w:val="28"/>
                <w:lang w:bidi="th-TH"/>
              </w:rPr>
            </w:pPr>
            <w:r w:rsidRPr="0096145D">
              <w:rPr>
                <w:bCs/>
                <w:i/>
                <w:sz w:val="16"/>
                <w:szCs w:val="28"/>
                <w:lang w:bidi="th-TH"/>
              </w:rPr>
              <w:t>Nationality</w:t>
            </w:r>
          </w:p>
        </w:tc>
        <w:tc>
          <w:tcPr>
            <w:tcW w:w="1430" w:type="dxa"/>
            <w:tcBorders>
              <w:top w:val="single" w:sz="4" w:space="0" w:color="auto"/>
              <w:bottom w:val="single" w:sz="12" w:space="0" w:color="auto"/>
            </w:tcBorders>
            <w:shd w:val="clear" w:color="auto" w:fill="auto"/>
            <w:vAlign w:val="bottom"/>
          </w:tcPr>
          <w:p w14:paraId="7864836C"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Convicted Prisoners</w:t>
            </w:r>
          </w:p>
        </w:tc>
        <w:tc>
          <w:tcPr>
            <w:tcW w:w="1418" w:type="dxa"/>
            <w:tcBorders>
              <w:top w:val="single" w:sz="4" w:space="0" w:color="auto"/>
              <w:bottom w:val="single" w:sz="12" w:space="0" w:color="auto"/>
            </w:tcBorders>
            <w:shd w:val="clear" w:color="auto" w:fill="auto"/>
            <w:vAlign w:val="bottom"/>
          </w:tcPr>
          <w:p w14:paraId="4312B8A6"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Prisoners on Remand</w:t>
            </w:r>
          </w:p>
        </w:tc>
        <w:tc>
          <w:tcPr>
            <w:tcW w:w="1648" w:type="dxa"/>
            <w:tcBorders>
              <w:top w:val="single" w:sz="4" w:space="0" w:color="auto"/>
              <w:bottom w:val="single" w:sz="12" w:space="0" w:color="auto"/>
            </w:tcBorders>
            <w:shd w:val="clear" w:color="auto" w:fill="auto"/>
            <w:vAlign w:val="bottom"/>
          </w:tcPr>
          <w:p w14:paraId="4042A03B"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Juvenile Delinquents</w:t>
            </w:r>
          </w:p>
        </w:tc>
        <w:tc>
          <w:tcPr>
            <w:tcW w:w="1367" w:type="dxa"/>
            <w:tcBorders>
              <w:top w:val="single" w:sz="4" w:space="0" w:color="auto"/>
              <w:bottom w:val="single" w:sz="12" w:space="0" w:color="auto"/>
            </w:tcBorders>
            <w:shd w:val="clear" w:color="auto" w:fill="auto"/>
            <w:vAlign w:val="bottom"/>
          </w:tcPr>
          <w:p w14:paraId="5709CECD"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Detainees</w:t>
            </w:r>
          </w:p>
        </w:tc>
        <w:tc>
          <w:tcPr>
            <w:tcW w:w="1398" w:type="dxa"/>
            <w:tcBorders>
              <w:top w:val="single" w:sz="4" w:space="0" w:color="auto"/>
              <w:bottom w:val="single" w:sz="12" w:space="0" w:color="auto"/>
            </w:tcBorders>
            <w:shd w:val="clear" w:color="auto" w:fill="auto"/>
            <w:vAlign w:val="bottom"/>
          </w:tcPr>
          <w:p w14:paraId="2E4F605F"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Relegated Prisoners</w:t>
            </w:r>
          </w:p>
        </w:tc>
        <w:tc>
          <w:tcPr>
            <w:tcW w:w="1710" w:type="dxa"/>
            <w:tcBorders>
              <w:top w:val="single" w:sz="4" w:space="0" w:color="auto"/>
              <w:bottom w:val="single" w:sz="12" w:space="0" w:color="auto"/>
            </w:tcBorders>
            <w:shd w:val="clear" w:color="auto" w:fill="auto"/>
            <w:vAlign w:val="bottom"/>
          </w:tcPr>
          <w:p w14:paraId="3630E472"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Unidentified</w:t>
            </w:r>
          </w:p>
        </w:tc>
      </w:tr>
      <w:tr w:rsidR="00695E59" w:rsidRPr="0096145D" w14:paraId="1F762900" w14:textId="77777777" w:rsidTr="0096145D">
        <w:tc>
          <w:tcPr>
            <w:tcW w:w="1880" w:type="dxa"/>
            <w:tcBorders>
              <w:top w:val="single" w:sz="12" w:space="0" w:color="auto"/>
            </w:tcBorders>
            <w:shd w:val="clear" w:color="auto" w:fill="auto"/>
          </w:tcPr>
          <w:p w14:paraId="238F8FAC"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No nationality registered in the system</w:t>
            </w:r>
          </w:p>
        </w:tc>
        <w:tc>
          <w:tcPr>
            <w:tcW w:w="1430" w:type="dxa"/>
            <w:tcBorders>
              <w:top w:val="single" w:sz="12" w:space="0" w:color="auto"/>
            </w:tcBorders>
            <w:shd w:val="clear" w:color="auto" w:fill="auto"/>
            <w:vAlign w:val="bottom"/>
          </w:tcPr>
          <w:p w14:paraId="55877AE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179</w:t>
            </w:r>
          </w:p>
        </w:tc>
        <w:tc>
          <w:tcPr>
            <w:tcW w:w="1418" w:type="dxa"/>
            <w:tcBorders>
              <w:top w:val="single" w:sz="12" w:space="0" w:color="auto"/>
            </w:tcBorders>
            <w:shd w:val="clear" w:color="auto" w:fill="auto"/>
            <w:vAlign w:val="bottom"/>
          </w:tcPr>
          <w:p w14:paraId="498292F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19</w:t>
            </w:r>
          </w:p>
        </w:tc>
        <w:tc>
          <w:tcPr>
            <w:tcW w:w="1648" w:type="dxa"/>
            <w:tcBorders>
              <w:top w:val="single" w:sz="12" w:space="0" w:color="auto"/>
            </w:tcBorders>
            <w:shd w:val="clear" w:color="auto" w:fill="auto"/>
            <w:vAlign w:val="bottom"/>
          </w:tcPr>
          <w:p w14:paraId="314DA7B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top w:val="single" w:sz="12" w:space="0" w:color="auto"/>
            </w:tcBorders>
            <w:shd w:val="clear" w:color="auto" w:fill="auto"/>
            <w:vAlign w:val="bottom"/>
          </w:tcPr>
          <w:p w14:paraId="0B26D21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16</w:t>
            </w:r>
          </w:p>
        </w:tc>
        <w:tc>
          <w:tcPr>
            <w:tcW w:w="1398" w:type="dxa"/>
            <w:tcBorders>
              <w:top w:val="single" w:sz="12" w:space="0" w:color="auto"/>
            </w:tcBorders>
            <w:shd w:val="clear" w:color="auto" w:fill="auto"/>
            <w:vAlign w:val="bottom"/>
          </w:tcPr>
          <w:p w14:paraId="6B57B8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top w:val="single" w:sz="12" w:space="0" w:color="auto"/>
            </w:tcBorders>
            <w:shd w:val="clear" w:color="auto" w:fill="auto"/>
            <w:vAlign w:val="bottom"/>
          </w:tcPr>
          <w:p w14:paraId="1F41195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346</w:t>
            </w:r>
          </w:p>
        </w:tc>
      </w:tr>
      <w:tr w:rsidR="00695E59" w:rsidRPr="0096145D" w14:paraId="19A3E11E" w14:textId="77777777" w:rsidTr="0096145D">
        <w:tc>
          <w:tcPr>
            <w:tcW w:w="1880" w:type="dxa"/>
            <w:shd w:val="clear" w:color="auto" w:fill="auto"/>
          </w:tcPr>
          <w:p w14:paraId="130FAB4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Algerian</w:t>
            </w:r>
          </w:p>
        </w:tc>
        <w:tc>
          <w:tcPr>
            <w:tcW w:w="1430" w:type="dxa"/>
            <w:shd w:val="clear" w:color="auto" w:fill="auto"/>
            <w:vAlign w:val="bottom"/>
          </w:tcPr>
          <w:p w14:paraId="5B2AD18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w:t>
            </w:r>
          </w:p>
        </w:tc>
        <w:tc>
          <w:tcPr>
            <w:tcW w:w="1418" w:type="dxa"/>
            <w:shd w:val="clear" w:color="auto" w:fill="auto"/>
            <w:vAlign w:val="bottom"/>
          </w:tcPr>
          <w:p w14:paraId="14B5293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04FB28E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25C09E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FF54F7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0F672E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B1B9E6F" w14:textId="77777777" w:rsidTr="0096145D">
        <w:tc>
          <w:tcPr>
            <w:tcW w:w="1880" w:type="dxa"/>
            <w:shd w:val="clear" w:color="auto" w:fill="auto"/>
          </w:tcPr>
          <w:p w14:paraId="3EFFE868"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American</w:t>
            </w:r>
          </w:p>
        </w:tc>
        <w:tc>
          <w:tcPr>
            <w:tcW w:w="1430" w:type="dxa"/>
            <w:shd w:val="clear" w:color="auto" w:fill="auto"/>
            <w:vAlign w:val="bottom"/>
          </w:tcPr>
          <w:p w14:paraId="7A83B39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16</w:t>
            </w:r>
          </w:p>
        </w:tc>
        <w:tc>
          <w:tcPr>
            <w:tcW w:w="1418" w:type="dxa"/>
            <w:shd w:val="clear" w:color="auto" w:fill="auto"/>
            <w:vAlign w:val="bottom"/>
          </w:tcPr>
          <w:p w14:paraId="298CE76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c>
          <w:tcPr>
            <w:tcW w:w="1648" w:type="dxa"/>
            <w:shd w:val="clear" w:color="auto" w:fill="auto"/>
            <w:vAlign w:val="bottom"/>
          </w:tcPr>
          <w:p w14:paraId="1D96C59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C281EC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6A30C29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BA59A4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D21A082" w14:textId="77777777" w:rsidTr="0096145D">
        <w:tc>
          <w:tcPr>
            <w:tcW w:w="1880" w:type="dxa"/>
            <w:shd w:val="clear" w:color="auto" w:fill="auto"/>
          </w:tcPr>
          <w:p w14:paraId="7D99D4AC"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Angolan</w:t>
            </w:r>
          </w:p>
        </w:tc>
        <w:tc>
          <w:tcPr>
            <w:tcW w:w="1430" w:type="dxa"/>
            <w:shd w:val="clear" w:color="auto" w:fill="auto"/>
            <w:vAlign w:val="bottom"/>
          </w:tcPr>
          <w:p w14:paraId="1180CE3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573ADA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11DAD1A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2AA3E5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826C32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218D14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C032C8C" w14:textId="77777777" w:rsidTr="0096145D">
        <w:tc>
          <w:tcPr>
            <w:tcW w:w="1880" w:type="dxa"/>
            <w:shd w:val="clear" w:color="auto" w:fill="auto"/>
          </w:tcPr>
          <w:p w14:paraId="4E175DB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Argentinian</w:t>
            </w:r>
          </w:p>
        </w:tc>
        <w:tc>
          <w:tcPr>
            <w:tcW w:w="1430" w:type="dxa"/>
            <w:shd w:val="clear" w:color="auto" w:fill="auto"/>
            <w:vAlign w:val="bottom"/>
          </w:tcPr>
          <w:p w14:paraId="7172073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3E8AF65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74190DB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0311D5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773EB0D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B1266E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2B4BD8D" w14:textId="77777777" w:rsidTr="0096145D">
        <w:tc>
          <w:tcPr>
            <w:tcW w:w="1880" w:type="dxa"/>
            <w:shd w:val="clear" w:color="auto" w:fill="auto"/>
          </w:tcPr>
          <w:p w14:paraId="30D0D545"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Australian</w:t>
            </w:r>
          </w:p>
        </w:tc>
        <w:tc>
          <w:tcPr>
            <w:tcW w:w="1430" w:type="dxa"/>
            <w:shd w:val="clear" w:color="auto" w:fill="auto"/>
            <w:vAlign w:val="bottom"/>
          </w:tcPr>
          <w:p w14:paraId="56928CC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418" w:type="dxa"/>
            <w:shd w:val="clear" w:color="auto" w:fill="auto"/>
            <w:vAlign w:val="bottom"/>
          </w:tcPr>
          <w:p w14:paraId="4F30CBB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648" w:type="dxa"/>
            <w:shd w:val="clear" w:color="auto" w:fill="auto"/>
            <w:vAlign w:val="bottom"/>
          </w:tcPr>
          <w:p w14:paraId="1E05437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AFA075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74F8900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EB9A32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EB408DD" w14:textId="77777777" w:rsidTr="0096145D">
        <w:tc>
          <w:tcPr>
            <w:tcW w:w="1880" w:type="dxa"/>
            <w:shd w:val="clear" w:color="auto" w:fill="auto"/>
          </w:tcPr>
          <w:p w14:paraId="5AD88E7B"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Austrian</w:t>
            </w:r>
          </w:p>
        </w:tc>
        <w:tc>
          <w:tcPr>
            <w:tcW w:w="1430" w:type="dxa"/>
            <w:shd w:val="clear" w:color="auto" w:fill="auto"/>
            <w:vAlign w:val="bottom"/>
          </w:tcPr>
          <w:p w14:paraId="40DEF0B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418" w:type="dxa"/>
            <w:shd w:val="clear" w:color="auto" w:fill="auto"/>
            <w:vAlign w:val="bottom"/>
          </w:tcPr>
          <w:p w14:paraId="43C60CE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648" w:type="dxa"/>
            <w:shd w:val="clear" w:color="auto" w:fill="auto"/>
            <w:vAlign w:val="bottom"/>
          </w:tcPr>
          <w:p w14:paraId="1FEAB58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A42657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303C52C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53FE15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3A6844BA" w14:textId="77777777" w:rsidTr="0096145D">
        <w:tc>
          <w:tcPr>
            <w:tcW w:w="1880" w:type="dxa"/>
            <w:shd w:val="clear" w:color="auto" w:fill="auto"/>
          </w:tcPr>
          <w:p w14:paraId="6BC4ECB6"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Bangladeshi</w:t>
            </w:r>
          </w:p>
        </w:tc>
        <w:tc>
          <w:tcPr>
            <w:tcW w:w="1430" w:type="dxa"/>
            <w:shd w:val="clear" w:color="auto" w:fill="auto"/>
            <w:vAlign w:val="bottom"/>
          </w:tcPr>
          <w:p w14:paraId="7CB9E79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10</w:t>
            </w:r>
          </w:p>
        </w:tc>
        <w:tc>
          <w:tcPr>
            <w:tcW w:w="1418" w:type="dxa"/>
            <w:shd w:val="clear" w:color="auto" w:fill="auto"/>
            <w:vAlign w:val="bottom"/>
          </w:tcPr>
          <w:p w14:paraId="02F5A3C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w:t>
            </w:r>
          </w:p>
        </w:tc>
        <w:tc>
          <w:tcPr>
            <w:tcW w:w="1648" w:type="dxa"/>
            <w:shd w:val="clear" w:color="auto" w:fill="auto"/>
            <w:vAlign w:val="bottom"/>
          </w:tcPr>
          <w:p w14:paraId="2498FE1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C5932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4F1FC3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2657C8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CC892B0" w14:textId="77777777" w:rsidTr="0096145D">
        <w:tc>
          <w:tcPr>
            <w:tcW w:w="1880" w:type="dxa"/>
            <w:shd w:val="clear" w:color="auto" w:fill="auto"/>
          </w:tcPr>
          <w:p w14:paraId="4D217833"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Belarusian</w:t>
            </w:r>
          </w:p>
        </w:tc>
        <w:tc>
          <w:tcPr>
            <w:tcW w:w="1430" w:type="dxa"/>
            <w:shd w:val="clear" w:color="auto" w:fill="auto"/>
            <w:vAlign w:val="bottom"/>
          </w:tcPr>
          <w:p w14:paraId="180D143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418" w:type="dxa"/>
            <w:shd w:val="clear" w:color="auto" w:fill="auto"/>
            <w:vAlign w:val="bottom"/>
          </w:tcPr>
          <w:p w14:paraId="48CC899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69C683D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FBD058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18AFDB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C351DE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577496C" w14:textId="77777777" w:rsidTr="0096145D">
        <w:tc>
          <w:tcPr>
            <w:tcW w:w="1880" w:type="dxa"/>
            <w:shd w:val="clear" w:color="auto" w:fill="auto"/>
          </w:tcPr>
          <w:p w14:paraId="75B0422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Belgian</w:t>
            </w:r>
          </w:p>
        </w:tc>
        <w:tc>
          <w:tcPr>
            <w:tcW w:w="1430" w:type="dxa"/>
            <w:shd w:val="clear" w:color="auto" w:fill="auto"/>
            <w:vAlign w:val="bottom"/>
          </w:tcPr>
          <w:p w14:paraId="05E5BDD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59AF958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4008220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30E330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22C9184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7B5D34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CD2B557" w14:textId="77777777" w:rsidTr="0096145D">
        <w:tc>
          <w:tcPr>
            <w:tcW w:w="1880" w:type="dxa"/>
            <w:shd w:val="clear" w:color="auto" w:fill="auto"/>
          </w:tcPr>
          <w:p w14:paraId="3C488D06"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Beninese</w:t>
            </w:r>
          </w:p>
        </w:tc>
        <w:tc>
          <w:tcPr>
            <w:tcW w:w="1430" w:type="dxa"/>
            <w:shd w:val="clear" w:color="auto" w:fill="auto"/>
            <w:vAlign w:val="bottom"/>
          </w:tcPr>
          <w:p w14:paraId="4657026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303565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0213772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FCE2A0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32FC7E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B14ECF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91D4D0F" w14:textId="77777777" w:rsidTr="0096145D">
        <w:tc>
          <w:tcPr>
            <w:tcW w:w="1880" w:type="dxa"/>
            <w:shd w:val="clear" w:color="auto" w:fill="auto"/>
          </w:tcPr>
          <w:p w14:paraId="2A8391A4"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Bhutanese</w:t>
            </w:r>
          </w:p>
        </w:tc>
        <w:tc>
          <w:tcPr>
            <w:tcW w:w="1430" w:type="dxa"/>
            <w:shd w:val="clear" w:color="auto" w:fill="auto"/>
            <w:vAlign w:val="bottom"/>
          </w:tcPr>
          <w:p w14:paraId="1476FB8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339D01D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295BDEE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484442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137510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22C509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482FE24" w14:textId="77777777" w:rsidTr="0096145D">
        <w:tc>
          <w:tcPr>
            <w:tcW w:w="1880" w:type="dxa"/>
            <w:shd w:val="clear" w:color="auto" w:fill="auto"/>
          </w:tcPr>
          <w:p w14:paraId="542210DD"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Bissau-Guinean</w:t>
            </w:r>
          </w:p>
        </w:tc>
        <w:tc>
          <w:tcPr>
            <w:tcW w:w="1430" w:type="dxa"/>
            <w:shd w:val="clear" w:color="auto" w:fill="auto"/>
            <w:vAlign w:val="bottom"/>
          </w:tcPr>
          <w:p w14:paraId="39EDD50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7411AF0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657573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5D1072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F0D24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63118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388CE9B" w14:textId="77777777" w:rsidTr="0096145D">
        <w:tc>
          <w:tcPr>
            <w:tcW w:w="1880" w:type="dxa"/>
            <w:shd w:val="clear" w:color="auto" w:fill="auto"/>
          </w:tcPr>
          <w:p w14:paraId="205C7E2D"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Bolivian</w:t>
            </w:r>
          </w:p>
        </w:tc>
        <w:tc>
          <w:tcPr>
            <w:tcW w:w="1430" w:type="dxa"/>
            <w:shd w:val="clear" w:color="auto" w:fill="auto"/>
            <w:vAlign w:val="bottom"/>
          </w:tcPr>
          <w:p w14:paraId="176148A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418" w:type="dxa"/>
            <w:shd w:val="clear" w:color="auto" w:fill="auto"/>
            <w:vAlign w:val="bottom"/>
          </w:tcPr>
          <w:p w14:paraId="0A2E2E3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8B039F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BABA85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36610F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DA6654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11B42AC" w14:textId="77777777" w:rsidTr="0096145D">
        <w:tc>
          <w:tcPr>
            <w:tcW w:w="1880" w:type="dxa"/>
            <w:shd w:val="clear" w:color="auto" w:fill="auto"/>
          </w:tcPr>
          <w:p w14:paraId="726ADA6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Brazilian</w:t>
            </w:r>
          </w:p>
        </w:tc>
        <w:tc>
          <w:tcPr>
            <w:tcW w:w="1430" w:type="dxa"/>
            <w:shd w:val="clear" w:color="auto" w:fill="auto"/>
            <w:vAlign w:val="bottom"/>
          </w:tcPr>
          <w:p w14:paraId="0849E0A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418" w:type="dxa"/>
            <w:shd w:val="clear" w:color="auto" w:fill="auto"/>
            <w:vAlign w:val="bottom"/>
          </w:tcPr>
          <w:p w14:paraId="153B95A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9E9B3C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5A2163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363BBFD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D3B258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56176E8" w14:textId="77777777" w:rsidTr="0096145D">
        <w:tc>
          <w:tcPr>
            <w:tcW w:w="1880" w:type="dxa"/>
            <w:shd w:val="clear" w:color="auto" w:fill="auto"/>
          </w:tcPr>
          <w:p w14:paraId="1DD994C8"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British</w:t>
            </w:r>
          </w:p>
        </w:tc>
        <w:tc>
          <w:tcPr>
            <w:tcW w:w="1430" w:type="dxa"/>
            <w:shd w:val="clear" w:color="auto" w:fill="auto"/>
            <w:vAlign w:val="bottom"/>
          </w:tcPr>
          <w:p w14:paraId="3F2D7D6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22</w:t>
            </w:r>
          </w:p>
        </w:tc>
        <w:tc>
          <w:tcPr>
            <w:tcW w:w="1418" w:type="dxa"/>
            <w:shd w:val="clear" w:color="auto" w:fill="auto"/>
            <w:vAlign w:val="bottom"/>
          </w:tcPr>
          <w:p w14:paraId="4F30632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648" w:type="dxa"/>
            <w:shd w:val="clear" w:color="auto" w:fill="auto"/>
            <w:vAlign w:val="bottom"/>
          </w:tcPr>
          <w:p w14:paraId="0E57E83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D74702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398" w:type="dxa"/>
            <w:shd w:val="clear" w:color="auto" w:fill="auto"/>
            <w:vAlign w:val="bottom"/>
          </w:tcPr>
          <w:p w14:paraId="56FF70C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095FEE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45BEB93C" w14:textId="77777777" w:rsidTr="0096145D">
        <w:tc>
          <w:tcPr>
            <w:tcW w:w="1880" w:type="dxa"/>
            <w:shd w:val="clear" w:color="auto" w:fill="auto"/>
          </w:tcPr>
          <w:p w14:paraId="771B6D95"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Bulgarian</w:t>
            </w:r>
          </w:p>
        </w:tc>
        <w:tc>
          <w:tcPr>
            <w:tcW w:w="1430" w:type="dxa"/>
            <w:shd w:val="clear" w:color="auto" w:fill="auto"/>
            <w:vAlign w:val="bottom"/>
          </w:tcPr>
          <w:p w14:paraId="7247DC0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49D0A5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646718F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234C74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DCE57B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009098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2C66D03" w14:textId="77777777" w:rsidTr="0096145D">
        <w:tc>
          <w:tcPr>
            <w:tcW w:w="1880" w:type="dxa"/>
            <w:shd w:val="clear" w:color="auto" w:fill="auto"/>
          </w:tcPr>
          <w:p w14:paraId="40D51A0C"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Cambodian</w:t>
            </w:r>
          </w:p>
        </w:tc>
        <w:tc>
          <w:tcPr>
            <w:tcW w:w="1430" w:type="dxa"/>
            <w:shd w:val="clear" w:color="auto" w:fill="auto"/>
            <w:vAlign w:val="bottom"/>
          </w:tcPr>
          <w:p w14:paraId="4A5523BD" w14:textId="6A1F9A9E"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r w:rsidR="0096145D">
              <w:rPr>
                <w:sz w:val="18"/>
                <w:szCs w:val="28"/>
                <w:lang w:bidi="th-TH"/>
              </w:rPr>
              <w:t xml:space="preserve"> </w:t>
            </w:r>
            <w:r w:rsidRPr="0096145D">
              <w:rPr>
                <w:sz w:val="18"/>
                <w:szCs w:val="28"/>
                <w:lang w:bidi="th-TH"/>
              </w:rPr>
              <w:t>593</w:t>
            </w:r>
          </w:p>
        </w:tc>
        <w:tc>
          <w:tcPr>
            <w:tcW w:w="1418" w:type="dxa"/>
            <w:shd w:val="clear" w:color="auto" w:fill="auto"/>
            <w:vAlign w:val="bottom"/>
          </w:tcPr>
          <w:p w14:paraId="3F48DA4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362</w:t>
            </w:r>
          </w:p>
        </w:tc>
        <w:tc>
          <w:tcPr>
            <w:tcW w:w="1648" w:type="dxa"/>
            <w:shd w:val="clear" w:color="auto" w:fill="auto"/>
            <w:vAlign w:val="bottom"/>
          </w:tcPr>
          <w:p w14:paraId="68EAE71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367" w:type="dxa"/>
            <w:shd w:val="clear" w:color="auto" w:fill="auto"/>
            <w:vAlign w:val="bottom"/>
          </w:tcPr>
          <w:p w14:paraId="16AFCBD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50</w:t>
            </w:r>
          </w:p>
        </w:tc>
        <w:tc>
          <w:tcPr>
            <w:tcW w:w="1398" w:type="dxa"/>
            <w:shd w:val="clear" w:color="auto" w:fill="auto"/>
            <w:vAlign w:val="bottom"/>
          </w:tcPr>
          <w:p w14:paraId="712B242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F170FD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r>
      <w:tr w:rsidR="00695E59" w:rsidRPr="0096145D" w14:paraId="5019F3EE" w14:textId="77777777" w:rsidTr="0096145D">
        <w:tc>
          <w:tcPr>
            <w:tcW w:w="1880" w:type="dxa"/>
            <w:shd w:val="clear" w:color="auto" w:fill="auto"/>
          </w:tcPr>
          <w:p w14:paraId="2150ECC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Cameroonian</w:t>
            </w:r>
          </w:p>
        </w:tc>
        <w:tc>
          <w:tcPr>
            <w:tcW w:w="1430" w:type="dxa"/>
            <w:shd w:val="clear" w:color="auto" w:fill="auto"/>
            <w:vAlign w:val="bottom"/>
          </w:tcPr>
          <w:p w14:paraId="3897415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418" w:type="dxa"/>
            <w:shd w:val="clear" w:color="auto" w:fill="auto"/>
            <w:vAlign w:val="bottom"/>
          </w:tcPr>
          <w:p w14:paraId="1DB36EC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07AE2BB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FCF569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03962D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4912A8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7016497" w14:textId="77777777" w:rsidTr="0096145D">
        <w:tc>
          <w:tcPr>
            <w:tcW w:w="1880" w:type="dxa"/>
            <w:shd w:val="clear" w:color="auto" w:fill="auto"/>
          </w:tcPr>
          <w:p w14:paraId="0EAFDEB6"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Canadian</w:t>
            </w:r>
          </w:p>
        </w:tc>
        <w:tc>
          <w:tcPr>
            <w:tcW w:w="1430" w:type="dxa"/>
            <w:shd w:val="clear" w:color="auto" w:fill="auto"/>
            <w:vAlign w:val="bottom"/>
          </w:tcPr>
          <w:p w14:paraId="0BFF992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8</w:t>
            </w:r>
          </w:p>
        </w:tc>
        <w:tc>
          <w:tcPr>
            <w:tcW w:w="1418" w:type="dxa"/>
            <w:shd w:val="clear" w:color="auto" w:fill="auto"/>
            <w:vAlign w:val="bottom"/>
          </w:tcPr>
          <w:p w14:paraId="67A3270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648" w:type="dxa"/>
            <w:shd w:val="clear" w:color="auto" w:fill="auto"/>
            <w:vAlign w:val="bottom"/>
          </w:tcPr>
          <w:p w14:paraId="791C809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57F282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A33683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1319A8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7C12763" w14:textId="77777777" w:rsidTr="0096145D">
        <w:tc>
          <w:tcPr>
            <w:tcW w:w="1880" w:type="dxa"/>
            <w:shd w:val="clear" w:color="auto" w:fill="auto"/>
          </w:tcPr>
          <w:p w14:paraId="2B7CB5F8"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Cape Verdean</w:t>
            </w:r>
          </w:p>
        </w:tc>
        <w:tc>
          <w:tcPr>
            <w:tcW w:w="1430" w:type="dxa"/>
            <w:shd w:val="clear" w:color="auto" w:fill="auto"/>
            <w:vAlign w:val="bottom"/>
          </w:tcPr>
          <w:p w14:paraId="6A5DBF0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2975C0B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256EF2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C4D0C4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2DBC8A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4AE24A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A49BAE8" w14:textId="77777777" w:rsidTr="0096145D">
        <w:tc>
          <w:tcPr>
            <w:tcW w:w="1880" w:type="dxa"/>
            <w:shd w:val="clear" w:color="auto" w:fill="auto"/>
          </w:tcPr>
          <w:p w14:paraId="1810B917"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Chilean</w:t>
            </w:r>
          </w:p>
        </w:tc>
        <w:tc>
          <w:tcPr>
            <w:tcW w:w="1430" w:type="dxa"/>
            <w:shd w:val="clear" w:color="auto" w:fill="auto"/>
            <w:vAlign w:val="bottom"/>
          </w:tcPr>
          <w:p w14:paraId="54995CB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1A864BD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D17766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8253ED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7E831D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1CC00D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60C72C8" w14:textId="77777777" w:rsidTr="0096145D">
        <w:tc>
          <w:tcPr>
            <w:tcW w:w="1880" w:type="dxa"/>
            <w:shd w:val="clear" w:color="auto" w:fill="auto"/>
          </w:tcPr>
          <w:p w14:paraId="79943EF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Chinese</w:t>
            </w:r>
          </w:p>
        </w:tc>
        <w:tc>
          <w:tcPr>
            <w:tcW w:w="1430" w:type="dxa"/>
            <w:shd w:val="clear" w:color="auto" w:fill="auto"/>
            <w:vAlign w:val="bottom"/>
          </w:tcPr>
          <w:p w14:paraId="47400D6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233</w:t>
            </w:r>
          </w:p>
        </w:tc>
        <w:tc>
          <w:tcPr>
            <w:tcW w:w="1418" w:type="dxa"/>
            <w:shd w:val="clear" w:color="auto" w:fill="auto"/>
            <w:vAlign w:val="bottom"/>
          </w:tcPr>
          <w:p w14:paraId="7F4EFE8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70</w:t>
            </w:r>
          </w:p>
        </w:tc>
        <w:tc>
          <w:tcPr>
            <w:tcW w:w="1648" w:type="dxa"/>
            <w:shd w:val="clear" w:color="auto" w:fill="auto"/>
            <w:vAlign w:val="bottom"/>
          </w:tcPr>
          <w:p w14:paraId="1486B61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F055E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BFA2CC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793A42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r>
      <w:tr w:rsidR="00695E59" w:rsidRPr="0096145D" w14:paraId="1D36C359" w14:textId="77777777" w:rsidTr="0096145D">
        <w:tc>
          <w:tcPr>
            <w:tcW w:w="1880" w:type="dxa"/>
            <w:shd w:val="clear" w:color="auto" w:fill="auto"/>
          </w:tcPr>
          <w:p w14:paraId="069C58F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Columbian</w:t>
            </w:r>
          </w:p>
        </w:tc>
        <w:tc>
          <w:tcPr>
            <w:tcW w:w="1430" w:type="dxa"/>
            <w:shd w:val="clear" w:color="auto" w:fill="auto"/>
            <w:vAlign w:val="bottom"/>
          </w:tcPr>
          <w:p w14:paraId="370DF4A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13</w:t>
            </w:r>
          </w:p>
        </w:tc>
        <w:tc>
          <w:tcPr>
            <w:tcW w:w="1418" w:type="dxa"/>
            <w:shd w:val="clear" w:color="auto" w:fill="auto"/>
            <w:vAlign w:val="bottom"/>
          </w:tcPr>
          <w:p w14:paraId="2D6FFE0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648" w:type="dxa"/>
            <w:shd w:val="clear" w:color="auto" w:fill="auto"/>
            <w:vAlign w:val="bottom"/>
          </w:tcPr>
          <w:p w14:paraId="3C71AF2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0587B9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D8A8B0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7045B7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0D696C6" w14:textId="77777777" w:rsidTr="0096145D">
        <w:tc>
          <w:tcPr>
            <w:tcW w:w="1880" w:type="dxa"/>
            <w:shd w:val="clear" w:color="auto" w:fill="auto"/>
          </w:tcPr>
          <w:p w14:paraId="58F0E74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Congolese</w:t>
            </w:r>
          </w:p>
        </w:tc>
        <w:tc>
          <w:tcPr>
            <w:tcW w:w="1430" w:type="dxa"/>
            <w:shd w:val="clear" w:color="auto" w:fill="auto"/>
            <w:vAlign w:val="bottom"/>
          </w:tcPr>
          <w:p w14:paraId="2CE46BC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w:t>
            </w:r>
          </w:p>
        </w:tc>
        <w:tc>
          <w:tcPr>
            <w:tcW w:w="1418" w:type="dxa"/>
            <w:shd w:val="clear" w:color="auto" w:fill="auto"/>
            <w:vAlign w:val="bottom"/>
          </w:tcPr>
          <w:p w14:paraId="520674F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5CC3491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AD77A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780929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A84B9B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6A4502F" w14:textId="77777777" w:rsidTr="0096145D">
        <w:tc>
          <w:tcPr>
            <w:tcW w:w="1880" w:type="dxa"/>
            <w:shd w:val="clear" w:color="auto" w:fill="auto"/>
          </w:tcPr>
          <w:p w14:paraId="0363013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Cypriot</w:t>
            </w:r>
          </w:p>
        </w:tc>
        <w:tc>
          <w:tcPr>
            <w:tcW w:w="1430" w:type="dxa"/>
            <w:shd w:val="clear" w:color="auto" w:fill="auto"/>
            <w:vAlign w:val="bottom"/>
          </w:tcPr>
          <w:p w14:paraId="0832B2A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BFBE34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94A8F8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C720AF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E1C3B9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C25F13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D3AD1F8" w14:textId="77777777" w:rsidTr="0096145D">
        <w:tc>
          <w:tcPr>
            <w:tcW w:w="1880" w:type="dxa"/>
            <w:shd w:val="clear" w:color="auto" w:fill="auto"/>
          </w:tcPr>
          <w:p w14:paraId="08A4D632"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Danish</w:t>
            </w:r>
          </w:p>
        </w:tc>
        <w:tc>
          <w:tcPr>
            <w:tcW w:w="1430" w:type="dxa"/>
            <w:shd w:val="clear" w:color="auto" w:fill="auto"/>
            <w:vAlign w:val="bottom"/>
          </w:tcPr>
          <w:p w14:paraId="36B9FBB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7FA036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6D62610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2317A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F33621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14633B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r>
      <w:tr w:rsidR="00695E59" w:rsidRPr="0096145D" w14:paraId="6BAAFF5D" w14:textId="77777777" w:rsidTr="0096145D">
        <w:tc>
          <w:tcPr>
            <w:tcW w:w="1880" w:type="dxa"/>
            <w:shd w:val="clear" w:color="auto" w:fill="auto"/>
          </w:tcPr>
          <w:p w14:paraId="7495CC7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Dutch</w:t>
            </w:r>
          </w:p>
        </w:tc>
        <w:tc>
          <w:tcPr>
            <w:tcW w:w="1430" w:type="dxa"/>
            <w:shd w:val="clear" w:color="auto" w:fill="auto"/>
            <w:vAlign w:val="bottom"/>
          </w:tcPr>
          <w:p w14:paraId="31D0F17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w:t>
            </w:r>
          </w:p>
        </w:tc>
        <w:tc>
          <w:tcPr>
            <w:tcW w:w="1418" w:type="dxa"/>
            <w:shd w:val="clear" w:color="auto" w:fill="auto"/>
            <w:vAlign w:val="bottom"/>
          </w:tcPr>
          <w:p w14:paraId="37CCBAD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648" w:type="dxa"/>
            <w:shd w:val="clear" w:color="auto" w:fill="auto"/>
            <w:vAlign w:val="bottom"/>
          </w:tcPr>
          <w:p w14:paraId="4428F56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25AE00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3508F0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48C0BB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189795D" w14:textId="77777777" w:rsidTr="0096145D">
        <w:tc>
          <w:tcPr>
            <w:tcW w:w="1880" w:type="dxa"/>
            <w:shd w:val="clear" w:color="auto" w:fill="auto"/>
          </w:tcPr>
          <w:p w14:paraId="1A138B5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Ecuadorean</w:t>
            </w:r>
          </w:p>
        </w:tc>
        <w:tc>
          <w:tcPr>
            <w:tcW w:w="1430" w:type="dxa"/>
            <w:shd w:val="clear" w:color="auto" w:fill="auto"/>
            <w:vAlign w:val="bottom"/>
          </w:tcPr>
          <w:p w14:paraId="7AD592D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6E6F6D8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43CA37C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FC99A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3447E40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5030FF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D289F56" w14:textId="77777777" w:rsidTr="0096145D">
        <w:tc>
          <w:tcPr>
            <w:tcW w:w="1880" w:type="dxa"/>
            <w:shd w:val="clear" w:color="auto" w:fill="auto"/>
          </w:tcPr>
          <w:p w14:paraId="3201A27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Egyptian</w:t>
            </w:r>
          </w:p>
        </w:tc>
        <w:tc>
          <w:tcPr>
            <w:tcW w:w="1430" w:type="dxa"/>
            <w:shd w:val="clear" w:color="auto" w:fill="auto"/>
            <w:vAlign w:val="bottom"/>
          </w:tcPr>
          <w:p w14:paraId="03C202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44E3D19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72ED287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F36FC9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B84AA6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B894BA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C21A848" w14:textId="77777777" w:rsidTr="0096145D">
        <w:tc>
          <w:tcPr>
            <w:tcW w:w="1880" w:type="dxa"/>
            <w:shd w:val="clear" w:color="auto" w:fill="auto"/>
          </w:tcPr>
          <w:p w14:paraId="3A757345"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Estonian</w:t>
            </w:r>
          </w:p>
        </w:tc>
        <w:tc>
          <w:tcPr>
            <w:tcW w:w="1430" w:type="dxa"/>
            <w:shd w:val="clear" w:color="auto" w:fill="auto"/>
            <w:vAlign w:val="bottom"/>
          </w:tcPr>
          <w:p w14:paraId="46D3ED6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4B47E30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1FDE915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87A76B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D2A43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96A3FE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7495602" w14:textId="77777777" w:rsidTr="0096145D">
        <w:tc>
          <w:tcPr>
            <w:tcW w:w="1880" w:type="dxa"/>
            <w:shd w:val="clear" w:color="auto" w:fill="auto"/>
          </w:tcPr>
          <w:p w14:paraId="22418A3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Ethiopian</w:t>
            </w:r>
          </w:p>
        </w:tc>
        <w:tc>
          <w:tcPr>
            <w:tcW w:w="1430" w:type="dxa"/>
            <w:shd w:val="clear" w:color="auto" w:fill="auto"/>
            <w:vAlign w:val="bottom"/>
          </w:tcPr>
          <w:p w14:paraId="475FC1A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418" w:type="dxa"/>
            <w:shd w:val="clear" w:color="auto" w:fill="auto"/>
            <w:vAlign w:val="bottom"/>
          </w:tcPr>
          <w:p w14:paraId="3F944E6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3790842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E29E77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8A1954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9E87E7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80731B3" w14:textId="77777777" w:rsidTr="0096145D">
        <w:tc>
          <w:tcPr>
            <w:tcW w:w="1880" w:type="dxa"/>
            <w:shd w:val="clear" w:color="auto" w:fill="auto"/>
          </w:tcPr>
          <w:p w14:paraId="237540F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Finnish</w:t>
            </w:r>
          </w:p>
        </w:tc>
        <w:tc>
          <w:tcPr>
            <w:tcW w:w="1430" w:type="dxa"/>
            <w:shd w:val="clear" w:color="auto" w:fill="auto"/>
            <w:vAlign w:val="bottom"/>
          </w:tcPr>
          <w:p w14:paraId="644A7DC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8C815A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4EF3AA1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4D223C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3CB466A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FD4211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C47BD60" w14:textId="77777777" w:rsidTr="0096145D">
        <w:tc>
          <w:tcPr>
            <w:tcW w:w="1880" w:type="dxa"/>
            <w:shd w:val="clear" w:color="auto" w:fill="auto"/>
          </w:tcPr>
          <w:p w14:paraId="070A63B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French</w:t>
            </w:r>
          </w:p>
        </w:tc>
        <w:tc>
          <w:tcPr>
            <w:tcW w:w="1430" w:type="dxa"/>
            <w:shd w:val="clear" w:color="auto" w:fill="auto"/>
            <w:vAlign w:val="bottom"/>
          </w:tcPr>
          <w:p w14:paraId="349F319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13</w:t>
            </w:r>
          </w:p>
        </w:tc>
        <w:tc>
          <w:tcPr>
            <w:tcW w:w="1418" w:type="dxa"/>
            <w:shd w:val="clear" w:color="auto" w:fill="auto"/>
            <w:vAlign w:val="bottom"/>
          </w:tcPr>
          <w:p w14:paraId="5A3EB28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w:t>
            </w:r>
          </w:p>
        </w:tc>
        <w:tc>
          <w:tcPr>
            <w:tcW w:w="1648" w:type="dxa"/>
            <w:shd w:val="clear" w:color="auto" w:fill="auto"/>
            <w:vAlign w:val="bottom"/>
          </w:tcPr>
          <w:p w14:paraId="325450E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7B119B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034733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735213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r>
      <w:tr w:rsidR="00695E59" w:rsidRPr="0096145D" w14:paraId="5CAB0FE4" w14:textId="77777777" w:rsidTr="0096145D">
        <w:tc>
          <w:tcPr>
            <w:tcW w:w="1880" w:type="dxa"/>
            <w:shd w:val="clear" w:color="auto" w:fill="auto"/>
          </w:tcPr>
          <w:p w14:paraId="473904E2"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Gambian</w:t>
            </w:r>
          </w:p>
        </w:tc>
        <w:tc>
          <w:tcPr>
            <w:tcW w:w="1430" w:type="dxa"/>
            <w:shd w:val="clear" w:color="auto" w:fill="auto"/>
            <w:vAlign w:val="bottom"/>
          </w:tcPr>
          <w:p w14:paraId="717D395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418" w:type="dxa"/>
            <w:shd w:val="clear" w:color="auto" w:fill="auto"/>
            <w:vAlign w:val="bottom"/>
          </w:tcPr>
          <w:p w14:paraId="6C0E171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7398049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9F5538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393065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A67015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9B03BDF" w14:textId="77777777" w:rsidTr="0096145D">
        <w:tc>
          <w:tcPr>
            <w:tcW w:w="1880" w:type="dxa"/>
            <w:shd w:val="clear" w:color="auto" w:fill="auto"/>
          </w:tcPr>
          <w:p w14:paraId="298D7AF7"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German</w:t>
            </w:r>
          </w:p>
        </w:tc>
        <w:tc>
          <w:tcPr>
            <w:tcW w:w="1430" w:type="dxa"/>
            <w:shd w:val="clear" w:color="auto" w:fill="auto"/>
            <w:vAlign w:val="bottom"/>
          </w:tcPr>
          <w:p w14:paraId="33B3271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12</w:t>
            </w:r>
          </w:p>
        </w:tc>
        <w:tc>
          <w:tcPr>
            <w:tcW w:w="1418" w:type="dxa"/>
            <w:shd w:val="clear" w:color="auto" w:fill="auto"/>
            <w:vAlign w:val="bottom"/>
          </w:tcPr>
          <w:p w14:paraId="7AEFF45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627CF2D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E7DD28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C02D23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346AE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57A14EBB" w14:textId="77777777" w:rsidTr="0096145D">
        <w:tc>
          <w:tcPr>
            <w:tcW w:w="1880" w:type="dxa"/>
            <w:shd w:val="clear" w:color="auto" w:fill="auto"/>
          </w:tcPr>
          <w:p w14:paraId="48F581B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Ghanaian</w:t>
            </w:r>
          </w:p>
        </w:tc>
        <w:tc>
          <w:tcPr>
            <w:tcW w:w="1430" w:type="dxa"/>
            <w:shd w:val="clear" w:color="auto" w:fill="auto"/>
            <w:vAlign w:val="bottom"/>
          </w:tcPr>
          <w:p w14:paraId="0D7E7A6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18</w:t>
            </w:r>
          </w:p>
        </w:tc>
        <w:tc>
          <w:tcPr>
            <w:tcW w:w="1418" w:type="dxa"/>
            <w:shd w:val="clear" w:color="auto" w:fill="auto"/>
            <w:vAlign w:val="bottom"/>
          </w:tcPr>
          <w:p w14:paraId="4829FC2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0DBC773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23607D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3DD6B56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0FA913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303B80A" w14:textId="77777777" w:rsidTr="0096145D">
        <w:tc>
          <w:tcPr>
            <w:tcW w:w="1880" w:type="dxa"/>
            <w:shd w:val="clear" w:color="auto" w:fill="auto"/>
          </w:tcPr>
          <w:p w14:paraId="625649D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Guatemalan</w:t>
            </w:r>
          </w:p>
        </w:tc>
        <w:tc>
          <w:tcPr>
            <w:tcW w:w="1430" w:type="dxa"/>
            <w:shd w:val="clear" w:color="auto" w:fill="auto"/>
            <w:vAlign w:val="bottom"/>
          </w:tcPr>
          <w:p w14:paraId="235C1BF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FA8CE0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9F4EEC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47A563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44B303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38651F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EFB109C" w14:textId="77777777" w:rsidTr="0096145D">
        <w:tc>
          <w:tcPr>
            <w:tcW w:w="1880" w:type="dxa"/>
            <w:shd w:val="clear" w:color="auto" w:fill="auto"/>
          </w:tcPr>
          <w:p w14:paraId="30B837C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Guinean</w:t>
            </w:r>
          </w:p>
        </w:tc>
        <w:tc>
          <w:tcPr>
            <w:tcW w:w="1430" w:type="dxa"/>
            <w:shd w:val="clear" w:color="auto" w:fill="auto"/>
            <w:vAlign w:val="bottom"/>
          </w:tcPr>
          <w:p w14:paraId="264035C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16</w:t>
            </w:r>
          </w:p>
        </w:tc>
        <w:tc>
          <w:tcPr>
            <w:tcW w:w="1418" w:type="dxa"/>
            <w:shd w:val="clear" w:color="auto" w:fill="auto"/>
            <w:vAlign w:val="bottom"/>
          </w:tcPr>
          <w:p w14:paraId="085B78B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38320BF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3030C7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70292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8AE3A3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A68729A" w14:textId="77777777" w:rsidTr="0096145D">
        <w:tc>
          <w:tcPr>
            <w:tcW w:w="1880" w:type="dxa"/>
            <w:tcBorders>
              <w:bottom w:val="nil"/>
            </w:tcBorders>
            <w:shd w:val="clear" w:color="auto" w:fill="auto"/>
          </w:tcPr>
          <w:p w14:paraId="30B93452"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Hungarian</w:t>
            </w:r>
          </w:p>
        </w:tc>
        <w:tc>
          <w:tcPr>
            <w:tcW w:w="1430" w:type="dxa"/>
            <w:tcBorders>
              <w:bottom w:val="nil"/>
            </w:tcBorders>
            <w:shd w:val="clear" w:color="auto" w:fill="auto"/>
            <w:vAlign w:val="bottom"/>
          </w:tcPr>
          <w:p w14:paraId="4C190D2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tcBorders>
              <w:bottom w:val="nil"/>
            </w:tcBorders>
            <w:shd w:val="clear" w:color="auto" w:fill="auto"/>
            <w:vAlign w:val="bottom"/>
          </w:tcPr>
          <w:p w14:paraId="781B339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tcBorders>
              <w:bottom w:val="nil"/>
            </w:tcBorders>
            <w:shd w:val="clear" w:color="auto" w:fill="auto"/>
            <w:vAlign w:val="bottom"/>
          </w:tcPr>
          <w:p w14:paraId="469703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bottom w:val="nil"/>
            </w:tcBorders>
            <w:shd w:val="clear" w:color="auto" w:fill="auto"/>
            <w:vAlign w:val="bottom"/>
          </w:tcPr>
          <w:p w14:paraId="2A6258D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tcBorders>
              <w:bottom w:val="nil"/>
            </w:tcBorders>
            <w:shd w:val="clear" w:color="auto" w:fill="auto"/>
            <w:vAlign w:val="bottom"/>
          </w:tcPr>
          <w:p w14:paraId="19F6715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bottom w:val="nil"/>
            </w:tcBorders>
            <w:shd w:val="clear" w:color="auto" w:fill="auto"/>
            <w:vAlign w:val="bottom"/>
          </w:tcPr>
          <w:p w14:paraId="1E66020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B83DB95" w14:textId="77777777" w:rsidTr="0096145D">
        <w:tc>
          <w:tcPr>
            <w:tcW w:w="1880" w:type="dxa"/>
            <w:tcBorders>
              <w:top w:val="nil"/>
              <w:bottom w:val="nil"/>
            </w:tcBorders>
            <w:shd w:val="clear" w:color="auto" w:fill="auto"/>
          </w:tcPr>
          <w:p w14:paraId="2401504B"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lastRenderedPageBreak/>
              <w:t>Icelander</w:t>
            </w:r>
          </w:p>
        </w:tc>
        <w:tc>
          <w:tcPr>
            <w:tcW w:w="1430" w:type="dxa"/>
            <w:tcBorders>
              <w:top w:val="nil"/>
              <w:bottom w:val="nil"/>
            </w:tcBorders>
            <w:shd w:val="clear" w:color="auto" w:fill="auto"/>
            <w:vAlign w:val="bottom"/>
          </w:tcPr>
          <w:p w14:paraId="6172189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tcBorders>
              <w:top w:val="nil"/>
              <w:bottom w:val="nil"/>
            </w:tcBorders>
            <w:shd w:val="clear" w:color="auto" w:fill="auto"/>
            <w:vAlign w:val="bottom"/>
          </w:tcPr>
          <w:p w14:paraId="7127819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tcBorders>
              <w:top w:val="nil"/>
              <w:bottom w:val="nil"/>
            </w:tcBorders>
            <w:shd w:val="clear" w:color="auto" w:fill="auto"/>
            <w:vAlign w:val="bottom"/>
          </w:tcPr>
          <w:p w14:paraId="13A4A64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top w:val="nil"/>
              <w:bottom w:val="nil"/>
            </w:tcBorders>
            <w:shd w:val="clear" w:color="auto" w:fill="auto"/>
            <w:vAlign w:val="bottom"/>
          </w:tcPr>
          <w:p w14:paraId="2E8AB7E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tcBorders>
              <w:top w:val="nil"/>
              <w:bottom w:val="nil"/>
            </w:tcBorders>
            <w:shd w:val="clear" w:color="auto" w:fill="auto"/>
            <w:vAlign w:val="bottom"/>
          </w:tcPr>
          <w:p w14:paraId="1ABDB3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top w:val="nil"/>
              <w:bottom w:val="nil"/>
            </w:tcBorders>
            <w:shd w:val="clear" w:color="auto" w:fill="auto"/>
            <w:vAlign w:val="bottom"/>
          </w:tcPr>
          <w:p w14:paraId="7A99DB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9C1F860" w14:textId="77777777" w:rsidTr="0096145D">
        <w:tc>
          <w:tcPr>
            <w:tcW w:w="1880" w:type="dxa"/>
            <w:tcBorders>
              <w:top w:val="nil"/>
            </w:tcBorders>
            <w:shd w:val="clear" w:color="auto" w:fill="auto"/>
          </w:tcPr>
          <w:p w14:paraId="0C8BCE0E"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Indian</w:t>
            </w:r>
          </w:p>
        </w:tc>
        <w:tc>
          <w:tcPr>
            <w:tcW w:w="1430" w:type="dxa"/>
            <w:tcBorders>
              <w:top w:val="nil"/>
            </w:tcBorders>
            <w:shd w:val="clear" w:color="auto" w:fill="auto"/>
            <w:vAlign w:val="bottom"/>
          </w:tcPr>
          <w:p w14:paraId="6A6CAA5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41</w:t>
            </w:r>
          </w:p>
        </w:tc>
        <w:tc>
          <w:tcPr>
            <w:tcW w:w="1418" w:type="dxa"/>
            <w:tcBorders>
              <w:top w:val="nil"/>
            </w:tcBorders>
            <w:shd w:val="clear" w:color="auto" w:fill="auto"/>
            <w:vAlign w:val="bottom"/>
          </w:tcPr>
          <w:p w14:paraId="65D0328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18</w:t>
            </w:r>
          </w:p>
        </w:tc>
        <w:tc>
          <w:tcPr>
            <w:tcW w:w="1648" w:type="dxa"/>
            <w:tcBorders>
              <w:top w:val="nil"/>
            </w:tcBorders>
            <w:shd w:val="clear" w:color="auto" w:fill="auto"/>
            <w:vAlign w:val="bottom"/>
          </w:tcPr>
          <w:p w14:paraId="7F2F849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top w:val="nil"/>
            </w:tcBorders>
            <w:shd w:val="clear" w:color="auto" w:fill="auto"/>
            <w:vAlign w:val="bottom"/>
          </w:tcPr>
          <w:p w14:paraId="5CFD7D8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398" w:type="dxa"/>
            <w:tcBorders>
              <w:top w:val="nil"/>
            </w:tcBorders>
            <w:shd w:val="clear" w:color="auto" w:fill="auto"/>
            <w:vAlign w:val="bottom"/>
          </w:tcPr>
          <w:p w14:paraId="03C474A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top w:val="nil"/>
            </w:tcBorders>
            <w:shd w:val="clear" w:color="auto" w:fill="auto"/>
            <w:vAlign w:val="bottom"/>
          </w:tcPr>
          <w:p w14:paraId="22BB629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r>
      <w:tr w:rsidR="00695E59" w:rsidRPr="0096145D" w14:paraId="61ACEBB2" w14:textId="77777777" w:rsidTr="0096145D">
        <w:tc>
          <w:tcPr>
            <w:tcW w:w="1880" w:type="dxa"/>
            <w:shd w:val="clear" w:color="auto" w:fill="auto"/>
          </w:tcPr>
          <w:p w14:paraId="71623338"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Indonesian</w:t>
            </w:r>
          </w:p>
        </w:tc>
        <w:tc>
          <w:tcPr>
            <w:tcW w:w="1430" w:type="dxa"/>
            <w:shd w:val="clear" w:color="auto" w:fill="auto"/>
            <w:vAlign w:val="bottom"/>
          </w:tcPr>
          <w:p w14:paraId="5F53DBF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19</w:t>
            </w:r>
          </w:p>
        </w:tc>
        <w:tc>
          <w:tcPr>
            <w:tcW w:w="1418" w:type="dxa"/>
            <w:shd w:val="clear" w:color="auto" w:fill="auto"/>
            <w:vAlign w:val="bottom"/>
          </w:tcPr>
          <w:p w14:paraId="2F2A468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03DFB06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77F750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51</w:t>
            </w:r>
          </w:p>
        </w:tc>
        <w:tc>
          <w:tcPr>
            <w:tcW w:w="1398" w:type="dxa"/>
            <w:shd w:val="clear" w:color="auto" w:fill="auto"/>
            <w:vAlign w:val="bottom"/>
          </w:tcPr>
          <w:p w14:paraId="2FBA437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7BA50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FB17B7A" w14:textId="77777777" w:rsidTr="0096145D">
        <w:tc>
          <w:tcPr>
            <w:tcW w:w="1880" w:type="dxa"/>
            <w:shd w:val="clear" w:color="auto" w:fill="auto"/>
          </w:tcPr>
          <w:p w14:paraId="41DAF40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Iranian</w:t>
            </w:r>
          </w:p>
        </w:tc>
        <w:tc>
          <w:tcPr>
            <w:tcW w:w="1430" w:type="dxa"/>
            <w:shd w:val="clear" w:color="auto" w:fill="auto"/>
            <w:vAlign w:val="bottom"/>
          </w:tcPr>
          <w:p w14:paraId="07D0FE7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45</w:t>
            </w:r>
          </w:p>
        </w:tc>
        <w:tc>
          <w:tcPr>
            <w:tcW w:w="1418" w:type="dxa"/>
            <w:shd w:val="clear" w:color="auto" w:fill="auto"/>
            <w:vAlign w:val="bottom"/>
          </w:tcPr>
          <w:p w14:paraId="77BE3AF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8</w:t>
            </w:r>
          </w:p>
        </w:tc>
        <w:tc>
          <w:tcPr>
            <w:tcW w:w="1648" w:type="dxa"/>
            <w:shd w:val="clear" w:color="auto" w:fill="auto"/>
            <w:vAlign w:val="bottom"/>
          </w:tcPr>
          <w:p w14:paraId="57E8467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4E3C9C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31BF9D0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EF7B39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71AB89F6" w14:textId="77777777" w:rsidTr="0096145D">
        <w:tc>
          <w:tcPr>
            <w:tcW w:w="1880" w:type="dxa"/>
            <w:shd w:val="clear" w:color="auto" w:fill="auto"/>
          </w:tcPr>
          <w:p w14:paraId="76DAC61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Israeli</w:t>
            </w:r>
          </w:p>
        </w:tc>
        <w:tc>
          <w:tcPr>
            <w:tcW w:w="1430" w:type="dxa"/>
            <w:shd w:val="clear" w:color="auto" w:fill="auto"/>
            <w:vAlign w:val="bottom"/>
          </w:tcPr>
          <w:p w14:paraId="41ED76B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8</w:t>
            </w:r>
          </w:p>
        </w:tc>
        <w:tc>
          <w:tcPr>
            <w:tcW w:w="1418" w:type="dxa"/>
            <w:shd w:val="clear" w:color="auto" w:fill="auto"/>
            <w:vAlign w:val="bottom"/>
          </w:tcPr>
          <w:p w14:paraId="4DEFD36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048DBB2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C50E15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5E1A63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CB25D2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8B0D539" w14:textId="77777777" w:rsidTr="0096145D">
        <w:tc>
          <w:tcPr>
            <w:tcW w:w="1880" w:type="dxa"/>
            <w:shd w:val="clear" w:color="auto" w:fill="auto"/>
          </w:tcPr>
          <w:p w14:paraId="5CD88D7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Italian</w:t>
            </w:r>
          </w:p>
        </w:tc>
        <w:tc>
          <w:tcPr>
            <w:tcW w:w="1430" w:type="dxa"/>
            <w:shd w:val="clear" w:color="auto" w:fill="auto"/>
            <w:vAlign w:val="bottom"/>
          </w:tcPr>
          <w:p w14:paraId="7AB6F14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418" w:type="dxa"/>
            <w:shd w:val="clear" w:color="auto" w:fill="auto"/>
            <w:vAlign w:val="bottom"/>
          </w:tcPr>
          <w:p w14:paraId="5752363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07F689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7F8D80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084D1E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2761FD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34B8235" w14:textId="77777777" w:rsidTr="0096145D">
        <w:tc>
          <w:tcPr>
            <w:tcW w:w="1880" w:type="dxa"/>
            <w:shd w:val="clear" w:color="auto" w:fill="auto"/>
          </w:tcPr>
          <w:p w14:paraId="42F0BC2E"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Ivorian</w:t>
            </w:r>
          </w:p>
        </w:tc>
        <w:tc>
          <w:tcPr>
            <w:tcW w:w="1430" w:type="dxa"/>
            <w:shd w:val="clear" w:color="auto" w:fill="auto"/>
            <w:vAlign w:val="bottom"/>
          </w:tcPr>
          <w:p w14:paraId="28700DB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418" w:type="dxa"/>
            <w:shd w:val="clear" w:color="auto" w:fill="auto"/>
            <w:vAlign w:val="bottom"/>
          </w:tcPr>
          <w:p w14:paraId="6DCA4F7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05574DF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157C0F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E91DC2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CB8A98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4E95B48" w14:textId="77777777" w:rsidTr="0096145D">
        <w:tc>
          <w:tcPr>
            <w:tcW w:w="1880" w:type="dxa"/>
            <w:shd w:val="clear" w:color="auto" w:fill="auto"/>
          </w:tcPr>
          <w:p w14:paraId="72CF0038"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Japanese</w:t>
            </w:r>
          </w:p>
        </w:tc>
        <w:tc>
          <w:tcPr>
            <w:tcW w:w="1430" w:type="dxa"/>
            <w:shd w:val="clear" w:color="auto" w:fill="auto"/>
            <w:vAlign w:val="bottom"/>
          </w:tcPr>
          <w:p w14:paraId="0A4863C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17</w:t>
            </w:r>
          </w:p>
        </w:tc>
        <w:tc>
          <w:tcPr>
            <w:tcW w:w="1418" w:type="dxa"/>
            <w:shd w:val="clear" w:color="auto" w:fill="auto"/>
            <w:vAlign w:val="bottom"/>
          </w:tcPr>
          <w:p w14:paraId="162961E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648" w:type="dxa"/>
            <w:shd w:val="clear" w:color="auto" w:fill="auto"/>
            <w:vAlign w:val="bottom"/>
          </w:tcPr>
          <w:p w14:paraId="4C9D97C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4D3DA3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E669F8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20214E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3D9A103" w14:textId="77777777" w:rsidTr="0096145D">
        <w:tc>
          <w:tcPr>
            <w:tcW w:w="1880" w:type="dxa"/>
            <w:shd w:val="clear" w:color="auto" w:fill="auto"/>
          </w:tcPr>
          <w:p w14:paraId="475F9FD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Jordanian</w:t>
            </w:r>
          </w:p>
        </w:tc>
        <w:tc>
          <w:tcPr>
            <w:tcW w:w="1430" w:type="dxa"/>
            <w:shd w:val="clear" w:color="auto" w:fill="auto"/>
            <w:vAlign w:val="bottom"/>
          </w:tcPr>
          <w:p w14:paraId="3A82D36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47F5761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2EBFBEA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D02AB6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3A77070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3558B9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B606FEC" w14:textId="77777777" w:rsidTr="0096145D">
        <w:tc>
          <w:tcPr>
            <w:tcW w:w="1880" w:type="dxa"/>
            <w:shd w:val="clear" w:color="auto" w:fill="auto"/>
          </w:tcPr>
          <w:p w14:paraId="4F02B28D"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Kazakh</w:t>
            </w:r>
          </w:p>
        </w:tc>
        <w:tc>
          <w:tcPr>
            <w:tcW w:w="1430" w:type="dxa"/>
            <w:shd w:val="clear" w:color="auto" w:fill="auto"/>
            <w:vAlign w:val="bottom"/>
          </w:tcPr>
          <w:p w14:paraId="3588A97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56DAC0D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1255DF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19370E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05E238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685F04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A055C35" w14:textId="77777777" w:rsidTr="0096145D">
        <w:tc>
          <w:tcPr>
            <w:tcW w:w="1880" w:type="dxa"/>
            <w:shd w:val="clear" w:color="auto" w:fill="auto"/>
          </w:tcPr>
          <w:p w14:paraId="4DB2909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Kenyan</w:t>
            </w:r>
          </w:p>
        </w:tc>
        <w:tc>
          <w:tcPr>
            <w:tcW w:w="1430" w:type="dxa"/>
            <w:shd w:val="clear" w:color="auto" w:fill="auto"/>
            <w:vAlign w:val="bottom"/>
          </w:tcPr>
          <w:p w14:paraId="5660F0B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17</w:t>
            </w:r>
          </w:p>
        </w:tc>
        <w:tc>
          <w:tcPr>
            <w:tcW w:w="1418" w:type="dxa"/>
            <w:shd w:val="clear" w:color="auto" w:fill="auto"/>
            <w:vAlign w:val="bottom"/>
          </w:tcPr>
          <w:p w14:paraId="5FFFF88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79EED8B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AFBE33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C491BB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BB7ECD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36D5CCE" w14:textId="77777777" w:rsidTr="0096145D">
        <w:tc>
          <w:tcPr>
            <w:tcW w:w="1880" w:type="dxa"/>
            <w:shd w:val="clear" w:color="auto" w:fill="auto"/>
          </w:tcPr>
          <w:p w14:paraId="0AAF12FB"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Kuwaiti</w:t>
            </w:r>
          </w:p>
        </w:tc>
        <w:tc>
          <w:tcPr>
            <w:tcW w:w="1430" w:type="dxa"/>
            <w:shd w:val="clear" w:color="auto" w:fill="auto"/>
            <w:vAlign w:val="bottom"/>
          </w:tcPr>
          <w:p w14:paraId="7977E3B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0768276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41BD0D6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CB8514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614073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9656F5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01EE4E2" w14:textId="77777777" w:rsidTr="0096145D">
        <w:tc>
          <w:tcPr>
            <w:tcW w:w="1880" w:type="dxa"/>
            <w:shd w:val="clear" w:color="auto" w:fill="auto"/>
          </w:tcPr>
          <w:p w14:paraId="758E42DE"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Laotian</w:t>
            </w:r>
          </w:p>
        </w:tc>
        <w:tc>
          <w:tcPr>
            <w:tcW w:w="1430" w:type="dxa"/>
            <w:shd w:val="clear" w:color="auto" w:fill="auto"/>
            <w:vAlign w:val="bottom"/>
          </w:tcPr>
          <w:p w14:paraId="6DA83E66" w14:textId="71543CEB"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r w:rsidR="0096145D">
              <w:rPr>
                <w:sz w:val="18"/>
                <w:szCs w:val="28"/>
                <w:lang w:bidi="th-TH"/>
              </w:rPr>
              <w:t xml:space="preserve"> </w:t>
            </w:r>
            <w:r w:rsidRPr="0096145D">
              <w:rPr>
                <w:sz w:val="18"/>
                <w:szCs w:val="28"/>
                <w:lang w:bidi="th-TH"/>
              </w:rPr>
              <w:t>850</w:t>
            </w:r>
          </w:p>
        </w:tc>
        <w:tc>
          <w:tcPr>
            <w:tcW w:w="1418" w:type="dxa"/>
            <w:shd w:val="clear" w:color="auto" w:fill="auto"/>
            <w:vAlign w:val="bottom"/>
          </w:tcPr>
          <w:p w14:paraId="6A6EC3B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309</w:t>
            </w:r>
          </w:p>
        </w:tc>
        <w:tc>
          <w:tcPr>
            <w:tcW w:w="1648" w:type="dxa"/>
            <w:shd w:val="clear" w:color="auto" w:fill="auto"/>
            <w:vAlign w:val="bottom"/>
          </w:tcPr>
          <w:p w14:paraId="36573CA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BBE2E6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18</w:t>
            </w:r>
          </w:p>
        </w:tc>
        <w:tc>
          <w:tcPr>
            <w:tcW w:w="1398" w:type="dxa"/>
            <w:shd w:val="clear" w:color="auto" w:fill="auto"/>
            <w:vAlign w:val="bottom"/>
          </w:tcPr>
          <w:p w14:paraId="5A07028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9F9D2F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r>
      <w:tr w:rsidR="00695E59" w:rsidRPr="0096145D" w14:paraId="6B436779" w14:textId="77777777" w:rsidTr="0096145D">
        <w:tc>
          <w:tcPr>
            <w:tcW w:w="1880" w:type="dxa"/>
            <w:shd w:val="clear" w:color="auto" w:fill="auto"/>
          </w:tcPr>
          <w:p w14:paraId="1C3F90D0"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Liberian</w:t>
            </w:r>
          </w:p>
        </w:tc>
        <w:tc>
          <w:tcPr>
            <w:tcW w:w="1430" w:type="dxa"/>
            <w:shd w:val="clear" w:color="auto" w:fill="auto"/>
            <w:vAlign w:val="bottom"/>
          </w:tcPr>
          <w:p w14:paraId="4DA345D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0BBA3CF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02C29C7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EFA346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FBA7C0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03563D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A94E675" w14:textId="77777777" w:rsidTr="0096145D">
        <w:tc>
          <w:tcPr>
            <w:tcW w:w="1880" w:type="dxa"/>
            <w:shd w:val="clear" w:color="auto" w:fill="auto"/>
          </w:tcPr>
          <w:p w14:paraId="13E57449"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Luxembourger</w:t>
            </w:r>
          </w:p>
        </w:tc>
        <w:tc>
          <w:tcPr>
            <w:tcW w:w="1430" w:type="dxa"/>
            <w:shd w:val="clear" w:color="auto" w:fill="auto"/>
            <w:vAlign w:val="bottom"/>
          </w:tcPr>
          <w:p w14:paraId="64AADA9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0990333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7C0A6BF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6DD0DD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5969D26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BB930E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42CAFB0" w14:textId="77777777" w:rsidTr="0096145D">
        <w:tc>
          <w:tcPr>
            <w:tcW w:w="1880" w:type="dxa"/>
            <w:shd w:val="clear" w:color="auto" w:fill="auto"/>
          </w:tcPr>
          <w:p w14:paraId="5D59CB4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Malaysian</w:t>
            </w:r>
          </w:p>
        </w:tc>
        <w:tc>
          <w:tcPr>
            <w:tcW w:w="1430" w:type="dxa"/>
            <w:shd w:val="clear" w:color="auto" w:fill="auto"/>
            <w:vAlign w:val="bottom"/>
          </w:tcPr>
          <w:p w14:paraId="58D751A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335</w:t>
            </w:r>
          </w:p>
        </w:tc>
        <w:tc>
          <w:tcPr>
            <w:tcW w:w="1418" w:type="dxa"/>
            <w:shd w:val="clear" w:color="auto" w:fill="auto"/>
            <w:vAlign w:val="bottom"/>
          </w:tcPr>
          <w:p w14:paraId="57647A1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37</w:t>
            </w:r>
          </w:p>
        </w:tc>
        <w:tc>
          <w:tcPr>
            <w:tcW w:w="1648" w:type="dxa"/>
            <w:shd w:val="clear" w:color="auto" w:fill="auto"/>
            <w:vAlign w:val="bottom"/>
          </w:tcPr>
          <w:p w14:paraId="44AC98F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C747E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398" w:type="dxa"/>
            <w:shd w:val="clear" w:color="auto" w:fill="auto"/>
            <w:vAlign w:val="bottom"/>
          </w:tcPr>
          <w:p w14:paraId="0C34B7C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D7B746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F430D72" w14:textId="77777777" w:rsidTr="0096145D">
        <w:tc>
          <w:tcPr>
            <w:tcW w:w="1880" w:type="dxa"/>
            <w:shd w:val="clear" w:color="auto" w:fill="auto"/>
          </w:tcPr>
          <w:p w14:paraId="215CD5D8"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Maldivian</w:t>
            </w:r>
          </w:p>
        </w:tc>
        <w:tc>
          <w:tcPr>
            <w:tcW w:w="1430" w:type="dxa"/>
            <w:shd w:val="clear" w:color="auto" w:fill="auto"/>
            <w:vAlign w:val="bottom"/>
          </w:tcPr>
          <w:p w14:paraId="0184905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55A14C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280F9C0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9E1654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6F7192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608BD3A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F0442F2" w14:textId="77777777" w:rsidTr="0096145D">
        <w:tc>
          <w:tcPr>
            <w:tcW w:w="1880" w:type="dxa"/>
            <w:shd w:val="clear" w:color="auto" w:fill="auto"/>
          </w:tcPr>
          <w:p w14:paraId="7A67CA9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Moldovan</w:t>
            </w:r>
          </w:p>
        </w:tc>
        <w:tc>
          <w:tcPr>
            <w:tcW w:w="1430" w:type="dxa"/>
            <w:shd w:val="clear" w:color="auto" w:fill="auto"/>
            <w:vAlign w:val="bottom"/>
          </w:tcPr>
          <w:p w14:paraId="7AD31C2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0FEAF6C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440A139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19DBBB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B37B9C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3DF77D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02800289" w14:textId="77777777" w:rsidTr="0096145D">
        <w:tc>
          <w:tcPr>
            <w:tcW w:w="1880" w:type="dxa"/>
            <w:shd w:val="clear" w:color="auto" w:fill="auto"/>
          </w:tcPr>
          <w:p w14:paraId="61893CB1"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Mongolian</w:t>
            </w:r>
          </w:p>
        </w:tc>
        <w:tc>
          <w:tcPr>
            <w:tcW w:w="1430" w:type="dxa"/>
            <w:shd w:val="clear" w:color="auto" w:fill="auto"/>
            <w:vAlign w:val="bottom"/>
          </w:tcPr>
          <w:p w14:paraId="68EA390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10</w:t>
            </w:r>
          </w:p>
        </w:tc>
        <w:tc>
          <w:tcPr>
            <w:tcW w:w="1418" w:type="dxa"/>
            <w:shd w:val="clear" w:color="auto" w:fill="auto"/>
            <w:vAlign w:val="bottom"/>
          </w:tcPr>
          <w:p w14:paraId="7C9A9C8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5272EE5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E2E1B4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9D867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E04A02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53A14CB" w14:textId="77777777" w:rsidTr="0096145D">
        <w:tc>
          <w:tcPr>
            <w:tcW w:w="1880" w:type="dxa"/>
            <w:shd w:val="clear" w:color="auto" w:fill="auto"/>
          </w:tcPr>
          <w:p w14:paraId="03EDEE81"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Montenegrin</w:t>
            </w:r>
          </w:p>
        </w:tc>
        <w:tc>
          <w:tcPr>
            <w:tcW w:w="1430" w:type="dxa"/>
            <w:shd w:val="clear" w:color="auto" w:fill="auto"/>
            <w:vAlign w:val="bottom"/>
          </w:tcPr>
          <w:p w14:paraId="59E38F3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09F97B2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42F727D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EC1442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7760FB4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E942AC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1A0E7CD" w14:textId="77777777" w:rsidTr="0096145D">
        <w:tc>
          <w:tcPr>
            <w:tcW w:w="1880" w:type="dxa"/>
            <w:shd w:val="clear" w:color="auto" w:fill="auto"/>
          </w:tcPr>
          <w:p w14:paraId="503C9D4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Moroccan</w:t>
            </w:r>
          </w:p>
        </w:tc>
        <w:tc>
          <w:tcPr>
            <w:tcW w:w="1430" w:type="dxa"/>
            <w:shd w:val="clear" w:color="auto" w:fill="auto"/>
            <w:vAlign w:val="bottom"/>
          </w:tcPr>
          <w:p w14:paraId="406B0F4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6636DAA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616E54A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0B1DE9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2B5E80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792465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476A607" w14:textId="77777777" w:rsidTr="0096145D">
        <w:tc>
          <w:tcPr>
            <w:tcW w:w="1880" w:type="dxa"/>
            <w:shd w:val="clear" w:color="auto" w:fill="auto"/>
          </w:tcPr>
          <w:p w14:paraId="14E94A70"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Mosotho</w:t>
            </w:r>
          </w:p>
        </w:tc>
        <w:tc>
          <w:tcPr>
            <w:tcW w:w="1430" w:type="dxa"/>
            <w:shd w:val="clear" w:color="auto" w:fill="auto"/>
            <w:vAlign w:val="bottom"/>
          </w:tcPr>
          <w:p w14:paraId="54D96F8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418" w:type="dxa"/>
            <w:shd w:val="clear" w:color="auto" w:fill="auto"/>
            <w:vAlign w:val="bottom"/>
          </w:tcPr>
          <w:p w14:paraId="3499306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73E3B09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0FA9FB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9CF24D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AC5771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8D2FC9A" w14:textId="77777777" w:rsidTr="0096145D">
        <w:tc>
          <w:tcPr>
            <w:tcW w:w="1880" w:type="dxa"/>
            <w:shd w:val="clear" w:color="auto" w:fill="auto"/>
          </w:tcPr>
          <w:p w14:paraId="66CC359E"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Mozambican</w:t>
            </w:r>
          </w:p>
        </w:tc>
        <w:tc>
          <w:tcPr>
            <w:tcW w:w="1430" w:type="dxa"/>
            <w:shd w:val="clear" w:color="auto" w:fill="auto"/>
            <w:vAlign w:val="bottom"/>
          </w:tcPr>
          <w:p w14:paraId="4331D31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w:t>
            </w:r>
          </w:p>
        </w:tc>
        <w:tc>
          <w:tcPr>
            <w:tcW w:w="1418" w:type="dxa"/>
            <w:shd w:val="clear" w:color="auto" w:fill="auto"/>
            <w:vAlign w:val="bottom"/>
          </w:tcPr>
          <w:p w14:paraId="697C6B1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6524C7E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F163A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2C3500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9E106E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80ACA5B" w14:textId="77777777" w:rsidTr="0096145D">
        <w:tc>
          <w:tcPr>
            <w:tcW w:w="1880" w:type="dxa"/>
            <w:shd w:val="clear" w:color="auto" w:fill="auto"/>
          </w:tcPr>
          <w:p w14:paraId="21315F43"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Myanmar</w:t>
            </w:r>
          </w:p>
        </w:tc>
        <w:tc>
          <w:tcPr>
            <w:tcW w:w="1430" w:type="dxa"/>
            <w:shd w:val="clear" w:color="auto" w:fill="auto"/>
            <w:vAlign w:val="bottom"/>
          </w:tcPr>
          <w:p w14:paraId="7E205378" w14:textId="115A2615"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r w:rsidR="0096145D">
              <w:rPr>
                <w:sz w:val="18"/>
                <w:szCs w:val="28"/>
                <w:lang w:bidi="th-TH"/>
              </w:rPr>
              <w:t xml:space="preserve"> </w:t>
            </w:r>
            <w:r w:rsidRPr="0096145D">
              <w:rPr>
                <w:sz w:val="18"/>
                <w:szCs w:val="28"/>
                <w:lang w:bidi="th-TH"/>
              </w:rPr>
              <w:t>231</w:t>
            </w:r>
          </w:p>
        </w:tc>
        <w:tc>
          <w:tcPr>
            <w:tcW w:w="1418" w:type="dxa"/>
            <w:shd w:val="clear" w:color="auto" w:fill="auto"/>
            <w:vAlign w:val="bottom"/>
          </w:tcPr>
          <w:p w14:paraId="392F2365" w14:textId="54C706FC" w:rsidR="00695E59" w:rsidRPr="0096145D" w:rsidRDefault="00695E59" w:rsidP="0096145D">
            <w:pPr>
              <w:suppressAutoHyphens w:val="0"/>
              <w:spacing w:before="40" w:after="40" w:line="220" w:lineRule="exact"/>
              <w:ind w:right="113"/>
              <w:jc w:val="right"/>
              <w:rPr>
                <w:sz w:val="18"/>
                <w:szCs w:val="28"/>
                <w:cs/>
                <w:lang w:bidi="th-TH"/>
              </w:rPr>
            </w:pPr>
            <w:r w:rsidRPr="0096145D">
              <w:rPr>
                <w:sz w:val="18"/>
                <w:szCs w:val="28"/>
                <w:lang w:bidi="th-TH"/>
              </w:rPr>
              <w:t>1</w:t>
            </w:r>
            <w:r w:rsidR="0096145D">
              <w:rPr>
                <w:sz w:val="18"/>
                <w:szCs w:val="28"/>
                <w:lang w:bidi="th-TH"/>
              </w:rPr>
              <w:t xml:space="preserve"> </w:t>
            </w:r>
            <w:r w:rsidRPr="0096145D">
              <w:rPr>
                <w:sz w:val="18"/>
                <w:szCs w:val="28"/>
                <w:lang w:bidi="th-TH"/>
              </w:rPr>
              <w:t>201</w:t>
            </w:r>
          </w:p>
        </w:tc>
        <w:tc>
          <w:tcPr>
            <w:tcW w:w="1648" w:type="dxa"/>
            <w:shd w:val="clear" w:color="auto" w:fill="auto"/>
            <w:vAlign w:val="bottom"/>
          </w:tcPr>
          <w:p w14:paraId="606DBCD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67" w:type="dxa"/>
            <w:shd w:val="clear" w:color="auto" w:fill="auto"/>
            <w:vAlign w:val="bottom"/>
          </w:tcPr>
          <w:p w14:paraId="6CF1AA0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123</w:t>
            </w:r>
          </w:p>
        </w:tc>
        <w:tc>
          <w:tcPr>
            <w:tcW w:w="1398" w:type="dxa"/>
            <w:shd w:val="clear" w:color="auto" w:fill="auto"/>
            <w:vAlign w:val="bottom"/>
          </w:tcPr>
          <w:p w14:paraId="0E15351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710" w:type="dxa"/>
            <w:shd w:val="clear" w:color="auto" w:fill="auto"/>
            <w:vAlign w:val="bottom"/>
          </w:tcPr>
          <w:p w14:paraId="5EA2D6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74</w:t>
            </w:r>
          </w:p>
        </w:tc>
      </w:tr>
      <w:tr w:rsidR="00695E59" w:rsidRPr="0096145D" w14:paraId="044CF66A" w14:textId="77777777" w:rsidTr="0096145D">
        <w:tc>
          <w:tcPr>
            <w:tcW w:w="1880" w:type="dxa"/>
            <w:shd w:val="clear" w:color="auto" w:fill="auto"/>
          </w:tcPr>
          <w:p w14:paraId="4101DC33"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Namibian</w:t>
            </w:r>
          </w:p>
        </w:tc>
        <w:tc>
          <w:tcPr>
            <w:tcW w:w="1430" w:type="dxa"/>
            <w:shd w:val="clear" w:color="auto" w:fill="auto"/>
            <w:vAlign w:val="bottom"/>
          </w:tcPr>
          <w:p w14:paraId="7F6973E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0B8F796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1A30FED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4AE690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201393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3FBF75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EC99E49" w14:textId="77777777" w:rsidTr="0096145D">
        <w:tc>
          <w:tcPr>
            <w:tcW w:w="1880" w:type="dxa"/>
            <w:shd w:val="clear" w:color="auto" w:fill="auto"/>
          </w:tcPr>
          <w:p w14:paraId="6EEEBA05" w14:textId="469BDFAB" w:rsidR="00695E59" w:rsidRPr="0096145D" w:rsidRDefault="00695E59" w:rsidP="0096145D">
            <w:pPr>
              <w:suppressAutoHyphens w:val="0"/>
              <w:spacing w:before="40" w:after="40" w:line="220" w:lineRule="exact"/>
              <w:ind w:right="113"/>
              <w:rPr>
                <w:rFonts w:eastAsia="ZWAdobeF"/>
                <w:sz w:val="18"/>
                <w:szCs w:val="28"/>
                <w:cs/>
                <w:lang w:bidi="th-TH"/>
              </w:rPr>
            </w:pPr>
            <w:r w:rsidRPr="0096145D">
              <w:rPr>
                <w:rFonts w:eastAsia="ZWAdobeF"/>
                <w:sz w:val="18"/>
                <w:szCs w:val="28"/>
                <w:lang w:bidi="th-TH"/>
              </w:rPr>
              <w:t>Nepalese</w:t>
            </w:r>
          </w:p>
        </w:tc>
        <w:tc>
          <w:tcPr>
            <w:tcW w:w="1430" w:type="dxa"/>
            <w:shd w:val="clear" w:color="auto" w:fill="auto"/>
            <w:vAlign w:val="bottom"/>
          </w:tcPr>
          <w:p w14:paraId="576331E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35</w:t>
            </w:r>
          </w:p>
        </w:tc>
        <w:tc>
          <w:tcPr>
            <w:tcW w:w="1418" w:type="dxa"/>
            <w:shd w:val="clear" w:color="auto" w:fill="auto"/>
            <w:vAlign w:val="bottom"/>
          </w:tcPr>
          <w:p w14:paraId="137D331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648" w:type="dxa"/>
            <w:shd w:val="clear" w:color="auto" w:fill="auto"/>
            <w:vAlign w:val="bottom"/>
          </w:tcPr>
          <w:p w14:paraId="451EF0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EFB2A7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499FE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2D41F8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C489A2E" w14:textId="77777777" w:rsidTr="0096145D">
        <w:tc>
          <w:tcPr>
            <w:tcW w:w="1880" w:type="dxa"/>
            <w:shd w:val="clear" w:color="auto" w:fill="auto"/>
          </w:tcPr>
          <w:p w14:paraId="27CA2B4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New Zealander</w:t>
            </w:r>
          </w:p>
        </w:tc>
        <w:tc>
          <w:tcPr>
            <w:tcW w:w="1430" w:type="dxa"/>
            <w:shd w:val="clear" w:color="auto" w:fill="auto"/>
            <w:vAlign w:val="bottom"/>
          </w:tcPr>
          <w:p w14:paraId="11EA93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418" w:type="dxa"/>
            <w:shd w:val="clear" w:color="auto" w:fill="auto"/>
            <w:vAlign w:val="bottom"/>
          </w:tcPr>
          <w:p w14:paraId="6F38508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5E76BF9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CA198B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E6C848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42576B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FB73ADF" w14:textId="77777777" w:rsidTr="0096145D">
        <w:tc>
          <w:tcPr>
            <w:tcW w:w="1880" w:type="dxa"/>
            <w:shd w:val="clear" w:color="auto" w:fill="auto"/>
          </w:tcPr>
          <w:p w14:paraId="084FC40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Nigerian</w:t>
            </w:r>
          </w:p>
        </w:tc>
        <w:tc>
          <w:tcPr>
            <w:tcW w:w="1430" w:type="dxa"/>
            <w:shd w:val="clear" w:color="auto" w:fill="auto"/>
            <w:vAlign w:val="bottom"/>
          </w:tcPr>
          <w:p w14:paraId="7720415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347</w:t>
            </w:r>
          </w:p>
        </w:tc>
        <w:tc>
          <w:tcPr>
            <w:tcW w:w="1418" w:type="dxa"/>
            <w:shd w:val="clear" w:color="auto" w:fill="auto"/>
            <w:vAlign w:val="bottom"/>
          </w:tcPr>
          <w:p w14:paraId="2B77B00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40</w:t>
            </w:r>
          </w:p>
        </w:tc>
        <w:tc>
          <w:tcPr>
            <w:tcW w:w="1648" w:type="dxa"/>
            <w:shd w:val="clear" w:color="auto" w:fill="auto"/>
            <w:vAlign w:val="bottom"/>
          </w:tcPr>
          <w:p w14:paraId="29A8B51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838F8B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CA9925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060E17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r>
      <w:tr w:rsidR="00695E59" w:rsidRPr="0096145D" w14:paraId="23CA8808" w14:textId="77777777" w:rsidTr="0096145D">
        <w:tc>
          <w:tcPr>
            <w:tcW w:w="1880" w:type="dxa"/>
            <w:shd w:val="clear" w:color="auto" w:fill="auto"/>
          </w:tcPr>
          <w:p w14:paraId="735A5B45"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Nigerien</w:t>
            </w:r>
          </w:p>
        </w:tc>
        <w:tc>
          <w:tcPr>
            <w:tcW w:w="1430" w:type="dxa"/>
            <w:shd w:val="clear" w:color="auto" w:fill="auto"/>
            <w:vAlign w:val="bottom"/>
          </w:tcPr>
          <w:p w14:paraId="6C6C533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2C217A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3B1299C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3A1D93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3169A6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52E143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1AFAF9C" w14:textId="77777777" w:rsidTr="0096145D">
        <w:tc>
          <w:tcPr>
            <w:tcW w:w="1880" w:type="dxa"/>
            <w:shd w:val="clear" w:color="auto" w:fill="auto"/>
          </w:tcPr>
          <w:p w14:paraId="2BD163A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Norwegian</w:t>
            </w:r>
          </w:p>
        </w:tc>
        <w:tc>
          <w:tcPr>
            <w:tcW w:w="1430" w:type="dxa"/>
            <w:shd w:val="clear" w:color="auto" w:fill="auto"/>
            <w:vAlign w:val="bottom"/>
          </w:tcPr>
          <w:p w14:paraId="1AE9328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418" w:type="dxa"/>
            <w:shd w:val="clear" w:color="auto" w:fill="auto"/>
            <w:vAlign w:val="bottom"/>
          </w:tcPr>
          <w:p w14:paraId="7F44EAC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11EF4D1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46DA78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DBFB7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EE27BA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3623557" w14:textId="77777777" w:rsidTr="0096145D">
        <w:tc>
          <w:tcPr>
            <w:tcW w:w="1880" w:type="dxa"/>
            <w:shd w:val="clear" w:color="auto" w:fill="auto"/>
          </w:tcPr>
          <w:p w14:paraId="3BF0AEA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Omani</w:t>
            </w:r>
          </w:p>
        </w:tc>
        <w:tc>
          <w:tcPr>
            <w:tcW w:w="1430" w:type="dxa"/>
            <w:shd w:val="clear" w:color="auto" w:fill="auto"/>
            <w:vAlign w:val="bottom"/>
          </w:tcPr>
          <w:p w14:paraId="1B68A18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80A34C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5A97839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1A12FA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FACBDD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0FB4A6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2808E47" w14:textId="77777777" w:rsidTr="0096145D">
        <w:tc>
          <w:tcPr>
            <w:tcW w:w="1880" w:type="dxa"/>
            <w:shd w:val="clear" w:color="auto" w:fill="auto"/>
          </w:tcPr>
          <w:p w14:paraId="69A4F337"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Pakistani</w:t>
            </w:r>
          </w:p>
        </w:tc>
        <w:tc>
          <w:tcPr>
            <w:tcW w:w="1430" w:type="dxa"/>
            <w:shd w:val="clear" w:color="auto" w:fill="auto"/>
            <w:vAlign w:val="bottom"/>
          </w:tcPr>
          <w:p w14:paraId="7813700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53</w:t>
            </w:r>
          </w:p>
        </w:tc>
        <w:tc>
          <w:tcPr>
            <w:tcW w:w="1418" w:type="dxa"/>
            <w:shd w:val="clear" w:color="auto" w:fill="auto"/>
            <w:vAlign w:val="bottom"/>
          </w:tcPr>
          <w:p w14:paraId="1CBE923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c>
          <w:tcPr>
            <w:tcW w:w="1648" w:type="dxa"/>
            <w:shd w:val="clear" w:color="auto" w:fill="auto"/>
            <w:vAlign w:val="bottom"/>
          </w:tcPr>
          <w:p w14:paraId="55FC2C9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648345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5B0CB50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18911E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7D7174A" w14:textId="77777777" w:rsidTr="0096145D">
        <w:tc>
          <w:tcPr>
            <w:tcW w:w="1880" w:type="dxa"/>
            <w:shd w:val="clear" w:color="auto" w:fill="auto"/>
          </w:tcPr>
          <w:p w14:paraId="28DF1EF3"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Paraguayan</w:t>
            </w:r>
          </w:p>
        </w:tc>
        <w:tc>
          <w:tcPr>
            <w:tcW w:w="1430" w:type="dxa"/>
            <w:shd w:val="clear" w:color="auto" w:fill="auto"/>
            <w:vAlign w:val="bottom"/>
          </w:tcPr>
          <w:p w14:paraId="12B30C0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79E0068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2687C6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D788CC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34BC70B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C3D544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5D4E6E2" w14:textId="77777777" w:rsidTr="0096145D">
        <w:tc>
          <w:tcPr>
            <w:tcW w:w="1880" w:type="dxa"/>
            <w:shd w:val="clear" w:color="auto" w:fill="auto"/>
          </w:tcPr>
          <w:p w14:paraId="31A53026"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Peruvian</w:t>
            </w:r>
          </w:p>
        </w:tc>
        <w:tc>
          <w:tcPr>
            <w:tcW w:w="1430" w:type="dxa"/>
            <w:shd w:val="clear" w:color="auto" w:fill="auto"/>
            <w:vAlign w:val="bottom"/>
          </w:tcPr>
          <w:p w14:paraId="2934F9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418" w:type="dxa"/>
            <w:shd w:val="clear" w:color="auto" w:fill="auto"/>
            <w:vAlign w:val="bottom"/>
          </w:tcPr>
          <w:p w14:paraId="70535E5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4957F39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E28F7F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4BCBDB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7C684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04D4BAB" w14:textId="77777777" w:rsidTr="0096145D">
        <w:tc>
          <w:tcPr>
            <w:tcW w:w="1880" w:type="dxa"/>
            <w:shd w:val="clear" w:color="auto" w:fill="auto"/>
          </w:tcPr>
          <w:p w14:paraId="53AA262C"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Philippines</w:t>
            </w:r>
          </w:p>
        </w:tc>
        <w:tc>
          <w:tcPr>
            <w:tcW w:w="1430" w:type="dxa"/>
            <w:shd w:val="clear" w:color="auto" w:fill="auto"/>
            <w:vAlign w:val="bottom"/>
          </w:tcPr>
          <w:p w14:paraId="4187370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43</w:t>
            </w:r>
          </w:p>
        </w:tc>
        <w:tc>
          <w:tcPr>
            <w:tcW w:w="1418" w:type="dxa"/>
            <w:shd w:val="clear" w:color="auto" w:fill="auto"/>
            <w:vAlign w:val="bottom"/>
          </w:tcPr>
          <w:p w14:paraId="7B58027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648" w:type="dxa"/>
            <w:shd w:val="clear" w:color="auto" w:fill="auto"/>
            <w:vAlign w:val="bottom"/>
          </w:tcPr>
          <w:p w14:paraId="7A630B5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44B6AAF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ECAE0D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8214B2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r>
      <w:tr w:rsidR="00695E59" w:rsidRPr="0096145D" w14:paraId="2BDC7E42" w14:textId="77777777" w:rsidTr="0096145D">
        <w:tc>
          <w:tcPr>
            <w:tcW w:w="1880" w:type="dxa"/>
            <w:shd w:val="clear" w:color="auto" w:fill="auto"/>
          </w:tcPr>
          <w:p w14:paraId="605CCEE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Polish</w:t>
            </w:r>
          </w:p>
        </w:tc>
        <w:tc>
          <w:tcPr>
            <w:tcW w:w="1430" w:type="dxa"/>
            <w:shd w:val="clear" w:color="auto" w:fill="auto"/>
            <w:vAlign w:val="bottom"/>
          </w:tcPr>
          <w:p w14:paraId="637AC12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418" w:type="dxa"/>
            <w:shd w:val="clear" w:color="auto" w:fill="auto"/>
            <w:vAlign w:val="bottom"/>
          </w:tcPr>
          <w:p w14:paraId="775095F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6996D3D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A48C8B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35494C3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7FD4F6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75602592" w14:textId="77777777" w:rsidTr="0096145D">
        <w:tc>
          <w:tcPr>
            <w:tcW w:w="1880" w:type="dxa"/>
            <w:shd w:val="clear" w:color="auto" w:fill="auto"/>
          </w:tcPr>
          <w:p w14:paraId="44E48145"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Portuguese</w:t>
            </w:r>
          </w:p>
        </w:tc>
        <w:tc>
          <w:tcPr>
            <w:tcW w:w="1430" w:type="dxa"/>
            <w:shd w:val="clear" w:color="auto" w:fill="auto"/>
            <w:vAlign w:val="bottom"/>
          </w:tcPr>
          <w:p w14:paraId="0D3FFF0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shd w:val="clear" w:color="auto" w:fill="auto"/>
            <w:vAlign w:val="bottom"/>
          </w:tcPr>
          <w:p w14:paraId="6B2648B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36BF6FC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93068E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136566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C9E063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5A6ED2C" w14:textId="77777777" w:rsidTr="0096145D">
        <w:tc>
          <w:tcPr>
            <w:tcW w:w="1880" w:type="dxa"/>
            <w:shd w:val="clear" w:color="auto" w:fill="auto"/>
          </w:tcPr>
          <w:p w14:paraId="048E37FC"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Qatari</w:t>
            </w:r>
          </w:p>
        </w:tc>
        <w:tc>
          <w:tcPr>
            <w:tcW w:w="1430" w:type="dxa"/>
            <w:shd w:val="clear" w:color="auto" w:fill="auto"/>
            <w:vAlign w:val="bottom"/>
          </w:tcPr>
          <w:p w14:paraId="5F0663A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13293AA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FBD169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417FEC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79648C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B71BE8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407CBE3" w14:textId="77777777" w:rsidTr="0096145D">
        <w:tc>
          <w:tcPr>
            <w:tcW w:w="1880" w:type="dxa"/>
            <w:shd w:val="clear" w:color="auto" w:fill="auto"/>
          </w:tcPr>
          <w:p w14:paraId="4FE5B0A9"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Russian</w:t>
            </w:r>
          </w:p>
        </w:tc>
        <w:tc>
          <w:tcPr>
            <w:tcW w:w="1430" w:type="dxa"/>
            <w:shd w:val="clear" w:color="auto" w:fill="auto"/>
            <w:vAlign w:val="bottom"/>
          </w:tcPr>
          <w:p w14:paraId="39B7310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27</w:t>
            </w:r>
          </w:p>
        </w:tc>
        <w:tc>
          <w:tcPr>
            <w:tcW w:w="1418" w:type="dxa"/>
            <w:shd w:val="clear" w:color="auto" w:fill="auto"/>
            <w:vAlign w:val="bottom"/>
          </w:tcPr>
          <w:p w14:paraId="43E0365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w:t>
            </w:r>
          </w:p>
        </w:tc>
        <w:tc>
          <w:tcPr>
            <w:tcW w:w="1648" w:type="dxa"/>
            <w:shd w:val="clear" w:color="auto" w:fill="auto"/>
            <w:vAlign w:val="bottom"/>
          </w:tcPr>
          <w:p w14:paraId="0B91001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4BE634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398" w:type="dxa"/>
            <w:shd w:val="clear" w:color="auto" w:fill="auto"/>
            <w:vAlign w:val="bottom"/>
          </w:tcPr>
          <w:p w14:paraId="26F46A1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99714D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r>
      <w:tr w:rsidR="00695E59" w:rsidRPr="0096145D" w14:paraId="217DC746" w14:textId="77777777" w:rsidTr="0096145D">
        <w:tc>
          <w:tcPr>
            <w:tcW w:w="1880" w:type="dxa"/>
            <w:shd w:val="clear" w:color="auto" w:fill="auto"/>
          </w:tcPr>
          <w:p w14:paraId="3A256B07"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Rwandan</w:t>
            </w:r>
          </w:p>
        </w:tc>
        <w:tc>
          <w:tcPr>
            <w:tcW w:w="1430" w:type="dxa"/>
            <w:shd w:val="clear" w:color="auto" w:fill="auto"/>
            <w:vAlign w:val="bottom"/>
          </w:tcPr>
          <w:p w14:paraId="4887C1C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1B22187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0612061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C7F9CC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6AE7FF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F711D4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48E7A87" w14:textId="77777777" w:rsidTr="0096145D">
        <w:tc>
          <w:tcPr>
            <w:tcW w:w="1880" w:type="dxa"/>
            <w:shd w:val="clear" w:color="auto" w:fill="auto"/>
          </w:tcPr>
          <w:p w14:paraId="71529A06"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Senegalese</w:t>
            </w:r>
          </w:p>
        </w:tc>
        <w:tc>
          <w:tcPr>
            <w:tcW w:w="1430" w:type="dxa"/>
            <w:shd w:val="clear" w:color="auto" w:fill="auto"/>
            <w:vAlign w:val="bottom"/>
          </w:tcPr>
          <w:p w14:paraId="08EBD0F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418" w:type="dxa"/>
            <w:shd w:val="clear" w:color="auto" w:fill="auto"/>
            <w:vAlign w:val="bottom"/>
          </w:tcPr>
          <w:p w14:paraId="59BC661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2BA4D8A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67" w:type="dxa"/>
            <w:shd w:val="clear" w:color="auto" w:fill="auto"/>
            <w:vAlign w:val="bottom"/>
          </w:tcPr>
          <w:p w14:paraId="6E18017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9FC1B2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7AB5FF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2B7897A" w14:textId="77777777" w:rsidTr="0096145D">
        <w:tc>
          <w:tcPr>
            <w:tcW w:w="1880" w:type="dxa"/>
            <w:shd w:val="clear" w:color="auto" w:fill="auto"/>
          </w:tcPr>
          <w:p w14:paraId="38FF4C0F"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Serbian</w:t>
            </w:r>
          </w:p>
        </w:tc>
        <w:tc>
          <w:tcPr>
            <w:tcW w:w="1430" w:type="dxa"/>
            <w:shd w:val="clear" w:color="auto" w:fill="auto"/>
            <w:vAlign w:val="bottom"/>
          </w:tcPr>
          <w:p w14:paraId="3515AC1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1B77197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4318A56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38F0D1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1F69BB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CC0FD0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B54560F" w14:textId="77777777" w:rsidTr="0096145D">
        <w:tc>
          <w:tcPr>
            <w:tcW w:w="1880" w:type="dxa"/>
            <w:shd w:val="clear" w:color="auto" w:fill="auto"/>
          </w:tcPr>
          <w:p w14:paraId="5621CCEF"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Sierra Leonian</w:t>
            </w:r>
          </w:p>
        </w:tc>
        <w:tc>
          <w:tcPr>
            <w:tcW w:w="1430" w:type="dxa"/>
            <w:shd w:val="clear" w:color="auto" w:fill="auto"/>
            <w:vAlign w:val="bottom"/>
          </w:tcPr>
          <w:p w14:paraId="69BFCED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c>
          <w:tcPr>
            <w:tcW w:w="1418" w:type="dxa"/>
            <w:shd w:val="clear" w:color="auto" w:fill="auto"/>
            <w:vAlign w:val="bottom"/>
          </w:tcPr>
          <w:p w14:paraId="7E6EA25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755698B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62E0F8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016A6E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00DC53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A4420D9" w14:textId="77777777" w:rsidTr="0096145D">
        <w:tc>
          <w:tcPr>
            <w:tcW w:w="1880" w:type="dxa"/>
            <w:shd w:val="clear" w:color="auto" w:fill="auto"/>
          </w:tcPr>
          <w:p w14:paraId="5D76349D"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Singaporean</w:t>
            </w:r>
          </w:p>
        </w:tc>
        <w:tc>
          <w:tcPr>
            <w:tcW w:w="1430" w:type="dxa"/>
            <w:shd w:val="clear" w:color="auto" w:fill="auto"/>
            <w:vAlign w:val="bottom"/>
          </w:tcPr>
          <w:p w14:paraId="1ACD531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31</w:t>
            </w:r>
          </w:p>
        </w:tc>
        <w:tc>
          <w:tcPr>
            <w:tcW w:w="1418" w:type="dxa"/>
            <w:shd w:val="clear" w:color="auto" w:fill="auto"/>
            <w:vAlign w:val="bottom"/>
          </w:tcPr>
          <w:p w14:paraId="51F8CE9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c>
          <w:tcPr>
            <w:tcW w:w="1648" w:type="dxa"/>
            <w:shd w:val="clear" w:color="auto" w:fill="auto"/>
            <w:vAlign w:val="bottom"/>
          </w:tcPr>
          <w:p w14:paraId="5119D2F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6BF275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E553E1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73C2AD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0114C2F" w14:textId="77777777" w:rsidTr="0096145D">
        <w:tc>
          <w:tcPr>
            <w:tcW w:w="1880" w:type="dxa"/>
            <w:tcBorders>
              <w:bottom w:val="nil"/>
            </w:tcBorders>
            <w:shd w:val="clear" w:color="auto" w:fill="auto"/>
          </w:tcPr>
          <w:p w14:paraId="42ACD4C9"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Slovaks</w:t>
            </w:r>
          </w:p>
        </w:tc>
        <w:tc>
          <w:tcPr>
            <w:tcW w:w="1430" w:type="dxa"/>
            <w:tcBorders>
              <w:bottom w:val="nil"/>
            </w:tcBorders>
            <w:shd w:val="clear" w:color="auto" w:fill="auto"/>
            <w:vAlign w:val="bottom"/>
          </w:tcPr>
          <w:p w14:paraId="7B6C06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418" w:type="dxa"/>
            <w:tcBorders>
              <w:bottom w:val="nil"/>
            </w:tcBorders>
            <w:shd w:val="clear" w:color="auto" w:fill="auto"/>
            <w:vAlign w:val="bottom"/>
          </w:tcPr>
          <w:p w14:paraId="7A40450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tcBorders>
              <w:bottom w:val="nil"/>
            </w:tcBorders>
            <w:shd w:val="clear" w:color="auto" w:fill="auto"/>
            <w:vAlign w:val="bottom"/>
          </w:tcPr>
          <w:p w14:paraId="0EA573C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bottom w:val="nil"/>
            </w:tcBorders>
            <w:shd w:val="clear" w:color="auto" w:fill="auto"/>
            <w:vAlign w:val="bottom"/>
          </w:tcPr>
          <w:p w14:paraId="7C56E5A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tcBorders>
              <w:bottom w:val="nil"/>
            </w:tcBorders>
            <w:shd w:val="clear" w:color="auto" w:fill="auto"/>
            <w:vAlign w:val="bottom"/>
          </w:tcPr>
          <w:p w14:paraId="2CB5A5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bottom w:val="nil"/>
            </w:tcBorders>
            <w:shd w:val="clear" w:color="auto" w:fill="auto"/>
            <w:vAlign w:val="bottom"/>
          </w:tcPr>
          <w:p w14:paraId="4F8F1B2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DC3BF36" w14:textId="77777777" w:rsidTr="0096145D">
        <w:tc>
          <w:tcPr>
            <w:tcW w:w="1880" w:type="dxa"/>
            <w:tcBorders>
              <w:top w:val="nil"/>
              <w:bottom w:val="nil"/>
            </w:tcBorders>
            <w:shd w:val="clear" w:color="auto" w:fill="auto"/>
          </w:tcPr>
          <w:p w14:paraId="72A47692"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lastRenderedPageBreak/>
              <w:t>South African</w:t>
            </w:r>
          </w:p>
        </w:tc>
        <w:tc>
          <w:tcPr>
            <w:tcW w:w="1430" w:type="dxa"/>
            <w:tcBorders>
              <w:top w:val="nil"/>
              <w:bottom w:val="nil"/>
            </w:tcBorders>
            <w:shd w:val="clear" w:color="auto" w:fill="auto"/>
            <w:vAlign w:val="bottom"/>
          </w:tcPr>
          <w:p w14:paraId="2A65B48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22</w:t>
            </w:r>
          </w:p>
        </w:tc>
        <w:tc>
          <w:tcPr>
            <w:tcW w:w="1418" w:type="dxa"/>
            <w:tcBorders>
              <w:top w:val="nil"/>
              <w:bottom w:val="nil"/>
            </w:tcBorders>
            <w:shd w:val="clear" w:color="auto" w:fill="auto"/>
            <w:vAlign w:val="bottom"/>
          </w:tcPr>
          <w:p w14:paraId="1ACB71B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tcBorders>
              <w:top w:val="nil"/>
              <w:bottom w:val="nil"/>
            </w:tcBorders>
            <w:shd w:val="clear" w:color="auto" w:fill="auto"/>
            <w:vAlign w:val="bottom"/>
          </w:tcPr>
          <w:p w14:paraId="09D554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top w:val="nil"/>
              <w:bottom w:val="nil"/>
            </w:tcBorders>
            <w:shd w:val="clear" w:color="auto" w:fill="auto"/>
            <w:vAlign w:val="bottom"/>
          </w:tcPr>
          <w:p w14:paraId="580B9AD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tcBorders>
              <w:top w:val="nil"/>
              <w:bottom w:val="nil"/>
            </w:tcBorders>
            <w:shd w:val="clear" w:color="auto" w:fill="auto"/>
            <w:vAlign w:val="bottom"/>
          </w:tcPr>
          <w:p w14:paraId="503F148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top w:val="nil"/>
              <w:bottom w:val="nil"/>
            </w:tcBorders>
            <w:shd w:val="clear" w:color="auto" w:fill="auto"/>
            <w:vAlign w:val="bottom"/>
          </w:tcPr>
          <w:p w14:paraId="1F0429C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D9088A1" w14:textId="77777777" w:rsidTr="0096145D">
        <w:tc>
          <w:tcPr>
            <w:tcW w:w="1880" w:type="dxa"/>
            <w:tcBorders>
              <w:top w:val="nil"/>
            </w:tcBorders>
            <w:shd w:val="clear" w:color="auto" w:fill="auto"/>
          </w:tcPr>
          <w:p w14:paraId="598B677D"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South Korean</w:t>
            </w:r>
          </w:p>
        </w:tc>
        <w:tc>
          <w:tcPr>
            <w:tcW w:w="1430" w:type="dxa"/>
            <w:tcBorders>
              <w:top w:val="nil"/>
            </w:tcBorders>
            <w:shd w:val="clear" w:color="auto" w:fill="auto"/>
            <w:vAlign w:val="bottom"/>
          </w:tcPr>
          <w:p w14:paraId="540DFD6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20</w:t>
            </w:r>
          </w:p>
        </w:tc>
        <w:tc>
          <w:tcPr>
            <w:tcW w:w="1418" w:type="dxa"/>
            <w:tcBorders>
              <w:top w:val="nil"/>
            </w:tcBorders>
            <w:shd w:val="clear" w:color="auto" w:fill="auto"/>
            <w:vAlign w:val="bottom"/>
          </w:tcPr>
          <w:p w14:paraId="37BF2DD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c>
          <w:tcPr>
            <w:tcW w:w="1648" w:type="dxa"/>
            <w:tcBorders>
              <w:top w:val="nil"/>
            </w:tcBorders>
            <w:shd w:val="clear" w:color="auto" w:fill="auto"/>
            <w:vAlign w:val="bottom"/>
          </w:tcPr>
          <w:p w14:paraId="3C4E474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top w:val="nil"/>
            </w:tcBorders>
            <w:shd w:val="clear" w:color="auto" w:fill="auto"/>
            <w:vAlign w:val="bottom"/>
          </w:tcPr>
          <w:p w14:paraId="2211552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tcBorders>
              <w:top w:val="nil"/>
            </w:tcBorders>
            <w:shd w:val="clear" w:color="auto" w:fill="auto"/>
            <w:vAlign w:val="bottom"/>
          </w:tcPr>
          <w:p w14:paraId="0DFC4AE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top w:val="nil"/>
            </w:tcBorders>
            <w:shd w:val="clear" w:color="auto" w:fill="auto"/>
            <w:vAlign w:val="bottom"/>
          </w:tcPr>
          <w:p w14:paraId="22D341D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410204C0" w14:textId="77777777" w:rsidTr="0096145D">
        <w:tc>
          <w:tcPr>
            <w:tcW w:w="1880" w:type="dxa"/>
            <w:shd w:val="clear" w:color="auto" w:fill="auto"/>
          </w:tcPr>
          <w:p w14:paraId="4CD64794"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Spanish</w:t>
            </w:r>
          </w:p>
        </w:tc>
        <w:tc>
          <w:tcPr>
            <w:tcW w:w="1430" w:type="dxa"/>
            <w:shd w:val="clear" w:color="auto" w:fill="auto"/>
            <w:vAlign w:val="bottom"/>
          </w:tcPr>
          <w:p w14:paraId="5384D05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293A19D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34FEEED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31E0A8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2875F2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E5AEB4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2BB6AFA" w14:textId="77777777" w:rsidTr="0096145D">
        <w:tc>
          <w:tcPr>
            <w:tcW w:w="1880" w:type="dxa"/>
            <w:shd w:val="clear" w:color="auto" w:fill="auto"/>
          </w:tcPr>
          <w:p w14:paraId="057D056E"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Sri Lankan</w:t>
            </w:r>
          </w:p>
        </w:tc>
        <w:tc>
          <w:tcPr>
            <w:tcW w:w="1430" w:type="dxa"/>
            <w:shd w:val="clear" w:color="auto" w:fill="auto"/>
            <w:vAlign w:val="bottom"/>
          </w:tcPr>
          <w:p w14:paraId="284611F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w:t>
            </w:r>
          </w:p>
        </w:tc>
        <w:tc>
          <w:tcPr>
            <w:tcW w:w="1418" w:type="dxa"/>
            <w:shd w:val="clear" w:color="auto" w:fill="auto"/>
            <w:vAlign w:val="bottom"/>
          </w:tcPr>
          <w:p w14:paraId="232C3C1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730A5F3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FF40D3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0AC96A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81B849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29F7FB4" w14:textId="77777777" w:rsidTr="0096145D">
        <w:tc>
          <w:tcPr>
            <w:tcW w:w="1880" w:type="dxa"/>
            <w:shd w:val="clear" w:color="auto" w:fill="auto"/>
          </w:tcPr>
          <w:p w14:paraId="7B03EC6E"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Swedish</w:t>
            </w:r>
          </w:p>
        </w:tc>
        <w:tc>
          <w:tcPr>
            <w:tcW w:w="1430" w:type="dxa"/>
            <w:shd w:val="clear" w:color="auto" w:fill="auto"/>
            <w:vAlign w:val="bottom"/>
          </w:tcPr>
          <w:p w14:paraId="6092429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418" w:type="dxa"/>
            <w:shd w:val="clear" w:color="auto" w:fill="auto"/>
            <w:vAlign w:val="bottom"/>
          </w:tcPr>
          <w:p w14:paraId="6611031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35B0E66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E83846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767A9FA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94CCE9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r>
      <w:tr w:rsidR="00695E59" w:rsidRPr="0096145D" w14:paraId="4DA18E01" w14:textId="77777777" w:rsidTr="0096145D">
        <w:tc>
          <w:tcPr>
            <w:tcW w:w="1880" w:type="dxa"/>
            <w:shd w:val="clear" w:color="auto" w:fill="auto"/>
          </w:tcPr>
          <w:p w14:paraId="6BF30357"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Swiss</w:t>
            </w:r>
          </w:p>
        </w:tc>
        <w:tc>
          <w:tcPr>
            <w:tcW w:w="1430" w:type="dxa"/>
            <w:shd w:val="clear" w:color="auto" w:fill="auto"/>
            <w:vAlign w:val="bottom"/>
          </w:tcPr>
          <w:p w14:paraId="64D4109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368E92E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16A5A9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C7355B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FACF93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9E0BC3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23131BAD" w14:textId="77777777" w:rsidTr="0096145D">
        <w:tc>
          <w:tcPr>
            <w:tcW w:w="1880" w:type="dxa"/>
            <w:shd w:val="clear" w:color="auto" w:fill="auto"/>
          </w:tcPr>
          <w:p w14:paraId="49D19826"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Syrian</w:t>
            </w:r>
          </w:p>
        </w:tc>
        <w:tc>
          <w:tcPr>
            <w:tcW w:w="1430" w:type="dxa"/>
            <w:shd w:val="clear" w:color="auto" w:fill="auto"/>
            <w:vAlign w:val="bottom"/>
          </w:tcPr>
          <w:p w14:paraId="08C6D73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418" w:type="dxa"/>
            <w:shd w:val="clear" w:color="auto" w:fill="auto"/>
            <w:vAlign w:val="bottom"/>
          </w:tcPr>
          <w:p w14:paraId="4F3AA0D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1739EFE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24B4BAB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46CFEB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474775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6E30B40" w14:textId="77777777" w:rsidTr="0096145D">
        <w:tc>
          <w:tcPr>
            <w:tcW w:w="1880" w:type="dxa"/>
            <w:shd w:val="clear" w:color="auto" w:fill="auto"/>
          </w:tcPr>
          <w:p w14:paraId="2F1971DF"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Taiwanese</w:t>
            </w:r>
          </w:p>
        </w:tc>
        <w:tc>
          <w:tcPr>
            <w:tcW w:w="1430" w:type="dxa"/>
            <w:shd w:val="clear" w:color="auto" w:fill="auto"/>
            <w:vAlign w:val="bottom"/>
          </w:tcPr>
          <w:p w14:paraId="7E32506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69</w:t>
            </w:r>
          </w:p>
        </w:tc>
        <w:tc>
          <w:tcPr>
            <w:tcW w:w="1418" w:type="dxa"/>
            <w:shd w:val="clear" w:color="auto" w:fill="auto"/>
            <w:vAlign w:val="bottom"/>
          </w:tcPr>
          <w:p w14:paraId="6B444C5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33</w:t>
            </w:r>
          </w:p>
        </w:tc>
        <w:tc>
          <w:tcPr>
            <w:tcW w:w="1648" w:type="dxa"/>
            <w:shd w:val="clear" w:color="auto" w:fill="auto"/>
            <w:vAlign w:val="bottom"/>
          </w:tcPr>
          <w:p w14:paraId="3630E7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D2210F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EF1256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43596B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C60EA19" w14:textId="77777777" w:rsidTr="0096145D">
        <w:tc>
          <w:tcPr>
            <w:tcW w:w="1880" w:type="dxa"/>
            <w:shd w:val="clear" w:color="auto" w:fill="auto"/>
          </w:tcPr>
          <w:p w14:paraId="4F334EE5"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Tanzanian</w:t>
            </w:r>
          </w:p>
        </w:tc>
        <w:tc>
          <w:tcPr>
            <w:tcW w:w="1430" w:type="dxa"/>
            <w:shd w:val="clear" w:color="auto" w:fill="auto"/>
            <w:vAlign w:val="bottom"/>
          </w:tcPr>
          <w:p w14:paraId="7E668D5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418" w:type="dxa"/>
            <w:shd w:val="clear" w:color="auto" w:fill="auto"/>
            <w:vAlign w:val="bottom"/>
          </w:tcPr>
          <w:p w14:paraId="3F484C5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648" w:type="dxa"/>
            <w:shd w:val="clear" w:color="auto" w:fill="auto"/>
            <w:vAlign w:val="bottom"/>
          </w:tcPr>
          <w:p w14:paraId="53A69A5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97D21C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1084AA8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4C8EC6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6CEDD51D" w14:textId="77777777" w:rsidTr="0096145D">
        <w:tc>
          <w:tcPr>
            <w:tcW w:w="1880" w:type="dxa"/>
            <w:shd w:val="clear" w:color="auto" w:fill="auto"/>
          </w:tcPr>
          <w:p w14:paraId="4D018843"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Thai</w:t>
            </w:r>
          </w:p>
        </w:tc>
        <w:tc>
          <w:tcPr>
            <w:tcW w:w="1430" w:type="dxa"/>
            <w:shd w:val="clear" w:color="auto" w:fill="auto"/>
            <w:vAlign w:val="bottom"/>
          </w:tcPr>
          <w:p w14:paraId="4ED5619C" w14:textId="7A72BBA4"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299</w:t>
            </w:r>
            <w:r w:rsidR="0096145D">
              <w:rPr>
                <w:sz w:val="18"/>
                <w:szCs w:val="28"/>
                <w:lang w:bidi="th-TH"/>
              </w:rPr>
              <w:t xml:space="preserve"> </w:t>
            </w:r>
            <w:r w:rsidRPr="0096145D">
              <w:rPr>
                <w:sz w:val="18"/>
                <w:szCs w:val="28"/>
                <w:lang w:bidi="th-TH"/>
              </w:rPr>
              <w:t>914</w:t>
            </w:r>
          </w:p>
        </w:tc>
        <w:tc>
          <w:tcPr>
            <w:tcW w:w="1418" w:type="dxa"/>
            <w:shd w:val="clear" w:color="auto" w:fill="auto"/>
            <w:vAlign w:val="bottom"/>
          </w:tcPr>
          <w:p w14:paraId="6B0E6D65" w14:textId="67F80DB6"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60</w:t>
            </w:r>
            <w:r w:rsidR="0096145D">
              <w:rPr>
                <w:sz w:val="18"/>
                <w:szCs w:val="28"/>
                <w:lang w:bidi="th-TH"/>
              </w:rPr>
              <w:t xml:space="preserve"> </w:t>
            </w:r>
            <w:r w:rsidRPr="0096145D">
              <w:rPr>
                <w:sz w:val="18"/>
                <w:szCs w:val="28"/>
                <w:lang w:bidi="th-TH"/>
              </w:rPr>
              <w:t>867</w:t>
            </w:r>
          </w:p>
        </w:tc>
        <w:tc>
          <w:tcPr>
            <w:tcW w:w="1648" w:type="dxa"/>
            <w:shd w:val="clear" w:color="auto" w:fill="auto"/>
            <w:vAlign w:val="bottom"/>
          </w:tcPr>
          <w:p w14:paraId="23879FB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38</w:t>
            </w:r>
          </w:p>
        </w:tc>
        <w:tc>
          <w:tcPr>
            <w:tcW w:w="1367" w:type="dxa"/>
            <w:shd w:val="clear" w:color="auto" w:fill="auto"/>
            <w:vAlign w:val="bottom"/>
          </w:tcPr>
          <w:p w14:paraId="25074291" w14:textId="68ECE4CC"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r w:rsidR="0096145D">
              <w:rPr>
                <w:sz w:val="18"/>
                <w:szCs w:val="28"/>
                <w:lang w:bidi="th-TH"/>
              </w:rPr>
              <w:t xml:space="preserve"> </w:t>
            </w:r>
            <w:r w:rsidRPr="0096145D">
              <w:rPr>
                <w:sz w:val="18"/>
                <w:szCs w:val="28"/>
                <w:lang w:bidi="th-TH"/>
              </w:rPr>
              <w:t>402</w:t>
            </w:r>
          </w:p>
        </w:tc>
        <w:tc>
          <w:tcPr>
            <w:tcW w:w="1398" w:type="dxa"/>
            <w:shd w:val="clear" w:color="auto" w:fill="auto"/>
            <w:vAlign w:val="bottom"/>
          </w:tcPr>
          <w:p w14:paraId="22917DA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38</w:t>
            </w:r>
          </w:p>
        </w:tc>
        <w:tc>
          <w:tcPr>
            <w:tcW w:w="1710" w:type="dxa"/>
            <w:shd w:val="clear" w:color="auto" w:fill="auto"/>
            <w:vAlign w:val="bottom"/>
          </w:tcPr>
          <w:p w14:paraId="428E6CB9" w14:textId="4F9EEE44"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r w:rsidR="0096145D">
              <w:rPr>
                <w:sz w:val="18"/>
                <w:szCs w:val="28"/>
                <w:lang w:bidi="th-TH"/>
              </w:rPr>
              <w:t xml:space="preserve"> </w:t>
            </w:r>
            <w:r w:rsidRPr="0096145D">
              <w:rPr>
                <w:sz w:val="18"/>
                <w:szCs w:val="28"/>
                <w:lang w:bidi="th-TH"/>
              </w:rPr>
              <w:t>333</w:t>
            </w:r>
          </w:p>
        </w:tc>
      </w:tr>
      <w:tr w:rsidR="00695E59" w:rsidRPr="0096145D" w14:paraId="3CCBAFF6" w14:textId="77777777" w:rsidTr="0096145D">
        <w:tc>
          <w:tcPr>
            <w:tcW w:w="1880" w:type="dxa"/>
            <w:shd w:val="clear" w:color="auto" w:fill="auto"/>
          </w:tcPr>
          <w:p w14:paraId="7B15A68D"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Togolese</w:t>
            </w:r>
          </w:p>
        </w:tc>
        <w:tc>
          <w:tcPr>
            <w:tcW w:w="1430" w:type="dxa"/>
            <w:shd w:val="clear" w:color="auto" w:fill="auto"/>
            <w:vAlign w:val="bottom"/>
          </w:tcPr>
          <w:p w14:paraId="08A37A8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029FE73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4B759A2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79A758A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24000B8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0C626C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18C409D5" w14:textId="77777777" w:rsidTr="0096145D">
        <w:tc>
          <w:tcPr>
            <w:tcW w:w="1880" w:type="dxa"/>
            <w:shd w:val="clear" w:color="auto" w:fill="auto"/>
          </w:tcPr>
          <w:p w14:paraId="6D2A4542"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Turkish</w:t>
            </w:r>
          </w:p>
        </w:tc>
        <w:tc>
          <w:tcPr>
            <w:tcW w:w="1430" w:type="dxa"/>
            <w:shd w:val="clear" w:color="auto" w:fill="auto"/>
            <w:vAlign w:val="bottom"/>
          </w:tcPr>
          <w:p w14:paraId="09AFED7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w:t>
            </w:r>
          </w:p>
        </w:tc>
        <w:tc>
          <w:tcPr>
            <w:tcW w:w="1418" w:type="dxa"/>
            <w:shd w:val="clear" w:color="auto" w:fill="auto"/>
            <w:vAlign w:val="bottom"/>
          </w:tcPr>
          <w:p w14:paraId="3D35A4B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13</w:t>
            </w:r>
          </w:p>
        </w:tc>
        <w:tc>
          <w:tcPr>
            <w:tcW w:w="1648" w:type="dxa"/>
            <w:shd w:val="clear" w:color="auto" w:fill="auto"/>
            <w:vAlign w:val="bottom"/>
          </w:tcPr>
          <w:p w14:paraId="4DFC694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75EB09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36AA543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3F6ECD3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2EA935C" w14:textId="77777777" w:rsidTr="0096145D">
        <w:tc>
          <w:tcPr>
            <w:tcW w:w="1880" w:type="dxa"/>
            <w:shd w:val="clear" w:color="auto" w:fill="auto"/>
          </w:tcPr>
          <w:p w14:paraId="33B9E91A"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Ugandan</w:t>
            </w:r>
          </w:p>
        </w:tc>
        <w:tc>
          <w:tcPr>
            <w:tcW w:w="1430" w:type="dxa"/>
            <w:shd w:val="clear" w:color="auto" w:fill="auto"/>
            <w:vAlign w:val="bottom"/>
          </w:tcPr>
          <w:p w14:paraId="7E30512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10</w:t>
            </w:r>
          </w:p>
        </w:tc>
        <w:tc>
          <w:tcPr>
            <w:tcW w:w="1418" w:type="dxa"/>
            <w:shd w:val="clear" w:color="auto" w:fill="auto"/>
            <w:vAlign w:val="bottom"/>
          </w:tcPr>
          <w:p w14:paraId="1EA7172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0B30B52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6A2353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98" w:type="dxa"/>
            <w:shd w:val="clear" w:color="auto" w:fill="auto"/>
            <w:vAlign w:val="bottom"/>
          </w:tcPr>
          <w:p w14:paraId="77DF701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51DC13A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0C4B7409" w14:textId="77777777" w:rsidTr="0096145D">
        <w:tc>
          <w:tcPr>
            <w:tcW w:w="1880" w:type="dxa"/>
            <w:shd w:val="clear" w:color="auto" w:fill="auto"/>
          </w:tcPr>
          <w:p w14:paraId="7C23F1E8"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Ukrainian</w:t>
            </w:r>
          </w:p>
        </w:tc>
        <w:tc>
          <w:tcPr>
            <w:tcW w:w="1430" w:type="dxa"/>
            <w:shd w:val="clear" w:color="auto" w:fill="auto"/>
            <w:vAlign w:val="bottom"/>
          </w:tcPr>
          <w:p w14:paraId="0A04480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18</w:t>
            </w:r>
          </w:p>
        </w:tc>
        <w:tc>
          <w:tcPr>
            <w:tcW w:w="1418" w:type="dxa"/>
            <w:shd w:val="clear" w:color="auto" w:fill="auto"/>
            <w:vAlign w:val="bottom"/>
          </w:tcPr>
          <w:p w14:paraId="614CBB0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648" w:type="dxa"/>
            <w:shd w:val="clear" w:color="auto" w:fill="auto"/>
            <w:vAlign w:val="bottom"/>
          </w:tcPr>
          <w:p w14:paraId="57AF6D4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00135E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497DE6B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7E07CCD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r>
      <w:tr w:rsidR="00695E59" w:rsidRPr="0096145D" w14:paraId="038AEE37" w14:textId="77777777" w:rsidTr="0096145D">
        <w:tc>
          <w:tcPr>
            <w:tcW w:w="1880" w:type="dxa"/>
            <w:shd w:val="clear" w:color="auto" w:fill="auto"/>
          </w:tcPr>
          <w:p w14:paraId="45AF3BD6"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Unidentified</w:t>
            </w:r>
          </w:p>
        </w:tc>
        <w:tc>
          <w:tcPr>
            <w:tcW w:w="1430" w:type="dxa"/>
            <w:shd w:val="clear" w:color="auto" w:fill="auto"/>
            <w:vAlign w:val="bottom"/>
          </w:tcPr>
          <w:p w14:paraId="6E974DE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965</w:t>
            </w:r>
          </w:p>
        </w:tc>
        <w:tc>
          <w:tcPr>
            <w:tcW w:w="1418" w:type="dxa"/>
            <w:shd w:val="clear" w:color="auto" w:fill="auto"/>
            <w:vAlign w:val="bottom"/>
          </w:tcPr>
          <w:p w14:paraId="3D950DA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133</w:t>
            </w:r>
          </w:p>
        </w:tc>
        <w:tc>
          <w:tcPr>
            <w:tcW w:w="1648" w:type="dxa"/>
            <w:shd w:val="clear" w:color="auto" w:fill="auto"/>
            <w:vAlign w:val="bottom"/>
          </w:tcPr>
          <w:p w14:paraId="1A39C56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3557561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398" w:type="dxa"/>
            <w:shd w:val="clear" w:color="auto" w:fill="auto"/>
            <w:vAlign w:val="bottom"/>
          </w:tcPr>
          <w:p w14:paraId="728F71D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041061F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776D2136" w14:textId="77777777" w:rsidTr="0096145D">
        <w:tc>
          <w:tcPr>
            <w:tcW w:w="1880" w:type="dxa"/>
            <w:shd w:val="clear" w:color="auto" w:fill="auto"/>
          </w:tcPr>
          <w:p w14:paraId="03E17147" w14:textId="77777777" w:rsidR="00695E59" w:rsidRPr="0096145D" w:rsidRDefault="00695E59" w:rsidP="0096145D">
            <w:pPr>
              <w:suppressAutoHyphens w:val="0"/>
              <w:spacing w:before="40" w:after="40" w:line="220" w:lineRule="exact"/>
              <w:ind w:right="113"/>
              <w:rPr>
                <w:sz w:val="18"/>
                <w:szCs w:val="28"/>
                <w:lang w:bidi="th-TH"/>
              </w:rPr>
            </w:pPr>
            <w:r w:rsidRPr="0096145D">
              <w:rPr>
                <w:rFonts w:eastAsia="ZWAdobeF"/>
                <w:sz w:val="18"/>
                <w:szCs w:val="28"/>
                <w:lang w:bidi="th-TH"/>
              </w:rPr>
              <w:t>Uzbek</w:t>
            </w:r>
          </w:p>
        </w:tc>
        <w:tc>
          <w:tcPr>
            <w:tcW w:w="1430" w:type="dxa"/>
            <w:shd w:val="clear" w:color="auto" w:fill="auto"/>
            <w:vAlign w:val="bottom"/>
          </w:tcPr>
          <w:p w14:paraId="7AC3543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418" w:type="dxa"/>
            <w:shd w:val="clear" w:color="auto" w:fill="auto"/>
            <w:vAlign w:val="bottom"/>
          </w:tcPr>
          <w:p w14:paraId="3283586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c>
          <w:tcPr>
            <w:tcW w:w="1648" w:type="dxa"/>
            <w:shd w:val="clear" w:color="auto" w:fill="auto"/>
            <w:vAlign w:val="bottom"/>
          </w:tcPr>
          <w:p w14:paraId="73E3B37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01680D8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0FDCE53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285246A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5FF36740" w14:textId="77777777" w:rsidTr="0096145D">
        <w:tc>
          <w:tcPr>
            <w:tcW w:w="1880" w:type="dxa"/>
            <w:shd w:val="clear" w:color="auto" w:fill="auto"/>
          </w:tcPr>
          <w:p w14:paraId="30A00114" w14:textId="77777777" w:rsidR="00695E59" w:rsidRPr="0096145D" w:rsidRDefault="00695E59" w:rsidP="0096145D">
            <w:pPr>
              <w:suppressAutoHyphens w:val="0"/>
              <w:spacing w:before="40" w:after="40" w:line="220" w:lineRule="exact"/>
              <w:ind w:right="113"/>
              <w:rPr>
                <w:sz w:val="18"/>
                <w:szCs w:val="28"/>
                <w:cs/>
                <w:lang w:bidi="th-TH"/>
              </w:rPr>
            </w:pPr>
            <w:r w:rsidRPr="0096145D">
              <w:rPr>
                <w:rFonts w:eastAsia="ZWAdobeF"/>
                <w:sz w:val="18"/>
                <w:szCs w:val="28"/>
                <w:lang w:bidi="th-TH"/>
              </w:rPr>
              <w:t>Venezuelan</w:t>
            </w:r>
          </w:p>
        </w:tc>
        <w:tc>
          <w:tcPr>
            <w:tcW w:w="1430" w:type="dxa"/>
            <w:shd w:val="clear" w:color="auto" w:fill="auto"/>
            <w:vAlign w:val="bottom"/>
          </w:tcPr>
          <w:p w14:paraId="0556201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w:t>
            </w:r>
          </w:p>
        </w:tc>
        <w:tc>
          <w:tcPr>
            <w:tcW w:w="1418" w:type="dxa"/>
            <w:shd w:val="clear" w:color="auto" w:fill="auto"/>
            <w:vAlign w:val="bottom"/>
          </w:tcPr>
          <w:p w14:paraId="5419618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shd w:val="clear" w:color="auto" w:fill="auto"/>
            <w:vAlign w:val="bottom"/>
          </w:tcPr>
          <w:p w14:paraId="6CBE5B3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5DBE468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shd w:val="clear" w:color="auto" w:fill="auto"/>
            <w:vAlign w:val="bottom"/>
          </w:tcPr>
          <w:p w14:paraId="67A4016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shd w:val="clear" w:color="auto" w:fill="auto"/>
            <w:vAlign w:val="bottom"/>
          </w:tcPr>
          <w:p w14:paraId="19D6C94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695E59" w:rsidRPr="0096145D" w14:paraId="30F0B4EC" w14:textId="77777777" w:rsidTr="0096145D">
        <w:tc>
          <w:tcPr>
            <w:tcW w:w="1880" w:type="dxa"/>
            <w:shd w:val="clear" w:color="auto" w:fill="auto"/>
          </w:tcPr>
          <w:p w14:paraId="17CCFBA3" w14:textId="77777777" w:rsidR="00695E59" w:rsidRPr="0096145D" w:rsidRDefault="00695E59" w:rsidP="0096145D">
            <w:pPr>
              <w:suppressAutoHyphens w:val="0"/>
              <w:spacing w:before="40" w:after="40" w:line="220" w:lineRule="exact"/>
              <w:ind w:right="113"/>
              <w:rPr>
                <w:sz w:val="18"/>
                <w:szCs w:val="28"/>
                <w:cs/>
                <w:lang w:bidi="th-TH"/>
              </w:rPr>
            </w:pPr>
            <w:r w:rsidRPr="0096145D">
              <w:rPr>
                <w:rFonts w:eastAsia="ZWAdobeF"/>
                <w:sz w:val="18"/>
                <w:szCs w:val="28"/>
                <w:lang w:bidi="th-TH"/>
              </w:rPr>
              <w:t>Vietnamese</w:t>
            </w:r>
          </w:p>
        </w:tc>
        <w:tc>
          <w:tcPr>
            <w:tcW w:w="1430" w:type="dxa"/>
            <w:shd w:val="clear" w:color="auto" w:fill="auto"/>
            <w:vAlign w:val="bottom"/>
          </w:tcPr>
          <w:p w14:paraId="2DDE599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78</w:t>
            </w:r>
          </w:p>
        </w:tc>
        <w:tc>
          <w:tcPr>
            <w:tcW w:w="1418" w:type="dxa"/>
            <w:shd w:val="clear" w:color="auto" w:fill="auto"/>
            <w:vAlign w:val="bottom"/>
          </w:tcPr>
          <w:p w14:paraId="461F79E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103</w:t>
            </w:r>
          </w:p>
        </w:tc>
        <w:tc>
          <w:tcPr>
            <w:tcW w:w="1648" w:type="dxa"/>
            <w:shd w:val="clear" w:color="auto" w:fill="auto"/>
            <w:vAlign w:val="bottom"/>
          </w:tcPr>
          <w:p w14:paraId="4094656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8036CD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98</w:t>
            </w:r>
          </w:p>
        </w:tc>
        <w:tc>
          <w:tcPr>
            <w:tcW w:w="1398" w:type="dxa"/>
            <w:shd w:val="clear" w:color="auto" w:fill="auto"/>
            <w:vAlign w:val="bottom"/>
          </w:tcPr>
          <w:p w14:paraId="5672A1E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710" w:type="dxa"/>
            <w:shd w:val="clear" w:color="auto" w:fill="auto"/>
            <w:vAlign w:val="bottom"/>
          </w:tcPr>
          <w:p w14:paraId="06BA378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p>
        </w:tc>
      </w:tr>
      <w:tr w:rsidR="00695E59" w:rsidRPr="0096145D" w14:paraId="7614B324" w14:textId="77777777" w:rsidTr="00C665D4">
        <w:tc>
          <w:tcPr>
            <w:tcW w:w="1880" w:type="dxa"/>
            <w:tcBorders>
              <w:bottom w:val="single" w:sz="4" w:space="0" w:color="auto"/>
            </w:tcBorders>
            <w:shd w:val="clear" w:color="auto" w:fill="auto"/>
          </w:tcPr>
          <w:p w14:paraId="1D597FC7" w14:textId="77777777" w:rsidR="00695E59" w:rsidRPr="0096145D" w:rsidRDefault="00695E59" w:rsidP="0096145D">
            <w:pPr>
              <w:suppressAutoHyphens w:val="0"/>
              <w:spacing w:before="40" w:after="40" w:line="220" w:lineRule="exact"/>
              <w:ind w:right="113"/>
              <w:rPr>
                <w:rFonts w:eastAsia="ZWAdobeF"/>
                <w:sz w:val="18"/>
                <w:szCs w:val="28"/>
                <w:lang w:bidi="th-TH"/>
              </w:rPr>
            </w:pPr>
            <w:r w:rsidRPr="0096145D">
              <w:rPr>
                <w:rFonts w:eastAsia="ZWAdobeF"/>
                <w:sz w:val="18"/>
                <w:szCs w:val="28"/>
                <w:lang w:bidi="th-TH"/>
              </w:rPr>
              <w:t>Zambian</w:t>
            </w:r>
          </w:p>
        </w:tc>
        <w:tc>
          <w:tcPr>
            <w:tcW w:w="1430" w:type="dxa"/>
            <w:tcBorders>
              <w:bottom w:val="single" w:sz="4" w:space="0" w:color="auto"/>
            </w:tcBorders>
            <w:shd w:val="clear" w:color="auto" w:fill="auto"/>
            <w:vAlign w:val="bottom"/>
          </w:tcPr>
          <w:p w14:paraId="0D87B80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p>
        </w:tc>
        <w:tc>
          <w:tcPr>
            <w:tcW w:w="1418" w:type="dxa"/>
            <w:tcBorders>
              <w:bottom w:val="single" w:sz="4" w:space="0" w:color="auto"/>
            </w:tcBorders>
            <w:shd w:val="clear" w:color="auto" w:fill="auto"/>
            <w:vAlign w:val="bottom"/>
          </w:tcPr>
          <w:p w14:paraId="2AACC4D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648" w:type="dxa"/>
            <w:tcBorders>
              <w:bottom w:val="single" w:sz="4" w:space="0" w:color="auto"/>
            </w:tcBorders>
            <w:shd w:val="clear" w:color="auto" w:fill="auto"/>
            <w:vAlign w:val="bottom"/>
          </w:tcPr>
          <w:p w14:paraId="4108E23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bottom w:val="single" w:sz="4" w:space="0" w:color="auto"/>
            </w:tcBorders>
            <w:shd w:val="clear" w:color="auto" w:fill="auto"/>
            <w:vAlign w:val="bottom"/>
          </w:tcPr>
          <w:p w14:paraId="0CDC58D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98" w:type="dxa"/>
            <w:tcBorders>
              <w:bottom w:val="single" w:sz="4" w:space="0" w:color="auto"/>
            </w:tcBorders>
            <w:shd w:val="clear" w:color="auto" w:fill="auto"/>
            <w:vAlign w:val="bottom"/>
          </w:tcPr>
          <w:p w14:paraId="7C47F9C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bottom w:val="single" w:sz="4" w:space="0" w:color="auto"/>
            </w:tcBorders>
            <w:shd w:val="clear" w:color="auto" w:fill="auto"/>
            <w:vAlign w:val="bottom"/>
          </w:tcPr>
          <w:p w14:paraId="7047304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r>
      <w:tr w:rsidR="00587C8E" w:rsidRPr="00587C8E" w14:paraId="5F1B6755" w14:textId="77777777" w:rsidTr="00C665D4">
        <w:tc>
          <w:tcPr>
            <w:tcW w:w="1880" w:type="dxa"/>
            <w:tcBorders>
              <w:top w:val="single" w:sz="4" w:space="0" w:color="auto"/>
              <w:bottom w:val="single" w:sz="12" w:space="0" w:color="auto"/>
            </w:tcBorders>
            <w:shd w:val="clear" w:color="auto" w:fill="auto"/>
          </w:tcPr>
          <w:p w14:paraId="13295CB3" w14:textId="77777777" w:rsidR="00695E59" w:rsidRPr="00F905F5" w:rsidRDefault="00695E59" w:rsidP="00F905F5">
            <w:pPr>
              <w:suppressAutoHyphens w:val="0"/>
              <w:spacing w:before="80" w:after="80" w:line="220" w:lineRule="exact"/>
              <w:ind w:left="283"/>
              <w:rPr>
                <w:b/>
                <w:sz w:val="18"/>
                <w:szCs w:val="28"/>
                <w:cs/>
                <w:lang w:bidi="th-TH"/>
              </w:rPr>
            </w:pPr>
            <w:r w:rsidRPr="00F905F5">
              <w:rPr>
                <w:b/>
                <w:sz w:val="18"/>
                <w:szCs w:val="28"/>
                <w:lang w:bidi="th-TH"/>
              </w:rPr>
              <w:t>Total</w:t>
            </w:r>
          </w:p>
        </w:tc>
        <w:tc>
          <w:tcPr>
            <w:tcW w:w="1430" w:type="dxa"/>
            <w:tcBorders>
              <w:top w:val="single" w:sz="4" w:space="0" w:color="auto"/>
              <w:bottom w:val="single" w:sz="12" w:space="0" w:color="auto"/>
            </w:tcBorders>
            <w:shd w:val="clear" w:color="auto" w:fill="auto"/>
            <w:vAlign w:val="bottom"/>
          </w:tcPr>
          <w:p w14:paraId="34D5F2CE" w14:textId="4A3BBD81" w:rsidR="00695E59" w:rsidRPr="00843E96" w:rsidRDefault="00695E59" w:rsidP="00843E96">
            <w:pPr>
              <w:suppressAutoHyphens w:val="0"/>
              <w:spacing w:before="80" w:after="80" w:line="220" w:lineRule="exact"/>
              <w:ind w:right="113"/>
              <w:jc w:val="right"/>
              <w:rPr>
                <w:b/>
                <w:bCs/>
                <w:sz w:val="18"/>
                <w:szCs w:val="28"/>
                <w:lang w:bidi="th-TH"/>
              </w:rPr>
            </w:pPr>
            <w:r w:rsidRPr="00843E96">
              <w:rPr>
                <w:b/>
                <w:bCs/>
                <w:sz w:val="18"/>
                <w:szCs w:val="28"/>
                <w:lang w:bidi="th-TH"/>
              </w:rPr>
              <w:t>311</w:t>
            </w:r>
            <w:r w:rsidR="0096145D" w:rsidRPr="00843E96">
              <w:rPr>
                <w:b/>
                <w:bCs/>
                <w:sz w:val="18"/>
                <w:szCs w:val="28"/>
                <w:lang w:bidi="th-TH"/>
              </w:rPr>
              <w:t xml:space="preserve"> </w:t>
            </w:r>
            <w:r w:rsidRPr="00843E96">
              <w:rPr>
                <w:b/>
                <w:bCs/>
                <w:sz w:val="18"/>
                <w:szCs w:val="28"/>
                <w:lang w:bidi="th-TH"/>
              </w:rPr>
              <w:t>525</w:t>
            </w:r>
          </w:p>
        </w:tc>
        <w:tc>
          <w:tcPr>
            <w:tcW w:w="1418" w:type="dxa"/>
            <w:tcBorders>
              <w:top w:val="single" w:sz="4" w:space="0" w:color="auto"/>
              <w:bottom w:val="single" w:sz="12" w:space="0" w:color="auto"/>
            </w:tcBorders>
            <w:shd w:val="clear" w:color="auto" w:fill="auto"/>
            <w:vAlign w:val="bottom"/>
          </w:tcPr>
          <w:p w14:paraId="0ED09005" w14:textId="21E953E7" w:rsidR="00695E59" w:rsidRPr="00843E96" w:rsidRDefault="00695E59" w:rsidP="00843E96">
            <w:pPr>
              <w:suppressAutoHyphens w:val="0"/>
              <w:spacing w:before="80" w:after="80" w:line="220" w:lineRule="exact"/>
              <w:ind w:right="113"/>
              <w:jc w:val="right"/>
              <w:rPr>
                <w:b/>
                <w:bCs/>
                <w:sz w:val="18"/>
                <w:szCs w:val="28"/>
                <w:lang w:bidi="th-TH"/>
              </w:rPr>
            </w:pPr>
            <w:r w:rsidRPr="00843E96">
              <w:rPr>
                <w:b/>
                <w:bCs/>
                <w:sz w:val="18"/>
                <w:szCs w:val="28"/>
                <w:lang w:bidi="th-TH"/>
              </w:rPr>
              <w:t>63</w:t>
            </w:r>
            <w:r w:rsidR="0096145D" w:rsidRPr="00843E96">
              <w:rPr>
                <w:b/>
                <w:bCs/>
                <w:sz w:val="18"/>
                <w:szCs w:val="28"/>
                <w:lang w:bidi="th-TH"/>
              </w:rPr>
              <w:t xml:space="preserve"> </w:t>
            </w:r>
            <w:r w:rsidRPr="00843E96">
              <w:rPr>
                <w:b/>
                <w:bCs/>
                <w:sz w:val="18"/>
                <w:szCs w:val="28"/>
                <w:lang w:bidi="th-TH"/>
              </w:rPr>
              <w:t>372</w:t>
            </w:r>
          </w:p>
        </w:tc>
        <w:tc>
          <w:tcPr>
            <w:tcW w:w="1648" w:type="dxa"/>
            <w:tcBorders>
              <w:top w:val="single" w:sz="4" w:space="0" w:color="auto"/>
              <w:bottom w:val="single" w:sz="12" w:space="0" w:color="auto"/>
            </w:tcBorders>
            <w:shd w:val="clear" w:color="auto" w:fill="auto"/>
            <w:vAlign w:val="bottom"/>
          </w:tcPr>
          <w:p w14:paraId="7231D8B8" w14:textId="77777777" w:rsidR="00695E59" w:rsidRPr="00843E96" w:rsidRDefault="00695E59" w:rsidP="00843E96">
            <w:pPr>
              <w:suppressAutoHyphens w:val="0"/>
              <w:spacing w:before="80" w:after="80" w:line="220" w:lineRule="exact"/>
              <w:ind w:right="113"/>
              <w:jc w:val="right"/>
              <w:rPr>
                <w:b/>
                <w:bCs/>
                <w:sz w:val="18"/>
                <w:szCs w:val="28"/>
                <w:lang w:bidi="th-TH"/>
              </w:rPr>
            </w:pPr>
            <w:r w:rsidRPr="00843E96">
              <w:rPr>
                <w:b/>
                <w:bCs/>
                <w:sz w:val="18"/>
                <w:szCs w:val="28"/>
                <w:lang w:bidi="th-TH"/>
              </w:rPr>
              <w:t>43</w:t>
            </w:r>
          </w:p>
        </w:tc>
        <w:tc>
          <w:tcPr>
            <w:tcW w:w="1367" w:type="dxa"/>
            <w:tcBorders>
              <w:top w:val="single" w:sz="4" w:space="0" w:color="auto"/>
              <w:bottom w:val="single" w:sz="12" w:space="0" w:color="auto"/>
            </w:tcBorders>
            <w:shd w:val="clear" w:color="auto" w:fill="auto"/>
            <w:vAlign w:val="bottom"/>
          </w:tcPr>
          <w:p w14:paraId="7D5400ED" w14:textId="53946C4A" w:rsidR="00695E59" w:rsidRPr="00843E96" w:rsidRDefault="00695E59" w:rsidP="00843E96">
            <w:pPr>
              <w:suppressAutoHyphens w:val="0"/>
              <w:spacing w:before="80" w:after="80" w:line="220" w:lineRule="exact"/>
              <w:ind w:right="113"/>
              <w:jc w:val="right"/>
              <w:rPr>
                <w:b/>
                <w:bCs/>
                <w:sz w:val="18"/>
                <w:szCs w:val="28"/>
                <w:lang w:bidi="th-TH"/>
              </w:rPr>
            </w:pPr>
            <w:r w:rsidRPr="00843E96">
              <w:rPr>
                <w:b/>
                <w:bCs/>
                <w:sz w:val="18"/>
                <w:szCs w:val="28"/>
                <w:lang w:bidi="th-TH"/>
              </w:rPr>
              <w:t>1</w:t>
            </w:r>
            <w:r w:rsidR="0096145D" w:rsidRPr="00843E96">
              <w:rPr>
                <w:b/>
                <w:bCs/>
                <w:sz w:val="18"/>
                <w:szCs w:val="28"/>
                <w:lang w:bidi="th-TH"/>
              </w:rPr>
              <w:t xml:space="preserve"> </w:t>
            </w:r>
            <w:r w:rsidRPr="00843E96">
              <w:rPr>
                <w:b/>
                <w:bCs/>
                <w:sz w:val="18"/>
                <w:szCs w:val="28"/>
                <w:lang w:bidi="th-TH"/>
              </w:rPr>
              <w:t>786</w:t>
            </w:r>
          </w:p>
        </w:tc>
        <w:tc>
          <w:tcPr>
            <w:tcW w:w="1398" w:type="dxa"/>
            <w:tcBorders>
              <w:top w:val="single" w:sz="4" w:space="0" w:color="auto"/>
              <w:bottom w:val="single" w:sz="12" w:space="0" w:color="auto"/>
            </w:tcBorders>
            <w:shd w:val="clear" w:color="auto" w:fill="auto"/>
            <w:vAlign w:val="bottom"/>
          </w:tcPr>
          <w:p w14:paraId="1AB48E7E" w14:textId="77777777" w:rsidR="00695E59" w:rsidRPr="00843E96" w:rsidRDefault="00695E59" w:rsidP="00843E96">
            <w:pPr>
              <w:suppressAutoHyphens w:val="0"/>
              <w:spacing w:before="80" w:after="80" w:line="220" w:lineRule="exact"/>
              <w:ind w:right="113"/>
              <w:jc w:val="right"/>
              <w:rPr>
                <w:b/>
                <w:bCs/>
                <w:sz w:val="18"/>
                <w:szCs w:val="28"/>
                <w:lang w:bidi="th-TH"/>
              </w:rPr>
            </w:pPr>
            <w:r w:rsidRPr="00843E96">
              <w:rPr>
                <w:b/>
                <w:bCs/>
                <w:sz w:val="18"/>
                <w:szCs w:val="28"/>
                <w:lang w:bidi="th-TH"/>
              </w:rPr>
              <w:t>40</w:t>
            </w:r>
          </w:p>
        </w:tc>
        <w:tc>
          <w:tcPr>
            <w:tcW w:w="1710" w:type="dxa"/>
            <w:tcBorders>
              <w:top w:val="single" w:sz="4" w:space="0" w:color="auto"/>
              <w:bottom w:val="single" w:sz="12" w:space="0" w:color="auto"/>
            </w:tcBorders>
            <w:shd w:val="clear" w:color="auto" w:fill="auto"/>
            <w:vAlign w:val="bottom"/>
          </w:tcPr>
          <w:p w14:paraId="1BCB3E22" w14:textId="49BF2FDC" w:rsidR="00695E59" w:rsidRPr="00843E96" w:rsidRDefault="00695E59" w:rsidP="00843E96">
            <w:pPr>
              <w:suppressAutoHyphens w:val="0"/>
              <w:spacing w:before="80" w:after="80" w:line="220" w:lineRule="exact"/>
              <w:ind w:right="113"/>
              <w:jc w:val="right"/>
              <w:rPr>
                <w:b/>
                <w:bCs/>
                <w:sz w:val="18"/>
                <w:szCs w:val="28"/>
                <w:lang w:bidi="th-TH"/>
              </w:rPr>
            </w:pPr>
            <w:r w:rsidRPr="00843E96">
              <w:rPr>
                <w:b/>
                <w:bCs/>
                <w:sz w:val="18"/>
                <w:szCs w:val="28"/>
                <w:lang w:bidi="th-TH"/>
              </w:rPr>
              <w:t>1</w:t>
            </w:r>
            <w:r w:rsidR="0096145D" w:rsidRPr="00843E96">
              <w:rPr>
                <w:b/>
                <w:bCs/>
                <w:sz w:val="18"/>
                <w:szCs w:val="28"/>
                <w:lang w:bidi="th-TH"/>
              </w:rPr>
              <w:t xml:space="preserve"> </w:t>
            </w:r>
            <w:r w:rsidRPr="00843E96">
              <w:rPr>
                <w:b/>
                <w:bCs/>
                <w:sz w:val="18"/>
                <w:szCs w:val="28"/>
                <w:lang w:bidi="th-TH"/>
              </w:rPr>
              <w:t>796</w:t>
            </w:r>
          </w:p>
        </w:tc>
      </w:tr>
    </w:tbl>
    <w:p w14:paraId="7FCE06F2" w14:textId="77777777" w:rsidR="00695E59" w:rsidRPr="00671D9E" w:rsidRDefault="00695E59" w:rsidP="0096145D">
      <w:pPr>
        <w:pStyle w:val="H23G"/>
        <w:rPr>
          <w:lang w:bidi="th-TH"/>
        </w:rPr>
      </w:pPr>
      <w:r w:rsidRPr="00671D9E">
        <w:rPr>
          <w:lang w:bidi="th-TH"/>
        </w:rPr>
        <w:tab/>
      </w:r>
      <w:r w:rsidRPr="00671D9E">
        <w:rPr>
          <w:lang w:bidi="th-TH"/>
        </w:rPr>
        <w:tab/>
        <w:t>Disaggregated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72"/>
        <w:gridCol w:w="922"/>
        <w:gridCol w:w="1060"/>
        <w:gridCol w:w="1134"/>
        <w:gridCol w:w="942"/>
        <w:gridCol w:w="963"/>
        <w:gridCol w:w="1177"/>
      </w:tblGrid>
      <w:tr w:rsidR="00695E59" w:rsidRPr="0096145D" w14:paraId="5D099FB5" w14:textId="77777777" w:rsidTr="0096145D">
        <w:trPr>
          <w:tblHeader/>
        </w:trPr>
        <w:tc>
          <w:tcPr>
            <w:tcW w:w="1701" w:type="dxa"/>
            <w:tcBorders>
              <w:top w:val="single" w:sz="4" w:space="0" w:color="auto"/>
              <w:bottom w:val="single" w:sz="12" w:space="0" w:color="auto"/>
            </w:tcBorders>
            <w:shd w:val="clear" w:color="auto" w:fill="auto"/>
            <w:vAlign w:val="bottom"/>
          </w:tcPr>
          <w:p w14:paraId="1DED5EF0" w14:textId="77777777" w:rsidR="00695E59" w:rsidRPr="0096145D" w:rsidRDefault="00695E59" w:rsidP="0096145D">
            <w:pPr>
              <w:suppressAutoHyphens w:val="0"/>
              <w:spacing w:before="80" w:after="80" w:line="200" w:lineRule="exact"/>
              <w:ind w:right="113"/>
              <w:rPr>
                <w:bCs/>
                <w:i/>
                <w:sz w:val="16"/>
                <w:szCs w:val="28"/>
                <w:lang w:bidi="th-TH"/>
              </w:rPr>
            </w:pPr>
            <w:r w:rsidRPr="0096145D">
              <w:rPr>
                <w:bCs/>
                <w:i/>
                <w:sz w:val="16"/>
                <w:szCs w:val="28"/>
                <w:lang w:bidi="th-TH"/>
              </w:rPr>
              <w:t>Age</w:t>
            </w:r>
          </w:p>
        </w:tc>
        <w:tc>
          <w:tcPr>
            <w:tcW w:w="1338" w:type="dxa"/>
            <w:tcBorders>
              <w:top w:val="single" w:sz="4" w:space="0" w:color="auto"/>
              <w:bottom w:val="single" w:sz="12" w:space="0" w:color="auto"/>
            </w:tcBorders>
            <w:shd w:val="clear" w:color="auto" w:fill="auto"/>
            <w:vAlign w:val="bottom"/>
          </w:tcPr>
          <w:p w14:paraId="365FDBC1"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4"/>
                <w:lang w:bidi="th-TH"/>
              </w:rPr>
              <w:t>Convicted Prisoners</w:t>
            </w:r>
          </w:p>
        </w:tc>
        <w:tc>
          <w:tcPr>
            <w:tcW w:w="1540" w:type="dxa"/>
            <w:tcBorders>
              <w:top w:val="single" w:sz="4" w:space="0" w:color="auto"/>
              <w:bottom w:val="single" w:sz="12" w:space="0" w:color="auto"/>
            </w:tcBorders>
            <w:shd w:val="clear" w:color="auto" w:fill="auto"/>
            <w:vAlign w:val="bottom"/>
          </w:tcPr>
          <w:p w14:paraId="167E484B"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Prisoners on Remand</w:t>
            </w:r>
          </w:p>
        </w:tc>
        <w:tc>
          <w:tcPr>
            <w:tcW w:w="1648" w:type="dxa"/>
            <w:tcBorders>
              <w:top w:val="single" w:sz="4" w:space="0" w:color="auto"/>
              <w:bottom w:val="single" w:sz="12" w:space="0" w:color="auto"/>
            </w:tcBorders>
            <w:shd w:val="clear" w:color="auto" w:fill="auto"/>
            <w:vAlign w:val="bottom"/>
          </w:tcPr>
          <w:p w14:paraId="05A81C2C"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Juvenile Delinquents</w:t>
            </w:r>
          </w:p>
        </w:tc>
        <w:tc>
          <w:tcPr>
            <w:tcW w:w="1367" w:type="dxa"/>
            <w:tcBorders>
              <w:top w:val="single" w:sz="4" w:space="0" w:color="auto"/>
              <w:bottom w:val="single" w:sz="12" w:space="0" w:color="auto"/>
            </w:tcBorders>
            <w:shd w:val="clear" w:color="auto" w:fill="auto"/>
            <w:vAlign w:val="bottom"/>
          </w:tcPr>
          <w:p w14:paraId="1D4D7CEF"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Detainees</w:t>
            </w:r>
          </w:p>
        </w:tc>
        <w:tc>
          <w:tcPr>
            <w:tcW w:w="1398" w:type="dxa"/>
            <w:tcBorders>
              <w:top w:val="single" w:sz="4" w:space="0" w:color="auto"/>
              <w:bottom w:val="single" w:sz="12" w:space="0" w:color="auto"/>
            </w:tcBorders>
            <w:shd w:val="clear" w:color="auto" w:fill="auto"/>
            <w:vAlign w:val="bottom"/>
          </w:tcPr>
          <w:p w14:paraId="40BE9219"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Relegated Prisoners</w:t>
            </w:r>
          </w:p>
        </w:tc>
        <w:tc>
          <w:tcPr>
            <w:tcW w:w="1710" w:type="dxa"/>
            <w:tcBorders>
              <w:top w:val="single" w:sz="4" w:space="0" w:color="auto"/>
              <w:bottom w:val="single" w:sz="12" w:space="0" w:color="auto"/>
            </w:tcBorders>
            <w:shd w:val="clear" w:color="auto" w:fill="auto"/>
            <w:vAlign w:val="bottom"/>
          </w:tcPr>
          <w:p w14:paraId="69F7A88A"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Unidentified</w:t>
            </w:r>
          </w:p>
        </w:tc>
      </w:tr>
      <w:tr w:rsidR="00695E59" w:rsidRPr="0096145D" w14:paraId="3350C970" w14:textId="77777777" w:rsidTr="0096145D">
        <w:tc>
          <w:tcPr>
            <w:tcW w:w="1701" w:type="dxa"/>
            <w:tcBorders>
              <w:top w:val="single" w:sz="12" w:space="0" w:color="auto"/>
            </w:tcBorders>
            <w:shd w:val="clear" w:color="auto" w:fill="auto"/>
          </w:tcPr>
          <w:p w14:paraId="5540B9F8"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Date of birth unknown</w:t>
            </w:r>
          </w:p>
        </w:tc>
        <w:tc>
          <w:tcPr>
            <w:tcW w:w="1338" w:type="dxa"/>
            <w:tcBorders>
              <w:top w:val="single" w:sz="12" w:space="0" w:color="auto"/>
            </w:tcBorders>
            <w:shd w:val="clear" w:color="auto" w:fill="auto"/>
            <w:vAlign w:val="bottom"/>
          </w:tcPr>
          <w:p w14:paraId="2F2B496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189</w:t>
            </w:r>
          </w:p>
        </w:tc>
        <w:tc>
          <w:tcPr>
            <w:tcW w:w="1540" w:type="dxa"/>
            <w:tcBorders>
              <w:top w:val="single" w:sz="12" w:space="0" w:color="auto"/>
            </w:tcBorders>
            <w:shd w:val="clear" w:color="auto" w:fill="auto"/>
            <w:vAlign w:val="bottom"/>
          </w:tcPr>
          <w:p w14:paraId="2AAC5E0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432</w:t>
            </w:r>
          </w:p>
        </w:tc>
        <w:tc>
          <w:tcPr>
            <w:tcW w:w="1648" w:type="dxa"/>
            <w:tcBorders>
              <w:top w:val="single" w:sz="12" w:space="0" w:color="auto"/>
            </w:tcBorders>
            <w:shd w:val="clear" w:color="auto" w:fill="auto"/>
            <w:vAlign w:val="bottom"/>
          </w:tcPr>
          <w:p w14:paraId="31A0B3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top w:val="single" w:sz="12" w:space="0" w:color="auto"/>
            </w:tcBorders>
            <w:shd w:val="clear" w:color="auto" w:fill="auto"/>
            <w:vAlign w:val="bottom"/>
          </w:tcPr>
          <w:p w14:paraId="7D11FCE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83</w:t>
            </w:r>
          </w:p>
        </w:tc>
        <w:tc>
          <w:tcPr>
            <w:tcW w:w="1398" w:type="dxa"/>
            <w:tcBorders>
              <w:top w:val="single" w:sz="12" w:space="0" w:color="auto"/>
            </w:tcBorders>
            <w:shd w:val="clear" w:color="auto" w:fill="auto"/>
            <w:vAlign w:val="bottom"/>
          </w:tcPr>
          <w:p w14:paraId="361F080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top w:val="single" w:sz="12" w:space="0" w:color="auto"/>
            </w:tcBorders>
            <w:shd w:val="clear" w:color="auto" w:fill="auto"/>
            <w:vAlign w:val="bottom"/>
          </w:tcPr>
          <w:p w14:paraId="5F82ADC2" w14:textId="11F328E1"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r w:rsidR="0096145D">
              <w:rPr>
                <w:sz w:val="18"/>
                <w:szCs w:val="28"/>
                <w:lang w:bidi="th-TH"/>
              </w:rPr>
              <w:t xml:space="preserve"> </w:t>
            </w:r>
            <w:r w:rsidRPr="0096145D">
              <w:rPr>
                <w:sz w:val="18"/>
                <w:szCs w:val="28"/>
                <w:lang w:bidi="th-TH"/>
              </w:rPr>
              <w:t>075</w:t>
            </w:r>
          </w:p>
        </w:tc>
      </w:tr>
      <w:tr w:rsidR="00695E59" w:rsidRPr="0096145D" w14:paraId="7E71933E" w14:textId="77777777" w:rsidTr="0096145D">
        <w:tc>
          <w:tcPr>
            <w:tcW w:w="1701" w:type="dxa"/>
            <w:shd w:val="clear" w:color="auto" w:fill="auto"/>
          </w:tcPr>
          <w:p w14:paraId="3D4C9EFC"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 xml:space="preserve">Less than 25 </w:t>
            </w:r>
          </w:p>
        </w:tc>
        <w:tc>
          <w:tcPr>
            <w:tcW w:w="1338" w:type="dxa"/>
            <w:shd w:val="clear" w:color="auto" w:fill="auto"/>
            <w:vAlign w:val="bottom"/>
          </w:tcPr>
          <w:p w14:paraId="3F7C0675" w14:textId="560C56B5"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44</w:t>
            </w:r>
            <w:r w:rsidR="0096145D">
              <w:rPr>
                <w:sz w:val="18"/>
                <w:szCs w:val="28"/>
                <w:lang w:bidi="th-TH"/>
              </w:rPr>
              <w:t xml:space="preserve"> </w:t>
            </w:r>
            <w:r w:rsidRPr="0096145D">
              <w:rPr>
                <w:sz w:val="18"/>
                <w:szCs w:val="28"/>
                <w:lang w:bidi="th-TH"/>
              </w:rPr>
              <w:t>216</w:t>
            </w:r>
          </w:p>
        </w:tc>
        <w:tc>
          <w:tcPr>
            <w:tcW w:w="1540" w:type="dxa"/>
            <w:shd w:val="clear" w:color="auto" w:fill="auto"/>
            <w:vAlign w:val="bottom"/>
          </w:tcPr>
          <w:p w14:paraId="14109956" w14:textId="3F6A55C2"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14</w:t>
            </w:r>
            <w:r w:rsidR="0096145D">
              <w:rPr>
                <w:sz w:val="18"/>
                <w:szCs w:val="28"/>
                <w:lang w:bidi="th-TH"/>
              </w:rPr>
              <w:t xml:space="preserve"> </w:t>
            </w:r>
            <w:r w:rsidRPr="0096145D">
              <w:rPr>
                <w:sz w:val="18"/>
                <w:szCs w:val="28"/>
                <w:lang w:bidi="th-TH"/>
              </w:rPr>
              <w:t>013</w:t>
            </w:r>
          </w:p>
        </w:tc>
        <w:tc>
          <w:tcPr>
            <w:tcW w:w="1648" w:type="dxa"/>
            <w:shd w:val="clear" w:color="auto" w:fill="auto"/>
            <w:vAlign w:val="bottom"/>
          </w:tcPr>
          <w:p w14:paraId="5BD7421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27</w:t>
            </w:r>
          </w:p>
        </w:tc>
        <w:tc>
          <w:tcPr>
            <w:tcW w:w="1367" w:type="dxa"/>
            <w:shd w:val="clear" w:color="auto" w:fill="auto"/>
            <w:vAlign w:val="bottom"/>
          </w:tcPr>
          <w:p w14:paraId="6C107CD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441</w:t>
            </w:r>
          </w:p>
        </w:tc>
        <w:tc>
          <w:tcPr>
            <w:tcW w:w="1398" w:type="dxa"/>
            <w:shd w:val="clear" w:color="auto" w:fill="auto"/>
            <w:vAlign w:val="bottom"/>
          </w:tcPr>
          <w:p w14:paraId="4F9265A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710" w:type="dxa"/>
            <w:shd w:val="clear" w:color="auto" w:fill="auto"/>
            <w:vAlign w:val="bottom"/>
          </w:tcPr>
          <w:p w14:paraId="3E5282D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152</w:t>
            </w:r>
          </w:p>
        </w:tc>
      </w:tr>
      <w:tr w:rsidR="00695E59" w:rsidRPr="0096145D" w14:paraId="7DB6C41F" w14:textId="77777777" w:rsidTr="0096145D">
        <w:tc>
          <w:tcPr>
            <w:tcW w:w="1701" w:type="dxa"/>
            <w:shd w:val="clear" w:color="auto" w:fill="auto"/>
          </w:tcPr>
          <w:p w14:paraId="662AB35F"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 xml:space="preserve">25 - 30 </w:t>
            </w:r>
          </w:p>
        </w:tc>
        <w:tc>
          <w:tcPr>
            <w:tcW w:w="1338" w:type="dxa"/>
            <w:shd w:val="clear" w:color="auto" w:fill="auto"/>
            <w:vAlign w:val="bottom"/>
          </w:tcPr>
          <w:p w14:paraId="0F303B7A" w14:textId="685D10D0"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73</w:t>
            </w:r>
            <w:r w:rsidR="0096145D">
              <w:rPr>
                <w:sz w:val="18"/>
                <w:szCs w:val="28"/>
                <w:lang w:bidi="th-TH"/>
              </w:rPr>
              <w:t xml:space="preserve"> </w:t>
            </w:r>
            <w:r w:rsidRPr="0096145D">
              <w:rPr>
                <w:sz w:val="18"/>
                <w:szCs w:val="28"/>
                <w:lang w:bidi="th-TH"/>
              </w:rPr>
              <w:t>967</w:t>
            </w:r>
          </w:p>
        </w:tc>
        <w:tc>
          <w:tcPr>
            <w:tcW w:w="1540" w:type="dxa"/>
            <w:shd w:val="clear" w:color="auto" w:fill="auto"/>
            <w:vAlign w:val="bottom"/>
          </w:tcPr>
          <w:p w14:paraId="48666361" w14:textId="1A23D1CC"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15</w:t>
            </w:r>
            <w:r w:rsidR="0096145D">
              <w:rPr>
                <w:sz w:val="18"/>
                <w:szCs w:val="28"/>
                <w:lang w:bidi="th-TH"/>
              </w:rPr>
              <w:t xml:space="preserve"> </w:t>
            </w:r>
            <w:r w:rsidRPr="0096145D">
              <w:rPr>
                <w:sz w:val="18"/>
                <w:szCs w:val="28"/>
                <w:lang w:bidi="th-TH"/>
              </w:rPr>
              <w:t>015</w:t>
            </w:r>
          </w:p>
        </w:tc>
        <w:tc>
          <w:tcPr>
            <w:tcW w:w="1648" w:type="dxa"/>
            <w:shd w:val="clear" w:color="auto" w:fill="auto"/>
            <w:vAlign w:val="bottom"/>
          </w:tcPr>
          <w:p w14:paraId="1AFF529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c>
          <w:tcPr>
            <w:tcW w:w="1367" w:type="dxa"/>
            <w:shd w:val="clear" w:color="auto" w:fill="auto"/>
            <w:vAlign w:val="bottom"/>
          </w:tcPr>
          <w:p w14:paraId="50100FDF"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369</w:t>
            </w:r>
          </w:p>
        </w:tc>
        <w:tc>
          <w:tcPr>
            <w:tcW w:w="1398" w:type="dxa"/>
            <w:shd w:val="clear" w:color="auto" w:fill="auto"/>
            <w:vAlign w:val="bottom"/>
          </w:tcPr>
          <w:p w14:paraId="133DAD8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710" w:type="dxa"/>
            <w:shd w:val="clear" w:color="auto" w:fill="auto"/>
            <w:vAlign w:val="bottom"/>
          </w:tcPr>
          <w:p w14:paraId="403649B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166</w:t>
            </w:r>
          </w:p>
        </w:tc>
      </w:tr>
      <w:tr w:rsidR="00695E59" w:rsidRPr="0096145D" w14:paraId="1431A93C" w14:textId="77777777" w:rsidTr="0096145D">
        <w:tc>
          <w:tcPr>
            <w:tcW w:w="1701" w:type="dxa"/>
            <w:shd w:val="clear" w:color="auto" w:fill="auto"/>
          </w:tcPr>
          <w:p w14:paraId="678EE6E0"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 xml:space="preserve">31 - 40 </w:t>
            </w:r>
          </w:p>
        </w:tc>
        <w:tc>
          <w:tcPr>
            <w:tcW w:w="1338" w:type="dxa"/>
            <w:shd w:val="clear" w:color="auto" w:fill="auto"/>
            <w:vAlign w:val="bottom"/>
          </w:tcPr>
          <w:p w14:paraId="703C04E6" w14:textId="4F205829"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115</w:t>
            </w:r>
            <w:r w:rsidR="0096145D">
              <w:rPr>
                <w:sz w:val="18"/>
                <w:szCs w:val="28"/>
                <w:lang w:bidi="th-TH"/>
              </w:rPr>
              <w:t xml:space="preserve"> </w:t>
            </w:r>
            <w:r w:rsidRPr="0096145D">
              <w:rPr>
                <w:sz w:val="18"/>
                <w:szCs w:val="28"/>
                <w:lang w:bidi="th-TH"/>
              </w:rPr>
              <w:t>900</w:t>
            </w:r>
          </w:p>
        </w:tc>
        <w:tc>
          <w:tcPr>
            <w:tcW w:w="1540" w:type="dxa"/>
            <w:shd w:val="clear" w:color="auto" w:fill="auto"/>
            <w:vAlign w:val="bottom"/>
          </w:tcPr>
          <w:p w14:paraId="4994F07A" w14:textId="6C87D750"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20</w:t>
            </w:r>
            <w:r w:rsidR="0096145D">
              <w:rPr>
                <w:sz w:val="18"/>
                <w:szCs w:val="28"/>
                <w:lang w:bidi="th-TH"/>
              </w:rPr>
              <w:t xml:space="preserve"> </w:t>
            </w:r>
            <w:r w:rsidRPr="0096145D">
              <w:rPr>
                <w:sz w:val="18"/>
                <w:szCs w:val="28"/>
                <w:lang w:bidi="th-TH"/>
              </w:rPr>
              <w:t>773</w:t>
            </w:r>
          </w:p>
        </w:tc>
        <w:tc>
          <w:tcPr>
            <w:tcW w:w="1648" w:type="dxa"/>
            <w:shd w:val="clear" w:color="auto" w:fill="auto"/>
            <w:vAlign w:val="bottom"/>
          </w:tcPr>
          <w:p w14:paraId="71DA5B26"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367" w:type="dxa"/>
            <w:shd w:val="clear" w:color="auto" w:fill="auto"/>
            <w:vAlign w:val="bottom"/>
          </w:tcPr>
          <w:p w14:paraId="60E7B10C"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508</w:t>
            </w:r>
          </w:p>
        </w:tc>
        <w:tc>
          <w:tcPr>
            <w:tcW w:w="1398" w:type="dxa"/>
            <w:shd w:val="clear" w:color="auto" w:fill="auto"/>
            <w:vAlign w:val="bottom"/>
          </w:tcPr>
          <w:p w14:paraId="337FF71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20</w:t>
            </w:r>
          </w:p>
        </w:tc>
        <w:tc>
          <w:tcPr>
            <w:tcW w:w="1710" w:type="dxa"/>
            <w:shd w:val="clear" w:color="auto" w:fill="auto"/>
            <w:vAlign w:val="bottom"/>
          </w:tcPr>
          <w:p w14:paraId="4F37367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261</w:t>
            </w:r>
          </w:p>
        </w:tc>
      </w:tr>
      <w:tr w:rsidR="00695E59" w:rsidRPr="0096145D" w14:paraId="44F9D85A" w14:textId="77777777" w:rsidTr="0096145D">
        <w:tc>
          <w:tcPr>
            <w:tcW w:w="1701" w:type="dxa"/>
            <w:shd w:val="clear" w:color="auto" w:fill="auto"/>
          </w:tcPr>
          <w:p w14:paraId="50361E24"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 xml:space="preserve">41 - 50 </w:t>
            </w:r>
          </w:p>
        </w:tc>
        <w:tc>
          <w:tcPr>
            <w:tcW w:w="1338" w:type="dxa"/>
            <w:shd w:val="clear" w:color="auto" w:fill="auto"/>
            <w:vAlign w:val="bottom"/>
          </w:tcPr>
          <w:p w14:paraId="472F1F86" w14:textId="0D0E34A6"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52</w:t>
            </w:r>
            <w:r w:rsidR="0096145D">
              <w:rPr>
                <w:sz w:val="18"/>
                <w:szCs w:val="28"/>
                <w:lang w:bidi="th-TH"/>
              </w:rPr>
              <w:t xml:space="preserve"> </w:t>
            </w:r>
            <w:r w:rsidRPr="0096145D">
              <w:rPr>
                <w:sz w:val="18"/>
                <w:szCs w:val="28"/>
                <w:lang w:bidi="th-TH"/>
              </w:rPr>
              <w:t>728</w:t>
            </w:r>
          </w:p>
        </w:tc>
        <w:tc>
          <w:tcPr>
            <w:tcW w:w="1540" w:type="dxa"/>
            <w:shd w:val="clear" w:color="auto" w:fill="auto"/>
            <w:vAlign w:val="bottom"/>
          </w:tcPr>
          <w:p w14:paraId="75D9265A" w14:textId="171C4394"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w:t>
            </w:r>
            <w:r w:rsidR="0096145D">
              <w:rPr>
                <w:sz w:val="18"/>
                <w:szCs w:val="28"/>
                <w:lang w:bidi="th-TH"/>
              </w:rPr>
              <w:t xml:space="preserve"> </w:t>
            </w:r>
            <w:r w:rsidRPr="0096145D">
              <w:rPr>
                <w:sz w:val="18"/>
                <w:szCs w:val="28"/>
                <w:lang w:bidi="th-TH"/>
              </w:rPr>
              <w:t>080</w:t>
            </w:r>
          </w:p>
        </w:tc>
        <w:tc>
          <w:tcPr>
            <w:tcW w:w="1648" w:type="dxa"/>
            <w:shd w:val="clear" w:color="auto" w:fill="auto"/>
            <w:vAlign w:val="bottom"/>
          </w:tcPr>
          <w:p w14:paraId="26A1404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132AFDAB"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267</w:t>
            </w:r>
          </w:p>
        </w:tc>
        <w:tc>
          <w:tcPr>
            <w:tcW w:w="1398" w:type="dxa"/>
            <w:shd w:val="clear" w:color="auto" w:fill="auto"/>
            <w:vAlign w:val="bottom"/>
          </w:tcPr>
          <w:p w14:paraId="73524CD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10</w:t>
            </w:r>
          </w:p>
        </w:tc>
        <w:tc>
          <w:tcPr>
            <w:tcW w:w="1710" w:type="dxa"/>
            <w:shd w:val="clear" w:color="auto" w:fill="auto"/>
            <w:vAlign w:val="bottom"/>
          </w:tcPr>
          <w:p w14:paraId="375B4F31"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93</w:t>
            </w:r>
          </w:p>
        </w:tc>
      </w:tr>
      <w:tr w:rsidR="00695E59" w:rsidRPr="0096145D" w14:paraId="6C5D8138" w14:textId="77777777" w:rsidTr="0096145D">
        <w:tc>
          <w:tcPr>
            <w:tcW w:w="1701" w:type="dxa"/>
            <w:shd w:val="clear" w:color="auto" w:fill="auto"/>
          </w:tcPr>
          <w:p w14:paraId="3FEDCE76"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 xml:space="preserve">51 - 60 </w:t>
            </w:r>
          </w:p>
        </w:tc>
        <w:tc>
          <w:tcPr>
            <w:tcW w:w="1338" w:type="dxa"/>
            <w:shd w:val="clear" w:color="auto" w:fill="auto"/>
            <w:vAlign w:val="bottom"/>
          </w:tcPr>
          <w:p w14:paraId="21164F93" w14:textId="238A774D"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18</w:t>
            </w:r>
            <w:r w:rsidR="0096145D">
              <w:rPr>
                <w:sz w:val="18"/>
                <w:szCs w:val="28"/>
                <w:lang w:bidi="th-TH"/>
              </w:rPr>
              <w:t xml:space="preserve"> </w:t>
            </w:r>
            <w:r w:rsidRPr="0096145D">
              <w:rPr>
                <w:sz w:val="18"/>
                <w:szCs w:val="28"/>
                <w:lang w:bidi="th-TH"/>
              </w:rPr>
              <w:t>554</w:t>
            </w:r>
          </w:p>
        </w:tc>
        <w:tc>
          <w:tcPr>
            <w:tcW w:w="1540" w:type="dxa"/>
            <w:shd w:val="clear" w:color="auto" w:fill="auto"/>
            <w:vAlign w:val="bottom"/>
          </w:tcPr>
          <w:p w14:paraId="6FF7718C" w14:textId="79CE3FF1"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w:t>
            </w:r>
            <w:r w:rsidR="0096145D">
              <w:rPr>
                <w:sz w:val="18"/>
                <w:szCs w:val="28"/>
                <w:lang w:bidi="th-TH"/>
              </w:rPr>
              <w:t xml:space="preserve"> </w:t>
            </w:r>
            <w:r w:rsidRPr="0096145D">
              <w:rPr>
                <w:sz w:val="18"/>
                <w:szCs w:val="28"/>
                <w:lang w:bidi="th-TH"/>
              </w:rPr>
              <w:t>134</w:t>
            </w:r>
          </w:p>
        </w:tc>
        <w:tc>
          <w:tcPr>
            <w:tcW w:w="1648" w:type="dxa"/>
            <w:shd w:val="clear" w:color="auto" w:fill="auto"/>
            <w:vAlign w:val="bottom"/>
          </w:tcPr>
          <w:p w14:paraId="02CBFC14"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shd w:val="clear" w:color="auto" w:fill="auto"/>
            <w:vAlign w:val="bottom"/>
          </w:tcPr>
          <w:p w14:paraId="6692344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94</w:t>
            </w:r>
          </w:p>
        </w:tc>
        <w:tc>
          <w:tcPr>
            <w:tcW w:w="1398" w:type="dxa"/>
            <w:shd w:val="clear" w:color="auto" w:fill="auto"/>
            <w:vAlign w:val="bottom"/>
          </w:tcPr>
          <w:p w14:paraId="11EB62C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w:t>
            </w:r>
          </w:p>
        </w:tc>
        <w:tc>
          <w:tcPr>
            <w:tcW w:w="1710" w:type="dxa"/>
            <w:shd w:val="clear" w:color="auto" w:fill="auto"/>
            <w:vAlign w:val="bottom"/>
          </w:tcPr>
          <w:p w14:paraId="0E3A445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38</w:t>
            </w:r>
          </w:p>
        </w:tc>
      </w:tr>
      <w:tr w:rsidR="00695E59" w:rsidRPr="0096145D" w14:paraId="184EEB57" w14:textId="77777777" w:rsidTr="00C665D4">
        <w:tc>
          <w:tcPr>
            <w:tcW w:w="1701" w:type="dxa"/>
            <w:tcBorders>
              <w:bottom w:val="single" w:sz="4" w:space="0" w:color="auto"/>
            </w:tcBorders>
            <w:shd w:val="clear" w:color="auto" w:fill="auto"/>
          </w:tcPr>
          <w:p w14:paraId="5A332E97"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60 ups</w:t>
            </w:r>
          </w:p>
        </w:tc>
        <w:tc>
          <w:tcPr>
            <w:tcW w:w="1338" w:type="dxa"/>
            <w:tcBorders>
              <w:bottom w:val="single" w:sz="4" w:space="0" w:color="auto"/>
            </w:tcBorders>
            <w:shd w:val="clear" w:color="auto" w:fill="auto"/>
            <w:vAlign w:val="bottom"/>
          </w:tcPr>
          <w:p w14:paraId="788F2A66" w14:textId="2DD048BA"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r w:rsidR="0096145D">
              <w:rPr>
                <w:sz w:val="18"/>
                <w:szCs w:val="28"/>
                <w:lang w:bidi="th-TH"/>
              </w:rPr>
              <w:t xml:space="preserve"> </w:t>
            </w:r>
            <w:r w:rsidRPr="0096145D">
              <w:rPr>
                <w:sz w:val="18"/>
                <w:szCs w:val="28"/>
                <w:lang w:bidi="th-TH"/>
              </w:rPr>
              <w:t>971</w:t>
            </w:r>
          </w:p>
        </w:tc>
        <w:tc>
          <w:tcPr>
            <w:tcW w:w="1540" w:type="dxa"/>
            <w:tcBorders>
              <w:bottom w:val="single" w:sz="4" w:space="0" w:color="auto"/>
            </w:tcBorders>
            <w:shd w:val="clear" w:color="auto" w:fill="auto"/>
            <w:vAlign w:val="bottom"/>
          </w:tcPr>
          <w:p w14:paraId="275A7933"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925</w:t>
            </w:r>
          </w:p>
        </w:tc>
        <w:tc>
          <w:tcPr>
            <w:tcW w:w="1648" w:type="dxa"/>
            <w:tcBorders>
              <w:bottom w:val="single" w:sz="4" w:space="0" w:color="auto"/>
            </w:tcBorders>
            <w:shd w:val="clear" w:color="auto" w:fill="auto"/>
            <w:vAlign w:val="bottom"/>
          </w:tcPr>
          <w:p w14:paraId="54E873F7"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367" w:type="dxa"/>
            <w:tcBorders>
              <w:bottom w:val="single" w:sz="4" w:space="0" w:color="auto"/>
            </w:tcBorders>
            <w:shd w:val="clear" w:color="auto" w:fill="auto"/>
            <w:vAlign w:val="bottom"/>
          </w:tcPr>
          <w:p w14:paraId="74B5ADC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24</w:t>
            </w:r>
          </w:p>
        </w:tc>
        <w:tc>
          <w:tcPr>
            <w:tcW w:w="1398" w:type="dxa"/>
            <w:tcBorders>
              <w:bottom w:val="single" w:sz="4" w:space="0" w:color="auto"/>
            </w:tcBorders>
            <w:shd w:val="clear" w:color="auto" w:fill="auto"/>
            <w:vAlign w:val="bottom"/>
          </w:tcPr>
          <w:p w14:paraId="78D8D6CD"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0</w:t>
            </w:r>
          </w:p>
        </w:tc>
        <w:tc>
          <w:tcPr>
            <w:tcW w:w="1710" w:type="dxa"/>
            <w:tcBorders>
              <w:bottom w:val="single" w:sz="4" w:space="0" w:color="auto"/>
            </w:tcBorders>
            <w:shd w:val="clear" w:color="auto" w:fill="auto"/>
            <w:vAlign w:val="bottom"/>
          </w:tcPr>
          <w:p w14:paraId="31B56E22"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11</w:t>
            </w:r>
          </w:p>
        </w:tc>
      </w:tr>
      <w:tr w:rsidR="00695E59" w:rsidRPr="0096145D" w14:paraId="001F655D" w14:textId="77777777" w:rsidTr="00C665D4">
        <w:tc>
          <w:tcPr>
            <w:tcW w:w="1701" w:type="dxa"/>
            <w:tcBorders>
              <w:top w:val="single" w:sz="4" w:space="0" w:color="auto"/>
              <w:bottom w:val="single" w:sz="12" w:space="0" w:color="auto"/>
            </w:tcBorders>
            <w:shd w:val="clear" w:color="auto" w:fill="auto"/>
          </w:tcPr>
          <w:p w14:paraId="26A72C0B" w14:textId="77777777" w:rsidR="00695E59" w:rsidRPr="00F905F5" w:rsidRDefault="00695E59" w:rsidP="00F905F5">
            <w:pPr>
              <w:suppressAutoHyphens w:val="0"/>
              <w:spacing w:before="80" w:after="80" w:line="220" w:lineRule="exact"/>
              <w:ind w:left="283"/>
              <w:rPr>
                <w:b/>
                <w:bCs/>
                <w:sz w:val="18"/>
                <w:szCs w:val="28"/>
                <w:lang w:bidi="th-TH"/>
              </w:rPr>
            </w:pPr>
            <w:r w:rsidRPr="00F905F5">
              <w:rPr>
                <w:b/>
                <w:bCs/>
                <w:sz w:val="18"/>
                <w:szCs w:val="28"/>
                <w:lang w:bidi="th-TH"/>
              </w:rPr>
              <w:t>Total</w:t>
            </w:r>
          </w:p>
        </w:tc>
        <w:tc>
          <w:tcPr>
            <w:tcW w:w="1338" w:type="dxa"/>
            <w:tcBorders>
              <w:top w:val="single" w:sz="4" w:space="0" w:color="auto"/>
              <w:bottom w:val="single" w:sz="12" w:space="0" w:color="auto"/>
            </w:tcBorders>
            <w:shd w:val="clear" w:color="auto" w:fill="auto"/>
            <w:vAlign w:val="bottom"/>
          </w:tcPr>
          <w:p w14:paraId="765167C0" w14:textId="756E0018" w:rsidR="00695E59" w:rsidRPr="00F905F5" w:rsidRDefault="00695E59" w:rsidP="00F905F5">
            <w:pPr>
              <w:suppressAutoHyphens w:val="0"/>
              <w:spacing w:before="80" w:after="80" w:line="220" w:lineRule="exact"/>
              <w:ind w:right="113"/>
              <w:jc w:val="right"/>
              <w:rPr>
                <w:b/>
                <w:sz w:val="18"/>
                <w:szCs w:val="28"/>
                <w:lang w:bidi="th-TH"/>
              </w:rPr>
            </w:pPr>
            <w:r w:rsidRPr="00F905F5">
              <w:rPr>
                <w:b/>
                <w:sz w:val="18"/>
                <w:szCs w:val="28"/>
                <w:lang w:bidi="th-TH"/>
              </w:rPr>
              <w:t>311</w:t>
            </w:r>
            <w:r w:rsidR="0096145D" w:rsidRPr="00F905F5">
              <w:rPr>
                <w:b/>
                <w:sz w:val="18"/>
                <w:szCs w:val="28"/>
                <w:lang w:bidi="th-TH"/>
              </w:rPr>
              <w:t xml:space="preserve"> </w:t>
            </w:r>
            <w:r w:rsidRPr="00F905F5">
              <w:rPr>
                <w:b/>
                <w:sz w:val="18"/>
                <w:szCs w:val="28"/>
                <w:lang w:bidi="th-TH"/>
              </w:rPr>
              <w:t>525</w:t>
            </w:r>
          </w:p>
        </w:tc>
        <w:tc>
          <w:tcPr>
            <w:tcW w:w="1540" w:type="dxa"/>
            <w:tcBorders>
              <w:top w:val="single" w:sz="4" w:space="0" w:color="auto"/>
              <w:bottom w:val="single" w:sz="12" w:space="0" w:color="auto"/>
            </w:tcBorders>
            <w:shd w:val="clear" w:color="auto" w:fill="auto"/>
            <w:vAlign w:val="bottom"/>
          </w:tcPr>
          <w:p w14:paraId="2C063513" w14:textId="518F972F" w:rsidR="00695E59" w:rsidRPr="00F905F5" w:rsidRDefault="00695E59" w:rsidP="00F905F5">
            <w:pPr>
              <w:suppressAutoHyphens w:val="0"/>
              <w:spacing w:before="80" w:after="80" w:line="220" w:lineRule="exact"/>
              <w:ind w:right="113"/>
              <w:jc w:val="right"/>
              <w:rPr>
                <w:b/>
                <w:sz w:val="18"/>
                <w:szCs w:val="28"/>
                <w:lang w:bidi="th-TH"/>
              </w:rPr>
            </w:pPr>
            <w:r w:rsidRPr="00F905F5">
              <w:rPr>
                <w:b/>
                <w:sz w:val="18"/>
                <w:szCs w:val="28"/>
                <w:lang w:bidi="th-TH"/>
              </w:rPr>
              <w:t>63</w:t>
            </w:r>
            <w:r w:rsidR="0096145D" w:rsidRPr="00F905F5">
              <w:rPr>
                <w:b/>
                <w:sz w:val="18"/>
                <w:szCs w:val="28"/>
                <w:lang w:bidi="th-TH"/>
              </w:rPr>
              <w:t xml:space="preserve"> </w:t>
            </w:r>
            <w:r w:rsidRPr="00F905F5">
              <w:rPr>
                <w:b/>
                <w:sz w:val="18"/>
                <w:szCs w:val="28"/>
                <w:lang w:bidi="th-TH"/>
              </w:rPr>
              <w:t>372</w:t>
            </w:r>
          </w:p>
        </w:tc>
        <w:tc>
          <w:tcPr>
            <w:tcW w:w="1648" w:type="dxa"/>
            <w:tcBorders>
              <w:top w:val="single" w:sz="4" w:space="0" w:color="auto"/>
              <w:bottom w:val="single" w:sz="12" w:space="0" w:color="auto"/>
            </w:tcBorders>
            <w:shd w:val="clear" w:color="auto" w:fill="auto"/>
            <w:vAlign w:val="bottom"/>
          </w:tcPr>
          <w:p w14:paraId="052EEB5A" w14:textId="77777777" w:rsidR="00695E59" w:rsidRPr="00F905F5" w:rsidRDefault="00695E59" w:rsidP="00F905F5">
            <w:pPr>
              <w:suppressAutoHyphens w:val="0"/>
              <w:spacing w:before="80" w:after="80" w:line="220" w:lineRule="exact"/>
              <w:ind w:right="113"/>
              <w:jc w:val="right"/>
              <w:rPr>
                <w:b/>
                <w:sz w:val="18"/>
                <w:szCs w:val="28"/>
                <w:lang w:bidi="th-TH"/>
              </w:rPr>
            </w:pPr>
            <w:r w:rsidRPr="00F905F5">
              <w:rPr>
                <w:b/>
                <w:sz w:val="18"/>
                <w:szCs w:val="28"/>
                <w:lang w:bidi="th-TH"/>
              </w:rPr>
              <w:t>43</w:t>
            </w:r>
          </w:p>
        </w:tc>
        <w:tc>
          <w:tcPr>
            <w:tcW w:w="1367" w:type="dxa"/>
            <w:tcBorders>
              <w:top w:val="single" w:sz="4" w:space="0" w:color="auto"/>
              <w:bottom w:val="single" w:sz="12" w:space="0" w:color="auto"/>
            </w:tcBorders>
            <w:shd w:val="clear" w:color="auto" w:fill="auto"/>
            <w:vAlign w:val="bottom"/>
          </w:tcPr>
          <w:p w14:paraId="7407A02D" w14:textId="1E207BA7" w:rsidR="00695E59" w:rsidRPr="00F905F5" w:rsidRDefault="00695E59" w:rsidP="00F905F5">
            <w:pPr>
              <w:suppressAutoHyphens w:val="0"/>
              <w:spacing w:before="80" w:after="80" w:line="220" w:lineRule="exact"/>
              <w:ind w:right="113"/>
              <w:jc w:val="right"/>
              <w:rPr>
                <w:b/>
                <w:sz w:val="18"/>
                <w:szCs w:val="28"/>
                <w:lang w:bidi="th-TH"/>
              </w:rPr>
            </w:pPr>
            <w:r w:rsidRPr="00F905F5">
              <w:rPr>
                <w:b/>
                <w:sz w:val="18"/>
                <w:szCs w:val="28"/>
                <w:lang w:bidi="th-TH"/>
              </w:rPr>
              <w:t>1</w:t>
            </w:r>
            <w:r w:rsidR="0096145D" w:rsidRPr="00F905F5">
              <w:rPr>
                <w:b/>
                <w:sz w:val="18"/>
                <w:szCs w:val="28"/>
                <w:lang w:bidi="th-TH"/>
              </w:rPr>
              <w:t xml:space="preserve"> </w:t>
            </w:r>
            <w:r w:rsidRPr="00F905F5">
              <w:rPr>
                <w:b/>
                <w:sz w:val="18"/>
                <w:szCs w:val="28"/>
                <w:lang w:bidi="th-TH"/>
              </w:rPr>
              <w:t>786</w:t>
            </w:r>
          </w:p>
        </w:tc>
        <w:tc>
          <w:tcPr>
            <w:tcW w:w="1398" w:type="dxa"/>
            <w:tcBorders>
              <w:top w:val="single" w:sz="4" w:space="0" w:color="auto"/>
              <w:bottom w:val="single" w:sz="12" w:space="0" w:color="auto"/>
            </w:tcBorders>
            <w:shd w:val="clear" w:color="auto" w:fill="auto"/>
            <w:vAlign w:val="bottom"/>
          </w:tcPr>
          <w:p w14:paraId="6398DF4C" w14:textId="77777777" w:rsidR="00695E59" w:rsidRPr="00F905F5" w:rsidRDefault="00695E59" w:rsidP="00F905F5">
            <w:pPr>
              <w:suppressAutoHyphens w:val="0"/>
              <w:spacing w:before="80" w:after="80" w:line="220" w:lineRule="exact"/>
              <w:ind w:right="113"/>
              <w:jc w:val="right"/>
              <w:rPr>
                <w:b/>
                <w:sz w:val="18"/>
                <w:szCs w:val="28"/>
                <w:lang w:bidi="th-TH"/>
              </w:rPr>
            </w:pPr>
            <w:r w:rsidRPr="00F905F5">
              <w:rPr>
                <w:b/>
                <w:sz w:val="18"/>
                <w:szCs w:val="28"/>
                <w:lang w:bidi="th-TH"/>
              </w:rPr>
              <w:t>40</w:t>
            </w:r>
          </w:p>
        </w:tc>
        <w:tc>
          <w:tcPr>
            <w:tcW w:w="1710" w:type="dxa"/>
            <w:tcBorders>
              <w:top w:val="single" w:sz="4" w:space="0" w:color="auto"/>
              <w:bottom w:val="single" w:sz="12" w:space="0" w:color="auto"/>
            </w:tcBorders>
            <w:shd w:val="clear" w:color="auto" w:fill="auto"/>
            <w:vAlign w:val="bottom"/>
          </w:tcPr>
          <w:p w14:paraId="7ABB57AC" w14:textId="79229D11" w:rsidR="00695E59" w:rsidRPr="00F905F5" w:rsidRDefault="00695E59" w:rsidP="00F905F5">
            <w:pPr>
              <w:suppressAutoHyphens w:val="0"/>
              <w:spacing w:before="80" w:after="80" w:line="220" w:lineRule="exact"/>
              <w:ind w:right="113"/>
              <w:jc w:val="right"/>
              <w:rPr>
                <w:b/>
                <w:sz w:val="18"/>
                <w:szCs w:val="28"/>
                <w:lang w:bidi="th-TH"/>
              </w:rPr>
            </w:pPr>
            <w:r w:rsidRPr="00F905F5">
              <w:rPr>
                <w:b/>
                <w:sz w:val="18"/>
                <w:szCs w:val="28"/>
                <w:lang w:bidi="th-TH"/>
              </w:rPr>
              <w:t>1</w:t>
            </w:r>
            <w:r w:rsidR="0096145D" w:rsidRPr="00F905F5">
              <w:rPr>
                <w:b/>
                <w:sz w:val="18"/>
                <w:szCs w:val="28"/>
                <w:lang w:bidi="th-TH"/>
              </w:rPr>
              <w:t xml:space="preserve"> </w:t>
            </w:r>
            <w:r w:rsidRPr="00F905F5">
              <w:rPr>
                <w:b/>
                <w:sz w:val="18"/>
                <w:szCs w:val="28"/>
                <w:lang w:bidi="th-TH"/>
              </w:rPr>
              <w:t>796</w:t>
            </w:r>
          </w:p>
        </w:tc>
      </w:tr>
    </w:tbl>
    <w:p w14:paraId="076174B6" w14:textId="77777777" w:rsidR="00695E59" w:rsidRPr="00671D9E" w:rsidRDefault="00695E59" w:rsidP="0096145D">
      <w:pPr>
        <w:pStyle w:val="H23G"/>
        <w:rPr>
          <w:lang w:bidi="th-TH"/>
        </w:rPr>
      </w:pPr>
      <w:r w:rsidRPr="00671D9E">
        <w:rPr>
          <w:lang w:bidi="th-TH"/>
        </w:rPr>
        <w:tab/>
      </w:r>
      <w:r w:rsidRPr="00671D9E">
        <w:rPr>
          <w:lang w:bidi="th-TH"/>
        </w:rPr>
        <w:tab/>
        <w:t>Disaggregated by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14"/>
        <w:gridCol w:w="1039"/>
        <w:gridCol w:w="1068"/>
        <w:gridCol w:w="1197"/>
        <w:gridCol w:w="994"/>
        <w:gridCol w:w="1016"/>
        <w:gridCol w:w="1242"/>
      </w:tblGrid>
      <w:tr w:rsidR="00695E59" w:rsidRPr="0096145D" w14:paraId="5052268F" w14:textId="77777777" w:rsidTr="0096145D">
        <w:trPr>
          <w:tblHeader/>
        </w:trPr>
        <w:tc>
          <w:tcPr>
            <w:tcW w:w="1119" w:type="dxa"/>
            <w:tcBorders>
              <w:top w:val="single" w:sz="4" w:space="0" w:color="auto"/>
              <w:bottom w:val="single" w:sz="12" w:space="0" w:color="auto"/>
            </w:tcBorders>
            <w:shd w:val="clear" w:color="auto" w:fill="auto"/>
            <w:vAlign w:val="bottom"/>
          </w:tcPr>
          <w:p w14:paraId="40C70C5C" w14:textId="77777777" w:rsidR="00695E59" w:rsidRPr="0096145D" w:rsidRDefault="00695E59" w:rsidP="0096145D">
            <w:pPr>
              <w:suppressAutoHyphens w:val="0"/>
              <w:spacing w:before="80" w:after="80" w:line="200" w:lineRule="exact"/>
              <w:ind w:right="113"/>
              <w:rPr>
                <w:bCs/>
                <w:i/>
                <w:sz w:val="16"/>
                <w:szCs w:val="28"/>
                <w:lang w:bidi="th-TH"/>
              </w:rPr>
            </w:pPr>
            <w:r w:rsidRPr="0096145D">
              <w:rPr>
                <w:bCs/>
                <w:i/>
                <w:sz w:val="16"/>
                <w:szCs w:val="28"/>
                <w:lang w:bidi="th-TH"/>
              </w:rPr>
              <w:t>Gender</w:t>
            </w:r>
          </w:p>
        </w:tc>
        <w:tc>
          <w:tcPr>
            <w:tcW w:w="1430" w:type="dxa"/>
            <w:tcBorders>
              <w:top w:val="single" w:sz="4" w:space="0" w:color="auto"/>
              <w:bottom w:val="single" w:sz="12" w:space="0" w:color="auto"/>
            </w:tcBorders>
            <w:shd w:val="clear" w:color="auto" w:fill="auto"/>
            <w:vAlign w:val="bottom"/>
          </w:tcPr>
          <w:p w14:paraId="2F31FFA3"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Convicted Prisoners</w:t>
            </w:r>
          </w:p>
        </w:tc>
        <w:tc>
          <w:tcPr>
            <w:tcW w:w="1469" w:type="dxa"/>
            <w:tcBorders>
              <w:top w:val="single" w:sz="4" w:space="0" w:color="auto"/>
              <w:bottom w:val="single" w:sz="12" w:space="0" w:color="auto"/>
            </w:tcBorders>
            <w:shd w:val="clear" w:color="auto" w:fill="auto"/>
            <w:vAlign w:val="bottom"/>
          </w:tcPr>
          <w:p w14:paraId="2C28DE5E"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Prisoners on Remand</w:t>
            </w:r>
          </w:p>
        </w:tc>
        <w:tc>
          <w:tcPr>
            <w:tcW w:w="1648" w:type="dxa"/>
            <w:tcBorders>
              <w:top w:val="single" w:sz="4" w:space="0" w:color="auto"/>
              <w:bottom w:val="single" w:sz="12" w:space="0" w:color="auto"/>
            </w:tcBorders>
            <w:shd w:val="clear" w:color="auto" w:fill="auto"/>
            <w:vAlign w:val="bottom"/>
          </w:tcPr>
          <w:p w14:paraId="36E780EF"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Juvenile Delinquents</w:t>
            </w:r>
          </w:p>
        </w:tc>
        <w:tc>
          <w:tcPr>
            <w:tcW w:w="1367" w:type="dxa"/>
            <w:tcBorders>
              <w:top w:val="single" w:sz="4" w:space="0" w:color="auto"/>
              <w:bottom w:val="single" w:sz="12" w:space="0" w:color="auto"/>
            </w:tcBorders>
            <w:shd w:val="clear" w:color="auto" w:fill="auto"/>
            <w:vAlign w:val="bottom"/>
          </w:tcPr>
          <w:p w14:paraId="6A4A20EC"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Detainees</w:t>
            </w:r>
          </w:p>
        </w:tc>
        <w:tc>
          <w:tcPr>
            <w:tcW w:w="1398" w:type="dxa"/>
            <w:tcBorders>
              <w:top w:val="single" w:sz="4" w:space="0" w:color="auto"/>
              <w:bottom w:val="single" w:sz="12" w:space="0" w:color="auto"/>
            </w:tcBorders>
            <w:shd w:val="clear" w:color="auto" w:fill="auto"/>
            <w:vAlign w:val="bottom"/>
          </w:tcPr>
          <w:p w14:paraId="38DDDE3E"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Relegated Prisoners</w:t>
            </w:r>
          </w:p>
        </w:tc>
        <w:tc>
          <w:tcPr>
            <w:tcW w:w="1710" w:type="dxa"/>
            <w:tcBorders>
              <w:top w:val="single" w:sz="4" w:space="0" w:color="auto"/>
              <w:bottom w:val="single" w:sz="12" w:space="0" w:color="auto"/>
            </w:tcBorders>
            <w:shd w:val="clear" w:color="auto" w:fill="auto"/>
            <w:vAlign w:val="bottom"/>
          </w:tcPr>
          <w:p w14:paraId="32A3C891" w14:textId="77777777" w:rsidR="00695E59" w:rsidRPr="0096145D" w:rsidRDefault="00695E59" w:rsidP="0096145D">
            <w:pPr>
              <w:suppressAutoHyphens w:val="0"/>
              <w:spacing w:before="80" w:after="80" w:line="200" w:lineRule="exact"/>
              <w:ind w:right="113"/>
              <w:jc w:val="right"/>
              <w:rPr>
                <w:bCs/>
                <w:i/>
                <w:sz w:val="16"/>
                <w:szCs w:val="28"/>
                <w:lang w:bidi="th-TH"/>
              </w:rPr>
            </w:pPr>
            <w:r w:rsidRPr="0096145D">
              <w:rPr>
                <w:bCs/>
                <w:i/>
                <w:sz w:val="16"/>
                <w:szCs w:val="28"/>
                <w:lang w:bidi="th-TH"/>
              </w:rPr>
              <w:t>Unidentified</w:t>
            </w:r>
          </w:p>
        </w:tc>
      </w:tr>
      <w:tr w:rsidR="00695E59" w:rsidRPr="0096145D" w14:paraId="7EFBD114" w14:textId="77777777" w:rsidTr="0096145D">
        <w:tc>
          <w:tcPr>
            <w:tcW w:w="1119" w:type="dxa"/>
            <w:tcBorders>
              <w:top w:val="single" w:sz="12" w:space="0" w:color="auto"/>
            </w:tcBorders>
            <w:shd w:val="clear" w:color="auto" w:fill="auto"/>
          </w:tcPr>
          <w:p w14:paraId="7A9E2B84"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Male</w:t>
            </w:r>
          </w:p>
        </w:tc>
        <w:tc>
          <w:tcPr>
            <w:tcW w:w="1430" w:type="dxa"/>
            <w:tcBorders>
              <w:top w:val="single" w:sz="12" w:space="0" w:color="auto"/>
            </w:tcBorders>
            <w:shd w:val="clear" w:color="auto" w:fill="auto"/>
            <w:vAlign w:val="bottom"/>
          </w:tcPr>
          <w:p w14:paraId="20F8528D" w14:textId="0A77693C"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271</w:t>
            </w:r>
            <w:r w:rsidR="0096145D">
              <w:rPr>
                <w:sz w:val="18"/>
                <w:szCs w:val="28"/>
                <w:lang w:bidi="th-TH"/>
              </w:rPr>
              <w:t xml:space="preserve"> </w:t>
            </w:r>
            <w:r w:rsidRPr="0096145D">
              <w:rPr>
                <w:sz w:val="18"/>
                <w:szCs w:val="28"/>
                <w:lang w:bidi="th-TH"/>
              </w:rPr>
              <w:t>384</w:t>
            </w:r>
          </w:p>
        </w:tc>
        <w:tc>
          <w:tcPr>
            <w:tcW w:w="1469" w:type="dxa"/>
            <w:tcBorders>
              <w:top w:val="single" w:sz="12" w:space="0" w:color="auto"/>
            </w:tcBorders>
            <w:shd w:val="clear" w:color="auto" w:fill="auto"/>
            <w:vAlign w:val="bottom"/>
          </w:tcPr>
          <w:p w14:paraId="7183BEC4" w14:textId="61D2A99C"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55</w:t>
            </w:r>
            <w:r w:rsidR="0096145D">
              <w:rPr>
                <w:sz w:val="18"/>
                <w:szCs w:val="28"/>
                <w:lang w:bidi="th-TH"/>
              </w:rPr>
              <w:t xml:space="preserve"> </w:t>
            </w:r>
            <w:r w:rsidRPr="0096145D">
              <w:rPr>
                <w:sz w:val="18"/>
                <w:szCs w:val="28"/>
                <w:lang w:bidi="th-TH"/>
              </w:rPr>
              <w:t>822</w:t>
            </w:r>
          </w:p>
        </w:tc>
        <w:tc>
          <w:tcPr>
            <w:tcW w:w="1648" w:type="dxa"/>
            <w:tcBorders>
              <w:top w:val="single" w:sz="12" w:space="0" w:color="auto"/>
            </w:tcBorders>
            <w:shd w:val="clear" w:color="auto" w:fill="auto"/>
            <w:vAlign w:val="bottom"/>
          </w:tcPr>
          <w:p w14:paraId="663A5359"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42</w:t>
            </w:r>
          </w:p>
        </w:tc>
        <w:tc>
          <w:tcPr>
            <w:tcW w:w="1367" w:type="dxa"/>
            <w:tcBorders>
              <w:top w:val="single" w:sz="12" w:space="0" w:color="auto"/>
            </w:tcBorders>
            <w:shd w:val="clear" w:color="auto" w:fill="auto"/>
            <w:vAlign w:val="bottom"/>
          </w:tcPr>
          <w:p w14:paraId="669C57C5" w14:textId="44929071"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r w:rsidR="0096145D">
              <w:rPr>
                <w:sz w:val="18"/>
                <w:szCs w:val="28"/>
                <w:lang w:bidi="th-TH"/>
              </w:rPr>
              <w:t xml:space="preserve"> </w:t>
            </w:r>
            <w:r w:rsidRPr="0096145D">
              <w:rPr>
                <w:sz w:val="18"/>
                <w:szCs w:val="28"/>
                <w:lang w:bidi="th-TH"/>
              </w:rPr>
              <w:t>615</w:t>
            </w:r>
          </w:p>
        </w:tc>
        <w:tc>
          <w:tcPr>
            <w:tcW w:w="1398" w:type="dxa"/>
            <w:tcBorders>
              <w:top w:val="single" w:sz="12" w:space="0" w:color="auto"/>
            </w:tcBorders>
            <w:shd w:val="clear" w:color="auto" w:fill="auto"/>
            <w:vAlign w:val="bottom"/>
          </w:tcPr>
          <w:p w14:paraId="16E003A0"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35</w:t>
            </w:r>
          </w:p>
        </w:tc>
        <w:tc>
          <w:tcPr>
            <w:tcW w:w="1710" w:type="dxa"/>
            <w:tcBorders>
              <w:top w:val="single" w:sz="12" w:space="0" w:color="auto"/>
            </w:tcBorders>
            <w:shd w:val="clear" w:color="auto" w:fill="auto"/>
            <w:vAlign w:val="bottom"/>
          </w:tcPr>
          <w:p w14:paraId="2AF7C98C" w14:textId="5CF6CA48"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r w:rsidR="0096145D">
              <w:rPr>
                <w:sz w:val="18"/>
                <w:szCs w:val="28"/>
                <w:lang w:bidi="th-TH"/>
              </w:rPr>
              <w:t xml:space="preserve"> </w:t>
            </w:r>
            <w:r w:rsidRPr="0096145D">
              <w:rPr>
                <w:sz w:val="18"/>
                <w:szCs w:val="28"/>
                <w:lang w:bidi="th-TH"/>
              </w:rPr>
              <w:t>641</w:t>
            </w:r>
          </w:p>
        </w:tc>
      </w:tr>
      <w:tr w:rsidR="00695E59" w:rsidRPr="0096145D" w14:paraId="2FB23B67" w14:textId="77777777" w:rsidTr="00C665D4">
        <w:tc>
          <w:tcPr>
            <w:tcW w:w="1119" w:type="dxa"/>
            <w:tcBorders>
              <w:bottom w:val="single" w:sz="4" w:space="0" w:color="auto"/>
            </w:tcBorders>
            <w:shd w:val="clear" w:color="auto" w:fill="auto"/>
          </w:tcPr>
          <w:p w14:paraId="1D90E893" w14:textId="77777777" w:rsidR="00695E59" w:rsidRPr="0096145D" w:rsidRDefault="00695E59" w:rsidP="0096145D">
            <w:pPr>
              <w:suppressAutoHyphens w:val="0"/>
              <w:spacing w:before="40" w:after="40" w:line="220" w:lineRule="exact"/>
              <w:ind w:right="113"/>
              <w:rPr>
                <w:sz w:val="18"/>
                <w:szCs w:val="28"/>
                <w:lang w:bidi="th-TH"/>
              </w:rPr>
            </w:pPr>
            <w:r w:rsidRPr="0096145D">
              <w:rPr>
                <w:sz w:val="18"/>
                <w:szCs w:val="28"/>
                <w:lang w:bidi="th-TH"/>
              </w:rPr>
              <w:t>Female</w:t>
            </w:r>
          </w:p>
        </w:tc>
        <w:tc>
          <w:tcPr>
            <w:tcW w:w="1430" w:type="dxa"/>
            <w:tcBorders>
              <w:bottom w:val="single" w:sz="4" w:space="0" w:color="auto"/>
            </w:tcBorders>
            <w:shd w:val="clear" w:color="auto" w:fill="auto"/>
            <w:vAlign w:val="bottom"/>
          </w:tcPr>
          <w:p w14:paraId="5B371010" w14:textId="5EC49812"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40</w:t>
            </w:r>
            <w:r w:rsidR="0096145D">
              <w:rPr>
                <w:sz w:val="18"/>
                <w:szCs w:val="28"/>
                <w:lang w:bidi="th-TH"/>
              </w:rPr>
              <w:t xml:space="preserve"> </w:t>
            </w:r>
            <w:r w:rsidRPr="0096145D">
              <w:rPr>
                <w:sz w:val="18"/>
                <w:szCs w:val="28"/>
                <w:lang w:bidi="th-TH"/>
              </w:rPr>
              <w:t>141</w:t>
            </w:r>
          </w:p>
        </w:tc>
        <w:tc>
          <w:tcPr>
            <w:tcW w:w="1469" w:type="dxa"/>
            <w:tcBorders>
              <w:bottom w:val="single" w:sz="4" w:space="0" w:color="auto"/>
            </w:tcBorders>
            <w:shd w:val="clear" w:color="auto" w:fill="auto"/>
            <w:vAlign w:val="bottom"/>
          </w:tcPr>
          <w:p w14:paraId="6A702CA6" w14:textId="354D2CB2"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7</w:t>
            </w:r>
            <w:r w:rsidR="0096145D">
              <w:rPr>
                <w:sz w:val="18"/>
                <w:szCs w:val="28"/>
                <w:lang w:bidi="th-TH"/>
              </w:rPr>
              <w:t xml:space="preserve"> </w:t>
            </w:r>
            <w:r w:rsidRPr="0096145D">
              <w:rPr>
                <w:sz w:val="18"/>
                <w:szCs w:val="28"/>
                <w:lang w:bidi="th-TH"/>
              </w:rPr>
              <w:t>550</w:t>
            </w:r>
          </w:p>
        </w:tc>
        <w:tc>
          <w:tcPr>
            <w:tcW w:w="1648" w:type="dxa"/>
            <w:tcBorders>
              <w:bottom w:val="single" w:sz="4" w:space="0" w:color="auto"/>
            </w:tcBorders>
            <w:shd w:val="clear" w:color="auto" w:fill="auto"/>
            <w:vAlign w:val="bottom"/>
          </w:tcPr>
          <w:p w14:paraId="6C6DB94A"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w:t>
            </w:r>
          </w:p>
        </w:tc>
        <w:tc>
          <w:tcPr>
            <w:tcW w:w="1367" w:type="dxa"/>
            <w:tcBorders>
              <w:bottom w:val="single" w:sz="4" w:space="0" w:color="auto"/>
            </w:tcBorders>
            <w:shd w:val="clear" w:color="auto" w:fill="auto"/>
            <w:vAlign w:val="bottom"/>
          </w:tcPr>
          <w:p w14:paraId="486A35AE"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171</w:t>
            </w:r>
          </w:p>
        </w:tc>
        <w:tc>
          <w:tcPr>
            <w:tcW w:w="1398" w:type="dxa"/>
            <w:tcBorders>
              <w:bottom w:val="single" w:sz="4" w:space="0" w:color="auto"/>
            </w:tcBorders>
            <w:shd w:val="clear" w:color="auto" w:fill="auto"/>
            <w:vAlign w:val="bottom"/>
          </w:tcPr>
          <w:p w14:paraId="2D9A4055"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5</w:t>
            </w:r>
          </w:p>
        </w:tc>
        <w:tc>
          <w:tcPr>
            <w:tcW w:w="1710" w:type="dxa"/>
            <w:tcBorders>
              <w:bottom w:val="single" w:sz="4" w:space="0" w:color="auto"/>
            </w:tcBorders>
            <w:shd w:val="clear" w:color="auto" w:fill="auto"/>
            <w:vAlign w:val="bottom"/>
          </w:tcPr>
          <w:p w14:paraId="11A2DAD8" w14:textId="77777777" w:rsidR="00695E59" w:rsidRPr="0096145D" w:rsidRDefault="00695E59" w:rsidP="0096145D">
            <w:pPr>
              <w:suppressAutoHyphens w:val="0"/>
              <w:spacing w:before="40" w:after="40" w:line="220" w:lineRule="exact"/>
              <w:ind w:right="113"/>
              <w:jc w:val="right"/>
              <w:rPr>
                <w:sz w:val="18"/>
                <w:szCs w:val="28"/>
                <w:lang w:bidi="th-TH"/>
              </w:rPr>
            </w:pPr>
            <w:r w:rsidRPr="0096145D">
              <w:rPr>
                <w:sz w:val="18"/>
                <w:szCs w:val="28"/>
                <w:lang w:bidi="th-TH"/>
              </w:rPr>
              <w:t>155</w:t>
            </w:r>
          </w:p>
        </w:tc>
      </w:tr>
      <w:tr w:rsidR="00695E59" w:rsidRPr="00F905F5" w14:paraId="6A3F5AAB" w14:textId="77777777" w:rsidTr="00C665D4">
        <w:tc>
          <w:tcPr>
            <w:tcW w:w="1119" w:type="dxa"/>
            <w:tcBorders>
              <w:top w:val="single" w:sz="4" w:space="0" w:color="auto"/>
              <w:bottom w:val="single" w:sz="12" w:space="0" w:color="auto"/>
            </w:tcBorders>
            <w:shd w:val="clear" w:color="auto" w:fill="auto"/>
          </w:tcPr>
          <w:p w14:paraId="639DBB54" w14:textId="77777777" w:rsidR="00695E59" w:rsidRPr="00F905F5" w:rsidRDefault="00695E59" w:rsidP="00F905F5">
            <w:pPr>
              <w:suppressAutoHyphens w:val="0"/>
              <w:spacing w:before="80" w:after="80" w:line="220" w:lineRule="exact"/>
              <w:ind w:left="283"/>
              <w:rPr>
                <w:b/>
                <w:bCs/>
                <w:sz w:val="18"/>
                <w:szCs w:val="28"/>
                <w:lang w:bidi="th-TH"/>
              </w:rPr>
            </w:pPr>
            <w:r w:rsidRPr="00F905F5">
              <w:rPr>
                <w:b/>
                <w:bCs/>
                <w:sz w:val="18"/>
                <w:szCs w:val="28"/>
                <w:lang w:bidi="th-TH"/>
              </w:rPr>
              <w:t>Total</w:t>
            </w:r>
          </w:p>
        </w:tc>
        <w:tc>
          <w:tcPr>
            <w:tcW w:w="1430" w:type="dxa"/>
            <w:tcBorders>
              <w:top w:val="single" w:sz="4" w:space="0" w:color="auto"/>
              <w:bottom w:val="single" w:sz="12" w:space="0" w:color="auto"/>
            </w:tcBorders>
            <w:shd w:val="clear" w:color="auto" w:fill="auto"/>
            <w:vAlign w:val="bottom"/>
          </w:tcPr>
          <w:p w14:paraId="35286859" w14:textId="7C53ED77" w:rsidR="00695E59" w:rsidRPr="00F905F5" w:rsidRDefault="00695E59" w:rsidP="00F905F5">
            <w:pPr>
              <w:suppressAutoHyphens w:val="0"/>
              <w:spacing w:before="80" w:after="80" w:line="220" w:lineRule="exact"/>
              <w:ind w:right="113"/>
              <w:jc w:val="right"/>
              <w:rPr>
                <w:b/>
                <w:bCs/>
                <w:sz w:val="18"/>
                <w:szCs w:val="28"/>
                <w:lang w:bidi="th-TH"/>
              </w:rPr>
            </w:pPr>
            <w:r w:rsidRPr="00F905F5">
              <w:rPr>
                <w:b/>
                <w:bCs/>
                <w:sz w:val="18"/>
                <w:szCs w:val="28"/>
                <w:lang w:bidi="th-TH"/>
              </w:rPr>
              <w:t>311</w:t>
            </w:r>
            <w:r w:rsidR="0096145D" w:rsidRPr="00F905F5">
              <w:rPr>
                <w:b/>
                <w:bCs/>
                <w:sz w:val="18"/>
                <w:szCs w:val="28"/>
                <w:lang w:bidi="th-TH"/>
              </w:rPr>
              <w:t xml:space="preserve"> </w:t>
            </w:r>
            <w:r w:rsidRPr="00F905F5">
              <w:rPr>
                <w:b/>
                <w:bCs/>
                <w:sz w:val="18"/>
                <w:szCs w:val="28"/>
                <w:lang w:bidi="th-TH"/>
              </w:rPr>
              <w:t>525</w:t>
            </w:r>
          </w:p>
        </w:tc>
        <w:tc>
          <w:tcPr>
            <w:tcW w:w="1469" w:type="dxa"/>
            <w:tcBorders>
              <w:top w:val="single" w:sz="4" w:space="0" w:color="auto"/>
              <w:bottom w:val="single" w:sz="12" w:space="0" w:color="auto"/>
            </w:tcBorders>
            <w:shd w:val="clear" w:color="auto" w:fill="auto"/>
            <w:vAlign w:val="bottom"/>
          </w:tcPr>
          <w:p w14:paraId="6A37E836" w14:textId="6E45FBA8" w:rsidR="00695E59" w:rsidRPr="00F905F5" w:rsidRDefault="00695E59" w:rsidP="00F905F5">
            <w:pPr>
              <w:suppressAutoHyphens w:val="0"/>
              <w:spacing w:before="80" w:after="80" w:line="220" w:lineRule="exact"/>
              <w:ind w:right="113"/>
              <w:jc w:val="right"/>
              <w:rPr>
                <w:b/>
                <w:bCs/>
                <w:sz w:val="18"/>
                <w:szCs w:val="28"/>
                <w:lang w:bidi="th-TH"/>
              </w:rPr>
            </w:pPr>
            <w:r w:rsidRPr="00F905F5">
              <w:rPr>
                <w:b/>
                <w:bCs/>
                <w:sz w:val="18"/>
                <w:szCs w:val="28"/>
                <w:lang w:bidi="th-TH"/>
              </w:rPr>
              <w:t>63</w:t>
            </w:r>
            <w:r w:rsidR="0096145D" w:rsidRPr="00F905F5">
              <w:rPr>
                <w:b/>
                <w:bCs/>
                <w:sz w:val="18"/>
                <w:szCs w:val="28"/>
                <w:lang w:bidi="th-TH"/>
              </w:rPr>
              <w:t xml:space="preserve"> </w:t>
            </w:r>
            <w:r w:rsidRPr="00F905F5">
              <w:rPr>
                <w:b/>
                <w:bCs/>
                <w:sz w:val="18"/>
                <w:szCs w:val="28"/>
                <w:lang w:bidi="th-TH"/>
              </w:rPr>
              <w:t>372</w:t>
            </w:r>
          </w:p>
        </w:tc>
        <w:tc>
          <w:tcPr>
            <w:tcW w:w="1648" w:type="dxa"/>
            <w:tcBorders>
              <w:top w:val="single" w:sz="4" w:space="0" w:color="auto"/>
              <w:bottom w:val="single" w:sz="12" w:space="0" w:color="auto"/>
            </w:tcBorders>
            <w:shd w:val="clear" w:color="auto" w:fill="auto"/>
            <w:vAlign w:val="bottom"/>
          </w:tcPr>
          <w:p w14:paraId="7DD43D33" w14:textId="77777777" w:rsidR="00695E59" w:rsidRPr="00F905F5" w:rsidRDefault="00695E59" w:rsidP="00F905F5">
            <w:pPr>
              <w:suppressAutoHyphens w:val="0"/>
              <w:spacing w:before="80" w:after="80" w:line="220" w:lineRule="exact"/>
              <w:ind w:right="113"/>
              <w:jc w:val="right"/>
              <w:rPr>
                <w:b/>
                <w:bCs/>
                <w:sz w:val="18"/>
                <w:szCs w:val="28"/>
                <w:lang w:bidi="th-TH"/>
              </w:rPr>
            </w:pPr>
            <w:r w:rsidRPr="00F905F5">
              <w:rPr>
                <w:b/>
                <w:bCs/>
                <w:sz w:val="18"/>
                <w:szCs w:val="28"/>
                <w:lang w:bidi="th-TH"/>
              </w:rPr>
              <w:t>43</w:t>
            </w:r>
          </w:p>
        </w:tc>
        <w:tc>
          <w:tcPr>
            <w:tcW w:w="1367" w:type="dxa"/>
            <w:tcBorders>
              <w:top w:val="single" w:sz="4" w:space="0" w:color="auto"/>
              <w:bottom w:val="single" w:sz="12" w:space="0" w:color="auto"/>
            </w:tcBorders>
            <w:shd w:val="clear" w:color="auto" w:fill="auto"/>
            <w:vAlign w:val="bottom"/>
          </w:tcPr>
          <w:p w14:paraId="523CC8B5" w14:textId="259E6A3C" w:rsidR="00695E59" w:rsidRPr="00F905F5" w:rsidRDefault="00695E59" w:rsidP="00F905F5">
            <w:pPr>
              <w:suppressAutoHyphens w:val="0"/>
              <w:spacing w:before="80" w:after="80" w:line="220" w:lineRule="exact"/>
              <w:ind w:right="113"/>
              <w:jc w:val="right"/>
              <w:rPr>
                <w:b/>
                <w:bCs/>
                <w:sz w:val="18"/>
                <w:szCs w:val="28"/>
                <w:lang w:bidi="th-TH"/>
              </w:rPr>
            </w:pPr>
            <w:r w:rsidRPr="00F905F5">
              <w:rPr>
                <w:b/>
                <w:bCs/>
                <w:sz w:val="18"/>
                <w:szCs w:val="28"/>
                <w:lang w:bidi="th-TH"/>
              </w:rPr>
              <w:t>1</w:t>
            </w:r>
            <w:r w:rsidR="0096145D" w:rsidRPr="00F905F5">
              <w:rPr>
                <w:b/>
                <w:bCs/>
                <w:sz w:val="18"/>
                <w:szCs w:val="28"/>
                <w:lang w:bidi="th-TH"/>
              </w:rPr>
              <w:t xml:space="preserve"> </w:t>
            </w:r>
            <w:r w:rsidRPr="00F905F5">
              <w:rPr>
                <w:b/>
                <w:bCs/>
                <w:sz w:val="18"/>
                <w:szCs w:val="28"/>
                <w:lang w:bidi="th-TH"/>
              </w:rPr>
              <w:t>786</w:t>
            </w:r>
          </w:p>
        </w:tc>
        <w:tc>
          <w:tcPr>
            <w:tcW w:w="1398" w:type="dxa"/>
            <w:tcBorders>
              <w:top w:val="single" w:sz="4" w:space="0" w:color="auto"/>
              <w:bottom w:val="single" w:sz="12" w:space="0" w:color="auto"/>
            </w:tcBorders>
            <w:shd w:val="clear" w:color="auto" w:fill="auto"/>
            <w:vAlign w:val="bottom"/>
          </w:tcPr>
          <w:p w14:paraId="00ECB946" w14:textId="77777777" w:rsidR="00695E59" w:rsidRPr="00F905F5" w:rsidRDefault="00695E59" w:rsidP="00F905F5">
            <w:pPr>
              <w:suppressAutoHyphens w:val="0"/>
              <w:spacing w:before="80" w:after="80" w:line="220" w:lineRule="exact"/>
              <w:ind w:right="113"/>
              <w:jc w:val="right"/>
              <w:rPr>
                <w:b/>
                <w:bCs/>
                <w:sz w:val="18"/>
                <w:szCs w:val="28"/>
                <w:lang w:bidi="th-TH"/>
              </w:rPr>
            </w:pPr>
            <w:r w:rsidRPr="00F905F5">
              <w:rPr>
                <w:b/>
                <w:bCs/>
                <w:sz w:val="18"/>
                <w:szCs w:val="28"/>
                <w:lang w:bidi="th-TH"/>
              </w:rPr>
              <w:t>40</w:t>
            </w:r>
          </w:p>
        </w:tc>
        <w:tc>
          <w:tcPr>
            <w:tcW w:w="1710" w:type="dxa"/>
            <w:tcBorders>
              <w:top w:val="single" w:sz="4" w:space="0" w:color="auto"/>
              <w:bottom w:val="single" w:sz="12" w:space="0" w:color="auto"/>
            </w:tcBorders>
            <w:shd w:val="clear" w:color="auto" w:fill="auto"/>
            <w:vAlign w:val="bottom"/>
          </w:tcPr>
          <w:p w14:paraId="148C6D07" w14:textId="40B355A4" w:rsidR="00695E59" w:rsidRPr="00F905F5" w:rsidRDefault="00695E59" w:rsidP="00F905F5">
            <w:pPr>
              <w:suppressAutoHyphens w:val="0"/>
              <w:spacing w:before="80" w:after="80" w:line="220" w:lineRule="exact"/>
              <w:ind w:right="113"/>
              <w:jc w:val="right"/>
              <w:rPr>
                <w:b/>
                <w:bCs/>
                <w:sz w:val="18"/>
                <w:szCs w:val="28"/>
                <w:lang w:bidi="th-TH"/>
              </w:rPr>
            </w:pPr>
            <w:r w:rsidRPr="00F905F5">
              <w:rPr>
                <w:b/>
                <w:bCs/>
                <w:sz w:val="18"/>
                <w:szCs w:val="28"/>
                <w:lang w:bidi="th-TH"/>
              </w:rPr>
              <w:t>1</w:t>
            </w:r>
            <w:r w:rsidR="0096145D" w:rsidRPr="00F905F5">
              <w:rPr>
                <w:b/>
                <w:bCs/>
                <w:sz w:val="18"/>
                <w:szCs w:val="28"/>
                <w:lang w:bidi="th-TH"/>
              </w:rPr>
              <w:t xml:space="preserve"> </w:t>
            </w:r>
            <w:r w:rsidRPr="00F905F5">
              <w:rPr>
                <w:b/>
                <w:bCs/>
                <w:sz w:val="18"/>
                <w:szCs w:val="28"/>
                <w:lang w:bidi="th-TH"/>
              </w:rPr>
              <w:t>796</w:t>
            </w:r>
          </w:p>
        </w:tc>
      </w:tr>
    </w:tbl>
    <w:p w14:paraId="59502F8F" w14:textId="77777777" w:rsidR="00CB2D77" w:rsidRDefault="00CB2D77">
      <w:pPr>
        <w:suppressAutoHyphens w:val="0"/>
        <w:spacing w:after="200" w:line="276" w:lineRule="auto"/>
        <w:rPr>
          <w:b/>
        </w:rPr>
      </w:pPr>
      <w:r>
        <w:br w:type="page"/>
      </w:r>
    </w:p>
    <w:p w14:paraId="05CB7882" w14:textId="27C8B18D" w:rsidR="00695E59" w:rsidRPr="004E651E" w:rsidRDefault="0096145D" w:rsidP="0096145D">
      <w:pPr>
        <w:pStyle w:val="H23G"/>
        <w:rPr>
          <w:cs/>
        </w:rPr>
      </w:pPr>
      <w:r w:rsidRPr="004E651E">
        <w:rPr>
          <w:b w:val="0"/>
          <w:bCs/>
        </w:rPr>
        <w:lastRenderedPageBreak/>
        <w:tab/>
      </w:r>
      <w:r w:rsidRPr="004E651E">
        <w:rPr>
          <w:b w:val="0"/>
          <w:bCs/>
        </w:rPr>
        <w:tab/>
        <w:t>Table 2</w:t>
      </w:r>
      <w:r w:rsidRPr="004E651E">
        <w:rPr>
          <w:b w:val="0"/>
          <w:bCs/>
        </w:rPr>
        <w:br/>
      </w:r>
      <w:r w:rsidRPr="004E651E">
        <w:t>Statistics on domestic violence complaints received by MSDHS During 2010–2019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43"/>
        <w:gridCol w:w="794"/>
        <w:gridCol w:w="818"/>
        <w:gridCol w:w="717"/>
        <w:gridCol w:w="716"/>
        <w:gridCol w:w="717"/>
        <w:gridCol w:w="716"/>
        <w:gridCol w:w="817"/>
        <w:gridCol w:w="615"/>
        <w:gridCol w:w="717"/>
      </w:tblGrid>
      <w:tr w:rsidR="00AF5070" w:rsidRPr="00AF5070" w14:paraId="0931F889" w14:textId="77777777" w:rsidTr="00AF5070">
        <w:trPr>
          <w:tblHeader/>
        </w:trPr>
        <w:tc>
          <w:tcPr>
            <w:tcW w:w="743" w:type="dxa"/>
            <w:vMerge w:val="restart"/>
            <w:tcBorders>
              <w:top w:val="single" w:sz="4" w:space="0" w:color="auto"/>
              <w:bottom w:val="single" w:sz="12" w:space="0" w:color="auto"/>
            </w:tcBorders>
            <w:shd w:val="clear" w:color="auto" w:fill="auto"/>
            <w:vAlign w:val="bottom"/>
            <w:hideMark/>
          </w:tcPr>
          <w:p w14:paraId="69DAD370" w14:textId="77777777" w:rsidR="00695E59" w:rsidRPr="00AF5070" w:rsidRDefault="00695E59" w:rsidP="00AF5070">
            <w:pPr>
              <w:suppressAutoHyphens w:val="0"/>
              <w:spacing w:before="80" w:after="80" w:line="200" w:lineRule="exact"/>
              <w:ind w:right="113"/>
              <w:rPr>
                <w:rFonts w:eastAsia="ZWAdobeF"/>
                <w:i/>
                <w:sz w:val="16"/>
              </w:rPr>
            </w:pPr>
            <w:r w:rsidRPr="00AF5070">
              <w:rPr>
                <w:rFonts w:eastAsia="ZWAdobeF"/>
                <w:i/>
                <w:sz w:val="16"/>
              </w:rPr>
              <w:t>Year</w:t>
            </w:r>
          </w:p>
        </w:tc>
        <w:tc>
          <w:tcPr>
            <w:tcW w:w="794" w:type="dxa"/>
            <w:vMerge w:val="restart"/>
            <w:tcBorders>
              <w:top w:val="single" w:sz="4" w:space="0" w:color="auto"/>
              <w:bottom w:val="single" w:sz="12" w:space="0" w:color="auto"/>
            </w:tcBorders>
            <w:shd w:val="clear" w:color="auto" w:fill="auto"/>
            <w:vAlign w:val="bottom"/>
            <w:hideMark/>
          </w:tcPr>
          <w:p w14:paraId="0AEE6315"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Number of incidents</w:t>
            </w:r>
          </w:p>
        </w:tc>
        <w:tc>
          <w:tcPr>
            <w:tcW w:w="2968" w:type="dxa"/>
            <w:gridSpan w:val="4"/>
            <w:tcBorders>
              <w:top w:val="single" w:sz="4" w:space="0" w:color="auto"/>
              <w:bottom w:val="single" w:sz="4" w:space="0" w:color="auto"/>
              <w:right w:val="single" w:sz="24" w:space="0" w:color="FFFFFF" w:themeColor="background1"/>
            </w:tcBorders>
            <w:shd w:val="clear" w:color="auto" w:fill="auto"/>
            <w:vAlign w:val="bottom"/>
            <w:hideMark/>
          </w:tcPr>
          <w:p w14:paraId="765BC59D" w14:textId="796125EC" w:rsidR="00695E59" w:rsidRPr="00AF5070" w:rsidRDefault="00695E59" w:rsidP="00AF5070">
            <w:pPr>
              <w:suppressAutoHyphens w:val="0"/>
              <w:spacing w:before="80" w:after="80" w:line="200" w:lineRule="exact"/>
              <w:ind w:right="113"/>
              <w:jc w:val="center"/>
              <w:rPr>
                <w:rFonts w:eastAsia="ZWAdobeF"/>
                <w:i/>
                <w:sz w:val="16"/>
                <w:cs/>
              </w:rPr>
            </w:pPr>
            <w:r w:rsidRPr="00AF5070">
              <w:rPr>
                <w:i/>
                <w:sz w:val="16"/>
              </w:rPr>
              <w:t>Number of offenders</w:t>
            </w:r>
          </w:p>
        </w:tc>
        <w:tc>
          <w:tcPr>
            <w:tcW w:w="2865" w:type="dxa"/>
            <w:gridSpan w:val="4"/>
            <w:tcBorders>
              <w:top w:val="single" w:sz="4" w:space="0" w:color="auto"/>
              <w:left w:val="single" w:sz="24" w:space="0" w:color="FFFFFF" w:themeColor="background1"/>
              <w:bottom w:val="single" w:sz="4" w:space="0" w:color="auto"/>
            </w:tcBorders>
            <w:shd w:val="clear" w:color="auto" w:fill="auto"/>
            <w:vAlign w:val="bottom"/>
          </w:tcPr>
          <w:p w14:paraId="39B8FF96" w14:textId="77777777" w:rsidR="00695E59" w:rsidRPr="00AF5070" w:rsidRDefault="00695E59" w:rsidP="00AF5070">
            <w:pPr>
              <w:suppressAutoHyphens w:val="0"/>
              <w:spacing w:before="80" w:after="80" w:line="200" w:lineRule="exact"/>
              <w:ind w:right="113"/>
              <w:jc w:val="center"/>
              <w:rPr>
                <w:rFonts w:eastAsia="ZWAdobeF"/>
                <w:i/>
                <w:sz w:val="16"/>
                <w:cs/>
              </w:rPr>
            </w:pPr>
            <w:r w:rsidRPr="00AF5070">
              <w:rPr>
                <w:i/>
                <w:sz w:val="16"/>
              </w:rPr>
              <w:t>Number of victims</w:t>
            </w:r>
          </w:p>
        </w:tc>
      </w:tr>
      <w:tr w:rsidR="00AF5070" w:rsidRPr="00AF5070" w14:paraId="4D429134" w14:textId="77777777" w:rsidTr="00AF5070">
        <w:trPr>
          <w:tblHeader/>
        </w:trPr>
        <w:tc>
          <w:tcPr>
            <w:tcW w:w="743" w:type="dxa"/>
            <w:vMerge/>
            <w:tcBorders>
              <w:top w:val="single" w:sz="12" w:space="0" w:color="auto"/>
              <w:bottom w:val="single" w:sz="12" w:space="0" w:color="auto"/>
            </w:tcBorders>
            <w:shd w:val="clear" w:color="auto" w:fill="auto"/>
            <w:vAlign w:val="bottom"/>
          </w:tcPr>
          <w:p w14:paraId="171E4205" w14:textId="77777777" w:rsidR="00695E59" w:rsidRPr="00AF5070" w:rsidRDefault="00695E59" w:rsidP="00AF5070">
            <w:pPr>
              <w:suppressAutoHyphens w:val="0"/>
              <w:spacing w:before="40" w:after="40" w:line="220" w:lineRule="exact"/>
              <w:ind w:right="113"/>
              <w:rPr>
                <w:rFonts w:eastAsia="ZWAdobeF"/>
                <w:sz w:val="18"/>
                <w:cs/>
              </w:rPr>
            </w:pPr>
          </w:p>
        </w:tc>
        <w:tc>
          <w:tcPr>
            <w:tcW w:w="794" w:type="dxa"/>
            <w:vMerge/>
            <w:tcBorders>
              <w:top w:val="single" w:sz="12" w:space="0" w:color="auto"/>
              <w:bottom w:val="single" w:sz="12" w:space="0" w:color="auto"/>
            </w:tcBorders>
            <w:shd w:val="clear" w:color="auto" w:fill="auto"/>
            <w:vAlign w:val="bottom"/>
          </w:tcPr>
          <w:p w14:paraId="7ED78125" w14:textId="77777777" w:rsidR="00695E59" w:rsidRPr="00AF5070" w:rsidRDefault="00695E59" w:rsidP="00AF5070">
            <w:pPr>
              <w:suppressAutoHyphens w:val="0"/>
              <w:spacing w:before="40" w:after="40" w:line="220" w:lineRule="exact"/>
              <w:ind w:right="113"/>
              <w:jc w:val="right"/>
              <w:rPr>
                <w:rFonts w:eastAsia="ZWAdobeF"/>
                <w:sz w:val="18"/>
                <w:cs/>
              </w:rPr>
            </w:pPr>
          </w:p>
        </w:tc>
        <w:tc>
          <w:tcPr>
            <w:tcW w:w="818" w:type="dxa"/>
            <w:tcBorders>
              <w:top w:val="single" w:sz="4" w:space="0" w:color="auto"/>
              <w:bottom w:val="single" w:sz="12" w:space="0" w:color="auto"/>
            </w:tcBorders>
            <w:shd w:val="clear" w:color="auto" w:fill="auto"/>
            <w:vAlign w:val="bottom"/>
          </w:tcPr>
          <w:p w14:paraId="2C8265A6"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Male</w:t>
            </w:r>
          </w:p>
        </w:tc>
        <w:tc>
          <w:tcPr>
            <w:tcW w:w="717" w:type="dxa"/>
            <w:tcBorders>
              <w:top w:val="single" w:sz="4" w:space="0" w:color="auto"/>
              <w:bottom w:val="single" w:sz="12" w:space="0" w:color="auto"/>
            </w:tcBorders>
            <w:shd w:val="clear" w:color="auto" w:fill="auto"/>
            <w:vAlign w:val="bottom"/>
          </w:tcPr>
          <w:p w14:paraId="218258DD"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Female</w:t>
            </w:r>
          </w:p>
        </w:tc>
        <w:tc>
          <w:tcPr>
            <w:tcW w:w="716" w:type="dxa"/>
            <w:tcBorders>
              <w:top w:val="single" w:sz="4" w:space="0" w:color="auto"/>
              <w:bottom w:val="single" w:sz="12" w:space="0" w:color="auto"/>
            </w:tcBorders>
            <w:shd w:val="clear" w:color="auto" w:fill="auto"/>
            <w:vAlign w:val="bottom"/>
          </w:tcPr>
          <w:p w14:paraId="2097DBAC"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N/A</w:t>
            </w:r>
          </w:p>
        </w:tc>
        <w:tc>
          <w:tcPr>
            <w:tcW w:w="717" w:type="dxa"/>
            <w:tcBorders>
              <w:top w:val="single" w:sz="4" w:space="0" w:color="auto"/>
              <w:bottom w:val="single" w:sz="12" w:space="0" w:color="auto"/>
              <w:right w:val="single" w:sz="24" w:space="0" w:color="FFFFFF" w:themeColor="background1"/>
            </w:tcBorders>
            <w:shd w:val="clear" w:color="auto" w:fill="auto"/>
            <w:vAlign w:val="bottom"/>
          </w:tcPr>
          <w:p w14:paraId="7CD31099"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Total</w:t>
            </w:r>
          </w:p>
        </w:tc>
        <w:tc>
          <w:tcPr>
            <w:tcW w:w="716" w:type="dxa"/>
            <w:tcBorders>
              <w:top w:val="single" w:sz="4" w:space="0" w:color="auto"/>
              <w:left w:val="single" w:sz="24" w:space="0" w:color="FFFFFF" w:themeColor="background1"/>
              <w:bottom w:val="single" w:sz="12" w:space="0" w:color="auto"/>
            </w:tcBorders>
            <w:shd w:val="clear" w:color="auto" w:fill="auto"/>
            <w:vAlign w:val="bottom"/>
          </w:tcPr>
          <w:p w14:paraId="4830C9D9"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Male</w:t>
            </w:r>
          </w:p>
        </w:tc>
        <w:tc>
          <w:tcPr>
            <w:tcW w:w="817" w:type="dxa"/>
            <w:tcBorders>
              <w:top w:val="single" w:sz="4" w:space="0" w:color="auto"/>
              <w:bottom w:val="single" w:sz="12" w:space="0" w:color="auto"/>
            </w:tcBorders>
            <w:shd w:val="clear" w:color="auto" w:fill="auto"/>
            <w:vAlign w:val="bottom"/>
          </w:tcPr>
          <w:p w14:paraId="12BC64DF"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Female</w:t>
            </w:r>
          </w:p>
        </w:tc>
        <w:tc>
          <w:tcPr>
            <w:tcW w:w="615" w:type="dxa"/>
            <w:tcBorders>
              <w:top w:val="single" w:sz="4" w:space="0" w:color="auto"/>
              <w:bottom w:val="single" w:sz="12" w:space="0" w:color="auto"/>
            </w:tcBorders>
            <w:shd w:val="clear" w:color="auto" w:fill="auto"/>
            <w:vAlign w:val="bottom"/>
          </w:tcPr>
          <w:p w14:paraId="60768D16"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N/A</w:t>
            </w:r>
          </w:p>
        </w:tc>
        <w:tc>
          <w:tcPr>
            <w:tcW w:w="717" w:type="dxa"/>
            <w:tcBorders>
              <w:top w:val="single" w:sz="4" w:space="0" w:color="auto"/>
              <w:bottom w:val="single" w:sz="12" w:space="0" w:color="auto"/>
            </w:tcBorders>
            <w:shd w:val="clear" w:color="auto" w:fill="auto"/>
            <w:vAlign w:val="bottom"/>
          </w:tcPr>
          <w:p w14:paraId="3F0F692C" w14:textId="77777777" w:rsidR="00695E59" w:rsidRPr="00AF5070" w:rsidRDefault="00695E59" w:rsidP="00AF5070">
            <w:pPr>
              <w:suppressAutoHyphens w:val="0"/>
              <w:spacing w:before="80" w:after="80" w:line="200" w:lineRule="exact"/>
              <w:ind w:right="113"/>
              <w:jc w:val="right"/>
              <w:rPr>
                <w:rFonts w:eastAsia="ZWAdobeF"/>
                <w:i/>
                <w:sz w:val="16"/>
              </w:rPr>
            </w:pPr>
            <w:r w:rsidRPr="00AF5070">
              <w:rPr>
                <w:rFonts w:eastAsia="ZWAdobeF"/>
                <w:i/>
                <w:sz w:val="16"/>
              </w:rPr>
              <w:t>Total</w:t>
            </w:r>
          </w:p>
        </w:tc>
      </w:tr>
      <w:tr w:rsidR="00695E59" w:rsidRPr="00AF5070" w14:paraId="7D3BA3DB" w14:textId="77777777" w:rsidTr="00AF5070">
        <w:tc>
          <w:tcPr>
            <w:tcW w:w="743" w:type="dxa"/>
            <w:tcBorders>
              <w:top w:val="single" w:sz="12" w:space="0" w:color="auto"/>
            </w:tcBorders>
            <w:shd w:val="clear" w:color="auto" w:fill="auto"/>
            <w:hideMark/>
          </w:tcPr>
          <w:p w14:paraId="0DC95807"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rPr>
              <w:t>2010</w:t>
            </w:r>
          </w:p>
        </w:tc>
        <w:tc>
          <w:tcPr>
            <w:tcW w:w="794" w:type="dxa"/>
            <w:tcBorders>
              <w:top w:val="single" w:sz="12" w:space="0" w:color="auto"/>
            </w:tcBorders>
            <w:shd w:val="clear" w:color="auto" w:fill="auto"/>
            <w:vAlign w:val="bottom"/>
            <w:hideMark/>
          </w:tcPr>
          <w:p w14:paraId="0042B9BF"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724</w:t>
            </w:r>
          </w:p>
        </w:tc>
        <w:tc>
          <w:tcPr>
            <w:tcW w:w="818" w:type="dxa"/>
            <w:tcBorders>
              <w:top w:val="single" w:sz="12" w:space="0" w:color="auto"/>
            </w:tcBorders>
            <w:shd w:val="clear" w:color="auto" w:fill="auto"/>
            <w:vAlign w:val="bottom"/>
            <w:hideMark/>
          </w:tcPr>
          <w:p w14:paraId="1ADC868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620</w:t>
            </w:r>
          </w:p>
        </w:tc>
        <w:tc>
          <w:tcPr>
            <w:tcW w:w="717" w:type="dxa"/>
            <w:tcBorders>
              <w:top w:val="single" w:sz="12" w:space="0" w:color="auto"/>
            </w:tcBorders>
            <w:shd w:val="clear" w:color="auto" w:fill="auto"/>
            <w:vAlign w:val="bottom"/>
            <w:hideMark/>
          </w:tcPr>
          <w:p w14:paraId="19213D4A"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66</w:t>
            </w:r>
          </w:p>
        </w:tc>
        <w:tc>
          <w:tcPr>
            <w:tcW w:w="716" w:type="dxa"/>
            <w:tcBorders>
              <w:top w:val="single" w:sz="12" w:space="0" w:color="auto"/>
            </w:tcBorders>
            <w:shd w:val="clear" w:color="auto" w:fill="auto"/>
            <w:vAlign w:val="bottom"/>
          </w:tcPr>
          <w:p w14:paraId="2B38FEC0"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w:t>
            </w:r>
          </w:p>
        </w:tc>
        <w:tc>
          <w:tcPr>
            <w:tcW w:w="717" w:type="dxa"/>
            <w:tcBorders>
              <w:top w:val="single" w:sz="12" w:space="0" w:color="auto"/>
            </w:tcBorders>
            <w:shd w:val="clear" w:color="auto" w:fill="auto"/>
            <w:vAlign w:val="bottom"/>
          </w:tcPr>
          <w:p w14:paraId="4491CE70"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695</w:t>
            </w:r>
          </w:p>
        </w:tc>
        <w:tc>
          <w:tcPr>
            <w:tcW w:w="716" w:type="dxa"/>
            <w:tcBorders>
              <w:top w:val="single" w:sz="12" w:space="0" w:color="auto"/>
            </w:tcBorders>
            <w:shd w:val="clear" w:color="auto" w:fill="auto"/>
            <w:vAlign w:val="bottom"/>
          </w:tcPr>
          <w:p w14:paraId="28A96B7E"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68</w:t>
            </w:r>
          </w:p>
        </w:tc>
        <w:tc>
          <w:tcPr>
            <w:tcW w:w="817" w:type="dxa"/>
            <w:tcBorders>
              <w:top w:val="single" w:sz="12" w:space="0" w:color="auto"/>
            </w:tcBorders>
            <w:shd w:val="clear" w:color="auto" w:fill="auto"/>
            <w:vAlign w:val="bottom"/>
          </w:tcPr>
          <w:p w14:paraId="068D7B39"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627</w:t>
            </w:r>
          </w:p>
        </w:tc>
        <w:tc>
          <w:tcPr>
            <w:tcW w:w="615" w:type="dxa"/>
            <w:tcBorders>
              <w:top w:val="single" w:sz="12" w:space="0" w:color="auto"/>
            </w:tcBorders>
            <w:shd w:val="clear" w:color="auto" w:fill="auto"/>
            <w:vAlign w:val="bottom"/>
          </w:tcPr>
          <w:p w14:paraId="7CBCE0E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10</w:t>
            </w:r>
          </w:p>
        </w:tc>
        <w:tc>
          <w:tcPr>
            <w:tcW w:w="717" w:type="dxa"/>
            <w:tcBorders>
              <w:top w:val="single" w:sz="12" w:space="0" w:color="auto"/>
            </w:tcBorders>
            <w:shd w:val="clear" w:color="auto" w:fill="auto"/>
            <w:vAlign w:val="bottom"/>
          </w:tcPr>
          <w:p w14:paraId="750C8AF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705</w:t>
            </w:r>
          </w:p>
        </w:tc>
      </w:tr>
      <w:tr w:rsidR="00695E59" w:rsidRPr="00AF5070" w14:paraId="0CB6B866" w14:textId="77777777" w:rsidTr="00AF5070">
        <w:tc>
          <w:tcPr>
            <w:tcW w:w="743" w:type="dxa"/>
            <w:shd w:val="clear" w:color="auto" w:fill="auto"/>
            <w:hideMark/>
          </w:tcPr>
          <w:p w14:paraId="7409F414"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011</w:t>
            </w:r>
          </w:p>
        </w:tc>
        <w:tc>
          <w:tcPr>
            <w:tcW w:w="794" w:type="dxa"/>
            <w:shd w:val="clear" w:color="auto" w:fill="auto"/>
            <w:vAlign w:val="bottom"/>
            <w:hideMark/>
          </w:tcPr>
          <w:p w14:paraId="3CE59648"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829</w:t>
            </w:r>
          </w:p>
        </w:tc>
        <w:tc>
          <w:tcPr>
            <w:tcW w:w="818" w:type="dxa"/>
            <w:shd w:val="clear" w:color="auto" w:fill="auto"/>
            <w:vAlign w:val="bottom"/>
            <w:hideMark/>
          </w:tcPr>
          <w:p w14:paraId="4EC31B1A"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687</w:t>
            </w:r>
          </w:p>
        </w:tc>
        <w:tc>
          <w:tcPr>
            <w:tcW w:w="717" w:type="dxa"/>
            <w:shd w:val="clear" w:color="auto" w:fill="auto"/>
            <w:vAlign w:val="bottom"/>
            <w:hideMark/>
          </w:tcPr>
          <w:p w14:paraId="2DF3913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59</w:t>
            </w:r>
          </w:p>
        </w:tc>
        <w:tc>
          <w:tcPr>
            <w:tcW w:w="716" w:type="dxa"/>
            <w:shd w:val="clear" w:color="auto" w:fill="auto"/>
            <w:vAlign w:val="bottom"/>
          </w:tcPr>
          <w:p w14:paraId="7416732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13</w:t>
            </w:r>
          </w:p>
        </w:tc>
        <w:tc>
          <w:tcPr>
            <w:tcW w:w="717" w:type="dxa"/>
            <w:shd w:val="clear" w:color="auto" w:fill="auto"/>
            <w:vAlign w:val="bottom"/>
          </w:tcPr>
          <w:p w14:paraId="1C4C4AEE"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759</w:t>
            </w:r>
          </w:p>
        </w:tc>
        <w:tc>
          <w:tcPr>
            <w:tcW w:w="716" w:type="dxa"/>
            <w:shd w:val="clear" w:color="auto" w:fill="auto"/>
            <w:vAlign w:val="bottom"/>
          </w:tcPr>
          <w:p w14:paraId="35E342EF"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87</w:t>
            </w:r>
          </w:p>
        </w:tc>
        <w:tc>
          <w:tcPr>
            <w:tcW w:w="817" w:type="dxa"/>
            <w:shd w:val="clear" w:color="auto" w:fill="auto"/>
            <w:vAlign w:val="bottom"/>
          </w:tcPr>
          <w:p w14:paraId="6A8BA6AF"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696</w:t>
            </w:r>
          </w:p>
        </w:tc>
        <w:tc>
          <w:tcPr>
            <w:tcW w:w="615" w:type="dxa"/>
            <w:shd w:val="clear" w:color="auto" w:fill="auto"/>
            <w:vAlign w:val="bottom"/>
          </w:tcPr>
          <w:p w14:paraId="0A867BF1"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w:t>
            </w:r>
          </w:p>
        </w:tc>
        <w:tc>
          <w:tcPr>
            <w:tcW w:w="717" w:type="dxa"/>
            <w:shd w:val="clear" w:color="auto" w:fill="auto"/>
            <w:vAlign w:val="bottom"/>
          </w:tcPr>
          <w:p w14:paraId="644D836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790</w:t>
            </w:r>
          </w:p>
        </w:tc>
      </w:tr>
      <w:tr w:rsidR="00695E59" w:rsidRPr="00AF5070" w14:paraId="37FC062E" w14:textId="77777777" w:rsidTr="00AF5070">
        <w:tc>
          <w:tcPr>
            <w:tcW w:w="743" w:type="dxa"/>
            <w:shd w:val="clear" w:color="auto" w:fill="auto"/>
            <w:hideMark/>
          </w:tcPr>
          <w:p w14:paraId="58CCDA73"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012</w:t>
            </w:r>
          </w:p>
        </w:tc>
        <w:tc>
          <w:tcPr>
            <w:tcW w:w="794" w:type="dxa"/>
            <w:shd w:val="clear" w:color="auto" w:fill="auto"/>
            <w:vAlign w:val="bottom"/>
            <w:hideMark/>
          </w:tcPr>
          <w:p w14:paraId="45E54CD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969</w:t>
            </w:r>
          </w:p>
        </w:tc>
        <w:tc>
          <w:tcPr>
            <w:tcW w:w="818" w:type="dxa"/>
            <w:shd w:val="clear" w:color="auto" w:fill="auto"/>
            <w:vAlign w:val="bottom"/>
            <w:hideMark/>
          </w:tcPr>
          <w:p w14:paraId="08C2810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730</w:t>
            </w:r>
          </w:p>
        </w:tc>
        <w:tc>
          <w:tcPr>
            <w:tcW w:w="717" w:type="dxa"/>
            <w:shd w:val="clear" w:color="auto" w:fill="auto"/>
            <w:vAlign w:val="bottom"/>
            <w:hideMark/>
          </w:tcPr>
          <w:p w14:paraId="28DC6247"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63</w:t>
            </w:r>
          </w:p>
        </w:tc>
        <w:tc>
          <w:tcPr>
            <w:tcW w:w="716" w:type="dxa"/>
            <w:shd w:val="clear" w:color="auto" w:fill="auto"/>
            <w:vAlign w:val="bottom"/>
          </w:tcPr>
          <w:p w14:paraId="29B2FFE2"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11</w:t>
            </w:r>
          </w:p>
        </w:tc>
        <w:tc>
          <w:tcPr>
            <w:tcW w:w="717" w:type="dxa"/>
            <w:shd w:val="clear" w:color="auto" w:fill="auto"/>
            <w:vAlign w:val="bottom"/>
          </w:tcPr>
          <w:p w14:paraId="530F3C8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804</w:t>
            </w:r>
          </w:p>
        </w:tc>
        <w:tc>
          <w:tcPr>
            <w:tcW w:w="716" w:type="dxa"/>
            <w:shd w:val="clear" w:color="auto" w:fill="auto"/>
            <w:vAlign w:val="bottom"/>
          </w:tcPr>
          <w:p w14:paraId="0A9195B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70</w:t>
            </w:r>
          </w:p>
        </w:tc>
        <w:tc>
          <w:tcPr>
            <w:tcW w:w="817" w:type="dxa"/>
            <w:shd w:val="clear" w:color="auto" w:fill="auto"/>
            <w:vAlign w:val="bottom"/>
          </w:tcPr>
          <w:p w14:paraId="0E29F17E"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755</w:t>
            </w:r>
          </w:p>
        </w:tc>
        <w:tc>
          <w:tcPr>
            <w:tcW w:w="615" w:type="dxa"/>
            <w:shd w:val="clear" w:color="auto" w:fill="auto"/>
            <w:vAlign w:val="bottom"/>
          </w:tcPr>
          <w:p w14:paraId="7A2217F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14</w:t>
            </w:r>
          </w:p>
        </w:tc>
        <w:tc>
          <w:tcPr>
            <w:tcW w:w="717" w:type="dxa"/>
            <w:shd w:val="clear" w:color="auto" w:fill="auto"/>
            <w:vAlign w:val="bottom"/>
          </w:tcPr>
          <w:p w14:paraId="08FEF4A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839</w:t>
            </w:r>
          </w:p>
        </w:tc>
      </w:tr>
      <w:tr w:rsidR="00695E59" w:rsidRPr="00AF5070" w14:paraId="5FB07339" w14:textId="77777777" w:rsidTr="00AF5070">
        <w:tc>
          <w:tcPr>
            <w:tcW w:w="743" w:type="dxa"/>
            <w:shd w:val="clear" w:color="auto" w:fill="auto"/>
            <w:hideMark/>
          </w:tcPr>
          <w:p w14:paraId="5A85DAF1"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013</w:t>
            </w:r>
          </w:p>
        </w:tc>
        <w:tc>
          <w:tcPr>
            <w:tcW w:w="794" w:type="dxa"/>
            <w:shd w:val="clear" w:color="auto" w:fill="auto"/>
            <w:vAlign w:val="bottom"/>
            <w:hideMark/>
          </w:tcPr>
          <w:p w14:paraId="5C2D2D49"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973</w:t>
            </w:r>
          </w:p>
        </w:tc>
        <w:tc>
          <w:tcPr>
            <w:tcW w:w="818" w:type="dxa"/>
            <w:shd w:val="clear" w:color="auto" w:fill="auto"/>
            <w:vAlign w:val="bottom"/>
            <w:hideMark/>
          </w:tcPr>
          <w:p w14:paraId="4C2F2C46"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746</w:t>
            </w:r>
          </w:p>
        </w:tc>
        <w:tc>
          <w:tcPr>
            <w:tcW w:w="717" w:type="dxa"/>
            <w:shd w:val="clear" w:color="auto" w:fill="auto"/>
            <w:vAlign w:val="bottom"/>
            <w:hideMark/>
          </w:tcPr>
          <w:p w14:paraId="48C262B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91</w:t>
            </w:r>
          </w:p>
        </w:tc>
        <w:tc>
          <w:tcPr>
            <w:tcW w:w="716" w:type="dxa"/>
            <w:shd w:val="clear" w:color="auto" w:fill="auto"/>
            <w:vAlign w:val="bottom"/>
          </w:tcPr>
          <w:p w14:paraId="64517518"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19</w:t>
            </w:r>
          </w:p>
        </w:tc>
        <w:tc>
          <w:tcPr>
            <w:tcW w:w="717" w:type="dxa"/>
            <w:shd w:val="clear" w:color="auto" w:fill="auto"/>
            <w:vAlign w:val="bottom"/>
          </w:tcPr>
          <w:p w14:paraId="24061487"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856</w:t>
            </w:r>
          </w:p>
        </w:tc>
        <w:tc>
          <w:tcPr>
            <w:tcW w:w="716" w:type="dxa"/>
            <w:shd w:val="clear" w:color="auto" w:fill="auto"/>
            <w:vAlign w:val="bottom"/>
          </w:tcPr>
          <w:p w14:paraId="184E4DB8"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80</w:t>
            </w:r>
          </w:p>
        </w:tc>
        <w:tc>
          <w:tcPr>
            <w:tcW w:w="817" w:type="dxa"/>
            <w:shd w:val="clear" w:color="auto" w:fill="auto"/>
            <w:vAlign w:val="bottom"/>
          </w:tcPr>
          <w:p w14:paraId="0F085B0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777</w:t>
            </w:r>
          </w:p>
        </w:tc>
        <w:tc>
          <w:tcPr>
            <w:tcW w:w="615" w:type="dxa"/>
            <w:shd w:val="clear" w:color="auto" w:fill="auto"/>
            <w:vAlign w:val="bottom"/>
          </w:tcPr>
          <w:p w14:paraId="4E998E9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w:t>
            </w:r>
          </w:p>
        </w:tc>
        <w:tc>
          <w:tcPr>
            <w:tcW w:w="717" w:type="dxa"/>
            <w:shd w:val="clear" w:color="auto" w:fill="auto"/>
            <w:vAlign w:val="bottom"/>
          </w:tcPr>
          <w:p w14:paraId="7400D9CD"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866</w:t>
            </w:r>
          </w:p>
        </w:tc>
      </w:tr>
      <w:tr w:rsidR="00695E59" w:rsidRPr="00AF5070" w14:paraId="5F39E847" w14:textId="77777777" w:rsidTr="00AF5070">
        <w:tc>
          <w:tcPr>
            <w:tcW w:w="743" w:type="dxa"/>
            <w:shd w:val="clear" w:color="auto" w:fill="auto"/>
            <w:hideMark/>
          </w:tcPr>
          <w:p w14:paraId="0F414553"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014</w:t>
            </w:r>
          </w:p>
        </w:tc>
        <w:tc>
          <w:tcPr>
            <w:tcW w:w="794" w:type="dxa"/>
            <w:shd w:val="clear" w:color="auto" w:fill="auto"/>
            <w:vAlign w:val="bottom"/>
            <w:hideMark/>
          </w:tcPr>
          <w:p w14:paraId="560D3F0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928</w:t>
            </w:r>
          </w:p>
        </w:tc>
        <w:tc>
          <w:tcPr>
            <w:tcW w:w="818" w:type="dxa"/>
            <w:shd w:val="clear" w:color="auto" w:fill="auto"/>
            <w:vAlign w:val="bottom"/>
            <w:hideMark/>
          </w:tcPr>
          <w:p w14:paraId="5538642F"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702</w:t>
            </w:r>
          </w:p>
        </w:tc>
        <w:tc>
          <w:tcPr>
            <w:tcW w:w="717" w:type="dxa"/>
            <w:shd w:val="clear" w:color="auto" w:fill="auto"/>
            <w:vAlign w:val="bottom"/>
            <w:hideMark/>
          </w:tcPr>
          <w:p w14:paraId="6F683B1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65</w:t>
            </w:r>
          </w:p>
        </w:tc>
        <w:tc>
          <w:tcPr>
            <w:tcW w:w="716" w:type="dxa"/>
            <w:shd w:val="clear" w:color="auto" w:fill="auto"/>
            <w:vAlign w:val="bottom"/>
          </w:tcPr>
          <w:p w14:paraId="0CAF96EF"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18</w:t>
            </w:r>
          </w:p>
        </w:tc>
        <w:tc>
          <w:tcPr>
            <w:tcW w:w="717" w:type="dxa"/>
            <w:shd w:val="clear" w:color="auto" w:fill="auto"/>
            <w:vAlign w:val="bottom"/>
          </w:tcPr>
          <w:p w14:paraId="473DFD81"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785</w:t>
            </w:r>
          </w:p>
        </w:tc>
        <w:tc>
          <w:tcPr>
            <w:tcW w:w="716" w:type="dxa"/>
            <w:shd w:val="clear" w:color="auto" w:fill="auto"/>
            <w:vAlign w:val="bottom"/>
          </w:tcPr>
          <w:p w14:paraId="30331DE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72</w:t>
            </w:r>
          </w:p>
        </w:tc>
        <w:tc>
          <w:tcPr>
            <w:tcW w:w="817" w:type="dxa"/>
            <w:shd w:val="clear" w:color="auto" w:fill="auto"/>
            <w:vAlign w:val="bottom"/>
          </w:tcPr>
          <w:p w14:paraId="340FBB5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729</w:t>
            </w:r>
          </w:p>
        </w:tc>
        <w:tc>
          <w:tcPr>
            <w:tcW w:w="615" w:type="dxa"/>
            <w:shd w:val="clear" w:color="auto" w:fill="auto"/>
            <w:vAlign w:val="bottom"/>
          </w:tcPr>
          <w:p w14:paraId="5A926220"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5</w:t>
            </w:r>
          </w:p>
        </w:tc>
        <w:tc>
          <w:tcPr>
            <w:tcW w:w="717" w:type="dxa"/>
            <w:shd w:val="clear" w:color="auto" w:fill="auto"/>
            <w:vAlign w:val="bottom"/>
          </w:tcPr>
          <w:p w14:paraId="3CCB52F2"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806</w:t>
            </w:r>
          </w:p>
        </w:tc>
      </w:tr>
      <w:tr w:rsidR="00695E59" w:rsidRPr="00AF5070" w14:paraId="04D18E78" w14:textId="77777777" w:rsidTr="00AF5070">
        <w:tc>
          <w:tcPr>
            <w:tcW w:w="743" w:type="dxa"/>
            <w:shd w:val="clear" w:color="auto" w:fill="auto"/>
            <w:hideMark/>
          </w:tcPr>
          <w:p w14:paraId="4B90C7E1"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015</w:t>
            </w:r>
          </w:p>
        </w:tc>
        <w:tc>
          <w:tcPr>
            <w:tcW w:w="794" w:type="dxa"/>
            <w:shd w:val="clear" w:color="auto" w:fill="auto"/>
            <w:vAlign w:val="bottom"/>
            <w:hideMark/>
          </w:tcPr>
          <w:p w14:paraId="0C50E5A6"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969</w:t>
            </w:r>
          </w:p>
        </w:tc>
        <w:tc>
          <w:tcPr>
            <w:tcW w:w="818" w:type="dxa"/>
            <w:shd w:val="clear" w:color="auto" w:fill="auto"/>
            <w:vAlign w:val="bottom"/>
            <w:hideMark/>
          </w:tcPr>
          <w:p w14:paraId="1686BBC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721</w:t>
            </w:r>
          </w:p>
        </w:tc>
        <w:tc>
          <w:tcPr>
            <w:tcW w:w="717" w:type="dxa"/>
            <w:shd w:val="clear" w:color="auto" w:fill="auto"/>
            <w:vAlign w:val="bottom"/>
            <w:hideMark/>
          </w:tcPr>
          <w:p w14:paraId="49DF0DD9"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122</w:t>
            </w:r>
          </w:p>
        </w:tc>
        <w:tc>
          <w:tcPr>
            <w:tcW w:w="716" w:type="dxa"/>
            <w:shd w:val="clear" w:color="auto" w:fill="auto"/>
            <w:vAlign w:val="bottom"/>
          </w:tcPr>
          <w:p w14:paraId="0D231307"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11</w:t>
            </w:r>
          </w:p>
        </w:tc>
        <w:tc>
          <w:tcPr>
            <w:tcW w:w="717" w:type="dxa"/>
            <w:shd w:val="clear" w:color="auto" w:fill="auto"/>
            <w:vAlign w:val="bottom"/>
          </w:tcPr>
          <w:p w14:paraId="159DBB2D"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854</w:t>
            </w:r>
          </w:p>
        </w:tc>
        <w:tc>
          <w:tcPr>
            <w:tcW w:w="716" w:type="dxa"/>
            <w:shd w:val="clear" w:color="auto" w:fill="auto"/>
            <w:vAlign w:val="bottom"/>
          </w:tcPr>
          <w:p w14:paraId="5F2279B3"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105</w:t>
            </w:r>
          </w:p>
        </w:tc>
        <w:tc>
          <w:tcPr>
            <w:tcW w:w="817" w:type="dxa"/>
            <w:shd w:val="clear" w:color="auto" w:fill="auto"/>
            <w:vAlign w:val="bottom"/>
          </w:tcPr>
          <w:p w14:paraId="48A3A563"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739</w:t>
            </w:r>
          </w:p>
        </w:tc>
        <w:tc>
          <w:tcPr>
            <w:tcW w:w="615" w:type="dxa"/>
            <w:shd w:val="clear" w:color="auto" w:fill="auto"/>
            <w:vAlign w:val="bottom"/>
          </w:tcPr>
          <w:p w14:paraId="490CAD3E"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w:t>
            </w:r>
          </w:p>
        </w:tc>
        <w:tc>
          <w:tcPr>
            <w:tcW w:w="717" w:type="dxa"/>
            <w:shd w:val="clear" w:color="auto" w:fill="auto"/>
            <w:vAlign w:val="bottom"/>
          </w:tcPr>
          <w:p w14:paraId="065EFB0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853</w:t>
            </w:r>
          </w:p>
        </w:tc>
      </w:tr>
      <w:tr w:rsidR="00695E59" w:rsidRPr="00AF5070" w14:paraId="2928F3F1" w14:textId="77777777" w:rsidTr="00AF5070">
        <w:tc>
          <w:tcPr>
            <w:tcW w:w="743" w:type="dxa"/>
            <w:shd w:val="clear" w:color="auto" w:fill="auto"/>
          </w:tcPr>
          <w:p w14:paraId="76535148"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016</w:t>
            </w:r>
          </w:p>
        </w:tc>
        <w:tc>
          <w:tcPr>
            <w:tcW w:w="794" w:type="dxa"/>
            <w:shd w:val="clear" w:color="auto" w:fill="auto"/>
            <w:vAlign w:val="bottom"/>
          </w:tcPr>
          <w:p w14:paraId="75622021"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801</w:t>
            </w:r>
          </w:p>
        </w:tc>
        <w:tc>
          <w:tcPr>
            <w:tcW w:w="818" w:type="dxa"/>
            <w:shd w:val="clear" w:color="auto" w:fill="auto"/>
            <w:vAlign w:val="bottom"/>
          </w:tcPr>
          <w:p w14:paraId="50777E42"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598</w:t>
            </w:r>
          </w:p>
        </w:tc>
        <w:tc>
          <w:tcPr>
            <w:tcW w:w="717" w:type="dxa"/>
            <w:shd w:val="clear" w:color="auto" w:fill="auto"/>
            <w:vAlign w:val="bottom"/>
          </w:tcPr>
          <w:p w14:paraId="133395F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96</w:t>
            </w:r>
          </w:p>
        </w:tc>
        <w:tc>
          <w:tcPr>
            <w:tcW w:w="716" w:type="dxa"/>
            <w:shd w:val="clear" w:color="auto" w:fill="auto"/>
            <w:vAlign w:val="bottom"/>
          </w:tcPr>
          <w:p w14:paraId="3D0C5B4D"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13</w:t>
            </w:r>
          </w:p>
        </w:tc>
        <w:tc>
          <w:tcPr>
            <w:tcW w:w="717" w:type="dxa"/>
            <w:shd w:val="clear" w:color="auto" w:fill="auto"/>
            <w:vAlign w:val="bottom"/>
          </w:tcPr>
          <w:p w14:paraId="1E177284"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707</w:t>
            </w:r>
          </w:p>
        </w:tc>
        <w:tc>
          <w:tcPr>
            <w:tcW w:w="716" w:type="dxa"/>
            <w:shd w:val="clear" w:color="auto" w:fill="auto"/>
            <w:vAlign w:val="bottom"/>
          </w:tcPr>
          <w:p w14:paraId="0490E7C1"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94</w:t>
            </w:r>
          </w:p>
        </w:tc>
        <w:tc>
          <w:tcPr>
            <w:tcW w:w="817" w:type="dxa"/>
            <w:shd w:val="clear" w:color="auto" w:fill="auto"/>
            <w:vAlign w:val="bottom"/>
          </w:tcPr>
          <w:p w14:paraId="46179AA0"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610</w:t>
            </w:r>
          </w:p>
        </w:tc>
        <w:tc>
          <w:tcPr>
            <w:tcW w:w="615" w:type="dxa"/>
            <w:shd w:val="clear" w:color="auto" w:fill="auto"/>
            <w:vAlign w:val="bottom"/>
          </w:tcPr>
          <w:p w14:paraId="1293B8D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15</w:t>
            </w:r>
          </w:p>
        </w:tc>
        <w:tc>
          <w:tcPr>
            <w:tcW w:w="717" w:type="dxa"/>
            <w:shd w:val="clear" w:color="auto" w:fill="auto"/>
            <w:vAlign w:val="bottom"/>
          </w:tcPr>
          <w:p w14:paraId="48275D09"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719</w:t>
            </w:r>
          </w:p>
        </w:tc>
      </w:tr>
      <w:tr w:rsidR="00695E59" w:rsidRPr="00AF5070" w14:paraId="33098BBF" w14:textId="77777777" w:rsidTr="00AF5070">
        <w:tc>
          <w:tcPr>
            <w:tcW w:w="743" w:type="dxa"/>
            <w:shd w:val="clear" w:color="auto" w:fill="auto"/>
          </w:tcPr>
          <w:p w14:paraId="23233DF1"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017</w:t>
            </w:r>
          </w:p>
        </w:tc>
        <w:tc>
          <w:tcPr>
            <w:tcW w:w="794" w:type="dxa"/>
            <w:shd w:val="clear" w:color="auto" w:fill="auto"/>
            <w:vAlign w:val="bottom"/>
          </w:tcPr>
          <w:p w14:paraId="1A0C14C7" w14:textId="4FD352EF"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200</w:t>
            </w:r>
          </w:p>
        </w:tc>
        <w:tc>
          <w:tcPr>
            <w:tcW w:w="818" w:type="dxa"/>
            <w:shd w:val="clear" w:color="auto" w:fill="auto"/>
            <w:vAlign w:val="bottom"/>
          </w:tcPr>
          <w:p w14:paraId="5C85E20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936</w:t>
            </w:r>
          </w:p>
        </w:tc>
        <w:tc>
          <w:tcPr>
            <w:tcW w:w="717" w:type="dxa"/>
            <w:shd w:val="clear" w:color="auto" w:fill="auto"/>
            <w:vAlign w:val="bottom"/>
          </w:tcPr>
          <w:p w14:paraId="173DB257"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150</w:t>
            </w:r>
          </w:p>
        </w:tc>
        <w:tc>
          <w:tcPr>
            <w:tcW w:w="716" w:type="dxa"/>
            <w:shd w:val="clear" w:color="auto" w:fill="auto"/>
            <w:vAlign w:val="bottom"/>
          </w:tcPr>
          <w:p w14:paraId="34EF6E20"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10</w:t>
            </w:r>
          </w:p>
        </w:tc>
        <w:tc>
          <w:tcPr>
            <w:tcW w:w="717" w:type="dxa"/>
            <w:shd w:val="clear" w:color="auto" w:fill="auto"/>
            <w:vAlign w:val="bottom"/>
          </w:tcPr>
          <w:p w14:paraId="60609624" w14:textId="14968326"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096</w:t>
            </w:r>
          </w:p>
        </w:tc>
        <w:tc>
          <w:tcPr>
            <w:tcW w:w="716" w:type="dxa"/>
            <w:shd w:val="clear" w:color="auto" w:fill="auto"/>
            <w:vAlign w:val="bottom"/>
          </w:tcPr>
          <w:p w14:paraId="746CDF15"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179</w:t>
            </w:r>
          </w:p>
        </w:tc>
        <w:tc>
          <w:tcPr>
            <w:tcW w:w="817" w:type="dxa"/>
            <w:shd w:val="clear" w:color="auto" w:fill="auto"/>
            <w:vAlign w:val="bottom"/>
          </w:tcPr>
          <w:p w14:paraId="0FB71A13"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914</w:t>
            </w:r>
          </w:p>
        </w:tc>
        <w:tc>
          <w:tcPr>
            <w:tcW w:w="615" w:type="dxa"/>
            <w:shd w:val="clear" w:color="auto" w:fill="auto"/>
            <w:vAlign w:val="bottom"/>
          </w:tcPr>
          <w:p w14:paraId="7E6FFEAD"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11</w:t>
            </w:r>
          </w:p>
        </w:tc>
        <w:tc>
          <w:tcPr>
            <w:tcW w:w="717" w:type="dxa"/>
            <w:shd w:val="clear" w:color="auto" w:fill="auto"/>
            <w:vAlign w:val="bottom"/>
          </w:tcPr>
          <w:p w14:paraId="298A2065" w14:textId="306BF60E"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104</w:t>
            </w:r>
          </w:p>
        </w:tc>
      </w:tr>
      <w:tr w:rsidR="00695E59" w:rsidRPr="00AF5070" w14:paraId="58CA0A28" w14:textId="77777777" w:rsidTr="00AF5070">
        <w:tc>
          <w:tcPr>
            <w:tcW w:w="743" w:type="dxa"/>
            <w:shd w:val="clear" w:color="auto" w:fill="auto"/>
          </w:tcPr>
          <w:p w14:paraId="1042FC0D" w14:textId="77777777" w:rsidR="00695E59" w:rsidRPr="00AF5070" w:rsidRDefault="00695E59" w:rsidP="00AF5070">
            <w:pPr>
              <w:suppressAutoHyphens w:val="0"/>
              <w:spacing w:before="40" w:after="40" w:line="220" w:lineRule="exact"/>
              <w:ind w:right="113"/>
              <w:rPr>
                <w:rFonts w:eastAsia="ZWAdobeF"/>
                <w:sz w:val="18"/>
                <w:szCs w:val="18"/>
              </w:rPr>
            </w:pPr>
            <w:r w:rsidRPr="00AF5070">
              <w:rPr>
                <w:rFonts w:eastAsia="ZWAdobeF"/>
                <w:sz w:val="18"/>
                <w:szCs w:val="18"/>
                <w:cs/>
              </w:rPr>
              <w:t>2</w:t>
            </w:r>
            <w:r w:rsidRPr="00AF5070">
              <w:rPr>
                <w:rFonts w:eastAsia="ZWAdobeF"/>
                <w:sz w:val="18"/>
                <w:szCs w:val="18"/>
              </w:rPr>
              <w:t>018</w:t>
            </w:r>
          </w:p>
        </w:tc>
        <w:tc>
          <w:tcPr>
            <w:tcW w:w="794" w:type="dxa"/>
            <w:shd w:val="clear" w:color="auto" w:fill="auto"/>
            <w:vAlign w:val="bottom"/>
          </w:tcPr>
          <w:p w14:paraId="74CC3425" w14:textId="69CCF2B3"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299</w:t>
            </w:r>
          </w:p>
        </w:tc>
        <w:tc>
          <w:tcPr>
            <w:tcW w:w="818" w:type="dxa"/>
            <w:shd w:val="clear" w:color="auto" w:fill="auto"/>
            <w:vAlign w:val="bottom"/>
          </w:tcPr>
          <w:p w14:paraId="58F95CD6" w14:textId="4EE6A3F4"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028</w:t>
            </w:r>
          </w:p>
        </w:tc>
        <w:tc>
          <w:tcPr>
            <w:tcW w:w="717" w:type="dxa"/>
            <w:shd w:val="clear" w:color="auto" w:fill="auto"/>
            <w:vAlign w:val="bottom"/>
          </w:tcPr>
          <w:p w14:paraId="716B5F12"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138</w:t>
            </w:r>
          </w:p>
        </w:tc>
        <w:tc>
          <w:tcPr>
            <w:tcW w:w="716" w:type="dxa"/>
            <w:shd w:val="clear" w:color="auto" w:fill="auto"/>
            <w:vAlign w:val="bottom"/>
          </w:tcPr>
          <w:p w14:paraId="3F2B33DE"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20</w:t>
            </w:r>
          </w:p>
        </w:tc>
        <w:tc>
          <w:tcPr>
            <w:tcW w:w="717" w:type="dxa"/>
            <w:shd w:val="clear" w:color="auto" w:fill="auto"/>
            <w:vAlign w:val="bottom"/>
          </w:tcPr>
          <w:p w14:paraId="7771AF13" w14:textId="2727C9C6"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186</w:t>
            </w:r>
          </w:p>
        </w:tc>
        <w:tc>
          <w:tcPr>
            <w:tcW w:w="716" w:type="dxa"/>
            <w:shd w:val="clear" w:color="auto" w:fill="auto"/>
            <w:vAlign w:val="bottom"/>
          </w:tcPr>
          <w:p w14:paraId="5F566D87"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183</w:t>
            </w:r>
          </w:p>
        </w:tc>
        <w:tc>
          <w:tcPr>
            <w:tcW w:w="817" w:type="dxa"/>
            <w:shd w:val="clear" w:color="auto" w:fill="auto"/>
            <w:vAlign w:val="bottom"/>
          </w:tcPr>
          <w:p w14:paraId="11B4B72D" w14:textId="59F7730A"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007</w:t>
            </w:r>
          </w:p>
        </w:tc>
        <w:tc>
          <w:tcPr>
            <w:tcW w:w="615" w:type="dxa"/>
            <w:shd w:val="clear" w:color="auto" w:fill="auto"/>
            <w:vAlign w:val="bottom"/>
          </w:tcPr>
          <w:p w14:paraId="5CE3F8B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21</w:t>
            </w:r>
          </w:p>
        </w:tc>
        <w:tc>
          <w:tcPr>
            <w:tcW w:w="717" w:type="dxa"/>
            <w:shd w:val="clear" w:color="auto" w:fill="auto"/>
            <w:vAlign w:val="bottom"/>
          </w:tcPr>
          <w:p w14:paraId="30CA37C3" w14:textId="2FBBBF24"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211</w:t>
            </w:r>
          </w:p>
        </w:tc>
      </w:tr>
      <w:tr w:rsidR="00695E59" w:rsidRPr="00AF5070" w14:paraId="7D262996" w14:textId="77777777" w:rsidTr="00AF5070">
        <w:tc>
          <w:tcPr>
            <w:tcW w:w="743" w:type="dxa"/>
            <w:shd w:val="clear" w:color="auto" w:fill="auto"/>
          </w:tcPr>
          <w:p w14:paraId="59F483F6" w14:textId="77777777" w:rsidR="00695E59" w:rsidRPr="00AF5070" w:rsidRDefault="00695E59" w:rsidP="00AF5070">
            <w:pPr>
              <w:suppressAutoHyphens w:val="0"/>
              <w:spacing w:before="40" w:after="40" w:line="220" w:lineRule="exact"/>
              <w:ind w:right="113"/>
              <w:rPr>
                <w:rFonts w:eastAsia="ZWAdobeF"/>
                <w:sz w:val="18"/>
                <w:szCs w:val="18"/>
                <w:cs/>
              </w:rPr>
            </w:pPr>
            <w:r w:rsidRPr="00AF5070">
              <w:rPr>
                <w:rFonts w:eastAsia="ZWAdobeF"/>
                <w:sz w:val="18"/>
                <w:szCs w:val="18"/>
                <w:cs/>
              </w:rPr>
              <w:t>2</w:t>
            </w:r>
            <w:r w:rsidRPr="00AF5070">
              <w:rPr>
                <w:rFonts w:eastAsia="ZWAdobeF"/>
                <w:sz w:val="18"/>
                <w:szCs w:val="18"/>
              </w:rPr>
              <w:t>019</w:t>
            </w:r>
          </w:p>
        </w:tc>
        <w:tc>
          <w:tcPr>
            <w:tcW w:w="794" w:type="dxa"/>
            <w:shd w:val="clear" w:color="auto" w:fill="auto"/>
            <w:vAlign w:val="bottom"/>
          </w:tcPr>
          <w:p w14:paraId="14774FA2" w14:textId="3AD883EB"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532</w:t>
            </w:r>
          </w:p>
        </w:tc>
        <w:tc>
          <w:tcPr>
            <w:tcW w:w="818" w:type="dxa"/>
            <w:shd w:val="clear" w:color="auto" w:fill="auto"/>
            <w:vAlign w:val="bottom"/>
          </w:tcPr>
          <w:p w14:paraId="4036B678" w14:textId="66A49E59"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253</w:t>
            </w:r>
          </w:p>
        </w:tc>
        <w:tc>
          <w:tcPr>
            <w:tcW w:w="717" w:type="dxa"/>
            <w:shd w:val="clear" w:color="auto" w:fill="auto"/>
            <w:vAlign w:val="bottom"/>
          </w:tcPr>
          <w:p w14:paraId="0E02F16A"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205</w:t>
            </w:r>
          </w:p>
        </w:tc>
        <w:tc>
          <w:tcPr>
            <w:tcW w:w="716" w:type="dxa"/>
            <w:shd w:val="clear" w:color="auto" w:fill="auto"/>
            <w:vAlign w:val="bottom"/>
          </w:tcPr>
          <w:p w14:paraId="21F41E7D"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37</w:t>
            </w:r>
          </w:p>
        </w:tc>
        <w:tc>
          <w:tcPr>
            <w:tcW w:w="717" w:type="dxa"/>
            <w:shd w:val="clear" w:color="auto" w:fill="auto"/>
            <w:vAlign w:val="bottom"/>
          </w:tcPr>
          <w:p w14:paraId="2D4276FB" w14:textId="5D6E102D"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495</w:t>
            </w:r>
          </w:p>
        </w:tc>
        <w:tc>
          <w:tcPr>
            <w:tcW w:w="716" w:type="dxa"/>
            <w:shd w:val="clear" w:color="auto" w:fill="auto"/>
            <w:vAlign w:val="bottom"/>
          </w:tcPr>
          <w:p w14:paraId="69DB3F4B"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270</w:t>
            </w:r>
          </w:p>
        </w:tc>
        <w:tc>
          <w:tcPr>
            <w:tcW w:w="817" w:type="dxa"/>
            <w:shd w:val="clear" w:color="auto" w:fill="auto"/>
            <w:vAlign w:val="bottom"/>
          </w:tcPr>
          <w:p w14:paraId="1B17FE5C" w14:textId="666FF172"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206</w:t>
            </w:r>
          </w:p>
        </w:tc>
        <w:tc>
          <w:tcPr>
            <w:tcW w:w="615" w:type="dxa"/>
            <w:shd w:val="clear" w:color="auto" w:fill="auto"/>
            <w:vAlign w:val="bottom"/>
          </w:tcPr>
          <w:p w14:paraId="0285C84C" w14:textId="77777777"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39</w:t>
            </w:r>
          </w:p>
        </w:tc>
        <w:tc>
          <w:tcPr>
            <w:tcW w:w="717" w:type="dxa"/>
            <w:shd w:val="clear" w:color="auto" w:fill="auto"/>
            <w:vAlign w:val="bottom"/>
          </w:tcPr>
          <w:p w14:paraId="6161B9EA" w14:textId="49B46A9A" w:rsidR="00695E59" w:rsidRPr="00AF5070" w:rsidRDefault="00695E59" w:rsidP="00AF5070">
            <w:pPr>
              <w:suppressAutoHyphens w:val="0"/>
              <w:spacing w:before="40" w:after="40" w:line="220" w:lineRule="exact"/>
              <w:ind w:right="113"/>
              <w:jc w:val="right"/>
              <w:rPr>
                <w:rFonts w:eastAsia="ZWAdobeF"/>
                <w:sz w:val="18"/>
                <w:szCs w:val="18"/>
              </w:rPr>
            </w:pPr>
            <w:r w:rsidRPr="00AF5070">
              <w:rPr>
                <w:rFonts w:eastAsia="ZWAdobeF"/>
                <w:sz w:val="18"/>
                <w:szCs w:val="18"/>
                <w:cs/>
              </w:rPr>
              <w:t>1</w:t>
            </w:r>
            <w:r w:rsidR="00B01FBF">
              <w:rPr>
                <w:rFonts w:eastAsia="ZWAdobeF"/>
                <w:sz w:val="18"/>
                <w:szCs w:val="18"/>
              </w:rPr>
              <w:t xml:space="preserve"> </w:t>
            </w:r>
            <w:r w:rsidRPr="00AF5070">
              <w:rPr>
                <w:rFonts w:eastAsia="ZWAdobeF"/>
                <w:sz w:val="18"/>
                <w:szCs w:val="18"/>
                <w:cs/>
              </w:rPr>
              <w:t>515</w:t>
            </w:r>
          </w:p>
        </w:tc>
      </w:tr>
    </w:tbl>
    <w:p w14:paraId="3C165FB2" w14:textId="1BC2E754" w:rsidR="00695E59" w:rsidRPr="007C5D94" w:rsidRDefault="007C5D94" w:rsidP="007C5D94">
      <w:pPr>
        <w:pStyle w:val="H23G"/>
      </w:pPr>
      <w:r w:rsidRPr="007C5D94">
        <w:tab/>
      </w:r>
      <w:r w:rsidRPr="007C5D94">
        <w:tab/>
      </w:r>
      <w:r w:rsidRPr="007C5D94">
        <w:rPr>
          <w:b w:val="0"/>
          <w:bCs/>
        </w:rPr>
        <w:t>Table 3</w:t>
      </w:r>
      <w:r w:rsidRPr="007C5D94">
        <w:rPr>
          <w:b w:val="0"/>
          <w:bCs/>
        </w:rPr>
        <w:br/>
      </w:r>
      <w:r w:rsidRPr="007C5D94">
        <w:t>Human trafficking cases initiated (as of 25 May 2020)</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6"/>
        <w:gridCol w:w="568"/>
        <w:gridCol w:w="1155"/>
        <w:gridCol w:w="972"/>
        <w:gridCol w:w="992"/>
        <w:gridCol w:w="744"/>
        <w:gridCol w:w="1061"/>
        <w:gridCol w:w="772"/>
        <w:gridCol w:w="824"/>
        <w:gridCol w:w="851"/>
      </w:tblGrid>
      <w:tr w:rsidR="00CC4EA8" w:rsidRPr="00CC4EA8" w14:paraId="2FF61C2A" w14:textId="77777777" w:rsidTr="003D74B6">
        <w:trPr>
          <w:tblHeader/>
        </w:trPr>
        <w:tc>
          <w:tcPr>
            <w:tcW w:w="566" w:type="dxa"/>
            <w:vMerge w:val="restart"/>
            <w:tcBorders>
              <w:top w:val="single" w:sz="4" w:space="0" w:color="auto"/>
              <w:bottom w:val="single" w:sz="12" w:space="0" w:color="auto"/>
            </w:tcBorders>
            <w:shd w:val="clear" w:color="auto" w:fill="auto"/>
            <w:vAlign w:val="bottom"/>
          </w:tcPr>
          <w:p w14:paraId="41620169" w14:textId="77777777" w:rsidR="00695E59" w:rsidRPr="00CC4EA8" w:rsidRDefault="00695E59" w:rsidP="00CC4EA8">
            <w:pPr>
              <w:suppressAutoHyphens w:val="0"/>
              <w:spacing w:before="80" w:after="80" w:line="200" w:lineRule="exact"/>
              <w:ind w:right="113"/>
              <w:rPr>
                <w:rFonts w:eastAsia="ZWAdobeF"/>
                <w:i/>
                <w:sz w:val="16"/>
                <w:lang w:bidi="th-TH"/>
              </w:rPr>
            </w:pPr>
            <w:r w:rsidRPr="00CC4EA8">
              <w:rPr>
                <w:rFonts w:eastAsia="ZWAdobeF"/>
                <w:i/>
                <w:sz w:val="16"/>
                <w:lang w:bidi="th-TH"/>
              </w:rPr>
              <w:t>Year</w:t>
            </w:r>
          </w:p>
        </w:tc>
        <w:tc>
          <w:tcPr>
            <w:tcW w:w="568" w:type="dxa"/>
            <w:vMerge w:val="restart"/>
            <w:tcBorders>
              <w:top w:val="single" w:sz="4" w:space="0" w:color="auto"/>
              <w:bottom w:val="single" w:sz="12" w:space="0" w:color="auto"/>
            </w:tcBorders>
            <w:shd w:val="clear" w:color="auto" w:fill="auto"/>
            <w:vAlign w:val="bottom"/>
          </w:tcPr>
          <w:p w14:paraId="235C93F8" w14:textId="6A390EBB" w:rsidR="00695E59" w:rsidRPr="00CC4EA8" w:rsidRDefault="00631B54" w:rsidP="00631B54">
            <w:pPr>
              <w:suppressAutoHyphens w:val="0"/>
              <w:spacing w:before="80" w:after="80" w:line="200" w:lineRule="exact"/>
              <w:ind w:right="113"/>
              <w:jc w:val="right"/>
              <w:rPr>
                <w:rFonts w:eastAsia="ZWAdobeF"/>
                <w:i/>
                <w:sz w:val="16"/>
                <w:lang w:bidi="th-TH"/>
              </w:rPr>
            </w:pPr>
            <w:r w:rsidRPr="00CC4EA8">
              <w:rPr>
                <w:rFonts w:eastAsia="ZWAdobeF"/>
                <w:i/>
                <w:sz w:val="16"/>
                <w:lang w:bidi="th-TH"/>
              </w:rPr>
              <w:t>Total</w:t>
            </w:r>
            <w:r>
              <w:rPr>
                <w:rFonts w:eastAsia="ZWAdobeF"/>
                <w:i/>
                <w:sz w:val="16"/>
                <w:lang w:bidi="th-TH"/>
              </w:rPr>
              <w:t xml:space="preserve"> </w:t>
            </w:r>
            <w:r w:rsidRPr="00CC4EA8">
              <w:rPr>
                <w:rFonts w:eastAsia="ZWAdobeF"/>
                <w:i/>
                <w:sz w:val="16"/>
                <w:lang w:bidi="th-TH"/>
              </w:rPr>
              <w:t>cases</w:t>
            </w:r>
          </w:p>
        </w:tc>
        <w:tc>
          <w:tcPr>
            <w:tcW w:w="7371" w:type="dxa"/>
            <w:gridSpan w:val="8"/>
            <w:tcBorders>
              <w:top w:val="single" w:sz="4" w:space="0" w:color="auto"/>
              <w:bottom w:val="single" w:sz="4" w:space="0" w:color="auto"/>
            </w:tcBorders>
            <w:shd w:val="clear" w:color="auto" w:fill="auto"/>
            <w:vAlign w:val="bottom"/>
          </w:tcPr>
          <w:p w14:paraId="31A55D39" w14:textId="77777777" w:rsidR="00695E59" w:rsidRPr="00CC4EA8" w:rsidRDefault="00695E59" w:rsidP="00631B54">
            <w:pPr>
              <w:suppressAutoHyphens w:val="0"/>
              <w:spacing w:before="80" w:after="80" w:line="200" w:lineRule="exact"/>
              <w:ind w:right="113"/>
              <w:jc w:val="center"/>
              <w:rPr>
                <w:rFonts w:eastAsia="ZWAdobeF"/>
                <w:i/>
                <w:sz w:val="16"/>
                <w:lang w:bidi="th-TH"/>
              </w:rPr>
            </w:pPr>
            <w:r w:rsidRPr="00CC4EA8">
              <w:rPr>
                <w:rFonts w:eastAsia="ZWAdobeF"/>
                <w:i/>
                <w:sz w:val="16"/>
                <w:lang w:bidi="th-TH"/>
              </w:rPr>
              <w:t>Types of human trafficking activities</w:t>
            </w:r>
          </w:p>
        </w:tc>
      </w:tr>
      <w:tr w:rsidR="00CC4EA8" w:rsidRPr="00CC4EA8" w14:paraId="175973B5" w14:textId="77777777" w:rsidTr="003D74B6">
        <w:trPr>
          <w:tblHeader/>
        </w:trPr>
        <w:tc>
          <w:tcPr>
            <w:tcW w:w="566" w:type="dxa"/>
            <w:vMerge/>
            <w:tcBorders>
              <w:top w:val="single" w:sz="12" w:space="0" w:color="auto"/>
              <w:bottom w:val="single" w:sz="12" w:space="0" w:color="auto"/>
            </w:tcBorders>
            <w:shd w:val="clear" w:color="auto" w:fill="auto"/>
            <w:vAlign w:val="bottom"/>
          </w:tcPr>
          <w:p w14:paraId="72324D51" w14:textId="77777777" w:rsidR="00695E59" w:rsidRPr="00CC4EA8" w:rsidRDefault="00695E59" w:rsidP="00CC4EA8">
            <w:pPr>
              <w:suppressAutoHyphens w:val="0"/>
              <w:spacing w:before="40" w:after="40" w:line="220" w:lineRule="exact"/>
              <w:ind w:right="113"/>
              <w:rPr>
                <w:rFonts w:eastAsia="ZWAdobeF"/>
                <w:sz w:val="18"/>
                <w:lang w:bidi="th-TH"/>
              </w:rPr>
            </w:pPr>
          </w:p>
        </w:tc>
        <w:tc>
          <w:tcPr>
            <w:tcW w:w="568" w:type="dxa"/>
            <w:vMerge/>
            <w:tcBorders>
              <w:top w:val="single" w:sz="12" w:space="0" w:color="auto"/>
              <w:bottom w:val="single" w:sz="12" w:space="0" w:color="auto"/>
            </w:tcBorders>
            <w:shd w:val="clear" w:color="auto" w:fill="auto"/>
            <w:vAlign w:val="bottom"/>
          </w:tcPr>
          <w:p w14:paraId="0ECD1716" w14:textId="77777777" w:rsidR="00695E59" w:rsidRPr="00631B54" w:rsidRDefault="00695E59" w:rsidP="00631B54">
            <w:pPr>
              <w:suppressAutoHyphens w:val="0"/>
              <w:spacing w:before="80" w:after="80" w:line="200" w:lineRule="exact"/>
              <w:ind w:right="113"/>
              <w:jc w:val="right"/>
              <w:rPr>
                <w:rFonts w:eastAsia="ZWAdobeF"/>
                <w:i/>
                <w:sz w:val="16"/>
                <w:lang w:bidi="th-TH"/>
              </w:rPr>
            </w:pPr>
          </w:p>
        </w:tc>
        <w:tc>
          <w:tcPr>
            <w:tcW w:w="1155" w:type="dxa"/>
            <w:tcBorders>
              <w:top w:val="single" w:sz="4" w:space="0" w:color="auto"/>
              <w:bottom w:val="single" w:sz="12" w:space="0" w:color="auto"/>
            </w:tcBorders>
            <w:shd w:val="clear" w:color="auto" w:fill="auto"/>
            <w:vAlign w:val="bottom"/>
          </w:tcPr>
          <w:p w14:paraId="6CFB67CE"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 xml:space="preserve">Prostitution </w:t>
            </w:r>
          </w:p>
        </w:tc>
        <w:tc>
          <w:tcPr>
            <w:tcW w:w="972" w:type="dxa"/>
            <w:tcBorders>
              <w:top w:val="single" w:sz="4" w:space="0" w:color="auto"/>
              <w:bottom w:val="single" w:sz="12" w:space="0" w:color="auto"/>
            </w:tcBorders>
            <w:shd w:val="clear" w:color="auto" w:fill="auto"/>
            <w:vAlign w:val="bottom"/>
          </w:tcPr>
          <w:p w14:paraId="03CA2840"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Pornography</w:t>
            </w:r>
          </w:p>
        </w:tc>
        <w:tc>
          <w:tcPr>
            <w:tcW w:w="992" w:type="dxa"/>
            <w:tcBorders>
              <w:top w:val="single" w:sz="4" w:space="0" w:color="auto"/>
              <w:bottom w:val="single" w:sz="12" w:space="0" w:color="auto"/>
            </w:tcBorders>
            <w:shd w:val="clear" w:color="auto" w:fill="auto"/>
            <w:vAlign w:val="bottom"/>
          </w:tcPr>
          <w:p w14:paraId="51BB8409" w14:textId="4C499535"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Other forms of</w:t>
            </w:r>
            <w:r w:rsidR="00631B54">
              <w:rPr>
                <w:rFonts w:eastAsia="ZWAdobeF"/>
                <w:i/>
                <w:sz w:val="16"/>
                <w:lang w:bidi="th-TH"/>
              </w:rPr>
              <w:t xml:space="preserve"> </w:t>
            </w:r>
            <w:r w:rsidRPr="00631B54">
              <w:rPr>
                <w:rFonts w:eastAsia="ZWAdobeF"/>
                <w:i/>
                <w:sz w:val="16"/>
                <w:lang w:bidi="th-TH"/>
              </w:rPr>
              <w:t>Sexual exploitation</w:t>
            </w:r>
          </w:p>
        </w:tc>
        <w:tc>
          <w:tcPr>
            <w:tcW w:w="744" w:type="dxa"/>
            <w:tcBorders>
              <w:top w:val="single" w:sz="4" w:space="0" w:color="auto"/>
              <w:bottom w:val="single" w:sz="12" w:space="0" w:color="auto"/>
            </w:tcBorders>
            <w:shd w:val="clear" w:color="auto" w:fill="auto"/>
            <w:vAlign w:val="bottom"/>
          </w:tcPr>
          <w:p w14:paraId="21C53280"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Forced begging</w:t>
            </w:r>
          </w:p>
        </w:tc>
        <w:tc>
          <w:tcPr>
            <w:tcW w:w="1061" w:type="dxa"/>
            <w:tcBorders>
              <w:top w:val="single" w:sz="4" w:space="0" w:color="auto"/>
              <w:bottom w:val="single" w:sz="12" w:space="0" w:color="auto"/>
            </w:tcBorders>
            <w:shd w:val="clear" w:color="auto" w:fill="auto"/>
            <w:vAlign w:val="bottom"/>
          </w:tcPr>
          <w:p w14:paraId="252F1B30"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Enslavement</w:t>
            </w:r>
          </w:p>
        </w:tc>
        <w:tc>
          <w:tcPr>
            <w:tcW w:w="772" w:type="dxa"/>
            <w:tcBorders>
              <w:top w:val="single" w:sz="4" w:space="0" w:color="auto"/>
              <w:bottom w:val="single" w:sz="12" w:space="0" w:color="auto"/>
            </w:tcBorders>
            <w:shd w:val="clear" w:color="auto" w:fill="auto"/>
            <w:vAlign w:val="bottom"/>
          </w:tcPr>
          <w:p w14:paraId="1B32CD3E"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Labour (general)</w:t>
            </w:r>
          </w:p>
        </w:tc>
        <w:tc>
          <w:tcPr>
            <w:tcW w:w="824" w:type="dxa"/>
            <w:tcBorders>
              <w:top w:val="single" w:sz="4" w:space="0" w:color="auto"/>
              <w:bottom w:val="single" w:sz="12" w:space="0" w:color="auto"/>
            </w:tcBorders>
            <w:shd w:val="clear" w:color="auto" w:fill="auto"/>
            <w:vAlign w:val="bottom"/>
          </w:tcPr>
          <w:p w14:paraId="06F87DF9"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Labour (fisheries)</w:t>
            </w:r>
          </w:p>
        </w:tc>
        <w:tc>
          <w:tcPr>
            <w:tcW w:w="851" w:type="dxa"/>
            <w:tcBorders>
              <w:top w:val="single" w:sz="4" w:space="0" w:color="auto"/>
              <w:bottom w:val="single" w:sz="12" w:space="0" w:color="auto"/>
            </w:tcBorders>
            <w:shd w:val="clear" w:color="auto" w:fill="auto"/>
            <w:vAlign w:val="bottom"/>
          </w:tcPr>
          <w:p w14:paraId="060560A6" w14:textId="77777777" w:rsidR="00695E59" w:rsidRPr="00631B54" w:rsidRDefault="00695E59" w:rsidP="00631B54">
            <w:pPr>
              <w:suppressAutoHyphens w:val="0"/>
              <w:spacing w:before="80" w:after="80" w:line="200" w:lineRule="exact"/>
              <w:ind w:right="113"/>
              <w:jc w:val="right"/>
              <w:rPr>
                <w:rFonts w:eastAsia="ZWAdobeF"/>
                <w:i/>
                <w:sz w:val="16"/>
                <w:lang w:bidi="th-TH"/>
              </w:rPr>
            </w:pPr>
            <w:r w:rsidRPr="00631B54">
              <w:rPr>
                <w:rFonts w:eastAsia="ZWAdobeF"/>
                <w:i/>
                <w:sz w:val="16"/>
                <w:lang w:bidi="th-TH"/>
              </w:rPr>
              <w:t>Extortion/ Others</w:t>
            </w:r>
          </w:p>
        </w:tc>
      </w:tr>
      <w:tr w:rsidR="00CC4EA8" w:rsidRPr="00CC4EA8" w14:paraId="3622B632" w14:textId="77777777" w:rsidTr="003D74B6">
        <w:tc>
          <w:tcPr>
            <w:tcW w:w="566" w:type="dxa"/>
            <w:tcBorders>
              <w:top w:val="single" w:sz="12" w:space="0" w:color="auto"/>
            </w:tcBorders>
            <w:shd w:val="clear" w:color="auto" w:fill="auto"/>
          </w:tcPr>
          <w:p w14:paraId="5DB8B175" w14:textId="77777777" w:rsidR="00695E59" w:rsidRPr="00CC4EA8" w:rsidRDefault="00695E59" w:rsidP="00CC4EA8">
            <w:pPr>
              <w:suppressAutoHyphens w:val="0"/>
              <w:spacing w:before="40" w:after="40" w:line="220" w:lineRule="exact"/>
              <w:ind w:right="113"/>
              <w:rPr>
                <w:rFonts w:eastAsia="ZWAdobeF"/>
                <w:sz w:val="18"/>
                <w:lang w:bidi="th-TH"/>
              </w:rPr>
            </w:pPr>
            <w:r w:rsidRPr="00CC4EA8">
              <w:rPr>
                <w:rFonts w:eastAsia="ZWAdobeF"/>
                <w:sz w:val="18"/>
                <w:lang w:bidi="th-TH"/>
              </w:rPr>
              <w:t>2015</w:t>
            </w:r>
          </w:p>
        </w:tc>
        <w:tc>
          <w:tcPr>
            <w:tcW w:w="568" w:type="dxa"/>
            <w:tcBorders>
              <w:top w:val="single" w:sz="12" w:space="0" w:color="auto"/>
            </w:tcBorders>
            <w:shd w:val="clear" w:color="auto" w:fill="auto"/>
            <w:vAlign w:val="bottom"/>
          </w:tcPr>
          <w:p w14:paraId="117CB305"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317</w:t>
            </w:r>
          </w:p>
        </w:tc>
        <w:tc>
          <w:tcPr>
            <w:tcW w:w="1155" w:type="dxa"/>
            <w:tcBorders>
              <w:top w:val="single" w:sz="12" w:space="0" w:color="auto"/>
            </w:tcBorders>
            <w:shd w:val="clear" w:color="auto" w:fill="auto"/>
            <w:vAlign w:val="bottom"/>
          </w:tcPr>
          <w:p w14:paraId="77EC6E4D"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245</w:t>
            </w:r>
          </w:p>
        </w:tc>
        <w:tc>
          <w:tcPr>
            <w:tcW w:w="972" w:type="dxa"/>
            <w:tcBorders>
              <w:top w:val="single" w:sz="12" w:space="0" w:color="auto"/>
            </w:tcBorders>
            <w:shd w:val="clear" w:color="auto" w:fill="auto"/>
            <w:vAlign w:val="bottom"/>
          </w:tcPr>
          <w:p w14:paraId="4450759C"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992" w:type="dxa"/>
            <w:tcBorders>
              <w:top w:val="single" w:sz="12" w:space="0" w:color="auto"/>
            </w:tcBorders>
            <w:shd w:val="clear" w:color="auto" w:fill="auto"/>
            <w:vAlign w:val="bottom"/>
          </w:tcPr>
          <w:p w14:paraId="5DBCC267"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744" w:type="dxa"/>
            <w:tcBorders>
              <w:top w:val="single" w:sz="12" w:space="0" w:color="auto"/>
            </w:tcBorders>
            <w:shd w:val="clear" w:color="auto" w:fill="auto"/>
            <w:vAlign w:val="bottom"/>
          </w:tcPr>
          <w:p w14:paraId="2D7AD65D"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w:t>
            </w:r>
          </w:p>
        </w:tc>
        <w:tc>
          <w:tcPr>
            <w:tcW w:w="1061" w:type="dxa"/>
            <w:tcBorders>
              <w:top w:val="single" w:sz="12" w:space="0" w:color="auto"/>
            </w:tcBorders>
            <w:shd w:val="clear" w:color="auto" w:fill="auto"/>
            <w:vAlign w:val="bottom"/>
          </w:tcPr>
          <w:p w14:paraId="5C7E8BAB"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772" w:type="dxa"/>
            <w:tcBorders>
              <w:top w:val="single" w:sz="12" w:space="0" w:color="auto"/>
            </w:tcBorders>
            <w:shd w:val="clear" w:color="auto" w:fill="auto"/>
            <w:vAlign w:val="bottom"/>
          </w:tcPr>
          <w:p w14:paraId="7DC10FCF"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30</w:t>
            </w:r>
          </w:p>
        </w:tc>
        <w:tc>
          <w:tcPr>
            <w:tcW w:w="824" w:type="dxa"/>
            <w:tcBorders>
              <w:top w:val="single" w:sz="12" w:space="0" w:color="auto"/>
            </w:tcBorders>
            <w:shd w:val="clear" w:color="auto" w:fill="auto"/>
            <w:vAlign w:val="bottom"/>
          </w:tcPr>
          <w:p w14:paraId="72887F98"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39</w:t>
            </w:r>
          </w:p>
        </w:tc>
        <w:tc>
          <w:tcPr>
            <w:tcW w:w="851" w:type="dxa"/>
            <w:tcBorders>
              <w:top w:val="single" w:sz="12" w:space="0" w:color="auto"/>
            </w:tcBorders>
            <w:shd w:val="clear" w:color="auto" w:fill="auto"/>
            <w:vAlign w:val="bottom"/>
          </w:tcPr>
          <w:p w14:paraId="7993CCBF"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r>
      <w:tr w:rsidR="00CC4EA8" w:rsidRPr="00CC4EA8" w14:paraId="0D4CFAF0" w14:textId="77777777" w:rsidTr="003D74B6">
        <w:tc>
          <w:tcPr>
            <w:tcW w:w="566" w:type="dxa"/>
            <w:shd w:val="clear" w:color="auto" w:fill="auto"/>
          </w:tcPr>
          <w:p w14:paraId="6CB46AE9" w14:textId="77777777" w:rsidR="00695E59" w:rsidRPr="00CC4EA8" w:rsidRDefault="00695E59" w:rsidP="00CC4EA8">
            <w:pPr>
              <w:suppressAutoHyphens w:val="0"/>
              <w:spacing w:before="40" w:after="40" w:line="220" w:lineRule="exact"/>
              <w:ind w:right="113"/>
              <w:rPr>
                <w:rFonts w:eastAsia="ZWAdobeF"/>
                <w:sz w:val="18"/>
                <w:lang w:bidi="th-TH"/>
              </w:rPr>
            </w:pPr>
            <w:r w:rsidRPr="00CC4EA8">
              <w:rPr>
                <w:rFonts w:eastAsia="ZWAdobeF"/>
                <w:sz w:val="18"/>
                <w:lang w:bidi="th-TH"/>
              </w:rPr>
              <w:t>2016</w:t>
            </w:r>
          </w:p>
        </w:tc>
        <w:tc>
          <w:tcPr>
            <w:tcW w:w="568" w:type="dxa"/>
            <w:shd w:val="clear" w:color="auto" w:fill="auto"/>
            <w:vAlign w:val="bottom"/>
          </w:tcPr>
          <w:p w14:paraId="6076692C"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333</w:t>
            </w:r>
          </w:p>
        </w:tc>
        <w:tc>
          <w:tcPr>
            <w:tcW w:w="1155" w:type="dxa"/>
            <w:shd w:val="clear" w:color="auto" w:fill="auto"/>
            <w:vAlign w:val="bottom"/>
          </w:tcPr>
          <w:p w14:paraId="39ADB8FE"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244</w:t>
            </w:r>
          </w:p>
        </w:tc>
        <w:tc>
          <w:tcPr>
            <w:tcW w:w="972" w:type="dxa"/>
            <w:shd w:val="clear" w:color="auto" w:fill="auto"/>
            <w:vAlign w:val="bottom"/>
          </w:tcPr>
          <w:p w14:paraId="589EB35A"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w:t>
            </w:r>
          </w:p>
        </w:tc>
        <w:tc>
          <w:tcPr>
            <w:tcW w:w="992" w:type="dxa"/>
            <w:shd w:val="clear" w:color="auto" w:fill="auto"/>
            <w:vAlign w:val="bottom"/>
          </w:tcPr>
          <w:p w14:paraId="5B535DAF"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744" w:type="dxa"/>
            <w:shd w:val="clear" w:color="auto" w:fill="auto"/>
            <w:vAlign w:val="bottom"/>
          </w:tcPr>
          <w:p w14:paraId="283DE22F"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8</w:t>
            </w:r>
          </w:p>
        </w:tc>
        <w:tc>
          <w:tcPr>
            <w:tcW w:w="1061" w:type="dxa"/>
            <w:shd w:val="clear" w:color="auto" w:fill="auto"/>
            <w:vAlign w:val="bottom"/>
          </w:tcPr>
          <w:p w14:paraId="691AF638"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772" w:type="dxa"/>
            <w:shd w:val="clear" w:color="auto" w:fill="auto"/>
            <w:vAlign w:val="bottom"/>
          </w:tcPr>
          <w:p w14:paraId="4A64B7AE"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32</w:t>
            </w:r>
          </w:p>
        </w:tc>
        <w:tc>
          <w:tcPr>
            <w:tcW w:w="824" w:type="dxa"/>
            <w:shd w:val="clear" w:color="auto" w:fill="auto"/>
            <w:vAlign w:val="bottom"/>
          </w:tcPr>
          <w:p w14:paraId="14E77949"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43</w:t>
            </w:r>
          </w:p>
        </w:tc>
        <w:tc>
          <w:tcPr>
            <w:tcW w:w="851" w:type="dxa"/>
            <w:shd w:val="clear" w:color="auto" w:fill="auto"/>
            <w:vAlign w:val="bottom"/>
          </w:tcPr>
          <w:p w14:paraId="0F24AEA7"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w:t>
            </w:r>
          </w:p>
        </w:tc>
      </w:tr>
      <w:tr w:rsidR="00CC4EA8" w:rsidRPr="00CC4EA8" w14:paraId="5978DD38" w14:textId="77777777" w:rsidTr="003D74B6">
        <w:tc>
          <w:tcPr>
            <w:tcW w:w="566" w:type="dxa"/>
            <w:shd w:val="clear" w:color="auto" w:fill="auto"/>
          </w:tcPr>
          <w:p w14:paraId="5D437A7D" w14:textId="77777777" w:rsidR="00695E59" w:rsidRPr="00CC4EA8" w:rsidRDefault="00695E59" w:rsidP="00CC4EA8">
            <w:pPr>
              <w:suppressAutoHyphens w:val="0"/>
              <w:spacing w:before="40" w:after="40" w:line="220" w:lineRule="exact"/>
              <w:ind w:right="113"/>
              <w:rPr>
                <w:rFonts w:eastAsia="ZWAdobeF"/>
                <w:sz w:val="18"/>
                <w:lang w:bidi="th-TH"/>
              </w:rPr>
            </w:pPr>
            <w:r w:rsidRPr="00CC4EA8">
              <w:rPr>
                <w:rFonts w:eastAsia="ZWAdobeF"/>
                <w:sz w:val="18"/>
                <w:lang w:bidi="th-TH"/>
              </w:rPr>
              <w:t>2017</w:t>
            </w:r>
          </w:p>
        </w:tc>
        <w:tc>
          <w:tcPr>
            <w:tcW w:w="568" w:type="dxa"/>
            <w:shd w:val="clear" w:color="auto" w:fill="auto"/>
            <w:vAlign w:val="bottom"/>
          </w:tcPr>
          <w:p w14:paraId="00BEFB2F"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302</w:t>
            </w:r>
          </w:p>
        </w:tc>
        <w:tc>
          <w:tcPr>
            <w:tcW w:w="1155" w:type="dxa"/>
            <w:shd w:val="clear" w:color="auto" w:fill="auto"/>
            <w:vAlign w:val="bottom"/>
          </w:tcPr>
          <w:p w14:paraId="39B6F186"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246</w:t>
            </w:r>
          </w:p>
        </w:tc>
        <w:tc>
          <w:tcPr>
            <w:tcW w:w="972" w:type="dxa"/>
            <w:shd w:val="clear" w:color="auto" w:fill="auto"/>
            <w:vAlign w:val="bottom"/>
          </w:tcPr>
          <w:p w14:paraId="3A5C650B"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7</w:t>
            </w:r>
          </w:p>
        </w:tc>
        <w:tc>
          <w:tcPr>
            <w:tcW w:w="992" w:type="dxa"/>
            <w:shd w:val="clear" w:color="auto" w:fill="auto"/>
            <w:vAlign w:val="bottom"/>
          </w:tcPr>
          <w:p w14:paraId="059D2141"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w:t>
            </w:r>
          </w:p>
        </w:tc>
        <w:tc>
          <w:tcPr>
            <w:tcW w:w="744" w:type="dxa"/>
            <w:shd w:val="clear" w:color="auto" w:fill="auto"/>
            <w:vAlign w:val="bottom"/>
          </w:tcPr>
          <w:p w14:paraId="78116E50"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26</w:t>
            </w:r>
          </w:p>
        </w:tc>
        <w:tc>
          <w:tcPr>
            <w:tcW w:w="1061" w:type="dxa"/>
            <w:shd w:val="clear" w:color="auto" w:fill="auto"/>
            <w:vAlign w:val="bottom"/>
          </w:tcPr>
          <w:p w14:paraId="4FC1D9A4"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772" w:type="dxa"/>
            <w:shd w:val="clear" w:color="auto" w:fill="auto"/>
            <w:vAlign w:val="bottom"/>
          </w:tcPr>
          <w:p w14:paraId="5AC735AE"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14</w:t>
            </w:r>
          </w:p>
        </w:tc>
        <w:tc>
          <w:tcPr>
            <w:tcW w:w="824" w:type="dxa"/>
            <w:shd w:val="clear" w:color="auto" w:fill="auto"/>
            <w:vAlign w:val="bottom"/>
          </w:tcPr>
          <w:p w14:paraId="27632A88"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7</w:t>
            </w:r>
          </w:p>
        </w:tc>
        <w:tc>
          <w:tcPr>
            <w:tcW w:w="851" w:type="dxa"/>
            <w:shd w:val="clear" w:color="auto" w:fill="auto"/>
            <w:vAlign w:val="bottom"/>
          </w:tcPr>
          <w:p w14:paraId="2263607A"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r>
      <w:tr w:rsidR="00CC4EA8" w:rsidRPr="00CC4EA8" w14:paraId="22408225" w14:textId="77777777" w:rsidTr="003D74B6">
        <w:tc>
          <w:tcPr>
            <w:tcW w:w="566" w:type="dxa"/>
            <w:shd w:val="clear" w:color="auto" w:fill="auto"/>
          </w:tcPr>
          <w:p w14:paraId="0CCB9054" w14:textId="77777777" w:rsidR="00695E59" w:rsidRPr="00CC4EA8" w:rsidRDefault="00695E59" w:rsidP="00CC4EA8">
            <w:pPr>
              <w:suppressAutoHyphens w:val="0"/>
              <w:spacing w:before="40" w:after="40" w:line="220" w:lineRule="exact"/>
              <w:ind w:right="113"/>
              <w:rPr>
                <w:rFonts w:eastAsia="ZWAdobeF"/>
                <w:sz w:val="18"/>
                <w:lang w:bidi="th-TH"/>
              </w:rPr>
            </w:pPr>
            <w:r w:rsidRPr="00CC4EA8">
              <w:rPr>
                <w:rFonts w:eastAsia="ZWAdobeF"/>
                <w:sz w:val="18"/>
                <w:lang w:bidi="th-TH"/>
              </w:rPr>
              <w:t>2018</w:t>
            </w:r>
          </w:p>
        </w:tc>
        <w:tc>
          <w:tcPr>
            <w:tcW w:w="568" w:type="dxa"/>
            <w:shd w:val="clear" w:color="auto" w:fill="auto"/>
            <w:vAlign w:val="bottom"/>
          </w:tcPr>
          <w:p w14:paraId="786C97F7"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304</w:t>
            </w:r>
          </w:p>
        </w:tc>
        <w:tc>
          <w:tcPr>
            <w:tcW w:w="1155" w:type="dxa"/>
            <w:shd w:val="clear" w:color="auto" w:fill="auto"/>
            <w:vAlign w:val="bottom"/>
          </w:tcPr>
          <w:p w14:paraId="790EDA6F"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249</w:t>
            </w:r>
          </w:p>
        </w:tc>
        <w:tc>
          <w:tcPr>
            <w:tcW w:w="972" w:type="dxa"/>
            <w:shd w:val="clear" w:color="auto" w:fill="auto"/>
            <w:vAlign w:val="bottom"/>
          </w:tcPr>
          <w:p w14:paraId="49DED055"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4</w:t>
            </w:r>
          </w:p>
        </w:tc>
        <w:tc>
          <w:tcPr>
            <w:tcW w:w="992" w:type="dxa"/>
            <w:shd w:val="clear" w:color="auto" w:fill="auto"/>
            <w:vAlign w:val="bottom"/>
          </w:tcPr>
          <w:p w14:paraId="03EB1809"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5</w:t>
            </w:r>
          </w:p>
        </w:tc>
        <w:tc>
          <w:tcPr>
            <w:tcW w:w="744" w:type="dxa"/>
            <w:shd w:val="clear" w:color="auto" w:fill="auto"/>
            <w:vAlign w:val="bottom"/>
          </w:tcPr>
          <w:p w14:paraId="6D05CBDC"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8</w:t>
            </w:r>
          </w:p>
        </w:tc>
        <w:tc>
          <w:tcPr>
            <w:tcW w:w="1061" w:type="dxa"/>
            <w:shd w:val="clear" w:color="auto" w:fill="auto"/>
            <w:vAlign w:val="bottom"/>
          </w:tcPr>
          <w:p w14:paraId="126AB8C7"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w:t>
            </w:r>
          </w:p>
        </w:tc>
        <w:tc>
          <w:tcPr>
            <w:tcW w:w="772" w:type="dxa"/>
            <w:shd w:val="clear" w:color="auto" w:fill="auto"/>
            <w:vAlign w:val="bottom"/>
          </w:tcPr>
          <w:p w14:paraId="233F5587"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29</w:t>
            </w:r>
          </w:p>
        </w:tc>
        <w:tc>
          <w:tcPr>
            <w:tcW w:w="824" w:type="dxa"/>
            <w:shd w:val="clear" w:color="auto" w:fill="auto"/>
            <w:vAlign w:val="bottom"/>
          </w:tcPr>
          <w:p w14:paraId="4FC0EE77"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6</w:t>
            </w:r>
          </w:p>
        </w:tc>
        <w:tc>
          <w:tcPr>
            <w:tcW w:w="851" w:type="dxa"/>
            <w:shd w:val="clear" w:color="auto" w:fill="auto"/>
            <w:vAlign w:val="bottom"/>
          </w:tcPr>
          <w:p w14:paraId="37891D94"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w:t>
            </w:r>
          </w:p>
        </w:tc>
      </w:tr>
      <w:tr w:rsidR="00CC4EA8" w:rsidRPr="00CC4EA8" w14:paraId="47A33F6D" w14:textId="77777777" w:rsidTr="003D74B6">
        <w:tc>
          <w:tcPr>
            <w:tcW w:w="566" w:type="dxa"/>
            <w:shd w:val="clear" w:color="auto" w:fill="auto"/>
          </w:tcPr>
          <w:p w14:paraId="1FCD94F1" w14:textId="77777777" w:rsidR="00695E59" w:rsidRPr="00CC4EA8" w:rsidRDefault="00695E59" w:rsidP="00CC4EA8">
            <w:pPr>
              <w:suppressAutoHyphens w:val="0"/>
              <w:spacing w:before="40" w:after="40" w:line="220" w:lineRule="exact"/>
              <w:ind w:right="113"/>
              <w:rPr>
                <w:rFonts w:eastAsia="ZWAdobeF"/>
                <w:sz w:val="18"/>
                <w:lang w:bidi="th-TH"/>
              </w:rPr>
            </w:pPr>
            <w:r w:rsidRPr="00CC4EA8">
              <w:rPr>
                <w:rFonts w:eastAsia="ZWAdobeF"/>
                <w:sz w:val="18"/>
                <w:lang w:bidi="th-TH"/>
              </w:rPr>
              <w:t>2019</w:t>
            </w:r>
          </w:p>
        </w:tc>
        <w:tc>
          <w:tcPr>
            <w:tcW w:w="568" w:type="dxa"/>
            <w:shd w:val="clear" w:color="auto" w:fill="auto"/>
            <w:vAlign w:val="bottom"/>
          </w:tcPr>
          <w:p w14:paraId="2CD7B0AD"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288</w:t>
            </w:r>
          </w:p>
        </w:tc>
        <w:tc>
          <w:tcPr>
            <w:tcW w:w="1155" w:type="dxa"/>
            <w:shd w:val="clear" w:color="auto" w:fill="auto"/>
            <w:vAlign w:val="bottom"/>
          </w:tcPr>
          <w:p w14:paraId="69A1AF7E"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158</w:t>
            </w:r>
          </w:p>
        </w:tc>
        <w:tc>
          <w:tcPr>
            <w:tcW w:w="972" w:type="dxa"/>
            <w:shd w:val="clear" w:color="auto" w:fill="auto"/>
            <w:vAlign w:val="bottom"/>
          </w:tcPr>
          <w:p w14:paraId="7AD65C05"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15</w:t>
            </w:r>
          </w:p>
        </w:tc>
        <w:tc>
          <w:tcPr>
            <w:tcW w:w="992" w:type="dxa"/>
            <w:shd w:val="clear" w:color="auto" w:fill="auto"/>
            <w:vAlign w:val="bottom"/>
          </w:tcPr>
          <w:p w14:paraId="0C953790"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12</w:t>
            </w:r>
          </w:p>
        </w:tc>
        <w:tc>
          <w:tcPr>
            <w:tcW w:w="744" w:type="dxa"/>
            <w:shd w:val="clear" w:color="auto" w:fill="auto"/>
            <w:vAlign w:val="bottom"/>
          </w:tcPr>
          <w:p w14:paraId="538139A5"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9</w:t>
            </w:r>
          </w:p>
        </w:tc>
        <w:tc>
          <w:tcPr>
            <w:tcW w:w="1061" w:type="dxa"/>
            <w:shd w:val="clear" w:color="auto" w:fill="auto"/>
            <w:vAlign w:val="bottom"/>
          </w:tcPr>
          <w:p w14:paraId="1F8D60D6"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33</w:t>
            </w:r>
          </w:p>
        </w:tc>
        <w:tc>
          <w:tcPr>
            <w:tcW w:w="772" w:type="dxa"/>
            <w:shd w:val="clear" w:color="auto" w:fill="auto"/>
            <w:vAlign w:val="bottom"/>
          </w:tcPr>
          <w:p w14:paraId="0DC8A8D1"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31</w:t>
            </w:r>
          </w:p>
        </w:tc>
        <w:tc>
          <w:tcPr>
            <w:tcW w:w="824" w:type="dxa"/>
            <w:shd w:val="clear" w:color="auto" w:fill="auto"/>
            <w:vAlign w:val="bottom"/>
          </w:tcPr>
          <w:p w14:paraId="660120CE"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4</w:t>
            </w:r>
          </w:p>
        </w:tc>
        <w:tc>
          <w:tcPr>
            <w:tcW w:w="851" w:type="dxa"/>
            <w:shd w:val="clear" w:color="auto" w:fill="auto"/>
            <w:vAlign w:val="bottom"/>
          </w:tcPr>
          <w:p w14:paraId="54547898" w14:textId="77777777" w:rsidR="00695E59" w:rsidRPr="00CC4EA8" w:rsidRDefault="00695E59" w:rsidP="00CC4EA8">
            <w:pPr>
              <w:suppressAutoHyphens w:val="0"/>
              <w:spacing w:before="40" w:after="40" w:line="220" w:lineRule="exact"/>
              <w:ind w:right="113"/>
              <w:jc w:val="right"/>
              <w:rPr>
                <w:rFonts w:eastAsia="ZWAdobeF"/>
                <w:sz w:val="18"/>
                <w:lang w:bidi="th-TH"/>
              </w:rPr>
            </w:pPr>
            <w:r w:rsidRPr="00CC4EA8">
              <w:rPr>
                <w:rFonts w:eastAsia="ZWAdobeF"/>
                <w:sz w:val="18"/>
                <w:lang w:bidi="th-TH"/>
              </w:rPr>
              <w:t>26</w:t>
            </w:r>
          </w:p>
        </w:tc>
      </w:tr>
    </w:tbl>
    <w:p w14:paraId="5CC51B20" w14:textId="58B1ABC1" w:rsidR="00695E59" w:rsidRPr="00671D9E" w:rsidRDefault="00695E59" w:rsidP="00695E59">
      <w:pPr>
        <w:pStyle w:val="H23G"/>
        <w:rPr>
          <w:lang w:bidi="th-TH"/>
        </w:rPr>
      </w:pPr>
      <w:r w:rsidRPr="00671D9E">
        <w:rPr>
          <w:lang w:bidi="th-TH"/>
        </w:rPr>
        <w:tab/>
      </w:r>
      <w:r w:rsidRPr="00671D9E">
        <w:rPr>
          <w:lang w:bidi="th-TH"/>
        </w:rPr>
        <w:tab/>
      </w:r>
      <w:r w:rsidR="00E53199" w:rsidRPr="00E53199">
        <w:rPr>
          <w:b w:val="0"/>
          <w:bCs/>
          <w:lang w:bidi="th-TH"/>
        </w:rPr>
        <w:t>Table 4</w:t>
      </w:r>
      <w:r w:rsidR="00E53199">
        <w:rPr>
          <w:lang w:bidi="th-TH"/>
        </w:rPr>
        <w:br/>
      </w:r>
      <w:r w:rsidR="00E53199" w:rsidRPr="00E53199">
        <w:rPr>
          <w:lang w:bidi="th-TH"/>
        </w:rPr>
        <w:t>Number of human trafficking suspects, classified by gender and nationality (as of 25 May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3"/>
        <w:gridCol w:w="657"/>
        <w:gridCol w:w="637"/>
        <w:gridCol w:w="837"/>
        <w:gridCol w:w="601"/>
        <w:gridCol w:w="1091"/>
        <w:gridCol w:w="1242"/>
        <w:gridCol w:w="882"/>
        <w:gridCol w:w="800"/>
      </w:tblGrid>
      <w:tr w:rsidR="00695E59" w:rsidRPr="0075775F" w14:paraId="3FCE97D7" w14:textId="77777777" w:rsidTr="00AA3377">
        <w:trPr>
          <w:tblHeader/>
        </w:trPr>
        <w:tc>
          <w:tcPr>
            <w:tcW w:w="623" w:type="dxa"/>
            <w:vMerge w:val="restart"/>
            <w:tcBorders>
              <w:top w:val="single" w:sz="4" w:space="0" w:color="auto"/>
              <w:bottom w:val="single" w:sz="12" w:space="0" w:color="auto"/>
            </w:tcBorders>
            <w:shd w:val="clear" w:color="auto" w:fill="auto"/>
            <w:vAlign w:val="bottom"/>
          </w:tcPr>
          <w:p w14:paraId="10AE955C" w14:textId="77777777" w:rsidR="00695E59" w:rsidRPr="0075775F" w:rsidRDefault="00695E59" w:rsidP="0075775F">
            <w:pPr>
              <w:suppressAutoHyphens w:val="0"/>
              <w:spacing w:before="80" w:after="80" w:line="200" w:lineRule="exact"/>
              <w:ind w:right="113"/>
              <w:rPr>
                <w:rFonts w:eastAsia="ZWAdobeF"/>
                <w:i/>
                <w:sz w:val="16"/>
                <w:lang w:bidi="th-TH"/>
              </w:rPr>
            </w:pPr>
            <w:r w:rsidRPr="0075775F">
              <w:rPr>
                <w:rFonts w:eastAsia="ZWAdobeF"/>
                <w:i/>
                <w:sz w:val="16"/>
                <w:lang w:bidi="th-TH"/>
              </w:rPr>
              <w:t>Year</w:t>
            </w:r>
          </w:p>
        </w:tc>
        <w:tc>
          <w:tcPr>
            <w:tcW w:w="657" w:type="dxa"/>
            <w:vMerge w:val="restart"/>
            <w:tcBorders>
              <w:top w:val="single" w:sz="4" w:space="0" w:color="auto"/>
              <w:bottom w:val="single" w:sz="12" w:space="0" w:color="auto"/>
            </w:tcBorders>
            <w:shd w:val="clear" w:color="auto" w:fill="auto"/>
            <w:vAlign w:val="bottom"/>
          </w:tcPr>
          <w:p w14:paraId="14A4B222"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Total</w:t>
            </w:r>
          </w:p>
        </w:tc>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14:paraId="0D526F50" w14:textId="77777777" w:rsidR="00695E59" w:rsidRPr="0075775F" w:rsidRDefault="00695E59" w:rsidP="0075775F">
            <w:pPr>
              <w:suppressAutoHyphens w:val="0"/>
              <w:spacing w:before="80" w:after="80" w:line="200" w:lineRule="exact"/>
              <w:ind w:right="113"/>
              <w:jc w:val="center"/>
              <w:rPr>
                <w:rFonts w:eastAsia="ZWAdobeF"/>
                <w:i/>
                <w:sz w:val="16"/>
                <w:lang w:bidi="th-TH"/>
              </w:rPr>
            </w:pPr>
            <w:r w:rsidRPr="0075775F">
              <w:rPr>
                <w:rFonts w:eastAsia="ZWAdobeF"/>
                <w:i/>
                <w:sz w:val="16"/>
                <w:lang w:bidi="th-TH"/>
              </w:rPr>
              <w:t>Gender</w:t>
            </w:r>
          </w:p>
        </w:tc>
        <w:tc>
          <w:tcPr>
            <w:tcW w:w="4616" w:type="dxa"/>
            <w:gridSpan w:val="5"/>
            <w:tcBorders>
              <w:top w:val="single" w:sz="4" w:space="0" w:color="auto"/>
              <w:left w:val="single" w:sz="24" w:space="0" w:color="FFFFFF" w:themeColor="background1"/>
              <w:bottom w:val="single" w:sz="4" w:space="0" w:color="auto"/>
            </w:tcBorders>
            <w:shd w:val="clear" w:color="auto" w:fill="auto"/>
            <w:vAlign w:val="bottom"/>
          </w:tcPr>
          <w:p w14:paraId="2E8502F1" w14:textId="77777777" w:rsidR="00695E59" w:rsidRPr="0075775F" w:rsidRDefault="00695E59" w:rsidP="0075775F">
            <w:pPr>
              <w:suppressAutoHyphens w:val="0"/>
              <w:spacing w:before="80" w:after="80" w:line="200" w:lineRule="exact"/>
              <w:ind w:right="113"/>
              <w:jc w:val="center"/>
              <w:rPr>
                <w:rFonts w:eastAsia="ZWAdobeF"/>
                <w:i/>
                <w:sz w:val="16"/>
                <w:lang w:bidi="th-TH"/>
              </w:rPr>
            </w:pPr>
            <w:r w:rsidRPr="0075775F">
              <w:rPr>
                <w:rFonts w:eastAsia="ZWAdobeF"/>
                <w:i/>
                <w:sz w:val="16"/>
                <w:lang w:bidi="th-TH"/>
              </w:rPr>
              <w:t>Nationality</w:t>
            </w:r>
          </w:p>
        </w:tc>
      </w:tr>
      <w:tr w:rsidR="00695E59" w:rsidRPr="0075775F" w14:paraId="737FF9A6" w14:textId="77777777" w:rsidTr="00AA3377">
        <w:trPr>
          <w:tblHeader/>
        </w:trPr>
        <w:tc>
          <w:tcPr>
            <w:tcW w:w="623" w:type="dxa"/>
            <w:vMerge/>
            <w:tcBorders>
              <w:top w:val="nil"/>
              <w:bottom w:val="single" w:sz="12" w:space="0" w:color="auto"/>
            </w:tcBorders>
            <w:shd w:val="clear" w:color="auto" w:fill="auto"/>
            <w:vAlign w:val="bottom"/>
          </w:tcPr>
          <w:p w14:paraId="2BBA103C" w14:textId="77777777" w:rsidR="00695E59" w:rsidRPr="0075775F" w:rsidRDefault="00695E59" w:rsidP="0075775F">
            <w:pPr>
              <w:suppressAutoHyphens w:val="0"/>
              <w:spacing w:before="40" w:after="40" w:line="220" w:lineRule="exact"/>
              <w:ind w:right="113"/>
              <w:rPr>
                <w:rFonts w:eastAsia="ZWAdobeF"/>
                <w:b/>
                <w:sz w:val="18"/>
                <w:lang w:bidi="th-TH"/>
              </w:rPr>
            </w:pPr>
          </w:p>
        </w:tc>
        <w:tc>
          <w:tcPr>
            <w:tcW w:w="657" w:type="dxa"/>
            <w:vMerge/>
            <w:tcBorders>
              <w:top w:val="nil"/>
              <w:bottom w:val="single" w:sz="12" w:space="0" w:color="auto"/>
            </w:tcBorders>
            <w:shd w:val="clear" w:color="auto" w:fill="auto"/>
            <w:vAlign w:val="bottom"/>
          </w:tcPr>
          <w:p w14:paraId="1C0D9009" w14:textId="77777777" w:rsidR="00695E59" w:rsidRPr="0075775F" w:rsidRDefault="00695E59" w:rsidP="0075775F">
            <w:pPr>
              <w:suppressAutoHyphens w:val="0"/>
              <w:spacing w:before="40" w:after="40" w:line="220" w:lineRule="exact"/>
              <w:ind w:right="113"/>
              <w:jc w:val="right"/>
              <w:rPr>
                <w:rFonts w:eastAsia="ZWAdobeF"/>
                <w:b/>
                <w:sz w:val="18"/>
                <w:lang w:bidi="th-TH"/>
              </w:rPr>
            </w:pPr>
          </w:p>
        </w:tc>
        <w:tc>
          <w:tcPr>
            <w:tcW w:w="637" w:type="dxa"/>
            <w:tcBorders>
              <w:top w:val="single" w:sz="4" w:space="0" w:color="auto"/>
              <w:bottom w:val="single" w:sz="12" w:space="0" w:color="auto"/>
            </w:tcBorders>
            <w:shd w:val="clear" w:color="auto" w:fill="auto"/>
            <w:vAlign w:val="bottom"/>
          </w:tcPr>
          <w:p w14:paraId="4F5B72A0"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Male</w:t>
            </w:r>
          </w:p>
        </w:tc>
        <w:tc>
          <w:tcPr>
            <w:tcW w:w="837" w:type="dxa"/>
            <w:tcBorders>
              <w:top w:val="single" w:sz="4" w:space="0" w:color="auto"/>
              <w:bottom w:val="single" w:sz="12" w:space="0" w:color="auto"/>
              <w:right w:val="single" w:sz="24" w:space="0" w:color="FFFFFF" w:themeColor="background1"/>
            </w:tcBorders>
            <w:shd w:val="clear" w:color="auto" w:fill="auto"/>
            <w:vAlign w:val="bottom"/>
          </w:tcPr>
          <w:p w14:paraId="0249374D"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Female</w:t>
            </w:r>
          </w:p>
        </w:tc>
        <w:tc>
          <w:tcPr>
            <w:tcW w:w="601" w:type="dxa"/>
            <w:tcBorders>
              <w:top w:val="single" w:sz="4" w:space="0" w:color="auto"/>
              <w:left w:val="single" w:sz="24" w:space="0" w:color="FFFFFF" w:themeColor="background1"/>
              <w:bottom w:val="single" w:sz="12" w:space="0" w:color="auto"/>
            </w:tcBorders>
            <w:shd w:val="clear" w:color="auto" w:fill="auto"/>
            <w:vAlign w:val="bottom"/>
          </w:tcPr>
          <w:p w14:paraId="4DDB29E9"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Thai</w:t>
            </w:r>
          </w:p>
        </w:tc>
        <w:tc>
          <w:tcPr>
            <w:tcW w:w="1091" w:type="dxa"/>
            <w:tcBorders>
              <w:top w:val="single" w:sz="4" w:space="0" w:color="auto"/>
              <w:bottom w:val="single" w:sz="12" w:space="0" w:color="auto"/>
            </w:tcBorders>
            <w:shd w:val="clear" w:color="auto" w:fill="auto"/>
            <w:vAlign w:val="bottom"/>
          </w:tcPr>
          <w:p w14:paraId="6BE3BE8A"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Myanmar</w:t>
            </w:r>
          </w:p>
        </w:tc>
        <w:tc>
          <w:tcPr>
            <w:tcW w:w="1242" w:type="dxa"/>
            <w:tcBorders>
              <w:top w:val="single" w:sz="4" w:space="0" w:color="auto"/>
              <w:bottom w:val="single" w:sz="12" w:space="0" w:color="auto"/>
            </w:tcBorders>
            <w:shd w:val="clear" w:color="auto" w:fill="auto"/>
            <w:vAlign w:val="bottom"/>
          </w:tcPr>
          <w:p w14:paraId="1B119E62"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Cambodian</w:t>
            </w:r>
          </w:p>
        </w:tc>
        <w:tc>
          <w:tcPr>
            <w:tcW w:w="882" w:type="dxa"/>
            <w:tcBorders>
              <w:top w:val="single" w:sz="4" w:space="0" w:color="auto"/>
              <w:bottom w:val="single" w:sz="12" w:space="0" w:color="auto"/>
            </w:tcBorders>
            <w:shd w:val="clear" w:color="auto" w:fill="auto"/>
            <w:vAlign w:val="bottom"/>
          </w:tcPr>
          <w:p w14:paraId="0DF5DEF6"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Laotian</w:t>
            </w:r>
          </w:p>
        </w:tc>
        <w:tc>
          <w:tcPr>
            <w:tcW w:w="800" w:type="dxa"/>
            <w:tcBorders>
              <w:top w:val="single" w:sz="4" w:space="0" w:color="auto"/>
              <w:bottom w:val="single" w:sz="12" w:space="0" w:color="auto"/>
            </w:tcBorders>
            <w:shd w:val="clear" w:color="auto" w:fill="auto"/>
            <w:vAlign w:val="bottom"/>
          </w:tcPr>
          <w:p w14:paraId="2C77302D" w14:textId="77777777" w:rsidR="00695E59" w:rsidRPr="0075775F" w:rsidRDefault="00695E59" w:rsidP="0075775F">
            <w:pPr>
              <w:suppressAutoHyphens w:val="0"/>
              <w:spacing w:before="80" w:after="80" w:line="200" w:lineRule="exact"/>
              <w:ind w:right="113"/>
              <w:jc w:val="right"/>
              <w:rPr>
                <w:rFonts w:eastAsia="ZWAdobeF"/>
                <w:i/>
                <w:sz w:val="16"/>
                <w:lang w:bidi="th-TH"/>
              </w:rPr>
            </w:pPr>
            <w:r w:rsidRPr="0075775F">
              <w:rPr>
                <w:rFonts w:eastAsia="ZWAdobeF"/>
                <w:i/>
                <w:sz w:val="16"/>
                <w:lang w:bidi="th-TH"/>
              </w:rPr>
              <w:t>Others</w:t>
            </w:r>
          </w:p>
        </w:tc>
      </w:tr>
      <w:tr w:rsidR="00695E59" w:rsidRPr="00AA3377" w14:paraId="3B82C355" w14:textId="77777777" w:rsidTr="00AA3377">
        <w:tc>
          <w:tcPr>
            <w:tcW w:w="623" w:type="dxa"/>
            <w:tcBorders>
              <w:top w:val="single" w:sz="12" w:space="0" w:color="auto"/>
            </w:tcBorders>
            <w:shd w:val="clear" w:color="auto" w:fill="auto"/>
          </w:tcPr>
          <w:p w14:paraId="0F994434" w14:textId="77777777" w:rsidR="00695E59" w:rsidRPr="00AA3377" w:rsidRDefault="00695E59" w:rsidP="0075775F">
            <w:pPr>
              <w:suppressAutoHyphens w:val="0"/>
              <w:spacing w:before="40" w:after="40" w:line="220" w:lineRule="exact"/>
              <w:ind w:right="113"/>
              <w:rPr>
                <w:rFonts w:eastAsia="ZWAdobeF"/>
                <w:sz w:val="18"/>
                <w:szCs w:val="18"/>
                <w:lang w:bidi="th-TH"/>
              </w:rPr>
            </w:pPr>
            <w:r w:rsidRPr="00AA3377">
              <w:rPr>
                <w:rFonts w:eastAsia="ZWAdobeF"/>
                <w:sz w:val="18"/>
                <w:szCs w:val="18"/>
                <w:lang w:bidi="th-TH"/>
              </w:rPr>
              <w:t>2015</w:t>
            </w:r>
          </w:p>
        </w:tc>
        <w:tc>
          <w:tcPr>
            <w:tcW w:w="657" w:type="dxa"/>
            <w:tcBorders>
              <w:top w:val="single" w:sz="12" w:space="0" w:color="auto"/>
            </w:tcBorders>
            <w:shd w:val="clear" w:color="auto" w:fill="auto"/>
            <w:vAlign w:val="bottom"/>
          </w:tcPr>
          <w:p w14:paraId="05DA2BC7"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690</w:t>
            </w:r>
          </w:p>
        </w:tc>
        <w:tc>
          <w:tcPr>
            <w:tcW w:w="637" w:type="dxa"/>
            <w:tcBorders>
              <w:top w:val="single" w:sz="12" w:space="0" w:color="auto"/>
            </w:tcBorders>
            <w:shd w:val="clear" w:color="auto" w:fill="auto"/>
            <w:vAlign w:val="bottom"/>
          </w:tcPr>
          <w:p w14:paraId="1DCE1D34"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372</w:t>
            </w:r>
          </w:p>
        </w:tc>
        <w:tc>
          <w:tcPr>
            <w:tcW w:w="837" w:type="dxa"/>
            <w:tcBorders>
              <w:top w:val="single" w:sz="12" w:space="0" w:color="auto"/>
            </w:tcBorders>
            <w:shd w:val="clear" w:color="auto" w:fill="auto"/>
            <w:vAlign w:val="bottom"/>
          </w:tcPr>
          <w:p w14:paraId="0743184E"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318</w:t>
            </w:r>
          </w:p>
        </w:tc>
        <w:tc>
          <w:tcPr>
            <w:tcW w:w="601" w:type="dxa"/>
            <w:tcBorders>
              <w:top w:val="single" w:sz="12" w:space="0" w:color="auto"/>
            </w:tcBorders>
            <w:shd w:val="clear" w:color="auto" w:fill="auto"/>
            <w:vAlign w:val="bottom"/>
          </w:tcPr>
          <w:p w14:paraId="34081598"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617</w:t>
            </w:r>
          </w:p>
        </w:tc>
        <w:tc>
          <w:tcPr>
            <w:tcW w:w="1091" w:type="dxa"/>
            <w:tcBorders>
              <w:top w:val="single" w:sz="12" w:space="0" w:color="auto"/>
            </w:tcBorders>
            <w:shd w:val="clear" w:color="auto" w:fill="auto"/>
            <w:vAlign w:val="bottom"/>
          </w:tcPr>
          <w:p w14:paraId="353136F8"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47</w:t>
            </w:r>
          </w:p>
        </w:tc>
        <w:tc>
          <w:tcPr>
            <w:tcW w:w="1242" w:type="dxa"/>
            <w:tcBorders>
              <w:top w:val="single" w:sz="12" w:space="0" w:color="auto"/>
            </w:tcBorders>
            <w:shd w:val="clear" w:color="auto" w:fill="auto"/>
            <w:vAlign w:val="bottom"/>
          </w:tcPr>
          <w:p w14:paraId="3C169E43"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1</w:t>
            </w:r>
          </w:p>
        </w:tc>
        <w:tc>
          <w:tcPr>
            <w:tcW w:w="882" w:type="dxa"/>
            <w:tcBorders>
              <w:top w:val="single" w:sz="12" w:space="0" w:color="auto"/>
            </w:tcBorders>
            <w:shd w:val="clear" w:color="auto" w:fill="auto"/>
            <w:vAlign w:val="bottom"/>
          </w:tcPr>
          <w:p w14:paraId="4AC245D5"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10</w:t>
            </w:r>
          </w:p>
        </w:tc>
        <w:tc>
          <w:tcPr>
            <w:tcW w:w="800" w:type="dxa"/>
            <w:tcBorders>
              <w:top w:val="single" w:sz="12" w:space="0" w:color="auto"/>
            </w:tcBorders>
            <w:shd w:val="clear" w:color="auto" w:fill="auto"/>
            <w:vAlign w:val="bottom"/>
          </w:tcPr>
          <w:p w14:paraId="19FDDFE3"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15</w:t>
            </w:r>
          </w:p>
        </w:tc>
      </w:tr>
      <w:tr w:rsidR="00695E59" w:rsidRPr="00AA3377" w14:paraId="1F2E2DF3" w14:textId="77777777" w:rsidTr="0075775F">
        <w:tc>
          <w:tcPr>
            <w:tcW w:w="623" w:type="dxa"/>
            <w:shd w:val="clear" w:color="auto" w:fill="auto"/>
          </w:tcPr>
          <w:p w14:paraId="228C72BE" w14:textId="77777777" w:rsidR="00695E59" w:rsidRPr="00AA3377" w:rsidRDefault="00695E59" w:rsidP="0075775F">
            <w:pPr>
              <w:suppressAutoHyphens w:val="0"/>
              <w:spacing w:before="40" w:after="40" w:line="220" w:lineRule="exact"/>
              <w:ind w:right="113"/>
              <w:rPr>
                <w:rFonts w:eastAsia="ZWAdobeF"/>
                <w:sz w:val="18"/>
                <w:szCs w:val="18"/>
                <w:lang w:bidi="th-TH"/>
              </w:rPr>
            </w:pPr>
            <w:r w:rsidRPr="00AA3377">
              <w:rPr>
                <w:rFonts w:eastAsia="ZWAdobeF"/>
                <w:sz w:val="18"/>
                <w:szCs w:val="18"/>
                <w:lang w:bidi="th-TH"/>
              </w:rPr>
              <w:t>2016</w:t>
            </w:r>
          </w:p>
        </w:tc>
        <w:tc>
          <w:tcPr>
            <w:tcW w:w="657" w:type="dxa"/>
            <w:shd w:val="clear" w:color="auto" w:fill="auto"/>
            <w:vAlign w:val="bottom"/>
          </w:tcPr>
          <w:p w14:paraId="011A94DB"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600</w:t>
            </w:r>
          </w:p>
        </w:tc>
        <w:tc>
          <w:tcPr>
            <w:tcW w:w="637" w:type="dxa"/>
            <w:shd w:val="clear" w:color="auto" w:fill="auto"/>
            <w:vAlign w:val="bottom"/>
          </w:tcPr>
          <w:p w14:paraId="73CD4104"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265</w:t>
            </w:r>
          </w:p>
        </w:tc>
        <w:tc>
          <w:tcPr>
            <w:tcW w:w="837" w:type="dxa"/>
            <w:shd w:val="clear" w:color="auto" w:fill="auto"/>
            <w:vAlign w:val="bottom"/>
          </w:tcPr>
          <w:p w14:paraId="24441DC8"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335</w:t>
            </w:r>
          </w:p>
        </w:tc>
        <w:tc>
          <w:tcPr>
            <w:tcW w:w="601" w:type="dxa"/>
            <w:shd w:val="clear" w:color="auto" w:fill="auto"/>
            <w:vAlign w:val="bottom"/>
          </w:tcPr>
          <w:p w14:paraId="64375340"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462</w:t>
            </w:r>
          </w:p>
        </w:tc>
        <w:tc>
          <w:tcPr>
            <w:tcW w:w="1091" w:type="dxa"/>
            <w:shd w:val="clear" w:color="auto" w:fill="auto"/>
            <w:vAlign w:val="bottom"/>
          </w:tcPr>
          <w:p w14:paraId="3981B709"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35</w:t>
            </w:r>
          </w:p>
        </w:tc>
        <w:tc>
          <w:tcPr>
            <w:tcW w:w="1242" w:type="dxa"/>
            <w:shd w:val="clear" w:color="auto" w:fill="auto"/>
            <w:vAlign w:val="bottom"/>
          </w:tcPr>
          <w:p w14:paraId="4057A69E"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26</w:t>
            </w:r>
          </w:p>
        </w:tc>
        <w:tc>
          <w:tcPr>
            <w:tcW w:w="882" w:type="dxa"/>
            <w:shd w:val="clear" w:color="auto" w:fill="auto"/>
            <w:vAlign w:val="bottom"/>
          </w:tcPr>
          <w:p w14:paraId="7D9FC6C6"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41</w:t>
            </w:r>
          </w:p>
        </w:tc>
        <w:tc>
          <w:tcPr>
            <w:tcW w:w="800" w:type="dxa"/>
            <w:shd w:val="clear" w:color="auto" w:fill="auto"/>
            <w:vAlign w:val="bottom"/>
          </w:tcPr>
          <w:p w14:paraId="75998FCA"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36</w:t>
            </w:r>
          </w:p>
        </w:tc>
      </w:tr>
      <w:tr w:rsidR="00695E59" w:rsidRPr="00AA3377" w14:paraId="4715BEDB" w14:textId="77777777" w:rsidTr="0075775F">
        <w:tc>
          <w:tcPr>
            <w:tcW w:w="623" w:type="dxa"/>
            <w:shd w:val="clear" w:color="auto" w:fill="auto"/>
          </w:tcPr>
          <w:p w14:paraId="49A5769A" w14:textId="77777777" w:rsidR="00695E59" w:rsidRPr="00AA3377" w:rsidRDefault="00695E59" w:rsidP="0075775F">
            <w:pPr>
              <w:suppressAutoHyphens w:val="0"/>
              <w:spacing w:before="40" w:after="40" w:line="220" w:lineRule="exact"/>
              <w:ind w:right="113"/>
              <w:rPr>
                <w:rFonts w:eastAsia="ZWAdobeF"/>
                <w:sz w:val="18"/>
                <w:szCs w:val="18"/>
                <w:lang w:bidi="th-TH"/>
              </w:rPr>
            </w:pPr>
            <w:r w:rsidRPr="00AA3377">
              <w:rPr>
                <w:rFonts w:eastAsia="ZWAdobeF"/>
                <w:sz w:val="18"/>
                <w:szCs w:val="18"/>
                <w:lang w:bidi="th-TH"/>
              </w:rPr>
              <w:t>2017</w:t>
            </w:r>
          </w:p>
        </w:tc>
        <w:tc>
          <w:tcPr>
            <w:tcW w:w="657" w:type="dxa"/>
            <w:shd w:val="clear" w:color="auto" w:fill="auto"/>
            <w:vAlign w:val="bottom"/>
          </w:tcPr>
          <w:p w14:paraId="6BC3DC0B"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427</w:t>
            </w:r>
          </w:p>
        </w:tc>
        <w:tc>
          <w:tcPr>
            <w:tcW w:w="637" w:type="dxa"/>
            <w:shd w:val="clear" w:color="auto" w:fill="auto"/>
            <w:vAlign w:val="bottom"/>
          </w:tcPr>
          <w:p w14:paraId="53DD73A0"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145</w:t>
            </w:r>
          </w:p>
        </w:tc>
        <w:tc>
          <w:tcPr>
            <w:tcW w:w="837" w:type="dxa"/>
            <w:shd w:val="clear" w:color="auto" w:fill="auto"/>
            <w:vAlign w:val="bottom"/>
          </w:tcPr>
          <w:p w14:paraId="71A9B509"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282</w:t>
            </w:r>
          </w:p>
        </w:tc>
        <w:tc>
          <w:tcPr>
            <w:tcW w:w="601" w:type="dxa"/>
            <w:shd w:val="clear" w:color="auto" w:fill="auto"/>
            <w:vAlign w:val="bottom"/>
          </w:tcPr>
          <w:p w14:paraId="16931A66"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361</w:t>
            </w:r>
          </w:p>
        </w:tc>
        <w:tc>
          <w:tcPr>
            <w:tcW w:w="1091" w:type="dxa"/>
            <w:shd w:val="clear" w:color="auto" w:fill="auto"/>
            <w:vAlign w:val="bottom"/>
          </w:tcPr>
          <w:p w14:paraId="246885E9"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9</w:t>
            </w:r>
          </w:p>
        </w:tc>
        <w:tc>
          <w:tcPr>
            <w:tcW w:w="1242" w:type="dxa"/>
            <w:shd w:val="clear" w:color="auto" w:fill="auto"/>
            <w:vAlign w:val="bottom"/>
          </w:tcPr>
          <w:p w14:paraId="58E600BA"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25</w:t>
            </w:r>
          </w:p>
        </w:tc>
        <w:tc>
          <w:tcPr>
            <w:tcW w:w="882" w:type="dxa"/>
            <w:shd w:val="clear" w:color="auto" w:fill="auto"/>
            <w:vAlign w:val="bottom"/>
          </w:tcPr>
          <w:p w14:paraId="0AB6CB8C"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w:t>
            </w:r>
          </w:p>
        </w:tc>
        <w:tc>
          <w:tcPr>
            <w:tcW w:w="800" w:type="dxa"/>
            <w:shd w:val="clear" w:color="auto" w:fill="auto"/>
            <w:vAlign w:val="bottom"/>
          </w:tcPr>
          <w:p w14:paraId="21AB6386"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29</w:t>
            </w:r>
          </w:p>
        </w:tc>
      </w:tr>
      <w:tr w:rsidR="00695E59" w:rsidRPr="00AA3377" w14:paraId="23F44638" w14:textId="77777777" w:rsidTr="0075775F">
        <w:tc>
          <w:tcPr>
            <w:tcW w:w="623" w:type="dxa"/>
            <w:shd w:val="clear" w:color="auto" w:fill="auto"/>
          </w:tcPr>
          <w:p w14:paraId="2847B3B9" w14:textId="77777777" w:rsidR="00695E59" w:rsidRPr="00AA3377" w:rsidRDefault="00695E59" w:rsidP="0075775F">
            <w:pPr>
              <w:suppressAutoHyphens w:val="0"/>
              <w:spacing w:before="40" w:after="40" w:line="220" w:lineRule="exact"/>
              <w:ind w:right="113"/>
              <w:rPr>
                <w:rFonts w:eastAsia="ZWAdobeF"/>
                <w:sz w:val="18"/>
                <w:szCs w:val="18"/>
                <w:lang w:bidi="th-TH"/>
              </w:rPr>
            </w:pPr>
            <w:r w:rsidRPr="00AA3377">
              <w:rPr>
                <w:rFonts w:eastAsia="ZWAdobeF"/>
                <w:sz w:val="18"/>
                <w:szCs w:val="18"/>
                <w:lang w:bidi="th-TH"/>
              </w:rPr>
              <w:t>2018</w:t>
            </w:r>
          </w:p>
        </w:tc>
        <w:tc>
          <w:tcPr>
            <w:tcW w:w="657" w:type="dxa"/>
            <w:shd w:val="clear" w:color="auto" w:fill="auto"/>
            <w:vAlign w:val="bottom"/>
          </w:tcPr>
          <w:p w14:paraId="61C683B7"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532</w:t>
            </w:r>
          </w:p>
        </w:tc>
        <w:tc>
          <w:tcPr>
            <w:tcW w:w="637" w:type="dxa"/>
            <w:shd w:val="clear" w:color="auto" w:fill="auto"/>
            <w:vAlign w:val="bottom"/>
          </w:tcPr>
          <w:p w14:paraId="17B7F693"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229</w:t>
            </w:r>
          </w:p>
        </w:tc>
        <w:tc>
          <w:tcPr>
            <w:tcW w:w="837" w:type="dxa"/>
            <w:shd w:val="clear" w:color="auto" w:fill="auto"/>
            <w:vAlign w:val="bottom"/>
          </w:tcPr>
          <w:p w14:paraId="077B18E2"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303</w:t>
            </w:r>
          </w:p>
        </w:tc>
        <w:tc>
          <w:tcPr>
            <w:tcW w:w="601" w:type="dxa"/>
            <w:shd w:val="clear" w:color="auto" w:fill="auto"/>
            <w:vAlign w:val="bottom"/>
          </w:tcPr>
          <w:p w14:paraId="1876416A"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424</w:t>
            </w:r>
          </w:p>
        </w:tc>
        <w:tc>
          <w:tcPr>
            <w:tcW w:w="1091" w:type="dxa"/>
            <w:shd w:val="clear" w:color="auto" w:fill="auto"/>
            <w:vAlign w:val="bottom"/>
          </w:tcPr>
          <w:p w14:paraId="0BB8328A"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30</w:t>
            </w:r>
          </w:p>
        </w:tc>
        <w:tc>
          <w:tcPr>
            <w:tcW w:w="1242" w:type="dxa"/>
            <w:shd w:val="clear" w:color="auto" w:fill="auto"/>
            <w:vAlign w:val="bottom"/>
          </w:tcPr>
          <w:p w14:paraId="34777FFF"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15</w:t>
            </w:r>
          </w:p>
        </w:tc>
        <w:tc>
          <w:tcPr>
            <w:tcW w:w="882" w:type="dxa"/>
            <w:shd w:val="clear" w:color="auto" w:fill="auto"/>
            <w:vAlign w:val="bottom"/>
          </w:tcPr>
          <w:p w14:paraId="67762563"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4</w:t>
            </w:r>
          </w:p>
        </w:tc>
        <w:tc>
          <w:tcPr>
            <w:tcW w:w="800" w:type="dxa"/>
            <w:shd w:val="clear" w:color="auto" w:fill="auto"/>
            <w:vAlign w:val="bottom"/>
          </w:tcPr>
          <w:p w14:paraId="3A85394E"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lang w:bidi="th-TH"/>
              </w:rPr>
              <w:t>59</w:t>
            </w:r>
          </w:p>
        </w:tc>
      </w:tr>
      <w:tr w:rsidR="00695E59" w:rsidRPr="00AA3377" w14:paraId="516B46CB" w14:textId="77777777" w:rsidTr="0075775F">
        <w:tc>
          <w:tcPr>
            <w:tcW w:w="623" w:type="dxa"/>
            <w:shd w:val="clear" w:color="auto" w:fill="auto"/>
          </w:tcPr>
          <w:p w14:paraId="6D36A6DC" w14:textId="77777777" w:rsidR="00695E59" w:rsidRPr="00AA3377" w:rsidRDefault="00695E59" w:rsidP="0075775F">
            <w:pPr>
              <w:suppressAutoHyphens w:val="0"/>
              <w:spacing w:before="40" w:after="40" w:line="220" w:lineRule="exact"/>
              <w:ind w:right="113"/>
              <w:rPr>
                <w:rFonts w:eastAsia="ZWAdobeF"/>
                <w:sz w:val="18"/>
                <w:szCs w:val="18"/>
                <w:lang w:bidi="th-TH"/>
              </w:rPr>
            </w:pPr>
            <w:r w:rsidRPr="00AA3377">
              <w:rPr>
                <w:rFonts w:eastAsia="ZWAdobeF"/>
                <w:sz w:val="18"/>
                <w:szCs w:val="18"/>
                <w:lang w:bidi="th-TH"/>
              </w:rPr>
              <w:t>2019</w:t>
            </w:r>
          </w:p>
        </w:tc>
        <w:tc>
          <w:tcPr>
            <w:tcW w:w="657" w:type="dxa"/>
            <w:shd w:val="clear" w:color="auto" w:fill="auto"/>
            <w:vAlign w:val="bottom"/>
          </w:tcPr>
          <w:p w14:paraId="64AC41ED"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555</w:t>
            </w:r>
          </w:p>
        </w:tc>
        <w:tc>
          <w:tcPr>
            <w:tcW w:w="637" w:type="dxa"/>
            <w:shd w:val="clear" w:color="auto" w:fill="auto"/>
            <w:vAlign w:val="bottom"/>
          </w:tcPr>
          <w:p w14:paraId="3F6A129D"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330</w:t>
            </w:r>
          </w:p>
        </w:tc>
        <w:tc>
          <w:tcPr>
            <w:tcW w:w="837" w:type="dxa"/>
            <w:shd w:val="clear" w:color="auto" w:fill="auto"/>
            <w:vAlign w:val="bottom"/>
          </w:tcPr>
          <w:p w14:paraId="6358F1FE"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225</w:t>
            </w:r>
          </w:p>
        </w:tc>
        <w:tc>
          <w:tcPr>
            <w:tcW w:w="601" w:type="dxa"/>
            <w:shd w:val="clear" w:color="auto" w:fill="auto"/>
            <w:vAlign w:val="bottom"/>
          </w:tcPr>
          <w:p w14:paraId="664878C2"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402</w:t>
            </w:r>
          </w:p>
        </w:tc>
        <w:tc>
          <w:tcPr>
            <w:tcW w:w="1091" w:type="dxa"/>
            <w:shd w:val="clear" w:color="auto" w:fill="auto"/>
            <w:vAlign w:val="bottom"/>
          </w:tcPr>
          <w:p w14:paraId="054DA25E"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120</w:t>
            </w:r>
          </w:p>
        </w:tc>
        <w:tc>
          <w:tcPr>
            <w:tcW w:w="1242" w:type="dxa"/>
            <w:shd w:val="clear" w:color="auto" w:fill="auto"/>
            <w:vAlign w:val="bottom"/>
          </w:tcPr>
          <w:p w14:paraId="0E5A953E"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4</w:t>
            </w:r>
          </w:p>
        </w:tc>
        <w:tc>
          <w:tcPr>
            <w:tcW w:w="882" w:type="dxa"/>
            <w:shd w:val="clear" w:color="auto" w:fill="auto"/>
            <w:vAlign w:val="bottom"/>
          </w:tcPr>
          <w:p w14:paraId="441C1BA1"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6</w:t>
            </w:r>
          </w:p>
        </w:tc>
        <w:tc>
          <w:tcPr>
            <w:tcW w:w="800" w:type="dxa"/>
            <w:shd w:val="clear" w:color="auto" w:fill="auto"/>
            <w:vAlign w:val="bottom"/>
          </w:tcPr>
          <w:p w14:paraId="055CBA7F" w14:textId="77777777" w:rsidR="00695E59" w:rsidRPr="00AA3377" w:rsidRDefault="00695E59" w:rsidP="0075775F">
            <w:pPr>
              <w:suppressAutoHyphens w:val="0"/>
              <w:spacing w:before="40" w:after="40" w:line="220" w:lineRule="exact"/>
              <w:ind w:right="113"/>
              <w:jc w:val="right"/>
              <w:rPr>
                <w:rFonts w:eastAsia="ZWAdobeF"/>
                <w:sz w:val="18"/>
                <w:szCs w:val="18"/>
                <w:lang w:bidi="th-TH"/>
              </w:rPr>
            </w:pPr>
            <w:r w:rsidRPr="00AA3377">
              <w:rPr>
                <w:rFonts w:eastAsia="ZWAdobeF"/>
                <w:sz w:val="18"/>
                <w:szCs w:val="18"/>
                <w:cs/>
                <w:lang w:bidi="th-TH"/>
              </w:rPr>
              <w:t>23</w:t>
            </w:r>
          </w:p>
        </w:tc>
      </w:tr>
    </w:tbl>
    <w:p w14:paraId="1B87BD7A" w14:textId="77777777" w:rsidR="00695E59" w:rsidRPr="00671D9E" w:rsidRDefault="00695E59" w:rsidP="00695E59">
      <w:pPr>
        <w:tabs>
          <w:tab w:val="left" w:pos="709"/>
          <w:tab w:val="left" w:pos="1080"/>
          <w:tab w:val="left" w:pos="1843"/>
          <w:tab w:val="left" w:leader="dot" w:pos="8787"/>
          <w:tab w:val="right" w:pos="9638"/>
        </w:tabs>
        <w:suppressAutoHyphens w:val="0"/>
        <w:spacing w:before="120" w:line="240" w:lineRule="auto"/>
        <w:ind w:left="1134" w:hanging="850"/>
        <w:rPr>
          <w:rFonts w:eastAsia="ZWAdobeF" w:cs="Cordia New"/>
          <w:spacing w:val="-6"/>
          <w:sz w:val="2"/>
          <w:szCs w:val="8"/>
          <w:lang w:bidi="th-TH"/>
        </w:rPr>
      </w:pPr>
    </w:p>
    <w:p w14:paraId="26438E79" w14:textId="77777777" w:rsidR="0026682D" w:rsidRDefault="0026682D">
      <w:pPr>
        <w:suppressAutoHyphens w:val="0"/>
        <w:spacing w:after="200" w:line="276" w:lineRule="auto"/>
        <w:rPr>
          <w:b/>
          <w:lang w:bidi="th-TH"/>
        </w:rPr>
      </w:pPr>
      <w:r>
        <w:rPr>
          <w:lang w:bidi="th-TH"/>
        </w:rPr>
        <w:br w:type="page"/>
      </w:r>
    </w:p>
    <w:p w14:paraId="417CC218" w14:textId="5FC1BB84" w:rsidR="00695E59" w:rsidRPr="00671D9E" w:rsidRDefault="00695E59" w:rsidP="00AA3377">
      <w:pPr>
        <w:pStyle w:val="H23G"/>
        <w:rPr>
          <w:lang w:bidi="th-TH"/>
        </w:rPr>
      </w:pPr>
      <w:r w:rsidRPr="00671D9E">
        <w:rPr>
          <w:lang w:bidi="th-TH"/>
        </w:rPr>
        <w:lastRenderedPageBreak/>
        <w:tab/>
      </w:r>
      <w:r w:rsidRPr="00671D9E">
        <w:rPr>
          <w:lang w:bidi="th-TH"/>
        </w:rPr>
        <w:tab/>
      </w:r>
      <w:r w:rsidR="00AA3377" w:rsidRPr="00AA3377">
        <w:rPr>
          <w:b w:val="0"/>
          <w:bCs/>
          <w:lang w:bidi="th-TH"/>
        </w:rPr>
        <w:t>Table 5</w:t>
      </w:r>
      <w:r w:rsidR="00AA3377" w:rsidRPr="00AA3377">
        <w:rPr>
          <w:b w:val="0"/>
          <w:bCs/>
          <w:lang w:bidi="th-TH"/>
        </w:rPr>
        <w:br/>
      </w:r>
      <w:r w:rsidR="00AA3377" w:rsidRPr="00AA3377">
        <w:rPr>
          <w:lang w:bidi="th-TH"/>
        </w:rPr>
        <w:t>Number of trafficking victims, classified by gender and nationality (as of 25 May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2"/>
        <w:gridCol w:w="654"/>
        <w:gridCol w:w="648"/>
        <w:gridCol w:w="840"/>
        <w:gridCol w:w="605"/>
        <w:gridCol w:w="1087"/>
        <w:gridCol w:w="1238"/>
        <w:gridCol w:w="879"/>
        <w:gridCol w:w="797"/>
      </w:tblGrid>
      <w:tr w:rsidR="00695E59" w:rsidRPr="00AA3377" w14:paraId="699E866E" w14:textId="77777777" w:rsidTr="0026682D">
        <w:trPr>
          <w:tblHeader/>
        </w:trPr>
        <w:tc>
          <w:tcPr>
            <w:tcW w:w="783" w:type="dxa"/>
            <w:vMerge w:val="restart"/>
            <w:tcBorders>
              <w:top w:val="single" w:sz="4" w:space="0" w:color="auto"/>
              <w:bottom w:val="single" w:sz="12" w:space="0" w:color="auto"/>
            </w:tcBorders>
            <w:shd w:val="clear" w:color="auto" w:fill="auto"/>
            <w:vAlign w:val="bottom"/>
          </w:tcPr>
          <w:p w14:paraId="6A2EE536" w14:textId="77777777" w:rsidR="00695E59" w:rsidRPr="00AA3377" w:rsidRDefault="00695E59" w:rsidP="00AA3377">
            <w:pPr>
              <w:pStyle w:val="SingleTxtG"/>
              <w:tabs>
                <w:tab w:val="clear" w:pos="1701"/>
                <w:tab w:val="clear" w:pos="2268"/>
              </w:tabs>
              <w:suppressAutoHyphens w:val="0"/>
              <w:spacing w:before="80" w:after="80" w:line="200" w:lineRule="exact"/>
              <w:ind w:left="0" w:right="113"/>
              <w:jc w:val="left"/>
              <w:rPr>
                <w:i/>
                <w:sz w:val="16"/>
                <w:lang w:bidi="th-TH"/>
              </w:rPr>
            </w:pPr>
            <w:r w:rsidRPr="00AA3377">
              <w:rPr>
                <w:i/>
                <w:sz w:val="16"/>
                <w:lang w:bidi="th-TH"/>
              </w:rPr>
              <w:t>Year</w:t>
            </w:r>
          </w:p>
        </w:tc>
        <w:tc>
          <w:tcPr>
            <w:tcW w:w="824" w:type="dxa"/>
            <w:vMerge w:val="restart"/>
            <w:tcBorders>
              <w:top w:val="single" w:sz="4" w:space="0" w:color="auto"/>
              <w:bottom w:val="single" w:sz="12" w:space="0" w:color="auto"/>
            </w:tcBorders>
            <w:shd w:val="clear" w:color="auto" w:fill="auto"/>
            <w:vAlign w:val="bottom"/>
          </w:tcPr>
          <w:p w14:paraId="241C484C" w14:textId="77777777" w:rsidR="00695E59" w:rsidRPr="00AA3377" w:rsidRDefault="00695E59" w:rsidP="00AA3377">
            <w:pPr>
              <w:pStyle w:val="SingleTxtG"/>
              <w:tabs>
                <w:tab w:val="clear" w:pos="1701"/>
                <w:tab w:val="clear" w:pos="2268"/>
              </w:tabs>
              <w:suppressAutoHyphens w:val="0"/>
              <w:spacing w:before="80" w:after="80" w:line="200" w:lineRule="exact"/>
              <w:ind w:left="0" w:right="113"/>
              <w:jc w:val="right"/>
              <w:rPr>
                <w:i/>
                <w:sz w:val="16"/>
                <w:lang w:bidi="th-TH"/>
              </w:rPr>
            </w:pPr>
            <w:r w:rsidRPr="00AA3377">
              <w:rPr>
                <w:i/>
                <w:sz w:val="16"/>
                <w:lang w:bidi="th-TH"/>
              </w:rPr>
              <w:t>Total</w:t>
            </w:r>
          </w:p>
        </w:tc>
        <w:tc>
          <w:tcPr>
            <w:tcW w:w="1867" w:type="dxa"/>
            <w:gridSpan w:val="2"/>
            <w:tcBorders>
              <w:top w:val="single" w:sz="4" w:space="0" w:color="auto"/>
              <w:bottom w:val="single" w:sz="4" w:space="0" w:color="auto"/>
              <w:right w:val="single" w:sz="24" w:space="0" w:color="FFFFFF" w:themeColor="background1"/>
            </w:tcBorders>
            <w:shd w:val="clear" w:color="auto" w:fill="auto"/>
            <w:vAlign w:val="bottom"/>
          </w:tcPr>
          <w:p w14:paraId="6C0E52DD" w14:textId="77777777" w:rsidR="00695E59" w:rsidRPr="00AA3377" w:rsidRDefault="00695E59" w:rsidP="0026682D">
            <w:pPr>
              <w:pStyle w:val="SingleTxtG"/>
              <w:tabs>
                <w:tab w:val="clear" w:pos="1701"/>
                <w:tab w:val="clear" w:pos="2268"/>
              </w:tabs>
              <w:suppressAutoHyphens w:val="0"/>
              <w:spacing w:before="80" w:after="80" w:line="200" w:lineRule="exact"/>
              <w:ind w:left="0" w:right="113"/>
              <w:jc w:val="center"/>
              <w:rPr>
                <w:i/>
                <w:sz w:val="16"/>
                <w:lang w:bidi="th-TH"/>
              </w:rPr>
            </w:pPr>
            <w:r w:rsidRPr="00AA3377">
              <w:rPr>
                <w:i/>
                <w:sz w:val="16"/>
                <w:lang w:bidi="th-TH"/>
              </w:rPr>
              <w:t>Gender</w:t>
            </w:r>
          </w:p>
        </w:tc>
        <w:tc>
          <w:tcPr>
            <w:tcW w:w="5801" w:type="dxa"/>
            <w:gridSpan w:val="5"/>
            <w:tcBorders>
              <w:top w:val="single" w:sz="4" w:space="0" w:color="auto"/>
              <w:left w:val="single" w:sz="24" w:space="0" w:color="FFFFFF" w:themeColor="background1"/>
              <w:bottom w:val="single" w:sz="4" w:space="0" w:color="auto"/>
            </w:tcBorders>
            <w:shd w:val="clear" w:color="auto" w:fill="auto"/>
            <w:vAlign w:val="bottom"/>
          </w:tcPr>
          <w:p w14:paraId="7C8DDE85" w14:textId="77777777" w:rsidR="00695E59" w:rsidRPr="00AA3377" w:rsidRDefault="00695E59" w:rsidP="0026682D">
            <w:pPr>
              <w:pStyle w:val="SingleTxtG"/>
              <w:tabs>
                <w:tab w:val="clear" w:pos="1701"/>
                <w:tab w:val="clear" w:pos="2268"/>
              </w:tabs>
              <w:suppressAutoHyphens w:val="0"/>
              <w:spacing w:before="80" w:after="80" w:line="200" w:lineRule="exact"/>
              <w:ind w:left="0" w:right="113"/>
              <w:jc w:val="center"/>
              <w:rPr>
                <w:i/>
                <w:sz w:val="16"/>
                <w:lang w:bidi="th-TH"/>
              </w:rPr>
            </w:pPr>
            <w:r w:rsidRPr="00AA3377">
              <w:rPr>
                <w:i/>
                <w:sz w:val="16"/>
                <w:lang w:bidi="th-TH"/>
              </w:rPr>
              <w:t>Nationality</w:t>
            </w:r>
          </w:p>
        </w:tc>
      </w:tr>
      <w:tr w:rsidR="00695E59" w:rsidRPr="00AA3377" w14:paraId="2993FE40" w14:textId="77777777" w:rsidTr="0026682D">
        <w:trPr>
          <w:tblHeader/>
        </w:trPr>
        <w:tc>
          <w:tcPr>
            <w:tcW w:w="783" w:type="dxa"/>
            <w:vMerge/>
            <w:tcBorders>
              <w:top w:val="nil"/>
              <w:bottom w:val="single" w:sz="12" w:space="0" w:color="auto"/>
            </w:tcBorders>
            <w:shd w:val="clear" w:color="auto" w:fill="auto"/>
            <w:vAlign w:val="bottom"/>
          </w:tcPr>
          <w:p w14:paraId="01981C61"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left"/>
              <w:rPr>
                <w:b/>
                <w:sz w:val="18"/>
                <w:lang w:bidi="th-TH"/>
              </w:rPr>
            </w:pPr>
          </w:p>
        </w:tc>
        <w:tc>
          <w:tcPr>
            <w:tcW w:w="824" w:type="dxa"/>
            <w:vMerge/>
            <w:tcBorders>
              <w:top w:val="nil"/>
              <w:bottom w:val="single" w:sz="12" w:space="0" w:color="auto"/>
            </w:tcBorders>
            <w:shd w:val="clear" w:color="auto" w:fill="auto"/>
            <w:vAlign w:val="bottom"/>
          </w:tcPr>
          <w:p w14:paraId="438576BA"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b/>
                <w:sz w:val="18"/>
                <w:lang w:bidi="th-TH"/>
              </w:rPr>
            </w:pPr>
          </w:p>
        </w:tc>
        <w:tc>
          <w:tcPr>
            <w:tcW w:w="816" w:type="dxa"/>
            <w:tcBorders>
              <w:top w:val="single" w:sz="4" w:space="0" w:color="auto"/>
              <w:bottom w:val="single" w:sz="12" w:space="0" w:color="auto"/>
            </w:tcBorders>
            <w:shd w:val="clear" w:color="auto" w:fill="auto"/>
            <w:vAlign w:val="bottom"/>
          </w:tcPr>
          <w:p w14:paraId="72288DF8"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Male</w:t>
            </w:r>
          </w:p>
        </w:tc>
        <w:tc>
          <w:tcPr>
            <w:tcW w:w="1051" w:type="dxa"/>
            <w:tcBorders>
              <w:top w:val="single" w:sz="4" w:space="0" w:color="auto"/>
              <w:bottom w:val="single" w:sz="12" w:space="0" w:color="auto"/>
              <w:right w:val="single" w:sz="24" w:space="0" w:color="FFFFFF" w:themeColor="background1"/>
            </w:tcBorders>
            <w:shd w:val="clear" w:color="auto" w:fill="auto"/>
            <w:vAlign w:val="bottom"/>
          </w:tcPr>
          <w:p w14:paraId="18DB4494"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Female</w:t>
            </w:r>
          </w:p>
        </w:tc>
        <w:tc>
          <w:tcPr>
            <w:tcW w:w="753" w:type="dxa"/>
            <w:tcBorders>
              <w:top w:val="single" w:sz="4" w:space="0" w:color="auto"/>
              <w:left w:val="single" w:sz="24" w:space="0" w:color="FFFFFF" w:themeColor="background1"/>
              <w:bottom w:val="single" w:sz="12" w:space="0" w:color="auto"/>
            </w:tcBorders>
            <w:shd w:val="clear" w:color="auto" w:fill="auto"/>
            <w:vAlign w:val="bottom"/>
          </w:tcPr>
          <w:p w14:paraId="2EE2A162"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Thai</w:t>
            </w:r>
          </w:p>
        </w:tc>
        <w:tc>
          <w:tcPr>
            <w:tcW w:w="1372" w:type="dxa"/>
            <w:tcBorders>
              <w:top w:val="single" w:sz="4" w:space="0" w:color="auto"/>
              <w:bottom w:val="single" w:sz="12" w:space="0" w:color="auto"/>
            </w:tcBorders>
            <w:shd w:val="clear" w:color="auto" w:fill="auto"/>
            <w:vAlign w:val="bottom"/>
          </w:tcPr>
          <w:p w14:paraId="4755E83F"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Myanmar</w:t>
            </w:r>
          </w:p>
        </w:tc>
        <w:tc>
          <w:tcPr>
            <w:tcW w:w="1563" w:type="dxa"/>
            <w:tcBorders>
              <w:top w:val="single" w:sz="4" w:space="0" w:color="auto"/>
              <w:bottom w:val="single" w:sz="12" w:space="0" w:color="auto"/>
            </w:tcBorders>
            <w:shd w:val="clear" w:color="auto" w:fill="auto"/>
            <w:vAlign w:val="bottom"/>
          </w:tcPr>
          <w:p w14:paraId="45BB82D7"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Cambodian</w:t>
            </w:r>
          </w:p>
        </w:tc>
        <w:tc>
          <w:tcPr>
            <w:tcW w:w="1108" w:type="dxa"/>
            <w:tcBorders>
              <w:top w:val="single" w:sz="4" w:space="0" w:color="auto"/>
              <w:bottom w:val="single" w:sz="12" w:space="0" w:color="auto"/>
            </w:tcBorders>
            <w:shd w:val="clear" w:color="auto" w:fill="auto"/>
            <w:vAlign w:val="bottom"/>
          </w:tcPr>
          <w:p w14:paraId="459756A9"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Laotian</w:t>
            </w:r>
          </w:p>
        </w:tc>
        <w:tc>
          <w:tcPr>
            <w:tcW w:w="1005" w:type="dxa"/>
            <w:tcBorders>
              <w:top w:val="single" w:sz="4" w:space="0" w:color="auto"/>
              <w:bottom w:val="single" w:sz="12" w:space="0" w:color="auto"/>
            </w:tcBorders>
            <w:shd w:val="clear" w:color="auto" w:fill="auto"/>
            <w:vAlign w:val="bottom"/>
          </w:tcPr>
          <w:p w14:paraId="59E46217" w14:textId="77777777" w:rsidR="00695E59" w:rsidRPr="0026682D" w:rsidRDefault="00695E59" w:rsidP="0026682D">
            <w:pPr>
              <w:pStyle w:val="SingleTxtG"/>
              <w:tabs>
                <w:tab w:val="clear" w:pos="1701"/>
                <w:tab w:val="clear" w:pos="2268"/>
              </w:tabs>
              <w:suppressAutoHyphens w:val="0"/>
              <w:spacing w:before="80" w:after="80" w:line="200" w:lineRule="exact"/>
              <w:ind w:left="0" w:right="113"/>
              <w:jc w:val="right"/>
              <w:rPr>
                <w:i/>
                <w:sz w:val="16"/>
                <w:lang w:bidi="th-TH"/>
              </w:rPr>
            </w:pPr>
            <w:r w:rsidRPr="0026682D">
              <w:rPr>
                <w:i/>
                <w:sz w:val="16"/>
                <w:lang w:bidi="th-TH"/>
              </w:rPr>
              <w:t>Others</w:t>
            </w:r>
          </w:p>
        </w:tc>
      </w:tr>
      <w:tr w:rsidR="00695E59" w:rsidRPr="00AA3377" w14:paraId="67819DAF" w14:textId="77777777" w:rsidTr="0026682D">
        <w:tc>
          <w:tcPr>
            <w:tcW w:w="783" w:type="dxa"/>
            <w:tcBorders>
              <w:top w:val="single" w:sz="12" w:space="0" w:color="auto"/>
            </w:tcBorders>
            <w:shd w:val="clear" w:color="auto" w:fill="auto"/>
          </w:tcPr>
          <w:p w14:paraId="2D8D9453"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left"/>
              <w:rPr>
                <w:sz w:val="18"/>
                <w:lang w:bidi="th-TH"/>
              </w:rPr>
            </w:pPr>
            <w:r w:rsidRPr="00AA3377">
              <w:rPr>
                <w:sz w:val="18"/>
                <w:lang w:bidi="th-TH"/>
              </w:rPr>
              <w:t>2015</w:t>
            </w:r>
          </w:p>
        </w:tc>
        <w:tc>
          <w:tcPr>
            <w:tcW w:w="824" w:type="dxa"/>
            <w:tcBorders>
              <w:top w:val="single" w:sz="12" w:space="0" w:color="auto"/>
            </w:tcBorders>
            <w:shd w:val="clear" w:color="auto" w:fill="auto"/>
            <w:vAlign w:val="bottom"/>
          </w:tcPr>
          <w:p w14:paraId="2B7FFB0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982</w:t>
            </w:r>
          </w:p>
        </w:tc>
        <w:tc>
          <w:tcPr>
            <w:tcW w:w="816" w:type="dxa"/>
            <w:tcBorders>
              <w:top w:val="single" w:sz="12" w:space="0" w:color="auto"/>
            </w:tcBorders>
            <w:shd w:val="clear" w:color="auto" w:fill="auto"/>
            <w:vAlign w:val="bottom"/>
          </w:tcPr>
          <w:p w14:paraId="67CE5BAA"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451</w:t>
            </w:r>
          </w:p>
        </w:tc>
        <w:tc>
          <w:tcPr>
            <w:tcW w:w="1051" w:type="dxa"/>
            <w:tcBorders>
              <w:top w:val="single" w:sz="12" w:space="0" w:color="auto"/>
            </w:tcBorders>
            <w:shd w:val="clear" w:color="auto" w:fill="auto"/>
            <w:vAlign w:val="bottom"/>
          </w:tcPr>
          <w:p w14:paraId="729F68F7"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531</w:t>
            </w:r>
          </w:p>
        </w:tc>
        <w:tc>
          <w:tcPr>
            <w:tcW w:w="753" w:type="dxa"/>
            <w:tcBorders>
              <w:top w:val="single" w:sz="12" w:space="0" w:color="auto"/>
            </w:tcBorders>
            <w:shd w:val="clear" w:color="auto" w:fill="auto"/>
            <w:vAlign w:val="bottom"/>
          </w:tcPr>
          <w:p w14:paraId="688AAE42"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360</w:t>
            </w:r>
          </w:p>
        </w:tc>
        <w:tc>
          <w:tcPr>
            <w:tcW w:w="1372" w:type="dxa"/>
            <w:tcBorders>
              <w:top w:val="single" w:sz="12" w:space="0" w:color="auto"/>
            </w:tcBorders>
            <w:shd w:val="clear" w:color="auto" w:fill="auto"/>
            <w:vAlign w:val="bottom"/>
          </w:tcPr>
          <w:p w14:paraId="2B4C14C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409</w:t>
            </w:r>
          </w:p>
        </w:tc>
        <w:tc>
          <w:tcPr>
            <w:tcW w:w="1563" w:type="dxa"/>
            <w:tcBorders>
              <w:top w:val="single" w:sz="12" w:space="0" w:color="auto"/>
            </w:tcBorders>
            <w:shd w:val="clear" w:color="auto" w:fill="auto"/>
            <w:vAlign w:val="bottom"/>
          </w:tcPr>
          <w:p w14:paraId="20C631B2"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9</w:t>
            </w:r>
          </w:p>
        </w:tc>
        <w:tc>
          <w:tcPr>
            <w:tcW w:w="1108" w:type="dxa"/>
            <w:tcBorders>
              <w:top w:val="single" w:sz="12" w:space="0" w:color="auto"/>
            </w:tcBorders>
            <w:shd w:val="clear" w:color="auto" w:fill="auto"/>
            <w:vAlign w:val="bottom"/>
          </w:tcPr>
          <w:p w14:paraId="6E6D48DC"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87</w:t>
            </w:r>
          </w:p>
        </w:tc>
        <w:tc>
          <w:tcPr>
            <w:tcW w:w="1005" w:type="dxa"/>
            <w:tcBorders>
              <w:top w:val="single" w:sz="12" w:space="0" w:color="auto"/>
            </w:tcBorders>
            <w:shd w:val="clear" w:color="auto" w:fill="auto"/>
            <w:vAlign w:val="bottom"/>
          </w:tcPr>
          <w:p w14:paraId="71911FE6"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117</w:t>
            </w:r>
          </w:p>
        </w:tc>
      </w:tr>
      <w:tr w:rsidR="00695E59" w:rsidRPr="00AA3377" w14:paraId="56774A58" w14:textId="77777777" w:rsidTr="00AA3377">
        <w:tc>
          <w:tcPr>
            <w:tcW w:w="783" w:type="dxa"/>
            <w:shd w:val="clear" w:color="auto" w:fill="auto"/>
          </w:tcPr>
          <w:p w14:paraId="728B2866"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left"/>
              <w:rPr>
                <w:sz w:val="18"/>
                <w:lang w:bidi="th-TH"/>
              </w:rPr>
            </w:pPr>
            <w:r w:rsidRPr="00AA3377">
              <w:rPr>
                <w:sz w:val="18"/>
                <w:lang w:bidi="th-TH"/>
              </w:rPr>
              <w:t>2016</w:t>
            </w:r>
          </w:p>
        </w:tc>
        <w:tc>
          <w:tcPr>
            <w:tcW w:w="824" w:type="dxa"/>
            <w:shd w:val="clear" w:color="auto" w:fill="auto"/>
            <w:vAlign w:val="bottom"/>
          </w:tcPr>
          <w:p w14:paraId="5F99CB7C"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824</w:t>
            </w:r>
          </w:p>
        </w:tc>
        <w:tc>
          <w:tcPr>
            <w:tcW w:w="816" w:type="dxa"/>
            <w:shd w:val="clear" w:color="auto" w:fill="auto"/>
            <w:vAlign w:val="bottom"/>
          </w:tcPr>
          <w:p w14:paraId="2A204CC2"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411</w:t>
            </w:r>
          </w:p>
        </w:tc>
        <w:tc>
          <w:tcPr>
            <w:tcW w:w="1051" w:type="dxa"/>
            <w:shd w:val="clear" w:color="auto" w:fill="auto"/>
            <w:vAlign w:val="bottom"/>
          </w:tcPr>
          <w:p w14:paraId="342D79DB"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413</w:t>
            </w:r>
          </w:p>
        </w:tc>
        <w:tc>
          <w:tcPr>
            <w:tcW w:w="753" w:type="dxa"/>
            <w:shd w:val="clear" w:color="auto" w:fill="auto"/>
            <w:vAlign w:val="bottom"/>
          </w:tcPr>
          <w:p w14:paraId="4FA8960F"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333</w:t>
            </w:r>
          </w:p>
        </w:tc>
        <w:tc>
          <w:tcPr>
            <w:tcW w:w="1372" w:type="dxa"/>
            <w:shd w:val="clear" w:color="auto" w:fill="auto"/>
            <w:vAlign w:val="bottom"/>
          </w:tcPr>
          <w:p w14:paraId="11918C94"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238</w:t>
            </w:r>
          </w:p>
        </w:tc>
        <w:tc>
          <w:tcPr>
            <w:tcW w:w="1563" w:type="dxa"/>
            <w:shd w:val="clear" w:color="auto" w:fill="auto"/>
            <w:vAlign w:val="bottom"/>
          </w:tcPr>
          <w:p w14:paraId="17CAB60D"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52</w:t>
            </w:r>
          </w:p>
        </w:tc>
        <w:tc>
          <w:tcPr>
            <w:tcW w:w="1108" w:type="dxa"/>
            <w:shd w:val="clear" w:color="auto" w:fill="auto"/>
            <w:vAlign w:val="bottom"/>
          </w:tcPr>
          <w:p w14:paraId="56B6D19C"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58</w:t>
            </w:r>
          </w:p>
        </w:tc>
        <w:tc>
          <w:tcPr>
            <w:tcW w:w="1005" w:type="dxa"/>
            <w:shd w:val="clear" w:color="auto" w:fill="auto"/>
            <w:vAlign w:val="bottom"/>
          </w:tcPr>
          <w:p w14:paraId="3E94330D"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143</w:t>
            </w:r>
          </w:p>
        </w:tc>
      </w:tr>
      <w:tr w:rsidR="00695E59" w:rsidRPr="00AA3377" w14:paraId="4ACF3D4C" w14:textId="77777777" w:rsidTr="00AA3377">
        <w:tc>
          <w:tcPr>
            <w:tcW w:w="783" w:type="dxa"/>
            <w:shd w:val="clear" w:color="auto" w:fill="auto"/>
          </w:tcPr>
          <w:p w14:paraId="396BFCE4"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left"/>
              <w:rPr>
                <w:sz w:val="18"/>
                <w:lang w:bidi="th-TH"/>
              </w:rPr>
            </w:pPr>
            <w:r w:rsidRPr="00AA3377">
              <w:rPr>
                <w:sz w:val="18"/>
                <w:lang w:bidi="th-TH"/>
              </w:rPr>
              <w:t>2017</w:t>
            </w:r>
          </w:p>
        </w:tc>
        <w:tc>
          <w:tcPr>
            <w:tcW w:w="824" w:type="dxa"/>
            <w:shd w:val="clear" w:color="auto" w:fill="auto"/>
            <w:vAlign w:val="bottom"/>
          </w:tcPr>
          <w:p w14:paraId="7ED19862"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455</w:t>
            </w:r>
          </w:p>
        </w:tc>
        <w:tc>
          <w:tcPr>
            <w:tcW w:w="816" w:type="dxa"/>
            <w:shd w:val="clear" w:color="auto" w:fill="auto"/>
            <w:vAlign w:val="bottom"/>
          </w:tcPr>
          <w:p w14:paraId="49CFD47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88</w:t>
            </w:r>
          </w:p>
        </w:tc>
        <w:tc>
          <w:tcPr>
            <w:tcW w:w="1051" w:type="dxa"/>
            <w:shd w:val="clear" w:color="auto" w:fill="auto"/>
            <w:vAlign w:val="bottom"/>
          </w:tcPr>
          <w:p w14:paraId="4516FCF3"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367</w:t>
            </w:r>
          </w:p>
        </w:tc>
        <w:tc>
          <w:tcPr>
            <w:tcW w:w="753" w:type="dxa"/>
            <w:shd w:val="clear" w:color="auto" w:fill="auto"/>
            <w:vAlign w:val="bottom"/>
          </w:tcPr>
          <w:p w14:paraId="1DF2CBB3"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327</w:t>
            </w:r>
          </w:p>
        </w:tc>
        <w:tc>
          <w:tcPr>
            <w:tcW w:w="1372" w:type="dxa"/>
            <w:shd w:val="clear" w:color="auto" w:fill="auto"/>
            <w:vAlign w:val="bottom"/>
          </w:tcPr>
          <w:p w14:paraId="067D4834"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53</w:t>
            </w:r>
          </w:p>
        </w:tc>
        <w:tc>
          <w:tcPr>
            <w:tcW w:w="1563" w:type="dxa"/>
            <w:shd w:val="clear" w:color="auto" w:fill="auto"/>
            <w:vAlign w:val="bottom"/>
          </w:tcPr>
          <w:p w14:paraId="0F47B2E2"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26</w:t>
            </w:r>
          </w:p>
        </w:tc>
        <w:tc>
          <w:tcPr>
            <w:tcW w:w="1108" w:type="dxa"/>
            <w:shd w:val="clear" w:color="auto" w:fill="auto"/>
            <w:vAlign w:val="bottom"/>
          </w:tcPr>
          <w:p w14:paraId="4CA6403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30</w:t>
            </w:r>
          </w:p>
        </w:tc>
        <w:tc>
          <w:tcPr>
            <w:tcW w:w="1005" w:type="dxa"/>
            <w:shd w:val="clear" w:color="auto" w:fill="auto"/>
            <w:vAlign w:val="bottom"/>
          </w:tcPr>
          <w:p w14:paraId="20FAA66C"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19</w:t>
            </w:r>
          </w:p>
        </w:tc>
      </w:tr>
      <w:tr w:rsidR="00695E59" w:rsidRPr="00AA3377" w14:paraId="70208E51" w14:textId="77777777" w:rsidTr="00AA3377">
        <w:tc>
          <w:tcPr>
            <w:tcW w:w="783" w:type="dxa"/>
            <w:shd w:val="clear" w:color="auto" w:fill="auto"/>
          </w:tcPr>
          <w:p w14:paraId="0B6F7211"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left"/>
              <w:rPr>
                <w:sz w:val="18"/>
                <w:lang w:bidi="th-TH"/>
              </w:rPr>
            </w:pPr>
            <w:r w:rsidRPr="00AA3377">
              <w:rPr>
                <w:sz w:val="18"/>
                <w:lang w:bidi="th-TH"/>
              </w:rPr>
              <w:t>2018</w:t>
            </w:r>
          </w:p>
        </w:tc>
        <w:tc>
          <w:tcPr>
            <w:tcW w:w="824" w:type="dxa"/>
            <w:shd w:val="clear" w:color="auto" w:fill="auto"/>
            <w:vAlign w:val="bottom"/>
          </w:tcPr>
          <w:p w14:paraId="4D77A767"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631</w:t>
            </w:r>
          </w:p>
        </w:tc>
        <w:tc>
          <w:tcPr>
            <w:tcW w:w="816" w:type="dxa"/>
            <w:shd w:val="clear" w:color="auto" w:fill="auto"/>
            <w:vAlign w:val="bottom"/>
          </w:tcPr>
          <w:p w14:paraId="025E013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282</w:t>
            </w:r>
          </w:p>
        </w:tc>
        <w:tc>
          <w:tcPr>
            <w:tcW w:w="1051" w:type="dxa"/>
            <w:shd w:val="clear" w:color="auto" w:fill="auto"/>
            <w:vAlign w:val="bottom"/>
          </w:tcPr>
          <w:p w14:paraId="6B61A346"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349</w:t>
            </w:r>
          </w:p>
        </w:tc>
        <w:tc>
          <w:tcPr>
            <w:tcW w:w="753" w:type="dxa"/>
            <w:shd w:val="clear" w:color="auto" w:fill="auto"/>
            <w:vAlign w:val="bottom"/>
          </w:tcPr>
          <w:p w14:paraId="1BC19DC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345</w:t>
            </w:r>
          </w:p>
        </w:tc>
        <w:tc>
          <w:tcPr>
            <w:tcW w:w="1372" w:type="dxa"/>
            <w:shd w:val="clear" w:color="auto" w:fill="auto"/>
            <w:vAlign w:val="bottom"/>
          </w:tcPr>
          <w:p w14:paraId="6DCEDB0B"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205</w:t>
            </w:r>
          </w:p>
        </w:tc>
        <w:tc>
          <w:tcPr>
            <w:tcW w:w="1563" w:type="dxa"/>
            <w:shd w:val="clear" w:color="auto" w:fill="auto"/>
            <w:vAlign w:val="bottom"/>
          </w:tcPr>
          <w:p w14:paraId="33B62996"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28</w:t>
            </w:r>
          </w:p>
        </w:tc>
        <w:tc>
          <w:tcPr>
            <w:tcW w:w="1108" w:type="dxa"/>
            <w:shd w:val="clear" w:color="auto" w:fill="auto"/>
            <w:vAlign w:val="bottom"/>
          </w:tcPr>
          <w:p w14:paraId="6E662B3E"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14</w:t>
            </w:r>
          </w:p>
        </w:tc>
        <w:tc>
          <w:tcPr>
            <w:tcW w:w="1005" w:type="dxa"/>
            <w:shd w:val="clear" w:color="auto" w:fill="auto"/>
            <w:vAlign w:val="bottom"/>
          </w:tcPr>
          <w:p w14:paraId="6095DBDD"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39</w:t>
            </w:r>
          </w:p>
        </w:tc>
      </w:tr>
      <w:tr w:rsidR="00695E59" w:rsidRPr="00AA3377" w14:paraId="15C8F6CD" w14:textId="77777777" w:rsidTr="00AA3377">
        <w:tc>
          <w:tcPr>
            <w:tcW w:w="783" w:type="dxa"/>
            <w:shd w:val="clear" w:color="auto" w:fill="auto"/>
          </w:tcPr>
          <w:p w14:paraId="2C009BE2"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left"/>
              <w:rPr>
                <w:sz w:val="18"/>
                <w:lang w:bidi="th-TH"/>
              </w:rPr>
            </w:pPr>
            <w:r w:rsidRPr="00AA3377">
              <w:rPr>
                <w:sz w:val="18"/>
                <w:lang w:bidi="th-TH"/>
              </w:rPr>
              <w:t>2019</w:t>
            </w:r>
          </w:p>
        </w:tc>
        <w:tc>
          <w:tcPr>
            <w:tcW w:w="824" w:type="dxa"/>
            <w:shd w:val="clear" w:color="auto" w:fill="auto"/>
            <w:vAlign w:val="bottom"/>
          </w:tcPr>
          <w:p w14:paraId="2E68FAA7" w14:textId="705B6322"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w:t>
            </w:r>
            <w:r w:rsidR="0026682D">
              <w:rPr>
                <w:sz w:val="18"/>
                <w:lang w:bidi="th-TH"/>
              </w:rPr>
              <w:t xml:space="preserve"> </w:t>
            </w:r>
            <w:r w:rsidRPr="00AA3377">
              <w:rPr>
                <w:sz w:val="18"/>
                <w:lang w:bidi="th-TH"/>
              </w:rPr>
              <w:t>821</w:t>
            </w:r>
          </w:p>
        </w:tc>
        <w:tc>
          <w:tcPr>
            <w:tcW w:w="816" w:type="dxa"/>
            <w:shd w:val="clear" w:color="auto" w:fill="auto"/>
            <w:vAlign w:val="bottom"/>
          </w:tcPr>
          <w:p w14:paraId="0C64B26F" w14:textId="2B4DC13B"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w:t>
            </w:r>
            <w:r w:rsidR="0026682D">
              <w:rPr>
                <w:sz w:val="18"/>
                <w:lang w:bidi="th-TH"/>
              </w:rPr>
              <w:t xml:space="preserve"> </w:t>
            </w:r>
            <w:r w:rsidRPr="00AA3377">
              <w:rPr>
                <w:sz w:val="18"/>
                <w:lang w:bidi="th-TH"/>
              </w:rPr>
              <w:t>158</w:t>
            </w:r>
          </w:p>
        </w:tc>
        <w:tc>
          <w:tcPr>
            <w:tcW w:w="1051" w:type="dxa"/>
            <w:shd w:val="clear" w:color="auto" w:fill="auto"/>
            <w:vAlign w:val="bottom"/>
          </w:tcPr>
          <w:p w14:paraId="0E1E1708"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663</w:t>
            </w:r>
          </w:p>
        </w:tc>
        <w:tc>
          <w:tcPr>
            <w:tcW w:w="753" w:type="dxa"/>
            <w:shd w:val="clear" w:color="auto" w:fill="auto"/>
            <w:vAlign w:val="bottom"/>
          </w:tcPr>
          <w:p w14:paraId="3366450E"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251</w:t>
            </w:r>
          </w:p>
        </w:tc>
        <w:tc>
          <w:tcPr>
            <w:tcW w:w="1372" w:type="dxa"/>
            <w:shd w:val="clear" w:color="auto" w:fill="auto"/>
            <w:vAlign w:val="bottom"/>
          </w:tcPr>
          <w:p w14:paraId="7573F7EF" w14:textId="0EC2BC62"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w:t>
            </w:r>
            <w:r w:rsidR="0026682D">
              <w:rPr>
                <w:sz w:val="18"/>
                <w:lang w:bidi="th-TH"/>
              </w:rPr>
              <w:t xml:space="preserve"> </w:t>
            </w:r>
            <w:r w:rsidRPr="00AA3377">
              <w:rPr>
                <w:sz w:val="18"/>
                <w:lang w:bidi="th-TH"/>
              </w:rPr>
              <w:t>306</w:t>
            </w:r>
          </w:p>
        </w:tc>
        <w:tc>
          <w:tcPr>
            <w:tcW w:w="1563" w:type="dxa"/>
            <w:shd w:val="clear" w:color="auto" w:fill="auto"/>
            <w:vAlign w:val="bottom"/>
          </w:tcPr>
          <w:p w14:paraId="7CFB8175"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96</w:t>
            </w:r>
          </w:p>
        </w:tc>
        <w:tc>
          <w:tcPr>
            <w:tcW w:w="1108" w:type="dxa"/>
            <w:shd w:val="clear" w:color="auto" w:fill="auto"/>
            <w:vAlign w:val="bottom"/>
          </w:tcPr>
          <w:p w14:paraId="57A26C99"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38</w:t>
            </w:r>
          </w:p>
        </w:tc>
        <w:tc>
          <w:tcPr>
            <w:tcW w:w="1005" w:type="dxa"/>
            <w:shd w:val="clear" w:color="auto" w:fill="auto"/>
            <w:vAlign w:val="bottom"/>
          </w:tcPr>
          <w:p w14:paraId="0D2D169B" w14:textId="77777777" w:rsidR="00695E59" w:rsidRPr="00AA3377" w:rsidRDefault="00695E59" w:rsidP="00AA3377">
            <w:pPr>
              <w:pStyle w:val="SingleTxtG"/>
              <w:tabs>
                <w:tab w:val="clear" w:pos="1701"/>
                <w:tab w:val="clear" w:pos="2268"/>
              </w:tabs>
              <w:suppressAutoHyphens w:val="0"/>
              <w:spacing w:before="40" w:after="40" w:line="220" w:lineRule="exact"/>
              <w:ind w:left="0" w:right="113"/>
              <w:jc w:val="right"/>
              <w:rPr>
                <w:sz w:val="18"/>
                <w:lang w:bidi="th-TH"/>
              </w:rPr>
            </w:pPr>
            <w:r w:rsidRPr="00AA3377">
              <w:rPr>
                <w:sz w:val="18"/>
                <w:lang w:bidi="th-TH"/>
              </w:rPr>
              <w:t>130</w:t>
            </w:r>
          </w:p>
        </w:tc>
      </w:tr>
    </w:tbl>
    <w:p w14:paraId="59B0DCAE" w14:textId="4979CF84" w:rsidR="00695E59" w:rsidRPr="000B76E1" w:rsidRDefault="00695E59" w:rsidP="000B76E1">
      <w:pPr>
        <w:pStyle w:val="H23G"/>
      </w:pPr>
      <w:r w:rsidRPr="000B76E1">
        <w:rPr>
          <w:b w:val="0"/>
          <w:bCs/>
          <w:lang w:bidi="th-TH"/>
        </w:rPr>
        <w:tab/>
      </w:r>
      <w:r w:rsidRPr="000B76E1">
        <w:rPr>
          <w:b w:val="0"/>
          <w:bCs/>
          <w:lang w:bidi="th-TH"/>
        </w:rPr>
        <w:tab/>
      </w:r>
      <w:r w:rsidR="000B76E1" w:rsidRPr="000B76E1">
        <w:rPr>
          <w:b w:val="0"/>
          <w:bCs/>
          <w:lang w:bidi="th-TH"/>
        </w:rPr>
        <w:t>Table 6</w:t>
      </w:r>
      <w:r w:rsidR="000B76E1" w:rsidRPr="000B76E1">
        <w:rPr>
          <w:b w:val="0"/>
          <w:bCs/>
          <w:lang w:bidi="th-TH"/>
        </w:rPr>
        <w:br/>
      </w:r>
      <w:r w:rsidR="000B76E1">
        <w:rPr>
          <w:lang w:bidi="th-TH"/>
        </w:rPr>
        <w:t>Progress of human trafficking cases in investigation stage (as of 25 May 2020)</w:t>
      </w:r>
    </w:p>
    <w:tbl>
      <w:tblPr>
        <w:tblW w:w="745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09"/>
        <w:gridCol w:w="591"/>
        <w:gridCol w:w="1834"/>
        <w:gridCol w:w="1502"/>
        <w:gridCol w:w="1701"/>
        <w:gridCol w:w="1216"/>
      </w:tblGrid>
      <w:tr w:rsidR="00FE584C" w:rsidRPr="00FE584C" w14:paraId="73DF2534" w14:textId="77777777" w:rsidTr="00257D1F">
        <w:trPr>
          <w:tblHeader/>
        </w:trPr>
        <w:tc>
          <w:tcPr>
            <w:tcW w:w="609" w:type="dxa"/>
            <w:vMerge w:val="restart"/>
            <w:tcBorders>
              <w:top w:val="single" w:sz="4" w:space="0" w:color="auto"/>
              <w:bottom w:val="single" w:sz="12" w:space="0" w:color="auto"/>
            </w:tcBorders>
            <w:shd w:val="clear" w:color="auto" w:fill="auto"/>
            <w:vAlign w:val="bottom"/>
          </w:tcPr>
          <w:p w14:paraId="710EE09D" w14:textId="77777777" w:rsidR="00695E59" w:rsidRPr="00FE584C" w:rsidRDefault="00695E59" w:rsidP="00FE584C">
            <w:pPr>
              <w:pStyle w:val="SingleTxtG"/>
              <w:tabs>
                <w:tab w:val="clear" w:pos="1701"/>
                <w:tab w:val="clear" w:pos="2268"/>
              </w:tabs>
              <w:suppressAutoHyphens w:val="0"/>
              <w:spacing w:before="80" w:after="80" w:line="200" w:lineRule="exact"/>
              <w:ind w:left="0" w:right="113"/>
              <w:jc w:val="left"/>
              <w:rPr>
                <w:i/>
                <w:sz w:val="16"/>
                <w:lang w:bidi="th-TH"/>
              </w:rPr>
            </w:pPr>
            <w:r w:rsidRPr="00FE584C">
              <w:rPr>
                <w:i/>
                <w:sz w:val="16"/>
                <w:lang w:bidi="th-TH"/>
              </w:rPr>
              <w:t>Year</w:t>
            </w:r>
          </w:p>
        </w:tc>
        <w:tc>
          <w:tcPr>
            <w:tcW w:w="591" w:type="dxa"/>
            <w:vMerge w:val="restart"/>
            <w:tcBorders>
              <w:top w:val="single" w:sz="4" w:space="0" w:color="auto"/>
              <w:bottom w:val="single" w:sz="12" w:space="0" w:color="auto"/>
            </w:tcBorders>
            <w:shd w:val="clear" w:color="auto" w:fill="auto"/>
            <w:vAlign w:val="bottom"/>
          </w:tcPr>
          <w:p w14:paraId="62CBEC55" w14:textId="77777777" w:rsidR="00695E59" w:rsidRPr="00FE584C" w:rsidRDefault="00695E59" w:rsidP="00FE584C">
            <w:pPr>
              <w:pStyle w:val="SingleTxtG"/>
              <w:tabs>
                <w:tab w:val="clear" w:pos="1701"/>
                <w:tab w:val="clear" w:pos="2268"/>
              </w:tabs>
              <w:suppressAutoHyphens w:val="0"/>
              <w:spacing w:before="80" w:after="80" w:line="200" w:lineRule="exact"/>
              <w:ind w:left="0" w:right="113"/>
              <w:jc w:val="right"/>
              <w:rPr>
                <w:i/>
                <w:sz w:val="16"/>
                <w:lang w:bidi="th-TH"/>
              </w:rPr>
            </w:pPr>
            <w:r w:rsidRPr="00FE584C">
              <w:rPr>
                <w:i/>
                <w:sz w:val="16"/>
                <w:lang w:bidi="th-TH"/>
              </w:rPr>
              <w:t>Total</w:t>
            </w:r>
          </w:p>
        </w:tc>
        <w:tc>
          <w:tcPr>
            <w:tcW w:w="6253" w:type="dxa"/>
            <w:gridSpan w:val="4"/>
            <w:tcBorders>
              <w:top w:val="single" w:sz="4" w:space="0" w:color="auto"/>
              <w:bottom w:val="single" w:sz="4" w:space="0" w:color="auto"/>
            </w:tcBorders>
            <w:shd w:val="clear" w:color="auto" w:fill="auto"/>
            <w:vAlign w:val="bottom"/>
          </w:tcPr>
          <w:p w14:paraId="4436581D" w14:textId="77777777" w:rsidR="00695E59" w:rsidRPr="00FE584C" w:rsidRDefault="00695E59" w:rsidP="00FE584C">
            <w:pPr>
              <w:pStyle w:val="SingleTxtG"/>
              <w:tabs>
                <w:tab w:val="clear" w:pos="1701"/>
                <w:tab w:val="clear" w:pos="2268"/>
              </w:tabs>
              <w:suppressAutoHyphens w:val="0"/>
              <w:spacing w:before="80" w:after="80" w:line="200" w:lineRule="exact"/>
              <w:ind w:left="0" w:right="113"/>
              <w:jc w:val="center"/>
              <w:rPr>
                <w:i/>
                <w:sz w:val="16"/>
                <w:lang w:bidi="th-TH"/>
              </w:rPr>
            </w:pPr>
            <w:r w:rsidRPr="00FE584C">
              <w:rPr>
                <w:i/>
                <w:sz w:val="16"/>
                <w:lang w:bidi="th-TH"/>
              </w:rPr>
              <w:t>Progress of Human Trafficking Cases</w:t>
            </w:r>
          </w:p>
        </w:tc>
      </w:tr>
      <w:tr w:rsidR="00FE584C" w:rsidRPr="00FE584C" w14:paraId="44C55862" w14:textId="77777777" w:rsidTr="00257D1F">
        <w:trPr>
          <w:tblHeader/>
        </w:trPr>
        <w:tc>
          <w:tcPr>
            <w:tcW w:w="609" w:type="dxa"/>
            <w:vMerge/>
            <w:tcBorders>
              <w:top w:val="nil"/>
              <w:bottom w:val="single" w:sz="12" w:space="0" w:color="auto"/>
            </w:tcBorders>
            <w:shd w:val="clear" w:color="auto" w:fill="auto"/>
            <w:vAlign w:val="bottom"/>
          </w:tcPr>
          <w:p w14:paraId="52A31F78"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left"/>
              <w:rPr>
                <w:b/>
                <w:sz w:val="18"/>
                <w:lang w:bidi="th-TH"/>
              </w:rPr>
            </w:pPr>
          </w:p>
        </w:tc>
        <w:tc>
          <w:tcPr>
            <w:tcW w:w="591" w:type="dxa"/>
            <w:vMerge/>
            <w:tcBorders>
              <w:top w:val="nil"/>
              <w:bottom w:val="single" w:sz="12" w:space="0" w:color="auto"/>
            </w:tcBorders>
            <w:shd w:val="clear" w:color="auto" w:fill="auto"/>
            <w:vAlign w:val="bottom"/>
          </w:tcPr>
          <w:p w14:paraId="56FB27D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b/>
                <w:sz w:val="18"/>
                <w:lang w:bidi="th-TH"/>
              </w:rPr>
            </w:pPr>
          </w:p>
        </w:tc>
        <w:tc>
          <w:tcPr>
            <w:tcW w:w="1834" w:type="dxa"/>
            <w:tcBorders>
              <w:top w:val="single" w:sz="4" w:space="0" w:color="auto"/>
              <w:bottom w:val="single" w:sz="12" w:space="0" w:color="auto"/>
            </w:tcBorders>
            <w:shd w:val="clear" w:color="auto" w:fill="auto"/>
            <w:vAlign w:val="bottom"/>
          </w:tcPr>
          <w:p w14:paraId="7C35515A" w14:textId="77777777" w:rsidR="00695E59" w:rsidRPr="00FE584C" w:rsidRDefault="00695E59" w:rsidP="00FE584C">
            <w:pPr>
              <w:pStyle w:val="SingleTxtG"/>
              <w:tabs>
                <w:tab w:val="clear" w:pos="1701"/>
                <w:tab w:val="clear" w:pos="2268"/>
              </w:tabs>
              <w:suppressAutoHyphens w:val="0"/>
              <w:spacing w:before="80" w:after="80" w:line="200" w:lineRule="exact"/>
              <w:ind w:left="0" w:right="113"/>
              <w:jc w:val="right"/>
              <w:rPr>
                <w:i/>
                <w:sz w:val="16"/>
                <w:cs/>
                <w:lang w:bidi="th-TH"/>
              </w:rPr>
            </w:pPr>
            <w:r w:rsidRPr="00FE584C">
              <w:rPr>
                <w:i/>
                <w:sz w:val="16"/>
                <w:lang w:bidi="th-TH"/>
              </w:rPr>
              <w:t xml:space="preserve">Cases issued prosecution orders for human trafficking offence </w:t>
            </w:r>
          </w:p>
        </w:tc>
        <w:tc>
          <w:tcPr>
            <w:tcW w:w="1502" w:type="dxa"/>
            <w:tcBorders>
              <w:top w:val="single" w:sz="4" w:space="0" w:color="auto"/>
              <w:bottom w:val="single" w:sz="12" w:space="0" w:color="auto"/>
            </w:tcBorders>
            <w:shd w:val="clear" w:color="auto" w:fill="auto"/>
            <w:vAlign w:val="bottom"/>
          </w:tcPr>
          <w:p w14:paraId="247EE481" w14:textId="77777777" w:rsidR="00695E59" w:rsidRPr="00FE584C" w:rsidRDefault="00695E59" w:rsidP="00FE584C">
            <w:pPr>
              <w:pStyle w:val="SingleTxtG"/>
              <w:tabs>
                <w:tab w:val="clear" w:pos="1701"/>
                <w:tab w:val="clear" w:pos="2268"/>
              </w:tabs>
              <w:suppressAutoHyphens w:val="0"/>
              <w:spacing w:before="80" w:after="80" w:line="200" w:lineRule="exact"/>
              <w:ind w:left="0" w:right="113"/>
              <w:jc w:val="right"/>
              <w:rPr>
                <w:i/>
                <w:sz w:val="16"/>
                <w:cs/>
                <w:lang w:bidi="th-TH"/>
              </w:rPr>
            </w:pPr>
            <w:r w:rsidRPr="00FE584C">
              <w:rPr>
                <w:i/>
                <w:sz w:val="16"/>
                <w:lang w:bidi="th-TH"/>
              </w:rPr>
              <w:t xml:space="preserve">Cases issued prosecution orders for other criminal offences </w:t>
            </w:r>
          </w:p>
        </w:tc>
        <w:tc>
          <w:tcPr>
            <w:tcW w:w="1701" w:type="dxa"/>
            <w:tcBorders>
              <w:top w:val="single" w:sz="4" w:space="0" w:color="auto"/>
              <w:bottom w:val="single" w:sz="12" w:space="0" w:color="auto"/>
            </w:tcBorders>
            <w:shd w:val="clear" w:color="auto" w:fill="auto"/>
            <w:vAlign w:val="bottom"/>
          </w:tcPr>
          <w:p w14:paraId="3310F79D" w14:textId="27F30B9B" w:rsidR="00695E59" w:rsidRPr="00FE584C" w:rsidRDefault="00695E59" w:rsidP="00FE584C">
            <w:pPr>
              <w:pStyle w:val="SingleTxtG"/>
              <w:tabs>
                <w:tab w:val="clear" w:pos="1701"/>
                <w:tab w:val="clear" w:pos="2268"/>
              </w:tabs>
              <w:suppressAutoHyphens w:val="0"/>
              <w:spacing w:before="80" w:after="80" w:line="200" w:lineRule="exact"/>
              <w:ind w:left="0" w:right="113"/>
              <w:jc w:val="right"/>
              <w:rPr>
                <w:i/>
                <w:sz w:val="16"/>
                <w:cs/>
                <w:lang w:bidi="th-TH"/>
              </w:rPr>
            </w:pPr>
            <w:r w:rsidRPr="00FE584C">
              <w:rPr>
                <w:i/>
                <w:sz w:val="16"/>
                <w:lang w:bidi="th-TH"/>
              </w:rPr>
              <w:t>Cases under public prosecutor</w:t>
            </w:r>
            <w:r w:rsidR="00A56767" w:rsidRPr="00FE584C">
              <w:rPr>
                <w:i/>
                <w:sz w:val="16"/>
                <w:lang w:bidi="th-TH"/>
              </w:rPr>
              <w:t>’</w:t>
            </w:r>
            <w:r w:rsidRPr="00FE584C">
              <w:rPr>
                <w:i/>
                <w:sz w:val="16"/>
                <w:lang w:bidi="th-TH"/>
              </w:rPr>
              <w:t xml:space="preserve">s consideration </w:t>
            </w:r>
          </w:p>
        </w:tc>
        <w:tc>
          <w:tcPr>
            <w:tcW w:w="1214" w:type="dxa"/>
            <w:tcBorders>
              <w:top w:val="single" w:sz="4" w:space="0" w:color="auto"/>
              <w:bottom w:val="single" w:sz="12" w:space="0" w:color="auto"/>
            </w:tcBorders>
            <w:shd w:val="clear" w:color="auto" w:fill="auto"/>
            <w:vAlign w:val="bottom"/>
          </w:tcPr>
          <w:p w14:paraId="2CF81834" w14:textId="77777777" w:rsidR="00695E59" w:rsidRPr="00FE584C" w:rsidRDefault="00695E59" w:rsidP="00FE584C">
            <w:pPr>
              <w:pStyle w:val="SingleTxtG"/>
              <w:tabs>
                <w:tab w:val="clear" w:pos="1701"/>
                <w:tab w:val="clear" w:pos="2268"/>
              </w:tabs>
              <w:suppressAutoHyphens w:val="0"/>
              <w:spacing w:before="80" w:after="80" w:line="200" w:lineRule="exact"/>
              <w:ind w:left="0" w:right="113"/>
              <w:jc w:val="right"/>
              <w:rPr>
                <w:i/>
                <w:sz w:val="16"/>
                <w:cs/>
                <w:lang w:bidi="th-TH"/>
              </w:rPr>
            </w:pPr>
            <w:r w:rsidRPr="00FE584C">
              <w:rPr>
                <w:i/>
                <w:sz w:val="16"/>
                <w:lang w:bidi="th-TH"/>
              </w:rPr>
              <w:t xml:space="preserve">Cases returned to inquiry officers </w:t>
            </w:r>
          </w:p>
        </w:tc>
      </w:tr>
      <w:tr w:rsidR="00695E59" w:rsidRPr="00FE584C" w14:paraId="34B15035" w14:textId="77777777" w:rsidTr="00257D1F">
        <w:tc>
          <w:tcPr>
            <w:tcW w:w="609" w:type="dxa"/>
            <w:tcBorders>
              <w:top w:val="single" w:sz="12" w:space="0" w:color="auto"/>
            </w:tcBorders>
            <w:shd w:val="clear" w:color="auto" w:fill="auto"/>
          </w:tcPr>
          <w:p w14:paraId="61DC8B1B"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left"/>
              <w:rPr>
                <w:sz w:val="18"/>
                <w:lang w:bidi="th-TH"/>
              </w:rPr>
            </w:pPr>
            <w:r w:rsidRPr="00FE584C">
              <w:rPr>
                <w:sz w:val="18"/>
                <w:lang w:bidi="th-TH"/>
              </w:rPr>
              <w:t>2015</w:t>
            </w:r>
          </w:p>
        </w:tc>
        <w:tc>
          <w:tcPr>
            <w:tcW w:w="591" w:type="dxa"/>
            <w:tcBorders>
              <w:top w:val="single" w:sz="12" w:space="0" w:color="auto"/>
            </w:tcBorders>
            <w:shd w:val="clear" w:color="auto" w:fill="auto"/>
            <w:vAlign w:val="bottom"/>
          </w:tcPr>
          <w:p w14:paraId="64D16D0A"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281</w:t>
            </w:r>
          </w:p>
        </w:tc>
        <w:tc>
          <w:tcPr>
            <w:tcW w:w="1834" w:type="dxa"/>
            <w:tcBorders>
              <w:top w:val="single" w:sz="12" w:space="0" w:color="auto"/>
            </w:tcBorders>
            <w:shd w:val="clear" w:color="auto" w:fill="auto"/>
            <w:vAlign w:val="bottom"/>
          </w:tcPr>
          <w:p w14:paraId="5150F77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273</w:t>
            </w:r>
          </w:p>
        </w:tc>
        <w:tc>
          <w:tcPr>
            <w:tcW w:w="1502" w:type="dxa"/>
            <w:tcBorders>
              <w:top w:val="single" w:sz="12" w:space="0" w:color="auto"/>
            </w:tcBorders>
            <w:shd w:val="clear" w:color="auto" w:fill="auto"/>
            <w:vAlign w:val="bottom"/>
          </w:tcPr>
          <w:p w14:paraId="2A3374F7"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8</w:t>
            </w:r>
          </w:p>
        </w:tc>
        <w:tc>
          <w:tcPr>
            <w:tcW w:w="1701" w:type="dxa"/>
            <w:tcBorders>
              <w:top w:val="single" w:sz="12" w:space="0" w:color="auto"/>
            </w:tcBorders>
            <w:shd w:val="clear" w:color="auto" w:fill="auto"/>
            <w:vAlign w:val="bottom"/>
          </w:tcPr>
          <w:p w14:paraId="131AF98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w:t>
            </w:r>
          </w:p>
        </w:tc>
        <w:tc>
          <w:tcPr>
            <w:tcW w:w="1214" w:type="dxa"/>
            <w:tcBorders>
              <w:top w:val="single" w:sz="12" w:space="0" w:color="auto"/>
            </w:tcBorders>
            <w:shd w:val="clear" w:color="auto" w:fill="auto"/>
            <w:vAlign w:val="bottom"/>
          </w:tcPr>
          <w:p w14:paraId="0CE47D8D"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w:t>
            </w:r>
          </w:p>
        </w:tc>
      </w:tr>
      <w:tr w:rsidR="00695E59" w:rsidRPr="00FE584C" w14:paraId="5270A24C" w14:textId="77777777" w:rsidTr="00257D1F">
        <w:tc>
          <w:tcPr>
            <w:tcW w:w="609" w:type="dxa"/>
            <w:shd w:val="clear" w:color="auto" w:fill="auto"/>
          </w:tcPr>
          <w:p w14:paraId="115ECDC2"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left"/>
              <w:rPr>
                <w:sz w:val="18"/>
                <w:lang w:bidi="th-TH"/>
              </w:rPr>
            </w:pPr>
            <w:r w:rsidRPr="00FE584C">
              <w:rPr>
                <w:sz w:val="18"/>
                <w:lang w:bidi="th-TH"/>
              </w:rPr>
              <w:t>2016</w:t>
            </w:r>
          </w:p>
        </w:tc>
        <w:tc>
          <w:tcPr>
            <w:tcW w:w="591" w:type="dxa"/>
            <w:shd w:val="clear" w:color="auto" w:fill="auto"/>
            <w:vAlign w:val="bottom"/>
          </w:tcPr>
          <w:p w14:paraId="7D085068"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446</w:t>
            </w:r>
          </w:p>
        </w:tc>
        <w:tc>
          <w:tcPr>
            <w:tcW w:w="1834" w:type="dxa"/>
            <w:shd w:val="clear" w:color="auto" w:fill="auto"/>
            <w:vAlign w:val="bottom"/>
          </w:tcPr>
          <w:p w14:paraId="4301AA2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438</w:t>
            </w:r>
          </w:p>
        </w:tc>
        <w:tc>
          <w:tcPr>
            <w:tcW w:w="1502" w:type="dxa"/>
            <w:shd w:val="clear" w:color="auto" w:fill="auto"/>
            <w:vAlign w:val="bottom"/>
          </w:tcPr>
          <w:p w14:paraId="31EA7F0D"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7</w:t>
            </w:r>
          </w:p>
        </w:tc>
        <w:tc>
          <w:tcPr>
            <w:tcW w:w="1701" w:type="dxa"/>
            <w:shd w:val="clear" w:color="auto" w:fill="auto"/>
            <w:vAlign w:val="bottom"/>
          </w:tcPr>
          <w:p w14:paraId="0C18F57C"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w:t>
            </w:r>
          </w:p>
        </w:tc>
        <w:tc>
          <w:tcPr>
            <w:tcW w:w="1214" w:type="dxa"/>
            <w:shd w:val="clear" w:color="auto" w:fill="auto"/>
            <w:vAlign w:val="bottom"/>
          </w:tcPr>
          <w:p w14:paraId="348E4EC5"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1</w:t>
            </w:r>
          </w:p>
        </w:tc>
      </w:tr>
      <w:tr w:rsidR="00695E59" w:rsidRPr="00FE584C" w14:paraId="7C8CE78B" w14:textId="77777777" w:rsidTr="00257D1F">
        <w:tc>
          <w:tcPr>
            <w:tcW w:w="609" w:type="dxa"/>
            <w:shd w:val="clear" w:color="auto" w:fill="auto"/>
          </w:tcPr>
          <w:p w14:paraId="460F296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left"/>
              <w:rPr>
                <w:sz w:val="18"/>
                <w:lang w:bidi="th-TH"/>
              </w:rPr>
            </w:pPr>
            <w:r w:rsidRPr="00FE584C">
              <w:rPr>
                <w:sz w:val="18"/>
                <w:lang w:bidi="th-TH"/>
              </w:rPr>
              <w:t>2017</w:t>
            </w:r>
          </w:p>
        </w:tc>
        <w:tc>
          <w:tcPr>
            <w:tcW w:w="591" w:type="dxa"/>
            <w:shd w:val="clear" w:color="auto" w:fill="auto"/>
            <w:vAlign w:val="bottom"/>
          </w:tcPr>
          <w:p w14:paraId="4EB54969"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396</w:t>
            </w:r>
          </w:p>
        </w:tc>
        <w:tc>
          <w:tcPr>
            <w:tcW w:w="1834" w:type="dxa"/>
            <w:shd w:val="clear" w:color="auto" w:fill="auto"/>
            <w:vAlign w:val="bottom"/>
          </w:tcPr>
          <w:p w14:paraId="1BCE22E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385</w:t>
            </w:r>
          </w:p>
        </w:tc>
        <w:tc>
          <w:tcPr>
            <w:tcW w:w="1502" w:type="dxa"/>
            <w:shd w:val="clear" w:color="auto" w:fill="auto"/>
            <w:vAlign w:val="bottom"/>
          </w:tcPr>
          <w:p w14:paraId="4E1EB982"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11</w:t>
            </w:r>
          </w:p>
        </w:tc>
        <w:tc>
          <w:tcPr>
            <w:tcW w:w="1701" w:type="dxa"/>
            <w:shd w:val="clear" w:color="auto" w:fill="auto"/>
            <w:vAlign w:val="bottom"/>
          </w:tcPr>
          <w:p w14:paraId="0BBFA126"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w:t>
            </w:r>
          </w:p>
        </w:tc>
        <w:tc>
          <w:tcPr>
            <w:tcW w:w="1214" w:type="dxa"/>
            <w:shd w:val="clear" w:color="auto" w:fill="auto"/>
            <w:vAlign w:val="bottom"/>
          </w:tcPr>
          <w:p w14:paraId="5195D804"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w:t>
            </w:r>
          </w:p>
        </w:tc>
      </w:tr>
      <w:tr w:rsidR="00695E59" w:rsidRPr="00FE584C" w14:paraId="0D8BD97B" w14:textId="77777777" w:rsidTr="00257D1F">
        <w:tc>
          <w:tcPr>
            <w:tcW w:w="609" w:type="dxa"/>
            <w:shd w:val="clear" w:color="auto" w:fill="auto"/>
          </w:tcPr>
          <w:p w14:paraId="449BB462"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left"/>
              <w:rPr>
                <w:sz w:val="18"/>
                <w:lang w:bidi="th-TH"/>
              </w:rPr>
            </w:pPr>
            <w:r w:rsidRPr="00FE584C">
              <w:rPr>
                <w:sz w:val="18"/>
                <w:lang w:bidi="th-TH"/>
              </w:rPr>
              <w:t>2018</w:t>
            </w:r>
          </w:p>
        </w:tc>
        <w:tc>
          <w:tcPr>
            <w:tcW w:w="591" w:type="dxa"/>
            <w:shd w:val="clear" w:color="auto" w:fill="auto"/>
            <w:vAlign w:val="bottom"/>
          </w:tcPr>
          <w:p w14:paraId="2463FB3B"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331</w:t>
            </w:r>
          </w:p>
        </w:tc>
        <w:tc>
          <w:tcPr>
            <w:tcW w:w="1834" w:type="dxa"/>
            <w:shd w:val="clear" w:color="auto" w:fill="auto"/>
            <w:vAlign w:val="bottom"/>
          </w:tcPr>
          <w:p w14:paraId="2AA9C1E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294</w:t>
            </w:r>
          </w:p>
        </w:tc>
        <w:tc>
          <w:tcPr>
            <w:tcW w:w="1502" w:type="dxa"/>
            <w:shd w:val="clear" w:color="auto" w:fill="auto"/>
            <w:vAlign w:val="bottom"/>
          </w:tcPr>
          <w:p w14:paraId="4D81837A"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31</w:t>
            </w:r>
          </w:p>
        </w:tc>
        <w:tc>
          <w:tcPr>
            <w:tcW w:w="1701" w:type="dxa"/>
            <w:shd w:val="clear" w:color="auto" w:fill="auto"/>
            <w:vAlign w:val="bottom"/>
          </w:tcPr>
          <w:p w14:paraId="7C9DCC1D" w14:textId="77777777" w:rsidR="00695E59" w:rsidRPr="00FE584C" w:rsidRDefault="00695E59" w:rsidP="00257D1F">
            <w:pPr>
              <w:pStyle w:val="SingleTxtG"/>
              <w:tabs>
                <w:tab w:val="clear" w:pos="1701"/>
                <w:tab w:val="clear" w:pos="2268"/>
              </w:tabs>
              <w:suppressAutoHyphens w:val="0"/>
              <w:spacing w:before="40" w:after="40" w:line="220" w:lineRule="exact"/>
              <w:ind w:left="284" w:right="113"/>
              <w:jc w:val="right"/>
              <w:rPr>
                <w:sz w:val="18"/>
                <w:lang w:bidi="th-TH"/>
              </w:rPr>
            </w:pPr>
            <w:r w:rsidRPr="00FE584C">
              <w:rPr>
                <w:sz w:val="18"/>
                <w:lang w:bidi="th-TH"/>
              </w:rPr>
              <w:t>2 cases still under consideration of the Attorney General</w:t>
            </w:r>
          </w:p>
        </w:tc>
        <w:tc>
          <w:tcPr>
            <w:tcW w:w="1214" w:type="dxa"/>
            <w:shd w:val="clear" w:color="auto" w:fill="auto"/>
            <w:vAlign w:val="bottom"/>
          </w:tcPr>
          <w:p w14:paraId="4CAC6AD9"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4</w:t>
            </w:r>
          </w:p>
        </w:tc>
      </w:tr>
      <w:tr w:rsidR="00695E59" w:rsidRPr="00FE584C" w14:paraId="5CDDD6E5" w14:textId="77777777" w:rsidTr="00257D1F">
        <w:tc>
          <w:tcPr>
            <w:tcW w:w="609" w:type="dxa"/>
            <w:shd w:val="clear" w:color="auto" w:fill="auto"/>
          </w:tcPr>
          <w:p w14:paraId="49230492"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left"/>
              <w:rPr>
                <w:sz w:val="18"/>
                <w:lang w:bidi="th-TH"/>
              </w:rPr>
            </w:pPr>
            <w:r w:rsidRPr="00FE584C">
              <w:rPr>
                <w:sz w:val="18"/>
                <w:lang w:bidi="th-TH"/>
              </w:rPr>
              <w:t>2019</w:t>
            </w:r>
          </w:p>
        </w:tc>
        <w:tc>
          <w:tcPr>
            <w:tcW w:w="591" w:type="dxa"/>
            <w:shd w:val="clear" w:color="auto" w:fill="auto"/>
            <w:vAlign w:val="bottom"/>
          </w:tcPr>
          <w:p w14:paraId="5F733A6A"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343</w:t>
            </w:r>
          </w:p>
        </w:tc>
        <w:tc>
          <w:tcPr>
            <w:tcW w:w="1834" w:type="dxa"/>
            <w:shd w:val="clear" w:color="auto" w:fill="auto"/>
            <w:vAlign w:val="bottom"/>
          </w:tcPr>
          <w:p w14:paraId="6294EB7E"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268</w:t>
            </w:r>
          </w:p>
        </w:tc>
        <w:tc>
          <w:tcPr>
            <w:tcW w:w="1502" w:type="dxa"/>
            <w:shd w:val="clear" w:color="auto" w:fill="auto"/>
            <w:vAlign w:val="bottom"/>
          </w:tcPr>
          <w:p w14:paraId="061B2BB3"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62</w:t>
            </w:r>
          </w:p>
        </w:tc>
        <w:tc>
          <w:tcPr>
            <w:tcW w:w="1701" w:type="dxa"/>
            <w:shd w:val="clear" w:color="auto" w:fill="auto"/>
            <w:vAlign w:val="bottom"/>
          </w:tcPr>
          <w:p w14:paraId="5B682D38"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7</w:t>
            </w:r>
          </w:p>
        </w:tc>
        <w:tc>
          <w:tcPr>
            <w:tcW w:w="1214" w:type="dxa"/>
            <w:shd w:val="clear" w:color="auto" w:fill="auto"/>
            <w:vAlign w:val="bottom"/>
          </w:tcPr>
          <w:p w14:paraId="469BAA37" w14:textId="77777777" w:rsidR="00695E59" w:rsidRPr="00FE584C" w:rsidRDefault="00695E59" w:rsidP="00FE584C">
            <w:pPr>
              <w:pStyle w:val="SingleTxtG"/>
              <w:tabs>
                <w:tab w:val="clear" w:pos="1701"/>
                <w:tab w:val="clear" w:pos="2268"/>
              </w:tabs>
              <w:suppressAutoHyphens w:val="0"/>
              <w:spacing w:before="40" w:after="40" w:line="220" w:lineRule="exact"/>
              <w:ind w:left="0" w:right="113"/>
              <w:jc w:val="right"/>
              <w:rPr>
                <w:sz w:val="18"/>
                <w:lang w:bidi="th-TH"/>
              </w:rPr>
            </w:pPr>
            <w:r w:rsidRPr="00FE584C">
              <w:rPr>
                <w:sz w:val="18"/>
                <w:lang w:bidi="th-TH"/>
              </w:rPr>
              <w:t>6</w:t>
            </w:r>
          </w:p>
        </w:tc>
      </w:tr>
    </w:tbl>
    <w:p w14:paraId="458A0401" w14:textId="6098DDC8" w:rsidR="00695E59" w:rsidRPr="00671D9E" w:rsidRDefault="00695E59" w:rsidP="00E729AC">
      <w:pPr>
        <w:pStyle w:val="H23G"/>
        <w:rPr>
          <w:lang w:bidi="th-TH"/>
        </w:rPr>
      </w:pPr>
      <w:r w:rsidRPr="00671D9E">
        <w:rPr>
          <w:lang w:bidi="th-TH"/>
        </w:rPr>
        <w:tab/>
      </w:r>
      <w:r w:rsidRPr="00671D9E">
        <w:rPr>
          <w:lang w:bidi="th-TH"/>
        </w:rPr>
        <w:tab/>
      </w:r>
      <w:r w:rsidR="00E729AC" w:rsidRPr="00E729AC">
        <w:rPr>
          <w:b w:val="0"/>
          <w:bCs/>
          <w:lang w:bidi="th-TH"/>
        </w:rPr>
        <w:t>Table 7</w:t>
      </w:r>
      <w:r w:rsidR="00E729AC">
        <w:rPr>
          <w:lang w:bidi="th-TH"/>
        </w:rPr>
        <w:br/>
      </w:r>
      <w:r w:rsidR="00E729AC" w:rsidRPr="00E729AC">
        <w:rPr>
          <w:lang w:bidi="th-TH"/>
        </w:rPr>
        <w:t>Progress of human trafficking cases in public prosecutor stage (as of 25 May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35"/>
        <w:gridCol w:w="635"/>
        <w:gridCol w:w="2208"/>
        <w:gridCol w:w="2103"/>
        <w:gridCol w:w="1789"/>
      </w:tblGrid>
      <w:tr w:rsidR="00695E59" w:rsidRPr="00E729AC" w14:paraId="19DCA312" w14:textId="77777777" w:rsidTr="00E729AC">
        <w:trPr>
          <w:tblHeader/>
        </w:trPr>
        <w:tc>
          <w:tcPr>
            <w:tcW w:w="851" w:type="dxa"/>
            <w:vMerge w:val="restart"/>
            <w:tcBorders>
              <w:top w:val="single" w:sz="4" w:space="0" w:color="auto"/>
              <w:bottom w:val="single" w:sz="12" w:space="0" w:color="auto"/>
            </w:tcBorders>
            <w:shd w:val="clear" w:color="auto" w:fill="auto"/>
            <w:vAlign w:val="bottom"/>
          </w:tcPr>
          <w:p w14:paraId="5AC87B05" w14:textId="77777777" w:rsidR="00695E59" w:rsidRPr="00E729AC" w:rsidRDefault="00695E59" w:rsidP="00E729AC">
            <w:pPr>
              <w:pStyle w:val="SingleTxtG"/>
              <w:tabs>
                <w:tab w:val="clear" w:pos="1701"/>
                <w:tab w:val="clear" w:pos="2268"/>
              </w:tabs>
              <w:suppressAutoHyphens w:val="0"/>
              <w:spacing w:before="80" w:after="80" w:line="200" w:lineRule="exact"/>
              <w:ind w:left="0" w:right="113"/>
              <w:jc w:val="left"/>
              <w:rPr>
                <w:i/>
                <w:sz w:val="16"/>
                <w:lang w:bidi="th-TH"/>
              </w:rPr>
            </w:pPr>
            <w:r w:rsidRPr="00E729AC">
              <w:rPr>
                <w:i/>
                <w:sz w:val="16"/>
                <w:lang w:bidi="th-TH"/>
              </w:rPr>
              <w:t>Year</w:t>
            </w:r>
          </w:p>
        </w:tc>
        <w:tc>
          <w:tcPr>
            <w:tcW w:w="851" w:type="dxa"/>
            <w:vMerge w:val="restart"/>
            <w:tcBorders>
              <w:top w:val="single" w:sz="4" w:space="0" w:color="auto"/>
              <w:bottom w:val="single" w:sz="12" w:space="0" w:color="auto"/>
            </w:tcBorders>
            <w:shd w:val="clear" w:color="auto" w:fill="auto"/>
            <w:vAlign w:val="bottom"/>
          </w:tcPr>
          <w:p w14:paraId="582454CB" w14:textId="77777777" w:rsidR="00695E59" w:rsidRPr="00E729AC" w:rsidRDefault="00695E59" w:rsidP="00E729AC">
            <w:pPr>
              <w:pStyle w:val="SingleTxtG"/>
              <w:tabs>
                <w:tab w:val="clear" w:pos="1701"/>
                <w:tab w:val="clear" w:pos="2268"/>
              </w:tabs>
              <w:suppressAutoHyphens w:val="0"/>
              <w:spacing w:before="80" w:after="80" w:line="200" w:lineRule="exact"/>
              <w:ind w:left="0" w:right="113"/>
              <w:jc w:val="right"/>
              <w:rPr>
                <w:i/>
                <w:sz w:val="16"/>
                <w:lang w:bidi="th-TH"/>
              </w:rPr>
            </w:pPr>
            <w:r w:rsidRPr="00E729AC">
              <w:rPr>
                <w:i/>
                <w:sz w:val="16"/>
                <w:lang w:bidi="th-TH"/>
              </w:rPr>
              <w:t>Total</w:t>
            </w:r>
          </w:p>
        </w:tc>
        <w:tc>
          <w:tcPr>
            <w:tcW w:w="8223" w:type="dxa"/>
            <w:gridSpan w:val="3"/>
            <w:tcBorders>
              <w:top w:val="single" w:sz="4" w:space="0" w:color="auto"/>
              <w:bottom w:val="single" w:sz="4" w:space="0" w:color="auto"/>
            </w:tcBorders>
            <w:shd w:val="clear" w:color="auto" w:fill="auto"/>
            <w:vAlign w:val="bottom"/>
          </w:tcPr>
          <w:p w14:paraId="04D5D1C2" w14:textId="77777777" w:rsidR="00695E59" w:rsidRPr="00E729AC" w:rsidRDefault="00695E59" w:rsidP="00E729AC">
            <w:pPr>
              <w:pStyle w:val="SingleTxtG"/>
              <w:tabs>
                <w:tab w:val="clear" w:pos="1701"/>
                <w:tab w:val="clear" w:pos="2268"/>
              </w:tabs>
              <w:suppressAutoHyphens w:val="0"/>
              <w:spacing w:before="80" w:after="80" w:line="200" w:lineRule="exact"/>
              <w:ind w:left="0" w:right="113"/>
              <w:jc w:val="center"/>
              <w:rPr>
                <w:i/>
                <w:sz w:val="16"/>
                <w:lang w:bidi="th-TH"/>
              </w:rPr>
            </w:pPr>
            <w:r w:rsidRPr="00E729AC">
              <w:rPr>
                <w:i/>
                <w:sz w:val="16"/>
                <w:lang w:bidi="th-TH"/>
              </w:rPr>
              <w:t>Progress of human trafficking cases</w:t>
            </w:r>
          </w:p>
        </w:tc>
      </w:tr>
      <w:tr w:rsidR="00695E59" w:rsidRPr="00E729AC" w14:paraId="7F5E8132" w14:textId="77777777" w:rsidTr="00E729AC">
        <w:trPr>
          <w:tblHeader/>
        </w:trPr>
        <w:tc>
          <w:tcPr>
            <w:tcW w:w="851" w:type="dxa"/>
            <w:vMerge/>
            <w:tcBorders>
              <w:top w:val="nil"/>
              <w:bottom w:val="single" w:sz="12" w:space="0" w:color="auto"/>
            </w:tcBorders>
            <w:shd w:val="clear" w:color="auto" w:fill="auto"/>
            <w:vAlign w:val="bottom"/>
          </w:tcPr>
          <w:p w14:paraId="4068A7BB"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left"/>
              <w:rPr>
                <w:b/>
                <w:sz w:val="18"/>
                <w:lang w:bidi="th-TH"/>
              </w:rPr>
            </w:pPr>
          </w:p>
        </w:tc>
        <w:tc>
          <w:tcPr>
            <w:tcW w:w="851" w:type="dxa"/>
            <w:vMerge/>
            <w:tcBorders>
              <w:top w:val="nil"/>
              <w:bottom w:val="single" w:sz="12" w:space="0" w:color="auto"/>
            </w:tcBorders>
            <w:shd w:val="clear" w:color="auto" w:fill="auto"/>
            <w:vAlign w:val="bottom"/>
          </w:tcPr>
          <w:p w14:paraId="09F781A3"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b/>
                <w:sz w:val="18"/>
                <w:lang w:bidi="th-TH"/>
              </w:rPr>
            </w:pPr>
          </w:p>
        </w:tc>
        <w:tc>
          <w:tcPr>
            <w:tcW w:w="2977" w:type="dxa"/>
            <w:tcBorders>
              <w:top w:val="single" w:sz="4" w:space="0" w:color="auto"/>
              <w:bottom w:val="single" w:sz="12" w:space="0" w:color="auto"/>
            </w:tcBorders>
            <w:shd w:val="clear" w:color="auto" w:fill="auto"/>
            <w:vAlign w:val="bottom"/>
          </w:tcPr>
          <w:p w14:paraId="7734EF60" w14:textId="77777777" w:rsidR="00695E59" w:rsidRPr="00E729AC" w:rsidRDefault="00695E59" w:rsidP="00E729AC">
            <w:pPr>
              <w:pStyle w:val="SingleTxtG"/>
              <w:tabs>
                <w:tab w:val="clear" w:pos="1701"/>
                <w:tab w:val="clear" w:pos="2268"/>
              </w:tabs>
              <w:suppressAutoHyphens w:val="0"/>
              <w:spacing w:before="80" w:after="80" w:line="200" w:lineRule="exact"/>
              <w:ind w:left="0" w:right="113"/>
              <w:jc w:val="right"/>
              <w:rPr>
                <w:i/>
                <w:sz w:val="16"/>
                <w:cs/>
                <w:lang w:bidi="th-TH"/>
              </w:rPr>
            </w:pPr>
            <w:r w:rsidRPr="00E729AC">
              <w:rPr>
                <w:i/>
                <w:sz w:val="16"/>
                <w:lang w:bidi="th-TH"/>
              </w:rPr>
              <w:t xml:space="preserve">Cases issued prosecution orders for human trafficking offence </w:t>
            </w:r>
          </w:p>
        </w:tc>
        <w:tc>
          <w:tcPr>
            <w:tcW w:w="2835" w:type="dxa"/>
            <w:tcBorders>
              <w:top w:val="single" w:sz="4" w:space="0" w:color="auto"/>
              <w:bottom w:val="single" w:sz="12" w:space="0" w:color="auto"/>
            </w:tcBorders>
            <w:shd w:val="clear" w:color="auto" w:fill="auto"/>
            <w:vAlign w:val="bottom"/>
          </w:tcPr>
          <w:p w14:paraId="44D039AD" w14:textId="77777777" w:rsidR="00695E59" w:rsidRPr="00E729AC" w:rsidRDefault="00695E59" w:rsidP="00E729AC">
            <w:pPr>
              <w:pStyle w:val="SingleTxtG"/>
              <w:tabs>
                <w:tab w:val="clear" w:pos="1701"/>
                <w:tab w:val="clear" w:pos="2268"/>
              </w:tabs>
              <w:suppressAutoHyphens w:val="0"/>
              <w:spacing w:before="80" w:after="80" w:line="200" w:lineRule="exact"/>
              <w:ind w:left="0" w:right="113"/>
              <w:jc w:val="right"/>
              <w:rPr>
                <w:i/>
                <w:sz w:val="16"/>
                <w:cs/>
                <w:lang w:bidi="th-TH"/>
              </w:rPr>
            </w:pPr>
            <w:r w:rsidRPr="00E729AC">
              <w:rPr>
                <w:i/>
                <w:sz w:val="16"/>
                <w:lang w:bidi="th-TH"/>
              </w:rPr>
              <w:t xml:space="preserve">Case issued prosecution orders for other criminal offence </w:t>
            </w:r>
          </w:p>
        </w:tc>
        <w:tc>
          <w:tcPr>
            <w:tcW w:w="2411" w:type="dxa"/>
            <w:tcBorders>
              <w:top w:val="single" w:sz="4" w:space="0" w:color="auto"/>
              <w:bottom w:val="single" w:sz="12" w:space="0" w:color="auto"/>
            </w:tcBorders>
            <w:shd w:val="clear" w:color="auto" w:fill="auto"/>
            <w:vAlign w:val="bottom"/>
          </w:tcPr>
          <w:p w14:paraId="034168CF" w14:textId="509D5291" w:rsidR="00695E59" w:rsidRPr="00E729AC" w:rsidRDefault="00695E59" w:rsidP="00E729AC">
            <w:pPr>
              <w:pStyle w:val="SingleTxtG"/>
              <w:tabs>
                <w:tab w:val="clear" w:pos="1701"/>
                <w:tab w:val="clear" w:pos="2268"/>
              </w:tabs>
              <w:suppressAutoHyphens w:val="0"/>
              <w:spacing w:before="80" w:after="80" w:line="200" w:lineRule="exact"/>
              <w:ind w:left="0" w:right="113"/>
              <w:jc w:val="right"/>
              <w:rPr>
                <w:i/>
                <w:sz w:val="16"/>
                <w:cs/>
                <w:lang w:bidi="th-TH"/>
              </w:rPr>
            </w:pPr>
            <w:r w:rsidRPr="00E729AC">
              <w:rPr>
                <w:i/>
                <w:sz w:val="16"/>
                <w:lang w:bidi="th-TH"/>
              </w:rPr>
              <w:t>Cases under public prosecutor</w:t>
            </w:r>
            <w:r w:rsidR="00A56767" w:rsidRPr="00E729AC">
              <w:rPr>
                <w:i/>
                <w:sz w:val="16"/>
                <w:lang w:bidi="th-TH"/>
              </w:rPr>
              <w:t>’</w:t>
            </w:r>
            <w:r w:rsidRPr="00E729AC">
              <w:rPr>
                <w:i/>
                <w:sz w:val="16"/>
                <w:lang w:bidi="th-TH"/>
              </w:rPr>
              <w:t xml:space="preserve">s consideration </w:t>
            </w:r>
          </w:p>
        </w:tc>
      </w:tr>
      <w:tr w:rsidR="00695E59" w:rsidRPr="00E729AC" w14:paraId="6E6128CC" w14:textId="77777777" w:rsidTr="00E729AC">
        <w:tc>
          <w:tcPr>
            <w:tcW w:w="851" w:type="dxa"/>
            <w:tcBorders>
              <w:top w:val="single" w:sz="12" w:space="0" w:color="auto"/>
            </w:tcBorders>
            <w:shd w:val="clear" w:color="auto" w:fill="auto"/>
          </w:tcPr>
          <w:p w14:paraId="678F5D9D"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left"/>
              <w:rPr>
                <w:sz w:val="18"/>
                <w:lang w:bidi="th-TH"/>
              </w:rPr>
            </w:pPr>
            <w:r w:rsidRPr="00E729AC">
              <w:rPr>
                <w:sz w:val="18"/>
                <w:lang w:bidi="th-TH"/>
              </w:rPr>
              <w:t>2015</w:t>
            </w:r>
          </w:p>
        </w:tc>
        <w:tc>
          <w:tcPr>
            <w:tcW w:w="851" w:type="dxa"/>
            <w:tcBorders>
              <w:top w:val="single" w:sz="12" w:space="0" w:color="auto"/>
            </w:tcBorders>
            <w:shd w:val="clear" w:color="auto" w:fill="auto"/>
            <w:vAlign w:val="bottom"/>
          </w:tcPr>
          <w:p w14:paraId="020749F3"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5</w:t>
            </w:r>
          </w:p>
        </w:tc>
        <w:tc>
          <w:tcPr>
            <w:tcW w:w="2977" w:type="dxa"/>
            <w:tcBorders>
              <w:top w:val="single" w:sz="12" w:space="0" w:color="auto"/>
            </w:tcBorders>
            <w:shd w:val="clear" w:color="auto" w:fill="auto"/>
            <w:vAlign w:val="bottom"/>
          </w:tcPr>
          <w:p w14:paraId="6CAC90B1"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4</w:t>
            </w:r>
          </w:p>
        </w:tc>
        <w:tc>
          <w:tcPr>
            <w:tcW w:w="2835" w:type="dxa"/>
            <w:tcBorders>
              <w:top w:val="single" w:sz="12" w:space="0" w:color="auto"/>
            </w:tcBorders>
            <w:shd w:val="clear" w:color="auto" w:fill="auto"/>
            <w:vAlign w:val="bottom"/>
          </w:tcPr>
          <w:p w14:paraId="3337D6F5"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w:t>
            </w:r>
          </w:p>
        </w:tc>
        <w:tc>
          <w:tcPr>
            <w:tcW w:w="2411" w:type="dxa"/>
            <w:tcBorders>
              <w:top w:val="single" w:sz="12" w:space="0" w:color="auto"/>
            </w:tcBorders>
            <w:shd w:val="clear" w:color="auto" w:fill="auto"/>
            <w:vAlign w:val="bottom"/>
          </w:tcPr>
          <w:p w14:paraId="003E3AC4"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w:t>
            </w:r>
          </w:p>
        </w:tc>
      </w:tr>
      <w:tr w:rsidR="00695E59" w:rsidRPr="00E729AC" w14:paraId="083D83D3" w14:textId="77777777" w:rsidTr="00E729AC">
        <w:tc>
          <w:tcPr>
            <w:tcW w:w="851" w:type="dxa"/>
            <w:shd w:val="clear" w:color="auto" w:fill="auto"/>
          </w:tcPr>
          <w:p w14:paraId="206711C6"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left"/>
              <w:rPr>
                <w:sz w:val="18"/>
                <w:lang w:bidi="th-TH"/>
              </w:rPr>
            </w:pPr>
            <w:r w:rsidRPr="00E729AC">
              <w:rPr>
                <w:sz w:val="18"/>
                <w:lang w:bidi="th-TH"/>
              </w:rPr>
              <w:t>2016</w:t>
            </w:r>
          </w:p>
        </w:tc>
        <w:tc>
          <w:tcPr>
            <w:tcW w:w="851" w:type="dxa"/>
            <w:shd w:val="clear" w:color="auto" w:fill="auto"/>
            <w:vAlign w:val="bottom"/>
          </w:tcPr>
          <w:p w14:paraId="2D219DF1"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19</w:t>
            </w:r>
          </w:p>
        </w:tc>
        <w:tc>
          <w:tcPr>
            <w:tcW w:w="2977" w:type="dxa"/>
            <w:shd w:val="clear" w:color="auto" w:fill="auto"/>
            <w:vAlign w:val="bottom"/>
          </w:tcPr>
          <w:p w14:paraId="7DB4E530"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16</w:t>
            </w:r>
          </w:p>
        </w:tc>
        <w:tc>
          <w:tcPr>
            <w:tcW w:w="2835" w:type="dxa"/>
            <w:shd w:val="clear" w:color="auto" w:fill="auto"/>
            <w:vAlign w:val="bottom"/>
          </w:tcPr>
          <w:p w14:paraId="1FC95CF3"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2</w:t>
            </w:r>
          </w:p>
        </w:tc>
        <w:tc>
          <w:tcPr>
            <w:tcW w:w="2411" w:type="dxa"/>
            <w:shd w:val="clear" w:color="auto" w:fill="auto"/>
            <w:vAlign w:val="bottom"/>
          </w:tcPr>
          <w:p w14:paraId="0AFF8928"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w:t>
            </w:r>
          </w:p>
        </w:tc>
      </w:tr>
      <w:tr w:rsidR="00695E59" w:rsidRPr="00E729AC" w14:paraId="0D6BA1DB" w14:textId="77777777" w:rsidTr="00E729AC">
        <w:tc>
          <w:tcPr>
            <w:tcW w:w="851" w:type="dxa"/>
            <w:shd w:val="clear" w:color="auto" w:fill="auto"/>
          </w:tcPr>
          <w:p w14:paraId="3AF6E349"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left"/>
              <w:rPr>
                <w:sz w:val="18"/>
                <w:lang w:bidi="th-TH"/>
              </w:rPr>
            </w:pPr>
            <w:r w:rsidRPr="00E729AC">
              <w:rPr>
                <w:sz w:val="18"/>
                <w:lang w:bidi="th-TH"/>
              </w:rPr>
              <w:t>2017</w:t>
            </w:r>
          </w:p>
        </w:tc>
        <w:tc>
          <w:tcPr>
            <w:tcW w:w="851" w:type="dxa"/>
            <w:shd w:val="clear" w:color="auto" w:fill="auto"/>
            <w:vAlign w:val="bottom"/>
          </w:tcPr>
          <w:p w14:paraId="2C7A32C0"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22</w:t>
            </w:r>
          </w:p>
        </w:tc>
        <w:tc>
          <w:tcPr>
            <w:tcW w:w="2977" w:type="dxa"/>
            <w:shd w:val="clear" w:color="auto" w:fill="auto"/>
            <w:vAlign w:val="bottom"/>
          </w:tcPr>
          <w:p w14:paraId="66F9B14F"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16</w:t>
            </w:r>
          </w:p>
        </w:tc>
        <w:tc>
          <w:tcPr>
            <w:tcW w:w="2835" w:type="dxa"/>
            <w:shd w:val="clear" w:color="auto" w:fill="auto"/>
            <w:vAlign w:val="bottom"/>
          </w:tcPr>
          <w:p w14:paraId="1414216F"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4</w:t>
            </w:r>
          </w:p>
        </w:tc>
        <w:tc>
          <w:tcPr>
            <w:tcW w:w="2411" w:type="dxa"/>
            <w:shd w:val="clear" w:color="auto" w:fill="auto"/>
            <w:vAlign w:val="bottom"/>
          </w:tcPr>
          <w:p w14:paraId="63534ADB"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w:t>
            </w:r>
          </w:p>
        </w:tc>
      </w:tr>
      <w:tr w:rsidR="00695E59" w:rsidRPr="00E729AC" w14:paraId="63F40185" w14:textId="77777777" w:rsidTr="00E729AC">
        <w:tc>
          <w:tcPr>
            <w:tcW w:w="851" w:type="dxa"/>
            <w:shd w:val="clear" w:color="auto" w:fill="auto"/>
          </w:tcPr>
          <w:p w14:paraId="752D106B"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left"/>
              <w:rPr>
                <w:sz w:val="18"/>
                <w:lang w:bidi="th-TH"/>
              </w:rPr>
            </w:pPr>
            <w:r w:rsidRPr="00E729AC">
              <w:rPr>
                <w:sz w:val="18"/>
                <w:lang w:bidi="th-TH"/>
              </w:rPr>
              <w:t>2018</w:t>
            </w:r>
          </w:p>
        </w:tc>
        <w:tc>
          <w:tcPr>
            <w:tcW w:w="851" w:type="dxa"/>
            <w:shd w:val="clear" w:color="auto" w:fill="auto"/>
            <w:vAlign w:val="bottom"/>
          </w:tcPr>
          <w:p w14:paraId="5CDBCC1C"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26</w:t>
            </w:r>
          </w:p>
        </w:tc>
        <w:tc>
          <w:tcPr>
            <w:tcW w:w="2977" w:type="dxa"/>
            <w:shd w:val="clear" w:color="auto" w:fill="auto"/>
            <w:vAlign w:val="bottom"/>
          </w:tcPr>
          <w:p w14:paraId="77323618"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23</w:t>
            </w:r>
          </w:p>
        </w:tc>
        <w:tc>
          <w:tcPr>
            <w:tcW w:w="2835" w:type="dxa"/>
            <w:shd w:val="clear" w:color="auto" w:fill="auto"/>
            <w:vAlign w:val="bottom"/>
          </w:tcPr>
          <w:p w14:paraId="5C523472"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w:t>
            </w:r>
          </w:p>
        </w:tc>
        <w:tc>
          <w:tcPr>
            <w:tcW w:w="2411" w:type="dxa"/>
            <w:shd w:val="clear" w:color="auto" w:fill="auto"/>
            <w:vAlign w:val="bottom"/>
          </w:tcPr>
          <w:p w14:paraId="58B2F1D3"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w:t>
            </w:r>
          </w:p>
        </w:tc>
      </w:tr>
      <w:tr w:rsidR="00695E59" w:rsidRPr="00E729AC" w14:paraId="7A48295C" w14:textId="77777777" w:rsidTr="00E729AC">
        <w:tc>
          <w:tcPr>
            <w:tcW w:w="851" w:type="dxa"/>
            <w:shd w:val="clear" w:color="auto" w:fill="auto"/>
          </w:tcPr>
          <w:p w14:paraId="22EB2B4D"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left"/>
              <w:rPr>
                <w:sz w:val="18"/>
                <w:lang w:bidi="th-TH"/>
              </w:rPr>
            </w:pPr>
            <w:r w:rsidRPr="00E729AC">
              <w:rPr>
                <w:sz w:val="18"/>
                <w:lang w:bidi="th-TH"/>
              </w:rPr>
              <w:t>2019</w:t>
            </w:r>
          </w:p>
        </w:tc>
        <w:tc>
          <w:tcPr>
            <w:tcW w:w="851" w:type="dxa"/>
            <w:shd w:val="clear" w:color="auto" w:fill="auto"/>
            <w:vAlign w:val="bottom"/>
          </w:tcPr>
          <w:p w14:paraId="32E8F699"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21</w:t>
            </w:r>
          </w:p>
        </w:tc>
        <w:tc>
          <w:tcPr>
            <w:tcW w:w="2977" w:type="dxa"/>
            <w:shd w:val="clear" w:color="auto" w:fill="auto"/>
            <w:vAlign w:val="bottom"/>
          </w:tcPr>
          <w:p w14:paraId="2E492C51"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13</w:t>
            </w:r>
          </w:p>
        </w:tc>
        <w:tc>
          <w:tcPr>
            <w:tcW w:w="2835" w:type="dxa"/>
            <w:shd w:val="clear" w:color="auto" w:fill="auto"/>
            <w:vAlign w:val="bottom"/>
          </w:tcPr>
          <w:p w14:paraId="4835E602"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2</w:t>
            </w:r>
          </w:p>
        </w:tc>
        <w:tc>
          <w:tcPr>
            <w:tcW w:w="2411" w:type="dxa"/>
            <w:shd w:val="clear" w:color="auto" w:fill="auto"/>
            <w:vAlign w:val="bottom"/>
          </w:tcPr>
          <w:p w14:paraId="56C5B89C" w14:textId="77777777" w:rsidR="00695E59" w:rsidRPr="00E729AC" w:rsidRDefault="00695E59" w:rsidP="00E729AC">
            <w:pPr>
              <w:pStyle w:val="SingleTxtG"/>
              <w:tabs>
                <w:tab w:val="clear" w:pos="1701"/>
                <w:tab w:val="clear" w:pos="2268"/>
              </w:tabs>
              <w:suppressAutoHyphens w:val="0"/>
              <w:spacing w:before="40" w:after="40" w:line="220" w:lineRule="exact"/>
              <w:ind w:left="0" w:right="113"/>
              <w:jc w:val="right"/>
              <w:rPr>
                <w:sz w:val="18"/>
                <w:lang w:bidi="th-TH"/>
              </w:rPr>
            </w:pPr>
            <w:r w:rsidRPr="00E729AC">
              <w:rPr>
                <w:sz w:val="18"/>
                <w:lang w:bidi="th-TH"/>
              </w:rPr>
              <w:t>6</w:t>
            </w:r>
          </w:p>
        </w:tc>
      </w:tr>
    </w:tbl>
    <w:p w14:paraId="3D67B5D1" w14:textId="2E204343" w:rsidR="00695E59" w:rsidRPr="00671D9E" w:rsidRDefault="00695E59" w:rsidP="000601B4">
      <w:pPr>
        <w:pStyle w:val="H23G"/>
        <w:rPr>
          <w:lang w:bidi="th-TH"/>
        </w:rPr>
      </w:pPr>
      <w:r w:rsidRPr="00671D9E">
        <w:rPr>
          <w:lang w:bidi="th-TH"/>
        </w:rPr>
        <w:tab/>
      </w:r>
      <w:r w:rsidRPr="00671D9E">
        <w:rPr>
          <w:lang w:bidi="th-TH"/>
        </w:rPr>
        <w:tab/>
      </w:r>
      <w:r w:rsidR="000601B4" w:rsidRPr="000601B4">
        <w:rPr>
          <w:b w:val="0"/>
          <w:bCs/>
          <w:lang w:bidi="th-TH"/>
        </w:rPr>
        <w:t>Table 8</w:t>
      </w:r>
      <w:r w:rsidR="000601B4">
        <w:rPr>
          <w:lang w:bidi="th-TH"/>
        </w:rPr>
        <w:br/>
      </w:r>
      <w:r w:rsidR="000601B4" w:rsidRPr="000601B4">
        <w:rPr>
          <w:lang w:bidi="th-TH"/>
        </w:rPr>
        <w:t>Number of defendants classified by the courts’ decisions (as of 25 May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92"/>
        <w:gridCol w:w="1306"/>
        <w:gridCol w:w="1620"/>
        <w:gridCol w:w="1592"/>
        <w:gridCol w:w="1560"/>
      </w:tblGrid>
      <w:tr w:rsidR="00695E59" w:rsidRPr="000601B4" w14:paraId="1223679C" w14:textId="77777777" w:rsidTr="000601B4">
        <w:trPr>
          <w:tblHeader/>
        </w:trPr>
        <w:tc>
          <w:tcPr>
            <w:tcW w:w="1429" w:type="dxa"/>
            <w:tcBorders>
              <w:top w:val="single" w:sz="4" w:space="0" w:color="auto"/>
              <w:bottom w:val="single" w:sz="12" w:space="0" w:color="auto"/>
            </w:tcBorders>
            <w:shd w:val="clear" w:color="auto" w:fill="auto"/>
            <w:vAlign w:val="bottom"/>
          </w:tcPr>
          <w:p w14:paraId="4EB6F575" w14:textId="77777777" w:rsidR="00695E59" w:rsidRPr="000601B4" w:rsidRDefault="00695E59" w:rsidP="000601B4">
            <w:pPr>
              <w:pStyle w:val="SingleTxtG"/>
              <w:tabs>
                <w:tab w:val="clear" w:pos="1701"/>
                <w:tab w:val="clear" w:pos="2268"/>
              </w:tabs>
              <w:suppressAutoHyphens w:val="0"/>
              <w:spacing w:before="80" w:after="80" w:line="200" w:lineRule="exact"/>
              <w:ind w:left="0" w:right="113"/>
              <w:jc w:val="left"/>
              <w:rPr>
                <w:i/>
                <w:sz w:val="16"/>
                <w:lang w:bidi="th-TH"/>
              </w:rPr>
            </w:pPr>
            <w:r w:rsidRPr="000601B4">
              <w:rPr>
                <w:i/>
                <w:sz w:val="16"/>
                <w:lang w:bidi="th-TH"/>
              </w:rPr>
              <w:t>Year</w:t>
            </w:r>
          </w:p>
        </w:tc>
        <w:tc>
          <w:tcPr>
            <w:tcW w:w="1445" w:type="dxa"/>
            <w:tcBorders>
              <w:top w:val="single" w:sz="4" w:space="0" w:color="auto"/>
              <w:bottom w:val="single" w:sz="12" w:space="0" w:color="auto"/>
            </w:tcBorders>
            <w:shd w:val="clear" w:color="auto" w:fill="auto"/>
            <w:vAlign w:val="bottom"/>
          </w:tcPr>
          <w:p w14:paraId="5BF35DDF" w14:textId="77777777" w:rsidR="00695E59" w:rsidRPr="000601B4" w:rsidRDefault="00695E59" w:rsidP="000601B4">
            <w:pPr>
              <w:pStyle w:val="SingleTxtG"/>
              <w:tabs>
                <w:tab w:val="clear" w:pos="1701"/>
                <w:tab w:val="clear" w:pos="2268"/>
              </w:tabs>
              <w:suppressAutoHyphens w:val="0"/>
              <w:spacing w:before="80" w:after="80" w:line="200" w:lineRule="exact"/>
              <w:ind w:left="0" w:right="113"/>
              <w:jc w:val="right"/>
              <w:rPr>
                <w:i/>
                <w:sz w:val="16"/>
                <w:lang w:bidi="th-TH"/>
              </w:rPr>
            </w:pPr>
            <w:r w:rsidRPr="000601B4">
              <w:rPr>
                <w:i/>
                <w:sz w:val="16"/>
                <w:lang w:bidi="th-TH"/>
              </w:rPr>
              <w:t>Total</w:t>
            </w:r>
          </w:p>
        </w:tc>
        <w:tc>
          <w:tcPr>
            <w:tcW w:w="1792" w:type="dxa"/>
            <w:tcBorders>
              <w:top w:val="single" w:sz="4" w:space="0" w:color="auto"/>
              <w:bottom w:val="single" w:sz="12" w:space="0" w:color="auto"/>
            </w:tcBorders>
            <w:shd w:val="clear" w:color="auto" w:fill="auto"/>
            <w:vAlign w:val="bottom"/>
          </w:tcPr>
          <w:p w14:paraId="22652215" w14:textId="77777777" w:rsidR="00695E59" w:rsidRPr="000601B4" w:rsidRDefault="00695E59" w:rsidP="000601B4">
            <w:pPr>
              <w:pStyle w:val="SingleTxtG"/>
              <w:tabs>
                <w:tab w:val="clear" w:pos="1701"/>
                <w:tab w:val="clear" w:pos="2268"/>
              </w:tabs>
              <w:suppressAutoHyphens w:val="0"/>
              <w:spacing w:before="80" w:after="80" w:line="200" w:lineRule="exact"/>
              <w:ind w:left="0" w:right="113"/>
              <w:jc w:val="right"/>
              <w:rPr>
                <w:i/>
                <w:sz w:val="16"/>
                <w:lang w:bidi="th-TH"/>
              </w:rPr>
            </w:pPr>
            <w:r w:rsidRPr="000601B4">
              <w:rPr>
                <w:i/>
                <w:sz w:val="16"/>
                <w:lang w:bidi="th-TH"/>
              </w:rPr>
              <w:t>Convicted</w:t>
            </w:r>
          </w:p>
        </w:tc>
        <w:tc>
          <w:tcPr>
            <w:tcW w:w="1762" w:type="dxa"/>
            <w:tcBorders>
              <w:top w:val="single" w:sz="4" w:space="0" w:color="auto"/>
              <w:bottom w:val="single" w:sz="12" w:space="0" w:color="auto"/>
            </w:tcBorders>
            <w:shd w:val="clear" w:color="auto" w:fill="auto"/>
            <w:vAlign w:val="bottom"/>
          </w:tcPr>
          <w:p w14:paraId="1CD952F4" w14:textId="77777777" w:rsidR="00695E59" w:rsidRPr="000601B4" w:rsidRDefault="00695E59" w:rsidP="000601B4">
            <w:pPr>
              <w:pStyle w:val="SingleTxtG"/>
              <w:tabs>
                <w:tab w:val="clear" w:pos="1701"/>
                <w:tab w:val="clear" w:pos="2268"/>
              </w:tabs>
              <w:suppressAutoHyphens w:val="0"/>
              <w:spacing w:before="80" w:after="80" w:line="200" w:lineRule="exact"/>
              <w:ind w:left="0" w:right="113"/>
              <w:jc w:val="right"/>
              <w:rPr>
                <w:i/>
                <w:sz w:val="16"/>
                <w:lang w:bidi="th-TH"/>
              </w:rPr>
            </w:pPr>
            <w:r w:rsidRPr="000601B4">
              <w:rPr>
                <w:i/>
                <w:sz w:val="16"/>
                <w:lang w:bidi="th-TH"/>
              </w:rPr>
              <w:t>Acquitted</w:t>
            </w:r>
          </w:p>
        </w:tc>
        <w:tc>
          <w:tcPr>
            <w:tcW w:w="1726" w:type="dxa"/>
            <w:tcBorders>
              <w:top w:val="single" w:sz="4" w:space="0" w:color="auto"/>
              <w:bottom w:val="single" w:sz="12" w:space="0" w:color="auto"/>
            </w:tcBorders>
            <w:shd w:val="clear" w:color="auto" w:fill="auto"/>
            <w:vAlign w:val="bottom"/>
          </w:tcPr>
          <w:p w14:paraId="58500D84" w14:textId="77777777" w:rsidR="00695E59" w:rsidRPr="000601B4" w:rsidRDefault="00695E59" w:rsidP="000601B4">
            <w:pPr>
              <w:pStyle w:val="SingleTxtG"/>
              <w:tabs>
                <w:tab w:val="clear" w:pos="1701"/>
                <w:tab w:val="clear" w:pos="2268"/>
              </w:tabs>
              <w:suppressAutoHyphens w:val="0"/>
              <w:spacing w:before="80" w:after="80" w:line="200" w:lineRule="exact"/>
              <w:ind w:left="0" w:right="113"/>
              <w:jc w:val="right"/>
              <w:rPr>
                <w:i/>
                <w:sz w:val="16"/>
                <w:lang w:bidi="th-TH"/>
              </w:rPr>
            </w:pPr>
            <w:r w:rsidRPr="000601B4">
              <w:rPr>
                <w:i/>
                <w:sz w:val="16"/>
                <w:lang w:bidi="th-TH"/>
              </w:rPr>
              <w:t>Disposed</w:t>
            </w:r>
          </w:p>
        </w:tc>
      </w:tr>
      <w:tr w:rsidR="00695E59" w:rsidRPr="000601B4" w14:paraId="515F307B" w14:textId="77777777" w:rsidTr="000601B4">
        <w:tc>
          <w:tcPr>
            <w:tcW w:w="1429" w:type="dxa"/>
            <w:tcBorders>
              <w:top w:val="single" w:sz="12" w:space="0" w:color="auto"/>
            </w:tcBorders>
            <w:shd w:val="clear" w:color="auto" w:fill="auto"/>
          </w:tcPr>
          <w:p w14:paraId="734A794D"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left"/>
              <w:rPr>
                <w:sz w:val="18"/>
                <w:lang w:bidi="th-TH"/>
              </w:rPr>
            </w:pPr>
            <w:r w:rsidRPr="000601B4">
              <w:rPr>
                <w:sz w:val="18"/>
                <w:lang w:bidi="th-TH"/>
              </w:rPr>
              <w:t>2015</w:t>
            </w:r>
          </w:p>
        </w:tc>
        <w:tc>
          <w:tcPr>
            <w:tcW w:w="1445" w:type="dxa"/>
            <w:tcBorders>
              <w:top w:val="single" w:sz="12" w:space="0" w:color="auto"/>
            </w:tcBorders>
            <w:shd w:val="clear" w:color="auto" w:fill="auto"/>
            <w:vAlign w:val="bottom"/>
          </w:tcPr>
          <w:p w14:paraId="0B1C7091"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287</w:t>
            </w:r>
          </w:p>
        </w:tc>
        <w:tc>
          <w:tcPr>
            <w:tcW w:w="1792" w:type="dxa"/>
            <w:tcBorders>
              <w:top w:val="single" w:sz="12" w:space="0" w:color="auto"/>
            </w:tcBorders>
            <w:shd w:val="clear" w:color="auto" w:fill="auto"/>
            <w:vAlign w:val="bottom"/>
          </w:tcPr>
          <w:p w14:paraId="5D172C3D"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254</w:t>
            </w:r>
          </w:p>
        </w:tc>
        <w:tc>
          <w:tcPr>
            <w:tcW w:w="1762" w:type="dxa"/>
            <w:tcBorders>
              <w:top w:val="single" w:sz="12" w:space="0" w:color="auto"/>
            </w:tcBorders>
            <w:shd w:val="clear" w:color="auto" w:fill="auto"/>
            <w:vAlign w:val="bottom"/>
          </w:tcPr>
          <w:p w14:paraId="5D08F786"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26</w:t>
            </w:r>
          </w:p>
        </w:tc>
        <w:tc>
          <w:tcPr>
            <w:tcW w:w="1726" w:type="dxa"/>
            <w:tcBorders>
              <w:top w:val="single" w:sz="12" w:space="0" w:color="auto"/>
            </w:tcBorders>
            <w:shd w:val="clear" w:color="auto" w:fill="auto"/>
            <w:vAlign w:val="bottom"/>
          </w:tcPr>
          <w:p w14:paraId="3C0CC7F1"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7</w:t>
            </w:r>
          </w:p>
        </w:tc>
      </w:tr>
      <w:tr w:rsidR="00695E59" w:rsidRPr="000601B4" w14:paraId="49A65F18" w14:textId="77777777" w:rsidTr="000601B4">
        <w:tc>
          <w:tcPr>
            <w:tcW w:w="1429" w:type="dxa"/>
            <w:shd w:val="clear" w:color="auto" w:fill="auto"/>
          </w:tcPr>
          <w:p w14:paraId="4BD3C6E9"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left"/>
              <w:rPr>
                <w:sz w:val="18"/>
                <w:lang w:bidi="th-TH"/>
              </w:rPr>
            </w:pPr>
            <w:r w:rsidRPr="000601B4">
              <w:rPr>
                <w:sz w:val="18"/>
                <w:lang w:bidi="th-TH"/>
              </w:rPr>
              <w:t>2016</w:t>
            </w:r>
          </w:p>
        </w:tc>
        <w:tc>
          <w:tcPr>
            <w:tcW w:w="1445" w:type="dxa"/>
            <w:shd w:val="clear" w:color="auto" w:fill="auto"/>
            <w:vAlign w:val="bottom"/>
          </w:tcPr>
          <w:p w14:paraId="1682A586"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493</w:t>
            </w:r>
          </w:p>
        </w:tc>
        <w:tc>
          <w:tcPr>
            <w:tcW w:w="1792" w:type="dxa"/>
            <w:shd w:val="clear" w:color="auto" w:fill="auto"/>
            <w:vAlign w:val="bottom"/>
          </w:tcPr>
          <w:p w14:paraId="2D14C718"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366</w:t>
            </w:r>
          </w:p>
        </w:tc>
        <w:tc>
          <w:tcPr>
            <w:tcW w:w="1762" w:type="dxa"/>
            <w:shd w:val="clear" w:color="auto" w:fill="auto"/>
            <w:vAlign w:val="bottom"/>
          </w:tcPr>
          <w:p w14:paraId="1126AD27"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69</w:t>
            </w:r>
          </w:p>
        </w:tc>
        <w:tc>
          <w:tcPr>
            <w:tcW w:w="1726" w:type="dxa"/>
            <w:shd w:val="clear" w:color="auto" w:fill="auto"/>
            <w:vAlign w:val="bottom"/>
          </w:tcPr>
          <w:p w14:paraId="13CD64F2"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58</w:t>
            </w:r>
          </w:p>
        </w:tc>
      </w:tr>
      <w:tr w:rsidR="00695E59" w:rsidRPr="000601B4" w14:paraId="35DD77AD" w14:textId="77777777" w:rsidTr="000601B4">
        <w:tc>
          <w:tcPr>
            <w:tcW w:w="1429" w:type="dxa"/>
            <w:shd w:val="clear" w:color="auto" w:fill="auto"/>
          </w:tcPr>
          <w:p w14:paraId="0E9B0AFE"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left"/>
              <w:rPr>
                <w:sz w:val="18"/>
                <w:lang w:bidi="th-TH"/>
              </w:rPr>
            </w:pPr>
            <w:r w:rsidRPr="000601B4">
              <w:rPr>
                <w:sz w:val="18"/>
                <w:lang w:bidi="th-TH"/>
              </w:rPr>
              <w:t>2017</w:t>
            </w:r>
          </w:p>
        </w:tc>
        <w:tc>
          <w:tcPr>
            <w:tcW w:w="1445" w:type="dxa"/>
            <w:shd w:val="clear" w:color="auto" w:fill="auto"/>
            <w:vAlign w:val="bottom"/>
          </w:tcPr>
          <w:p w14:paraId="6D015BA2"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638</w:t>
            </w:r>
          </w:p>
        </w:tc>
        <w:tc>
          <w:tcPr>
            <w:tcW w:w="1792" w:type="dxa"/>
            <w:shd w:val="clear" w:color="auto" w:fill="auto"/>
            <w:vAlign w:val="bottom"/>
          </w:tcPr>
          <w:p w14:paraId="682539E1"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466</w:t>
            </w:r>
          </w:p>
        </w:tc>
        <w:tc>
          <w:tcPr>
            <w:tcW w:w="1762" w:type="dxa"/>
            <w:shd w:val="clear" w:color="auto" w:fill="auto"/>
            <w:vAlign w:val="bottom"/>
          </w:tcPr>
          <w:p w14:paraId="772A5975"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154</w:t>
            </w:r>
          </w:p>
        </w:tc>
        <w:tc>
          <w:tcPr>
            <w:tcW w:w="1726" w:type="dxa"/>
            <w:shd w:val="clear" w:color="auto" w:fill="auto"/>
            <w:vAlign w:val="bottom"/>
          </w:tcPr>
          <w:p w14:paraId="2EB6CCD9"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18</w:t>
            </w:r>
          </w:p>
        </w:tc>
      </w:tr>
      <w:tr w:rsidR="00695E59" w:rsidRPr="000601B4" w14:paraId="723DBD03" w14:textId="77777777" w:rsidTr="000601B4">
        <w:tc>
          <w:tcPr>
            <w:tcW w:w="1429" w:type="dxa"/>
            <w:shd w:val="clear" w:color="auto" w:fill="auto"/>
          </w:tcPr>
          <w:p w14:paraId="0C44EF55"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left"/>
              <w:rPr>
                <w:sz w:val="18"/>
                <w:lang w:bidi="th-TH"/>
              </w:rPr>
            </w:pPr>
            <w:r w:rsidRPr="000601B4">
              <w:rPr>
                <w:sz w:val="18"/>
                <w:lang w:bidi="th-TH"/>
              </w:rPr>
              <w:t>2018</w:t>
            </w:r>
          </w:p>
        </w:tc>
        <w:tc>
          <w:tcPr>
            <w:tcW w:w="1445" w:type="dxa"/>
            <w:shd w:val="clear" w:color="auto" w:fill="auto"/>
            <w:vAlign w:val="bottom"/>
          </w:tcPr>
          <w:p w14:paraId="4B9E4E4B"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438</w:t>
            </w:r>
          </w:p>
        </w:tc>
        <w:tc>
          <w:tcPr>
            <w:tcW w:w="1792" w:type="dxa"/>
            <w:shd w:val="clear" w:color="auto" w:fill="auto"/>
            <w:vAlign w:val="bottom"/>
          </w:tcPr>
          <w:p w14:paraId="132E78DA"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316</w:t>
            </w:r>
          </w:p>
        </w:tc>
        <w:tc>
          <w:tcPr>
            <w:tcW w:w="1762" w:type="dxa"/>
            <w:shd w:val="clear" w:color="auto" w:fill="auto"/>
            <w:vAlign w:val="bottom"/>
          </w:tcPr>
          <w:p w14:paraId="78DF025B"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57</w:t>
            </w:r>
          </w:p>
        </w:tc>
        <w:tc>
          <w:tcPr>
            <w:tcW w:w="1726" w:type="dxa"/>
            <w:shd w:val="clear" w:color="auto" w:fill="auto"/>
            <w:vAlign w:val="bottom"/>
          </w:tcPr>
          <w:p w14:paraId="1E6A61FC"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65</w:t>
            </w:r>
          </w:p>
        </w:tc>
      </w:tr>
      <w:tr w:rsidR="00695E59" w:rsidRPr="000601B4" w14:paraId="043B1DFB" w14:textId="77777777" w:rsidTr="000601B4">
        <w:tc>
          <w:tcPr>
            <w:tcW w:w="1429" w:type="dxa"/>
            <w:shd w:val="clear" w:color="auto" w:fill="auto"/>
          </w:tcPr>
          <w:p w14:paraId="45890C55"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left"/>
              <w:rPr>
                <w:sz w:val="18"/>
                <w:lang w:bidi="th-TH"/>
              </w:rPr>
            </w:pPr>
            <w:r w:rsidRPr="000601B4">
              <w:rPr>
                <w:sz w:val="18"/>
                <w:lang w:bidi="th-TH"/>
              </w:rPr>
              <w:t>2019</w:t>
            </w:r>
          </w:p>
        </w:tc>
        <w:tc>
          <w:tcPr>
            <w:tcW w:w="1445" w:type="dxa"/>
            <w:shd w:val="clear" w:color="auto" w:fill="auto"/>
            <w:vAlign w:val="bottom"/>
          </w:tcPr>
          <w:p w14:paraId="35AAF69D"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386</w:t>
            </w:r>
          </w:p>
        </w:tc>
        <w:tc>
          <w:tcPr>
            <w:tcW w:w="1792" w:type="dxa"/>
            <w:shd w:val="clear" w:color="auto" w:fill="auto"/>
            <w:vAlign w:val="bottom"/>
          </w:tcPr>
          <w:p w14:paraId="7AC3C7CA"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304</w:t>
            </w:r>
          </w:p>
        </w:tc>
        <w:tc>
          <w:tcPr>
            <w:tcW w:w="1762" w:type="dxa"/>
            <w:shd w:val="clear" w:color="auto" w:fill="auto"/>
            <w:vAlign w:val="bottom"/>
          </w:tcPr>
          <w:p w14:paraId="43D479A8"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27</w:t>
            </w:r>
          </w:p>
        </w:tc>
        <w:tc>
          <w:tcPr>
            <w:tcW w:w="1726" w:type="dxa"/>
            <w:shd w:val="clear" w:color="auto" w:fill="auto"/>
            <w:vAlign w:val="bottom"/>
          </w:tcPr>
          <w:p w14:paraId="494C03D0" w14:textId="77777777" w:rsidR="00695E59" w:rsidRPr="000601B4" w:rsidRDefault="00695E59" w:rsidP="000601B4">
            <w:pPr>
              <w:pStyle w:val="SingleTxtG"/>
              <w:tabs>
                <w:tab w:val="clear" w:pos="1701"/>
                <w:tab w:val="clear" w:pos="2268"/>
              </w:tabs>
              <w:suppressAutoHyphens w:val="0"/>
              <w:spacing w:before="40" w:after="40" w:line="220" w:lineRule="exact"/>
              <w:ind w:left="0" w:right="113"/>
              <w:jc w:val="right"/>
              <w:rPr>
                <w:sz w:val="18"/>
                <w:lang w:bidi="th-TH"/>
              </w:rPr>
            </w:pPr>
            <w:r w:rsidRPr="000601B4">
              <w:rPr>
                <w:sz w:val="18"/>
                <w:lang w:bidi="th-TH"/>
              </w:rPr>
              <w:t>55</w:t>
            </w:r>
          </w:p>
        </w:tc>
      </w:tr>
    </w:tbl>
    <w:p w14:paraId="6AF9CA5F" w14:textId="7CF895BC" w:rsidR="00695E59" w:rsidRPr="000601B4" w:rsidRDefault="00695E59" w:rsidP="000601B4">
      <w:pPr>
        <w:pStyle w:val="H23G"/>
      </w:pPr>
      <w:r w:rsidRPr="00671D9E">
        <w:rPr>
          <w:lang w:bidi="th-TH"/>
        </w:rPr>
        <w:lastRenderedPageBreak/>
        <w:tab/>
      </w:r>
      <w:r w:rsidRPr="00671D9E">
        <w:rPr>
          <w:lang w:bidi="th-TH"/>
        </w:rPr>
        <w:tab/>
      </w:r>
      <w:r w:rsidR="000601B4" w:rsidRPr="00AA6F00">
        <w:rPr>
          <w:b w:val="0"/>
          <w:bCs/>
          <w:lang w:bidi="th-TH"/>
        </w:rPr>
        <w:t>Table 9</w:t>
      </w:r>
      <w:r w:rsidR="00AA6F00" w:rsidRPr="00AA6F00">
        <w:rPr>
          <w:b w:val="0"/>
          <w:bCs/>
          <w:lang w:bidi="th-TH"/>
        </w:rPr>
        <w:br/>
      </w:r>
      <w:r w:rsidR="000601B4" w:rsidRPr="000601B4">
        <w:rPr>
          <w:lang w:bidi="th-TH"/>
        </w:rPr>
        <w:t>Severity of imprisonment imposed on those convicted in human trafficking cases (as of 25 May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13"/>
        <w:gridCol w:w="1369"/>
        <w:gridCol w:w="958"/>
        <w:gridCol w:w="1031"/>
        <w:gridCol w:w="1031"/>
        <w:gridCol w:w="984"/>
        <w:gridCol w:w="984"/>
      </w:tblGrid>
      <w:tr w:rsidR="00695E59" w:rsidRPr="00AA6F00" w14:paraId="33B6A143" w14:textId="77777777" w:rsidTr="00AA6F00">
        <w:trPr>
          <w:tblHeader/>
        </w:trPr>
        <w:tc>
          <w:tcPr>
            <w:tcW w:w="1121" w:type="dxa"/>
            <w:tcBorders>
              <w:top w:val="single" w:sz="4" w:space="0" w:color="auto"/>
              <w:bottom w:val="single" w:sz="12" w:space="0" w:color="auto"/>
            </w:tcBorders>
            <w:shd w:val="clear" w:color="auto" w:fill="auto"/>
            <w:vAlign w:val="bottom"/>
          </w:tcPr>
          <w:p w14:paraId="0BD59474" w14:textId="77777777" w:rsidR="00695E59" w:rsidRPr="00AA6F00" w:rsidRDefault="00695E59" w:rsidP="00AA6F00">
            <w:pPr>
              <w:pStyle w:val="SingleTxtG"/>
              <w:tabs>
                <w:tab w:val="clear" w:pos="1701"/>
                <w:tab w:val="clear" w:pos="2268"/>
              </w:tabs>
              <w:suppressAutoHyphens w:val="0"/>
              <w:spacing w:before="80" w:after="80" w:line="200" w:lineRule="exact"/>
              <w:ind w:left="0" w:right="113"/>
              <w:jc w:val="left"/>
              <w:rPr>
                <w:i/>
                <w:sz w:val="16"/>
                <w:lang w:bidi="th-TH"/>
              </w:rPr>
            </w:pPr>
            <w:r w:rsidRPr="00AA6F00">
              <w:rPr>
                <w:i/>
                <w:sz w:val="16"/>
                <w:lang w:bidi="th-TH"/>
              </w:rPr>
              <w:t>Year</w:t>
            </w:r>
          </w:p>
        </w:tc>
        <w:tc>
          <w:tcPr>
            <w:tcW w:w="1515" w:type="dxa"/>
            <w:tcBorders>
              <w:top w:val="single" w:sz="4" w:space="0" w:color="auto"/>
              <w:bottom w:val="single" w:sz="12" w:space="0" w:color="auto"/>
            </w:tcBorders>
            <w:shd w:val="clear" w:color="auto" w:fill="auto"/>
            <w:vAlign w:val="bottom"/>
          </w:tcPr>
          <w:p w14:paraId="1BACD606" w14:textId="77777777" w:rsidR="00695E59" w:rsidRPr="00AA6F00" w:rsidRDefault="00695E59" w:rsidP="00AA6F00">
            <w:pPr>
              <w:pStyle w:val="SingleTxtG"/>
              <w:tabs>
                <w:tab w:val="clear" w:pos="1701"/>
                <w:tab w:val="clear" w:pos="2268"/>
              </w:tabs>
              <w:suppressAutoHyphens w:val="0"/>
              <w:spacing w:before="80" w:after="80" w:line="200" w:lineRule="exact"/>
              <w:ind w:left="0" w:right="113"/>
              <w:jc w:val="right"/>
              <w:rPr>
                <w:i/>
                <w:sz w:val="16"/>
                <w:lang w:bidi="th-TH"/>
              </w:rPr>
            </w:pPr>
            <w:r w:rsidRPr="00AA6F00">
              <w:rPr>
                <w:i/>
                <w:sz w:val="16"/>
                <w:lang w:bidi="th-TH"/>
              </w:rPr>
              <w:t xml:space="preserve">Number of convicted </w:t>
            </w:r>
          </w:p>
        </w:tc>
        <w:tc>
          <w:tcPr>
            <w:tcW w:w="1060" w:type="dxa"/>
            <w:tcBorders>
              <w:top w:val="single" w:sz="4" w:space="0" w:color="auto"/>
              <w:bottom w:val="single" w:sz="12" w:space="0" w:color="auto"/>
            </w:tcBorders>
            <w:shd w:val="clear" w:color="auto" w:fill="auto"/>
            <w:vAlign w:val="bottom"/>
          </w:tcPr>
          <w:p w14:paraId="509B5A47" w14:textId="77777777" w:rsidR="00695E59" w:rsidRPr="00AA6F00" w:rsidRDefault="00695E59" w:rsidP="00AA6F00">
            <w:pPr>
              <w:pStyle w:val="SingleTxtG"/>
              <w:tabs>
                <w:tab w:val="clear" w:pos="1701"/>
                <w:tab w:val="clear" w:pos="2268"/>
              </w:tabs>
              <w:suppressAutoHyphens w:val="0"/>
              <w:spacing w:before="80" w:after="80" w:line="200" w:lineRule="exact"/>
              <w:ind w:left="0" w:right="113"/>
              <w:jc w:val="right"/>
              <w:rPr>
                <w:i/>
                <w:sz w:val="16"/>
                <w:lang w:bidi="th-TH"/>
              </w:rPr>
            </w:pPr>
            <w:r w:rsidRPr="00AA6F00">
              <w:rPr>
                <w:i/>
                <w:sz w:val="16"/>
                <w:lang w:bidi="th-TH"/>
              </w:rPr>
              <w:t>&lt; 1 year</w:t>
            </w:r>
          </w:p>
        </w:tc>
        <w:tc>
          <w:tcPr>
            <w:tcW w:w="1141" w:type="dxa"/>
            <w:tcBorders>
              <w:top w:val="single" w:sz="4" w:space="0" w:color="auto"/>
              <w:bottom w:val="single" w:sz="12" w:space="0" w:color="auto"/>
            </w:tcBorders>
            <w:shd w:val="clear" w:color="auto" w:fill="auto"/>
            <w:vAlign w:val="bottom"/>
          </w:tcPr>
          <w:p w14:paraId="72E3352D" w14:textId="66AB2F28" w:rsidR="00695E59" w:rsidRPr="00AA6F00" w:rsidRDefault="00695E59" w:rsidP="00AA6F00">
            <w:pPr>
              <w:pStyle w:val="SingleTxtG"/>
              <w:tabs>
                <w:tab w:val="clear" w:pos="1701"/>
                <w:tab w:val="clear" w:pos="2268"/>
              </w:tabs>
              <w:suppressAutoHyphens w:val="0"/>
              <w:spacing w:before="80" w:after="80" w:line="200" w:lineRule="exact"/>
              <w:ind w:left="0" w:right="113"/>
              <w:jc w:val="right"/>
              <w:rPr>
                <w:i/>
                <w:sz w:val="16"/>
                <w:lang w:bidi="th-TH"/>
              </w:rPr>
            </w:pPr>
            <w:r w:rsidRPr="00AA6F00">
              <w:rPr>
                <w:i/>
                <w:sz w:val="16"/>
                <w:lang w:bidi="th-TH"/>
              </w:rPr>
              <w:t>1</w:t>
            </w:r>
            <w:r w:rsidR="00AA6F00">
              <w:rPr>
                <w:i/>
                <w:sz w:val="16"/>
                <w:lang w:bidi="th-TH"/>
              </w:rPr>
              <w:t>–</w:t>
            </w:r>
            <w:r w:rsidRPr="00AA6F00">
              <w:rPr>
                <w:i/>
                <w:sz w:val="16"/>
                <w:lang w:bidi="th-TH"/>
              </w:rPr>
              <w:t>2 years</w:t>
            </w:r>
          </w:p>
        </w:tc>
        <w:tc>
          <w:tcPr>
            <w:tcW w:w="1141" w:type="dxa"/>
            <w:tcBorders>
              <w:top w:val="single" w:sz="4" w:space="0" w:color="auto"/>
              <w:bottom w:val="single" w:sz="12" w:space="0" w:color="auto"/>
            </w:tcBorders>
            <w:shd w:val="clear" w:color="auto" w:fill="auto"/>
            <w:vAlign w:val="bottom"/>
          </w:tcPr>
          <w:p w14:paraId="117BE1F5" w14:textId="50AA98CE" w:rsidR="00695E59" w:rsidRPr="00AA6F00" w:rsidRDefault="00695E59" w:rsidP="00AA6F00">
            <w:pPr>
              <w:pStyle w:val="SingleTxtG"/>
              <w:tabs>
                <w:tab w:val="clear" w:pos="1701"/>
                <w:tab w:val="clear" w:pos="2268"/>
              </w:tabs>
              <w:suppressAutoHyphens w:val="0"/>
              <w:spacing w:before="80" w:after="80" w:line="200" w:lineRule="exact"/>
              <w:ind w:left="0" w:right="113"/>
              <w:jc w:val="right"/>
              <w:rPr>
                <w:i/>
                <w:sz w:val="16"/>
                <w:lang w:bidi="th-TH"/>
              </w:rPr>
            </w:pPr>
            <w:r w:rsidRPr="00AA6F00">
              <w:rPr>
                <w:i/>
                <w:sz w:val="16"/>
                <w:lang w:bidi="th-TH"/>
              </w:rPr>
              <w:t>2</w:t>
            </w:r>
            <w:r w:rsidR="00AA6F00">
              <w:rPr>
                <w:i/>
                <w:sz w:val="16"/>
                <w:lang w:bidi="th-TH"/>
              </w:rPr>
              <w:t>–</w:t>
            </w:r>
            <w:r w:rsidRPr="00AA6F00">
              <w:rPr>
                <w:i/>
                <w:sz w:val="16"/>
                <w:lang w:bidi="th-TH"/>
              </w:rPr>
              <w:t>5 years</w:t>
            </w:r>
          </w:p>
        </w:tc>
        <w:tc>
          <w:tcPr>
            <w:tcW w:w="1088" w:type="dxa"/>
            <w:tcBorders>
              <w:top w:val="single" w:sz="4" w:space="0" w:color="auto"/>
              <w:bottom w:val="single" w:sz="12" w:space="0" w:color="auto"/>
            </w:tcBorders>
            <w:shd w:val="clear" w:color="auto" w:fill="auto"/>
            <w:vAlign w:val="bottom"/>
          </w:tcPr>
          <w:p w14:paraId="589828FA" w14:textId="2A47EE94" w:rsidR="00695E59" w:rsidRPr="00AA6F00" w:rsidRDefault="00695E59" w:rsidP="00AA6F00">
            <w:pPr>
              <w:pStyle w:val="SingleTxtG"/>
              <w:tabs>
                <w:tab w:val="clear" w:pos="1701"/>
                <w:tab w:val="clear" w:pos="2268"/>
              </w:tabs>
              <w:suppressAutoHyphens w:val="0"/>
              <w:spacing w:before="80" w:after="80" w:line="200" w:lineRule="exact"/>
              <w:ind w:left="0" w:right="113"/>
              <w:jc w:val="right"/>
              <w:rPr>
                <w:i/>
                <w:sz w:val="16"/>
                <w:lang w:bidi="th-TH"/>
              </w:rPr>
            </w:pPr>
            <w:r w:rsidRPr="00AA6F00">
              <w:rPr>
                <w:i/>
                <w:sz w:val="16"/>
                <w:lang w:bidi="th-TH"/>
              </w:rPr>
              <w:t>5</w:t>
            </w:r>
            <w:r w:rsidR="00AA6F00">
              <w:rPr>
                <w:i/>
                <w:sz w:val="16"/>
                <w:lang w:bidi="th-TH"/>
              </w:rPr>
              <w:t>–</w:t>
            </w:r>
            <w:r w:rsidRPr="00AA6F00">
              <w:rPr>
                <w:i/>
                <w:sz w:val="16"/>
                <w:lang w:bidi="th-TH"/>
              </w:rPr>
              <w:t>10 years</w:t>
            </w:r>
          </w:p>
        </w:tc>
        <w:tc>
          <w:tcPr>
            <w:tcW w:w="1088" w:type="dxa"/>
            <w:tcBorders>
              <w:top w:val="single" w:sz="4" w:space="0" w:color="auto"/>
              <w:bottom w:val="single" w:sz="12" w:space="0" w:color="auto"/>
            </w:tcBorders>
            <w:shd w:val="clear" w:color="auto" w:fill="auto"/>
            <w:vAlign w:val="bottom"/>
          </w:tcPr>
          <w:p w14:paraId="6068E8C4" w14:textId="77777777" w:rsidR="00695E59" w:rsidRPr="00AA6F00" w:rsidRDefault="00695E59" w:rsidP="00AA6F00">
            <w:pPr>
              <w:pStyle w:val="SingleTxtG"/>
              <w:tabs>
                <w:tab w:val="clear" w:pos="1701"/>
                <w:tab w:val="clear" w:pos="2268"/>
              </w:tabs>
              <w:suppressAutoHyphens w:val="0"/>
              <w:spacing w:before="80" w:after="80" w:line="200" w:lineRule="exact"/>
              <w:ind w:left="0" w:right="113"/>
              <w:jc w:val="right"/>
              <w:rPr>
                <w:i/>
                <w:sz w:val="16"/>
                <w:lang w:bidi="th-TH"/>
              </w:rPr>
            </w:pPr>
            <w:r w:rsidRPr="00AA6F00">
              <w:rPr>
                <w:i/>
                <w:sz w:val="16"/>
                <w:lang w:bidi="th-TH"/>
              </w:rPr>
              <w:t>&gt; 10 years</w:t>
            </w:r>
          </w:p>
        </w:tc>
      </w:tr>
      <w:tr w:rsidR="00695E59" w:rsidRPr="00AA6F00" w14:paraId="0731B842" w14:textId="77777777" w:rsidTr="00AA6F00">
        <w:tc>
          <w:tcPr>
            <w:tcW w:w="1121" w:type="dxa"/>
            <w:tcBorders>
              <w:top w:val="single" w:sz="12" w:space="0" w:color="auto"/>
            </w:tcBorders>
            <w:shd w:val="clear" w:color="auto" w:fill="auto"/>
          </w:tcPr>
          <w:p w14:paraId="00555D10"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left"/>
              <w:rPr>
                <w:sz w:val="18"/>
                <w:lang w:bidi="th-TH"/>
              </w:rPr>
            </w:pPr>
            <w:r w:rsidRPr="00AA6F00">
              <w:rPr>
                <w:sz w:val="18"/>
                <w:lang w:bidi="th-TH"/>
              </w:rPr>
              <w:t>2015</w:t>
            </w:r>
          </w:p>
        </w:tc>
        <w:tc>
          <w:tcPr>
            <w:tcW w:w="1515" w:type="dxa"/>
            <w:tcBorders>
              <w:top w:val="single" w:sz="12" w:space="0" w:color="auto"/>
            </w:tcBorders>
            <w:shd w:val="clear" w:color="auto" w:fill="auto"/>
            <w:vAlign w:val="bottom"/>
          </w:tcPr>
          <w:p w14:paraId="65DFDA7E"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244</w:t>
            </w:r>
          </w:p>
        </w:tc>
        <w:tc>
          <w:tcPr>
            <w:tcW w:w="1060" w:type="dxa"/>
            <w:tcBorders>
              <w:top w:val="single" w:sz="12" w:space="0" w:color="auto"/>
            </w:tcBorders>
            <w:shd w:val="clear" w:color="auto" w:fill="auto"/>
            <w:vAlign w:val="bottom"/>
          </w:tcPr>
          <w:p w14:paraId="57CE1001"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10</w:t>
            </w:r>
          </w:p>
        </w:tc>
        <w:tc>
          <w:tcPr>
            <w:tcW w:w="1141" w:type="dxa"/>
            <w:tcBorders>
              <w:top w:val="single" w:sz="12" w:space="0" w:color="auto"/>
            </w:tcBorders>
            <w:shd w:val="clear" w:color="auto" w:fill="auto"/>
            <w:vAlign w:val="bottom"/>
          </w:tcPr>
          <w:p w14:paraId="1748E4BC"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7</w:t>
            </w:r>
          </w:p>
        </w:tc>
        <w:tc>
          <w:tcPr>
            <w:tcW w:w="1141" w:type="dxa"/>
            <w:tcBorders>
              <w:top w:val="single" w:sz="12" w:space="0" w:color="auto"/>
            </w:tcBorders>
            <w:shd w:val="clear" w:color="auto" w:fill="auto"/>
            <w:vAlign w:val="bottom"/>
          </w:tcPr>
          <w:p w14:paraId="627BC920"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74</w:t>
            </w:r>
          </w:p>
        </w:tc>
        <w:tc>
          <w:tcPr>
            <w:tcW w:w="1088" w:type="dxa"/>
            <w:tcBorders>
              <w:top w:val="single" w:sz="12" w:space="0" w:color="auto"/>
            </w:tcBorders>
            <w:shd w:val="clear" w:color="auto" w:fill="auto"/>
            <w:vAlign w:val="bottom"/>
          </w:tcPr>
          <w:p w14:paraId="41DFBFBE"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73</w:t>
            </w:r>
          </w:p>
        </w:tc>
        <w:tc>
          <w:tcPr>
            <w:tcW w:w="1088" w:type="dxa"/>
            <w:tcBorders>
              <w:top w:val="single" w:sz="12" w:space="0" w:color="auto"/>
            </w:tcBorders>
            <w:shd w:val="clear" w:color="auto" w:fill="auto"/>
            <w:vAlign w:val="bottom"/>
          </w:tcPr>
          <w:p w14:paraId="3FCBC42D"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80</w:t>
            </w:r>
          </w:p>
        </w:tc>
      </w:tr>
      <w:tr w:rsidR="00695E59" w:rsidRPr="00AA6F00" w14:paraId="055BE756" w14:textId="77777777" w:rsidTr="00AA6F00">
        <w:tc>
          <w:tcPr>
            <w:tcW w:w="1121" w:type="dxa"/>
            <w:shd w:val="clear" w:color="auto" w:fill="auto"/>
          </w:tcPr>
          <w:p w14:paraId="19768183"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left"/>
              <w:rPr>
                <w:sz w:val="18"/>
                <w:lang w:bidi="th-TH"/>
              </w:rPr>
            </w:pPr>
            <w:r w:rsidRPr="00AA6F00">
              <w:rPr>
                <w:sz w:val="18"/>
                <w:lang w:bidi="th-TH"/>
              </w:rPr>
              <w:t>2016</w:t>
            </w:r>
          </w:p>
        </w:tc>
        <w:tc>
          <w:tcPr>
            <w:tcW w:w="1515" w:type="dxa"/>
            <w:shd w:val="clear" w:color="auto" w:fill="auto"/>
            <w:vAlign w:val="bottom"/>
          </w:tcPr>
          <w:p w14:paraId="725347A4"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310</w:t>
            </w:r>
          </w:p>
        </w:tc>
        <w:tc>
          <w:tcPr>
            <w:tcW w:w="1060" w:type="dxa"/>
            <w:shd w:val="clear" w:color="auto" w:fill="auto"/>
            <w:vAlign w:val="bottom"/>
          </w:tcPr>
          <w:p w14:paraId="7FF06299"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18</w:t>
            </w:r>
          </w:p>
        </w:tc>
        <w:tc>
          <w:tcPr>
            <w:tcW w:w="1141" w:type="dxa"/>
            <w:shd w:val="clear" w:color="auto" w:fill="auto"/>
            <w:vAlign w:val="bottom"/>
          </w:tcPr>
          <w:p w14:paraId="440389E2"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8</w:t>
            </w:r>
          </w:p>
        </w:tc>
        <w:tc>
          <w:tcPr>
            <w:tcW w:w="1141" w:type="dxa"/>
            <w:shd w:val="clear" w:color="auto" w:fill="auto"/>
            <w:vAlign w:val="bottom"/>
          </w:tcPr>
          <w:p w14:paraId="56CD7825"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100</w:t>
            </w:r>
          </w:p>
        </w:tc>
        <w:tc>
          <w:tcPr>
            <w:tcW w:w="1088" w:type="dxa"/>
            <w:shd w:val="clear" w:color="auto" w:fill="auto"/>
            <w:vAlign w:val="bottom"/>
          </w:tcPr>
          <w:p w14:paraId="23870380"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117</w:t>
            </w:r>
          </w:p>
        </w:tc>
        <w:tc>
          <w:tcPr>
            <w:tcW w:w="1088" w:type="dxa"/>
            <w:shd w:val="clear" w:color="auto" w:fill="auto"/>
            <w:vAlign w:val="bottom"/>
          </w:tcPr>
          <w:p w14:paraId="0D9E1A19"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67</w:t>
            </w:r>
          </w:p>
        </w:tc>
      </w:tr>
      <w:tr w:rsidR="00695E59" w:rsidRPr="00AA6F00" w14:paraId="21D8209F" w14:textId="77777777" w:rsidTr="00AA6F00">
        <w:tc>
          <w:tcPr>
            <w:tcW w:w="1121" w:type="dxa"/>
            <w:shd w:val="clear" w:color="auto" w:fill="auto"/>
          </w:tcPr>
          <w:p w14:paraId="31C66ED6"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left"/>
              <w:rPr>
                <w:sz w:val="18"/>
                <w:lang w:bidi="th-TH"/>
              </w:rPr>
            </w:pPr>
            <w:r w:rsidRPr="00AA6F00">
              <w:rPr>
                <w:sz w:val="18"/>
                <w:lang w:bidi="th-TH"/>
              </w:rPr>
              <w:t>2017</w:t>
            </w:r>
          </w:p>
        </w:tc>
        <w:tc>
          <w:tcPr>
            <w:tcW w:w="1515" w:type="dxa"/>
            <w:shd w:val="clear" w:color="auto" w:fill="auto"/>
            <w:vAlign w:val="bottom"/>
          </w:tcPr>
          <w:p w14:paraId="2496E21C"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377</w:t>
            </w:r>
          </w:p>
        </w:tc>
        <w:tc>
          <w:tcPr>
            <w:tcW w:w="1060" w:type="dxa"/>
            <w:shd w:val="clear" w:color="auto" w:fill="auto"/>
            <w:vAlign w:val="bottom"/>
          </w:tcPr>
          <w:p w14:paraId="4B6D01E5"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9</w:t>
            </w:r>
          </w:p>
        </w:tc>
        <w:tc>
          <w:tcPr>
            <w:tcW w:w="1141" w:type="dxa"/>
            <w:shd w:val="clear" w:color="auto" w:fill="auto"/>
            <w:vAlign w:val="bottom"/>
          </w:tcPr>
          <w:p w14:paraId="2FEE9119"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10</w:t>
            </w:r>
          </w:p>
        </w:tc>
        <w:tc>
          <w:tcPr>
            <w:tcW w:w="1141" w:type="dxa"/>
            <w:shd w:val="clear" w:color="auto" w:fill="auto"/>
            <w:vAlign w:val="bottom"/>
          </w:tcPr>
          <w:p w14:paraId="6E413CED"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109</w:t>
            </w:r>
          </w:p>
        </w:tc>
        <w:tc>
          <w:tcPr>
            <w:tcW w:w="1088" w:type="dxa"/>
            <w:shd w:val="clear" w:color="auto" w:fill="auto"/>
            <w:vAlign w:val="bottom"/>
          </w:tcPr>
          <w:p w14:paraId="57CB4FED"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118</w:t>
            </w:r>
          </w:p>
        </w:tc>
        <w:tc>
          <w:tcPr>
            <w:tcW w:w="1088" w:type="dxa"/>
            <w:shd w:val="clear" w:color="auto" w:fill="auto"/>
            <w:vAlign w:val="bottom"/>
          </w:tcPr>
          <w:p w14:paraId="2DC60C71"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131</w:t>
            </w:r>
          </w:p>
        </w:tc>
      </w:tr>
      <w:tr w:rsidR="00695E59" w:rsidRPr="00AA6F00" w14:paraId="18AF2D57" w14:textId="77777777" w:rsidTr="00AA6F00">
        <w:tc>
          <w:tcPr>
            <w:tcW w:w="1121" w:type="dxa"/>
            <w:shd w:val="clear" w:color="auto" w:fill="auto"/>
          </w:tcPr>
          <w:p w14:paraId="7B6837DE"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left"/>
              <w:rPr>
                <w:sz w:val="18"/>
                <w:lang w:bidi="th-TH"/>
              </w:rPr>
            </w:pPr>
            <w:r w:rsidRPr="00AA6F00">
              <w:rPr>
                <w:sz w:val="18"/>
                <w:lang w:bidi="th-TH"/>
              </w:rPr>
              <w:t>2018</w:t>
            </w:r>
          </w:p>
        </w:tc>
        <w:tc>
          <w:tcPr>
            <w:tcW w:w="1515" w:type="dxa"/>
            <w:shd w:val="clear" w:color="auto" w:fill="auto"/>
            <w:vAlign w:val="bottom"/>
          </w:tcPr>
          <w:p w14:paraId="6834441F"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236</w:t>
            </w:r>
          </w:p>
        </w:tc>
        <w:tc>
          <w:tcPr>
            <w:tcW w:w="1060" w:type="dxa"/>
            <w:shd w:val="clear" w:color="auto" w:fill="auto"/>
            <w:vAlign w:val="bottom"/>
          </w:tcPr>
          <w:p w14:paraId="3826387F"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w:t>
            </w:r>
          </w:p>
        </w:tc>
        <w:tc>
          <w:tcPr>
            <w:tcW w:w="1141" w:type="dxa"/>
            <w:shd w:val="clear" w:color="auto" w:fill="auto"/>
            <w:vAlign w:val="bottom"/>
          </w:tcPr>
          <w:p w14:paraId="2D5234CF"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4</w:t>
            </w:r>
          </w:p>
        </w:tc>
        <w:tc>
          <w:tcPr>
            <w:tcW w:w="1141" w:type="dxa"/>
            <w:shd w:val="clear" w:color="auto" w:fill="auto"/>
            <w:vAlign w:val="bottom"/>
          </w:tcPr>
          <w:p w14:paraId="45C0A66A"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47</w:t>
            </w:r>
          </w:p>
        </w:tc>
        <w:tc>
          <w:tcPr>
            <w:tcW w:w="1088" w:type="dxa"/>
            <w:shd w:val="clear" w:color="auto" w:fill="auto"/>
            <w:vAlign w:val="bottom"/>
          </w:tcPr>
          <w:p w14:paraId="0ABD19B6"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60</w:t>
            </w:r>
          </w:p>
        </w:tc>
        <w:tc>
          <w:tcPr>
            <w:tcW w:w="1088" w:type="dxa"/>
            <w:shd w:val="clear" w:color="auto" w:fill="auto"/>
            <w:vAlign w:val="bottom"/>
          </w:tcPr>
          <w:p w14:paraId="13900F7F"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124</w:t>
            </w:r>
          </w:p>
        </w:tc>
      </w:tr>
      <w:tr w:rsidR="00695E59" w:rsidRPr="00AA6F00" w14:paraId="5CF54A99" w14:textId="77777777" w:rsidTr="00AA6F00">
        <w:tc>
          <w:tcPr>
            <w:tcW w:w="1121" w:type="dxa"/>
            <w:shd w:val="clear" w:color="auto" w:fill="auto"/>
          </w:tcPr>
          <w:p w14:paraId="136B30E9"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left"/>
              <w:rPr>
                <w:sz w:val="18"/>
                <w:lang w:bidi="th-TH"/>
              </w:rPr>
            </w:pPr>
            <w:r w:rsidRPr="00AA6F00">
              <w:rPr>
                <w:sz w:val="18"/>
                <w:lang w:bidi="th-TH"/>
              </w:rPr>
              <w:t>2019</w:t>
            </w:r>
          </w:p>
        </w:tc>
        <w:tc>
          <w:tcPr>
            <w:tcW w:w="1515" w:type="dxa"/>
            <w:shd w:val="clear" w:color="auto" w:fill="auto"/>
            <w:vAlign w:val="bottom"/>
          </w:tcPr>
          <w:p w14:paraId="12400701"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276</w:t>
            </w:r>
          </w:p>
        </w:tc>
        <w:tc>
          <w:tcPr>
            <w:tcW w:w="1060" w:type="dxa"/>
            <w:shd w:val="clear" w:color="auto" w:fill="auto"/>
            <w:vAlign w:val="bottom"/>
          </w:tcPr>
          <w:p w14:paraId="3D597938"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6</w:t>
            </w:r>
          </w:p>
        </w:tc>
        <w:tc>
          <w:tcPr>
            <w:tcW w:w="1141" w:type="dxa"/>
            <w:shd w:val="clear" w:color="auto" w:fill="auto"/>
            <w:vAlign w:val="bottom"/>
          </w:tcPr>
          <w:p w14:paraId="2C8C3A9A"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8</w:t>
            </w:r>
          </w:p>
        </w:tc>
        <w:tc>
          <w:tcPr>
            <w:tcW w:w="1141" w:type="dxa"/>
            <w:shd w:val="clear" w:color="auto" w:fill="auto"/>
            <w:vAlign w:val="bottom"/>
          </w:tcPr>
          <w:p w14:paraId="1AB0F6F2"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38</w:t>
            </w:r>
          </w:p>
        </w:tc>
        <w:tc>
          <w:tcPr>
            <w:tcW w:w="1088" w:type="dxa"/>
            <w:shd w:val="clear" w:color="auto" w:fill="auto"/>
            <w:vAlign w:val="bottom"/>
          </w:tcPr>
          <w:p w14:paraId="11FE62F4"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124</w:t>
            </w:r>
          </w:p>
        </w:tc>
        <w:tc>
          <w:tcPr>
            <w:tcW w:w="1088" w:type="dxa"/>
            <w:shd w:val="clear" w:color="auto" w:fill="auto"/>
            <w:vAlign w:val="bottom"/>
          </w:tcPr>
          <w:p w14:paraId="6726F797" w14:textId="77777777" w:rsidR="00695E59" w:rsidRPr="00AA6F00" w:rsidRDefault="00695E59" w:rsidP="00AA6F00">
            <w:pPr>
              <w:pStyle w:val="SingleTxtG"/>
              <w:tabs>
                <w:tab w:val="clear" w:pos="1701"/>
                <w:tab w:val="clear" w:pos="2268"/>
              </w:tabs>
              <w:suppressAutoHyphens w:val="0"/>
              <w:spacing w:before="40" w:after="40" w:line="220" w:lineRule="exact"/>
              <w:ind w:left="0" w:right="113"/>
              <w:jc w:val="right"/>
              <w:rPr>
                <w:sz w:val="18"/>
                <w:lang w:bidi="th-TH"/>
              </w:rPr>
            </w:pPr>
            <w:r w:rsidRPr="00AA6F00">
              <w:rPr>
                <w:sz w:val="18"/>
                <w:lang w:bidi="th-TH"/>
              </w:rPr>
              <w:t>100</w:t>
            </w:r>
          </w:p>
        </w:tc>
      </w:tr>
    </w:tbl>
    <w:p w14:paraId="493BBB41" w14:textId="61DE5F0E" w:rsidR="00695E59" w:rsidRPr="00AA6F00" w:rsidRDefault="00695E59" w:rsidP="00AA6F00">
      <w:pPr>
        <w:pStyle w:val="H23G"/>
      </w:pPr>
      <w:r w:rsidRPr="00671D9E">
        <w:rPr>
          <w:lang w:bidi="th-TH"/>
        </w:rPr>
        <w:tab/>
      </w:r>
      <w:r w:rsidRPr="00671D9E">
        <w:rPr>
          <w:lang w:bidi="th-TH"/>
        </w:rPr>
        <w:tab/>
      </w:r>
      <w:r w:rsidRPr="00AA6F00">
        <w:rPr>
          <w:b w:val="0"/>
          <w:bCs/>
          <w:lang w:bidi="th-TH"/>
        </w:rPr>
        <w:t>Table 10</w:t>
      </w:r>
      <w:r w:rsidR="00AA6F00" w:rsidRPr="00AA6F00">
        <w:rPr>
          <w:b w:val="0"/>
          <w:bCs/>
          <w:lang w:bidi="th-TH"/>
        </w:rPr>
        <w:br/>
      </w:r>
      <w:r w:rsidRPr="00671D9E">
        <w:rPr>
          <w:lang w:bidi="th-TH"/>
        </w:rPr>
        <w:t xml:space="preserve">Statistics on numbers of pre-trial detainees and convicted prisoners disaggregated by gender in all penitentiaries </w:t>
      </w:r>
      <w:r w:rsidRPr="00671D9E">
        <w:rPr>
          <w:sz w:val="22"/>
          <w:cs/>
          <w:lang w:bidi="th-TH"/>
        </w:rPr>
        <w:t>(</w:t>
      </w:r>
      <w:r w:rsidRPr="00671D9E">
        <w:rPr>
          <w:lang w:bidi="th-TH"/>
        </w:rPr>
        <w:t>As of 20 May 2020</w:t>
      </w:r>
      <w:r w:rsidRPr="00671D9E">
        <w:rPr>
          <w:cs/>
          <w:lang w:bidi="th-T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90"/>
        <w:gridCol w:w="850"/>
        <w:gridCol w:w="775"/>
        <w:gridCol w:w="850"/>
        <w:gridCol w:w="1205"/>
      </w:tblGrid>
      <w:tr w:rsidR="003A13D3" w:rsidRPr="00832348" w14:paraId="2B41CC56" w14:textId="77777777" w:rsidTr="00832348">
        <w:trPr>
          <w:tblHeader/>
        </w:trPr>
        <w:tc>
          <w:tcPr>
            <w:tcW w:w="3690" w:type="dxa"/>
            <w:tcBorders>
              <w:top w:val="single" w:sz="4" w:space="0" w:color="auto"/>
              <w:bottom w:val="single" w:sz="12" w:space="0" w:color="auto"/>
            </w:tcBorders>
            <w:shd w:val="clear" w:color="auto" w:fill="auto"/>
            <w:vAlign w:val="bottom"/>
          </w:tcPr>
          <w:p w14:paraId="138B8721" w14:textId="77777777" w:rsidR="00695E59" w:rsidRPr="00832348" w:rsidRDefault="00695E59" w:rsidP="003A13D3">
            <w:pPr>
              <w:pStyle w:val="SingleTxtG"/>
              <w:tabs>
                <w:tab w:val="clear" w:pos="1701"/>
                <w:tab w:val="clear" w:pos="2268"/>
              </w:tabs>
              <w:suppressAutoHyphens w:val="0"/>
              <w:spacing w:before="80" w:after="80" w:line="200" w:lineRule="exact"/>
              <w:ind w:left="0" w:right="113"/>
              <w:jc w:val="left"/>
              <w:rPr>
                <w:i/>
                <w:sz w:val="16"/>
                <w:szCs w:val="16"/>
              </w:rPr>
            </w:pPr>
            <w:r w:rsidRPr="00832348">
              <w:rPr>
                <w:i/>
                <w:sz w:val="16"/>
                <w:szCs w:val="16"/>
              </w:rPr>
              <w:t>Categories</w:t>
            </w:r>
          </w:p>
        </w:tc>
        <w:tc>
          <w:tcPr>
            <w:tcW w:w="850" w:type="dxa"/>
            <w:tcBorders>
              <w:top w:val="single" w:sz="4" w:space="0" w:color="auto"/>
              <w:bottom w:val="single" w:sz="12" w:space="0" w:color="auto"/>
            </w:tcBorders>
            <w:shd w:val="clear" w:color="auto" w:fill="auto"/>
            <w:vAlign w:val="bottom"/>
          </w:tcPr>
          <w:p w14:paraId="6ACBC0A5" w14:textId="77777777" w:rsidR="00695E59" w:rsidRPr="00832348" w:rsidRDefault="00695E59" w:rsidP="003A13D3">
            <w:pPr>
              <w:pStyle w:val="SingleTxtG"/>
              <w:tabs>
                <w:tab w:val="clear" w:pos="1701"/>
                <w:tab w:val="clear" w:pos="2268"/>
              </w:tabs>
              <w:suppressAutoHyphens w:val="0"/>
              <w:spacing w:before="80" w:after="80" w:line="200" w:lineRule="exact"/>
              <w:ind w:left="0" w:right="113"/>
              <w:jc w:val="right"/>
              <w:rPr>
                <w:i/>
                <w:sz w:val="16"/>
                <w:szCs w:val="16"/>
              </w:rPr>
            </w:pPr>
            <w:r w:rsidRPr="00832348">
              <w:rPr>
                <w:i/>
                <w:sz w:val="16"/>
                <w:szCs w:val="16"/>
              </w:rPr>
              <w:t xml:space="preserve">Male </w:t>
            </w:r>
          </w:p>
        </w:tc>
        <w:tc>
          <w:tcPr>
            <w:tcW w:w="775" w:type="dxa"/>
            <w:tcBorders>
              <w:top w:val="single" w:sz="4" w:space="0" w:color="auto"/>
              <w:bottom w:val="single" w:sz="12" w:space="0" w:color="auto"/>
            </w:tcBorders>
            <w:shd w:val="clear" w:color="auto" w:fill="auto"/>
            <w:vAlign w:val="bottom"/>
          </w:tcPr>
          <w:p w14:paraId="25AA7AF8" w14:textId="77777777" w:rsidR="00695E59" w:rsidRPr="00832348" w:rsidRDefault="00695E59" w:rsidP="003A13D3">
            <w:pPr>
              <w:pStyle w:val="SingleTxtG"/>
              <w:tabs>
                <w:tab w:val="clear" w:pos="1701"/>
                <w:tab w:val="clear" w:pos="2268"/>
              </w:tabs>
              <w:suppressAutoHyphens w:val="0"/>
              <w:spacing w:before="80" w:after="80" w:line="200" w:lineRule="exact"/>
              <w:ind w:left="0" w:right="113"/>
              <w:jc w:val="right"/>
              <w:rPr>
                <w:i/>
                <w:sz w:val="16"/>
                <w:szCs w:val="16"/>
              </w:rPr>
            </w:pPr>
            <w:r w:rsidRPr="00832348">
              <w:rPr>
                <w:i/>
                <w:sz w:val="16"/>
                <w:szCs w:val="16"/>
              </w:rPr>
              <w:t>Female</w:t>
            </w:r>
          </w:p>
        </w:tc>
        <w:tc>
          <w:tcPr>
            <w:tcW w:w="850" w:type="dxa"/>
            <w:tcBorders>
              <w:top w:val="single" w:sz="4" w:space="0" w:color="auto"/>
              <w:bottom w:val="single" w:sz="12" w:space="0" w:color="auto"/>
            </w:tcBorders>
            <w:shd w:val="clear" w:color="auto" w:fill="auto"/>
            <w:vAlign w:val="bottom"/>
          </w:tcPr>
          <w:p w14:paraId="183C4DD8" w14:textId="77777777" w:rsidR="00695E59" w:rsidRPr="00832348" w:rsidRDefault="00695E59" w:rsidP="003A13D3">
            <w:pPr>
              <w:pStyle w:val="SingleTxtG"/>
              <w:tabs>
                <w:tab w:val="clear" w:pos="1701"/>
                <w:tab w:val="clear" w:pos="2268"/>
              </w:tabs>
              <w:suppressAutoHyphens w:val="0"/>
              <w:spacing w:before="80" w:after="80" w:line="200" w:lineRule="exact"/>
              <w:ind w:left="0" w:right="113"/>
              <w:jc w:val="right"/>
              <w:rPr>
                <w:i/>
                <w:sz w:val="16"/>
                <w:szCs w:val="16"/>
              </w:rPr>
            </w:pPr>
            <w:r w:rsidRPr="00832348">
              <w:rPr>
                <w:i/>
                <w:sz w:val="16"/>
                <w:szCs w:val="16"/>
              </w:rPr>
              <w:t>Total</w:t>
            </w:r>
          </w:p>
        </w:tc>
        <w:tc>
          <w:tcPr>
            <w:tcW w:w="1205" w:type="dxa"/>
            <w:tcBorders>
              <w:top w:val="single" w:sz="4" w:space="0" w:color="auto"/>
              <w:bottom w:val="single" w:sz="12" w:space="0" w:color="auto"/>
            </w:tcBorders>
            <w:shd w:val="clear" w:color="auto" w:fill="auto"/>
            <w:vAlign w:val="bottom"/>
          </w:tcPr>
          <w:p w14:paraId="5C831176" w14:textId="77777777" w:rsidR="00695E59" w:rsidRPr="00832348" w:rsidRDefault="00695E59" w:rsidP="003A13D3">
            <w:pPr>
              <w:pStyle w:val="SingleTxtG"/>
              <w:tabs>
                <w:tab w:val="clear" w:pos="1701"/>
                <w:tab w:val="clear" w:pos="2268"/>
              </w:tabs>
              <w:suppressAutoHyphens w:val="0"/>
              <w:spacing w:before="80" w:after="80" w:line="200" w:lineRule="exact"/>
              <w:ind w:left="0" w:right="113"/>
              <w:jc w:val="right"/>
              <w:rPr>
                <w:i/>
                <w:sz w:val="16"/>
                <w:szCs w:val="16"/>
              </w:rPr>
            </w:pPr>
            <w:r w:rsidRPr="00832348">
              <w:rPr>
                <w:i/>
                <w:sz w:val="16"/>
                <w:szCs w:val="16"/>
              </w:rPr>
              <w:t xml:space="preserve">Percent </w:t>
            </w:r>
            <w:r w:rsidRPr="00832348">
              <w:rPr>
                <w:i/>
                <w:sz w:val="16"/>
                <w:szCs w:val="16"/>
                <w:cs/>
              </w:rPr>
              <w:t>(%)</w:t>
            </w:r>
          </w:p>
        </w:tc>
      </w:tr>
      <w:tr w:rsidR="00695E59" w:rsidRPr="00832348" w14:paraId="0296B077" w14:textId="77777777" w:rsidTr="00832348">
        <w:tc>
          <w:tcPr>
            <w:tcW w:w="3690" w:type="dxa"/>
            <w:shd w:val="clear" w:color="auto" w:fill="auto"/>
          </w:tcPr>
          <w:p w14:paraId="4FD5EB77"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1. Convicted Prisoners</w:t>
            </w:r>
          </w:p>
        </w:tc>
        <w:tc>
          <w:tcPr>
            <w:tcW w:w="850" w:type="dxa"/>
            <w:shd w:val="clear" w:color="auto" w:fill="auto"/>
            <w:vAlign w:val="bottom"/>
          </w:tcPr>
          <w:p w14:paraId="5CB70873" w14:textId="1B9EEFBA"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cs/>
              </w:rPr>
            </w:pPr>
            <w:r w:rsidRPr="00832348">
              <w:rPr>
                <w:sz w:val="18"/>
                <w:szCs w:val="18"/>
                <w:cs/>
              </w:rPr>
              <w:t>271</w:t>
            </w:r>
            <w:r w:rsidR="003A13D3" w:rsidRPr="00832348">
              <w:rPr>
                <w:sz w:val="18"/>
                <w:szCs w:val="18"/>
              </w:rPr>
              <w:t xml:space="preserve"> </w:t>
            </w:r>
            <w:r w:rsidRPr="00832348">
              <w:rPr>
                <w:sz w:val="18"/>
                <w:szCs w:val="18"/>
                <w:cs/>
              </w:rPr>
              <w:t>384</w:t>
            </w:r>
          </w:p>
        </w:tc>
        <w:tc>
          <w:tcPr>
            <w:tcW w:w="775" w:type="dxa"/>
            <w:shd w:val="clear" w:color="auto" w:fill="auto"/>
            <w:vAlign w:val="bottom"/>
          </w:tcPr>
          <w:p w14:paraId="74CC03E8" w14:textId="57A6975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cs/>
              </w:rPr>
            </w:pPr>
            <w:r w:rsidRPr="00832348">
              <w:rPr>
                <w:sz w:val="18"/>
                <w:szCs w:val="18"/>
                <w:cs/>
              </w:rPr>
              <w:t>40</w:t>
            </w:r>
            <w:r w:rsidR="003A13D3" w:rsidRPr="00832348">
              <w:rPr>
                <w:sz w:val="18"/>
                <w:szCs w:val="18"/>
              </w:rPr>
              <w:t xml:space="preserve"> </w:t>
            </w:r>
            <w:r w:rsidRPr="00832348">
              <w:rPr>
                <w:sz w:val="18"/>
                <w:szCs w:val="18"/>
                <w:cs/>
              </w:rPr>
              <w:t>141</w:t>
            </w:r>
          </w:p>
        </w:tc>
        <w:tc>
          <w:tcPr>
            <w:tcW w:w="850" w:type="dxa"/>
            <w:shd w:val="clear" w:color="auto" w:fill="auto"/>
            <w:vAlign w:val="bottom"/>
          </w:tcPr>
          <w:p w14:paraId="51BEDD35" w14:textId="4259BA4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cs/>
              </w:rPr>
            </w:pPr>
            <w:r w:rsidRPr="00832348">
              <w:rPr>
                <w:sz w:val="18"/>
                <w:szCs w:val="18"/>
                <w:cs/>
              </w:rPr>
              <w:t>311</w:t>
            </w:r>
            <w:r w:rsidR="003A13D3" w:rsidRPr="00832348">
              <w:rPr>
                <w:sz w:val="18"/>
                <w:szCs w:val="18"/>
              </w:rPr>
              <w:t xml:space="preserve"> </w:t>
            </w:r>
            <w:r w:rsidRPr="00832348">
              <w:rPr>
                <w:sz w:val="18"/>
                <w:szCs w:val="18"/>
                <w:cs/>
              </w:rPr>
              <w:t>525</w:t>
            </w:r>
          </w:p>
        </w:tc>
        <w:tc>
          <w:tcPr>
            <w:tcW w:w="1205" w:type="dxa"/>
            <w:shd w:val="clear" w:color="auto" w:fill="auto"/>
            <w:vAlign w:val="bottom"/>
          </w:tcPr>
          <w:p w14:paraId="223912E5"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82.291</w:t>
            </w:r>
            <w:r w:rsidRPr="00832348">
              <w:rPr>
                <w:sz w:val="18"/>
                <w:szCs w:val="18"/>
                <w:cs/>
              </w:rPr>
              <w:t>6</w:t>
            </w:r>
          </w:p>
        </w:tc>
      </w:tr>
      <w:tr w:rsidR="00695E59" w:rsidRPr="00832348" w14:paraId="6D5E7AB9" w14:textId="77777777" w:rsidTr="00832348">
        <w:tc>
          <w:tcPr>
            <w:tcW w:w="3690" w:type="dxa"/>
            <w:shd w:val="clear" w:color="auto" w:fill="auto"/>
          </w:tcPr>
          <w:p w14:paraId="69FC6D77"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2. Prisoners on Remand</w:t>
            </w:r>
          </w:p>
        </w:tc>
        <w:tc>
          <w:tcPr>
            <w:tcW w:w="850" w:type="dxa"/>
            <w:shd w:val="clear" w:color="auto" w:fill="auto"/>
            <w:vAlign w:val="bottom"/>
          </w:tcPr>
          <w:p w14:paraId="14005CD4" w14:textId="0BB00F26"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55</w:t>
            </w:r>
            <w:r w:rsidR="003A13D3" w:rsidRPr="00832348">
              <w:rPr>
                <w:sz w:val="18"/>
                <w:szCs w:val="18"/>
              </w:rPr>
              <w:t xml:space="preserve"> </w:t>
            </w:r>
            <w:r w:rsidRPr="00832348">
              <w:rPr>
                <w:sz w:val="18"/>
                <w:szCs w:val="18"/>
              </w:rPr>
              <w:t>822</w:t>
            </w:r>
          </w:p>
        </w:tc>
        <w:tc>
          <w:tcPr>
            <w:tcW w:w="775" w:type="dxa"/>
            <w:shd w:val="clear" w:color="auto" w:fill="auto"/>
            <w:vAlign w:val="bottom"/>
          </w:tcPr>
          <w:p w14:paraId="6CF5FF63" w14:textId="050D541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7</w:t>
            </w:r>
            <w:r w:rsidR="003A13D3" w:rsidRPr="00832348">
              <w:rPr>
                <w:sz w:val="18"/>
                <w:szCs w:val="18"/>
              </w:rPr>
              <w:t xml:space="preserve"> </w:t>
            </w:r>
            <w:r w:rsidRPr="00832348">
              <w:rPr>
                <w:sz w:val="18"/>
                <w:szCs w:val="18"/>
              </w:rPr>
              <w:t>550</w:t>
            </w:r>
          </w:p>
        </w:tc>
        <w:tc>
          <w:tcPr>
            <w:tcW w:w="850" w:type="dxa"/>
            <w:shd w:val="clear" w:color="auto" w:fill="auto"/>
            <w:vAlign w:val="bottom"/>
          </w:tcPr>
          <w:p w14:paraId="34537905" w14:textId="512E149A"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cs/>
              </w:rPr>
            </w:pPr>
            <w:r w:rsidRPr="00832348">
              <w:rPr>
                <w:sz w:val="18"/>
                <w:szCs w:val="18"/>
                <w:cs/>
              </w:rPr>
              <w:t>63</w:t>
            </w:r>
            <w:r w:rsidR="003A13D3" w:rsidRPr="00832348">
              <w:rPr>
                <w:sz w:val="18"/>
                <w:szCs w:val="18"/>
              </w:rPr>
              <w:t xml:space="preserve"> </w:t>
            </w:r>
            <w:r w:rsidRPr="00832348">
              <w:rPr>
                <w:sz w:val="18"/>
                <w:szCs w:val="18"/>
                <w:cs/>
              </w:rPr>
              <w:t>372</w:t>
            </w:r>
          </w:p>
        </w:tc>
        <w:tc>
          <w:tcPr>
            <w:tcW w:w="1205" w:type="dxa"/>
            <w:shd w:val="clear" w:color="auto" w:fill="auto"/>
            <w:vAlign w:val="bottom"/>
          </w:tcPr>
          <w:p w14:paraId="015678A1"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16.740</w:t>
            </w:r>
            <w:r w:rsidRPr="00832348">
              <w:rPr>
                <w:sz w:val="18"/>
                <w:szCs w:val="18"/>
                <w:cs/>
              </w:rPr>
              <w:t>1</w:t>
            </w:r>
          </w:p>
        </w:tc>
      </w:tr>
      <w:tr w:rsidR="00695E59" w:rsidRPr="00832348" w14:paraId="377187FD" w14:textId="77777777" w:rsidTr="00832348">
        <w:tc>
          <w:tcPr>
            <w:tcW w:w="3690" w:type="dxa"/>
            <w:shd w:val="clear" w:color="auto" w:fill="auto"/>
          </w:tcPr>
          <w:p w14:paraId="5C96FAED"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2.1</w:t>
            </w:r>
            <w:r w:rsidRPr="00832348">
              <w:rPr>
                <w:sz w:val="18"/>
                <w:szCs w:val="18"/>
                <w:cs/>
              </w:rPr>
              <w:t xml:space="preserve"> </w:t>
            </w:r>
            <w:r w:rsidRPr="00832348">
              <w:rPr>
                <w:sz w:val="18"/>
                <w:szCs w:val="18"/>
              </w:rPr>
              <w:t>Appeal</w:t>
            </w:r>
            <w:r w:rsidRPr="00832348">
              <w:rPr>
                <w:sz w:val="18"/>
                <w:szCs w:val="18"/>
                <w:cs/>
              </w:rPr>
              <w:t>-</w:t>
            </w:r>
            <w:r w:rsidRPr="00832348">
              <w:rPr>
                <w:sz w:val="18"/>
                <w:szCs w:val="18"/>
              </w:rPr>
              <w:t>Final stage</w:t>
            </w:r>
          </w:p>
        </w:tc>
        <w:tc>
          <w:tcPr>
            <w:tcW w:w="850" w:type="dxa"/>
            <w:shd w:val="clear" w:color="auto" w:fill="auto"/>
            <w:vAlign w:val="bottom"/>
          </w:tcPr>
          <w:p w14:paraId="272534E2" w14:textId="794F4996"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27</w:t>
            </w:r>
            <w:r w:rsidR="003A13D3" w:rsidRPr="00832348">
              <w:rPr>
                <w:sz w:val="18"/>
                <w:szCs w:val="18"/>
              </w:rPr>
              <w:t xml:space="preserve"> </w:t>
            </w:r>
            <w:r w:rsidRPr="00832348">
              <w:rPr>
                <w:sz w:val="18"/>
                <w:szCs w:val="18"/>
              </w:rPr>
              <w:t>446</w:t>
            </w:r>
          </w:p>
        </w:tc>
        <w:tc>
          <w:tcPr>
            <w:tcW w:w="775" w:type="dxa"/>
            <w:shd w:val="clear" w:color="auto" w:fill="auto"/>
            <w:vAlign w:val="bottom"/>
          </w:tcPr>
          <w:p w14:paraId="596A9353" w14:textId="799429AF"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3</w:t>
            </w:r>
            <w:r w:rsidR="003A13D3" w:rsidRPr="00832348">
              <w:rPr>
                <w:sz w:val="18"/>
                <w:szCs w:val="18"/>
              </w:rPr>
              <w:t xml:space="preserve"> </w:t>
            </w:r>
            <w:r w:rsidRPr="00832348">
              <w:rPr>
                <w:sz w:val="18"/>
                <w:szCs w:val="18"/>
              </w:rPr>
              <w:t>570</w:t>
            </w:r>
          </w:p>
        </w:tc>
        <w:tc>
          <w:tcPr>
            <w:tcW w:w="850" w:type="dxa"/>
            <w:shd w:val="clear" w:color="auto" w:fill="auto"/>
            <w:vAlign w:val="bottom"/>
          </w:tcPr>
          <w:p w14:paraId="68A2AD18" w14:textId="39BE86F0"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31</w:t>
            </w:r>
            <w:r w:rsidR="003A13D3" w:rsidRPr="00832348">
              <w:rPr>
                <w:sz w:val="18"/>
                <w:szCs w:val="18"/>
              </w:rPr>
              <w:t xml:space="preserve"> </w:t>
            </w:r>
            <w:r w:rsidRPr="00832348">
              <w:rPr>
                <w:sz w:val="18"/>
                <w:szCs w:val="18"/>
              </w:rPr>
              <w:t>016</w:t>
            </w:r>
          </w:p>
        </w:tc>
        <w:tc>
          <w:tcPr>
            <w:tcW w:w="1205" w:type="dxa"/>
            <w:shd w:val="clear" w:color="auto" w:fill="auto"/>
            <w:vAlign w:val="bottom"/>
          </w:tcPr>
          <w:p w14:paraId="43D758AC"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8.193</w:t>
            </w:r>
            <w:r w:rsidRPr="00832348">
              <w:rPr>
                <w:sz w:val="18"/>
                <w:szCs w:val="18"/>
                <w:cs/>
              </w:rPr>
              <w:t>0</w:t>
            </w:r>
          </w:p>
        </w:tc>
      </w:tr>
      <w:tr w:rsidR="00695E59" w:rsidRPr="00832348" w14:paraId="5921B6AE" w14:textId="77777777" w:rsidTr="00832348">
        <w:tc>
          <w:tcPr>
            <w:tcW w:w="3690" w:type="dxa"/>
            <w:shd w:val="clear" w:color="auto" w:fill="auto"/>
          </w:tcPr>
          <w:p w14:paraId="197AD605"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2.2 Enquiry-pending trial</w:t>
            </w:r>
          </w:p>
        </w:tc>
        <w:tc>
          <w:tcPr>
            <w:tcW w:w="850" w:type="dxa"/>
            <w:shd w:val="clear" w:color="auto" w:fill="auto"/>
            <w:vAlign w:val="bottom"/>
          </w:tcPr>
          <w:p w14:paraId="187140E1" w14:textId="31FC3C3F"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7</w:t>
            </w:r>
            <w:r w:rsidR="003A13D3" w:rsidRPr="00832348">
              <w:rPr>
                <w:sz w:val="18"/>
                <w:szCs w:val="18"/>
              </w:rPr>
              <w:t xml:space="preserve"> </w:t>
            </w:r>
            <w:r w:rsidRPr="00832348">
              <w:rPr>
                <w:sz w:val="18"/>
                <w:szCs w:val="18"/>
              </w:rPr>
              <w:t>958</w:t>
            </w:r>
          </w:p>
        </w:tc>
        <w:tc>
          <w:tcPr>
            <w:tcW w:w="775" w:type="dxa"/>
            <w:shd w:val="clear" w:color="auto" w:fill="auto"/>
            <w:vAlign w:val="bottom"/>
          </w:tcPr>
          <w:p w14:paraId="4BD2C105" w14:textId="795BB45B"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w:t>
            </w:r>
            <w:r w:rsidR="003A13D3" w:rsidRPr="00832348">
              <w:rPr>
                <w:sz w:val="18"/>
                <w:szCs w:val="18"/>
              </w:rPr>
              <w:t xml:space="preserve"> </w:t>
            </w:r>
            <w:r w:rsidRPr="00832348">
              <w:rPr>
                <w:sz w:val="18"/>
                <w:szCs w:val="18"/>
              </w:rPr>
              <w:t>531</w:t>
            </w:r>
          </w:p>
        </w:tc>
        <w:tc>
          <w:tcPr>
            <w:tcW w:w="850" w:type="dxa"/>
            <w:shd w:val="clear" w:color="auto" w:fill="auto"/>
            <w:vAlign w:val="bottom"/>
          </w:tcPr>
          <w:p w14:paraId="6F43A904" w14:textId="2FCF1331"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9</w:t>
            </w:r>
            <w:r w:rsidR="003A13D3" w:rsidRPr="00832348">
              <w:rPr>
                <w:sz w:val="18"/>
                <w:szCs w:val="18"/>
              </w:rPr>
              <w:t xml:space="preserve"> </w:t>
            </w:r>
            <w:r w:rsidRPr="00832348">
              <w:rPr>
                <w:sz w:val="18"/>
                <w:szCs w:val="18"/>
              </w:rPr>
              <w:t>489</w:t>
            </w:r>
          </w:p>
        </w:tc>
        <w:tc>
          <w:tcPr>
            <w:tcW w:w="1205" w:type="dxa"/>
            <w:shd w:val="clear" w:color="auto" w:fill="auto"/>
            <w:vAlign w:val="bottom"/>
          </w:tcPr>
          <w:p w14:paraId="11B7F43E"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cs/>
              </w:rPr>
            </w:pPr>
            <w:r w:rsidRPr="00832348">
              <w:rPr>
                <w:sz w:val="18"/>
                <w:szCs w:val="18"/>
                <w:cs/>
              </w:rPr>
              <w:t>2.5066</w:t>
            </w:r>
          </w:p>
        </w:tc>
      </w:tr>
      <w:tr w:rsidR="00695E59" w:rsidRPr="00832348" w14:paraId="13675515" w14:textId="77777777" w:rsidTr="00832348">
        <w:tc>
          <w:tcPr>
            <w:tcW w:w="3690" w:type="dxa"/>
            <w:shd w:val="clear" w:color="auto" w:fill="auto"/>
          </w:tcPr>
          <w:p w14:paraId="7D6A07F9"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2.3</w:t>
            </w:r>
            <w:r w:rsidRPr="00832348">
              <w:rPr>
                <w:sz w:val="18"/>
                <w:szCs w:val="18"/>
                <w:cs/>
              </w:rPr>
              <w:t xml:space="preserve"> </w:t>
            </w:r>
            <w:r w:rsidRPr="00832348">
              <w:rPr>
                <w:sz w:val="18"/>
                <w:szCs w:val="18"/>
              </w:rPr>
              <w:t>Investigation</w:t>
            </w:r>
          </w:p>
        </w:tc>
        <w:tc>
          <w:tcPr>
            <w:tcW w:w="850" w:type="dxa"/>
            <w:shd w:val="clear" w:color="auto" w:fill="auto"/>
            <w:vAlign w:val="bottom"/>
          </w:tcPr>
          <w:p w14:paraId="67C0E8B2" w14:textId="049568D6"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20</w:t>
            </w:r>
            <w:r w:rsidR="003A13D3" w:rsidRPr="00832348">
              <w:rPr>
                <w:sz w:val="18"/>
                <w:szCs w:val="18"/>
              </w:rPr>
              <w:t xml:space="preserve"> </w:t>
            </w:r>
            <w:r w:rsidRPr="00832348">
              <w:rPr>
                <w:sz w:val="18"/>
                <w:szCs w:val="18"/>
              </w:rPr>
              <w:t>415</w:t>
            </w:r>
          </w:p>
        </w:tc>
        <w:tc>
          <w:tcPr>
            <w:tcW w:w="775" w:type="dxa"/>
            <w:shd w:val="clear" w:color="auto" w:fill="auto"/>
            <w:vAlign w:val="bottom"/>
          </w:tcPr>
          <w:p w14:paraId="6EABDDA3" w14:textId="1FC44279"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2</w:t>
            </w:r>
            <w:r w:rsidR="003A13D3" w:rsidRPr="00832348">
              <w:rPr>
                <w:sz w:val="18"/>
                <w:szCs w:val="18"/>
              </w:rPr>
              <w:t xml:space="preserve"> </w:t>
            </w:r>
            <w:r w:rsidRPr="00832348">
              <w:rPr>
                <w:sz w:val="18"/>
                <w:szCs w:val="18"/>
              </w:rPr>
              <w:t>449</w:t>
            </w:r>
          </w:p>
        </w:tc>
        <w:tc>
          <w:tcPr>
            <w:tcW w:w="850" w:type="dxa"/>
            <w:shd w:val="clear" w:color="auto" w:fill="auto"/>
            <w:vAlign w:val="bottom"/>
          </w:tcPr>
          <w:p w14:paraId="5262A269" w14:textId="2008013C"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22</w:t>
            </w:r>
            <w:r w:rsidR="003A13D3" w:rsidRPr="00832348">
              <w:rPr>
                <w:sz w:val="18"/>
                <w:szCs w:val="18"/>
              </w:rPr>
              <w:t xml:space="preserve"> </w:t>
            </w:r>
            <w:r w:rsidRPr="00832348">
              <w:rPr>
                <w:sz w:val="18"/>
                <w:szCs w:val="18"/>
              </w:rPr>
              <w:t>864</w:t>
            </w:r>
          </w:p>
        </w:tc>
        <w:tc>
          <w:tcPr>
            <w:tcW w:w="1205" w:type="dxa"/>
            <w:shd w:val="clear" w:color="auto" w:fill="auto"/>
            <w:vAlign w:val="bottom"/>
          </w:tcPr>
          <w:p w14:paraId="2CFD7B13"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6.0397</w:t>
            </w:r>
          </w:p>
        </w:tc>
      </w:tr>
      <w:tr w:rsidR="00695E59" w:rsidRPr="00832348" w14:paraId="7F5919B2" w14:textId="77777777" w:rsidTr="00832348">
        <w:tc>
          <w:tcPr>
            <w:tcW w:w="3690" w:type="dxa"/>
            <w:shd w:val="clear" w:color="auto" w:fill="auto"/>
          </w:tcPr>
          <w:p w14:paraId="7E37BD8C"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2.4</w:t>
            </w:r>
            <w:r w:rsidRPr="00832348">
              <w:rPr>
                <w:sz w:val="18"/>
                <w:szCs w:val="18"/>
                <w:cs/>
              </w:rPr>
              <w:t xml:space="preserve"> </w:t>
            </w:r>
            <w:r w:rsidRPr="00832348">
              <w:rPr>
                <w:sz w:val="18"/>
                <w:szCs w:val="18"/>
              </w:rPr>
              <w:t>Awaiting warrant of imprisonment</w:t>
            </w:r>
          </w:p>
        </w:tc>
        <w:tc>
          <w:tcPr>
            <w:tcW w:w="850" w:type="dxa"/>
            <w:shd w:val="clear" w:color="auto" w:fill="auto"/>
            <w:vAlign w:val="bottom"/>
          </w:tcPr>
          <w:p w14:paraId="3B6FA988"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3</w:t>
            </w:r>
          </w:p>
        </w:tc>
        <w:tc>
          <w:tcPr>
            <w:tcW w:w="775" w:type="dxa"/>
            <w:shd w:val="clear" w:color="auto" w:fill="auto"/>
            <w:vAlign w:val="bottom"/>
          </w:tcPr>
          <w:p w14:paraId="45C7A20B"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0</w:t>
            </w:r>
          </w:p>
        </w:tc>
        <w:tc>
          <w:tcPr>
            <w:tcW w:w="850" w:type="dxa"/>
            <w:shd w:val="clear" w:color="auto" w:fill="auto"/>
            <w:vAlign w:val="bottom"/>
          </w:tcPr>
          <w:p w14:paraId="16A05F75"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3</w:t>
            </w:r>
          </w:p>
        </w:tc>
        <w:tc>
          <w:tcPr>
            <w:tcW w:w="1205" w:type="dxa"/>
            <w:shd w:val="clear" w:color="auto" w:fill="auto"/>
            <w:vAlign w:val="bottom"/>
          </w:tcPr>
          <w:p w14:paraId="217ACEB7"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0.0005</w:t>
            </w:r>
          </w:p>
        </w:tc>
      </w:tr>
      <w:tr w:rsidR="00695E59" w:rsidRPr="00832348" w14:paraId="43EDFE37" w14:textId="77777777" w:rsidTr="00832348">
        <w:tc>
          <w:tcPr>
            <w:tcW w:w="3690" w:type="dxa"/>
            <w:shd w:val="clear" w:color="auto" w:fill="auto"/>
          </w:tcPr>
          <w:p w14:paraId="183BABFD"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3. Juvenile Delinquents</w:t>
            </w:r>
          </w:p>
        </w:tc>
        <w:tc>
          <w:tcPr>
            <w:tcW w:w="850" w:type="dxa"/>
            <w:shd w:val="clear" w:color="auto" w:fill="auto"/>
            <w:vAlign w:val="bottom"/>
          </w:tcPr>
          <w:p w14:paraId="4441D929"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42</w:t>
            </w:r>
          </w:p>
        </w:tc>
        <w:tc>
          <w:tcPr>
            <w:tcW w:w="775" w:type="dxa"/>
            <w:shd w:val="clear" w:color="auto" w:fill="auto"/>
            <w:vAlign w:val="bottom"/>
          </w:tcPr>
          <w:p w14:paraId="2D34C1FA"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w:t>
            </w:r>
          </w:p>
        </w:tc>
        <w:tc>
          <w:tcPr>
            <w:tcW w:w="850" w:type="dxa"/>
            <w:shd w:val="clear" w:color="auto" w:fill="auto"/>
            <w:vAlign w:val="bottom"/>
          </w:tcPr>
          <w:p w14:paraId="5C02639E"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43</w:t>
            </w:r>
          </w:p>
        </w:tc>
        <w:tc>
          <w:tcPr>
            <w:tcW w:w="1205" w:type="dxa"/>
            <w:shd w:val="clear" w:color="auto" w:fill="auto"/>
            <w:vAlign w:val="bottom"/>
          </w:tcPr>
          <w:p w14:paraId="62B48F65"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0.0113</w:t>
            </w:r>
          </w:p>
        </w:tc>
      </w:tr>
      <w:tr w:rsidR="00695E59" w:rsidRPr="00832348" w14:paraId="2E390ACD" w14:textId="77777777" w:rsidTr="00832348">
        <w:tc>
          <w:tcPr>
            <w:tcW w:w="3690" w:type="dxa"/>
            <w:shd w:val="clear" w:color="auto" w:fill="auto"/>
          </w:tcPr>
          <w:p w14:paraId="1C3E6CBC"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4. Relegated Prisoners</w:t>
            </w:r>
          </w:p>
        </w:tc>
        <w:tc>
          <w:tcPr>
            <w:tcW w:w="850" w:type="dxa"/>
            <w:shd w:val="clear" w:color="auto" w:fill="auto"/>
            <w:vAlign w:val="bottom"/>
          </w:tcPr>
          <w:p w14:paraId="21DE193A"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35</w:t>
            </w:r>
          </w:p>
        </w:tc>
        <w:tc>
          <w:tcPr>
            <w:tcW w:w="775" w:type="dxa"/>
            <w:shd w:val="clear" w:color="auto" w:fill="auto"/>
            <w:vAlign w:val="bottom"/>
          </w:tcPr>
          <w:p w14:paraId="607A90FF"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5</w:t>
            </w:r>
          </w:p>
        </w:tc>
        <w:tc>
          <w:tcPr>
            <w:tcW w:w="850" w:type="dxa"/>
            <w:shd w:val="clear" w:color="auto" w:fill="auto"/>
            <w:vAlign w:val="bottom"/>
          </w:tcPr>
          <w:p w14:paraId="5919790D"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40</w:t>
            </w:r>
          </w:p>
        </w:tc>
        <w:tc>
          <w:tcPr>
            <w:tcW w:w="1205" w:type="dxa"/>
            <w:shd w:val="clear" w:color="auto" w:fill="auto"/>
            <w:vAlign w:val="bottom"/>
          </w:tcPr>
          <w:p w14:paraId="4145CF93"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0.0105</w:t>
            </w:r>
          </w:p>
        </w:tc>
      </w:tr>
      <w:tr w:rsidR="00695E59" w:rsidRPr="00832348" w14:paraId="67D7CED6" w14:textId="77777777" w:rsidTr="00832348">
        <w:tc>
          <w:tcPr>
            <w:tcW w:w="3690" w:type="dxa"/>
            <w:shd w:val="clear" w:color="auto" w:fill="auto"/>
          </w:tcPr>
          <w:p w14:paraId="5D60307D"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cs/>
              </w:rPr>
            </w:pPr>
            <w:r w:rsidRPr="00832348">
              <w:rPr>
                <w:sz w:val="18"/>
                <w:szCs w:val="18"/>
              </w:rPr>
              <w:t>5. Detainees</w:t>
            </w:r>
          </w:p>
        </w:tc>
        <w:tc>
          <w:tcPr>
            <w:tcW w:w="850" w:type="dxa"/>
            <w:shd w:val="clear" w:color="auto" w:fill="auto"/>
            <w:vAlign w:val="bottom"/>
          </w:tcPr>
          <w:p w14:paraId="4E311954" w14:textId="7BD67BF9"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w:t>
            </w:r>
            <w:r w:rsidR="003A13D3" w:rsidRPr="00832348">
              <w:rPr>
                <w:sz w:val="18"/>
                <w:szCs w:val="18"/>
              </w:rPr>
              <w:t xml:space="preserve"> </w:t>
            </w:r>
            <w:r w:rsidRPr="00832348">
              <w:rPr>
                <w:sz w:val="18"/>
                <w:szCs w:val="18"/>
              </w:rPr>
              <w:t>615</w:t>
            </w:r>
          </w:p>
        </w:tc>
        <w:tc>
          <w:tcPr>
            <w:tcW w:w="775" w:type="dxa"/>
            <w:shd w:val="clear" w:color="auto" w:fill="auto"/>
            <w:vAlign w:val="bottom"/>
          </w:tcPr>
          <w:p w14:paraId="4CA59743"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171</w:t>
            </w:r>
          </w:p>
        </w:tc>
        <w:tc>
          <w:tcPr>
            <w:tcW w:w="850" w:type="dxa"/>
            <w:shd w:val="clear" w:color="auto" w:fill="auto"/>
            <w:vAlign w:val="bottom"/>
          </w:tcPr>
          <w:p w14:paraId="07A8C6D3" w14:textId="4C85D386"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w:t>
            </w:r>
            <w:r w:rsidR="003A13D3" w:rsidRPr="00832348">
              <w:rPr>
                <w:sz w:val="18"/>
                <w:szCs w:val="18"/>
              </w:rPr>
              <w:t xml:space="preserve"> </w:t>
            </w:r>
            <w:r w:rsidRPr="00832348">
              <w:rPr>
                <w:sz w:val="18"/>
                <w:szCs w:val="18"/>
              </w:rPr>
              <w:t>786</w:t>
            </w:r>
          </w:p>
        </w:tc>
        <w:tc>
          <w:tcPr>
            <w:tcW w:w="1205" w:type="dxa"/>
            <w:shd w:val="clear" w:color="auto" w:fill="auto"/>
            <w:vAlign w:val="bottom"/>
          </w:tcPr>
          <w:p w14:paraId="70E04C30"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0.4717</w:t>
            </w:r>
          </w:p>
        </w:tc>
      </w:tr>
      <w:tr w:rsidR="00695E59" w:rsidRPr="00832348" w14:paraId="26E1A2A4" w14:textId="77777777" w:rsidTr="00832348">
        <w:tc>
          <w:tcPr>
            <w:tcW w:w="3690" w:type="dxa"/>
            <w:tcBorders>
              <w:bottom w:val="single" w:sz="4" w:space="0" w:color="auto"/>
            </w:tcBorders>
            <w:shd w:val="clear" w:color="auto" w:fill="auto"/>
          </w:tcPr>
          <w:p w14:paraId="5D26DC41"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left"/>
              <w:rPr>
                <w:sz w:val="18"/>
                <w:szCs w:val="18"/>
              </w:rPr>
            </w:pPr>
            <w:r w:rsidRPr="00832348">
              <w:rPr>
                <w:sz w:val="18"/>
                <w:szCs w:val="18"/>
              </w:rPr>
              <w:t xml:space="preserve">6. Unidentified </w:t>
            </w:r>
          </w:p>
        </w:tc>
        <w:tc>
          <w:tcPr>
            <w:tcW w:w="850" w:type="dxa"/>
            <w:tcBorders>
              <w:bottom w:val="single" w:sz="4" w:space="0" w:color="auto"/>
            </w:tcBorders>
            <w:shd w:val="clear" w:color="auto" w:fill="auto"/>
            <w:vAlign w:val="bottom"/>
          </w:tcPr>
          <w:p w14:paraId="36DC94C3" w14:textId="261CF9D2"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w:t>
            </w:r>
            <w:r w:rsidR="003A13D3" w:rsidRPr="00832348">
              <w:rPr>
                <w:sz w:val="18"/>
                <w:szCs w:val="18"/>
              </w:rPr>
              <w:t xml:space="preserve"> </w:t>
            </w:r>
            <w:r w:rsidRPr="00832348">
              <w:rPr>
                <w:sz w:val="18"/>
                <w:szCs w:val="18"/>
              </w:rPr>
              <w:t>641</w:t>
            </w:r>
          </w:p>
        </w:tc>
        <w:tc>
          <w:tcPr>
            <w:tcW w:w="775" w:type="dxa"/>
            <w:tcBorders>
              <w:bottom w:val="single" w:sz="4" w:space="0" w:color="auto"/>
            </w:tcBorders>
            <w:shd w:val="clear" w:color="auto" w:fill="auto"/>
            <w:vAlign w:val="bottom"/>
          </w:tcPr>
          <w:p w14:paraId="4743CCF0"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155</w:t>
            </w:r>
          </w:p>
        </w:tc>
        <w:tc>
          <w:tcPr>
            <w:tcW w:w="850" w:type="dxa"/>
            <w:tcBorders>
              <w:bottom w:val="single" w:sz="4" w:space="0" w:color="auto"/>
            </w:tcBorders>
            <w:shd w:val="clear" w:color="auto" w:fill="auto"/>
            <w:vAlign w:val="bottom"/>
          </w:tcPr>
          <w:p w14:paraId="0F19F3B3" w14:textId="23B2E845"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rPr>
              <w:t>1</w:t>
            </w:r>
            <w:r w:rsidR="003A13D3" w:rsidRPr="00832348">
              <w:rPr>
                <w:sz w:val="18"/>
                <w:szCs w:val="18"/>
              </w:rPr>
              <w:t xml:space="preserve"> </w:t>
            </w:r>
            <w:r w:rsidRPr="00832348">
              <w:rPr>
                <w:sz w:val="18"/>
                <w:szCs w:val="18"/>
              </w:rPr>
              <w:t>796</w:t>
            </w:r>
          </w:p>
        </w:tc>
        <w:tc>
          <w:tcPr>
            <w:tcW w:w="1205" w:type="dxa"/>
            <w:tcBorders>
              <w:bottom w:val="single" w:sz="4" w:space="0" w:color="auto"/>
            </w:tcBorders>
            <w:shd w:val="clear" w:color="auto" w:fill="auto"/>
            <w:vAlign w:val="bottom"/>
          </w:tcPr>
          <w:p w14:paraId="71A6CBB4" w14:textId="77777777" w:rsidR="00695E59" w:rsidRPr="00832348" w:rsidRDefault="00695E59" w:rsidP="003A13D3">
            <w:pPr>
              <w:pStyle w:val="SingleTxtG"/>
              <w:tabs>
                <w:tab w:val="clear" w:pos="1701"/>
                <w:tab w:val="clear" w:pos="2268"/>
              </w:tabs>
              <w:suppressAutoHyphens w:val="0"/>
              <w:spacing w:before="40" w:after="40" w:line="220" w:lineRule="exact"/>
              <w:ind w:left="0" w:right="113"/>
              <w:jc w:val="right"/>
              <w:rPr>
                <w:sz w:val="18"/>
                <w:szCs w:val="18"/>
              </w:rPr>
            </w:pPr>
            <w:r w:rsidRPr="00832348">
              <w:rPr>
                <w:sz w:val="18"/>
                <w:szCs w:val="18"/>
                <w:cs/>
              </w:rPr>
              <w:t>0.4743</w:t>
            </w:r>
          </w:p>
        </w:tc>
      </w:tr>
      <w:tr w:rsidR="003A13D3" w:rsidRPr="00832348" w14:paraId="0524918A" w14:textId="77777777" w:rsidTr="00832348">
        <w:tc>
          <w:tcPr>
            <w:tcW w:w="3690" w:type="dxa"/>
            <w:tcBorders>
              <w:top w:val="single" w:sz="4" w:space="0" w:color="auto"/>
              <w:bottom w:val="single" w:sz="12" w:space="0" w:color="auto"/>
            </w:tcBorders>
            <w:shd w:val="clear" w:color="auto" w:fill="auto"/>
          </w:tcPr>
          <w:p w14:paraId="392936EF" w14:textId="77777777" w:rsidR="00695E59" w:rsidRPr="00832348" w:rsidRDefault="00695E59" w:rsidP="00832348">
            <w:pPr>
              <w:pStyle w:val="SingleTxtG"/>
              <w:tabs>
                <w:tab w:val="clear" w:pos="1701"/>
                <w:tab w:val="clear" w:pos="2268"/>
              </w:tabs>
              <w:suppressAutoHyphens w:val="0"/>
              <w:spacing w:before="80" w:after="80" w:line="220" w:lineRule="exact"/>
              <w:ind w:left="283" w:right="0"/>
              <w:jc w:val="left"/>
              <w:rPr>
                <w:b/>
                <w:sz w:val="18"/>
                <w:szCs w:val="18"/>
              </w:rPr>
            </w:pPr>
            <w:r w:rsidRPr="00832348">
              <w:rPr>
                <w:b/>
                <w:sz w:val="18"/>
                <w:szCs w:val="18"/>
              </w:rPr>
              <w:t>Total</w:t>
            </w:r>
          </w:p>
        </w:tc>
        <w:tc>
          <w:tcPr>
            <w:tcW w:w="850" w:type="dxa"/>
            <w:tcBorders>
              <w:top w:val="single" w:sz="4" w:space="0" w:color="auto"/>
              <w:bottom w:val="single" w:sz="12" w:space="0" w:color="auto"/>
            </w:tcBorders>
            <w:shd w:val="clear" w:color="auto" w:fill="auto"/>
            <w:vAlign w:val="bottom"/>
          </w:tcPr>
          <w:p w14:paraId="7D2D41FE" w14:textId="1437DF1A" w:rsidR="00695E59" w:rsidRPr="00832348" w:rsidRDefault="00695E59" w:rsidP="00832348">
            <w:pPr>
              <w:pStyle w:val="SingleTxtG"/>
              <w:tabs>
                <w:tab w:val="clear" w:pos="1701"/>
                <w:tab w:val="clear" w:pos="2268"/>
              </w:tabs>
              <w:suppressAutoHyphens w:val="0"/>
              <w:spacing w:before="80" w:after="80" w:line="220" w:lineRule="exact"/>
              <w:ind w:left="0" w:right="113"/>
              <w:jc w:val="right"/>
              <w:rPr>
                <w:b/>
                <w:sz w:val="18"/>
                <w:szCs w:val="18"/>
              </w:rPr>
            </w:pPr>
            <w:r w:rsidRPr="00832348">
              <w:rPr>
                <w:b/>
                <w:sz w:val="18"/>
                <w:szCs w:val="18"/>
              </w:rPr>
              <w:t>330</w:t>
            </w:r>
            <w:r w:rsidR="003A13D3" w:rsidRPr="00832348">
              <w:rPr>
                <w:b/>
                <w:sz w:val="18"/>
                <w:szCs w:val="18"/>
              </w:rPr>
              <w:t xml:space="preserve"> </w:t>
            </w:r>
            <w:r w:rsidRPr="00832348">
              <w:rPr>
                <w:b/>
                <w:sz w:val="18"/>
                <w:szCs w:val="18"/>
              </w:rPr>
              <w:t>539</w:t>
            </w:r>
          </w:p>
        </w:tc>
        <w:tc>
          <w:tcPr>
            <w:tcW w:w="775" w:type="dxa"/>
            <w:tcBorders>
              <w:top w:val="single" w:sz="4" w:space="0" w:color="auto"/>
              <w:bottom w:val="single" w:sz="12" w:space="0" w:color="auto"/>
            </w:tcBorders>
            <w:shd w:val="clear" w:color="auto" w:fill="auto"/>
            <w:vAlign w:val="bottom"/>
          </w:tcPr>
          <w:p w14:paraId="4C499EF0" w14:textId="662ECB14" w:rsidR="00695E59" w:rsidRPr="00832348" w:rsidRDefault="00695E59" w:rsidP="00832348">
            <w:pPr>
              <w:pStyle w:val="SingleTxtG"/>
              <w:tabs>
                <w:tab w:val="clear" w:pos="1701"/>
                <w:tab w:val="clear" w:pos="2268"/>
              </w:tabs>
              <w:suppressAutoHyphens w:val="0"/>
              <w:spacing w:before="80" w:after="80" w:line="220" w:lineRule="exact"/>
              <w:ind w:left="0" w:right="113"/>
              <w:jc w:val="right"/>
              <w:rPr>
                <w:b/>
                <w:sz w:val="18"/>
                <w:szCs w:val="18"/>
              </w:rPr>
            </w:pPr>
            <w:r w:rsidRPr="00832348">
              <w:rPr>
                <w:b/>
                <w:sz w:val="18"/>
                <w:szCs w:val="18"/>
              </w:rPr>
              <w:t>48</w:t>
            </w:r>
            <w:r w:rsidR="003A13D3" w:rsidRPr="00832348">
              <w:rPr>
                <w:b/>
                <w:sz w:val="18"/>
                <w:szCs w:val="18"/>
              </w:rPr>
              <w:t xml:space="preserve"> </w:t>
            </w:r>
            <w:r w:rsidRPr="00832348">
              <w:rPr>
                <w:b/>
                <w:sz w:val="18"/>
                <w:szCs w:val="18"/>
              </w:rPr>
              <w:t>023</w:t>
            </w:r>
            <w:r w:rsidRPr="00832348">
              <w:rPr>
                <w:b/>
                <w:sz w:val="18"/>
                <w:szCs w:val="18"/>
              </w:rPr>
              <w:t>‬</w:t>
            </w:r>
          </w:p>
        </w:tc>
        <w:tc>
          <w:tcPr>
            <w:tcW w:w="850" w:type="dxa"/>
            <w:tcBorders>
              <w:top w:val="single" w:sz="4" w:space="0" w:color="auto"/>
              <w:bottom w:val="single" w:sz="12" w:space="0" w:color="auto"/>
            </w:tcBorders>
            <w:shd w:val="clear" w:color="auto" w:fill="auto"/>
            <w:vAlign w:val="bottom"/>
          </w:tcPr>
          <w:p w14:paraId="3F634C28" w14:textId="089BF358" w:rsidR="00695E59" w:rsidRPr="00832348" w:rsidRDefault="00695E59" w:rsidP="00832348">
            <w:pPr>
              <w:pStyle w:val="SingleTxtG"/>
              <w:tabs>
                <w:tab w:val="clear" w:pos="1701"/>
                <w:tab w:val="clear" w:pos="2268"/>
              </w:tabs>
              <w:suppressAutoHyphens w:val="0"/>
              <w:spacing w:before="80" w:after="80" w:line="220" w:lineRule="exact"/>
              <w:ind w:left="0" w:right="113"/>
              <w:jc w:val="right"/>
              <w:rPr>
                <w:b/>
                <w:sz w:val="18"/>
                <w:szCs w:val="18"/>
              </w:rPr>
            </w:pPr>
            <w:r w:rsidRPr="00832348">
              <w:rPr>
                <w:b/>
                <w:sz w:val="18"/>
                <w:szCs w:val="18"/>
              </w:rPr>
              <w:t>378</w:t>
            </w:r>
            <w:r w:rsidR="003A13D3" w:rsidRPr="00832348">
              <w:rPr>
                <w:b/>
                <w:sz w:val="18"/>
                <w:szCs w:val="18"/>
              </w:rPr>
              <w:t xml:space="preserve"> </w:t>
            </w:r>
            <w:r w:rsidRPr="00832348">
              <w:rPr>
                <w:b/>
                <w:sz w:val="18"/>
                <w:szCs w:val="18"/>
              </w:rPr>
              <w:t>562</w:t>
            </w:r>
            <w:r w:rsidRPr="00832348">
              <w:rPr>
                <w:b/>
                <w:sz w:val="18"/>
                <w:szCs w:val="18"/>
              </w:rPr>
              <w:t>‬</w:t>
            </w:r>
          </w:p>
        </w:tc>
        <w:tc>
          <w:tcPr>
            <w:tcW w:w="1205" w:type="dxa"/>
            <w:tcBorders>
              <w:top w:val="single" w:sz="4" w:space="0" w:color="auto"/>
              <w:bottom w:val="single" w:sz="12" w:space="0" w:color="auto"/>
            </w:tcBorders>
            <w:shd w:val="clear" w:color="auto" w:fill="auto"/>
            <w:vAlign w:val="bottom"/>
          </w:tcPr>
          <w:p w14:paraId="5F6D74BE" w14:textId="77777777" w:rsidR="00695E59" w:rsidRPr="00832348" w:rsidRDefault="00695E59" w:rsidP="00832348">
            <w:pPr>
              <w:pStyle w:val="SingleTxtG"/>
              <w:tabs>
                <w:tab w:val="clear" w:pos="1701"/>
                <w:tab w:val="clear" w:pos="2268"/>
              </w:tabs>
              <w:suppressAutoHyphens w:val="0"/>
              <w:spacing w:before="80" w:after="80" w:line="220" w:lineRule="exact"/>
              <w:ind w:left="0" w:right="113"/>
              <w:jc w:val="right"/>
              <w:rPr>
                <w:b/>
                <w:sz w:val="18"/>
                <w:szCs w:val="18"/>
              </w:rPr>
            </w:pPr>
            <w:r w:rsidRPr="00832348">
              <w:rPr>
                <w:b/>
                <w:sz w:val="18"/>
                <w:szCs w:val="18"/>
              </w:rPr>
              <w:t>100.0000</w:t>
            </w:r>
          </w:p>
        </w:tc>
      </w:tr>
    </w:tbl>
    <w:p w14:paraId="25054A79" w14:textId="77777777" w:rsidR="00695E59" w:rsidRPr="00671D9E" w:rsidRDefault="00695E59" w:rsidP="00695E59">
      <w:pPr>
        <w:suppressAutoHyphens w:val="0"/>
        <w:spacing w:after="200" w:line="276" w:lineRule="auto"/>
        <w:rPr>
          <w:rFonts w:eastAsiaTheme="minorHAnsi"/>
        </w:rPr>
      </w:pPr>
      <w:r w:rsidRPr="00671D9E">
        <w:br w:type="page"/>
      </w:r>
    </w:p>
    <w:p w14:paraId="5706BE1A" w14:textId="44690767" w:rsidR="00695E59" w:rsidRPr="00671D9E" w:rsidRDefault="00695E59" w:rsidP="00504FFA">
      <w:pPr>
        <w:pStyle w:val="H23G"/>
        <w:rPr>
          <w:rFonts w:cs="Cordia New"/>
          <w:lang w:bidi="th-TH"/>
        </w:rPr>
      </w:pPr>
      <w:r w:rsidRPr="00671D9E">
        <w:rPr>
          <w:lang w:bidi="th-TH"/>
        </w:rPr>
        <w:lastRenderedPageBreak/>
        <w:tab/>
      </w:r>
      <w:r w:rsidRPr="00671D9E">
        <w:rPr>
          <w:lang w:bidi="th-TH"/>
        </w:rPr>
        <w:tab/>
      </w:r>
      <w:r w:rsidRPr="00504FFA">
        <w:rPr>
          <w:b w:val="0"/>
          <w:bCs/>
          <w:lang w:bidi="th-TH"/>
        </w:rPr>
        <w:t>Table 11</w:t>
      </w:r>
      <w:r w:rsidR="00504FFA">
        <w:rPr>
          <w:lang w:bidi="th-TH"/>
        </w:rPr>
        <w:br/>
      </w:r>
      <w:r w:rsidRPr="00671D9E">
        <w:rPr>
          <w:lang w:bidi="th-TH"/>
        </w:rPr>
        <w:t xml:space="preserve">Statistics on deaths in prisons (Sickness) Fiscal year </w:t>
      </w:r>
      <w:r w:rsidRPr="00504FFA">
        <w:t>2018</w:t>
      </w:r>
      <w:r w:rsidRPr="00671D9E">
        <w:rPr>
          <w:lang w:bidi="th-TH"/>
        </w:rPr>
        <w:t>–2020</w:t>
      </w:r>
      <w:r w:rsidRPr="00671D9E">
        <w:rPr>
          <w:rFonts w:cs="Cordia New"/>
          <w:cs/>
          <w:lang w:bidi="th-TH"/>
        </w:rPr>
        <w:t xml:space="preserve"> </w:t>
      </w:r>
      <w:r w:rsidRPr="00671D9E">
        <w:rPr>
          <w:rFonts w:cs="Leelawadee UI"/>
          <w:szCs w:val="35"/>
          <w:lang w:bidi="th-TH"/>
        </w:rPr>
        <w:t>(</w:t>
      </w:r>
      <w:r w:rsidRPr="00671D9E">
        <w:rPr>
          <w:lang w:bidi="th-TH"/>
        </w:rPr>
        <w:t>As of 20 May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8"/>
        <w:gridCol w:w="2793"/>
        <w:gridCol w:w="1334"/>
        <w:gridCol w:w="1333"/>
        <w:gridCol w:w="1412"/>
      </w:tblGrid>
      <w:tr w:rsidR="00695E59" w:rsidRPr="007B3726" w14:paraId="19AD59BA" w14:textId="77777777" w:rsidTr="007B3726">
        <w:trPr>
          <w:tblHeader/>
        </w:trPr>
        <w:tc>
          <w:tcPr>
            <w:tcW w:w="890" w:type="dxa"/>
            <w:tcBorders>
              <w:top w:val="single" w:sz="4" w:space="0" w:color="auto"/>
              <w:bottom w:val="single" w:sz="12" w:space="0" w:color="auto"/>
            </w:tcBorders>
            <w:shd w:val="clear" w:color="auto" w:fill="auto"/>
            <w:vAlign w:val="bottom"/>
          </w:tcPr>
          <w:p w14:paraId="38B7C37D" w14:textId="77777777" w:rsidR="00695E59" w:rsidRPr="007B3726" w:rsidRDefault="00695E59" w:rsidP="007B3726">
            <w:pPr>
              <w:pStyle w:val="SingleTxtG"/>
              <w:tabs>
                <w:tab w:val="clear" w:pos="1701"/>
                <w:tab w:val="clear" w:pos="2268"/>
              </w:tabs>
              <w:suppressAutoHyphens w:val="0"/>
              <w:spacing w:before="80" w:after="80" w:line="200" w:lineRule="exact"/>
              <w:ind w:left="0" w:right="113"/>
              <w:jc w:val="left"/>
              <w:rPr>
                <w:i/>
                <w:sz w:val="16"/>
                <w:lang w:bidi="th-TH"/>
              </w:rPr>
            </w:pPr>
            <w:r w:rsidRPr="007B3726">
              <w:rPr>
                <w:i/>
                <w:sz w:val="16"/>
                <w:lang w:bidi="th-TH"/>
              </w:rPr>
              <w:t>No.</w:t>
            </w:r>
          </w:p>
        </w:tc>
        <w:tc>
          <w:tcPr>
            <w:tcW w:w="5064" w:type="dxa"/>
            <w:tcBorders>
              <w:top w:val="single" w:sz="4" w:space="0" w:color="auto"/>
              <w:bottom w:val="single" w:sz="12" w:space="0" w:color="auto"/>
            </w:tcBorders>
            <w:shd w:val="clear" w:color="auto" w:fill="auto"/>
            <w:vAlign w:val="bottom"/>
          </w:tcPr>
          <w:p w14:paraId="7CD3564B" w14:textId="77777777" w:rsidR="00695E59" w:rsidRPr="007B3726" w:rsidRDefault="00695E59" w:rsidP="007B3726">
            <w:pPr>
              <w:pStyle w:val="SingleTxtG"/>
              <w:tabs>
                <w:tab w:val="clear" w:pos="1701"/>
                <w:tab w:val="clear" w:pos="2268"/>
              </w:tabs>
              <w:suppressAutoHyphens w:val="0"/>
              <w:spacing w:before="80" w:after="80" w:line="200" w:lineRule="exact"/>
              <w:ind w:left="0" w:right="113"/>
              <w:jc w:val="left"/>
              <w:rPr>
                <w:i/>
                <w:sz w:val="16"/>
                <w:cs/>
                <w:lang w:bidi="th-TH"/>
              </w:rPr>
            </w:pPr>
            <w:r w:rsidRPr="007B3726">
              <w:rPr>
                <w:i/>
                <w:sz w:val="16"/>
                <w:lang w:bidi="th-TH"/>
              </w:rPr>
              <w:t>Name of the detention locations</w:t>
            </w:r>
          </w:p>
        </w:tc>
        <w:tc>
          <w:tcPr>
            <w:tcW w:w="2410" w:type="dxa"/>
            <w:tcBorders>
              <w:top w:val="single" w:sz="4" w:space="0" w:color="auto"/>
              <w:bottom w:val="single" w:sz="12" w:space="0" w:color="auto"/>
            </w:tcBorders>
            <w:shd w:val="clear" w:color="auto" w:fill="auto"/>
            <w:vAlign w:val="bottom"/>
          </w:tcPr>
          <w:p w14:paraId="52A26AD0" w14:textId="77777777" w:rsidR="00695E59" w:rsidRPr="007B3726" w:rsidRDefault="00695E59" w:rsidP="007B3726">
            <w:pPr>
              <w:pStyle w:val="SingleTxtG"/>
              <w:tabs>
                <w:tab w:val="clear" w:pos="1701"/>
                <w:tab w:val="clear" w:pos="2268"/>
              </w:tabs>
              <w:suppressAutoHyphens w:val="0"/>
              <w:spacing w:before="80" w:after="80" w:line="200" w:lineRule="exact"/>
              <w:ind w:left="0" w:right="113"/>
              <w:jc w:val="right"/>
              <w:rPr>
                <w:i/>
                <w:sz w:val="16"/>
                <w:szCs w:val="16"/>
                <w:lang w:bidi="th-TH"/>
              </w:rPr>
            </w:pPr>
            <w:r w:rsidRPr="007B3726">
              <w:rPr>
                <w:rFonts w:eastAsia="ZWAdobeF"/>
                <w:i/>
                <w:sz w:val="16"/>
                <w:szCs w:val="16"/>
                <w:lang w:bidi="th-TH"/>
              </w:rPr>
              <w:t xml:space="preserve">Fiscal year </w:t>
            </w:r>
            <w:r w:rsidRPr="007B3726">
              <w:rPr>
                <w:rFonts w:eastAsia="ZWAdobeF"/>
                <w:i/>
                <w:sz w:val="16"/>
                <w:szCs w:val="16"/>
                <w:cs/>
                <w:lang w:bidi="th-TH"/>
              </w:rPr>
              <w:t>2018</w:t>
            </w:r>
          </w:p>
        </w:tc>
        <w:tc>
          <w:tcPr>
            <w:tcW w:w="2409" w:type="dxa"/>
            <w:tcBorders>
              <w:top w:val="single" w:sz="4" w:space="0" w:color="auto"/>
              <w:bottom w:val="single" w:sz="12" w:space="0" w:color="auto"/>
            </w:tcBorders>
            <w:shd w:val="clear" w:color="auto" w:fill="auto"/>
            <w:vAlign w:val="bottom"/>
          </w:tcPr>
          <w:p w14:paraId="3BE8993C" w14:textId="77777777" w:rsidR="00695E59" w:rsidRPr="007B3726" w:rsidRDefault="00695E59" w:rsidP="007B3726">
            <w:pPr>
              <w:pStyle w:val="SingleTxtG"/>
              <w:tabs>
                <w:tab w:val="clear" w:pos="1701"/>
                <w:tab w:val="clear" w:pos="2268"/>
              </w:tabs>
              <w:suppressAutoHyphens w:val="0"/>
              <w:spacing w:before="80" w:after="80" w:line="200" w:lineRule="exact"/>
              <w:ind w:left="0" w:right="113"/>
              <w:jc w:val="right"/>
              <w:rPr>
                <w:i/>
                <w:sz w:val="16"/>
                <w:szCs w:val="16"/>
                <w:lang w:bidi="th-TH"/>
              </w:rPr>
            </w:pPr>
            <w:r w:rsidRPr="007B3726">
              <w:rPr>
                <w:rFonts w:eastAsia="ZWAdobeF"/>
                <w:i/>
                <w:sz w:val="16"/>
                <w:szCs w:val="16"/>
                <w:lang w:bidi="th-TH"/>
              </w:rPr>
              <w:t xml:space="preserve">Fiscal year </w:t>
            </w:r>
            <w:r w:rsidRPr="007B3726">
              <w:rPr>
                <w:rFonts w:eastAsia="ZWAdobeF"/>
                <w:i/>
                <w:sz w:val="16"/>
                <w:szCs w:val="16"/>
                <w:cs/>
                <w:lang w:bidi="th-TH"/>
              </w:rPr>
              <w:t>2019</w:t>
            </w:r>
          </w:p>
        </w:tc>
        <w:tc>
          <w:tcPr>
            <w:tcW w:w="2552" w:type="dxa"/>
            <w:tcBorders>
              <w:top w:val="single" w:sz="4" w:space="0" w:color="auto"/>
              <w:bottom w:val="single" w:sz="12" w:space="0" w:color="auto"/>
            </w:tcBorders>
            <w:shd w:val="clear" w:color="auto" w:fill="auto"/>
            <w:vAlign w:val="bottom"/>
          </w:tcPr>
          <w:p w14:paraId="654B6D4F" w14:textId="77777777" w:rsidR="00695E59" w:rsidRPr="007B3726" w:rsidRDefault="00695E59" w:rsidP="007B3726">
            <w:pPr>
              <w:pStyle w:val="SingleTxtG"/>
              <w:tabs>
                <w:tab w:val="clear" w:pos="1701"/>
                <w:tab w:val="clear" w:pos="2268"/>
              </w:tabs>
              <w:suppressAutoHyphens w:val="0"/>
              <w:spacing w:before="80" w:after="80" w:line="200" w:lineRule="exact"/>
              <w:ind w:left="0" w:right="113"/>
              <w:jc w:val="right"/>
              <w:rPr>
                <w:i/>
                <w:sz w:val="16"/>
                <w:szCs w:val="16"/>
                <w:lang w:bidi="th-TH"/>
              </w:rPr>
            </w:pPr>
            <w:r w:rsidRPr="007B3726">
              <w:rPr>
                <w:rFonts w:eastAsia="ZWAdobeF"/>
                <w:i/>
                <w:sz w:val="16"/>
                <w:szCs w:val="16"/>
                <w:lang w:bidi="th-TH"/>
              </w:rPr>
              <w:t>Fiscal year 2020</w:t>
            </w:r>
          </w:p>
        </w:tc>
      </w:tr>
      <w:tr w:rsidR="00695E59" w:rsidRPr="007B3726" w14:paraId="7FB37815" w14:textId="77777777" w:rsidTr="007B3726">
        <w:trPr>
          <w:trHeight w:hRule="exact" w:val="113"/>
          <w:tblHeader/>
        </w:trPr>
        <w:tc>
          <w:tcPr>
            <w:tcW w:w="890" w:type="dxa"/>
            <w:tcBorders>
              <w:top w:val="single" w:sz="12" w:space="0" w:color="auto"/>
            </w:tcBorders>
            <w:shd w:val="clear" w:color="auto" w:fill="auto"/>
          </w:tcPr>
          <w:p w14:paraId="2A57E8D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lang w:bidi="th-TH"/>
              </w:rPr>
            </w:pPr>
          </w:p>
        </w:tc>
        <w:tc>
          <w:tcPr>
            <w:tcW w:w="5064" w:type="dxa"/>
            <w:tcBorders>
              <w:top w:val="single" w:sz="12" w:space="0" w:color="auto"/>
            </w:tcBorders>
            <w:shd w:val="clear" w:color="auto" w:fill="auto"/>
            <w:vAlign w:val="bottom"/>
          </w:tcPr>
          <w:p w14:paraId="098D849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lang w:bidi="th-TH"/>
              </w:rPr>
            </w:pPr>
          </w:p>
        </w:tc>
        <w:tc>
          <w:tcPr>
            <w:tcW w:w="2410" w:type="dxa"/>
            <w:tcBorders>
              <w:top w:val="single" w:sz="12" w:space="0" w:color="auto"/>
            </w:tcBorders>
            <w:shd w:val="clear" w:color="auto" w:fill="auto"/>
            <w:vAlign w:val="bottom"/>
          </w:tcPr>
          <w:p w14:paraId="1525271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lang w:bidi="th-TH"/>
              </w:rPr>
            </w:pPr>
          </w:p>
        </w:tc>
        <w:tc>
          <w:tcPr>
            <w:tcW w:w="2409" w:type="dxa"/>
            <w:tcBorders>
              <w:top w:val="single" w:sz="12" w:space="0" w:color="auto"/>
            </w:tcBorders>
            <w:shd w:val="clear" w:color="auto" w:fill="auto"/>
            <w:vAlign w:val="bottom"/>
          </w:tcPr>
          <w:p w14:paraId="4D59961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lang w:bidi="th-TH"/>
              </w:rPr>
            </w:pPr>
          </w:p>
        </w:tc>
        <w:tc>
          <w:tcPr>
            <w:tcW w:w="2552" w:type="dxa"/>
            <w:tcBorders>
              <w:top w:val="single" w:sz="12" w:space="0" w:color="auto"/>
            </w:tcBorders>
            <w:shd w:val="clear" w:color="auto" w:fill="auto"/>
            <w:vAlign w:val="bottom"/>
          </w:tcPr>
          <w:p w14:paraId="00DED58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lang w:bidi="th-TH"/>
              </w:rPr>
            </w:pPr>
          </w:p>
        </w:tc>
      </w:tr>
      <w:tr w:rsidR="00695E59" w:rsidRPr="007B3726" w14:paraId="40864E67" w14:textId="77777777" w:rsidTr="007B3726">
        <w:tc>
          <w:tcPr>
            <w:tcW w:w="890" w:type="dxa"/>
            <w:shd w:val="clear" w:color="auto" w:fill="auto"/>
          </w:tcPr>
          <w:p w14:paraId="2312B31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w:t>
            </w:r>
          </w:p>
        </w:tc>
        <w:tc>
          <w:tcPr>
            <w:tcW w:w="5064" w:type="dxa"/>
            <w:shd w:val="clear" w:color="auto" w:fill="auto"/>
            <w:vAlign w:val="bottom"/>
          </w:tcPr>
          <w:p w14:paraId="1F6E641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Bangkok Remand Prison</w:t>
            </w:r>
          </w:p>
        </w:tc>
        <w:tc>
          <w:tcPr>
            <w:tcW w:w="2410" w:type="dxa"/>
            <w:shd w:val="clear" w:color="auto" w:fill="auto"/>
            <w:vAlign w:val="bottom"/>
          </w:tcPr>
          <w:p w14:paraId="69025FD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1B233EE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3231EE0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5DEF70EA" w14:textId="77777777" w:rsidTr="007B3726">
        <w:tc>
          <w:tcPr>
            <w:tcW w:w="890" w:type="dxa"/>
            <w:shd w:val="clear" w:color="auto" w:fill="auto"/>
          </w:tcPr>
          <w:p w14:paraId="7B7A8B8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w:t>
            </w:r>
          </w:p>
        </w:tc>
        <w:tc>
          <w:tcPr>
            <w:tcW w:w="5064" w:type="dxa"/>
            <w:shd w:val="clear" w:color="auto" w:fill="auto"/>
            <w:vAlign w:val="bottom"/>
          </w:tcPr>
          <w:p w14:paraId="27487AA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Thon Buri Remand Prison</w:t>
            </w:r>
          </w:p>
        </w:tc>
        <w:tc>
          <w:tcPr>
            <w:tcW w:w="2410" w:type="dxa"/>
            <w:shd w:val="clear" w:color="auto" w:fill="auto"/>
            <w:vAlign w:val="bottom"/>
          </w:tcPr>
          <w:p w14:paraId="2296888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040062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1DCD096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r>
      <w:tr w:rsidR="00695E59" w:rsidRPr="007B3726" w14:paraId="0C311FED" w14:textId="77777777" w:rsidTr="007B3726">
        <w:tc>
          <w:tcPr>
            <w:tcW w:w="890" w:type="dxa"/>
            <w:shd w:val="clear" w:color="auto" w:fill="auto"/>
          </w:tcPr>
          <w:p w14:paraId="45CBA4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w:t>
            </w:r>
          </w:p>
        </w:tc>
        <w:tc>
          <w:tcPr>
            <w:tcW w:w="5064" w:type="dxa"/>
            <w:shd w:val="clear" w:color="auto" w:fill="auto"/>
            <w:vAlign w:val="bottom"/>
          </w:tcPr>
          <w:p w14:paraId="307037F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Pattaya Remand Prison</w:t>
            </w:r>
          </w:p>
        </w:tc>
        <w:tc>
          <w:tcPr>
            <w:tcW w:w="2410" w:type="dxa"/>
            <w:shd w:val="clear" w:color="auto" w:fill="auto"/>
            <w:vAlign w:val="bottom"/>
          </w:tcPr>
          <w:p w14:paraId="5C1F484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16</w:t>
            </w:r>
          </w:p>
        </w:tc>
        <w:tc>
          <w:tcPr>
            <w:tcW w:w="2409" w:type="dxa"/>
            <w:shd w:val="clear" w:color="auto" w:fill="auto"/>
            <w:vAlign w:val="bottom"/>
          </w:tcPr>
          <w:p w14:paraId="3723E3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21</w:t>
            </w:r>
          </w:p>
        </w:tc>
        <w:tc>
          <w:tcPr>
            <w:tcW w:w="2552" w:type="dxa"/>
            <w:shd w:val="clear" w:color="auto" w:fill="auto"/>
            <w:vAlign w:val="bottom"/>
          </w:tcPr>
          <w:p w14:paraId="76E6B81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r>
      <w:tr w:rsidR="00695E59" w:rsidRPr="007B3726" w14:paraId="192FEE24" w14:textId="77777777" w:rsidTr="007B3726">
        <w:tc>
          <w:tcPr>
            <w:tcW w:w="890" w:type="dxa"/>
            <w:shd w:val="clear" w:color="auto" w:fill="auto"/>
          </w:tcPr>
          <w:p w14:paraId="53A28B5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w:t>
            </w:r>
          </w:p>
        </w:tc>
        <w:tc>
          <w:tcPr>
            <w:tcW w:w="5064" w:type="dxa"/>
            <w:shd w:val="clear" w:color="auto" w:fill="auto"/>
            <w:vAlign w:val="bottom"/>
          </w:tcPr>
          <w:p w14:paraId="1DC90E1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Min Buri Remand Prison</w:t>
            </w:r>
          </w:p>
        </w:tc>
        <w:tc>
          <w:tcPr>
            <w:tcW w:w="2410" w:type="dxa"/>
            <w:shd w:val="clear" w:color="auto" w:fill="auto"/>
            <w:vAlign w:val="bottom"/>
          </w:tcPr>
          <w:p w14:paraId="452EF8C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360BA5E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c>
          <w:tcPr>
            <w:tcW w:w="2552" w:type="dxa"/>
            <w:shd w:val="clear" w:color="auto" w:fill="auto"/>
            <w:vAlign w:val="bottom"/>
          </w:tcPr>
          <w:p w14:paraId="77E7F85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r>
      <w:tr w:rsidR="00695E59" w:rsidRPr="007B3726" w14:paraId="1C47F07B" w14:textId="77777777" w:rsidTr="007B3726">
        <w:tc>
          <w:tcPr>
            <w:tcW w:w="890" w:type="dxa"/>
            <w:shd w:val="clear" w:color="auto" w:fill="auto"/>
          </w:tcPr>
          <w:p w14:paraId="5ECF935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w:t>
            </w:r>
          </w:p>
        </w:tc>
        <w:tc>
          <w:tcPr>
            <w:tcW w:w="5064" w:type="dxa"/>
            <w:shd w:val="clear" w:color="auto" w:fill="auto"/>
            <w:vAlign w:val="bottom"/>
          </w:tcPr>
          <w:p w14:paraId="5C54A6F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Kamphaeng Phet Central Prison</w:t>
            </w:r>
          </w:p>
        </w:tc>
        <w:tc>
          <w:tcPr>
            <w:tcW w:w="2410" w:type="dxa"/>
            <w:shd w:val="clear" w:color="auto" w:fill="auto"/>
            <w:vAlign w:val="bottom"/>
          </w:tcPr>
          <w:p w14:paraId="3696C95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51B8015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14</w:t>
            </w:r>
          </w:p>
        </w:tc>
        <w:tc>
          <w:tcPr>
            <w:tcW w:w="2552" w:type="dxa"/>
            <w:shd w:val="clear" w:color="auto" w:fill="auto"/>
            <w:vAlign w:val="bottom"/>
          </w:tcPr>
          <w:p w14:paraId="1B18AA3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r>
      <w:tr w:rsidR="00695E59" w:rsidRPr="007B3726" w14:paraId="7A8CD611" w14:textId="77777777" w:rsidTr="007B3726">
        <w:tc>
          <w:tcPr>
            <w:tcW w:w="890" w:type="dxa"/>
            <w:shd w:val="clear" w:color="auto" w:fill="auto"/>
          </w:tcPr>
          <w:p w14:paraId="0EE15E0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w:t>
            </w:r>
          </w:p>
        </w:tc>
        <w:tc>
          <w:tcPr>
            <w:tcW w:w="5064" w:type="dxa"/>
            <w:shd w:val="clear" w:color="auto" w:fill="auto"/>
            <w:vAlign w:val="bottom"/>
          </w:tcPr>
          <w:p w14:paraId="76DFEC2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Khon Kaen Central Prison</w:t>
            </w:r>
          </w:p>
        </w:tc>
        <w:tc>
          <w:tcPr>
            <w:tcW w:w="2410" w:type="dxa"/>
            <w:shd w:val="clear" w:color="auto" w:fill="auto"/>
            <w:vAlign w:val="bottom"/>
          </w:tcPr>
          <w:p w14:paraId="0772AE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22</w:t>
            </w:r>
          </w:p>
        </w:tc>
        <w:tc>
          <w:tcPr>
            <w:tcW w:w="2409" w:type="dxa"/>
            <w:shd w:val="clear" w:color="auto" w:fill="auto"/>
            <w:vAlign w:val="bottom"/>
          </w:tcPr>
          <w:p w14:paraId="55A85E8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23</w:t>
            </w:r>
          </w:p>
        </w:tc>
        <w:tc>
          <w:tcPr>
            <w:tcW w:w="2552" w:type="dxa"/>
            <w:shd w:val="clear" w:color="auto" w:fill="auto"/>
            <w:vAlign w:val="bottom"/>
          </w:tcPr>
          <w:p w14:paraId="373EAD5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29A0C434" w14:textId="77777777" w:rsidTr="007B3726">
        <w:tc>
          <w:tcPr>
            <w:tcW w:w="890" w:type="dxa"/>
            <w:shd w:val="clear" w:color="auto" w:fill="auto"/>
          </w:tcPr>
          <w:p w14:paraId="07FD46D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w:t>
            </w:r>
          </w:p>
        </w:tc>
        <w:tc>
          <w:tcPr>
            <w:tcW w:w="5064" w:type="dxa"/>
            <w:shd w:val="clear" w:color="auto" w:fill="auto"/>
            <w:vAlign w:val="bottom"/>
          </w:tcPr>
          <w:p w14:paraId="1A9422F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Khao Bin Central Prison</w:t>
            </w:r>
          </w:p>
        </w:tc>
        <w:tc>
          <w:tcPr>
            <w:tcW w:w="2410" w:type="dxa"/>
            <w:shd w:val="clear" w:color="auto" w:fill="auto"/>
            <w:vAlign w:val="bottom"/>
          </w:tcPr>
          <w:p w14:paraId="400F1F2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1F2BBDF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c>
          <w:tcPr>
            <w:tcW w:w="2552" w:type="dxa"/>
            <w:shd w:val="clear" w:color="auto" w:fill="auto"/>
            <w:vAlign w:val="bottom"/>
          </w:tcPr>
          <w:p w14:paraId="6C23848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38204B71" w14:textId="77777777" w:rsidTr="007B3726">
        <w:tc>
          <w:tcPr>
            <w:tcW w:w="890" w:type="dxa"/>
            <w:shd w:val="clear" w:color="auto" w:fill="auto"/>
          </w:tcPr>
          <w:p w14:paraId="1793D4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w:t>
            </w:r>
          </w:p>
        </w:tc>
        <w:tc>
          <w:tcPr>
            <w:tcW w:w="5064" w:type="dxa"/>
            <w:shd w:val="clear" w:color="auto" w:fill="auto"/>
            <w:vAlign w:val="bottom"/>
          </w:tcPr>
          <w:p w14:paraId="1D4D56D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Klong Prem Central Prison</w:t>
            </w:r>
          </w:p>
        </w:tc>
        <w:tc>
          <w:tcPr>
            <w:tcW w:w="2410" w:type="dxa"/>
            <w:shd w:val="clear" w:color="auto" w:fill="auto"/>
            <w:vAlign w:val="bottom"/>
          </w:tcPr>
          <w:p w14:paraId="3B099C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7AD203E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65EC5FB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02064DC5" w14:textId="77777777" w:rsidTr="007B3726">
        <w:tc>
          <w:tcPr>
            <w:tcW w:w="890" w:type="dxa"/>
            <w:shd w:val="clear" w:color="auto" w:fill="auto"/>
          </w:tcPr>
          <w:p w14:paraId="49FAF9B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w:t>
            </w:r>
          </w:p>
        </w:tc>
        <w:tc>
          <w:tcPr>
            <w:tcW w:w="5064" w:type="dxa"/>
            <w:shd w:val="clear" w:color="auto" w:fill="auto"/>
            <w:vAlign w:val="bottom"/>
          </w:tcPr>
          <w:p w14:paraId="3C4B3FF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Klong Phai Central Prison</w:t>
            </w:r>
          </w:p>
        </w:tc>
        <w:tc>
          <w:tcPr>
            <w:tcW w:w="2410" w:type="dxa"/>
            <w:shd w:val="clear" w:color="auto" w:fill="auto"/>
            <w:vAlign w:val="bottom"/>
          </w:tcPr>
          <w:p w14:paraId="2DE0E58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12</w:t>
            </w:r>
          </w:p>
        </w:tc>
        <w:tc>
          <w:tcPr>
            <w:tcW w:w="2409" w:type="dxa"/>
            <w:shd w:val="clear" w:color="auto" w:fill="auto"/>
            <w:vAlign w:val="bottom"/>
          </w:tcPr>
          <w:p w14:paraId="27D34CB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c>
          <w:tcPr>
            <w:tcW w:w="2552" w:type="dxa"/>
            <w:shd w:val="clear" w:color="auto" w:fill="auto"/>
            <w:vAlign w:val="bottom"/>
          </w:tcPr>
          <w:p w14:paraId="70337B1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00459F6E" w14:textId="77777777" w:rsidTr="007B3726">
        <w:tc>
          <w:tcPr>
            <w:tcW w:w="890" w:type="dxa"/>
            <w:shd w:val="clear" w:color="auto" w:fill="auto"/>
          </w:tcPr>
          <w:p w14:paraId="46E2306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w:t>
            </w:r>
          </w:p>
        </w:tc>
        <w:tc>
          <w:tcPr>
            <w:tcW w:w="5064" w:type="dxa"/>
            <w:shd w:val="clear" w:color="auto" w:fill="auto"/>
            <w:vAlign w:val="bottom"/>
          </w:tcPr>
          <w:p w14:paraId="6E67648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Chachoengsao Central Prison</w:t>
            </w:r>
          </w:p>
        </w:tc>
        <w:tc>
          <w:tcPr>
            <w:tcW w:w="2410" w:type="dxa"/>
            <w:shd w:val="clear" w:color="auto" w:fill="auto"/>
            <w:vAlign w:val="bottom"/>
          </w:tcPr>
          <w:p w14:paraId="0F87F3E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6DA561C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7CA5D0B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3010709D" w14:textId="77777777" w:rsidTr="007B3726">
        <w:tc>
          <w:tcPr>
            <w:tcW w:w="890" w:type="dxa"/>
            <w:shd w:val="clear" w:color="auto" w:fill="auto"/>
          </w:tcPr>
          <w:p w14:paraId="0A01FE6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w:t>
            </w:r>
          </w:p>
        </w:tc>
        <w:tc>
          <w:tcPr>
            <w:tcW w:w="5064" w:type="dxa"/>
            <w:shd w:val="clear" w:color="auto" w:fill="auto"/>
            <w:vAlign w:val="bottom"/>
          </w:tcPr>
          <w:p w14:paraId="098A6FA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Chonburi Central Prison</w:t>
            </w:r>
          </w:p>
        </w:tc>
        <w:tc>
          <w:tcPr>
            <w:tcW w:w="2410" w:type="dxa"/>
            <w:shd w:val="clear" w:color="auto" w:fill="auto"/>
            <w:vAlign w:val="bottom"/>
          </w:tcPr>
          <w:p w14:paraId="1EEAD3B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26</w:t>
            </w:r>
          </w:p>
        </w:tc>
        <w:tc>
          <w:tcPr>
            <w:tcW w:w="2409" w:type="dxa"/>
            <w:shd w:val="clear" w:color="auto" w:fill="auto"/>
            <w:vAlign w:val="bottom"/>
          </w:tcPr>
          <w:p w14:paraId="31C8236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40</w:t>
            </w:r>
          </w:p>
        </w:tc>
        <w:tc>
          <w:tcPr>
            <w:tcW w:w="2552" w:type="dxa"/>
            <w:shd w:val="clear" w:color="auto" w:fill="auto"/>
            <w:vAlign w:val="bottom"/>
          </w:tcPr>
          <w:p w14:paraId="660384F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r>
      <w:tr w:rsidR="00695E59" w:rsidRPr="007B3726" w14:paraId="5C25D411" w14:textId="77777777" w:rsidTr="007B3726">
        <w:tc>
          <w:tcPr>
            <w:tcW w:w="890" w:type="dxa"/>
            <w:shd w:val="clear" w:color="auto" w:fill="auto"/>
          </w:tcPr>
          <w:p w14:paraId="01BD071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w:t>
            </w:r>
          </w:p>
        </w:tc>
        <w:tc>
          <w:tcPr>
            <w:tcW w:w="5064" w:type="dxa"/>
            <w:shd w:val="clear" w:color="auto" w:fill="auto"/>
            <w:vAlign w:val="bottom"/>
          </w:tcPr>
          <w:p w14:paraId="4BC4A3F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Chiang Rai Central Prison</w:t>
            </w:r>
          </w:p>
        </w:tc>
        <w:tc>
          <w:tcPr>
            <w:tcW w:w="2410" w:type="dxa"/>
            <w:shd w:val="clear" w:color="auto" w:fill="auto"/>
            <w:vAlign w:val="bottom"/>
          </w:tcPr>
          <w:p w14:paraId="51D3FD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20</w:t>
            </w:r>
          </w:p>
        </w:tc>
        <w:tc>
          <w:tcPr>
            <w:tcW w:w="2409" w:type="dxa"/>
            <w:shd w:val="clear" w:color="auto" w:fill="auto"/>
            <w:vAlign w:val="bottom"/>
          </w:tcPr>
          <w:p w14:paraId="4CA09C6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32</w:t>
            </w:r>
          </w:p>
        </w:tc>
        <w:tc>
          <w:tcPr>
            <w:tcW w:w="2552" w:type="dxa"/>
            <w:shd w:val="clear" w:color="auto" w:fill="auto"/>
            <w:vAlign w:val="bottom"/>
          </w:tcPr>
          <w:p w14:paraId="489D788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22</w:t>
            </w:r>
          </w:p>
        </w:tc>
      </w:tr>
      <w:tr w:rsidR="00695E59" w:rsidRPr="007B3726" w14:paraId="24C71B19" w14:textId="77777777" w:rsidTr="007B3726">
        <w:tc>
          <w:tcPr>
            <w:tcW w:w="890" w:type="dxa"/>
            <w:shd w:val="clear" w:color="auto" w:fill="auto"/>
          </w:tcPr>
          <w:p w14:paraId="3245882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w:t>
            </w:r>
          </w:p>
        </w:tc>
        <w:tc>
          <w:tcPr>
            <w:tcW w:w="5064" w:type="dxa"/>
            <w:shd w:val="clear" w:color="auto" w:fill="auto"/>
            <w:vAlign w:val="bottom"/>
          </w:tcPr>
          <w:p w14:paraId="3084792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Chiang Mai Central Prison</w:t>
            </w:r>
          </w:p>
        </w:tc>
        <w:tc>
          <w:tcPr>
            <w:tcW w:w="2410" w:type="dxa"/>
            <w:shd w:val="clear" w:color="auto" w:fill="auto"/>
            <w:vAlign w:val="bottom"/>
          </w:tcPr>
          <w:p w14:paraId="6528060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52</w:t>
            </w:r>
          </w:p>
        </w:tc>
        <w:tc>
          <w:tcPr>
            <w:tcW w:w="2409" w:type="dxa"/>
            <w:shd w:val="clear" w:color="auto" w:fill="auto"/>
            <w:vAlign w:val="bottom"/>
          </w:tcPr>
          <w:p w14:paraId="4B7D5F3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43</w:t>
            </w:r>
          </w:p>
        </w:tc>
        <w:tc>
          <w:tcPr>
            <w:tcW w:w="2552" w:type="dxa"/>
            <w:shd w:val="clear" w:color="auto" w:fill="auto"/>
            <w:vAlign w:val="bottom"/>
          </w:tcPr>
          <w:p w14:paraId="23B9AA4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27</w:t>
            </w:r>
          </w:p>
        </w:tc>
      </w:tr>
      <w:tr w:rsidR="00695E59" w:rsidRPr="007B3726" w14:paraId="36776379" w14:textId="77777777" w:rsidTr="007B3726">
        <w:tc>
          <w:tcPr>
            <w:tcW w:w="890" w:type="dxa"/>
            <w:shd w:val="clear" w:color="auto" w:fill="auto"/>
          </w:tcPr>
          <w:p w14:paraId="056760B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14</w:t>
            </w:r>
          </w:p>
        </w:tc>
        <w:tc>
          <w:tcPr>
            <w:tcW w:w="5064" w:type="dxa"/>
            <w:shd w:val="clear" w:color="auto" w:fill="auto"/>
            <w:vAlign w:val="bottom"/>
          </w:tcPr>
          <w:p w14:paraId="69F6A6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Tak Central Prison</w:t>
            </w:r>
          </w:p>
        </w:tc>
        <w:tc>
          <w:tcPr>
            <w:tcW w:w="2410" w:type="dxa"/>
            <w:shd w:val="clear" w:color="auto" w:fill="auto"/>
            <w:vAlign w:val="bottom"/>
          </w:tcPr>
          <w:p w14:paraId="366AABA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35488FB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3BBF56F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74A61E00" w14:textId="77777777" w:rsidTr="007B3726">
        <w:tc>
          <w:tcPr>
            <w:tcW w:w="890" w:type="dxa"/>
            <w:shd w:val="clear" w:color="auto" w:fill="auto"/>
          </w:tcPr>
          <w:p w14:paraId="1D2FDF7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15</w:t>
            </w:r>
          </w:p>
        </w:tc>
        <w:tc>
          <w:tcPr>
            <w:tcW w:w="5064" w:type="dxa"/>
            <w:shd w:val="clear" w:color="auto" w:fill="auto"/>
            <w:vAlign w:val="bottom"/>
          </w:tcPr>
          <w:p w14:paraId="509CAF2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Pathom Central Prison</w:t>
            </w:r>
          </w:p>
        </w:tc>
        <w:tc>
          <w:tcPr>
            <w:tcW w:w="2410" w:type="dxa"/>
            <w:shd w:val="clear" w:color="auto" w:fill="auto"/>
            <w:vAlign w:val="bottom"/>
          </w:tcPr>
          <w:p w14:paraId="25F8134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3907854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18</w:t>
            </w:r>
          </w:p>
        </w:tc>
        <w:tc>
          <w:tcPr>
            <w:tcW w:w="2552" w:type="dxa"/>
            <w:shd w:val="clear" w:color="auto" w:fill="auto"/>
            <w:vAlign w:val="bottom"/>
          </w:tcPr>
          <w:p w14:paraId="70908E0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r>
      <w:tr w:rsidR="00695E59" w:rsidRPr="007B3726" w14:paraId="2CFA8622" w14:textId="77777777" w:rsidTr="007B3726">
        <w:tc>
          <w:tcPr>
            <w:tcW w:w="890" w:type="dxa"/>
            <w:shd w:val="clear" w:color="auto" w:fill="auto"/>
          </w:tcPr>
          <w:p w14:paraId="23D9D65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16</w:t>
            </w:r>
          </w:p>
        </w:tc>
        <w:tc>
          <w:tcPr>
            <w:tcW w:w="5064" w:type="dxa"/>
            <w:shd w:val="clear" w:color="auto" w:fill="auto"/>
            <w:vAlign w:val="bottom"/>
          </w:tcPr>
          <w:p w14:paraId="76FFC60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Phanom Central Prison</w:t>
            </w:r>
          </w:p>
        </w:tc>
        <w:tc>
          <w:tcPr>
            <w:tcW w:w="2410" w:type="dxa"/>
            <w:shd w:val="clear" w:color="auto" w:fill="auto"/>
            <w:vAlign w:val="bottom"/>
          </w:tcPr>
          <w:p w14:paraId="4D5DDE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14</w:t>
            </w:r>
          </w:p>
        </w:tc>
        <w:tc>
          <w:tcPr>
            <w:tcW w:w="2409" w:type="dxa"/>
            <w:shd w:val="clear" w:color="auto" w:fill="auto"/>
            <w:vAlign w:val="bottom"/>
          </w:tcPr>
          <w:p w14:paraId="253759A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19</w:t>
            </w:r>
          </w:p>
        </w:tc>
        <w:tc>
          <w:tcPr>
            <w:tcW w:w="2552" w:type="dxa"/>
            <w:shd w:val="clear" w:color="auto" w:fill="auto"/>
            <w:vAlign w:val="bottom"/>
          </w:tcPr>
          <w:p w14:paraId="5777E0D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r>
      <w:tr w:rsidR="00695E59" w:rsidRPr="007B3726" w14:paraId="74448234" w14:textId="77777777" w:rsidTr="007B3726">
        <w:tc>
          <w:tcPr>
            <w:tcW w:w="890" w:type="dxa"/>
            <w:shd w:val="clear" w:color="auto" w:fill="auto"/>
          </w:tcPr>
          <w:p w14:paraId="21F885E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17</w:t>
            </w:r>
          </w:p>
        </w:tc>
        <w:tc>
          <w:tcPr>
            <w:tcW w:w="5064" w:type="dxa"/>
            <w:shd w:val="clear" w:color="auto" w:fill="auto"/>
            <w:vAlign w:val="bottom"/>
          </w:tcPr>
          <w:p w14:paraId="563556D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Ratchasima Central Prison</w:t>
            </w:r>
          </w:p>
        </w:tc>
        <w:tc>
          <w:tcPr>
            <w:tcW w:w="2410" w:type="dxa"/>
            <w:shd w:val="clear" w:color="auto" w:fill="auto"/>
            <w:vAlign w:val="bottom"/>
          </w:tcPr>
          <w:p w14:paraId="575250B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8</w:t>
            </w:r>
          </w:p>
        </w:tc>
        <w:tc>
          <w:tcPr>
            <w:tcW w:w="2409" w:type="dxa"/>
            <w:shd w:val="clear" w:color="auto" w:fill="auto"/>
            <w:vAlign w:val="bottom"/>
          </w:tcPr>
          <w:p w14:paraId="0BEFAD6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12</w:t>
            </w:r>
          </w:p>
        </w:tc>
        <w:tc>
          <w:tcPr>
            <w:tcW w:w="2552" w:type="dxa"/>
            <w:shd w:val="clear" w:color="auto" w:fill="auto"/>
            <w:vAlign w:val="bottom"/>
          </w:tcPr>
          <w:p w14:paraId="04DB833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3244FA3F" w14:textId="77777777" w:rsidTr="007B3726">
        <w:tc>
          <w:tcPr>
            <w:tcW w:w="890" w:type="dxa"/>
            <w:shd w:val="clear" w:color="auto" w:fill="auto"/>
          </w:tcPr>
          <w:p w14:paraId="034406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18</w:t>
            </w:r>
          </w:p>
        </w:tc>
        <w:tc>
          <w:tcPr>
            <w:tcW w:w="5064" w:type="dxa"/>
            <w:shd w:val="clear" w:color="auto" w:fill="auto"/>
            <w:vAlign w:val="bottom"/>
          </w:tcPr>
          <w:p w14:paraId="63C6589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proofErr w:type="spellStart"/>
            <w:r w:rsidRPr="00DC2C41">
              <w:rPr>
                <w:rFonts w:eastAsia="ZWAdobeF"/>
                <w:sz w:val="18"/>
                <w:szCs w:val="18"/>
                <w:lang w:val="fr-CH" w:bidi="th-TH"/>
              </w:rPr>
              <w:t>Nakhon</w:t>
            </w:r>
            <w:proofErr w:type="spellEnd"/>
            <w:r w:rsidRPr="00DC2C41">
              <w:rPr>
                <w:rFonts w:eastAsia="ZWAdobeF"/>
                <w:sz w:val="18"/>
                <w:szCs w:val="18"/>
                <w:lang w:val="fr-CH" w:bidi="th-TH"/>
              </w:rPr>
              <w:t xml:space="preserve"> Si </w:t>
            </w:r>
            <w:proofErr w:type="spellStart"/>
            <w:r w:rsidRPr="00DC2C41">
              <w:rPr>
                <w:rFonts w:eastAsia="ZWAdobeF"/>
                <w:sz w:val="18"/>
                <w:szCs w:val="18"/>
                <w:lang w:val="fr-CH" w:bidi="th-TH"/>
              </w:rPr>
              <w:t>Thammarat</w:t>
            </w:r>
            <w:proofErr w:type="spellEnd"/>
            <w:r w:rsidRPr="00DC2C41">
              <w:rPr>
                <w:rFonts w:eastAsia="ZWAdobeF"/>
                <w:sz w:val="18"/>
                <w:szCs w:val="18"/>
                <w:lang w:val="fr-CH" w:bidi="th-TH"/>
              </w:rPr>
              <w:t xml:space="preserve"> Central Prison</w:t>
            </w:r>
          </w:p>
        </w:tc>
        <w:tc>
          <w:tcPr>
            <w:tcW w:w="2410" w:type="dxa"/>
            <w:shd w:val="clear" w:color="auto" w:fill="auto"/>
            <w:vAlign w:val="bottom"/>
          </w:tcPr>
          <w:p w14:paraId="4B4087F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14</w:t>
            </w:r>
          </w:p>
        </w:tc>
        <w:tc>
          <w:tcPr>
            <w:tcW w:w="2409" w:type="dxa"/>
            <w:shd w:val="clear" w:color="auto" w:fill="auto"/>
            <w:vAlign w:val="bottom"/>
          </w:tcPr>
          <w:p w14:paraId="05AC34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c>
          <w:tcPr>
            <w:tcW w:w="2552" w:type="dxa"/>
            <w:shd w:val="clear" w:color="auto" w:fill="auto"/>
            <w:vAlign w:val="bottom"/>
          </w:tcPr>
          <w:p w14:paraId="3A67917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17</w:t>
            </w:r>
          </w:p>
        </w:tc>
      </w:tr>
      <w:tr w:rsidR="00695E59" w:rsidRPr="007B3726" w14:paraId="3CC52C10" w14:textId="77777777" w:rsidTr="007B3726">
        <w:tc>
          <w:tcPr>
            <w:tcW w:w="890" w:type="dxa"/>
            <w:shd w:val="clear" w:color="auto" w:fill="auto"/>
          </w:tcPr>
          <w:p w14:paraId="1B40FF3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19</w:t>
            </w:r>
          </w:p>
        </w:tc>
        <w:tc>
          <w:tcPr>
            <w:tcW w:w="5064" w:type="dxa"/>
            <w:shd w:val="clear" w:color="auto" w:fill="auto"/>
            <w:vAlign w:val="bottom"/>
          </w:tcPr>
          <w:p w14:paraId="278B503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Sawan Central Prison</w:t>
            </w:r>
          </w:p>
        </w:tc>
        <w:tc>
          <w:tcPr>
            <w:tcW w:w="2410" w:type="dxa"/>
            <w:shd w:val="clear" w:color="auto" w:fill="auto"/>
            <w:vAlign w:val="bottom"/>
          </w:tcPr>
          <w:p w14:paraId="269073F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28</w:t>
            </w:r>
          </w:p>
        </w:tc>
        <w:tc>
          <w:tcPr>
            <w:tcW w:w="2409" w:type="dxa"/>
            <w:shd w:val="clear" w:color="auto" w:fill="auto"/>
            <w:vAlign w:val="bottom"/>
          </w:tcPr>
          <w:p w14:paraId="0EBEAB5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21</w:t>
            </w:r>
          </w:p>
        </w:tc>
        <w:tc>
          <w:tcPr>
            <w:tcW w:w="2552" w:type="dxa"/>
            <w:shd w:val="clear" w:color="auto" w:fill="auto"/>
            <w:vAlign w:val="bottom"/>
          </w:tcPr>
          <w:p w14:paraId="43C0212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622521A2" w14:textId="77777777" w:rsidTr="007B3726">
        <w:tc>
          <w:tcPr>
            <w:tcW w:w="890" w:type="dxa"/>
            <w:shd w:val="clear" w:color="auto" w:fill="auto"/>
          </w:tcPr>
          <w:p w14:paraId="7338398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20</w:t>
            </w:r>
          </w:p>
        </w:tc>
        <w:tc>
          <w:tcPr>
            <w:tcW w:w="5064" w:type="dxa"/>
            <w:shd w:val="clear" w:color="auto" w:fill="auto"/>
            <w:vAlign w:val="bottom"/>
          </w:tcPr>
          <w:p w14:paraId="4F04CAF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Bang Kwang Central Prison</w:t>
            </w:r>
          </w:p>
        </w:tc>
        <w:tc>
          <w:tcPr>
            <w:tcW w:w="2410" w:type="dxa"/>
            <w:shd w:val="clear" w:color="auto" w:fill="auto"/>
            <w:vAlign w:val="bottom"/>
          </w:tcPr>
          <w:p w14:paraId="05EB193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2732D7E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14</w:t>
            </w:r>
          </w:p>
        </w:tc>
        <w:tc>
          <w:tcPr>
            <w:tcW w:w="2552" w:type="dxa"/>
            <w:shd w:val="clear" w:color="auto" w:fill="auto"/>
            <w:vAlign w:val="bottom"/>
          </w:tcPr>
          <w:p w14:paraId="6492787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r>
      <w:tr w:rsidR="00695E59" w:rsidRPr="007B3726" w14:paraId="72E81BA0" w14:textId="77777777" w:rsidTr="007B3726">
        <w:tc>
          <w:tcPr>
            <w:tcW w:w="890" w:type="dxa"/>
            <w:shd w:val="clear" w:color="auto" w:fill="auto"/>
          </w:tcPr>
          <w:p w14:paraId="458835F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21</w:t>
            </w:r>
          </w:p>
        </w:tc>
        <w:tc>
          <w:tcPr>
            <w:tcW w:w="5064" w:type="dxa"/>
            <w:shd w:val="clear" w:color="auto" w:fill="auto"/>
            <w:vAlign w:val="bottom"/>
          </w:tcPr>
          <w:p w14:paraId="158B37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Pattani Central Prison</w:t>
            </w:r>
          </w:p>
        </w:tc>
        <w:tc>
          <w:tcPr>
            <w:tcW w:w="2410" w:type="dxa"/>
            <w:shd w:val="clear" w:color="auto" w:fill="auto"/>
            <w:vAlign w:val="bottom"/>
          </w:tcPr>
          <w:p w14:paraId="18CC8E6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9</w:t>
            </w:r>
          </w:p>
        </w:tc>
        <w:tc>
          <w:tcPr>
            <w:tcW w:w="2409" w:type="dxa"/>
            <w:shd w:val="clear" w:color="auto" w:fill="auto"/>
            <w:vAlign w:val="bottom"/>
          </w:tcPr>
          <w:p w14:paraId="7A8099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c>
          <w:tcPr>
            <w:tcW w:w="2552" w:type="dxa"/>
            <w:shd w:val="clear" w:color="auto" w:fill="auto"/>
            <w:vAlign w:val="bottom"/>
          </w:tcPr>
          <w:p w14:paraId="329756C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r>
      <w:tr w:rsidR="00695E59" w:rsidRPr="007B3726" w14:paraId="60548A9E" w14:textId="77777777" w:rsidTr="007B3726">
        <w:tc>
          <w:tcPr>
            <w:tcW w:w="890" w:type="dxa"/>
            <w:shd w:val="clear" w:color="auto" w:fill="auto"/>
          </w:tcPr>
          <w:p w14:paraId="4D78D07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22</w:t>
            </w:r>
          </w:p>
        </w:tc>
        <w:tc>
          <w:tcPr>
            <w:tcW w:w="5064" w:type="dxa"/>
            <w:shd w:val="clear" w:color="auto" w:fill="auto"/>
            <w:vAlign w:val="bottom"/>
          </w:tcPr>
          <w:p w14:paraId="2EE1810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Phra Nakhon Si Ayutthaya Central Prison</w:t>
            </w:r>
          </w:p>
        </w:tc>
        <w:tc>
          <w:tcPr>
            <w:tcW w:w="2410" w:type="dxa"/>
            <w:shd w:val="clear" w:color="auto" w:fill="auto"/>
            <w:vAlign w:val="bottom"/>
          </w:tcPr>
          <w:p w14:paraId="1C20AF2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2CED614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29BA04B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555387A5" w14:textId="77777777" w:rsidTr="007B3726">
        <w:tc>
          <w:tcPr>
            <w:tcW w:w="890" w:type="dxa"/>
            <w:shd w:val="clear" w:color="auto" w:fill="auto"/>
          </w:tcPr>
          <w:p w14:paraId="2656C5F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23</w:t>
            </w:r>
          </w:p>
        </w:tc>
        <w:tc>
          <w:tcPr>
            <w:tcW w:w="5064" w:type="dxa"/>
            <w:shd w:val="clear" w:color="auto" w:fill="auto"/>
            <w:vAlign w:val="bottom"/>
          </w:tcPr>
          <w:p w14:paraId="69F4494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Phatthalung Central Prison</w:t>
            </w:r>
          </w:p>
        </w:tc>
        <w:tc>
          <w:tcPr>
            <w:tcW w:w="2410" w:type="dxa"/>
            <w:shd w:val="clear" w:color="auto" w:fill="auto"/>
            <w:vAlign w:val="bottom"/>
          </w:tcPr>
          <w:p w14:paraId="5BACE2E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12892F7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33EE3AD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4E3F1BD8" w14:textId="77777777" w:rsidTr="007B3726">
        <w:tc>
          <w:tcPr>
            <w:tcW w:w="890" w:type="dxa"/>
            <w:shd w:val="clear" w:color="auto" w:fill="auto"/>
          </w:tcPr>
          <w:p w14:paraId="00879A5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24</w:t>
            </w:r>
          </w:p>
        </w:tc>
        <w:tc>
          <w:tcPr>
            <w:tcW w:w="5064" w:type="dxa"/>
            <w:shd w:val="clear" w:color="auto" w:fill="auto"/>
            <w:vAlign w:val="bottom"/>
          </w:tcPr>
          <w:p w14:paraId="6D3997F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Phitsanulok Central Prison</w:t>
            </w:r>
          </w:p>
        </w:tc>
        <w:tc>
          <w:tcPr>
            <w:tcW w:w="2410" w:type="dxa"/>
            <w:shd w:val="clear" w:color="auto" w:fill="auto"/>
            <w:vAlign w:val="bottom"/>
          </w:tcPr>
          <w:p w14:paraId="5587785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13</w:t>
            </w:r>
          </w:p>
        </w:tc>
        <w:tc>
          <w:tcPr>
            <w:tcW w:w="2409" w:type="dxa"/>
            <w:shd w:val="clear" w:color="auto" w:fill="auto"/>
            <w:vAlign w:val="bottom"/>
          </w:tcPr>
          <w:p w14:paraId="4921251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18</w:t>
            </w:r>
          </w:p>
        </w:tc>
        <w:tc>
          <w:tcPr>
            <w:tcW w:w="2552" w:type="dxa"/>
            <w:shd w:val="clear" w:color="auto" w:fill="auto"/>
            <w:vAlign w:val="bottom"/>
          </w:tcPr>
          <w:p w14:paraId="1798714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r>
      <w:tr w:rsidR="00695E59" w:rsidRPr="007B3726" w14:paraId="01D2DD68" w14:textId="77777777" w:rsidTr="007B3726">
        <w:tc>
          <w:tcPr>
            <w:tcW w:w="890" w:type="dxa"/>
            <w:shd w:val="clear" w:color="auto" w:fill="auto"/>
          </w:tcPr>
          <w:p w14:paraId="661BFFE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25</w:t>
            </w:r>
          </w:p>
        </w:tc>
        <w:tc>
          <w:tcPr>
            <w:tcW w:w="5064" w:type="dxa"/>
            <w:shd w:val="clear" w:color="auto" w:fill="auto"/>
            <w:vAlign w:val="bottom"/>
          </w:tcPr>
          <w:p w14:paraId="5B34A02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Phetchaburi Central Prison</w:t>
            </w:r>
          </w:p>
        </w:tc>
        <w:tc>
          <w:tcPr>
            <w:tcW w:w="2410" w:type="dxa"/>
            <w:shd w:val="clear" w:color="auto" w:fill="auto"/>
            <w:vAlign w:val="bottom"/>
          </w:tcPr>
          <w:p w14:paraId="0CF1A9B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15</w:t>
            </w:r>
          </w:p>
        </w:tc>
        <w:tc>
          <w:tcPr>
            <w:tcW w:w="2409" w:type="dxa"/>
            <w:shd w:val="clear" w:color="auto" w:fill="auto"/>
            <w:vAlign w:val="bottom"/>
          </w:tcPr>
          <w:p w14:paraId="2E09141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c>
          <w:tcPr>
            <w:tcW w:w="2552" w:type="dxa"/>
            <w:shd w:val="clear" w:color="auto" w:fill="auto"/>
            <w:vAlign w:val="bottom"/>
          </w:tcPr>
          <w:p w14:paraId="2D53C5A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r>
      <w:tr w:rsidR="00695E59" w:rsidRPr="007B3726" w14:paraId="2F668A5A" w14:textId="77777777" w:rsidTr="007B3726">
        <w:tc>
          <w:tcPr>
            <w:tcW w:w="890" w:type="dxa"/>
            <w:shd w:val="clear" w:color="auto" w:fill="auto"/>
          </w:tcPr>
          <w:p w14:paraId="11849FA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26</w:t>
            </w:r>
          </w:p>
        </w:tc>
        <w:tc>
          <w:tcPr>
            <w:tcW w:w="5064" w:type="dxa"/>
            <w:shd w:val="clear" w:color="auto" w:fill="auto"/>
            <w:vAlign w:val="bottom"/>
          </w:tcPr>
          <w:p w14:paraId="27EE488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Yala Central Prison</w:t>
            </w:r>
          </w:p>
        </w:tc>
        <w:tc>
          <w:tcPr>
            <w:tcW w:w="2410" w:type="dxa"/>
            <w:shd w:val="clear" w:color="auto" w:fill="auto"/>
            <w:vAlign w:val="bottom"/>
          </w:tcPr>
          <w:p w14:paraId="7B603E1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363C337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3E8FD83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18E0E87B" w14:textId="77777777" w:rsidTr="007B3726">
        <w:tc>
          <w:tcPr>
            <w:tcW w:w="890" w:type="dxa"/>
            <w:shd w:val="clear" w:color="auto" w:fill="auto"/>
          </w:tcPr>
          <w:p w14:paraId="0BD6666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27</w:t>
            </w:r>
          </w:p>
        </w:tc>
        <w:tc>
          <w:tcPr>
            <w:tcW w:w="5064" w:type="dxa"/>
            <w:shd w:val="clear" w:color="auto" w:fill="auto"/>
            <w:vAlign w:val="bottom"/>
          </w:tcPr>
          <w:p w14:paraId="3B2350B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Rayong Central Prison</w:t>
            </w:r>
          </w:p>
        </w:tc>
        <w:tc>
          <w:tcPr>
            <w:tcW w:w="2410" w:type="dxa"/>
            <w:shd w:val="clear" w:color="auto" w:fill="auto"/>
            <w:vAlign w:val="bottom"/>
          </w:tcPr>
          <w:p w14:paraId="54DD3BE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23</w:t>
            </w:r>
          </w:p>
        </w:tc>
        <w:tc>
          <w:tcPr>
            <w:tcW w:w="2409" w:type="dxa"/>
            <w:shd w:val="clear" w:color="auto" w:fill="auto"/>
            <w:vAlign w:val="bottom"/>
          </w:tcPr>
          <w:p w14:paraId="464FCD3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19</w:t>
            </w:r>
          </w:p>
        </w:tc>
        <w:tc>
          <w:tcPr>
            <w:tcW w:w="2552" w:type="dxa"/>
            <w:shd w:val="clear" w:color="auto" w:fill="auto"/>
            <w:vAlign w:val="bottom"/>
          </w:tcPr>
          <w:p w14:paraId="7E803E3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20</w:t>
            </w:r>
          </w:p>
        </w:tc>
      </w:tr>
      <w:tr w:rsidR="00695E59" w:rsidRPr="007B3726" w14:paraId="54B27B72" w14:textId="77777777" w:rsidTr="007B3726">
        <w:tc>
          <w:tcPr>
            <w:tcW w:w="890" w:type="dxa"/>
            <w:shd w:val="clear" w:color="auto" w:fill="auto"/>
          </w:tcPr>
          <w:p w14:paraId="0743784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28</w:t>
            </w:r>
          </w:p>
        </w:tc>
        <w:tc>
          <w:tcPr>
            <w:tcW w:w="5064" w:type="dxa"/>
            <w:shd w:val="clear" w:color="auto" w:fill="auto"/>
            <w:vAlign w:val="bottom"/>
          </w:tcPr>
          <w:p w14:paraId="4268E04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Ratchaburi Central Prison</w:t>
            </w:r>
          </w:p>
        </w:tc>
        <w:tc>
          <w:tcPr>
            <w:tcW w:w="2410" w:type="dxa"/>
            <w:shd w:val="clear" w:color="auto" w:fill="auto"/>
            <w:vAlign w:val="bottom"/>
          </w:tcPr>
          <w:p w14:paraId="4C6FEF8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24</w:t>
            </w:r>
          </w:p>
        </w:tc>
        <w:tc>
          <w:tcPr>
            <w:tcW w:w="2409" w:type="dxa"/>
            <w:shd w:val="clear" w:color="auto" w:fill="auto"/>
            <w:vAlign w:val="bottom"/>
          </w:tcPr>
          <w:p w14:paraId="7D443C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22</w:t>
            </w:r>
          </w:p>
        </w:tc>
        <w:tc>
          <w:tcPr>
            <w:tcW w:w="2552" w:type="dxa"/>
            <w:shd w:val="clear" w:color="auto" w:fill="auto"/>
            <w:vAlign w:val="bottom"/>
          </w:tcPr>
          <w:p w14:paraId="3DD2A28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13</w:t>
            </w:r>
          </w:p>
        </w:tc>
      </w:tr>
      <w:tr w:rsidR="00695E59" w:rsidRPr="007B3726" w14:paraId="2AC51E3B" w14:textId="77777777" w:rsidTr="007B3726">
        <w:tc>
          <w:tcPr>
            <w:tcW w:w="890" w:type="dxa"/>
            <w:shd w:val="clear" w:color="auto" w:fill="auto"/>
          </w:tcPr>
          <w:p w14:paraId="5E36B32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29</w:t>
            </w:r>
          </w:p>
        </w:tc>
        <w:tc>
          <w:tcPr>
            <w:tcW w:w="5064" w:type="dxa"/>
            <w:shd w:val="clear" w:color="auto" w:fill="auto"/>
            <w:vAlign w:val="bottom"/>
          </w:tcPr>
          <w:p w14:paraId="7383F13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Lop Buri Central Prison</w:t>
            </w:r>
          </w:p>
        </w:tc>
        <w:tc>
          <w:tcPr>
            <w:tcW w:w="2410" w:type="dxa"/>
            <w:shd w:val="clear" w:color="auto" w:fill="auto"/>
            <w:vAlign w:val="bottom"/>
          </w:tcPr>
          <w:p w14:paraId="27C9326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12</w:t>
            </w:r>
          </w:p>
        </w:tc>
        <w:tc>
          <w:tcPr>
            <w:tcW w:w="2409" w:type="dxa"/>
            <w:shd w:val="clear" w:color="auto" w:fill="auto"/>
            <w:vAlign w:val="bottom"/>
          </w:tcPr>
          <w:p w14:paraId="6C9F83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3E8260B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13</w:t>
            </w:r>
          </w:p>
        </w:tc>
      </w:tr>
      <w:tr w:rsidR="00695E59" w:rsidRPr="007B3726" w14:paraId="5C0F5592" w14:textId="77777777" w:rsidTr="007B3726">
        <w:tc>
          <w:tcPr>
            <w:tcW w:w="890" w:type="dxa"/>
            <w:shd w:val="clear" w:color="auto" w:fill="auto"/>
          </w:tcPr>
          <w:p w14:paraId="6725776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30</w:t>
            </w:r>
          </w:p>
        </w:tc>
        <w:tc>
          <w:tcPr>
            <w:tcW w:w="5064" w:type="dxa"/>
            <w:shd w:val="clear" w:color="auto" w:fill="auto"/>
            <w:vAlign w:val="bottom"/>
          </w:tcPr>
          <w:p w14:paraId="2363811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Lampang Central Prison</w:t>
            </w:r>
          </w:p>
        </w:tc>
        <w:tc>
          <w:tcPr>
            <w:tcW w:w="2410" w:type="dxa"/>
            <w:shd w:val="clear" w:color="auto" w:fill="auto"/>
            <w:vAlign w:val="bottom"/>
          </w:tcPr>
          <w:p w14:paraId="3B5B354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16</w:t>
            </w:r>
          </w:p>
        </w:tc>
        <w:tc>
          <w:tcPr>
            <w:tcW w:w="2409" w:type="dxa"/>
            <w:shd w:val="clear" w:color="auto" w:fill="auto"/>
            <w:vAlign w:val="bottom"/>
          </w:tcPr>
          <w:p w14:paraId="3518B9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19</w:t>
            </w:r>
          </w:p>
        </w:tc>
        <w:tc>
          <w:tcPr>
            <w:tcW w:w="2552" w:type="dxa"/>
            <w:shd w:val="clear" w:color="auto" w:fill="auto"/>
            <w:vAlign w:val="bottom"/>
          </w:tcPr>
          <w:p w14:paraId="109C6D0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11</w:t>
            </w:r>
          </w:p>
        </w:tc>
      </w:tr>
      <w:tr w:rsidR="00695E59" w:rsidRPr="007B3726" w14:paraId="3F8542A1" w14:textId="77777777" w:rsidTr="007B3726">
        <w:tc>
          <w:tcPr>
            <w:tcW w:w="890" w:type="dxa"/>
            <w:shd w:val="clear" w:color="auto" w:fill="auto"/>
          </w:tcPr>
          <w:p w14:paraId="5352AC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31</w:t>
            </w:r>
          </w:p>
        </w:tc>
        <w:tc>
          <w:tcPr>
            <w:tcW w:w="5064" w:type="dxa"/>
            <w:shd w:val="clear" w:color="auto" w:fill="auto"/>
            <w:vAlign w:val="bottom"/>
          </w:tcPr>
          <w:p w14:paraId="25AE1BD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Songkhla Central Prison</w:t>
            </w:r>
          </w:p>
        </w:tc>
        <w:tc>
          <w:tcPr>
            <w:tcW w:w="2410" w:type="dxa"/>
            <w:shd w:val="clear" w:color="auto" w:fill="auto"/>
            <w:vAlign w:val="bottom"/>
          </w:tcPr>
          <w:p w14:paraId="236E775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5FE64BC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20F704F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278A3695" w14:textId="77777777" w:rsidTr="007B3726">
        <w:tc>
          <w:tcPr>
            <w:tcW w:w="890" w:type="dxa"/>
            <w:shd w:val="clear" w:color="auto" w:fill="auto"/>
          </w:tcPr>
          <w:p w14:paraId="7659F35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32</w:t>
            </w:r>
          </w:p>
        </w:tc>
        <w:tc>
          <w:tcPr>
            <w:tcW w:w="5064" w:type="dxa"/>
            <w:shd w:val="clear" w:color="auto" w:fill="auto"/>
            <w:vAlign w:val="bottom"/>
          </w:tcPr>
          <w:p w14:paraId="73D9ADD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Samut Prakarn Central Prison</w:t>
            </w:r>
          </w:p>
        </w:tc>
        <w:tc>
          <w:tcPr>
            <w:tcW w:w="2410" w:type="dxa"/>
            <w:shd w:val="clear" w:color="auto" w:fill="auto"/>
            <w:vAlign w:val="bottom"/>
          </w:tcPr>
          <w:p w14:paraId="00F0065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36</w:t>
            </w:r>
          </w:p>
        </w:tc>
        <w:tc>
          <w:tcPr>
            <w:tcW w:w="2409" w:type="dxa"/>
            <w:shd w:val="clear" w:color="auto" w:fill="auto"/>
            <w:vAlign w:val="bottom"/>
          </w:tcPr>
          <w:p w14:paraId="132F6E8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33</w:t>
            </w:r>
          </w:p>
        </w:tc>
        <w:tc>
          <w:tcPr>
            <w:tcW w:w="2552" w:type="dxa"/>
            <w:shd w:val="clear" w:color="auto" w:fill="auto"/>
            <w:vAlign w:val="bottom"/>
          </w:tcPr>
          <w:p w14:paraId="1DB0ED3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18</w:t>
            </w:r>
          </w:p>
        </w:tc>
      </w:tr>
      <w:tr w:rsidR="00695E59" w:rsidRPr="007B3726" w14:paraId="199C20A8" w14:textId="77777777" w:rsidTr="007B3726">
        <w:tc>
          <w:tcPr>
            <w:tcW w:w="890" w:type="dxa"/>
            <w:shd w:val="clear" w:color="auto" w:fill="auto"/>
          </w:tcPr>
          <w:p w14:paraId="7C5CC62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33</w:t>
            </w:r>
          </w:p>
        </w:tc>
        <w:tc>
          <w:tcPr>
            <w:tcW w:w="5064" w:type="dxa"/>
            <w:shd w:val="clear" w:color="auto" w:fill="auto"/>
            <w:vAlign w:val="bottom"/>
          </w:tcPr>
          <w:p w14:paraId="0E2AF4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Samut Songkhram Central Prison</w:t>
            </w:r>
          </w:p>
        </w:tc>
        <w:tc>
          <w:tcPr>
            <w:tcW w:w="2410" w:type="dxa"/>
            <w:shd w:val="clear" w:color="auto" w:fill="auto"/>
            <w:vAlign w:val="bottom"/>
          </w:tcPr>
          <w:p w14:paraId="20FDBC2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4128FF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5CE007E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4A6E6AD2" w14:textId="77777777" w:rsidTr="007B3726">
        <w:tc>
          <w:tcPr>
            <w:tcW w:w="890" w:type="dxa"/>
            <w:shd w:val="clear" w:color="auto" w:fill="auto"/>
          </w:tcPr>
          <w:p w14:paraId="159D8A8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34</w:t>
            </w:r>
          </w:p>
        </w:tc>
        <w:tc>
          <w:tcPr>
            <w:tcW w:w="5064" w:type="dxa"/>
            <w:shd w:val="clear" w:color="auto" w:fill="auto"/>
            <w:vAlign w:val="bottom"/>
          </w:tcPr>
          <w:p w14:paraId="57D8FB9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Surat Thani Central Prison</w:t>
            </w:r>
          </w:p>
        </w:tc>
        <w:tc>
          <w:tcPr>
            <w:tcW w:w="2410" w:type="dxa"/>
            <w:shd w:val="clear" w:color="auto" w:fill="auto"/>
            <w:vAlign w:val="bottom"/>
          </w:tcPr>
          <w:p w14:paraId="3A37DA4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7</w:t>
            </w:r>
          </w:p>
        </w:tc>
        <w:tc>
          <w:tcPr>
            <w:tcW w:w="2409" w:type="dxa"/>
            <w:shd w:val="clear" w:color="auto" w:fill="auto"/>
            <w:vAlign w:val="bottom"/>
          </w:tcPr>
          <w:p w14:paraId="0BBE495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1E0F424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3A1DFCA8" w14:textId="77777777" w:rsidTr="007B3726">
        <w:tc>
          <w:tcPr>
            <w:tcW w:w="890" w:type="dxa"/>
            <w:shd w:val="clear" w:color="auto" w:fill="auto"/>
          </w:tcPr>
          <w:p w14:paraId="0904C9A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35</w:t>
            </w:r>
          </w:p>
        </w:tc>
        <w:tc>
          <w:tcPr>
            <w:tcW w:w="5064" w:type="dxa"/>
            <w:shd w:val="clear" w:color="auto" w:fill="auto"/>
            <w:vAlign w:val="bottom"/>
          </w:tcPr>
          <w:p w14:paraId="17B859C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Surin Central Prison</w:t>
            </w:r>
          </w:p>
        </w:tc>
        <w:tc>
          <w:tcPr>
            <w:tcW w:w="2410" w:type="dxa"/>
            <w:shd w:val="clear" w:color="auto" w:fill="auto"/>
            <w:vAlign w:val="bottom"/>
          </w:tcPr>
          <w:p w14:paraId="16588F1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6</w:t>
            </w:r>
          </w:p>
        </w:tc>
        <w:tc>
          <w:tcPr>
            <w:tcW w:w="2409" w:type="dxa"/>
            <w:shd w:val="clear" w:color="auto" w:fill="auto"/>
            <w:vAlign w:val="bottom"/>
          </w:tcPr>
          <w:p w14:paraId="5E764BD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7B48FCF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483CEC97" w14:textId="77777777" w:rsidTr="007B3726">
        <w:tc>
          <w:tcPr>
            <w:tcW w:w="890" w:type="dxa"/>
            <w:shd w:val="clear" w:color="auto" w:fill="auto"/>
          </w:tcPr>
          <w:p w14:paraId="2B7279F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36</w:t>
            </w:r>
          </w:p>
        </w:tc>
        <w:tc>
          <w:tcPr>
            <w:tcW w:w="5064" w:type="dxa"/>
            <w:shd w:val="clear" w:color="auto" w:fill="auto"/>
            <w:vAlign w:val="bottom"/>
          </w:tcPr>
          <w:p w14:paraId="61BEF19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Udon Thani Central Prison</w:t>
            </w:r>
          </w:p>
        </w:tc>
        <w:tc>
          <w:tcPr>
            <w:tcW w:w="2410" w:type="dxa"/>
            <w:shd w:val="clear" w:color="auto" w:fill="auto"/>
            <w:vAlign w:val="bottom"/>
          </w:tcPr>
          <w:p w14:paraId="75482D4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21</w:t>
            </w:r>
          </w:p>
        </w:tc>
        <w:tc>
          <w:tcPr>
            <w:tcW w:w="2409" w:type="dxa"/>
            <w:shd w:val="clear" w:color="auto" w:fill="auto"/>
            <w:vAlign w:val="bottom"/>
          </w:tcPr>
          <w:p w14:paraId="6CFD4EA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25</w:t>
            </w:r>
          </w:p>
        </w:tc>
        <w:tc>
          <w:tcPr>
            <w:tcW w:w="2552" w:type="dxa"/>
            <w:shd w:val="clear" w:color="auto" w:fill="auto"/>
            <w:vAlign w:val="bottom"/>
          </w:tcPr>
          <w:p w14:paraId="4CBEA14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14</w:t>
            </w:r>
          </w:p>
        </w:tc>
      </w:tr>
      <w:tr w:rsidR="00695E59" w:rsidRPr="007B3726" w14:paraId="26FF6DB4" w14:textId="77777777" w:rsidTr="007B3726">
        <w:tc>
          <w:tcPr>
            <w:tcW w:w="890" w:type="dxa"/>
            <w:shd w:val="clear" w:color="auto" w:fill="auto"/>
          </w:tcPr>
          <w:p w14:paraId="644D3C9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37</w:t>
            </w:r>
          </w:p>
        </w:tc>
        <w:tc>
          <w:tcPr>
            <w:tcW w:w="5064" w:type="dxa"/>
            <w:shd w:val="clear" w:color="auto" w:fill="auto"/>
            <w:vAlign w:val="bottom"/>
          </w:tcPr>
          <w:p w14:paraId="021B322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Ubon Ratchathani Central Prison</w:t>
            </w:r>
          </w:p>
        </w:tc>
        <w:tc>
          <w:tcPr>
            <w:tcW w:w="2410" w:type="dxa"/>
            <w:shd w:val="clear" w:color="auto" w:fill="auto"/>
            <w:vAlign w:val="bottom"/>
          </w:tcPr>
          <w:p w14:paraId="685E95F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16</w:t>
            </w:r>
          </w:p>
        </w:tc>
        <w:tc>
          <w:tcPr>
            <w:tcW w:w="2409" w:type="dxa"/>
            <w:shd w:val="clear" w:color="auto" w:fill="auto"/>
            <w:vAlign w:val="bottom"/>
          </w:tcPr>
          <w:p w14:paraId="0FAD1D1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22</w:t>
            </w:r>
          </w:p>
        </w:tc>
        <w:tc>
          <w:tcPr>
            <w:tcW w:w="2552" w:type="dxa"/>
            <w:shd w:val="clear" w:color="auto" w:fill="auto"/>
            <w:vAlign w:val="bottom"/>
          </w:tcPr>
          <w:p w14:paraId="7F42212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0638088A" w14:textId="77777777" w:rsidTr="007B3726">
        <w:tc>
          <w:tcPr>
            <w:tcW w:w="890" w:type="dxa"/>
            <w:shd w:val="clear" w:color="auto" w:fill="auto"/>
          </w:tcPr>
          <w:p w14:paraId="3020484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38</w:t>
            </w:r>
          </w:p>
        </w:tc>
        <w:tc>
          <w:tcPr>
            <w:tcW w:w="5064" w:type="dxa"/>
            <w:shd w:val="clear" w:color="auto" w:fill="auto"/>
            <w:vAlign w:val="bottom"/>
          </w:tcPr>
          <w:p w14:paraId="6181232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Krabi Provincial Prison</w:t>
            </w:r>
          </w:p>
        </w:tc>
        <w:tc>
          <w:tcPr>
            <w:tcW w:w="2410" w:type="dxa"/>
            <w:shd w:val="clear" w:color="auto" w:fill="auto"/>
            <w:vAlign w:val="bottom"/>
          </w:tcPr>
          <w:p w14:paraId="322F8AA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64E80F6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11</w:t>
            </w:r>
          </w:p>
        </w:tc>
        <w:tc>
          <w:tcPr>
            <w:tcW w:w="2552" w:type="dxa"/>
            <w:shd w:val="clear" w:color="auto" w:fill="auto"/>
            <w:vAlign w:val="bottom"/>
          </w:tcPr>
          <w:p w14:paraId="35A496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7904B096" w14:textId="77777777" w:rsidTr="007B3726">
        <w:tc>
          <w:tcPr>
            <w:tcW w:w="890" w:type="dxa"/>
            <w:shd w:val="clear" w:color="auto" w:fill="auto"/>
          </w:tcPr>
          <w:p w14:paraId="2EAC3FD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39</w:t>
            </w:r>
          </w:p>
        </w:tc>
        <w:tc>
          <w:tcPr>
            <w:tcW w:w="5064" w:type="dxa"/>
            <w:shd w:val="clear" w:color="auto" w:fill="auto"/>
            <w:vAlign w:val="bottom"/>
          </w:tcPr>
          <w:p w14:paraId="211B082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Kanchanaburi Provincial Prison</w:t>
            </w:r>
          </w:p>
        </w:tc>
        <w:tc>
          <w:tcPr>
            <w:tcW w:w="2410" w:type="dxa"/>
            <w:shd w:val="clear" w:color="auto" w:fill="auto"/>
            <w:vAlign w:val="bottom"/>
          </w:tcPr>
          <w:p w14:paraId="2514BE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15</w:t>
            </w:r>
          </w:p>
        </w:tc>
        <w:tc>
          <w:tcPr>
            <w:tcW w:w="2409" w:type="dxa"/>
            <w:shd w:val="clear" w:color="auto" w:fill="auto"/>
            <w:vAlign w:val="bottom"/>
          </w:tcPr>
          <w:p w14:paraId="27DFD14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21</w:t>
            </w:r>
          </w:p>
        </w:tc>
        <w:tc>
          <w:tcPr>
            <w:tcW w:w="2552" w:type="dxa"/>
            <w:shd w:val="clear" w:color="auto" w:fill="auto"/>
            <w:vAlign w:val="bottom"/>
          </w:tcPr>
          <w:p w14:paraId="506CCD1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77D35705" w14:textId="77777777" w:rsidTr="007B3726">
        <w:tc>
          <w:tcPr>
            <w:tcW w:w="890" w:type="dxa"/>
            <w:shd w:val="clear" w:color="auto" w:fill="auto"/>
          </w:tcPr>
          <w:p w14:paraId="43F7646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40</w:t>
            </w:r>
          </w:p>
        </w:tc>
        <w:tc>
          <w:tcPr>
            <w:tcW w:w="5064" w:type="dxa"/>
            <w:shd w:val="clear" w:color="auto" w:fill="auto"/>
            <w:vAlign w:val="bottom"/>
          </w:tcPr>
          <w:p w14:paraId="04D38B4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Kalasin Provincial Prison</w:t>
            </w:r>
          </w:p>
        </w:tc>
        <w:tc>
          <w:tcPr>
            <w:tcW w:w="2410" w:type="dxa"/>
            <w:shd w:val="clear" w:color="auto" w:fill="auto"/>
            <w:vAlign w:val="bottom"/>
          </w:tcPr>
          <w:p w14:paraId="4292DDB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17</w:t>
            </w:r>
          </w:p>
        </w:tc>
        <w:tc>
          <w:tcPr>
            <w:tcW w:w="2409" w:type="dxa"/>
            <w:shd w:val="clear" w:color="auto" w:fill="auto"/>
            <w:vAlign w:val="bottom"/>
          </w:tcPr>
          <w:p w14:paraId="174F79F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24</w:t>
            </w:r>
          </w:p>
        </w:tc>
        <w:tc>
          <w:tcPr>
            <w:tcW w:w="2552" w:type="dxa"/>
            <w:shd w:val="clear" w:color="auto" w:fill="auto"/>
            <w:vAlign w:val="bottom"/>
          </w:tcPr>
          <w:p w14:paraId="5F05AD3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r>
      <w:tr w:rsidR="00695E59" w:rsidRPr="007B3726" w14:paraId="3CBA147F" w14:textId="77777777" w:rsidTr="00C73249">
        <w:tc>
          <w:tcPr>
            <w:tcW w:w="890" w:type="dxa"/>
            <w:tcBorders>
              <w:bottom w:val="nil"/>
            </w:tcBorders>
            <w:shd w:val="clear" w:color="auto" w:fill="auto"/>
          </w:tcPr>
          <w:p w14:paraId="01BE499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41</w:t>
            </w:r>
          </w:p>
        </w:tc>
        <w:tc>
          <w:tcPr>
            <w:tcW w:w="5064" w:type="dxa"/>
            <w:tcBorders>
              <w:bottom w:val="nil"/>
            </w:tcBorders>
            <w:shd w:val="clear" w:color="auto" w:fill="auto"/>
            <w:vAlign w:val="bottom"/>
          </w:tcPr>
          <w:p w14:paraId="7C18DEC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Chanthaburi Provincial Prison</w:t>
            </w:r>
          </w:p>
        </w:tc>
        <w:tc>
          <w:tcPr>
            <w:tcW w:w="2410" w:type="dxa"/>
            <w:tcBorders>
              <w:bottom w:val="nil"/>
            </w:tcBorders>
            <w:shd w:val="clear" w:color="auto" w:fill="auto"/>
            <w:vAlign w:val="bottom"/>
          </w:tcPr>
          <w:p w14:paraId="6127140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8</w:t>
            </w:r>
          </w:p>
        </w:tc>
        <w:tc>
          <w:tcPr>
            <w:tcW w:w="2409" w:type="dxa"/>
            <w:tcBorders>
              <w:bottom w:val="nil"/>
            </w:tcBorders>
            <w:shd w:val="clear" w:color="auto" w:fill="auto"/>
            <w:vAlign w:val="bottom"/>
          </w:tcPr>
          <w:p w14:paraId="3337D65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12</w:t>
            </w:r>
          </w:p>
        </w:tc>
        <w:tc>
          <w:tcPr>
            <w:tcW w:w="2552" w:type="dxa"/>
            <w:tcBorders>
              <w:bottom w:val="nil"/>
            </w:tcBorders>
            <w:shd w:val="clear" w:color="auto" w:fill="auto"/>
            <w:vAlign w:val="bottom"/>
          </w:tcPr>
          <w:p w14:paraId="002594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53AC79BD" w14:textId="77777777" w:rsidTr="00C73249">
        <w:tc>
          <w:tcPr>
            <w:tcW w:w="890" w:type="dxa"/>
            <w:tcBorders>
              <w:top w:val="nil"/>
              <w:bottom w:val="nil"/>
            </w:tcBorders>
            <w:shd w:val="clear" w:color="auto" w:fill="auto"/>
          </w:tcPr>
          <w:p w14:paraId="49B11C0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42</w:t>
            </w:r>
          </w:p>
        </w:tc>
        <w:tc>
          <w:tcPr>
            <w:tcW w:w="5064" w:type="dxa"/>
            <w:tcBorders>
              <w:top w:val="nil"/>
              <w:bottom w:val="nil"/>
            </w:tcBorders>
            <w:shd w:val="clear" w:color="auto" w:fill="auto"/>
            <w:vAlign w:val="bottom"/>
          </w:tcPr>
          <w:p w14:paraId="2A8C791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Chai Nat Provincial Prison</w:t>
            </w:r>
          </w:p>
        </w:tc>
        <w:tc>
          <w:tcPr>
            <w:tcW w:w="2410" w:type="dxa"/>
            <w:tcBorders>
              <w:top w:val="nil"/>
              <w:bottom w:val="nil"/>
            </w:tcBorders>
            <w:shd w:val="clear" w:color="auto" w:fill="auto"/>
            <w:vAlign w:val="bottom"/>
          </w:tcPr>
          <w:p w14:paraId="6A0DD3D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7</w:t>
            </w:r>
          </w:p>
        </w:tc>
        <w:tc>
          <w:tcPr>
            <w:tcW w:w="2409" w:type="dxa"/>
            <w:tcBorders>
              <w:top w:val="nil"/>
              <w:bottom w:val="nil"/>
            </w:tcBorders>
            <w:shd w:val="clear" w:color="auto" w:fill="auto"/>
            <w:vAlign w:val="bottom"/>
          </w:tcPr>
          <w:p w14:paraId="2F86098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tcBorders>
              <w:top w:val="nil"/>
              <w:bottom w:val="nil"/>
            </w:tcBorders>
            <w:shd w:val="clear" w:color="auto" w:fill="auto"/>
            <w:vAlign w:val="bottom"/>
          </w:tcPr>
          <w:p w14:paraId="442828A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r>
      <w:tr w:rsidR="00695E59" w:rsidRPr="007B3726" w14:paraId="64C18077" w14:textId="77777777" w:rsidTr="00C73249">
        <w:tc>
          <w:tcPr>
            <w:tcW w:w="890" w:type="dxa"/>
            <w:tcBorders>
              <w:top w:val="nil"/>
            </w:tcBorders>
            <w:shd w:val="clear" w:color="auto" w:fill="auto"/>
          </w:tcPr>
          <w:p w14:paraId="1AC7372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lastRenderedPageBreak/>
              <w:t>43</w:t>
            </w:r>
          </w:p>
        </w:tc>
        <w:tc>
          <w:tcPr>
            <w:tcW w:w="5064" w:type="dxa"/>
            <w:tcBorders>
              <w:top w:val="nil"/>
            </w:tcBorders>
            <w:shd w:val="clear" w:color="auto" w:fill="auto"/>
            <w:vAlign w:val="bottom"/>
          </w:tcPr>
          <w:p w14:paraId="679BB7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Chaiyaphum Provincial Prison</w:t>
            </w:r>
          </w:p>
        </w:tc>
        <w:tc>
          <w:tcPr>
            <w:tcW w:w="2410" w:type="dxa"/>
            <w:tcBorders>
              <w:top w:val="nil"/>
            </w:tcBorders>
            <w:shd w:val="clear" w:color="auto" w:fill="auto"/>
            <w:vAlign w:val="bottom"/>
          </w:tcPr>
          <w:p w14:paraId="5BE6E4C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tcBorders>
              <w:top w:val="nil"/>
            </w:tcBorders>
            <w:shd w:val="clear" w:color="auto" w:fill="auto"/>
            <w:vAlign w:val="bottom"/>
          </w:tcPr>
          <w:p w14:paraId="43E36DB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tcBorders>
              <w:top w:val="nil"/>
            </w:tcBorders>
            <w:shd w:val="clear" w:color="auto" w:fill="auto"/>
            <w:vAlign w:val="bottom"/>
          </w:tcPr>
          <w:p w14:paraId="06F449D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465DD181" w14:textId="77777777" w:rsidTr="007B3726">
        <w:tc>
          <w:tcPr>
            <w:tcW w:w="890" w:type="dxa"/>
            <w:shd w:val="clear" w:color="auto" w:fill="auto"/>
          </w:tcPr>
          <w:p w14:paraId="6E6A3A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44</w:t>
            </w:r>
          </w:p>
        </w:tc>
        <w:tc>
          <w:tcPr>
            <w:tcW w:w="5064" w:type="dxa"/>
            <w:shd w:val="clear" w:color="auto" w:fill="auto"/>
            <w:vAlign w:val="bottom"/>
          </w:tcPr>
          <w:p w14:paraId="7C4EA3A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Chumphon Provincial Prison</w:t>
            </w:r>
          </w:p>
        </w:tc>
        <w:tc>
          <w:tcPr>
            <w:tcW w:w="2410" w:type="dxa"/>
            <w:shd w:val="clear" w:color="auto" w:fill="auto"/>
            <w:vAlign w:val="bottom"/>
          </w:tcPr>
          <w:p w14:paraId="6FEA419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shd w:val="clear" w:color="auto" w:fill="auto"/>
            <w:vAlign w:val="bottom"/>
          </w:tcPr>
          <w:p w14:paraId="08E265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705D4CF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67DDED0E" w14:textId="77777777" w:rsidTr="007B3726">
        <w:tc>
          <w:tcPr>
            <w:tcW w:w="890" w:type="dxa"/>
            <w:shd w:val="clear" w:color="auto" w:fill="auto"/>
          </w:tcPr>
          <w:p w14:paraId="183B29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45</w:t>
            </w:r>
          </w:p>
        </w:tc>
        <w:tc>
          <w:tcPr>
            <w:tcW w:w="5064" w:type="dxa"/>
            <w:shd w:val="clear" w:color="auto" w:fill="auto"/>
            <w:vAlign w:val="bottom"/>
          </w:tcPr>
          <w:p w14:paraId="30BF01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Trang Provincial Prison</w:t>
            </w:r>
          </w:p>
        </w:tc>
        <w:tc>
          <w:tcPr>
            <w:tcW w:w="2410" w:type="dxa"/>
            <w:shd w:val="clear" w:color="auto" w:fill="auto"/>
            <w:vAlign w:val="bottom"/>
          </w:tcPr>
          <w:p w14:paraId="2AB2F4A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6</w:t>
            </w:r>
          </w:p>
        </w:tc>
        <w:tc>
          <w:tcPr>
            <w:tcW w:w="2409" w:type="dxa"/>
            <w:shd w:val="clear" w:color="auto" w:fill="auto"/>
            <w:vAlign w:val="bottom"/>
          </w:tcPr>
          <w:p w14:paraId="2E604C3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3F59820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5F37A816" w14:textId="77777777" w:rsidTr="007B3726">
        <w:tc>
          <w:tcPr>
            <w:tcW w:w="890" w:type="dxa"/>
            <w:shd w:val="clear" w:color="auto" w:fill="auto"/>
          </w:tcPr>
          <w:p w14:paraId="47DC19D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46</w:t>
            </w:r>
          </w:p>
        </w:tc>
        <w:tc>
          <w:tcPr>
            <w:tcW w:w="5064" w:type="dxa"/>
            <w:shd w:val="clear" w:color="auto" w:fill="auto"/>
            <w:vAlign w:val="bottom"/>
          </w:tcPr>
          <w:p w14:paraId="61D8FCB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Trat Provincial Prison</w:t>
            </w:r>
          </w:p>
        </w:tc>
        <w:tc>
          <w:tcPr>
            <w:tcW w:w="2410" w:type="dxa"/>
            <w:shd w:val="clear" w:color="auto" w:fill="auto"/>
            <w:vAlign w:val="bottom"/>
          </w:tcPr>
          <w:p w14:paraId="5C63D29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7C93E4F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50C2E0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2692F8FA" w14:textId="77777777" w:rsidTr="007B3726">
        <w:tc>
          <w:tcPr>
            <w:tcW w:w="890" w:type="dxa"/>
            <w:shd w:val="clear" w:color="auto" w:fill="auto"/>
          </w:tcPr>
          <w:p w14:paraId="75383EF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47</w:t>
            </w:r>
          </w:p>
        </w:tc>
        <w:tc>
          <w:tcPr>
            <w:tcW w:w="5064" w:type="dxa"/>
            <w:shd w:val="clear" w:color="auto" w:fill="auto"/>
            <w:vAlign w:val="bottom"/>
          </w:tcPr>
          <w:p w14:paraId="09D558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Nayok Provincial Prison</w:t>
            </w:r>
          </w:p>
        </w:tc>
        <w:tc>
          <w:tcPr>
            <w:tcW w:w="2410" w:type="dxa"/>
            <w:shd w:val="clear" w:color="auto" w:fill="auto"/>
            <w:vAlign w:val="bottom"/>
          </w:tcPr>
          <w:p w14:paraId="58AE832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39EA271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66E97DF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11E45CAD" w14:textId="77777777" w:rsidTr="007B3726">
        <w:tc>
          <w:tcPr>
            <w:tcW w:w="890" w:type="dxa"/>
            <w:shd w:val="clear" w:color="auto" w:fill="auto"/>
          </w:tcPr>
          <w:p w14:paraId="6F664CC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48</w:t>
            </w:r>
          </w:p>
        </w:tc>
        <w:tc>
          <w:tcPr>
            <w:tcW w:w="5064" w:type="dxa"/>
            <w:shd w:val="clear" w:color="auto" w:fill="auto"/>
            <w:vAlign w:val="bottom"/>
          </w:tcPr>
          <w:p w14:paraId="429C9D2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Nonthaburi Provincial Prison</w:t>
            </w:r>
          </w:p>
        </w:tc>
        <w:tc>
          <w:tcPr>
            <w:tcW w:w="2410" w:type="dxa"/>
            <w:shd w:val="clear" w:color="auto" w:fill="auto"/>
            <w:vAlign w:val="bottom"/>
          </w:tcPr>
          <w:p w14:paraId="0D469F6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695D833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c>
          <w:tcPr>
            <w:tcW w:w="2552" w:type="dxa"/>
            <w:shd w:val="clear" w:color="auto" w:fill="auto"/>
            <w:vAlign w:val="bottom"/>
          </w:tcPr>
          <w:p w14:paraId="437F9E2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02667AE9" w14:textId="77777777" w:rsidTr="007B3726">
        <w:tc>
          <w:tcPr>
            <w:tcW w:w="890" w:type="dxa"/>
            <w:shd w:val="clear" w:color="auto" w:fill="auto"/>
          </w:tcPr>
          <w:p w14:paraId="00C4060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49</w:t>
            </w:r>
          </w:p>
        </w:tc>
        <w:tc>
          <w:tcPr>
            <w:tcW w:w="5064" w:type="dxa"/>
            <w:shd w:val="clear" w:color="auto" w:fill="auto"/>
            <w:vAlign w:val="bottom"/>
          </w:tcPr>
          <w:p w14:paraId="7B2828A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Narathiwat Provincial Prison</w:t>
            </w:r>
          </w:p>
        </w:tc>
        <w:tc>
          <w:tcPr>
            <w:tcW w:w="2410" w:type="dxa"/>
            <w:shd w:val="clear" w:color="auto" w:fill="auto"/>
            <w:vAlign w:val="bottom"/>
          </w:tcPr>
          <w:p w14:paraId="4EADC23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7B010BC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12</w:t>
            </w:r>
          </w:p>
        </w:tc>
        <w:tc>
          <w:tcPr>
            <w:tcW w:w="2552" w:type="dxa"/>
            <w:shd w:val="clear" w:color="auto" w:fill="auto"/>
            <w:vAlign w:val="bottom"/>
          </w:tcPr>
          <w:p w14:paraId="722EA46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064DD9B3" w14:textId="77777777" w:rsidTr="007B3726">
        <w:tc>
          <w:tcPr>
            <w:tcW w:w="890" w:type="dxa"/>
            <w:shd w:val="clear" w:color="auto" w:fill="auto"/>
          </w:tcPr>
          <w:p w14:paraId="3085EE9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50</w:t>
            </w:r>
          </w:p>
        </w:tc>
        <w:tc>
          <w:tcPr>
            <w:tcW w:w="5064" w:type="dxa"/>
            <w:shd w:val="clear" w:color="auto" w:fill="auto"/>
            <w:vAlign w:val="bottom"/>
          </w:tcPr>
          <w:p w14:paraId="1D20298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Nan Provincial Prison</w:t>
            </w:r>
          </w:p>
        </w:tc>
        <w:tc>
          <w:tcPr>
            <w:tcW w:w="2410" w:type="dxa"/>
            <w:shd w:val="clear" w:color="auto" w:fill="auto"/>
            <w:vAlign w:val="bottom"/>
          </w:tcPr>
          <w:p w14:paraId="75E5C96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0B6C587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5689FA2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6E8B6D5B" w14:textId="77777777" w:rsidTr="007B3726">
        <w:tc>
          <w:tcPr>
            <w:tcW w:w="890" w:type="dxa"/>
            <w:shd w:val="clear" w:color="auto" w:fill="auto"/>
          </w:tcPr>
          <w:p w14:paraId="73A5585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51</w:t>
            </w:r>
          </w:p>
        </w:tc>
        <w:tc>
          <w:tcPr>
            <w:tcW w:w="5064" w:type="dxa"/>
            <w:shd w:val="clear" w:color="auto" w:fill="auto"/>
            <w:vAlign w:val="bottom"/>
          </w:tcPr>
          <w:p w14:paraId="293B7AF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Bueng Kan Provincial Prison</w:t>
            </w:r>
          </w:p>
        </w:tc>
        <w:tc>
          <w:tcPr>
            <w:tcW w:w="2410" w:type="dxa"/>
            <w:shd w:val="clear" w:color="auto" w:fill="auto"/>
            <w:vAlign w:val="bottom"/>
          </w:tcPr>
          <w:p w14:paraId="69E942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34B2A49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c>
          <w:tcPr>
            <w:tcW w:w="2552" w:type="dxa"/>
            <w:shd w:val="clear" w:color="auto" w:fill="auto"/>
            <w:vAlign w:val="bottom"/>
          </w:tcPr>
          <w:p w14:paraId="4461948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67FF4A21" w14:textId="77777777" w:rsidTr="007B3726">
        <w:tc>
          <w:tcPr>
            <w:tcW w:w="890" w:type="dxa"/>
            <w:shd w:val="clear" w:color="auto" w:fill="auto"/>
          </w:tcPr>
          <w:p w14:paraId="75EF415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52</w:t>
            </w:r>
          </w:p>
        </w:tc>
        <w:tc>
          <w:tcPr>
            <w:tcW w:w="5064" w:type="dxa"/>
            <w:shd w:val="clear" w:color="auto" w:fill="auto"/>
            <w:vAlign w:val="bottom"/>
          </w:tcPr>
          <w:p w14:paraId="76AB1F4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Buri Ram Provincial Prison</w:t>
            </w:r>
          </w:p>
        </w:tc>
        <w:tc>
          <w:tcPr>
            <w:tcW w:w="2410" w:type="dxa"/>
            <w:shd w:val="clear" w:color="auto" w:fill="auto"/>
            <w:vAlign w:val="bottom"/>
          </w:tcPr>
          <w:p w14:paraId="1DDC54F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28B558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5012457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5C2CCAAB" w14:textId="77777777" w:rsidTr="007B3726">
        <w:tc>
          <w:tcPr>
            <w:tcW w:w="890" w:type="dxa"/>
            <w:shd w:val="clear" w:color="auto" w:fill="auto"/>
          </w:tcPr>
          <w:p w14:paraId="47CBCFC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53</w:t>
            </w:r>
          </w:p>
        </w:tc>
        <w:tc>
          <w:tcPr>
            <w:tcW w:w="5064" w:type="dxa"/>
            <w:shd w:val="clear" w:color="auto" w:fill="auto"/>
            <w:vAlign w:val="bottom"/>
          </w:tcPr>
          <w:p w14:paraId="70EE951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Pathumthani Provincial Prison</w:t>
            </w:r>
          </w:p>
        </w:tc>
        <w:tc>
          <w:tcPr>
            <w:tcW w:w="2410" w:type="dxa"/>
            <w:shd w:val="clear" w:color="auto" w:fill="auto"/>
            <w:vAlign w:val="bottom"/>
          </w:tcPr>
          <w:p w14:paraId="0BDAECC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68BB2CB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c>
          <w:tcPr>
            <w:tcW w:w="2552" w:type="dxa"/>
            <w:shd w:val="clear" w:color="auto" w:fill="auto"/>
            <w:vAlign w:val="bottom"/>
          </w:tcPr>
          <w:p w14:paraId="6FB05EA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658EA237" w14:textId="77777777" w:rsidTr="007B3726">
        <w:tc>
          <w:tcPr>
            <w:tcW w:w="890" w:type="dxa"/>
            <w:shd w:val="clear" w:color="auto" w:fill="auto"/>
          </w:tcPr>
          <w:p w14:paraId="3D67E86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54</w:t>
            </w:r>
          </w:p>
        </w:tc>
        <w:tc>
          <w:tcPr>
            <w:tcW w:w="5064" w:type="dxa"/>
            <w:shd w:val="clear" w:color="auto" w:fill="auto"/>
            <w:vAlign w:val="bottom"/>
          </w:tcPr>
          <w:p w14:paraId="564B689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Prachuap Khiri Khan Provincial Prison</w:t>
            </w:r>
          </w:p>
        </w:tc>
        <w:tc>
          <w:tcPr>
            <w:tcW w:w="2410" w:type="dxa"/>
            <w:shd w:val="clear" w:color="auto" w:fill="auto"/>
            <w:vAlign w:val="bottom"/>
          </w:tcPr>
          <w:p w14:paraId="25F788E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244AB91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c>
          <w:tcPr>
            <w:tcW w:w="2552" w:type="dxa"/>
            <w:shd w:val="clear" w:color="auto" w:fill="auto"/>
            <w:vAlign w:val="bottom"/>
          </w:tcPr>
          <w:p w14:paraId="61AA83C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32102477" w14:textId="77777777" w:rsidTr="007B3726">
        <w:tc>
          <w:tcPr>
            <w:tcW w:w="890" w:type="dxa"/>
            <w:shd w:val="clear" w:color="auto" w:fill="auto"/>
          </w:tcPr>
          <w:p w14:paraId="2BF1FCE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55</w:t>
            </w:r>
          </w:p>
        </w:tc>
        <w:tc>
          <w:tcPr>
            <w:tcW w:w="5064" w:type="dxa"/>
            <w:shd w:val="clear" w:color="auto" w:fill="auto"/>
            <w:vAlign w:val="bottom"/>
          </w:tcPr>
          <w:p w14:paraId="7D8043D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Prachin Buri Provincial Prison</w:t>
            </w:r>
          </w:p>
        </w:tc>
        <w:tc>
          <w:tcPr>
            <w:tcW w:w="2410" w:type="dxa"/>
            <w:shd w:val="clear" w:color="auto" w:fill="auto"/>
            <w:vAlign w:val="bottom"/>
          </w:tcPr>
          <w:p w14:paraId="3CB6AC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470762C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01659BA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41324899" w14:textId="77777777" w:rsidTr="007B3726">
        <w:tc>
          <w:tcPr>
            <w:tcW w:w="890" w:type="dxa"/>
            <w:shd w:val="clear" w:color="auto" w:fill="auto"/>
          </w:tcPr>
          <w:p w14:paraId="3053ACD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cs/>
                <w:lang w:bidi="th-TH"/>
              </w:rPr>
              <w:t>56</w:t>
            </w:r>
          </w:p>
        </w:tc>
        <w:tc>
          <w:tcPr>
            <w:tcW w:w="5064" w:type="dxa"/>
            <w:shd w:val="clear" w:color="auto" w:fill="auto"/>
            <w:vAlign w:val="bottom"/>
          </w:tcPr>
          <w:p w14:paraId="1519AD2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Phayao Provincial Prison</w:t>
            </w:r>
          </w:p>
        </w:tc>
        <w:tc>
          <w:tcPr>
            <w:tcW w:w="2410" w:type="dxa"/>
            <w:shd w:val="clear" w:color="auto" w:fill="auto"/>
            <w:vAlign w:val="bottom"/>
          </w:tcPr>
          <w:p w14:paraId="151362A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7</w:t>
            </w:r>
          </w:p>
        </w:tc>
        <w:tc>
          <w:tcPr>
            <w:tcW w:w="2409" w:type="dxa"/>
            <w:shd w:val="clear" w:color="auto" w:fill="auto"/>
            <w:vAlign w:val="bottom"/>
          </w:tcPr>
          <w:p w14:paraId="23BB8CF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6D1B08E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7638E699" w14:textId="77777777" w:rsidTr="007B3726">
        <w:tc>
          <w:tcPr>
            <w:tcW w:w="890" w:type="dxa"/>
            <w:shd w:val="clear" w:color="auto" w:fill="auto"/>
          </w:tcPr>
          <w:p w14:paraId="4117E5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w:t>
            </w:r>
            <w:r w:rsidRPr="007B3726">
              <w:rPr>
                <w:sz w:val="18"/>
                <w:szCs w:val="18"/>
                <w:cs/>
                <w:lang w:bidi="th-TH"/>
              </w:rPr>
              <w:t>7</w:t>
            </w:r>
          </w:p>
        </w:tc>
        <w:tc>
          <w:tcPr>
            <w:tcW w:w="5064" w:type="dxa"/>
            <w:shd w:val="clear" w:color="auto" w:fill="auto"/>
            <w:vAlign w:val="bottom"/>
          </w:tcPr>
          <w:p w14:paraId="4CC7A53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Phang-nga Provincial Prison</w:t>
            </w:r>
          </w:p>
        </w:tc>
        <w:tc>
          <w:tcPr>
            <w:tcW w:w="2410" w:type="dxa"/>
            <w:shd w:val="clear" w:color="auto" w:fill="auto"/>
            <w:vAlign w:val="bottom"/>
          </w:tcPr>
          <w:p w14:paraId="221AD75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7AC34D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31827E6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133DB1CE" w14:textId="77777777" w:rsidTr="007B3726">
        <w:tc>
          <w:tcPr>
            <w:tcW w:w="890" w:type="dxa"/>
            <w:shd w:val="clear" w:color="auto" w:fill="auto"/>
          </w:tcPr>
          <w:p w14:paraId="7FF374F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w:t>
            </w:r>
            <w:r w:rsidRPr="007B3726">
              <w:rPr>
                <w:sz w:val="18"/>
                <w:szCs w:val="18"/>
                <w:cs/>
                <w:lang w:bidi="th-TH"/>
              </w:rPr>
              <w:t>8</w:t>
            </w:r>
          </w:p>
        </w:tc>
        <w:tc>
          <w:tcPr>
            <w:tcW w:w="5064" w:type="dxa"/>
            <w:shd w:val="clear" w:color="auto" w:fill="auto"/>
            <w:vAlign w:val="bottom"/>
          </w:tcPr>
          <w:p w14:paraId="39DB0B7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Phra Nakhon Si Ayutthaya Provincial Prison</w:t>
            </w:r>
          </w:p>
        </w:tc>
        <w:tc>
          <w:tcPr>
            <w:tcW w:w="2410" w:type="dxa"/>
            <w:shd w:val="clear" w:color="auto" w:fill="auto"/>
            <w:vAlign w:val="bottom"/>
          </w:tcPr>
          <w:p w14:paraId="23537EB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22</w:t>
            </w:r>
          </w:p>
        </w:tc>
        <w:tc>
          <w:tcPr>
            <w:tcW w:w="2409" w:type="dxa"/>
            <w:shd w:val="clear" w:color="auto" w:fill="auto"/>
            <w:vAlign w:val="bottom"/>
          </w:tcPr>
          <w:p w14:paraId="55310BF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23</w:t>
            </w:r>
          </w:p>
        </w:tc>
        <w:tc>
          <w:tcPr>
            <w:tcW w:w="2552" w:type="dxa"/>
            <w:shd w:val="clear" w:color="auto" w:fill="auto"/>
            <w:vAlign w:val="bottom"/>
          </w:tcPr>
          <w:p w14:paraId="55A4181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11</w:t>
            </w:r>
          </w:p>
        </w:tc>
      </w:tr>
      <w:tr w:rsidR="00695E59" w:rsidRPr="007B3726" w14:paraId="20FA3702" w14:textId="77777777" w:rsidTr="007B3726">
        <w:tc>
          <w:tcPr>
            <w:tcW w:w="890" w:type="dxa"/>
            <w:shd w:val="clear" w:color="auto" w:fill="auto"/>
          </w:tcPr>
          <w:p w14:paraId="40DAF83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59</w:t>
            </w:r>
          </w:p>
        </w:tc>
        <w:tc>
          <w:tcPr>
            <w:tcW w:w="5064" w:type="dxa"/>
            <w:shd w:val="clear" w:color="auto" w:fill="auto"/>
            <w:vAlign w:val="bottom"/>
          </w:tcPr>
          <w:p w14:paraId="2B7026C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Phichit Provincial Prison</w:t>
            </w:r>
          </w:p>
        </w:tc>
        <w:tc>
          <w:tcPr>
            <w:tcW w:w="2410" w:type="dxa"/>
            <w:shd w:val="clear" w:color="auto" w:fill="auto"/>
            <w:vAlign w:val="bottom"/>
          </w:tcPr>
          <w:p w14:paraId="088D466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2ED21B7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4D751D8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04B37F40" w14:textId="77777777" w:rsidTr="007B3726">
        <w:tc>
          <w:tcPr>
            <w:tcW w:w="890" w:type="dxa"/>
            <w:shd w:val="clear" w:color="auto" w:fill="auto"/>
          </w:tcPr>
          <w:p w14:paraId="3A1D0A5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60</w:t>
            </w:r>
          </w:p>
        </w:tc>
        <w:tc>
          <w:tcPr>
            <w:tcW w:w="5064" w:type="dxa"/>
            <w:shd w:val="clear" w:color="auto" w:fill="auto"/>
            <w:vAlign w:val="bottom"/>
          </w:tcPr>
          <w:p w14:paraId="0722717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Phitsanulok Provincial Prison</w:t>
            </w:r>
          </w:p>
        </w:tc>
        <w:tc>
          <w:tcPr>
            <w:tcW w:w="2410" w:type="dxa"/>
            <w:shd w:val="clear" w:color="auto" w:fill="auto"/>
            <w:vAlign w:val="bottom"/>
          </w:tcPr>
          <w:p w14:paraId="4F66BA9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10</w:t>
            </w:r>
          </w:p>
        </w:tc>
        <w:tc>
          <w:tcPr>
            <w:tcW w:w="2409" w:type="dxa"/>
            <w:shd w:val="clear" w:color="auto" w:fill="auto"/>
            <w:vAlign w:val="bottom"/>
          </w:tcPr>
          <w:p w14:paraId="33120C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14</w:t>
            </w:r>
          </w:p>
        </w:tc>
        <w:tc>
          <w:tcPr>
            <w:tcW w:w="2552" w:type="dxa"/>
            <w:shd w:val="clear" w:color="auto" w:fill="auto"/>
            <w:vAlign w:val="bottom"/>
          </w:tcPr>
          <w:p w14:paraId="567940B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6C32085C" w14:textId="77777777" w:rsidTr="007B3726">
        <w:tc>
          <w:tcPr>
            <w:tcW w:w="890" w:type="dxa"/>
            <w:shd w:val="clear" w:color="auto" w:fill="auto"/>
          </w:tcPr>
          <w:p w14:paraId="75256F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61</w:t>
            </w:r>
          </w:p>
        </w:tc>
        <w:tc>
          <w:tcPr>
            <w:tcW w:w="5064" w:type="dxa"/>
            <w:shd w:val="clear" w:color="auto" w:fill="auto"/>
            <w:vAlign w:val="bottom"/>
          </w:tcPr>
          <w:p w14:paraId="3834472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Phetchabun Provincial Prison</w:t>
            </w:r>
          </w:p>
        </w:tc>
        <w:tc>
          <w:tcPr>
            <w:tcW w:w="2410" w:type="dxa"/>
            <w:shd w:val="clear" w:color="auto" w:fill="auto"/>
            <w:vAlign w:val="bottom"/>
          </w:tcPr>
          <w:p w14:paraId="4899F3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551CF4D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c>
          <w:tcPr>
            <w:tcW w:w="2552" w:type="dxa"/>
            <w:shd w:val="clear" w:color="auto" w:fill="auto"/>
            <w:vAlign w:val="bottom"/>
          </w:tcPr>
          <w:p w14:paraId="52E9BE3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489EED2B" w14:textId="77777777" w:rsidTr="007B3726">
        <w:tc>
          <w:tcPr>
            <w:tcW w:w="890" w:type="dxa"/>
            <w:shd w:val="clear" w:color="auto" w:fill="auto"/>
          </w:tcPr>
          <w:p w14:paraId="567791D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62</w:t>
            </w:r>
          </w:p>
        </w:tc>
        <w:tc>
          <w:tcPr>
            <w:tcW w:w="5064" w:type="dxa"/>
            <w:shd w:val="clear" w:color="auto" w:fill="auto"/>
            <w:vAlign w:val="bottom"/>
          </w:tcPr>
          <w:p w14:paraId="44234FB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Phrae Provincial Prison</w:t>
            </w:r>
          </w:p>
        </w:tc>
        <w:tc>
          <w:tcPr>
            <w:tcW w:w="2410" w:type="dxa"/>
            <w:shd w:val="clear" w:color="auto" w:fill="auto"/>
            <w:vAlign w:val="bottom"/>
          </w:tcPr>
          <w:p w14:paraId="19B5A1B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6</w:t>
            </w:r>
          </w:p>
        </w:tc>
        <w:tc>
          <w:tcPr>
            <w:tcW w:w="2409" w:type="dxa"/>
            <w:shd w:val="clear" w:color="auto" w:fill="auto"/>
            <w:vAlign w:val="bottom"/>
          </w:tcPr>
          <w:p w14:paraId="680A47A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6D6B4E1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3603B6C2" w14:textId="77777777" w:rsidTr="007B3726">
        <w:tc>
          <w:tcPr>
            <w:tcW w:w="890" w:type="dxa"/>
            <w:shd w:val="clear" w:color="auto" w:fill="auto"/>
          </w:tcPr>
          <w:p w14:paraId="13FD625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63</w:t>
            </w:r>
          </w:p>
        </w:tc>
        <w:tc>
          <w:tcPr>
            <w:tcW w:w="5064" w:type="dxa"/>
            <w:shd w:val="clear" w:color="auto" w:fill="auto"/>
            <w:vAlign w:val="bottom"/>
          </w:tcPr>
          <w:p w14:paraId="7AB3582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Phuket Provincial Prison</w:t>
            </w:r>
          </w:p>
        </w:tc>
        <w:tc>
          <w:tcPr>
            <w:tcW w:w="2410" w:type="dxa"/>
            <w:shd w:val="clear" w:color="auto" w:fill="auto"/>
            <w:vAlign w:val="bottom"/>
          </w:tcPr>
          <w:p w14:paraId="4D49F69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9</w:t>
            </w:r>
          </w:p>
        </w:tc>
        <w:tc>
          <w:tcPr>
            <w:tcW w:w="2409" w:type="dxa"/>
            <w:shd w:val="clear" w:color="auto" w:fill="auto"/>
            <w:vAlign w:val="bottom"/>
          </w:tcPr>
          <w:p w14:paraId="29859C4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05CA1E9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2974BB52" w14:textId="77777777" w:rsidTr="007B3726">
        <w:tc>
          <w:tcPr>
            <w:tcW w:w="890" w:type="dxa"/>
            <w:shd w:val="clear" w:color="auto" w:fill="auto"/>
          </w:tcPr>
          <w:p w14:paraId="478703A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64</w:t>
            </w:r>
          </w:p>
        </w:tc>
        <w:tc>
          <w:tcPr>
            <w:tcW w:w="5064" w:type="dxa"/>
            <w:shd w:val="clear" w:color="auto" w:fill="auto"/>
            <w:vAlign w:val="bottom"/>
          </w:tcPr>
          <w:p w14:paraId="21A3C29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Maha Sarakham Provincial Prison</w:t>
            </w:r>
          </w:p>
        </w:tc>
        <w:tc>
          <w:tcPr>
            <w:tcW w:w="2410" w:type="dxa"/>
            <w:shd w:val="clear" w:color="auto" w:fill="auto"/>
            <w:vAlign w:val="bottom"/>
          </w:tcPr>
          <w:p w14:paraId="226DA33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631AD52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11</w:t>
            </w:r>
          </w:p>
        </w:tc>
        <w:tc>
          <w:tcPr>
            <w:tcW w:w="2552" w:type="dxa"/>
            <w:shd w:val="clear" w:color="auto" w:fill="auto"/>
            <w:vAlign w:val="bottom"/>
          </w:tcPr>
          <w:p w14:paraId="176F71F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r>
      <w:tr w:rsidR="00695E59" w:rsidRPr="007B3726" w14:paraId="05FB78EB" w14:textId="77777777" w:rsidTr="007B3726">
        <w:tc>
          <w:tcPr>
            <w:tcW w:w="890" w:type="dxa"/>
            <w:shd w:val="clear" w:color="auto" w:fill="auto"/>
          </w:tcPr>
          <w:p w14:paraId="7E430C6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65</w:t>
            </w:r>
          </w:p>
        </w:tc>
        <w:tc>
          <w:tcPr>
            <w:tcW w:w="5064" w:type="dxa"/>
            <w:shd w:val="clear" w:color="auto" w:fill="auto"/>
            <w:vAlign w:val="bottom"/>
          </w:tcPr>
          <w:p w14:paraId="6D3FE6E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Mukdahan Provincial Prison</w:t>
            </w:r>
          </w:p>
        </w:tc>
        <w:tc>
          <w:tcPr>
            <w:tcW w:w="2410" w:type="dxa"/>
            <w:shd w:val="clear" w:color="auto" w:fill="auto"/>
            <w:vAlign w:val="bottom"/>
          </w:tcPr>
          <w:p w14:paraId="4789B56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6</w:t>
            </w:r>
          </w:p>
        </w:tc>
        <w:tc>
          <w:tcPr>
            <w:tcW w:w="2409" w:type="dxa"/>
            <w:shd w:val="clear" w:color="auto" w:fill="auto"/>
            <w:vAlign w:val="bottom"/>
          </w:tcPr>
          <w:p w14:paraId="09023FD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3658C14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1F45D07E" w14:textId="77777777" w:rsidTr="007B3726">
        <w:tc>
          <w:tcPr>
            <w:tcW w:w="890" w:type="dxa"/>
            <w:shd w:val="clear" w:color="auto" w:fill="auto"/>
          </w:tcPr>
          <w:p w14:paraId="1B5A84B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66</w:t>
            </w:r>
          </w:p>
        </w:tc>
        <w:tc>
          <w:tcPr>
            <w:tcW w:w="5064" w:type="dxa"/>
            <w:shd w:val="clear" w:color="auto" w:fill="auto"/>
            <w:vAlign w:val="bottom"/>
          </w:tcPr>
          <w:p w14:paraId="7AA26D4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DC2C41">
              <w:rPr>
                <w:rFonts w:eastAsia="ZWAdobeF"/>
                <w:sz w:val="18"/>
                <w:szCs w:val="18"/>
                <w:lang w:val="fr-CH" w:bidi="th-TH"/>
              </w:rPr>
              <w:t>Mae Hong son Provincial Prison</w:t>
            </w:r>
          </w:p>
        </w:tc>
        <w:tc>
          <w:tcPr>
            <w:tcW w:w="2410" w:type="dxa"/>
            <w:shd w:val="clear" w:color="auto" w:fill="auto"/>
            <w:vAlign w:val="bottom"/>
          </w:tcPr>
          <w:p w14:paraId="4446D5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6C7A270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253938D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2C80C48D" w14:textId="77777777" w:rsidTr="007B3726">
        <w:tc>
          <w:tcPr>
            <w:tcW w:w="890" w:type="dxa"/>
            <w:shd w:val="clear" w:color="auto" w:fill="auto"/>
          </w:tcPr>
          <w:p w14:paraId="545C437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67</w:t>
            </w:r>
          </w:p>
        </w:tc>
        <w:tc>
          <w:tcPr>
            <w:tcW w:w="5064" w:type="dxa"/>
            <w:shd w:val="clear" w:color="auto" w:fill="auto"/>
            <w:vAlign w:val="bottom"/>
          </w:tcPr>
          <w:p w14:paraId="729445C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Yasothon Provincial Prison</w:t>
            </w:r>
          </w:p>
        </w:tc>
        <w:tc>
          <w:tcPr>
            <w:tcW w:w="2410" w:type="dxa"/>
            <w:shd w:val="clear" w:color="auto" w:fill="auto"/>
            <w:vAlign w:val="bottom"/>
          </w:tcPr>
          <w:p w14:paraId="3D46BE1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5DF6379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49BE81A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r>
      <w:tr w:rsidR="00695E59" w:rsidRPr="007B3726" w14:paraId="5C87B875" w14:textId="77777777" w:rsidTr="007B3726">
        <w:tc>
          <w:tcPr>
            <w:tcW w:w="890" w:type="dxa"/>
            <w:shd w:val="clear" w:color="auto" w:fill="auto"/>
          </w:tcPr>
          <w:p w14:paraId="630129B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68</w:t>
            </w:r>
          </w:p>
        </w:tc>
        <w:tc>
          <w:tcPr>
            <w:tcW w:w="5064" w:type="dxa"/>
            <w:shd w:val="clear" w:color="auto" w:fill="auto"/>
            <w:vAlign w:val="bottom"/>
          </w:tcPr>
          <w:p w14:paraId="3EAB33A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Ranong Provincial Prison</w:t>
            </w:r>
          </w:p>
        </w:tc>
        <w:tc>
          <w:tcPr>
            <w:tcW w:w="2410" w:type="dxa"/>
            <w:shd w:val="clear" w:color="auto" w:fill="auto"/>
            <w:vAlign w:val="bottom"/>
          </w:tcPr>
          <w:p w14:paraId="48E9F23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51FD688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019F6F9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20013A99" w14:textId="77777777" w:rsidTr="007B3726">
        <w:tc>
          <w:tcPr>
            <w:tcW w:w="890" w:type="dxa"/>
            <w:shd w:val="clear" w:color="auto" w:fill="auto"/>
          </w:tcPr>
          <w:p w14:paraId="5DBC55D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69</w:t>
            </w:r>
          </w:p>
        </w:tc>
        <w:tc>
          <w:tcPr>
            <w:tcW w:w="5064" w:type="dxa"/>
            <w:shd w:val="clear" w:color="auto" w:fill="auto"/>
            <w:vAlign w:val="bottom"/>
          </w:tcPr>
          <w:p w14:paraId="1D360FA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Roi Et Provincial Prison</w:t>
            </w:r>
          </w:p>
        </w:tc>
        <w:tc>
          <w:tcPr>
            <w:tcW w:w="2410" w:type="dxa"/>
            <w:shd w:val="clear" w:color="auto" w:fill="auto"/>
            <w:vAlign w:val="bottom"/>
          </w:tcPr>
          <w:p w14:paraId="3E02EE0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6</w:t>
            </w:r>
          </w:p>
        </w:tc>
        <w:tc>
          <w:tcPr>
            <w:tcW w:w="2409" w:type="dxa"/>
            <w:shd w:val="clear" w:color="auto" w:fill="auto"/>
            <w:vAlign w:val="bottom"/>
          </w:tcPr>
          <w:p w14:paraId="1173630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c>
          <w:tcPr>
            <w:tcW w:w="2552" w:type="dxa"/>
            <w:shd w:val="clear" w:color="auto" w:fill="auto"/>
            <w:vAlign w:val="bottom"/>
          </w:tcPr>
          <w:p w14:paraId="12AA07F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r>
      <w:tr w:rsidR="00695E59" w:rsidRPr="007B3726" w14:paraId="70E78F2F" w14:textId="77777777" w:rsidTr="007B3726">
        <w:tc>
          <w:tcPr>
            <w:tcW w:w="890" w:type="dxa"/>
            <w:shd w:val="clear" w:color="auto" w:fill="auto"/>
          </w:tcPr>
          <w:p w14:paraId="6A31B03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70</w:t>
            </w:r>
          </w:p>
        </w:tc>
        <w:tc>
          <w:tcPr>
            <w:tcW w:w="5064" w:type="dxa"/>
            <w:shd w:val="clear" w:color="auto" w:fill="auto"/>
            <w:vAlign w:val="bottom"/>
          </w:tcPr>
          <w:p w14:paraId="0F41DD0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Lamphun Provincial Prison</w:t>
            </w:r>
          </w:p>
        </w:tc>
        <w:tc>
          <w:tcPr>
            <w:tcW w:w="2410" w:type="dxa"/>
            <w:shd w:val="clear" w:color="auto" w:fill="auto"/>
            <w:vAlign w:val="bottom"/>
          </w:tcPr>
          <w:p w14:paraId="6CC97EC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09128B3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12</w:t>
            </w:r>
          </w:p>
        </w:tc>
        <w:tc>
          <w:tcPr>
            <w:tcW w:w="2552" w:type="dxa"/>
            <w:shd w:val="clear" w:color="auto" w:fill="auto"/>
            <w:vAlign w:val="bottom"/>
          </w:tcPr>
          <w:p w14:paraId="27728F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3F59D0E1" w14:textId="77777777" w:rsidTr="007B3726">
        <w:tc>
          <w:tcPr>
            <w:tcW w:w="890" w:type="dxa"/>
            <w:shd w:val="clear" w:color="auto" w:fill="auto"/>
          </w:tcPr>
          <w:p w14:paraId="7E6D029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71</w:t>
            </w:r>
          </w:p>
        </w:tc>
        <w:tc>
          <w:tcPr>
            <w:tcW w:w="5064" w:type="dxa"/>
            <w:shd w:val="clear" w:color="auto" w:fill="auto"/>
            <w:vAlign w:val="bottom"/>
          </w:tcPr>
          <w:p w14:paraId="370A740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Loei Provincial Prison</w:t>
            </w:r>
          </w:p>
        </w:tc>
        <w:tc>
          <w:tcPr>
            <w:tcW w:w="2410" w:type="dxa"/>
            <w:shd w:val="clear" w:color="auto" w:fill="auto"/>
            <w:vAlign w:val="bottom"/>
          </w:tcPr>
          <w:p w14:paraId="27127B3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0B0E208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3801FD2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78D67A7E" w14:textId="77777777" w:rsidTr="007B3726">
        <w:tc>
          <w:tcPr>
            <w:tcW w:w="890" w:type="dxa"/>
            <w:shd w:val="clear" w:color="auto" w:fill="auto"/>
          </w:tcPr>
          <w:p w14:paraId="73AF306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72</w:t>
            </w:r>
          </w:p>
        </w:tc>
        <w:tc>
          <w:tcPr>
            <w:tcW w:w="5064" w:type="dxa"/>
            <w:shd w:val="clear" w:color="auto" w:fill="auto"/>
            <w:vAlign w:val="bottom"/>
          </w:tcPr>
          <w:p w14:paraId="22E122D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DC2C41">
              <w:rPr>
                <w:rFonts w:eastAsia="ZWAdobeF"/>
                <w:sz w:val="18"/>
                <w:szCs w:val="18"/>
                <w:lang w:val="fr-CH" w:bidi="th-TH"/>
              </w:rPr>
              <w:t>Si Sa Ket Provincial Prison</w:t>
            </w:r>
          </w:p>
        </w:tc>
        <w:tc>
          <w:tcPr>
            <w:tcW w:w="2410" w:type="dxa"/>
            <w:shd w:val="clear" w:color="auto" w:fill="auto"/>
            <w:vAlign w:val="bottom"/>
          </w:tcPr>
          <w:p w14:paraId="3202146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14D68BA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05B7D79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4CA379B6" w14:textId="77777777" w:rsidTr="007B3726">
        <w:tc>
          <w:tcPr>
            <w:tcW w:w="890" w:type="dxa"/>
            <w:shd w:val="clear" w:color="auto" w:fill="auto"/>
          </w:tcPr>
          <w:p w14:paraId="57262E4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73</w:t>
            </w:r>
          </w:p>
        </w:tc>
        <w:tc>
          <w:tcPr>
            <w:tcW w:w="5064" w:type="dxa"/>
            <w:shd w:val="clear" w:color="auto" w:fill="auto"/>
            <w:vAlign w:val="bottom"/>
          </w:tcPr>
          <w:p w14:paraId="6ECA596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Sakon Nakhon Provincial Prison</w:t>
            </w:r>
          </w:p>
        </w:tc>
        <w:tc>
          <w:tcPr>
            <w:tcW w:w="2410" w:type="dxa"/>
            <w:shd w:val="clear" w:color="auto" w:fill="auto"/>
            <w:vAlign w:val="bottom"/>
          </w:tcPr>
          <w:p w14:paraId="63D45E5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65342A1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w:t>
            </w:r>
          </w:p>
        </w:tc>
        <w:tc>
          <w:tcPr>
            <w:tcW w:w="2552" w:type="dxa"/>
            <w:shd w:val="clear" w:color="auto" w:fill="auto"/>
            <w:vAlign w:val="bottom"/>
          </w:tcPr>
          <w:p w14:paraId="1D4073B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r>
      <w:tr w:rsidR="00695E59" w:rsidRPr="007B3726" w14:paraId="109924D9" w14:textId="77777777" w:rsidTr="007B3726">
        <w:tc>
          <w:tcPr>
            <w:tcW w:w="890" w:type="dxa"/>
            <w:shd w:val="clear" w:color="auto" w:fill="auto"/>
          </w:tcPr>
          <w:p w14:paraId="3681133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74</w:t>
            </w:r>
          </w:p>
        </w:tc>
        <w:tc>
          <w:tcPr>
            <w:tcW w:w="5064" w:type="dxa"/>
            <w:shd w:val="clear" w:color="auto" w:fill="auto"/>
            <w:vAlign w:val="bottom"/>
          </w:tcPr>
          <w:p w14:paraId="10CBAFA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Songkhla Provincial Prison</w:t>
            </w:r>
          </w:p>
        </w:tc>
        <w:tc>
          <w:tcPr>
            <w:tcW w:w="2410" w:type="dxa"/>
            <w:shd w:val="clear" w:color="auto" w:fill="auto"/>
            <w:vAlign w:val="bottom"/>
          </w:tcPr>
          <w:p w14:paraId="711E5E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13</w:t>
            </w:r>
          </w:p>
        </w:tc>
        <w:tc>
          <w:tcPr>
            <w:tcW w:w="2409" w:type="dxa"/>
            <w:shd w:val="clear" w:color="auto" w:fill="auto"/>
            <w:vAlign w:val="bottom"/>
          </w:tcPr>
          <w:p w14:paraId="3525D7B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11</w:t>
            </w:r>
          </w:p>
        </w:tc>
        <w:tc>
          <w:tcPr>
            <w:tcW w:w="2552" w:type="dxa"/>
            <w:shd w:val="clear" w:color="auto" w:fill="auto"/>
            <w:vAlign w:val="bottom"/>
          </w:tcPr>
          <w:p w14:paraId="07D1A44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06E35864" w14:textId="77777777" w:rsidTr="007B3726">
        <w:tc>
          <w:tcPr>
            <w:tcW w:w="890" w:type="dxa"/>
            <w:shd w:val="clear" w:color="auto" w:fill="auto"/>
          </w:tcPr>
          <w:p w14:paraId="5E274A8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75</w:t>
            </w:r>
          </w:p>
        </w:tc>
        <w:tc>
          <w:tcPr>
            <w:tcW w:w="5064" w:type="dxa"/>
            <w:shd w:val="clear" w:color="auto" w:fill="auto"/>
            <w:vAlign w:val="bottom"/>
          </w:tcPr>
          <w:p w14:paraId="2462477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Satun Provincial Prison</w:t>
            </w:r>
          </w:p>
        </w:tc>
        <w:tc>
          <w:tcPr>
            <w:tcW w:w="2410" w:type="dxa"/>
            <w:shd w:val="clear" w:color="auto" w:fill="auto"/>
            <w:vAlign w:val="bottom"/>
          </w:tcPr>
          <w:p w14:paraId="695CDC8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2A84EC4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4869335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537C920B" w14:textId="77777777" w:rsidTr="007B3726">
        <w:tc>
          <w:tcPr>
            <w:tcW w:w="890" w:type="dxa"/>
            <w:shd w:val="clear" w:color="auto" w:fill="auto"/>
          </w:tcPr>
          <w:p w14:paraId="5AC2A84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76</w:t>
            </w:r>
          </w:p>
        </w:tc>
        <w:tc>
          <w:tcPr>
            <w:tcW w:w="5064" w:type="dxa"/>
            <w:shd w:val="clear" w:color="auto" w:fill="auto"/>
            <w:vAlign w:val="bottom"/>
          </w:tcPr>
          <w:p w14:paraId="78BD9AB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Samut Sakhon Provincial Prison</w:t>
            </w:r>
          </w:p>
        </w:tc>
        <w:tc>
          <w:tcPr>
            <w:tcW w:w="2410" w:type="dxa"/>
            <w:shd w:val="clear" w:color="auto" w:fill="auto"/>
            <w:vAlign w:val="bottom"/>
          </w:tcPr>
          <w:p w14:paraId="1CE5DEF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39A753E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634B1BF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6FAB1C07" w14:textId="77777777" w:rsidTr="007B3726">
        <w:tc>
          <w:tcPr>
            <w:tcW w:w="890" w:type="dxa"/>
            <w:shd w:val="clear" w:color="auto" w:fill="auto"/>
          </w:tcPr>
          <w:p w14:paraId="6CFB9C7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77</w:t>
            </w:r>
          </w:p>
        </w:tc>
        <w:tc>
          <w:tcPr>
            <w:tcW w:w="5064" w:type="dxa"/>
            <w:shd w:val="clear" w:color="auto" w:fill="auto"/>
            <w:vAlign w:val="bottom"/>
          </w:tcPr>
          <w:p w14:paraId="0BAF683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 Kaeo Provincial Prison</w:t>
            </w:r>
          </w:p>
        </w:tc>
        <w:tc>
          <w:tcPr>
            <w:tcW w:w="2410" w:type="dxa"/>
            <w:shd w:val="clear" w:color="auto" w:fill="auto"/>
            <w:vAlign w:val="bottom"/>
          </w:tcPr>
          <w:p w14:paraId="633DC2B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11</w:t>
            </w:r>
          </w:p>
        </w:tc>
        <w:tc>
          <w:tcPr>
            <w:tcW w:w="2409" w:type="dxa"/>
            <w:shd w:val="clear" w:color="auto" w:fill="auto"/>
            <w:vAlign w:val="bottom"/>
          </w:tcPr>
          <w:p w14:paraId="5364FF2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649CD52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4B3E3D20" w14:textId="77777777" w:rsidTr="007B3726">
        <w:tc>
          <w:tcPr>
            <w:tcW w:w="890" w:type="dxa"/>
            <w:shd w:val="clear" w:color="auto" w:fill="auto"/>
          </w:tcPr>
          <w:p w14:paraId="125F1BF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78</w:t>
            </w:r>
          </w:p>
        </w:tc>
        <w:tc>
          <w:tcPr>
            <w:tcW w:w="5064" w:type="dxa"/>
            <w:shd w:val="clear" w:color="auto" w:fill="auto"/>
            <w:vAlign w:val="bottom"/>
          </w:tcPr>
          <w:p w14:paraId="65C0FA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Saraburi Provincial Prison</w:t>
            </w:r>
          </w:p>
        </w:tc>
        <w:tc>
          <w:tcPr>
            <w:tcW w:w="2410" w:type="dxa"/>
            <w:shd w:val="clear" w:color="auto" w:fill="auto"/>
            <w:vAlign w:val="bottom"/>
          </w:tcPr>
          <w:p w14:paraId="376227B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10</w:t>
            </w:r>
          </w:p>
        </w:tc>
        <w:tc>
          <w:tcPr>
            <w:tcW w:w="2409" w:type="dxa"/>
            <w:shd w:val="clear" w:color="auto" w:fill="auto"/>
            <w:vAlign w:val="bottom"/>
          </w:tcPr>
          <w:p w14:paraId="4B99AB5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18</w:t>
            </w:r>
          </w:p>
        </w:tc>
        <w:tc>
          <w:tcPr>
            <w:tcW w:w="2552" w:type="dxa"/>
            <w:shd w:val="clear" w:color="auto" w:fill="auto"/>
            <w:vAlign w:val="bottom"/>
          </w:tcPr>
          <w:p w14:paraId="614FBE2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2E928301" w14:textId="77777777" w:rsidTr="007B3726">
        <w:tc>
          <w:tcPr>
            <w:tcW w:w="890" w:type="dxa"/>
            <w:shd w:val="clear" w:color="auto" w:fill="auto"/>
          </w:tcPr>
          <w:p w14:paraId="2DBBCA7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79</w:t>
            </w:r>
          </w:p>
        </w:tc>
        <w:tc>
          <w:tcPr>
            <w:tcW w:w="5064" w:type="dxa"/>
            <w:shd w:val="clear" w:color="auto" w:fill="auto"/>
            <w:vAlign w:val="bottom"/>
          </w:tcPr>
          <w:p w14:paraId="185423C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Sing Buri Provincial Prison</w:t>
            </w:r>
          </w:p>
        </w:tc>
        <w:tc>
          <w:tcPr>
            <w:tcW w:w="2410" w:type="dxa"/>
            <w:shd w:val="clear" w:color="auto" w:fill="auto"/>
            <w:vAlign w:val="bottom"/>
          </w:tcPr>
          <w:p w14:paraId="6EEC971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056DA12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59CD285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58F9A6A8" w14:textId="77777777" w:rsidTr="007B3726">
        <w:tc>
          <w:tcPr>
            <w:tcW w:w="890" w:type="dxa"/>
            <w:shd w:val="clear" w:color="auto" w:fill="auto"/>
          </w:tcPr>
          <w:p w14:paraId="45B8839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80</w:t>
            </w:r>
          </w:p>
        </w:tc>
        <w:tc>
          <w:tcPr>
            <w:tcW w:w="5064" w:type="dxa"/>
            <w:shd w:val="clear" w:color="auto" w:fill="auto"/>
            <w:vAlign w:val="bottom"/>
          </w:tcPr>
          <w:p w14:paraId="529C597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Sukhothai Provincial Prison</w:t>
            </w:r>
          </w:p>
        </w:tc>
        <w:tc>
          <w:tcPr>
            <w:tcW w:w="2410" w:type="dxa"/>
            <w:shd w:val="clear" w:color="auto" w:fill="auto"/>
            <w:vAlign w:val="bottom"/>
          </w:tcPr>
          <w:p w14:paraId="5320495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18AABA7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68C1417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12F1F0E4" w14:textId="77777777" w:rsidTr="007B3726">
        <w:tc>
          <w:tcPr>
            <w:tcW w:w="890" w:type="dxa"/>
            <w:shd w:val="clear" w:color="auto" w:fill="auto"/>
          </w:tcPr>
          <w:p w14:paraId="7C7B63D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81</w:t>
            </w:r>
          </w:p>
        </w:tc>
        <w:tc>
          <w:tcPr>
            <w:tcW w:w="5064" w:type="dxa"/>
            <w:shd w:val="clear" w:color="auto" w:fill="auto"/>
            <w:vAlign w:val="bottom"/>
          </w:tcPr>
          <w:p w14:paraId="24B2A6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Suphan Buri Provincial Prison</w:t>
            </w:r>
          </w:p>
        </w:tc>
        <w:tc>
          <w:tcPr>
            <w:tcW w:w="2410" w:type="dxa"/>
            <w:shd w:val="clear" w:color="auto" w:fill="auto"/>
            <w:vAlign w:val="bottom"/>
          </w:tcPr>
          <w:p w14:paraId="74B68D3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14</w:t>
            </w:r>
          </w:p>
        </w:tc>
        <w:tc>
          <w:tcPr>
            <w:tcW w:w="2409" w:type="dxa"/>
            <w:shd w:val="clear" w:color="auto" w:fill="auto"/>
            <w:vAlign w:val="bottom"/>
          </w:tcPr>
          <w:p w14:paraId="1A55844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14</w:t>
            </w:r>
          </w:p>
        </w:tc>
        <w:tc>
          <w:tcPr>
            <w:tcW w:w="2552" w:type="dxa"/>
            <w:shd w:val="clear" w:color="auto" w:fill="auto"/>
            <w:vAlign w:val="bottom"/>
          </w:tcPr>
          <w:p w14:paraId="5DBF677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r>
      <w:tr w:rsidR="00695E59" w:rsidRPr="007B3726" w14:paraId="3902FB0C" w14:textId="77777777" w:rsidTr="007B3726">
        <w:tc>
          <w:tcPr>
            <w:tcW w:w="890" w:type="dxa"/>
            <w:shd w:val="clear" w:color="auto" w:fill="auto"/>
          </w:tcPr>
          <w:p w14:paraId="66B3236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82</w:t>
            </w:r>
          </w:p>
        </w:tc>
        <w:tc>
          <w:tcPr>
            <w:tcW w:w="5064" w:type="dxa"/>
            <w:shd w:val="clear" w:color="auto" w:fill="auto"/>
            <w:vAlign w:val="bottom"/>
          </w:tcPr>
          <w:p w14:paraId="0163338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Nong Khai Provincial Prison</w:t>
            </w:r>
          </w:p>
        </w:tc>
        <w:tc>
          <w:tcPr>
            <w:tcW w:w="2410" w:type="dxa"/>
            <w:shd w:val="clear" w:color="auto" w:fill="auto"/>
            <w:vAlign w:val="bottom"/>
          </w:tcPr>
          <w:p w14:paraId="55BD034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8</w:t>
            </w:r>
          </w:p>
        </w:tc>
        <w:tc>
          <w:tcPr>
            <w:tcW w:w="2409" w:type="dxa"/>
            <w:shd w:val="clear" w:color="auto" w:fill="auto"/>
            <w:vAlign w:val="bottom"/>
          </w:tcPr>
          <w:p w14:paraId="4F33CC4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1131A7E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1F333B55" w14:textId="77777777" w:rsidTr="007B3726">
        <w:tc>
          <w:tcPr>
            <w:tcW w:w="890" w:type="dxa"/>
            <w:shd w:val="clear" w:color="auto" w:fill="auto"/>
          </w:tcPr>
          <w:p w14:paraId="4265C2B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83</w:t>
            </w:r>
          </w:p>
        </w:tc>
        <w:tc>
          <w:tcPr>
            <w:tcW w:w="5064" w:type="dxa"/>
            <w:shd w:val="clear" w:color="auto" w:fill="auto"/>
            <w:vAlign w:val="bottom"/>
          </w:tcPr>
          <w:p w14:paraId="54EAD72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Nong Bua Lam Phu Provincial Prison</w:t>
            </w:r>
          </w:p>
        </w:tc>
        <w:tc>
          <w:tcPr>
            <w:tcW w:w="2410" w:type="dxa"/>
            <w:shd w:val="clear" w:color="auto" w:fill="auto"/>
            <w:vAlign w:val="bottom"/>
          </w:tcPr>
          <w:p w14:paraId="504C6DE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1F21DB8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11</w:t>
            </w:r>
          </w:p>
        </w:tc>
        <w:tc>
          <w:tcPr>
            <w:tcW w:w="2552" w:type="dxa"/>
            <w:shd w:val="clear" w:color="auto" w:fill="auto"/>
            <w:vAlign w:val="bottom"/>
          </w:tcPr>
          <w:p w14:paraId="70EF163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07C74A44" w14:textId="77777777" w:rsidTr="00C73249">
        <w:tc>
          <w:tcPr>
            <w:tcW w:w="890" w:type="dxa"/>
            <w:tcBorders>
              <w:bottom w:val="nil"/>
            </w:tcBorders>
            <w:shd w:val="clear" w:color="auto" w:fill="auto"/>
          </w:tcPr>
          <w:p w14:paraId="0B77E42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84</w:t>
            </w:r>
          </w:p>
        </w:tc>
        <w:tc>
          <w:tcPr>
            <w:tcW w:w="5064" w:type="dxa"/>
            <w:tcBorders>
              <w:bottom w:val="nil"/>
            </w:tcBorders>
            <w:shd w:val="clear" w:color="auto" w:fill="auto"/>
            <w:vAlign w:val="bottom"/>
          </w:tcPr>
          <w:p w14:paraId="11786F7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Ang Thong Provincial Prison</w:t>
            </w:r>
          </w:p>
        </w:tc>
        <w:tc>
          <w:tcPr>
            <w:tcW w:w="2410" w:type="dxa"/>
            <w:tcBorders>
              <w:bottom w:val="nil"/>
            </w:tcBorders>
            <w:shd w:val="clear" w:color="auto" w:fill="auto"/>
            <w:vAlign w:val="bottom"/>
          </w:tcPr>
          <w:p w14:paraId="5458935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7</w:t>
            </w:r>
          </w:p>
        </w:tc>
        <w:tc>
          <w:tcPr>
            <w:tcW w:w="2409" w:type="dxa"/>
            <w:tcBorders>
              <w:bottom w:val="nil"/>
            </w:tcBorders>
            <w:shd w:val="clear" w:color="auto" w:fill="auto"/>
            <w:vAlign w:val="bottom"/>
          </w:tcPr>
          <w:p w14:paraId="6518BD5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c>
          <w:tcPr>
            <w:tcW w:w="2552" w:type="dxa"/>
            <w:tcBorders>
              <w:bottom w:val="nil"/>
            </w:tcBorders>
            <w:shd w:val="clear" w:color="auto" w:fill="auto"/>
            <w:vAlign w:val="bottom"/>
          </w:tcPr>
          <w:p w14:paraId="01251C9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06AAD8E6" w14:textId="77777777" w:rsidTr="00C73249">
        <w:tc>
          <w:tcPr>
            <w:tcW w:w="890" w:type="dxa"/>
            <w:tcBorders>
              <w:top w:val="nil"/>
              <w:bottom w:val="nil"/>
            </w:tcBorders>
            <w:shd w:val="clear" w:color="auto" w:fill="auto"/>
          </w:tcPr>
          <w:p w14:paraId="0378D20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85</w:t>
            </w:r>
          </w:p>
        </w:tc>
        <w:tc>
          <w:tcPr>
            <w:tcW w:w="5064" w:type="dxa"/>
            <w:tcBorders>
              <w:top w:val="nil"/>
              <w:bottom w:val="nil"/>
            </w:tcBorders>
            <w:shd w:val="clear" w:color="auto" w:fill="auto"/>
            <w:vAlign w:val="bottom"/>
          </w:tcPr>
          <w:p w14:paraId="4D1DDB7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Uttaradit Provincial Prison</w:t>
            </w:r>
          </w:p>
        </w:tc>
        <w:tc>
          <w:tcPr>
            <w:tcW w:w="2410" w:type="dxa"/>
            <w:tcBorders>
              <w:top w:val="nil"/>
              <w:bottom w:val="nil"/>
            </w:tcBorders>
            <w:shd w:val="clear" w:color="auto" w:fill="auto"/>
            <w:vAlign w:val="bottom"/>
          </w:tcPr>
          <w:p w14:paraId="0D78B3D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tcBorders>
              <w:top w:val="nil"/>
              <w:bottom w:val="nil"/>
            </w:tcBorders>
            <w:shd w:val="clear" w:color="auto" w:fill="auto"/>
            <w:vAlign w:val="bottom"/>
          </w:tcPr>
          <w:p w14:paraId="6A9908C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tcBorders>
              <w:top w:val="nil"/>
              <w:bottom w:val="nil"/>
            </w:tcBorders>
            <w:shd w:val="clear" w:color="auto" w:fill="auto"/>
            <w:vAlign w:val="bottom"/>
          </w:tcPr>
          <w:p w14:paraId="0BF30F9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6A30AFA0" w14:textId="77777777" w:rsidTr="00C73249">
        <w:tc>
          <w:tcPr>
            <w:tcW w:w="890" w:type="dxa"/>
            <w:tcBorders>
              <w:top w:val="nil"/>
            </w:tcBorders>
            <w:shd w:val="clear" w:color="auto" w:fill="auto"/>
          </w:tcPr>
          <w:p w14:paraId="634FA16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lastRenderedPageBreak/>
              <w:t>86</w:t>
            </w:r>
          </w:p>
        </w:tc>
        <w:tc>
          <w:tcPr>
            <w:tcW w:w="5064" w:type="dxa"/>
            <w:tcBorders>
              <w:top w:val="nil"/>
            </w:tcBorders>
            <w:shd w:val="clear" w:color="auto" w:fill="auto"/>
            <w:vAlign w:val="bottom"/>
          </w:tcPr>
          <w:p w14:paraId="00EEFE6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Uthai Thani Provincial Prison</w:t>
            </w:r>
          </w:p>
        </w:tc>
        <w:tc>
          <w:tcPr>
            <w:tcW w:w="2410" w:type="dxa"/>
            <w:tcBorders>
              <w:top w:val="nil"/>
            </w:tcBorders>
            <w:shd w:val="clear" w:color="auto" w:fill="auto"/>
            <w:vAlign w:val="bottom"/>
          </w:tcPr>
          <w:p w14:paraId="6BA35C8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tcBorders>
              <w:top w:val="nil"/>
            </w:tcBorders>
            <w:shd w:val="clear" w:color="auto" w:fill="auto"/>
            <w:vAlign w:val="bottom"/>
          </w:tcPr>
          <w:p w14:paraId="7522C64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tcBorders>
              <w:top w:val="nil"/>
            </w:tcBorders>
            <w:shd w:val="clear" w:color="auto" w:fill="auto"/>
            <w:vAlign w:val="bottom"/>
          </w:tcPr>
          <w:p w14:paraId="521E29A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7BEEC4D6" w14:textId="77777777" w:rsidTr="007B3726">
        <w:tc>
          <w:tcPr>
            <w:tcW w:w="890" w:type="dxa"/>
            <w:shd w:val="clear" w:color="auto" w:fill="auto"/>
          </w:tcPr>
          <w:p w14:paraId="68CE83A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87</w:t>
            </w:r>
          </w:p>
        </w:tc>
        <w:tc>
          <w:tcPr>
            <w:tcW w:w="5064" w:type="dxa"/>
            <w:shd w:val="clear" w:color="auto" w:fill="auto"/>
            <w:vAlign w:val="bottom"/>
          </w:tcPr>
          <w:p w14:paraId="559DD1D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Amnat Charoen Provincial Prison</w:t>
            </w:r>
          </w:p>
        </w:tc>
        <w:tc>
          <w:tcPr>
            <w:tcW w:w="2410" w:type="dxa"/>
            <w:shd w:val="clear" w:color="auto" w:fill="auto"/>
            <w:vAlign w:val="bottom"/>
          </w:tcPr>
          <w:p w14:paraId="22892BE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0367341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2945F5A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5E4BD658" w14:textId="77777777" w:rsidTr="007B3726">
        <w:tc>
          <w:tcPr>
            <w:tcW w:w="890" w:type="dxa"/>
            <w:shd w:val="clear" w:color="auto" w:fill="auto"/>
          </w:tcPr>
          <w:p w14:paraId="1202418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88</w:t>
            </w:r>
          </w:p>
        </w:tc>
        <w:tc>
          <w:tcPr>
            <w:tcW w:w="5064" w:type="dxa"/>
            <w:shd w:val="clear" w:color="auto" w:fill="auto"/>
            <w:vAlign w:val="bottom"/>
          </w:tcPr>
          <w:p w14:paraId="7B988E3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Kabin Buri District Prison</w:t>
            </w:r>
          </w:p>
        </w:tc>
        <w:tc>
          <w:tcPr>
            <w:tcW w:w="2410" w:type="dxa"/>
            <w:shd w:val="clear" w:color="auto" w:fill="auto"/>
            <w:vAlign w:val="bottom"/>
          </w:tcPr>
          <w:p w14:paraId="2694BA5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32BD2D8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c>
          <w:tcPr>
            <w:tcW w:w="2552" w:type="dxa"/>
            <w:shd w:val="clear" w:color="auto" w:fill="auto"/>
            <w:vAlign w:val="bottom"/>
          </w:tcPr>
          <w:p w14:paraId="1E87E43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788E1333" w14:textId="77777777" w:rsidTr="007B3726">
        <w:tc>
          <w:tcPr>
            <w:tcW w:w="890" w:type="dxa"/>
            <w:shd w:val="clear" w:color="auto" w:fill="auto"/>
          </w:tcPr>
          <w:p w14:paraId="1E6AD42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89</w:t>
            </w:r>
          </w:p>
        </w:tc>
        <w:tc>
          <w:tcPr>
            <w:tcW w:w="5064" w:type="dxa"/>
            <w:shd w:val="clear" w:color="auto" w:fill="auto"/>
            <w:vAlign w:val="bottom"/>
          </w:tcPr>
          <w:p w14:paraId="035A6C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Kantharalak District Prison</w:t>
            </w:r>
          </w:p>
        </w:tc>
        <w:tc>
          <w:tcPr>
            <w:tcW w:w="2410" w:type="dxa"/>
            <w:shd w:val="clear" w:color="auto" w:fill="auto"/>
            <w:vAlign w:val="bottom"/>
          </w:tcPr>
          <w:p w14:paraId="3F02815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5E298C1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7AF087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3A513519" w14:textId="77777777" w:rsidTr="007B3726">
        <w:tc>
          <w:tcPr>
            <w:tcW w:w="890" w:type="dxa"/>
            <w:shd w:val="clear" w:color="auto" w:fill="auto"/>
          </w:tcPr>
          <w:p w14:paraId="7D83950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90</w:t>
            </w:r>
          </w:p>
        </w:tc>
        <w:tc>
          <w:tcPr>
            <w:tcW w:w="5064" w:type="dxa"/>
            <w:shd w:val="clear" w:color="auto" w:fill="auto"/>
            <w:vAlign w:val="bottom"/>
          </w:tcPr>
          <w:p w14:paraId="3BF8C6A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Koh Samui District Prison</w:t>
            </w:r>
          </w:p>
        </w:tc>
        <w:tc>
          <w:tcPr>
            <w:tcW w:w="2410" w:type="dxa"/>
            <w:shd w:val="clear" w:color="auto" w:fill="auto"/>
            <w:vAlign w:val="bottom"/>
          </w:tcPr>
          <w:p w14:paraId="51E97C1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054A312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0A4CAB3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1E88BF34" w14:textId="77777777" w:rsidTr="007B3726">
        <w:tc>
          <w:tcPr>
            <w:tcW w:w="890" w:type="dxa"/>
            <w:shd w:val="clear" w:color="auto" w:fill="auto"/>
          </w:tcPr>
          <w:p w14:paraId="586ECAE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91</w:t>
            </w:r>
          </w:p>
        </w:tc>
        <w:tc>
          <w:tcPr>
            <w:tcW w:w="5064" w:type="dxa"/>
            <w:shd w:val="clear" w:color="auto" w:fill="auto"/>
            <w:vAlign w:val="bottom"/>
          </w:tcPr>
          <w:p w14:paraId="2D6C1E4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Chai Badan District Prison</w:t>
            </w:r>
          </w:p>
        </w:tc>
        <w:tc>
          <w:tcPr>
            <w:tcW w:w="2410" w:type="dxa"/>
            <w:shd w:val="clear" w:color="auto" w:fill="auto"/>
            <w:vAlign w:val="bottom"/>
          </w:tcPr>
          <w:p w14:paraId="27D2290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447D34A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1259EA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0352F8E7" w14:textId="77777777" w:rsidTr="007B3726">
        <w:tc>
          <w:tcPr>
            <w:tcW w:w="890" w:type="dxa"/>
            <w:shd w:val="clear" w:color="auto" w:fill="auto"/>
          </w:tcPr>
          <w:p w14:paraId="7F1BF16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92</w:t>
            </w:r>
          </w:p>
        </w:tc>
        <w:tc>
          <w:tcPr>
            <w:tcW w:w="5064" w:type="dxa"/>
            <w:shd w:val="clear" w:color="auto" w:fill="auto"/>
            <w:vAlign w:val="bottom"/>
          </w:tcPr>
          <w:p w14:paraId="6E08C92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Chaiya District Prison</w:t>
            </w:r>
          </w:p>
        </w:tc>
        <w:tc>
          <w:tcPr>
            <w:tcW w:w="2410" w:type="dxa"/>
            <w:shd w:val="clear" w:color="auto" w:fill="auto"/>
            <w:vAlign w:val="bottom"/>
          </w:tcPr>
          <w:p w14:paraId="62196A4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040F1DE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52FB074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079B0DE2" w14:textId="77777777" w:rsidTr="007B3726">
        <w:tc>
          <w:tcPr>
            <w:tcW w:w="890" w:type="dxa"/>
            <w:shd w:val="clear" w:color="auto" w:fill="auto"/>
          </w:tcPr>
          <w:p w14:paraId="21235BA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93</w:t>
            </w:r>
          </w:p>
        </w:tc>
        <w:tc>
          <w:tcPr>
            <w:tcW w:w="5064" w:type="dxa"/>
            <w:shd w:val="clear" w:color="auto" w:fill="auto"/>
            <w:vAlign w:val="bottom"/>
          </w:tcPr>
          <w:p w14:paraId="6481110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Takua Pa District Prison</w:t>
            </w:r>
          </w:p>
        </w:tc>
        <w:tc>
          <w:tcPr>
            <w:tcW w:w="2410" w:type="dxa"/>
            <w:shd w:val="clear" w:color="auto" w:fill="auto"/>
            <w:vAlign w:val="bottom"/>
          </w:tcPr>
          <w:p w14:paraId="4677433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685955C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463C051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584292D7" w14:textId="77777777" w:rsidTr="007B3726">
        <w:tc>
          <w:tcPr>
            <w:tcW w:w="890" w:type="dxa"/>
            <w:shd w:val="clear" w:color="auto" w:fill="auto"/>
          </w:tcPr>
          <w:p w14:paraId="62704D2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94</w:t>
            </w:r>
          </w:p>
        </w:tc>
        <w:tc>
          <w:tcPr>
            <w:tcW w:w="5064" w:type="dxa"/>
            <w:shd w:val="clear" w:color="auto" w:fill="auto"/>
            <w:vAlign w:val="bottom"/>
          </w:tcPr>
          <w:p w14:paraId="094B9D0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Thong Pha Phum District Prison</w:t>
            </w:r>
          </w:p>
        </w:tc>
        <w:tc>
          <w:tcPr>
            <w:tcW w:w="2410" w:type="dxa"/>
            <w:shd w:val="clear" w:color="auto" w:fill="auto"/>
            <w:vAlign w:val="bottom"/>
          </w:tcPr>
          <w:p w14:paraId="34D46F5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shd w:val="clear" w:color="auto" w:fill="auto"/>
            <w:vAlign w:val="bottom"/>
          </w:tcPr>
          <w:p w14:paraId="54C0F7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09DF58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32EAA388" w14:textId="77777777" w:rsidTr="007B3726">
        <w:tc>
          <w:tcPr>
            <w:tcW w:w="890" w:type="dxa"/>
            <w:shd w:val="clear" w:color="auto" w:fill="auto"/>
          </w:tcPr>
          <w:p w14:paraId="0D0815F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95</w:t>
            </w:r>
          </w:p>
        </w:tc>
        <w:tc>
          <w:tcPr>
            <w:tcW w:w="5064" w:type="dxa"/>
            <w:shd w:val="clear" w:color="auto" w:fill="auto"/>
            <w:vAlign w:val="bottom"/>
          </w:tcPr>
          <w:p w14:paraId="0A3EEEF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Thung Song District Prison</w:t>
            </w:r>
          </w:p>
        </w:tc>
        <w:tc>
          <w:tcPr>
            <w:tcW w:w="2410" w:type="dxa"/>
            <w:shd w:val="clear" w:color="auto" w:fill="auto"/>
            <w:vAlign w:val="bottom"/>
          </w:tcPr>
          <w:p w14:paraId="2B6110A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45C7C71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c>
          <w:tcPr>
            <w:tcW w:w="2552" w:type="dxa"/>
            <w:shd w:val="clear" w:color="auto" w:fill="auto"/>
            <w:vAlign w:val="bottom"/>
          </w:tcPr>
          <w:p w14:paraId="1C2E2FC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4F0149F2" w14:textId="77777777" w:rsidTr="007B3726">
        <w:tc>
          <w:tcPr>
            <w:tcW w:w="890" w:type="dxa"/>
            <w:shd w:val="clear" w:color="auto" w:fill="auto"/>
          </w:tcPr>
          <w:p w14:paraId="6E9056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96</w:t>
            </w:r>
          </w:p>
        </w:tc>
        <w:tc>
          <w:tcPr>
            <w:tcW w:w="5064" w:type="dxa"/>
            <w:shd w:val="clear" w:color="auto" w:fill="auto"/>
            <w:vAlign w:val="bottom"/>
          </w:tcPr>
          <w:p w14:paraId="32541C6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Thoeng District Prison</w:t>
            </w:r>
          </w:p>
        </w:tc>
        <w:tc>
          <w:tcPr>
            <w:tcW w:w="2410" w:type="dxa"/>
            <w:shd w:val="clear" w:color="auto" w:fill="auto"/>
            <w:vAlign w:val="bottom"/>
          </w:tcPr>
          <w:p w14:paraId="5FD2B7C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31E1C3C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3D21A69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03E26C38" w14:textId="77777777" w:rsidTr="007B3726">
        <w:tc>
          <w:tcPr>
            <w:tcW w:w="890" w:type="dxa"/>
            <w:shd w:val="clear" w:color="auto" w:fill="auto"/>
          </w:tcPr>
          <w:p w14:paraId="7F7EA73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97</w:t>
            </w:r>
          </w:p>
        </w:tc>
        <w:tc>
          <w:tcPr>
            <w:tcW w:w="5064" w:type="dxa"/>
            <w:shd w:val="clear" w:color="auto" w:fill="auto"/>
            <w:vAlign w:val="bottom"/>
          </w:tcPr>
          <w:p w14:paraId="38E3100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Thanyaburi District Prison</w:t>
            </w:r>
          </w:p>
        </w:tc>
        <w:tc>
          <w:tcPr>
            <w:tcW w:w="2410" w:type="dxa"/>
            <w:shd w:val="clear" w:color="auto" w:fill="auto"/>
            <w:vAlign w:val="bottom"/>
          </w:tcPr>
          <w:p w14:paraId="79EAA4F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10</w:t>
            </w:r>
          </w:p>
        </w:tc>
        <w:tc>
          <w:tcPr>
            <w:tcW w:w="2409" w:type="dxa"/>
            <w:shd w:val="clear" w:color="auto" w:fill="auto"/>
            <w:vAlign w:val="bottom"/>
          </w:tcPr>
          <w:p w14:paraId="39C8BD4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9</w:t>
            </w:r>
          </w:p>
        </w:tc>
        <w:tc>
          <w:tcPr>
            <w:tcW w:w="2552" w:type="dxa"/>
            <w:shd w:val="clear" w:color="auto" w:fill="auto"/>
            <w:vAlign w:val="bottom"/>
          </w:tcPr>
          <w:p w14:paraId="6512235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r>
      <w:tr w:rsidR="00695E59" w:rsidRPr="007B3726" w14:paraId="1AA79E15" w14:textId="77777777" w:rsidTr="007B3726">
        <w:tc>
          <w:tcPr>
            <w:tcW w:w="890" w:type="dxa"/>
            <w:shd w:val="clear" w:color="auto" w:fill="auto"/>
          </w:tcPr>
          <w:p w14:paraId="205E48E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98</w:t>
            </w:r>
          </w:p>
        </w:tc>
        <w:tc>
          <w:tcPr>
            <w:tcW w:w="5064" w:type="dxa"/>
            <w:shd w:val="clear" w:color="auto" w:fill="auto"/>
            <w:vAlign w:val="bottom"/>
          </w:tcPr>
          <w:p w14:paraId="5C1EC3D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Nang Rong District Prison</w:t>
            </w:r>
          </w:p>
        </w:tc>
        <w:tc>
          <w:tcPr>
            <w:tcW w:w="2410" w:type="dxa"/>
            <w:shd w:val="clear" w:color="auto" w:fill="auto"/>
            <w:vAlign w:val="bottom"/>
          </w:tcPr>
          <w:p w14:paraId="234C02B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3611311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4C95674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45BF8662" w14:textId="77777777" w:rsidTr="007B3726">
        <w:tc>
          <w:tcPr>
            <w:tcW w:w="890" w:type="dxa"/>
            <w:shd w:val="clear" w:color="auto" w:fill="auto"/>
          </w:tcPr>
          <w:p w14:paraId="2B68413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99</w:t>
            </w:r>
          </w:p>
        </w:tc>
        <w:tc>
          <w:tcPr>
            <w:tcW w:w="5064" w:type="dxa"/>
            <w:shd w:val="clear" w:color="auto" w:fill="auto"/>
            <w:vAlign w:val="bottom"/>
          </w:tcPr>
          <w:p w14:paraId="599A3CD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 Thawi District Prison</w:t>
            </w:r>
          </w:p>
        </w:tc>
        <w:tc>
          <w:tcPr>
            <w:tcW w:w="2410" w:type="dxa"/>
            <w:shd w:val="clear" w:color="auto" w:fill="auto"/>
            <w:vAlign w:val="bottom"/>
          </w:tcPr>
          <w:p w14:paraId="0D1D9D0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8</w:t>
            </w:r>
          </w:p>
        </w:tc>
        <w:tc>
          <w:tcPr>
            <w:tcW w:w="2409" w:type="dxa"/>
            <w:shd w:val="clear" w:color="auto" w:fill="auto"/>
            <w:vAlign w:val="bottom"/>
          </w:tcPr>
          <w:p w14:paraId="441D54C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14</w:t>
            </w:r>
          </w:p>
        </w:tc>
        <w:tc>
          <w:tcPr>
            <w:tcW w:w="2552" w:type="dxa"/>
            <w:shd w:val="clear" w:color="auto" w:fill="auto"/>
            <w:vAlign w:val="bottom"/>
          </w:tcPr>
          <w:p w14:paraId="344B3F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494B2823" w14:textId="77777777" w:rsidTr="007B3726">
        <w:tc>
          <w:tcPr>
            <w:tcW w:w="890" w:type="dxa"/>
            <w:shd w:val="clear" w:color="auto" w:fill="auto"/>
          </w:tcPr>
          <w:p w14:paraId="5F93263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100</w:t>
            </w:r>
          </w:p>
        </w:tc>
        <w:tc>
          <w:tcPr>
            <w:tcW w:w="5064" w:type="dxa"/>
            <w:shd w:val="clear" w:color="auto" w:fill="auto"/>
            <w:vAlign w:val="bottom"/>
          </w:tcPr>
          <w:p w14:paraId="2B2D997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Bua Yai District Prison</w:t>
            </w:r>
          </w:p>
        </w:tc>
        <w:tc>
          <w:tcPr>
            <w:tcW w:w="2410" w:type="dxa"/>
            <w:shd w:val="clear" w:color="auto" w:fill="auto"/>
            <w:vAlign w:val="bottom"/>
          </w:tcPr>
          <w:p w14:paraId="0F655EB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3EF08A2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2CF18A1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2EA166ED" w14:textId="77777777" w:rsidTr="007B3726">
        <w:tc>
          <w:tcPr>
            <w:tcW w:w="890" w:type="dxa"/>
            <w:shd w:val="clear" w:color="auto" w:fill="auto"/>
          </w:tcPr>
          <w:p w14:paraId="634F9EC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101</w:t>
            </w:r>
          </w:p>
        </w:tc>
        <w:tc>
          <w:tcPr>
            <w:tcW w:w="5064" w:type="dxa"/>
            <w:shd w:val="clear" w:color="auto" w:fill="auto"/>
            <w:vAlign w:val="bottom"/>
          </w:tcPr>
          <w:p w14:paraId="008A3C5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Betong District Prison</w:t>
            </w:r>
          </w:p>
        </w:tc>
        <w:tc>
          <w:tcPr>
            <w:tcW w:w="2410" w:type="dxa"/>
            <w:shd w:val="clear" w:color="auto" w:fill="auto"/>
            <w:vAlign w:val="bottom"/>
          </w:tcPr>
          <w:p w14:paraId="523A84F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shd w:val="clear" w:color="auto" w:fill="auto"/>
            <w:vAlign w:val="bottom"/>
          </w:tcPr>
          <w:p w14:paraId="2A0CC98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479B5F3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3F88690E" w14:textId="77777777" w:rsidTr="007B3726">
        <w:tc>
          <w:tcPr>
            <w:tcW w:w="890" w:type="dxa"/>
            <w:shd w:val="clear" w:color="auto" w:fill="auto"/>
          </w:tcPr>
          <w:p w14:paraId="00F65BA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102</w:t>
            </w:r>
          </w:p>
        </w:tc>
        <w:tc>
          <w:tcPr>
            <w:tcW w:w="5064" w:type="dxa"/>
            <w:shd w:val="clear" w:color="auto" w:fill="auto"/>
            <w:vAlign w:val="bottom"/>
          </w:tcPr>
          <w:p w14:paraId="0627E3E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Pak Phanang District Prison</w:t>
            </w:r>
          </w:p>
        </w:tc>
        <w:tc>
          <w:tcPr>
            <w:tcW w:w="2410" w:type="dxa"/>
            <w:shd w:val="clear" w:color="auto" w:fill="auto"/>
            <w:vAlign w:val="bottom"/>
          </w:tcPr>
          <w:p w14:paraId="435FBA0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4A70E6C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68527CB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785B4109" w14:textId="77777777" w:rsidTr="007B3726">
        <w:tc>
          <w:tcPr>
            <w:tcW w:w="890" w:type="dxa"/>
            <w:shd w:val="clear" w:color="auto" w:fill="auto"/>
          </w:tcPr>
          <w:p w14:paraId="6F33045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103</w:t>
            </w:r>
          </w:p>
        </w:tc>
        <w:tc>
          <w:tcPr>
            <w:tcW w:w="5064" w:type="dxa"/>
            <w:shd w:val="clear" w:color="auto" w:fill="auto"/>
            <w:vAlign w:val="bottom"/>
          </w:tcPr>
          <w:p w14:paraId="133B728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Fang District Prison</w:t>
            </w:r>
          </w:p>
        </w:tc>
        <w:tc>
          <w:tcPr>
            <w:tcW w:w="2410" w:type="dxa"/>
            <w:shd w:val="clear" w:color="auto" w:fill="auto"/>
            <w:vAlign w:val="bottom"/>
          </w:tcPr>
          <w:p w14:paraId="6AA5599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6469F62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c>
          <w:tcPr>
            <w:tcW w:w="2552" w:type="dxa"/>
            <w:shd w:val="clear" w:color="auto" w:fill="auto"/>
            <w:vAlign w:val="bottom"/>
          </w:tcPr>
          <w:p w14:paraId="501608C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38868BA5" w14:textId="77777777" w:rsidTr="007B3726">
        <w:tc>
          <w:tcPr>
            <w:tcW w:w="890" w:type="dxa"/>
            <w:shd w:val="clear" w:color="auto" w:fill="auto"/>
          </w:tcPr>
          <w:p w14:paraId="5FDADD7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104</w:t>
            </w:r>
          </w:p>
        </w:tc>
        <w:tc>
          <w:tcPr>
            <w:tcW w:w="5064" w:type="dxa"/>
            <w:shd w:val="clear" w:color="auto" w:fill="auto"/>
            <w:vAlign w:val="bottom"/>
          </w:tcPr>
          <w:p w14:paraId="6A6E3CE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Phon District Prison</w:t>
            </w:r>
          </w:p>
        </w:tc>
        <w:tc>
          <w:tcPr>
            <w:tcW w:w="2410" w:type="dxa"/>
            <w:shd w:val="clear" w:color="auto" w:fill="auto"/>
            <w:vAlign w:val="bottom"/>
          </w:tcPr>
          <w:p w14:paraId="22231F4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38735A2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3C55897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5BD272A8" w14:textId="77777777" w:rsidTr="007B3726">
        <w:tc>
          <w:tcPr>
            <w:tcW w:w="890" w:type="dxa"/>
            <w:shd w:val="clear" w:color="auto" w:fill="auto"/>
          </w:tcPr>
          <w:p w14:paraId="1CA7F9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105</w:t>
            </w:r>
          </w:p>
        </w:tc>
        <w:tc>
          <w:tcPr>
            <w:tcW w:w="5064" w:type="dxa"/>
            <w:shd w:val="clear" w:color="auto" w:fill="auto"/>
            <w:vAlign w:val="bottom"/>
          </w:tcPr>
          <w:p w14:paraId="7316E02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Phu Khiao District Prison</w:t>
            </w:r>
          </w:p>
        </w:tc>
        <w:tc>
          <w:tcPr>
            <w:tcW w:w="2410" w:type="dxa"/>
            <w:shd w:val="clear" w:color="auto" w:fill="auto"/>
            <w:vAlign w:val="bottom"/>
          </w:tcPr>
          <w:p w14:paraId="4FA2BAF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30EBA4E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5B22A9A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12603F4D" w14:textId="77777777" w:rsidTr="007B3726">
        <w:tc>
          <w:tcPr>
            <w:tcW w:w="890" w:type="dxa"/>
            <w:shd w:val="clear" w:color="auto" w:fill="auto"/>
          </w:tcPr>
          <w:p w14:paraId="338589D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106</w:t>
            </w:r>
          </w:p>
        </w:tc>
        <w:tc>
          <w:tcPr>
            <w:tcW w:w="5064" w:type="dxa"/>
            <w:shd w:val="clear" w:color="auto" w:fill="auto"/>
            <w:vAlign w:val="bottom"/>
          </w:tcPr>
          <w:p w14:paraId="2505219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Mae Sod District Prison</w:t>
            </w:r>
          </w:p>
        </w:tc>
        <w:tc>
          <w:tcPr>
            <w:tcW w:w="2410" w:type="dxa"/>
            <w:shd w:val="clear" w:color="auto" w:fill="auto"/>
            <w:vAlign w:val="bottom"/>
          </w:tcPr>
          <w:p w14:paraId="50E78C8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7</w:t>
            </w:r>
          </w:p>
        </w:tc>
        <w:tc>
          <w:tcPr>
            <w:tcW w:w="2409" w:type="dxa"/>
            <w:shd w:val="clear" w:color="auto" w:fill="auto"/>
            <w:vAlign w:val="bottom"/>
          </w:tcPr>
          <w:p w14:paraId="5E07FB7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734753A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6BC10A23" w14:textId="77777777" w:rsidTr="007B3726">
        <w:tc>
          <w:tcPr>
            <w:tcW w:w="890" w:type="dxa"/>
            <w:shd w:val="clear" w:color="auto" w:fill="auto"/>
          </w:tcPr>
          <w:p w14:paraId="116931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107</w:t>
            </w:r>
          </w:p>
        </w:tc>
        <w:tc>
          <w:tcPr>
            <w:tcW w:w="5064" w:type="dxa"/>
            <w:shd w:val="clear" w:color="auto" w:fill="auto"/>
            <w:vAlign w:val="bottom"/>
          </w:tcPr>
          <w:p w14:paraId="0B9E0FF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Mae Sariang District Prison</w:t>
            </w:r>
          </w:p>
        </w:tc>
        <w:tc>
          <w:tcPr>
            <w:tcW w:w="2410" w:type="dxa"/>
            <w:shd w:val="clear" w:color="auto" w:fill="auto"/>
            <w:vAlign w:val="bottom"/>
          </w:tcPr>
          <w:p w14:paraId="49D73D3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615524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1A55E1B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5CFD008C" w14:textId="77777777" w:rsidTr="007B3726">
        <w:tc>
          <w:tcPr>
            <w:tcW w:w="890" w:type="dxa"/>
            <w:shd w:val="clear" w:color="auto" w:fill="auto"/>
          </w:tcPr>
          <w:p w14:paraId="67AEC6B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108</w:t>
            </w:r>
          </w:p>
        </w:tc>
        <w:tc>
          <w:tcPr>
            <w:tcW w:w="5064" w:type="dxa"/>
            <w:shd w:val="clear" w:color="auto" w:fill="auto"/>
            <w:vAlign w:val="bottom"/>
          </w:tcPr>
          <w:p w14:paraId="370956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Rattanaburi District Prison</w:t>
            </w:r>
          </w:p>
        </w:tc>
        <w:tc>
          <w:tcPr>
            <w:tcW w:w="2410" w:type="dxa"/>
            <w:shd w:val="clear" w:color="auto" w:fill="auto"/>
            <w:vAlign w:val="bottom"/>
          </w:tcPr>
          <w:p w14:paraId="7C43BE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4DF0FB1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30DE58A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09206F34" w14:textId="77777777" w:rsidTr="007B3726">
        <w:tc>
          <w:tcPr>
            <w:tcW w:w="890" w:type="dxa"/>
            <w:shd w:val="clear" w:color="auto" w:fill="auto"/>
          </w:tcPr>
          <w:p w14:paraId="710AE5E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109</w:t>
            </w:r>
          </w:p>
        </w:tc>
        <w:tc>
          <w:tcPr>
            <w:tcW w:w="5064" w:type="dxa"/>
            <w:shd w:val="clear" w:color="auto" w:fill="auto"/>
            <w:vAlign w:val="bottom"/>
          </w:tcPr>
          <w:p w14:paraId="4A23CAF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Sawankhalok District Prison</w:t>
            </w:r>
          </w:p>
        </w:tc>
        <w:tc>
          <w:tcPr>
            <w:tcW w:w="2410" w:type="dxa"/>
            <w:shd w:val="clear" w:color="auto" w:fill="auto"/>
            <w:vAlign w:val="bottom"/>
          </w:tcPr>
          <w:p w14:paraId="5A2DD74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2BA849B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722178B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0A56A316" w14:textId="77777777" w:rsidTr="007B3726">
        <w:tc>
          <w:tcPr>
            <w:tcW w:w="890" w:type="dxa"/>
            <w:shd w:val="clear" w:color="auto" w:fill="auto"/>
          </w:tcPr>
          <w:p w14:paraId="3C56E14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110</w:t>
            </w:r>
          </w:p>
        </w:tc>
        <w:tc>
          <w:tcPr>
            <w:tcW w:w="5064" w:type="dxa"/>
            <w:shd w:val="clear" w:color="auto" w:fill="auto"/>
            <w:vAlign w:val="bottom"/>
          </w:tcPr>
          <w:p w14:paraId="6C0C396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Sawang Daen Din District Prison</w:t>
            </w:r>
          </w:p>
        </w:tc>
        <w:tc>
          <w:tcPr>
            <w:tcW w:w="2410" w:type="dxa"/>
            <w:shd w:val="clear" w:color="auto" w:fill="auto"/>
            <w:vAlign w:val="bottom"/>
          </w:tcPr>
          <w:p w14:paraId="2C03068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0B1D2D8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c>
          <w:tcPr>
            <w:tcW w:w="2552" w:type="dxa"/>
            <w:shd w:val="clear" w:color="auto" w:fill="auto"/>
            <w:vAlign w:val="bottom"/>
          </w:tcPr>
          <w:p w14:paraId="7967488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r>
      <w:tr w:rsidR="00695E59" w:rsidRPr="007B3726" w14:paraId="0C16AFE8" w14:textId="77777777" w:rsidTr="007B3726">
        <w:tc>
          <w:tcPr>
            <w:tcW w:w="890" w:type="dxa"/>
            <w:shd w:val="clear" w:color="auto" w:fill="auto"/>
          </w:tcPr>
          <w:p w14:paraId="38BB4B7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111</w:t>
            </w:r>
          </w:p>
        </w:tc>
        <w:tc>
          <w:tcPr>
            <w:tcW w:w="5064" w:type="dxa"/>
            <w:shd w:val="clear" w:color="auto" w:fill="auto"/>
            <w:vAlign w:val="bottom"/>
          </w:tcPr>
          <w:p w14:paraId="044A470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Sikhio District Prison</w:t>
            </w:r>
          </w:p>
        </w:tc>
        <w:tc>
          <w:tcPr>
            <w:tcW w:w="2410" w:type="dxa"/>
            <w:shd w:val="clear" w:color="auto" w:fill="auto"/>
            <w:vAlign w:val="bottom"/>
          </w:tcPr>
          <w:p w14:paraId="3094BA7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54C2C4B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4F019DF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25F40B88" w14:textId="77777777" w:rsidTr="007B3726">
        <w:tc>
          <w:tcPr>
            <w:tcW w:w="890" w:type="dxa"/>
            <w:shd w:val="clear" w:color="auto" w:fill="auto"/>
          </w:tcPr>
          <w:p w14:paraId="5D67053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112</w:t>
            </w:r>
          </w:p>
        </w:tc>
        <w:tc>
          <w:tcPr>
            <w:tcW w:w="5064" w:type="dxa"/>
            <w:shd w:val="clear" w:color="auto" w:fill="auto"/>
            <w:vAlign w:val="bottom"/>
          </w:tcPr>
          <w:p w14:paraId="543FCFB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Lom Sak District Prison</w:t>
            </w:r>
          </w:p>
        </w:tc>
        <w:tc>
          <w:tcPr>
            <w:tcW w:w="2410" w:type="dxa"/>
            <w:shd w:val="clear" w:color="auto" w:fill="auto"/>
            <w:vAlign w:val="bottom"/>
          </w:tcPr>
          <w:p w14:paraId="2F109D4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2B6ED26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5589E3C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2357A5EA" w14:textId="77777777" w:rsidTr="007B3726">
        <w:tc>
          <w:tcPr>
            <w:tcW w:w="890" w:type="dxa"/>
            <w:shd w:val="clear" w:color="auto" w:fill="auto"/>
          </w:tcPr>
          <w:p w14:paraId="1E6B29C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113</w:t>
            </w:r>
          </w:p>
        </w:tc>
        <w:tc>
          <w:tcPr>
            <w:tcW w:w="5064" w:type="dxa"/>
            <w:shd w:val="clear" w:color="auto" w:fill="auto"/>
            <w:vAlign w:val="bottom"/>
          </w:tcPr>
          <w:p w14:paraId="102DF10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Lang Suan District Prison</w:t>
            </w:r>
          </w:p>
        </w:tc>
        <w:tc>
          <w:tcPr>
            <w:tcW w:w="2410" w:type="dxa"/>
            <w:shd w:val="clear" w:color="auto" w:fill="auto"/>
            <w:vAlign w:val="bottom"/>
          </w:tcPr>
          <w:p w14:paraId="4D83CB6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541EAA3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37751FF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r>
      <w:tr w:rsidR="00695E59" w:rsidRPr="007B3726" w14:paraId="7213D965" w14:textId="77777777" w:rsidTr="007B3726">
        <w:tc>
          <w:tcPr>
            <w:tcW w:w="890" w:type="dxa"/>
            <w:shd w:val="clear" w:color="auto" w:fill="auto"/>
          </w:tcPr>
          <w:p w14:paraId="7484C66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114</w:t>
            </w:r>
          </w:p>
        </w:tc>
        <w:tc>
          <w:tcPr>
            <w:tcW w:w="5064" w:type="dxa"/>
            <w:shd w:val="clear" w:color="auto" w:fill="auto"/>
            <w:vAlign w:val="bottom"/>
          </w:tcPr>
          <w:p w14:paraId="24BCCA7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sz w:val="18"/>
                <w:szCs w:val="18"/>
                <w:lang w:bidi="th-TH"/>
              </w:rPr>
              <w:t>Khao Prik Agricultural and Industrial Correctional Institution</w:t>
            </w:r>
          </w:p>
        </w:tc>
        <w:tc>
          <w:tcPr>
            <w:tcW w:w="2410" w:type="dxa"/>
            <w:shd w:val="clear" w:color="auto" w:fill="auto"/>
            <w:vAlign w:val="bottom"/>
          </w:tcPr>
          <w:p w14:paraId="79B112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192074D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c>
          <w:tcPr>
            <w:tcW w:w="2552" w:type="dxa"/>
            <w:shd w:val="clear" w:color="auto" w:fill="auto"/>
            <w:vAlign w:val="bottom"/>
          </w:tcPr>
          <w:p w14:paraId="0D2F7E7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7</w:t>
            </w:r>
          </w:p>
        </w:tc>
      </w:tr>
      <w:tr w:rsidR="00695E59" w:rsidRPr="007B3726" w14:paraId="18A84D65" w14:textId="77777777" w:rsidTr="007B3726">
        <w:tc>
          <w:tcPr>
            <w:tcW w:w="890" w:type="dxa"/>
            <w:shd w:val="clear" w:color="auto" w:fill="auto"/>
          </w:tcPr>
          <w:p w14:paraId="7E87F80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115</w:t>
            </w:r>
          </w:p>
        </w:tc>
        <w:tc>
          <w:tcPr>
            <w:tcW w:w="5064" w:type="dxa"/>
            <w:shd w:val="clear" w:color="auto" w:fill="auto"/>
            <w:vAlign w:val="bottom"/>
          </w:tcPr>
          <w:p w14:paraId="41439DA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sz w:val="18"/>
                <w:szCs w:val="18"/>
                <w:lang w:bidi="th-TH"/>
              </w:rPr>
              <w:t>Central Correctional Institution for Drug Addicts</w:t>
            </w:r>
          </w:p>
        </w:tc>
        <w:tc>
          <w:tcPr>
            <w:tcW w:w="2410" w:type="dxa"/>
            <w:shd w:val="clear" w:color="auto" w:fill="auto"/>
            <w:vAlign w:val="bottom"/>
          </w:tcPr>
          <w:p w14:paraId="5A04F46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0B20E53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08073C7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010D9EA5" w14:textId="77777777" w:rsidTr="007B3726">
        <w:tc>
          <w:tcPr>
            <w:tcW w:w="890" w:type="dxa"/>
            <w:shd w:val="clear" w:color="auto" w:fill="auto"/>
          </w:tcPr>
          <w:p w14:paraId="0BADE83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116</w:t>
            </w:r>
          </w:p>
        </w:tc>
        <w:tc>
          <w:tcPr>
            <w:tcW w:w="5064" w:type="dxa"/>
            <w:shd w:val="clear" w:color="auto" w:fill="auto"/>
            <w:vAlign w:val="bottom"/>
          </w:tcPr>
          <w:p w14:paraId="29B18B1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Khon Kaen Correctional Institution for Drug Addicts</w:t>
            </w:r>
          </w:p>
        </w:tc>
        <w:tc>
          <w:tcPr>
            <w:tcW w:w="2410" w:type="dxa"/>
            <w:shd w:val="clear" w:color="auto" w:fill="auto"/>
            <w:vAlign w:val="bottom"/>
          </w:tcPr>
          <w:p w14:paraId="1B321C1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6</w:t>
            </w:r>
          </w:p>
        </w:tc>
        <w:tc>
          <w:tcPr>
            <w:tcW w:w="2409" w:type="dxa"/>
            <w:shd w:val="clear" w:color="auto" w:fill="auto"/>
            <w:vAlign w:val="bottom"/>
          </w:tcPr>
          <w:p w14:paraId="6C6D832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404DBB0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3E0FAD11" w14:textId="77777777" w:rsidTr="007B3726">
        <w:tc>
          <w:tcPr>
            <w:tcW w:w="890" w:type="dxa"/>
            <w:shd w:val="clear" w:color="auto" w:fill="auto"/>
          </w:tcPr>
          <w:p w14:paraId="028BC6E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117</w:t>
            </w:r>
          </w:p>
        </w:tc>
        <w:tc>
          <w:tcPr>
            <w:tcW w:w="5064" w:type="dxa"/>
            <w:shd w:val="clear" w:color="auto" w:fill="auto"/>
            <w:vAlign w:val="bottom"/>
          </w:tcPr>
          <w:p w14:paraId="475A772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Pathum Thani Correctional Institution for Drug Addicts</w:t>
            </w:r>
          </w:p>
        </w:tc>
        <w:tc>
          <w:tcPr>
            <w:tcW w:w="2410" w:type="dxa"/>
            <w:shd w:val="clear" w:color="auto" w:fill="auto"/>
            <w:vAlign w:val="bottom"/>
          </w:tcPr>
          <w:p w14:paraId="749982A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4035C80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6A46ED6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3A382AB2" w14:textId="77777777" w:rsidTr="007B3726">
        <w:tc>
          <w:tcPr>
            <w:tcW w:w="890" w:type="dxa"/>
            <w:shd w:val="clear" w:color="auto" w:fill="auto"/>
          </w:tcPr>
          <w:p w14:paraId="7A6F34A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118</w:t>
            </w:r>
          </w:p>
        </w:tc>
        <w:tc>
          <w:tcPr>
            <w:tcW w:w="5064" w:type="dxa"/>
            <w:shd w:val="clear" w:color="auto" w:fill="auto"/>
            <w:vAlign w:val="bottom"/>
          </w:tcPr>
          <w:p w14:paraId="17449FF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Ayutthaya Correctional Institution for Drug Addicts</w:t>
            </w:r>
          </w:p>
        </w:tc>
        <w:tc>
          <w:tcPr>
            <w:tcW w:w="2410" w:type="dxa"/>
            <w:shd w:val="clear" w:color="auto" w:fill="auto"/>
            <w:vAlign w:val="bottom"/>
          </w:tcPr>
          <w:p w14:paraId="3EB9E61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7CBD5AB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074D440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53B8654D" w14:textId="77777777" w:rsidTr="007B3726">
        <w:tc>
          <w:tcPr>
            <w:tcW w:w="890" w:type="dxa"/>
            <w:shd w:val="clear" w:color="auto" w:fill="auto"/>
          </w:tcPr>
          <w:p w14:paraId="17CABA3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119</w:t>
            </w:r>
          </w:p>
        </w:tc>
        <w:tc>
          <w:tcPr>
            <w:tcW w:w="5064" w:type="dxa"/>
            <w:shd w:val="clear" w:color="auto" w:fill="auto"/>
            <w:vAlign w:val="bottom"/>
          </w:tcPr>
          <w:p w14:paraId="5755C73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Lampang Correctional Institution for Drug Addicts</w:t>
            </w:r>
          </w:p>
        </w:tc>
        <w:tc>
          <w:tcPr>
            <w:tcW w:w="2410" w:type="dxa"/>
            <w:shd w:val="clear" w:color="auto" w:fill="auto"/>
            <w:vAlign w:val="bottom"/>
          </w:tcPr>
          <w:p w14:paraId="10C9360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cs/>
                <w:lang w:bidi="th-TH"/>
              </w:rPr>
            </w:pPr>
            <w:r w:rsidRPr="007B3726">
              <w:rPr>
                <w:rFonts w:eastAsia="ZWAdobeF"/>
                <w:sz w:val="18"/>
                <w:szCs w:val="18"/>
                <w:cs/>
                <w:lang w:bidi="th-TH"/>
              </w:rPr>
              <w:t>4</w:t>
            </w:r>
          </w:p>
        </w:tc>
        <w:tc>
          <w:tcPr>
            <w:tcW w:w="2409" w:type="dxa"/>
            <w:shd w:val="clear" w:color="auto" w:fill="auto"/>
            <w:vAlign w:val="bottom"/>
          </w:tcPr>
          <w:p w14:paraId="122B176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1A2D378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5685E565" w14:textId="77777777" w:rsidTr="007B3726">
        <w:tc>
          <w:tcPr>
            <w:tcW w:w="890" w:type="dxa"/>
            <w:shd w:val="clear" w:color="auto" w:fill="auto"/>
          </w:tcPr>
          <w:p w14:paraId="64130F5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120</w:t>
            </w:r>
          </w:p>
        </w:tc>
        <w:tc>
          <w:tcPr>
            <w:tcW w:w="5064" w:type="dxa"/>
            <w:shd w:val="clear" w:color="auto" w:fill="auto"/>
            <w:vAlign w:val="bottom"/>
          </w:tcPr>
          <w:p w14:paraId="4A406AA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Songkhla Correctional Institution for Drug Addicts</w:t>
            </w:r>
          </w:p>
        </w:tc>
        <w:tc>
          <w:tcPr>
            <w:tcW w:w="2410" w:type="dxa"/>
            <w:shd w:val="clear" w:color="auto" w:fill="auto"/>
            <w:vAlign w:val="bottom"/>
          </w:tcPr>
          <w:p w14:paraId="2449422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4</w:t>
            </w:r>
          </w:p>
        </w:tc>
        <w:tc>
          <w:tcPr>
            <w:tcW w:w="2409" w:type="dxa"/>
            <w:shd w:val="clear" w:color="auto" w:fill="auto"/>
            <w:vAlign w:val="bottom"/>
          </w:tcPr>
          <w:p w14:paraId="297C44D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1F6A92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0CEFB534" w14:textId="77777777" w:rsidTr="007B3726">
        <w:tc>
          <w:tcPr>
            <w:tcW w:w="890" w:type="dxa"/>
            <w:shd w:val="clear" w:color="auto" w:fill="auto"/>
          </w:tcPr>
          <w:p w14:paraId="69BE454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121</w:t>
            </w:r>
          </w:p>
        </w:tc>
        <w:tc>
          <w:tcPr>
            <w:tcW w:w="5064" w:type="dxa"/>
            <w:shd w:val="clear" w:color="auto" w:fill="auto"/>
            <w:vAlign w:val="bottom"/>
          </w:tcPr>
          <w:p w14:paraId="4374C31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Women Correctional Institution for Drug Addicts</w:t>
            </w:r>
          </w:p>
        </w:tc>
        <w:tc>
          <w:tcPr>
            <w:tcW w:w="2410" w:type="dxa"/>
            <w:shd w:val="clear" w:color="auto" w:fill="auto"/>
            <w:vAlign w:val="bottom"/>
          </w:tcPr>
          <w:p w14:paraId="716CD3F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770DAF8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6313E2C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r>
      <w:tr w:rsidR="00695E59" w:rsidRPr="007B3726" w14:paraId="1F915EA9" w14:textId="77777777" w:rsidTr="00C73249">
        <w:tc>
          <w:tcPr>
            <w:tcW w:w="890" w:type="dxa"/>
            <w:tcBorders>
              <w:bottom w:val="nil"/>
            </w:tcBorders>
            <w:shd w:val="clear" w:color="auto" w:fill="auto"/>
          </w:tcPr>
          <w:p w14:paraId="6307354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122</w:t>
            </w:r>
          </w:p>
        </w:tc>
        <w:tc>
          <w:tcPr>
            <w:tcW w:w="5064" w:type="dxa"/>
            <w:tcBorders>
              <w:bottom w:val="nil"/>
            </w:tcBorders>
            <w:shd w:val="clear" w:color="auto" w:fill="auto"/>
            <w:vAlign w:val="bottom"/>
          </w:tcPr>
          <w:p w14:paraId="2692BC4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Thung Bencha Open Correctional Institution</w:t>
            </w:r>
          </w:p>
        </w:tc>
        <w:tc>
          <w:tcPr>
            <w:tcW w:w="2410" w:type="dxa"/>
            <w:tcBorders>
              <w:bottom w:val="nil"/>
            </w:tcBorders>
            <w:shd w:val="clear" w:color="auto" w:fill="auto"/>
            <w:vAlign w:val="bottom"/>
          </w:tcPr>
          <w:p w14:paraId="664DDC7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tcBorders>
              <w:bottom w:val="nil"/>
            </w:tcBorders>
            <w:shd w:val="clear" w:color="auto" w:fill="auto"/>
            <w:vAlign w:val="bottom"/>
          </w:tcPr>
          <w:p w14:paraId="540E9D1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tcBorders>
              <w:bottom w:val="nil"/>
            </w:tcBorders>
            <w:shd w:val="clear" w:color="auto" w:fill="auto"/>
            <w:vAlign w:val="bottom"/>
          </w:tcPr>
          <w:p w14:paraId="4FAC49A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6FC9741A" w14:textId="77777777" w:rsidTr="00C73249">
        <w:tc>
          <w:tcPr>
            <w:tcW w:w="890" w:type="dxa"/>
            <w:tcBorders>
              <w:top w:val="nil"/>
              <w:bottom w:val="nil"/>
            </w:tcBorders>
            <w:shd w:val="clear" w:color="auto" w:fill="auto"/>
          </w:tcPr>
          <w:p w14:paraId="26E943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123</w:t>
            </w:r>
          </w:p>
        </w:tc>
        <w:tc>
          <w:tcPr>
            <w:tcW w:w="5064" w:type="dxa"/>
            <w:tcBorders>
              <w:top w:val="nil"/>
              <w:bottom w:val="nil"/>
            </w:tcBorders>
            <w:shd w:val="clear" w:color="auto" w:fill="auto"/>
            <w:vAlign w:val="bottom"/>
          </w:tcPr>
          <w:p w14:paraId="5DD2317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Ban Na Wong Open Correctional Institution</w:t>
            </w:r>
          </w:p>
        </w:tc>
        <w:tc>
          <w:tcPr>
            <w:tcW w:w="2410" w:type="dxa"/>
            <w:tcBorders>
              <w:top w:val="nil"/>
              <w:bottom w:val="nil"/>
            </w:tcBorders>
            <w:shd w:val="clear" w:color="auto" w:fill="auto"/>
            <w:vAlign w:val="bottom"/>
          </w:tcPr>
          <w:p w14:paraId="63C1BFD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tcBorders>
              <w:top w:val="nil"/>
              <w:bottom w:val="nil"/>
            </w:tcBorders>
            <w:shd w:val="clear" w:color="auto" w:fill="auto"/>
            <w:vAlign w:val="bottom"/>
          </w:tcPr>
          <w:p w14:paraId="1AE9416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tcBorders>
              <w:top w:val="nil"/>
              <w:bottom w:val="nil"/>
            </w:tcBorders>
            <w:shd w:val="clear" w:color="auto" w:fill="auto"/>
            <w:vAlign w:val="bottom"/>
          </w:tcPr>
          <w:p w14:paraId="017E929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4EC37A8A" w14:textId="77777777" w:rsidTr="00C73249">
        <w:tc>
          <w:tcPr>
            <w:tcW w:w="890" w:type="dxa"/>
            <w:tcBorders>
              <w:top w:val="nil"/>
            </w:tcBorders>
            <w:shd w:val="clear" w:color="auto" w:fill="auto"/>
          </w:tcPr>
          <w:p w14:paraId="1E7808D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lastRenderedPageBreak/>
              <w:t>124</w:t>
            </w:r>
          </w:p>
        </w:tc>
        <w:tc>
          <w:tcPr>
            <w:tcW w:w="5064" w:type="dxa"/>
            <w:tcBorders>
              <w:top w:val="nil"/>
            </w:tcBorders>
            <w:shd w:val="clear" w:color="auto" w:fill="auto"/>
            <w:vAlign w:val="bottom"/>
          </w:tcPr>
          <w:p w14:paraId="7DF763E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Ban Noen Soong Open Correctional Institution</w:t>
            </w:r>
          </w:p>
        </w:tc>
        <w:tc>
          <w:tcPr>
            <w:tcW w:w="2410" w:type="dxa"/>
            <w:tcBorders>
              <w:top w:val="nil"/>
            </w:tcBorders>
            <w:shd w:val="clear" w:color="auto" w:fill="auto"/>
            <w:vAlign w:val="bottom"/>
          </w:tcPr>
          <w:p w14:paraId="16C1CD8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tcBorders>
              <w:top w:val="nil"/>
            </w:tcBorders>
            <w:shd w:val="clear" w:color="auto" w:fill="auto"/>
            <w:vAlign w:val="bottom"/>
          </w:tcPr>
          <w:p w14:paraId="23F55CC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tcBorders>
              <w:top w:val="nil"/>
            </w:tcBorders>
            <w:shd w:val="clear" w:color="auto" w:fill="auto"/>
            <w:vAlign w:val="bottom"/>
          </w:tcPr>
          <w:p w14:paraId="16F4F76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3FBE56AB" w14:textId="77777777" w:rsidTr="007B3726">
        <w:tc>
          <w:tcPr>
            <w:tcW w:w="890" w:type="dxa"/>
            <w:shd w:val="clear" w:color="auto" w:fill="auto"/>
          </w:tcPr>
          <w:p w14:paraId="3C40D75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125</w:t>
            </w:r>
          </w:p>
        </w:tc>
        <w:tc>
          <w:tcPr>
            <w:tcW w:w="5064" w:type="dxa"/>
            <w:shd w:val="clear" w:color="auto" w:fill="auto"/>
            <w:vAlign w:val="bottom"/>
          </w:tcPr>
          <w:p w14:paraId="1E925BA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rFonts w:eastAsia="Calibri"/>
                <w:sz w:val="18"/>
                <w:szCs w:val="18"/>
                <w:cs/>
                <w:lang w:bidi="th-TH"/>
              </w:rPr>
            </w:pPr>
            <w:r w:rsidRPr="007B3726">
              <w:rPr>
                <w:rFonts w:eastAsia="Calibri"/>
                <w:sz w:val="18"/>
                <w:szCs w:val="18"/>
                <w:lang w:bidi="th-TH"/>
              </w:rPr>
              <w:t>Nong Nam Khun Open Correctional Institution</w:t>
            </w:r>
          </w:p>
        </w:tc>
        <w:tc>
          <w:tcPr>
            <w:tcW w:w="2410" w:type="dxa"/>
            <w:shd w:val="clear" w:color="auto" w:fill="auto"/>
            <w:vAlign w:val="bottom"/>
          </w:tcPr>
          <w:p w14:paraId="6FD30C3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shd w:val="clear" w:color="auto" w:fill="auto"/>
            <w:vAlign w:val="bottom"/>
          </w:tcPr>
          <w:p w14:paraId="0E880E5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149C002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4395780C" w14:textId="77777777" w:rsidTr="007B3726">
        <w:tc>
          <w:tcPr>
            <w:tcW w:w="890" w:type="dxa"/>
            <w:shd w:val="clear" w:color="auto" w:fill="auto"/>
          </w:tcPr>
          <w:p w14:paraId="040FC60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126</w:t>
            </w:r>
          </w:p>
        </w:tc>
        <w:tc>
          <w:tcPr>
            <w:tcW w:w="5064" w:type="dxa"/>
            <w:shd w:val="clear" w:color="auto" w:fill="auto"/>
            <w:vAlign w:val="bottom"/>
          </w:tcPr>
          <w:p w14:paraId="6C2D91B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sz w:val="18"/>
                <w:szCs w:val="18"/>
                <w:lang w:bidi="th-TH"/>
              </w:rPr>
              <w:t>Huaypong Open Correctional Institution (Rayong)</w:t>
            </w:r>
          </w:p>
        </w:tc>
        <w:tc>
          <w:tcPr>
            <w:tcW w:w="2410" w:type="dxa"/>
            <w:shd w:val="clear" w:color="auto" w:fill="auto"/>
            <w:vAlign w:val="bottom"/>
          </w:tcPr>
          <w:p w14:paraId="2B3C5E7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4600E99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2C0E81C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7D07E97F" w14:textId="77777777" w:rsidTr="007B3726">
        <w:tc>
          <w:tcPr>
            <w:tcW w:w="890" w:type="dxa"/>
            <w:shd w:val="clear" w:color="auto" w:fill="auto"/>
          </w:tcPr>
          <w:p w14:paraId="582B4C8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127</w:t>
            </w:r>
          </w:p>
        </w:tc>
        <w:tc>
          <w:tcPr>
            <w:tcW w:w="5064" w:type="dxa"/>
            <w:shd w:val="clear" w:color="auto" w:fill="auto"/>
            <w:vAlign w:val="bottom"/>
          </w:tcPr>
          <w:p w14:paraId="1023038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sz w:val="18"/>
                <w:szCs w:val="18"/>
                <w:lang w:bidi="th-TH"/>
              </w:rPr>
              <w:t>Medical Correctional Institution</w:t>
            </w:r>
          </w:p>
        </w:tc>
        <w:tc>
          <w:tcPr>
            <w:tcW w:w="2410" w:type="dxa"/>
            <w:shd w:val="clear" w:color="auto" w:fill="auto"/>
            <w:vAlign w:val="bottom"/>
          </w:tcPr>
          <w:p w14:paraId="2A4A0B0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102</w:t>
            </w:r>
          </w:p>
        </w:tc>
        <w:tc>
          <w:tcPr>
            <w:tcW w:w="2409" w:type="dxa"/>
            <w:shd w:val="clear" w:color="auto" w:fill="auto"/>
            <w:vAlign w:val="bottom"/>
          </w:tcPr>
          <w:p w14:paraId="7596215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101</w:t>
            </w:r>
          </w:p>
        </w:tc>
        <w:tc>
          <w:tcPr>
            <w:tcW w:w="2552" w:type="dxa"/>
            <w:shd w:val="clear" w:color="auto" w:fill="auto"/>
            <w:vAlign w:val="bottom"/>
          </w:tcPr>
          <w:p w14:paraId="1B894AD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67</w:t>
            </w:r>
          </w:p>
        </w:tc>
      </w:tr>
      <w:tr w:rsidR="00695E59" w:rsidRPr="007B3726" w14:paraId="1DA6045F" w14:textId="77777777" w:rsidTr="007B3726">
        <w:tc>
          <w:tcPr>
            <w:tcW w:w="890" w:type="dxa"/>
            <w:shd w:val="clear" w:color="auto" w:fill="auto"/>
          </w:tcPr>
          <w:p w14:paraId="3395A87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128</w:t>
            </w:r>
          </w:p>
        </w:tc>
        <w:tc>
          <w:tcPr>
            <w:tcW w:w="5064" w:type="dxa"/>
            <w:shd w:val="clear" w:color="auto" w:fill="auto"/>
            <w:vAlign w:val="bottom"/>
          </w:tcPr>
          <w:p w14:paraId="0F6CDCD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Central Correctional Institution for Young Offenders</w:t>
            </w:r>
          </w:p>
        </w:tc>
        <w:tc>
          <w:tcPr>
            <w:tcW w:w="2410" w:type="dxa"/>
            <w:shd w:val="clear" w:color="auto" w:fill="auto"/>
            <w:vAlign w:val="bottom"/>
          </w:tcPr>
          <w:p w14:paraId="5E60BE0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3</w:t>
            </w:r>
          </w:p>
        </w:tc>
        <w:tc>
          <w:tcPr>
            <w:tcW w:w="2409" w:type="dxa"/>
            <w:shd w:val="clear" w:color="auto" w:fill="auto"/>
            <w:vAlign w:val="bottom"/>
          </w:tcPr>
          <w:p w14:paraId="40670CE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5</w:t>
            </w:r>
          </w:p>
        </w:tc>
        <w:tc>
          <w:tcPr>
            <w:tcW w:w="2552" w:type="dxa"/>
            <w:shd w:val="clear" w:color="auto" w:fill="auto"/>
            <w:vAlign w:val="bottom"/>
          </w:tcPr>
          <w:p w14:paraId="4C66C52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1FC7B251" w14:textId="77777777" w:rsidTr="007B3726">
        <w:tc>
          <w:tcPr>
            <w:tcW w:w="890" w:type="dxa"/>
            <w:shd w:val="clear" w:color="auto" w:fill="auto"/>
          </w:tcPr>
          <w:p w14:paraId="0502618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129</w:t>
            </w:r>
          </w:p>
        </w:tc>
        <w:tc>
          <w:tcPr>
            <w:tcW w:w="5064" w:type="dxa"/>
            <w:shd w:val="clear" w:color="auto" w:fill="auto"/>
            <w:vAlign w:val="bottom"/>
          </w:tcPr>
          <w:p w14:paraId="4763D6D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Si Thammarat Correctional Institution for Young Offenders</w:t>
            </w:r>
          </w:p>
        </w:tc>
        <w:tc>
          <w:tcPr>
            <w:tcW w:w="2410" w:type="dxa"/>
            <w:shd w:val="clear" w:color="auto" w:fill="auto"/>
            <w:vAlign w:val="bottom"/>
          </w:tcPr>
          <w:p w14:paraId="5C36312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7</w:t>
            </w:r>
          </w:p>
        </w:tc>
        <w:tc>
          <w:tcPr>
            <w:tcW w:w="2409" w:type="dxa"/>
            <w:shd w:val="clear" w:color="auto" w:fill="auto"/>
            <w:vAlign w:val="bottom"/>
          </w:tcPr>
          <w:p w14:paraId="260780D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c>
          <w:tcPr>
            <w:tcW w:w="2552" w:type="dxa"/>
            <w:shd w:val="clear" w:color="auto" w:fill="auto"/>
            <w:vAlign w:val="bottom"/>
          </w:tcPr>
          <w:p w14:paraId="08E6F81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6</w:t>
            </w:r>
          </w:p>
        </w:tc>
      </w:tr>
      <w:tr w:rsidR="00695E59" w:rsidRPr="007B3726" w14:paraId="1B598273" w14:textId="77777777" w:rsidTr="007B3726">
        <w:tc>
          <w:tcPr>
            <w:tcW w:w="890" w:type="dxa"/>
            <w:shd w:val="clear" w:color="auto" w:fill="auto"/>
          </w:tcPr>
          <w:p w14:paraId="4B1096DB"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130</w:t>
            </w:r>
          </w:p>
        </w:tc>
        <w:tc>
          <w:tcPr>
            <w:tcW w:w="5064" w:type="dxa"/>
            <w:shd w:val="clear" w:color="auto" w:fill="auto"/>
            <w:vAlign w:val="bottom"/>
          </w:tcPr>
          <w:p w14:paraId="567829B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Phra Nakhon Si Ayutthaya Correctional Institution for Young Offenders</w:t>
            </w:r>
          </w:p>
        </w:tc>
        <w:tc>
          <w:tcPr>
            <w:tcW w:w="2410" w:type="dxa"/>
            <w:shd w:val="clear" w:color="auto" w:fill="auto"/>
            <w:vAlign w:val="bottom"/>
          </w:tcPr>
          <w:p w14:paraId="5AE47F3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0AF1038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5B20FB6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7E957BB2" w14:textId="77777777" w:rsidTr="007B3726">
        <w:tc>
          <w:tcPr>
            <w:tcW w:w="890" w:type="dxa"/>
            <w:shd w:val="clear" w:color="auto" w:fill="auto"/>
          </w:tcPr>
          <w:p w14:paraId="53EE3C0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131</w:t>
            </w:r>
          </w:p>
        </w:tc>
        <w:tc>
          <w:tcPr>
            <w:tcW w:w="5064" w:type="dxa"/>
            <w:shd w:val="clear" w:color="auto" w:fill="auto"/>
            <w:vAlign w:val="bottom"/>
          </w:tcPr>
          <w:p w14:paraId="7582F3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Central Women Correctional Institution</w:t>
            </w:r>
          </w:p>
        </w:tc>
        <w:tc>
          <w:tcPr>
            <w:tcW w:w="2410" w:type="dxa"/>
            <w:shd w:val="clear" w:color="auto" w:fill="auto"/>
            <w:vAlign w:val="bottom"/>
          </w:tcPr>
          <w:p w14:paraId="3BD0C07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527474C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58B04D6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0DD20762" w14:textId="77777777" w:rsidTr="007B3726">
        <w:tc>
          <w:tcPr>
            <w:tcW w:w="890" w:type="dxa"/>
            <w:shd w:val="clear" w:color="auto" w:fill="auto"/>
          </w:tcPr>
          <w:p w14:paraId="47B7465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132</w:t>
            </w:r>
          </w:p>
        </w:tc>
        <w:tc>
          <w:tcPr>
            <w:tcW w:w="5064" w:type="dxa"/>
            <w:shd w:val="clear" w:color="auto" w:fill="auto"/>
            <w:vAlign w:val="bottom"/>
          </w:tcPr>
          <w:p w14:paraId="5D132A6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Chonburi Women Correctional Institution</w:t>
            </w:r>
          </w:p>
        </w:tc>
        <w:tc>
          <w:tcPr>
            <w:tcW w:w="2410" w:type="dxa"/>
            <w:shd w:val="clear" w:color="auto" w:fill="auto"/>
            <w:vAlign w:val="bottom"/>
          </w:tcPr>
          <w:p w14:paraId="434FDD8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69F38CB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c>
          <w:tcPr>
            <w:tcW w:w="2552" w:type="dxa"/>
            <w:shd w:val="clear" w:color="auto" w:fill="auto"/>
            <w:vAlign w:val="bottom"/>
          </w:tcPr>
          <w:p w14:paraId="3F6B2E0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3B04CA62" w14:textId="77777777" w:rsidTr="007B3726">
        <w:tc>
          <w:tcPr>
            <w:tcW w:w="890" w:type="dxa"/>
            <w:shd w:val="clear" w:color="auto" w:fill="auto"/>
          </w:tcPr>
          <w:p w14:paraId="4D71F49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133</w:t>
            </w:r>
          </w:p>
        </w:tc>
        <w:tc>
          <w:tcPr>
            <w:tcW w:w="5064" w:type="dxa"/>
            <w:shd w:val="clear" w:color="auto" w:fill="auto"/>
            <w:vAlign w:val="bottom"/>
          </w:tcPr>
          <w:p w14:paraId="27C15BB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Chiang Mai Women Correctional Institution</w:t>
            </w:r>
          </w:p>
        </w:tc>
        <w:tc>
          <w:tcPr>
            <w:tcW w:w="2410" w:type="dxa"/>
            <w:shd w:val="clear" w:color="auto" w:fill="auto"/>
            <w:vAlign w:val="bottom"/>
          </w:tcPr>
          <w:p w14:paraId="3FE73B1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8</w:t>
            </w:r>
          </w:p>
        </w:tc>
        <w:tc>
          <w:tcPr>
            <w:tcW w:w="2409" w:type="dxa"/>
            <w:shd w:val="clear" w:color="auto" w:fill="auto"/>
            <w:vAlign w:val="bottom"/>
          </w:tcPr>
          <w:p w14:paraId="24D1C3A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c>
          <w:tcPr>
            <w:tcW w:w="2552" w:type="dxa"/>
            <w:shd w:val="clear" w:color="auto" w:fill="auto"/>
            <w:vAlign w:val="bottom"/>
          </w:tcPr>
          <w:p w14:paraId="1E4AEA2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r>
      <w:tr w:rsidR="00695E59" w:rsidRPr="007B3726" w14:paraId="17F0DAD9" w14:textId="77777777" w:rsidTr="007B3726">
        <w:tc>
          <w:tcPr>
            <w:tcW w:w="890" w:type="dxa"/>
            <w:shd w:val="clear" w:color="auto" w:fill="auto"/>
          </w:tcPr>
          <w:p w14:paraId="41D4D5A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134</w:t>
            </w:r>
          </w:p>
        </w:tc>
        <w:tc>
          <w:tcPr>
            <w:tcW w:w="5064" w:type="dxa"/>
            <w:shd w:val="clear" w:color="auto" w:fill="auto"/>
            <w:vAlign w:val="bottom"/>
          </w:tcPr>
          <w:p w14:paraId="1D14A55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Thonburi Women Correctional Institution</w:t>
            </w:r>
          </w:p>
        </w:tc>
        <w:tc>
          <w:tcPr>
            <w:tcW w:w="2410" w:type="dxa"/>
            <w:shd w:val="clear" w:color="auto" w:fill="auto"/>
            <w:vAlign w:val="bottom"/>
          </w:tcPr>
          <w:p w14:paraId="3C18776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11A9F1C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1</w:t>
            </w:r>
          </w:p>
        </w:tc>
        <w:tc>
          <w:tcPr>
            <w:tcW w:w="2552" w:type="dxa"/>
            <w:shd w:val="clear" w:color="auto" w:fill="auto"/>
            <w:vAlign w:val="bottom"/>
          </w:tcPr>
          <w:p w14:paraId="3FAE2C9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2CB8FE5C" w14:textId="77777777" w:rsidTr="007B3726">
        <w:tc>
          <w:tcPr>
            <w:tcW w:w="890" w:type="dxa"/>
            <w:shd w:val="clear" w:color="auto" w:fill="auto"/>
          </w:tcPr>
          <w:p w14:paraId="0E08695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135</w:t>
            </w:r>
          </w:p>
        </w:tc>
        <w:tc>
          <w:tcPr>
            <w:tcW w:w="5064" w:type="dxa"/>
            <w:shd w:val="clear" w:color="auto" w:fill="auto"/>
            <w:vAlign w:val="bottom"/>
          </w:tcPr>
          <w:p w14:paraId="73BDCC0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Nakhon Ratchasima Women Correctional Institution</w:t>
            </w:r>
          </w:p>
        </w:tc>
        <w:tc>
          <w:tcPr>
            <w:tcW w:w="2410" w:type="dxa"/>
            <w:shd w:val="clear" w:color="auto" w:fill="auto"/>
            <w:vAlign w:val="bottom"/>
          </w:tcPr>
          <w:p w14:paraId="5349F75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5</w:t>
            </w:r>
          </w:p>
        </w:tc>
        <w:tc>
          <w:tcPr>
            <w:tcW w:w="2409" w:type="dxa"/>
            <w:shd w:val="clear" w:color="auto" w:fill="auto"/>
            <w:vAlign w:val="bottom"/>
          </w:tcPr>
          <w:p w14:paraId="57A1F48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8</w:t>
            </w:r>
          </w:p>
        </w:tc>
        <w:tc>
          <w:tcPr>
            <w:tcW w:w="2552" w:type="dxa"/>
            <w:shd w:val="clear" w:color="auto" w:fill="auto"/>
            <w:vAlign w:val="bottom"/>
          </w:tcPr>
          <w:p w14:paraId="7B2DF26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4</w:t>
            </w:r>
          </w:p>
        </w:tc>
      </w:tr>
      <w:tr w:rsidR="00695E59" w:rsidRPr="007B3726" w14:paraId="1604FF8E" w14:textId="77777777" w:rsidTr="007B3726">
        <w:tc>
          <w:tcPr>
            <w:tcW w:w="890" w:type="dxa"/>
            <w:shd w:val="clear" w:color="auto" w:fill="auto"/>
          </w:tcPr>
          <w:p w14:paraId="5002D80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136</w:t>
            </w:r>
          </w:p>
        </w:tc>
        <w:tc>
          <w:tcPr>
            <w:tcW w:w="5064" w:type="dxa"/>
            <w:shd w:val="clear" w:color="auto" w:fill="auto"/>
            <w:vAlign w:val="bottom"/>
          </w:tcPr>
          <w:p w14:paraId="18265EC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Phitsanulok Women Correctional Institution</w:t>
            </w:r>
          </w:p>
        </w:tc>
        <w:tc>
          <w:tcPr>
            <w:tcW w:w="2410" w:type="dxa"/>
            <w:shd w:val="clear" w:color="auto" w:fill="auto"/>
            <w:vAlign w:val="bottom"/>
          </w:tcPr>
          <w:p w14:paraId="130E06A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1C21134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c>
          <w:tcPr>
            <w:tcW w:w="2552" w:type="dxa"/>
            <w:shd w:val="clear" w:color="auto" w:fill="auto"/>
            <w:vAlign w:val="bottom"/>
          </w:tcPr>
          <w:p w14:paraId="3BED348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0C27C411" w14:textId="77777777" w:rsidTr="007B3726">
        <w:tc>
          <w:tcPr>
            <w:tcW w:w="890" w:type="dxa"/>
            <w:shd w:val="clear" w:color="auto" w:fill="auto"/>
          </w:tcPr>
          <w:p w14:paraId="58CC9C43"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137</w:t>
            </w:r>
          </w:p>
        </w:tc>
        <w:tc>
          <w:tcPr>
            <w:tcW w:w="5064" w:type="dxa"/>
            <w:shd w:val="clear" w:color="auto" w:fill="auto"/>
            <w:vAlign w:val="bottom"/>
          </w:tcPr>
          <w:p w14:paraId="3C93A09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Songkhla Women Correctional Institution</w:t>
            </w:r>
          </w:p>
        </w:tc>
        <w:tc>
          <w:tcPr>
            <w:tcW w:w="2410" w:type="dxa"/>
            <w:shd w:val="clear" w:color="auto" w:fill="auto"/>
            <w:vAlign w:val="bottom"/>
          </w:tcPr>
          <w:p w14:paraId="06848A1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25B14D0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shd w:val="clear" w:color="auto" w:fill="auto"/>
            <w:vAlign w:val="bottom"/>
          </w:tcPr>
          <w:p w14:paraId="1DE598E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4D423C0C" w14:textId="77777777" w:rsidTr="007B3726">
        <w:tc>
          <w:tcPr>
            <w:tcW w:w="890" w:type="dxa"/>
            <w:shd w:val="clear" w:color="auto" w:fill="auto"/>
          </w:tcPr>
          <w:p w14:paraId="6C997419"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138</w:t>
            </w:r>
          </w:p>
        </w:tc>
        <w:tc>
          <w:tcPr>
            <w:tcW w:w="5064" w:type="dxa"/>
            <w:shd w:val="clear" w:color="auto" w:fill="auto"/>
            <w:vAlign w:val="bottom"/>
          </w:tcPr>
          <w:p w14:paraId="5607DE9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 xml:space="preserve">Trat Detention Center </w:t>
            </w:r>
          </w:p>
        </w:tc>
        <w:tc>
          <w:tcPr>
            <w:tcW w:w="2410" w:type="dxa"/>
            <w:shd w:val="clear" w:color="auto" w:fill="auto"/>
            <w:vAlign w:val="bottom"/>
          </w:tcPr>
          <w:p w14:paraId="06F2215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shd w:val="clear" w:color="auto" w:fill="auto"/>
            <w:vAlign w:val="bottom"/>
          </w:tcPr>
          <w:p w14:paraId="11F5D71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1F48F741"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63F50471" w14:textId="77777777" w:rsidTr="007B3726">
        <w:tc>
          <w:tcPr>
            <w:tcW w:w="890" w:type="dxa"/>
            <w:shd w:val="clear" w:color="auto" w:fill="auto"/>
          </w:tcPr>
          <w:p w14:paraId="0106847C"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139</w:t>
            </w:r>
          </w:p>
        </w:tc>
        <w:tc>
          <w:tcPr>
            <w:tcW w:w="5064" w:type="dxa"/>
            <w:shd w:val="clear" w:color="auto" w:fill="auto"/>
            <w:vAlign w:val="bottom"/>
          </w:tcPr>
          <w:p w14:paraId="721540A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proofErr w:type="spellStart"/>
            <w:r w:rsidRPr="00DC2C41">
              <w:rPr>
                <w:rFonts w:eastAsia="ZWAdobeF"/>
                <w:sz w:val="18"/>
                <w:szCs w:val="18"/>
                <w:lang w:val="fr-CH" w:bidi="th-TH"/>
              </w:rPr>
              <w:t>Nakhon</w:t>
            </w:r>
            <w:proofErr w:type="spellEnd"/>
            <w:r w:rsidRPr="00DC2C41">
              <w:rPr>
                <w:rFonts w:eastAsia="ZWAdobeF"/>
                <w:sz w:val="18"/>
                <w:szCs w:val="18"/>
                <w:lang w:val="fr-CH" w:bidi="th-TH"/>
              </w:rPr>
              <w:t xml:space="preserve"> Si </w:t>
            </w:r>
            <w:proofErr w:type="spellStart"/>
            <w:r w:rsidRPr="00DC2C41">
              <w:rPr>
                <w:rFonts w:eastAsia="ZWAdobeF"/>
                <w:sz w:val="18"/>
                <w:szCs w:val="18"/>
                <w:lang w:val="fr-CH" w:bidi="th-TH"/>
              </w:rPr>
              <w:t>Thammarat</w:t>
            </w:r>
            <w:proofErr w:type="spellEnd"/>
            <w:r w:rsidRPr="00DC2C41">
              <w:rPr>
                <w:rFonts w:eastAsia="ZWAdobeF"/>
                <w:sz w:val="18"/>
                <w:szCs w:val="18"/>
                <w:lang w:val="fr-CH" w:bidi="th-TH"/>
              </w:rPr>
              <w:t xml:space="preserve"> </w:t>
            </w:r>
            <w:proofErr w:type="spellStart"/>
            <w:r w:rsidRPr="00DC2C41">
              <w:rPr>
                <w:rFonts w:eastAsia="ZWAdobeF"/>
                <w:sz w:val="18"/>
                <w:szCs w:val="18"/>
                <w:lang w:val="fr-CH" w:bidi="th-TH"/>
              </w:rPr>
              <w:t>Detention</w:t>
            </w:r>
            <w:proofErr w:type="spellEnd"/>
            <w:r w:rsidRPr="00DC2C41">
              <w:rPr>
                <w:rFonts w:eastAsia="ZWAdobeF"/>
                <w:sz w:val="18"/>
                <w:szCs w:val="18"/>
                <w:lang w:val="fr-CH" w:bidi="th-TH"/>
              </w:rPr>
              <w:t xml:space="preserve"> Center </w:t>
            </w:r>
          </w:p>
        </w:tc>
        <w:tc>
          <w:tcPr>
            <w:tcW w:w="2410" w:type="dxa"/>
            <w:shd w:val="clear" w:color="auto" w:fill="auto"/>
            <w:vAlign w:val="bottom"/>
          </w:tcPr>
          <w:p w14:paraId="345DCB3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1</w:t>
            </w:r>
          </w:p>
        </w:tc>
        <w:tc>
          <w:tcPr>
            <w:tcW w:w="2409" w:type="dxa"/>
            <w:shd w:val="clear" w:color="auto" w:fill="auto"/>
            <w:vAlign w:val="bottom"/>
          </w:tcPr>
          <w:p w14:paraId="0D4ACBB0"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0974E154"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35A671AC" w14:textId="77777777" w:rsidTr="007B3726">
        <w:tc>
          <w:tcPr>
            <w:tcW w:w="890" w:type="dxa"/>
            <w:shd w:val="clear" w:color="auto" w:fill="auto"/>
          </w:tcPr>
          <w:p w14:paraId="49B8545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140</w:t>
            </w:r>
          </w:p>
        </w:tc>
        <w:tc>
          <w:tcPr>
            <w:tcW w:w="5064" w:type="dxa"/>
            <w:shd w:val="clear" w:color="auto" w:fill="auto"/>
            <w:vAlign w:val="bottom"/>
          </w:tcPr>
          <w:p w14:paraId="3F888005"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 xml:space="preserve">Pathum Thani Detention Center </w:t>
            </w:r>
          </w:p>
        </w:tc>
        <w:tc>
          <w:tcPr>
            <w:tcW w:w="2410" w:type="dxa"/>
            <w:shd w:val="clear" w:color="auto" w:fill="auto"/>
            <w:vAlign w:val="bottom"/>
          </w:tcPr>
          <w:p w14:paraId="72A427AA"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2</w:t>
            </w:r>
          </w:p>
        </w:tc>
        <w:tc>
          <w:tcPr>
            <w:tcW w:w="2409" w:type="dxa"/>
            <w:shd w:val="clear" w:color="auto" w:fill="auto"/>
            <w:vAlign w:val="bottom"/>
          </w:tcPr>
          <w:p w14:paraId="1E929B8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7965136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2</w:t>
            </w:r>
          </w:p>
        </w:tc>
      </w:tr>
      <w:tr w:rsidR="00695E59" w:rsidRPr="007B3726" w14:paraId="56788CB3" w14:textId="77777777" w:rsidTr="007B3726">
        <w:tc>
          <w:tcPr>
            <w:tcW w:w="890" w:type="dxa"/>
            <w:shd w:val="clear" w:color="auto" w:fill="auto"/>
          </w:tcPr>
          <w:p w14:paraId="4D6394B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141</w:t>
            </w:r>
          </w:p>
        </w:tc>
        <w:tc>
          <w:tcPr>
            <w:tcW w:w="5064" w:type="dxa"/>
            <w:shd w:val="clear" w:color="auto" w:fill="auto"/>
            <w:vAlign w:val="bottom"/>
          </w:tcPr>
          <w:p w14:paraId="004E453F"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 xml:space="preserve">Roi Et Detention Center </w:t>
            </w:r>
          </w:p>
        </w:tc>
        <w:tc>
          <w:tcPr>
            <w:tcW w:w="2410" w:type="dxa"/>
            <w:shd w:val="clear" w:color="auto" w:fill="auto"/>
            <w:vAlign w:val="bottom"/>
          </w:tcPr>
          <w:p w14:paraId="55C33DE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shd w:val="clear" w:color="auto" w:fill="auto"/>
            <w:vAlign w:val="bottom"/>
          </w:tcPr>
          <w:p w14:paraId="3E2AB3B7"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c>
          <w:tcPr>
            <w:tcW w:w="2552" w:type="dxa"/>
            <w:shd w:val="clear" w:color="auto" w:fill="auto"/>
            <w:vAlign w:val="bottom"/>
          </w:tcPr>
          <w:p w14:paraId="073D51D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3F805A98" w14:textId="77777777" w:rsidTr="007B3726">
        <w:tc>
          <w:tcPr>
            <w:tcW w:w="890" w:type="dxa"/>
            <w:tcBorders>
              <w:bottom w:val="single" w:sz="4" w:space="0" w:color="auto"/>
            </w:tcBorders>
            <w:shd w:val="clear" w:color="auto" w:fill="auto"/>
          </w:tcPr>
          <w:p w14:paraId="69BA9DB2"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lang w:bidi="th-TH"/>
              </w:rPr>
            </w:pPr>
            <w:r w:rsidRPr="007B3726">
              <w:rPr>
                <w:sz w:val="18"/>
                <w:szCs w:val="18"/>
                <w:lang w:bidi="th-TH"/>
              </w:rPr>
              <w:t>142</w:t>
            </w:r>
          </w:p>
        </w:tc>
        <w:tc>
          <w:tcPr>
            <w:tcW w:w="5064" w:type="dxa"/>
            <w:tcBorders>
              <w:bottom w:val="single" w:sz="4" w:space="0" w:color="auto"/>
            </w:tcBorders>
            <w:shd w:val="clear" w:color="auto" w:fill="auto"/>
            <w:vAlign w:val="bottom"/>
          </w:tcPr>
          <w:p w14:paraId="37409A5E"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left"/>
              <w:rPr>
                <w:sz w:val="18"/>
                <w:szCs w:val="18"/>
                <w:cs/>
                <w:lang w:bidi="th-TH"/>
              </w:rPr>
            </w:pPr>
            <w:r w:rsidRPr="007B3726">
              <w:rPr>
                <w:rFonts w:eastAsia="ZWAdobeF"/>
                <w:sz w:val="18"/>
                <w:szCs w:val="18"/>
                <w:lang w:bidi="th-TH"/>
              </w:rPr>
              <w:t xml:space="preserve">Lampang Detention Center </w:t>
            </w:r>
          </w:p>
        </w:tc>
        <w:tc>
          <w:tcPr>
            <w:tcW w:w="2410" w:type="dxa"/>
            <w:tcBorders>
              <w:bottom w:val="single" w:sz="4" w:space="0" w:color="auto"/>
            </w:tcBorders>
            <w:shd w:val="clear" w:color="auto" w:fill="auto"/>
            <w:vAlign w:val="bottom"/>
          </w:tcPr>
          <w:p w14:paraId="446EE6C8"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cs/>
                <w:lang w:bidi="th-TH"/>
              </w:rPr>
              <w:t>0</w:t>
            </w:r>
          </w:p>
        </w:tc>
        <w:tc>
          <w:tcPr>
            <w:tcW w:w="2409" w:type="dxa"/>
            <w:tcBorders>
              <w:bottom w:val="single" w:sz="4" w:space="0" w:color="auto"/>
            </w:tcBorders>
            <w:shd w:val="clear" w:color="auto" w:fill="auto"/>
            <w:vAlign w:val="bottom"/>
          </w:tcPr>
          <w:p w14:paraId="6D98704D"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3</w:t>
            </w:r>
          </w:p>
        </w:tc>
        <w:tc>
          <w:tcPr>
            <w:tcW w:w="2552" w:type="dxa"/>
            <w:tcBorders>
              <w:bottom w:val="single" w:sz="4" w:space="0" w:color="auto"/>
            </w:tcBorders>
            <w:shd w:val="clear" w:color="auto" w:fill="auto"/>
            <w:vAlign w:val="bottom"/>
          </w:tcPr>
          <w:p w14:paraId="0C193E86" w14:textId="77777777" w:rsidR="00695E59" w:rsidRPr="007B3726" w:rsidRDefault="00695E59" w:rsidP="007B3726">
            <w:pPr>
              <w:pStyle w:val="SingleTxtG"/>
              <w:tabs>
                <w:tab w:val="clear" w:pos="1701"/>
                <w:tab w:val="clear" w:pos="2268"/>
              </w:tabs>
              <w:suppressAutoHyphens w:val="0"/>
              <w:spacing w:before="40" w:after="40" w:line="220" w:lineRule="exact"/>
              <w:ind w:left="0" w:right="113"/>
              <w:jc w:val="right"/>
              <w:rPr>
                <w:rFonts w:eastAsia="ZWAdobeF"/>
                <w:sz w:val="18"/>
                <w:szCs w:val="18"/>
                <w:lang w:bidi="th-TH"/>
              </w:rPr>
            </w:pPr>
            <w:r w:rsidRPr="007B3726">
              <w:rPr>
                <w:rFonts w:eastAsia="ZWAdobeF"/>
                <w:sz w:val="18"/>
                <w:szCs w:val="18"/>
                <w:lang w:bidi="th-TH"/>
              </w:rPr>
              <w:t>0</w:t>
            </w:r>
          </w:p>
        </w:tc>
      </w:tr>
      <w:tr w:rsidR="00695E59" w:rsidRPr="007B3726" w14:paraId="1A091282" w14:textId="77777777" w:rsidTr="007B3726">
        <w:tc>
          <w:tcPr>
            <w:tcW w:w="5954" w:type="dxa"/>
            <w:gridSpan w:val="2"/>
            <w:tcBorders>
              <w:top w:val="single" w:sz="4" w:space="0" w:color="auto"/>
              <w:bottom w:val="single" w:sz="12" w:space="0" w:color="auto"/>
            </w:tcBorders>
            <w:shd w:val="clear" w:color="auto" w:fill="auto"/>
          </w:tcPr>
          <w:p w14:paraId="3A2050BC" w14:textId="77777777" w:rsidR="00695E59" w:rsidRPr="007B3726" w:rsidRDefault="00695E59" w:rsidP="007B3726">
            <w:pPr>
              <w:pStyle w:val="SingleTxtG"/>
              <w:tabs>
                <w:tab w:val="clear" w:pos="1701"/>
                <w:tab w:val="clear" w:pos="2268"/>
              </w:tabs>
              <w:suppressAutoHyphens w:val="0"/>
              <w:spacing w:before="80" w:after="80" w:line="220" w:lineRule="exact"/>
              <w:ind w:left="283" w:right="0"/>
              <w:jc w:val="left"/>
              <w:rPr>
                <w:b/>
                <w:bCs/>
                <w:sz w:val="18"/>
                <w:szCs w:val="18"/>
                <w:lang w:bidi="th-TH"/>
              </w:rPr>
            </w:pPr>
            <w:r w:rsidRPr="007B3726">
              <w:rPr>
                <w:b/>
                <w:bCs/>
                <w:sz w:val="18"/>
                <w:szCs w:val="18"/>
                <w:lang w:bidi="th-TH"/>
              </w:rPr>
              <w:t>Total</w:t>
            </w:r>
          </w:p>
        </w:tc>
        <w:tc>
          <w:tcPr>
            <w:tcW w:w="2410" w:type="dxa"/>
            <w:tcBorders>
              <w:top w:val="single" w:sz="4" w:space="0" w:color="auto"/>
              <w:bottom w:val="single" w:sz="12" w:space="0" w:color="auto"/>
            </w:tcBorders>
            <w:shd w:val="clear" w:color="auto" w:fill="auto"/>
            <w:vAlign w:val="bottom"/>
          </w:tcPr>
          <w:p w14:paraId="04C61C22" w14:textId="7AEE01A8" w:rsidR="00695E59" w:rsidRPr="007B3726" w:rsidRDefault="00695E59" w:rsidP="007B3726">
            <w:pPr>
              <w:pStyle w:val="SingleTxtG"/>
              <w:tabs>
                <w:tab w:val="clear" w:pos="1701"/>
                <w:tab w:val="clear" w:pos="2268"/>
              </w:tabs>
              <w:suppressAutoHyphens w:val="0"/>
              <w:spacing w:before="80" w:after="80" w:line="220" w:lineRule="exact"/>
              <w:ind w:left="0" w:right="113"/>
              <w:jc w:val="right"/>
              <w:rPr>
                <w:b/>
                <w:bCs/>
                <w:sz w:val="18"/>
                <w:szCs w:val="18"/>
                <w:lang w:bidi="th-TH"/>
              </w:rPr>
            </w:pPr>
            <w:r w:rsidRPr="007B3726">
              <w:rPr>
                <w:b/>
                <w:bCs/>
                <w:sz w:val="18"/>
                <w:szCs w:val="18"/>
                <w:lang w:bidi="th-TH"/>
              </w:rPr>
              <w:t>1</w:t>
            </w:r>
            <w:r w:rsidR="003A13D3" w:rsidRPr="007B3726">
              <w:rPr>
                <w:b/>
                <w:bCs/>
                <w:sz w:val="18"/>
                <w:szCs w:val="18"/>
                <w:lang w:bidi="th-TH"/>
              </w:rPr>
              <w:t xml:space="preserve"> </w:t>
            </w:r>
            <w:r w:rsidRPr="007B3726">
              <w:rPr>
                <w:b/>
                <w:bCs/>
                <w:sz w:val="18"/>
                <w:szCs w:val="18"/>
                <w:lang w:bidi="th-TH"/>
              </w:rPr>
              <w:t>036</w:t>
            </w:r>
          </w:p>
        </w:tc>
        <w:tc>
          <w:tcPr>
            <w:tcW w:w="2409" w:type="dxa"/>
            <w:tcBorders>
              <w:top w:val="single" w:sz="4" w:space="0" w:color="auto"/>
              <w:bottom w:val="single" w:sz="12" w:space="0" w:color="auto"/>
            </w:tcBorders>
            <w:shd w:val="clear" w:color="auto" w:fill="auto"/>
            <w:vAlign w:val="bottom"/>
          </w:tcPr>
          <w:p w14:paraId="3F32040A" w14:textId="19C89961" w:rsidR="00695E59" w:rsidRPr="007B3726" w:rsidRDefault="00695E59" w:rsidP="007B3726">
            <w:pPr>
              <w:pStyle w:val="SingleTxtG"/>
              <w:tabs>
                <w:tab w:val="clear" w:pos="1701"/>
                <w:tab w:val="clear" w:pos="2268"/>
              </w:tabs>
              <w:suppressAutoHyphens w:val="0"/>
              <w:spacing w:before="80" w:after="80" w:line="220" w:lineRule="exact"/>
              <w:ind w:left="0" w:right="113"/>
              <w:jc w:val="right"/>
              <w:rPr>
                <w:b/>
                <w:bCs/>
                <w:sz w:val="18"/>
                <w:szCs w:val="18"/>
                <w:lang w:bidi="th-TH"/>
              </w:rPr>
            </w:pPr>
            <w:r w:rsidRPr="007B3726">
              <w:rPr>
                <w:b/>
                <w:bCs/>
                <w:sz w:val="18"/>
                <w:szCs w:val="18"/>
                <w:lang w:bidi="th-TH"/>
              </w:rPr>
              <w:t>1</w:t>
            </w:r>
            <w:r w:rsidR="003A13D3" w:rsidRPr="007B3726">
              <w:rPr>
                <w:b/>
                <w:bCs/>
                <w:sz w:val="18"/>
                <w:szCs w:val="18"/>
                <w:lang w:bidi="th-TH"/>
              </w:rPr>
              <w:t xml:space="preserve"> </w:t>
            </w:r>
            <w:r w:rsidRPr="007B3726">
              <w:rPr>
                <w:b/>
                <w:bCs/>
                <w:sz w:val="18"/>
                <w:szCs w:val="18"/>
                <w:lang w:bidi="th-TH"/>
              </w:rPr>
              <w:t>175</w:t>
            </w:r>
          </w:p>
        </w:tc>
        <w:tc>
          <w:tcPr>
            <w:tcW w:w="2552" w:type="dxa"/>
            <w:tcBorders>
              <w:top w:val="single" w:sz="4" w:space="0" w:color="auto"/>
              <w:bottom w:val="single" w:sz="12" w:space="0" w:color="auto"/>
            </w:tcBorders>
            <w:shd w:val="clear" w:color="auto" w:fill="auto"/>
            <w:vAlign w:val="bottom"/>
          </w:tcPr>
          <w:p w14:paraId="7CD1DC9B" w14:textId="77777777" w:rsidR="00695E59" w:rsidRPr="007B3726" w:rsidRDefault="00695E59" w:rsidP="007B3726">
            <w:pPr>
              <w:pStyle w:val="SingleTxtG"/>
              <w:tabs>
                <w:tab w:val="clear" w:pos="1701"/>
                <w:tab w:val="clear" w:pos="2268"/>
              </w:tabs>
              <w:suppressAutoHyphens w:val="0"/>
              <w:spacing w:before="80" w:after="80" w:line="220" w:lineRule="exact"/>
              <w:ind w:left="0" w:right="113"/>
              <w:jc w:val="right"/>
              <w:rPr>
                <w:b/>
                <w:bCs/>
                <w:sz w:val="18"/>
                <w:szCs w:val="18"/>
                <w:lang w:bidi="th-TH"/>
              </w:rPr>
            </w:pPr>
            <w:r w:rsidRPr="007B3726">
              <w:rPr>
                <w:b/>
                <w:bCs/>
                <w:sz w:val="18"/>
                <w:szCs w:val="18"/>
                <w:lang w:bidi="th-TH"/>
              </w:rPr>
              <w:t>697</w:t>
            </w:r>
          </w:p>
        </w:tc>
      </w:tr>
    </w:tbl>
    <w:p w14:paraId="40D0C377" w14:textId="77777777" w:rsidR="00695E59" w:rsidRPr="00671D9E" w:rsidRDefault="00695E59" w:rsidP="003331BE">
      <w:pPr>
        <w:jc w:val="center"/>
        <w:rPr>
          <w:u w:val="single"/>
        </w:rPr>
      </w:pPr>
      <w:r w:rsidRPr="00671D9E">
        <w:rPr>
          <w:u w:val="single"/>
        </w:rPr>
        <w:tab/>
      </w:r>
      <w:r w:rsidRPr="00671D9E">
        <w:rPr>
          <w:u w:val="single"/>
        </w:rPr>
        <w:tab/>
      </w:r>
      <w:r w:rsidRPr="00671D9E">
        <w:rPr>
          <w:u w:val="single"/>
        </w:rPr>
        <w:tab/>
      </w:r>
    </w:p>
    <w:sectPr w:rsidR="00695E59" w:rsidRPr="00671D9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325C" w14:textId="77777777" w:rsidR="00DC2C41" w:rsidRPr="008779DC" w:rsidRDefault="00DC2C41" w:rsidP="008779DC">
      <w:pPr>
        <w:pStyle w:val="Footer"/>
      </w:pPr>
    </w:p>
  </w:endnote>
  <w:endnote w:type="continuationSeparator" w:id="0">
    <w:p w14:paraId="203C1BF1" w14:textId="77777777" w:rsidR="00DC2C41" w:rsidRPr="008779DC" w:rsidRDefault="00DC2C4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Calibri"/>
    <w:panose1 w:val="00000000000000000000"/>
    <w:charset w:val="00"/>
    <w:family w:val="auto"/>
    <w:pitch w:val="variable"/>
    <w:sig w:usb0="00000000" w:usb1="00000000" w:usb2="00000000"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Yu Mincho Demibold">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5F0C" w14:textId="1CE9BE04" w:rsidR="00DC2C41" w:rsidRDefault="00DC2C41" w:rsidP="00695E59">
    <w:pPr>
      <w:pStyle w:val="Footer"/>
      <w:tabs>
        <w:tab w:val="right" w:pos="9638"/>
      </w:tabs>
    </w:pPr>
    <w:r w:rsidRPr="00695E59">
      <w:rPr>
        <w:b/>
        <w:bCs/>
        <w:sz w:val="18"/>
      </w:rPr>
      <w:fldChar w:fldCharType="begin"/>
    </w:r>
    <w:r w:rsidRPr="00695E59">
      <w:rPr>
        <w:b/>
        <w:bCs/>
        <w:sz w:val="18"/>
      </w:rPr>
      <w:instrText xml:space="preserve"> PAGE  \* MERGEFORMAT </w:instrText>
    </w:r>
    <w:r w:rsidRPr="00695E59">
      <w:rPr>
        <w:b/>
        <w:bCs/>
        <w:sz w:val="18"/>
      </w:rPr>
      <w:fldChar w:fldCharType="separate"/>
    </w:r>
    <w:r w:rsidR="006833A3">
      <w:rPr>
        <w:b/>
        <w:bCs/>
        <w:noProof/>
        <w:sz w:val="18"/>
      </w:rPr>
      <w:t>4</w:t>
    </w:r>
    <w:r w:rsidRPr="00695E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EB4C" w14:textId="701BFA7E" w:rsidR="00DC2C41" w:rsidRDefault="00DC2C41" w:rsidP="00695E59">
    <w:pPr>
      <w:pStyle w:val="Footer"/>
      <w:tabs>
        <w:tab w:val="right" w:pos="9638"/>
      </w:tabs>
    </w:pPr>
    <w:r>
      <w:tab/>
    </w:r>
    <w:r w:rsidRPr="00695E59">
      <w:rPr>
        <w:b/>
        <w:bCs/>
        <w:sz w:val="18"/>
      </w:rPr>
      <w:fldChar w:fldCharType="begin"/>
    </w:r>
    <w:r w:rsidRPr="00695E59">
      <w:rPr>
        <w:b/>
        <w:bCs/>
        <w:sz w:val="18"/>
      </w:rPr>
      <w:instrText xml:space="preserve"> PAGE  \* MERGEFORMAT </w:instrText>
    </w:r>
    <w:r w:rsidRPr="00695E59">
      <w:rPr>
        <w:b/>
        <w:bCs/>
        <w:sz w:val="18"/>
      </w:rPr>
      <w:fldChar w:fldCharType="separate"/>
    </w:r>
    <w:r w:rsidR="006833A3">
      <w:rPr>
        <w:b/>
        <w:bCs/>
        <w:noProof/>
        <w:sz w:val="18"/>
      </w:rPr>
      <w:t>5</w:t>
    </w:r>
    <w:r w:rsidRPr="00695E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CB81" w14:textId="307D79A5" w:rsidR="003F44B6" w:rsidRDefault="003F44B6" w:rsidP="003F44B6">
    <w:pPr>
      <w:pStyle w:val="Footer"/>
    </w:pPr>
    <w:bookmarkStart w:id="5" w:name="_GoBack"/>
    <w:bookmarkEnd w:id="5"/>
    <w:r>
      <w:rPr>
        <w:noProof/>
        <w:lang w:val="en-US"/>
      </w:rPr>
      <w:drawing>
        <wp:anchor distT="0" distB="0" distL="114300" distR="114300" simplePos="0" relativeHeight="251659264" behindDoc="1" locked="1" layoutInCell="1" allowOverlap="1" wp14:anchorId="2403502A" wp14:editId="2E2730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B0772C" w14:textId="76311A66" w:rsidR="003F44B6" w:rsidRPr="003F44B6" w:rsidRDefault="003F44B6" w:rsidP="003F44B6">
    <w:pPr>
      <w:pStyle w:val="Footer"/>
      <w:ind w:right="1134"/>
      <w:rPr>
        <w:sz w:val="20"/>
      </w:rPr>
    </w:pPr>
    <w:r>
      <w:rPr>
        <w:sz w:val="20"/>
      </w:rPr>
      <w:t>GE.21-19373(E)</w:t>
    </w:r>
    <w:r>
      <w:rPr>
        <w:noProof/>
        <w:sz w:val="20"/>
      </w:rPr>
      <w:drawing>
        <wp:anchor distT="0" distB="0" distL="114300" distR="114300" simplePos="0" relativeHeight="251660288" behindDoc="0" locked="0" layoutInCell="1" allowOverlap="1" wp14:anchorId="615B2A9C" wp14:editId="5BADFE2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54BF5" w14:textId="77777777" w:rsidR="00DC2C41" w:rsidRPr="008779DC" w:rsidRDefault="00DC2C41" w:rsidP="008779DC">
      <w:pPr>
        <w:tabs>
          <w:tab w:val="right" w:pos="2155"/>
        </w:tabs>
        <w:spacing w:after="80" w:line="240" w:lineRule="auto"/>
        <w:ind w:left="680"/>
      </w:pPr>
      <w:r>
        <w:rPr>
          <w:u w:val="single"/>
        </w:rPr>
        <w:tab/>
      </w:r>
    </w:p>
  </w:footnote>
  <w:footnote w:type="continuationSeparator" w:id="0">
    <w:p w14:paraId="4FB6DA2D" w14:textId="77777777" w:rsidR="00DC2C41" w:rsidRPr="008779DC" w:rsidRDefault="00DC2C41" w:rsidP="008779DC">
      <w:pPr>
        <w:tabs>
          <w:tab w:val="right" w:pos="2155"/>
        </w:tabs>
        <w:spacing w:after="80" w:line="240" w:lineRule="auto"/>
        <w:ind w:left="680"/>
      </w:pPr>
      <w:r>
        <w:rPr>
          <w:u w:val="single"/>
        </w:rPr>
        <w:tab/>
      </w:r>
    </w:p>
  </w:footnote>
  <w:footnote w:id="1">
    <w:p w14:paraId="1309CFFA" w14:textId="563B0F82" w:rsidR="00DC2C41" w:rsidRPr="003331BE" w:rsidRDefault="00DC2C41">
      <w:pPr>
        <w:pStyle w:val="FootnoteText"/>
      </w:pPr>
      <w:r>
        <w:rPr>
          <w:rStyle w:val="FootnoteReference"/>
        </w:rPr>
        <w:tab/>
      </w:r>
      <w:r w:rsidRPr="003331BE">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6FD2AE04" w14:textId="4ABC3148" w:rsidR="00DC2C41" w:rsidRDefault="00DC2C41" w:rsidP="00695E59">
      <w:pPr>
        <w:pStyle w:val="FootnoteText"/>
        <w:rPr>
          <w:rFonts w:cs="Cordia New"/>
          <w:cs/>
        </w:rPr>
      </w:pPr>
      <w:r>
        <w:tab/>
      </w:r>
      <w:r w:rsidRPr="00E235C4">
        <w:rPr>
          <w:rStyle w:val="FootnoteReference"/>
        </w:rPr>
        <w:footnoteRef/>
      </w:r>
      <w:r>
        <w:tab/>
        <w:t>CAT/C/THA/1.</w:t>
      </w:r>
    </w:p>
  </w:footnote>
  <w:footnote w:id="3">
    <w:p w14:paraId="006AD521" w14:textId="30BB7CD6" w:rsidR="00DC2C41" w:rsidRDefault="00DC2C41" w:rsidP="00695E59">
      <w:pPr>
        <w:pStyle w:val="FootnoteText"/>
        <w:rPr>
          <w:sz w:val="24"/>
          <w:szCs w:val="24"/>
        </w:rPr>
      </w:pPr>
      <w:r>
        <w:tab/>
      </w:r>
      <w:r w:rsidRPr="00E235C4">
        <w:rPr>
          <w:rStyle w:val="FootnoteReference"/>
        </w:rPr>
        <w:footnoteRef/>
      </w:r>
      <w:r>
        <w:tab/>
        <w:t>The 2017 Constitution, s.28 para 4.</w:t>
      </w:r>
    </w:p>
  </w:footnote>
  <w:footnote w:id="4">
    <w:p w14:paraId="1D7F0844" w14:textId="5964289E" w:rsidR="00DC2C41" w:rsidRPr="00EA1B0F" w:rsidRDefault="00DC2C41" w:rsidP="00695E59">
      <w:pPr>
        <w:pStyle w:val="FootnoteText"/>
      </w:pPr>
      <w:r>
        <w:rPr>
          <w:vertAlign w:val="superscript"/>
        </w:rPr>
        <w:tab/>
      </w:r>
      <w:r w:rsidRPr="00E235C4">
        <w:rPr>
          <w:rStyle w:val="FootnoteReference"/>
        </w:rPr>
        <w:footnoteRef/>
      </w:r>
      <w:r>
        <w:rPr>
          <w:vertAlign w:val="superscript"/>
        </w:rPr>
        <w:tab/>
      </w:r>
      <w:r w:rsidRPr="00EA1B0F">
        <w:t>The draft Prevention and Suppression of Torture and Enforced Disappearance Act, s. 3 in conjunction with s.5.</w:t>
      </w:r>
    </w:p>
  </w:footnote>
  <w:footnote w:id="5">
    <w:p w14:paraId="2D6CD1CD" w14:textId="7277142E" w:rsidR="00DC2C41" w:rsidRPr="00EA1B0F" w:rsidRDefault="00DC2C41" w:rsidP="00695E59">
      <w:pPr>
        <w:pStyle w:val="FootnoteText"/>
      </w:pPr>
      <w:r>
        <w:rPr>
          <w:vertAlign w:val="superscript"/>
        </w:rPr>
        <w:tab/>
      </w:r>
      <w:r w:rsidRPr="00E235C4">
        <w:rPr>
          <w:rStyle w:val="FootnoteReference"/>
        </w:rPr>
        <w:footnoteRef/>
      </w:r>
      <w:r>
        <w:rPr>
          <w:vertAlign w:val="superscript"/>
        </w:rPr>
        <w:tab/>
      </w:r>
      <w:r w:rsidRPr="00EA1B0F">
        <w:t>The draft Prevention and Suppression of Torture and Enforced Disappearance Act, s. 3 in conjunction with s.6.</w:t>
      </w:r>
    </w:p>
  </w:footnote>
  <w:footnote w:id="6">
    <w:p w14:paraId="42B9742F" w14:textId="5D4E204C" w:rsidR="00DC2C41" w:rsidRPr="00EA1B0F" w:rsidRDefault="00DC2C41" w:rsidP="00695E59">
      <w:pPr>
        <w:pStyle w:val="FootnoteText"/>
      </w:pPr>
      <w:r>
        <w:tab/>
      </w:r>
      <w:r w:rsidRPr="00E235C4">
        <w:rPr>
          <w:rStyle w:val="FootnoteReference"/>
        </w:rPr>
        <w:footnoteRef/>
      </w:r>
      <w:r>
        <w:tab/>
      </w:r>
      <w:r w:rsidRPr="00EA1B0F">
        <w:t>The draft Prevention and Suppression of Torture and Enforced Disappearance Act, s.</w:t>
      </w:r>
      <w:r w:rsidRPr="00EA1B0F">
        <w:rPr>
          <w:cs/>
        </w:rPr>
        <w:t>26</w:t>
      </w:r>
      <w:r w:rsidRPr="00EA1B0F">
        <w:t xml:space="preserve"> para 1 and s.2</w:t>
      </w:r>
      <w:r w:rsidRPr="00EA1B0F">
        <w:rPr>
          <w:cs/>
        </w:rPr>
        <w:t>7</w:t>
      </w:r>
      <w:r w:rsidRPr="00EA1B0F">
        <w:t xml:space="preserve"> para 1.</w:t>
      </w:r>
    </w:p>
  </w:footnote>
  <w:footnote w:id="7">
    <w:p w14:paraId="5FAB14F0" w14:textId="1939D98E" w:rsidR="00DC2C41" w:rsidRPr="00EA1B0F" w:rsidRDefault="00DC2C41" w:rsidP="00695E59">
      <w:pPr>
        <w:pStyle w:val="FootnoteText"/>
      </w:pPr>
      <w:r>
        <w:rPr>
          <w:vertAlign w:val="superscript"/>
        </w:rPr>
        <w:tab/>
      </w:r>
      <w:r w:rsidRPr="00E235C4">
        <w:rPr>
          <w:rStyle w:val="FootnoteReference"/>
        </w:rPr>
        <w:footnoteRef/>
      </w:r>
      <w:r>
        <w:rPr>
          <w:vertAlign w:val="superscript"/>
        </w:rPr>
        <w:tab/>
      </w:r>
      <w:r w:rsidRPr="00EA1B0F">
        <w:t>As defined by the Penal Code, s.297.</w:t>
      </w:r>
      <w:r>
        <w:t xml:space="preserve"> </w:t>
      </w:r>
      <w:r w:rsidRPr="00EA1B0F">
        <w:t>Please refer to CAT/C/THA/1 para 37.</w:t>
      </w:r>
    </w:p>
  </w:footnote>
  <w:footnote w:id="8">
    <w:p w14:paraId="414F25E3" w14:textId="5B5BDD2C" w:rsidR="00DC2C41" w:rsidRPr="00EA1B0F" w:rsidRDefault="00DC2C41" w:rsidP="00695E59">
      <w:pPr>
        <w:pStyle w:val="FootnoteText"/>
        <w:rPr>
          <w:sz w:val="28"/>
          <w:szCs w:val="28"/>
        </w:rPr>
      </w:pPr>
      <w:r>
        <w:tab/>
      </w:r>
      <w:r w:rsidRPr="00E235C4">
        <w:rPr>
          <w:rStyle w:val="FootnoteReference"/>
        </w:rPr>
        <w:footnoteRef/>
      </w:r>
      <w:r>
        <w:tab/>
      </w:r>
      <w:r w:rsidRPr="00EA1B0F">
        <w:t>The draft Prevention and Suppression of Torture and Enforced Disappearance Act, s.2</w:t>
      </w:r>
      <w:r w:rsidRPr="00EA1B0F">
        <w:rPr>
          <w:cs/>
        </w:rPr>
        <w:t>6</w:t>
      </w:r>
      <w:r w:rsidRPr="00EA1B0F">
        <w:t xml:space="preserve"> para 2 and s.2</w:t>
      </w:r>
      <w:r w:rsidRPr="00EA1B0F">
        <w:rPr>
          <w:cs/>
        </w:rPr>
        <w:t>7</w:t>
      </w:r>
      <w:r w:rsidRPr="00EA1B0F">
        <w:t xml:space="preserve"> para 2.</w:t>
      </w:r>
    </w:p>
  </w:footnote>
  <w:footnote w:id="9">
    <w:p w14:paraId="146D421F" w14:textId="6E40D0DA" w:rsidR="00DC2C41" w:rsidRDefault="00DC2C41" w:rsidP="00695E59">
      <w:pPr>
        <w:pStyle w:val="FootnoteText"/>
        <w:rPr>
          <w:rFonts w:cs="Cordia New"/>
          <w:cs/>
        </w:rPr>
      </w:pPr>
      <w:r>
        <w:tab/>
      </w:r>
      <w:r w:rsidRPr="00E235C4">
        <w:rPr>
          <w:rStyle w:val="FootnoteReference"/>
        </w:rPr>
        <w:footnoteRef/>
      </w:r>
      <w:r>
        <w:tab/>
      </w:r>
      <w:r w:rsidRPr="00EA1B0F">
        <w:t>The draft Prevention and Suppression of Torture and Enforced Disappearance Act, s.2</w:t>
      </w:r>
      <w:r w:rsidRPr="00EA1B0F">
        <w:rPr>
          <w:cs/>
        </w:rPr>
        <w:t>6</w:t>
      </w:r>
      <w:r w:rsidRPr="00EA1B0F">
        <w:t xml:space="preserve"> para 3 and s.2</w:t>
      </w:r>
      <w:r w:rsidRPr="00EA1B0F">
        <w:rPr>
          <w:cs/>
        </w:rPr>
        <w:t>7</w:t>
      </w:r>
      <w:r w:rsidRPr="00EA1B0F">
        <w:t xml:space="preserve"> para 3.</w:t>
      </w:r>
    </w:p>
  </w:footnote>
  <w:footnote w:id="10">
    <w:p w14:paraId="3E8E4BC5" w14:textId="47991C4D" w:rsidR="00DC2C41" w:rsidRPr="00EA1B0F" w:rsidRDefault="00DC2C41" w:rsidP="00695E59">
      <w:pPr>
        <w:pStyle w:val="FootnoteText"/>
        <w:rPr>
          <w:lang w:val="en-US"/>
        </w:rPr>
      </w:pPr>
      <w:r>
        <w:rPr>
          <w:vertAlign w:val="superscript"/>
        </w:rPr>
        <w:tab/>
      </w:r>
      <w:r w:rsidRPr="00E235C4">
        <w:rPr>
          <w:rStyle w:val="FootnoteReference"/>
        </w:rPr>
        <w:footnoteRef/>
      </w:r>
      <w:r>
        <w:rPr>
          <w:vertAlign w:val="superscript"/>
        </w:rPr>
        <w:tab/>
      </w:r>
      <w:r>
        <w:t>T</w:t>
      </w:r>
      <w:r w:rsidRPr="00EA1B0F">
        <w:t>he draft Prevention and Suppression of Torture and Enforced Disappearance Act, s.2</w:t>
      </w:r>
      <w:r w:rsidRPr="00EA1B0F">
        <w:rPr>
          <w:rFonts w:cs="Cordia New"/>
          <w:lang w:val="en-US"/>
        </w:rPr>
        <w:t>8</w:t>
      </w:r>
      <w:r>
        <w:rPr>
          <w:rFonts w:cs="Cordia New"/>
          <w:lang w:val="en-US"/>
        </w:rPr>
        <w:t>.</w:t>
      </w:r>
    </w:p>
  </w:footnote>
  <w:footnote w:id="11">
    <w:p w14:paraId="73FD9A5B" w14:textId="57DF9F65" w:rsidR="00DC2C41" w:rsidRPr="00EA1B0F" w:rsidRDefault="00DC2C41" w:rsidP="00695E59">
      <w:pPr>
        <w:pStyle w:val="FootnoteText"/>
        <w:rPr>
          <w:lang w:val="en-US"/>
        </w:rPr>
      </w:pPr>
      <w:r>
        <w:tab/>
      </w:r>
      <w:r w:rsidRPr="00E235C4">
        <w:rPr>
          <w:rStyle w:val="FootnoteReference"/>
        </w:rPr>
        <w:footnoteRef/>
      </w:r>
      <w:r>
        <w:tab/>
        <w:t>T</w:t>
      </w:r>
      <w:r w:rsidRPr="00EA1B0F">
        <w:t>he draft Prevention and Suppression of Torture and Enforced Disappearance Act, s.31</w:t>
      </w:r>
      <w:r>
        <w:t>.</w:t>
      </w:r>
    </w:p>
  </w:footnote>
  <w:footnote w:id="12">
    <w:p w14:paraId="6317946F" w14:textId="56EF1071" w:rsidR="00DC2C41" w:rsidRPr="00EA1B0F" w:rsidRDefault="00DC2C41" w:rsidP="00695E59">
      <w:pPr>
        <w:pStyle w:val="FootnoteText"/>
      </w:pPr>
      <w:r>
        <w:rPr>
          <w:vertAlign w:val="superscript"/>
        </w:rPr>
        <w:tab/>
      </w:r>
      <w:r w:rsidRPr="00E235C4">
        <w:rPr>
          <w:rStyle w:val="FootnoteReference"/>
        </w:rPr>
        <w:footnoteRef/>
      </w:r>
      <w:r>
        <w:rPr>
          <w:vertAlign w:val="superscript"/>
        </w:rPr>
        <w:tab/>
      </w:r>
      <w:r>
        <w:t>T</w:t>
      </w:r>
      <w:r w:rsidRPr="00EA1B0F">
        <w:t>he draft Prevention and Suppression of Torture and Enforced Disappearance Act, s.29 para 1</w:t>
      </w:r>
      <w:r>
        <w:t>.</w:t>
      </w:r>
    </w:p>
  </w:footnote>
  <w:footnote w:id="13">
    <w:p w14:paraId="1AA65E70" w14:textId="4164A979" w:rsidR="00DC2C41" w:rsidRPr="00EA1B0F" w:rsidRDefault="00DC2C41" w:rsidP="00695E59">
      <w:pPr>
        <w:pStyle w:val="FootnoteText"/>
      </w:pPr>
      <w:r>
        <w:tab/>
      </w:r>
      <w:r w:rsidRPr="00E235C4">
        <w:rPr>
          <w:rStyle w:val="FootnoteReference"/>
        </w:rPr>
        <w:footnoteRef/>
      </w:r>
      <w:r>
        <w:tab/>
        <w:t>T</w:t>
      </w:r>
      <w:r w:rsidRPr="00EA1B0F">
        <w:t>he draft Prevention and Suppression of Torture and Enforced Disappearance Act, s.29 para 2</w:t>
      </w:r>
      <w:r>
        <w:t>.</w:t>
      </w:r>
    </w:p>
  </w:footnote>
  <w:footnote w:id="14">
    <w:p w14:paraId="7B81A8AE" w14:textId="4DC66C2F" w:rsidR="00DC2C41" w:rsidRPr="00EA1B0F" w:rsidRDefault="00DC2C41" w:rsidP="00695E59">
      <w:pPr>
        <w:pStyle w:val="FootnoteText"/>
      </w:pPr>
      <w:r>
        <w:tab/>
      </w:r>
      <w:r w:rsidRPr="00E235C4">
        <w:rPr>
          <w:rStyle w:val="FootnoteReference"/>
        </w:rPr>
        <w:footnoteRef/>
      </w:r>
      <w:r>
        <w:tab/>
        <w:t>T</w:t>
      </w:r>
      <w:r w:rsidRPr="00EA1B0F">
        <w:t>he draft Prevention and Suppression of Torture and Enforced Disappearance Act, s.7</w:t>
      </w:r>
      <w:r>
        <w:t>.</w:t>
      </w:r>
    </w:p>
  </w:footnote>
  <w:footnote w:id="15">
    <w:p w14:paraId="38310BAE" w14:textId="4767351B" w:rsidR="00DC2C41" w:rsidRPr="00EA1B0F" w:rsidRDefault="00DC2C41" w:rsidP="00695E59">
      <w:pPr>
        <w:pStyle w:val="FootnoteText"/>
      </w:pPr>
      <w:r>
        <w:tab/>
      </w:r>
      <w:r w:rsidRPr="00E235C4">
        <w:rPr>
          <w:rStyle w:val="FootnoteReference"/>
        </w:rPr>
        <w:footnoteRef/>
      </w:r>
      <w:r>
        <w:tab/>
        <w:t>T</w:t>
      </w:r>
      <w:r w:rsidRPr="00EA1B0F">
        <w:t>he draft Prevention and Suppression of Torture and Enforced Disappearance Act, s.</w:t>
      </w:r>
      <w:r>
        <w:t>8.</w:t>
      </w:r>
    </w:p>
  </w:footnote>
  <w:footnote w:id="16">
    <w:p w14:paraId="4C99DE6A" w14:textId="5031301F" w:rsidR="00DC2C41" w:rsidRDefault="00DC2C41" w:rsidP="00695E59">
      <w:pPr>
        <w:pStyle w:val="FootnoteText"/>
        <w:rPr>
          <w:sz w:val="20"/>
        </w:rPr>
      </w:pPr>
      <w:r>
        <w:tab/>
      </w:r>
      <w:r w:rsidRPr="00E235C4">
        <w:rPr>
          <w:rStyle w:val="FootnoteReference"/>
        </w:rPr>
        <w:footnoteRef/>
      </w:r>
      <w:r>
        <w:tab/>
        <w:t>T</w:t>
      </w:r>
      <w:r w:rsidRPr="00EA1B0F">
        <w:t>he draft Prevention and Suppression of Torture and Enforced Disappearance Act, s.30</w:t>
      </w:r>
      <w:r>
        <w:t>.</w:t>
      </w:r>
    </w:p>
  </w:footnote>
  <w:footnote w:id="17">
    <w:p w14:paraId="45F657EF" w14:textId="6F285646" w:rsidR="00DC2C41" w:rsidRPr="00EA1B0F" w:rsidRDefault="00DC2C41" w:rsidP="00695E59">
      <w:pPr>
        <w:pStyle w:val="FootnoteText"/>
        <w:rPr>
          <w:sz w:val="24"/>
          <w:szCs w:val="24"/>
        </w:rPr>
      </w:pPr>
      <w:r>
        <w:tab/>
      </w:r>
      <w:r w:rsidRPr="00E235C4">
        <w:rPr>
          <w:rStyle w:val="FootnoteReference"/>
        </w:rPr>
        <w:footnoteRef/>
      </w:r>
      <w:r>
        <w:tab/>
      </w:r>
      <w:r w:rsidRPr="00EA1B0F">
        <w:rPr>
          <w:rFonts w:eastAsia="MS Gothic"/>
        </w:rPr>
        <w:t xml:space="preserve">The four priority areas are </w:t>
      </w:r>
      <w:r w:rsidRPr="00EA1B0F">
        <w:t>namely, (1) labour, (2) community, land, natural resources and environment, (3) human rights defenders and (4) cross-border investment and multi-national enterprises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48E1" w14:textId="77777777" w:rsidR="00DC2C41" w:rsidRDefault="00DC2C41" w:rsidP="00695E59">
    <w:pPr>
      <w:pStyle w:val="Header"/>
    </w:pPr>
    <w:r>
      <w:t>CAT/C/THA/2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8532" w14:textId="77777777" w:rsidR="00DC2C41" w:rsidRDefault="00DC2C41" w:rsidP="00695E59">
    <w:pPr>
      <w:pStyle w:val="Header"/>
      <w:jc w:val="right"/>
    </w:pPr>
    <w:r>
      <w:t>CAT/C/THA/2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938BE"/>
    <w:multiLevelType w:val="hybridMultilevel"/>
    <w:tmpl w:val="3B8E3D74"/>
    <w:lvl w:ilvl="0" w:tplc="63DC8024">
      <w:start w:val="1"/>
      <w:numFmt w:val="lowerLetter"/>
      <w:lvlText w:val="(%1)"/>
      <w:lvlJc w:val="left"/>
      <w:pPr>
        <w:ind w:left="1854" w:hanging="360"/>
      </w:pPr>
      <w:rPr>
        <w:rFonts w:hint="default"/>
        <w:b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A5C169C"/>
    <w:multiLevelType w:val="multilevel"/>
    <w:tmpl w:val="D67AC25E"/>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3" w15:restartNumberingAfterBreak="0">
    <w:nsid w:val="0C2B0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954887"/>
    <w:multiLevelType w:val="hybridMultilevel"/>
    <w:tmpl w:val="2B362816"/>
    <w:lvl w:ilvl="0" w:tplc="17904518">
      <w:start w:val="1"/>
      <w:numFmt w:val="decimal"/>
      <w:lvlText w:val="%1."/>
      <w:lvlJc w:val="left"/>
      <w:pPr>
        <w:tabs>
          <w:tab w:val="num" w:pos="1701"/>
        </w:tabs>
        <w:ind w:left="1134" w:firstLine="0"/>
      </w:pPr>
      <w:rPr>
        <w:rFonts w:ascii="Times New Roman" w:hAnsi="Times New Roman" w:hint="default"/>
        <w:b w:val="0"/>
        <w:i w:val="0"/>
        <w:sz w:val="20"/>
      </w:rPr>
    </w:lvl>
    <w:lvl w:ilvl="1" w:tplc="2B3609F0" w:tentative="1">
      <w:start w:val="1"/>
      <w:numFmt w:val="lowerLetter"/>
      <w:lvlText w:val="%2."/>
      <w:lvlJc w:val="left"/>
      <w:pPr>
        <w:tabs>
          <w:tab w:val="num" w:pos="1440"/>
        </w:tabs>
        <w:ind w:left="1440" w:hanging="360"/>
      </w:pPr>
    </w:lvl>
    <w:lvl w:ilvl="2" w:tplc="A05EDDB0" w:tentative="1">
      <w:start w:val="1"/>
      <w:numFmt w:val="lowerRoman"/>
      <w:lvlText w:val="%3."/>
      <w:lvlJc w:val="right"/>
      <w:pPr>
        <w:tabs>
          <w:tab w:val="num" w:pos="2160"/>
        </w:tabs>
        <w:ind w:left="2160" w:hanging="180"/>
      </w:pPr>
    </w:lvl>
    <w:lvl w:ilvl="3" w:tplc="49B87EBC" w:tentative="1">
      <w:start w:val="1"/>
      <w:numFmt w:val="decimal"/>
      <w:lvlText w:val="%4."/>
      <w:lvlJc w:val="left"/>
      <w:pPr>
        <w:tabs>
          <w:tab w:val="num" w:pos="2880"/>
        </w:tabs>
        <w:ind w:left="2880" w:hanging="360"/>
      </w:pPr>
    </w:lvl>
    <w:lvl w:ilvl="4" w:tplc="78E80276" w:tentative="1">
      <w:start w:val="1"/>
      <w:numFmt w:val="lowerLetter"/>
      <w:lvlText w:val="%5."/>
      <w:lvlJc w:val="left"/>
      <w:pPr>
        <w:tabs>
          <w:tab w:val="num" w:pos="3600"/>
        </w:tabs>
        <w:ind w:left="3600" w:hanging="360"/>
      </w:pPr>
    </w:lvl>
    <w:lvl w:ilvl="5" w:tplc="DF02E90C" w:tentative="1">
      <w:start w:val="1"/>
      <w:numFmt w:val="lowerRoman"/>
      <w:lvlText w:val="%6."/>
      <w:lvlJc w:val="right"/>
      <w:pPr>
        <w:tabs>
          <w:tab w:val="num" w:pos="4320"/>
        </w:tabs>
        <w:ind w:left="4320" w:hanging="180"/>
      </w:pPr>
    </w:lvl>
    <w:lvl w:ilvl="6" w:tplc="0910F99E" w:tentative="1">
      <w:start w:val="1"/>
      <w:numFmt w:val="decimal"/>
      <w:lvlText w:val="%7."/>
      <w:lvlJc w:val="left"/>
      <w:pPr>
        <w:tabs>
          <w:tab w:val="num" w:pos="5040"/>
        </w:tabs>
        <w:ind w:left="5040" w:hanging="360"/>
      </w:pPr>
    </w:lvl>
    <w:lvl w:ilvl="7" w:tplc="C792C356" w:tentative="1">
      <w:start w:val="1"/>
      <w:numFmt w:val="lowerLetter"/>
      <w:lvlText w:val="%8."/>
      <w:lvlJc w:val="left"/>
      <w:pPr>
        <w:tabs>
          <w:tab w:val="num" w:pos="5760"/>
        </w:tabs>
        <w:ind w:left="5760" w:hanging="360"/>
      </w:pPr>
    </w:lvl>
    <w:lvl w:ilvl="8" w:tplc="561010E8" w:tentative="1">
      <w:start w:val="1"/>
      <w:numFmt w:val="lowerRoman"/>
      <w:lvlText w:val="%9."/>
      <w:lvlJc w:val="right"/>
      <w:pPr>
        <w:tabs>
          <w:tab w:val="num" w:pos="6480"/>
        </w:tabs>
        <w:ind w:left="6480" w:hanging="180"/>
      </w:pPr>
    </w:lvl>
  </w:abstractNum>
  <w:abstractNum w:abstractNumId="15" w15:restartNumberingAfterBreak="0">
    <w:nsid w:val="14AF27C7"/>
    <w:multiLevelType w:val="hybridMultilevel"/>
    <w:tmpl w:val="6808991A"/>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374E2B"/>
    <w:multiLevelType w:val="hybridMultilevel"/>
    <w:tmpl w:val="25BCE3B4"/>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F6C27F1"/>
    <w:multiLevelType w:val="hybridMultilevel"/>
    <w:tmpl w:val="6D3273EA"/>
    <w:lvl w:ilvl="0" w:tplc="3D705B84">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38554D9"/>
    <w:multiLevelType w:val="hybridMultilevel"/>
    <w:tmpl w:val="8BF6DA3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9C5DC7"/>
    <w:multiLevelType w:val="hybridMultilevel"/>
    <w:tmpl w:val="B4965F78"/>
    <w:lvl w:ilvl="0" w:tplc="0910F612">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80013"/>
    <w:multiLevelType w:val="hybridMultilevel"/>
    <w:tmpl w:val="2E08524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4501B71"/>
    <w:multiLevelType w:val="hybridMultilevel"/>
    <w:tmpl w:val="0726B3B0"/>
    <w:lvl w:ilvl="0" w:tplc="03B22676">
      <w:start w:val="1"/>
      <w:numFmt w:val="lowerRoman"/>
      <w:lvlText w:val="(%1)"/>
      <w:lvlJc w:val="left"/>
      <w:pPr>
        <w:ind w:left="1854" w:hanging="360"/>
      </w:pPr>
      <w:rPr>
        <w:rFonts w:hint="default"/>
      </w:rPr>
    </w:lvl>
    <w:lvl w:ilvl="1" w:tplc="03B22676">
      <w:start w:val="1"/>
      <w:numFmt w:val="lowerRoman"/>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8D6241E"/>
    <w:multiLevelType w:val="hybridMultilevel"/>
    <w:tmpl w:val="81D441D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ACF4EB2"/>
    <w:multiLevelType w:val="hybridMultilevel"/>
    <w:tmpl w:val="CB6C816A"/>
    <w:lvl w:ilvl="0" w:tplc="4044D2B4">
      <w:start w:val="1"/>
      <w:numFmt w:val="bullet"/>
      <w:lvlText w:val="•"/>
      <w:lvlJc w:val="left"/>
      <w:pPr>
        <w:tabs>
          <w:tab w:val="num" w:pos="2268"/>
        </w:tabs>
        <w:ind w:left="2268" w:hanging="170"/>
      </w:pPr>
      <w:rPr>
        <w:rFonts w:ascii="Times New Roman" w:hAnsi="Times New Roman" w:cs="Times New Roman" w:hint="default"/>
      </w:rPr>
    </w:lvl>
    <w:lvl w:ilvl="1" w:tplc="BE740D02" w:tentative="1">
      <w:start w:val="1"/>
      <w:numFmt w:val="bullet"/>
      <w:lvlText w:val="o"/>
      <w:lvlJc w:val="left"/>
      <w:pPr>
        <w:tabs>
          <w:tab w:val="num" w:pos="3708"/>
        </w:tabs>
        <w:ind w:left="3708" w:hanging="360"/>
      </w:pPr>
      <w:rPr>
        <w:rFonts w:ascii="Courier New" w:hAnsi="Courier New" w:hint="default"/>
      </w:rPr>
    </w:lvl>
    <w:lvl w:ilvl="2" w:tplc="46383F7C" w:tentative="1">
      <w:start w:val="1"/>
      <w:numFmt w:val="bullet"/>
      <w:lvlText w:val=""/>
      <w:lvlJc w:val="left"/>
      <w:pPr>
        <w:tabs>
          <w:tab w:val="num" w:pos="4428"/>
        </w:tabs>
        <w:ind w:left="4428" w:hanging="360"/>
      </w:pPr>
      <w:rPr>
        <w:rFonts w:ascii="Wingdings" w:hAnsi="Wingdings" w:hint="default"/>
      </w:rPr>
    </w:lvl>
    <w:lvl w:ilvl="3" w:tplc="F52C4BFC" w:tentative="1">
      <w:start w:val="1"/>
      <w:numFmt w:val="bullet"/>
      <w:lvlText w:val=""/>
      <w:lvlJc w:val="left"/>
      <w:pPr>
        <w:tabs>
          <w:tab w:val="num" w:pos="5148"/>
        </w:tabs>
        <w:ind w:left="5148" w:hanging="360"/>
      </w:pPr>
      <w:rPr>
        <w:rFonts w:ascii="Symbol" w:hAnsi="Symbol" w:hint="default"/>
      </w:rPr>
    </w:lvl>
    <w:lvl w:ilvl="4" w:tplc="6AE095E4" w:tentative="1">
      <w:start w:val="1"/>
      <w:numFmt w:val="bullet"/>
      <w:lvlText w:val="o"/>
      <w:lvlJc w:val="left"/>
      <w:pPr>
        <w:tabs>
          <w:tab w:val="num" w:pos="5868"/>
        </w:tabs>
        <w:ind w:left="5868" w:hanging="360"/>
      </w:pPr>
      <w:rPr>
        <w:rFonts w:ascii="Courier New" w:hAnsi="Courier New" w:hint="default"/>
      </w:rPr>
    </w:lvl>
    <w:lvl w:ilvl="5" w:tplc="CC568A06" w:tentative="1">
      <w:start w:val="1"/>
      <w:numFmt w:val="bullet"/>
      <w:lvlText w:val=""/>
      <w:lvlJc w:val="left"/>
      <w:pPr>
        <w:tabs>
          <w:tab w:val="num" w:pos="6588"/>
        </w:tabs>
        <w:ind w:left="6588" w:hanging="360"/>
      </w:pPr>
      <w:rPr>
        <w:rFonts w:ascii="Wingdings" w:hAnsi="Wingdings" w:hint="default"/>
      </w:rPr>
    </w:lvl>
    <w:lvl w:ilvl="6" w:tplc="6AAA528E" w:tentative="1">
      <w:start w:val="1"/>
      <w:numFmt w:val="bullet"/>
      <w:lvlText w:val=""/>
      <w:lvlJc w:val="left"/>
      <w:pPr>
        <w:tabs>
          <w:tab w:val="num" w:pos="7308"/>
        </w:tabs>
        <w:ind w:left="7308" w:hanging="360"/>
      </w:pPr>
      <w:rPr>
        <w:rFonts w:ascii="Symbol" w:hAnsi="Symbol" w:hint="default"/>
      </w:rPr>
    </w:lvl>
    <w:lvl w:ilvl="7" w:tplc="6DE200B0" w:tentative="1">
      <w:start w:val="1"/>
      <w:numFmt w:val="bullet"/>
      <w:lvlText w:val="o"/>
      <w:lvlJc w:val="left"/>
      <w:pPr>
        <w:tabs>
          <w:tab w:val="num" w:pos="8028"/>
        </w:tabs>
        <w:ind w:left="8028" w:hanging="360"/>
      </w:pPr>
      <w:rPr>
        <w:rFonts w:ascii="Courier New" w:hAnsi="Courier New" w:hint="default"/>
      </w:rPr>
    </w:lvl>
    <w:lvl w:ilvl="8" w:tplc="9D3A30A0"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C970712"/>
    <w:multiLevelType w:val="hybridMultilevel"/>
    <w:tmpl w:val="D0F861C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DD11ED6"/>
    <w:multiLevelType w:val="hybridMultilevel"/>
    <w:tmpl w:val="37C8533E"/>
    <w:lvl w:ilvl="0" w:tplc="CF06AAAC">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2CE796C"/>
    <w:multiLevelType w:val="hybridMultilevel"/>
    <w:tmpl w:val="FD76407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6401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DF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F02E7"/>
    <w:multiLevelType w:val="multilevel"/>
    <w:tmpl w:val="D67AC25E"/>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3" w15:restartNumberingAfterBreak="0">
    <w:nsid w:val="5D20607D"/>
    <w:multiLevelType w:val="hybridMultilevel"/>
    <w:tmpl w:val="2CF8803E"/>
    <w:lvl w:ilvl="0" w:tplc="4E6AA300">
      <w:start w:val="1"/>
      <w:numFmt w:val="decimal"/>
      <w:lvlText w:val="%1."/>
      <w:lvlJc w:val="left"/>
      <w:pPr>
        <w:ind w:left="1854" w:hanging="360"/>
      </w:pPr>
      <w:rPr>
        <w:b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75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8AD07B2"/>
    <w:multiLevelType w:val="hybridMultilevel"/>
    <w:tmpl w:val="7FEE3222"/>
    <w:lvl w:ilvl="0" w:tplc="48BCBB98">
      <w:start w:val="1"/>
      <w:numFmt w:val="bullet"/>
      <w:lvlText w:val="•"/>
      <w:lvlJc w:val="left"/>
      <w:pPr>
        <w:tabs>
          <w:tab w:val="num" w:pos="1701"/>
        </w:tabs>
        <w:ind w:left="1701" w:hanging="170"/>
      </w:pPr>
      <w:rPr>
        <w:rFonts w:ascii="Times New Roman" w:hAnsi="Times New Roman" w:cs="Times New Roman" w:hint="default"/>
      </w:rPr>
    </w:lvl>
    <w:lvl w:ilvl="1" w:tplc="5FDC0148" w:tentative="1">
      <w:start w:val="1"/>
      <w:numFmt w:val="bullet"/>
      <w:lvlText w:val="o"/>
      <w:lvlJc w:val="left"/>
      <w:pPr>
        <w:tabs>
          <w:tab w:val="num" w:pos="3141"/>
        </w:tabs>
        <w:ind w:left="3141" w:hanging="360"/>
      </w:pPr>
      <w:rPr>
        <w:rFonts w:ascii="Courier New" w:hAnsi="Courier New" w:hint="default"/>
      </w:rPr>
    </w:lvl>
    <w:lvl w:ilvl="2" w:tplc="9B98BA74" w:tentative="1">
      <w:start w:val="1"/>
      <w:numFmt w:val="bullet"/>
      <w:lvlText w:val=""/>
      <w:lvlJc w:val="left"/>
      <w:pPr>
        <w:tabs>
          <w:tab w:val="num" w:pos="3861"/>
        </w:tabs>
        <w:ind w:left="3861" w:hanging="360"/>
      </w:pPr>
      <w:rPr>
        <w:rFonts w:ascii="Wingdings" w:hAnsi="Wingdings" w:hint="default"/>
      </w:rPr>
    </w:lvl>
    <w:lvl w:ilvl="3" w:tplc="70B8B97A" w:tentative="1">
      <w:start w:val="1"/>
      <w:numFmt w:val="bullet"/>
      <w:lvlText w:val=""/>
      <w:lvlJc w:val="left"/>
      <w:pPr>
        <w:tabs>
          <w:tab w:val="num" w:pos="4581"/>
        </w:tabs>
        <w:ind w:left="4581" w:hanging="360"/>
      </w:pPr>
      <w:rPr>
        <w:rFonts w:ascii="Symbol" w:hAnsi="Symbol" w:hint="default"/>
      </w:rPr>
    </w:lvl>
    <w:lvl w:ilvl="4" w:tplc="067627F4" w:tentative="1">
      <w:start w:val="1"/>
      <w:numFmt w:val="bullet"/>
      <w:lvlText w:val="o"/>
      <w:lvlJc w:val="left"/>
      <w:pPr>
        <w:tabs>
          <w:tab w:val="num" w:pos="5301"/>
        </w:tabs>
        <w:ind w:left="5301" w:hanging="360"/>
      </w:pPr>
      <w:rPr>
        <w:rFonts w:ascii="Courier New" w:hAnsi="Courier New" w:hint="default"/>
      </w:rPr>
    </w:lvl>
    <w:lvl w:ilvl="5" w:tplc="1150A39C" w:tentative="1">
      <w:start w:val="1"/>
      <w:numFmt w:val="bullet"/>
      <w:lvlText w:val=""/>
      <w:lvlJc w:val="left"/>
      <w:pPr>
        <w:tabs>
          <w:tab w:val="num" w:pos="6021"/>
        </w:tabs>
        <w:ind w:left="6021" w:hanging="360"/>
      </w:pPr>
      <w:rPr>
        <w:rFonts w:ascii="Wingdings" w:hAnsi="Wingdings" w:hint="default"/>
      </w:rPr>
    </w:lvl>
    <w:lvl w:ilvl="6" w:tplc="1F5A2686" w:tentative="1">
      <w:start w:val="1"/>
      <w:numFmt w:val="bullet"/>
      <w:lvlText w:val=""/>
      <w:lvlJc w:val="left"/>
      <w:pPr>
        <w:tabs>
          <w:tab w:val="num" w:pos="6741"/>
        </w:tabs>
        <w:ind w:left="6741" w:hanging="360"/>
      </w:pPr>
      <w:rPr>
        <w:rFonts w:ascii="Symbol" w:hAnsi="Symbol" w:hint="default"/>
      </w:rPr>
    </w:lvl>
    <w:lvl w:ilvl="7" w:tplc="261A08A6" w:tentative="1">
      <w:start w:val="1"/>
      <w:numFmt w:val="bullet"/>
      <w:lvlText w:val="o"/>
      <w:lvlJc w:val="left"/>
      <w:pPr>
        <w:tabs>
          <w:tab w:val="num" w:pos="7461"/>
        </w:tabs>
        <w:ind w:left="7461" w:hanging="360"/>
      </w:pPr>
      <w:rPr>
        <w:rFonts w:ascii="Courier New" w:hAnsi="Courier New" w:hint="default"/>
      </w:rPr>
    </w:lvl>
    <w:lvl w:ilvl="8" w:tplc="18945276"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0652E1"/>
    <w:multiLevelType w:val="hybridMultilevel"/>
    <w:tmpl w:val="A4A4939A"/>
    <w:lvl w:ilvl="0" w:tplc="03B22676">
      <w:start w:val="1"/>
      <w:numFmt w:val="lowerRoman"/>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B125D1C"/>
    <w:multiLevelType w:val="hybridMultilevel"/>
    <w:tmpl w:val="758275F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E5D481F"/>
    <w:multiLevelType w:val="hybridMultilevel"/>
    <w:tmpl w:val="9CA6351C"/>
    <w:lvl w:ilvl="0" w:tplc="CB18DD80">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A94FD0"/>
    <w:multiLevelType w:val="hybridMultilevel"/>
    <w:tmpl w:val="2C2CF54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B066F29"/>
    <w:multiLevelType w:val="multilevel"/>
    <w:tmpl w:val="D67AC25E"/>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44" w15:restartNumberingAfterBreak="0">
    <w:nsid w:val="7D074A7F"/>
    <w:multiLevelType w:val="multilevel"/>
    <w:tmpl w:val="7D074A7F"/>
    <w:lvl w:ilvl="0">
      <w:start w:val="1"/>
      <w:numFmt w:val="decimal"/>
      <w:suff w:val="space"/>
      <w:lvlText w:val="%1."/>
      <w:lvlJc w:val="left"/>
      <w:pPr>
        <w:ind w:left="2204" w:hanging="360"/>
      </w:pPr>
      <w:rPr>
        <w:rFonts w:ascii="Times New Roman" w:hAnsi="Times New Roman" w:cs="Times New Roman" w:hint="default"/>
        <w:b w:val="0"/>
        <w:bCs w:val="0"/>
        <w:i w:val="0"/>
        <w:iCs w:val="0"/>
        <w:strike w:val="0"/>
        <w:color w:val="000000"/>
        <w:sz w:val="28"/>
        <w:szCs w:val="28"/>
        <w:lang w:bidi="th-TH"/>
      </w:rPr>
    </w:lvl>
    <w:lvl w:ilvl="1">
      <w:start w:val="1"/>
      <w:numFmt w:val="decimal"/>
      <w:lvlText w:val="(%2)"/>
      <w:lvlJc w:val="left"/>
      <w:pPr>
        <w:ind w:left="1800" w:hanging="360"/>
      </w:pPr>
      <w:rPr>
        <w:rFonts w:ascii="Times New Roman" w:hAnsi="Times New Roman" w:cs="Times New Roman" w:hint="default"/>
        <w:b w:val="0"/>
        <w:bCs w:val="0"/>
        <w:i w:val="0"/>
        <w:iCs w:val="0"/>
        <w:strike w:val="0"/>
        <w:color w:val="000000"/>
        <w:sz w:val="28"/>
        <w:szCs w:val="28"/>
        <w:vertAlign w:val="baseline"/>
      </w:rPr>
    </w:lvl>
    <w:lvl w:ilvl="2">
      <w:start w:val="1"/>
      <w:numFmt w:val="lowerLetter"/>
      <w:lvlText w:val="%3)"/>
      <w:lvlJc w:val="left"/>
      <w:pPr>
        <w:ind w:left="4387" w:hanging="360"/>
      </w:pPr>
      <w:rPr>
        <w:rFonts w:hint="default"/>
      </w:rPr>
    </w:lvl>
    <w:lvl w:ilvl="3">
      <w:start w:val="1"/>
      <w:numFmt w:val="bullet"/>
      <w:lvlText w:val="o"/>
      <w:lvlJc w:val="left"/>
      <w:pPr>
        <w:ind w:left="4927" w:hanging="360"/>
      </w:pPr>
      <w:rPr>
        <w:rFonts w:ascii="Courier New" w:hAnsi="Courier New" w:cs="Courier New" w:hint="default"/>
      </w:rPr>
    </w:lvl>
    <w:lvl w:ilvl="4">
      <w:start w:val="1"/>
      <w:numFmt w:val="lowerLetter"/>
      <w:lvlText w:val="%5."/>
      <w:lvlJc w:val="left"/>
      <w:pPr>
        <w:ind w:left="5647" w:hanging="360"/>
      </w:pPr>
    </w:lvl>
    <w:lvl w:ilvl="5">
      <w:start w:val="1"/>
      <w:numFmt w:val="lowerRoman"/>
      <w:lvlText w:val="%6."/>
      <w:lvlJc w:val="right"/>
      <w:pPr>
        <w:ind w:left="6367" w:hanging="180"/>
      </w:pPr>
    </w:lvl>
    <w:lvl w:ilvl="6">
      <w:start w:val="1"/>
      <w:numFmt w:val="decimal"/>
      <w:lvlText w:val="%7."/>
      <w:lvlJc w:val="left"/>
      <w:pPr>
        <w:ind w:left="7087" w:hanging="360"/>
      </w:pPr>
    </w:lvl>
    <w:lvl w:ilvl="7">
      <w:start w:val="1"/>
      <w:numFmt w:val="lowerLetter"/>
      <w:lvlText w:val="%8."/>
      <w:lvlJc w:val="left"/>
      <w:pPr>
        <w:ind w:left="7807" w:hanging="360"/>
      </w:pPr>
    </w:lvl>
    <w:lvl w:ilvl="8">
      <w:start w:val="1"/>
      <w:numFmt w:val="lowerRoman"/>
      <w:lvlText w:val="%9."/>
      <w:lvlJc w:val="right"/>
      <w:pPr>
        <w:ind w:left="8527" w:hanging="180"/>
      </w:pPr>
    </w:lvl>
  </w:abstractNum>
  <w:num w:numId="1">
    <w:abstractNumId w:val="22"/>
  </w:num>
  <w:num w:numId="2">
    <w:abstractNumId w:val="17"/>
  </w:num>
  <w:num w:numId="3">
    <w:abstractNumId w:val="10"/>
  </w:num>
  <w:num w:numId="4">
    <w:abstractNumId w:val="34"/>
  </w:num>
  <w:num w:numId="5">
    <w:abstractNumId w:val="36"/>
  </w:num>
  <w:num w:numId="6">
    <w:abstractNumId w:val="41"/>
  </w:num>
  <w:num w:numId="7">
    <w:abstractNumId w:val="16"/>
  </w:num>
  <w:num w:numId="8">
    <w:abstractNumId w:val="37"/>
  </w:num>
  <w:num w:numId="9">
    <w:abstractNumId w:val="26"/>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1"/>
  </w:num>
  <w:num w:numId="22">
    <w:abstractNumId w:val="13"/>
  </w:num>
  <w:num w:numId="23">
    <w:abstractNumId w:val="35"/>
  </w:num>
  <w:num w:numId="24">
    <w:abstractNumId w:val="30"/>
  </w:num>
  <w:num w:numId="25">
    <w:abstractNumId w:val="44"/>
  </w:num>
  <w:num w:numId="26">
    <w:abstractNumId w:val="18"/>
  </w:num>
  <w:num w:numId="27">
    <w:abstractNumId w:val="12"/>
  </w:num>
  <w:num w:numId="28">
    <w:abstractNumId w:val="32"/>
  </w:num>
  <w:num w:numId="29">
    <w:abstractNumId w:val="43"/>
  </w:num>
  <w:num w:numId="30">
    <w:abstractNumId w:val="39"/>
  </w:num>
  <w:num w:numId="31">
    <w:abstractNumId w:val="15"/>
  </w:num>
  <w:num w:numId="32">
    <w:abstractNumId w:val="29"/>
  </w:num>
  <w:num w:numId="33">
    <w:abstractNumId w:val="28"/>
  </w:num>
  <w:num w:numId="34">
    <w:abstractNumId w:val="21"/>
  </w:num>
  <w:num w:numId="35">
    <w:abstractNumId w:val="27"/>
  </w:num>
  <w:num w:numId="36">
    <w:abstractNumId w:val="40"/>
  </w:num>
  <w:num w:numId="37">
    <w:abstractNumId w:val="42"/>
  </w:num>
  <w:num w:numId="38">
    <w:abstractNumId w:val="19"/>
  </w:num>
  <w:num w:numId="39">
    <w:abstractNumId w:val="23"/>
  </w:num>
  <w:num w:numId="40">
    <w:abstractNumId w:val="25"/>
  </w:num>
  <w:num w:numId="41">
    <w:abstractNumId w:val="20"/>
  </w:num>
  <w:num w:numId="42">
    <w:abstractNumId w:val="38"/>
  </w:num>
  <w:num w:numId="43">
    <w:abstractNumId w:val="24"/>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BC4FB3"/>
    <w:rsid w:val="000004EF"/>
    <w:rsid w:val="00046E92"/>
    <w:rsid w:val="00052E0F"/>
    <w:rsid w:val="000601B4"/>
    <w:rsid w:val="00060435"/>
    <w:rsid w:val="00062024"/>
    <w:rsid w:val="000720B3"/>
    <w:rsid w:val="00091ABF"/>
    <w:rsid w:val="000B76E1"/>
    <w:rsid w:val="000C6982"/>
    <w:rsid w:val="00107996"/>
    <w:rsid w:val="0011190E"/>
    <w:rsid w:val="00113E7B"/>
    <w:rsid w:val="00134DBC"/>
    <w:rsid w:val="00174FE0"/>
    <w:rsid w:val="001B598C"/>
    <w:rsid w:val="00246BD7"/>
    <w:rsid w:val="00247E2C"/>
    <w:rsid w:val="00251669"/>
    <w:rsid w:val="00254A4D"/>
    <w:rsid w:val="00257D1F"/>
    <w:rsid w:val="0026682D"/>
    <w:rsid w:val="002715DF"/>
    <w:rsid w:val="002924F5"/>
    <w:rsid w:val="002B0385"/>
    <w:rsid w:val="002C684E"/>
    <w:rsid w:val="002D6C53"/>
    <w:rsid w:val="002E0C8B"/>
    <w:rsid w:val="002F181B"/>
    <w:rsid w:val="002F5595"/>
    <w:rsid w:val="002F5939"/>
    <w:rsid w:val="002F7D86"/>
    <w:rsid w:val="00317954"/>
    <w:rsid w:val="0032129C"/>
    <w:rsid w:val="003331BE"/>
    <w:rsid w:val="00334F6A"/>
    <w:rsid w:val="00342AC8"/>
    <w:rsid w:val="00354EB9"/>
    <w:rsid w:val="00372E4B"/>
    <w:rsid w:val="00391528"/>
    <w:rsid w:val="003A13D3"/>
    <w:rsid w:val="003B42AF"/>
    <w:rsid w:val="003B4550"/>
    <w:rsid w:val="003D74B6"/>
    <w:rsid w:val="003F44B6"/>
    <w:rsid w:val="0041077F"/>
    <w:rsid w:val="00436EB9"/>
    <w:rsid w:val="00461253"/>
    <w:rsid w:val="004A635B"/>
    <w:rsid w:val="004A6B08"/>
    <w:rsid w:val="004E651E"/>
    <w:rsid w:val="004E6E55"/>
    <w:rsid w:val="004F1D87"/>
    <w:rsid w:val="004F256F"/>
    <w:rsid w:val="005042C2"/>
    <w:rsid w:val="00504FFA"/>
    <w:rsid w:val="005150EB"/>
    <w:rsid w:val="00515592"/>
    <w:rsid w:val="00535834"/>
    <w:rsid w:val="0054620A"/>
    <w:rsid w:val="00577BAA"/>
    <w:rsid w:val="005869C8"/>
    <w:rsid w:val="00587C8E"/>
    <w:rsid w:val="005B3514"/>
    <w:rsid w:val="005C314A"/>
    <w:rsid w:val="00607460"/>
    <w:rsid w:val="00631B54"/>
    <w:rsid w:val="006365DF"/>
    <w:rsid w:val="00664C75"/>
    <w:rsid w:val="00671529"/>
    <w:rsid w:val="00671D9E"/>
    <w:rsid w:val="006818F1"/>
    <w:rsid w:val="006833A3"/>
    <w:rsid w:val="00695E59"/>
    <w:rsid w:val="006A7265"/>
    <w:rsid w:val="006C4150"/>
    <w:rsid w:val="006E1B45"/>
    <w:rsid w:val="007237F2"/>
    <w:rsid w:val="007268F9"/>
    <w:rsid w:val="007309C0"/>
    <w:rsid w:val="0075775F"/>
    <w:rsid w:val="00773F47"/>
    <w:rsid w:val="007B0CE3"/>
    <w:rsid w:val="007B3726"/>
    <w:rsid w:val="007C52B0"/>
    <w:rsid w:val="007C5D94"/>
    <w:rsid w:val="007F5214"/>
    <w:rsid w:val="00832348"/>
    <w:rsid w:val="00843E96"/>
    <w:rsid w:val="00866CD3"/>
    <w:rsid w:val="008779DC"/>
    <w:rsid w:val="008A34E4"/>
    <w:rsid w:val="008A5333"/>
    <w:rsid w:val="008B5F85"/>
    <w:rsid w:val="008E6FA3"/>
    <w:rsid w:val="00917EBA"/>
    <w:rsid w:val="0093545A"/>
    <w:rsid w:val="009411B4"/>
    <w:rsid w:val="0096145D"/>
    <w:rsid w:val="00991AB7"/>
    <w:rsid w:val="009D0139"/>
    <w:rsid w:val="009E22DE"/>
    <w:rsid w:val="009F5CDC"/>
    <w:rsid w:val="00A258E0"/>
    <w:rsid w:val="00A43F01"/>
    <w:rsid w:val="00A56767"/>
    <w:rsid w:val="00A775CF"/>
    <w:rsid w:val="00AA1533"/>
    <w:rsid w:val="00AA3377"/>
    <w:rsid w:val="00AA6F00"/>
    <w:rsid w:val="00AB24FE"/>
    <w:rsid w:val="00AB62C4"/>
    <w:rsid w:val="00AE2550"/>
    <w:rsid w:val="00AF4E36"/>
    <w:rsid w:val="00AF5070"/>
    <w:rsid w:val="00B01FBF"/>
    <w:rsid w:val="00B06045"/>
    <w:rsid w:val="00B24C8F"/>
    <w:rsid w:val="00B4355D"/>
    <w:rsid w:val="00B43930"/>
    <w:rsid w:val="00BC4FB3"/>
    <w:rsid w:val="00BD7379"/>
    <w:rsid w:val="00BF482C"/>
    <w:rsid w:val="00C21170"/>
    <w:rsid w:val="00C262BA"/>
    <w:rsid w:val="00C27CE2"/>
    <w:rsid w:val="00C35A27"/>
    <w:rsid w:val="00C665D4"/>
    <w:rsid w:val="00C73249"/>
    <w:rsid w:val="00C77619"/>
    <w:rsid w:val="00C9269A"/>
    <w:rsid w:val="00CB2D77"/>
    <w:rsid w:val="00CB66D8"/>
    <w:rsid w:val="00CC4EA8"/>
    <w:rsid w:val="00D06FA1"/>
    <w:rsid w:val="00D21609"/>
    <w:rsid w:val="00D926E5"/>
    <w:rsid w:val="00D974B4"/>
    <w:rsid w:val="00DB4722"/>
    <w:rsid w:val="00DC2C41"/>
    <w:rsid w:val="00DD572B"/>
    <w:rsid w:val="00DD702A"/>
    <w:rsid w:val="00DD755B"/>
    <w:rsid w:val="00E00D7B"/>
    <w:rsid w:val="00E02C2B"/>
    <w:rsid w:val="00E11553"/>
    <w:rsid w:val="00E204D7"/>
    <w:rsid w:val="00E235C4"/>
    <w:rsid w:val="00E53199"/>
    <w:rsid w:val="00E62A53"/>
    <w:rsid w:val="00E67689"/>
    <w:rsid w:val="00E67FFB"/>
    <w:rsid w:val="00E729AC"/>
    <w:rsid w:val="00EC5EC0"/>
    <w:rsid w:val="00ED6C48"/>
    <w:rsid w:val="00EE258F"/>
    <w:rsid w:val="00EF3559"/>
    <w:rsid w:val="00F022BB"/>
    <w:rsid w:val="00F04DB0"/>
    <w:rsid w:val="00F165C5"/>
    <w:rsid w:val="00F52D40"/>
    <w:rsid w:val="00F54562"/>
    <w:rsid w:val="00F61731"/>
    <w:rsid w:val="00F65F5D"/>
    <w:rsid w:val="00F86A3A"/>
    <w:rsid w:val="00F905F5"/>
    <w:rsid w:val="00FA6B47"/>
    <w:rsid w:val="00FA6FE3"/>
    <w:rsid w:val="00FC1527"/>
    <w:rsid w:val="00FE58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2D291E6"/>
  <w15:docId w15:val="{1F098DBF-7C88-42B2-ACA2-F3222963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FollowedHyperlink">
    <w:name w:val="FollowedHyperlink"/>
    <w:basedOn w:val="DefaultParagraphFont"/>
    <w:uiPriority w:val="99"/>
    <w:rsid w:val="00695E59"/>
    <w:rPr>
      <w:color w:val="0000FF"/>
      <w:u w:val="none"/>
    </w:rPr>
  </w:style>
  <w:style w:type="character" w:customStyle="1" w:styleId="HChGChar">
    <w:name w:val="_ H _Ch_G Char"/>
    <w:link w:val="HChG"/>
    <w:rsid w:val="00695E59"/>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302A-094F-4470-8B07-2D16E6F7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33</Pages>
  <Words>16120</Words>
  <Characters>80947</Characters>
  <Application>Microsoft Office Word</Application>
  <DocSecurity>0</DocSecurity>
  <Lines>3245</Lines>
  <Paragraphs>2302</Paragraphs>
  <ScaleCrop>false</ScaleCrop>
  <HeadingPairs>
    <vt:vector size="2" baseType="variant">
      <vt:variant>
        <vt:lpstr>Title</vt:lpstr>
      </vt:variant>
      <vt:variant>
        <vt:i4>1</vt:i4>
      </vt:variant>
    </vt:vector>
  </HeadingPairs>
  <TitlesOfParts>
    <vt:vector size="1" baseType="lpstr">
      <vt:lpstr>CAT/C/THA/2</vt:lpstr>
    </vt:vector>
  </TitlesOfParts>
  <Company>DCM</Company>
  <LinksUpToDate>false</LinksUpToDate>
  <CharactersWithSpaces>94979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CAT/C/THA/2</dc:title>
  <dc:subject>2119373</dc:subject>
  <dc:creator>pae</dc:creator>
  <cp:keywords/>
  <dc:description>formatted text</dc:description>
  <cp:lastModifiedBy>Maria Rosario Corazon Gatmaytan</cp:lastModifiedBy>
  <cp:revision>2</cp:revision>
  <dcterms:created xsi:type="dcterms:W3CDTF">2021-12-21T09:42:00Z</dcterms:created>
  <dcterms:modified xsi:type="dcterms:W3CDTF">2021-12-21T09:42:00Z</dcterms:modified>
</cp:coreProperties>
</file>